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442" w:firstLineChars="100"/>
        <w:rPr>
          <w:rFonts w:ascii="仿宋" w:hAnsi="仿宋" w:eastAsia="仿宋" w:cs="华文中宋"/>
          <w:b/>
          <w:sz w:val="44"/>
          <w:szCs w:val="44"/>
        </w:rPr>
      </w:pPr>
      <w:r>
        <w:rPr>
          <w:rFonts w:hint="eastAsia" w:ascii="仿宋" w:hAnsi="仿宋" w:eastAsia="仿宋" w:cs="华文中宋"/>
          <w:b/>
          <w:sz w:val="44"/>
          <w:szCs w:val="44"/>
        </w:rPr>
        <w:t xml:space="preserve">   中国共产党集贤县纪律检查委员会</w:t>
      </w:r>
    </w:p>
    <w:p>
      <w:pPr>
        <w:spacing w:line="360" w:lineRule="auto"/>
        <w:rPr>
          <w:rFonts w:ascii="仿宋" w:hAnsi="仿宋" w:eastAsia="仿宋" w:cs="仿宋"/>
          <w:b/>
          <w:bCs/>
          <w:sz w:val="52"/>
          <w:szCs w:val="52"/>
        </w:rPr>
      </w:pPr>
      <w:r>
        <w:rPr>
          <w:rFonts w:hint="eastAsia" w:ascii="仿宋" w:hAnsi="仿宋" w:eastAsia="仿宋" w:cs="仿宋"/>
          <w:b/>
          <w:bCs/>
          <w:sz w:val="44"/>
          <w:szCs w:val="44"/>
        </w:rPr>
        <w:t>2017年度部门决算信息及有关情况说明</w:t>
      </w:r>
    </w:p>
    <w:p>
      <w:pPr>
        <w:spacing w:line="360" w:lineRule="auto"/>
        <w:jc w:val="center"/>
        <w:rPr>
          <w:rFonts w:ascii="仿宋" w:hAnsi="仿宋" w:eastAsia="仿宋" w:cs="仿宋"/>
          <w:b/>
          <w:bCs/>
          <w:sz w:val="44"/>
          <w:szCs w:val="44"/>
        </w:rPr>
      </w:pPr>
    </w:p>
    <w:p>
      <w:pPr>
        <w:spacing w:line="360" w:lineRule="auto"/>
        <w:jc w:val="center"/>
        <w:rPr>
          <w:rFonts w:ascii="仿宋" w:hAnsi="仿宋" w:eastAsia="仿宋" w:cs="仿宋"/>
          <w:b/>
          <w:bCs/>
          <w:sz w:val="44"/>
          <w:szCs w:val="44"/>
        </w:rPr>
      </w:pPr>
      <w:r>
        <w:rPr>
          <w:rFonts w:hint="eastAsia" w:ascii="仿宋" w:hAnsi="仿宋" w:eastAsia="仿宋" w:cs="仿宋"/>
          <w:b/>
          <w:bCs/>
          <w:sz w:val="44"/>
          <w:szCs w:val="44"/>
        </w:rPr>
        <w:t>目录</w:t>
      </w:r>
    </w:p>
    <w:p>
      <w:pPr>
        <w:spacing w:line="360" w:lineRule="auto"/>
        <w:jc w:val="center"/>
        <w:rPr>
          <w:rFonts w:ascii="仿宋" w:hAnsi="仿宋" w:eastAsia="仿宋" w:cs="仿宋"/>
          <w:b/>
          <w:bCs/>
          <w:sz w:val="44"/>
          <w:szCs w:val="44"/>
        </w:rPr>
      </w:pPr>
    </w:p>
    <w:p>
      <w:pPr>
        <w:widowControl/>
        <w:spacing w:line="360" w:lineRule="auto"/>
        <w:jc w:val="center"/>
        <w:rPr>
          <w:rFonts w:ascii="仿宋" w:hAnsi="仿宋" w:eastAsia="仿宋" w:cs="仿宋"/>
          <w:b/>
          <w:bCs/>
          <w:color w:val="000000"/>
          <w:kern w:val="0"/>
          <w:sz w:val="32"/>
          <w:szCs w:val="32"/>
        </w:rPr>
      </w:pPr>
      <w:r>
        <w:rPr>
          <w:rFonts w:hint="eastAsia" w:ascii="仿宋" w:hAnsi="仿宋" w:eastAsia="仿宋" w:cs="仿宋"/>
          <w:b/>
          <w:bCs/>
          <w:color w:val="000000"/>
          <w:kern w:val="0"/>
          <w:sz w:val="32"/>
          <w:szCs w:val="32"/>
        </w:rPr>
        <w:t>第一部分 单位基本情况</w:t>
      </w:r>
    </w:p>
    <w:p>
      <w:pPr>
        <w:widowControl/>
        <w:numPr>
          <w:ilvl w:val="0"/>
          <w:numId w:val="1"/>
        </w:numPr>
        <w:spacing w:line="360" w:lineRule="auto"/>
        <w:rPr>
          <w:rFonts w:ascii="仿宋" w:hAnsi="仿宋" w:eastAsia="仿宋" w:cs="仿宋"/>
          <w:sz w:val="32"/>
          <w:szCs w:val="32"/>
        </w:rPr>
      </w:pPr>
      <w:r>
        <w:rPr>
          <w:rFonts w:hint="eastAsia" w:ascii="仿宋" w:hAnsi="仿宋" w:eastAsia="仿宋" w:cs="仿宋"/>
          <w:sz w:val="32"/>
          <w:szCs w:val="32"/>
        </w:rPr>
        <w:t>部门职责</w:t>
      </w:r>
    </w:p>
    <w:p>
      <w:pPr>
        <w:widowControl/>
        <w:numPr>
          <w:ilvl w:val="0"/>
          <w:numId w:val="1"/>
        </w:numPr>
        <w:spacing w:line="360" w:lineRule="auto"/>
        <w:jc w:val="left"/>
        <w:rPr>
          <w:rFonts w:ascii="仿宋" w:hAnsi="仿宋" w:eastAsia="仿宋" w:cs="仿宋"/>
          <w:sz w:val="32"/>
          <w:szCs w:val="32"/>
        </w:rPr>
      </w:pPr>
      <w:r>
        <w:rPr>
          <w:rFonts w:hint="eastAsia" w:ascii="仿宋" w:hAnsi="仿宋" w:eastAsia="仿宋" w:cs="仿宋"/>
          <w:sz w:val="32"/>
          <w:szCs w:val="32"/>
        </w:rPr>
        <w:t>机构设置</w:t>
      </w:r>
    </w:p>
    <w:p>
      <w:pPr>
        <w:widowControl/>
        <w:numPr>
          <w:ilvl w:val="0"/>
          <w:numId w:val="1"/>
        </w:numPr>
        <w:spacing w:line="360" w:lineRule="auto"/>
        <w:jc w:val="left"/>
        <w:rPr>
          <w:rFonts w:hint="eastAsia" w:ascii="仿宋" w:hAnsi="仿宋" w:eastAsia="仿宋" w:cs="仿宋"/>
          <w:sz w:val="32"/>
          <w:szCs w:val="32"/>
        </w:rPr>
      </w:pPr>
      <w:r>
        <w:rPr>
          <w:rFonts w:hint="eastAsia" w:ascii="仿宋" w:hAnsi="仿宋" w:eastAsia="仿宋" w:cs="仿宋"/>
          <w:sz w:val="32"/>
          <w:szCs w:val="32"/>
        </w:rPr>
        <w:t>人员构成</w:t>
      </w:r>
    </w:p>
    <w:p>
      <w:pPr>
        <w:widowControl/>
        <w:numPr>
          <w:ilvl w:val="0"/>
          <w:numId w:val="1"/>
        </w:numPr>
        <w:spacing w:line="360" w:lineRule="auto"/>
        <w:jc w:val="left"/>
        <w:rPr>
          <w:rFonts w:ascii="仿宋" w:hAnsi="仿宋" w:eastAsia="仿宋" w:cs="仿宋"/>
          <w:sz w:val="30"/>
          <w:szCs w:val="30"/>
        </w:rPr>
      </w:pPr>
      <w:r>
        <w:rPr>
          <w:rFonts w:hint="eastAsia" w:ascii="仿宋" w:hAnsi="仿宋" w:eastAsia="仿宋" w:cs="仿宋"/>
          <w:sz w:val="30"/>
          <w:szCs w:val="30"/>
        </w:rPr>
        <w:t>部门决算编报范围</w:t>
      </w:r>
    </w:p>
    <w:p>
      <w:pPr>
        <w:widowControl/>
        <w:tabs>
          <w:tab w:val="left" w:pos="720"/>
        </w:tabs>
        <w:spacing w:line="360" w:lineRule="auto"/>
        <w:ind w:left="720"/>
        <w:jc w:val="left"/>
        <w:rPr>
          <w:rFonts w:ascii="仿宋" w:hAnsi="仿宋" w:eastAsia="仿宋" w:cs="仿宋"/>
          <w:sz w:val="32"/>
          <w:szCs w:val="32"/>
        </w:rPr>
      </w:pPr>
    </w:p>
    <w:p>
      <w:pPr>
        <w:spacing w:line="360" w:lineRule="auto"/>
        <w:ind w:firstLine="964" w:firstLineChars="300"/>
        <w:rPr>
          <w:rFonts w:ascii="仿宋" w:hAnsi="仿宋" w:eastAsia="仿宋" w:cs="仿宋"/>
          <w:b/>
          <w:sz w:val="32"/>
          <w:szCs w:val="32"/>
        </w:rPr>
      </w:pPr>
      <w:r>
        <w:rPr>
          <w:rFonts w:hint="eastAsia" w:ascii="仿宋" w:hAnsi="仿宋" w:eastAsia="仿宋" w:cs="仿宋"/>
          <w:b/>
          <w:sz w:val="32"/>
          <w:szCs w:val="32"/>
        </w:rPr>
        <w:t>第二部分 2017年部门预算执行总体情况说明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一、收入支出决算总体情况说明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二、收入决算情况说明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三、支出决算情况说明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四、 财政拨款收入支出决算总体情况说明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五、一般公共预算财政拨款支出决算情况说明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六、一般公共预算财政拨款基本支出情况说明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七、一般公共预算财政拨款“三公”经费支出决算情况说明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八、政府性基金预算财政拨款收入支出决算情况说明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九、预算绩效管理工作开展情况说明。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十、其他重要事项情况说明</w:t>
      </w:r>
    </w:p>
    <w:p>
      <w:pPr>
        <w:widowControl/>
        <w:spacing w:line="360" w:lineRule="auto"/>
        <w:jc w:val="left"/>
        <w:rPr>
          <w:rFonts w:ascii="仿宋" w:hAnsi="仿宋" w:eastAsia="仿宋" w:cs="仿宋"/>
          <w:sz w:val="30"/>
          <w:szCs w:val="30"/>
        </w:rPr>
      </w:pPr>
      <w:r>
        <w:rPr>
          <w:rFonts w:hint="eastAsia" w:ascii="仿宋" w:hAnsi="仿宋" w:eastAsia="仿宋" w:cs="仿宋"/>
          <w:sz w:val="30"/>
          <w:szCs w:val="30"/>
        </w:rPr>
        <w:t>（一）机关运行经费支出情况</w:t>
      </w:r>
    </w:p>
    <w:p>
      <w:pPr>
        <w:widowControl/>
        <w:spacing w:line="360" w:lineRule="auto"/>
        <w:jc w:val="left"/>
        <w:rPr>
          <w:rFonts w:ascii="仿宋" w:hAnsi="仿宋" w:eastAsia="仿宋" w:cs="仿宋"/>
          <w:sz w:val="30"/>
          <w:szCs w:val="30"/>
        </w:rPr>
      </w:pPr>
      <w:r>
        <w:rPr>
          <w:rFonts w:hint="eastAsia" w:ascii="仿宋" w:hAnsi="仿宋" w:eastAsia="仿宋" w:cs="仿宋"/>
          <w:sz w:val="30"/>
          <w:szCs w:val="30"/>
        </w:rPr>
        <w:t>（二）政府采购支出情况</w:t>
      </w:r>
    </w:p>
    <w:p>
      <w:pPr>
        <w:widowControl/>
        <w:spacing w:line="360" w:lineRule="auto"/>
        <w:jc w:val="left"/>
        <w:rPr>
          <w:rFonts w:ascii="仿宋" w:hAnsi="仿宋" w:eastAsia="仿宋" w:cs="仿宋"/>
          <w:sz w:val="30"/>
          <w:szCs w:val="30"/>
        </w:rPr>
      </w:pPr>
      <w:r>
        <w:rPr>
          <w:rFonts w:hint="eastAsia" w:ascii="仿宋" w:hAnsi="仿宋" w:eastAsia="仿宋" w:cs="仿宋"/>
          <w:sz w:val="30"/>
          <w:szCs w:val="30"/>
        </w:rPr>
        <w:t>（三）国有资产占用情况</w:t>
      </w:r>
    </w:p>
    <w:p>
      <w:pPr>
        <w:widowControl/>
        <w:spacing w:line="360" w:lineRule="auto"/>
        <w:jc w:val="left"/>
        <w:rPr>
          <w:rFonts w:ascii="仿宋" w:hAnsi="仿宋" w:eastAsia="仿宋" w:cs="仿宋"/>
          <w:sz w:val="30"/>
          <w:szCs w:val="30"/>
        </w:rPr>
      </w:pPr>
    </w:p>
    <w:p>
      <w:pPr>
        <w:numPr>
          <w:ilvl w:val="0"/>
          <w:numId w:val="2"/>
        </w:numPr>
        <w:spacing w:line="360" w:lineRule="auto"/>
        <w:jc w:val="center"/>
        <w:rPr>
          <w:rFonts w:ascii="仿宋" w:hAnsi="仿宋" w:eastAsia="仿宋" w:cs="仿宋"/>
          <w:b/>
          <w:sz w:val="32"/>
          <w:szCs w:val="32"/>
        </w:rPr>
      </w:pPr>
      <w:r>
        <w:rPr>
          <w:rFonts w:hint="eastAsia" w:ascii="仿宋" w:hAnsi="仿宋" w:eastAsia="仿宋" w:cs="仿宋"/>
          <w:b/>
          <w:sz w:val="32"/>
          <w:szCs w:val="32"/>
        </w:rPr>
        <w:t>名词解释</w:t>
      </w:r>
    </w:p>
    <w:p>
      <w:pPr>
        <w:spacing w:line="360" w:lineRule="auto"/>
        <w:rPr>
          <w:rFonts w:ascii="仿宋" w:hAnsi="仿宋" w:eastAsia="仿宋" w:cs="仿宋"/>
          <w:b/>
          <w:sz w:val="32"/>
          <w:szCs w:val="32"/>
        </w:rPr>
      </w:pPr>
    </w:p>
    <w:p>
      <w:pPr>
        <w:spacing w:line="360" w:lineRule="auto"/>
        <w:rPr>
          <w:rFonts w:ascii="仿宋" w:hAnsi="仿宋" w:eastAsia="仿宋" w:cs="仿宋"/>
          <w:b/>
          <w:sz w:val="32"/>
          <w:szCs w:val="32"/>
        </w:rPr>
      </w:pPr>
    </w:p>
    <w:p>
      <w:pPr>
        <w:spacing w:line="360" w:lineRule="auto"/>
        <w:rPr>
          <w:rFonts w:ascii="仿宋" w:hAnsi="仿宋" w:eastAsia="仿宋" w:cs="仿宋"/>
          <w:b/>
          <w:sz w:val="32"/>
          <w:szCs w:val="32"/>
        </w:rPr>
      </w:pPr>
      <w:r>
        <w:rPr>
          <w:rFonts w:hint="eastAsia" w:ascii="仿宋" w:hAnsi="仿宋" w:eastAsia="仿宋" w:cs="仿宋"/>
          <w:b/>
          <w:sz w:val="32"/>
          <w:szCs w:val="32"/>
        </w:rPr>
        <w:t>第四部分  2017年度部门决算公开表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收入支出决算总表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收入决算表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支出决算表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财政拨款收入支出决算总表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一般公共预算财政拨款支出决算表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一般公共预算财政拨款基本支出决算表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一般公共预算财政拨款“三公”经费支出决算表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政府性基金预算财政拨款收入支出决算表</w:t>
      </w: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b/>
          <w:bCs/>
          <w:sz w:val="32"/>
          <w:szCs w:val="32"/>
        </w:rPr>
      </w:pPr>
      <w:r>
        <w:rPr>
          <w:rFonts w:hint="eastAsia" w:ascii="仿宋" w:hAnsi="仿宋" w:eastAsia="仿宋" w:cs="仿宋"/>
          <w:b/>
          <w:bCs/>
          <w:sz w:val="32"/>
          <w:szCs w:val="32"/>
        </w:rPr>
        <w:t>第一部分  单位基本情况</w:t>
      </w:r>
    </w:p>
    <w:p>
      <w:pPr>
        <w:spacing w:line="360" w:lineRule="auto"/>
        <w:ind w:firstLine="643" w:firstLineChars="200"/>
        <w:rPr>
          <w:rFonts w:ascii="仿宋" w:hAnsi="仿宋" w:eastAsia="仿宋" w:cs="仿宋"/>
          <w:b/>
          <w:bCs/>
          <w:sz w:val="32"/>
          <w:szCs w:val="32"/>
        </w:rPr>
      </w:pPr>
      <w:r>
        <w:rPr>
          <w:rFonts w:hint="eastAsia" w:ascii="仿宋" w:hAnsi="仿宋" w:eastAsia="仿宋" w:cs="仿宋"/>
          <w:b/>
          <w:bCs/>
          <w:sz w:val="32"/>
          <w:szCs w:val="32"/>
        </w:rPr>
        <w:t>一、部门职责</w:t>
      </w:r>
    </w:p>
    <w:p>
      <w:pPr>
        <w:widowControl/>
        <w:spacing w:line="315" w:lineRule="atLeast"/>
        <w:ind w:firstLine="643"/>
        <w:rPr>
          <w:rFonts w:ascii="仿宋" w:hAnsi="仿宋" w:eastAsia="仿宋" w:cs="宋体"/>
          <w:sz w:val="32"/>
          <w:szCs w:val="32"/>
        </w:rPr>
      </w:pPr>
      <w:r>
        <w:rPr>
          <w:rFonts w:hint="eastAsia" w:ascii="仿宋" w:hAnsi="仿宋" w:eastAsia="仿宋" w:cs="宋体"/>
          <w:sz w:val="32"/>
          <w:szCs w:val="32"/>
        </w:rPr>
        <w:t>根据省纪委《关于推进纪检监察机关内设机构改革的通知》（黑纪办发〔2014〕4号）精神，按照市纪委监察局关于内设机构改革调整工作的要求，经县机构编制委员会会议研究，现结合实际，制定《中共集贤县纪律检查委员会机关、集贤县监察委员会主要职责内设机构和人员编制规定》</w:t>
      </w:r>
    </w:p>
    <w:p>
      <w:pPr>
        <w:widowControl/>
        <w:spacing w:line="315" w:lineRule="atLeast"/>
        <w:ind w:firstLine="643"/>
        <w:rPr>
          <w:rFonts w:ascii="仿宋" w:hAnsi="仿宋" w:eastAsia="仿宋" w:cs="宋体"/>
          <w:sz w:val="32"/>
          <w:szCs w:val="32"/>
        </w:rPr>
      </w:pPr>
      <w:r>
        <w:rPr>
          <w:rFonts w:hint="eastAsia" w:ascii="仿宋" w:hAnsi="仿宋" w:eastAsia="仿宋" w:cs="宋体"/>
          <w:sz w:val="32"/>
          <w:szCs w:val="32"/>
        </w:rPr>
        <w:t xml:space="preserve">县纪委与县监委合署办公，实行一套工作机构、两个机关名称的体制，履行党的纪律检查和政府行政监察两种职能，对县委全面负责。县监委由人大选举产生，接受县人大监督。主要职责是：    </w:t>
      </w:r>
    </w:p>
    <w:p>
      <w:pPr>
        <w:widowControl/>
        <w:spacing w:line="315" w:lineRule="atLeast"/>
        <w:ind w:firstLine="643"/>
        <w:rPr>
          <w:rFonts w:ascii="仿宋" w:hAnsi="仿宋" w:eastAsia="仿宋" w:cs="宋体"/>
          <w:sz w:val="32"/>
          <w:szCs w:val="32"/>
        </w:rPr>
      </w:pPr>
      <w:r>
        <w:rPr>
          <w:rFonts w:hint="eastAsia" w:ascii="仿宋" w:hAnsi="仿宋" w:eastAsia="仿宋" w:cs="宋体"/>
          <w:sz w:val="32"/>
          <w:szCs w:val="32"/>
        </w:rPr>
        <w:t xml:space="preserve">（一）主管党的纪律检查工作。负责贯彻落实中央纪委、省、市纪委和县委关于加强党风廉政建设的决定，维护党的章程和其它党内法规，检查党的路线、方针、政策和决议的执行情况。    </w:t>
      </w:r>
    </w:p>
    <w:p>
      <w:pPr>
        <w:widowControl/>
        <w:spacing w:line="315" w:lineRule="atLeast"/>
        <w:ind w:firstLine="643"/>
        <w:rPr>
          <w:rFonts w:ascii="仿宋" w:hAnsi="仿宋" w:eastAsia="仿宋" w:cs="宋体"/>
          <w:sz w:val="32"/>
          <w:szCs w:val="32"/>
        </w:rPr>
      </w:pPr>
      <w:r>
        <w:rPr>
          <w:rFonts w:hint="eastAsia" w:ascii="仿宋" w:hAnsi="仿宋" w:eastAsia="仿宋" w:cs="宋体"/>
          <w:sz w:val="32"/>
          <w:szCs w:val="32"/>
        </w:rPr>
        <w:t>（二）主管全县行政监察工作。负责贯彻落实党中央、国务院、省委、省政府、市委、市政府和县委、县政府有关行政监察工作的决定，监督检查县政府各部门及其工作人员和各乡（镇）政府及其主要负责人执行国家政策和法律法规、国民经济和社会发展计划及市政府颁发的决议和命令的情况。</w:t>
      </w:r>
    </w:p>
    <w:p>
      <w:pPr>
        <w:widowControl/>
        <w:spacing w:line="315" w:lineRule="atLeast"/>
        <w:ind w:firstLine="643"/>
        <w:rPr>
          <w:rFonts w:ascii="仿宋" w:hAnsi="仿宋" w:eastAsia="仿宋" w:cs="宋体"/>
          <w:sz w:val="32"/>
          <w:szCs w:val="32"/>
        </w:rPr>
      </w:pPr>
      <w:r>
        <w:rPr>
          <w:rFonts w:hint="eastAsia" w:ascii="仿宋" w:hAnsi="仿宋" w:eastAsia="仿宋" w:cs="宋体"/>
          <w:sz w:val="32"/>
          <w:szCs w:val="32"/>
        </w:rPr>
        <w:t>（三）负责检查并处理县委、县政府机关各部门、各乡（镇）党的组织和县委管理的党员领导干部违反党的章程及其它党内法规的案件，决定或取消对这些案件中的党员的处分；受理党员的控告和申诉，必要时直接查处下级党的纪律检查机关管辖范围内的比较重要或复杂的案件。</w:t>
      </w:r>
    </w:p>
    <w:p>
      <w:pPr>
        <w:widowControl/>
        <w:spacing w:line="315" w:lineRule="atLeast"/>
        <w:ind w:firstLine="643"/>
        <w:rPr>
          <w:rFonts w:ascii="仿宋" w:hAnsi="仿宋" w:eastAsia="仿宋" w:cs="宋体"/>
          <w:sz w:val="32"/>
          <w:szCs w:val="32"/>
        </w:rPr>
      </w:pPr>
      <w:r>
        <w:rPr>
          <w:rFonts w:hint="eastAsia" w:ascii="仿宋" w:hAnsi="仿宋" w:eastAsia="仿宋" w:cs="宋体"/>
          <w:sz w:val="32"/>
          <w:szCs w:val="32"/>
        </w:rPr>
        <w:t xml:space="preserve">（四）负责调查处理县政府各部门及其工作人员和各乡（镇）政府及其主要负责人违反国家政策、法律、法规以及违反政纪的行为，并根据责任人所犯错误的情节轻重，作出行政处分（对涉及选举产生的领导干部按法定程序办理）；受理监察对象不服政纪处分的申诉，受理个人或单位对监察对象违纪行为的检举、控告。    </w:t>
      </w:r>
    </w:p>
    <w:p>
      <w:pPr>
        <w:widowControl/>
        <w:spacing w:line="315" w:lineRule="atLeast"/>
        <w:ind w:firstLine="643"/>
        <w:rPr>
          <w:rFonts w:ascii="仿宋" w:hAnsi="仿宋" w:eastAsia="仿宋" w:cs="宋体"/>
          <w:sz w:val="32"/>
          <w:szCs w:val="32"/>
        </w:rPr>
      </w:pPr>
      <w:r>
        <w:rPr>
          <w:rFonts w:hint="eastAsia" w:ascii="仿宋" w:hAnsi="仿宋" w:eastAsia="仿宋" w:cs="宋体"/>
          <w:sz w:val="32"/>
          <w:szCs w:val="32"/>
        </w:rPr>
        <w:t xml:space="preserve">（五）负责作出关于维护党纪的决定，组织协调全县党风廉政建设和反腐败宣传工作，组织协调全县廉政建设和反腐败教育工作，开展对党员、公务员的理想信念和宗旨教育、党风党纪和廉洁自律教育，组织协调廉政文化建设及纪检监察电化教育工作。    </w:t>
      </w:r>
    </w:p>
    <w:p>
      <w:pPr>
        <w:widowControl/>
        <w:spacing w:line="315" w:lineRule="atLeast"/>
        <w:ind w:firstLine="643"/>
        <w:rPr>
          <w:rFonts w:ascii="仿宋" w:hAnsi="仿宋" w:eastAsia="仿宋" w:cs="宋体"/>
          <w:sz w:val="32"/>
          <w:szCs w:val="32"/>
        </w:rPr>
      </w:pPr>
      <w:r>
        <w:rPr>
          <w:rFonts w:hint="eastAsia" w:ascii="仿宋" w:hAnsi="仿宋" w:eastAsia="仿宋" w:cs="宋体"/>
          <w:sz w:val="32"/>
          <w:szCs w:val="32"/>
        </w:rPr>
        <w:t xml:space="preserve">（六）调查研究县政府各部门和各乡（镇）政府制定有关政策法规的情况，对其违反国家法律和有损国家利益的条款，提出修改、补充和建议；根据全县党风廉政建设实际，拟定党纪条规和政策规定。    </w:t>
      </w:r>
    </w:p>
    <w:p>
      <w:pPr>
        <w:widowControl/>
        <w:spacing w:line="315" w:lineRule="atLeast"/>
        <w:ind w:firstLine="643"/>
        <w:rPr>
          <w:rFonts w:ascii="仿宋" w:hAnsi="仿宋" w:eastAsia="仿宋" w:cs="宋体"/>
          <w:sz w:val="32"/>
          <w:szCs w:val="32"/>
        </w:rPr>
      </w:pPr>
      <w:r>
        <w:rPr>
          <w:rFonts w:hint="eastAsia" w:ascii="仿宋" w:hAnsi="仿宋" w:eastAsia="仿宋" w:cs="宋体"/>
          <w:sz w:val="32"/>
          <w:szCs w:val="32"/>
        </w:rPr>
        <w:t xml:space="preserve">（七）会同县委、县政府各部门及各乡（镇）党委和政府做好全县纪检、监察干部管理工作；会同有关部门，做好县纪委派驻机构领导班子考察、任免及组织建设等相关工作；会同有关部门，负责县直单位内设纪检监察机构领导班子和组织建设，承办相关干部人事工作；会同有关部门，负责乡（镇）纪检监察机关领导班子建设，承办乡（镇）纪委书记、副书记提名和考察等干部人事工作，指导全县纪检监察机关干部队伍建设和组织建设，组织和指导全县纪检监察系统干部的培训工作。    </w:t>
      </w:r>
    </w:p>
    <w:p>
      <w:pPr>
        <w:widowControl/>
        <w:spacing w:line="315" w:lineRule="atLeast"/>
        <w:ind w:firstLine="643"/>
        <w:rPr>
          <w:rFonts w:ascii="仿宋" w:hAnsi="仿宋" w:eastAsia="仿宋"/>
          <w:sz w:val="32"/>
          <w:szCs w:val="32"/>
        </w:rPr>
      </w:pPr>
      <w:r>
        <w:rPr>
          <w:rFonts w:hint="eastAsia" w:ascii="仿宋" w:hAnsi="仿宋" w:eastAsia="仿宋" w:cs="宋体"/>
          <w:sz w:val="32"/>
          <w:szCs w:val="32"/>
        </w:rPr>
        <w:t>（八）完成县委、县政府及上级业务部门交办的其他工作</w:t>
      </w:r>
    </w:p>
    <w:p>
      <w:pPr>
        <w:spacing w:line="360" w:lineRule="auto"/>
        <w:ind w:firstLine="643" w:firstLineChars="200"/>
        <w:rPr>
          <w:rFonts w:ascii="仿宋" w:hAnsi="仿宋" w:eastAsia="仿宋" w:cs="仿宋"/>
          <w:b/>
          <w:bCs/>
          <w:color w:val="FF0000"/>
          <w:sz w:val="32"/>
          <w:szCs w:val="32"/>
        </w:rPr>
      </w:pPr>
      <w:r>
        <w:rPr>
          <w:rFonts w:hint="eastAsia" w:ascii="仿宋" w:hAnsi="仿宋" w:eastAsia="仿宋" w:cs="仿宋"/>
          <w:b/>
          <w:bCs/>
          <w:sz w:val="32"/>
          <w:szCs w:val="32"/>
        </w:rPr>
        <w:t>二、机构设置</w:t>
      </w:r>
    </w:p>
    <w:p>
      <w:pPr>
        <w:widowControl/>
        <w:spacing w:line="315" w:lineRule="atLeast"/>
        <w:ind w:firstLine="628"/>
        <w:rPr>
          <w:rFonts w:ascii="仿宋" w:hAnsi="仿宋" w:eastAsia="仿宋" w:cs="宋体"/>
          <w:sz w:val="32"/>
          <w:szCs w:val="32"/>
        </w:rPr>
      </w:pPr>
      <w:r>
        <w:rPr>
          <w:rFonts w:hint="eastAsia" w:ascii="仿宋" w:hAnsi="仿宋" w:eastAsia="仿宋" w:cs="宋体"/>
          <w:sz w:val="32"/>
          <w:szCs w:val="32"/>
        </w:rPr>
        <w:t>根据主要职责纪检委内设机构分别为办公室、组织部、宣传部、研究室、党风政风监督室（县委党风廉政建设领导小组办公室、县委县政府纠正部门和行业不正之风办公室）、信访室、案件监督管理室、第一至第三纪检监察室、案件审理室、纪检监察干部监督室、派驻乡(镇)纪检工作室。</w:t>
      </w:r>
    </w:p>
    <w:p>
      <w:pPr>
        <w:spacing w:line="360" w:lineRule="auto"/>
        <w:ind w:firstLine="643" w:firstLineChars="200"/>
        <w:rPr>
          <w:rFonts w:ascii="仿宋" w:hAnsi="仿宋" w:eastAsia="仿宋" w:cs="仿宋"/>
          <w:b/>
          <w:bCs/>
          <w:sz w:val="32"/>
          <w:szCs w:val="32"/>
        </w:rPr>
      </w:pPr>
      <w:r>
        <w:rPr>
          <w:rFonts w:hint="eastAsia" w:ascii="仿宋" w:hAnsi="仿宋" w:eastAsia="仿宋" w:cs="仿宋"/>
          <w:b/>
          <w:bCs/>
          <w:sz w:val="32"/>
          <w:szCs w:val="32"/>
        </w:rPr>
        <w:t xml:space="preserve">三、人员构成 </w:t>
      </w:r>
    </w:p>
    <w:p>
      <w:pPr>
        <w:widowControl/>
        <w:spacing w:line="315" w:lineRule="atLeast"/>
        <w:ind w:firstLine="628"/>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集贤县纪律检查委员会总人数39人，其中：在职职工23人，离休人员0人，退休人员16人。</w:t>
      </w:r>
    </w:p>
    <w:p>
      <w:pPr>
        <w:widowControl/>
        <w:spacing w:line="360" w:lineRule="auto"/>
        <w:ind w:firstLine="446" w:firstLineChars="148"/>
        <w:jc w:val="left"/>
        <w:rPr>
          <w:rFonts w:ascii="仿宋" w:hAnsi="仿宋" w:eastAsia="仿宋" w:cs="仿宋"/>
          <w:b/>
          <w:bCs/>
          <w:sz w:val="30"/>
          <w:szCs w:val="30"/>
        </w:rPr>
      </w:pPr>
      <w:r>
        <w:rPr>
          <w:rFonts w:hint="eastAsia" w:ascii="仿宋" w:hAnsi="仿宋" w:eastAsia="仿宋" w:cs="仿宋"/>
          <w:b/>
          <w:bCs/>
          <w:sz w:val="30"/>
          <w:szCs w:val="30"/>
        </w:rPr>
        <w:t>四、部门决算编报范围</w:t>
      </w:r>
    </w:p>
    <w:p>
      <w:pPr>
        <w:widowControl/>
        <w:spacing w:line="315" w:lineRule="atLeast"/>
        <w:ind w:firstLine="628"/>
        <w:rPr>
          <w:rFonts w:ascii="仿宋" w:hAnsi="仿宋" w:eastAsia="仿宋" w:cs="仿宋"/>
          <w:color w:val="000000"/>
          <w:kern w:val="0"/>
          <w:sz w:val="30"/>
          <w:szCs w:val="30"/>
        </w:rPr>
      </w:pPr>
      <w:r>
        <w:rPr>
          <w:rFonts w:hint="eastAsia" w:ascii="仿宋" w:hAnsi="仿宋" w:eastAsia="仿宋" w:cs="仿宋"/>
          <w:color w:val="000000"/>
          <w:kern w:val="0"/>
          <w:sz w:val="30"/>
          <w:szCs w:val="30"/>
        </w:rPr>
        <w:t>2017年度纳入本部门决算的编制范围的单位有 1 个，为中共集贤县纪律检查委员会。</w:t>
      </w:r>
    </w:p>
    <w:p>
      <w:pPr>
        <w:spacing w:line="360" w:lineRule="auto"/>
        <w:jc w:val="center"/>
        <w:rPr>
          <w:rFonts w:ascii="仿宋" w:hAnsi="仿宋" w:eastAsia="仿宋" w:cs="仿宋"/>
          <w:b/>
          <w:bCs/>
          <w:sz w:val="32"/>
          <w:szCs w:val="32"/>
        </w:rPr>
      </w:pPr>
      <w:r>
        <w:rPr>
          <w:rFonts w:hint="eastAsia" w:ascii="仿宋" w:hAnsi="仿宋" w:eastAsia="仿宋" w:cs="仿宋"/>
          <w:b/>
          <w:bCs/>
          <w:sz w:val="32"/>
          <w:szCs w:val="32"/>
        </w:rPr>
        <w:t>第二部分 2017年部门预算执行总体情况说明</w:t>
      </w:r>
    </w:p>
    <w:p>
      <w:pPr>
        <w:widowControl/>
        <w:spacing w:line="360" w:lineRule="auto"/>
        <w:jc w:val="left"/>
        <w:rPr>
          <w:rFonts w:ascii="仿宋" w:hAnsi="仿宋" w:eastAsia="仿宋" w:cs="仿宋"/>
          <w:b/>
          <w:bCs/>
          <w:sz w:val="32"/>
          <w:szCs w:val="32"/>
        </w:rPr>
      </w:pPr>
      <w:r>
        <w:rPr>
          <w:rFonts w:hint="eastAsia" w:ascii="仿宋" w:hAnsi="仿宋" w:eastAsia="仿宋" w:cs="仿宋"/>
          <w:b/>
          <w:bCs/>
          <w:sz w:val="32"/>
          <w:szCs w:val="32"/>
        </w:rPr>
        <w:t>一、收入支出决算总体情况说明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color w:val="000000" w:themeColor="text1"/>
          <w:sz w:val="30"/>
          <w:szCs w:val="30"/>
          <w:lang w:val="en-US" w:eastAsia="zh-CN"/>
        </w:rPr>
        <w:t>2017年度部门决算本年收入318.28万元；用事业基金弥补收支差额0万元；年初结转和结余113.75万元。本年支出432.04万元；结余分配0万元，年末结转结余0</w:t>
      </w:r>
      <w:bookmarkStart w:id="0" w:name="_GoBack"/>
      <w:bookmarkEnd w:id="0"/>
      <w:r>
        <w:rPr>
          <w:rFonts w:hint="eastAsia" w:ascii="仿宋" w:hAnsi="仿宋" w:eastAsia="仿宋" w:cs="仿宋"/>
          <w:color w:val="000000" w:themeColor="text1"/>
          <w:sz w:val="30"/>
          <w:szCs w:val="30"/>
          <w:lang w:val="en-US" w:eastAsia="zh-CN"/>
        </w:rPr>
        <w:t>万元。</w:t>
      </w:r>
      <w:r>
        <w:rPr>
          <w:rFonts w:hint="eastAsia" w:ascii="仿宋" w:hAnsi="仿宋" w:eastAsia="仿宋" w:cs="仿宋"/>
          <w:sz w:val="30"/>
          <w:szCs w:val="30"/>
        </w:rPr>
        <w:t>2017年度收、支总计432.04万元。与 2016年收、支总计583.44万元相比，收、支总计均减少25.9%万元，同比下降25.9%。主要原因：缩减公用经费支出。</w:t>
      </w:r>
    </w:p>
    <w:p>
      <w:pPr>
        <w:widowControl/>
        <w:spacing w:line="360" w:lineRule="auto"/>
        <w:jc w:val="left"/>
        <w:rPr>
          <w:rFonts w:ascii="仿宋" w:hAnsi="仿宋" w:eastAsia="仿宋" w:cs="仿宋"/>
          <w:b/>
          <w:bCs/>
          <w:sz w:val="32"/>
          <w:szCs w:val="32"/>
        </w:rPr>
      </w:pPr>
      <w:r>
        <w:rPr>
          <w:rFonts w:hint="eastAsia" w:ascii="仿宋" w:hAnsi="仿宋" w:eastAsia="仿宋" w:cs="仿宋"/>
          <w:b/>
          <w:bCs/>
          <w:sz w:val="32"/>
          <w:szCs w:val="32"/>
        </w:rPr>
        <w:t>二、收入决算情况说明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本年收入318.28合计万元，与2016相比，减少209.83万元，同比下降 39.7%。主要原因：缩减公用经费支出。</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其中：财政拨款收入318.05万元，占99.9%；事业收入 0 万元，占 0 %；其他收入0.23万元，占0.1%。</w:t>
      </w:r>
    </w:p>
    <w:p>
      <w:pPr>
        <w:widowControl/>
        <w:spacing w:line="360" w:lineRule="auto"/>
        <w:jc w:val="left"/>
        <w:rPr>
          <w:rFonts w:ascii="仿宋" w:hAnsi="仿宋" w:eastAsia="仿宋" w:cs="仿宋"/>
          <w:b/>
          <w:bCs/>
          <w:sz w:val="32"/>
          <w:szCs w:val="32"/>
        </w:rPr>
      </w:pPr>
      <w:r>
        <w:rPr>
          <w:rFonts w:hint="eastAsia" w:ascii="仿宋" w:hAnsi="仿宋" w:eastAsia="仿宋" w:cs="仿宋"/>
          <w:b/>
          <w:bCs/>
          <w:sz w:val="32"/>
          <w:szCs w:val="32"/>
        </w:rPr>
        <w:t>三、支出决算情况说明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本年支出合计432.04万元，与2016相比，减少151.4万元，同比下降25.9%。主要原因：缩减公用经费支出。</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其中：基本支出415.19万元，占96.1%；项目支出16.85万元，占3.9%。</w:t>
      </w:r>
    </w:p>
    <w:p>
      <w:pPr>
        <w:widowControl/>
        <w:spacing w:line="360" w:lineRule="auto"/>
        <w:jc w:val="left"/>
        <w:rPr>
          <w:rFonts w:ascii="仿宋" w:hAnsi="仿宋" w:eastAsia="仿宋" w:cs="仿宋"/>
          <w:b/>
          <w:bCs/>
          <w:sz w:val="32"/>
          <w:szCs w:val="32"/>
        </w:rPr>
      </w:pPr>
      <w:r>
        <w:rPr>
          <w:rFonts w:hint="eastAsia" w:ascii="仿宋" w:hAnsi="仿宋" w:eastAsia="仿宋" w:cs="仿宋"/>
          <w:b/>
          <w:bCs/>
          <w:sz w:val="32"/>
          <w:szCs w:val="32"/>
        </w:rPr>
        <w:t>四、财政拨款收入支出决算总体情况说明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2017年度财政拨款收、支总计429.26万元。与 2016 年相比，财政拨款收、支总计各减少98.85万元，下降18.7%。主要原因：缩减公用经费支出。</w:t>
      </w:r>
    </w:p>
    <w:p>
      <w:pPr>
        <w:widowControl/>
        <w:numPr>
          <w:ilvl w:val="0"/>
          <w:numId w:val="4"/>
        </w:numPr>
        <w:spacing w:line="360" w:lineRule="auto"/>
        <w:jc w:val="left"/>
        <w:rPr>
          <w:rFonts w:ascii="仿宋" w:hAnsi="仿宋" w:eastAsia="仿宋" w:cs="仿宋"/>
          <w:b/>
          <w:bCs/>
          <w:sz w:val="32"/>
          <w:szCs w:val="32"/>
        </w:rPr>
      </w:pPr>
      <w:r>
        <w:rPr>
          <w:rFonts w:hint="eastAsia" w:ascii="仿宋" w:hAnsi="仿宋" w:eastAsia="仿宋" w:cs="仿宋"/>
          <w:b/>
          <w:bCs/>
          <w:sz w:val="32"/>
          <w:szCs w:val="32"/>
        </w:rPr>
        <w:t>一般公共预算财政拨款支出决算情况说明</w:t>
      </w:r>
    </w:p>
    <w:p>
      <w:pPr>
        <w:widowControl/>
        <w:spacing w:line="360" w:lineRule="auto"/>
        <w:jc w:val="left"/>
        <w:rPr>
          <w:rFonts w:ascii="仿宋" w:hAnsi="仿宋" w:eastAsia="仿宋" w:cs="仿宋"/>
          <w:b/>
          <w:bCs/>
          <w:sz w:val="30"/>
          <w:szCs w:val="30"/>
        </w:rPr>
      </w:pPr>
      <w:r>
        <w:rPr>
          <w:rFonts w:hint="eastAsia" w:ascii="仿宋" w:hAnsi="仿宋" w:eastAsia="仿宋" w:cs="仿宋"/>
          <w:b/>
          <w:bCs/>
          <w:sz w:val="30"/>
          <w:szCs w:val="30"/>
        </w:rPr>
        <w:t xml:space="preserve">  （一）一般公共预算财政拨款支出决算总体情况。</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2017年度一般公共预算财政拨款支出429.26万元，比上年决算数减少17.97万元，下降4.0%，比2017年度年初预算数增加5.31 万元，完成年初预算的 101.2%，主要原因是：人员工资调整增加。</w:t>
      </w:r>
    </w:p>
    <w:p>
      <w:pPr>
        <w:widowControl/>
        <w:spacing w:line="360" w:lineRule="auto"/>
        <w:jc w:val="left"/>
        <w:rPr>
          <w:rFonts w:ascii="仿宋" w:hAnsi="仿宋" w:eastAsia="仿宋" w:cs="仿宋"/>
          <w:b/>
          <w:bCs/>
          <w:sz w:val="30"/>
          <w:szCs w:val="30"/>
        </w:rPr>
      </w:pPr>
      <w:r>
        <w:rPr>
          <w:rFonts w:hint="eastAsia" w:ascii="仿宋" w:hAnsi="仿宋" w:eastAsia="仿宋" w:cs="仿宋"/>
          <w:b/>
          <w:bCs/>
          <w:sz w:val="30"/>
          <w:szCs w:val="30"/>
        </w:rPr>
        <w:t xml:space="preserve">  （二）一般公共预算财政拨款支出决算结构情况。</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2017年度一般公共预算财政拨款支出429.26万元，主要用于以下方面：一般公共服务支出（类）325.93万元，占75.9%；住房保障支出（类）14.61万元，占3.4%。社会保障和就业支出（类）88.72万元，占20.7%；</w:t>
      </w:r>
    </w:p>
    <w:p>
      <w:pPr>
        <w:widowControl/>
        <w:spacing w:line="360" w:lineRule="auto"/>
        <w:ind w:firstLine="602" w:firstLineChars="200"/>
        <w:jc w:val="left"/>
        <w:rPr>
          <w:rFonts w:ascii="仿宋" w:hAnsi="仿宋" w:eastAsia="仿宋" w:cs="仿宋"/>
          <w:b/>
          <w:bCs/>
          <w:sz w:val="30"/>
          <w:szCs w:val="30"/>
        </w:rPr>
      </w:pPr>
      <w:r>
        <w:rPr>
          <w:rFonts w:hint="eastAsia" w:ascii="仿宋" w:hAnsi="仿宋" w:eastAsia="仿宋" w:cs="仿宋"/>
          <w:b/>
          <w:bCs/>
          <w:sz w:val="30"/>
          <w:szCs w:val="30"/>
        </w:rPr>
        <w:t>（三）一般公共预算财政拨款支出决算具体情况。</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2017年度一般公共预算财政拨款支出年初预算为423.95万元，支出决算为429.26万元，完成年初预算的101.2%。其中：</w:t>
      </w:r>
    </w:p>
    <w:p>
      <w:pPr>
        <w:widowControl/>
        <w:numPr>
          <w:ilvl w:val="0"/>
          <w:numId w:val="5"/>
        </w:numPr>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一般公共服务支出（类）纪检监察事务（款）</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（1）行政运行（项）年初预算为339.15万元，支出决算为309.07万元、完成年初预算的91.1%。决算数小于预算数的主要原因是缩减公用经费支出。</w:t>
      </w:r>
    </w:p>
    <w:p>
      <w:pPr>
        <w:widowControl/>
        <w:spacing w:line="360" w:lineRule="auto"/>
        <w:jc w:val="left"/>
        <w:rPr>
          <w:rFonts w:ascii="仿宋" w:hAnsi="仿宋" w:eastAsia="仿宋" w:cs="仿宋"/>
          <w:sz w:val="30"/>
          <w:szCs w:val="30"/>
        </w:rPr>
      </w:pPr>
      <w:r>
        <w:rPr>
          <w:rFonts w:hint="eastAsia" w:ascii="仿宋" w:hAnsi="仿宋" w:eastAsia="仿宋" w:cs="仿宋"/>
          <w:sz w:val="30"/>
          <w:szCs w:val="30"/>
        </w:rPr>
        <w:t xml:space="preserve">    2、一般公共服务支出（类）纪检监察事务（款）</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（2）一般行政管理事务（项）年初预算为0万元，支出决算为16.85万元，决算数大于预算数的主要原因是年初预算无此项内容，包含在行政运行里。</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3、社会保障和就业支出（类）行政事业单位离退休（款）未归口管理的行政单位离退休（项）：年初预算为77.47万元，支出决算为88.72万元，完成年初预算的114.5%。决算数大于预算数的主要原因是人员工资调整增加。</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4、住房保障支出（类）住房改革支出（款）住房公积金（项）年初预算为7.32万元，支出决算为14.61万元，完成年初预算的199.6%。决算数大于预算数的主要原因是住房公积金扣缴比例增涨。</w:t>
      </w:r>
    </w:p>
    <w:p>
      <w:pPr>
        <w:widowControl/>
        <w:spacing w:line="360" w:lineRule="auto"/>
        <w:jc w:val="left"/>
        <w:rPr>
          <w:rFonts w:ascii="仿宋" w:hAnsi="仿宋" w:eastAsia="仿宋" w:cs="仿宋"/>
          <w:b/>
          <w:bCs/>
          <w:sz w:val="32"/>
          <w:szCs w:val="32"/>
        </w:rPr>
      </w:pPr>
      <w:r>
        <w:rPr>
          <w:rFonts w:hint="eastAsia" w:ascii="仿宋" w:hAnsi="仿宋" w:eastAsia="仿宋" w:cs="仿宋"/>
          <w:b/>
          <w:bCs/>
          <w:sz w:val="32"/>
          <w:szCs w:val="32"/>
        </w:rPr>
        <w:t>六、一般公共预算财政拨款基本支出决算情况说明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2017年度一般公共预算财政拨款基本支出412.41万元，其中：</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人员经费313.47万元，主要包括：基本工资、津贴补贴、奖金、伙食补助费、退休费、抚恤金、住房公积金、采暖补贴、其他对个人和家庭的补助支出；</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公用经费98.94万元，主要包括：办公费、印刷费、手续费、水费、邮电费、差旅费、维修(护)费、培训费、公务用车运行维护费、其他商品和服务支出、办公设备购置。</w:t>
      </w:r>
    </w:p>
    <w:p>
      <w:pPr>
        <w:widowControl/>
        <w:spacing w:line="360" w:lineRule="auto"/>
        <w:jc w:val="left"/>
        <w:rPr>
          <w:rFonts w:ascii="仿宋" w:hAnsi="仿宋" w:eastAsia="仿宋" w:cs="仿宋"/>
          <w:b/>
          <w:bCs/>
          <w:sz w:val="32"/>
          <w:szCs w:val="32"/>
        </w:rPr>
      </w:pPr>
      <w:r>
        <w:rPr>
          <w:rFonts w:hint="eastAsia" w:ascii="仿宋" w:hAnsi="仿宋" w:eastAsia="仿宋" w:cs="仿宋"/>
          <w:b/>
          <w:bCs/>
          <w:sz w:val="32"/>
          <w:szCs w:val="32"/>
        </w:rPr>
        <w:t>七、一般公共预算财政拨款“三公”经费支出决算情况说明</w:t>
      </w:r>
    </w:p>
    <w:p>
      <w:pPr>
        <w:widowControl/>
        <w:spacing w:line="360" w:lineRule="auto"/>
        <w:ind w:firstLine="602" w:firstLineChars="200"/>
        <w:jc w:val="left"/>
        <w:rPr>
          <w:rFonts w:ascii="仿宋" w:hAnsi="仿宋" w:eastAsia="仿宋" w:cs="仿宋"/>
          <w:b/>
          <w:bCs/>
          <w:sz w:val="30"/>
          <w:szCs w:val="30"/>
        </w:rPr>
      </w:pPr>
      <w:r>
        <w:rPr>
          <w:rFonts w:hint="eastAsia" w:ascii="仿宋" w:hAnsi="仿宋" w:eastAsia="仿宋" w:cs="仿宋"/>
          <w:b/>
          <w:bCs/>
          <w:sz w:val="30"/>
          <w:szCs w:val="30"/>
        </w:rPr>
        <w:t>（一）“三公”经费财政拨款支出决算总体情况说明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2017年度“三公”经费财政拨款支出预算为37.49万元，支出决算为37.49万元，完成预算的100%，2017年度“三公”经费支出决算数等于预算数的主要原因：严格按照预算标准执行。</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其中：因公出国（境）费支出决算为 0万元，完成预算的 0%，因公出国（境）费支出决算数小于预算数的主要原因：无；公务用车购置及运行费支出决算为37.49万元，完成预算的100%，公务用车购置及运行费支出决算数等于预算数的主要原因：严格按照预算标准执行；公务接待费支出决算为0万元，完成预算的0%，公务接待费支出决算数小于预算数的主要原因：无。</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2017年度“三公”经费财政拨款支出决算数比2016年增加29.79万元，增长%，其中：因公出国（境）费支出决算增加（减少）0万元，增长（下降）0 %，原因为：无；公务用车购置及运行费支出决算增加（减少）29.79万元，增长386%，原因为：加强纪检监察检查力度，下乡查处案件增加费用所致；公务接待费支出决算增加（减少）0万元，增长（下降）0%，原因为：无。</w:t>
      </w:r>
    </w:p>
    <w:p>
      <w:pPr>
        <w:widowControl/>
        <w:spacing w:line="360" w:lineRule="auto"/>
        <w:ind w:firstLine="602" w:firstLineChars="200"/>
        <w:jc w:val="left"/>
        <w:rPr>
          <w:rFonts w:ascii="仿宋" w:hAnsi="仿宋" w:eastAsia="仿宋" w:cs="仿宋"/>
          <w:b/>
          <w:bCs/>
          <w:sz w:val="30"/>
          <w:szCs w:val="30"/>
        </w:rPr>
      </w:pPr>
      <w:r>
        <w:rPr>
          <w:rFonts w:hint="eastAsia" w:ascii="仿宋" w:hAnsi="仿宋" w:eastAsia="仿宋" w:cs="仿宋"/>
          <w:b/>
          <w:bCs/>
          <w:sz w:val="30"/>
          <w:szCs w:val="30"/>
        </w:rPr>
        <w:t>（二）“三公”经费财政拨款支出决算具体情况说明。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2017年度“三公”经费财政拨款支出决算中，因公出国（境）费支出决算37.49万元，占0%；公务用车购置及运行费支出决算37.49万元，占100%；公务接待费支出决算0万元，占0%。</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1.因公出国（境）费支出0万元。全年安排因公出国（境）团组0个，累计0人次。</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2.公务用车购置及运行费支出37.49万元。其中：公务用车购置费支出为0万元，公务用车购置数台；公务用车运行维护费37.49万元，公务用车保有量5台。</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3.公务接待费支出0万元。其中：国内公务接待费0万元，国内公务接待批次个，国内公务接待人次人；国（境）外公务接待费0万元，国（境）外公务接待批次0个，国（境）外公务接待人次0人。</w:t>
      </w:r>
    </w:p>
    <w:p>
      <w:pPr>
        <w:widowControl/>
        <w:spacing w:line="360" w:lineRule="auto"/>
        <w:jc w:val="left"/>
        <w:rPr>
          <w:rFonts w:ascii="仿宋" w:hAnsi="仿宋" w:eastAsia="仿宋" w:cs="仿宋"/>
          <w:b/>
          <w:bCs/>
          <w:sz w:val="32"/>
          <w:szCs w:val="32"/>
        </w:rPr>
      </w:pPr>
      <w:r>
        <w:rPr>
          <w:rFonts w:hint="eastAsia" w:ascii="仿宋" w:hAnsi="仿宋" w:eastAsia="仿宋" w:cs="仿宋"/>
          <w:b/>
          <w:bCs/>
          <w:sz w:val="32"/>
          <w:szCs w:val="32"/>
        </w:rPr>
        <w:t>八、政府性基金预算财政拨款收入支出决算情况说明</w:t>
      </w:r>
    </w:p>
    <w:p>
      <w:pPr>
        <w:widowControl/>
        <w:spacing w:line="360" w:lineRule="auto"/>
        <w:ind w:firstLine="600" w:firstLineChars="200"/>
        <w:jc w:val="left"/>
        <w:rPr>
          <w:rFonts w:ascii="仿宋" w:hAnsi="仿宋" w:eastAsia="仿宋" w:cs="仿宋"/>
          <w:sz w:val="30"/>
          <w:szCs w:val="30"/>
          <w:highlight w:val="cyan"/>
        </w:rPr>
      </w:pPr>
      <w:r>
        <w:rPr>
          <w:rFonts w:hint="eastAsia" w:ascii="仿宋" w:hAnsi="仿宋" w:eastAsia="仿宋" w:cs="仿宋"/>
          <w:sz w:val="30"/>
          <w:szCs w:val="30"/>
        </w:rPr>
        <w:t>2017年度政府性基金预算财政拨款年初结转和结余万元，本年收入决算数万元，本年支出决算数万元，年末结转和结余万元。与 2016年相比，政府性基金预算财政拨款支出增加万元，增长%，主要原因是。</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本年度没有政府性基金收入，也没有使用政府性基金安排的支出。与上年一致。</w:t>
      </w:r>
    </w:p>
    <w:p>
      <w:pPr>
        <w:widowControl/>
        <w:spacing w:line="360" w:lineRule="auto"/>
        <w:jc w:val="left"/>
        <w:rPr>
          <w:rFonts w:ascii="仿宋" w:hAnsi="仿宋" w:eastAsia="仿宋" w:cs="仿宋"/>
          <w:b/>
          <w:bCs/>
          <w:sz w:val="32"/>
          <w:szCs w:val="32"/>
        </w:rPr>
      </w:pPr>
      <w:r>
        <w:rPr>
          <w:rFonts w:hint="eastAsia" w:ascii="仿宋" w:hAnsi="仿宋" w:eastAsia="仿宋" w:cs="仿宋"/>
          <w:b/>
          <w:bCs/>
          <w:sz w:val="32"/>
          <w:szCs w:val="32"/>
        </w:rPr>
        <w:t>九、预算绩效管理工作开展情况说明。</w:t>
      </w:r>
    </w:p>
    <w:p>
      <w:pPr>
        <w:widowControl/>
        <w:spacing w:line="360" w:lineRule="auto"/>
        <w:ind w:firstLine="600"/>
        <w:jc w:val="left"/>
        <w:rPr>
          <w:rFonts w:ascii="仿宋" w:hAnsi="仿宋" w:eastAsia="仿宋" w:cs="仿宋"/>
          <w:sz w:val="30"/>
          <w:szCs w:val="30"/>
        </w:rPr>
      </w:pPr>
      <w:r>
        <w:rPr>
          <w:rFonts w:hint="eastAsia" w:ascii="仿宋" w:hAnsi="仿宋" w:eastAsia="仿宋" w:cs="仿宋"/>
          <w:sz w:val="30"/>
          <w:szCs w:val="30"/>
        </w:rPr>
        <w:t>本年度没有预算绩效评价项目。</w:t>
      </w:r>
    </w:p>
    <w:p>
      <w:pPr>
        <w:widowControl/>
        <w:spacing w:line="360" w:lineRule="auto"/>
        <w:jc w:val="left"/>
        <w:rPr>
          <w:rFonts w:ascii="仿宋" w:hAnsi="仿宋" w:eastAsia="仿宋" w:cs="仿宋"/>
          <w:b/>
          <w:bCs/>
          <w:sz w:val="32"/>
          <w:szCs w:val="32"/>
        </w:rPr>
      </w:pPr>
      <w:r>
        <w:rPr>
          <w:rFonts w:hint="eastAsia" w:ascii="仿宋" w:hAnsi="仿宋" w:eastAsia="仿宋" w:cs="仿宋"/>
          <w:b/>
          <w:bCs/>
          <w:sz w:val="32"/>
          <w:szCs w:val="32"/>
        </w:rPr>
        <w:t>十、其他重要事项情况说明</w:t>
      </w:r>
    </w:p>
    <w:p>
      <w:pPr>
        <w:widowControl/>
        <w:spacing w:line="360" w:lineRule="auto"/>
        <w:jc w:val="left"/>
        <w:rPr>
          <w:rFonts w:ascii="仿宋" w:hAnsi="仿宋" w:eastAsia="仿宋" w:cs="仿宋"/>
          <w:b/>
          <w:bCs/>
          <w:sz w:val="30"/>
          <w:szCs w:val="30"/>
        </w:rPr>
      </w:pPr>
      <w:r>
        <w:rPr>
          <w:rFonts w:hint="eastAsia" w:ascii="仿宋" w:hAnsi="仿宋" w:eastAsia="仿宋" w:cs="仿宋"/>
          <w:b/>
          <w:bCs/>
          <w:sz w:val="30"/>
          <w:szCs w:val="30"/>
        </w:rPr>
        <w:t>（一）机关运行经费支出情况</w:t>
      </w:r>
    </w:p>
    <w:p>
      <w:pPr>
        <w:widowControl/>
        <w:spacing w:line="360" w:lineRule="auto"/>
        <w:ind w:firstLine="600"/>
        <w:jc w:val="left"/>
        <w:rPr>
          <w:rFonts w:ascii="仿宋" w:hAnsi="仿宋" w:eastAsia="仿宋" w:cs="仿宋"/>
          <w:sz w:val="30"/>
          <w:szCs w:val="30"/>
        </w:rPr>
      </w:pPr>
      <w:r>
        <w:rPr>
          <w:rFonts w:hint="eastAsia" w:ascii="仿宋" w:hAnsi="仿宋" w:eastAsia="仿宋" w:cs="仿宋"/>
          <w:sz w:val="30"/>
          <w:szCs w:val="30"/>
        </w:rPr>
        <w:t>2017年度机关运行经费支出98.94万元，较2016年减少28.57万元，同比降低22.4%。主要原因是：勤俭节约，压缩支出。</w:t>
      </w:r>
    </w:p>
    <w:p>
      <w:pPr>
        <w:widowControl/>
        <w:spacing w:line="360" w:lineRule="auto"/>
        <w:jc w:val="left"/>
        <w:rPr>
          <w:rFonts w:ascii="仿宋" w:hAnsi="仿宋" w:eastAsia="仿宋" w:cs="仿宋"/>
          <w:b/>
          <w:bCs/>
          <w:sz w:val="30"/>
          <w:szCs w:val="30"/>
        </w:rPr>
      </w:pPr>
      <w:r>
        <w:rPr>
          <w:rFonts w:hint="eastAsia" w:ascii="仿宋" w:hAnsi="仿宋" w:eastAsia="仿宋" w:cs="仿宋"/>
          <w:b/>
          <w:bCs/>
          <w:sz w:val="30"/>
          <w:szCs w:val="30"/>
        </w:rPr>
        <w:t>（二）政府采购支出情况</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2017年度，政府采购支出总额0万元，其中：政府采购货物支出0万元、政府采购工程支出0万元、政府采购服务支出0万元。授予中小企业合同金额0万元，占政府采购支出总额的0%，其中：授予小微企业合同金额0万元，占政府采购支出总额的0%。</w:t>
      </w:r>
    </w:p>
    <w:p>
      <w:pPr>
        <w:widowControl/>
        <w:spacing w:line="360" w:lineRule="auto"/>
        <w:jc w:val="left"/>
        <w:rPr>
          <w:rFonts w:ascii="仿宋" w:hAnsi="仿宋" w:eastAsia="仿宋" w:cs="仿宋"/>
          <w:b/>
          <w:bCs/>
          <w:sz w:val="30"/>
          <w:szCs w:val="30"/>
        </w:rPr>
      </w:pPr>
      <w:r>
        <w:rPr>
          <w:rFonts w:hint="eastAsia" w:ascii="仿宋" w:hAnsi="仿宋" w:eastAsia="仿宋" w:cs="仿宋"/>
          <w:b/>
          <w:bCs/>
          <w:sz w:val="30"/>
          <w:szCs w:val="30"/>
        </w:rPr>
        <w:t>（三）国有资产占用情况</w:t>
      </w:r>
    </w:p>
    <w:p>
      <w:pPr>
        <w:widowControl/>
        <w:spacing w:line="360" w:lineRule="auto"/>
        <w:ind w:firstLine="900" w:firstLineChars="300"/>
        <w:jc w:val="left"/>
        <w:rPr>
          <w:rFonts w:ascii="仿宋" w:hAnsi="仿宋" w:eastAsia="仿宋" w:cs="仿宋"/>
          <w:sz w:val="30"/>
          <w:szCs w:val="30"/>
        </w:rPr>
      </w:pPr>
      <w:r>
        <w:rPr>
          <w:rFonts w:hint="eastAsia" w:ascii="仿宋" w:hAnsi="仿宋" w:eastAsia="仿宋" w:cs="仿宋"/>
          <w:sz w:val="30"/>
          <w:szCs w:val="30"/>
        </w:rPr>
        <w:t>截至2017年12月31日，共有车辆5辆，其中，部级领导干部用车0辆、一般公务用车2辆、一般执法执勤用车3辆、特种专业技术用车0辆、其他用车0辆，单位价值50万元以上通用设备0台（套），单位价值在100万以上的专用设备0台(套)。</w:t>
      </w:r>
    </w:p>
    <w:p>
      <w:pPr>
        <w:spacing w:line="360" w:lineRule="auto"/>
        <w:rPr>
          <w:rFonts w:ascii="仿宋" w:hAnsi="仿宋" w:eastAsia="仿宋" w:cs="仿宋"/>
          <w:sz w:val="32"/>
          <w:szCs w:val="32"/>
        </w:rPr>
      </w:pPr>
    </w:p>
    <w:p>
      <w:pPr>
        <w:spacing w:line="360" w:lineRule="auto"/>
        <w:jc w:val="center"/>
        <w:rPr>
          <w:rFonts w:ascii="仿宋" w:hAnsi="仿宋" w:eastAsia="仿宋" w:cs="仿宋"/>
          <w:b/>
          <w:bCs/>
          <w:sz w:val="32"/>
          <w:szCs w:val="32"/>
        </w:rPr>
      </w:pPr>
      <w:r>
        <w:rPr>
          <w:rFonts w:hint="eastAsia" w:ascii="仿宋" w:hAnsi="仿宋" w:eastAsia="仿宋" w:cs="仿宋"/>
          <w:b/>
          <w:bCs/>
          <w:sz w:val="32"/>
          <w:szCs w:val="32"/>
        </w:rPr>
        <w:t>第三部分 名词解释</w:t>
      </w:r>
    </w:p>
    <w:p>
      <w:pPr>
        <w:spacing w:line="360" w:lineRule="auto"/>
        <w:rPr>
          <w:rFonts w:ascii="仿宋" w:hAnsi="仿宋" w:eastAsia="仿宋" w:cs="仿宋"/>
          <w:sz w:val="30"/>
          <w:szCs w:val="30"/>
        </w:rPr>
      </w:pPr>
    </w:p>
    <w:p>
      <w:pPr>
        <w:spacing w:line="360" w:lineRule="auto"/>
        <w:ind w:firstLine="660"/>
        <w:rPr>
          <w:rFonts w:ascii="仿宋" w:hAnsi="仿宋" w:eastAsia="仿宋" w:cs="仿宋"/>
          <w:sz w:val="32"/>
          <w:szCs w:val="32"/>
        </w:rPr>
      </w:pPr>
      <w:r>
        <w:rPr>
          <w:rFonts w:hint="eastAsia" w:ascii="仿宋" w:hAnsi="仿宋" w:eastAsia="仿宋" w:cs="仿宋"/>
          <w:sz w:val="30"/>
          <w:szCs w:val="30"/>
        </w:rPr>
        <w:t xml:space="preserve">根据《2017年政府收支分类科目》对2017年度部门决算公开中相关名词解释如下： </w:t>
      </w:r>
      <w:r>
        <w:rPr>
          <w:rFonts w:hint="eastAsia" w:ascii="仿宋" w:hAnsi="仿宋" w:eastAsia="仿宋" w:cs="仿宋"/>
          <w:sz w:val="30"/>
          <w:szCs w:val="30"/>
        </w:rPr>
        <w:br w:type="textWrapping"/>
      </w:r>
      <w:r>
        <w:rPr>
          <w:rFonts w:hint="eastAsia" w:ascii="仿宋" w:hAnsi="仿宋" w:eastAsia="仿宋" w:cs="仿宋"/>
          <w:sz w:val="30"/>
          <w:szCs w:val="30"/>
        </w:rPr>
        <w:t>　　财政拨款收入：反映财政部门用公共预算收入安排的预</w:t>
      </w:r>
      <w:r>
        <w:rPr>
          <w:rFonts w:hint="eastAsia" w:ascii="仿宋" w:hAnsi="仿宋" w:eastAsia="仿宋" w:cs="仿宋"/>
          <w:sz w:val="32"/>
          <w:szCs w:val="32"/>
        </w:rPr>
        <w:t>算单位资金。</w:t>
      </w:r>
    </w:p>
    <w:p>
      <w:pPr>
        <w:spacing w:line="360" w:lineRule="auto"/>
        <w:ind w:firstLine="660"/>
        <w:rPr>
          <w:rFonts w:ascii="仿宋" w:hAnsi="仿宋" w:eastAsia="仿宋" w:cs="仿宋"/>
          <w:color w:val="111111"/>
          <w:kern w:val="0"/>
          <w:sz w:val="30"/>
          <w:szCs w:val="30"/>
        </w:rPr>
      </w:pPr>
      <w:r>
        <w:rPr>
          <w:rFonts w:hint="eastAsia" w:ascii="仿宋" w:hAnsi="仿宋" w:eastAsia="仿宋" w:cs="仿宋"/>
          <w:sz w:val="30"/>
          <w:szCs w:val="30"/>
        </w:rPr>
        <w:t>一般公共预算拨款</w:t>
      </w:r>
      <w:r>
        <w:rPr>
          <w:rFonts w:hint="eastAsia" w:ascii="仿宋" w:hAnsi="仿宋" w:eastAsia="仿宋" w:cs="仿宋"/>
          <w:bCs/>
          <w:color w:val="111111"/>
          <w:kern w:val="0"/>
          <w:sz w:val="30"/>
          <w:szCs w:val="30"/>
        </w:rPr>
        <w:t>：</w:t>
      </w:r>
      <w:r>
        <w:rPr>
          <w:rFonts w:hint="eastAsia" w:ascii="仿宋" w:hAnsi="仿宋" w:eastAsia="仿宋" w:cs="仿宋"/>
          <w:color w:val="111111"/>
          <w:kern w:val="0"/>
          <w:sz w:val="30"/>
          <w:szCs w:val="30"/>
        </w:rPr>
        <w:t>指单位本年度从区级财政部门取得的财政拨款。</w:t>
      </w:r>
    </w:p>
    <w:p>
      <w:pPr>
        <w:widowControl/>
        <w:spacing w:line="360" w:lineRule="auto"/>
        <w:ind w:firstLine="600" w:firstLineChars="200"/>
        <w:jc w:val="left"/>
        <w:rPr>
          <w:rFonts w:ascii="仿宋" w:hAnsi="仿宋" w:eastAsia="仿宋" w:cs="仿宋"/>
          <w:i/>
          <w:iCs/>
          <w:color w:val="111111"/>
          <w:kern w:val="0"/>
          <w:sz w:val="30"/>
          <w:szCs w:val="30"/>
        </w:rPr>
      </w:pPr>
      <w:r>
        <w:rPr>
          <w:rFonts w:hint="eastAsia" w:ascii="仿宋" w:hAnsi="仿宋" w:eastAsia="仿宋" w:cs="仿宋"/>
          <w:bCs/>
          <w:color w:val="111111"/>
          <w:kern w:val="0"/>
          <w:sz w:val="30"/>
          <w:szCs w:val="30"/>
        </w:rPr>
        <w:t>事业收入：</w:t>
      </w:r>
      <w:r>
        <w:rPr>
          <w:rFonts w:hint="eastAsia" w:ascii="仿宋" w:hAnsi="仿宋" w:eastAsia="仿宋" w:cs="仿宋"/>
          <w:color w:val="111111"/>
          <w:kern w:val="0"/>
          <w:sz w:val="30"/>
          <w:szCs w:val="30"/>
        </w:rPr>
        <w:t>指事业单位开展专业业务活动及其辅助活动取得的收入，事业单位收到的财政专户实际核拨的教育收费等资金在此反映。</w:t>
      </w:r>
    </w:p>
    <w:p>
      <w:pPr>
        <w:widowControl/>
        <w:spacing w:line="360" w:lineRule="auto"/>
        <w:ind w:firstLine="645"/>
        <w:jc w:val="left"/>
        <w:rPr>
          <w:rFonts w:ascii="仿宋" w:hAnsi="仿宋" w:eastAsia="仿宋" w:cs="仿宋"/>
          <w:color w:val="111111"/>
          <w:kern w:val="0"/>
          <w:sz w:val="30"/>
          <w:szCs w:val="30"/>
        </w:rPr>
      </w:pPr>
      <w:r>
        <w:rPr>
          <w:rFonts w:hint="eastAsia" w:ascii="仿宋" w:hAnsi="仿宋" w:eastAsia="仿宋" w:cs="仿宋"/>
          <w:bCs/>
          <w:color w:val="111111"/>
          <w:kern w:val="0"/>
          <w:sz w:val="30"/>
          <w:szCs w:val="30"/>
        </w:rPr>
        <w:t>其他收入：</w:t>
      </w:r>
      <w:r>
        <w:rPr>
          <w:rFonts w:hint="eastAsia" w:ascii="仿宋" w:hAnsi="仿宋" w:eastAsia="仿宋" w:cs="仿宋"/>
          <w:color w:val="111111"/>
          <w:kern w:val="0"/>
          <w:sz w:val="30"/>
          <w:szCs w:val="30"/>
        </w:rPr>
        <w:t>指单位取得的除上述“财政拨款收入”、“事业收入”、“经营收入”等以外的各项收入。</w:t>
      </w:r>
    </w:p>
    <w:p>
      <w:pPr>
        <w:widowControl/>
        <w:spacing w:line="360" w:lineRule="auto"/>
        <w:jc w:val="left"/>
        <w:rPr>
          <w:rFonts w:ascii="仿宋" w:hAnsi="仿宋" w:eastAsia="仿宋" w:cs="仿宋"/>
          <w:color w:val="111111"/>
          <w:kern w:val="0"/>
          <w:sz w:val="30"/>
          <w:szCs w:val="30"/>
        </w:rPr>
      </w:pPr>
      <w:r>
        <w:rPr>
          <w:rFonts w:hint="eastAsia" w:ascii="仿宋" w:hAnsi="仿宋" w:eastAsia="仿宋" w:cs="仿宋"/>
          <w:color w:val="111111"/>
          <w:kern w:val="0"/>
          <w:sz w:val="30"/>
          <w:szCs w:val="30"/>
        </w:rPr>
        <w:t>　　</w:t>
      </w:r>
      <w:r>
        <w:rPr>
          <w:rFonts w:hint="eastAsia" w:ascii="仿宋" w:hAnsi="仿宋" w:eastAsia="仿宋" w:cs="仿宋"/>
          <w:bCs/>
          <w:color w:val="111111"/>
          <w:kern w:val="0"/>
          <w:sz w:val="30"/>
          <w:szCs w:val="30"/>
        </w:rPr>
        <w:t>用事业基金弥补收支差额：</w:t>
      </w:r>
      <w:r>
        <w:rPr>
          <w:rFonts w:hint="eastAsia" w:ascii="仿宋" w:hAnsi="仿宋" w:eastAsia="仿宋" w:cs="仿宋"/>
          <w:color w:val="111111"/>
          <w:kern w:val="0"/>
          <w:sz w:val="30"/>
          <w:szCs w:val="30"/>
        </w:rPr>
        <w:t>指事业单位用事业基金弥补当年收支差额的数额。 </w:t>
      </w:r>
    </w:p>
    <w:p>
      <w:pPr>
        <w:widowControl/>
        <w:spacing w:line="360" w:lineRule="auto"/>
        <w:jc w:val="left"/>
        <w:rPr>
          <w:rFonts w:ascii="仿宋" w:hAnsi="仿宋" w:eastAsia="仿宋" w:cs="仿宋"/>
          <w:color w:val="111111"/>
          <w:kern w:val="0"/>
          <w:sz w:val="30"/>
          <w:szCs w:val="30"/>
        </w:rPr>
      </w:pPr>
      <w:r>
        <w:rPr>
          <w:rFonts w:hint="eastAsia" w:ascii="仿宋" w:hAnsi="仿宋" w:eastAsia="仿宋" w:cs="仿宋"/>
          <w:color w:val="111111"/>
          <w:kern w:val="0"/>
          <w:sz w:val="30"/>
          <w:szCs w:val="30"/>
        </w:rPr>
        <w:t>　　</w:t>
      </w:r>
      <w:r>
        <w:rPr>
          <w:rFonts w:hint="eastAsia" w:ascii="仿宋" w:hAnsi="仿宋" w:eastAsia="仿宋" w:cs="仿宋"/>
          <w:bCs/>
          <w:color w:val="111111"/>
          <w:kern w:val="0"/>
          <w:sz w:val="30"/>
          <w:szCs w:val="30"/>
        </w:rPr>
        <w:t>年初结转和结余：</w:t>
      </w:r>
      <w:r>
        <w:rPr>
          <w:rFonts w:hint="eastAsia" w:ascii="仿宋" w:hAnsi="仿宋" w:eastAsia="仿宋" w:cs="仿宋"/>
          <w:color w:val="111111"/>
          <w:kern w:val="0"/>
          <w:sz w:val="30"/>
          <w:szCs w:val="30"/>
        </w:rPr>
        <w:t>指单位上年结转本年使用的基本支出结转、项目支出结转和结余和经营结余。 </w:t>
      </w:r>
    </w:p>
    <w:p>
      <w:pPr>
        <w:widowControl/>
        <w:spacing w:line="360" w:lineRule="auto"/>
        <w:ind w:firstLine="600" w:firstLineChars="200"/>
        <w:jc w:val="left"/>
        <w:rPr>
          <w:rFonts w:ascii="仿宋" w:hAnsi="仿宋" w:eastAsia="仿宋" w:cs="仿宋"/>
          <w:color w:val="111111"/>
          <w:kern w:val="0"/>
          <w:sz w:val="30"/>
          <w:szCs w:val="30"/>
        </w:rPr>
      </w:pPr>
      <w:r>
        <w:rPr>
          <w:rFonts w:hint="eastAsia" w:ascii="仿宋" w:hAnsi="仿宋" w:eastAsia="仿宋" w:cs="仿宋"/>
          <w:bCs/>
          <w:color w:val="111111"/>
          <w:kern w:val="0"/>
          <w:sz w:val="30"/>
          <w:szCs w:val="30"/>
        </w:rPr>
        <w:t>年末结转和结余资金：</w:t>
      </w:r>
      <w:r>
        <w:rPr>
          <w:rFonts w:hint="eastAsia" w:ascii="仿宋" w:hAnsi="仿宋" w:eastAsia="仿宋" w:cs="仿宋"/>
          <w:color w:val="111111"/>
          <w:kern w:val="0"/>
          <w:sz w:val="30"/>
          <w:szCs w:val="30"/>
        </w:rPr>
        <w:t>指本年度或以前年度预算安排、因客观条件发生变化无法按原计划实施，需要延迟到以后年度按有关规定继续使用的资金。</w:t>
      </w:r>
    </w:p>
    <w:p>
      <w:pPr>
        <w:widowControl/>
        <w:spacing w:line="360" w:lineRule="auto"/>
        <w:ind w:firstLine="600" w:firstLineChars="200"/>
        <w:jc w:val="left"/>
        <w:rPr>
          <w:rFonts w:ascii="仿宋" w:hAnsi="仿宋" w:eastAsia="仿宋" w:cs="仿宋"/>
          <w:color w:val="333333"/>
          <w:kern w:val="0"/>
          <w:sz w:val="30"/>
          <w:szCs w:val="30"/>
        </w:rPr>
      </w:pPr>
      <w:r>
        <w:rPr>
          <w:rFonts w:hint="eastAsia" w:ascii="仿宋" w:hAnsi="仿宋" w:eastAsia="仿宋" w:cs="仿宋"/>
          <w:color w:val="333333"/>
          <w:kern w:val="0"/>
          <w:sz w:val="30"/>
          <w:szCs w:val="30"/>
        </w:rPr>
        <w:t>一般公共财政预算收入：指政府为履行职能，按国家法律、法规规定收取的纳入预算内管理的各项税收（地方留成部分）及非税收入总和（不包含基金收入）。</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xml:space="preserve">   一般公共财政预算支出：反映公共财政预算收入安排的支出。</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xml:space="preserve">    公共财政预算支出按照功能分类（按政府活动的社会职能和政策目标划分），包括：一般公共服务、外交、公共安全、国防、农业、环境保护、教育、科技、文化、卫生、体育、社会保障及就业支出和其他支出等。</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公共财政预算支出按照经济性质分类（按支出的经济性质和具体用途划分），包括：工资福利支出、商品和服务支出、资本性支出和其他支出等。具体科目及名词解释如下：</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工资福利支出：反映单位开支的在职职工和编制外长期聘用人员的各类劳动报酬，以及为上述人员缴纳的各项社会保险费等。</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商品和服务支出：反映单位购买商品和服务的支出（不包括用于购置固定资产的支出、战略性和应急储备支出，但军事方面的耐用消费品和设备的购置费、军事性建设费及军事建筑物的购置费等在本科目中反映）。</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对个人和家庭的补助：反映政府用于对个人和家庭的补助支出。</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政府性基金预算：对依照法律、行政法规的规定，在一定期限内向特定对象征收、收取或者其他方式筹集的资金，专项用于特定公共事业发展的收支预算。</w:t>
      </w:r>
    </w:p>
    <w:p>
      <w:pPr>
        <w:widowControl/>
        <w:spacing w:line="360" w:lineRule="auto"/>
        <w:ind w:firstLine="600" w:firstLineChars="200"/>
        <w:jc w:val="left"/>
        <w:rPr>
          <w:rFonts w:ascii="仿宋" w:hAnsi="仿宋" w:eastAsia="仿宋" w:cs="仿宋"/>
          <w:color w:val="111111"/>
          <w:kern w:val="0"/>
          <w:sz w:val="30"/>
          <w:szCs w:val="30"/>
        </w:rPr>
      </w:pPr>
      <w:r>
        <w:rPr>
          <w:rFonts w:hint="eastAsia" w:ascii="仿宋" w:hAnsi="仿宋" w:eastAsia="仿宋" w:cs="仿宋"/>
          <w:color w:val="333333"/>
          <w:kern w:val="0"/>
          <w:sz w:val="30"/>
          <w:szCs w:val="30"/>
        </w:rPr>
        <w:t>政府性基金收入：指各级政府及其所属部门根据法律、行政法规和国务院有关文件规定，为支持某项特定公共事业发展，向公民、法人和其他组织无偿征收的具有专项用途的财政资金。基金收入纳入预算内管理，专款专用，余额结转下年继续使用。</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政府性基金支出：反映政府基金收入按排的支出。</w:t>
      </w:r>
      <w:r>
        <w:rPr>
          <w:rFonts w:hint="eastAsia" w:ascii="仿宋" w:hAnsi="仿宋" w:eastAsia="仿宋" w:cs="仿宋"/>
          <w:color w:val="333333"/>
          <w:kern w:val="0"/>
          <w:sz w:val="30"/>
          <w:szCs w:val="30"/>
        </w:rPr>
        <w:br w:type="textWrapping"/>
      </w:r>
      <w:r>
        <w:rPr>
          <w:rFonts w:hint="eastAsia" w:ascii="仿宋" w:hAnsi="仿宋" w:eastAsia="仿宋" w:cs="仿宋"/>
          <w:bCs/>
          <w:color w:val="111111"/>
          <w:kern w:val="0"/>
          <w:sz w:val="30"/>
          <w:szCs w:val="30"/>
        </w:rPr>
        <w:t>基本支出：</w:t>
      </w:r>
      <w:r>
        <w:rPr>
          <w:rFonts w:hint="eastAsia" w:ascii="仿宋" w:hAnsi="仿宋" w:eastAsia="仿宋" w:cs="仿宋"/>
          <w:color w:val="111111"/>
          <w:kern w:val="0"/>
          <w:sz w:val="30"/>
          <w:szCs w:val="30"/>
        </w:rPr>
        <w:t>指为保障机构正常运转、完成日常工作任务而发生的人员支出和公用支出。 </w:t>
      </w:r>
    </w:p>
    <w:p>
      <w:pPr>
        <w:spacing w:line="360" w:lineRule="auto"/>
        <w:ind w:firstLine="660"/>
        <w:rPr>
          <w:rFonts w:ascii="仿宋" w:hAnsi="仿宋" w:eastAsia="仿宋" w:cs="仿宋"/>
          <w:sz w:val="30"/>
          <w:szCs w:val="30"/>
        </w:rPr>
      </w:pPr>
      <w:r>
        <w:rPr>
          <w:rFonts w:hint="eastAsia" w:ascii="仿宋" w:hAnsi="仿宋" w:eastAsia="仿宋" w:cs="仿宋"/>
          <w:bCs/>
          <w:color w:val="111111"/>
          <w:kern w:val="0"/>
          <w:sz w:val="30"/>
          <w:szCs w:val="30"/>
        </w:rPr>
        <w:t>项目支出：</w:t>
      </w:r>
      <w:r>
        <w:rPr>
          <w:rFonts w:hint="eastAsia" w:ascii="仿宋" w:hAnsi="仿宋" w:eastAsia="仿宋" w:cs="仿宋"/>
          <w:color w:val="111111"/>
          <w:kern w:val="0"/>
          <w:sz w:val="30"/>
          <w:szCs w:val="30"/>
        </w:rPr>
        <w:t>指在基本支出之外为完成特定的行政任务或事业发展目标所发生的支出。</w:t>
      </w:r>
    </w:p>
    <w:p>
      <w:pPr>
        <w:widowControl/>
        <w:spacing w:line="360" w:lineRule="auto"/>
        <w:ind w:firstLine="600" w:firstLineChars="200"/>
        <w:jc w:val="left"/>
        <w:rPr>
          <w:rFonts w:ascii="仿宋" w:hAnsi="仿宋" w:eastAsia="仿宋" w:cs="仿宋"/>
          <w:color w:val="111111"/>
          <w:kern w:val="0"/>
          <w:sz w:val="30"/>
          <w:szCs w:val="30"/>
        </w:rPr>
      </w:pPr>
      <w:r>
        <w:rPr>
          <w:rFonts w:hint="eastAsia" w:ascii="仿宋" w:hAnsi="仿宋" w:eastAsia="仿宋" w:cs="仿宋"/>
          <w:color w:val="111111"/>
          <w:kern w:val="0"/>
          <w:sz w:val="30"/>
          <w:szCs w:val="30"/>
        </w:rPr>
        <w:t>“</w:t>
      </w:r>
      <w:r>
        <w:rPr>
          <w:rFonts w:hint="eastAsia" w:ascii="仿宋" w:hAnsi="仿宋" w:eastAsia="仿宋" w:cs="仿宋"/>
          <w:bCs/>
          <w:color w:val="111111"/>
          <w:kern w:val="0"/>
          <w:sz w:val="30"/>
          <w:szCs w:val="30"/>
        </w:rPr>
        <w:t>三公”经费：</w:t>
      </w:r>
      <w:r>
        <w:rPr>
          <w:rFonts w:hint="eastAsia" w:ascii="仿宋" w:hAnsi="仿宋" w:eastAsia="仿宋" w:cs="仿宋"/>
          <w:color w:val="111111"/>
          <w:kern w:val="0"/>
          <w:sz w:val="30"/>
          <w:szCs w:val="30"/>
        </w:rPr>
        <w:t>指区级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bCs/>
          <w:color w:val="111111"/>
          <w:kern w:val="0"/>
          <w:sz w:val="30"/>
          <w:szCs w:val="30"/>
        </w:rPr>
        <w:t>机关运行经费：</w:t>
      </w:r>
      <w:r>
        <w:rPr>
          <w:rFonts w:hint="eastAsia" w:ascii="仿宋" w:hAnsi="仿宋" w:eastAsia="仿宋" w:cs="仿宋"/>
          <w:color w:val="111111"/>
          <w:kern w:val="0"/>
          <w:sz w:val="30"/>
          <w:szCs w:val="30"/>
        </w:rPr>
        <w:t>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 </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政府采购：</w:t>
      </w:r>
      <w:r>
        <w:rPr>
          <w:rFonts w:hint="eastAsia" w:ascii="仿宋" w:hAnsi="仿宋" w:eastAsia="仿宋" w:cs="仿宋"/>
          <w:sz w:val="30"/>
          <w:szCs w:val="30"/>
          <w:shd w:val="clear" w:color="auto" w:fill="FFFFFF"/>
        </w:rPr>
        <w:t>指国家各级政府为从事日常的政务活动或为了满足公共服务的目的，利用国家</w:t>
      </w:r>
      <w:r>
        <w:fldChar w:fldCharType="begin"/>
      </w:r>
      <w:r>
        <w:instrText xml:space="preserve"> HYPERLINK "http://baike.so.com/doc/5716834-5929560.html" \t "_blank" </w:instrText>
      </w:r>
      <w:r>
        <w:fldChar w:fldCharType="separate"/>
      </w:r>
      <w:r>
        <w:rPr>
          <w:rStyle w:val="8"/>
          <w:rFonts w:hint="eastAsia" w:ascii="仿宋" w:hAnsi="仿宋" w:eastAsia="仿宋" w:cs="仿宋"/>
          <w:sz w:val="30"/>
          <w:szCs w:val="30"/>
          <w:shd w:val="clear" w:color="auto" w:fill="FFFFFF"/>
        </w:rPr>
        <w:t>财政性资金</w:t>
      </w:r>
      <w:r>
        <w:rPr>
          <w:rStyle w:val="8"/>
          <w:rFonts w:hint="eastAsia" w:ascii="仿宋" w:hAnsi="仿宋" w:eastAsia="仿宋" w:cs="仿宋"/>
          <w:sz w:val="30"/>
          <w:szCs w:val="30"/>
          <w:shd w:val="clear" w:color="auto" w:fill="FFFFFF"/>
        </w:rPr>
        <w:fldChar w:fldCharType="end"/>
      </w:r>
      <w:r>
        <w:rPr>
          <w:rFonts w:hint="eastAsia" w:ascii="仿宋" w:hAnsi="仿宋" w:eastAsia="仿宋" w:cs="仿宋"/>
          <w:sz w:val="30"/>
          <w:szCs w:val="30"/>
          <w:shd w:val="clear" w:color="auto" w:fill="FFFFFF"/>
        </w:rPr>
        <w:t>和政府借款购买货物、工程和服务的行为。政府采购不仅是指具体的</w:t>
      </w:r>
      <w:r>
        <w:fldChar w:fldCharType="begin"/>
      </w:r>
      <w:r>
        <w:instrText xml:space="preserve"> HYPERLINK "http://baike.so.com/doc/4796448-5012566.html" \t "_blank" </w:instrText>
      </w:r>
      <w:r>
        <w:fldChar w:fldCharType="separate"/>
      </w:r>
      <w:r>
        <w:rPr>
          <w:rStyle w:val="8"/>
          <w:rFonts w:hint="eastAsia" w:ascii="仿宋" w:hAnsi="仿宋" w:eastAsia="仿宋" w:cs="仿宋"/>
          <w:sz w:val="30"/>
          <w:szCs w:val="30"/>
          <w:shd w:val="clear" w:color="auto" w:fill="FFFFFF"/>
        </w:rPr>
        <w:t>采购过程</w:t>
      </w:r>
      <w:r>
        <w:rPr>
          <w:rStyle w:val="8"/>
          <w:rFonts w:hint="eastAsia" w:ascii="仿宋" w:hAnsi="仿宋" w:eastAsia="仿宋" w:cs="仿宋"/>
          <w:sz w:val="30"/>
          <w:szCs w:val="30"/>
          <w:shd w:val="clear" w:color="auto" w:fill="FFFFFF"/>
        </w:rPr>
        <w:fldChar w:fldCharType="end"/>
      </w:r>
      <w:r>
        <w:rPr>
          <w:rFonts w:hint="eastAsia" w:ascii="仿宋" w:hAnsi="仿宋" w:eastAsia="仿宋" w:cs="仿宋"/>
          <w:sz w:val="30"/>
          <w:szCs w:val="30"/>
          <w:shd w:val="clear" w:color="auto" w:fill="FFFFFF"/>
        </w:rPr>
        <w:t>，而且是采购政策、采购程序、采购过程及采购管理的总称，是一种对公共采购管理的制度。</w:t>
      </w:r>
      <w:r>
        <w:rPr>
          <w:rFonts w:hint="eastAsia" w:ascii="仿宋" w:hAnsi="仿宋" w:eastAsia="仿宋" w:cs="仿宋"/>
          <w:kern w:val="0"/>
          <w:sz w:val="30"/>
          <w:szCs w:val="30"/>
        </w:rPr>
        <w:br w:type="textWrapping"/>
      </w:r>
      <w:r>
        <w:rPr>
          <w:rFonts w:hint="eastAsia" w:ascii="仿宋" w:hAnsi="仿宋" w:eastAsia="仿宋" w:cs="仿宋"/>
          <w:kern w:val="0"/>
          <w:sz w:val="30"/>
          <w:szCs w:val="30"/>
        </w:rPr>
        <w:t>国有资产：</w:t>
      </w:r>
      <w:r>
        <w:rPr>
          <w:rFonts w:hint="eastAsia" w:ascii="仿宋" w:hAnsi="仿宋" w:eastAsia="仿宋" w:cs="仿宋"/>
          <w:sz w:val="30"/>
          <w:szCs w:val="30"/>
          <w:shd w:val="clear" w:color="auto" w:fill="FFFFFF"/>
        </w:rPr>
        <w:t>国有资产是法律上确定为国家所有并能为国家提供经济和</w:t>
      </w:r>
      <w:r>
        <w:fldChar w:fldCharType="begin"/>
      </w:r>
      <w:r>
        <w:instrText xml:space="preserve"> HYPERLINK "http://baike.so.com/doc/741806-785246.html" \t "_blank" </w:instrText>
      </w:r>
      <w:r>
        <w:fldChar w:fldCharType="separate"/>
      </w:r>
      <w:r>
        <w:rPr>
          <w:rStyle w:val="8"/>
          <w:rFonts w:hint="eastAsia" w:ascii="仿宋" w:hAnsi="仿宋" w:eastAsia="仿宋" w:cs="仿宋"/>
          <w:sz w:val="30"/>
          <w:szCs w:val="30"/>
          <w:shd w:val="clear" w:color="auto" w:fill="FFFFFF"/>
        </w:rPr>
        <w:t>社会效益</w:t>
      </w:r>
      <w:r>
        <w:rPr>
          <w:rStyle w:val="8"/>
          <w:rFonts w:hint="eastAsia" w:ascii="仿宋" w:hAnsi="仿宋" w:eastAsia="仿宋" w:cs="仿宋"/>
          <w:sz w:val="30"/>
          <w:szCs w:val="30"/>
          <w:shd w:val="clear" w:color="auto" w:fill="FFFFFF"/>
        </w:rPr>
        <w:fldChar w:fldCharType="end"/>
      </w:r>
      <w:r>
        <w:rPr>
          <w:rFonts w:hint="eastAsia" w:ascii="仿宋" w:hAnsi="仿宋" w:eastAsia="仿宋" w:cs="仿宋"/>
          <w:sz w:val="30"/>
          <w:szCs w:val="30"/>
          <w:shd w:val="clear" w:color="auto" w:fill="FFFFFF"/>
        </w:rPr>
        <w:t>的各种</w:t>
      </w:r>
      <w:r>
        <w:fldChar w:fldCharType="begin"/>
      </w:r>
      <w:r>
        <w:instrText xml:space="preserve"> HYPERLINK "http://baike.so.com/doc/7798608-8072703.html" \t "_blank" </w:instrText>
      </w:r>
      <w:r>
        <w:fldChar w:fldCharType="separate"/>
      </w:r>
      <w:r>
        <w:rPr>
          <w:rStyle w:val="8"/>
          <w:rFonts w:hint="eastAsia" w:ascii="仿宋" w:hAnsi="仿宋" w:eastAsia="仿宋" w:cs="仿宋"/>
          <w:sz w:val="30"/>
          <w:szCs w:val="30"/>
          <w:shd w:val="clear" w:color="auto" w:fill="FFFFFF"/>
        </w:rPr>
        <w:t>经济资源</w:t>
      </w:r>
      <w:r>
        <w:rPr>
          <w:rStyle w:val="8"/>
          <w:rFonts w:hint="eastAsia" w:ascii="仿宋" w:hAnsi="仿宋" w:eastAsia="仿宋" w:cs="仿宋"/>
          <w:sz w:val="30"/>
          <w:szCs w:val="30"/>
          <w:shd w:val="clear" w:color="auto" w:fill="FFFFFF"/>
        </w:rPr>
        <w:fldChar w:fldCharType="end"/>
      </w:r>
      <w:r>
        <w:rPr>
          <w:rFonts w:hint="eastAsia" w:ascii="仿宋" w:hAnsi="仿宋" w:eastAsia="仿宋" w:cs="仿宋"/>
          <w:sz w:val="30"/>
          <w:szCs w:val="30"/>
          <w:shd w:val="clear" w:color="auto" w:fill="FFFFFF"/>
        </w:rPr>
        <w:t>的总和。就是属于国家所有的一切</w:t>
      </w:r>
      <w:r>
        <w:fldChar w:fldCharType="begin"/>
      </w:r>
      <w:r>
        <w:instrText xml:space="preserve"> HYPERLINK "http://baike.so.com/doc/5368106-5603892.html" \t "_blank" </w:instrText>
      </w:r>
      <w:r>
        <w:fldChar w:fldCharType="separate"/>
      </w:r>
      <w:r>
        <w:rPr>
          <w:rStyle w:val="8"/>
          <w:rFonts w:hint="eastAsia" w:ascii="仿宋" w:hAnsi="仿宋" w:eastAsia="仿宋" w:cs="仿宋"/>
          <w:sz w:val="30"/>
          <w:szCs w:val="30"/>
          <w:shd w:val="clear" w:color="auto" w:fill="FFFFFF"/>
        </w:rPr>
        <w:t>财产</w:t>
      </w:r>
      <w:r>
        <w:rPr>
          <w:rStyle w:val="8"/>
          <w:rFonts w:hint="eastAsia" w:ascii="仿宋" w:hAnsi="仿宋" w:eastAsia="仿宋" w:cs="仿宋"/>
          <w:sz w:val="30"/>
          <w:szCs w:val="30"/>
          <w:shd w:val="clear" w:color="auto" w:fill="FFFFFF"/>
        </w:rPr>
        <w:fldChar w:fldCharType="end"/>
      </w:r>
      <w:r>
        <w:rPr>
          <w:rFonts w:hint="eastAsia" w:ascii="仿宋" w:hAnsi="仿宋" w:eastAsia="仿宋" w:cs="仿宋"/>
          <w:sz w:val="30"/>
          <w:szCs w:val="30"/>
          <w:shd w:val="clear" w:color="auto" w:fill="FFFFFF"/>
        </w:rPr>
        <w:t>和财</w:t>
      </w:r>
      <w:r>
        <w:fldChar w:fldCharType="begin"/>
      </w:r>
      <w:r>
        <w:instrText xml:space="preserve"> HYPERLINK "http://baike.so.com/doc/5399886-5637441.html" \t "_blank" </w:instrText>
      </w:r>
      <w:r>
        <w:fldChar w:fldCharType="separate"/>
      </w:r>
      <w:r>
        <w:rPr>
          <w:rStyle w:val="8"/>
          <w:rFonts w:hint="eastAsia" w:ascii="仿宋" w:hAnsi="仿宋" w:eastAsia="仿宋" w:cs="仿宋"/>
          <w:sz w:val="30"/>
          <w:szCs w:val="30"/>
          <w:shd w:val="clear" w:color="auto" w:fill="FFFFFF"/>
        </w:rPr>
        <w:t>产权</w:t>
      </w:r>
      <w:r>
        <w:rPr>
          <w:rStyle w:val="8"/>
          <w:rFonts w:hint="eastAsia" w:ascii="仿宋" w:hAnsi="仿宋" w:eastAsia="仿宋" w:cs="仿宋"/>
          <w:sz w:val="30"/>
          <w:szCs w:val="30"/>
          <w:shd w:val="clear" w:color="auto" w:fill="FFFFFF"/>
        </w:rPr>
        <w:fldChar w:fldCharType="end"/>
      </w:r>
      <w:r>
        <w:rPr>
          <w:rFonts w:hint="eastAsia" w:ascii="仿宋" w:hAnsi="仿宋" w:eastAsia="仿宋" w:cs="仿宋"/>
          <w:sz w:val="30"/>
          <w:szCs w:val="30"/>
          <w:shd w:val="clear" w:color="auto" w:fill="FFFFFF"/>
        </w:rPr>
        <w:t>利的总称。</w:t>
      </w:r>
      <w:r>
        <w:rPr>
          <w:rStyle w:val="10"/>
          <w:rFonts w:hint="eastAsia" w:ascii="仿宋" w:hAnsi="仿宋" w:eastAsia="仿宋" w:cs="仿宋"/>
          <w:sz w:val="30"/>
          <w:szCs w:val="30"/>
          <w:shd w:val="clear" w:color="auto" w:fill="FFFFFF"/>
        </w:rPr>
        <w:t> </w:t>
      </w:r>
      <w:r>
        <w:rPr>
          <w:rFonts w:hint="eastAsia" w:ascii="仿宋" w:hAnsi="仿宋" w:eastAsia="仿宋" w:cs="仿宋"/>
          <w:sz w:val="30"/>
          <w:szCs w:val="30"/>
          <w:shd w:val="clear" w:color="auto" w:fill="FFFFFF"/>
        </w:rPr>
        <w:t>行政事业资产是指由行政事业单位占有、使用的、在法律上确认为国家所有、能以货币计量的各种经济资源的总和，包括国家拨给行政事业单位的资产，行政事业单位按照国家政策规定运用国有资产组织收入形成的资产，以及接受捐赠和其他经法律确认为国</w:t>
      </w:r>
      <w:r>
        <w:rPr>
          <w:rFonts w:hint="eastAsia" w:ascii="仿宋" w:hAnsi="仿宋" w:eastAsia="仿宋" w:cs="仿宋"/>
          <w:kern w:val="0"/>
          <w:sz w:val="30"/>
          <w:szCs w:val="30"/>
        </w:rPr>
        <w:t>家所有的资产。行政事业资产的表现形式为；流动资产、长期投资、固定资产、无形资产和其他资产。</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预算绩效：是指政府或相关部门按照财政效率的原则，通过绩效指标以及目标管理对部门内部或者单位的财政支出做出客观、公正、公平的评价和决策。2005年5月财政部出台了《中央部门预算支出绩效评价管理办法（试行）》（财预[2005]86号）中将部门预算绩效评价定义为：运用一定的考核方法、量化指标及评价标准，对中央部门为实现其职能所确定绩效目标的实现程度，以及为实现这一目标安排预算的执行结果所进行的综合性考核与评价。　</w:t>
      </w:r>
    </w:p>
    <w:p>
      <w:pPr>
        <w:spacing w:line="360" w:lineRule="auto"/>
        <w:rPr>
          <w:rFonts w:ascii="仿宋" w:hAnsi="仿宋" w:eastAsia="仿宋" w:cs="仿宋"/>
          <w:kern w:val="0"/>
          <w:sz w:val="30"/>
          <w:szCs w:val="30"/>
        </w:rPr>
      </w:pP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附件：2017年度部门决算公开表格</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收入支出决算总表</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收入决算表</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支出决算表</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财政拨款收入支出决算总表</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一般公共预算财政拨款支出决算表</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一般公共预算财政拨款基本支出决算表</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一般公共预算财政拨款“三公”经费支出决算表</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政府性基金预算财政拨款收入支出决算表</w:t>
      </w:r>
    </w:p>
    <w:p>
      <w:pPr>
        <w:spacing w:line="360" w:lineRule="auto"/>
        <w:ind w:firstLine="600" w:firstLineChars="200"/>
        <w:rPr>
          <w:rFonts w:ascii="仿宋" w:hAnsi="仿宋" w:eastAsia="仿宋" w:cs="仿宋"/>
          <w:kern w:val="0"/>
          <w:sz w:val="30"/>
          <w:szCs w:val="30"/>
        </w:rPr>
      </w:pPr>
    </w:p>
    <w:p>
      <w:pPr>
        <w:spacing w:line="360" w:lineRule="auto"/>
        <w:ind w:firstLine="600" w:firstLineChars="200"/>
        <w:rPr>
          <w:rFonts w:ascii="仿宋" w:hAnsi="仿宋" w:eastAsia="仿宋" w:cs="仿宋"/>
          <w:kern w:val="0"/>
          <w:sz w:val="30"/>
          <w:szCs w:val="30"/>
        </w:rPr>
      </w:pPr>
    </w:p>
    <w:p>
      <w:pPr>
        <w:spacing w:line="360" w:lineRule="auto"/>
        <w:ind w:firstLine="600" w:firstLineChars="200"/>
        <w:rPr>
          <w:rFonts w:ascii="仿宋" w:hAnsi="仿宋" w:eastAsia="仿宋" w:cs="仿宋"/>
          <w:kern w:val="0"/>
          <w:sz w:val="30"/>
          <w:szCs w:val="30"/>
        </w:rPr>
      </w:pPr>
    </w:p>
    <w:p>
      <w:pPr>
        <w:spacing w:line="360" w:lineRule="auto"/>
        <w:rPr>
          <w:rFonts w:ascii="仿宋" w:hAnsi="仿宋" w:eastAsia="仿宋" w:cs="仿宋"/>
        </w:rPr>
      </w:pPr>
    </w:p>
    <w:sectPr>
      <w:footerReference r:id="rId3" w:type="default"/>
      <w:footerReference r:id="rId4" w:type="even"/>
      <w:pgSz w:w="11906" w:h="16838"/>
      <w:pgMar w:top="1418" w:right="1418" w:bottom="1418" w:left="141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Fonts w:ascii="宋体" w:hAnsi="宋体"/>
        <w:sz w:val="24"/>
        <w:szCs w:val="24"/>
      </w:rPr>
    </w:pPr>
    <w:r>
      <w:rPr>
        <w:rFonts w:ascii="宋体" w:hAnsi="宋体"/>
        <w:sz w:val="24"/>
        <w:szCs w:val="24"/>
      </w:rPr>
      <w:fldChar w:fldCharType="begin"/>
    </w:r>
    <w:r>
      <w:rPr>
        <w:rStyle w:val="7"/>
        <w:rFonts w:ascii="宋体" w:hAnsi="宋体"/>
        <w:sz w:val="24"/>
        <w:szCs w:val="24"/>
      </w:rPr>
      <w:instrText xml:space="preserve">PAGE  </w:instrText>
    </w:r>
    <w:r>
      <w:rPr>
        <w:rFonts w:ascii="宋体" w:hAnsi="宋体"/>
        <w:sz w:val="24"/>
        <w:szCs w:val="24"/>
      </w:rPr>
      <w:fldChar w:fldCharType="separate"/>
    </w:r>
    <w:r>
      <w:rPr>
        <w:rStyle w:val="7"/>
        <w:rFonts w:ascii="宋体" w:hAnsi="宋体"/>
        <w:sz w:val="24"/>
        <w:szCs w:val="24"/>
      </w:rPr>
      <w:t>- 4 -</w:t>
    </w:r>
    <w:r>
      <w:rPr>
        <w:rFonts w:ascii="宋体" w:hAnsi="宋体"/>
        <w:sz w:val="24"/>
        <w:szCs w:val="24"/>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E88BF2D"/>
    <w:multiLevelType w:val="singleLevel"/>
    <w:tmpl w:val="9E88BF2D"/>
    <w:lvl w:ilvl="0" w:tentative="0">
      <w:start w:val="1"/>
      <w:numFmt w:val="decimal"/>
      <w:suff w:val="nothing"/>
      <w:lvlText w:val="%1、"/>
      <w:lvlJc w:val="left"/>
    </w:lvl>
  </w:abstractNum>
  <w:abstractNum w:abstractNumId="1">
    <w:nsid w:val="057A5160"/>
    <w:multiLevelType w:val="multilevel"/>
    <w:tmpl w:val="057A5160"/>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F462B5D"/>
    <w:multiLevelType w:val="multilevel"/>
    <w:tmpl w:val="0F462B5D"/>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53AA4C5C"/>
    <w:multiLevelType w:val="singleLevel"/>
    <w:tmpl w:val="53AA4C5C"/>
    <w:lvl w:ilvl="0" w:tentative="0">
      <w:start w:val="3"/>
      <w:numFmt w:val="chineseCounting"/>
      <w:suff w:val="space"/>
      <w:lvlText w:val="第%1部分"/>
      <w:lvlJc w:val="left"/>
      <w:rPr>
        <w:rFonts w:hint="eastAsia"/>
      </w:rPr>
    </w:lvl>
  </w:abstractNum>
  <w:abstractNum w:abstractNumId="4">
    <w:nsid w:val="5BBBFF09"/>
    <w:multiLevelType w:val="singleLevel"/>
    <w:tmpl w:val="5BBBFF09"/>
    <w:lvl w:ilvl="0" w:tentative="0">
      <w:start w:val="5"/>
      <w:numFmt w:val="chineseCounting"/>
      <w:suff w:val="nothing"/>
      <w:lvlText w:val="%1、"/>
      <w:lvlJc w:val="left"/>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141522A4"/>
    <w:rsid w:val="002339C1"/>
    <w:rsid w:val="00494886"/>
    <w:rsid w:val="006C2C17"/>
    <w:rsid w:val="008401C7"/>
    <w:rsid w:val="00842DE5"/>
    <w:rsid w:val="008557E7"/>
    <w:rsid w:val="00873F4B"/>
    <w:rsid w:val="0099427B"/>
    <w:rsid w:val="00D86546"/>
    <w:rsid w:val="00DC6A80"/>
    <w:rsid w:val="00F8788B"/>
    <w:rsid w:val="012430ED"/>
    <w:rsid w:val="014A5949"/>
    <w:rsid w:val="023F13DB"/>
    <w:rsid w:val="026066D5"/>
    <w:rsid w:val="02EC7C1C"/>
    <w:rsid w:val="032D5CC6"/>
    <w:rsid w:val="03456C94"/>
    <w:rsid w:val="036A7041"/>
    <w:rsid w:val="03CD392E"/>
    <w:rsid w:val="04DF25D8"/>
    <w:rsid w:val="065D3951"/>
    <w:rsid w:val="06EE4F18"/>
    <w:rsid w:val="075B29A0"/>
    <w:rsid w:val="075F1F7C"/>
    <w:rsid w:val="08F04202"/>
    <w:rsid w:val="090E785C"/>
    <w:rsid w:val="092248D9"/>
    <w:rsid w:val="093B0FC9"/>
    <w:rsid w:val="099C4029"/>
    <w:rsid w:val="09AD4741"/>
    <w:rsid w:val="09B50255"/>
    <w:rsid w:val="09E539AA"/>
    <w:rsid w:val="0A11221C"/>
    <w:rsid w:val="0ABC48D5"/>
    <w:rsid w:val="0AD801E8"/>
    <w:rsid w:val="0B65121C"/>
    <w:rsid w:val="0BC654D1"/>
    <w:rsid w:val="0C8F537C"/>
    <w:rsid w:val="0CD159E4"/>
    <w:rsid w:val="0D246A78"/>
    <w:rsid w:val="0D410992"/>
    <w:rsid w:val="0D5E7D65"/>
    <w:rsid w:val="10A739B1"/>
    <w:rsid w:val="124A2012"/>
    <w:rsid w:val="141522A4"/>
    <w:rsid w:val="145C1DAC"/>
    <w:rsid w:val="149D7C22"/>
    <w:rsid w:val="14C16853"/>
    <w:rsid w:val="15075333"/>
    <w:rsid w:val="164964BC"/>
    <w:rsid w:val="16531039"/>
    <w:rsid w:val="16EA1D4C"/>
    <w:rsid w:val="17667A1A"/>
    <w:rsid w:val="17A60DC6"/>
    <w:rsid w:val="180D60E6"/>
    <w:rsid w:val="18CE3102"/>
    <w:rsid w:val="19663C21"/>
    <w:rsid w:val="19670D43"/>
    <w:rsid w:val="19AC136C"/>
    <w:rsid w:val="1B324E77"/>
    <w:rsid w:val="1C1E0652"/>
    <w:rsid w:val="1C3521E8"/>
    <w:rsid w:val="1DD71951"/>
    <w:rsid w:val="1E3E4241"/>
    <w:rsid w:val="1E7E4DD1"/>
    <w:rsid w:val="1EE81910"/>
    <w:rsid w:val="1F096E9E"/>
    <w:rsid w:val="209730DE"/>
    <w:rsid w:val="20DE39CC"/>
    <w:rsid w:val="21965ECE"/>
    <w:rsid w:val="22897FD1"/>
    <w:rsid w:val="22B54AA2"/>
    <w:rsid w:val="23C62C14"/>
    <w:rsid w:val="23EB4166"/>
    <w:rsid w:val="243B6E0E"/>
    <w:rsid w:val="246F00D9"/>
    <w:rsid w:val="258B1D72"/>
    <w:rsid w:val="25D0378A"/>
    <w:rsid w:val="26241031"/>
    <w:rsid w:val="262D370B"/>
    <w:rsid w:val="26B10EFE"/>
    <w:rsid w:val="26E71826"/>
    <w:rsid w:val="274678A7"/>
    <w:rsid w:val="277C33F5"/>
    <w:rsid w:val="27AA352E"/>
    <w:rsid w:val="28415CB2"/>
    <w:rsid w:val="284819BC"/>
    <w:rsid w:val="293B5244"/>
    <w:rsid w:val="298D0FFB"/>
    <w:rsid w:val="2B2D1149"/>
    <w:rsid w:val="2BD33C97"/>
    <w:rsid w:val="2CBE5DC0"/>
    <w:rsid w:val="2FA8566D"/>
    <w:rsid w:val="2FF44D1F"/>
    <w:rsid w:val="30D01C13"/>
    <w:rsid w:val="312D1038"/>
    <w:rsid w:val="31B12627"/>
    <w:rsid w:val="31B14F25"/>
    <w:rsid w:val="31C55274"/>
    <w:rsid w:val="33A52EDF"/>
    <w:rsid w:val="33B00D4E"/>
    <w:rsid w:val="33B30709"/>
    <w:rsid w:val="34836760"/>
    <w:rsid w:val="349E4F95"/>
    <w:rsid w:val="34E31610"/>
    <w:rsid w:val="353D309D"/>
    <w:rsid w:val="354B0485"/>
    <w:rsid w:val="359D1E5E"/>
    <w:rsid w:val="365B6809"/>
    <w:rsid w:val="36864B31"/>
    <w:rsid w:val="37DD3D7B"/>
    <w:rsid w:val="380E2783"/>
    <w:rsid w:val="38551495"/>
    <w:rsid w:val="38A67532"/>
    <w:rsid w:val="38B91545"/>
    <w:rsid w:val="3942192D"/>
    <w:rsid w:val="395039EC"/>
    <w:rsid w:val="3A314861"/>
    <w:rsid w:val="3B057725"/>
    <w:rsid w:val="3B6067D0"/>
    <w:rsid w:val="3BDC189F"/>
    <w:rsid w:val="3C0A74D6"/>
    <w:rsid w:val="3C56526F"/>
    <w:rsid w:val="3CB6492A"/>
    <w:rsid w:val="3D0E0C91"/>
    <w:rsid w:val="3D4C6F00"/>
    <w:rsid w:val="3DC2625E"/>
    <w:rsid w:val="3E0C4CB4"/>
    <w:rsid w:val="3E890E84"/>
    <w:rsid w:val="3F1B0D68"/>
    <w:rsid w:val="3FCF46D7"/>
    <w:rsid w:val="4049017B"/>
    <w:rsid w:val="419732B8"/>
    <w:rsid w:val="42BD15F0"/>
    <w:rsid w:val="42C0261B"/>
    <w:rsid w:val="43342B06"/>
    <w:rsid w:val="439B0E5B"/>
    <w:rsid w:val="454D033D"/>
    <w:rsid w:val="454D1830"/>
    <w:rsid w:val="455A0572"/>
    <w:rsid w:val="455C498F"/>
    <w:rsid w:val="457E5F6B"/>
    <w:rsid w:val="4752048D"/>
    <w:rsid w:val="47E7503F"/>
    <w:rsid w:val="480B68BA"/>
    <w:rsid w:val="481C5784"/>
    <w:rsid w:val="48E37E88"/>
    <w:rsid w:val="490A248A"/>
    <w:rsid w:val="4A111454"/>
    <w:rsid w:val="4A7F6176"/>
    <w:rsid w:val="4B292024"/>
    <w:rsid w:val="4B863CA9"/>
    <w:rsid w:val="4BF91344"/>
    <w:rsid w:val="4C9A5EFA"/>
    <w:rsid w:val="4CE65541"/>
    <w:rsid w:val="4DFF3087"/>
    <w:rsid w:val="4EB457CE"/>
    <w:rsid w:val="4F5D4E27"/>
    <w:rsid w:val="504618A3"/>
    <w:rsid w:val="50D8162A"/>
    <w:rsid w:val="510F5285"/>
    <w:rsid w:val="51663AB7"/>
    <w:rsid w:val="519D0D67"/>
    <w:rsid w:val="5256154F"/>
    <w:rsid w:val="526410F9"/>
    <w:rsid w:val="52DA4F90"/>
    <w:rsid w:val="52F578FE"/>
    <w:rsid w:val="530A248E"/>
    <w:rsid w:val="532400E8"/>
    <w:rsid w:val="53DF1E0D"/>
    <w:rsid w:val="55722011"/>
    <w:rsid w:val="55750B95"/>
    <w:rsid w:val="55F213E7"/>
    <w:rsid w:val="564D307B"/>
    <w:rsid w:val="56BF45D7"/>
    <w:rsid w:val="57A44A7B"/>
    <w:rsid w:val="57E32236"/>
    <w:rsid w:val="58091D99"/>
    <w:rsid w:val="58B77229"/>
    <w:rsid w:val="595C25FA"/>
    <w:rsid w:val="59857969"/>
    <w:rsid w:val="59994756"/>
    <w:rsid w:val="59F87D38"/>
    <w:rsid w:val="5A693D23"/>
    <w:rsid w:val="5A6B5A90"/>
    <w:rsid w:val="5B50022A"/>
    <w:rsid w:val="5C7A28AC"/>
    <w:rsid w:val="5D6B2104"/>
    <w:rsid w:val="5EC53E9C"/>
    <w:rsid w:val="5ECB5D12"/>
    <w:rsid w:val="601C7D6A"/>
    <w:rsid w:val="606B1DA7"/>
    <w:rsid w:val="60BF77ED"/>
    <w:rsid w:val="60FB2217"/>
    <w:rsid w:val="612D4AD1"/>
    <w:rsid w:val="61916FE3"/>
    <w:rsid w:val="61BC32CB"/>
    <w:rsid w:val="62247C4C"/>
    <w:rsid w:val="626A0CEB"/>
    <w:rsid w:val="62974C19"/>
    <w:rsid w:val="62FF022C"/>
    <w:rsid w:val="63144422"/>
    <w:rsid w:val="63441D54"/>
    <w:rsid w:val="640006FF"/>
    <w:rsid w:val="64636829"/>
    <w:rsid w:val="64E35DF7"/>
    <w:rsid w:val="65505D1E"/>
    <w:rsid w:val="657D0288"/>
    <w:rsid w:val="65924E36"/>
    <w:rsid w:val="66A30172"/>
    <w:rsid w:val="66BB423A"/>
    <w:rsid w:val="67F87143"/>
    <w:rsid w:val="689913DD"/>
    <w:rsid w:val="69093FDB"/>
    <w:rsid w:val="6917546E"/>
    <w:rsid w:val="69C7339C"/>
    <w:rsid w:val="6A05571E"/>
    <w:rsid w:val="6B0A0C3B"/>
    <w:rsid w:val="6B4A2B57"/>
    <w:rsid w:val="6BD702C2"/>
    <w:rsid w:val="6C0C1489"/>
    <w:rsid w:val="6C6F6CF3"/>
    <w:rsid w:val="6D535020"/>
    <w:rsid w:val="6DBF5551"/>
    <w:rsid w:val="6E253E16"/>
    <w:rsid w:val="6E873D36"/>
    <w:rsid w:val="6EE3061B"/>
    <w:rsid w:val="6FCB38A4"/>
    <w:rsid w:val="70310EB8"/>
    <w:rsid w:val="71B7411E"/>
    <w:rsid w:val="72012B78"/>
    <w:rsid w:val="721F0636"/>
    <w:rsid w:val="72DE3D50"/>
    <w:rsid w:val="73945713"/>
    <w:rsid w:val="7439147C"/>
    <w:rsid w:val="743B1C78"/>
    <w:rsid w:val="74460E9D"/>
    <w:rsid w:val="74492A3A"/>
    <w:rsid w:val="74B41077"/>
    <w:rsid w:val="75BE6124"/>
    <w:rsid w:val="75C475DB"/>
    <w:rsid w:val="75E406CC"/>
    <w:rsid w:val="76B41149"/>
    <w:rsid w:val="76F84DB1"/>
    <w:rsid w:val="77802CCF"/>
    <w:rsid w:val="77FD2102"/>
    <w:rsid w:val="7B483738"/>
    <w:rsid w:val="7D2865F7"/>
    <w:rsid w:val="7E223BE6"/>
    <w:rsid w:val="7E5163B7"/>
    <w:rsid w:val="7EFE21F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Autospacing="1" w:afterAutospacing="1"/>
      <w:jc w:val="left"/>
    </w:pPr>
    <w:rPr>
      <w:rFonts w:ascii="宋体" w:hAnsi="宋体" w:cs="宋体"/>
      <w:kern w:val="0"/>
      <w:sz w:val="24"/>
    </w:rPr>
  </w:style>
  <w:style w:type="character" w:styleId="6">
    <w:name w:val="Strong"/>
    <w:basedOn w:val="5"/>
    <w:qFormat/>
    <w:uiPriority w:val="0"/>
    <w:rPr>
      <w:b/>
    </w:rPr>
  </w:style>
  <w:style w:type="character" w:styleId="7">
    <w:name w:val="page number"/>
    <w:basedOn w:val="5"/>
    <w:qFormat/>
    <w:uiPriority w:val="0"/>
  </w:style>
  <w:style w:type="character" w:styleId="8">
    <w:name w:val="Hyperlink"/>
    <w:qFormat/>
    <w:uiPriority w:val="0"/>
    <w:rPr>
      <w:color w:val="141414"/>
      <w:u w:val="none"/>
    </w:rPr>
  </w:style>
  <w:style w:type="character" w:customStyle="1" w:styleId="10">
    <w:name w:val="apple-converted-space"/>
    <w:basedOn w:val="5"/>
    <w:qFormat/>
    <w:uiPriority w:val="0"/>
  </w:style>
  <w:style w:type="character" w:customStyle="1" w:styleId="11">
    <w:name w:val="页眉 Char"/>
    <w:basedOn w:val="5"/>
    <w:link w:val="3"/>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Microsoft</Company>
  <Pages>14</Pages>
  <Words>1081</Words>
  <Characters>6166</Characters>
  <Lines>51</Lines>
  <Paragraphs>14</Paragraphs>
  <TotalTime>1</TotalTime>
  <ScaleCrop>false</ScaleCrop>
  <LinksUpToDate>false</LinksUpToDate>
  <CharactersWithSpaces>7233</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2018-10-03T08:08:00Z</dcterms:created>
  <dc:creator>Administrator</dc:creator>
  <cp:lastModifiedBy>Administrator</cp:lastModifiedBy>
  <dcterms:modified xsi:type="dcterms:W3CDTF">2019-02-20T01:01:49Z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