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 w:hAnsi="仿宋" w:eastAsia="仿宋" w:cs="仿宋"/>
          <w:b/>
          <w:bCs/>
          <w:sz w:val="44"/>
          <w:szCs w:val="44"/>
        </w:rPr>
      </w:pPr>
    </w:p>
    <w:p>
      <w:pPr>
        <w:spacing w:line="360" w:lineRule="auto"/>
        <w:jc w:val="center"/>
        <w:rPr>
          <w:rFonts w:hint="eastAsia" w:ascii="仿宋" w:hAnsi="仿宋" w:eastAsia="仿宋" w:cs="仿宋"/>
          <w:b/>
          <w:bCs/>
          <w:sz w:val="44"/>
          <w:szCs w:val="44"/>
        </w:rPr>
      </w:pPr>
      <w:r>
        <w:rPr>
          <w:rFonts w:hint="eastAsia" w:ascii="仿宋" w:hAnsi="仿宋" w:eastAsia="仿宋" w:cs="仿宋"/>
          <w:b/>
          <w:bCs/>
          <w:sz w:val="44"/>
          <w:szCs w:val="44"/>
        </w:rPr>
        <w:t>集贤县直属机关工作委员会</w:t>
      </w:r>
    </w:p>
    <w:p>
      <w:pPr>
        <w:spacing w:line="360" w:lineRule="auto"/>
        <w:jc w:val="center"/>
        <w:rPr>
          <w:rFonts w:ascii="仿宋" w:hAnsi="仿宋" w:eastAsia="仿宋" w:cs="仿宋"/>
          <w:b/>
          <w:bCs/>
          <w:sz w:val="52"/>
          <w:szCs w:val="52"/>
        </w:rPr>
      </w:pPr>
      <w:r>
        <w:rPr>
          <w:rFonts w:hint="eastAsia" w:ascii="仿宋" w:hAnsi="仿宋" w:eastAsia="仿宋" w:cs="仿宋"/>
          <w:b/>
          <w:bCs/>
          <w:sz w:val="44"/>
          <w:szCs w:val="44"/>
        </w:rPr>
        <w:t>2018年度部门决算信息及有关情况说明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    录</w:t>
      </w:r>
    </w:p>
    <w:p>
      <w:pPr>
        <w:spacing w:line="360" w:lineRule="auto"/>
        <w:jc w:val="center"/>
        <w:rPr>
          <w:rFonts w:ascii="仿宋" w:hAnsi="仿宋" w:eastAsia="仿宋" w:cs="仿宋"/>
          <w:b/>
          <w:bCs/>
          <w:sz w:val="44"/>
          <w:szCs w:val="44"/>
        </w:rPr>
      </w:pPr>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三、部门决算编报范围及</w:t>
      </w:r>
      <w:r>
        <w:rPr>
          <w:rFonts w:hint="eastAsia" w:ascii="仿宋" w:hAnsi="仿宋" w:eastAsia="仿宋" w:cs="仿宋"/>
          <w:sz w:val="32"/>
          <w:szCs w:val="32"/>
        </w:rPr>
        <w:t>人员构成</w:t>
      </w:r>
    </w:p>
    <w:p>
      <w:pPr>
        <w:widowControl/>
        <w:spacing w:line="360" w:lineRule="auto"/>
        <w:jc w:val="left"/>
        <w:rPr>
          <w:rFonts w:ascii="仿宋" w:hAnsi="仿宋" w:eastAsia="仿宋" w:cs="仿宋"/>
          <w:sz w:val="32"/>
          <w:szCs w:val="32"/>
        </w:rPr>
      </w:pPr>
    </w:p>
    <w:p>
      <w:pPr>
        <w:spacing w:line="360" w:lineRule="auto"/>
        <w:ind w:firstLine="964" w:firstLineChars="300"/>
        <w:rPr>
          <w:rFonts w:ascii="仿宋" w:hAnsi="仿宋" w:eastAsia="仿宋" w:cs="仿宋"/>
          <w:b/>
          <w:sz w:val="32"/>
          <w:szCs w:val="32"/>
        </w:rPr>
      </w:pPr>
      <w:r>
        <w:rPr>
          <w:rFonts w:hint="eastAsia" w:ascii="仿宋" w:hAnsi="仿宋" w:eastAsia="仿宋" w:cs="仿宋"/>
          <w:b/>
          <w:sz w:val="32"/>
          <w:szCs w:val="32"/>
        </w:rPr>
        <w:t xml:space="preserve">    第二部分 2018年部门预算执行总体情况说明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 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（三）国有资产占用情况</w:t>
      </w:r>
    </w:p>
    <w:p>
      <w:pPr>
        <w:widowControl/>
        <w:spacing w:line="360" w:lineRule="auto"/>
        <w:jc w:val="left"/>
        <w:rPr>
          <w:rFonts w:ascii="仿宋" w:hAnsi="仿宋" w:eastAsia="仿宋" w:cs="仿宋"/>
          <w:sz w:val="30"/>
          <w:szCs w:val="30"/>
        </w:rPr>
      </w:pPr>
    </w:p>
    <w:p>
      <w:pPr>
        <w:numPr>
          <w:ilvl w:val="0"/>
          <w:numId w:val="2"/>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r>
        <w:rPr>
          <w:rFonts w:hint="eastAsia" w:ascii="仿宋" w:hAnsi="仿宋" w:eastAsia="仿宋" w:cs="仿宋"/>
          <w:b/>
          <w:sz w:val="32"/>
          <w:szCs w:val="32"/>
        </w:rPr>
        <w:t xml:space="preserve">         </w:t>
      </w:r>
    </w:p>
    <w:p>
      <w:pPr>
        <w:spacing w:line="360" w:lineRule="auto"/>
        <w:rPr>
          <w:rFonts w:ascii="仿宋" w:hAnsi="仿宋" w:eastAsia="仿宋" w:cs="仿宋"/>
          <w:b/>
          <w:sz w:val="32"/>
          <w:szCs w:val="32"/>
        </w:rPr>
      </w:pPr>
      <w:r>
        <w:rPr>
          <w:rFonts w:hint="eastAsia" w:ascii="仿宋" w:hAnsi="仿宋" w:eastAsia="仿宋" w:cs="仿宋"/>
          <w:b/>
          <w:sz w:val="32"/>
          <w:szCs w:val="32"/>
        </w:rPr>
        <w:t xml:space="preserve">           第四部分  2018年度部门决算公开表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b/>
          <w:bCs/>
          <w:sz w:val="32"/>
          <w:szCs w:val="32"/>
        </w:rPr>
      </w:pPr>
      <w:r>
        <w:rPr>
          <w:rFonts w:hint="eastAsia" w:ascii="仿宋" w:hAnsi="仿宋" w:eastAsia="仿宋" w:cs="仿宋"/>
          <w:b/>
          <w:bCs/>
          <w:sz w:val="32"/>
          <w:szCs w:val="32"/>
        </w:rPr>
        <w:t xml:space="preserve">               第一部分  单位基本情况</w:t>
      </w:r>
    </w:p>
    <w:p>
      <w:pPr>
        <w:spacing w:line="360" w:lineRule="auto"/>
        <w:rPr>
          <w:rFonts w:ascii="仿宋" w:hAnsi="仿宋" w:eastAsia="仿宋" w:cs="仿宋"/>
          <w:b/>
          <w:bCs/>
          <w:sz w:val="32"/>
          <w:szCs w:val="32"/>
        </w:rPr>
      </w:pP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部门职责</w:t>
      </w:r>
    </w:p>
    <w:p>
      <w:pPr>
        <w:ind w:firstLine="643" w:firstLineChars="200"/>
        <w:rPr>
          <w:rFonts w:ascii="仿宋" w:hAnsi="仿宋" w:eastAsia="仿宋"/>
          <w:sz w:val="32"/>
          <w:szCs w:val="32"/>
        </w:rPr>
      </w:pPr>
      <w:r>
        <w:rPr>
          <w:rFonts w:hint="eastAsia" w:ascii="仿宋" w:hAnsi="仿宋" w:eastAsia="仿宋" w:cs="仿宋"/>
          <w:b/>
          <w:bCs/>
          <w:sz w:val="32"/>
          <w:szCs w:val="32"/>
        </w:rPr>
        <w:t xml:space="preserve">  </w:t>
      </w:r>
      <w:r>
        <w:rPr>
          <w:rFonts w:hint="eastAsia" w:ascii="仿宋" w:hAnsi="仿宋" w:eastAsia="仿宋" w:cs="仿宋"/>
          <w:sz w:val="30"/>
          <w:szCs w:val="30"/>
        </w:rPr>
        <w:t>主要职责：</w:t>
      </w:r>
      <w:r>
        <w:rPr>
          <w:rFonts w:hint="eastAsia" w:ascii="仿宋" w:hAnsi="仿宋" w:eastAsia="仿宋"/>
          <w:sz w:val="32"/>
          <w:szCs w:val="32"/>
        </w:rPr>
        <w:t>1997年11月24日，中共集贤县委第十届第69次常委会议决定成立中共集贤县直属机关工作委员会。2001年11月1日，根据《集贤县党政机关改革方案》（黑编[2001]162号）文件精神，保留中共集贤县直属机关工作委员会，中共集贤县直属机关工作委员会是中共集贤县委的派出机构，主要职责是负责县直属机关党的建设工作；负责县直属各级党组织党的思想、组织、作风建设和党员管理教育；指导县直属各级党组织实施对党员特别是党员领导干部的监督；指导县直属机关党组织配合行政领导抓好思想政治工作、机关作风建设和精神文明建设等工作。按照《集贤县党政机关改革方案的实施意见》（集发[2001]25号），县直机关工委机关设编制6人，领导职数5人。</w:t>
      </w:r>
    </w:p>
    <w:p>
      <w:pPr>
        <w:spacing w:line="360" w:lineRule="auto"/>
        <w:rPr>
          <w:rFonts w:ascii="仿宋" w:hAnsi="仿宋" w:eastAsia="仿宋" w:cs="仿宋"/>
          <w:b/>
          <w:bCs/>
          <w:sz w:val="32"/>
          <w:szCs w:val="32"/>
        </w:rPr>
      </w:pPr>
    </w:p>
    <w:p>
      <w:pPr>
        <w:spacing w:line="360" w:lineRule="auto"/>
        <w:rPr>
          <w:rFonts w:ascii="仿宋" w:hAnsi="仿宋" w:eastAsia="仿宋" w:cs="仿宋"/>
          <w:b/>
          <w:bCs/>
          <w:sz w:val="32"/>
          <w:szCs w:val="32"/>
        </w:rPr>
      </w:pP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机构设置</w:t>
      </w:r>
    </w:p>
    <w:p>
      <w:pPr>
        <w:ind w:firstLine="643" w:firstLineChars="200"/>
        <w:rPr>
          <w:rFonts w:ascii="仿宋" w:hAnsi="仿宋" w:eastAsia="仿宋"/>
          <w:sz w:val="32"/>
          <w:szCs w:val="32"/>
        </w:rPr>
      </w:pPr>
      <w:r>
        <w:rPr>
          <w:rFonts w:hint="eastAsia" w:ascii="仿宋" w:hAnsi="仿宋" w:eastAsia="仿宋" w:cs="仿宋"/>
          <w:b/>
          <w:bCs/>
          <w:sz w:val="32"/>
          <w:szCs w:val="32"/>
        </w:rPr>
        <w:t xml:space="preserve">    </w:t>
      </w:r>
      <w:r>
        <w:rPr>
          <w:rFonts w:hint="eastAsia" w:ascii="仿宋" w:hAnsi="仿宋" w:eastAsia="仿宋"/>
          <w:sz w:val="32"/>
          <w:szCs w:val="32"/>
        </w:rPr>
        <w:t>书记室1个，副书记室1个，办公室1个。</w:t>
      </w:r>
    </w:p>
    <w:p>
      <w:pPr>
        <w:spacing w:line="360" w:lineRule="auto"/>
        <w:rPr>
          <w:rFonts w:ascii="仿宋" w:hAnsi="仿宋" w:eastAsia="仿宋" w:cs="仿宋"/>
          <w:b/>
          <w:bCs/>
          <w:sz w:val="32"/>
          <w:szCs w:val="32"/>
        </w:rPr>
      </w:pPr>
    </w:p>
    <w:p>
      <w:pPr>
        <w:spacing w:line="360" w:lineRule="auto"/>
        <w:rPr>
          <w:rFonts w:ascii="仿宋" w:hAnsi="仿宋" w:eastAsia="仿宋" w:cs="仿宋"/>
          <w:b/>
          <w:bCs/>
          <w:sz w:val="32"/>
          <w:szCs w:val="32"/>
        </w:rPr>
      </w:pP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rPr>
        <w:t>部门决算编报范围及</w:t>
      </w:r>
      <w:r>
        <w:rPr>
          <w:rFonts w:hint="eastAsia" w:ascii="仿宋" w:hAnsi="仿宋" w:eastAsia="仿宋" w:cs="仿宋"/>
          <w:b/>
          <w:bCs/>
          <w:sz w:val="32"/>
          <w:szCs w:val="32"/>
        </w:rPr>
        <w:t xml:space="preserve">人员构成 </w:t>
      </w:r>
    </w:p>
    <w:p>
      <w:pPr>
        <w:widowControl/>
        <w:spacing w:line="315" w:lineRule="atLeast"/>
        <w:ind w:firstLine="628"/>
        <w:rPr>
          <w:rFonts w:ascii="仿宋" w:hAnsi="仿宋" w:eastAsia="仿宋" w:cs="仿宋"/>
          <w:color w:val="000000"/>
          <w:kern w:val="0"/>
          <w:sz w:val="30"/>
          <w:szCs w:val="30"/>
        </w:rPr>
      </w:pPr>
      <w:r>
        <w:rPr>
          <w:rFonts w:hint="eastAsia" w:ascii="仿宋" w:hAnsi="仿宋" w:eastAsia="仿宋" w:cs="仿宋"/>
          <w:color w:val="000000"/>
          <w:kern w:val="0"/>
          <w:sz w:val="30"/>
          <w:szCs w:val="30"/>
        </w:rPr>
        <w:t>2018年度纳入本部门决算的编制范围的单位有 1个，为集贤县直属机关工作委员会。</w:t>
      </w:r>
    </w:p>
    <w:p>
      <w:pPr>
        <w:widowControl/>
        <w:spacing w:line="315" w:lineRule="atLeast"/>
        <w:ind w:firstLine="628"/>
        <w:rPr>
          <w:rFonts w:ascii="仿宋" w:hAnsi="仿宋" w:eastAsia="仿宋" w:cs="仿宋"/>
          <w:sz w:val="30"/>
          <w:szCs w:val="30"/>
        </w:rPr>
      </w:pPr>
      <w:r>
        <w:rPr>
          <w:rFonts w:hint="eastAsia" w:ascii="仿宋" w:hAnsi="仿宋" w:eastAsia="仿宋" w:cs="仿宋"/>
          <w:color w:val="000000"/>
          <w:kern w:val="0"/>
          <w:sz w:val="30"/>
          <w:szCs w:val="30"/>
        </w:rPr>
        <w:t xml:space="preserve"> 2018年末</w:t>
      </w:r>
      <w:r>
        <w:rPr>
          <w:rFonts w:hint="eastAsia" w:ascii="仿宋" w:hAnsi="仿宋" w:eastAsia="仿宋" w:cs="仿宋"/>
          <w:sz w:val="30"/>
          <w:szCs w:val="30"/>
        </w:rPr>
        <w:t xml:space="preserve">行政编制  6 人，事业编制  0人；年末机构实有人数 5 人，其中：在职人员  5人，离休人员  0 人。 </w:t>
      </w:r>
    </w:p>
    <w:p>
      <w:pPr>
        <w:widowControl/>
        <w:spacing w:line="360" w:lineRule="auto"/>
        <w:ind w:firstLine="640"/>
        <w:jc w:val="left"/>
        <w:rPr>
          <w:rFonts w:ascii="仿宋" w:hAnsi="仿宋" w:eastAsia="仿宋" w:cs="仿宋"/>
          <w:sz w:val="30"/>
          <w:szCs w:val="30"/>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第二部分 2018年部门预算执行总体情况说明</w:t>
      </w:r>
    </w:p>
    <w:p>
      <w:pPr>
        <w:spacing w:line="360" w:lineRule="auto"/>
        <w:jc w:val="left"/>
        <w:rPr>
          <w:rFonts w:ascii="仿宋" w:hAnsi="仿宋" w:eastAsia="仿宋" w:cs="仿宋"/>
          <w:sz w:val="32"/>
          <w:szCs w:val="32"/>
        </w:rPr>
      </w:pP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kern w:val="0"/>
          <w:sz w:val="30"/>
          <w:szCs w:val="30"/>
        </w:rPr>
        <w:t>2018年度部门决算收、支总计 60.27  万元，其中：本年收入   60.27万元；用事业基金弥补收支差额  0 万元；年初结转和结余   0万元；本年支出  60.27 万元；结余分配  0万元，年末结转和结余   0万元。</w:t>
      </w:r>
      <w:r>
        <w:rPr>
          <w:rFonts w:hint="eastAsia" w:ascii="仿宋" w:hAnsi="仿宋" w:eastAsia="仿宋" w:cs="仿宋"/>
          <w:sz w:val="30"/>
          <w:szCs w:val="30"/>
        </w:rPr>
        <w:t>与 2017年度相比，收、支总计均减少 23.16  万元，下降38.4 %。决算数小于预算数的主要原因是退休人员纳入社保统一管理。</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本年收入合计 60.27 万元，与 2017年度相比，减少  51.46    万元，同比下降  46.1  %。主要原因：退休人员纳入社保统一管理。    。          </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其中：财政拨款收入 60.27   万元，占收入合计的  100 %；事业收入   0 万元，占   0 %；其他收入  0  万元，占收入合计的 0   %。</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本年支出合计  60.27万元，与2017年度相比，减少51.46万元，同比下降  46.1   %。主要原因：退休人员纳入社保统一管理。            </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其中：基本支出 56.9 万元，占支出合计的  94.4 %；项目支出     3.37万元，占支出合计的 0.6 %。</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2018年度财政拨款收、支总计60.27万元。与 2017年度相比，财政拨款收、支总计减少51.46 万元，下降46.1  %。决算数小于预算数的主要原因是退休人员纳入社保统一管理。</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五、一般公共预算财政拨款支出决算情况说明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（一）一般公共预算财政拨款支出决算总体情况。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2018年度一般公共预算财政拨款支出 60.27万元，与2017年决算数相比，减少  51.46    万元，同比下降  46.1   %。主要原因：退休人员纳入社保统一管理。             </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（二）一般公共预算财政拨款支出决算结构情况。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2018年度一般公共预算财政拨款支出 60.27 万元，主要用于以下方面：一般公共服务支出（类）44.32  万元，占73.5 %；社会保障和就业支出（类）12.56  万元，占 20.8 %； 住房保障支出（类）  3.4万元，占  5.6%。</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2018年度一般公共预算财政拨款支出年初预算为 83.43  万元，支出决算为 60.27  万元，完成年初预算的 72.2  %。其中：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1按照支出性质分类：基本支出 56.9万元，占总支</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出 94.4%；项目支出3.37 万元，占总支出 5.6%。</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2按照支出功能分类：</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社会保障和就业支出（类）行政事业单位离退休（款）其他行政事业单位离退休支出（项）年初预算为48.47万元，支出决算为支出12.56万元，完成年初预算的25.9%。决算数小于预算数的主要原因是退休人员纳入社保统一管理。</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2、住房保障支出（类）住房改革支出（款）住房公积金（项）年初预算支出为3.4万元，支出决算为支出3.4万元，完成年初预算的100%。决算数等于预算数的主要原因是严格按照年初预算执行。</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2018年度一般公共预算财政拨款基本支出56.9 万元，其中：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人员经费  48.27 万元，主要包括：基本工资</w:t>
      </w:r>
      <w:r>
        <w:rPr>
          <w:rFonts w:hint="eastAsia" w:ascii="仿宋" w:hAnsi="仿宋" w:eastAsia="仿宋" w:cs="仿宋"/>
          <w:sz w:val="30"/>
          <w:szCs w:val="30"/>
          <w:lang w:eastAsia="zh-CN"/>
        </w:rPr>
        <w:t>、</w:t>
      </w:r>
      <w:r>
        <w:rPr>
          <w:rFonts w:hint="eastAsia" w:ascii="仿宋" w:hAnsi="仿宋" w:eastAsia="仿宋" w:cs="仿宋"/>
          <w:sz w:val="30"/>
          <w:szCs w:val="30"/>
        </w:rPr>
        <w:t>津贴补贴、奖金住房公积金</w:t>
      </w:r>
      <w:r>
        <w:rPr>
          <w:rFonts w:hint="eastAsia" w:ascii="仿宋" w:hAnsi="仿宋" w:eastAsia="仿宋" w:cs="仿宋"/>
          <w:sz w:val="30"/>
          <w:szCs w:val="30"/>
          <w:lang w:eastAsia="zh-CN"/>
        </w:rPr>
        <w:t>、</w:t>
      </w:r>
      <w:r>
        <w:rPr>
          <w:rFonts w:hint="eastAsia" w:ascii="仿宋" w:hAnsi="仿宋" w:eastAsia="仿宋" w:cs="仿宋"/>
          <w:sz w:val="30"/>
          <w:szCs w:val="30"/>
        </w:rPr>
        <w:t>其他对个人和家庭的补助支出；</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公用经费 8.63万元，主要包括：办公费、维修（护）费</w:t>
      </w:r>
      <w:r>
        <w:rPr>
          <w:rFonts w:hint="eastAsia" w:ascii="仿宋" w:hAnsi="仿宋" w:eastAsia="仿宋" w:cs="仿宋"/>
          <w:sz w:val="30"/>
          <w:szCs w:val="30"/>
          <w:lang w:eastAsia="zh-CN"/>
        </w:rPr>
        <w:t>、</w:t>
      </w:r>
      <w:r>
        <w:rPr>
          <w:rFonts w:hint="eastAsia" w:ascii="仿宋" w:hAnsi="仿宋" w:eastAsia="仿宋" w:cs="仿宋"/>
          <w:sz w:val="30"/>
          <w:szCs w:val="30"/>
        </w:rPr>
        <w:t>劳务费</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2018年度“三公”经费财政拨款支出决算为 0万元，比2017年增加（减少）0   万元，增长（下降）   0%,主要原因是  0  。年初预算为   0 万元，完成预算的 0 %，2018年度“三公”经费支出决算数小于预算数的主要原因是  0  。</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b/>
          <w:bCs/>
          <w:sz w:val="30"/>
          <w:szCs w:val="30"/>
        </w:rPr>
        <w:t>因公出国（境）费</w:t>
      </w:r>
      <w:r>
        <w:rPr>
          <w:rFonts w:hint="eastAsia" w:ascii="仿宋" w:hAnsi="仿宋" w:eastAsia="仿宋" w:cs="仿宋"/>
          <w:sz w:val="30"/>
          <w:szCs w:val="30"/>
        </w:rPr>
        <w:t>年初预算为0万元，支出决算为 0万元，完成预算的 0%，主要用于  0 。决算数小于预算数的主要原因：无；与上年决算相比，增加（减少）0万元，增长（下降）0%，主要原因是无；全年安排因公出国（境）团组0个，累计0人次。</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b/>
          <w:bCs/>
          <w:sz w:val="30"/>
          <w:szCs w:val="30"/>
        </w:rPr>
        <w:t>公务用车购置及运行费</w:t>
      </w:r>
      <w:r>
        <w:rPr>
          <w:rFonts w:hint="eastAsia" w:ascii="仿宋" w:hAnsi="仿宋" w:eastAsia="仿宋" w:cs="仿宋"/>
          <w:sz w:val="30"/>
          <w:szCs w:val="30"/>
        </w:rPr>
        <w:t>年初预算为  0 万元，支出决算为 0  万元，完成预算的  0  %；与上年决算比减少（增加）  0 万元，下降（增长） 0   %，主要原因是    0  ；其中：公务用车购置支出  0 万元，主要用于    0   ，与上年决算比减少（增加）  0 万元，下降（增长） 0   %；公务用车运行维护费   0万元，主要用于  0   ，与上年决算比减少（增加）  0 万元，下降（增长） 0   %；公务用车购置数   0 辆，公务用车保有量    0  辆。</w:t>
      </w:r>
    </w:p>
    <w:p>
      <w:pPr>
        <w:widowControl/>
        <w:spacing w:line="360" w:lineRule="auto"/>
        <w:ind w:firstLine="602" w:firstLineChars="200"/>
        <w:jc w:val="left"/>
        <w:rPr>
          <w:rFonts w:ascii="仿宋" w:hAnsi="仿宋" w:eastAsia="仿宋" w:cs="仿宋"/>
          <w:sz w:val="30"/>
          <w:szCs w:val="30"/>
        </w:rPr>
      </w:pPr>
      <w:r>
        <w:rPr>
          <w:rFonts w:hint="eastAsia" w:ascii="仿宋" w:hAnsi="仿宋" w:eastAsia="仿宋" w:cs="仿宋"/>
          <w:b/>
          <w:bCs/>
          <w:sz w:val="30"/>
          <w:szCs w:val="30"/>
        </w:rPr>
        <w:t>3、公务接待费</w:t>
      </w:r>
      <w:r>
        <w:rPr>
          <w:rFonts w:hint="eastAsia" w:ascii="仿宋" w:hAnsi="仿宋" w:eastAsia="仿宋" w:cs="仿宋"/>
          <w:sz w:val="30"/>
          <w:szCs w:val="30"/>
        </w:rPr>
        <w:t>年初预算为  0 万元，支出决算为 0  万元，完成预算的   0 %，主要用于：  0      ；与上年决算比减少（增加）   万元，下降（增长）  0  %，主要原因是     0 。其中：国内公务接待费    0 万元，国内公务接待批次  0个，国内公务接待0人次   人；国（境）外公务接待费0万元，国（境）外公务接待批次 0个，国（境）外公务接待人次 0 人。</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 xml:space="preserve">    八、政府性基金预算财政拨款收入支出决算情况说明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2018年度政府性基金预算财政拨款年初结转和结余  0 万元，本年收入决算数   0万元，本年支出决算数 0  万元，年末结转和结余   0万元。与 2017年相比，政府性基金预算财政拨款支出增加（减少）0万元，增长（下降）  0 %，主要原因是 0 。</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年初预算为0万元，支出决算为0 万元。本年收入0万元，已结转下年。</w:t>
      </w:r>
    </w:p>
    <w:p>
      <w:pPr>
        <w:widowControl/>
        <w:numPr>
          <w:ilvl w:val="0"/>
          <w:numId w:val="5"/>
        </w:numPr>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预算绩效管理工作开展情况说明。</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 xml:space="preserve">     </w:t>
      </w:r>
      <w:r>
        <w:rPr>
          <w:rFonts w:hint="eastAsia" w:ascii="仿宋" w:hAnsi="仿宋" w:eastAsia="仿宋" w:cs="仿宋"/>
          <w:sz w:val="32"/>
          <w:szCs w:val="32"/>
        </w:rPr>
        <w:t>2018年度没有20万元以上项目、政府购买公共服务项目和市级以上专项，故没有开展绩效评价工作。</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十、其他重要事项情况说明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（一）机关运行经费支出情况</w:t>
      </w:r>
    </w:p>
    <w:p>
      <w:pPr>
        <w:widowControl/>
        <w:spacing w:line="360" w:lineRule="auto"/>
        <w:ind w:firstLine="600"/>
        <w:jc w:val="left"/>
        <w:rPr>
          <w:rFonts w:ascii="仿宋" w:hAnsi="仿宋" w:eastAsia="仿宋" w:cs="仿宋"/>
          <w:sz w:val="30"/>
          <w:szCs w:val="30"/>
        </w:rPr>
      </w:pPr>
      <w:r>
        <w:rPr>
          <w:rFonts w:hint="eastAsia" w:ascii="仿宋" w:hAnsi="仿宋" w:eastAsia="仿宋" w:cs="仿宋"/>
          <w:sz w:val="30"/>
          <w:szCs w:val="30"/>
        </w:rPr>
        <w:t xml:space="preserve">2018年度机关运行经费支出  8.63万元，较年初预算减少3.6 9 万元，下降 30.0  %，主要原因节约开资；较上年决算减少3.6 9 </w:t>
      </w:r>
      <w:bookmarkStart w:id="0" w:name="_GoBack"/>
      <w:bookmarkEnd w:id="0"/>
      <w:r>
        <w:rPr>
          <w:rFonts w:hint="eastAsia" w:ascii="仿宋" w:hAnsi="仿宋" w:eastAsia="仿宋" w:cs="仿宋"/>
          <w:sz w:val="30"/>
          <w:szCs w:val="30"/>
        </w:rPr>
        <w:t xml:space="preserve"> 万元，同比下降30.0 % ，主要原因是：节约开资 。</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（二）政府采购支出情况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2018年本部门政府采购支出总额 0 万元，其中：政府采购货物支出  0 万元、政府采购工程支出  0 万元、政府采购服务支出  0 万元。授予中小企业合同金额 0  万元，占政府采购支出总额的  0  %。其中：授予小微企业合同金额   0万元，占政府采购支出总额的  0  %。</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（三）国有资产占用情况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截至2018年12月31日，本部门共有车辆 0 辆，其中：副部（省）级及以上领导用车0辆、主要领导干部用车  0  辆、机要通信用车  0  辆，应急保障用车  0  辆、执法执勤用车  0 辆、特种专业技术用车   0辆、离退休干部用车0   辆，其他用车0  辆。单价50万元以上通用设备0     台(套)，单价100万元以上专用设备 0 台(套)。</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 名词解释</w:t>
      </w:r>
    </w:p>
    <w:p>
      <w:pPr>
        <w:spacing w:line="360" w:lineRule="auto"/>
        <w:rPr>
          <w:rFonts w:ascii="仿宋" w:hAnsi="仿宋" w:eastAsia="仿宋" w:cs="仿宋"/>
          <w:sz w:val="30"/>
          <w:szCs w:val="30"/>
        </w:rPr>
      </w:pPr>
    </w:p>
    <w:p>
      <w:pPr>
        <w:spacing w:line="360" w:lineRule="auto"/>
        <w:ind w:firstLine="660"/>
        <w:rPr>
          <w:rFonts w:ascii="仿宋" w:hAnsi="仿宋" w:eastAsia="仿宋" w:cs="仿宋"/>
          <w:sz w:val="32"/>
          <w:szCs w:val="32"/>
        </w:rPr>
      </w:pPr>
      <w:r>
        <w:rPr>
          <w:rFonts w:hint="eastAsia" w:ascii="仿宋" w:hAnsi="仿宋" w:eastAsia="仿宋" w:cs="仿宋"/>
          <w:sz w:val="30"/>
          <w:szCs w:val="30"/>
        </w:rPr>
        <w:t xml:space="preserve">根据《2018年政府收支分类科目》对2018年度部门决算公开中相关名词解释如下：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spacing w:line="360" w:lineRule="auto"/>
        <w:ind w:firstLine="660"/>
        <w:rPr>
          <w:rFonts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widowControl/>
        <w:spacing w:line="360" w:lineRule="auto"/>
        <w:ind w:firstLine="600" w:firstLineChars="200"/>
        <w:jc w:val="left"/>
        <w:rPr>
          <w:rFonts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widowControl/>
        <w:spacing w:line="360" w:lineRule="auto"/>
        <w:ind w:firstLine="645"/>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基本支出：指为保障机构正常运转、完成日常工作任务而发生的人员支出和公用支出。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政府采购：指国家各级政府为从事日常的政务活动或为了满足公共服务的目的，利用国家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fldChar w:fldCharType="begin"/>
      </w:r>
      <w:r>
        <w:instrText xml:space="preserve"> HYPERLINK "http://baike.so.com/doc/4796448-5012566.html" \t "_blank" </w:instrText>
      </w:r>
      <w: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国有资产：国有资产是法律上确定为国家所有并能为国家提供经济和</w:t>
      </w:r>
      <w:r>
        <w:fldChar w:fldCharType="begin"/>
      </w:r>
      <w:r>
        <w:instrText xml:space="preserve"> HYPERLINK "http://baike.so.com/doc/741806-785246.html" \t "_blank" </w:instrText>
      </w:r>
      <w: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fldChar w:fldCharType="begin"/>
      </w:r>
      <w:r>
        <w:instrText xml:space="preserve"> HYPERLINK "http://baike.so.com/doc/7798608-8072703.html" \t "_blank" </w:instrText>
      </w:r>
      <w: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fldChar w:fldCharType="begin"/>
      </w:r>
      <w:r>
        <w:instrText xml:space="preserve"> HYPERLINK "http://baike.so.com/doc/5368106-5603892.html" \t "_blank" </w:instrText>
      </w:r>
      <w: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fldChar w:fldCharType="begin"/>
      </w:r>
      <w:r>
        <w:instrText xml:space="preserve"> HYPERLINK "http://baike.so.com/doc/5399886-5637441.html" \t "_blank" </w:instrText>
      </w:r>
      <w: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widowControl/>
        <w:spacing w:line="360" w:lineRule="auto"/>
        <w:ind w:firstLine="600" w:firstLineChars="200"/>
        <w:jc w:val="left"/>
        <w:rPr>
          <w:rFonts w:ascii="仿宋" w:hAnsi="仿宋" w:eastAsia="仿宋" w:cs="仿宋"/>
          <w:bCs/>
          <w:color w:val="111111"/>
          <w:kern w:val="0"/>
          <w:sz w:val="30"/>
          <w:szCs w:val="30"/>
        </w:rPr>
      </w:pP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附件：2018年度部门决算公开表格</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收入支出决算总表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spacing w:line="360" w:lineRule="auto"/>
        <w:ind w:firstLine="600" w:firstLineChars="200"/>
        <w:rPr>
          <w:rFonts w:ascii="仿宋" w:hAnsi="仿宋" w:eastAsia="仿宋" w:cs="仿宋"/>
          <w:kern w:val="0"/>
          <w:sz w:val="30"/>
          <w:szCs w:val="30"/>
        </w:rPr>
      </w:pPr>
    </w:p>
    <w:p>
      <w:pPr>
        <w:spacing w:line="360" w:lineRule="auto"/>
        <w:rPr>
          <w:rFonts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AA4C5C"/>
    <w:multiLevelType w:val="singleLevel"/>
    <w:tmpl w:val="53AA4C5C"/>
    <w:lvl w:ilvl="0" w:tentative="0">
      <w:start w:val="3"/>
      <w:numFmt w:val="chineseCounting"/>
      <w:suff w:val="space"/>
      <w:lvlText w:val="第%1部分"/>
      <w:lvlJc w:val="left"/>
      <w:rPr>
        <w:rFonts w:hint="eastAsia"/>
      </w:rPr>
    </w:lvl>
  </w:abstractNum>
  <w:abstractNum w:abstractNumId="3">
    <w:nsid w:val="5D75BB9F"/>
    <w:multiLevelType w:val="singleLevel"/>
    <w:tmpl w:val="5D75BB9F"/>
    <w:lvl w:ilvl="0" w:tentative="0">
      <w:start w:val="1"/>
      <w:numFmt w:val="chineseCounting"/>
      <w:suff w:val="nothing"/>
      <w:lvlText w:val="%1、"/>
      <w:lvlJc w:val="left"/>
    </w:lvl>
  </w:abstractNum>
  <w:abstractNum w:abstractNumId="4">
    <w:nsid w:val="5D7EDA3B"/>
    <w:multiLevelType w:val="singleLevel"/>
    <w:tmpl w:val="5D7EDA3B"/>
    <w:lvl w:ilvl="0" w:tentative="0">
      <w:start w:val="9"/>
      <w:numFmt w:val="chineseCounting"/>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41522A4"/>
    <w:rsid w:val="00197B75"/>
    <w:rsid w:val="00270334"/>
    <w:rsid w:val="002F062F"/>
    <w:rsid w:val="003379A6"/>
    <w:rsid w:val="004D28BB"/>
    <w:rsid w:val="005A5A12"/>
    <w:rsid w:val="005C332E"/>
    <w:rsid w:val="006F671B"/>
    <w:rsid w:val="00817A5E"/>
    <w:rsid w:val="008557E7"/>
    <w:rsid w:val="008F4D9D"/>
    <w:rsid w:val="00956F46"/>
    <w:rsid w:val="0098310E"/>
    <w:rsid w:val="00A52B0D"/>
    <w:rsid w:val="00D0430B"/>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41522A4"/>
    <w:rsid w:val="145C1DAC"/>
    <w:rsid w:val="145E21B2"/>
    <w:rsid w:val="149D7C22"/>
    <w:rsid w:val="14C16853"/>
    <w:rsid w:val="15CE4E6C"/>
    <w:rsid w:val="16292D38"/>
    <w:rsid w:val="164964BC"/>
    <w:rsid w:val="16BC76C9"/>
    <w:rsid w:val="16EA1D4C"/>
    <w:rsid w:val="17A60DC6"/>
    <w:rsid w:val="180D60E6"/>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F494622"/>
    <w:rsid w:val="2F574F68"/>
    <w:rsid w:val="2FA56B72"/>
    <w:rsid w:val="2FA8566D"/>
    <w:rsid w:val="2FF44D1F"/>
    <w:rsid w:val="301E1A57"/>
    <w:rsid w:val="305A001C"/>
    <w:rsid w:val="30D01C13"/>
    <w:rsid w:val="312D1038"/>
    <w:rsid w:val="31431466"/>
    <w:rsid w:val="31B12627"/>
    <w:rsid w:val="31B14F25"/>
    <w:rsid w:val="32117BFA"/>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6487E"/>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5114AD5"/>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7F6176"/>
    <w:rsid w:val="4B292024"/>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7218BE"/>
    <w:rsid w:val="5533174C"/>
    <w:rsid w:val="55750B95"/>
    <w:rsid w:val="55FD2C9C"/>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70254C6"/>
    <w:rsid w:val="77EC3589"/>
    <w:rsid w:val="77FD2102"/>
    <w:rsid w:val="79256D0D"/>
    <w:rsid w:val="799A1446"/>
    <w:rsid w:val="7A3A52C0"/>
    <w:rsid w:val="7B483738"/>
    <w:rsid w:val="7C9B09F8"/>
    <w:rsid w:val="7D2865F7"/>
    <w:rsid w:val="7D456302"/>
    <w:rsid w:val="7D5B6D22"/>
    <w:rsid w:val="7DC032B1"/>
    <w:rsid w:val="7EFE21F5"/>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Autospacing="1"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14</Pages>
  <Words>1077</Words>
  <Characters>6145</Characters>
  <Lines>51</Lines>
  <Paragraphs>14</Paragraphs>
  <TotalTime>68</TotalTime>
  <ScaleCrop>false</ScaleCrop>
  <LinksUpToDate>false</LinksUpToDate>
  <CharactersWithSpaces>7208</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2019-09-22T02:05:34Z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