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中共集贤县委集贤县人民政府信访局</w:t>
      </w: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2018年度部门决算信息及有关情况说明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 xml:space="preserve">    第二部分 2018年部门预算执行总体情况说明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2018年度部门决算公开表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spacing w:line="360" w:lineRule="auto"/>
        <w:ind w:firstLine="600" w:firstLineChars="200"/>
        <w:rPr>
          <w:rFonts w:ascii="仿宋" w:hAnsi="仿宋" w:eastAsia="仿宋" w:cs="仿宋"/>
          <w:b/>
          <w:bCs/>
          <w:sz w:val="32"/>
          <w:szCs w:val="32"/>
        </w:rPr>
      </w:pPr>
      <w:r>
        <w:rPr>
          <w:rFonts w:hint="eastAsia" w:ascii="仿宋" w:hAnsi="仿宋" w:eastAsia="仿宋" w:cs="仿宋"/>
          <w:sz w:val="30"/>
          <w:szCs w:val="30"/>
        </w:rPr>
        <w:t>主要职责：中共集贤县委集贤县人民政府信访局</w:t>
      </w:r>
      <w:r>
        <w:rPr>
          <w:rFonts w:hint="eastAsia" w:ascii="仿宋" w:hAnsi="仿宋" w:eastAsia="仿宋"/>
          <w:sz w:val="30"/>
          <w:szCs w:val="30"/>
        </w:rPr>
        <w:t>是县委、县政府受理群众来信、来访、来电的综合协调部门。主要职能是接待处理群众来信、来访、首长电话、电子信箱、信访复查、案件督查；解答群众提出的有关法律、法规、政策咨询；向同级各单位交办信访事宜；协调、督办、检查信访工作和案件处理；向领导机关反映社情民意；承办上级或领导批办的信访事项和案件。</w:t>
      </w: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ind w:firstLine="600" w:firstLineChars="200"/>
        <w:rPr>
          <w:rFonts w:ascii="仿宋" w:hAnsi="仿宋" w:eastAsia="仿宋" w:cs="仿宋"/>
          <w:b/>
          <w:bCs/>
          <w:sz w:val="30"/>
          <w:szCs w:val="30"/>
        </w:rPr>
      </w:pPr>
      <w:r>
        <w:rPr>
          <w:rFonts w:hint="eastAsia" w:ascii="仿宋" w:hAnsi="仿宋" w:eastAsia="仿宋" w:cs="仿宋"/>
          <w:sz w:val="30"/>
          <w:szCs w:val="30"/>
        </w:rPr>
        <w:t>中共集贤县委集贤县人民政府信访局</w:t>
      </w:r>
      <w:r>
        <w:rPr>
          <w:rFonts w:hint="eastAsia" w:ascii="仿宋" w:hAnsi="仿宋" w:eastAsia="仿宋"/>
          <w:sz w:val="30"/>
          <w:szCs w:val="30"/>
        </w:rPr>
        <w:t>内设5个机构，分别为：接待股、综合股（人民建议征集办公室）、电话办、督查股、处信股。</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ascii="仿宋" w:hAnsi="仿宋" w:eastAsia="仿宋" w:cs="仿宋"/>
          <w:sz w:val="30"/>
          <w:szCs w:val="30"/>
        </w:rPr>
      </w:pPr>
      <w:r>
        <w:rPr>
          <w:rFonts w:hint="eastAsia" w:ascii="仿宋" w:hAnsi="仿宋" w:eastAsia="仿宋" w:cs="仿宋"/>
          <w:color w:val="000000"/>
          <w:kern w:val="0"/>
          <w:sz w:val="30"/>
          <w:szCs w:val="30"/>
        </w:rPr>
        <w:t>2018年度纳入本部门决算的编制范围的单位有1个，为</w:t>
      </w:r>
      <w:r>
        <w:rPr>
          <w:rFonts w:hint="eastAsia" w:ascii="仿宋" w:hAnsi="仿宋" w:eastAsia="仿宋" w:cs="仿宋"/>
          <w:sz w:val="30"/>
          <w:szCs w:val="30"/>
        </w:rPr>
        <w:t>中共集贤县委集贤县人民政府信访局</w:t>
      </w:r>
      <w:r>
        <w:rPr>
          <w:rFonts w:hint="eastAsia" w:ascii="仿宋" w:hAnsi="仿宋" w:eastAsia="仿宋" w:cs="仿宋"/>
          <w:color w:val="000000"/>
          <w:kern w:val="0"/>
          <w:sz w:val="30"/>
          <w:szCs w:val="30"/>
        </w:rPr>
        <w:t>。2018年末</w:t>
      </w:r>
      <w:r>
        <w:rPr>
          <w:rFonts w:hint="eastAsia" w:ascii="仿宋" w:hAnsi="仿宋" w:eastAsia="仿宋" w:cs="仿宋"/>
          <w:sz w:val="30"/>
          <w:szCs w:val="30"/>
        </w:rPr>
        <w:t xml:space="preserve">行政编制7人，事业编制6人；年末机构实有人数18人，其中：在职人员13人，退休人员5人。 </w:t>
      </w:r>
    </w:p>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第二部分 2018年部门预算执行总体情况说明</w:t>
      </w:r>
    </w:p>
    <w:p>
      <w:pPr>
        <w:spacing w:line="360" w:lineRule="auto"/>
        <w:jc w:val="center"/>
        <w:rPr>
          <w:rFonts w:ascii="仿宋" w:hAnsi="仿宋" w:eastAsia="仿宋" w:cs="仿宋"/>
          <w:b/>
          <w:bCs/>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rPr>
        <w:t>2018年度部门决算收、支总计960.09万元，其中：本年收入960.09万元；用事业基金弥补收支差额 0万元；年初结转和结余0万元；本年支出960.09万元；结余分配0万元，年末结转和结余0万元。</w:t>
      </w:r>
      <w:r>
        <w:rPr>
          <w:rFonts w:hint="eastAsia" w:ascii="仿宋" w:hAnsi="仿宋" w:eastAsia="仿宋" w:cs="仿宋"/>
          <w:sz w:val="30"/>
          <w:szCs w:val="30"/>
        </w:rPr>
        <w:t>与 2017年度相比，收、支总计均减少634.17万元，同比下降66</w:t>
      </w:r>
      <w:r>
        <w:rPr>
          <w:rFonts w:hint="eastAsia" w:ascii="仿宋" w:hAnsi="仿宋" w:eastAsia="仿宋" w:cs="仿宋"/>
          <w:sz w:val="30"/>
          <w:szCs w:val="30"/>
          <w:lang w:val="en-US" w:eastAsia="zh-CN"/>
        </w:rPr>
        <w:t>.1</w:t>
      </w:r>
      <w:r>
        <w:rPr>
          <w:rFonts w:hint="eastAsia" w:ascii="仿宋" w:hAnsi="仿宋" w:eastAsia="仿宋" w:cs="仿宋"/>
          <w:sz w:val="30"/>
          <w:szCs w:val="30"/>
        </w:rPr>
        <w:t>%。主要原因：</w:t>
      </w:r>
      <w:r>
        <w:rPr>
          <w:rFonts w:hint="eastAsia" w:ascii="仿宋" w:hAnsi="仿宋" w:eastAsia="仿宋"/>
          <w:sz w:val="32"/>
        </w:rPr>
        <w:t>信访案件减少、解决信访问题支出减少</w:t>
      </w:r>
      <w:r>
        <w:rPr>
          <w:rFonts w:hint="eastAsia" w:ascii="仿宋" w:hAnsi="仿宋" w:eastAsia="仿宋" w:cs="仿宋"/>
          <w:sz w:val="30"/>
          <w:szCs w:val="30"/>
        </w:rPr>
        <w:t xml:space="preserve">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本年收入合计960.09万元，与 2017年度相比，减少634.17万元，同比下降 66 </w:t>
      </w:r>
      <w:r>
        <w:rPr>
          <w:rFonts w:hint="eastAsia" w:ascii="仿宋" w:hAnsi="仿宋" w:eastAsia="仿宋" w:cs="仿宋"/>
          <w:sz w:val="30"/>
          <w:szCs w:val="30"/>
          <w:lang w:val="en-US" w:eastAsia="zh-CN"/>
        </w:rPr>
        <w:t>.1</w:t>
      </w:r>
      <w:r>
        <w:rPr>
          <w:rFonts w:hint="eastAsia" w:ascii="仿宋" w:hAnsi="仿宋" w:eastAsia="仿宋" w:cs="仿宋"/>
          <w:sz w:val="30"/>
          <w:szCs w:val="30"/>
        </w:rPr>
        <w:t>%。主要原因：</w:t>
      </w:r>
      <w:r>
        <w:rPr>
          <w:rFonts w:hint="eastAsia" w:ascii="仿宋" w:hAnsi="仿宋" w:eastAsia="仿宋"/>
          <w:sz w:val="32"/>
        </w:rPr>
        <w:t>信访案件减少、解决信访问题支出减少</w:t>
      </w:r>
      <w:r>
        <w:rPr>
          <w:rFonts w:hint="eastAsia" w:ascii="仿宋" w:hAnsi="仿宋" w:eastAsia="仿宋" w:cs="仿宋"/>
          <w:sz w:val="30"/>
          <w:szCs w:val="30"/>
        </w:rPr>
        <w:t xml:space="preserve">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其中：财政拨款收入960.09 万元，占收入合计的100%；事业收入0万元，占0%；其他收入0万元，占收入合计的0%。</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本年支出合计960.09万元，与2017年度相比，减少724.31万元，同比下降75</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%。主要原因：</w:t>
      </w:r>
      <w:r>
        <w:rPr>
          <w:rFonts w:hint="eastAsia" w:ascii="仿宋" w:hAnsi="仿宋" w:eastAsia="仿宋"/>
          <w:sz w:val="32"/>
        </w:rPr>
        <w:t>信访案件减少、解决信访问题支出减少</w:t>
      </w:r>
      <w:r>
        <w:rPr>
          <w:rFonts w:hint="eastAsia" w:ascii="仿宋" w:hAnsi="仿宋" w:eastAsia="仿宋" w:cs="仿宋"/>
          <w:sz w:val="30"/>
          <w:szCs w:val="30"/>
        </w:rPr>
        <w:t xml:space="preserve"> 。          </w:t>
      </w:r>
    </w:p>
    <w:p>
      <w:pPr>
        <w:jc w:val="left"/>
        <w:rPr>
          <w:rFonts w:ascii="仿宋" w:hAnsi="仿宋" w:eastAsia="仿宋" w:cs="仿宋"/>
          <w:sz w:val="30"/>
          <w:szCs w:val="30"/>
        </w:rPr>
      </w:pPr>
      <w:r>
        <w:rPr>
          <w:rFonts w:hint="eastAsia" w:ascii="仿宋" w:hAnsi="仿宋" w:eastAsia="仿宋" w:cs="仿宋"/>
          <w:sz w:val="30"/>
          <w:szCs w:val="30"/>
        </w:rPr>
        <w:t>其中：基本支出162.09万元，占支出合计的1</w:t>
      </w:r>
      <w:r>
        <w:rPr>
          <w:rFonts w:hint="eastAsia" w:ascii="仿宋" w:hAnsi="仿宋" w:eastAsia="仿宋" w:cs="仿宋"/>
          <w:sz w:val="30"/>
          <w:szCs w:val="30"/>
          <w:lang w:val="en-US" w:eastAsia="zh-CN"/>
        </w:rPr>
        <w:t>6.7</w:t>
      </w:r>
      <w:r>
        <w:rPr>
          <w:rFonts w:hint="eastAsia" w:ascii="仿宋" w:hAnsi="仿宋" w:eastAsia="仿宋" w:cs="仿宋"/>
          <w:sz w:val="30"/>
          <w:szCs w:val="30"/>
        </w:rPr>
        <w:t>%；项目支出798万元，占支出合计的83</w:t>
      </w:r>
      <w:r>
        <w:rPr>
          <w:rFonts w:hint="eastAsia" w:ascii="仿宋" w:hAnsi="仿宋" w:eastAsia="仿宋" w:cs="仿宋"/>
          <w:sz w:val="30"/>
          <w:szCs w:val="30"/>
          <w:lang w:val="en-US" w:eastAsia="zh-CN"/>
        </w:rPr>
        <w:t>.1</w:t>
      </w:r>
      <w:r>
        <w:rPr>
          <w:rFonts w:hint="eastAsia" w:ascii="仿宋" w:hAnsi="仿宋" w:eastAsia="仿宋" w:cs="仿宋"/>
          <w:sz w:val="30"/>
          <w:szCs w:val="30"/>
        </w:rPr>
        <w:t xml:space="preserve">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highlight w:val="yellow"/>
        </w:rPr>
      </w:pPr>
      <w:r>
        <w:rPr>
          <w:rFonts w:hint="eastAsia" w:ascii="仿宋" w:hAnsi="仿宋" w:eastAsia="仿宋" w:cs="仿宋"/>
          <w:sz w:val="30"/>
          <w:szCs w:val="30"/>
        </w:rPr>
        <w:t>2018年度财政拨款收、支总计960.09万元。与 2017年度相比，财政拨款收、支总计各减少724.31万元，下降75</w:t>
      </w: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 %。主要原因：</w:t>
      </w:r>
      <w:r>
        <w:rPr>
          <w:rFonts w:hint="eastAsia" w:ascii="仿宋" w:hAnsi="仿宋" w:eastAsia="仿宋"/>
          <w:sz w:val="32"/>
        </w:rPr>
        <w:t>信访案件减少、解决信访问题支出减少</w:t>
      </w:r>
      <w:r>
        <w:rPr>
          <w:rFonts w:hint="eastAsia" w:ascii="仿宋" w:hAnsi="仿宋" w:eastAsia="仿宋" w:cs="仿宋"/>
          <w:sz w:val="30"/>
          <w:szCs w:val="30"/>
        </w:rPr>
        <w:t xml:space="preserve">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2018年度一般公共预算财政拨款支出960.09万元，与2017年决算数相比，减少 724.31万元，下降75</w:t>
      </w: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 %，主要原因是</w:t>
      </w:r>
      <w:r>
        <w:rPr>
          <w:rFonts w:hint="eastAsia" w:ascii="仿宋" w:hAnsi="仿宋" w:eastAsia="仿宋"/>
          <w:sz w:val="32"/>
        </w:rPr>
        <w:t>信访案件减少、解决信访问题支出减少</w:t>
      </w:r>
      <w:r>
        <w:rPr>
          <w:rFonts w:hint="eastAsia" w:ascii="仿宋" w:hAnsi="仿宋" w:eastAsia="仿宋" w:cs="仿宋"/>
          <w:sz w:val="30"/>
          <w:szCs w:val="30"/>
        </w:rPr>
        <w:t xml:space="preserve"> 。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2018年度一般公共预算财政拨款支出960.09万元，主要用于以下方面：一般公共服务支出（类）423.53万元，占44</w:t>
      </w:r>
      <w:r>
        <w:rPr>
          <w:rFonts w:hint="eastAsia" w:ascii="仿宋" w:hAnsi="仿宋" w:eastAsia="仿宋" w:cs="仿宋"/>
          <w:sz w:val="30"/>
          <w:szCs w:val="30"/>
          <w:lang w:val="en-US" w:eastAsia="zh-CN"/>
        </w:rPr>
        <w:t>.1</w:t>
      </w:r>
      <w:r>
        <w:rPr>
          <w:rFonts w:hint="eastAsia" w:ascii="仿宋" w:hAnsi="仿宋" w:eastAsia="仿宋" w:cs="仿宋"/>
          <w:sz w:val="30"/>
          <w:szCs w:val="30"/>
        </w:rPr>
        <w:t>%；社会保障和就业支出（类）9.42万元，占1%；住房保障支出（类）527.14万元，占5</w:t>
      </w:r>
      <w:r>
        <w:rPr>
          <w:rFonts w:hint="eastAsia" w:ascii="仿宋" w:hAnsi="仿宋" w:eastAsia="仿宋" w:cs="仿宋"/>
          <w:sz w:val="30"/>
          <w:szCs w:val="30"/>
          <w:lang w:val="en-US" w:eastAsia="zh-CN"/>
        </w:rPr>
        <w:t>4.9</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2018年度一般公共预算财政拨款支出年初预算为91.02万元，支出决算为 960.09万元，完成年初预算的 105</w:t>
      </w:r>
      <w:r>
        <w:rPr>
          <w:rFonts w:hint="eastAsia" w:ascii="仿宋" w:hAnsi="仿宋" w:eastAsia="仿宋" w:cs="仿宋"/>
          <w:sz w:val="30"/>
          <w:szCs w:val="30"/>
          <w:lang w:val="en-US" w:eastAsia="zh-CN"/>
        </w:rPr>
        <w:t>4.8</w:t>
      </w:r>
      <w:r>
        <w:rPr>
          <w:rFonts w:hint="eastAsia" w:ascii="仿宋" w:hAnsi="仿宋" w:eastAsia="仿宋" w:cs="仿宋"/>
          <w:sz w:val="30"/>
          <w:szCs w:val="30"/>
        </w:rPr>
        <w:t>%。其中：</w:t>
      </w:r>
    </w:p>
    <w:p>
      <w:pPr>
        <w:ind w:firstLine="640" w:firstLineChars="200"/>
        <w:rPr>
          <w:rFonts w:hint="eastAsia" w:ascii="仿宋_GB2312" w:hAnsi="仿宋" w:eastAsia="仿宋_GB2312" w:cs="仿宋_GB2312"/>
          <w:color w:val="000000"/>
          <w:kern w:val="0"/>
          <w:sz w:val="32"/>
          <w:szCs w:val="32"/>
        </w:rPr>
      </w:pPr>
      <w:r>
        <w:rPr>
          <w:rFonts w:hint="eastAsia" w:ascii="仿宋_GB2312" w:hAnsi="仿宋" w:eastAsia="仿宋_GB2312" w:cs="仿宋_GB2312"/>
          <w:color w:val="000000"/>
          <w:kern w:val="0"/>
          <w:sz w:val="32"/>
          <w:szCs w:val="32"/>
        </w:rPr>
        <w:t>1、一般公共服务支出（类）政府办公厅（室）及相关机构事务（款）行政运行（项）</w:t>
      </w:r>
    </w:p>
    <w:p>
      <w:pPr>
        <w:widowControl/>
        <w:spacing w:line="360" w:lineRule="auto"/>
        <w:ind w:firstLine="640" w:firstLineChars="200"/>
        <w:jc w:val="left"/>
        <w:rPr>
          <w:rFonts w:hint="eastAsia" w:ascii="仿宋" w:hAnsi="仿宋" w:eastAsia="仿宋" w:cs="仿宋"/>
          <w:sz w:val="30"/>
          <w:szCs w:val="30"/>
        </w:rPr>
      </w:pPr>
      <w:r>
        <w:rPr>
          <w:rFonts w:hint="eastAsia" w:ascii="仿宋_GB2312" w:hAnsi="仿宋" w:eastAsia="仿宋_GB2312" w:cs="仿宋_GB2312"/>
          <w:color w:val="000000"/>
          <w:kern w:val="0"/>
          <w:sz w:val="32"/>
          <w:szCs w:val="32"/>
        </w:rPr>
        <w:t>2018年初预算数61.07万元，</w:t>
      </w:r>
      <w:r>
        <w:rPr>
          <w:rFonts w:hint="eastAsia" w:ascii="仿宋" w:hAnsi="仿宋" w:eastAsia="仿宋" w:cs="仿宋"/>
          <w:sz w:val="30"/>
          <w:szCs w:val="30"/>
        </w:rPr>
        <w:t>支出决算为423.53万元 ，完成年初预算的69</w:t>
      </w:r>
      <w:r>
        <w:rPr>
          <w:rFonts w:hint="eastAsia" w:ascii="仿宋" w:hAnsi="仿宋" w:eastAsia="仿宋" w:cs="仿宋"/>
          <w:sz w:val="30"/>
          <w:szCs w:val="30"/>
          <w:lang w:val="en-US" w:eastAsia="zh-CN"/>
        </w:rPr>
        <w:t>3.5</w:t>
      </w:r>
      <w:r>
        <w:rPr>
          <w:rFonts w:hint="eastAsia" w:ascii="仿宋" w:hAnsi="仿宋" w:eastAsia="仿宋" w:cs="仿宋"/>
          <w:sz w:val="30"/>
          <w:szCs w:val="30"/>
        </w:rPr>
        <w:t>%。决算数小于预算数的</w:t>
      </w:r>
      <w:r>
        <w:rPr>
          <w:rFonts w:hint="eastAsia" w:ascii="仿宋_GB2312" w:hAnsi="仿宋" w:eastAsia="仿宋_GB2312" w:cs="仿宋_GB2312"/>
          <w:color w:val="000000"/>
          <w:kern w:val="0"/>
          <w:sz w:val="32"/>
          <w:szCs w:val="32"/>
        </w:rPr>
        <w:t>主要原因是：信访案件经费没有纳入单位预算，属于一次性经费请领。</w:t>
      </w:r>
    </w:p>
    <w:p>
      <w:pPr>
        <w:widowControl/>
        <w:spacing w:line="315" w:lineRule="atLeast"/>
        <w:ind w:firstLine="640"/>
        <w:rPr>
          <w:rFonts w:hint="eastAsia" w:ascii="仿宋_GB2312" w:hAnsi="仿宋" w:eastAsia="仿宋_GB2312" w:cs="仿宋_GB2312"/>
          <w:color w:val="000000"/>
          <w:kern w:val="0"/>
          <w:sz w:val="32"/>
          <w:szCs w:val="32"/>
        </w:rPr>
      </w:pPr>
      <w:r>
        <w:rPr>
          <w:rFonts w:hint="eastAsia" w:ascii="仿宋_GB2312" w:hAnsi="仿宋" w:eastAsia="仿宋_GB2312" w:cs="仿宋_GB2312"/>
          <w:color w:val="000000"/>
          <w:kern w:val="0"/>
          <w:sz w:val="32"/>
          <w:szCs w:val="32"/>
        </w:rPr>
        <w:t>2、社会障和就业支出（类）行政事业单位离退休（款）归口管理的行政事业单位离退休（项）</w:t>
      </w:r>
    </w:p>
    <w:p>
      <w:pPr>
        <w:widowControl/>
        <w:spacing w:line="360" w:lineRule="auto"/>
        <w:ind w:firstLine="640" w:firstLineChars="200"/>
        <w:jc w:val="left"/>
        <w:rPr>
          <w:rFonts w:hint="eastAsia" w:ascii="仿宋" w:hAnsi="仿宋" w:eastAsia="仿宋" w:cs="仿宋"/>
          <w:sz w:val="30"/>
          <w:szCs w:val="30"/>
        </w:rPr>
      </w:pPr>
      <w:r>
        <w:rPr>
          <w:rFonts w:hint="eastAsia" w:ascii="仿宋_GB2312" w:hAnsi="仿宋" w:eastAsia="仿宋_GB2312" w:cs="仿宋_GB2312"/>
          <w:color w:val="000000"/>
          <w:kern w:val="0"/>
          <w:sz w:val="32"/>
          <w:szCs w:val="32"/>
        </w:rPr>
        <w:t>2018年初预算数为21.88万元，</w:t>
      </w:r>
      <w:r>
        <w:rPr>
          <w:rFonts w:hint="eastAsia" w:ascii="仿宋" w:hAnsi="仿宋" w:eastAsia="仿宋" w:cs="仿宋"/>
          <w:sz w:val="30"/>
          <w:szCs w:val="30"/>
        </w:rPr>
        <w:t>支出决算为9.42万元 ，完成年初预算的43</w:t>
      </w:r>
      <w:r>
        <w:rPr>
          <w:rFonts w:hint="eastAsia" w:ascii="仿宋" w:hAnsi="仿宋" w:eastAsia="仿宋" w:cs="仿宋"/>
          <w:sz w:val="30"/>
          <w:szCs w:val="30"/>
          <w:lang w:val="en-US" w:eastAsia="zh-CN"/>
        </w:rPr>
        <w:t>.1</w:t>
      </w:r>
      <w:r>
        <w:rPr>
          <w:rFonts w:hint="eastAsia" w:ascii="仿宋" w:hAnsi="仿宋" w:eastAsia="仿宋" w:cs="仿宋"/>
          <w:sz w:val="30"/>
          <w:szCs w:val="30"/>
        </w:rPr>
        <w:t>%。决算数大于预算数的</w:t>
      </w:r>
      <w:r>
        <w:rPr>
          <w:rFonts w:hint="eastAsia" w:ascii="仿宋_GB2312" w:hAnsi="仿宋" w:eastAsia="仿宋_GB2312" w:cs="仿宋_GB2312"/>
          <w:color w:val="000000"/>
          <w:kern w:val="0"/>
          <w:sz w:val="32"/>
          <w:szCs w:val="32"/>
        </w:rPr>
        <w:t>主要原因是：退休工资纳入养老保险。</w:t>
      </w:r>
    </w:p>
    <w:p>
      <w:pPr>
        <w:widowControl/>
        <w:spacing w:line="315" w:lineRule="atLeast"/>
        <w:ind w:firstLine="640"/>
        <w:rPr>
          <w:rFonts w:hint="eastAsia" w:ascii="仿宋_GB2312" w:hAnsi="仿宋" w:eastAsia="仿宋_GB2312" w:cs="仿宋_GB2312"/>
          <w:color w:val="000000"/>
          <w:kern w:val="0"/>
          <w:sz w:val="32"/>
          <w:szCs w:val="32"/>
        </w:rPr>
      </w:pPr>
      <w:r>
        <w:rPr>
          <w:rFonts w:hint="eastAsia" w:ascii="仿宋_GB2312" w:hAnsi="仿宋" w:eastAsia="仿宋_GB2312" w:cs="仿宋_GB2312"/>
          <w:color w:val="000000"/>
          <w:kern w:val="0"/>
          <w:sz w:val="32"/>
          <w:szCs w:val="32"/>
        </w:rPr>
        <w:t>3、住房保障（类）住房改革支出（款）住房公积金（项）</w:t>
      </w:r>
    </w:p>
    <w:p>
      <w:pPr>
        <w:widowControl/>
        <w:spacing w:line="360" w:lineRule="auto"/>
        <w:ind w:firstLine="640" w:firstLineChars="200"/>
        <w:jc w:val="left"/>
        <w:rPr>
          <w:rFonts w:hint="eastAsia" w:ascii="仿宋" w:hAnsi="仿宋" w:eastAsia="仿宋" w:cs="仿宋"/>
          <w:sz w:val="30"/>
          <w:szCs w:val="30"/>
        </w:rPr>
      </w:pPr>
      <w:r>
        <w:rPr>
          <w:rFonts w:hint="eastAsia" w:ascii="仿宋_GB2312" w:hAnsi="仿宋" w:eastAsia="仿宋_GB2312" w:cs="仿宋_GB2312"/>
          <w:color w:val="000000"/>
          <w:kern w:val="0"/>
          <w:sz w:val="32"/>
          <w:szCs w:val="32"/>
        </w:rPr>
        <w:t>2018年初预算数为8.07万元，</w:t>
      </w:r>
      <w:r>
        <w:rPr>
          <w:rFonts w:hint="eastAsia" w:ascii="仿宋" w:hAnsi="仿宋" w:eastAsia="仿宋" w:cs="仿宋"/>
          <w:sz w:val="30"/>
          <w:szCs w:val="30"/>
        </w:rPr>
        <w:t>支出决算为527.14万元 ，完成年初预算的6532</w:t>
      </w:r>
      <w:r>
        <w:rPr>
          <w:rFonts w:hint="eastAsia" w:ascii="仿宋" w:hAnsi="仿宋" w:eastAsia="仿宋" w:cs="仿宋"/>
          <w:sz w:val="30"/>
          <w:szCs w:val="30"/>
          <w:lang w:val="en-US" w:eastAsia="zh-CN"/>
        </w:rPr>
        <w:t>.1</w:t>
      </w:r>
      <w:r>
        <w:rPr>
          <w:rFonts w:hint="eastAsia" w:ascii="仿宋" w:hAnsi="仿宋" w:eastAsia="仿宋" w:cs="仿宋"/>
          <w:sz w:val="30"/>
          <w:szCs w:val="30"/>
        </w:rPr>
        <w:t>%。决算数大于预算数的</w:t>
      </w:r>
      <w:r>
        <w:rPr>
          <w:rFonts w:hint="eastAsia" w:ascii="仿宋_GB2312" w:hAnsi="仿宋" w:eastAsia="仿宋_GB2312" w:cs="仿宋_GB2312"/>
          <w:color w:val="000000"/>
          <w:kern w:val="0"/>
          <w:sz w:val="32"/>
          <w:szCs w:val="32"/>
        </w:rPr>
        <w:t>主要原因是：信访案件项目支出转入其他单位，化解信访问题。</w:t>
      </w:r>
    </w:p>
    <w:p>
      <w:pPr>
        <w:widowControl/>
        <w:spacing w:line="360" w:lineRule="auto"/>
        <w:ind w:firstLine="643" w:firstLineChars="200"/>
        <w:jc w:val="left"/>
        <w:rPr>
          <w:rFonts w:ascii="仿宋" w:hAnsi="仿宋" w:eastAsia="仿宋" w:cs="仿宋"/>
          <w:sz w:val="30"/>
          <w:szCs w:val="30"/>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2018年度一般公共预算财政拨款基本支出423.53万元，其中：</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人员经费109.82万元，主要包括：基本工资、津贴补贴、奖金、住房公积金、退休费；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公用经费52.27万元，主要包括：办公费、手续费</w:t>
      </w:r>
      <w:r>
        <w:rPr>
          <w:rFonts w:hint="eastAsia" w:ascii="仿宋" w:hAnsi="仿宋" w:eastAsia="仿宋" w:cs="仿宋"/>
          <w:sz w:val="30"/>
          <w:szCs w:val="30"/>
          <w:lang w:eastAsia="zh-CN"/>
        </w:rPr>
        <w:t>、</w:t>
      </w:r>
      <w:r>
        <w:rPr>
          <w:rFonts w:hint="eastAsia" w:ascii="仿宋" w:hAnsi="仿宋" w:eastAsia="仿宋" w:cs="仿宋"/>
          <w:sz w:val="30"/>
          <w:szCs w:val="30"/>
        </w:rPr>
        <w:t>差旅费、维修（护）费</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2018年度“三公”经费财政拨款支出决算为 0万元，比2017年增加（减少）0万元，增长（下降）0  %,主要原因是  </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。年初预算为 0  万元，完成预算的0 %，2018年度“三公”经费支出决算数小于预算数的主要原因是  </w:t>
      </w:r>
      <w:r>
        <w:rPr>
          <w:rFonts w:hint="eastAsia" w:ascii="仿宋" w:hAnsi="仿宋" w:eastAsia="仿宋" w:cs="仿宋"/>
          <w:sz w:val="30"/>
          <w:szCs w:val="30"/>
          <w:lang w:val="en-US" w:eastAsia="zh-CN"/>
        </w:rPr>
        <w:t>无</w:t>
      </w:r>
      <w:bookmarkStart w:id="0" w:name="_GoBack"/>
      <w:bookmarkEnd w:id="0"/>
      <w:r>
        <w:rPr>
          <w:rFonts w:hint="eastAsia" w:ascii="仿宋" w:hAnsi="仿宋" w:eastAsia="仿宋" w:cs="仿宋"/>
          <w:sz w:val="30"/>
          <w:szCs w:val="30"/>
        </w:rPr>
        <w:t xml:space="preserve">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b/>
          <w:bCs/>
          <w:sz w:val="30"/>
          <w:szCs w:val="30"/>
        </w:rPr>
        <w:t>因公出国（境）费</w:t>
      </w:r>
      <w:r>
        <w:rPr>
          <w:rFonts w:hint="eastAsia" w:ascii="仿宋" w:hAnsi="仿宋" w:eastAsia="仿宋" w:cs="仿宋"/>
          <w:sz w:val="30"/>
          <w:szCs w:val="30"/>
        </w:rPr>
        <w:t>年初预算为0万元，支出决算为 0万元，完成预算的 0%，主要用于0。决算数小于预算数的主要原因：无；与上年决算相比，增加（减少）0万元，增长（下降）0%，主要原因是无；全年安排因公出国（境）团组0个，累计0人次。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b/>
          <w:bCs/>
          <w:sz w:val="30"/>
          <w:szCs w:val="30"/>
        </w:rPr>
        <w:t>公务用车购置及运行费</w:t>
      </w:r>
      <w:r>
        <w:rPr>
          <w:rFonts w:hint="eastAsia" w:ascii="仿宋" w:hAnsi="仿宋" w:eastAsia="仿宋" w:cs="仿宋"/>
          <w:sz w:val="30"/>
          <w:szCs w:val="30"/>
        </w:rPr>
        <w:t>年初预算为 0万元，支出决算为 0万元，完成预算的 0%；与上年决算比减少（增加）0万元，下降（增长）0%，主要原因是0；其中：公务用车购置支出0万元，主要用于 无，与上年决算比减少（增加）0万元，下降（增长）0 %；公务用车运行维护费 0万元，主要用于无，与上年决算比减少（增加）0万元，下降（增长）0%；公务用车购置数0辆，公务用车保有量 0辆。</w:t>
      </w:r>
    </w:p>
    <w:p>
      <w:pPr>
        <w:widowControl/>
        <w:spacing w:line="360" w:lineRule="auto"/>
        <w:ind w:firstLine="602" w:firstLineChars="200"/>
        <w:jc w:val="left"/>
        <w:rPr>
          <w:rFonts w:ascii="仿宋" w:hAnsi="仿宋" w:eastAsia="仿宋" w:cs="仿宋"/>
          <w:sz w:val="30"/>
          <w:szCs w:val="30"/>
        </w:rPr>
      </w:pPr>
      <w:r>
        <w:rPr>
          <w:rFonts w:hint="eastAsia" w:ascii="仿宋" w:hAnsi="仿宋" w:eastAsia="仿宋" w:cs="仿宋"/>
          <w:b/>
          <w:bCs/>
          <w:sz w:val="30"/>
          <w:szCs w:val="30"/>
        </w:rPr>
        <w:t>3、公务接待费</w:t>
      </w:r>
      <w:r>
        <w:rPr>
          <w:rFonts w:hint="eastAsia" w:ascii="仿宋" w:hAnsi="仿宋" w:eastAsia="仿宋" w:cs="仿宋"/>
          <w:sz w:val="30"/>
          <w:szCs w:val="30"/>
        </w:rPr>
        <w:t>年初预算为0万元，支出决算为0万元，完成预算的0%，主要用于：无 ；与上年决算比减少（增加）0万元，下降（增长）0%，主要原因是无。其中：国内公务接待费0万元，国内公务接待批次0个，国内公务接待人次0人；国（境）外公务接待费0万元，国（境）外公务接待批次 0个，国（境）外公务接待人次 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2018年度政府性基金预算财政拨款年初结转和结余0万元，本年收入决算数0万元，本年支出决算数0万元，年末结转和结余0万元。与 2017年相比，政府性基金预算财政拨款支出增加（减少）0万元，增长（下降）0%，主要原因是 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年初预算为0万元，支出决算为0 万元。本年收入0万元，已结转下年。</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sz w:val="32"/>
          <w:szCs w:val="32"/>
        </w:rPr>
        <w:t>2018年度没有20万元以上项目、政府购买公共服务项目和市级以上专项，故没有开展绩效评价工作。</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2018年度机关运行经费支出52.27万元，较年初预算增加（减少） 52.27万元，5227</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%，主要原因外出信访维稳工作次数增加 ；较上年决算减少 19.16万元，同比下降 3</w:t>
      </w:r>
      <w:r>
        <w:rPr>
          <w:rFonts w:hint="eastAsia" w:ascii="仿宋" w:hAnsi="仿宋" w:eastAsia="仿宋" w:cs="仿宋"/>
          <w:sz w:val="30"/>
          <w:szCs w:val="30"/>
          <w:lang w:val="en-US" w:eastAsia="zh-CN"/>
        </w:rPr>
        <w:t>6.6</w:t>
      </w:r>
      <w:r>
        <w:rPr>
          <w:rFonts w:hint="eastAsia" w:ascii="仿宋" w:hAnsi="仿宋" w:eastAsia="仿宋" w:cs="仿宋"/>
          <w:sz w:val="30"/>
          <w:szCs w:val="30"/>
        </w:rPr>
        <w:t>% ，主要原因是：压缩办公经费支出。</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本部门政府采购支出总额0万元，其中：政府采购货物支出0万元、政府采购工程支出0万元、政府采购服务支出0万元。授予中小企业合同金额0万元，占政府采购支出总额的0 %。其中：授予小微企业合同金额0万元，占政府采购支出总额的0%。</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截至2018年12月31日，本部门共有车辆0辆，其中：副部（省）级及以上领导用车0辆、主要领导干部用车0辆、机要通信用车0辆，应急保障用车0辆、执法执勤用车0辆、特种专业技术用车0辆、离退休干部用车0辆，其他用车0辆。单价50万元以上通用设备0台(套)，单价100万元以上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根据《2018年政府收支分类科目》对2018年度部门决算公开中相关名词解释如下：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基本支出：指为保障机构正常运转、完成日常工作任务而发生的人员支出和公用支出。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附件：2018年度部门决算公开表格</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- 9 -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035DC3"/>
    <w:rsid w:val="001F6D54"/>
    <w:rsid w:val="004D28BB"/>
    <w:rsid w:val="007627F1"/>
    <w:rsid w:val="007B00CF"/>
    <w:rsid w:val="008557E7"/>
    <w:rsid w:val="009659EA"/>
    <w:rsid w:val="00A06C19"/>
    <w:rsid w:val="00A13BB2"/>
    <w:rsid w:val="00A561F0"/>
    <w:rsid w:val="00EE3489"/>
    <w:rsid w:val="00F87086"/>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61776C"/>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BB184F"/>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E0442F8"/>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A13199"/>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B235B0"/>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2F1546"/>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BF487A"/>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17006"/>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74971B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9C274F4"/>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13</Pages>
  <Words>971</Words>
  <Characters>5538</Characters>
  <Lines>46</Lines>
  <Paragraphs>12</Paragraphs>
  <TotalTime>26</TotalTime>
  <ScaleCrop>false</ScaleCrop>
  <LinksUpToDate>false</LinksUpToDate>
  <CharactersWithSpaces>6497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2019-09-22T02:35:21Z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