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AC26F3">
      <w:pPr>
        <w:adjustRightInd w:val="0"/>
        <w:snapToGrid w:val="0"/>
        <w:spacing w:line="520" w:lineRule="exact"/>
        <w:jc w:val="center"/>
        <w:rPr>
          <w:rFonts w:hint="eastAsia" w:eastAsia="仿宋_GB2312"/>
          <w:sz w:val="32"/>
          <w:szCs w:val="32"/>
        </w:rPr>
      </w:pPr>
      <w:bookmarkStart w:id="0" w:name="_Toc26825"/>
    </w:p>
    <w:p w14:paraId="41528919">
      <w:pPr>
        <w:adjustRightInd w:val="0"/>
        <w:snapToGrid w:val="0"/>
        <w:spacing w:line="520" w:lineRule="exact"/>
        <w:jc w:val="center"/>
        <w:rPr>
          <w:rFonts w:hint="eastAsia" w:eastAsia="仿宋_GB2312"/>
          <w:sz w:val="32"/>
          <w:szCs w:val="32"/>
        </w:rPr>
      </w:pPr>
    </w:p>
    <w:p w14:paraId="1656E6C8">
      <w:pPr>
        <w:adjustRightInd w:val="0"/>
        <w:snapToGrid w:val="0"/>
        <w:spacing w:line="520" w:lineRule="exact"/>
        <w:jc w:val="center"/>
        <w:rPr>
          <w:rFonts w:hint="eastAsia" w:eastAsia="仿宋_GB2312"/>
          <w:sz w:val="32"/>
          <w:szCs w:val="32"/>
        </w:rPr>
      </w:pPr>
    </w:p>
    <w:p w14:paraId="573FAA67">
      <w:pPr>
        <w:adjustRightInd w:val="0"/>
        <w:snapToGrid w:val="0"/>
        <w:spacing w:line="520" w:lineRule="exact"/>
        <w:jc w:val="center"/>
        <w:rPr>
          <w:rFonts w:eastAsia="仿宋_GB2312"/>
          <w:sz w:val="32"/>
          <w:szCs w:val="32"/>
        </w:rPr>
      </w:pPr>
    </w:p>
    <w:p w14:paraId="51A725D4">
      <w:pPr>
        <w:adjustRightInd w:val="0"/>
        <w:snapToGrid w:val="0"/>
        <w:spacing w:line="520" w:lineRule="exact"/>
        <w:jc w:val="center"/>
        <w:rPr>
          <w:rFonts w:eastAsia="仿宋_GB2312"/>
          <w:sz w:val="32"/>
          <w:szCs w:val="32"/>
        </w:rPr>
      </w:pPr>
    </w:p>
    <w:p w14:paraId="0B519717">
      <w:pPr>
        <w:adjustRightInd w:val="0"/>
        <w:snapToGrid w:val="0"/>
        <w:spacing w:line="520" w:lineRule="exact"/>
        <w:jc w:val="center"/>
        <w:rPr>
          <w:rFonts w:eastAsia="仿宋_GB2312"/>
          <w:sz w:val="32"/>
          <w:szCs w:val="32"/>
        </w:rPr>
      </w:pPr>
    </w:p>
    <w:p w14:paraId="5286FA52">
      <w:pPr>
        <w:adjustRightInd w:val="0"/>
        <w:snapToGrid w:val="0"/>
        <w:spacing w:line="520" w:lineRule="exact"/>
        <w:jc w:val="center"/>
        <w:rPr>
          <w:rFonts w:eastAsia="仿宋_GB2312"/>
          <w:sz w:val="32"/>
          <w:szCs w:val="32"/>
        </w:rPr>
      </w:pPr>
    </w:p>
    <w:p w14:paraId="3CFD2EB9">
      <w:pPr>
        <w:adjustRightInd w:val="0"/>
        <w:snapToGrid w:val="0"/>
        <w:spacing w:line="520" w:lineRule="exact"/>
        <w:jc w:val="center"/>
        <w:rPr>
          <w:rFonts w:hint="eastAsia" w:eastAsia="仿宋_GB2312"/>
          <w:sz w:val="32"/>
          <w:szCs w:val="32"/>
        </w:rPr>
      </w:pPr>
    </w:p>
    <w:p w14:paraId="1C310C38">
      <w:pPr>
        <w:adjustRightInd w:val="0"/>
        <w:snapToGrid w:val="0"/>
        <w:spacing w:line="520" w:lineRule="exact"/>
        <w:jc w:val="center"/>
        <w:rPr>
          <w:rFonts w:eastAsia="仿宋_GB2312"/>
          <w:sz w:val="32"/>
          <w:szCs w:val="32"/>
        </w:rPr>
      </w:pPr>
    </w:p>
    <w:p w14:paraId="1C417BC6">
      <w:pPr>
        <w:spacing w:line="360" w:lineRule="auto"/>
        <w:jc w:val="center"/>
        <w:rPr>
          <w:rFonts w:eastAsia="仿宋_GB2312"/>
          <w:sz w:val="32"/>
        </w:rPr>
      </w:pPr>
      <w:r>
        <w:rPr>
          <w:rFonts w:eastAsia="仿宋_GB2312"/>
          <w:sz w:val="32"/>
        </w:rPr>
        <w:t>集政</w:t>
      </w:r>
      <w:r>
        <w:rPr>
          <w:rFonts w:hint="eastAsia" w:eastAsia="仿宋_GB2312"/>
          <w:sz w:val="32"/>
        </w:rPr>
        <w:t>规</w:t>
      </w:r>
      <w:r>
        <w:rPr>
          <w:rFonts w:hint="eastAsia" w:ascii="仿宋_GB2312" w:eastAsia="仿宋_GB2312"/>
          <w:sz w:val="32"/>
        </w:rPr>
        <w:t>〔202</w:t>
      </w:r>
      <w:r>
        <w:rPr>
          <w:rFonts w:hint="default" w:ascii="仿宋_GB2312" w:eastAsia="仿宋_GB2312"/>
          <w:sz w:val="32"/>
        </w:rPr>
        <w:t>5</w:t>
      </w:r>
      <w:r>
        <w:rPr>
          <w:rFonts w:hint="eastAsia" w:ascii="仿宋_GB2312" w:eastAsia="仿宋_GB2312"/>
          <w:sz w:val="32"/>
        </w:rPr>
        <w:t>〕</w:t>
      </w:r>
      <w:r>
        <w:rPr>
          <w:rFonts w:hint="default" w:ascii="仿宋_GB2312" w:eastAsia="仿宋_GB2312"/>
          <w:sz w:val="32"/>
        </w:rPr>
        <w:t>1</w:t>
      </w:r>
      <w:r>
        <w:rPr>
          <w:rFonts w:eastAsia="仿宋_GB2312"/>
          <w:sz w:val="32"/>
        </w:rPr>
        <w:t>号</w:t>
      </w:r>
    </w:p>
    <w:p w14:paraId="20FA381A">
      <w:pPr>
        <w:shd w:val="clear" w:color="auto" w:fill="FFFFFF"/>
        <w:adjustRightInd w:val="0"/>
        <w:snapToGrid w:val="0"/>
        <w:rPr>
          <w:rFonts w:hint="eastAsia"/>
          <w:sz w:val="44"/>
        </w:rPr>
      </w:pPr>
    </w:p>
    <w:p w14:paraId="3F15B22F">
      <w:pPr>
        <w:snapToGrid w:val="0"/>
        <w:spacing w:line="240" w:lineRule="auto"/>
        <w:ind w:firstLine="0" w:firstLineChars="0"/>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集贤县人民政府</w:t>
      </w:r>
    </w:p>
    <w:p w14:paraId="223F7E08">
      <w:pPr>
        <w:snapToGrid w:val="0"/>
        <w:spacing w:line="240" w:lineRule="auto"/>
        <w:ind w:firstLine="0" w:firstLineChars="0"/>
        <w:jc w:val="center"/>
        <w:rPr>
          <w:rFonts w:hint="default"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关于印发</w:t>
      </w:r>
      <w:r>
        <w:rPr>
          <w:rFonts w:hint="default" w:ascii="方正小标宋简体" w:hAnsi="Times New Roman" w:eastAsia="方正小标宋简体" w:cs="Times New Roman"/>
          <w:sz w:val="44"/>
          <w:szCs w:val="44"/>
        </w:rPr>
        <w:t>《集贤县建筑垃圾污染环境防治</w:t>
      </w:r>
    </w:p>
    <w:p w14:paraId="047D9355">
      <w:pPr>
        <w:snapToGrid w:val="0"/>
        <w:spacing w:line="240" w:lineRule="auto"/>
        <w:ind w:firstLine="0" w:firstLineChars="0"/>
        <w:jc w:val="center"/>
        <w:rPr>
          <w:rFonts w:hint="eastAsia" w:ascii="方正小标宋简体" w:hAnsi="Times New Roman" w:eastAsia="方正小标宋简体" w:cs="Times New Roman"/>
          <w:sz w:val="44"/>
          <w:szCs w:val="44"/>
        </w:rPr>
      </w:pPr>
      <w:r>
        <w:rPr>
          <w:rFonts w:hint="default" w:ascii="方正小标宋简体" w:hAnsi="Times New Roman" w:eastAsia="方正小标宋简体" w:cs="Times New Roman"/>
          <w:sz w:val="44"/>
          <w:szCs w:val="44"/>
        </w:rPr>
        <w:t>工作规划（2024-2030年）》</w:t>
      </w:r>
      <w:r>
        <w:rPr>
          <w:rFonts w:hint="eastAsia" w:ascii="方正小标宋简体" w:hAnsi="Times New Roman" w:eastAsia="方正小标宋简体" w:cs="Times New Roman"/>
          <w:sz w:val="44"/>
          <w:szCs w:val="44"/>
        </w:rPr>
        <w:t>的通知</w:t>
      </w:r>
    </w:p>
    <w:p w14:paraId="0753C7FE">
      <w:pPr>
        <w:snapToGrid w:val="0"/>
        <w:jc w:val="center"/>
        <w:rPr>
          <w:rFonts w:hint="eastAsia" w:ascii="方正小标宋简体" w:hAnsi="Times New Roman" w:eastAsia="方正小标宋简体" w:cs="Times New Roman"/>
          <w:sz w:val="44"/>
          <w:szCs w:val="44"/>
        </w:rPr>
      </w:pPr>
    </w:p>
    <w:p w14:paraId="46EB0271">
      <w:pPr>
        <w:adjustRightInd w:val="0"/>
        <w:snapToGrid w:val="0"/>
        <w:spacing w:line="580" w:lineRule="exact"/>
        <w:ind w:left="0" w:leftChars="0" w:firstLine="0" w:firstLineChars="0"/>
        <w:textAlignment w:val="baseline"/>
        <w:rPr>
          <w:rFonts w:hint="eastAsia" w:ascii="楷体_GB2312" w:hAnsi="宋体" w:eastAsia="楷体_GB2312" w:cs="宋体"/>
          <w:sz w:val="32"/>
          <w:szCs w:val="32"/>
        </w:rPr>
      </w:pPr>
      <w:r>
        <w:rPr>
          <w:rFonts w:hint="eastAsia" w:ascii="楷体_GB2312" w:eastAsia="楷体_GB2312"/>
          <w:sz w:val="32"/>
        </w:rPr>
        <w:t>各乡、</w:t>
      </w:r>
      <w:r>
        <w:rPr>
          <w:rFonts w:hint="eastAsia" w:ascii="楷体_GB2312" w:hAnsi="宋体" w:eastAsia="楷体_GB2312" w:cs="宋体"/>
          <w:sz w:val="32"/>
          <w:szCs w:val="32"/>
        </w:rPr>
        <w:t>镇人民政府，县政府直属有关单位：</w:t>
      </w:r>
    </w:p>
    <w:p w14:paraId="3B8D5A14">
      <w:pPr>
        <w:adjustRightInd w:val="0"/>
        <w:snapToGrid w:val="0"/>
        <w:spacing w:line="580" w:lineRule="exact"/>
        <w:ind w:firstLine="480" w:firstLineChars="150"/>
        <w:textAlignment w:val="baseline"/>
        <w:rPr>
          <w:rFonts w:hint="eastAsia" w:ascii="楷体_GB2312" w:eastAsia="楷体_GB2312"/>
          <w:sz w:val="32"/>
        </w:rPr>
      </w:pPr>
      <w:r>
        <w:rPr>
          <w:rFonts w:hint="eastAsia" w:ascii="楷体_GB2312" w:hAnsi="宋体" w:eastAsia="楷体_GB2312" w:cs="宋体"/>
          <w:sz w:val="32"/>
          <w:szCs w:val="32"/>
        </w:rPr>
        <w:t>《</w:t>
      </w:r>
      <w:r>
        <w:rPr>
          <w:rFonts w:hint="default" w:ascii="楷体_GB2312" w:hAnsi="宋体" w:eastAsia="楷体_GB2312" w:cs="宋体"/>
          <w:sz w:val="32"/>
          <w:szCs w:val="32"/>
        </w:rPr>
        <w:t>集贤县建筑垃圾污染环境防治工作规划（2024-2030年）</w:t>
      </w:r>
      <w:r>
        <w:rPr>
          <w:rFonts w:hint="eastAsia" w:ascii="楷体_GB2312" w:hAnsi="宋体" w:eastAsia="楷体_GB2312" w:cs="宋体"/>
          <w:sz w:val="32"/>
          <w:szCs w:val="32"/>
        </w:rPr>
        <w:t>》已经202</w:t>
      </w:r>
      <w:r>
        <w:rPr>
          <w:rFonts w:hint="default" w:ascii="楷体_GB2312" w:hAnsi="宋体" w:eastAsia="楷体_GB2312" w:cs="宋体"/>
          <w:sz w:val="32"/>
          <w:szCs w:val="32"/>
          <w:lang w:eastAsia="zh-CN"/>
        </w:rPr>
        <w:t>5</w:t>
      </w:r>
      <w:r>
        <w:rPr>
          <w:rFonts w:hint="eastAsia" w:ascii="楷体_GB2312" w:hAnsi="宋体" w:eastAsia="楷体_GB2312" w:cs="宋体"/>
          <w:sz w:val="32"/>
          <w:szCs w:val="32"/>
        </w:rPr>
        <w:t>年第</w:t>
      </w:r>
      <w:r>
        <w:rPr>
          <w:rFonts w:hint="default" w:ascii="楷体_GB2312" w:hAnsi="宋体" w:eastAsia="楷体_GB2312" w:cs="宋体"/>
          <w:sz w:val="32"/>
          <w:szCs w:val="32"/>
          <w:lang w:eastAsia="zh-CN"/>
        </w:rPr>
        <w:t>1</w:t>
      </w:r>
      <w:r>
        <w:rPr>
          <w:rFonts w:hint="eastAsia" w:ascii="楷体_GB2312" w:hAnsi="宋体" w:eastAsia="楷体_GB2312" w:cs="宋体"/>
          <w:sz w:val="32"/>
          <w:szCs w:val="32"/>
        </w:rPr>
        <w:t>次县政府常务会议研究同意，现印发给你们，请认真贯彻落实。</w:t>
      </w:r>
    </w:p>
    <w:p w14:paraId="4382378A">
      <w:pPr>
        <w:adjustRightInd w:val="0"/>
        <w:snapToGrid w:val="0"/>
        <w:spacing w:line="560" w:lineRule="exact"/>
        <w:ind w:firstLine="4800" w:firstLineChars="1500"/>
        <w:rPr>
          <w:rFonts w:hint="eastAsia" w:ascii="楷体_GB2312" w:hAnsi="宋体" w:eastAsia="楷体_GB2312" w:cs="宋体"/>
          <w:sz w:val="32"/>
          <w:szCs w:val="32"/>
        </w:rPr>
      </w:pPr>
      <w:r>
        <w:rPr>
          <w:rFonts w:hint="eastAsia" w:ascii="楷体_GB2312" w:hAnsi="宋体" w:eastAsia="楷体_GB2312" w:cs="宋体"/>
          <w:sz w:val="32"/>
          <w:szCs w:val="32"/>
        </w:rPr>
        <w:t>集贤县人民政府</w:t>
      </w:r>
    </w:p>
    <w:p w14:paraId="21809077">
      <w:pPr>
        <w:adjustRightInd w:val="0"/>
        <w:snapToGrid w:val="0"/>
        <w:spacing w:line="560" w:lineRule="exact"/>
        <w:ind w:firstLine="4800" w:firstLineChars="1500"/>
        <w:rPr>
          <w:rFonts w:hint="eastAsia" w:ascii="楷体_GB2312" w:hAnsi="宋体" w:eastAsia="楷体_GB2312" w:cs="宋体"/>
          <w:sz w:val="32"/>
          <w:szCs w:val="32"/>
        </w:rPr>
      </w:pPr>
      <w:r>
        <w:rPr>
          <w:rFonts w:hint="eastAsia" w:ascii="楷体_GB2312" w:hAnsi="宋体" w:eastAsia="楷体_GB2312" w:cs="宋体"/>
          <w:sz w:val="32"/>
          <w:szCs w:val="32"/>
        </w:rPr>
        <w:t>202</w:t>
      </w:r>
      <w:r>
        <w:rPr>
          <w:rFonts w:hint="default" w:ascii="楷体_GB2312" w:hAnsi="宋体" w:eastAsia="楷体_GB2312" w:cs="宋体"/>
          <w:sz w:val="32"/>
          <w:szCs w:val="32"/>
        </w:rPr>
        <w:t>5</w:t>
      </w:r>
      <w:r>
        <w:rPr>
          <w:rFonts w:hint="eastAsia" w:ascii="楷体_GB2312" w:hAnsi="宋体" w:eastAsia="楷体_GB2312" w:cs="宋体"/>
          <w:sz w:val="32"/>
          <w:szCs w:val="32"/>
        </w:rPr>
        <w:t>年</w:t>
      </w:r>
      <w:r>
        <w:rPr>
          <w:rFonts w:hint="default" w:ascii="楷体_GB2312" w:hAnsi="宋体" w:eastAsia="楷体_GB2312" w:cs="宋体"/>
          <w:sz w:val="32"/>
          <w:szCs w:val="32"/>
        </w:rPr>
        <w:t>5</w:t>
      </w:r>
      <w:r>
        <w:rPr>
          <w:rFonts w:hint="eastAsia" w:ascii="楷体_GB2312" w:hAnsi="宋体" w:eastAsia="楷体_GB2312" w:cs="宋体"/>
          <w:sz w:val="32"/>
          <w:szCs w:val="32"/>
        </w:rPr>
        <w:t>月</w:t>
      </w:r>
      <w:r>
        <w:rPr>
          <w:rFonts w:hint="default" w:ascii="楷体_GB2312" w:hAnsi="宋体" w:eastAsia="楷体_GB2312" w:cs="宋体"/>
          <w:sz w:val="32"/>
          <w:szCs w:val="32"/>
        </w:rPr>
        <w:t>1</w:t>
      </w:r>
      <w:r>
        <w:rPr>
          <w:rFonts w:hint="eastAsia" w:ascii="楷体_GB2312" w:hAnsi="宋体" w:eastAsia="楷体_GB2312" w:cs="宋体"/>
          <w:sz w:val="32"/>
          <w:szCs w:val="32"/>
          <w:lang w:val="en-US" w:eastAsia="zh-CN"/>
        </w:rPr>
        <w:t>6</w:t>
      </w:r>
      <w:r>
        <w:rPr>
          <w:rFonts w:hint="eastAsia" w:ascii="楷体_GB2312" w:hAnsi="宋体" w:eastAsia="楷体_GB2312" w:cs="宋体"/>
          <w:sz w:val="32"/>
          <w:szCs w:val="32"/>
        </w:rPr>
        <w:t>日</w:t>
      </w:r>
    </w:p>
    <w:p w14:paraId="1DDC0404">
      <w:pPr>
        <w:adjustRightInd w:val="0"/>
        <w:snapToGrid w:val="0"/>
        <w:spacing w:line="560" w:lineRule="exact"/>
        <w:textAlignment w:val="baseline"/>
        <w:rPr>
          <w:rFonts w:hint="eastAsia" w:ascii="黑体" w:eastAsia="黑体"/>
          <w:sz w:val="28"/>
          <w:szCs w:val="28"/>
        </w:rPr>
        <w:sectPr>
          <w:headerReference r:id="rId5" w:type="default"/>
          <w:footerReference r:id="rId6"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14:paraId="127132BE">
      <w:pPr>
        <w:adjustRightInd w:val="0"/>
        <w:snapToGrid w:val="0"/>
        <w:spacing w:line="560" w:lineRule="exact"/>
        <w:textAlignment w:val="baseline"/>
        <w:rPr>
          <w:rFonts w:hint="eastAsia" w:ascii="黑体" w:eastAsia="黑体"/>
          <w:sz w:val="28"/>
          <w:szCs w:val="28"/>
        </w:rPr>
      </w:pPr>
    </w:p>
    <w:p w14:paraId="4D5D104C">
      <w:pPr>
        <w:adjustRightInd w:val="0"/>
        <w:snapToGrid w:val="0"/>
        <w:spacing w:line="560" w:lineRule="exact"/>
        <w:textAlignment w:val="baseline"/>
        <w:rPr>
          <w:rFonts w:hint="eastAsia" w:ascii="黑体" w:eastAsia="黑体"/>
          <w:sz w:val="28"/>
          <w:szCs w:val="28"/>
        </w:rPr>
      </w:pPr>
    </w:p>
    <w:p w14:paraId="4E642281">
      <w:pPr>
        <w:adjustRightInd w:val="0"/>
        <w:snapToGrid w:val="0"/>
        <w:spacing w:line="360" w:lineRule="auto"/>
        <w:textAlignment w:val="baseline"/>
        <w:rPr>
          <w:rFonts w:hint="eastAsia" w:ascii="黑体" w:eastAsia="黑体"/>
          <w:sz w:val="28"/>
          <w:szCs w:val="28"/>
        </w:rPr>
      </w:pPr>
    </w:p>
    <w:p w14:paraId="12A4296D">
      <w:pPr>
        <w:adjustRightInd w:val="0"/>
        <w:snapToGrid w:val="0"/>
        <w:spacing w:line="360" w:lineRule="auto"/>
        <w:textAlignment w:val="baseline"/>
        <w:rPr>
          <w:rFonts w:hint="eastAsia" w:ascii="黑体" w:eastAsia="黑体"/>
          <w:sz w:val="28"/>
          <w:szCs w:val="28"/>
        </w:rPr>
      </w:pPr>
    </w:p>
    <w:p w14:paraId="1B879F4F">
      <w:pPr>
        <w:adjustRightInd w:val="0"/>
        <w:snapToGrid w:val="0"/>
        <w:spacing w:line="360" w:lineRule="auto"/>
        <w:textAlignment w:val="baseline"/>
        <w:rPr>
          <w:rFonts w:hint="eastAsia" w:ascii="黑体" w:eastAsia="黑体"/>
          <w:sz w:val="28"/>
          <w:szCs w:val="28"/>
        </w:rPr>
      </w:pPr>
    </w:p>
    <w:p w14:paraId="69D475BE">
      <w:pPr>
        <w:adjustRightInd w:val="0"/>
        <w:snapToGrid w:val="0"/>
        <w:spacing w:line="360" w:lineRule="auto"/>
        <w:textAlignment w:val="baseline"/>
        <w:rPr>
          <w:rFonts w:hint="eastAsia" w:ascii="黑体" w:eastAsia="黑体"/>
          <w:sz w:val="28"/>
          <w:szCs w:val="28"/>
        </w:rPr>
      </w:pPr>
    </w:p>
    <w:p w14:paraId="0752DD08">
      <w:pPr>
        <w:adjustRightInd w:val="0"/>
        <w:snapToGrid w:val="0"/>
        <w:spacing w:line="360" w:lineRule="auto"/>
        <w:textAlignment w:val="baseline"/>
        <w:rPr>
          <w:rFonts w:hint="eastAsia" w:ascii="黑体" w:eastAsia="黑体"/>
          <w:sz w:val="28"/>
          <w:szCs w:val="28"/>
        </w:rPr>
      </w:pPr>
    </w:p>
    <w:p w14:paraId="6F869D8A">
      <w:pPr>
        <w:adjustRightInd w:val="0"/>
        <w:snapToGrid w:val="0"/>
        <w:spacing w:line="360" w:lineRule="auto"/>
        <w:textAlignment w:val="baseline"/>
        <w:rPr>
          <w:rFonts w:hint="eastAsia" w:ascii="黑体" w:eastAsia="黑体"/>
          <w:sz w:val="28"/>
          <w:szCs w:val="28"/>
        </w:rPr>
      </w:pPr>
    </w:p>
    <w:p w14:paraId="4ECABD91">
      <w:pPr>
        <w:adjustRightInd w:val="0"/>
        <w:snapToGrid w:val="0"/>
        <w:spacing w:line="360" w:lineRule="auto"/>
        <w:textAlignment w:val="baseline"/>
        <w:rPr>
          <w:rFonts w:hint="eastAsia" w:ascii="黑体" w:eastAsia="黑体"/>
          <w:sz w:val="28"/>
          <w:szCs w:val="28"/>
        </w:rPr>
      </w:pPr>
    </w:p>
    <w:p w14:paraId="60875327">
      <w:pPr>
        <w:adjustRightInd w:val="0"/>
        <w:snapToGrid w:val="0"/>
        <w:spacing w:line="360" w:lineRule="auto"/>
        <w:textAlignment w:val="baseline"/>
        <w:rPr>
          <w:rFonts w:hint="eastAsia" w:ascii="黑体" w:eastAsia="黑体"/>
          <w:sz w:val="28"/>
          <w:szCs w:val="28"/>
        </w:rPr>
      </w:pPr>
    </w:p>
    <w:p w14:paraId="21235C26">
      <w:pPr>
        <w:adjustRightInd w:val="0"/>
        <w:snapToGrid w:val="0"/>
        <w:spacing w:line="360" w:lineRule="auto"/>
        <w:textAlignment w:val="baseline"/>
        <w:rPr>
          <w:rFonts w:hint="eastAsia" w:ascii="黑体" w:eastAsia="黑体"/>
          <w:sz w:val="28"/>
          <w:szCs w:val="28"/>
        </w:rPr>
      </w:pPr>
    </w:p>
    <w:p w14:paraId="5BE0D0FD">
      <w:pPr>
        <w:adjustRightInd w:val="0"/>
        <w:snapToGrid w:val="0"/>
        <w:spacing w:line="360" w:lineRule="auto"/>
        <w:textAlignment w:val="baseline"/>
        <w:rPr>
          <w:rFonts w:hint="eastAsia" w:ascii="黑体" w:eastAsia="黑体"/>
          <w:sz w:val="28"/>
          <w:szCs w:val="28"/>
        </w:rPr>
      </w:pPr>
    </w:p>
    <w:p w14:paraId="7AAC816F">
      <w:pPr>
        <w:adjustRightInd w:val="0"/>
        <w:snapToGrid w:val="0"/>
        <w:spacing w:line="360" w:lineRule="auto"/>
        <w:textAlignment w:val="baseline"/>
        <w:rPr>
          <w:rFonts w:hint="eastAsia" w:ascii="黑体" w:eastAsia="黑体"/>
          <w:sz w:val="28"/>
          <w:szCs w:val="28"/>
        </w:rPr>
      </w:pPr>
    </w:p>
    <w:p w14:paraId="33F997AB">
      <w:pPr>
        <w:adjustRightInd w:val="0"/>
        <w:snapToGrid w:val="0"/>
        <w:spacing w:line="360" w:lineRule="auto"/>
        <w:textAlignment w:val="baseline"/>
        <w:rPr>
          <w:rFonts w:hint="eastAsia" w:ascii="黑体" w:eastAsia="黑体"/>
          <w:sz w:val="28"/>
          <w:szCs w:val="28"/>
        </w:rPr>
      </w:pPr>
    </w:p>
    <w:p w14:paraId="1FAED6E1">
      <w:pPr>
        <w:adjustRightInd w:val="0"/>
        <w:snapToGrid w:val="0"/>
        <w:spacing w:line="360" w:lineRule="auto"/>
        <w:textAlignment w:val="baseline"/>
        <w:rPr>
          <w:rFonts w:hint="eastAsia" w:ascii="黑体" w:eastAsia="黑体"/>
          <w:sz w:val="28"/>
          <w:szCs w:val="28"/>
        </w:rPr>
      </w:pPr>
    </w:p>
    <w:p w14:paraId="42B6E27E">
      <w:pPr>
        <w:adjustRightInd w:val="0"/>
        <w:snapToGrid w:val="0"/>
        <w:spacing w:line="360" w:lineRule="auto"/>
        <w:textAlignment w:val="baseline"/>
        <w:rPr>
          <w:rFonts w:hint="eastAsia" w:ascii="黑体" w:eastAsia="黑体"/>
          <w:sz w:val="28"/>
          <w:szCs w:val="28"/>
        </w:rPr>
      </w:pPr>
    </w:p>
    <w:p w14:paraId="717316EC">
      <w:pPr>
        <w:adjustRightInd w:val="0"/>
        <w:snapToGrid w:val="0"/>
        <w:spacing w:line="360" w:lineRule="auto"/>
        <w:textAlignment w:val="baseline"/>
        <w:rPr>
          <w:rFonts w:hint="eastAsia" w:ascii="黑体" w:eastAsia="黑体"/>
          <w:sz w:val="28"/>
          <w:szCs w:val="28"/>
        </w:rPr>
      </w:pPr>
    </w:p>
    <w:p w14:paraId="2086A447">
      <w:pPr>
        <w:adjustRightInd w:val="0"/>
        <w:snapToGrid w:val="0"/>
        <w:spacing w:line="360" w:lineRule="auto"/>
        <w:textAlignment w:val="baseline"/>
        <w:rPr>
          <w:rFonts w:hint="eastAsia" w:ascii="黑体" w:eastAsia="黑体"/>
          <w:sz w:val="28"/>
          <w:szCs w:val="28"/>
        </w:rPr>
      </w:pPr>
    </w:p>
    <w:p w14:paraId="5CB0DB0E">
      <w:pPr>
        <w:adjustRightInd w:val="0"/>
        <w:snapToGrid w:val="0"/>
        <w:spacing w:line="360" w:lineRule="auto"/>
        <w:textAlignment w:val="baseline"/>
        <w:rPr>
          <w:rFonts w:hint="eastAsia" w:ascii="黑体" w:eastAsia="黑体"/>
          <w:sz w:val="28"/>
          <w:szCs w:val="28"/>
        </w:rPr>
      </w:pPr>
    </w:p>
    <w:p w14:paraId="41DA8DAC">
      <w:pPr>
        <w:adjustRightInd w:val="0"/>
        <w:snapToGrid w:val="0"/>
        <w:spacing w:line="360" w:lineRule="auto"/>
        <w:textAlignment w:val="baseline"/>
        <w:rPr>
          <w:rFonts w:hint="eastAsia" w:ascii="黑体" w:eastAsia="黑体"/>
          <w:sz w:val="28"/>
          <w:szCs w:val="28"/>
        </w:rPr>
      </w:pPr>
    </w:p>
    <w:p w14:paraId="0175611E">
      <w:pPr>
        <w:adjustRightInd w:val="0"/>
        <w:snapToGrid w:val="0"/>
        <w:spacing w:line="560" w:lineRule="exact"/>
        <w:ind w:firstLine="280" w:firstLineChars="100"/>
        <w:textAlignment w:val="baseline"/>
        <w:rPr>
          <w:rFonts w:ascii="仿宋_GB2312" w:eastAsia="仿宋_GB2312"/>
          <w:sz w:val="28"/>
          <w:szCs w:val="28"/>
        </w:rPr>
      </w:pPr>
      <w:r>
        <w:rPr>
          <w:rFonts w:hint="eastAsia" w:ascii="仿宋_GB2312" w:eastAsia="仿宋_GB2312"/>
          <w:sz w:val="28"/>
          <w:szCs w:val="28"/>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46990</wp:posOffset>
                </wp:positionV>
                <wp:extent cx="5414010" cy="3175"/>
                <wp:effectExtent l="0" t="0" r="0" b="0"/>
                <wp:wrapNone/>
                <wp:docPr id="11" name="直接连接符 11"/>
                <wp:cNvGraphicFramePr/>
                <a:graphic xmlns:a="http://schemas.openxmlformats.org/drawingml/2006/main">
                  <a:graphicData uri="http://schemas.microsoft.com/office/word/2010/wordprocessingShape">
                    <wps:wsp>
                      <wps:cNvCnPr/>
                      <wps:spPr>
                        <a:xfrm flipV="1">
                          <a:off x="0" y="0"/>
                          <a:ext cx="5414010" cy="3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5pt;margin-top:3.7pt;height:0.25pt;width:426.3pt;z-index:251660288;mso-width-relative:page;mso-height-relative:page;" filled="f" stroked="t" coordsize="21600,21600" o:gfxdata="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BPt+HUAAAABgEAAA8AAAAAAAAAAQAgAAAAIgAAAGRycy9kb3ducmV2Lnht&#10;bFBLAQIUABQAAAAIAIdO4kA9Si4p/QEAAPMDAAAOAAAAAAAAAAEAIAAAACMBAABkcnMvZTJvRG9j&#10;LnhtbFBLBQYAAAAABgAGAFkBAACSBQAAAAA=&#10;">
                <v:fill on="f" focussize="0,0"/>
                <v:stroke color="#000000" joinstyle="round"/>
                <v:imagedata o:title=""/>
                <o:lock v:ext="edit" aspectratio="f"/>
              </v:line>
            </w:pict>
          </mc:Fallback>
        </mc:AlternateContent>
      </w:r>
      <w:r>
        <w:rPr>
          <w:rFonts w:hint="eastAsia" w:ascii="仿宋_GB2312" w:eastAsia="仿宋_GB2312"/>
          <w:sz w:val="28"/>
          <w:szCs w:val="28"/>
        </w:rPr>
        <w:t>抄送：县委办，县纪委办。</w:t>
      </w:r>
    </w:p>
    <w:p w14:paraId="23BB8EC2">
      <w:pPr>
        <w:adjustRightInd w:val="0"/>
        <w:snapToGrid w:val="0"/>
        <w:spacing w:line="560" w:lineRule="exact"/>
        <w:textAlignment w:val="baseline"/>
        <w:rPr>
          <w:rFonts w:ascii="仿宋_GB2312" w:eastAsia="仿宋_GB2312"/>
          <w:sz w:val="28"/>
          <w:szCs w:val="28"/>
        </w:rPr>
      </w:pPr>
      <w:r>
        <w:rPr>
          <w:rFonts w:hint="eastAsia" w:ascii="仿宋_GB2312" w:eastAsia="仿宋_GB2312"/>
          <w:sz w:val="28"/>
          <w:szCs w:val="28"/>
        </w:rPr>
        <w:t xml:space="preserve">        县人大办，县政协办，县法院，县检察院。</w:t>
      </w:r>
    </w:p>
    <w:p w14:paraId="51DACE6A">
      <w:pPr>
        <w:adjustRightInd w:val="0"/>
        <w:snapToGrid w:val="0"/>
        <w:spacing w:line="560" w:lineRule="exact"/>
        <w:ind w:firstLine="280" w:firstLineChars="100"/>
        <w:textAlignment w:val="baseline"/>
        <w:rPr>
          <w:rFonts w:hint="eastAsia"/>
          <w:caps w:val="0"/>
          <w:smallCaps w:val="0"/>
          <w:color w:val="auto"/>
          <w:spacing w:val="0"/>
          <w:kern w:val="0"/>
          <w:sz w:val="36"/>
          <w:szCs w:val="36"/>
        </w:rPr>
        <w:sectPr>
          <w:footerReference r:id="rId7"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start="2"/>
          <w:cols w:space="425" w:num="1"/>
          <w:docGrid w:type="lines" w:linePitch="312" w:charSpace="0"/>
        </w:sectPr>
      </w:pPr>
      <w:r>
        <w:rPr>
          <w:rFonts w:hint="eastAsia" w:ascii="黑体" w:eastAsia="黑体"/>
          <w:sz w:val="28"/>
          <w:szCs w:val="2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377825</wp:posOffset>
                </wp:positionV>
                <wp:extent cx="5414010" cy="3175"/>
                <wp:effectExtent l="0" t="0" r="0" b="0"/>
                <wp:wrapNone/>
                <wp:docPr id="12" name="直接连接符 12"/>
                <wp:cNvGraphicFramePr/>
                <a:graphic xmlns:a="http://schemas.openxmlformats.org/drawingml/2006/main">
                  <a:graphicData uri="http://schemas.microsoft.com/office/word/2010/wordprocessingShape">
                    <wps:wsp>
                      <wps:cNvCnPr/>
                      <wps:spPr>
                        <a:xfrm flipV="1">
                          <a:off x="0" y="0"/>
                          <a:ext cx="5414010" cy="3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pt;margin-top:29.75pt;height:0.25pt;width:426.3pt;z-index:251662336;mso-width-relative:page;mso-height-relative:page;" filled="f" stroked="t" coordsize="21600,21600" o:gfxdata="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VRlRdUAAAAGAQAADwAAAAAAAAABACAAAAAiAAAAZHJzL2Rvd25yZXYu&#10;eG1sUEsBAhQAFAAAAAgAh07iQKR3aIb+AQAA8wMAAA4AAAAAAAAAAQAgAAAAJAEAAGRycy9lMm9E&#10;b2MueG1sUEsFBgAAAAAGAAYAWQEAAJQFAAAAAA==&#10;">
                <v:fill on="f" focussize="0,0"/>
                <v:stroke color="#000000" joinstyle="round"/>
                <v:imagedata o:title=""/>
                <o:lock v:ext="edit" aspectratio="f"/>
              </v:line>
            </w:pict>
          </mc:Fallback>
        </mc:AlternateContent>
      </w:r>
      <w:r>
        <w:rPr>
          <w:rFonts w:ascii="仿宋_GB2312" w:eastAsia="仿宋_GB2312"/>
          <w:sz w:val="28"/>
          <w:szCs w:val="28"/>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24765</wp:posOffset>
                </wp:positionV>
                <wp:extent cx="5407025" cy="7620"/>
                <wp:effectExtent l="0" t="0" r="0" b="0"/>
                <wp:wrapNone/>
                <wp:docPr id="13" name="直接连接符 13"/>
                <wp:cNvGraphicFramePr/>
                <a:graphic xmlns:a="http://schemas.openxmlformats.org/drawingml/2006/main">
                  <a:graphicData uri="http://schemas.microsoft.com/office/word/2010/wordprocessingShape">
                    <wps:wsp>
                      <wps:cNvCnPr/>
                      <wps:spPr>
                        <a:xfrm flipV="1">
                          <a:off x="0" y="0"/>
                          <a:ext cx="5407025" cy="76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pt;margin-top:1.95pt;height:0.6pt;width:425.75pt;z-index:251661312;mso-width-relative:page;mso-height-relative:page;" filled="f" stroked="t" coordsize="21600,21600" o:gfxdata="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b85ILUAAAABAEAAA8AAAAAAAAAAQAgAAAAIgAAAGRycy9kb3ducmV2&#10;LnhtbFBLAQIUABQAAAAIAIdO4kBRFAmEAAIAAPMDAAAOAAAAAAAAAAEAIAAAACMBAABkcnMvZTJv&#10;RG9jLnhtbFBLBQYAAAAABgAGAFkBAACVBQAAAAA=&#10;">
                <v:fill on="f" focussize="0,0"/>
                <v:stroke color="#000000" joinstyle="round"/>
                <v:imagedata o:title=""/>
                <o:lock v:ext="edit" aspectratio="f"/>
              </v:line>
            </w:pict>
          </mc:Fallback>
        </mc:AlternateContent>
      </w:r>
      <w:r>
        <w:rPr>
          <w:rFonts w:hint="eastAsia" w:ascii="仿宋_GB2312" w:eastAsia="仿宋_GB2312"/>
          <w:sz w:val="28"/>
          <w:szCs w:val="28"/>
        </w:rPr>
        <w:t>集贤县人民政府办公室    　           202</w:t>
      </w:r>
      <w:r>
        <w:rPr>
          <w:rFonts w:hint="default" w:ascii="仿宋_GB2312" w:eastAsia="仿宋_GB2312"/>
          <w:sz w:val="28"/>
          <w:szCs w:val="28"/>
        </w:rPr>
        <w:t>5</w:t>
      </w:r>
      <w:r>
        <w:rPr>
          <w:rFonts w:hint="eastAsia" w:ascii="仿宋_GB2312" w:eastAsia="仿宋_GB2312"/>
          <w:sz w:val="28"/>
          <w:szCs w:val="28"/>
        </w:rPr>
        <w:t>年</w:t>
      </w:r>
      <w:r>
        <w:rPr>
          <w:rFonts w:hint="default" w:ascii="仿宋_GB2312" w:eastAsia="仿宋_GB2312"/>
          <w:sz w:val="28"/>
          <w:szCs w:val="28"/>
        </w:rPr>
        <w:t>5</w:t>
      </w:r>
      <w:r>
        <w:rPr>
          <w:rFonts w:hint="eastAsia" w:ascii="仿宋_GB2312" w:eastAsia="仿宋_GB2312"/>
          <w:sz w:val="28"/>
          <w:szCs w:val="28"/>
        </w:rPr>
        <w:t>月</w:t>
      </w:r>
      <w:r>
        <w:rPr>
          <w:rFonts w:hint="default" w:ascii="仿宋_GB2312" w:eastAsia="仿宋_GB2312"/>
          <w:sz w:val="28"/>
          <w:szCs w:val="28"/>
        </w:rPr>
        <w:t>1</w:t>
      </w:r>
      <w:r>
        <w:rPr>
          <w:rFonts w:hint="eastAsia" w:ascii="仿宋_GB2312" w:eastAsia="仿宋_GB2312"/>
          <w:sz w:val="28"/>
          <w:szCs w:val="28"/>
          <w:lang w:val="en-US" w:eastAsia="zh-CN"/>
        </w:rPr>
        <w:t>6</w:t>
      </w:r>
      <w:r>
        <w:rPr>
          <w:rFonts w:hint="eastAsia" w:ascii="仿宋_GB2312" w:eastAsia="仿宋_GB2312"/>
          <w:sz w:val="28"/>
          <w:szCs w:val="28"/>
        </w:rPr>
        <w:t>日印</w:t>
      </w:r>
    </w:p>
    <w:p w14:paraId="70886AA1">
      <w:pPr>
        <w:ind w:left="0" w:leftChars="0" w:firstLine="0" w:firstLineChars="0"/>
        <w:rPr>
          <w:rFonts w:hint="eastAsia"/>
          <w:caps w:val="0"/>
          <w:smallCaps w:val="0"/>
          <w:color w:val="auto"/>
          <w:spacing w:val="0"/>
          <w:kern w:val="0"/>
          <w:sz w:val="36"/>
          <w:szCs w:val="36"/>
        </w:rPr>
      </w:pPr>
    </w:p>
    <w:p w14:paraId="2A46079B">
      <w:pPr>
        <w:adjustRightInd w:val="0"/>
        <w:snapToGrid w:val="0"/>
        <w:spacing w:line="240" w:lineRule="auto"/>
        <w:ind w:firstLine="0" w:firstLineChars="0"/>
        <w:jc w:val="center"/>
        <w:rPr>
          <w:rFonts w:hint="eastAsia" w:ascii="方正小标宋简体" w:hAnsi="Times New Roman" w:eastAsia="方正小标宋简体" w:cs="Times New Roman"/>
          <w:sz w:val="44"/>
          <w:szCs w:val="44"/>
          <w:lang w:eastAsia="zh-CN"/>
        </w:rPr>
      </w:pPr>
      <w:r>
        <w:rPr>
          <w:rFonts w:hint="eastAsia" w:ascii="方正小标宋简体" w:hAnsi="Times New Roman" w:eastAsia="方正小标宋简体" w:cs="Times New Roman"/>
          <w:sz w:val="44"/>
          <w:szCs w:val="44"/>
          <w:lang w:eastAsia="zh-CN"/>
        </w:rPr>
        <w:t>集贤县建筑垃圾污染环境防治工作规划</w:t>
      </w:r>
    </w:p>
    <w:p w14:paraId="664646BE">
      <w:pPr>
        <w:adjustRightInd w:val="0"/>
        <w:snapToGrid w:val="0"/>
        <w:spacing w:line="240" w:lineRule="auto"/>
        <w:ind w:firstLine="0" w:firstLineChars="0"/>
        <w:jc w:val="center"/>
        <w:rPr>
          <w:rFonts w:hint="eastAsia" w:ascii="方正小标宋简体" w:hAnsi="Times New Roman" w:eastAsia="方正小标宋简体" w:cs="Times New Roman"/>
          <w:sz w:val="44"/>
          <w:szCs w:val="44"/>
          <w:lang w:eastAsia="zh-CN"/>
        </w:rPr>
      </w:pPr>
      <w:r>
        <w:rPr>
          <w:rFonts w:hint="eastAsia" w:ascii="方正小标宋简体" w:hAnsi="Times New Roman" w:eastAsia="方正小标宋简体" w:cs="Times New Roman"/>
          <w:sz w:val="44"/>
          <w:szCs w:val="44"/>
          <w:lang w:eastAsia="zh-CN"/>
        </w:rPr>
        <w:t>（2024—2030年）</w:t>
      </w:r>
    </w:p>
    <w:p w14:paraId="5D4130F1">
      <w:pPr>
        <w:pStyle w:val="20"/>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eastAsia" w:ascii="黑体" w:hAnsi="黑体" w:eastAsia="黑体" w:cs="黑体"/>
          <w:caps w:val="0"/>
          <w:smallCaps w:val="0"/>
          <w:color w:val="auto"/>
          <w:spacing w:val="0"/>
          <w:kern w:val="0"/>
          <w:sz w:val="44"/>
          <w:szCs w:val="44"/>
        </w:rPr>
      </w:pPr>
    </w:p>
    <w:p w14:paraId="5B8A56DF">
      <w:pPr>
        <w:pStyle w:val="20"/>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eastAsia" w:ascii="黑体" w:hAnsi="黑体" w:eastAsia="黑体" w:cs="黑体"/>
          <w:b w:val="0"/>
          <w:bCs w:val="0"/>
          <w:caps w:val="0"/>
          <w:smallCaps w:val="0"/>
          <w:color w:val="auto"/>
          <w:spacing w:val="0"/>
          <w:kern w:val="0"/>
          <w:sz w:val="44"/>
          <w:szCs w:val="44"/>
        </w:rPr>
      </w:pPr>
      <w:r>
        <w:rPr>
          <w:rFonts w:hint="eastAsia" w:ascii="黑体" w:hAnsi="黑体" w:eastAsia="黑体" w:cs="黑体"/>
          <w:b w:val="0"/>
          <w:bCs w:val="0"/>
          <w:caps w:val="0"/>
          <w:smallCaps w:val="0"/>
          <w:color w:val="auto"/>
          <w:spacing w:val="0"/>
          <w:kern w:val="0"/>
          <w:sz w:val="44"/>
          <w:szCs w:val="44"/>
        </w:rPr>
        <w:t>目</w:t>
      </w:r>
      <w:r>
        <w:rPr>
          <w:rFonts w:hint="eastAsia" w:ascii="黑体" w:hAnsi="黑体" w:eastAsia="黑体" w:cs="黑体"/>
          <w:b w:val="0"/>
          <w:bCs w:val="0"/>
          <w:caps w:val="0"/>
          <w:smallCaps w:val="0"/>
          <w:color w:val="auto"/>
          <w:spacing w:val="0"/>
          <w:kern w:val="0"/>
          <w:sz w:val="44"/>
          <w:szCs w:val="44"/>
          <w:lang w:val="en-US" w:eastAsia="zh-CN"/>
        </w:rPr>
        <w:t xml:space="preserve">  </w:t>
      </w:r>
      <w:r>
        <w:rPr>
          <w:rFonts w:hint="eastAsia" w:ascii="黑体" w:hAnsi="黑体" w:eastAsia="黑体" w:cs="黑体"/>
          <w:b w:val="0"/>
          <w:bCs w:val="0"/>
          <w:caps w:val="0"/>
          <w:smallCaps w:val="0"/>
          <w:color w:val="auto"/>
          <w:spacing w:val="0"/>
          <w:kern w:val="0"/>
          <w:sz w:val="44"/>
          <w:szCs w:val="44"/>
        </w:rPr>
        <w:t>录</w:t>
      </w:r>
    </w:p>
    <w:sdt>
      <w:sdtPr>
        <w:rPr>
          <w:rFonts w:ascii="宋体" w:hAnsi="宋体" w:eastAsia="宋体" w:cs="Times New Roman"/>
          <w:caps w:val="0"/>
          <w:smallCaps w:val="0"/>
          <w:color w:val="auto"/>
          <w:spacing w:val="0"/>
          <w:kern w:val="2"/>
          <w:sz w:val="21"/>
          <w:lang w:val="en-US" w:eastAsia="zh-CN" w:bidi="ar-SA"/>
        </w:rPr>
        <w:id w:val="147468079"/>
        <w15:color w:val="DBDBDB"/>
        <w:docPartObj>
          <w:docPartGallery w:val="Table of Contents"/>
          <w:docPartUnique/>
        </w:docPartObj>
      </w:sdtPr>
      <w:sdtEndPr>
        <w:rPr>
          <w:rFonts w:ascii="Times New Roman" w:hAnsi="Times New Roman" w:eastAsia="楷体_GB2312" w:cs="Times New Roman"/>
          <w:b/>
          <w:caps w:val="0"/>
          <w:smallCaps w:val="0"/>
          <w:color w:val="auto"/>
          <w:spacing w:val="0"/>
          <w:kern w:val="0"/>
          <w:sz w:val="24"/>
          <w:szCs w:val="32"/>
          <w:lang w:val="en-US" w:eastAsia="zh-CN" w:bidi="ar-SA"/>
        </w:rPr>
      </w:sdtEndPr>
      <w:sdtContent>
        <w:p w14:paraId="4CFD8958">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caps w:val="0"/>
              <w:smallCaps w:val="0"/>
              <w:color w:val="auto"/>
              <w:spacing w:val="0"/>
            </w:rPr>
          </w:pPr>
        </w:p>
        <w:p w14:paraId="1411ABDF">
          <w:pPr>
            <w:pStyle w:val="20"/>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TOC \o "1-2" \h \u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b/>
              <w:bCs/>
              <w:caps w:val="0"/>
              <w:smallCaps w:val="0"/>
              <w:color w:val="auto"/>
              <w:spacing w:val="0"/>
              <w:w w:val="100"/>
              <w:kern w:val="2"/>
              <w:sz w:val="32"/>
              <w:szCs w:val="32"/>
              <w:lang w:val="en-US" w:eastAsia="zh-CN" w:bidi="ar-SA"/>
            </w:rPr>
            <w:fldChar w:fldCharType="begin"/>
          </w:r>
          <w:r>
            <w:rPr>
              <w:rFonts w:hint="eastAsia" w:ascii="仿宋_GB2312" w:hAnsi="仿宋_GB2312" w:eastAsia="仿宋_GB2312" w:cs="仿宋_GB2312"/>
              <w:b/>
              <w:bCs/>
              <w:caps w:val="0"/>
              <w:smallCaps w:val="0"/>
              <w:color w:val="auto"/>
              <w:spacing w:val="0"/>
              <w:w w:val="100"/>
              <w:kern w:val="2"/>
              <w:sz w:val="32"/>
              <w:szCs w:val="32"/>
              <w:lang w:val="en-US" w:eastAsia="zh-CN" w:bidi="ar-SA"/>
            </w:rPr>
            <w:instrText xml:space="preserve"> HYPERLINK \l _Toc29458 </w:instrText>
          </w:r>
          <w:r>
            <w:rPr>
              <w:rFonts w:hint="eastAsia" w:ascii="仿宋_GB2312" w:hAnsi="仿宋_GB2312" w:eastAsia="仿宋_GB2312" w:cs="仿宋_GB2312"/>
              <w:b/>
              <w:bCs/>
              <w:caps w:val="0"/>
              <w:smallCaps w:val="0"/>
              <w:color w:val="auto"/>
              <w:spacing w:val="0"/>
              <w:w w:val="100"/>
              <w:kern w:val="2"/>
              <w:sz w:val="32"/>
              <w:szCs w:val="32"/>
              <w:lang w:val="en-US" w:eastAsia="zh-CN" w:bidi="ar-SA"/>
            </w:rPr>
            <w:fldChar w:fldCharType="separate"/>
          </w:r>
          <w:r>
            <w:rPr>
              <w:rFonts w:hint="eastAsia" w:ascii="仿宋_GB2312" w:hAnsi="仿宋_GB2312" w:eastAsia="仿宋_GB2312" w:cs="仿宋_GB2312"/>
              <w:b/>
              <w:bCs/>
              <w:caps w:val="0"/>
              <w:smallCaps w:val="0"/>
              <w:color w:val="auto"/>
              <w:spacing w:val="0"/>
              <w:w w:val="100"/>
              <w:kern w:val="2"/>
              <w:sz w:val="32"/>
              <w:szCs w:val="32"/>
              <w:lang w:val="en-US" w:eastAsia="zh-CN" w:bidi="ar-SA"/>
            </w:rPr>
            <w:t>第1章 概述</w:t>
          </w:r>
          <w:r>
            <w:rPr>
              <w:rFonts w:hint="eastAsia" w:ascii="仿宋_GB2312" w:hAnsi="仿宋_GB2312" w:eastAsia="仿宋_GB2312" w:cs="仿宋_GB2312"/>
              <w:b w:val="0"/>
              <w:bCs w:val="0"/>
              <w:caps w:val="0"/>
              <w:smallCaps w:val="0"/>
              <w:color w:val="auto"/>
              <w:spacing w:val="0"/>
              <w:w w:val="100"/>
              <w:kern w:val="2"/>
              <w:sz w:val="32"/>
              <w:szCs w:val="32"/>
              <w:lang w:val="en-US" w:eastAsia="zh-CN" w:bidi="ar-SA"/>
            </w:rPr>
            <w:tab/>
          </w:r>
          <w:r>
            <w:rPr>
              <w:rFonts w:hint="eastAsia" w:ascii="仿宋_GB2312" w:hAnsi="仿宋_GB2312" w:eastAsia="仿宋_GB2312" w:cs="仿宋_GB2312"/>
              <w:b/>
              <w:bCs/>
              <w:caps w:val="0"/>
              <w:smallCaps w:val="0"/>
              <w:color w:val="auto"/>
              <w:spacing w:val="0"/>
              <w:w w:val="100"/>
              <w:kern w:val="2"/>
              <w:sz w:val="32"/>
              <w:szCs w:val="32"/>
              <w:lang w:val="en-US" w:eastAsia="zh-CN" w:bidi="ar-SA"/>
            </w:rPr>
            <w:fldChar w:fldCharType="begin"/>
          </w:r>
          <w:r>
            <w:rPr>
              <w:rFonts w:hint="eastAsia" w:ascii="仿宋_GB2312" w:hAnsi="仿宋_GB2312" w:eastAsia="仿宋_GB2312" w:cs="仿宋_GB2312"/>
              <w:b/>
              <w:bCs/>
              <w:caps w:val="0"/>
              <w:smallCaps w:val="0"/>
              <w:color w:val="auto"/>
              <w:spacing w:val="0"/>
              <w:w w:val="100"/>
              <w:kern w:val="2"/>
              <w:sz w:val="32"/>
              <w:szCs w:val="32"/>
              <w:lang w:val="en-US" w:eastAsia="zh-CN" w:bidi="ar-SA"/>
            </w:rPr>
            <w:instrText xml:space="preserve"> PAGEREF _Toc29458 \h </w:instrText>
          </w:r>
          <w:r>
            <w:rPr>
              <w:rFonts w:hint="eastAsia" w:ascii="仿宋_GB2312" w:hAnsi="仿宋_GB2312" w:eastAsia="仿宋_GB2312" w:cs="仿宋_GB2312"/>
              <w:b/>
              <w:bCs/>
              <w:caps w:val="0"/>
              <w:smallCaps w:val="0"/>
              <w:color w:val="auto"/>
              <w:spacing w:val="0"/>
              <w:w w:val="100"/>
              <w:kern w:val="2"/>
              <w:sz w:val="32"/>
              <w:szCs w:val="32"/>
              <w:lang w:val="en-US" w:eastAsia="zh-CN" w:bidi="ar-SA"/>
            </w:rPr>
            <w:fldChar w:fldCharType="separate"/>
          </w:r>
          <w:r>
            <w:rPr>
              <w:rFonts w:hint="eastAsia" w:ascii="仿宋_GB2312" w:hAnsi="仿宋_GB2312" w:eastAsia="仿宋_GB2312" w:cs="仿宋_GB2312"/>
              <w:b/>
              <w:bCs/>
              <w:caps w:val="0"/>
              <w:smallCaps w:val="0"/>
              <w:color w:val="auto"/>
              <w:spacing w:val="0"/>
              <w:w w:val="100"/>
              <w:kern w:val="2"/>
              <w:sz w:val="32"/>
              <w:szCs w:val="32"/>
              <w:lang w:val="en-US" w:eastAsia="zh-CN" w:bidi="ar-SA"/>
            </w:rPr>
            <w:t>- 1 -</w:t>
          </w:r>
          <w:r>
            <w:rPr>
              <w:rFonts w:hint="eastAsia" w:ascii="仿宋_GB2312" w:hAnsi="仿宋_GB2312" w:eastAsia="仿宋_GB2312" w:cs="仿宋_GB2312"/>
              <w:b/>
              <w:bCs/>
              <w:caps w:val="0"/>
              <w:smallCaps w:val="0"/>
              <w:color w:val="auto"/>
              <w:spacing w:val="0"/>
              <w:w w:val="100"/>
              <w:kern w:val="2"/>
              <w:sz w:val="32"/>
              <w:szCs w:val="32"/>
              <w:lang w:val="en-US" w:eastAsia="zh-CN" w:bidi="ar-SA"/>
            </w:rPr>
            <w:fldChar w:fldCharType="end"/>
          </w:r>
          <w:r>
            <w:rPr>
              <w:rFonts w:hint="eastAsia" w:ascii="仿宋_GB2312" w:hAnsi="仿宋_GB2312" w:eastAsia="仿宋_GB2312" w:cs="仿宋_GB2312"/>
              <w:b/>
              <w:bCs/>
              <w:caps w:val="0"/>
              <w:smallCaps w:val="0"/>
              <w:color w:val="auto"/>
              <w:spacing w:val="0"/>
              <w:w w:val="100"/>
              <w:kern w:val="2"/>
              <w:sz w:val="32"/>
              <w:szCs w:val="32"/>
              <w:lang w:val="en-US" w:eastAsia="zh-CN" w:bidi="ar-SA"/>
            </w:rPr>
            <w:fldChar w:fldCharType="end"/>
          </w:r>
        </w:p>
        <w:p w14:paraId="0F5D6DAA">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_Toc18974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1.1 规划目的</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_Toc18974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3280195A">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_Toc19826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1.2 规划原则</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_Toc19826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468AA104">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_Toc14649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1.3 规划范围</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_Toc14649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- 2 -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31FAA480">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_Toc9997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1.4 规划期限</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_Toc9997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- 2 -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1038B8D1">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_Toc21187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1.5 规划依据</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_Toc21187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- 2 -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06191B61">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_Toc5632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1.6 规划对象</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_Toc5632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- 3 -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29702F99">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_Toc18271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1.7 规划目标</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_Toc18271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- 4 -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393C5D75">
          <w:pPr>
            <w:pStyle w:val="20"/>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_Toc5998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b/>
              <w:bCs/>
              <w:caps w:val="0"/>
              <w:smallCaps w:val="0"/>
              <w:color w:val="auto"/>
              <w:spacing w:val="0"/>
              <w:w w:val="100"/>
              <w:kern w:val="2"/>
              <w:sz w:val="32"/>
              <w:szCs w:val="32"/>
              <w:lang w:val="en-US" w:eastAsia="zh-CN" w:bidi="ar-SA"/>
            </w:rPr>
            <w:t>第2章 现状分析及规模预测</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_Toc5998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- 5 -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376C3125">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_Toc14955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2.1 行政区划及人口现状</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_Toc14955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- 5 -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124D0221">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_Toc6370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2.2 治理设施现状及存在问题</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_Toc6370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- 8 -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61E82B9F">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_Toc25702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2.3 相关规划解读</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_Toc25702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- 13 -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45C029B4">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_Toc21908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2.4 建筑垃圾宏观影响因素分析</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_Toc21908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- 20 -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3D1BCA96">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_Toc11660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2.5 规模预测</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_Toc11660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- 24 -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314CF6F3">
          <w:pPr>
            <w:pStyle w:val="20"/>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_Toc28430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b/>
              <w:bCs/>
              <w:caps w:val="0"/>
              <w:smallCaps w:val="0"/>
              <w:color w:val="auto"/>
              <w:spacing w:val="0"/>
              <w:w w:val="100"/>
              <w:kern w:val="2"/>
              <w:sz w:val="32"/>
              <w:szCs w:val="32"/>
              <w:lang w:val="en-US" w:eastAsia="zh-CN" w:bidi="ar-SA"/>
            </w:rPr>
            <w:t>第3章 源头减量化规划</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_Toc28430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- 35 -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5272079C">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_Toc10876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3.1 源头减量要求</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_Toc10876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- 35 -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24CF9DB4">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_Toc9156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3.2 源头减量总体措施</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_Toc9156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- 40 -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29D7E2DA">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_Toc29409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3.3 分类源头减量措施</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_Toc29409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- 43 -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61BCABD8">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_Toc23450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3.4 源头污染环境防治要求</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_Toc23450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- 51 -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1F77B5CD">
          <w:pPr>
            <w:pStyle w:val="20"/>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_Toc19052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b/>
              <w:bCs/>
              <w:caps w:val="0"/>
              <w:smallCaps w:val="0"/>
              <w:color w:val="auto"/>
              <w:spacing w:val="0"/>
              <w:w w:val="100"/>
              <w:kern w:val="2"/>
              <w:sz w:val="32"/>
              <w:szCs w:val="32"/>
              <w:lang w:val="en-US" w:eastAsia="zh-CN" w:bidi="ar-SA"/>
            </w:rPr>
            <w:t>第4章 收运体系规划</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_Toc19052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- 57 -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2C977E0B">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_Toc16752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4.1 收运模式</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_Toc16752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- 57 -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03FC34E4">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_Toc5800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4.2 收运模式</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_Toc5800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- 59 -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54D72AA0">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_Toc6693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4.3 收运要求</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_Toc6693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- 62 -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061A350B">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_Toc12400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4.4 收运体系</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_Toc12400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- 65 -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37C51623">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_Toc19641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4.5 就地利用措施</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_Toc19641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- 65 -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2BEBA168">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_Toc22030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4.6 资源化工程垃圾利用措施</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_Toc22030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- 67 -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21BB08FD">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_Toc27763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4.7 收运设施设备</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_Toc27763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- 68 -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1BBE3749">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_Toc27463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4.8 建筑垃圾转运调配站规划</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_Toc27463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- 74 -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6BF8933C">
          <w:pPr>
            <w:pStyle w:val="20"/>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_Toc23858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b/>
              <w:bCs/>
              <w:caps w:val="0"/>
              <w:smallCaps w:val="0"/>
              <w:color w:val="auto"/>
              <w:spacing w:val="0"/>
              <w:w w:val="100"/>
              <w:kern w:val="2"/>
              <w:sz w:val="32"/>
              <w:szCs w:val="32"/>
              <w:lang w:val="en-US" w:eastAsia="zh-CN" w:bidi="ar-SA"/>
            </w:rPr>
            <w:t>第5章 处置体系规划</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_Toc23858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- 90 -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057DB59C">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_Toc24296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5.1 处置方式</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_Toc24296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- 90 -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3225B663">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_Toc11095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5.2 处置体系</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_Toc11095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- 94 -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70A0C151">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_Toc2440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5.3 非正规建筑垃圾堆放点治理</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_Toc2440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- 125 -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5668E5DD">
          <w:pPr>
            <w:pStyle w:val="20"/>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_Toc15335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b/>
              <w:bCs/>
              <w:caps w:val="0"/>
              <w:smallCaps w:val="0"/>
              <w:color w:val="auto"/>
              <w:spacing w:val="0"/>
              <w:w w:val="100"/>
              <w:kern w:val="2"/>
              <w:sz w:val="32"/>
              <w:szCs w:val="32"/>
              <w:lang w:val="en-US" w:eastAsia="zh-CN" w:bidi="ar-SA"/>
            </w:rPr>
            <w:t>第6章 污染防治规划</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_Toc15335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- 130 -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622E4551">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_Toc14243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6.1 环境保护总控目标</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_Toc14243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- 130 -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7CFFFF20">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_Toc24278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6.2 水土流失防治措施</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_Toc24278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- 130 -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4B81721E">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_Toc24886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6.3 大气环境保护措施</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_Toc24886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- 132 -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4C66A66C">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_Toc23710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6.4 水环境保护措施</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_Toc23710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- 132 -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5161E0CF">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_Toc25470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6.5 噪声环境保护措施</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_Toc25470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- 133 -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37DDC369">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_Toc8585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6.6 土壤环境保护措施</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_Toc8585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- 134 -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33221DC9">
          <w:pPr>
            <w:pStyle w:val="20"/>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_Toc30100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b/>
              <w:bCs/>
              <w:caps w:val="0"/>
              <w:smallCaps w:val="0"/>
              <w:color w:val="auto"/>
              <w:spacing w:val="0"/>
              <w:w w:val="100"/>
              <w:kern w:val="2"/>
              <w:sz w:val="32"/>
              <w:szCs w:val="32"/>
              <w:lang w:val="en-US" w:eastAsia="zh-CN" w:bidi="ar-SA"/>
            </w:rPr>
            <w:t>第7章 管理体系规划</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_Toc30100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- 135 -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635BC4C4">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_Toc31836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7.1 组织领导机构</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_Toc31836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- 135 -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45A9D999">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_Toc5878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7.2 部门职责分工</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_Toc5878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- 137 -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51469437">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_Toc21315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7.3 管理制度建设</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_Toc21315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- 138 -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26778B60">
          <w:pPr>
            <w:pStyle w:val="20"/>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_Toc28475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b/>
              <w:bCs/>
              <w:caps w:val="0"/>
              <w:smallCaps w:val="0"/>
              <w:color w:val="auto"/>
              <w:spacing w:val="0"/>
              <w:w w:val="100"/>
              <w:kern w:val="2"/>
              <w:sz w:val="32"/>
              <w:szCs w:val="32"/>
              <w:lang w:val="en-US" w:eastAsia="zh-CN" w:bidi="ar-SA"/>
            </w:rPr>
            <w:t>第8章 保障措施</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_Toc28475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- 142 -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4B98A8EF">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_Toc2347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8.1 政策保障</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_Toc2347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- 142 -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1B14AE37">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_Toc4226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8.2 组织保障</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_Toc4226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- 142 -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0D8ADDBE">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_Toc24308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8.3 资金保障</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_Toc24308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- 142 -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78CF9FF4">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_Toc23145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8.4 土地保障</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_Toc23145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- 142 -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4681E78F">
          <w:pPr>
            <w:pStyle w:val="2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仿宋" w:hAnsi="仿宋" w:eastAsia="仿宋" w:cs="仿宋"/>
              <w:caps w:val="0"/>
              <w:smallCaps w:val="0"/>
              <w:color w:val="auto"/>
              <w:spacing w:val="0"/>
              <w:sz w:val="32"/>
              <w:szCs w:val="32"/>
            </w:rPr>
          </w:pPr>
          <w:r>
            <w:rPr>
              <w:rFonts w:hint="eastAsia" w:ascii="仿宋" w:hAnsi="仿宋" w:eastAsia="仿宋" w:cs="仿宋"/>
              <w:caps w:val="0"/>
              <w:smallCaps w:val="0"/>
              <w:color w:val="auto"/>
              <w:spacing w:val="0"/>
              <w:kern w:val="0"/>
              <w:sz w:val="32"/>
              <w:szCs w:val="32"/>
            </w:rPr>
            <w:fldChar w:fldCharType="begin"/>
          </w:r>
          <w:r>
            <w:rPr>
              <w:rFonts w:hint="eastAsia" w:ascii="仿宋" w:hAnsi="仿宋" w:eastAsia="仿宋" w:cs="仿宋"/>
              <w:caps w:val="0"/>
              <w:smallCaps w:val="0"/>
              <w:color w:val="auto"/>
              <w:spacing w:val="0"/>
              <w:kern w:val="0"/>
              <w:sz w:val="32"/>
              <w:szCs w:val="32"/>
            </w:rPr>
            <w:instrText xml:space="preserve"> HYPERLINK \l _Toc14107 </w:instrText>
          </w:r>
          <w:r>
            <w:rPr>
              <w:rFonts w:hint="eastAsia" w:ascii="仿宋" w:hAnsi="仿宋" w:eastAsia="仿宋" w:cs="仿宋"/>
              <w:caps w:val="0"/>
              <w:smallCaps w:val="0"/>
              <w:color w:val="auto"/>
              <w:spacing w:val="0"/>
              <w:kern w:val="0"/>
              <w:sz w:val="32"/>
              <w:szCs w:val="32"/>
            </w:rPr>
            <w:fldChar w:fldCharType="separate"/>
          </w:r>
          <w:r>
            <w:rPr>
              <w:rFonts w:hint="eastAsia" w:ascii="仿宋_GB2312" w:hAnsi="仿宋_GB2312" w:eastAsia="仿宋_GB2312" w:cs="仿宋_GB2312"/>
              <w:caps w:val="0"/>
              <w:smallCaps w:val="0"/>
              <w:color w:val="auto"/>
              <w:spacing w:val="0"/>
              <w:w w:val="100"/>
              <w:sz w:val="32"/>
              <w:szCs w:val="32"/>
              <w:lang w:val="en-US" w:eastAsia="zh-CN"/>
            </w:rPr>
            <w:t>8.5 技术保障</w:t>
          </w:r>
          <w:r>
            <w:rPr>
              <w:rFonts w:hint="eastAsia" w:ascii="仿宋" w:hAnsi="仿宋" w:eastAsia="仿宋" w:cs="仿宋"/>
              <w:caps w:val="0"/>
              <w:smallCaps w:val="0"/>
              <w:color w:val="auto"/>
              <w:spacing w:val="0"/>
              <w:sz w:val="32"/>
              <w:szCs w:val="32"/>
            </w:rPr>
            <w:tab/>
          </w:r>
          <w:r>
            <w:rPr>
              <w:rFonts w:hint="eastAsia" w:ascii="仿宋" w:hAnsi="仿宋" w:eastAsia="仿宋" w:cs="仿宋"/>
              <w:caps w:val="0"/>
              <w:smallCaps w:val="0"/>
              <w:color w:val="auto"/>
              <w:spacing w:val="0"/>
              <w:sz w:val="32"/>
              <w:szCs w:val="32"/>
            </w:rPr>
            <w:fldChar w:fldCharType="begin"/>
          </w:r>
          <w:r>
            <w:rPr>
              <w:rFonts w:hint="eastAsia" w:ascii="仿宋" w:hAnsi="仿宋" w:eastAsia="仿宋" w:cs="仿宋"/>
              <w:caps w:val="0"/>
              <w:smallCaps w:val="0"/>
              <w:color w:val="auto"/>
              <w:spacing w:val="0"/>
              <w:sz w:val="32"/>
              <w:szCs w:val="32"/>
            </w:rPr>
            <w:instrText xml:space="preserve"> PAGEREF _Toc14107 \h </w:instrText>
          </w:r>
          <w:r>
            <w:rPr>
              <w:rFonts w:hint="eastAsia" w:ascii="仿宋" w:hAnsi="仿宋" w:eastAsia="仿宋" w:cs="仿宋"/>
              <w:caps w:val="0"/>
              <w:smallCaps w:val="0"/>
              <w:color w:val="auto"/>
              <w:spacing w:val="0"/>
              <w:sz w:val="32"/>
              <w:szCs w:val="32"/>
            </w:rPr>
            <w:fldChar w:fldCharType="separate"/>
          </w:r>
          <w:r>
            <w:rPr>
              <w:rFonts w:hint="eastAsia" w:ascii="仿宋" w:hAnsi="仿宋" w:eastAsia="仿宋" w:cs="仿宋"/>
              <w:caps w:val="0"/>
              <w:smallCaps w:val="0"/>
              <w:color w:val="auto"/>
              <w:spacing w:val="0"/>
              <w:sz w:val="32"/>
              <w:szCs w:val="32"/>
            </w:rPr>
            <w:t>- 143 -</w:t>
          </w:r>
          <w:r>
            <w:rPr>
              <w:rFonts w:hint="eastAsia" w:ascii="仿宋" w:hAnsi="仿宋" w:eastAsia="仿宋" w:cs="仿宋"/>
              <w:caps w:val="0"/>
              <w:smallCaps w:val="0"/>
              <w:color w:val="auto"/>
              <w:spacing w:val="0"/>
              <w:sz w:val="32"/>
              <w:szCs w:val="32"/>
            </w:rPr>
            <w:fldChar w:fldCharType="end"/>
          </w:r>
          <w:r>
            <w:rPr>
              <w:rFonts w:hint="eastAsia" w:ascii="仿宋" w:hAnsi="仿宋" w:eastAsia="仿宋" w:cs="仿宋"/>
              <w:caps w:val="0"/>
              <w:smallCaps w:val="0"/>
              <w:color w:val="auto"/>
              <w:spacing w:val="0"/>
              <w:kern w:val="0"/>
              <w:sz w:val="32"/>
              <w:szCs w:val="32"/>
            </w:rPr>
            <w:fldChar w:fldCharType="end"/>
          </w:r>
        </w:p>
        <w:p w14:paraId="60034A5B">
          <w:pPr>
            <w:pStyle w:val="43"/>
            <w:tabs>
              <w:tab w:val="right" w:leader="dot" w:pos="8306"/>
            </w:tabs>
            <w:spacing w:line="360" w:lineRule="auto"/>
            <w:rPr>
              <w:rFonts w:ascii="Times New Roman" w:hAnsi="Times New Roman" w:eastAsia="楷体_GB2312" w:cs="Times New Roman"/>
              <w:b/>
              <w:caps w:val="0"/>
              <w:smallCaps w:val="0"/>
              <w:color w:val="auto"/>
              <w:spacing w:val="0"/>
              <w:kern w:val="0"/>
              <w:sz w:val="24"/>
              <w:szCs w:val="32"/>
              <w:lang w:val="en-US" w:eastAsia="zh-CN" w:bidi="ar-SA"/>
            </w:rPr>
          </w:pPr>
          <w:r>
            <w:rPr>
              <w:rFonts w:hint="eastAsia" w:ascii="仿宋" w:hAnsi="仿宋" w:eastAsia="仿宋" w:cs="仿宋"/>
              <w:caps w:val="0"/>
              <w:smallCaps w:val="0"/>
              <w:color w:val="auto"/>
              <w:spacing w:val="0"/>
              <w:kern w:val="0"/>
              <w:sz w:val="32"/>
              <w:szCs w:val="32"/>
            </w:rPr>
            <w:fldChar w:fldCharType="end"/>
          </w:r>
        </w:p>
      </w:sdtContent>
    </w:sdt>
    <w:p w14:paraId="6E84D545">
      <w:pPr>
        <w:pStyle w:val="9"/>
        <w:spacing w:line="480" w:lineRule="exact"/>
        <w:ind w:firstLine="0" w:firstLineChars="0"/>
        <w:outlineLvl w:val="9"/>
        <w:rPr>
          <w:rFonts w:ascii="Times New Roman" w:hAnsi="Times New Roman" w:eastAsia="楷体_GB2312" w:cs="Times New Roman"/>
          <w:b/>
          <w:caps w:val="0"/>
          <w:smallCaps w:val="0"/>
          <w:color w:val="auto"/>
          <w:spacing w:val="0"/>
          <w:kern w:val="0"/>
          <w:sz w:val="24"/>
          <w:szCs w:val="32"/>
          <w:lang w:val="en-US" w:eastAsia="zh-CN" w:bidi="ar-SA"/>
        </w:rPr>
        <w:sectPr>
          <w:footerReference r:id="rId8"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1881DE12">
      <w:pPr>
        <w:pStyle w:val="7"/>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ind w:left="0" w:leftChars="0" w:firstLine="0" w:firstLineChars="0"/>
        <w:textAlignment w:val="auto"/>
        <w:rPr>
          <w:rFonts w:hint="default"/>
          <w:caps w:val="0"/>
          <w:smallCaps w:val="0"/>
          <w:color w:val="auto"/>
          <w:spacing w:val="0"/>
          <w:sz w:val="44"/>
          <w:szCs w:val="44"/>
          <w:lang w:val="en-US" w:eastAsia="zh-CN"/>
        </w:rPr>
      </w:pPr>
      <w:bookmarkStart w:id="1" w:name="_Toc29458"/>
      <w:bookmarkStart w:id="2" w:name="_Toc2834"/>
      <w:bookmarkStart w:id="3" w:name="_Toc12540"/>
      <w:bookmarkStart w:id="4" w:name="_Toc6516"/>
      <w:bookmarkStart w:id="5" w:name="_Toc18483"/>
      <w:bookmarkStart w:id="6" w:name="_Toc167281225"/>
      <w:bookmarkStart w:id="7" w:name="_Toc167281495"/>
      <w:bookmarkStart w:id="8" w:name="_Toc28076"/>
      <w:bookmarkStart w:id="9" w:name="_Toc167296469"/>
      <w:r>
        <w:rPr>
          <w:rFonts w:hint="eastAsia" w:ascii="Times New Roman" w:hAnsi="Times New Roman" w:eastAsia="黑体" w:cs="Times New Roman"/>
          <w:bCs w:val="0"/>
          <w:caps w:val="0"/>
          <w:smallCaps w:val="0"/>
          <w:color w:val="auto"/>
          <w:spacing w:val="0"/>
          <w:kern w:val="44"/>
          <w:sz w:val="44"/>
          <w:szCs w:val="44"/>
          <w:lang w:val="en-US" w:eastAsia="zh-CN" w:bidi="ar-SA"/>
        </w:rPr>
        <w:t xml:space="preserve">第一章 </w:t>
      </w:r>
      <w:r>
        <w:rPr>
          <w:rFonts w:hint="default"/>
          <w:caps w:val="0"/>
          <w:smallCaps w:val="0"/>
          <w:color w:val="auto"/>
          <w:spacing w:val="0"/>
          <w:sz w:val="44"/>
          <w:szCs w:val="44"/>
          <w:lang w:val="en-US" w:eastAsia="zh-CN"/>
        </w:rPr>
        <w:t>概述</w:t>
      </w:r>
      <w:bookmarkEnd w:id="1"/>
      <w:bookmarkEnd w:id="2"/>
      <w:bookmarkEnd w:id="3"/>
      <w:bookmarkEnd w:id="4"/>
    </w:p>
    <w:p w14:paraId="37833B8D">
      <w:pPr>
        <w:pStyle w:val="40"/>
        <w:bidi w:val="0"/>
        <w:rPr>
          <w:rFonts w:hint="eastAsia" w:ascii="黑体" w:hAnsi="黑体" w:eastAsia="黑体" w:cs="黑体"/>
          <w:b w:val="0"/>
          <w:bCs/>
          <w:caps w:val="0"/>
          <w:smallCaps w:val="0"/>
          <w:color w:val="auto"/>
          <w:spacing w:val="0"/>
          <w:lang w:val="en-US" w:eastAsia="zh-CN"/>
        </w:rPr>
      </w:pPr>
      <w:bookmarkStart w:id="10" w:name="_Toc16636"/>
      <w:bookmarkStart w:id="11" w:name="_Toc3585"/>
      <w:bookmarkStart w:id="12" w:name="_Toc28088"/>
      <w:bookmarkStart w:id="13" w:name="_Toc18974"/>
      <w:bookmarkStart w:id="14" w:name="_Toc186688546"/>
      <w:bookmarkStart w:id="15" w:name="_Toc187826806"/>
      <w:bookmarkStart w:id="16" w:name="_Toc370382966"/>
      <w:bookmarkStart w:id="17" w:name="_Toc142730669"/>
      <w:r>
        <w:rPr>
          <w:rFonts w:hint="eastAsia" w:ascii="黑体" w:hAnsi="黑体" w:eastAsia="黑体" w:cs="黑体"/>
          <w:b w:val="0"/>
          <w:bCs/>
          <w:caps w:val="0"/>
          <w:smallCaps w:val="0"/>
          <w:color w:val="auto"/>
          <w:spacing w:val="0"/>
          <w:lang w:val="en-US" w:eastAsia="zh-CN"/>
        </w:rPr>
        <w:t>一、规划目的</w:t>
      </w:r>
      <w:bookmarkEnd w:id="10"/>
      <w:bookmarkEnd w:id="11"/>
      <w:bookmarkEnd w:id="12"/>
      <w:bookmarkEnd w:id="13"/>
    </w:p>
    <w:p w14:paraId="4449149B">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aps w:val="0"/>
          <w:smallCaps w:val="0"/>
          <w:color w:val="auto"/>
          <w:spacing w:val="0"/>
          <w:lang w:val="en-US" w:eastAsia="zh-CN"/>
        </w:rPr>
        <w:t>根据城市总体发展定位，坚持循环经济可持续发展理念，以坚持“排放减量化、运输规范化、处理无害化、利用资源化”为核心，完</w:t>
      </w:r>
      <w:r>
        <w:rPr>
          <w:rFonts w:hint="eastAsia" w:ascii="仿宋_GB2312" w:hAnsi="仿宋_GB2312" w:eastAsia="仿宋_GB2312" w:cs="仿宋_GB2312"/>
          <w:color w:val="auto"/>
          <w:spacing w:val="0"/>
          <w:kern w:val="2"/>
          <w:sz w:val="32"/>
          <w:szCs w:val="32"/>
          <w:highlight w:val="none"/>
          <w:lang w:val="en-US" w:eastAsia="zh-CN" w:bidi="ar-SA"/>
        </w:rPr>
        <w:t>善建筑垃圾管</w:t>
      </w:r>
      <w:bookmarkStart w:id="412" w:name="_GoBack"/>
      <w:bookmarkEnd w:id="412"/>
      <w:r>
        <w:rPr>
          <w:rFonts w:hint="eastAsia" w:ascii="仿宋_GB2312" w:hAnsi="仿宋_GB2312" w:eastAsia="仿宋_GB2312" w:cs="仿宋_GB2312"/>
          <w:color w:val="auto"/>
          <w:spacing w:val="0"/>
          <w:kern w:val="2"/>
          <w:sz w:val="32"/>
          <w:szCs w:val="32"/>
          <w:highlight w:val="none"/>
          <w:lang w:val="en-US" w:eastAsia="zh-CN" w:bidi="ar-SA"/>
        </w:rPr>
        <w:t>理体制，建立部门协调联动机制，规范建筑垃圾资源化处置；建立建筑垃圾运输、消纳准入制度，使建筑垃圾处理更加法治化、规范化；科学规划、合理布局，优化建筑垃圾处理设施布局，提高资源化处理能力，促进建筑垃圾资源化处理产业链形成。努力建立规范有序、环境友好的建筑垃圾管理、运输和资源化利用体系，提升城市整体环境质量。</w:t>
      </w:r>
    </w:p>
    <w:p w14:paraId="6E591F95">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建立健全政府主导、社会参与、行业主管的建筑垃圾管理体系，构建布局合理、管理规范、技术先进的建筑垃圾资源化利用体系，实现建筑垃圾减量化、无害化、资源化利用和产业化发展。</w:t>
      </w:r>
    </w:p>
    <w:p w14:paraId="6CA897BD">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加强集贤县域建筑垃圾的排放及运</w:t>
      </w:r>
      <w:r>
        <w:rPr>
          <w:rFonts w:hint="eastAsia" w:ascii="仿宋_GB2312" w:hAnsi="仿宋_GB2312" w:eastAsia="仿宋_GB2312" w:cs="仿宋_GB2312"/>
          <w:caps w:val="0"/>
          <w:smallCaps w:val="0"/>
          <w:color w:val="auto"/>
          <w:spacing w:val="0"/>
          <w:lang w:val="en-US" w:eastAsia="zh-CN"/>
        </w:rPr>
        <w:t>输管理，改善建筑垃圾乱排、乱堆、乱倒、以及各类运输车辆沿途洒落等严重污染环境的现状，进一步提高环境质量，发展循环经济，实现建筑废物的减量化、再利用、资源化。</w:t>
      </w:r>
    </w:p>
    <w:p w14:paraId="1B3A8FF0">
      <w:pPr>
        <w:pStyle w:val="40"/>
        <w:bidi w:val="0"/>
        <w:rPr>
          <w:rFonts w:hint="default" w:ascii="黑体" w:hAnsi="黑体" w:eastAsia="黑体" w:cs="黑体"/>
          <w:b w:val="0"/>
          <w:bCs/>
          <w:caps w:val="0"/>
          <w:smallCaps w:val="0"/>
          <w:color w:val="auto"/>
          <w:spacing w:val="0"/>
          <w:lang w:val="en-US" w:eastAsia="zh-CN"/>
        </w:rPr>
      </w:pPr>
      <w:bookmarkStart w:id="18" w:name="_Toc1777"/>
      <w:bookmarkStart w:id="19" w:name="_Toc19826"/>
      <w:r>
        <w:rPr>
          <w:rFonts w:hint="eastAsia" w:ascii="黑体" w:hAnsi="黑体" w:eastAsia="黑体" w:cs="黑体"/>
          <w:b w:val="0"/>
          <w:bCs/>
          <w:caps w:val="0"/>
          <w:smallCaps w:val="0"/>
          <w:color w:val="auto"/>
          <w:spacing w:val="0"/>
          <w:lang w:val="en-US" w:eastAsia="zh-CN"/>
        </w:rPr>
        <w:t>二、</w:t>
      </w:r>
      <w:r>
        <w:rPr>
          <w:rFonts w:hint="default" w:ascii="黑体" w:hAnsi="黑体" w:eastAsia="黑体" w:cs="黑体"/>
          <w:b w:val="0"/>
          <w:bCs/>
          <w:caps w:val="0"/>
          <w:smallCaps w:val="0"/>
          <w:color w:val="auto"/>
          <w:spacing w:val="0"/>
          <w:lang w:val="en-US" w:eastAsia="zh-CN"/>
        </w:rPr>
        <w:t>规划原则</w:t>
      </w:r>
      <w:bookmarkEnd w:id="18"/>
      <w:bookmarkEnd w:id="19"/>
    </w:p>
    <w:p w14:paraId="1CD5BE62">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val="0"/>
          <w:bCs/>
          <w:caps w:val="0"/>
          <w:smallCaps w:val="0"/>
          <w:color w:val="auto"/>
          <w:spacing w:val="0"/>
          <w:lang w:val="en-US" w:eastAsia="zh-CN"/>
        </w:rPr>
        <w:t>（1）结合现状因地制宜。根据项目用地实际情况制定解决方案、技术路线</w:t>
      </w:r>
      <w:r>
        <w:rPr>
          <w:rFonts w:hint="eastAsia" w:ascii="仿宋_GB2312" w:hAnsi="仿宋_GB2312" w:eastAsia="仿宋_GB2312" w:cs="仿宋_GB2312"/>
          <w:color w:val="auto"/>
          <w:spacing w:val="0"/>
          <w:kern w:val="2"/>
          <w:sz w:val="32"/>
          <w:szCs w:val="32"/>
          <w:highlight w:val="none"/>
          <w:lang w:val="en-US" w:eastAsia="zh-CN" w:bidi="ar-SA"/>
        </w:rPr>
        <w:t>、管理模式。</w:t>
      </w:r>
    </w:p>
    <w:p w14:paraId="7F909D34">
      <w:pPr>
        <w:pStyle w:val="40"/>
        <w:bidi w:val="0"/>
        <w:rPr>
          <w:rFonts w:hint="eastAsia" w:ascii="仿宋_GB2312" w:hAnsi="仿宋_GB2312" w:eastAsia="仿宋_GB2312" w:cs="仿宋_GB2312"/>
          <w:b w:val="0"/>
          <w:bCs/>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（2）统筹规划，合理</w:t>
      </w:r>
      <w:r>
        <w:rPr>
          <w:rFonts w:hint="eastAsia" w:ascii="仿宋_GB2312" w:hAnsi="仿宋_GB2312" w:eastAsia="仿宋_GB2312" w:cs="仿宋_GB2312"/>
          <w:b w:val="0"/>
          <w:bCs/>
          <w:caps w:val="0"/>
          <w:smallCaps w:val="0"/>
          <w:color w:val="auto"/>
          <w:spacing w:val="0"/>
          <w:lang w:val="en-US" w:eastAsia="zh-CN"/>
        </w:rPr>
        <w:t>布局。从安全可靠、经济合理的角度出发对建筑垃圾资源化利用设施进行总体规划。</w:t>
      </w:r>
    </w:p>
    <w:p w14:paraId="753D862E">
      <w:pPr>
        <w:pStyle w:val="40"/>
        <w:bidi w:val="0"/>
        <w:ind w:left="0" w:leftChars="0" w:firstLine="640" w:firstLineChars="200"/>
        <w:rPr>
          <w:rFonts w:hint="eastAsia" w:ascii="仿宋_GB2312" w:hAnsi="仿宋_GB2312" w:eastAsia="仿宋_GB2312" w:cs="仿宋_GB2312"/>
          <w:b w:val="0"/>
          <w:bCs/>
          <w:caps w:val="0"/>
          <w:smallCaps w:val="0"/>
          <w:color w:val="auto"/>
          <w:spacing w:val="0"/>
          <w:lang w:val="en-US" w:eastAsia="zh-CN"/>
        </w:rPr>
      </w:pPr>
      <w:r>
        <w:rPr>
          <w:rFonts w:hint="eastAsia" w:ascii="仿宋_GB2312" w:hAnsi="仿宋_GB2312" w:eastAsia="仿宋_GB2312" w:cs="仿宋_GB2312"/>
          <w:b w:val="0"/>
          <w:bCs/>
          <w:caps w:val="0"/>
          <w:smallCaps w:val="0"/>
          <w:color w:val="auto"/>
          <w:spacing w:val="0"/>
          <w:lang w:val="en-US" w:eastAsia="zh-CN"/>
        </w:rPr>
        <w:t>（3）远近结合，标本兼治。项目既要着力解决当前建筑垃圾处理处置中的突出矛盾，又要探索建筑垃圾处理处置的新模式。确保对建筑垃圾进行“减量化、无害化、稳定化”填埋处理。</w:t>
      </w:r>
    </w:p>
    <w:p w14:paraId="52AD7038">
      <w:pPr>
        <w:pStyle w:val="40"/>
        <w:bidi w:val="0"/>
        <w:rPr>
          <w:rFonts w:hint="default" w:ascii="黑体" w:hAnsi="黑体" w:eastAsia="黑体" w:cs="黑体"/>
          <w:b w:val="0"/>
          <w:bCs/>
          <w:caps w:val="0"/>
          <w:smallCaps w:val="0"/>
          <w:color w:val="auto"/>
          <w:spacing w:val="0"/>
          <w:lang w:val="en-US" w:eastAsia="zh-CN"/>
        </w:rPr>
      </w:pPr>
      <w:bookmarkStart w:id="20" w:name="_Toc9763"/>
      <w:bookmarkStart w:id="21" w:name="_Toc14649"/>
      <w:r>
        <w:rPr>
          <w:rFonts w:hint="eastAsia" w:ascii="黑体" w:hAnsi="黑体" w:eastAsia="黑体" w:cs="黑体"/>
          <w:b w:val="0"/>
          <w:bCs/>
          <w:caps w:val="0"/>
          <w:smallCaps w:val="0"/>
          <w:color w:val="auto"/>
          <w:spacing w:val="0"/>
          <w:lang w:val="en-US" w:eastAsia="zh-CN"/>
        </w:rPr>
        <w:t>三、</w:t>
      </w:r>
      <w:r>
        <w:rPr>
          <w:rFonts w:hint="default" w:ascii="黑体" w:hAnsi="黑体" w:eastAsia="黑体" w:cs="黑体"/>
          <w:b w:val="0"/>
          <w:bCs/>
          <w:caps w:val="0"/>
          <w:smallCaps w:val="0"/>
          <w:color w:val="auto"/>
          <w:spacing w:val="0"/>
          <w:lang w:val="en-US" w:eastAsia="zh-CN"/>
        </w:rPr>
        <w:t>规划范围</w:t>
      </w:r>
      <w:bookmarkEnd w:id="20"/>
      <w:bookmarkEnd w:id="21"/>
    </w:p>
    <w:p w14:paraId="5A1BCBF3">
      <w:pPr>
        <w:pStyle w:val="40"/>
        <w:bidi w:val="0"/>
        <w:rPr>
          <w:rFonts w:hint="eastAsia" w:ascii="仿宋_GB2312" w:hAnsi="仿宋_GB2312" w:eastAsia="仿宋_GB2312" w:cs="仿宋_GB2312"/>
          <w:b w:val="0"/>
          <w:bCs/>
          <w:caps w:val="0"/>
          <w:smallCaps w:val="0"/>
          <w:color w:val="auto"/>
          <w:spacing w:val="0"/>
          <w:lang w:val="en-US" w:eastAsia="zh-CN"/>
        </w:rPr>
      </w:pPr>
      <w:r>
        <w:rPr>
          <w:rFonts w:hint="eastAsia" w:ascii="仿宋_GB2312" w:hAnsi="仿宋_GB2312" w:eastAsia="仿宋_GB2312" w:cs="仿宋_GB2312"/>
          <w:b w:val="0"/>
          <w:bCs/>
          <w:caps w:val="0"/>
          <w:smallCaps w:val="0"/>
          <w:color w:val="auto"/>
          <w:spacing w:val="0"/>
          <w:lang w:val="en-US" w:eastAsia="zh-CN"/>
        </w:rPr>
        <w:t>考虑到集贤县城镇化趋势，各乡镇、农村的人口不断向中心城区聚集，乡镇开发建设较少，因此本次规划仅考虑集贤县中心城区福利镇的建筑垃圾处理。</w:t>
      </w:r>
    </w:p>
    <w:p w14:paraId="1A69BBE7">
      <w:pPr>
        <w:pStyle w:val="40"/>
        <w:bidi w:val="0"/>
        <w:rPr>
          <w:rFonts w:hint="default" w:ascii="黑体" w:hAnsi="黑体" w:eastAsia="黑体" w:cs="黑体"/>
          <w:b w:val="0"/>
          <w:bCs/>
          <w:caps w:val="0"/>
          <w:smallCaps w:val="0"/>
          <w:color w:val="auto"/>
          <w:spacing w:val="0"/>
          <w:lang w:val="en-US" w:eastAsia="zh-CN"/>
        </w:rPr>
      </w:pPr>
      <w:bookmarkStart w:id="22" w:name="_Toc9997"/>
      <w:bookmarkStart w:id="23" w:name="_Toc16681"/>
      <w:r>
        <w:rPr>
          <w:rFonts w:hint="eastAsia" w:ascii="黑体" w:hAnsi="黑体" w:eastAsia="黑体" w:cs="黑体"/>
          <w:b w:val="0"/>
          <w:bCs/>
          <w:caps w:val="0"/>
          <w:smallCaps w:val="0"/>
          <w:color w:val="auto"/>
          <w:spacing w:val="0"/>
          <w:lang w:val="en-US" w:eastAsia="zh-CN"/>
        </w:rPr>
        <w:t>四、</w:t>
      </w:r>
      <w:r>
        <w:rPr>
          <w:rFonts w:hint="default" w:ascii="黑体" w:hAnsi="黑体" w:eastAsia="黑体" w:cs="黑体"/>
          <w:b w:val="0"/>
          <w:bCs/>
          <w:caps w:val="0"/>
          <w:smallCaps w:val="0"/>
          <w:color w:val="auto"/>
          <w:spacing w:val="0"/>
          <w:lang w:val="en-US" w:eastAsia="zh-CN"/>
        </w:rPr>
        <w:t>规划期限</w:t>
      </w:r>
      <w:bookmarkEnd w:id="22"/>
      <w:bookmarkEnd w:id="23"/>
    </w:p>
    <w:p w14:paraId="68F32D08">
      <w:pPr>
        <w:pStyle w:val="40"/>
        <w:bidi w:val="0"/>
        <w:rPr>
          <w:rFonts w:hint="eastAsia" w:ascii="仿宋_GB2312" w:hAnsi="仿宋_GB2312" w:eastAsia="仿宋_GB2312" w:cs="仿宋_GB2312"/>
          <w:b w:val="0"/>
          <w:bCs/>
          <w:caps w:val="0"/>
          <w:smallCaps w:val="0"/>
          <w:color w:val="auto"/>
          <w:spacing w:val="0"/>
          <w:lang w:val="en-US" w:eastAsia="zh-CN"/>
        </w:rPr>
      </w:pPr>
      <w:r>
        <w:rPr>
          <w:rFonts w:hint="eastAsia" w:ascii="仿宋_GB2312" w:hAnsi="仿宋_GB2312" w:eastAsia="仿宋_GB2312" w:cs="仿宋_GB2312"/>
          <w:b w:val="0"/>
          <w:bCs/>
          <w:caps w:val="0"/>
          <w:smallCaps w:val="0"/>
          <w:color w:val="auto"/>
          <w:spacing w:val="0"/>
          <w:lang w:val="en-US" w:eastAsia="zh-CN"/>
        </w:rPr>
        <w:t>规划期限：2024—2030年，规划基准年为2023年，近期至2025年，远期至2030年。</w:t>
      </w:r>
    </w:p>
    <w:p w14:paraId="0C8BDA9B">
      <w:pPr>
        <w:pStyle w:val="40"/>
        <w:bidi w:val="0"/>
        <w:rPr>
          <w:rFonts w:hint="default" w:ascii="黑体" w:hAnsi="黑体" w:eastAsia="黑体" w:cs="黑体"/>
          <w:b w:val="0"/>
          <w:bCs/>
          <w:caps w:val="0"/>
          <w:smallCaps w:val="0"/>
          <w:color w:val="auto"/>
          <w:spacing w:val="0"/>
          <w:lang w:val="en-US" w:eastAsia="zh-CN"/>
        </w:rPr>
      </w:pPr>
      <w:bookmarkStart w:id="24" w:name="_Toc6839"/>
      <w:bookmarkStart w:id="25" w:name="_Toc21187"/>
      <w:r>
        <w:rPr>
          <w:rFonts w:hint="eastAsia" w:ascii="黑体" w:hAnsi="黑体" w:eastAsia="黑体" w:cs="黑体"/>
          <w:b w:val="0"/>
          <w:bCs/>
          <w:caps w:val="0"/>
          <w:smallCaps w:val="0"/>
          <w:color w:val="auto"/>
          <w:spacing w:val="0"/>
          <w:lang w:val="en-US" w:eastAsia="zh-CN"/>
        </w:rPr>
        <w:t>五、</w:t>
      </w:r>
      <w:r>
        <w:rPr>
          <w:rFonts w:hint="default" w:ascii="黑体" w:hAnsi="黑体" w:eastAsia="黑体" w:cs="黑体"/>
          <w:b w:val="0"/>
          <w:bCs/>
          <w:caps w:val="0"/>
          <w:smallCaps w:val="0"/>
          <w:color w:val="auto"/>
          <w:spacing w:val="0"/>
          <w:lang w:val="en-US" w:eastAsia="zh-CN"/>
        </w:rPr>
        <w:t>规划依据</w:t>
      </w:r>
      <w:bookmarkEnd w:id="24"/>
      <w:bookmarkEnd w:id="25"/>
    </w:p>
    <w:p w14:paraId="3A043E8D">
      <w:pPr>
        <w:pStyle w:val="40"/>
        <w:numPr>
          <w:ilvl w:val="0"/>
          <w:numId w:val="0"/>
        </w:numPr>
        <w:bidi w:val="0"/>
        <w:ind w:left="402" w:leftChars="0"/>
        <w:rPr>
          <w:rFonts w:hint="eastAsia" w:ascii="仿宋_GB2312" w:hAnsi="仿宋_GB2312" w:eastAsia="仿宋_GB2312" w:cs="仿宋_GB2312"/>
          <w:b w:val="0"/>
          <w:bCs/>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（1）</w:t>
      </w:r>
      <w:r>
        <w:rPr>
          <w:rFonts w:hint="eastAsia" w:ascii="仿宋_GB2312" w:hAnsi="仿宋_GB2312" w:eastAsia="仿宋_GB2312" w:cs="仿宋_GB2312"/>
          <w:b w:val="0"/>
          <w:bCs/>
          <w:caps w:val="0"/>
          <w:smallCaps w:val="0"/>
          <w:color w:val="auto"/>
          <w:spacing w:val="0"/>
          <w:lang w:val="en-US" w:eastAsia="zh-CN"/>
        </w:rPr>
        <w:t>《中华人民共和国城乡规划法》；</w:t>
      </w:r>
    </w:p>
    <w:p w14:paraId="65916AC4">
      <w:pPr>
        <w:pStyle w:val="40"/>
        <w:numPr>
          <w:ilvl w:val="0"/>
          <w:numId w:val="0"/>
        </w:numPr>
        <w:bidi w:val="0"/>
        <w:ind w:left="402" w:leftChars="0"/>
        <w:rPr>
          <w:rFonts w:hint="eastAsia" w:ascii="仿宋_GB2312" w:hAnsi="仿宋_GB2312" w:eastAsia="仿宋_GB2312" w:cs="仿宋_GB2312"/>
          <w:b w:val="0"/>
          <w:bCs/>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（2）</w:t>
      </w:r>
      <w:r>
        <w:rPr>
          <w:rFonts w:hint="eastAsia" w:ascii="仿宋_GB2312" w:hAnsi="仿宋_GB2312" w:eastAsia="仿宋_GB2312" w:cs="仿宋_GB2312"/>
          <w:b w:val="0"/>
          <w:bCs/>
          <w:caps w:val="0"/>
          <w:smallCaps w:val="0"/>
          <w:color w:val="auto"/>
          <w:spacing w:val="0"/>
          <w:lang w:val="en-US" w:eastAsia="zh-CN"/>
        </w:rPr>
        <w:t>《中华人民共和国环境保护法》；</w:t>
      </w:r>
    </w:p>
    <w:p w14:paraId="6F93EF07">
      <w:pPr>
        <w:pStyle w:val="40"/>
        <w:numPr>
          <w:ilvl w:val="0"/>
          <w:numId w:val="0"/>
        </w:numPr>
        <w:bidi w:val="0"/>
        <w:ind w:left="402" w:leftChars="0"/>
        <w:rPr>
          <w:rFonts w:hint="eastAsia" w:ascii="仿宋_GB2312" w:hAnsi="仿宋_GB2312" w:eastAsia="仿宋_GB2312" w:cs="仿宋_GB2312"/>
          <w:b w:val="0"/>
          <w:bCs/>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（3）</w:t>
      </w:r>
      <w:r>
        <w:rPr>
          <w:rFonts w:hint="eastAsia" w:ascii="仿宋_GB2312" w:hAnsi="仿宋_GB2312" w:eastAsia="仿宋_GB2312" w:cs="仿宋_GB2312"/>
          <w:b w:val="0"/>
          <w:bCs/>
          <w:caps w:val="0"/>
          <w:smallCaps w:val="0"/>
          <w:color w:val="auto"/>
          <w:spacing w:val="0"/>
          <w:lang w:val="en-US" w:eastAsia="zh-CN"/>
        </w:rPr>
        <w:t>《中华人民共和国固体废物污染环境防治法》；</w:t>
      </w:r>
    </w:p>
    <w:p w14:paraId="1EB2AF90">
      <w:pPr>
        <w:pStyle w:val="40"/>
        <w:numPr>
          <w:ilvl w:val="0"/>
          <w:numId w:val="0"/>
        </w:numPr>
        <w:bidi w:val="0"/>
        <w:ind w:left="402" w:leftChars="0"/>
        <w:rPr>
          <w:rFonts w:hint="eastAsia" w:ascii="仿宋_GB2312" w:hAnsi="仿宋_GB2312" w:eastAsia="仿宋_GB2312" w:cs="仿宋_GB2312"/>
          <w:b w:val="0"/>
          <w:bCs/>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（4）</w:t>
      </w:r>
      <w:r>
        <w:rPr>
          <w:rFonts w:hint="eastAsia" w:ascii="仿宋_GB2312" w:hAnsi="仿宋_GB2312" w:eastAsia="仿宋_GB2312" w:cs="仿宋_GB2312"/>
          <w:b w:val="0"/>
          <w:bCs/>
          <w:caps w:val="0"/>
          <w:smallCaps w:val="0"/>
          <w:color w:val="auto"/>
          <w:spacing w:val="0"/>
          <w:lang w:val="en-US" w:eastAsia="zh-CN"/>
        </w:rPr>
        <w:t>《中华人民共和国大气污染防治法》；</w:t>
      </w:r>
    </w:p>
    <w:p w14:paraId="6387350F">
      <w:pPr>
        <w:pStyle w:val="40"/>
        <w:numPr>
          <w:ilvl w:val="0"/>
          <w:numId w:val="0"/>
        </w:numPr>
        <w:bidi w:val="0"/>
        <w:ind w:left="402" w:leftChars="0"/>
        <w:rPr>
          <w:rFonts w:hint="eastAsia" w:ascii="仿宋_GB2312" w:hAnsi="仿宋_GB2312" w:eastAsia="仿宋_GB2312" w:cs="仿宋_GB2312"/>
          <w:b w:val="0"/>
          <w:bCs/>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（5）</w:t>
      </w:r>
      <w:r>
        <w:rPr>
          <w:rFonts w:hint="eastAsia" w:ascii="仿宋_GB2312" w:hAnsi="仿宋_GB2312" w:eastAsia="仿宋_GB2312" w:cs="仿宋_GB2312"/>
          <w:b w:val="0"/>
          <w:bCs/>
          <w:caps w:val="0"/>
          <w:smallCaps w:val="0"/>
          <w:color w:val="auto"/>
          <w:spacing w:val="0"/>
          <w:lang w:val="en-US" w:eastAsia="zh-CN"/>
        </w:rPr>
        <w:t>《中华人民共和国循环经济促进法》；</w:t>
      </w:r>
    </w:p>
    <w:p w14:paraId="7B7E3D1A">
      <w:pPr>
        <w:pStyle w:val="40"/>
        <w:numPr>
          <w:ilvl w:val="0"/>
          <w:numId w:val="0"/>
        </w:numPr>
        <w:bidi w:val="0"/>
        <w:ind w:left="402" w:leftChars="0"/>
        <w:rPr>
          <w:rFonts w:hint="eastAsia" w:ascii="仿宋_GB2312" w:hAnsi="仿宋_GB2312" w:eastAsia="仿宋_GB2312" w:cs="仿宋_GB2312"/>
          <w:b w:val="0"/>
          <w:bCs/>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（6）</w:t>
      </w:r>
      <w:r>
        <w:rPr>
          <w:rFonts w:hint="eastAsia" w:ascii="仿宋_GB2312" w:hAnsi="仿宋_GB2312" w:eastAsia="仿宋_GB2312" w:cs="仿宋_GB2312"/>
          <w:b w:val="0"/>
          <w:bCs/>
          <w:caps w:val="0"/>
          <w:smallCaps w:val="0"/>
          <w:color w:val="auto"/>
          <w:spacing w:val="0"/>
          <w:lang w:val="en-US" w:eastAsia="zh-CN"/>
        </w:rPr>
        <w:t>《城市市容和环境卫生管理条例》；</w:t>
      </w:r>
    </w:p>
    <w:p w14:paraId="466170F4">
      <w:pPr>
        <w:pStyle w:val="40"/>
        <w:numPr>
          <w:ilvl w:val="0"/>
          <w:numId w:val="0"/>
        </w:numPr>
        <w:bidi w:val="0"/>
        <w:ind w:left="402" w:leftChars="0"/>
        <w:rPr>
          <w:rFonts w:hint="eastAsia" w:ascii="仿宋_GB2312" w:hAnsi="仿宋_GB2312" w:eastAsia="仿宋_GB2312" w:cs="仿宋_GB2312"/>
          <w:b w:val="0"/>
          <w:bCs/>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（7）</w:t>
      </w:r>
      <w:r>
        <w:rPr>
          <w:rFonts w:hint="eastAsia" w:ascii="仿宋_GB2312" w:hAnsi="仿宋_GB2312" w:eastAsia="仿宋_GB2312" w:cs="仿宋_GB2312"/>
          <w:b w:val="0"/>
          <w:bCs/>
          <w:caps w:val="0"/>
          <w:smallCaps w:val="0"/>
          <w:color w:val="auto"/>
          <w:spacing w:val="0"/>
          <w:lang w:val="en-US" w:eastAsia="zh-CN"/>
        </w:rPr>
        <w:t>《城市建筑垃圾管理规定》；</w:t>
      </w:r>
    </w:p>
    <w:p w14:paraId="0A5C3E38">
      <w:pPr>
        <w:pStyle w:val="40"/>
        <w:numPr>
          <w:ilvl w:val="0"/>
          <w:numId w:val="0"/>
        </w:numPr>
        <w:bidi w:val="0"/>
        <w:ind w:left="402" w:leftChars="0"/>
        <w:rPr>
          <w:rFonts w:hint="eastAsia" w:ascii="仿宋_GB2312" w:hAnsi="仿宋_GB2312" w:eastAsia="仿宋_GB2312" w:cs="仿宋_GB2312"/>
          <w:b w:val="0"/>
          <w:bCs/>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（8）</w:t>
      </w:r>
      <w:r>
        <w:rPr>
          <w:rFonts w:hint="eastAsia" w:ascii="仿宋_GB2312" w:hAnsi="仿宋_GB2312" w:eastAsia="仿宋_GB2312" w:cs="仿宋_GB2312"/>
          <w:b w:val="0"/>
          <w:bCs/>
          <w:caps w:val="0"/>
          <w:smallCaps w:val="0"/>
          <w:color w:val="auto"/>
          <w:spacing w:val="0"/>
          <w:lang w:val="en-US" w:eastAsia="zh-CN"/>
        </w:rPr>
        <w:t>《国务院办公厅转发国家发展改革委等部门关于加快推进城镇环境基础设施建设指导意见的通知》（国办函〔2022〕7号）；</w:t>
      </w:r>
    </w:p>
    <w:p w14:paraId="7B561ABE">
      <w:pPr>
        <w:pStyle w:val="40"/>
        <w:numPr>
          <w:ilvl w:val="0"/>
          <w:numId w:val="0"/>
        </w:numPr>
        <w:bidi w:val="0"/>
        <w:ind w:left="402" w:leftChars="0"/>
        <w:rPr>
          <w:rFonts w:hint="eastAsia" w:ascii="仿宋_GB2312" w:hAnsi="仿宋_GB2312" w:eastAsia="仿宋_GB2312" w:cs="仿宋_GB2312"/>
          <w:b w:val="0"/>
          <w:bCs/>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（9）</w:t>
      </w:r>
      <w:r>
        <w:rPr>
          <w:rFonts w:hint="eastAsia" w:ascii="仿宋_GB2312" w:hAnsi="仿宋_GB2312" w:eastAsia="仿宋_GB2312" w:cs="仿宋_GB2312"/>
          <w:b w:val="0"/>
          <w:bCs/>
          <w:caps w:val="0"/>
          <w:smallCaps w:val="0"/>
          <w:color w:val="auto"/>
          <w:spacing w:val="0"/>
          <w:lang w:val="en-US" w:eastAsia="zh-CN"/>
        </w:rPr>
        <w:t>《国务院办公厅关于加快构建废弃物循环利用体系的意见》（国办发〔2024〕7号）；</w:t>
      </w:r>
    </w:p>
    <w:p w14:paraId="078B45B0">
      <w:pPr>
        <w:pStyle w:val="40"/>
        <w:numPr>
          <w:ilvl w:val="0"/>
          <w:numId w:val="0"/>
        </w:numPr>
        <w:bidi w:val="0"/>
        <w:ind w:left="402" w:leftChars="0"/>
        <w:rPr>
          <w:rFonts w:hint="eastAsia" w:ascii="仿宋_GB2312" w:hAnsi="仿宋_GB2312" w:eastAsia="仿宋_GB2312" w:cs="仿宋_GB2312"/>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（10）</w:t>
      </w:r>
      <w:r>
        <w:rPr>
          <w:rFonts w:hint="eastAsia" w:ascii="仿宋_GB2312" w:hAnsi="仿宋_GB2312" w:eastAsia="仿宋_GB2312" w:cs="仿宋_GB2312"/>
          <w:caps w:val="0"/>
          <w:smallCaps w:val="0"/>
          <w:color w:val="auto"/>
          <w:spacing w:val="0"/>
          <w:lang w:val="en-US" w:eastAsia="zh-CN"/>
        </w:rPr>
        <w:t>《关于“十四五”大宗固体废弃物综合利用的指导意见》（发改环资〔2021〕381号）；</w:t>
      </w:r>
    </w:p>
    <w:p w14:paraId="7CEC0DFA">
      <w:pPr>
        <w:pStyle w:val="40"/>
        <w:numPr>
          <w:ilvl w:val="0"/>
          <w:numId w:val="0"/>
        </w:numPr>
        <w:bidi w:val="0"/>
        <w:ind w:left="402" w:leftChars="0"/>
        <w:rPr>
          <w:rFonts w:hint="eastAsia" w:ascii="仿宋_GB2312" w:hAnsi="仿宋_GB2312" w:eastAsia="仿宋_GB2312" w:cs="仿宋_GB2312"/>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（11）</w:t>
      </w:r>
      <w:r>
        <w:rPr>
          <w:rFonts w:hint="eastAsia" w:ascii="仿宋_GB2312" w:hAnsi="仿宋_GB2312" w:eastAsia="仿宋_GB2312" w:cs="仿宋_GB2312"/>
          <w:caps w:val="0"/>
          <w:smallCaps w:val="0"/>
          <w:color w:val="auto"/>
          <w:spacing w:val="0"/>
          <w:lang w:val="en-US" w:eastAsia="zh-CN"/>
        </w:rPr>
        <w:t>《住房和城乡建设部 国家发展改革委关于印发城乡建设领域碳达峰实施方案的通知》（建标〔2022〕53号）；</w:t>
      </w:r>
    </w:p>
    <w:p w14:paraId="725BF12D">
      <w:pPr>
        <w:pStyle w:val="40"/>
        <w:numPr>
          <w:ilvl w:val="0"/>
          <w:numId w:val="0"/>
        </w:numPr>
        <w:bidi w:val="0"/>
        <w:ind w:left="402" w:leftChars="0"/>
        <w:rPr>
          <w:rFonts w:hint="eastAsia" w:ascii="仿宋_GB2312" w:hAnsi="仿宋_GB2312" w:eastAsia="仿宋_GB2312" w:cs="仿宋_GB2312"/>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（12）</w:t>
      </w:r>
      <w:r>
        <w:rPr>
          <w:rFonts w:hint="eastAsia" w:ascii="仿宋_GB2312" w:hAnsi="仿宋_GB2312" w:eastAsia="仿宋_GB2312" w:cs="仿宋_GB2312"/>
          <w:caps w:val="0"/>
          <w:smallCaps w:val="0"/>
          <w:color w:val="auto"/>
          <w:spacing w:val="0"/>
          <w:lang w:val="en-US" w:eastAsia="zh-CN"/>
        </w:rPr>
        <w:t>《住房和城乡建设部关于推进建筑垃圾减量化的指导意见》（建质〔2020〕46号）；</w:t>
      </w:r>
    </w:p>
    <w:p w14:paraId="0B4B7E9C">
      <w:pPr>
        <w:pStyle w:val="40"/>
        <w:numPr>
          <w:ilvl w:val="0"/>
          <w:numId w:val="0"/>
        </w:numPr>
        <w:bidi w:val="0"/>
        <w:ind w:left="402" w:leftChars="0"/>
        <w:rPr>
          <w:rFonts w:hint="eastAsia" w:ascii="仿宋_GB2312" w:hAnsi="仿宋_GB2312" w:eastAsia="仿宋_GB2312" w:cs="仿宋_GB2312"/>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（13）</w:t>
      </w:r>
      <w:r>
        <w:rPr>
          <w:rFonts w:hint="eastAsia" w:ascii="仿宋_GB2312" w:hAnsi="仿宋_GB2312" w:eastAsia="仿宋_GB2312" w:cs="仿宋_GB2312"/>
          <w:caps w:val="0"/>
          <w:smallCaps w:val="0"/>
          <w:color w:val="auto"/>
          <w:spacing w:val="0"/>
          <w:lang w:val="en-US" w:eastAsia="zh-CN"/>
        </w:rPr>
        <w:t>黑龙江省住建厅关于印发《关于加强城市建筑垃圾管理工作的实施方案》及落实责任清单的通知</w:t>
      </w:r>
    </w:p>
    <w:p w14:paraId="6E5A2AB1">
      <w:pPr>
        <w:pStyle w:val="40"/>
        <w:numPr>
          <w:ilvl w:val="0"/>
          <w:numId w:val="0"/>
        </w:numPr>
        <w:bidi w:val="0"/>
        <w:ind w:left="402" w:leftChars="0"/>
        <w:rPr>
          <w:rFonts w:hint="eastAsia" w:ascii="仿宋_GB2312" w:hAnsi="仿宋_GB2312" w:eastAsia="仿宋_GB2312" w:cs="仿宋_GB2312"/>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（14）</w:t>
      </w:r>
      <w:r>
        <w:rPr>
          <w:rFonts w:hint="eastAsia" w:ascii="仿宋_GB2312" w:hAnsi="仿宋_GB2312" w:eastAsia="仿宋_GB2312" w:cs="仿宋_GB2312"/>
          <w:caps w:val="0"/>
          <w:smallCaps w:val="0"/>
          <w:color w:val="auto"/>
          <w:spacing w:val="0"/>
          <w:lang w:val="en-US" w:eastAsia="zh-CN"/>
        </w:rPr>
        <w:t>《城市环境卫生设施规划标准》GB/T 50337；</w:t>
      </w:r>
    </w:p>
    <w:p w14:paraId="11549D0E">
      <w:pPr>
        <w:pStyle w:val="40"/>
        <w:numPr>
          <w:ilvl w:val="0"/>
          <w:numId w:val="0"/>
        </w:numPr>
        <w:bidi w:val="0"/>
        <w:ind w:left="402" w:leftChars="0"/>
        <w:rPr>
          <w:rFonts w:hint="eastAsia" w:ascii="仿宋_GB2312" w:hAnsi="仿宋_GB2312" w:eastAsia="仿宋_GB2312" w:cs="仿宋_GB2312"/>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（15）</w:t>
      </w:r>
      <w:r>
        <w:rPr>
          <w:rFonts w:hint="eastAsia" w:ascii="仿宋_GB2312" w:hAnsi="仿宋_GB2312" w:eastAsia="仿宋_GB2312" w:cs="仿宋_GB2312"/>
          <w:caps w:val="0"/>
          <w:smallCaps w:val="0"/>
          <w:color w:val="auto"/>
          <w:spacing w:val="0"/>
          <w:lang w:val="en-US" w:eastAsia="zh-CN"/>
        </w:rPr>
        <w:t>《建筑垃圾处理技术标准》CJJ/T 134；</w:t>
      </w:r>
    </w:p>
    <w:p w14:paraId="5B9A9D18">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（16）</w:t>
      </w:r>
      <w:r>
        <w:rPr>
          <w:rFonts w:hint="eastAsia" w:ascii="仿宋_GB2312" w:hAnsi="仿宋_GB2312" w:eastAsia="仿宋_GB2312" w:cs="仿宋_GB2312"/>
          <w:caps w:val="0"/>
          <w:smallCaps w:val="0"/>
          <w:color w:val="auto"/>
          <w:spacing w:val="0"/>
          <w:lang w:val="en-US" w:eastAsia="zh-CN"/>
        </w:rPr>
        <w:t>《生</w:t>
      </w:r>
      <w:r>
        <w:rPr>
          <w:rFonts w:hint="eastAsia" w:ascii="仿宋_GB2312" w:hAnsi="仿宋_GB2312" w:eastAsia="仿宋_GB2312" w:cs="仿宋_GB2312"/>
          <w:b w:val="0"/>
          <w:bCs w:val="0"/>
          <w:caps w:val="0"/>
          <w:smallCaps w:val="0"/>
          <w:color w:val="auto"/>
          <w:spacing w:val="0"/>
          <w:lang w:val="en-US" w:eastAsia="zh-CN"/>
        </w:rPr>
        <w:t>活垃圾处理处置工程项目规范》GB 55012；</w:t>
      </w:r>
    </w:p>
    <w:p w14:paraId="61F5447E">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（17）</w:t>
      </w:r>
      <w:r>
        <w:rPr>
          <w:rFonts w:hint="eastAsia" w:ascii="仿宋_GB2312" w:hAnsi="仿宋_GB2312" w:eastAsia="仿宋_GB2312" w:cs="仿宋_GB2312"/>
          <w:b w:val="0"/>
          <w:bCs w:val="0"/>
          <w:caps w:val="0"/>
          <w:smallCaps w:val="0"/>
          <w:color w:val="auto"/>
          <w:spacing w:val="0"/>
          <w:lang w:val="en-US" w:eastAsia="zh-CN"/>
        </w:rPr>
        <w:t>《施工现场建筑垃圾减量化技术标准》JGJ/T 498-2024；</w:t>
      </w:r>
    </w:p>
    <w:p w14:paraId="41D43D47">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（18）</w:t>
      </w:r>
      <w:r>
        <w:rPr>
          <w:rFonts w:hint="eastAsia" w:ascii="仿宋_GB2312" w:hAnsi="仿宋_GB2312" w:eastAsia="仿宋_GB2312" w:cs="仿宋_GB2312"/>
          <w:b w:val="0"/>
          <w:bCs w:val="0"/>
          <w:caps w:val="0"/>
          <w:smallCaps w:val="0"/>
          <w:color w:val="auto"/>
          <w:spacing w:val="0"/>
          <w:lang w:val="en-US" w:eastAsia="zh-CN"/>
        </w:rPr>
        <w:t>《双鸭山市建筑垃圾管理实施方案》；</w:t>
      </w:r>
    </w:p>
    <w:p w14:paraId="530EB453">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（19）</w:t>
      </w:r>
      <w:r>
        <w:rPr>
          <w:rFonts w:hint="eastAsia" w:ascii="仿宋_GB2312" w:hAnsi="仿宋_GB2312" w:eastAsia="仿宋_GB2312" w:cs="仿宋_GB2312"/>
          <w:b w:val="0"/>
          <w:bCs w:val="0"/>
          <w:caps w:val="0"/>
          <w:smallCaps w:val="0"/>
          <w:color w:val="auto"/>
          <w:spacing w:val="0"/>
          <w:lang w:val="en-US" w:eastAsia="zh-CN"/>
        </w:rPr>
        <w:t>《集贤县国土空间总体规划》（2021—2035年）；</w:t>
      </w:r>
    </w:p>
    <w:p w14:paraId="6CC031BF">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caps w:val="0"/>
          <w:smallCaps w:val="0"/>
          <w:color w:val="auto"/>
          <w:spacing w:val="0"/>
          <w:lang w:eastAsia="zh-CN"/>
        </w:rPr>
        <w:t>（20）</w:t>
      </w:r>
      <w:r>
        <w:rPr>
          <w:rFonts w:hint="eastAsia" w:ascii="仿宋_GB2312" w:hAnsi="仿宋_GB2312" w:eastAsia="仿宋_GB2312" w:cs="仿宋_GB2312"/>
          <w:b w:val="0"/>
          <w:bCs w:val="0"/>
          <w:caps w:val="0"/>
          <w:smallCaps w:val="0"/>
          <w:color w:val="auto"/>
          <w:spacing w:val="0"/>
          <w:lang w:val="en-US" w:eastAsia="zh-CN"/>
        </w:rPr>
        <w:t>其他相关法律法规、规章、政策、标准。</w:t>
      </w:r>
    </w:p>
    <w:p w14:paraId="175C321C">
      <w:pPr>
        <w:pStyle w:val="40"/>
        <w:bidi w:val="0"/>
        <w:rPr>
          <w:rFonts w:hint="default" w:ascii="黑体" w:hAnsi="黑体" w:eastAsia="黑体" w:cs="黑体"/>
          <w:b w:val="0"/>
          <w:bCs w:val="0"/>
          <w:caps w:val="0"/>
          <w:smallCaps w:val="0"/>
          <w:color w:val="auto"/>
          <w:spacing w:val="0"/>
          <w:lang w:val="en-US" w:eastAsia="zh-CN"/>
        </w:rPr>
      </w:pPr>
      <w:bookmarkStart w:id="26" w:name="_Toc4316"/>
      <w:bookmarkStart w:id="27" w:name="_Toc5632"/>
      <w:r>
        <w:rPr>
          <w:rFonts w:hint="eastAsia" w:ascii="黑体" w:hAnsi="黑体" w:eastAsia="黑体" w:cs="黑体"/>
          <w:b w:val="0"/>
          <w:bCs w:val="0"/>
          <w:caps w:val="0"/>
          <w:smallCaps w:val="0"/>
          <w:color w:val="auto"/>
          <w:spacing w:val="0"/>
          <w:lang w:val="en-US" w:eastAsia="zh-CN"/>
        </w:rPr>
        <w:t>六、</w:t>
      </w:r>
      <w:r>
        <w:rPr>
          <w:rFonts w:hint="default" w:ascii="黑体" w:hAnsi="黑体" w:eastAsia="黑体" w:cs="黑体"/>
          <w:b w:val="0"/>
          <w:bCs w:val="0"/>
          <w:caps w:val="0"/>
          <w:smallCaps w:val="0"/>
          <w:color w:val="auto"/>
          <w:spacing w:val="0"/>
          <w:lang w:val="en-US" w:eastAsia="zh-CN"/>
        </w:rPr>
        <w:t>规划对象</w:t>
      </w:r>
      <w:bookmarkEnd w:id="26"/>
      <w:bookmarkEnd w:id="27"/>
    </w:p>
    <w:p w14:paraId="08BDE669">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val="0"/>
          <w:bCs w:val="0"/>
          <w:caps w:val="0"/>
          <w:smallCaps w:val="0"/>
          <w:color w:val="auto"/>
          <w:spacing w:val="0"/>
          <w:lang w:val="en-US" w:eastAsia="zh-CN"/>
        </w:rPr>
        <w:t>根据《建筑垃圾</w:t>
      </w:r>
      <w:r>
        <w:rPr>
          <w:rFonts w:hint="eastAsia" w:ascii="仿宋_GB2312" w:hAnsi="仿宋_GB2312" w:eastAsia="仿宋_GB2312" w:cs="仿宋_GB2312"/>
          <w:color w:val="auto"/>
          <w:spacing w:val="0"/>
          <w:kern w:val="2"/>
          <w:sz w:val="32"/>
          <w:szCs w:val="32"/>
          <w:highlight w:val="none"/>
          <w:lang w:val="en-US" w:eastAsia="zh-CN" w:bidi="ar-SA"/>
        </w:rPr>
        <w:t>处理技术规范》，将建筑垃圾分为：工程渣土、工程泥浆、工程垃圾、拆除垃圾和装修垃圾等五类。</w:t>
      </w:r>
    </w:p>
    <w:p w14:paraId="005B3E78">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工程渣土：各类建筑物、构筑物、管网等基础开挖过程中产生的弃土。</w:t>
      </w:r>
    </w:p>
    <w:p w14:paraId="3F33DA2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工程泥浆：钻孔桩</w:t>
      </w:r>
      <w:r>
        <w:rPr>
          <w:rFonts w:hint="eastAsia" w:ascii="仿宋_GB2312" w:hAnsi="仿宋_GB2312" w:eastAsia="仿宋_GB2312" w:cs="仿宋_GB2312"/>
          <w:b w:val="0"/>
          <w:bCs w:val="0"/>
          <w:caps w:val="0"/>
          <w:smallCaps w:val="0"/>
          <w:color w:val="auto"/>
          <w:spacing w:val="0"/>
          <w:lang w:val="en-US" w:eastAsia="zh-CN"/>
        </w:rPr>
        <w:t>基施工、地下连续墙施工、泥水盾构施工、水平定向钻及泥水顶管等施工产生的泥浆。</w:t>
      </w:r>
    </w:p>
    <w:p w14:paraId="0D73635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工程垃圾：各类建筑物、构筑物等建设过程中产生的弃料。</w:t>
      </w:r>
    </w:p>
    <w:p w14:paraId="542C3AA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拆除垃圾：各类建筑物、构筑物等拆除过程中产生的弃料。</w:t>
      </w:r>
    </w:p>
    <w:p w14:paraId="5A44B6E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装修垃圾：装饰装修房屋过程中产生的废弃物。</w:t>
      </w:r>
      <w:bookmarkStart w:id="28" w:name="_Toc24053"/>
      <w:bookmarkStart w:id="29" w:name="_Toc18271"/>
    </w:p>
    <w:p w14:paraId="53725485">
      <w:pPr>
        <w:pStyle w:val="40"/>
        <w:bidi w:val="0"/>
        <w:rPr>
          <w:rFonts w:hint="default" w:ascii="黑体" w:hAnsi="黑体" w:eastAsia="黑体" w:cs="黑体"/>
          <w:b w:val="0"/>
          <w:bCs w:val="0"/>
          <w:caps w:val="0"/>
          <w:smallCaps w:val="0"/>
          <w:color w:val="auto"/>
          <w:spacing w:val="0"/>
          <w:lang w:val="en-US" w:eastAsia="zh-CN"/>
        </w:rPr>
      </w:pPr>
      <w:r>
        <w:rPr>
          <w:rFonts w:hint="eastAsia" w:ascii="黑体" w:hAnsi="黑体" w:eastAsia="黑体" w:cs="黑体"/>
          <w:b w:val="0"/>
          <w:bCs w:val="0"/>
          <w:caps w:val="0"/>
          <w:smallCaps w:val="0"/>
          <w:color w:val="auto"/>
          <w:spacing w:val="0"/>
          <w:kern w:val="44"/>
          <w:sz w:val="32"/>
          <w:szCs w:val="24"/>
          <w:lang w:val="en-US" w:eastAsia="zh-CN" w:bidi="ar-SA"/>
        </w:rPr>
        <w:t>七、</w:t>
      </w:r>
      <w:r>
        <w:rPr>
          <w:rFonts w:hint="default" w:ascii="黑体" w:hAnsi="黑体" w:eastAsia="黑体" w:cs="黑体"/>
          <w:b w:val="0"/>
          <w:bCs w:val="0"/>
          <w:caps w:val="0"/>
          <w:smallCaps w:val="0"/>
          <w:color w:val="auto"/>
          <w:spacing w:val="0"/>
          <w:lang w:val="en-US" w:eastAsia="zh-CN"/>
        </w:rPr>
        <w:t>规划目标</w:t>
      </w:r>
      <w:bookmarkEnd w:id="28"/>
      <w:bookmarkEnd w:id="29"/>
    </w:p>
    <w:p w14:paraId="5883734D">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2024年8月，双鸭山市城市管理综合行政执法局发布《双鸭山市建筑垃圾管理实施方案》，近期集贤县完成1座建筑垃圾转运调配场、消纳场设施建设，满足无害化处置需求。到2027年底，基本建立建筑垃圾源头减量、分类投放、中端收运、末端处置利用全过程体系。城市建筑垃圾资源化利用率达到50%以上。</w:t>
      </w:r>
    </w:p>
    <w:p w14:paraId="529F72EA">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近期：到2024年底，集贤县通过建筑垃圾临时贮存、转运调配来完善建筑垃圾管理制度体系，基本满足当前安全处置需要。集贤县开工建设转运调配设施一座，逐步形成转运调配能力；到2025年底，集贤县完成1座建筑垃圾消纳设施建设，基本满足无害化处置需求，全部完成规划建设任务。</w:t>
      </w:r>
    </w:p>
    <w:p w14:paraId="54AA23EF">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中期：到2027年底，集贤县全面完成建立建筑垃圾源头减量、分类投放、中端收运、末端处置利用全过程体系。城市建筑垃圾资源化利用率达到50%以上。</w:t>
      </w:r>
    </w:p>
    <w:p w14:paraId="7B0F134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远期：到2030年，集贤县将进一步提升建筑垃圾临时贮存、转运调配、填埋处理等能力。届时，将形</w:t>
      </w:r>
      <w:r>
        <w:rPr>
          <w:rFonts w:hint="eastAsia" w:ascii="仿宋_GB2312" w:hAnsi="仿宋_GB2312" w:eastAsia="仿宋_GB2312" w:cs="仿宋_GB2312"/>
          <w:b w:val="0"/>
          <w:bCs w:val="0"/>
          <w:caps w:val="0"/>
          <w:smallCaps w:val="0"/>
          <w:color w:val="auto"/>
          <w:spacing w:val="0"/>
          <w:lang w:val="en-US" w:eastAsia="zh-CN"/>
        </w:rPr>
        <w:t>成建筑垃圾治理和资源化利用的高质量发展新格局，集贤县建筑垃圾资源化利用率达到60%以上。</w:t>
      </w:r>
    </w:p>
    <w:bookmarkEnd w:id="14"/>
    <w:bookmarkEnd w:id="15"/>
    <w:bookmarkEnd w:id="16"/>
    <w:bookmarkEnd w:id="17"/>
    <w:p w14:paraId="20189F77">
      <w:pPr>
        <w:rPr>
          <w:b w:val="0"/>
          <w:bCs w:val="0"/>
          <w:caps w:val="0"/>
          <w:smallCaps w:val="0"/>
          <w:color w:val="auto"/>
          <w:spacing w:val="0"/>
          <w:highlight w:val="none"/>
        </w:rPr>
        <w:sectPr>
          <w:headerReference r:id="rId9" w:type="default"/>
          <w:footerReference r:id="rId10"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r>
        <w:rPr>
          <w:rFonts w:hint="eastAsia"/>
          <w:b w:val="0"/>
          <w:bCs w:val="0"/>
          <w:caps w:val="0"/>
          <w:smallCaps w:val="0"/>
          <w:color w:val="auto"/>
          <w:spacing w:val="0"/>
        </w:rPr>
        <w:br w:type="page"/>
      </w:r>
      <w:bookmarkEnd w:id="0"/>
      <w:bookmarkEnd w:id="5"/>
      <w:bookmarkEnd w:id="6"/>
      <w:bookmarkEnd w:id="7"/>
      <w:bookmarkEnd w:id="8"/>
      <w:bookmarkEnd w:id="9"/>
    </w:p>
    <w:p w14:paraId="4747C1CB">
      <w:pPr>
        <w:pStyle w:val="7"/>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ind w:left="0" w:leftChars="0" w:firstLine="0" w:firstLineChars="0"/>
        <w:textAlignment w:val="auto"/>
        <w:rPr>
          <w:rFonts w:hint="default" w:ascii="Times New Roman" w:hAnsi="Times New Roman" w:eastAsia="黑体" w:cs="Times New Roman"/>
          <w:bCs w:val="0"/>
          <w:caps w:val="0"/>
          <w:smallCaps w:val="0"/>
          <w:color w:val="auto"/>
          <w:spacing w:val="0"/>
          <w:kern w:val="44"/>
          <w:sz w:val="44"/>
          <w:szCs w:val="44"/>
          <w:lang w:val="en-US" w:eastAsia="zh-CN" w:bidi="ar-SA"/>
        </w:rPr>
      </w:pPr>
      <w:bookmarkStart w:id="30" w:name="_Toc19671"/>
      <w:bookmarkStart w:id="31" w:name="_Toc10349"/>
      <w:bookmarkStart w:id="32" w:name="_Toc5998"/>
      <w:r>
        <w:rPr>
          <w:rFonts w:hint="default" w:cs="Times New Roman"/>
          <w:bCs w:val="0"/>
          <w:caps w:val="0"/>
          <w:smallCaps w:val="0"/>
          <w:color w:val="auto"/>
          <w:spacing w:val="0"/>
          <w:kern w:val="44"/>
          <w:sz w:val="44"/>
          <w:szCs w:val="44"/>
          <w:lang w:eastAsia="zh-CN" w:bidi="ar-SA"/>
        </w:rPr>
        <w:t xml:space="preserve">第二章 </w:t>
      </w:r>
      <w:r>
        <w:rPr>
          <w:rFonts w:hint="eastAsia" w:ascii="Times New Roman" w:hAnsi="Times New Roman" w:eastAsia="黑体" w:cs="Times New Roman"/>
          <w:bCs w:val="0"/>
          <w:caps w:val="0"/>
          <w:smallCaps w:val="0"/>
          <w:color w:val="auto"/>
          <w:spacing w:val="0"/>
          <w:kern w:val="44"/>
          <w:sz w:val="44"/>
          <w:szCs w:val="44"/>
          <w:lang w:val="en-US" w:eastAsia="zh-CN" w:bidi="ar-SA"/>
        </w:rPr>
        <w:t>现状分析</w:t>
      </w:r>
      <w:bookmarkEnd w:id="30"/>
      <w:bookmarkEnd w:id="31"/>
      <w:r>
        <w:rPr>
          <w:rFonts w:hint="eastAsia" w:ascii="Times New Roman" w:hAnsi="Times New Roman" w:eastAsia="黑体" w:cs="Times New Roman"/>
          <w:bCs w:val="0"/>
          <w:caps w:val="0"/>
          <w:smallCaps w:val="0"/>
          <w:color w:val="auto"/>
          <w:spacing w:val="0"/>
          <w:kern w:val="44"/>
          <w:sz w:val="44"/>
          <w:szCs w:val="44"/>
          <w:lang w:val="en-US" w:eastAsia="zh-CN" w:bidi="ar-SA"/>
        </w:rPr>
        <w:t>及规模预测</w:t>
      </w:r>
      <w:bookmarkEnd w:id="32"/>
    </w:p>
    <w:p w14:paraId="69781E44">
      <w:pPr>
        <w:pStyle w:val="40"/>
        <w:bidi w:val="0"/>
        <w:rPr>
          <w:rFonts w:hint="default" w:ascii="黑体" w:hAnsi="黑体" w:eastAsia="黑体" w:cs="黑体"/>
          <w:b w:val="0"/>
          <w:bCs w:val="0"/>
          <w:caps w:val="0"/>
          <w:smallCaps w:val="0"/>
          <w:color w:val="auto"/>
          <w:spacing w:val="0"/>
          <w:lang w:val="en-US" w:eastAsia="zh-CN"/>
        </w:rPr>
      </w:pPr>
      <w:bookmarkStart w:id="33" w:name="_Toc14955"/>
      <w:r>
        <w:rPr>
          <w:rFonts w:hint="eastAsia" w:ascii="黑体" w:hAnsi="黑体" w:eastAsia="黑体" w:cs="黑体"/>
          <w:b w:val="0"/>
          <w:bCs w:val="0"/>
          <w:caps w:val="0"/>
          <w:smallCaps w:val="0"/>
          <w:color w:val="auto"/>
          <w:spacing w:val="0"/>
          <w:lang w:val="en-US" w:eastAsia="zh-CN"/>
        </w:rPr>
        <w:t>一、行</w:t>
      </w:r>
      <w:r>
        <w:rPr>
          <w:rFonts w:hint="default" w:ascii="黑体" w:hAnsi="黑体" w:eastAsia="黑体" w:cs="黑体"/>
          <w:b w:val="0"/>
          <w:bCs w:val="0"/>
          <w:caps w:val="0"/>
          <w:smallCaps w:val="0"/>
          <w:color w:val="auto"/>
          <w:spacing w:val="0"/>
          <w:lang w:val="en-US" w:eastAsia="zh-CN"/>
        </w:rPr>
        <w:t>政区划及人口现状</w:t>
      </w:r>
      <w:bookmarkEnd w:id="33"/>
    </w:p>
    <w:p w14:paraId="2F953D9F">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bookmarkStart w:id="34" w:name="_Toc18398"/>
      <w:bookmarkStart w:id="35" w:name="_Toc29316"/>
      <w:r>
        <w:rPr>
          <w:rFonts w:hint="eastAsia" w:ascii="楷体_GB2312" w:hAnsi="楷体_GB2312" w:eastAsia="楷体_GB2312" w:cs="楷体_GB2312"/>
          <w:b w:val="0"/>
          <w:bCs w:val="0"/>
          <w:caps w:val="0"/>
          <w:smallCaps w:val="0"/>
          <w:color w:val="auto"/>
          <w:spacing w:val="0"/>
          <w:kern w:val="44"/>
          <w:sz w:val="32"/>
          <w:szCs w:val="28"/>
          <w:lang w:val="en-US" w:eastAsia="zh-CN" w:bidi="ar-SA"/>
        </w:rPr>
        <w:t>1．</w:t>
      </w:r>
      <w:r>
        <w:rPr>
          <w:rFonts w:hint="eastAsia" w:ascii="楷体_GB2312" w:hAnsi="楷体_GB2312" w:eastAsia="楷体_GB2312" w:cs="楷体_GB2312"/>
          <w:b w:val="0"/>
          <w:bCs w:val="0"/>
          <w:caps w:val="0"/>
          <w:smallCaps w:val="0"/>
          <w:color w:val="auto"/>
          <w:spacing w:val="0"/>
          <w:sz w:val="32"/>
          <w:szCs w:val="28"/>
          <w:lang w:val="en-US" w:eastAsia="zh-CN"/>
        </w:rPr>
        <w:t>地理位置</w:t>
      </w:r>
      <w:bookmarkEnd w:id="34"/>
      <w:bookmarkEnd w:id="35"/>
    </w:p>
    <w:p w14:paraId="0CFBF3DF">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val="0"/>
          <w:bCs w:val="0"/>
          <w:caps w:val="0"/>
          <w:smallCaps w:val="0"/>
          <w:color w:val="auto"/>
          <w:spacing w:val="0"/>
          <w:lang w:val="en-US" w:eastAsia="zh-CN"/>
        </w:rPr>
        <w:t>集贤县位于黑龙江省东北部，完达山北麓，松花江下游南畔，三江平原腹地西南端，东南与友谊县、宝清县毗邻，东北与富锦市相连，南靠双鸭山市，</w:t>
      </w:r>
      <w:r>
        <w:rPr>
          <w:rFonts w:hint="eastAsia" w:ascii="仿宋_GB2312" w:hAnsi="仿宋_GB2312" w:eastAsia="仿宋_GB2312" w:cs="仿宋_GB2312"/>
          <w:color w:val="auto"/>
          <w:spacing w:val="0"/>
          <w:kern w:val="2"/>
          <w:sz w:val="32"/>
          <w:szCs w:val="32"/>
          <w:highlight w:val="none"/>
          <w:lang w:val="en-US" w:eastAsia="zh-CN" w:bidi="ar-SA"/>
        </w:rPr>
        <w:t>西南接桦南县，西北与桦川县接壤，地理位置东经130°39′30″—133°14′50″，北纬46°29′05″—47°4′3″，县域土地总面积为221674.65公顷。</w:t>
      </w:r>
    </w:p>
    <w:p w14:paraId="5DF0BE1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集贤县地处三江平原腹地，西距哈尔滨400公里，距佳木斯76公里。南距双鸭山市仅7公里；国道同哈、国道集当、省道同汪、省道名兴等高等级公路贯穿全境，铁路客货运输通达全国各地，毗邻同江、富锦、饶河等对俄</w:t>
      </w:r>
      <w:r>
        <w:rPr>
          <w:rFonts w:hint="eastAsia" w:ascii="仿宋_GB2312" w:hAnsi="仿宋_GB2312" w:eastAsia="仿宋_GB2312" w:cs="仿宋_GB2312"/>
          <w:b w:val="0"/>
          <w:bCs w:val="0"/>
          <w:caps w:val="0"/>
          <w:smallCaps w:val="0"/>
          <w:color w:val="auto"/>
          <w:spacing w:val="0"/>
          <w:lang w:val="en-US" w:eastAsia="zh-CN"/>
        </w:rPr>
        <w:t>贸易口岸，交通条件良好，早期自发形成了三江平原地区以农业为主的商贸流通物资集散地。</w:t>
      </w:r>
    </w:p>
    <w:p w14:paraId="14234F25">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kern w:val="44"/>
          <w:sz w:val="32"/>
          <w:szCs w:val="28"/>
          <w:lang w:val="en-US" w:eastAsia="zh-CN" w:bidi="ar-SA"/>
        </w:rPr>
      </w:pPr>
      <w:bookmarkStart w:id="36" w:name="_Toc14798"/>
      <w:bookmarkStart w:id="37" w:name="_Toc30710"/>
      <w:r>
        <w:rPr>
          <w:rFonts w:hint="eastAsia" w:ascii="楷体_GB2312" w:hAnsi="楷体_GB2312" w:eastAsia="楷体_GB2312" w:cs="楷体_GB2312"/>
          <w:b w:val="0"/>
          <w:bCs w:val="0"/>
          <w:caps w:val="0"/>
          <w:smallCaps w:val="0"/>
          <w:color w:val="auto"/>
          <w:spacing w:val="0"/>
          <w:kern w:val="44"/>
          <w:sz w:val="32"/>
          <w:szCs w:val="28"/>
          <w:lang w:val="en-US" w:eastAsia="zh-CN" w:bidi="ar-SA"/>
        </w:rPr>
        <w:t>2．行政区划</w:t>
      </w:r>
      <w:bookmarkEnd w:id="36"/>
      <w:bookmarkEnd w:id="37"/>
    </w:p>
    <w:p w14:paraId="0BF30E72">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集贤县的行政区划包括5个镇、3个乡，2个农场，分别是：福利镇、集贤镇、升昌镇、丰乐镇、太平镇、永安乡、腰屯乡、兴安乡、笔架山农场和二九一农场。</w:t>
      </w:r>
    </w:p>
    <w:p w14:paraId="6DEE5D1E">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kern w:val="44"/>
          <w:sz w:val="32"/>
          <w:szCs w:val="28"/>
          <w:lang w:val="en-US" w:eastAsia="zh-CN" w:bidi="ar-SA"/>
        </w:rPr>
      </w:pPr>
      <w:bookmarkStart w:id="38" w:name="_Toc10177"/>
      <w:bookmarkStart w:id="39" w:name="_Toc3413"/>
      <w:r>
        <w:rPr>
          <w:rFonts w:hint="eastAsia" w:ascii="楷体_GB2312" w:hAnsi="楷体_GB2312" w:eastAsia="楷体_GB2312" w:cs="楷体_GB2312"/>
          <w:b w:val="0"/>
          <w:bCs w:val="0"/>
          <w:caps w:val="0"/>
          <w:smallCaps w:val="0"/>
          <w:color w:val="auto"/>
          <w:spacing w:val="0"/>
          <w:kern w:val="44"/>
          <w:sz w:val="32"/>
          <w:szCs w:val="28"/>
          <w:lang w:val="en-US" w:eastAsia="zh-CN" w:bidi="ar-SA"/>
        </w:rPr>
        <w:t>3．</w:t>
      </w:r>
      <w:r>
        <w:rPr>
          <w:rFonts w:hint="default" w:ascii="楷体_GB2312" w:hAnsi="楷体_GB2312" w:eastAsia="楷体_GB2312" w:cs="楷体_GB2312"/>
          <w:b w:val="0"/>
          <w:bCs w:val="0"/>
          <w:caps w:val="0"/>
          <w:smallCaps w:val="0"/>
          <w:color w:val="auto"/>
          <w:spacing w:val="0"/>
          <w:kern w:val="44"/>
          <w:sz w:val="32"/>
          <w:szCs w:val="28"/>
          <w:lang w:val="en-US" w:eastAsia="zh-CN" w:bidi="ar-SA"/>
        </w:rPr>
        <w:t>自然条件</w:t>
      </w:r>
      <w:bookmarkEnd w:id="38"/>
      <w:bookmarkEnd w:id="39"/>
    </w:p>
    <w:p w14:paraId="4E00538F">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（1）地形地貌</w:t>
      </w:r>
    </w:p>
    <w:p w14:paraId="28136363">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集贤县地势呈西南高，东北低，自西南向东北逐渐倾斜。西南为完达山及其支脉所盘踞、东北部为广阔的三江平原，地势低平，一望无际。根据地貌成因类型和形态特征，区域分布有侵蚀剥蚀地形—低山、剥蚀地形—丘陵、侵蚀堆积地形、堆积地形。</w:t>
      </w:r>
    </w:p>
    <w:p w14:paraId="1210AFFF">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（2）自然资源</w:t>
      </w:r>
    </w:p>
    <w:p w14:paraId="135FE443">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全县境内有安邦河、柳树河、哈达密河、二道河子、太平河和小黄河等6条主要河流，流域面积约为115950公顷，总流长187公里，这些河流的共同特点是流程短、水位浅、涨落快。灌溉用水量不足，枯水年份断流，上游坡陡流急，下游无河身，丰水年雨季常涨潮外溢，酿成洪涝灾害。利用山谷和平原修建了红旗水库等水库。</w:t>
      </w:r>
    </w:p>
    <w:p w14:paraId="7D7D664C">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集贤县多年平均水资源总量为3.61亿m³，其中多年平均地表水资源量约为18100万m3，多年平均地下水资源量约为18000万m³，重复计算量2400万m³。人均占有水资源量约为1504m³，耕地亩均占有水资源量约155m³。总体上，水资源较为稀缺，农业灌溉用水缺口较大。</w:t>
      </w:r>
    </w:p>
    <w:p w14:paraId="1FA7E7CA">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集贤县已发现矿种11种，共发现矿区（床）47处，其中已查明资源量的矿产地有21个，其中煤为我县优势矿产，主要为气煤、焦煤、长焰煤，灰分少、含硫量低、富油，是发展煤化工的理想原料。其他矿产资源优势不明显，达到一定规模的矿产地较少，主要为小型矿产地。</w:t>
      </w:r>
    </w:p>
    <w:p w14:paraId="049C472F">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已发现矿产11种，其中能源矿产1种，金属矿产2种及非金属矿产8种。</w:t>
      </w:r>
    </w:p>
    <w:p w14:paraId="01A94C48">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已开发利用的矿产有6种，其中能源矿产为煤；金属矿产为铁；非金属矿产有建筑用砂、陶瓷土、建筑用花岗岩和建筑用玄武岩共计4种。</w:t>
      </w:r>
    </w:p>
    <w:p w14:paraId="6CA8A16D">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（3）气候条件</w:t>
      </w:r>
    </w:p>
    <w:p w14:paraId="3E67A6F5">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集贤县属大陆性寒温气候，由于受西伯利亚高压控制，冬季漫长而严寒干燥，夏季短促而温暖湿润。集贤县年平均气温4.8℃其中一月温度最低平均气温-18.6℃，七月温度最高平均气温23.5℃，平均年降水量543mm，年平均风速2.7m/s，年光照总量约为2260小时，无霜期约为179天。春季气候活动频繁，风大，雨量小，气候干燥，温度回升快，季平均温度为6.3℃，温度日差较大，最大时可超过20℃，季降水量116mm，占全年降水量的21%，风力较大，时有大风天气，仅4～5月≥5级的风占全年34%。夏季受季风气候的影响，温热湿润，雨量充沛，常有暴风出现，季平均温度21.8℃，极端最高≥30℃的气温平均出现17天，季降水量约为322mm，占全年降水量的59.3%。秋季受大陆高压控制，阳光充足，秋高气爽。</w:t>
      </w:r>
    </w:p>
    <w:p w14:paraId="22A397A1">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kern w:val="44"/>
          <w:sz w:val="32"/>
          <w:szCs w:val="28"/>
          <w:lang w:val="en-US" w:eastAsia="zh-CN" w:bidi="ar-SA"/>
        </w:rPr>
      </w:pPr>
      <w:bookmarkStart w:id="40" w:name="_Toc13045"/>
      <w:bookmarkStart w:id="41" w:name="_Toc5091"/>
      <w:r>
        <w:rPr>
          <w:rFonts w:hint="eastAsia" w:ascii="楷体_GB2312" w:hAnsi="楷体_GB2312" w:eastAsia="楷体_GB2312" w:cs="楷体_GB2312"/>
          <w:b w:val="0"/>
          <w:bCs w:val="0"/>
          <w:caps w:val="0"/>
          <w:smallCaps w:val="0"/>
          <w:color w:val="auto"/>
          <w:spacing w:val="0"/>
          <w:kern w:val="44"/>
          <w:sz w:val="32"/>
          <w:szCs w:val="28"/>
          <w:lang w:val="en-US" w:eastAsia="zh-CN" w:bidi="ar-SA"/>
        </w:rPr>
        <w:t>4．人口现状</w:t>
      </w:r>
      <w:bookmarkEnd w:id="40"/>
      <w:bookmarkEnd w:id="41"/>
    </w:p>
    <w:p w14:paraId="27610743">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2020年，全县常住总人口为24.39万人，其中城镇人口11.94万人，乡村人口12.45万人。常住人口城镇化率为48.95%。</w:t>
      </w:r>
    </w:p>
    <w:p w14:paraId="3E4CEA25">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kern w:val="44"/>
          <w:sz w:val="32"/>
          <w:szCs w:val="28"/>
          <w:lang w:val="en-US" w:eastAsia="zh-CN" w:bidi="ar-SA"/>
        </w:rPr>
      </w:pPr>
      <w:r>
        <w:rPr>
          <w:rFonts w:hint="eastAsia" w:ascii="楷体_GB2312" w:hAnsi="楷体_GB2312" w:eastAsia="楷体_GB2312" w:cs="楷体_GB2312"/>
          <w:b w:val="0"/>
          <w:bCs w:val="0"/>
          <w:caps w:val="0"/>
          <w:smallCaps w:val="0"/>
          <w:color w:val="auto"/>
          <w:spacing w:val="0"/>
          <w:kern w:val="44"/>
          <w:sz w:val="32"/>
          <w:szCs w:val="28"/>
          <w:lang w:val="en-US" w:eastAsia="zh-CN" w:bidi="ar-SA"/>
        </w:rPr>
        <w:t>5．经济现状</w:t>
      </w:r>
    </w:p>
    <w:p w14:paraId="635C45E7">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国民生产总值72.60亿元，集贤县农业农村经济发展平稳，全年农作物总播种面积226.57万亩。其中粮食作物播种面积221.44万亩。粮食总产量达17.7亿斤；畜牧业产值实现131704万元，占农业总产值的比重达33.2%。文旅等现代服务业提速提质，实现由满足基本生活需求向高品质消费服务拓展。</w:t>
      </w:r>
    </w:p>
    <w:p w14:paraId="7F48A5F6">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黑体" w:hAnsi="黑体" w:eastAsia="黑体" w:cs="黑体"/>
          <w:b w:val="0"/>
          <w:bCs w:val="0"/>
          <w:caps w:val="0"/>
          <w:smallCaps w:val="0"/>
          <w:color w:val="auto"/>
          <w:spacing w:val="0"/>
          <w:lang w:val="en-US" w:eastAsia="zh-CN"/>
        </w:rPr>
      </w:pPr>
      <w:bookmarkStart w:id="42" w:name="_Toc6370"/>
      <w:r>
        <w:rPr>
          <w:rFonts w:hint="eastAsia" w:ascii="黑体" w:hAnsi="黑体" w:eastAsia="黑体" w:cs="黑体"/>
          <w:b w:val="0"/>
          <w:bCs w:val="0"/>
          <w:caps w:val="0"/>
          <w:smallCaps w:val="0"/>
          <w:color w:val="auto"/>
          <w:spacing w:val="0"/>
          <w:lang w:val="en-US" w:eastAsia="zh-CN"/>
        </w:rPr>
        <w:t>二、治理设施现状及存在问题</w:t>
      </w:r>
      <w:bookmarkEnd w:id="42"/>
    </w:p>
    <w:p w14:paraId="0F483F8A">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kern w:val="44"/>
          <w:sz w:val="32"/>
          <w:szCs w:val="28"/>
          <w:lang w:val="en-US" w:eastAsia="zh-CN" w:bidi="ar-SA"/>
        </w:rPr>
      </w:pPr>
      <w:bookmarkStart w:id="43" w:name="_Toc13541"/>
      <w:bookmarkStart w:id="44" w:name="_Toc16470"/>
      <w:r>
        <w:rPr>
          <w:rFonts w:hint="eastAsia" w:ascii="楷体_GB2312" w:hAnsi="楷体_GB2312" w:eastAsia="楷体_GB2312" w:cs="楷体_GB2312"/>
          <w:b w:val="0"/>
          <w:bCs w:val="0"/>
          <w:caps w:val="0"/>
          <w:smallCaps w:val="0"/>
          <w:color w:val="auto"/>
          <w:spacing w:val="0"/>
          <w:kern w:val="44"/>
          <w:sz w:val="32"/>
          <w:szCs w:val="28"/>
          <w:lang w:val="en-US" w:eastAsia="zh-CN" w:bidi="ar-SA"/>
        </w:rPr>
        <w:t>1．建筑垃圾现状</w:t>
      </w:r>
      <w:bookmarkEnd w:id="43"/>
      <w:bookmarkEnd w:id="44"/>
    </w:p>
    <w:p w14:paraId="381E5AF0">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bookmarkStart w:id="45" w:name="_Toc12825"/>
      <w:bookmarkStart w:id="46" w:name="_Toc22205"/>
      <w:r>
        <w:rPr>
          <w:rFonts w:hint="eastAsia" w:ascii="仿宋_GB2312" w:hAnsi="仿宋_GB2312" w:eastAsia="仿宋_GB2312" w:cs="仿宋_GB2312"/>
          <w:b w:val="0"/>
          <w:bCs w:val="0"/>
          <w:caps w:val="0"/>
          <w:smallCaps w:val="0"/>
          <w:color w:val="auto"/>
          <w:spacing w:val="0"/>
          <w:lang w:val="en-US" w:eastAsia="zh-CN"/>
        </w:rPr>
        <w:t>建筑垃圾性质</w:t>
      </w:r>
      <w:bookmarkEnd w:id="45"/>
      <w:bookmarkEnd w:id="46"/>
    </w:p>
    <w:p w14:paraId="79A2C43E">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建筑垃圾根据其产生源及组分的不同分为工程渣土、工程</w:t>
      </w:r>
      <w:r>
        <w:rPr>
          <w:rFonts w:hint="eastAsia" w:ascii="仿宋_GB2312" w:hAnsi="仿宋_GB2312" w:eastAsia="仿宋_GB2312" w:cs="仿宋_GB2312"/>
          <w:caps w:val="0"/>
          <w:smallCaps w:val="0"/>
          <w:color w:val="auto"/>
          <w:spacing w:val="0"/>
          <w:lang w:val="en-US" w:eastAsia="zh-CN"/>
        </w:rPr>
        <w:t>泥浆、工程垃圾、拆除垃圾及装修垃圾五类，主要组分详见下表。</w:t>
      </w:r>
    </w:p>
    <w:p w14:paraId="41B0CB4B">
      <w:pPr>
        <w:pStyle w:val="40"/>
        <w:bidi w:val="0"/>
        <w:ind w:left="0" w:leftChars="0" w:firstLine="0" w:firstLineChars="0"/>
        <w:jc w:val="center"/>
        <w:rPr>
          <w:rFonts w:hint="eastAsia"/>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建筑垃圾类别表</w:t>
      </w:r>
    </w:p>
    <w:tbl>
      <w:tblPr>
        <w:tblStyle w:val="27"/>
        <w:tblW w:w="8859" w:type="dxa"/>
        <w:tblInd w:w="4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279"/>
        <w:gridCol w:w="3210"/>
        <w:gridCol w:w="3603"/>
      </w:tblGrid>
      <w:tr w14:paraId="2341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67" w:type="dxa"/>
            <w:vAlign w:val="center"/>
          </w:tcPr>
          <w:p w14:paraId="4DC019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序号</w:t>
            </w:r>
          </w:p>
        </w:tc>
        <w:tc>
          <w:tcPr>
            <w:tcW w:w="1279" w:type="dxa"/>
            <w:vAlign w:val="center"/>
          </w:tcPr>
          <w:p w14:paraId="758B45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类别</w:t>
            </w:r>
          </w:p>
        </w:tc>
        <w:tc>
          <w:tcPr>
            <w:tcW w:w="3210" w:type="dxa"/>
            <w:vAlign w:val="center"/>
          </w:tcPr>
          <w:p w14:paraId="3C12B7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产生源</w:t>
            </w:r>
          </w:p>
        </w:tc>
        <w:tc>
          <w:tcPr>
            <w:tcW w:w="3603" w:type="dxa"/>
            <w:vAlign w:val="center"/>
          </w:tcPr>
          <w:p w14:paraId="426922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主要组分</w:t>
            </w:r>
          </w:p>
        </w:tc>
      </w:tr>
      <w:tr w14:paraId="61F0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67" w:type="dxa"/>
            <w:vAlign w:val="center"/>
          </w:tcPr>
          <w:p w14:paraId="7F5AD4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1</w:t>
            </w:r>
          </w:p>
        </w:tc>
        <w:tc>
          <w:tcPr>
            <w:tcW w:w="1279" w:type="dxa"/>
            <w:vAlign w:val="center"/>
          </w:tcPr>
          <w:p w14:paraId="3E5443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工程渣土</w:t>
            </w:r>
          </w:p>
        </w:tc>
        <w:tc>
          <w:tcPr>
            <w:tcW w:w="3210" w:type="dxa"/>
            <w:vAlign w:val="center"/>
          </w:tcPr>
          <w:p w14:paraId="16CBFA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各类建（构）筑物、管网等在土方开挖过程中所产生的弃土</w:t>
            </w:r>
          </w:p>
        </w:tc>
        <w:tc>
          <w:tcPr>
            <w:tcW w:w="3603" w:type="dxa"/>
            <w:vAlign w:val="center"/>
          </w:tcPr>
          <w:p w14:paraId="76A456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碎砖块（砖、石、混凝土等）、</w:t>
            </w:r>
          </w:p>
          <w:p w14:paraId="536CAF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渣土</w:t>
            </w:r>
          </w:p>
        </w:tc>
      </w:tr>
      <w:tr w14:paraId="0074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767" w:type="dxa"/>
            <w:vAlign w:val="center"/>
          </w:tcPr>
          <w:p w14:paraId="14E418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2</w:t>
            </w:r>
          </w:p>
        </w:tc>
        <w:tc>
          <w:tcPr>
            <w:tcW w:w="1279" w:type="dxa"/>
            <w:vAlign w:val="center"/>
          </w:tcPr>
          <w:p w14:paraId="01B9D4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工程泥浆</w:t>
            </w:r>
          </w:p>
        </w:tc>
        <w:tc>
          <w:tcPr>
            <w:tcW w:w="3210" w:type="dxa"/>
            <w:vAlign w:val="center"/>
          </w:tcPr>
          <w:p w14:paraId="6B0165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钻孔桩基施工、地下连续墙施工、泥水盾构施工、水平定向钻及泥水顶管等施工产生的泥浆</w:t>
            </w:r>
          </w:p>
        </w:tc>
        <w:tc>
          <w:tcPr>
            <w:tcW w:w="3603" w:type="dxa"/>
            <w:vAlign w:val="center"/>
          </w:tcPr>
          <w:p w14:paraId="295A71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泥浆、泥沙</w:t>
            </w:r>
          </w:p>
        </w:tc>
      </w:tr>
      <w:tr w14:paraId="64D1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767" w:type="dxa"/>
            <w:vAlign w:val="center"/>
          </w:tcPr>
          <w:p w14:paraId="135E94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3</w:t>
            </w:r>
          </w:p>
        </w:tc>
        <w:tc>
          <w:tcPr>
            <w:tcW w:w="1279" w:type="dxa"/>
            <w:vAlign w:val="center"/>
          </w:tcPr>
          <w:p w14:paraId="43D307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工程垃圾</w:t>
            </w:r>
          </w:p>
        </w:tc>
        <w:tc>
          <w:tcPr>
            <w:tcW w:w="3210" w:type="dxa"/>
            <w:vAlign w:val="center"/>
          </w:tcPr>
          <w:p w14:paraId="4282B4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在各类建（构）筑物建设过程中产生的建筑垃圾</w:t>
            </w:r>
          </w:p>
        </w:tc>
        <w:tc>
          <w:tcPr>
            <w:tcW w:w="3603" w:type="dxa"/>
            <w:vAlign w:val="center"/>
          </w:tcPr>
          <w:p w14:paraId="131AD1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无机非金属类（混凝土、水泥制品、砂石、砖瓦、陶瓷、砂浆、轻型墙体材料等）、金属类、有机类（木材、塑料、织物、纸类、沥青类等）、其他类</w:t>
            </w:r>
          </w:p>
        </w:tc>
      </w:tr>
      <w:tr w14:paraId="519E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trPr>
        <w:tc>
          <w:tcPr>
            <w:tcW w:w="767" w:type="dxa"/>
            <w:vAlign w:val="center"/>
          </w:tcPr>
          <w:p w14:paraId="65F4A9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4</w:t>
            </w:r>
          </w:p>
        </w:tc>
        <w:tc>
          <w:tcPr>
            <w:tcW w:w="1279" w:type="dxa"/>
            <w:vAlign w:val="center"/>
          </w:tcPr>
          <w:p w14:paraId="28F9A8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拆除垃圾</w:t>
            </w:r>
          </w:p>
        </w:tc>
        <w:tc>
          <w:tcPr>
            <w:tcW w:w="3210" w:type="dxa"/>
            <w:vAlign w:val="center"/>
          </w:tcPr>
          <w:p w14:paraId="7CC5ED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在各类建（构）筑物拆除过程中产生的建筑垃圾</w:t>
            </w:r>
          </w:p>
        </w:tc>
        <w:tc>
          <w:tcPr>
            <w:tcW w:w="3603" w:type="dxa"/>
            <w:vAlign w:val="center"/>
          </w:tcPr>
          <w:p w14:paraId="15BC88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4"/>
                <w:szCs w:val="24"/>
                <w:lang w:val="en-US" w:eastAsia="zh-CN"/>
              </w:rPr>
            </w:pPr>
            <w:r>
              <w:rPr>
                <w:rFonts w:hint="eastAsia" w:ascii="仿宋_GB2312" w:hAnsi="仿宋_GB2312" w:eastAsia="仿宋_GB2312" w:cs="仿宋_GB2312"/>
                <w:caps w:val="0"/>
                <w:smallCaps w:val="0"/>
                <w:color w:val="auto"/>
                <w:spacing w:val="0"/>
                <w:sz w:val="24"/>
                <w:szCs w:val="24"/>
                <w:lang w:val="en-US" w:eastAsia="zh-CN"/>
              </w:rPr>
              <w:t>无机类（混凝土、石材、砖瓦砌块、陶瓷、玻璃、轻型墙体材料、石膏、土）、金属类、木材类、有机可燃类（塑料、纸制品等）、其他类</w:t>
            </w:r>
          </w:p>
        </w:tc>
      </w:tr>
      <w:tr w14:paraId="6076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767" w:type="dxa"/>
            <w:vAlign w:val="center"/>
          </w:tcPr>
          <w:p w14:paraId="2A925C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kern w:val="2"/>
                <w:sz w:val="24"/>
                <w:szCs w:val="24"/>
                <w:lang w:val="en-US" w:eastAsia="zh-CN" w:bidi="ar-SA"/>
              </w:rPr>
            </w:pPr>
            <w:r>
              <w:rPr>
                <w:rFonts w:hint="eastAsia" w:ascii="仿宋_GB2312" w:hAnsi="仿宋_GB2312" w:eastAsia="仿宋_GB2312" w:cs="仿宋_GB2312"/>
                <w:caps w:val="0"/>
                <w:smallCaps w:val="0"/>
                <w:color w:val="auto"/>
                <w:spacing w:val="0"/>
                <w:kern w:val="2"/>
                <w:sz w:val="24"/>
                <w:szCs w:val="24"/>
                <w:lang w:val="en-US" w:eastAsia="zh-CN" w:bidi="ar-SA"/>
              </w:rPr>
              <w:t>5</w:t>
            </w:r>
          </w:p>
        </w:tc>
        <w:tc>
          <w:tcPr>
            <w:tcW w:w="1279" w:type="dxa"/>
            <w:vAlign w:val="center"/>
          </w:tcPr>
          <w:p w14:paraId="35F6E5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kern w:val="2"/>
                <w:sz w:val="24"/>
                <w:szCs w:val="24"/>
                <w:lang w:val="en-US" w:eastAsia="zh-CN" w:bidi="ar-SA"/>
              </w:rPr>
            </w:pPr>
            <w:r>
              <w:rPr>
                <w:rFonts w:hint="eastAsia" w:ascii="仿宋_GB2312" w:hAnsi="仿宋_GB2312" w:eastAsia="仿宋_GB2312" w:cs="仿宋_GB2312"/>
                <w:caps w:val="0"/>
                <w:smallCaps w:val="0"/>
                <w:color w:val="auto"/>
                <w:spacing w:val="0"/>
                <w:kern w:val="2"/>
                <w:sz w:val="24"/>
                <w:szCs w:val="24"/>
                <w:lang w:val="en-US" w:eastAsia="zh-CN" w:bidi="ar-SA"/>
              </w:rPr>
              <w:t>装修垃圾</w:t>
            </w:r>
          </w:p>
        </w:tc>
        <w:tc>
          <w:tcPr>
            <w:tcW w:w="3210" w:type="dxa"/>
            <w:vAlign w:val="center"/>
          </w:tcPr>
          <w:p w14:paraId="513079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kern w:val="2"/>
                <w:sz w:val="24"/>
                <w:szCs w:val="24"/>
                <w:lang w:val="en-US" w:eastAsia="zh-CN" w:bidi="ar-SA"/>
              </w:rPr>
            </w:pPr>
            <w:r>
              <w:rPr>
                <w:rFonts w:hint="eastAsia" w:ascii="仿宋_GB2312" w:hAnsi="仿宋_GB2312" w:eastAsia="仿宋_GB2312" w:cs="仿宋_GB2312"/>
                <w:caps w:val="0"/>
                <w:smallCaps w:val="0"/>
                <w:color w:val="auto"/>
                <w:spacing w:val="0"/>
                <w:kern w:val="2"/>
                <w:sz w:val="24"/>
                <w:szCs w:val="24"/>
                <w:lang w:val="en-US" w:eastAsia="zh-CN" w:bidi="ar-SA"/>
              </w:rPr>
              <w:t>在各类建（构）筑物装修过程中产生的建筑垃圾</w:t>
            </w:r>
          </w:p>
        </w:tc>
        <w:tc>
          <w:tcPr>
            <w:tcW w:w="3603" w:type="dxa"/>
            <w:vAlign w:val="center"/>
          </w:tcPr>
          <w:p w14:paraId="2E3A34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kern w:val="2"/>
                <w:sz w:val="24"/>
                <w:szCs w:val="24"/>
                <w:lang w:val="en-US" w:eastAsia="zh-CN" w:bidi="ar-SA"/>
              </w:rPr>
            </w:pPr>
            <w:r>
              <w:rPr>
                <w:rFonts w:hint="eastAsia" w:ascii="仿宋_GB2312" w:hAnsi="仿宋_GB2312" w:eastAsia="仿宋_GB2312" w:cs="仿宋_GB2312"/>
                <w:caps w:val="0"/>
                <w:smallCaps w:val="0"/>
                <w:color w:val="auto"/>
                <w:spacing w:val="0"/>
                <w:kern w:val="2"/>
                <w:sz w:val="24"/>
                <w:szCs w:val="24"/>
                <w:lang w:val="en-US" w:eastAsia="zh-CN" w:bidi="ar-SA"/>
              </w:rPr>
              <w:t>无机类（水泥制品、凿除、抹灰等产生的旧混凝土、砂浆层等矿物材料）、金属类、有机类（木材、塑料、织物纸类、沥青类等）、其他类</w:t>
            </w:r>
          </w:p>
        </w:tc>
      </w:tr>
    </w:tbl>
    <w:p w14:paraId="0DB6E5C4">
      <w:pPr>
        <w:pStyle w:val="40"/>
        <w:numPr>
          <w:ilvl w:val="0"/>
          <w:numId w:val="0"/>
        </w:numPr>
        <w:bidi w:val="0"/>
        <w:ind w:left="402" w:leftChars="0"/>
        <w:rPr>
          <w:rFonts w:hint="default" w:ascii="仿宋_GB2312" w:hAnsi="仿宋_GB2312" w:eastAsia="仿宋_GB2312" w:cs="仿宋_GB2312"/>
          <w:b w:val="0"/>
          <w:bCs w:val="0"/>
          <w:caps w:val="0"/>
          <w:smallCaps w:val="0"/>
          <w:color w:val="auto"/>
          <w:spacing w:val="0"/>
          <w:lang w:eastAsia="zh-CN"/>
        </w:rPr>
      </w:pPr>
      <w:bookmarkStart w:id="47" w:name="_Toc13792"/>
      <w:bookmarkStart w:id="48" w:name="_Toc30009"/>
    </w:p>
    <w:p w14:paraId="78AFC26B">
      <w:pPr>
        <w:pStyle w:val="40"/>
        <w:numPr>
          <w:ilvl w:val="0"/>
          <w:numId w:val="0"/>
        </w:numPr>
        <w:bidi w:val="0"/>
        <w:ind w:left="402" w:leftChars="0"/>
        <w:rPr>
          <w:rFonts w:hint="eastAsia" w:ascii="仿宋_GB2312" w:hAnsi="仿宋_GB2312" w:eastAsia="仿宋_GB2312" w:cs="仿宋_GB2312"/>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caps w:val="0"/>
          <w:smallCaps w:val="0"/>
          <w:color w:val="auto"/>
          <w:spacing w:val="0"/>
          <w:lang w:val="en-US" w:eastAsia="zh-CN"/>
        </w:rPr>
        <w:t>建筑垃圾处理设施现状</w:t>
      </w:r>
      <w:bookmarkEnd w:id="47"/>
    </w:p>
    <w:p w14:paraId="27C039F8">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目前集贤县还未建设建筑垃圾消纳设施，现状建筑垃圾采用非正规建筑垃圾临时堆放点的方式存放。共计14个堆放点，估算现存建筑垃圾量为18.30万m³。</w:t>
      </w:r>
    </w:p>
    <w:p w14:paraId="1A76E06E">
      <w:pPr>
        <w:pStyle w:val="40"/>
        <w:bidi w:val="0"/>
        <w:ind w:left="0" w:leftChars="0" w:firstLine="0" w:firstLineChars="0"/>
        <w:jc w:val="center"/>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集贤县现状建筑垃圾统计表</w:t>
      </w:r>
    </w:p>
    <w:tbl>
      <w:tblPr>
        <w:tblStyle w:val="27"/>
        <w:tblW w:w="8598"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2921"/>
        <w:gridCol w:w="2664"/>
        <w:gridCol w:w="1817"/>
      </w:tblGrid>
      <w:tr w14:paraId="5914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196" w:type="dxa"/>
          </w:tcPr>
          <w:p w14:paraId="2A66F2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序号</w:t>
            </w:r>
          </w:p>
        </w:tc>
        <w:tc>
          <w:tcPr>
            <w:tcW w:w="2921" w:type="dxa"/>
          </w:tcPr>
          <w:p w14:paraId="689B79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地点</w:t>
            </w:r>
          </w:p>
        </w:tc>
        <w:tc>
          <w:tcPr>
            <w:tcW w:w="2664" w:type="dxa"/>
          </w:tcPr>
          <w:p w14:paraId="7966EB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存量（万</w:t>
            </w:r>
            <w:r>
              <w:rPr>
                <w:rFonts w:hint="eastAsia" w:ascii="仿宋_GB2312" w:hAnsi="仿宋_GB2312" w:eastAsia="仿宋_GB2312" w:cs="仿宋_GB2312"/>
                <w:caps w:val="0"/>
                <w:smallCaps w:val="0"/>
                <w:color w:val="auto"/>
                <w:spacing w:val="0"/>
                <w:lang w:val="en-US" w:eastAsia="zh-CN"/>
              </w:rPr>
              <w:t>m</w:t>
            </w:r>
            <w:r>
              <w:rPr>
                <w:rFonts w:hint="eastAsia" w:ascii="仿宋_GB2312" w:hAnsi="仿宋_GB2312" w:eastAsia="仿宋_GB2312" w:cs="仿宋_GB2312"/>
                <w:caps w:val="0"/>
                <w:smallCaps w:val="0"/>
                <w:color w:val="auto"/>
                <w:spacing w:val="0"/>
                <w:vertAlign w:val="superscript"/>
                <w:lang w:val="en-US" w:eastAsia="zh-CN"/>
              </w:rPr>
              <w:t>3</w:t>
            </w:r>
            <w:r>
              <w:rPr>
                <w:rFonts w:hint="eastAsia" w:ascii="仿宋_GB2312" w:hAnsi="仿宋_GB2312" w:eastAsia="仿宋_GB2312" w:cs="仿宋_GB2312"/>
                <w:caps w:val="0"/>
                <w:smallCaps w:val="0"/>
                <w:color w:val="auto"/>
                <w:spacing w:val="0"/>
                <w:sz w:val="28"/>
                <w:szCs w:val="28"/>
                <w:lang w:val="en-US" w:eastAsia="zh-CN"/>
              </w:rPr>
              <w:t>）</w:t>
            </w:r>
          </w:p>
        </w:tc>
        <w:tc>
          <w:tcPr>
            <w:tcW w:w="1817" w:type="dxa"/>
          </w:tcPr>
          <w:p w14:paraId="352875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用地权属</w:t>
            </w:r>
          </w:p>
        </w:tc>
      </w:tr>
      <w:tr w14:paraId="55C3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196" w:type="dxa"/>
          </w:tcPr>
          <w:p w14:paraId="4921AF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w:t>
            </w:r>
          </w:p>
        </w:tc>
        <w:tc>
          <w:tcPr>
            <w:tcW w:w="2921" w:type="dxa"/>
          </w:tcPr>
          <w:p w14:paraId="3444F2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一中东门北侧</w:t>
            </w:r>
          </w:p>
        </w:tc>
        <w:tc>
          <w:tcPr>
            <w:tcW w:w="2664" w:type="dxa"/>
          </w:tcPr>
          <w:p w14:paraId="114F31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3.00</w:t>
            </w:r>
          </w:p>
        </w:tc>
        <w:tc>
          <w:tcPr>
            <w:tcW w:w="1817" w:type="dxa"/>
          </w:tcPr>
          <w:p w14:paraId="37B1B2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r>
      <w:tr w14:paraId="2062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196" w:type="dxa"/>
          </w:tcPr>
          <w:p w14:paraId="0F9629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2</w:t>
            </w:r>
          </w:p>
        </w:tc>
        <w:tc>
          <w:tcPr>
            <w:tcW w:w="2921" w:type="dxa"/>
          </w:tcPr>
          <w:p w14:paraId="6853C1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四中道南</w:t>
            </w:r>
          </w:p>
        </w:tc>
        <w:tc>
          <w:tcPr>
            <w:tcW w:w="2664" w:type="dxa"/>
          </w:tcPr>
          <w:p w14:paraId="50B3E5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1.00</w:t>
            </w:r>
          </w:p>
        </w:tc>
        <w:tc>
          <w:tcPr>
            <w:tcW w:w="1817" w:type="dxa"/>
          </w:tcPr>
          <w:p w14:paraId="4BB91D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r>
      <w:tr w14:paraId="5AD3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196" w:type="dxa"/>
          </w:tcPr>
          <w:p w14:paraId="6055DE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3</w:t>
            </w:r>
          </w:p>
        </w:tc>
        <w:tc>
          <w:tcPr>
            <w:tcW w:w="2921" w:type="dxa"/>
          </w:tcPr>
          <w:p w14:paraId="54ADA7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建新中学东侧</w:t>
            </w:r>
          </w:p>
        </w:tc>
        <w:tc>
          <w:tcPr>
            <w:tcW w:w="2664" w:type="dxa"/>
          </w:tcPr>
          <w:p w14:paraId="277C3F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1.20</w:t>
            </w:r>
          </w:p>
        </w:tc>
        <w:tc>
          <w:tcPr>
            <w:tcW w:w="1817" w:type="dxa"/>
          </w:tcPr>
          <w:p w14:paraId="61E6A1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r>
      <w:tr w14:paraId="4A5E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196" w:type="dxa"/>
          </w:tcPr>
          <w:p w14:paraId="51588A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4</w:t>
            </w:r>
          </w:p>
        </w:tc>
        <w:tc>
          <w:tcPr>
            <w:tcW w:w="2921" w:type="dxa"/>
          </w:tcPr>
          <w:p w14:paraId="6452C5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新发村道口</w:t>
            </w:r>
          </w:p>
        </w:tc>
        <w:tc>
          <w:tcPr>
            <w:tcW w:w="2664" w:type="dxa"/>
          </w:tcPr>
          <w:p w14:paraId="38D239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4.00</w:t>
            </w:r>
          </w:p>
        </w:tc>
        <w:tc>
          <w:tcPr>
            <w:tcW w:w="1817" w:type="dxa"/>
          </w:tcPr>
          <w:p w14:paraId="7948EB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r>
      <w:tr w14:paraId="5E5B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196" w:type="dxa"/>
          </w:tcPr>
          <w:p w14:paraId="53ED8A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5</w:t>
            </w:r>
          </w:p>
        </w:tc>
        <w:tc>
          <w:tcPr>
            <w:tcW w:w="2921" w:type="dxa"/>
          </w:tcPr>
          <w:p w14:paraId="4D0A8B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育才园北侧</w:t>
            </w:r>
          </w:p>
        </w:tc>
        <w:tc>
          <w:tcPr>
            <w:tcW w:w="2664" w:type="dxa"/>
          </w:tcPr>
          <w:p w14:paraId="3282D1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2.50</w:t>
            </w:r>
          </w:p>
        </w:tc>
        <w:tc>
          <w:tcPr>
            <w:tcW w:w="1817" w:type="dxa"/>
          </w:tcPr>
          <w:p w14:paraId="542DD1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r>
      <w:tr w14:paraId="66EE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196" w:type="dxa"/>
          </w:tcPr>
          <w:p w14:paraId="56B936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6</w:t>
            </w:r>
          </w:p>
        </w:tc>
        <w:tc>
          <w:tcPr>
            <w:tcW w:w="2921" w:type="dxa"/>
          </w:tcPr>
          <w:p w14:paraId="17CA9A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黑玛电厂道南</w:t>
            </w:r>
          </w:p>
        </w:tc>
        <w:tc>
          <w:tcPr>
            <w:tcW w:w="2664" w:type="dxa"/>
          </w:tcPr>
          <w:p w14:paraId="527E49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3.00</w:t>
            </w:r>
          </w:p>
        </w:tc>
        <w:tc>
          <w:tcPr>
            <w:tcW w:w="1817" w:type="dxa"/>
          </w:tcPr>
          <w:p w14:paraId="45F49B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r>
      <w:tr w14:paraId="3EDA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196" w:type="dxa"/>
          </w:tcPr>
          <w:p w14:paraId="2F55E0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7</w:t>
            </w:r>
          </w:p>
        </w:tc>
        <w:tc>
          <w:tcPr>
            <w:tcW w:w="2921" w:type="dxa"/>
          </w:tcPr>
          <w:p w14:paraId="3AF26D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应急局大库北侧</w:t>
            </w:r>
          </w:p>
        </w:tc>
        <w:tc>
          <w:tcPr>
            <w:tcW w:w="2664" w:type="dxa"/>
          </w:tcPr>
          <w:p w14:paraId="5E391B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3.50</w:t>
            </w:r>
          </w:p>
        </w:tc>
        <w:tc>
          <w:tcPr>
            <w:tcW w:w="1817" w:type="dxa"/>
          </w:tcPr>
          <w:p w14:paraId="26EE64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r>
      <w:tr w14:paraId="47CF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196" w:type="dxa"/>
          </w:tcPr>
          <w:p w14:paraId="101149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8</w:t>
            </w:r>
          </w:p>
        </w:tc>
        <w:tc>
          <w:tcPr>
            <w:tcW w:w="2921" w:type="dxa"/>
          </w:tcPr>
          <w:p w14:paraId="0968FB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火车站广场</w:t>
            </w:r>
          </w:p>
        </w:tc>
        <w:tc>
          <w:tcPr>
            <w:tcW w:w="2664" w:type="dxa"/>
          </w:tcPr>
          <w:p w14:paraId="66FCF4A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0.10</w:t>
            </w:r>
          </w:p>
        </w:tc>
        <w:tc>
          <w:tcPr>
            <w:tcW w:w="1817" w:type="dxa"/>
          </w:tcPr>
          <w:p w14:paraId="55E063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r>
      <w:tr w14:paraId="6E05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196" w:type="dxa"/>
          </w:tcPr>
          <w:p w14:paraId="04224D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9</w:t>
            </w:r>
          </w:p>
        </w:tc>
        <w:tc>
          <w:tcPr>
            <w:tcW w:w="2921" w:type="dxa"/>
          </w:tcPr>
          <w:p w14:paraId="76180D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清真寺东侧</w:t>
            </w:r>
          </w:p>
        </w:tc>
        <w:tc>
          <w:tcPr>
            <w:tcW w:w="2664" w:type="dxa"/>
          </w:tcPr>
          <w:p w14:paraId="1FCB73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c>
          <w:tcPr>
            <w:tcW w:w="1817" w:type="dxa"/>
          </w:tcPr>
          <w:p w14:paraId="0E4AF8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个人</w:t>
            </w:r>
          </w:p>
        </w:tc>
      </w:tr>
      <w:tr w14:paraId="6041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196" w:type="dxa"/>
          </w:tcPr>
          <w:p w14:paraId="44C6EA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w:t>
            </w:r>
          </w:p>
        </w:tc>
        <w:tc>
          <w:tcPr>
            <w:tcW w:w="2921" w:type="dxa"/>
          </w:tcPr>
          <w:p w14:paraId="4C2439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原汽修厂院内</w:t>
            </w:r>
          </w:p>
        </w:tc>
        <w:tc>
          <w:tcPr>
            <w:tcW w:w="2664" w:type="dxa"/>
          </w:tcPr>
          <w:p w14:paraId="002131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c>
          <w:tcPr>
            <w:tcW w:w="1817" w:type="dxa"/>
          </w:tcPr>
          <w:p w14:paraId="221C05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个人</w:t>
            </w:r>
          </w:p>
        </w:tc>
      </w:tr>
      <w:tr w14:paraId="4DDE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196" w:type="dxa"/>
          </w:tcPr>
          <w:p w14:paraId="7A5F14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11</w:t>
            </w:r>
          </w:p>
        </w:tc>
        <w:tc>
          <w:tcPr>
            <w:tcW w:w="2921" w:type="dxa"/>
          </w:tcPr>
          <w:p w14:paraId="537539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拆迁区</w:t>
            </w:r>
          </w:p>
        </w:tc>
        <w:tc>
          <w:tcPr>
            <w:tcW w:w="2664" w:type="dxa"/>
          </w:tcPr>
          <w:p w14:paraId="42A497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c>
          <w:tcPr>
            <w:tcW w:w="1817" w:type="dxa"/>
          </w:tcPr>
          <w:p w14:paraId="70FD0B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房屋征收中心</w:t>
            </w:r>
          </w:p>
        </w:tc>
      </w:tr>
      <w:tr w14:paraId="79BB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196" w:type="dxa"/>
          </w:tcPr>
          <w:p w14:paraId="3BCCA4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12</w:t>
            </w:r>
          </w:p>
        </w:tc>
        <w:tc>
          <w:tcPr>
            <w:tcW w:w="2921" w:type="dxa"/>
          </w:tcPr>
          <w:p w14:paraId="54D6AE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双鸭山粮库东侧</w:t>
            </w:r>
          </w:p>
        </w:tc>
        <w:tc>
          <w:tcPr>
            <w:tcW w:w="2664" w:type="dxa"/>
          </w:tcPr>
          <w:p w14:paraId="68AE36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3.00</w:t>
            </w:r>
          </w:p>
        </w:tc>
        <w:tc>
          <w:tcPr>
            <w:tcW w:w="1817" w:type="dxa"/>
          </w:tcPr>
          <w:p w14:paraId="6D4AB7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p>
        </w:tc>
      </w:tr>
      <w:tr w14:paraId="6347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196" w:type="dxa"/>
          </w:tcPr>
          <w:p w14:paraId="2AAE76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13</w:t>
            </w:r>
          </w:p>
        </w:tc>
        <w:tc>
          <w:tcPr>
            <w:tcW w:w="2921" w:type="dxa"/>
          </w:tcPr>
          <w:p w14:paraId="44C7C3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跨线桥</w:t>
            </w:r>
          </w:p>
        </w:tc>
        <w:tc>
          <w:tcPr>
            <w:tcW w:w="2664" w:type="dxa"/>
          </w:tcPr>
          <w:p w14:paraId="4AB788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c>
          <w:tcPr>
            <w:tcW w:w="1817" w:type="dxa"/>
          </w:tcPr>
          <w:p w14:paraId="238A97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交通局</w:t>
            </w:r>
          </w:p>
        </w:tc>
      </w:tr>
      <w:tr w14:paraId="355D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196" w:type="dxa"/>
          </w:tcPr>
          <w:p w14:paraId="574C3B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14</w:t>
            </w:r>
          </w:p>
        </w:tc>
        <w:tc>
          <w:tcPr>
            <w:tcW w:w="2921" w:type="dxa"/>
          </w:tcPr>
          <w:p w14:paraId="28DEF4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各建筑工地</w:t>
            </w:r>
          </w:p>
        </w:tc>
        <w:tc>
          <w:tcPr>
            <w:tcW w:w="2664" w:type="dxa"/>
          </w:tcPr>
          <w:p w14:paraId="03CEE2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c>
          <w:tcPr>
            <w:tcW w:w="1817" w:type="dxa"/>
          </w:tcPr>
          <w:p w14:paraId="2EE8AB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质监站</w:t>
            </w:r>
          </w:p>
        </w:tc>
      </w:tr>
    </w:tbl>
    <w:p w14:paraId="20398936">
      <w:pPr>
        <w:pStyle w:val="8"/>
        <w:spacing w:line="240" w:lineRule="auto"/>
        <w:rPr>
          <w:rFonts w:hint="eastAsia"/>
          <w:caps w:val="0"/>
          <w:smallCaps w:val="0"/>
          <w:color w:val="auto"/>
          <w:spacing w:val="0"/>
          <w:sz w:val="16"/>
          <w:szCs w:val="10"/>
          <w:highlight w:val="none"/>
        </w:rPr>
      </w:pPr>
    </w:p>
    <w:tbl>
      <w:tblPr>
        <w:tblStyle w:val="27"/>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9"/>
        <w:gridCol w:w="4350"/>
      </w:tblGrid>
      <w:tr w14:paraId="3CFD5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1" w:hRule="atLeast"/>
          <w:jc w:val="center"/>
        </w:trPr>
        <w:tc>
          <w:tcPr>
            <w:tcW w:w="4309" w:type="dxa"/>
            <w:vAlign w:val="center"/>
          </w:tcPr>
          <w:p w14:paraId="460265F7">
            <w:pPr>
              <w:spacing w:line="240" w:lineRule="auto"/>
              <w:ind w:left="0" w:leftChars="0" w:firstLine="0" w:firstLineChars="0"/>
              <w:jc w:val="center"/>
              <w:rPr>
                <w:rFonts w:ascii="仿宋_GB2312" w:hAnsi="仿宋_GB2312" w:eastAsia="仿宋_GB2312" w:cs="仿宋_GB2312"/>
                <w:caps w:val="0"/>
                <w:smallCaps w:val="0"/>
                <w:color w:val="auto"/>
                <w:spacing w:val="0"/>
                <w:sz w:val="32"/>
                <w:szCs w:val="32"/>
                <w:highlight w:val="none"/>
              </w:rPr>
            </w:pPr>
            <w:r>
              <w:rPr>
                <w:rFonts w:ascii="仿宋_GB2312" w:hAnsi="仿宋_GB2312" w:eastAsia="仿宋_GB2312" w:cs="仿宋_GB2312"/>
                <w:caps w:val="0"/>
                <w:smallCaps w:val="0"/>
                <w:color w:val="auto"/>
                <w:spacing w:val="0"/>
                <w:sz w:val="32"/>
                <w:szCs w:val="32"/>
                <w:highlight w:val="none"/>
              </w:rPr>
              <w:drawing>
                <wp:inline distT="0" distB="0" distL="0" distR="0">
                  <wp:extent cx="2277110" cy="1398905"/>
                  <wp:effectExtent l="0" t="0" r="8890" b="10795"/>
                  <wp:docPr id="1026" name="图片 8"/>
                  <wp:cNvGraphicFramePr/>
                  <a:graphic xmlns:a="http://schemas.openxmlformats.org/drawingml/2006/main">
                    <a:graphicData uri="http://schemas.openxmlformats.org/drawingml/2006/picture">
                      <pic:pic xmlns:pic="http://schemas.openxmlformats.org/drawingml/2006/picture">
                        <pic:nvPicPr>
                          <pic:cNvPr id="1026" name="图片 8"/>
                          <pic:cNvPicPr/>
                        </pic:nvPicPr>
                        <pic:blipFill>
                          <a:blip r:embed="rId13" cstate="print"/>
                          <a:srcRect/>
                          <a:stretch>
                            <a:fillRect/>
                          </a:stretch>
                        </pic:blipFill>
                        <pic:spPr>
                          <a:xfrm>
                            <a:off x="0" y="0"/>
                            <a:ext cx="2277110" cy="1398905"/>
                          </a:xfrm>
                          <a:prstGeom prst="rect">
                            <a:avLst/>
                          </a:prstGeom>
                          <a:ln>
                            <a:noFill/>
                          </a:ln>
                        </pic:spPr>
                      </pic:pic>
                    </a:graphicData>
                  </a:graphic>
                </wp:inline>
              </w:drawing>
            </w:r>
          </w:p>
        </w:tc>
        <w:tc>
          <w:tcPr>
            <w:tcW w:w="4350" w:type="dxa"/>
            <w:vAlign w:val="center"/>
          </w:tcPr>
          <w:p w14:paraId="418A465B">
            <w:pPr>
              <w:spacing w:line="240" w:lineRule="auto"/>
              <w:ind w:left="0" w:leftChars="0" w:firstLine="0" w:firstLineChars="0"/>
              <w:jc w:val="center"/>
              <w:rPr>
                <w:rFonts w:ascii="仿宋_GB2312" w:hAnsi="仿宋_GB2312" w:eastAsia="仿宋_GB2312" w:cs="仿宋_GB2312"/>
                <w:caps w:val="0"/>
                <w:smallCaps w:val="0"/>
                <w:color w:val="auto"/>
                <w:spacing w:val="0"/>
                <w:sz w:val="32"/>
                <w:szCs w:val="32"/>
                <w:highlight w:val="none"/>
              </w:rPr>
            </w:pPr>
            <w:r>
              <w:rPr>
                <w:rFonts w:ascii="仿宋_GB2312" w:hAnsi="仿宋_GB2312" w:eastAsia="仿宋_GB2312" w:cs="仿宋_GB2312"/>
                <w:caps w:val="0"/>
                <w:smallCaps w:val="0"/>
                <w:color w:val="auto"/>
                <w:spacing w:val="0"/>
                <w:sz w:val="32"/>
                <w:szCs w:val="32"/>
                <w:highlight w:val="none"/>
              </w:rPr>
              <w:drawing>
                <wp:inline distT="0" distB="0" distL="0" distR="0">
                  <wp:extent cx="2263140" cy="1419860"/>
                  <wp:effectExtent l="0" t="0" r="10160" b="2540"/>
                  <wp:docPr id="1028" name="图片 10"/>
                  <wp:cNvGraphicFramePr/>
                  <a:graphic xmlns:a="http://schemas.openxmlformats.org/drawingml/2006/main">
                    <a:graphicData uri="http://schemas.openxmlformats.org/drawingml/2006/picture">
                      <pic:pic xmlns:pic="http://schemas.openxmlformats.org/drawingml/2006/picture">
                        <pic:nvPicPr>
                          <pic:cNvPr id="1028" name="图片 10"/>
                          <pic:cNvPicPr/>
                        </pic:nvPicPr>
                        <pic:blipFill>
                          <a:blip r:embed="rId14" cstate="print"/>
                          <a:srcRect/>
                          <a:stretch>
                            <a:fillRect/>
                          </a:stretch>
                        </pic:blipFill>
                        <pic:spPr>
                          <a:xfrm>
                            <a:off x="0" y="0"/>
                            <a:ext cx="2263140" cy="1419860"/>
                          </a:xfrm>
                          <a:prstGeom prst="rect">
                            <a:avLst/>
                          </a:prstGeom>
                          <a:ln>
                            <a:noFill/>
                          </a:ln>
                        </pic:spPr>
                      </pic:pic>
                    </a:graphicData>
                  </a:graphic>
                </wp:inline>
              </w:drawing>
            </w:r>
          </w:p>
        </w:tc>
      </w:tr>
      <w:tr w14:paraId="191B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5" w:hRule="atLeast"/>
          <w:jc w:val="center"/>
        </w:trPr>
        <w:tc>
          <w:tcPr>
            <w:tcW w:w="4309" w:type="dxa"/>
            <w:vAlign w:val="center"/>
          </w:tcPr>
          <w:p w14:paraId="6B8D1E5B">
            <w:pPr>
              <w:spacing w:line="240" w:lineRule="auto"/>
              <w:ind w:left="0" w:leftChars="0" w:firstLine="0" w:firstLineChars="0"/>
              <w:jc w:val="center"/>
              <w:rPr>
                <w:rFonts w:ascii="仿宋_GB2312" w:hAnsi="仿宋_GB2312" w:eastAsia="仿宋_GB2312" w:cs="仿宋_GB2312"/>
                <w:caps w:val="0"/>
                <w:smallCaps w:val="0"/>
                <w:color w:val="auto"/>
                <w:spacing w:val="0"/>
                <w:sz w:val="32"/>
                <w:szCs w:val="32"/>
                <w:highlight w:val="none"/>
              </w:rPr>
            </w:pPr>
            <w:r>
              <w:rPr>
                <w:rFonts w:ascii="仿宋_GB2312" w:hAnsi="仿宋_GB2312" w:eastAsia="仿宋_GB2312" w:cs="仿宋_GB2312"/>
                <w:caps w:val="0"/>
                <w:smallCaps w:val="0"/>
                <w:color w:val="auto"/>
                <w:spacing w:val="0"/>
                <w:sz w:val="32"/>
                <w:szCs w:val="32"/>
                <w:highlight w:val="none"/>
              </w:rPr>
              <w:drawing>
                <wp:inline distT="0" distB="0" distL="0" distR="0">
                  <wp:extent cx="2270125" cy="1369060"/>
                  <wp:effectExtent l="0" t="0" r="3175" b="2540"/>
                  <wp:docPr id="1031" name="图片 13"/>
                  <wp:cNvGraphicFramePr/>
                  <a:graphic xmlns:a="http://schemas.openxmlformats.org/drawingml/2006/main">
                    <a:graphicData uri="http://schemas.openxmlformats.org/drawingml/2006/picture">
                      <pic:pic xmlns:pic="http://schemas.openxmlformats.org/drawingml/2006/picture">
                        <pic:nvPicPr>
                          <pic:cNvPr id="1031" name="图片 13"/>
                          <pic:cNvPicPr/>
                        </pic:nvPicPr>
                        <pic:blipFill>
                          <a:blip r:embed="rId15" cstate="print"/>
                          <a:srcRect/>
                          <a:stretch>
                            <a:fillRect/>
                          </a:stretch>
                        </pic:blipFill>
                        <pic:spPr>
                          <a:xfrm>
                            <a:off x="0" y="0"/>
                            <a:ext cx="2270125" cy="1369060"/>
                          </a:xfrm>
                          <a:prstGeom prst="rect">
                            <a:avLst/>
                          </a:prstGeom>
                          <a:ln>
                            <a:noFill/>
                          </a:ln>
                        </pic:spPr>
                      </pic:pic>
                    </a:graphicData>
                  </a:graphic>
                </wp:inline>
              </w:drawing>
            </w:r>
          </w:p>
        </w:tc>
        <w:tc>
          <w:tcPr>
            <w:tcW w:w="4350" w:type="dxa"/>
            <w:vAlign w:val="center"/>
          </w:tcPr>
          <w:p w14:paraId="2912D4D2">
            <w:pPr>
              <w:spacing w:line="240" w:lineRule="auto"/>
              <w:ind w:left="0" w:leftChars="0" w:firstLine="0" w:firstLineChars="0"/>
              <w:jc w:val="center"/>
              <w:rPr>
                <w:rFonts w:ascii="仿宋_GB2312" w:hAnsi="仿宋_GB2312" w:eastAsia="仿宋_GB2312" w:cs="仿宋_GB2312"/>
                <w:caps w:val="0"/>
                <w:smallCaps w:val="0"/>
                <w:color w:val="auto"/>
                <w:spacing w:val="0"/>
                <w:sz w:val="32"/>
                <w:szCs w:val="32"/>
                <w:highlight w:val="none"/>
              </w:rPr>
            </w:pPr>
            <w:r>
              <w:rPr>
                <w:rFonts w:ascii="仿宋_GB2312" w:hAnsi="仿宋_GB2312" w:eastAsia="仿宋_GB2312" w:cs="仿宋_GB2312"/>
                <w:caps w:val="0"/>
                <w:smallCaps w:val="0"/>
                <w:color w:val="auto"/>
                <w:spacing w:val="0"/>
                <w:sz w:val="32"/>
                <w:szCs w:val="32"/>
                <w:highlight w:val="none"/>
              </w:rPr>
              <w:drawing>
                <wp:inline distT="0" distB="0" distL="0" distR="0">
                  <wp:extent cx="2262505" cy="1367155"/>
                  <wp:effectExtent l="0" t="0" r="10795" b="4445"/>
                  <wp:docPr id="1032" name="图片 14"/>
                  <wp:cNvGraphicFramePr/>
                  <a:graphic xmlns:a="http://schemas.openxmlformats.org/drawingml/2006/main">
                    <a:graphicData uri="http://schemas.openxmlformats.org/drawingml/2006/picture">
                      <pic:pic xmlns:pic="http://schemas.openxmlformats.org/drawingml/2006/picture">
                        <pic:nvPicPr>
                          <pic:cNvPr id="1032" name="图片 14"/>
                          <pic:cNvPicPr/>
                        </pic:nvPicPr>
                        <pic:blipFill>
                          <a:blip r:embed="rId16" cstate="print"/>
                          <a:srcRect/>
                          <a:stretch>
                            <a:fillRect/>
                          </a:stretch>
                        </pic:blipFill>
                        <pic:spPr>
                          <a:xfrm>
                            <a:off x="0" y="0"/>
                            <a:ext cx="2262505" cy="1367155"/>
                          </a:xfrm>
                          <a:prstGeom prst="rect">
                            <a:avLst/>
                          </a:prstGeom>
                          <a:ln>
                            <a:noFill/>
                          </a:ln>
                        </pic:spPr>
                      </pic:pic>
                    </a:graphicData>
                  </a:graphic>
                </wp:inline>
              </w:drawing>
            </w:r>
          </w:p>
        </w:tc>
      </w:tr>
      <w:tr w14:paraId="0EB1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1" w:hRule="atLeast"/>
          <w:jc w:val="center"/>
        </w:trPr>
        <w:tc>
          <w:tcPr>
            <w:tcW w:w="4309" w:type="dxa"/>
            <w:vAlign w:val="center"/>
          </w:tcPr>
          <w:p w14:paraId="0425043E">
            <w:pPr>
              <w:spacing w:line="240" w:lineRule="auto"/>
              <w:ind w:left="0" w:leftChars="0" w:firstLine="0" w:firstLineChars="0"/>
              <w:jc w:val="center"/>
              <w:rPr>
                <w:rFonts w:ascii="仿宋_GB2312" w:hAnsi="仿宋_GB2312" w:eastAsia="仿宋_GB2312" w:cs="仿宋_GB2312"/>
                <w:caps w:val="0"/>
                <w:smallCaps w:val="0"/>
                <w:color w:val="auto"/>
                <w:spacing w:val="0"/>
                <w:sz w:val="32"/>
                <w:szCs w:val="32"/>
                <w:highlight w:val="none"/>
              </w:rPr>
            </w:pPr>
            <w:r>
              <w:rPr>
                <w:rFonts w:ascii="仿宋_GB2312" w:hAnsi="仿宋_GB2312" w:eastAsia="仿宋_GB2312" w:cs="仿宋_GB2312"/>
                <w:caps w:val="0"/>
                <w:smallCaps w:val="0"/>
                <w:color w:val="auto"/>
                <w:spacing w:val="0"/>
                <w:sz w:val="32"/>
                <w:szCs w:val="32"/>
                <w:highlight w:val="none"/>
              </w:rPr>
              <w:drawing>
                <wp:inline distT="0" distB="0" distL="0" distR="0">
                  <wp:extent cx="2296795" cy="1416685"/>
                  <wp:effectExtent l="0" t="0" r="1905" b="5715"/>
                  <wp:docPr id="1036" name="图片 18"/>
                  <wp:cNvGraphicFramePr/>
                  <a:graphic xmlns:a="http://schemas.openxmlformats.org/drawingml/2006/main">
                    <a:graphicData uri="http://schemas.openxmlformats.org/drawingml/2006/picture">
                      <pic:pic xmlns:pic="http://schemas.openxmlformats.org/drawingml/2006/picture">
                        <pic:nvPicPr>
                          <pic:cNvPr id="1036" name="图片 18"/>
                          <pic:cNvPicPr/>
                        </pic:nvPicPr>
                        <pic:blipFill>
                          <a:blip r:embed="rId17" cstate="print"/>
                          <a:srcRect/>
                          <a:stretch>
                            <a:fillRect/>
                          </a:stretch>
                        </pic:blipFill>
                        <pic:spPr>
                          <a:xfrm>
                            <a:off x="0" y="0"/>
                            <a:ext cx="2296795" cy="1416685"/>
                          </a:xfrm>
                          <a:prstGeom prst="rect">
                            <a:avLst/>
                          </a:prstGeom>
                          <a:ln>
                            <a:noFill/>
                          </a:ln>
                        </pic:spPr>
                      </pic:pic>
                    </a:graphicData>
                  </a:graphic>
                </wp:inline>
              </w:drawing>
            </w:r>
          </w:p>
        </w:tc>
        <w:tc>
          <w:tcPr>
            <w:tcW w:w="4350" w:type="dxa"/>
            <w:vAlign w:val="center"/>
          </w:tcPr>
          <w:p w14:paraId="6330161D">
            <w:pPr>
              <w:spacing w:line="240" w:lineRule="auto"/>
              <w:ind w:left="0" w:leftChars="0" w:firstLine="0" w:firstLineChars="0"/>
              <w:jc w:val="center"/>
              <w:rPr>
                <w:caps w:val="0"/>
                <w:smallCaps w:val="0"/>
                <w:color w:val="auto"/>
                <w:spacing w:val="0"/>
                <w:highlight w:val="none"/>
                <w:vertAlign w:val="baseline"/>
              </w:rPr>
            </w:pPr>
            <w:r>
              <w:rPr>
                <w:rFonts w:ascii="仿宋_GB2312" w:hAnsi="仿宋_GB2312" w:eastAsia="仿宋_GB2312" w:cs="仿宋_GB2312"/>
                <w:caps w:val="0"/>
                <w:smallCaps w:val="0"/>
                <w:color w:val="auto"/>
                <w:spacing w:val="0"/>
                <w:sz w:val="32"/>
                <w:szCs w:val="32"/>
                <w:highlight w:val="none"/>
              </w:rPr>
              <w:drawing>
                <wp:inline distT="0" distB="0" distL="0" distR="0">
                  <wp:extent cx="2315845" cy="1454785"/>
                  <wp:effectExtent l="0" t="0" r="8255" b="5715"/>
                  <wp:docPr id="1038" name="图片 20"/>
                  <wp:cNvGraphicFramePr/>
                  <a:graphic xmlns:a="http://schemas.openxmlformats.org/drawingml/2006/main">
                    <a:graphicData uri="http://schemas.openxmlformats.org/drawingml/2006/picture">
                      <pic:pic xmlns:pic="http://schemas.openxmlformats.org/drawingml/2006/picture">
                        <pic:nvPicPr>
                          <pic:cNvPr id="1038" name="图片 20"/>
                          <pic:cNvPicPr/>
                        </pic:nvPicPr>
                        <pic:blipFill>
                          <a:blip r:embed="rId18" cstate="print"/>
                          <a:srcRect/>
                          <a:stretch>
                            <a:fillRect/>
                          </a:stretch>
                        </pic:blipFill>
                        <pic:spPr>
                          <a:xfrm>
                            <a:off x="0" y="0"/>
                            <a:ext cx="2315845" cy="1454785"/>
                          </a:xfrm>
                          <a:prstGeom prst="rect">
                            <a:avLst/>
                          </a:prstGeom>
                          <a:ln>
                            <a:noFill/>
                          </a:ln>
                        </pic:spPr>
                      </pic:pic>
                    </a:graphicData>
                  </a:graphic>
                </wp:inline>
              </w:drawing>
            </w:r>
          </w:p>
        </w:tc>
      </w:tr>
      <w:tr w14:paraId="76FA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6" w:hRule="atLeast"/>
          <w:jc w:val="center"/>
        </w:trPr>
        <w:tc>
          <w:tcPr>
            <w:tcW w:w="4309" w:type="dxa"/>
            <w:vAlign w:val="center"/>
          </w:tcPr>
          <w:p w14:paraId="55D80BDE">
            <w:pPr>
              <w:spacing w:line="240" w:lineRule="auto"/>
              <w:ind w:left="0" w:leftChars="0" w:firstLine="0" w:firstLineChars="0"/>
              <w:jc w:val="center"/>
              <w:rPr>
                <w:caps w:val="0"/>
                <w:smallCaps w:val="0"/>
                <w:color w:val="auto"/>
                <w:spacing w:val="0"/>
                <w:highlight w:val="none"/>
                <w:vertAlign w:val="baseline"/>
              </w:rPr>
            </w:pPr>
            <w:r>
              <w:rPr>
                <w:rFonts w:hint="eastAsia" w:ascii="仿宋_GB2312" w:hAnsi="仿宋_GB2312" w:eastAsia="仿宋_GB2312" w:cs="仿宋_GB2312"/>
                <w:caps w:val="0"/>
                <w:smallCaps w:val="0"/>
                <w:color w:val="auto"/>
                <w:spacing w:val="0"/>
                <w:sz w:val="32"/>
                <w:szCs w:val="32"/>
                <w:highlight w:val="none"/>
              </w:rPr>
              <w:drawing>
                <wp:inline distT="0" distB="0" distL="0" distR="0">
                  <wp:extent cx="2345055" cy="1532255"/>
                  <wp:effectExtent l="0" t="0" r="4445" b="4445"/>
                  <wp:docPr id="1042" name="图片 5" descr="2bc3c5c27e4e41ce6a0f944046e8dca"/>
                  <wp:cNvGraphicFramePr/>
                  <a:graphic xmlns:a="http://schemas.openxmlformats.org/drawingml/2006/main">
                    <a:graphicData uri="http://schemas.openxmlformats.org/drawingml/2006/picture">
                      <pic:pic xmlns:pic="http://schemas.openxmlformats.org/drawingml/2006/picture">
                        <pic:nvPicPr>
                          <pic:cNvPr id="1042" name="图片 5" descr="2bc3c5c27e4e41ce6a0f944046e8dca"/>
                          <pic:cNvPicPr/>
                        </pic:nvPicPr>
                        <pic:blipFill>
                          <a:blip r:embed="rId19" cstate="print"/>
                          <a:srcRect/>
                          <a:stretch>
                            <a:fillRect/>
                          </a:stretch>
                        </pic:blipFill>
                        <pic:spPr>
                          <a:xfrm>
                            <a:off x="0" y="0"/>
                            <a:ext cx="2345055" cy="1532255"/>
                          </a:xfrm>
                          <a:prstGeom prst="rect">
                            <a:avLst/>
                          </a:prstGeom>
                        </pic:spPr>
                      </pic:pic>
                    </a:graphicData>
                  </a:graphic>
                </wp:inline>
              </w:drawing>
            </w:r>
          </w:p>
        </w:tc>
        <w:tc>
          <w:tcPr>
            <w:tcW w:w="4350" w:type="dxa"/>
            <w:vAlign w:val="center"/>
          </w:tcPr>
          <w:p w14:paraId="73EBEE9B">
            <w:pPr>
              <w:spacing w:line="240" w:lineRule="auto"/>
              <w:ind w:left="0" w:leftChars="0" w:firstLine="0" w:firstLineChars="0"/>
              <w:jc w:val="center"/>
              <w:rPr>
                <w:caps w:val="0"/>
                <w:smallCaps w:val="0"/>
                <w:color w:val="auto"/>
                <w:spacing w:val="0"/>
                <w:highlight w:val="none"/>
                <w:vertAlign w:val="baseline"/>
              </w:rPr>
            </w:pPr>
            <w:r>
              <w:rPr>
                <w:rFonts w:ascii="仿宋_GB2312" w:hAnsi="仿宋_GB2312" w:eastAsia="仿宋_GB2312" w:cs="仿宋_GB2312"/>
                <w:caps w:val="0"/>
                <w:smallCaps w:val="0"/>
                <w:color w:val="auto"/>
                <w:spacing w:val="0"/>
                <w:sz w:val="32"/>
                <w:szCs w:val="32"/>
                <w:highlight w:val="none"/>
              </w:rPr>
              <w:drawing>
                <wp:inline distT="0" distB="0" distL="0" distR="0">
                  <wp:extent cx="2366010" cy="1511300"/>
                  <wp:effectExtent l="0" t="0" r="8890" b="0"/>
                  <wp:docPr id="1051" name="图片 32"/>
                  <wp:cNvGraphicFramePr/>
                  <a:graphic xmlns:a="http://schemas.openxmlformats.org/drawingml/2006/main">
                    <a:graphicData uri="http://schemas.openxmlformats.org/drawingml/2006/picture">
                      <pic:pic xmlns:pic="http://schemas.openxmlformats.org/drawingml/2006/picture">
                        <pic:nvPicPr>
                          <pic:cNvPr id="1051" name="图片 32"/>
                          <pic:cNvPicPr/>
                        </pic:nvPicPr>
                        <pic:blipFill>
                          <a:blip r:embed="rId20" cstate="print"/>
                          <a:srcRect/>
                          <a:stretch>
                            <a:fillRect/>
                          </a:stretch>
                        </pic:blipFill>
                        <pic:spPr>
                          <a:xfrm>
                            <a:off x="0" y="0"/>
                            <a:ext cx="2366010" cy="1511300"/>
                          </a:xfrm>
                          <a:prstGeom prst="rect">
                            <a:avLst/>
                          </a:prstGeom>
                          <a:ln>
                            <a:noFill/>
                          </a:ln>
                        </pic:spPr>
                      </pic:pic>
                    </a:graphicData>
                  </a:graphic>
                </wp:inline>
              </w:drawing>
            </w:r>
          </w:p>
        </w:tc>
      </w:tr>
    </w:tbl>
    <w:p w14:paraId="391E817C">
      <w:pPr>
        <w:pStyle w:val="40"/>
        <w:bidi w:val="0"/>
        <w:ind w:left="0" w:leftChars="0" w:firstLine="0" w:firstLineChars="0"/>
        <w:jc w:val="center"/>
        <w:rPr>
          <w:rFonts w:hint="default"/>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部分建筑垃圾堆放点照片</w:t>
      </w:r>
    </w:p>
    <w:p w14:paraId="69772561">
      <w:pPr>
        <w:pStyle w:val="40"/>
        <w:numPr>
          <w:ilvl w:val="0"/>
          <w:numId w:val="0"/>
        </w:numPr>
        <w:bidi w:val="0"/>
        <w:ind w:left="402" w:leftChars="0"/>
        <w:rPr>
          <w:rFonts w:hint="eastAsia" w:ascii="仿宋_GB2312" w:hAnsi="仿宋_GB2312" w:eastAsia="仿宋_GB2312" w:cs="仿宋_GB2312"/>
          <w:caps w:val="0"/>
          <w:smallCaps w:val="0"/>
          <w:color w:val="auto"/>
          <w:spacing w:val="0"/>
          <w:lang w:val="en-US" w:eastAsia="zh-CN"/>
        </w:rPr>
      </w:pPr>
      <w:bookmarkStart w:id="49" w:name="_Toc1895"/>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caps w:val="0"/>
          <w:smallCaps w:val="0"/>
          <w:color w:val="auto"/>
          <w:spacing w:val="0"/>
          <w:lang w:val="en-US" w:eastAsia="zh-CN"/>
        </w:rPr>
        <w:t>近期建筑垃圾产生量</w:t>
      </w:r>
      <w:bookmarkEnd w:id="48"/>
      <w:bookmarkEnd w:id="49"/>
    </w:p>
    <w:p w14:paraId="50DFD8D8">
      <w:pPr>
        <w:pStyle w:val="40"/>
        <w:bidi w:val="0"/>
        <w:rPr>
          <w:rFonts w:hint="eastAsia" w:ascii="仿宋_GB2312" w:hAnsi="仿宋_GB2312" w:eastAsia="仿宋_GB2312" w:cs="仿宋_GB2312"/>
          <w:caps w:val="0"/>
          <w:smallCaps w:val="0"/>
          <w:color w:val="auto"/>
          <w:spacing w:val="0"/>
        </w:rPr>
      </w:pPr>
      <w:r>
        <w:rPr>
          <w:rFonts w:hint="eastAsia" w:ascii="仿宋_GB2312" w:hAnsi="仿宋_GB2312" w:eastAsia="仿宋_GB2312" w:cs="仿宋_GB2312"/>
          <w:caps w:val="0"/>
          <w:smallCaps w:val="0"/>
          <w:color w:val="auto"/>
          <w:spacing w:val="0"/>
          <w:lang w:val="en-US" w:eastAsia="zh-CN"/>
        </w:rPr>
        <w:t>由于全力防控新冠疫情的原因，集贤县在2020年停止了城市建设活动，当年未统计建筑垃圾量。自2021年开始，集贤逐步恢复城市建设活动，建筑垃圾量产生逐年上升。集贤县2</w:t>
      </w:r>
      <w:r>
        <w:rPr>
          <w:rFonts w:hint="eastAsia" w:ascii="仿宋_GB2312" w:hAnsi="仿宋_GB2312" w:eastAsia="仿宋_GB2312" w:cs="仿宋_GB2312"/>
          <w:caps w:val="0"/>
          <w:smallCaps w:val="0"/>
          <w:color w:val="auto"/>
          <w:spacing w:val="0"/>
        </w:rPr>
        <w:t>021</w:t>
      </w:r>
      <w:r>
        <w:rPr>
          <w:rFonts w:hint="eastAsia" w:ascii="仿宋_GB2312" w:hAnsi="仿宋_GB2312" w:eastAsia="仿宋_GB2312" w:cs="仿宋_GB2312"/>
          <w:caps w:val="0"/>
          <w:smallCaps w:val="0"/>
          <w:color w:val="auto"/>
          <w:spacing w:val="0"/>
          <w:lang w:eastAsia="zh-CN"/>
        </w:rPr>
        <w:t>—</w:t>
      </w:r>
      <w:r>
        <w:rPr>
          <w:rFonts w:hint="eastAsia" w:ascii="仿宋_GB2312" w:hAnsi="仿宋_GB2312" w:eastAsia="仿宋_GB2312" w:cs="仿宋_GB2312"/>
          <w:caps w:val="0"/>
          <w:smallCaps w:val="0"/>
          <w:color w:val="auto"/>
          <w:spacing w:val="0"/>
        </w:rPr>
        <w:t>2023年建筑垃圾产生量分别为</w:t>
      </w:r>
      <w:r>
        <w:rPr>
          <w:rFonts w:hint="eastAsia" w:ascii="仿宋_GB2312" w:hAnsi="仿宋_GB2312" w:eastAsia="仿宋_GB2312" w:cs="仿宋_GB2312"/>
          <w:caps w:val="0"/>
          <w:smallCaps w:val="0"/>
          <w:color w:val="auto"/>
          <w:spacing w:val="0"/>
          <w:lang w:val="en-US" w:eastAsia="zh-CN"/>
        </w:rPr>
        <w:t>970m³</w:t>
      </w:r>
      <w:r>
        <w:rPr>
          <w:rFonts w:hint="eastAsia" w:ascii="仿宋_GB2312" w:hAnsi="仿宋_GB2312" w:eastAsia="仿宋_GB2312" w:cs="仿宋_GB2312"/>
          <w:caps w:val="0"/>
          <w:smallCaps w:val="0"/>
          <w:color w:val="auto"/>
          <w:spacing w:val="0"/>
        </w:rPr>
        <w:t>、</w:t>
      </w:r>
      <w:r>
        <w:rPr>
          <w:rFonts w:hint="eastAsia" w:ascii="仿宋_GB2312" w:hAnsi="仿宋_GB2312" w:eastAsia="仿宋_GB2312" w:cs="仿宋_GB2312"/>
          <w:caps w:val="0"/>
          <w:smallCaps w:val="0"/>
          <w:color w:val="auto"/>
          <w:spacing w:val="0"/>
          <w:lang w:val="en-US" w:eastAsia="zh-CN"/>
        </w:rPr>
        <w:t>8010m³</w:t>
      </w:r>
      <w:r>
        <w:rPr>
          <w:rFonts w:hint="eastAsia" w:ascii="仿宋_GB2312" w:hAnsi="仿宋_GB2312" w:eastAsia="仿宋_GB2312" w:cs="仿宋_GB2312"/>
          <w:caps w:val="0"/>
          <w:smallCaps w:val="0"/>
          <w:color w:val="auto"/>
          <w:spacing w:val="0"/>
        </w:rPr>
        <w:t>、</w:t>
      </w:r>
      <w:r>
        <w:rPr>
          <w:rFonts w:hint="eastAsia" w:ascii="仿宋_GB2312" w:hAnsi="仿宋_GB2312" w:eastAsia="仿宋_GB2312" w:cs="仿宋_GB2312"/>
          <w:caps w:val="0"/>
          <w:smallCaps w:val="0"/>
          <w:color w:val="auto"/>
          <w:spacing w:val="0"/>
          <w:lang w:val="en-US" w:eastAsia="zh-CN"/>
        </w:rPr>
        <w:t>15285m³</w:t>
      </w:r>
      <w:r>
        <w:rPr>
          <w:rFonts w:hint="eastAsia" w:ascii="仿宋_GB2312" w:hAnsi="仿宋_GB2312" w:eastAsia="仿宋_GB2312" w:cs="仿宋_GB2312"/>
          <w:caps w:val="0"/>
          <w:smallCaps w:val="0"/>
          <w:color w:val="auto"/>
          <w:spacing w:val="0"/>
          <w:lang w:eastAsia="zh-CN"/>
        </w:rPr>
        <w:t>。</w:t>
      </w:r>
      <w:r>
        <w:rPr>
          <w:rFonts w:hint="eastAsia" w:ascii="仿宋_GB2312" w:hAnsi="仿宋_GB2312" w:eastAsia="仿宋_GB2312" w:cs="仿宋_GB2312"/>
          <w:caps w:val="0"/>
          <w:smallCaps w:val="0"/>
          <w:color w:val="auto"/>
          <w:spacing w:val="0"/>
          <w:lang w:val="en-US" w:eastAsia="zh-CN"/>
        </w:rPr>
        <w:t>建筑垃圾的成分</w:t>
      </w:r>
      <w:r>
        <w:rPr>
          <w:rFonts w:hint="eastAsia" w:ascii="仿宋_GB2312" w:hAnsi="仿宋_GB2312" w:eastAsia="仿宋_GB2312" w:cs="仿宋_GB2312"/>
          <w:caps w:val="0"/>
          <w:smallCaps w:val="0"/>
          <w:color w:val="auto"/>
          <w:spacing w:val="0"/>
        </w:rPr>
        <w:t>以工程渣土</w:t>
      </w:r>
      <w:r>
        <w:rPr>
          <w:rFonts w:hint="eastAsia" w:ascii="仿宋_GB2312" w:hAnsi="仿宋_GB2312" w:eastAsia="仿宋_GB2312" w:cs="仿宋_GB2312"/>
          <w:caps w:val="0"/>
          <w:smallCaps w:val="0"/>
          <w:color w:val="auto"/>
          <w:spacing w:val="0"/>
          <w:lang w:eastAsia="zh-CN"/>
        </w:rPr>
        <w:t>、</w:t>
      </w:r>
      <w:r>
        <w:rPr>
          <w:rFonts w:hint="eastAsia" w:ascii="仿宋_GB2312" w:hAnsi="仿宋_GB2312" w:eastAsia="仿宋_GB2312" w:cs="仿宋_GB2312"/>
          <w:caps w:val="0"/>
          <w:smallCaps w:val="0"/>
          <w:color w:val="auto"/>
          <w:spacing w:val="0"/>
          <w:lang w:val="en-US" w:eastAsia="zh-CN"/>
        </w:rPr>
        <w:t>工程垃圾</w:t>
      </w:r>
      <w:r>
        <w:rPr>
          <w:rFonts w:hint="eastAsia" w:ascii="仿宋_GB2312" w:hAnsi="仿宋_GB2312" w:eastAsia="仿宋_GB2312" w:cs="仿宋_GB2312"/>
          <w:caps w:val="0"/>
          <w:smallCaps w:val="0"/>
          <w:color w:val="auto"/>
          <w:spacing w:val="0"/>
        </w:rPr>
        <w:t>为主。</w:t>
      </w:r>
    </w:p>
    <w:p w14:paraId="6F85A36C">
      <w:pPr>
        <w:pStyle w:val="40"/>
        <w:numPr>
          <w:ilvl w:val="0"/>
          <w:numId w:val="0"/>
        </w:numPr>
        <w:bidi w:val="0"/>
        <w:ind w:left="402" w:leftChars="0"/>
        <w:rPr>
          <w:rFonts w:hint="eastAsia" w:ascii="仿宋_GB2312" w:hAnsi="仿宋_GB2312" w:eastAsia="仿宋_GB2312" w:cs="仿宋_GB2312"/>
          <w:caps w:val="0"/>
          <w:smallCaps w:val="0"/>
          <w:color w:val="auto"/>
          <w:spacing w:val="0"/>
          <w:lang w:val="en-US" w:eastAsia="zh-CN"/>
        </w:rPr>
      </w:pPr>
      <w:bookmarkStart w:id="50" w:name="_Toc20271"/>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caps w:val="0"/>
          <w:smallCaps w:val="0"/>
          <w:color w:val="auto"/>
          <w:spacing w:val="0"/>
          <w:lang w:val="en-US" w:eastAsia="zh-CN"/>
        </w:rPr>
        <w:t>现状建筑垃圾的利用</w:t>
      </w:r>
      <w:bookmarkEnd w:id="50"/>
    </w:p>
    <w:p w14:paraId="07362FA4">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目前，集贤县的建筑垃圾利用方式主要为场地堆填和矿山修复。已经累计用于矿山修复的</w:t>
      </w:r>
      <w:r>
        <w:rPr>
          <w:rFonts w:hint="eastAsia" w:ascii="仿宋_GB2312" w:hAnsi="仿宋_GB2312" w:eastAsia="仿宋_GB2312" w:cs="仿宋_GB2312"/>
          <w:caps w:val="0"/>
          <w:smallCaps w:val="0"/>
          <w:color w:val="auto"/>
          <w:spacing w:val="0"/>
        </w:rPr>
        <w:t>工程渣土</w:t>
      </w:r>
      <w:r>
        <w:rPr>
          <w:rFonts w:hint="eastAsia" w:ascii="仿宋_GB2312" w:hAnsi="仿宋_GB2312" w:eastAsia="仿宋_GB2312" w:cs="仿宋_GB2312"/>
          <w:caps w:val="0"/>
          <w:smallCaps w:val="0"/>
          <w:color w:val="auto"/>
          <w:spacing w:val="0"/>
          <w:lang w:val="en-US" w:eastAsia="zh-CN"/>
        </w:rPr>
        <w:t>达3.61万m³。</w:t>
      </w:r>
    </w:p>
    <w:p w14:paraId="38D8C023">
      <w:pPr>
        <w:pStyle w:val="40"/>
        <w:bidi w:val="0"/>
        <w:ind w:left="0" w:leftChars="0" w:firstLine="0" w:firstLineChars="0"/>
        <w:jc w:val="center"/>
        <w:rPr>
          <w:rFonts w:hint="default"/>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现有建筑垃圾分类利用情况表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2"/>
        <w:gridCol w:w="7009"/>
      </w:tblGrid>
      <w:tr w14:paraId="0CB7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noWrap w:val="0"/>
            <w:vAlign w:val="top"/>
          </w:tcPr>
          <w:p w14:paraId="0DA5F6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类型</w:t>
            </w:r>
          </w:p>
        </w:tc>
        <w:tc>
          <w:tcPr>
            <w:tcW w:w="7009" w:type="dxa"/>
            <w:noWrap w:val="0"/>
            <w:vAlign w:val="top"/>
          </w:tcPr>
          <w:p w14:paraId="3519F7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利用情况</w:t>
            </w:r>
          </w:p>
        </w:tc>
      </w:tr>
      <w:tr w14:paraId="50910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noWrap w:val="0"/>
            <w:vAlign w:val="top"/>
          </w:tcPr>
          <w:p w14:paraId="342800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工程渣土</w:t>
            </w:r>
          </w:p>
        </w:tc>
        <w:tc>
          <w:tcPr>
            <w:tcW w:w="7009" w:type="dxa"/>
            <w:noWrap w:val="0"/>
            <w:vAlign w:val="top"/>
          </w:tcPr>
          <w:p w14:paraId="7563E6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绝大部分在现场通过土方平衡等方式回用，其余少量在区外堆填。</w:t>
            </w:r>
          </w:p>
        </w:tc>
      </w:tr>
      <w:tr w14:paraId="159E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noWrap w:val="0"/>
            <w:vAlign w:val="top"/>
          </w:tcPr>
          <w:p w14:paraId="08E8A9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工程泥浆</w:t>
            </w:r>
          </w:p>
        </w:tc>
        <w:tc>
          <w:tcPr>
            <w:tcW w:w="7009" w:type="dxa"/>
            <w:noWrap w:val="0"/>
            <w:vAlign w:val="top"/>
          </w:tcPr>
          <w:p w14:paraId="201FB3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大部分脱水后现场回用。</w:t>
            </w:r>
          </w:p>
        </w:tc>
      </w:tr>
      <w:tr w14:paraId="0A1A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noWrap w:val="0"/>
            <w:vAlign w:val="top"/>
          </w:tcPr>
          <w:p w14:paraId="0D4E27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工程垃圾</w:t>
            </w:r>
          </w:p>
        </w:tc>
        <w:tc>
          <w:tcPr>
            <w:tcW w:w="7009" w:type="dxa"/>
            <w:noWrap w:val="0"/>
            <w:vAlign w:val="top"/>
          </w:tcPr>
          <w:p w14:paraId="45533D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基本上经过简单分类后进行堆填回用。</w:t>
            </w:r>
          </w:p>
        </w:tc>
      </w:tr>
      <w:tr w14:paraId="09D2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noWrap w:val="0"/>
            <w:vAlign w:val="top"/>
          </w:tcPr>
          <w:p w14:paraId="52643B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拆除垃圾</w:t>
            </w:r>
          </w:p>
        </w:tc>
        <w:tc>
          <w:tcPr>
            <w:tcW w:w="7009" w:type="dxa"/>
            <w:noWrap w:val="0"/>
            <w:vAlign w:val="top"/>
          </w:tcPr>
          <w:p w14:paraId="444A57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少量在外露天堆存。</w:t>
            </w:r>
          </w:p>
        </w:tc>
      </w:tr>
      <w:tr w14:paraId="014D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noWrap w:val="0"/>
            <w:vAlign w:val="top"/>
          </w:tcPr>
          <w:p w14:paraId="0C1340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装修垃圾</w:t>
            </w:r>
          </w:p>
        </w:tc>
        <w:tc>
          <w:tcPr>
            <w:tcW w:w="7009" w:type="dxa"/>
            <w:noWrap w:val="0"/>
            <w:vAlign w:val="top"/>
          </w:tcPr>
          <w:p w14:paraId="6D1D22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收集后在城市周边进行简易堆放。</w:t>
            </w:r>
          </w:p>
        </w:tc>
      </w:tr>
    </w:tbl>
    <w:p w14:paraId="4C6854F1">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现状集贤县绝大部分建筑垃圾已现场回用，所剩余的建筑垃圾以装修垃圾为主，掺杂少量拆除垃圾，这部分拆除垃圾与装修垃圾成分基本类似。工程垃圾与拆除垃圾在回用时由于缺少转运调配设施，故此部分垃圾目前以直运为主，有少量可堆填回用的建筑垃圾仍存在临时非正规暂存问题。</w:t>
      </w:r>
    </w:p>
    <w:p w14:paraId="1318FB4B">
      <w:pPr>
        <w:pStyle w:val="40"/>
        <w:numPr>
          <w:ilvl w:val="0"/>
          <w:numId w:val="0"/>
        </w:numPr>
        <w:bidi w:val="0"/>
        <w:ind w:left="402" w:leftChars="0"/>
        <w:rPr>
          <w:rFonts w:hint="eastAsia" w:ascii="仿宋_GB2312" w:hAnsi="仿宋_GB2312" w:eastAsia="仿宋_GB2312" w:cs="仿宋_GB2312"/>
          <w:caps w:val="0"/>
          <w:smallCaps w:val="0"/>
          <w:color w:val="auto"/>
          <w:spacing w:val="0"/>
          <w:lang w:val="en-US" w:eastAsia="zh-CN"/>
        </w:rPr>
      </w:pPr>
      <w:bookmarkStart w:id="51" w:name="_Toc30097"/>
      <w:bookmarkStart w:id="52" w:name="_Toc26412"/>
      <w:r>
        <w:rPr>
          <w:rFonts w:hint="default" w:ascii="仿宋_GB2312" w:hAnsi="仿宋_GB2312" w:eastAsia="仿宋_GB2312" w:cs="仿宋_GB2312"/>
          <w:b w:val="0"/>
          <w:bCs w:val="0"/>
          <w:caps w:val="0"/>
          <w:smallCaps w:val="0"/>
          <w:color w:val="auto"/>
          <w:spacing w:val="0"/>
          <w:lang w:eastAsia="zh-CN"/>
        </w:rPr>
        <w:t>（4）</w:t>
      </w:r>
      <w:r>
        <w:rPr>
          <w:rFonts w:hint="eastAsia" w:ascii="仿宋_GB2312" w:hAnsi="仿宋_GB2312" w:eastAsia="仿宋_GB2312" w:cs="仿宋_GB2312"/>
          <w:caps w:val="0"/>
          <w:smallCaps w:val="0"/>
          <w:color w:val="auto"/>
          <w:spacing w:val="0"/>
          <w:lang w:val="en-US" w:eastAsia="zh-CN"/>
        </w:rPr>
        <w:t>现状建筑垃圾收运</w:t>
      </w:r>
      <w:bookmarkEnd w:id="51"/>
      <w:bookmarkEnd w:id="52"/>
      <w:r>
        <w:rPr>
          <w:rFonts w:hint="eastAsia" w:ascii="仿宋_GB2312" w:hAnsi="仿宋_GB2312" w:eastAsia="仿宋_GB2312" w:cs="仿宋_GB2312"/>
          <w:caps w:val="0"/>
          <w:smallCaps w:val="0"/>
          <w:color w:val="auto"/>
          <w:spacing w:val="0"/>
          <w:lang w:val="en-US" w:eastAsia="zh-CN"/>
        </w:rPr>
        <w:t>概况</w:t>
      </w:r>
    </w:p>
    <w:p w14:paraId="28FC2F58">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caps w:val="0"/>
          <w:smallCaps w:val="0"/>
          <w:color w:val="auto"/>
          <w:spacing w:val="0"/>
          <w:lang w:eastAsia="zh-CN"/>
        </w:rPr>
        <w:t>集贤县</w:t>
      </w:r>
      <w:r>
        <w:rPr>
          <w:rFonts w:hint="eastAsia" w:ascii="仿宋_GB2312" w:hAnsi="仿宋_GB2312" w:eastAsia="仿宋_GB2312" w:cs="仿宋_GB2312"/>
          <w:caps w:val="0"/>
          <w:smallCaps w:val="0"/>
          <w:color w:val="auto"/>
          <w:spacing w:val="0"/>
        </w:rPr>
        <w:t>建筑垃圾收运体系目前仍不完善，装修垃圾、工程渣土、工程</w:t>
      </w:r>
      <w:r>
        <w:rPr>
          <w:rFonts w:hint="eastAsia" w:ascii="仿宋_GB2312" w:hAnsi="仿宋_GB2312" w:eastAsia="仿宋_GB2312" w:cs="仿宋_GB2312"/>
          <w:b w:val="0"/>
          <w:bCs w:val="0"/>
          <w:caps w:val="0"/>
          <w:smallCaps w:val="0"/>
          <w:color w:val="auto"/>
          <w:spacing w:val="0"/>
        </w:rPr>
        <w:t>垃圾和拆除废料以市场平衡的方式，由施工单位自行就地消纳或者委托经批准的运输单位运输到堆填场所进行堆填。</w:t>
      </w:r>
    </w:p>
    <w:p w14:paraId="1B8897C8">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kern w:val="44"/>
          <w:sz w:val="32"/>
          <w:szCs w:val="28"/>
          <w:lang w:val="en-US" w:eastAsia="zh-CN" w:bidi="ar-SA"/>
        </w:rPr>
      </w:pPr>
      <w:bookmarkStart w:id="53" w:name="_Toc20456"/>
      <w:bookmarkStart w:id="54" w:name="_Toc9191"/>
      <w:r>
        <w:rPr>
          <w:rFonts w:hint="eastAsia" w:ascii="楷体_GB2312" w:hAnsi="楷体_GB2312" w:eastAsia="楷体_GB2312" w:cs="楷体_GB2312"/>
          <w:b w:val="0"/>
          <w:bCs w:val="0"/>
          <w:caps w:val="0"/>
          <w:smallCaps w:val="0"/>
          <w:color w:val="auto"/>
          <w:spacing w:val="0"/>
          <w:kern w:val="44"/>
          <w:sz w:val="32"/>
          <w:szCs w:val="28"/>
          <w:lang w:val="en-US" w:eastAsia="zh-CN" w:bidi="ar-SA"/>
        </w:rPr>
        <w:t>2．建筑垃圾存在问题分析</w:t>
      </w:r>
      <w:bookmarkEnd w:id="53"/>
      <w:bookmarkEnd w:id="54"/>
    </w:p>
    <w:p w14:paraId="772F5D0F">
      <w:pPr>
        <w:pStyle w:val="40"/>
        <w:keepNext w:val="0"/>
        <w:keepLines w:val="0"/>
        <w:pageBreakBefore w:val="0"/>
        <w:widowControl w:val="0"/>
        <w:numPr>
          <w:ilvl w:val="0"/>
          <w:numId w:val="0"/>
        </w:numPr>
        <w:kinsoku/>
        <w:wordWrap/>
        <w:overflowPunct/>
        <w:topLinePunct w:val="0"/>
        <w:autoSpaceDE/>
        <w:autoSpaceDN/>
        <w:bidi w:val="0"/>
        <w:adjustRightInd/>
        <w:snapToGrid/>
        <w:spacing w:line="576" w:lineRule="exact"/>
        <w:ind w:left="402" w:leftChars="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源头分类体系不完善，管理不到位</w:t>
      </w:r>
    </w:p>
    <w:p w14:paraId="02ACD3AB">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目前</w:t>
      </w:r>
      <w:r>
        <w:rPr>
          <w:rFonts w:hint="eastAsia" w:ascii="仿宋_GB2312" w:hAnsi="仿宋_GB2312" w:eastAsia="仿宋_GB2312" w:cs="仿宋_GB2312"/>
          <w:b w:val="0"/>
          <w:bCs w:val="0"/>
          <w:caps w:val="0"/>
          <w:smallCaps w:val="0"/>
          <w:color w:val="auto"/>
          <w:spacing w:val="0"/>
          <w:lang w:eastAsia="zh-CN"/>
        </w:rPr>
        <w:t>集贤县</w:t>
      </w:r>
      <w:r>
        <w:rPr>
          <w:rFonts w:hint="eastAsia" w:ascii="仿宋_GB2312" w:hAnsi="仿宋_GB2312" w:eastAsia="仿宋_GB2312" w:cs="仿宋_GB2312"/>
          <w:b w:val="0"/>
          <w:bCs w:val="0"/>
          <w:caps w:val="0"/>
          <w:smallCaps w:val="0"/>
          <w:color w:val="auto"/>
          <w:spacing w:val="0"/>
        </w:rPr>
        <w:t>建筑垃圾分类处理还未形成完整的体系，混合收集的现象依然大量存在，这样不仅使可直接重新利用的物料被浪费，而且增加了运输和处理量，同时使无害化处理复杂化。同时部分建筑单位对项目产生的建筑垃圾存在少报或不报，偷排建筑垃圾等情况。</w:t>
      </w:r>
    </w:p>
    <w:p w14:paraId="4F3D281E">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处理方式单一，需要建设消纳设施</w:t>
      </w:r>
    </w:p>
    <w:p w14:paraId="52C47DD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rPr>
        <w:t>按照《黑龙江省城乡固体 废物分类治理布局规划（2019</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2035年）》中要求，集贤县城与双鸭山市中心区较近， 统筹至双鸭山市垃圾焚烧发电厂</w:t>
      </w:r>
      <w:r>
        <w:rPr>
          <w:rFonts w:hint="eastAsia" w:ascii="仿宋_GB2312" w:hAnsi="仿宋_GB2312" w:eastAsia="仿宋_GB2312" w:cs="仿宋_GB2312"/>
          <w:b w:val="0"/>
          <w:bCs w:val="0"/>
          <w:caps w:val="0"/>
          <w:smallCaps w:val="0"/>
          <w:color w:val="auto"/>
          <w:spacing w:val="0"/>
          <w:lang w:val="en-US" w:eastAsia="zh-CN"/>
        </w:rPr>
        <w:t>来处理生活垃圾</w:t>
      </w:r>
      <w:r>
        <w:rPr>
          <w:rFonts w:hint="eastAsia" w:ascii="仿宋_GB2312" w:hAnsi="仿宋_GB2312" w:eastAsia="仿宋_GB2312" w:cs="仿宋_GB2312"/>
          <w:b w:val="0"/>
          <w:bCs w:val="0"/>
          <w:caps w:val="0"/>
          <w:smallCaps w:val="0"/>
          <w:color w:val="auto"/>
          <w:spacing w:val="0"/>
        </w:rPr>
        <w:t>。</w:t>
      </w:r>
      <w:r>
        <w:rPr>
          <w:rFonts w:hint="eastAsia" w:ascii="仿宋_GB2312" w:hAnsi="仿宋_GB2312" w:eastAsia="仿宋_GB2312" w:cs="仿宋_GB2312"/>
          <w:b w:val="0"/>
          <w:bCs w:val="0"/>
          <w:caps w:val="0"/>
          <w:smallCaps w:val="0"/>
          <w:color w:val="auto"/>
          <w:spacing w:val="0"/>
          <w:lang w:val="en-US" w:eastAsia="zh-CN"/>
        </w:rPr>
        <w:t>但</w:t>
      </w:r>
      <w:r>
        <w:rPr>
          <w:rFonts w:hint="eastAsia" w:ascii="仿宋_GB2312" w:hAnsi="仿宋_GB2312" w:eastAsia="仿宋_GB2312" w:cs="仿宋_GB2312"/>
          <w:b w:val="0"/>
          <w:bCs w:val="0"/>
          <w:caps w:val="0"/>
          <w:smallCaps w:val="0"/>
          <w:color w:val="auto"/>
          <w:spacing w:val="0"/>
          <w:lang w:eastAsia="zh-CN"/>
        </w:rPr>
        <w:t>集贤县</w:t>
      </w:r>
      <w:r>
        <w:rPr>
          <w:rFonts w:hint="eastAsia" w:ascii="仿宋_GB2312" w:hAnsi="仿宋_GB2312" w:eastAsia="仿宋_GB2312" w:cs="仿宋_GB2312"/>
          <w:b w:val="0"/>
          <w:bCs w:val="0"/>
          <w:caps w:val="0"/>
          <w:smallCaps w:val="0"/>
          <w:color w:val="auto"/>
          <w:spacing w:val="0"/>
        </w:rPr>
        <w:t>无</w:t>
      </w:r>
      <w:r>
        <w:rPr>
          <w:rFonts w:hint="eastAsia" w:ascii="仿宋_GB2312" w:hAnsi="仿宋_GB2312" w:eastAsia="仿宋_GB2312" w:cs="仿宋_GB2312"/>
          <w:b w:val="0"/>
          <w:bCs w:val="0"/>
          <w:caps w:val="0"/>
          <w:smallCaps w:val="0"/>
          <w:color w:val="auto"/>
          <w:spacing w:val="0"/>
          <w:lang w:val="en-US" w:eastAsia="zh-CN"/>
        </w:rPr>
        <w:t>专业的建筑垃圾消纳设施</w:t>
      </w:r>
      <w:r>
        <w:rPr>
          <w:rFonts w:hint="eastAsia" w:ascii="仿宋_GB2312" w:hAnsi="仿宋_GB2312" w:eastAsia="仿宋_GB2312" w:cs="仿宋_GB2312"/>
          <w:b w:val="0"/>
          <w:bCs w:val="0"/>
          <w:caps w:val="0"/>
          <w:smallCaps w:val="0"/>
          <w:color w:val="auto"/>
          <w:spacing w:val="0"/>
        </w:rPr>
        <w:t>。</w:t>
      </w:r>
      <w:r>
        <w:rPr>
          <w:rFonts w:hint="eastAsia" w:ascii="仿宋_GB2312" w:hAnsi="仿宋_GB2312" w:eastAsia="仿宋_GB2312" w:cs="仿宋_GB2312"/>
          <w:b w:val="0"/>
          <w:bCs w:val="0"/>
          <w:caps w:val="0"/>
          <w:smallCaps w:val="0"/>
          <w:color w:val="auto"/>
          <w:spacing w:val="0"/>
          <w:lang w:val="en-US" w:eastAsia="zh-CN"/>
        </w:rPr>
        <w:t>目前的利用方式主要为矿山恢复和场地平整，这些只能对建筑垃圾中的工程渣土进行利用。而建筑垃圾中的工程垃圾、拆除垃圾和装修垃圾只能临时堆放，从而对周边环境造成了污染。</w:t>
      </w:r>
    </w:p>
    <w:p w14:paraId="59571E6F">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临时贮存场所需要治理</w:t>
      </w:r>
    </w:p>
    <w:p w14:paraId="6774A1B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集贤县现有14处建筑垃圾贮存场，均为非正规建筑垃圾堆放场地。随着堆放时间增加，附近居民有时会向这些场地倾倒生活垃圾。导致城市环境恶化，产生臭气，造成污染，严重影响城市生态环境。而且由于历史原因部分临时贮存场违法占用了耕地，因此急需治理，恢复原有土地功能。</w:t>
      </w:r>
    </w:p>
    <w:p w14:paraId="617E1396">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（4）</w:t>
      </w:r>
      <w:r>
        <w:rPr>
          <w:rFonts w:hint="eastAsia" w:ascii="仿宋_GB2312" w:hAnsi="仿宋_GB2312" w:eastAsia="仿宋_GB2312" w:cs="仿宋_GB2312"/>
          <w:b w:val="0"/>
          <w:bCs w:val="0"/>
          <w:caps w:val="0"/>
          <w:smallCaps w:val="0"/>
          <w:color w:val="auto"/>
          <w:spacing w:val="0"/>
          <w:lang w:val="en-US" w:eastAsia="zh-CN"/>
        </w:rPr>
        <w:t>推广再生产品应用力度不足</w:t>
      </w:r>
    </w:p>
    <w:p w14:paraId="35341FF5">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尽管</w:t>
      </w:r>
      <w:r>
        <w:rPr>
          <w:rFonts w:hint="eastAsia" w:ascii="仿宋_GB2312" w:hAnsi="仿宋_GB2312" w:eastAsia="仿宋_GB2312" w:cs="仿宋_GB2312"/>
          <w:b w:val="0"/>
          <w:bCs w:val="0"/>
          <w:caps w:val="0"/>
          <w:smallCaps w:val="0"/>
          <w:color w:val="auto"/>
          <w:spacing w:val="0"/>
          <w:lang w:eastAsia="zh-CN"/>
        </w:rPr>
        <w:t>黑龙江</w:t>
      </w:r>
      <w:r>
        <w:rPr>
          <w:rFonts w:hint="eastAsia" w:ascii="仿宋_GB2312" w:hAnsi="仿宋_GB2312" w:eastAsia="仿宋_GB2312" w:cs="仿宋_GB2312"/>
          <w:b w:val="0"/>
          <w:bCs w:val="0"/>
          <w:caps w:val="0"/>
          <w:smallCaps w:val="0"/>
          <w:color w:val="auto"/>
          <w:spacing w:val="0"/>
        </w:rPr>
        <w:t>省建筑垃圾资源化已逐步步入正轨，由建筑垃圾生产的再生产品也种类繁多，但由于缺乏相应的产品标准、质量和验收标准，给再生产品的应用带来了不小的阻力。再生产品的评估与标识标准缺乏，不利于建筑垃圾资源化利用企业为产品争取各类税收优惠政策。政府关于建筑垃圾再生产品的宣传不到位，推广产品应用力度不足，导致民众认知存在偏差，也阻碍了建筑垃圾的广泛应用。</w:t>
      </w:r>
    </w:p>
    <w:p w14:paraId="4BA19D8A">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（5）</w:t>
      </w:r>
      <w:r>
        <w:rPr>
          <w:rFonts w:hint="eastAsia" w:ascii="仿宋_GB2312" w:hAnsi="仿宋_GB2312" w:eastAsia="仿宋_GB2312" w:cs="仿宋_GB2312"/>
          <w:b w:val="0"/>
          <w:bCs w:val="0"/>
          <w:caps w:val="0"/>
          <w:smallCaps w:val="0"/>
          <w:color w:val="auto"/>
          <w:spacing w:val="0"/>
          <w:lang w:val="en-US" w:eastAsia="zh-CN"/>
        </w:rPr>
        <w:t>装配式建筑发展有待进一步推进</w:t>
      </w:r>
    </w:p>
    <w:p w14:paraId="5258669B">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val="0"/>
          <w:bCs w:val="0"/>
          <w:caps w:val="0"/>
          <w:smallCaps w:val="0"/>
          <w:color w:val="auto"/>
          <w:spacing w:val="0"/>
        </w:rPr>
        <w:t>装配式建筑技术有了一定发展，但也存在一些问题。一方面市场对装配式建筑认识不足，社会普遍习惯于传统的建造方式，对装配式建筑接受程度不高。由于规模效应不够，缩短工期、减少用工而形成的总体成本下降的优势没有显现，建设单位考虑到增量成本、短期利益等方面问题，对开发装配式建筑项目的积极性较低。另一方面尚未建立起完善的装配式建筑发展多部门协调机制。发展</w:t>
      </w:r>
      <w:r>
        <w:rPr>
          <w:rFonts w:hint="eastAsia" w:ascii="仿宋_GB2312" w:hAnsi="仿宋_GB2312" w:eastAsia="仿宋_GB2312" w:cs="仿宋_GB2312"/>
          <w:color w:val="auto"/>
          <w:spacing w:val="0"/>
          <w:kern w:val="2"/>
          <w:sz w:val="32"/>
          <w:szCs w:val="32"/>
          <w:highlight w:val="none"/>
          <w:lang w:val="en-US" w:eastAsia="zh-CN" w:bidi="ar-SA"/>
        </w:rPr>
        <w:t>装配式建筑需推行设计、构配件生产、施工一体化的施工总承包制度，目前总承包施工方式尚处于起步阶段，未形成成熟的管理体系。</w:t>
      </w:r>
    </w:p>
    <w:p w14:paraId="4392E66C">
      <w:pPr>
        <w:pStyle w:val="40"/>
        <w:numPr>
          <w:ilvl w:val="0"/>
          <w:numId w:val="0"/>
        </w:numPr>
        <w:bidi w:val="0"/>
        <w:ind w:left="402" w:leftChars="0"/>
        <w:rPr>
          <w:rFonts w:hint="eastAsia" w:ascii="仿宋_GB2312" w:hAnsi="仿宋_GB2312" w:eastAsia="仿宋_GB2312" w:cs="仿宋_GB2312"/>
          <w:color w:val="auto"/>
          <w:spacing w:val="0"/>
          <w:kern w:val="2"/>
          <w:sz w:val="32"/>
          <w:szCs w:val="32"/>
          <w:highlight w:val="none"/>
          <w:lang w:val="en-US" w:eastAsia="zh-CN" w:bidi="ar-SA"/>
        </w:rPr>
      </w:pPr>
      <w:r>
        <w:rPr>
          <w:rFonts w:hint="default" w:ascii="仿宋_GB2312" w:hAnsi="仿宋_GB2312" w:eastAsia="仿宋_GB2312" w:cs="仿宋_GB2312"/>
          <w:b w:val="0"/>
          <w:bCs w:val="0"/>
          <w:caps w:val="0"/>
          <w:smallCaps w:val="0"/>
          <w:color w:val="auto"/>
          <w:spacing w:val="0"/>
          <w:lang w:eastAsia="zh-CN"/>
        </w:rPr>
        <w:t>（6）</w:t>
      </w:r>
      <w:r>
        <w:rPr>
          <w:rFonts w:hint="eastAsia" w:ascii="仿宋_GB2312" w:hAnsi="仿宋_GB2312" w:eastAsia="仿宋_GB2312" w:cs="仿宋_GB2312"/>
          <w:color w:val="auto"/>
          <w:spacing w:val="0"/>
          <w:kern w:val="2"/>
          <w:sz w:val="32"/>
          <w:szCs w:val="32"/>
          <w:highlight w:val="none"/>
          <w:lang w:val="en-US" w:eastAsia="zh-CN" w:bidi="ar-SA"/>
        </w:rPr>
        <w:t xml:space="preserve">现状无建筑垃圾收运及处置系统 </w:t>
      </w:r>
    </w:p>
    <w:p w14:paraId="30AFECAF">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现状集贤县建筑垃圾收运无专用的收集车辆，也无建筑垃圾消纳场。建筑垃圾主要</w:t>
      </w:r>
      <w:r>
        <w:rPr>
          <w:rFonts w:hint="eastAsia" w:ascii="仿宋_GB2312" w:hAnsi="仿宋_GB2312" w:eastAsia="仿宋_GB2312" w:cs="仿宋_GB2312"/>
          <w:b w:val="0"/>
          <w:bCs w:val="0"/>
          <w:caps w:val="0"/>
          <w:smallCaps w:val="0"/>
          <w:color w:val="auto"/>
          <w:spacing w:val="0"/>
          <w:lang w:val="en-US" w:eastAsia="zh-CN"/>
        </w:rPr>
        <w:t>由建筑企业运输至低洼地或其他需要回填的地方进行掩埋，堆放地选址随意，威胁水资源安全。建筑垃圾由于发酵和雨水的淋溶、冲刷，以及地表水和地下水的浸泡而渗滤出的污水渗滤液或淋滤液，会造成周围地表水和地下水的严重污染；同时由于随意堆放，未进行科学选址及设计，留下了安全隐患。</w:t>
      </w:r>
    </w:p>
    <w:p w14:paraId="3A3B279A">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黑体" w:hAnsi="黑体" w:eastAsia="黑体" w:cs="黑体"/>
          <w:b w:val="0"/>
          <w:bCs w:val="0"/>
          <w:caps w:val="0"/>
          <w:smallCaps w:val="0"/>
          <w:color w:val="auto"/>
          <w:spacing w:val="0"/>
          <w:lang w:val="en-US" w:eastAsia="zh-CN"/>
        </w:rPr>
      </w:pPr>
      <w:bookmarkStart w:id="55" w:name="_Toc19659"/>
      <w:bookmarkStart w:id="56" w:name="_Toc25702"/>
      <w:bookmarkStart w:id="57" w:name="_Toc26939"/>
      <w:r>
        <w:rPr>
          <w:rFonts w:hint="eastAsia" w:ascii="黑体" w:hAnsi="黑体" w:eastAsia="黑体" w:cs="黑体"/>
          <w:b w:val="0"/>
          <w:bCs w:val="0"/>
          <w:caps w:val="0"/>
          <w:smallCaps w:val="0"/>
          <w:color w:val="auto"/>
          <w:spacing w:val="0"/>
          <w:lang w:val="en-US" w:eastAsia="zh-CN"/>
        </w:rPr>
        <w:t>三、相关规划解读</w:t>
      </w:r>
      <w:bookmarkEnd w:id="55"/>
      <w:bookmarkEnd w:id="56"/>
      <w:bookmarkEnd w:id="57"/>
    </w:p>
    <w:p w14:paraId="6F51E017">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kern w:val="44"/>
          <w:sz w:val="32"/>
          <w:szCs w:val="28"/>
          <w:lang w:val="en-US" w:eastAsia="zh-CN" w:bidi="ar-SA"/>
        </w:rPr>
      </w:pPr>
      <w:bookmarkStart w:id="58" w:name="_Toc27481"/>
      <w:bookmarkStart w:id="59" w:name="_Toc10471"/>
      <w:r>
        <w:rPr>
          <w:rFonts w:hint="eastAsia" w:ascii="楷体_GB2312" w:hAnsi="楷体_GB2312" w:eastAsia="楷体_GB2312" w:cs="楷体_GB2312"/>
          <w:b w:val="0"/>
          <w:bCs w:val="0"/>
          <w:caps w:val="0"/>
          <w:smallCaps w:val="0"/>
          <w:color w:val="auto"/>
          <w:spacing w:val="0"/>
          <w:kern w:val="44"/>
          <w:sz w:val="32"/>
          <w:szCs w:val="28"/>
          <w:lang w:val="en-US" w:eastAsia="zh-CN" w:bidi="ar-SA"/>
        </w:rPr>
        <w:t>1．重要法规解读</w:t>
      </w:r>
      <w:bookmarkEnd w:id="58"/>
      <w:bookmarkEnd w:id="59"/>
    </w:p>
    <w:p w14:paraId="7A1CF7A1">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中华人民共和国固体废物污染环境防治法》规定：县级以上地方人民政府应当加强建筑垃圾污染环境的防治，建立建筑垃圾分类处理制度。县级以上地方人民政府应当制定包括源头减量、分类处理、消纳设施和场所布局及建设等在内的建筑垃圾污染环境防治工作规划。</w:t>
      </w:r>
    </w:p>
    <w:p w14:paraId="59533E32">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城市建筑垃圾管理规定》规定：建筑垃圾，是指建设单位、施工单位新建、改建、扩建和拆除各类建筑物、构筑物、管网等以及居民装饰装修房屋过程中所产生的弃土、弃料及其他废弃物。建筑垃圾处置实行减量化、资源化、无害化和谁产生、谁承担处置责任的原则。国家鼓励建筑垃圾综合利用，鼓励建设单位、施工单位优先采用建筑垃圾综合利用产品。</w:t>
      </w:r>
    </w:p>
    <w:p w14:paraId="5745B872">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黑龙江省固体废物污染环境防治条例（征求意见稿）》规定：建筑垃圾产生及消纳单位，应当对弃土采取工程回填、矿坑修复、堆山造景、低洼填平等资源化利用方式进行处置；对弃料及其他固体废物有再利用价值的，产生单位自行或者委托他人进行资源化利用；不具有再利用价值的，送至建筑垃圾消纳场所处置。</w:t>
      </w:r>
    </w:p>
    <w:p w14:paraId="5A9E47F6">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kern w:val="44"/>
          <w:sz w:val="32"/>
          <w:szCs w:val="28"/>
          <w:lang w:val="en-US" w:eastAsia="zh-CN" w:bidi="ar-SA"/>
        </w:rPr>
      </w:pPr>
      <w:bookmarkStart w:id="60" w:name="_Toc17399"/>
      <w:bookmarkStart w:id="61" w:name="_Toc26352"/>
      <w:r>
        <w:rPr>
          <w:rFonts w:hint="eastAsia" w:ascii="楷体_GB2312" w:hAnsi="楷体_GB2312" w:eastAsia="楷体_GB2312" w:cs="楷体_GB2312"/>
          <w:b w:val="0"/>
          <w:bCs w:val="0"/>
          <w:caps w:val="0"/>
          <w:smallCaps w:val="0"/>
          <w:color w:val="auto"/>
          <w:spacing w:val="0"/>
          <w:kern w:val="44"/>
          <w:sz w:val="32"/>
          <w:szCs w:val="28"/>
          <w:lang w:val="en-US" w:eastAsia="zh-CN" w:bidi="ar-SA"/>
        </w:rPr>
        <w:t>2．重要政策解读</w:t>
      </w:r>
      <w:bookmarkEnd w:id="60"/>
      <w:bookmarkEnd w:id="61"/>
    </w:p>
    <w:p w14:paraId="7C1C71C8">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黑龙江省《关于加强城市建筑垃圾管理工作的实施方案（征求意见稿）》要求：到2024年底，城市建筑垃圾管理制度体系不断完善，各市（地）、县（市）通过完善城市建筑垃圾临时贮存、转运调配、填埋处理等设施，基本满足当前安全处置需要。到2025年底，各市（地）至少完成1座建筑垃圾消纳设施建设，基本满足无害化处置需求。各县（市）全部完成规划建设任务。到2027年底，基本建立建筑垃圾源头减量、分类投放、中端收运、末端处置利用全过程体系。各市（地）、县（市）全部完成建筑垃圾消纳设施和资源化利用设施规划建设任务，其中，哈尔滨、齐齐哈尔、牡丹江、佳木斯、大庆、鸡西、鹤岗应建成资源化利用设施并投入使用；其他市（地）可结合建筑垃圾产量，合理设置资源化利用设施，全省地级及以上城市资源化利用率达到50%以上。到2030年，基本形成建筑垃圾治理和资源化利用高质量发展新格局，全省地级及以上城市资源化利用率达到60%以上。</w:t>
      </w:r>
    </w:p>
    <w:p w14:paraId="570D1BE9">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双鸭山市《双鸭山市建筑垃圾管理实施方案》要求：</w:t>
      </w:r>
    </w:p>
    <w:p w14:paraId="362A7463">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完善城市建筑垃圾管理制度体系，到2024年底，完善双鸭山市城市建筑垃圾临时贮存、转运调配、填埋处理等设施以满足建筑垃圾安全处置需求。各县（区）至少完成1座建筑垃圾转运调配场、消纳场设施建设，满足无害化处置需求。到2027年底，基本建立建筑垃圾源头减量、分类投放、中端收运、末端处置利用全过程体系。城市建筑垃圾资源化利用率达到50%以上。</w:t>
      </w:r>
    </w:p>
    <w:p w14:paraId="0347DFA4">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2.</w:t>
      </w:r>
      <w:r>
        <w:rPr>
          <w:rFonts w:hint="eastAsia" w:ascii="仿宋_GB2312" w:hAnsi="仿宋_GB2312" w:eastAsia="仿宋_GB2312" w:cs="仿宋_GB2312"/>
          <w:b w:val="0"/>
          <w:bCs w:val="0"/>
          <w:caps w:val="0"/>
          <w:smallCaps w:val="0"/>
          <w:color w:val="auto"/>
          <w:spacing w:val="0"/>
        </w:rPr>
        <w:t>源头减量。按照《住房和城乡建设部关于推进建筑垃圾减量化的指导意见》《施工现场建筑垃圾减量化指导手册</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试行</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》《黑龙江省推进建筑垃圾减量化的实施方案》等要求</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推动建设、设计、施工、监理等市场主体落实减量责任。2025年底前</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新建建筑施工现场建筑垃圾</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不包括工程渣土、工程泥浆</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排放量每万</w:t>
      </w:r>
      <w:r>
        <w:rPr>
          <w:rFonts w:hint="eastAsia" w:ascii="仿宋_GB2312" w:hAnsi="仿宋_GB2312" w:eastAsia="仿宋_GB2312" w:cs="仿宋_GB2312"/>
          <w:b w:val="0"/>
          <w:bCs w:val="0"/>
          <w:caps w:val="0"/>
          <w:smallCaps w:val="0"/>
          <w:color w:val="auto"/>
          <w:spacing w:val="0"/>
          <w:lang w:val="en-US" w:eastAsia="zh-CN"/>
        </w:rPr>
        <w:t>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rPr>
        <w:t>不高于300吨</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装配式建筑施工现场建筑垃圾</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不包括工程渣土、工程泥浆</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排放量每万</w:t>
      </w:r>
      <w:r>
        <w:rPr>
          <w:rFonts w:hint="eastAsia" w:ascii="仿宋_GB2312" w:hAnsi="仿宋_GB2312" w:eastAsia="仿宋_GB2312" w:cs="仿宋_GB2312"/>
          <w:b w:val="0"/>
          <w:bCs w:val="0"/>
          <w:caps w:val="0"/>
          <w:smallCaps w:val="0"/>
          <w:color w:val="auto"/>
          <w:spacing w:val="0"/>
          <w:lang w:val="en-US" w:eastAsia="zh-CN"/>
        </w:rPr>
        <w:t>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rPr>
        <w:t>不高于200吨。</w:t>
      </w:r>
    </w:p>
    <w:p w14:paraId="184B6651">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3.</w:t>
      </w:r>
      <w:r>
        <w:rPr>
          <w:rFonts w:hint="eastAsia" w:ascii="仿宋_GB2312" w:hAnsi="仿宋_GB2312" w:eastAsia="仿宋_GB2312" w:cs="仿宋_GB2312"/>
          <w:b w:val="0"/>
          <w:bCs w:val="0"/>
          <w:caps w:val="0"/>
          <w:smallCaps w:val="0"/>
          <w:color w:val="auto"/>
          <w:spacing w:val="0"/>
        </w:rPr>
        <w:t>建筑垃圾转运调配、消纳设施建设。综合考虑产生量、收</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转</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运能力及运距、处置方式、环境影响、群众意愿等因素</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科学选址。建筑垃圾转运调配场、消纳场建设应符合《建筑垃圾处理技术标准》</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CJJ/T134-2019</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中的填埋处置标准。鼓励通过区域统筹方式</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在相邻地区之间共建共享建筑</w:t>
      </w:r>
      <w:r>
        <w:rPr>
          <w:rFonts w:hint="eastAsia" w:ascii="仿宋_GB2312" w:hAnsi="仿宋_GB2312" w:eastAsia="仿宋_GB2312" w:cs="仿宋_GB2312"/>
          <w:b w:val="0"/>
          <w:bCs w:val="0"/>
          <w:caps w:val="0"/>
          <w:smallCaps w:val="0"/>
          <w:color w:val="auto"/>
          <w:spacing w:val="0"/>
          <w:lang w:val="en-US" w:eastAsia="zh-CN"/>
        </w:rPr>
        <w:t>垃圾转运调配场、消纳场、资源化利用设施。</w:t>
      </w:r>
    </w:p>
    <w:p w14:paraId="1BBF10CA">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kern w:val="44"/>
          <w:sz w:val="32"/>
          <w:szCs w:val="28"/>
          <w:lang w:val="en-US" w:eastAsia="zh-CN" w:bidi="ar-SA"/>
        </w:rPr>
      </w:pPr>
      <w:bookmarkStart w:id="62" w:name="_Toc23580"/>
      <w:bookmarkStart w:id="63" w:name="_Toc22783"/>
      <w:r>
        <w:rPr>
          <w:rFonts w:hint="eastAsia" w:ascii="楷体_GB2312" w:hAnsi="楷体_GB2312" w:eastAsia="楷体_GB2312" w:cs="楷体_GB2312"/>
          <w:b w:val="0"/>
          <w:bCs w:val="0"/>
          <w:caps w:val="0"/>
          <w:smallCaps w:val="0"/>
          <w:color w:val="auto"/>
          <w:spacing w:val="0"/>
          <w:kern w:val="44"/>
          <w:sz w:val="32"/>
          <w:szCs w:val="28"/>
          <w:lang w:val="en-US" w:eastAsia="zh-CN" w:bidi="ar-SA"/>
        </w:rPr>
        <w:t>3．上位规划解读</w:t>
      </w:r>
      <w:bookmarkEnd w:id="62"/>
      <w:bookmarkEnd w:id="63"/>
    </w:p>
    <w:p w14:paraId="525F4AA1">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caps w:val="0"/>
          <w:smallCaps w:val="0"/>
          <w:color w:val="auto"/>
          <w:spacing w:val="0"/>
          <w:lang w:eastAsia="zh-CN"/>
        </w:rPr>
      </w:pPr>
      <w:r>
        <w:rPr>
          <w:rFonts w:hint="eastAsia" w:ascii="仿宋_GB2312" w:hAnsi="仿宋_GB2312" w:eastAsia="仿宋_GB2312" w:cs="仿宋_GB2312"/>
          <w:b w:val="0"/>
          <w:bCs w:val="0"/>
          <w:caps w:val="0"/>
          <w:smallCaps w:val="0"/>
          <w:color w:val="auto"/>
          <w:spacing w:val="0"/>
          <w:lang w:eastAsia="zh-CN"/>
        </w:rPr>
        <w:t>《集贤县国土空间总体规划（2021—2035年）》提出：本规划范围包括集贤县县域和中心城</w:t>
      </w:r>
      <w:r>
        <w:rPr>
          <w:rFonts w:hint="eastAsia" w:ascii="仿宋_GB2312" w:hAnsi="仿宋_GB2312" w:eastAsia="仿宋_GB2312" w:cs="仿宋_GB2312"/>
          <w:b w:val="0"/>
          <w:bCs w:val="0"/>
          <w:caps w:val="0"/>
          <w:smallCaps w:val="0"/>
          <w:color w:val="auto"/>
          <w:spacing w:val="0"/>
          <w:lang w:val="en-US" w:eastAsia="zh-CN"/>
        </w:rPr>
        <w:t>区</w:t>
      </w:r>
      <w:r>
        <w:rPr>
          <w:rFonts w:hint="eastAsia" w:ascii="仿宋_GB2312" w:hAnsi="仿宋_GB2312" w:eastAsia="仿宋_GB2312" w:cs="仿宋_GB2312"/>
          <w:b w:val="0"/>
          <w:bCs w:val="0"/>
          <w:caps w:val="0"/>
          <w:smallCaps w:val="0"/>
          <w:color w:val="auto"/>
          <w:spacing w:val="0"/>
          <w:lang w:eastAsia="zh-CN"/>
        </w:rPr>
        <w:t>两个层次。县域规划范围为集贤县行政辖区内的陆域空间，总面积221674.65公顷。中心城镇包括福利镇、集贤镇、升昌镇、丰乐镇、太平镇、永安乡、腰屯乡、兴安乡、笔架山农场和二九一农场。面积</w:t>
      </w:r>
      <w:r>
        <w:rPr>
          <w:rFonts w:hint="eastAsia" w:ascii="仿宋_GB2312" w:hAnsi="仿宋_GB2312" w:eastAsia="仿宋_GB2312" w:cs="仿宋_GB2312"/>
          <w:b w:val="0"/>
          <w:bCs w:val="0"/>
          <w:caps w:val="0"/>
          <w:smallCaps w:val="0"/>
          <w:color w:val="auto"/>
          <w:spacing w:val="0"/>
          <w:lang w:val="en-US" w:eastAsia="zh-CN"/>
        </w:rPr>
        <w:t>2377.89</w:t>
      </w:r>
      <w:r>
        <w:rPr>
          <w:rFonts w:hint="eastAsia" w:ascii="仿宋_GB2312" w:hAnsi="仿宋_GB2312" w:eastAsia="仿宋_GB2312" w:cs="仿宋_GB2312"/>
          <w:b w:val="0"/>
          <w:bCs w:val="0"/>
          <w:caps w:val="0"/>
          <w:smallCaps w:val="0"/>
          <w:color w:val="auto"/>
          <w:spacing w:val="0"/>
          <w:lang w:eastAsia="zh-CN"/>
        </w:rPr>
        <w:t>公顷。“双福同城”发展是实现双鸭山“强核”区域发展战略的必由之路，集贤应依托自身发展优势，积极承接双鸭山功能疏解，打造双福同城发展区北部中心，有效促进县域经济的新发展。衔接双鸭山市生态格局，以安邦河为依托，维育“双福”生态保护核心廊道，细化安邦河等山水生态廊道，发挥河流</w:t>
      </w:r>
      <w:r>
        <w:rPr>
          <w:rFonts w:hint="eastAsia" w:ascii="仿宋_GB2312" w:hAnsi="仿宋_GB2312" w:eastAsia="仿宋_GB2312" w:cs="仿宋_GB2312"/>
          <w:caps w:val="0"/>
          <w:smallCaps w:val="0"/>
          <w:color w:val="auto"/>
          <w:spacing w:val="0"/>
          <w:lang w:eastAsia="zh-CN"/>
        </w:rPr>
        <w:t>生态廊道作为水鸟迁徙和水源涵养重要通道的生态功能。联动区域资源，推进铁路、航空、公路</w:t>
      </w:r>
      <w:r>
        <w:rPr>
          <w:rFonts w:hint="eastAsia" w:ascii="仿宋_GB2312" w:hAnsi="仿宋_GB2312" w:eastAsia="仿宋_GB2312" w:cs="仿宋_GB2312"/>
          <w:caps w:val="0"/>
          <w:smallCaps w:val="0"/>
          <w:color w:val="auto"/>
          <w:spacing w:val="0"/>
          <w:lang w:val="en-US" w:eastAsia="zh-CN"/>
        </w:rPr>
        <w:t>的</w:t>
      </w:r>
      <w:r>
        <w:rPr>
          <w:rFonts w:hint="eastAsia" w:ascii="仿宋_GB2312" w:hAnsi="仿宋_GB2312" w:eastAsia="仿宋_GB2312" w:cs="仿宋_GB2312"/>
          <w:caps w:val="0"/>
          <w:smallCaps w:val="0"/>
          <w:color w:val="auto"/>
          <w:spacing w:val="0"/>
          <w:lang w:eastAsia="zh-CN"/>
        </w:rPr>
        <w:t>衔接建设，打造三江平原东部地区区域商贸物流中心。重视与双鸭山市之间道路网络的搭建，加强衔接，保证通道的预留；同时，拓展公共交通服务，形成若干由中心城区向外辐射的公共交通干线，促进周边城乡统筹。</w:t>
      </w:r>
    </w:p>
    <w:p w14:paraId="1025FE73">
      <w:pPr>
        <w:pStyle w:val="8"/>
        <w:spacing w:before="234" w:after="234"/>
        <w:ind w:firstLine="0" w:firstLineChars="0"/>
        <w:jc w:val="center"/>
        <w:rPr>
          <w:rFonts w:hint="eastAsia" w:eastAsia="宋体"/>
          <w:caps w:val="0"/>
          <w:smallCaps w:val="0"/>
          <w:color w:val="auto"/>
          <w:spacing w:val="0"/>
          <w:lang w:eastAsia="zh-CN"/>
        </w:rPr>
      </w:pPr>
      <w:r>
        <w:rPr>
          <w:rFonts w:hint="eastAsia" w:eastAsia="宋体"/>
          <w:caps w:val="0"/>
          <w:smallCaps w:val="0"/>
          <w:color w:val="auto"/>
          <w:spacing w:val="0"/>
          <w:lang w:eastAsia="zh-CN"/>
        </w:rPr>
        <w:drawing>
          <wp:inline distT="0" distB="0" distL="114300" distR="114300">
            <wp:extent cx="4485640" cy="3204845"/>
            <wp:effectExtent l="0" t="0" r="10160" b="8255"/>
            <wp:docPr id="2" name="图片 2" descr="230521集贤县02县域国土空间总体格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0521集贤县02县域国土空间总体格局规划图"/>
                    <pic:cNvPicPr>
                      <a:picLocks noChangeAspect="1"/>
                    </pic:cNvPicPr>
                  </pic:nvPicPr>
                  <pic:blipFill>
                    <a:blip r:embed="rId21"/>
                    <a:stretch>
                      <a:fillRect/>
                    </a:stretch>
                  </pic:blipFill>
                  <pic:spPr>
                    <a:xfrm>
                      <a:off x="0" y="0"/>
                      <a:ext cx="4485640" cy="3204845"/>
                    </a:xfrm>
                    <a:prstGeom prst="rect">
                      <a:avLst/>
                    </a:prstGeom>
                  </pic:spPr>
                </pic:pic>
              </a:graphicData>
            </a:graphic>
          </wp:inline>
        </w:drawing>
      </w:r>
    </w:p>
    <w:p w14:paraId="47057F76">
      <w:pPr>
        <w:pStyle w:val="40"/>
        <w:bidi w:val="0"/>
        <w:ind w:left="0" w:leftChars="0" w:firstLine="0" w:firstLineChars="0"/>
        <w:jc w:val="center"/>
        <w:rPr>
          <w:rFonts w:hint="eastAsia"/>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集贤县县域国土空间总体格局规划图</w:t>
      </w:r>
    </w:p>
    <w:p w14:paraId="2D013410">
      <w:pPr>
        <w:pStyle w:val="40"/>
        <w:bidi w:val="0"/>
        <w:rPr>
          <w:rFonts w:hint="eastAsia" w:ascii="仿宋_GB2312" w:hAnsi="仿宋_GB2312" w:eastAsia="仿宋_GB2312" w:cs="仿宋_GB2312"/>
          <w:caps w:val="0"/>
          <w:smallCaps w:val="0"/>
          <w:color w:val="auto"/>
          <w:spacing w:val="0"/>
          <w:lang w:eastAsia="zh-CN"/>
        </w:rPr>
      </w:pPr>
      <w:r>
        <w:rPr>
          <w:rFonts w:hint="eastAsia" w:ascii="仿宋_GB2312" w:hAnsi="仿宋_GB2312" w:eastAsia="仿宋_GB2312" w:cs="仿宋_GB2312"/>
          <w:caps w:val="0"/>
          <w:smallCaps w:val="0"/>
          <w:color w:val="auto"/>
          <w:spacing w:val="0"/>
          <w:lang w:eastAsia="zh-CN"/>
        </w:rPr>
        <w:t>充分对接区域市政设施布局，通过区域市政设施共享尽量减少市政设施的重复建设，同时减轻大型市政设施对周边居民的影响。统一垃圾处理，双福同城发展区生活垃圾统一转运至位于四方台的垃圾处理厂，同时对垃圾进行资源化的综合处理，对垃圾资源</w:t>
      </w:r>
      <w:bookmarkStart w:id="64" w:name="bookmark12"/>
      <w:bookmarkEnd w:id="64"/>
      <w:r>
        <w:rPr>
          <w:rFonts w:hint="eastAsia" w:ascii="仿宋_GB2312" w:hAnsi="仿宋_GB2312" w:eastAsia="仿宋_GB2312" w:cs="仿宋_GB2312"/>
          <w:caps w:val="0"/>
          <w:smallCaps w:val="0"/>
          <w:color w:val="auto"/>
          <w:spacing w:val="0"/>
          <w:lang w:eastAsia="zh-CN"/>
        </w:rPr>
        <w:t>进行最大化地利用。</w:t>
      </w:r>
    </w:p>
    <w:p w14:paraId="330F99A4">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规划总体目标：</w:t>
      </w:r>
      <w:r>
        <w:rPr>
          <w:rFonts w:hint="eastAsia" w:ascii="仿宋_GB2312" w:hAnsi="仿宋_GB2312" w:eastAsia="仿宋_GB2312" w:cs="仿宋_GB2312"/>
          <w:caps w:val="0"/>
          <w:smallCaps w:val="0"/>
          <w:color w:val="auto"/>
          <w:spacing w:val="0"/>
        </w:rPr>
        <w:t>以生态文明建设为引领，保育以湿地、森林为主要构成要素的绿色空间体系，严守耕地保护红线，导控城乡建设，构建山水林田城和谐共生的全域空间生命共同体。以高质量创新发展为导向，积极融入双循环发展新格局，提升城区辐射引领作用，加强与黑龙江省东部地区的协调对接，紧抓农业和工业优势，加快构建现代产业体系，创新发展动能，打造产业转型升级的新样板。以人民为中心，尊重自然格局，合理布局城镇各类空间，保护自然景观，传承历史文化，彰显地方特色；统筹安排公共服务设施、公共空间以及市政基础设施的规划布局和建设，建设高纬度理想人居的新典范</w:t>
      </w:r>
      <w:r>
        <w:rPr>
          <w:rFonts w:hint="eastAsia" w:ascii="仿宋_GB2312" w:hAnsi="仿宋_GB2312" w:eastAsia="仿宋_GB2312" w:cs="仿宋_GB2312"/>
          <w:caps w:val="0"/>
          <w:smallCaps w:val="0"/>
          <w:color w:val="auto"/>
          <w:spacing w:val="0"/>
          <w:lang w:eastAsia="zh-CN"/>
        </w:rPr>
        <w:t>。</w:t>
      </w:r>
    </w:p>
    <w:p w14:paraId="202CC548">
      <w:pPr>
        <w:pStyle w:val="40"/>
        <w:bidi w:val="0"/>
        <w:rPr>
          <w:rFonts w:hint="eastAsia" w:ascii="仿宋_GB2312" w:hAnsi="仿宋_GB2312" w:eastAsia="仿宋_GB2312" w:cs="仿宋_GB2312"/>
          <w:caps w:val="0"/>
          <w:smallCaps w:val="0"/>
          <w:color w:val="auto"/>
          <w:spacing w:val="0"/>
        </w:rPr>
      </w:pPr>
      <w:r>
        <w:rPr>
          <w:rFonts w:hint="eastAsia" w:ascii="仿宋_GB2312" w:hAnsi="仿宋_GB2312" w:eastAsia="仿宋_GB2312" w:cs="仿宋_GB2312"/>
          <w:caps w:val="0"/>
          <w:smallCaps w:val="0"/>
          <w:color w:val="auto"/>
          <w:spacing w:val="0"/>
        </w:rPr>
        <w:t>2025年发展目标</w:t>
      </w:r>
      <w:r>
        <w:rPr>
          <w:rFonts w:hint="eastAsia" w:ascii="仿宋_GB2312" w:hAnsi="仿宋_GB2312" w:eastAsia="仿宋_GB2312" w:cs="仿宋_GB2312"/>
          <w:caps w:val="0"/>
          <w:smallCaps w:val="0"/>
          <w:color w:val="auto"/>
          <w:spacing w:val="0"/>
          <w:lang w:eastAsia="zh-CN"/>
        </w:rPr>
        <w:t>：</w:t>
      </w:r>
      <w:r>
        <w:rPr>
          <w:rFonts w:hint="eastAsia" w:ascii="仿宋_GB2312" w:hAnsi="仿宋_GB2312" w:eastAsia="仿宋_GB2312" w:cs="仿宋_GB2312"/>
          <w:caps w:val="0"/>
          <w:smallCaps w:val="0"/>
          <w:color w:val="auto"/>
          <w:spacing w:val="0"/>
        </w:rPr>
        <w:t>至2025年，即十四规划期末高水平全面建成小康社会。生态文明先行示范取得显著成效；中心城区辐射带动能力显著提高，交通枢纽作用明显提升；宜居环境塑造和核心设施基本建成。</w:t>
      </w:r>
    </w:p>
    <w:p w14:paraId="23ECAF37">
      <w:pPr>
        <w:pStyle w:val="40"/>
        <w:bidi w:val="0"/>
        <w:rPr>
          <w:rFonts w:hint="eastAsia" w:ascii="仿宋_GB2312" w:hAnsi="仿宋_GB2312" w:eastAsia="仿宋_GB2312" w:cs="仿宋_GB2312"/>
          <w:caps w:val="0"/>
          <w:smallCaps w:val="0"/>
          <w:color w:val="auto"/>
          <w:spacing w:val="0"/>
        </w:rPr>
      </w:pPr>
      <w:r>
        <w:rPr>
          <w:rFonts w:hint="eastAsia" w:ascii="仿宋_GB2312" w:hAnsi="仿宋_GB2312" w:eastAsia="仿宋_GB2312" w:cs="仿宋_GB2312"/>
          <w:caps w:val="0"/>
          <w:smallCaps w:val="0"/>
          <w:color w:val="auto"/>
          <w:spacing w:val="0"/>
        </w:rPr>
        <w:t>2035年发展目标</w:t>
      </w:r>
      <w:r>
        <w:rPr>
          <w:rFonts w:hint="eastAsia" w:ascii="仿宋_GB2312" w:hAnsi="仿宋_GB2312" w:eastAsia="仿宋_GB2312" w:cs="仿宋_GB2312"/>
          <w:caps w:val="0"/>
          <w:smallCaps w:val="0"/>
          <w:color w:val="auto"/>
          <w:spacing w:val="0"/>
          <w:lang w:eastAsia="zh-CN"/>
        </w:rPr>
        <w:t>：</w:t>
      </w:r>
      <w:r>
        <w:rPr>
          <w:rFonts w:hint="eastAsia" w:ascii="仿宋_GB2312" w:hAnsi="仿宋_GB2312" w:eastAsia="仿宋_GB2312" w:cs="仿宋_GB2312"/>
          <w:caps w:val="0"/>
          <w:smallCaps w:val="0"/>
          <w:color w:val="auto"/>
          <w:spacing w:val="0"/>
        </w:rPr>
        <w:t>至2035年，即本轮规划期末高水平实现社会主义现代化。山水林田城和谐共生的生态局面基本形成；实现全面振兴全方位振兴，双福同城基本形成；建成健康、舒适、便利、安全的极具高纬度特色的人居环境。</w:t>
      </w:r>
    </w:p>
    <w:p w14:paraId="1A2F2C59">
      <w:pPr>
        <w:pStyle w:val="8"/>
        <w:spacing w:before="234" w:after="234"/>
        <w:ind w:left="0" w:leftChars="0" w:firstLine="0" w:firstLineChars="0"/>
        <w:jc w:val="center"/>
        <w:rPr>
          <w:caps w:val="0"/>
          <w:smallCaps w:val="0"/>
          <w:color w:val="auto"/>
          <w:spacing w:val="0"/>
        </w:rPr>
      </w:pPr>
      <w:r>
        <w:rPr>
          <w:caps w:val="0"/>
          <w:smallCaps w:val="0"/>
          <w:color w:val="auto"/>
          <w:spacing w:val="0"/>
        </w:rPr>
        <w:drawing>
          <wp:inline distT="0" distB="0" distL="114300" distR="114300">
            <wp:extent cx="3321685" cy="4126865"/>
            <wp:effectExtent l="0" t="0" r="571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2"/>
                    <a:srcRect t="7489" b="4433"/>
                    <a:stretch>
                      <a:fillRect/>
                    </a:stretch>
                  </pic:blipFill>
                  <pic:spPr>
                    <a:xfrm>
                      <a:off x="0" y="0"/>
                      <a:ext cx="3321685" cy="4126865"/>
                    </a:xfrm>
                    <a:prstGeom prst="rect">
                      <a:avLst/>
                    </a:prstGeom>
                    <a:noFill/>
                    <a:ln>
                      <a:noFill/>
                    </a:ln>
                  </pic:spPr>
                </pic:pic>
              </a:graphicData>
            </a:graphic>
          </wp:inline>
        </w:drawing>
      </w:r>
    </w:p>
    <w:p w14:paraId="3640EE05">
      <w:pPr>
        <w:pStyle w:val="40"/>
        <w:bidi w:val="0"/>
        <w:ind w:left="0" w:leftChars="0" w:firstLine="0" w:firstLineChars="0"/>
        <w:jc w:val="center"/>
        <w:rPr>
          <w:rFonts w:hint="eastAsia"/>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集贤县中心城区土地使用规划图</w:t>
      </w:r>
    </w:p>
    <w:p w14:paraId="61F2359F">
      <w:pPr>
        <w:pStyle w:val="40"/>
        <w:bidi w:val="0"/>
        <w:rPr>
          <w:caps w:val="0"/>
          <w:smallCaps w:val="0"/>
          <w:color w:val="auto"/>
          <w:spacing w:val="0"/>
        </w:rPr>
      </w:pPr>
      <w:r>
        <w:rPr>
          <w:rFonts w:hint="eastAsia" w:ascii="仿宋_GB2312" w:hAnsi="仿宋_GB2312" w:eastAsia="仿宋_GB2312" w:cs="仿宋_GB2312"/>
          <w:caps w:val="0"/>
          <w:smallCaps w:val="0"/>
          <w:color w:val="auto"/>
          <w:spacing w:val="0"/>
          <w:lang w:val="en-US" w:eastAsia="zh-CN"/>
        </w:rPr>
        <w:t>2020年集贤县县域常住人口为24.39万人，中心城区常住人口为11万人。</w:t>
      </w:r>
      <w:r>
        <w:rPr>
          <w:rFonts w:hint="eastAsia" w:ascii="仿宋_GB2312" w:hAnsi="仿宋_GB2312" w:eastAsia="仿宋_GB2312" w:cs="仿宋_GB2312"/>
          <w:caps w:val="0"/>
          <w:smallCaps w:val="0"/>
          <w:color w:val="auto"/>
          <w:spacing w:val="0"/>
        </w:rPr>
        <w:t>预测近期2025年县域常住总人口为24.0万人，远期2035年县域常住总人口为24.5万人，中心城区人口规模14.5万。至2035年，集贤县中心城区城镇建设用地面积2413.88公顷，均为集中建设区（建设用地），人均城镇建设用地面积166.47</w:t>
      </w:r>
      <w:r>
        <w:rPr>
          <w:rFonts w:hint="eastAsia" w:ascii="仿宋_GB2312" w:hAnsi="仿宋_GB2312" w:eastAsia="仿宋_GB2312" w:cs="仿宋_GB2312"/>
          <w:caps w:val="0"/>
          <w:smallCaps w:val="0"/>
          <w:color w:val="auto"/>
          <w:spacing w:val="0"/>
          <w:lang w:val="en-US" w:eastAsia="zh-CN"/>
        </w:rPr>
        <w:t>m</w:t>
      </w:r>
      <w:r>
        <w:rPr>
          <w:rFonts w:hint="eastAsia" w:ascii="仿宋_GB2312" w:hAnsi="仿宋_GB2312" w:eastAsia="仿宋_GB2312" w:cs="仿宋_GB2312"/>
          <w:caps w:val="0"/>
          <w:smallCaps w:val="0"/>
          <w:color w:val="auto"/>
          <w:spacing w:val="0"/>
          <w:vertAlign w:val="superscript"/>
          <w:lang w:val="en-US" w:eastAsia="zh-CN"/>
        </w:rPr>
        <w:t>2</w:t>
      </w:r>
      <w:r>
        <w:rPr>
          <w:rFonts w:hint="eastAsia" w:ascii="仿宋_GB2312" w:hAnsi="仿宋_GB2312" w:eastAsia="仿宋_GB2312" w:cs="仿宋_GB2312"/>
          <w:caps w:val="0"/>
          <w:smallCaps w:val="0"/>
          <w:color w:val="auto"/>
          <w:spacing w:val="0"/>
        </w:rPr>
        <w:t>/人。</w:t>
      </w:r>
    </w:p>
    <w:p w14:paraId="2C69BCBD">
      <w:pPr>
        <w:pStyle w:val="40"/>
        <w:bidi w:val="0"/>
        <w:ind w:left="0" w:leftChars="0" w:firstLine="0" w:firstLineChars="0"/>
        <w:jc w:val="center"/>
        <w:rPr>
          <w:rFonts w:hint="eastAsia" w:ascii="仿宋_GB2312" w:hAnsi="仿宋_GB2312" w:eastAsia="仿宋_GB2312" w:cs="仿宋_GB2312"/>
          <w:caps w:val="0"/>
          <w:smallCaps w:val="0"/>
          <w:color w:val="auto"/>
          <w:spacing w:val="0"/>
          <w:lang w:val="en-US" w:eastAsia="zh-CN"/>
        </w:rPr>
      </w:pPr>
    </w:p>
    <w:p w14:paraId="0D702CD8">
      <w:pPr>
        <w:pStyle w:val="40"/>
        <w:bidi w:val="0"/>
        <w:ind w:left="0" w:leftChars="0" w:firstLine="0" w:firstLineChars="0"/>
        <w:jc w:val="center"/>
        <w:rPr>
          <w:rFonts w:hint="eastAsia" w:ascii="仿宋_GB2312" w:hAnsi="仿宋_GB2312" w:eastAsia="仿宋_GB2312" w:cs="仿宋_GB2312"/>
          <w:caps w:val="0"/>
          <w:smallCaps w:val="0"/>
          <w:color w:val="auto"/>
          <w:spacing w:val="0"/>
          <w:lang w:val="en-US" w:eastAsia="zh-CN"/>
        </w:rPr>
      </w:pPr>
    </w:p>
    <w:p w14:paraId="3307713F">
      <w:pPr>
        <w:pStyle w:val="40"/>
        <w:bidi w:val="0"/>
        <w:ind w:left="0" w:leftChars="0" w:firstLine="0" w:firstLineChars="0"/>
        <w:jc w:val="center"/>
        <w:rPr>
          <w:rFonts w:hint="eastAsia" w:ascii="仿宋_GB2312" w:hAnsi="仿宋_GB2312" w:eastAsia="仿宋_GB2312" w:cs="仿宋_GB2312"/>
          <w:caps w:val="0"/>
          <w:smallCaps w:val="0"/>
          <w:color w:val="auto"/>
          <w:spacing w:val="0"/>
          <w:lang w:val="en-US" w:eastAsia="zh-CN"/>
        </w:rPr>
      </w:pPr>
    </w:p>
    <w:p w14:paraId="036DDAA0">
      <w:pPr>
        <w:pStyle w:val="40"/>
        <w:bidi w:val="0"/>
        <w:ind w:left="0" w:leftChars="0" w:firstLine="0" w:firstLineChars="0"/>
        <w:jc w:val="center"/>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集贤县城镇开发边界指标分解表</w:t>
      </w:r>
    </w:p>
    <w:tbl>
      <w:tblPr>
        <w:tblStyle w:val="26"/>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216"/>
        <w:gridCol w:w="1711"/>
        <w:gridCol w:w="1711"/>
        <w:gridCol w:w="1711"/>
        <w:gridCol w:w="1548"/>
      </w:tblGrid>
      <w:tr w14:paraId="4794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83" w:hRule="atLeast"/>
          <w:jc w:val="center"/>
        </w:trPr>
        <w:tc>
          <w:tcPr>
            <w:tcW w:w="2216" w:type="dxa"/>
            <w:shd w:val="clear" w:color="auto" w:fill="auto"/>
            <w:vAlign w:val="center"/>
          </w:tcPr>
          <w:p w14:paraId="53BEC2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行政区名称</w:t>
            </w:r>
          </w:p>
        </w:tc>
        <w:tc>
          <w:tcPr>
            <w:tcW w:w="1711" w:type="dxa"/>
            <w:shd w:val="clear" w:color="auto" w:fill="auto"/>
            <w:vAlign w:val="center"/>
          </w:tcPr>
          <w:p w14:paraId="1D5F52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国家下发城 镇建设用地</w:t>
            </w:r>
          </w:p>
        </w:tc>
        <w:tc>
          <w:tcPr>
            <w:tcW w:w="1711" w:type="dxa"/>
            <w:shd w:val="clear" w:color="auto" w:fill="auto"/>
            <w:vAlign w:val="center"/>
          </w:tcPr>
          <w:p w14:paraId="0E8F53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城镇开发边 界面积</w:t>
            </w:r>
          </w:p>
        </w:tc>
        <w:tc>
          <w:tcPr>
            <w:tcW w:w="1711" w:type="dxa"/>
            <w:shd w:val="clear" w:color="auto" w:fill="auto"/>
            <w:vAlign w:val="center"/>
          </w:tcPr>
          <w:p w14:paraId="487019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现状城镇建 设用地面积</w:t>
            </w:r>
          </w:p>
        </w:tc>
        <w:tc>
          <w:tcPr>
            <w:tcW w:w="1548" w:type="dxa"/>
            <w:shd w:val="clear" w:color="auto" w:fill="auto"/>
            <w:vAlign w:val="center"/>
          </w:tcPr>
          <w:p w14:paraId="3BA638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扩展系数</w:t>
            </w:r>
          </w:p>
        </w:tc>
      </w:tr>
      <w:tr w14:paraId="2BFB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216" w:type="dxa"/>
            <w:shd w:val="clear" w:color="auto" w:fill="auto"/>
            <w:vAlign w:val="center"/>
          </w:tcPr>
          <w:p w14:paraId="573C07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福利镇</w:t>
            </w:r>
          </w:p>
        </w:tc>
        <w:tc>
          <w:tcPr>
            <w:tcW w:w="1711" w:type="dxa"/>
            <w:shd w:val="clear" w:color="auto" w:fill="auto"/>
            <w:vAlign w:val="center"/>
          </w:tcPr>
          <w:p w14:paraId="339617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1471.08</w:t>
            </w:r>
          </w:p>
        </w:tc>
        <w:tc>
          <w:tcPr>
            <w:tcW w:w="1711" w:type="dxa"/>
            <w:shd w:val="clear" w:color="auto" w:fill="auto"/>
            <w:vAlign w:val="center"/>
          </w:tcPr>
          <w:p w14:paraId="283AF8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2518.57</w:t>
            </w:r>
          </w:p>
        </w:tc>
        <w:tc>
          <w:tcPr>
            <w:tcW w:w="1711" w:type="dxa"/>
            <w:shd w:val="clear" w:color="auto" w:fill="auto"/>
            <w:vAlign w:val="center"/>
          </w:tcPr>
          <w:p w14:paraId="7BFC04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1471.08</w:t>
            </w:r>
          </w:p>
        </w:tc>
        <w:tc>
          <w:tcPr>
            <w:tcW w:w="1548" w:type="dxa"/>
            <w:shd w:val="clear" w:color="auto" w:fill="auto"/>
            <w:vAlign w:val="center"/>
          </w:tcPr>
          <w:p w14:paraId="4A5F65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1.71</w:t>
            </w:r>
          </w:p>
        </w:tc>
      </w:tr>
      <w:tr w14:paraId="0DC7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4" w:hRule="atLeast"/>
          <w:jc w:val="center"/>
        </w:trPr>
        <w:tc>
          <w:tcPr>
            <w:tcW w:w="2216" w:type="dxa"/>
            <w:shd w:val="clear" w:color="auto" w:fill="auto"/>
            <w:vAlign w:val="center"/>
          </w:tcPr>
          <w:p w14:paraId="569EF5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集贤镇</w:t>
            </w:r>
          </w:p>
        </w:tc>
        <w:tc>
          <w:tcPr>
            <w:tcW w:w="1711" w:type="dxa"/>
            <w:shd w:val="clear" w:color="auto" w:fill="auto"/>
            <w:vAlign w:val="center"/>
          </w:tcPr>
          <w:p w14:paraId="3D7C25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619.94</w:t>
            </w:r>
          </w:p>
        </w:tc>
        <w:tc>
          <w:tcPr>
            <w:tcW w:w="1711" w:type="dxa"/>
            <w:shd w:val="clear" w:color="auto" w:fill="auto"/>
            <w:vAlign w:val="center"/>
          </w:tcPr>
          <w:p w14:paraId="2339A3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852.72</w:t>
            </w:r>
          </w:p>
        </w:tc>
        <w:tc>
          <w:tcPr>
            <w:tcW w:w="1711" w:type="dxa"/>
            <w:shd w:val="clear" w:color="auto" w:fill="auto"/>
            <w:vAlign w:val="center"/>
          </w:tcPr>
          <w:p w14:paraId="70818F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619.94</w:t>
            </w:r>
          </w:p>
        </w:tc>
        <w:tc>
          <w:tcPr>
            <w:tcW w:w="1548" w:type="dxa"/>
            <w:shd w:val="clear" w:color="auto" w:fill="auto"/>
            <w:vAlign w:val="center"/>
          </w:tcPr>
          <w:p w14:paraId="3A40AF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1.38</w:t>
            </w:r>
          </w:p>
        </w:tc>
      </w:tr>
      <w:tr w14:paraId="79EC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4" w:hRule="atLeast"/>
          <w:jc w:val="center"/>
        </w:trPr>
        <w:tc>
          <w:tcPr>
            <w:tcW w:w="2216" w:type="dxa"/>
            <w:shd w:val="clear" w:color="auto" w:fill="auto"/>
            <w:vAlign w:val="center"/>
          </w:tcPr>
          <w:p w14:paraId="0C43FD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升昌镇</w:t>
            </w:r>
          </w:p>
        </w:tc>
        <w:tc>
          <w:tcPr>
            <w:tcW w:w="1711" w:type="dxa"/>
            <w:shd w:val="clear" w:color="auto" w:fill="auto"/>
            <w:vAlign w:val="center"/>
          </w:tcPr>
          <w:p w14:paraId="5D9F78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257.07</w:t>
            </w:r>
          </w:p>
        </w:tc>
        <w:tc>
          <w:tcPr>
            <w:tcW w:w="1711" w:type="dxa"/>
            <w:shd w:val="clear" w:color="auto" w:fill="auto"/>
            <w:vAlign w:val="center"/>
          </w:tcPr>
          <w:p w14:paraId="6C413A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267.43</w:t>
            </w:r>
          </w:p>
        </w:tc>
        <w:tc>
          <w:tcPr>
            <w:tcW w:w="1711" w:type="dxa"/>
            <w:shd w:val="clear" w:color="auto" w:fill="auto"/>
            <w:vAlign w:val="center"/>
          </w:tcPr>
          <w:p w14:paraId="6F1AB7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257.07</w:t>
            </w:r>
          </w:p>
        </w:tc>
        <w:tc>
          <w:tcPr>
            <w:tcW w:w="1548" w:type="dxa"/>
            <w:shd w:val="clear" w:color="auto" w:fill="auto"/>
            <w:vAlign w:val="center"/>
          </w:tcPr>
          <w:p w14:paraId="332238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1.04</w:t>
            </w:r>
          </w:p>
        </w:tc>
      </w:tr>
      <w:tr w14:paraId="08FB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216" w:type="dxa"/>
            <w:shd w:val="clear" w:color="auto" w:fill="auto"/>
            <w:vAlign w:val="center"/>
          </w:tcPr>
          <w:p w14:paraId="58BF1C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丰乐镇</w:t>
            </w:r>
          </w:p>
        </w:tc>
        <w:tc>
          <w:tcPr>
            <w:tcW w:w="1711" w:type="dxa"/>
            <w:shd w:val="clear" w:color="auto" w:fill="auto"/>
            <w:vAlign w:val="center"/>
          </w:tcPr>
          <w:p w14:paraId="52525A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69</w:t>
            </w:r>
          </w:p>
        </w:tc>
        <w:tc>
          <w:tcPr>
            <w:tcW w:w="1711" w:type="dxa"/>
            <w:shd w:val="clear" w:color="auto" w:fill="auto"/>
            <w:vAlign w:val="center"/>
          </w:tcPr>
          <w:p w14:paraId="014353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69</w:t>
            </w:r>
          </w:p>
        </w:tc>
        <w:tc>
          <w:tcPr>
            <w:tcW w:w="1711" w:type="dxa"/>
            <w:shd w:val="clear" w:color="auto" w:fill="auto"/>
            <w:vAlign w:val="center"/>
          </w:tcPr>
          <w:p w14:paraId="4A07DF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69</w:t>
            </w:r>
          </w:p>
        </w:tc>
        <w:tc>
          <w:tcPr>
            <w:tcW w:w="1548" w:type="dxa"/>
            <w:shd w:val="clear" w:color="auto" w:fill="auto"/>
            <w:vAlign w:val="center"/>
          </w:tcPr>
          <w:p w14:paraId="165D9E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w:t>
            </w:r>
          </w:p>
        </w:tc>
      </w:tr>
      <w:tr w14:paraId="4F47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216" w:type="dxa"/>
            <w:shd w:val="clear" w:color="auto" w:fill="auto"/>
            <w:vAlign w:val="center"/>
          </w:tcPr>
          <w:p w14:paraId="3F36E2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太平镇</w:t>
            </w:r>
          </w:p>
        </w:tc>
        <w:tc>
          <w:tcPr>
            <w:tcW w:w="1711" w:type="dxa"/>
            <w:shd w:val="clear" w:color="auto" w:fill="auto"/>
            <w:vAlign w:val="center"/>
          </w:tcPr>
          <w:p w14:paraId="178C73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120.81</w:t>
            </w:r>
          </w:p>
        </w:tc>
        <w:tc>
          <w:tcPr>
            <w:tcW w:w="1711" w:type="dxa"/>
            <w:shd w:val="clear" w:color="auto" w:fill="auto"/>
            <w:vAlign w:val="center"/>
          </w:tcPr>
          <w:p w14:paraId="64306F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122.83</w:t>
            </w:r>
          </w:p>
        </w:tc>
        <w:tc>
          <w:tcPr>
            <w:tcW w:w="1711" w:type="dxa"/>
            <w:shd w:val="clear" w:color="auto" w:fill="auto"/>
            <w:vAlign w:val="center"/>
          </w:tcPr>
          <w:p w14:paraId="58C039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120.81</w:t>
            </w:r>
          </w:p>
        </w:tc>
        <w:tc>
          <w:tcPr>
            <w:tcW w:w="1548" w:type="dxa"/>
            <w:shd w:val="clear" w:color="auto" w:fill="auto"/>
            <w:vAlign w:val="center"/>
          </w:tcPr>
          <w:p w14:paraId="21DF95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1.02</w:t>
            </w:r>
          </w:p>
        </w:tc>
      </w:tr>
      <w:tr w14:paraId="1BA2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216" w:type="dxa"/>
            <w:shd w:val="clear" w:color="auto" w:fill="auto"/>
            <w:vAlign w:val="center"/>
          </w:tcPr>
          <w:p w14:paraId="2EDE07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腰屯乡</w:t>
            </w:r>
          </w:p>
        </w:tc>
        <w:tc>
          <w:tcPr>
            <w:tcW w:w="1711" w:type="dxa"/>
            <w:shd w:val="clear" w:color="auto" w:fill="auto"/>
            <w:vAlign w:val="center"/>
          </w:tcPr>
          <w:p w14:paraId="5DB083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57.93</w:t>
            </w:r>
          </w:p>
        </w:tc>
        <w:tc>
          <w:tcPr>
            <w:tcW w:w="1711" w:type="dxa"/>
            <w:shd w:val="clear" w:color="auto" w:fill="auto"/>
            <w:vAlign w:val="center"/>
          </w:tcPr>
          <w:p w14:paraId="3671CC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57.93</w:t>
            </w:r>
          </w:p>
        </w:tc>
        <w:tc>
          <w:tcPr>
            <w:tcW w:w="1711" w:type="dxa"/>
            <w:shd w:val="clear" w:color="auto" w:fill="auto"/>
            <w:vAlign w:val="center"/>
          </w:tcPr>
          <w:p w14:paraId="193A62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57.93</w:t>
            </w:r>
          </w:p>
        </w:tc>
        <w:tc>
          <w:tcPr>
            <w:tcW w:w="1548" w:type="dxa"/>
            <w:shd w:val="clear" w:color="auto" w:fill="auto"/>
            <w:vAlign w:val="center"/>
          </w:tcPr>
          <w:p w14:paraId="6390C6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r>
      <w:tr w14:paraId="7335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216" w:type="dxa"/>
            <w:shd w:val="clear" w:color="auto" w:fill="auto"/>
            <w:vAlign w:val="center"/>
          </w:tcPr>
          <w:p w14:paraId="26A762D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兴安乡</w:t>
            </w:r>
          </w:p>
        </w:tc>
        <w:tc>
          <w:tcPr>
            <w:tcW w:w="1711" w:type="dxa"/>
            <w:shd w:val="clear" w:color="auto" w:fill="auto"/>
            <w:vAlign w:val="center"/>
          </w:tcPr>
          <w:p w14:paraId="1F37CE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66.41</w:t>
            </w:r>
          </w:p>
        </w:tc>
        <w:tc>
          <w:tcPr>
            <w:tcW w:w="1711" w:type="dxa"/>
            <w:shd w:val="clear" w:color="auto" w:fill="auto"/>
            <w:vAlign w:val="center"/>
          </w:tcPr>
          <w:p w14:paraId="71BF68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97.4</w:t>
            </w:r>
          </w:p>
        </w:tc>
        <w:tc>
          <w:tcPr>
            <w:tcW w:w="1711" w:type="dxa"/>
            <w:shd w:val="clear" w:color="auto" w:fill="auto"/>
            <w:vAlign w:val="center"/>
          </w:tcPr>
          <w:p w14:paraId="60D071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66.41</w:t>
            </w:r>
          </w:p>
        </w:tc>
        <w:tc>
          <w:tcPr>
            <w:tcW w:w="1548" w:type="dxa"/>
            <w:shd w:val="clear" w:color="auto" w:fill="auto"/>
            <w:vAlign w:val="center"/>
          </w:tcPr>
          <w:p w14:paraId="4A47CF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r>
      <w:tr w14:paraId="5712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216" w:type="dxa"/>
            <w:shd w:val="clear" w:color="auto" w:fill="auto"/>
            <w:vAlign w:val="center"/>
          </w:tcPr>
          <w:p w14:paraId="585D07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永安乡</w:t>
            </w:r>
          </w:p>
        </w:tc>
        <w:tc>
          <w:tcPr>
            <w:tcW w:w="1711" w:type="dxa"/>
            <w:shd w:val="clear" w:color="auto" w:fill="auto"/>
            <w:vAlign w:val="center"/>
          </w:tcPr>
          <w:p w14:paraId="2BE943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70</w:t>
            </w:r>
          </w:p>
        </w:tc>
        <w:tc>
          <w:tcPr>
            <w:tcW w:w="1711" w:type="dxa"/>
            <w:shd w:val="clear" w:color="auto" w:fill="auto"/>
            <w:vAlign w:val="center"/>
          </w:tcPr>
          <w:p w14:paraId="50D600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70</w:t>
            </w:r>
          </w:p>
        </w:tc>
        <w:tc>
          <w:tcPr>
            <w:tcW w:w="1711" w:type="dxa"/>
            <w:shd w:val="clear" w:color="auto" w:fill="auto"/>
            <w:vAlign w:val="center"/>
          </w:tcPr>
          <w:p w14:paraId="790C71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70</w:t>
            </w:r>
          </w:p>
        </w:tc>
        <w:tc>
          <w:tcPr>
            <w:tcW w:w="1548" w:type="dxa"/>
            <w:shd w:val="clear" w:color="auto" w:fill="auto"/>
            <w:vAlign w:val="center"/>
          </w:tcPr>
          <w:p w14:paraId="2C6C3C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r>
      <w:tr w14:paraId="40A6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8" w:hRule="atLeast"/>
          <w:jc w:val="center"/>
        </w:trPr>
        <w:tc>
          <w:tcPr>
            <w:tcW w:w="2216" w:type="dxa"/>
            <w:shd w:val="clear" w:color="auto" w:fill="auto"/>
            <w:vAlign w:val="center"/>
          </w:tcPr>
          <w:p w14:paraId="693610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黑龙江省笔架山监狱</w:t>
            </w:r>
          </w:p>
        </w:tc>
        <w:tc>
          <w:tcPr>
            <w:tcW w:w="1711" w:type="dxa"/>
            <w:shd w:val="clear" w:color="auto" w:fill="auto"/>
            <w:vAlign w:val="center"/>
          </w:tcPr>
          <w:p w14:paraId="3967E5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305.59</w:t>
            </w:r>
          </w:p>
        </w:tc>
        <w:tc>
          <w:tcPr>
            <w:tcW w:w="1711" w:type="dxa"/>
            <w:shd w:val="clear" w:color="auto" w:fill="auto"/>
            <w:vAlign w:val="center"/>
          </w:tcPr>
          <w:p w14:paraId="2E0E07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348.16</w:t>
            </w:r>
          </w:p>
        </w:tc>
        <w:tc>
          <w:tcPr>
            <w:tcW w:w="1711" w:type="dxa"/>
            <w:shd w:val="clear" w:color="auto" w:fill="auto"/>
            <w:vAlign w:val="center"/>
          </w:tcPr>
          <w:p w14:paraId="08C298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305.59</w:t>
            </w:r>
          </w:p>
        </w:tc>
        <w:tc>
          <w:tcPr>
            <w:tcW w:w="1548" w:type="dxa"/>
            <w:shd w:val="clear" w:color="auto" w:fill="auto"/>
            <w:vAlign w:val="center"/>
          </w:tcPr>
          <w:p w14:paraId="6C0BF9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r>
      <w:tr w14:paraId="76EC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216" w:type="dxa"/>
            <w:shd w:val="clear" w:color="auto" w:fill="auto"/>
            <w:vAlign w:val="center"/>
          </w:tcPr>
          <w:p w14:paraId="31CC37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二九一农场</w:t>
            </w:r>
          </w:p>
        </w:tc>
        <w:tc>
          <w:tcPr>
            <w:tcW w:w="1711" w:type="dxa"/>
            <w:shd w:val="clear" w:color="auto" w:fill="auto"/>
            <w:vAlign w:val="center"/>
          </w:tcPr>
          <w:p w14:paraId="6D0463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430.59</w:t>
            </w:r>
          </w:p>
        </w:tc>
        <w:tc>
          <w:tcPr>
            <w:tcW w:w="1711" w:type="dxa"/>
            <w:shd w:val="clear" w:color="auto" w:fill="auto"/>
            <w:vAlign w:val="center"/>
          </w:tcPr>
          <w:p w14:paraId="3AC7FD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611.36</w:t>
            </w:r>
          </w:p>
        </w:tc>
        <w:tc>
          <w:tcPr>
            <w:tcW w:w="1711" w:type="dxa"/>
            <w:shd w:val="clear" w:color="auto" w:fill="auto"/>
            <w:vAlign w:val="center"/>
          </w:tcPr>
          <w:p w14:paraId="3B6023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430.59</w:t>
            </w:r>
          </w:p>
        </w:tc>
        <w:tc>
          <w:tcPr>
            <w:tcW w:w="1548" w:type="dxa"/>
            <w:shd w:val="clear" w:color="auto" w:fill="auto"/>
            <w:vAlign w:val="center"/>
          </w:tcPr>
          <w:p w14:paraId="119B3F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r>
      <w:tr w14:paraId="7943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216" w:type="dxa"/>
            <w:shd w:val="clear" w:color="auto" w:fill="auto"/>
            <w:vAlign w:val="center"/>
          </w:tcPr>
          <w:p w14:paraId="0B3654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友谊农场</w:t>
            </w:r>
          </w:p>
        </w:tc>
        <w:tc>
          <w:tcPr>
            <w:tcW w:w="1711" w:type="dxa"/>
            <w:shd w:val="clear" w:color="auto" w:fill="auto"/>
            <w:vAlign w:val="center"/>
          </w:tcPr>
          <w:p w14:paraId="197539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0</w:t>
            </w:r>
          </w:p>
        </w:tc>
        <w:tc>
          <w:tcPr>
            <w:tcW w:w="1711" w:type="dxa"/>
            <w:shd w:val="clear" w:color="auto" w:fill="auto"/>
            <w:vAlign w:val="center"/>
          </w:tcPr>
          <w:p w14:paraId="199503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0</w:t>
            </w:r>
          </w:p>
        </w:tc>
        <w:tc>
          <w:tcPr>
            <w:tcW w:w="1711" w:type="dxa"/>
            <w:shd w:val="clear" w:color="auto" w:fill="auto"/>
            <w:vAlign w:val="center"/>
          </w:tcPr>
          <w:p w14:paraId="71A47A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0</w:t>
            </w:r>
          </w:p>
        </w:tc>
        <w:tc>
          <w:tcPr>
            <w:tcW w:w="1548" w:type="dxa"/>
            <w:shd w:val="clear" w:color="auto" w:fill="auto"/>
            <w:vAlign w:val="center"/>
          </w:tcPr>
          <w:p w14:paraId="17989A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r>
      <w:tr w14:paraId="000C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1" w:hRule="atLeast"/>
          <w:jc w:val="center"/>
        </w:trPr>
        <w:tc>
          <w:tcPr>
            <w:tcW w:w="2216" w:type="dxa"/>
            <w:shd w:val="clear" w:color="auto" w:fill="auto"/>
            <w:vAlign w:val="center"/>
          </w:tcPr>
          <w:p w14:paraId="006875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宝山农场</w:t>
            </w:r>
          </w:p>
        </w:tc>
        <w:tc>
          <w:tcPr>
            <w:tcW w:w="1711" w:type="dxa"/>
            <w:shd w:val="clear" w:color="auto" w:fill="auto"/>
            <w:vAlign w:val="center"/>
          </w:tcPr>
          <w:p w14:paraId="71A9BB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46.17</w:t>
            </w:r>
          </w:p>
        </w:tc>
        <w:tc>
          <w:tcPr>
            <w:tcW w:w="1711" w:type="dxa"/>
            <w:shd w:val="clear" w:color="auto" w:fill="auto"/>
            <w:vAlign w:val="center"/>
          </w:tcPr>
          <w:p w14:paraId="1BC557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61.43</w:t>
            </w:r>
          </w:p>
        </w:tc>
        <w:tc>
          <w:tcPr>
            <w:tcW w:w="1711" w:type="dxa"/>
            <w:shd w:val="clear" w:color="auto" w:fill="auto"/>
            <w:vAlign w:val="center"/>
          </w:tcPr>
          <w:p w14:paraId="2F3A77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46.17</w:t>
            </w:r>
          </w:p>
        </w:tc>
        <w:tc>
          <w:tcPr>
            <w:tcW w:w="1548" w:type="dxa"/>
            <w:shd w:val="clear" w:color="auto" w:fill="auto"/>
            <w:vAlign w:val="center"/>
          </w:tcPr>
          <w:p w14:paraId="0D0E75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r>
      <w:tr w14:paraId="5338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4" w:hRule="atLeast"/>
          <w:jc w:val="center"/>
        </w:trPr>
        <w:tc>
          <w:tcPr>
            <w:tcW w:w="2216" w:type="dxa"/>
            <w:shd w:val="clear" w:color="auto" w:fill="auto"/>
            <w:vAlign w:val="center"/>
          </w:tcPr>
          <w:p w14:paraId="3E72D5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集贤县</w:t>
            </w:r>
          </w:p>
        </w:tc>
        <w:tc>
          <w:tcPr>
            <w:tcW w:w="1711" w:type="dxa"/>
            <w:shd w:val="clear" w:color="auto" w:fill="auto"/>
            <w:vAlign w:val="center"/>
          </w:tcPr>
          <w:p w14:paraId="041DC0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3654.68</w:t>
            </w:r>
          </w:p>
        </w:tc>
        <w:tc>
          <w:tcPr>
            <w:tcW w:w="1711" w:type="dxa"/>
            <w:shd w:val="clear" w:color="auto" w:fill="auto"/>
            <w:vAlign w:val="center"/>
          </w:tcPr>
          <w:p w14:paraId="58CF9F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5076.81</w:t>
            </w:r>
          </w:p>
        </w:tc>
        <w:tc>
          <w:tcPr>
            <w:tcW w:w="1711" w:type="dxa"/>
            <w:shd w:val="clear" w:color="auto" w:fill="auto"/>
            <w:vAlign w:val="center"/>
          </w:tcPr>
          <w:p w14:paraId="501351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3514.65</w:t>
            </w:r>
          </w:p>
        </w:tc>
        <w:tc>
          <w:tcPr>
            <w:tcW w:w="1548" w:type="dxa"/>
            <w:shd w:val="clear" w:color="auto" w:fill="auto"/>
            <w:vAlign w:val="center"/>
          </w:tcPr>
          <w:p w14:paraId="0CF778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1.25</w:t>
            </w:r>
          </w:p>
        </w:tc>
      </w:tr>
      <w:tr w14:paraId="18E3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216" w:type="dxa"/>
            <w:shd w:val="clear" w:color="auto" w:fill="auto"/>
            <w:vAlign w:val="center"/>
          </w:tcPr>
          <w:p w14:paraId="35D155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其中：中心城区</w:t>
            </w:r>
          </w:p>
        </w:tc>
        <w:tc>
          <w:tcPr>
            <w:tcW w:w="1711" w:type="dxa"/>
            <w:shd w:val="clear" w:color="auto" w:fill="auto"/>
            <w:vAlign w:val="center"/>
          </w:tcPr>
          <w:p w14:paraId="5105DA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p>
        </w:tc>
        <w:tc>
          <w:tcPr>
            <w:tcW w:w="1711" w:type="dxa"/>
            <w:shd w:val="clear" w:color="auto" w:fill="auto"/>
            <w:vAlign w:val="center"/>
          </w:tcPr>
          <w:p w14:paraId="05176E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2377.89</w:t>
            </w:r>
          </w:p>
        </w:tc>
        <w:tc>
          <w:tcPr>
            <w:tcW w:w="1711" w:type="dxa"/>
            <w:shd w:val="clear" w:color="auto" w:fill="auto"/>
            <w:vAlign w:val="center"/>
          </w:tcPr>
          <w:p w14:paraId="2D16AC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p>
        </w:tc>
        <w:tc>
          <w:tcPr>
            <w:tcW w:w="1548" w:type="dxa"/>
            <w:shd w:val="clear" w:color="auto" w:fill="auto"/>
            <w:noWrap/>
            <w:vAlign w:val="center"/>
          </w:tcPr>
          <w:p w14:paraId="3FD5B0D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p>
        </w:tc>
      </w:tr>
    </w:tbl>
    <w:p w14:paraId="40150419">
      <w:pPr>
        <w:pStyle w:val="40"/>
        <w:bidi w:val="0"/>
        <w:rPr>
          <w:rFonts w:hint="default" w:ascii="黑体" w:hAnsi="黑体" w:eastAsia="黑体" w:cs="黑体"/>
          <w:b w:val="0"/>
          <w:bCs/>
          <w:caps w:val="0"/>
          <w:smallCaps w:val="0"/>
          <w:color w:val="auto"/>
          <w:spacing w:val="0"/>
          <w:lang w:val="en-US" w:eastAsia="zh-CN"/>
        </w:rPr>
      </w:pPr>
      <w:bookmarkStart w:id="65" w:name="_Toc21908"/>
      <w:bookmarkStart w:id="66" w:name="_Toc32513"/>
      <w:bookmarkStart w:id="67" w:name="_Toc13498"/>
      <w:bookmarkStart w:id="68" w:name="_Toc18926"/>
      <w:bookmarkStart w:id="69" w:name="_Toc16724"/>
      <w:r>
        <w:rPr>
          <w:rFonts w:hint="eastAsia" w:ascii="黑体" w:hAnsi="黑体" w:eastAsia="黑体" w:cs="黑体"/>
          <w:b w:val="0"/>
          <w:bCs/>
          <w:caps w:val="0"/>
          <w:smallCaps w:val="0"/>
          <w:color w:val="auto"/>
          <w:spacing w:val="0"/>
          <w:lang w:val="en-US" w:eastAsia="zh-CN"/>
        </w:rPr>
        <w:t>四、</w:t>
      </w:r>
      <w:r>
        <w:rPr>
          <w:rFonts w:hint="default" w:ascii="黑体" w:hAnsi="黑体" w:eastAsia="黑体" w:cs="黑体"/>
          <w:b w:val="0"/>
          <w:bCs/>
          <w:caps w:val="0"/>
          <w:smallCaps w:val="0"/>
          <w:color w:val="auto"/>
          <w:spacing w:val="0"/>
          <w:lang w:val="en-US" w:eastAsia="zh-CN"/>
        </w:rPr>
        <w:t>建筑垃圾</w:t>
      </w:r>
      <w:r>
        <w:rPr>
          <w:rFonts w:hint="eastAsia" w:ascii="黑体" w:hAnsi="黑体" w:eastAsia="黑体" w:cs="黑体"/>
          <w:b w:val="0"/>
          <w:bCs/>
          <w:caps w:val="0"/>
          <w:smallCaps w:val="0"/>
          <w:color w:val="auto"/>
          <w:spacing w:val="0"/>
          <w:lang w:val="en-US" w:eastAsia="zh-CN"/>
        </w:rPr>
        <w:t>宏观影响因素分析</w:t>
      </w:r>
      <w:bookmarkEnd w:id="65"/>
    </w:p>
    <w:p w14:paraId="20F4B95B">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kern w:val="44"/>
          <w:sz w:val="32"/>
          <w:szCs w:val="28"/>
          <w:lang w:val="en-US" w:eastAsia="zh-CN" w:bidi="ar-SA"/>
        </w:rPr>
      </w:pPr>
      <w:r>
        <w:rPr>
          <w:rFonts w:hint="eastAsia" w:ascii="楷体_GB2312" w:hAnsi="楷体_GB2312" w:eastAsia="楷体_GB2312" w:cs="楷体_GB2312"/>
          <w:b w:val="0"/>
          <w:bCs w:val="0"/>
          <w:caps w:val="0"/>
          <w:smallCaps w:val="0"/>
          <w:color w:val="auto"/>
          <w:spacing w:val="0"/>
          <w:kern w:val="44"/>
          <w:sz w:val="32"/>
          <w:szCs w:val="28"/>
          <w:lang w:val="en-US" w:eastAsia="zh-CN" w:bidi="ar-SA"/>
        </w:rPr>
        <w:t>1．城镇规模</w:t>
      </w:r>
      <w:bookmarkEnd w:id="66"/>
      <w:bookmarkEnd w:id="67"/>
    </w:p>
    <w:p w14:paraId="2DF17158">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caps w:val="0"/>
          <w:smallCaps w:val="0"/>
          <w:color w:val="auto"/>
          <w:spacing w:val="0"/>
          <w:lang w:val="en-US" w:eastAsia="zh-CN"/>
        </w:rPr>
      </w:pPr>
      <w:r>
        <w:rPr>
          <w:rFonts w:hint="eastAsia" w:ascii="仿宋_GB2312" w:hAnsi="仿宋_GB2312" w:eastAsia="仿宋_GB2312" w:cs="仿宋_GB2312"/>
          <w:b w:val="0"/>
          <w:bCs/>
          <w:caps w:val="0"/>
          <w:smallCaps w:val="0"/>
          <w:color w:val="auto"/>
          <w:spacing w:val="0"/>
        </w:rPr>
        <w:t>集贤中心城区在双福同城化的发展思路下，优先发展 南部， 联动尖山， 完善市级职能；积极向北拓展，拉大城市空间发展框架； 大力向西扩展，打造集贤新门户；向东打造滨水空间，同时联动双鸭山经济开发区建设。规划至 2025 年，中心城区常住人口规模为 11 万人。规</w:t>
      </w:r>
      <w:bookmarkStart w:id="70" w:name="bookmark48"/>
      <w:bookmarkEnd w:id="70"/>
      <w:r>
        <w:rPr>
          <w:rFonts w:hint="eastAsia" w:ascii="仿宋_GB2312" w:hAnsi="仿宋_GB2312" w:eastAsia="仿宋_GB2312" w:cs="仿宋_GB2312"/>
          <w:b w:val="0"/>
          <w:bCs/>
          <w:caps w:val="0"/>
          <w:smallCaps w:val="0"/>
          <w:color w:val="auto"/>
          <w:spacing w:val="0"/>
        </w:rPr>
        <w:t>划至 2035 年，中心城区常住人口规模为 14.5 万人。按中心城区开发边界划定中心城区控制范围，总面积2659.95公顷，主要位于福利镇政府所</w:t>
      </w:r>
      <w:r>
        <w:rPr>
          <w:rFonts w:hint="eastAsia" w:ascii="仿宋_GB2312" w:hAnsi="仿宋_GB2312" w:eastAsia="仿宋_GB2312" w:cs="仿宋_GB2312"/>
          <w:b w:val="0"/>
          <w:bCs/>
          <w:caps w:val="0"/>
          <w:smallCaps w:val="0"/>
          <w:color w:val="auto"/>
          <w:spacing w:val="0"/>
          <w:lang w:val="en-US" w:eastAsia="zh-CN"/>
        </w:rPr>
        <w:t>在地。</w:t>
      </w:r>
    </w:p>
    <w:bookmarkEnd w:id="68"/>
    <w:bookmarkEnd w:id="69"/>
    <w:p w14:paraId="17A6721E">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kern w:val="44"/>
          <w:sz w:val="32"/>
          <w:szCs w:val="28"/>
          <w:lang w:val="en-US" w:eastAsia="zh-CN" w:bidi="ar-SA"/>
        </w:rPr>
      </w:pPr>
      <w:bookmarkStart w:id="71" w:name="_Toc15044"/>
      <w:bookmarkStart w:id="72" w:name="_Toc6604"/>
      <w:r>
        <w:rPr>
          <w:rFonts w:hint="eastAsia" w:ascii="楷体_GB2312" w:hAnsi="楷体_GB2312" w:eastAsia="楷体_GB2312" w:cs="楷体_GB2312"/>
          <w:b w:val="0"/>
          <w:bCs w:val="0"/>
          <w:caps w:val="0"/>
          <w:smallCaps w:val="0"/>
          <w:color w:val="auto"/>
          <w:spacing w:val="0"/>
          <w:kern w:val="44"/>
          <w:sz w:val="32"/>
          <w:szCs w:val="28"/>
          <w:lang w:val="en-US" w:eastAsia="zh-CN" w:bidi="ar-SA"/>
        </w:rPr>
        <w:t>2．</w:t>
      </w:r>
      <w:r>
        <w:rPr>
          <w:rFonts w:hint="default" w:ascii="楷体_GB2312" w:hAnsi="楷体_GB2312" w:eastAsia="楷体_GB2312" w:cs="楷体_GB2312"/>
          <w:b w:val="0"/>
          <w:bCs w:val="0"/>
          <w:caps w:val="0"/>
          <w:smallCaps w:val="0"/>
          <w:color w:val="auto"/>
          <w:spacing w:val="0"/>
          <w:kern w:val="44"/>
          <w:sz w:val="32"/>
          <w:szCs w:val="28"/>
          <w:lang w:val="en-US" w:eastAsia="zh-CN" w:bidi="ar-SA"/>
        </w:rPr>
        <w:t>人口、GDP分布与建筑垃圾产生量关系</w:t>
      </w:r>
      <w:bookmarkEnd w:id="71"/>
    </w:p>
    <w:p w14:paraId="1D38F460">
      <w:pPr>
        <w:pStyle w:val="40"/>
        <w:keepNext w:val="0"/>
        <w:keepLines w:val="0"/>
        <w:pageBreakBefore w:val="0"/>
        <w:widowControl w:val="0"/>
        <w:numPr>
          <w:ilvl w:val="0"/>
          <w:numId w:val="0"/>
        </w:numPr>
        <w:kinsoku/>
        <w:wordWrap/>
        <w:overflowPunct/>
        <w:topLinePunct w:val="0"/>
        <w:autoSpaceDE/>
        <w:autoSpaceDN/>
        <w:bidi w:val="0"/>
        <w:adjustRightInd/>
        <w:snapToGrid/>
        <w:spacing w:line="576" w:lineRule="exact"/>
        <w:ind w:left="402" w:leftChars="0"/>
        <w:textAlignment w:val="auto"/>
        <w:rPr>
          <w:rFonts w:hint="eastAsia" w:ascii="仿宋_GB2312" w:hAnsi="仿宋_GB2312" w:eastAsia="仿宋_GB2312" w:cs="仿宋_GB2312"/>
          <w:b w:val="0"/>
          <w:bCs/>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caps w:val="0"/>
          <w:smallCaps w:val="0"/>
          <w:color w:val="auto"/>
          <w:spacing w:val="0"/>
          <w:lang w:val="en-US" w:eastAsia="zh-CN"/>
        </w:rPr>
        <w:t>人口与建筑垃圾产生量的关系</w:t>
      </w:r>
    </w:p>
    <w:p w14:paraId="702FCD5E">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b w:val="0"/>
          <w:bCs/>
          <w:caps w:val="0"/>
          <w:smallCaps w:val="0"/>
          <w:color w:val="auto"/>
          <w:spacing w:val="0"/>
          <w:lang w:val="en-US" w:eastAsia="zh-CN"/>
        </w:rPr>
        <w:t>人口数量的变化对建筑垃圾产生量有着直接的影响</w:t>
      </w:r>
      <w:r>
        <w:rPr>
          <w:rFonts w:hint="eastAsia" w:ascii="仿宋_GB2312" w:hAnsi="仿宋_GB2312" w:eastAsia="仿宋_GB2312" w:cs="仿宋_GB2312"/>
          <w:caps w:val="0"/>
          <w:smallCaps w:val="0"/>
          <w:color w:val="auto"/>
          <w:spacing w:val="0"/>
          <w:lang w:val="en-US" w:eastAsia="zh-CN"/>
        </w:rPr>
        <w:t>。当人口增加时，住房需求往往会相应增加。新建住宅、商业建筑以及基础设施的建设活动也会更加频繁，这将直接导致建筑垃圾的产生量上升。例如，新的居民区建设会产生大量的建筑渣土、废弃砖瓦等建筑垃圾。当人口减少时，建设活动可能会相对减少，因为对住房和其他建筑的需求降低。这可能会使得建筑垃圾的产生量有所下降。然而，即使人口减少，旧建筑的拆除、翻新以及基础设施的维护和改造仍可能会产生一定量的建筑垃圾。</w:t>
      </w:r>
    </w:p>
    <w:p w14:paraId="22E05609">
      <w:pPr>
        <w:pStyle w:val="40"/>
        <w:numPr>
          <w:ilvl w:val="0"/>
          <w:numId w:val="0"/>
        </w:numPr>
        <w:bidi w:val="0"/>
        <w:ind w:left="402" w:leftChars="0"/>
        <w:rPr>
          <w:rFonts w:hint="eastAsia" w:ascii="仿宋_GB2312" w:hAnsi="仿宋_GB2312" w:eastAsia="仿宋_GB2312" w:cs="仿宋_GB2312"/>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caps w:val="0"/>
          <w:smallCaps w:val="0"/>
          <w:color w:val="auto"/>
          <w:spacing w:val="0"/>
          <w:lang w:val="en-US" w:eastAsia="zh-CN"/>
        </w:rPr>
        <w:t>GDP 与建筑垃圾产生量的关系</w:t>
      </w:r>
    </w:p>
    <w:p w14:paraId="60A5296D">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GDP的增长与建筑垃圾产生量之间存在较为复杂的关系。经济较好城市建筑垃圾增长与人均GDP之间表现为先上升后下降的倒U型曲线，有较明显的环境库兹涅茨曲线特点，经济状况较为落后城市则基本表现为线性上升的曲线，目前可能处于环境库兹涅茨曲线的前半段。环境库兹涅茨曲线是指在一个国家或地区的经济发展过程中，其环境污染状况随经济增长先恶化后改善的一种倒 U 型曲线关系。</w:t>
      </w:r>
    </w:p>
    <w:p w14:paraId="1DF45A68">
      <w:pPr>
        <w:pStyle w:val="40"/>
        <w:bidi w:val="0"/>
        <w:ind w:left="0" w:leftChars="0" w:firstLine="0" w:firstLineChars="0"/>
        <w:jc w:val="center"/>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drawing>
          <wp:anchor distT="0" distB="0" distL="114300" distR="114300" simplePos="0" relativeHeight="251659264" behindDoc="0" locked="0" layoutInCell="1" allowOverlap="1">
            <wp:simplePos x="0" y="0"/>
            <wp:positionH relativeFrom="column">
              <wp:posOffset>424180</wp:posOffset>
            </wp:positionH>
            <wp:positionV relativeFrom="paragraph">
              <wp:posOffset>31750</wp:posOffset>
            </wp:positionV>
            <wp:extent cx="5073650" cy="2341880"/>
            <wp:effectExtent l="0" t="0" r="6350" b="7620"/>
            <wp:wrapTopAndBottom/>
            <wp:docPr id="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6"/>
                    <pic:cNvPicPr>
                      <a:picLocks noChangeAspect="1"/>
                    </pic:cNvPicPr>
                  </pic:nvPicPr>
                  <pic:blipFill>
                    <a:blip r:embed="rId23"/>
                    <a:srcRect t="14768" b="10212"/>
                    <a:stretch>
                      <a:fillRect/>
                    </a:stretch>
                  </pic:blipFill>
                  <pic:spPr>
                    <a:xfrm>
                      <a:off x="0" y="0"/>
                      <a:ext cx="5073650" cy="2341880"/>
                    </a:xfrm>
                    <a:prstGeom prst="rect">
                      <a:avLst/>
                    </a:prstGeom>
                    <a:noFill/>
                    <a:ln>
                      <a:noFill/>
                    </a:ln>
                  </pic:spPr>
                </pic:pic>
              </a:graphicData>
            </a:graphic>
          </wp:anchor>
        </w:drawing>
      </w:r>
      <w:r>
        <w:rPr>
          <w:rFonts w:hint="eastAsia" w:ascii="仿宋_GB2312" w:hAnsi="仿宋_GB2312" w:eastAsia="仿宋_GB2312" w:cs="仿宋_GB2312"/>
          <w:caps w:val="0"/>
          <w:smallCaps w:val="0"/>
          <w:color w:val="auto"/>
          <w:spacing w:val="0"/>
          <w:lang w:val="en-US" w:eastAsia="zh-CN"/>
        </w:rPr>
        <w:t>人均GDP与环境退化率关系图</w:t>
      </w:r>
    </w:p>
    <w:p w14:paraId="30B8432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预测集贤县2024年到2030年GDP增长情况，集贤县GDP呈逐年增长</w:t>
      </w:r>
      <w:r>
        <w:rPr>
          <w:rFonts w:hint="eastAsia" w:ascii="仿宋_GB2312" w:hAnsi="仿宋_GB2312" w:eastAsia="仿宋_GB2312" w:cs="仿宋_GB2312"/>
          <w:b w:val="0"/>
          <w:bCs w:val="0"/>
          <w:caps w:val="0"/>
          <w:smallCaps w:val="0"/>
          <w:color w:val="auto"/>
          <w:spacing w:val="0"/>
          <w:lang w:val="en-US" w:eastAsia="zh-CN"/>
        </w:rPr>
        <w:t>趋势，处于环境库兹涅茨曲线的前半段，即处于上升趋势阶段，建筑垃圾产生量与人均GDP正相关，但从理论上来考量，这种趋势不会持续，当城市建设达到一定水平后，仍会呈现抛物线，出现下降趋势。</w:t>
      </w:r>
    </w:p>
    <w:p w14:paraId="20F93FA1">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人口、GDP 与建筑垃圾产生量的综合关系</w:t>
      </w:r>
    </w:p>
    <w:p w14:paraId="47FEBF0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人口和GDP往往相互影响，并共同作用于建筑垃圾产生量。集贤县人口下降但 GDP 却逐年增长，说明人均占有 GDP 水平升高。经济的增长往往伴随着各类建筑活动的增加，如新建筑工程的开展、既有建筑的装修改造以及老旧建筑的拆除等，这些活动都会相应地产生建筑工程垃圾、装修垃圾和拆除垃圾。虽然人口数量逐年减少但随着经济发展，建筑工程垃圾产生量修正系数、装修垃圾产生量修正系数、拆除垃圾产生量修正系数是逐年上升的趋势。</w:t>
      </w:r>
    </w:p>
    <w:p w14:paraId="51C6BF69">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kern w:val="44"/>
          <w:sz w:val="32"/>
          <w:szCs w:val="28"/>
          <w:lang w:val="en-US" w:eastAsia="zh-CN" w:bidi="ar-SA"/>
        </w:rPr>
      </w:pPr>
      <w:bookmarkStart w:id="73" w:name="_Toc15388"/>
      <w:bookmarkStart w:id="74" w:name="_Toc15978"/>
      <w:bookmarkStart w:id="75" w:name="_Toc4731"/>
      <w:r>
        <w:rPr>
          <w:rFonts w:hint="eastAsia" w:ascii="楷体_GB2312" w:hAnsi="楷体_GB2312" w:eastAsia="楷体_GB2312" w:cs="楷体_GB2312"/>
          <w:b w:val="0"/>
          <w:bCs w:val="0"/>
          <w:caps w:val="0"/>
          <w:smallCaps w:val="0"/>
          <w:color w:val="auto"/>
          <w:spacing w:val="0"/>
          <w:kern w:val="44"/>
          <w:sz w:val="32"/>
          <w:szCs w:val="28"/>
          <w:lang w:val="en-US" w:eastAsia="zh-CN" w:bidi="ar-SA"/>
        </w:rPr>
        <w:t>3．集贤县</w:t>
      </w:r>
      <w:r>
        <w:rPr>
          <w:rFonts w:hint="default" w:ascii="楷体_GB2312" w:hAnsi="楷体_GB2312" w:eastAsia="楷体_GB2312" w:cs="楷体_GB2312"/>
          <w:b w:val="0"/>
          <w:bCs w:val="0"/>
          <w:caps w:val="0"/>
          <w:smallCaps w:val="0"/>
          <w:color w:val="auto"/>
          <w:spacing w:val="0"/>
          <w:kern w:val="44"/>
          <w:sz w:val="32"/>
          <w:szCs w:val="28"/>
          <w:lang w:val="en-US" w:eastAsia="zh-CN" w:bidi="ar-SA"/>
        </w:rPr>
        <w:t>经济分析及预测</w:t>
      </w:r>
      <w:bookmarkEnd w:id="73"/>
      <w:bookmarkEnd w:id="74"/>
      <w:bookmarkEnd w:id="75"/>
    </w:p>
    <w:p w14:paraId="49854783">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根据近年来政府信息公开数据，集贤县在后疫情时期经济增速起伏较大。</w:t>
      </w:r>
    </w:p>
    <w:p w14:paraId="3CDB37F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2020年，集贤县国民生产总值72.60亿元，按可比价格计算比上年增长3.5%。</w:t>
      </w:r>
    </w:p>
    <w:p w14:paraId="475ED24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2021年，地区生产总值预计实现81.1亿元，同比增长8%。规上工业增加值同比增长12%；固定资产投资同比增长18.45%；社会消费品零售额同比增长10%；外贸进出口实现1900万元，同比增长26.7%；一般公共预算收入实现3.2亿元，同比增长25%；实际利用省外资金实现11.8亿元，同比增长51%；城镇居民人均可支配收入30924元，同比增长6.5%；农村居民人均可支配收入15638元，同比增长10%。</w:t>
      </w:r>
    </w:p>
    <w:p w14:paraId="378F0F0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2022年地区生产总值同比增长6%；规上工业增加值预计同比增长8%；社会消费品零售总额预计同比增长2%；固定资产投资预计同比增长20%以上；外贸进出口总额预计同比增长100%；一般公共预算收入预计同比增长31.5%；城镇居民人均可支配收入预计同比增长7%；农村居民人均可支配收入预计同比增长7%。</w:t>
      </w:r>
    </w:p>
    <w:p w14:paraId="266804F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2023年，地区生产总值同比增长1%；规模以上工业增加值下降30%；固定资产投资同比增长2.5%；全年一般公共预算同比增长19.7%；社会消费品零售总额增长7%；外贸进出口总额增长26%；利用内资23.3亿元，增长12.5%。</w:t>
      </w:r>
    </w:p>
    <w:p w14:paraId="2C35CC4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关于集贤县2023年国民经济和社会发展计划执行情况与2024年国民经济和社会发展计划（草案）的报告》中提出，2024年全县经济社会发展主要预期目标为：地区生产总值同比增长6.5%左右；农林牧渔业总值同比增长5%以上；规模以上工业增加值同比增长10％以上；固定资产投资同比增长15%以上；社会消费品零售总额同比增长7%以上；利用内资同比增长20%以上；外贸进出口总值同比增长15%以上；一般公共预算收入同比增长8%以上；城乡居民人均可支配收入与经济增长基本同步。</w:t>
      </w:r>
    </w:p>
    <w:p w14:paraId="2999102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可以看出，集贤县国民经济农业发展平稳向好，产量与产值持续增长。2020年—2022年，疫情结束产业复苏较快，集贤县迎来快速发展。2023年受制于国内外经济环境影响，工业发展发生了倒退，导致全县国民生产总值增速大幅下降。结合近期国家相继出台一系列促进经济发展的政策，可以预见集贤县经济近期受农业发展的带动，持续复苏。中期工业向外贸转型发展，“双福同城”战略得到有效实施，国土空间规划发展目标将逐步得到实现。</w:t>
      </w:r>
    </w:p>
    <w:p w14:paraId="1B67004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因此，从宏观经济发展状态，可以预测集贤县近期建筑垃圾产量为，近期建筑垃圾产量较为稳定，至中期建筑垃圾年产量逐年增大。</w:t>
      </w:r>
    </w:p>
    <w:bookmarkEnd w:id="72"/>
    <w:p w14:paraId="0EE67C1B">
      <w:pPr>
        <w:pStyle w:val="40"/>
        <w:bidi w:val="0"/>
        <w:rPr>
          <w:rFonts w:hint="eastAsia" w:ascii="黑体" w:hAnsi="黑体" w:eastAsia="黑体" w:cs="黑体"/>
          <w:b w:val="0"/>
          <w:bCs w:val="0"/>
          <w:caps w:val="0"/>
          <w:smallCaps w:val="0"/>
          <w:color w:val="auto"/>
          <w:spacing w:val="0"/>
          <w:lang w:val="en-US" w:eastAsia="zh-CN"/>
        </w:rPr>
      </w:pPr>
      <w:bookmarkStart w:id="76" w:name="_Toc28049"/>
      <w:bookmarkStart w:id="77" w:name="_Toc11660"/>
      <w:bookmarkStart w:id="78" w:name="_Toc27010"/>
      <w:r>
        <w:rPr>
          <w:rFonts w:hint="eastAsia" w:ascii="黑体" w:hAnsi="黑体" w:eastAsia="黑体" w:cs="黑体"/>
          <w:b w:val="0"/>
          <w:bCs w:val="0"/>
          <w:caps w:val="0"/>
          <w:smallCaps w:val="0"/>
          <w:color w:val="auto"/>
          <w:spacing w:val="0"/>
          <w:lang w:val="en-US" w:eastAsia="zh-CN"/>
        </w:rPr>
        <w:t>五、规模预测</w:t>
      </w:r>
      <w:bookmarkEnd w:id="76"/>
      <w:bookmarkEnd w:id="77"/>
      <w:bookmarkEnd w:id="78"/>
    </w:p>
    <w:p w14:paraId="3E88864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建筑垃圾产生量宜按工程渣土、工程泥浆、工程垃圾、拆除垃圾和装修垃圾分类统计，其组成成分可按下列规定进行计算。</w:t>
      </w:r>
    </w:p>
    <w:p w14:paraId="0B57A694">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kern w:val="44"/>
          <w:sz w:val="32"/>
          <w:szCs w:val="28"/>
          <w:lang w:val="en-US" w:eastAsia="zh-CN" w:bidi="ar-SA"/>
        </w:rPr>
      </w:pPr>
      <w:r>
        <w:rPr>
          <w:rFonts w:hint="eastAsia" w:ascii="楷体_GB2312" w:hAnsi="楷体_GB2312" w:eastAsia="楷体_GB2312" w:cs="楷体_GB2312"/>
          <w:b w:val="0"/>
          <w:bCs w:val="0"/>
          <w:caps w:val="0"/>
          <w:smallCaps w:val="0"/>
          <w:color w:val="auto"/>
          <w:spacing w:val="0"/>
          <w:kern w:val="44"/>
          <w:sz w:val="32"/>
          <w:szCs w:val="28"/>
          <w:lang w:val="en-US" w:eastAsia="zh-CN" w:bidi="ar-SA"/>
        </w:rPr>
        <w:t>1．</w:t>
      </w:r>
      <w:r>
        <w:rPr>
          <w:rFonts w:hint="default" w:ascii="楷体_GB2312" w:hAnsi="楷体_GB2312" w:eastAsia="楷体_GB2312" w:cs="楷体_GB2312"/>
          <w:b w:val="0"/>
          <w:bCs w:val="0"/>
          <w:caps w:val="0"/>
          <w:smallCaps w:val="0"/>
          <w:color w:val="auto"/>
          <w:spacing w:val="0"/>
          <w:kern w:val="44"/>
          <w:sz w:val="32"/>
          <w:szCs w:val="28"/>
          <w:lang w:val="en-US" w:eastAsia="zh-CN" w:bidi="ar-SA"/>
        </w:rPr>
        <w:t>建筑</w:t>
      </w:r>
      <w:r>
        <w:rPr>
          <w:rFonts w:hint="eastAsia" w:ascii="楷体_GB2312" w:hAnsi="楷体_GB2312" w:eastAsia="楷体_GB2312" w:cs="楷体_GB2312"/>
          <w:b w:val="0"/>
          <w:bCs w:val="0"/>
          <w:caps w:val="0"/>
          <w:smallCaps w:val="0"/>
          <w:color w:val="auto"/>
          <w:spacing w:val="0"/>
          <w:kern w:val="44"/>
          <w:sz w:val="32"/>
          <w:szCs w:val="28"/>
          <w:lang w:val="en-US" w:eastAsia="zh-CN" w:bidi="ar-SA"/>
        </w:rPr>
        <w:t>工程</w:t>
      </w:r>
      <w:r>
        <w:rPr>
          <w:rFonts w:hint="default" w:ascii="楷体_GB2312" w:hAnsi="楷体_GB2312" w:eastAsia="楷体_GB2312" w:cs="楷体_GB2312"/>
          <w:b w:val="0"/>
          <w:bCs w:val="0"/>
          <w:caps w:val="0"/>
          <w:smallCaps w:val="0"/>
          <w:color w:val="auto"/>
          <w:spacing w:val="0"/>
          <w:kern w:val="44"/>
          <w:sz w:val="32"/>
          <w:szCs w:val="28"/>
          <w:lang w:val="en-US" w:eastAsia="zh-CN" w:bidi="ar-SA"/>
        </w:rPr>
        <w:t>垃圾：</w:t>
      </w:r>
    </w:p>
    <w:p w14:paraId="0A1E17C3">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在施工现场中，不同结构类型建筑物所产生的建筑工程垃圾各种成分的含量有所不同，但其主要成分一致，主要有散落的砂浆和混凝土、剔凿产生的砖石和混凝土碎块、打桩截下的钢筋混凝土桩头、废金属料、竹木材、各种包装材料，约占建筑垃圾总量的80%，其他垃圾成分约占20%，表1.1中列出了不同结构形式的建筑工地中建筑施工垃圾组成比例和单位建筑面积产生的垃圾量。</w:t>
      </w:r>
    </w:p>
    <w:p w14:paraId="4F524E30">
      <w:pPr>
        <w:pStyle w:val="40"/>
        <w:bidi w:val="0"/>
        <w:ind w:left="0" w:leftChars="0" w:firstLine="0" w:firstLineChars="0"/>
        <w:jc w:val="center"/>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建筑工程垃圾数量和组成       （单位：%）</w:t>
      </w:r>
    </w:p>
    <w:tbl>
      <w:tblPr>
        <w:tblStyle w:val="2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2339"/>
        <w:gridCol w:w="1985"/>
        <w:gridCol w:w="2318"/>
      </w:tblGrid>
      <w:tr w14:paraId="2A51D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0" w:type="dxa"/>
            <w:vMerge w:val="restart"/>
            <w:noWrap w:val="0"/>
            <w:vAlign w:val="center"/>
          </w:tcPr>
          <w:p w14:paraId="69B441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垃圾成分</w:t>
            </w:r>
          </w:p>
        </w:tc>
        <w:tc>
          <w:tcPr>
            <w:tcW w:w="6642" w:type="dxa"/>
            <w:gridSpan w:val="3"/>
            <w:noWrap w:val="0"/>
            <w:vAlign w:val="top"/>
          </w:tcPr>
          <w:p w14:paraId="4FB2D2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建筑施工垃圾组成比例垃圾成分</w:t>
            </w:r>
          </w:p>
        </w:tc>
      </w:tr>
      <w:tr w14:paraId="7213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0" w:type="dxa"/>
            <w:vMerge w:val="continue"/>
            <w:noWrap w:val="0"/>
            <w:vAlign w:val="center"/>
          </w:tcPr>
          <w:p w14:paraId="480349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p>
        </w:tc>
        <w:tc>
          <w:tcPr>
            <w:tcW w:w="2339" w:type="dxa"/>
            <w:noWrap w:val="0"/>
            <w:vAlign w:val="center"/>
          </w:tcPr>
          <w:p w14:paraId="1A3EB5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砖混结构</w:t>
            </w:r>
          </w:p>
        </w:tc>
        <w:tc>
          <w:tcPr>
            <w:tcW w:w="1985" w:type="dxa"/>
            <w:noWrap w:val="0"/>
            <w:vAlign w:val="center"/>
          </w:tcPr>
          <w:p w14:paraId="518D2D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框架结构</w:t>
            </w:r>
          </w:p>
        </w:tc>
        <w:tc>
          <w:tcPr>
            <w:tcW w:w="2318" w:type="dxa"/>
            <w:noWrap w:val="0"/>
            <w:vAlign w:val="center"/>
          </w:tcPr>
          <w:p w14:paraId="51274C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框剪结构</w:t>
            </w:r>
          </w:p>
        </w:tc>
      </w:tr>
      <w:tr w14:paraId="1627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0" w:type="dxa"/>
            <w:noWrap w:val="0"/>
            <w:vAlign w:val="center"/>
          </w:tcPr>
          <w:p w14:paraId="4B3038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碎砖（砌块）</w:t>
            </w:r>
          </w:p>
        </w:tc>
        <w:tc>
          <w:tcPr>
            <w:tcW w:w="2339" w:type="dxa"/>
            <w:noWrap w:val="0"/>
            <w:vAlign w:val="center"/>
          </w:tcPr>
          <w:p w14:paraId="37E2EF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30~50</w:t>
            </w:r>
          </w:p>
        </w:tc>
        <w:tc>
          <w:tcPr>
            <w:tcW w:w="1985" w:type="dxa"/>
            <w:noWrap w:val="0"/>
            <w:vAlign w:val="center"/>
          </w:tcPr>
          <w:p w14:paraId="4A00AA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15~30</w:t>
            </w:r>
          </w:p>
        </w:tc>
        <w:tc>
          <w:tcPr>
            <w:tcW w:w="2318" w:type="dxa"/>
            <w:noWrap w:val="0"/>
            <w:vAlign w:val="center"/>
          </w:tcPr>
          <w:p w14:paraId="58E4DF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10~20</w:t>
            </w:r>
          </w:p>
        </w:tc>
      </w:tr>
      <w:tr w14:paraId="4114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0" w:type="dxa"/>
            <w:noWrap w:val="0"/>
            <w:vAlign w:val="center"/>
          </w:tcPr>
          <w:p w14:paraId="027166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砂浆</w:t>
            </w:r>
          </w:p>
        </w:tc>
        <w:tc>
          <w:tcPr>
            <w:tcW w:w="2339" w:type="dxa"/>
            <w:noWrap w:val="0"/>
            <w:vAlign w:val="center"/>
          </w:tcPr>
          <w:p w14:paraId="68FD8C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8~15</w:t>
            </w:r>
          </w:p>
        </w:tc>
        <w:tc>
          <w:tcPr>
            <w:tcW w:w="1985" w:type="dxa"/>
            <w:noWrap w:val="0"/>
            <w:vAlign w:val="center"/>
          </w:tcPr>
          <w:p w14:paraId="52ACA2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10~20</w:t>
            </w:r>
          </w:p>
        </w:tc>
        <w:tc>
          <w:tcPr>
            <w:tcW w:w="2318" w:type="dxa"/>
            <w:noWrap w:val="0"/>
            <w:vAlign w:val="center"/>
          </w:tcPr>
          <w:p w14:paraId="75C4ED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10~20</w:t>
            </w:r>
          </w:p>
        </w:tc>
      </w:tr>
      <w:tr w14:paraId="7F15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0" w:type="dxa"/>
            <w:noWrap w:val="0"/>
            <w:vAlign w:val="center"/>
          </w:tcPr>
          <w:p w14:paraId="6FEF03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混凝土</w:t>
            </w:r>
          </w:p>
        </w:tc>
        <w:tc>
          <w:tcPr>
            <w:tcW w:w="2339" w:type="dxa"/>
            <w:noWrap w:val="0"/>
            <w:vAlign w:val="center"/>
          </w:tcPr>
          <w:p w14:paraId="08B72C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8~15</w:t>
            </w:r>
          </w:p>
        </w:tc>
        <w:tc>
          <w:tcPr>
            <w:tcW w:w="1985" w:type="dxa"/>
            <w:noWrap w:val="0"/>
            <w:vAlign w:val="center"/>
          </w:tcPr>
          <w:p w14:paraId="2C891D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15~30</w:t>
            </w:r>
          </w:p>
        </w:tc>
        <w:tc>
          <w:tcPr>
            <w:tcW w:w="2318" w:type="dxa"/>
            <w:noWrap w:val="0"/>
            <w:vAlign w:val="center"/>
          </w:tcPr>
          <w:p w14:paraId="6773C7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15~35</w:t>
            </w:r>
          </w:p>
        </w:tc>
      </w:tr>
      <w:tr w14:paraId="1A01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0" w:type="dxa"/>
            <w:noWrap w:val="0"/>
            <w:vAlign w:val="center"/>
          </w:tcPr>
          <w:p w14:paraId="3FA9DC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桩头</w:t>
            </w:r>
          </w:p>
        </w:tc>
        <w:tc>
          <w:tcPr>
            <w:tcW w:w="2339" w:type="dxa"/>
            <w:noWrap w:val="0"/>
            <w:vAlign w:val="center"/>
          </w:tcPr>
          <w:p w14:paraId="1390EC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w:t>
            </w:r>
          </w:p>
        </w:tc>
        <w:tc>
          <w:tcPr>
            <w:tcW w:w="1985" w:type="dxa"/>
            <w:noWrap w:val="0"/>
            <w:vAlign w:val="center"/>
          </w:tcPr>
          <w:p w14:paraId="00B0E0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8~15</w:t>
            </w:r>
          </w:p>
        </w:tc>
        <w:tc>
          <w:tcPr>
            <w:tcW w:w="2318" w:type="dxa"/>
            <w:noWrap w:val="0"/>
            <w:vAlign w:val="center"/>
          </w:tcPr>
          <w:p w14:paraId="71B94D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8~20</w:t>
            </w:r>
          </w:p>
        </w:tc>
      </w:tr>
      <w:tr w14:paraId="7AC7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0" w:type="dxa"/>
            <w:noWrap w:val="0"/>
            <w:vAlign w:val="center"/>
          </w:tcPr>
          <w:p w14:paraId="1011C2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包装材料</w:t>
            </w:r>
          </w:p>
        </w:tc>
        <w:tc>
          <w:tcPr>
            <w:tcW w:w="2339" w:type="dxa"/>
            <w:noWrap w:val="0"/>
            <w:vAlign w:val="center"/>
          </w:tcPr>
          <w:p w14:paraId="15C56F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5~15</w:t>
            </w:r>
          </w:p>
        </w:tc>
        <w:tc>
          <w:tcPr>
            <w:tcW w:w="1985" w:type="dxa"/>
            <w:noWrap w:val="0"/>
            <w:vAlign w:val="center"/>
          </w:tcPr>
          <w:p w14:paraId="22224D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5~20</w:t>
            </w:r>
          </w:p>
        </w:tc>
        <w:tc>
          <w:tcPr>
            <w:tcW w:w="2318" w:type="dxa"/>
            <w:noWrap w:val="0"/>
            <w:vAlign w:val="center"/>
          </w:tcPr>
          <w:p w14:paraId="6B473C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10~20</w:t>
            </w:r>
          </w:p>
        </w:tc>
      </w:tr>
      <w:tr w14:paraId="2467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0" w:type="dxa"/>
            <w:noWrap w:val="0"/>
            <w:vAlign w:val="center"/>
          </w:tcPr>
          <w:p w14:paraId="734C0A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屋面材料</w:t>
            </w:r>
          </w:p>
        </w:tc>
        <w:tc>
          <w:tcPr>
            <w:tcW w:w="2339" w:type="dxa"/>
            <w:noWrap w:val="0"/>
            <w:vAlign w:val="center"/>
          </w:tcPr>
          <w:p w14:paraId="7A0B78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2~5</w:t>
            </w:r>
          </w:p>
        </w:tc>
        <w:tc>
          <w:tcPr>
            <w:tcW w:w="1985" w:type="dxa"/>
            <w:noWrap w:val="0"/>
            <w:vAlign w:val="center"/>
          </w:tcPr>
          <w:p w14:paraId="2CEACD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2~5</w:t>
            </w:r>
          </w:p>
        </w:tc>
        <w:tc>
          <w:tcPr>
            <w:tcW w:w="2318" w:type="dxa"/>
            <w:noWrap w:val="0"/>
            <w:vAlign w:val="center"/>
          </w:tcPr>
          <w:p w14:paraId="27566A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2~5</w:t>
            </w:r>
          </w:p>
        </w:tc>
      </w:tr>
      <w:tr w14:paraId="7C70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0" w:type="dxa"/>
            <w:noWrap w:val="0"/>
            <w:vAlign w:val="center"/>
          </w:tcPr>
          <w:p w14:paraId="193C03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钢材</w:t>
            </w:r>
          </w:p>
        </w:tc>
        <w:tc>
          <w:tcPr>
            <w:tcW w:w="2339" w:type="dxa"/>
            <w:noWrap w:val="0"/>
            <w:vAlign w:val="center"/>
          </w:tcPr>
          <w:p w14:paraId="7AAD59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1~5</w:t>
            </w:r>
          </w:p>
        </w:tc>
        <w:tc>
          <w:tcPr>
            <w:tcW w:w="1985" w:type="dxa"/>
            <w:noWrap w:val="0"/>
            <w:vAlign w:val="center"/>
          </w:tcPr>
          <w:p w14:paraId="309073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2~8</w:t>
            </w:r>
          </w:p>
        </w:tc>
        <w:tc>
          <w:tcPr>
            <w:tcW w:w="2318" w:type="dxa"/>
            <w:noWrap w:val="0"/>
            <w:vAlign w:val="center"/>
          </w:tcPr>
          <w:p w14:paraId="0C2C1E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2~8</w:t>
            </w:r>
          </w:p>
        </w:tc>
      </w:tr>
      <w:tr w14:paraId="5AED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0" w:type="dxa"/>
            <w:noWrap w:val="0"/>
            <w:vAlign w:val="center"/>
          </w:tcPr>
          <w:p w14:paraId="5B105D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木材</w:t>
            </w:r>
          </w:p>
        </w:tc>
        <w:tc>
          <w:tcPr>
            <w:tcW w:w="2339" w:type="dxa"/>
            <w:noWrap w:val="0"/>
            <w:vAlign w:val="center"/>
          </w:tcPr>
          <w:p w14:paraId="749354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1~5</w:t>
            </w:r>
          </w:p>
        </w:tc>
        <w:tc>
          <w:tcPr>
            <w:tcW w:w="1985" w:type="dxa"/>
            <w:noWrap w:val="0"/>
            <w:vAlign w:val="center"/>
          </w:tcPr>
          <w:p w14:paraId="753568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1~5</w:t>
            </w:r>
          </w:p>
        </w:tc>
        <w:tc>
          <w:tcPr>
            <w:tcW w:w="2318" w:type="dxa"/>
            <w:noWrap w:val="0"/>
            <w:vAlign w:val="center"/>
          </w:tcPr>
          <w:p w14:paraId="45BD31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1~5</w:t>
            </w:r>
          </w:p>
        </w:tc>
      </w:tr>
      <w:tr w14:paraId="46BD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0" w:type="dxa"/>
            <w:noWrap w:val="0"/>
            <w:vAlign w:val="center"/>
          </w:tcPr>
          <w:p w14:paraId="505C67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其他</w:t>
            </w:r>
          </w:p>
        </w:tc>
        <w:tc>
          <w:tcPr>
            <w:tcW w:w="2339" w:type="dxa"/>
            <w:noWrap w:val="0"/>
            <w:vAlign w:val="center"/>
          </w:tcPr>
          <w:p w14:paraId="044F63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10~20</w:t>
            </w:r>
          </w:p>
        </w:tc>
        <w:tc>
          <w:tcPr>
            <w:tcW w:w="1985" w:type="dxa"/>
            <w:noWrap w:val="0"/>
            <w:vAlign w:val="center"/>
          </w:tcPr>
          <w:p w14:paraId="7C673E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10~20</w:t>
            </w:r>
          </w:p>
        </w:tc>
        <w:tc>
          <w:tcPr>
            <w:tcW w:w="2318" w:type="dxa"/>
            <w:noWrap w:val="0"/>
            <w:vAlign w:val="center"/>
          </w:tcPr>
          <w:p w14:paraId="2B2D8A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10~20</w:t>
            </w:r>
          </w:p>
        </w:tc>
      </w:tr>
      <w:tr w14:paraId="479D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0" w:type="dxa"/>
            <w:noWrap w:val="0"/>
            <w:vAlign w:val="center"/>
          </w:tcPr>
          <w:p w14:paraId="38BF2C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合计</w:t>
            </w:r>
          </w:p>
        </w:tc>
        <w:tc>
          <w:tcPr>
            <w:tcW w:w="2339" w:type="dxa"/>
            <w:noWrap w:val="0"/>
            <w:vAlign w:val="center"/>
          </w:tcPr>
          <w:p w14:paraId="0BB0FF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100</w:t>
            </w:r>
          </w:p>
        </w:tc>
        <w:tc>
          <w:tcPr>
            <w:tcW w:w="1985" w:type="dxa"/>
            <w:noWrap w:val="0"/>
            <w:vAlign w:val="center"/>
          </w:tcPr>
          <w:p w14:paraId="305E1A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100</w:t>
            </w:r>
          </w:p>
        </w:tc>
        <w:tc>
          <w:tcPr>
            <w:tcW w:w="2318" w:type="dxa"/>
            <w:noWrap w:val="0"/>
            <w:vAlign w:val="center"/>
          </w:tcPr>
          <w:p w14:paraId="528305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100</w:t>
            </w:r>
          </w:p>
        </w:tc>
      </w:tr>
      <w:tr w14:paraId="03C5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0" w:type="dxa"/>
            <w:noWrap w:val="0"/>
            <w:vAlign w:val="center"/>
          </w:tcPr>
          <w:p w14:paraId="6B0752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垃圾产生量（kg/</w:t>
            </w:r>
            <w:r>
              <w:rPr>
                <w:rFonts w:hint="eastAsia" w:ascii="仿宋_GB2312" w:hAnsi="仿宋_GB2312" w:eastAsia="仿宋_GB2312" w:cs="仿宋_GB2312"/>
                <w:caps w:val="0"/>
                <w:smallCaps w:val="0"/>
                <w:color w:val="auto"/>
                <w:spacing w:val="0"/>
                <w:lang w:val="en-US" w:eastAsia="zh-CN"/>
              </w:rPr>
              <w:t>m</w:t>
            </w:r>
            <w:r>
              <w:rPr>
                <w:rFonts w:hint="eastAsia" w:ascii="仿宋_GB2312" w:hAnsi="仿宋_GB2312" w:eastAsia="仿宋_GB2312" w:cs="仿宋_GB2312"/>
                <w:caps w:val="0"/>
                <w:smallCaps w:val="0"/>
                <w:color w:val="auto"/>
                <w:spacing w:val="0"/>
                <w:vertAlign w:val="superscript"/>
                <w:lang w:val="en-US" w:eastAsia="zh-CN"/>
              </w:rPr>
              <w:t>2</w:t>
            </w:r>
            <w:r>
              <w:rPr>
                <w:rFonts w:hint="eastAsia" w:ascii="仿宋_GB2312" w:hAnsi="仿宋_GB2312" w:eastAsia="仿宋_GB2312" w:cs="仿宋_GB2312"/>
                <w:caps w:val="0"/>
                <w:smallCaps w:val="0"/>
                <w:color w:val="auto"/>
                <w:spacing w:val="0"/>
                <w:sz w:val="28"/>
                <w:szCs w:val="28"/>
                <w:lang w:val="en-US" w:eastAsia="zh-CN"/>
              </w:rPr>
              <w:t>）</w:t>
            </w:r>
          </w:p>
        </w:tc>
        <w:tc>
          <w:tcPr>
            <w:tcW w:w="2339" w:type="dxa"/>
            <w:noWrap w:val="0"/>
            <w:vAlign w:val="center"/>
          </w:tcPr>
          <w:p w14:paraId="45A493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50~200</w:t>
            </w:r>
          </w:p>
        </w:tc>
        <w:tc>
          <w:tcPr>
            <w:tcW w:w="1985" w:type="dxa"/>
            <w:noWrap w:val="0"/>
            <w:vAlign w:val="center"/>
          </w:tcPr>
          <w:p w14:paraId="087C475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40~150</w:t>
            </w:r>
          </w:p>
        </w:tc>
        <w:tc>
          <w:tcPr>
            <w:tcW w:w="2318" w:type="dxa"/>
            <w:noWrap w:val="0"/>
            <w:vAlign w:val="center"/>
          </w:tcPr>
          <w:p w14:paraId="64DB4D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40~150</w:t>
            </w:r>
          </w:p>
        </w:tc>
      </w:tr>
      <w:tr w14:paraId="01FDF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0" w:type="dxa"/>
            <w:noWrap w:val="0"/>
            <w:vAlign w:val="center"/>
          </w:tcPr>
          <w:p w14:paraId="5BC4AE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其中渣土量占比</w:t>
            </w:r>
          </w:p>
        </w:tc>
        <w:tc>
          <w:tcPr>
            <w:tcW w:w="2339" w:type="dxa"/>
            <w:noWrap w:val="0"/>
            <w:vAlign w:val="center"/>
          </w:tcPr>
          <w:p w14:paraId="20A55D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46%~80%</w:t>
            </w:r>
          </w:p>
        </w:tc>
        <w:tc>
          <w:tcPr>
            <w:tcW w:w="1985" w:type="dxa"/>
            <w:noWrap w:val="0"/>
            <w:vAlign w:val="center"/>
          </w:tcPr>
          <w:p w14:paraId="687114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48%~85%</w:t>
            </w:r>
          </w:p>
        </w:tc>
        <w:tc>
          <w:tcPr>
            <w:tcW w:w="2318" w:type="dxa"/>
            <w:noWrap w:val="0"/>
            <w:vAlign w:val="center"/>
          </w:tcPr>
          <w:p w14:paraId="5614E5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43%~95%</w:t>
            </w:r>
          </w:p>
        </w:tc>
      </w:tr>
    </w:tbl>
    <w:p w14:paraId="7D3E7267">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kern w:val="44"/>
          <w:sz w:val="32"/>
          <w:szCs w:val="28"/>
          <w:lang w:val="en-US" w:eastAsia="zh-CN" w:bidi="ar-SA"/>
        </w:rPr>
      </w:pPr>
      <w:r>
        <w:rPr>
          <w:rFonts w:hint="eastAsia" w:ascii="楷体_GB2312" w:hAnsi="楷体_GB2312" w:eastAsia="楷体_GB2312" w:cs="楷体_GB2312"/>
          <w:b w:val="0"/>
          <w:bCs w:val="0"/>
          <w:caps w:val="0"/>
          <w:smallCaps w:val="0"/>
          <w:color w:val="auto"/>
          <w:spacing w:val="0"/>
          <w:kern w:val="44"/>
          <w:sz w:val="32"/>
          <w:szCs w:val="28"/>
          <w:lang w:val="en-US" w:eastAsia="zh-CN" w:bidi="ar-SA"/>
        </w:rPr>
        <w:t>2．</w:t>
      </w:r>
      <w:r>
        <w:rPr>
          <w:rFonts w:hint="default" w:ascii="楷体_GB2312" w:hAnsi="楷体_GB2312" w:eastAsia="楷体_GB2312" w:cs="楷体_GB2312"/>
          <w:b w:val="0"/>
          <w:bCs w:val="0"/>
          <w:caps w:val="0"/>
          <w:smallCaps w:val="0"/>
          <w:color w:val="auto"/>
          <w:spacing w:val="0"/>
          <w:kern w:val="44"/>
          <w:sz w:val="32"/>
          <w:szCs w:val="28"/>
          <w:lang w:val="en-US" w:eastAsia="zh-CN" w:bidi="ar-SA"/>
        </w:rPr>
        <w:t>建筑拆除垃圾</w:t>
      </w:r>
    </w:p>
    <w:p w14:paraId="39228CCA">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旧建筑拆除垃圾相对建筑施工单位面积产生垃圾量更大，旧建筑物拆除垃圾的组成与建筑物的结构有关：旧砖混结构建筑中，砖块、瓦砾约占80%，其余为木料、碎玻璃、石灰、渣土等，现阶段拆除的旧建筑多属砖混结构的民居；废弃框架、剪力墙结构的建筑，混凝土块约占50%～60%，其余为金属、砖块、砌块、塑料制品等，旧工业厂房、楼宇建筑是此类建筑的代表。随着时间的推移，建筑水平越来越高，旧建筑拆除垃圾的组成会发生</w:t>
      </w:r>
      <w:r>
        <w:rPr>
          <w:rFonts w:hint="eastAsia" w:ascii="仿宋_GB2312" w:hAnsi="仿宋_GB2312" w:eastAsia="仿宋_GB2312" w:cs="仿宋_GB2312"/>
          <w:caps w:val="0"/>
          <w:smallCaps w:val="0"/>
          <w:color w:val="auto"/>
          <w:spacing w:val="0"/>
          <w:lang w:val="en-US" w:eastAsia="zh-CN"/>
        </w:rPr>
        <w:t>变化，主要成分由砖块、瓦砾向混凝土块转变。根据对国内旧建筑拆除垃圾的组成统计，其结果见下表。</w:t>
      </w:r>
    </w:p>
    <w:p w14:paraId="22F5DF36">
      <w:pPr>
        <w:pStyle w:val="40"/>
        <w:bidi w:val="0"/>
        <w:ind w:left="0" w:leftChars="0" w:firstLine="0" w:firstLineChars="0"/>
        <w:jc w:val="center"/>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施工和拆除过程中建筑垃圾组成比例比较（%）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3060"/>
        <w:gridCol w:w="2748"/>
      </w:tblGrid>
      <w:tr w14:paraId="22ED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91" w:type="dxa"/>
            <w:vMerge w:val="restart"/>
            <w:noWrap w:val="0"/>
            <w:vAlign w:val="center"/>
          </w:tcPr>
          <w:p w14:paraId="318B69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建筑垃圾成分</w:t>
            </w:r>
          </w:p>
        </w:tc>
        <w:tc>
          <w:tcPr>
            <w:tcW w:w="5808" w:type="dxa"/>
            <w:gridSpan w:val="2"/>
            <w:noWrap w:val="0"/>
            <w:vAlign w:val="center"/>
          </w:tcPr>
          <w:p w14:paraId="68D788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垃圾组成比例</w:t>
            </w:r>
          </w:p>
        </w:tc>
      </w:tr>
      <w:tr w14:paraId="53AB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91" w:type="dxa"/>
            <w:vMerge w:val="continue"/>
            <w:noWrap w:val="0"/>
            <w:vAlign w:val="center"/>
          </w:tcPr>
          <w:p w14:paraId="2D424D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p>
        </w:tc>
        <w:tc>
          <w:tcPr>
            <w:tcW w:w="3060" w:type="dxa"/>
            <w:noWrap w:val="0"/>
            <w:vAlign w:val="center"/>
          </w:tcPr>
          <w:p w14:paraId="089209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施工过程</w:t>
            </w:r>
          </w:p>
        </w:tc>
        <w:tc>
          <w:tcPr>
            <w:tcW w:w="2748" w:type="dxa"/>
            <w:noWrap w:val="0"/>
            <w:vAlign w:val="center"/>
          </w:tcPr>
          <w:p w14:paraId="4A80E1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拆除过程</w:t>
            </w:r>
          </w:p>
        </w:tc>
      </w:tr>
      <w:tr w14:paraId="6B30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91" w:type="dxa"/>
            <w:noWrap w:val="0"/>
            <w:vAlign w:val="center"/>
          </w:tcPr>
          <w:p w14:paraId="3712D0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混凝土碎末</w:t>
            </w:r>
          </w:p>
        </w:tc>
        <w:tc>
          <w:tcPr>
            <w:tcW w:w="3060" w:type="dxa"/>
            <w:noWrap w:val="0"/>
            <w:vAlign w:val="center"/>
          </w:tcPr>
          <w:p w14:paraId="7352C2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19.89</w:t>
            </w:r>
          </w:p>
        </w:tc>
        <w:tc>
          <w:tcPr>
            <w:tcW w:w="2748" w:type="dxa"/>
            <w:noWrap w:val="0"/>
            <w:vAlign w:val="center"/>
          </w:tcPr>
          <w:p w14:paraId="6F21CC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9.27</w:t>
            </w:r>
          </w:p>
        </w:tc>
      </w:tr>
      <w:tr w14:paraId="2973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91" w:type="dxa"/>
            <w:noWrap w:val="0"/>
            <w:vAlign w:val="center"/>
          </w:tcPr>
          <w:p w14:paraId="6997AF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钢筋混凝土</w:t>
            </w:r>
          </w:p>
        </w:tc>
        <w:tc>
          <w:tcPr>
            <w:tcW w:w="3060" w:type="dxa"/>
            <w:noWrap w:val="0"/>
            <w:vAlign w:val="center"/>
          </w:tcPr>
          <w:p w14:paraId="1B8623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33.11</w:t>
            </w:r>
          </w:p>
        </w:tc>
        <w:tc>
          <w:tcPr>
            <w:tcW w:w="2748" w:type="dxa"/>
            <w:noWrap w:val="0"/>
            <w:vAlign w:val="center"/>
          </w:tcPr>
          <w:p w14:paraId="5CA82A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8.25</w:t>
            </w:r>
          </w:p>
        </w:tc>
      </w:tr>
      <w:tr w14:paraId="37974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91" w:type="dxa"/>
            <w:noWrap w:val="0"/>
            <w:vAlign w:val="center"/>
          </w:tcPr>
          <w:p w14:paraId="070D9D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块状混凝土</w:t>
            </w:r>
          </w:p>
        </w:tc>
        <w:tc>
          <w:tcPr>
            <w:tcW w:w="3060" w:type="dxa"/>
            <w:noWrap w:val="0"/>
            <w:vAlign w:val="center"/>
          </w:tcPr>
          <w:p w14:paraId="5BA6C5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1.11</w:t>
            </w:r>
          </w:p>
        </w:tc>
        <w:tc>
          <w:tcPr>
            <w:tcW w:w="2748" w:type="dxa"/>
            <w:noWrap w:val="0"/>
            <w:vAlign w:val="center"/>
          </w:tcPr>
          <w:p w14:paraId="10265D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0.9</w:t>
            </w:r>
          </w:p>
        </w:tc>
      </w:tr>
      <w:tr w14:paraId="2DF1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91" w:type="dxa"/>
            <w:noWrap w:val="0"/>
            <w:vAlign w:val="center"/>
          </w:tcPr>
          <w:p w14:paraId="5B8C2C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泥土、灰尘</w:t>
            </w:r>
          </w:p>
        </w:tc>
        <w:tc>
          <w:tcPr>
            <w:tcW w:w="3060" w:type="dxa"/>
            <w:noWrap w:val="0"/>
            <w:vAlign w:val="center"/>
          </w:tcPr>
          <w:p w14:paraId="09F0B1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11.91</w:t>
            </w:r>
          </w:p>
        </w:tc>
        <w:tc>
          <w:tcPr>
            <w:tcW w:w="2748" w:type="dxa"/>
            <w:noWrap w:val="0"/>
            <w:vAlign w:val="center"/>
          </w:tcPr>
          <w:p w14:paraId="63E70F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30.56</w:t>
            </w:r>
          </w:p>
        </w:tc>
      </w:tr>
      <w:tr w14:paraId="26D4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91" w:type="dxa"/>
            <w:noWrap w:val="0"/>
            <w:vAlign w:val="center"/>
          </w:tcPr>
          <w:p w14:paraId="6F1488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石块、碎石</w:t>
            </w:r>
          </w:p>
        </w:tc>
        <w:tc>
          <w:tcPr>
            <w:tcW w:w="3060" w:type="dxa"/>
            <w:noWrap w:val="0"/>
            <w:vAlign w:val="center"/>
          </w:tcPr>
          <w:p w14:paraId="04B2F3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11.78</w:t>
            </w:r>
          </w:p>
        </w:tc>
        <w:tc>
          <w:tcPr>
            <w:tcW w:w="2748" w:type="dxa"/>
            <w:noWrap w:val="0"/>
            <w:vAlign w:val="center"/>
          </w:tcPr>
          <w:p w14:paraId="440A15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23.78</w:t>
            </w:r>
          </w:p>
        </w:tc>
      </w:tr>
      <w:tr w14:paraId="2B92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91" w:type="dxa"/>
            <w:noWrap w:val="0"/>
            <w:vAlign w:val="center"/>
          </w:tcPr>
          <w:p w14:paraId="414025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沥青</w:t>
            </w:r>
          </w:p>
        </w:tc>
        <w:tc>
          <w:tcPr>
            <w:tcW w:w="3060" w:type="dxa"/>
            <w:noWrap w:val="0"/>
            <w:vAlign w:val="center"/>
          </w:tcPr>
          <w:p w14:paraId="40424C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1.61</w:t>
            </w:r>
          </w:p>
        </w:tc>
        <w:tc>
          <w:tcPr>
            <w:tcW w:w="2748" w:type="dxa"/>
            <w:noWrap w:val="0"/>
            <w:vAlign w:val="center"/>
          </w:tcPr>
          <w:p w14:paraId="451FD2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0.13</w:t>
            </w:r>
          </w:p>
        </w:tc>
      </w:tr>
      <w:tr w14:paraId="531A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91" w:type="dxa"/>
            <w:noWrap w:val="0"/>
            <w:vAlign w:val="center"/>
          </w:tcPr>
          <w:p w14:paraId="3CC989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砖</w:t>
            </w:r>
          </w:p>
        </w:tc>
        <w:tc>
          <w:tcPr>
            <w:tcW w:w="3060" w:type="dxa"/>
            <w:noWrap w:val="0"/>
            <w:vAlign w:val="center"/>
          </w:tcPr>
          <w:p w14:paraId="6344F2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6.33</w:t>
            </w:r>
          </w:p>
        </w:tc>
        <w:tc>
          <w:tcPr>
            <w:tcW w:w="2748" w:type="dxa"/>
            <w:noWrap w:val="0"/>
            <w:vAlign w:val="center"/>
          </w:tcPr>
          <w:p w14:paraId="0D15A0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5</w:t>
            </w:r>
          </w:p>
        </w:tc>
      </w:tr>
      <w:tr w14:paraId="233F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91" w:type="dxa"/>
            <w:noWrap w:val="0"/>
            <w:vAlign w:val="center"/>
          </w:tcPr>
          <w:p w14:paraId="40CDB7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竹、木料</w:t>
            </w:r>
          </w:p>
        </w:tc>
        <w:tc>
          <w:tcPr>
            <w:tcW w:w="3060" w:type="dxa"/>
            <w:noWrap w:val="0"/>
            <w:vAlign w:val="center"/>
          </w:tcPr>
          <w:p w14:paraId="7B7AF1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7.46</w:t>
            </w:r>
          </w:p>
        </w:tc>
        <w:tc>
          <w:tcPr>
            <w:tcW w:w="2748" w:type="dxa"/>
            <w:noWrap w:val="0"/>
            <w:vAlign w:val="center"/>
          </w:tcPr>
          <w:p w14:paraId="43CC1F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10.83</w:t>
            </w:r>
          </w:p>
        </w:tc>
      </w:tr>
      <w:tr w14:paraId="7528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91" w:type="dxa"/>
            <w:noWrap w:val="0"/>
            <w:vAlign w:val="center"/>
          </w:tcPr>
          <w:p w14:paraId="08831B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玻璃</w:t>
            </w:r>
          </w:p>
        </w:tc>
        <w:tc>
          <w:tcPr>
            <w:tcW w:w="3060" w:type="dxa"/>
            <w:noWrap w:val="0"/>
            <w:vAlign w:val="center"/>
          </w:tcPr>
          <w:p w14:paraId="6107D5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0.2</w:t>
            </w:r>
          </w:p>
        </w:tc>
        <w:tc>
          <w:tcPr>
            <w:tcW w:w="2748" w:type="dxa"/>
            <w:noWrap w:val="0"/>
            <w:vAlign w:val="center"/>
          </w:tcPr>
          <w:p w14:paraId="7BB682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0.56</w:t>
            </w:r>
          </w:p>
        </w:tc>
      </w:tr>
      <w:tr w14:paraId="1B7F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91" w:type="dxa"/>
            <w:noWrap w:val="0"/>
            <w:vAlign w:val="center"/>
          </w:tcPr>
          <w:p w14:paraId="710B31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砂子</w:t>
            </w:r>
          </w:p>
        </w:tc>
        <w:tc>
          <w:tcPr>
            <w:tcW w:w="3060" w:type="dxa"/>
            <w:noWrap w:val="0"/>
            <w:vAlign w:val="center"/>
          </w:tcPr>
          <w:p w14:paraId="148F99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1.44</w:t>
            </w:r>
          </w:p>
        </w:tc>
        <w:tc>
          <w:tcPr>
            <w:tcW w:w="2748" w:type="dxa"/>
            <w:noWrap w:val="0"/>
            <w:vAlign w:val="center"/>
          </w:tcPr>
          <w:p w14:paraId="756733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1.7</w:t>
            </w:r>
          </w:p>
        </w:tc>
      </w:tr>
      <w:tr w14:paraId="29ED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691" w:type="dxa"/>
            <w:noWrap w:val="0"/>
            <w:vAlign w:val="center"/>
          </w:tcPr>
          <w:p w14:paraId="2C81DF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金属</w:t>
            </w:r>
          </w:p>
        </w:tc>
        <w:tc>
          <w:tcPr>
            <w:tcW w:w="3060" w:type="dxa"/>
            <w:noWrap w:val="0"/>
            <w:vAlign w:val="center"/>
          </w:tcPr>
          <w:p w14:paraId="17DAD5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3.41</w:t>
            </w:r>
          </w:p>
        </w:tc>
        <w:tc>
          <w:tcPr>
            <w:tcW w:w="2748" w:type="dxa"/>
            <w:noWrap w:val="0"/>
            <w:vAlign w:val="center"/>
          </w:tcPr>
          <w:p w14:paraId="43BAA2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4.36</w:t>
            </w:r>
          </w:p>
        </w:tc>
      </w:tr>
      <w:tr w14:paraId="38CB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691" w:type="dxa"/>
            <w:noWrap w:val="0"/>
            <w:vAlign w:val="center"/>
          </w:tcPr>
          <w:p w14:paraId="1741D3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其他</w:t>
            </w:r>
          </w:p>
        </w:tc>
        <w:tc>
          <w:tcPr>
            <w:tcW w:w="3060" w:type="dxa"/>
            <w:noWrap w:val="0"/>
            <w:vAlign w:val="center"/>
          </w:tcPr>
          <w:p w14:paraId="00BEAE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2.02</w:t>
            </w:r>
          </w:p>
        </w:tc>
        <w:tc>
          <w:tcPr>
            <w:tcW w:w="2748" w:type="dxa"/>
            <w:noWrap w:val="0"/>
            <w:vAlign w:val="center"/>
          </w:tcPr>
          <w:p w14:paraId="5BE638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4.57</w:t>
            </w:r>
          </w:p>
        </w:tc>
      </w:tr>
      <w:tr w14:paraId="423C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691" w:type="dxa"/>
            <w:noWrap w:val="0"/>
            <w:vAlign w:val="center"/>
          </w:tcPr>
          <w:p w14:paraId="1E2340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总计</w:t>
            </w:r>
          </w:p>
        </w:tc>
        <w:tc>
          <w:tcPr>
            <w:tcW w:w="3060" w:type="dxa"/>
            <w:noWrap w:val="0"/>
            <w:vAlign w:val="center"/>
          </w:tcPr>
          <w:p w14:paraId="60BAD4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100</w:t>
            </w:r>
          </w:p>
        </w:tc>
        <w:tc>
          <w:tcPr>
            <w:tcW w:w="2748" w:type="dxa"/>
            <w:noWrap w:val="0"/>
            <w:vAlign w:val="center"/>
          </w:tcPr>
          <w:p w14:paraId="7C4EB6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100</w:t>
            </w:r>
          </w:p>
        </w:tc>
      </w:tr>
      <w:tr w14:paraId="416E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691" w:type="dxa"/>
            <w:noWrap w:val="0"/>
            <w:vAlign w:val="center"/>
          </w:tcPr>
          <w:p w14:paraId="1CB7EA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渣土量占比</w:t>
            </w:r>
          </w:p>
        </w:tc>
        <w:tc>
          <w:tcPr>
            <w:tcW w:w="3060" w:type="dxa"/>
            <w:noWrap w:val="0"/>
            <w:vAlign w:val="center"/>
          </w:tcPr>
          <w:p w14:paraId="07DDEE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85.57%</w:t>
            </w:r>
          </w:p>
        </w:tc>
        <w:tc>
          <w:tcPr>
            <w:tcW w:w="2748" w:type="dxa"/>
            <w:noWrap w:val="0"/>
            <w:vAlign w:val="center"/>
          </w:tcPr>
          <w:p w14:paraId="2EB2E8E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aps w:val="0"/>
                <w:smallCaps w:val="0"/>
                <w:color w:val="auto"/>
                <w:spacing w:val="0"/>
                <w:sz w:val="28"/>
                <w:szCs w:val="28"/>
                <w:lang w:val="en-US" w:eastAsia="zh-CN"/>
              </w:rPr>
            </w:pPr>
            <w:r>
              <w:rPr>
                <w:rFonts w:hint="eastAsia" w:ascii="仿宋_GB2312" w:hAnsi="仿宋_GB2312" w:eastAsia="仿宋_GB2312" w:cs="仿宋_GB2312"/>
                <w:caps w:val="0"/>
                <w:smallCaps w:val="0"/>
                <w:color w:val="auto"/>
                <w:spacing w:val="0"/>
                <w:sz w:val="28"/>
                <w:szCs w:val="28"/>
                <w:lang w:val="en-US" w:eastAsia="zh-CN"/>
              </w:rPr>
              <w:t>79.46%</w:t>
            </w:r>
          </w:p>
        </w:tc>
      </w:tr>
    </w:tbl>
    <w:p w14:paraId="6BAEACF6">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kern w:val="44"/>
          <w:sz w:val="32"/>
          <w:szCs w:val="28"/>
          <w:lang w:val="en-US" w:eastAsia="zh-CN" w:bidi="ar-SA"/>
        </w:rPr>
      </w:pPr>
      <w:r>
        <w:rPr>
          <w:rFonts w:hint="eastAsia" w:ascii="楷体_GB2312" w:hAnsi="楷体_GB2312" w:eastAsia="楷体_GB2312" w:cs="楷体_GB2312"/>
          <w:b w:val="0"/>
          <w:bCs w:val="0"/>
          <w:caps w:val="0"/>
          <w:smallCaps w:val="0"/>
          <w:color w:val="auto"/>
          <w:spacing w:val="0"/>
          <w:kern w:val="44"/>
          <w:sz w:val="32"/>
          <w:szCs w:val="28"/>
          <w:lang w:val="en-US" w:eastAsia="zh-CN" w:bidi="ar-SA"/>
        </w:rPr>
        <w:t>3．</w:t>
      </w:r>
      <w:r>
        <w:rPr>
          <w:rFonts w:hint="default" w:ascii="楷体_GB2312" w:hAnsi="楷体_GB2312" w:eastAsia="楷体_GB2312" w:cs="楷体_GB2312"/>
          <w:b w:val="0"/>
          <w:bCs w:val="0"/>
          <w:caps w:val="0"/>
          <w:smallCaps w:val="0"/>
          <w:color w:val="auto"/>
          <w:spacing w:val="0"/>
          <w:kern w:val="44"/>
          <w:sz w:val="32"/>
          <w:szCs w:val="28"/>
          <w:lang w:val="en-US" w:eastAsia="zh-CN" w:bidi="ar-SA"/>
        </w:rPr>
        <w:t>装修垃圾</w:t>
      </w:r>
    </w:p>
    <w:p w14:paraId="33B55B0A">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装饰装修房屋过程中产生的废弃物。可回收物，包括天然木材、纸类包装物、少量砖石、混凝土、碎块、钢材、玻璃、塑料等；不可回收物，包括胶黏剂、胶合木材、废油漆和涂料及其包装物等。</w:t>
      </w:r>
    </w:p>
    <w:p w14:paraId="24B6313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总的来说，建筑垃圾主要为固体废弃物垃圾，废旧的砖头、散落的砂浆混凝土、拆除的混凝土、废旧钢筋、废旧木材、废旧竹模板和木模板等。需要资源化处置的建筑垃圾对象为工程垃圾、拆除垃圾和装修垃圾。</w:t>
      </w:r>
    </w:p>
    <w:p w14:paraId="476AD48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由于没有集贤县域历年的建筑垃圾产生量和拆除垃圾、装修垃圾产生量的统计数据，本规划通过相关数据进行估算。现有的计算方法主要是单位产量法和现场调研法。</w:t>
      </w:r>
    </w:p>
    <w:p w14:paraId="4BCE9A1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单位产量法可以满足各类建筑垃圾的量化需求，其关键步骤是确定单位建筑垃圾产生率，通过 计算总体单位数量得到建筑垃圾总产量。现场调研法对于项目层面的建筑垃圾量化非常有效，但是 若要应用于区域层面的建筑垃圾量化，则需要消耗大量的人力和时间。在这种缺乏历史直接数据资 源的实际情况下，考虑从间接地建立因果模型的角度对建筑垃圾产生量进行预测，即从与建筑垃圾产生量存在直接关系的施工面积、拆除面积和装修面积的统计数据入手，根据通常单位施工、拆除 与装修面积建筑垃圾产生量，利用单位量产法来核算现有的、并预测未来的建筑垃圾产生量情况。</w:t>
      </w:r>
    </w:p>
    <w:p w14:paraId="75E01D5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通过建筑面积来估算建筑垃圾数量是一种常用方法，主要指标是建筑面积和单位面积的建筑垃圾产出系数。采用这种估算方法，关键在于确定合理的单位面积建筑垃圾产出系数。</w:t>
      </w:r>
    </w:p>
    <w:p w14:paraId="3A6FC5EF">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bookmarkStart w:id="79" w:name="_Toc11138"/>
      <w:bookmarkStart w:id="80" w:name="_Toc21693"/>
      <w:r>
        <w:rPr>
          <w:rFonts w:hint="eastAsia" w:ascii="楷体_GB2312" w:hAnsi="楷体_GB2312" w:eastAsia="楷体_GB2312" w:cs="楷体_GB2312"/>
          <w:b w:val="0"/>
          <w:bCs w:val="0"/>
          <w:caps w:val="0"/>
          <w:smallCaps w:val="0"/>
          <w:color w:val="auto"/>
          <w:spacing w:val="0"/>
          <w:sz w:val="32"/>
          <w:szCs w:val="28"/>
          <w:lang w:val="en-US" w:eastAsia="zh-CN"/>
        </w:rPr>
        <w:t>4．工程垃圾产生量预测</w:t>
      </w:r>
      <w:bookmarkEnd w:id="79"/>
      <w:bookmarkEnd w:id="80"/>
    </w:p>
    <w:p w14:paraId="2AD07837">
      <w:pPr>
        <w:pStyle w:val="40"/>
        <w:keepNext w:val="0"/>
        <w:keepLines w:val="0"/>
        <w:pageBreakBefore w:val="0"/>
        <w:widowControl w:val="0"/>
        <w:numPr>
          <w:ilvl w:val="0"/>
          <w:numId w:val="0"/>
        </w:numPr>
        <w:kinsoku/>
        <w:wordWrap/>
        <w:overflowPunct/>
        <w:topLinePunct w:val="0"/>
        <w:autoSpaceDE/>
        <w:autoSpaceDN/>
        <w:bidi w:val="0"/>
        <w:adjustRightInd/>
        <w:snapToGrid/>
        <w:spacing w:line="576" w:lineRule="exact"/>
        <w:ind w:left="402" w:leftChars="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工程垃圾产生量计算公式</w:t>
      </w:r>
    </w:p>
    <w:p w14:paraId="70B5A58F">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可按下式计算：</w:t>
      </w:r>
    </w:p>
    <w:p w14:paraId="0EEF0CC3">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Mg=Rg×mg×kg</w:t>
      </w:r>
    </w:p>
    <w:p w14:paraId="2A4770F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式中：Mg—某城市或区域工程垃圾产生量（吨/年）；</w:t>
      </w:r>
    </w:p>
    <w:p w14:paraId="24A51BE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Rg—城市或区域新增建筑面积（万m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/年）；</w:t>
      </w:r>
    </w:p>
    <w:p w14:paraId="5FC9344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mg—单位面积工程垃圾产生量基数（吨/万m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），可取300—800吨/万m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。根据全省统计数据，估算集贤县省单位面积工程垃圾产生量基数为400吨/万m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w:t>
      </w:r>
    </w:p>
    <w:p w14:paraId="1EE9971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kg—工程垃圾产生量修正系数，经济发展快、建筑业发展好取1.1~1.2，经济发展较快、建筑业发展较好取1.0~1.1，一般取0.8~1.0，本次取0.8。</w:t>
      </w:r>
    </w:p>
    <w:p w14:paraId="494BBC4E">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工程垃圾产生量基数</w:t>
      </w:r>
    </w:p>
    <w:p w14:paraId="528E13A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按照《集贤县国土空间总体规划（2021—2035年）》，集贤县未来实施双福同城发展战略，对建设用地的需求量较大。福利镇现状建设用地面积为1471.08公顷，2035年中心城区建设用地面积2377.89公顷，新增906.81公顷，估算2025年建设用地新增302公顷，2030年建设用地新增604公顷。</w:t>
      </w:r>
    </w:p>
    <w:p w14:paraId="16BF4FB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参考《建筑垃圾处理技术标准》（CJJ/T134-2019），并随着集贤县装配式建筑的推广、BIM技术的应用及采取其他源头减量措施，结合《黑龙江省城乡建设领域碳达峰实施方案》，预测集贤县工程垃圾产生量基数为21000吨/年。</w:t>
      </w:r>
    </w:p>
    <w:p w14:paraId="3E3377DC">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工程垃圾产生量修正系数</w:t>
      </w:r>
    </w:p>
    <w:p w14:paraId="142EA7A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在对建筑工程垃圾产生量修正系数（kg）进行预测时，也可以参考前文经济指数预测的思路和方法。</w:t>
      </w:r>
    </w:p>
    <w:p w14:paraId="7A87CFF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当经济增长时，如 GDP 上升带动房地产开发和基础设施建设活跃，建筑工程开工增多，单位面积建筑工程垃圾产生量可能随之增加。在确定修正系数时，需要考虑经济增长的幅度和对建筑活动的影响程度；建筑技术的不断创新，如绿色建筑技术和装配式建筑的推广应用，有望减少建筑施工过程中的浪费，降低单位面积建筑工程垃圾产生量。但技术的推广和应用需要时间和成本，短期内可能无法完全改变垃圾产生量的现状。在确定修正系数时，要考虑技术进步的速度和预期效果；政府出台的环境保护和建筑垃圾管理政策会对建筑企业的施工方式产生影响，从而减少建筑垃圾的产生。例如，对建筑垃圾排放征收费用可能激励建筑企业优化施工流程，降低单位面积建筑工程垃圾产生量。在确定修正系数时，要充分考虑政策的力度和实施效果，以及参考宏观对集贤县建筑垃圾产生量的影响因素。以下为具体年份建筑工程垃圾产生量修正系数的预测结果：</w:t>
      </w:r>
    </w:p>
    <w:p w14:paraId="560F9B5F">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p>
    <w:p w14:paraId="4105909B">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p>
    <w:p w14:paraId="1554833A">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建筑工程垃圾产生量修正系数预测表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136"/>
        <w:gridCol w:w="1136"/>
        <w:gridCol w:w="1136"/>
        <w:gridCol w:w="1136"/>
        <w:gridCol w:w="1136"/>
        <w:gridCol w:w="1136"/>
        <w:gridCol w:w="1137"/>
      </w:tblGrid>
      <w:tr w14:paraId="40FE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8" w:type="pct"/>
            <w:tcBorders>
              <w:top w:val="single" w:color="auto" w:sz="4" w:space="0"/>
              <w:left w:val="single" w:color="auto" w:sz="4" w:space="0"/>
              <w:bottom w:val="single" w:color="auto" w:sz="4" w:space="0"/>
              <w:right w:val="single" w:color="auto" w:sz="4" w:space="0"/>
            </w:tcBorders>
            <w:noWrap/>
            <w:vAlign w:val="center"/>
          </w:tcPr>
          <w:p w14:paraId="45FF885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年份</w:t>
            </w:r>
          </w:p>
        </w:tc>
        <w:tc>
          <w:tcPr>
            <w:tcW w:w="593" w:type="pct"/>
            <w:tcBorders>
              <w:top w:val="single" w:color="auto" w:sz="4" w:space="0"/>
              <w:left w:val="single" w:color="auto" w:sz="4" w:space="0"/>
              <w:bottom w:val="single" w:color="auto" w:sz="4" w:space="0"/>
              <w:right w:val="single" w:color="auto" w:sz="4" w:space="0"/>
            </w:tcBorders>
            <w:noWrap/>
            <w:vAlign w:val="center"/>
          </w:tcPr>
          <w:p w14:paraId="1B548B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2024</w:t>
            </w:r>
          </w:p>
        </w:tc>
        <w:tc>
          <w:tcPr>
            <w:tcW w:w="593" w:type="pct"/>
            <w:tcBorders>
              <w:top w:val="single" w:color="auto" w:sz="4" w:space="0"/>
              <w:left w:val="single" w:color="auto" w:sz="4" w:space="0"/>
              <w:bottom w:val="single" w:color="auto" w:sz="4" w:space="0"/>
              <w:right w:val="single" w:color="auto" w:sz="4" w:space="0"/>
            </w:tcBorders>
            <w:noWrap/>
            <w:vAlign w:val="center"/>
          </w:tcPr>
          <w:p w14:paraId="5D26E6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2025</w:t>
            </w:r>
          </w:p>
        </w:tc>
        <w:tc>
          <w:tcPr>
            <w:tcW w:w="593" w:type="pct"/>
            <w:tcBorders>
              <w:top w:val="single" w:color="auto" w:sz="4" w:space="0"/>
              <w:left w:val="single" w:color="auto" w:sz="4" w:space="0"/>
              <w:bottom w:val="single" w:color="auto" w:sz="4" w:space="0"/>
              <w:right w:val="single" w:color="auto" w:sz="4" w:space="0"/>
            </w:tcBorders>
            <w:noWrap/>
            <w:vAlign w:val="center"/>
          </w:tcPr>
          <w:p w14:paraId="1539CD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2026</w:t>
            </w:r>
          </w:p>
        </w:tc>
        <w:tc>
          <w:tcPr>
            <w:tcW w:w="593" w:type="pct"/>
            <w:tcBorders>
              <w:top w:val="single" w:color="auto" w:sz="4" w:space="0"/>
              <w:left w:val="single" w:color="auto" w:sz="4" w:space="0"/>
              <w:bottom w:val="single" w:color="auto" w:sz="4" w:space="0"/>
              <w:right w:val="single" w:color="auto" w:sz="4" w:space="0"/>
            </w:tcBorders>
            <w:noWrap/>
            <w:vAlign w:val="center"/>
          </w:tcPr>
          <w:p w14:paraId="614007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2027</w:t>
            </w:r>
          </w:p>
        </w:tc>
        <w:tc>
          <w:tcPr>
            <w:tcW w:w="593" w:type="pct"/>
            <w:tcBorders>
              <w:top w:val="single" w:color="auto" w:sz="4" w:space="0"/>
              <w:left w:val="single" w:color="auto" w:sz="4" w:space="0"/>
              <w:bottom w:val="single" w:color="auto" w:sz="4" w:space="0"/>
              <w:right w:val="single" w:color="auto" w:sz="4" w:space="0"/>
            </w:tcBorders>
            <w:noWrap/>
            <w:vAlign w:val="center"/>
          </w:tcPr>
          <w:p w14:paraId="42C4A4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2028</w:t>
            </w:r>
          </w:p>
        </w:tc>
        <w:tc>
          <w:tcPr>
            <w:tcW w:w="593" w:type="pct"/>
            <w:tcBorders>
              <w:top w:val="single" w:color="auto" w:sz="4" w:space="0"/>
              <w:left w:val="single" w:color="auto" w:sz="4" w:space="0"/>
              <w:bottom w:val="single" w:color="auto" w:sz="4" w:space="0"/>
              <w:right w:val="single" w:color="auto" w:sz="4" w:space="0"/>
            </w:tcBorders>
            <w:noWrap/>
            <w:vAlign w:val="center"/>
          </w:tcPr>
          <w:p w14:paraId="6D7FCE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2029</w:t>
            </w:r>
          </w:p>
        </w:tc>
        <w:tc>
          <w:tcPr>
            <w:tcW w:w="593" w:type="pct"/>
            <w:tcBorders>
              <w:top w:val="single" w:color="auto" w:sz="4" w:space="0"/>
              <w:left w:val="single" w:color="auto" w:sz="4" w:space="0"/>
              <w:bottom w:val="single" w:color="auto" w:sz="4" w:space="0"/>
              <w:right w:val="single" w:color="auto" w:sz="4" w:space="0"/>
            </w:tcBorders>
            <w:noWrap/>
            <w:vAlign w:val="center"/>
          </w:tcPr>
          <w:p w14:paraId="1C6A7E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2030</w:t>
            </w:r>
          </w:p>
        </w:tc>
      </w:tr>
      <w:tr w14:paraId="7A1F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8" w:type="pct"/>
            <w:tcBorders>
              <w:top w:val="single" w:color="auto" w:sz="4" w:space="0"/>
              <w:left w:val="single" w:color="auto" w:sz="4" w:space="0"/>
              <w:bottom w:val="single" w:color="auto" w:sz="4" w:space="0"/>
              <w:right w:val="single" w:color="auto" w:sz="4" w:space="0"/>
            </w:tcBorders>
            <w:noWrap/>
            <w:vAlign w:val="center"/>
          </w:tcPr>
          <w:p w14:paraId="144DE6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kg预测</w:t>
            </w:r>
          </w:p>
        </w:tc>
        <w:tc>
          <w:tcPr>
            <w:tcW w:w="1154" w:type="dxa"/>
            <w:tcBorders>
              <w:top w:val="single" w:color="auto" w:sz="4" w:space="0"/>
              <w:left w:val="single" w:color="auto" w:sz="4" w:space="0"/>
              <w:bottom w:val="single" w:color="auto" w:sz="4" w:space="0"/>
              <w:right w:val="single" w:color="auto" w:sz="4" w:space="0"/>
            </w:tcBorders>
            <w:noWrap/>
            <w:vAlign w:val="center"/>
          </w:tcPr>
          <w:p w14:paraId="760D21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0.8</w:t>
            </w:r>
          </w:p>
        </w:tc>
        <w:tc>
          <w:tcPr>
            <w:tcW w:w="1154" w:type="dxa"/>
            <w:tcBorders>
              <w:top w:val="single" w:color="auto" w:sz="4" w:space="0"/>
              <w:left w:val="single" w:color="auto" w:sz="4" w:space="0"/>
              <w:bottom w:val="single" w:color="auto" w:sz="4" w:space="0"/>
              <w:right w:val="single" w:color="auto" w:sz="4" w:space="0"/>
            </w:tcBorders>
            <w:noWrap/>
            <w:vAlign w:val="center"/>
          </w:tcPr>
          <w:p w14:paraId="1220C2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0.84</w:t>
            </w:r>
          </w:p>
        </w:tc>
        <w:tc>
          <w:tcPr>
            <w:tcW w:w="1154" w:type="dxa"/>
            <w:tcBorders>
              <w:top w:val="single" w:color="auto" w:sz="4" w:space="0"/>
              <w:left w:val="single" w:color="auto" w:sz="4" w:space="0"/>
              <w:bottom w:val="single" w:color="auto" w:sz="4" w:space="0"/>
              <w:right w:val="single" w:color="auto" w:sz="4" w:space="0"/>
            </w:tcBorders>
            <w:noWrap/>
            <w:vAlign w:val="center"/>
          </w:tcPr>
          <w:p w14:paraId="7E364D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0.88</w:t>
            </w:r>
          </w:p>
        </w:tc>
        <w:tc>
          <w:tcPr>
            <w:tcW w:w="1154" w:type="dxa"/>
            <w:tcBorders>
              <w:top w:val="single" w:color="auto" w:sz="4" w:space="0"/>
              <w:left w:val="single" w:color="auto" w:sz="4" w:space="0"/>
              <w:bottom w:val="single" w:color="auto" w:sz="4" w:space="0"/>
              <w:right w:val="single" w:color="auto" w:sz="4" w:space="0"/>
            </w:tcBorders>
            <w:noWrap/>
            <w:vAlign w:val="center"/>
          </w:tcPr>
          <w:p w14:paraId="30AF37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0.92</w:t>
            </w:r>
          </w:p>
        </w:tc>
        <w:tc>
          <w:tcPr>
            <w:tcW w:w="1154" w:type="dxa"/>
            <w:tcBorders>
              <w:top w:val="single" w:color="auto" w:sz="4" w:space="0"/>
              <w:left w:val="single" w:color="auto" w:sz="4" w:space="0"/>
              <w:bottom w:val="single" w:color="auto" w:sz="4" w:space="0"/>
              <w:right w:val="single" w:color="auto" w:sz="4" w:space="0"/>
            </w:tcBorders>
            <w:noWrap/>
            <w:vAlign w:val="center"/>
          </w:tcPr>
          <w:p w14:paraId="3204BB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0.96</w:t>
            </w:r>
          </w:p>
        </w:tc>
        <w:tc>
          <w:tcPr>
            <w:tcW w:w="1154" w:type="dxa"/>
            <w:tcBorders>
              <w:top w:val="single" w:color="auto" w:sz="4" w:space="0"/>
              <w:left w:val="single" w:color="auto" w:sz="4" w:space="0"/>
              <w:bottom w:val="single" w:color="auto" w:sz="4" w:space="0"/>
              <w:right w:val="single" w:color="auto" w:sz="4" w:space="0"/>
            </w:tcBorders>
            <w:noWrap/>
            <w:vAlign w:val="center"/>
          </w:tcPr>
          <w:p w14:paraId="1338F8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w:t>
            </w:r>
          </w:p>
        </w:tc>
        <w:tc>
          <w:tcPr>
            <w:tcW w:w="1155" w:type="dxa"/>
            <w:tcBorders>
              <w:top w:val="single" w:color="auto" w:sz="4" w:space="0"/>
              <w:left w:val="single" w:color="auto" w:sz="4" w:space="0"/>
              <w:bottom w:val="single" w:color="auto" w:sz="4" w:space="0"/>
              <w:right w:val="single" w:color="auto" w:sz="4" w:space="0"/>
            </w:tcBorders>
            <w:noWrap/>
            <w:vAlign w:val="center"/>
          </w:tcPr>
          <w:p w14:paraId="672E98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1.04</w:t>
            </w:r>
          </w:p>
        </w:tc>
      </w:tr>
    </w:tbl>
    <w:p w14:paraId="7E538D7C">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工程垃圾的确定</w:t>
      </w:r>
    </w:p>
    <w:p w14:paraId="42129D7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根据上述公式预测得出集贤县的工程垃圾为：</w:t>
      </w:r>
    </w:p>
    <w:p w14:paraId="0B8DE613">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2024-2030集贤县工程垃圾产生量预测表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1082"/>
        <w:gridCol w:w="988"/>
        <w:gridCol w:w="1150"/>
        <w:gridCol w:w="1037"/>
        <w:gridCol w:w="1084"/>
        <w:gridCol w:w="1134"/>
        <w:gridCol w:w="1137"/>
      </w:tblGrid>
      <w:tr w14:paraId="2C84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97" w:type="pct"/>
            <w:tcBorders>
              <w:top w:val="single" w:color="auto" w:sz="4" w:space="0"/>
              <w:left w:val="single" w:color="auto" w:sz="4" w:space="0"/>
              <w:bottom w:val="single" w:color="auto" w:sz="4" w:space="0"/>
              <w:right w:val="single" w:color="auto" w:sz="4" w:space="0"/>
            </w:tcBorders>
            <w:noWrap/>
            <w:vAlign w:val="center"/>
          </w:tcPr>
          <w:p w14:paraId="65761E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年份</w:t>
            </w:r>
          </w:p>
        </w:tc>
        <w:tc>
          <w:tcPr>
            <w:tcW w:w="596" w:type="pct"/>
            <w:tcBorders>
              <w:top w:val="single" w:color="auto" w:sz="4" w:space="0"/>
              <w:left w:val="single" w:color="auto" w:sz="4" w:space="0"/>
              <w:bottom w:val="single" w:color="auto" w:sz="4" w:space="0"/>
              <w:right w:val="single" w:color="auto" w:sz="4" w:space="0"/>
            </w:tcBorders>
            <w:noWrap/>
            <w:vAlign w:val="center"/>
          </w:tcPr>
          <w:p w14:paraId="21B707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2024</w:t>
            </w:r>
          </w:p>
        </w:tc>
        <w:tc>
          <w:tcPr>
            <w:tcW w:w="546" w:type="pct"/>
            <w:tcBorders>
              <w:top w:val="single" w:color="auto" w:sz="4" w:space="0"/>
              <w:left w:val="single" w:color="auto" w:sz="4" w:space="0"/>
              <w:bottom w:val="single" w:color="auto" w:sz="4" w:space="0"/>
              <w:right w:val="single" w:color="auto" w:sz="4" w:space="0"/>
            </w:tcBorders>
            <w:noWrap/>
            <w:vAlign w:val="center"/>
          </w:tcPr>
          <w:p w14:paraId="79A2E3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2025</w:t>
            </w:r>
          </w:p>
        </w:tc>
        <w:tc>
          <w:tcPr>
            <w:tcW w:w="635" w:type="pct"/>
            <w:tcBorders>
              <w:top w:val="single" w:color="auto" w:sz="4" w:space="0"/>
              <w:left w:val="single" w:color="auto" w:sz="4" w:space="0"/>
              <w:bottom w:val="single" w:color="auto" w:sz="4" w:space="0"/>
              <w:right w:val="single" w:color="auto" w:sz="4" w:space="0"/>
            </w:tcBorders>
            <w:noWrap/>
            <w:vAlign w:val="center"/>
          </w:tcPr>
          <w:p w14:paraId="20D687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2026</w:t>
            </w:r>
          </w:p>
        </w:tc>
        <w:tc>
          <w:tcPr>
            <w:tcW w:w="572" w:type="pct"/>
            <w:tcBorders>
              <w:top w:val="single" w:color="auto" w:sz="4" w:space="0"/>
              <w:left w:val="single" w:color="auto" w:sz="4" w:space="0"/>
              <w:bottom w:val="single" w:color="auto" w:sz="4" w:space="0"/>
              <w:right w:val="single" w:color="auto" w:sz="4" w:space="0"/>
            </w:tcBorders>
            <w:noWrap/>
            <w:vAlign w:val="center"/>
          </w:tcPr>
          <w:p w14:paraId="61FEAE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2027</w:t>
            </w:r>
          </w:p>
        </w:tc>
        <w:tc>
          <w:tcPr>
            <w:tcW w:w="597" w:type="pct"/>
            <w:tcBorders>
              <w:top w:val="single" w:color="auto" w:sz="4" w:space="0"/>
              <w:left w:val="single" w:color="auto" w:sz="4" w:space="0"/>
              <w:bottom w:val="single" w:color="auto" w:sz="4" w:space="0"/>
              <w:right w:val="single" w:color="auto" w:sz="4" w:space="0"/>
            </w:tcBorders>
            <w:noWrap/>
            <w:vAlign w:val="center"/>
          </w:tcPr>
          <w:p w14:paraId="0F5A9C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2028</w:t>
            </w:r>
          </w:p>
        </w:tc>
        <w:tc>
          <w:tcPr>
            <w:tcW w:w="626" w:type="pct"/>
            <w:tcBorders>
              <w:top w:val="single" w:color="auto" w:sz="4" w:space="0"/>
              <w:left w:val="single" w:color="auto" w:sz="4" w:space="0"/>
              <w:bottom w:val="single" w:color="auto" w:sz="4" w:space="0"/>
              <w:right w:val="single" w:color="auto" w:sz="4" w:space="0"/>
            </w:tcBorders>
            <w:noWrap/>
            <w:vAlign w:val="center"/>
          </w:tcPr>
          <w:p w14:paraId="13B3C8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2029</w:t>
            </w:r>
          </w:p>
        </w:tc>
        <w:tc>
          <w:tcPr>
            <w:tcW w:w="628" w:type="pct"/>
            <w:tcBorders>
              <w:top w:val="single" w:color="auto" w:sz="4" w:space="0"/>
              <w:left w:val="single" w:color="auto" w:sz="4" w:space="0"/>
              <w:bottom w:val="single" w:color="auto" w:sz="4" w:space="0"/>
              <w:right w:val="single" w:color="auto" w:sz="4" w:space="0"/>
            </w:tcBorders>
            <w:noWrap/>
            <w:vAlign w:val="center"/>
          </w:tcPr>
          <w:p w14:paraId="4D6492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2030</w:t>
            </w:r>
          </w:p>
        </w:tc>
      </w:tr>
      <w:tr w14:paraId="0B94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97" w:type="pct"/>
            <w:tcBorders>
              <w:top w:val="single" w:color="auto" w:sz="4" w:space="0"/>
              <w:left w:val="single" w:color="auto" w:sz="4" w:space="0"/>
              <w:bottom w:val="single" w:color="auto" w:sz="4" w:space="0"/>
              <w:right w:val="single" w:color="auto" w:sz="4" w:space="0"/>
            </w:tcBorders>
            <w:noWrap/>
            <w:vAlign w:val="center"/>
          </w:tcPr>
          <w:p w14:paraId="19F2C0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工程垃圾产生量（吨）</w:t>
            </w:r>
          </w:p>
        </w:tc>
        <w:tc>
          <w:tcPr>
            <w:tcW w:w="596" w:type="pct"/>
            <w:tcBorders>
              <w:top w:val="single" w:color="auto" w:sz="4" w:space="0"/>
              <w:left w:val="single" w:color="auto" w:sz="4" w:space="0"/>
              <w:bottom w:val="single" w:color="auto" w:sz="4" w:space="0"/>
              <w:right w:val="single" w:color="auto" w:sz="4" w:space="0"/>
            </w:tcBorders>
            <w:noWrap/>
            <w:vAlign w:val="center"/>
          </w:tcPr>
          <w:p w14:paraId="7518E6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16800</w:t>
            </w:r>
          </w:p>
        </w:tc>
        <w:tc>
          <w:tcPr>
            <w:tcW w:w="546" w:type="pct"/>
            <w:tcBorders>
              <w:top w:val="single" w:color="auto" w:sz="4" w:space="0"/>
              <w:left w:val="single" w:color="auto" w:sz="4" w:space="0"/>
              <w:bottom w:val="single" w:color="auto" w:sz="4" w:space="0"/>
              <w:right w:val="single" w:color="auto" w:sz="4" w:space="0"/>
            </w:tcBorders>
            <w:noWrap/>
            <w:vAlign w:val="center"/>
          </w:tcPr>
          <w:p w14:paraId="0C96B2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17640</w:t>
            </w:r>
          </w:p>
        </w:tc>
        <w:tc>
          <w:tcPr>
            <w:tcW w:w="635" w:type="pct"/>
            <w:tcBorders>
              <w:top w:val="single" w:color="auto" w:sz="4" w:space="0"/>
              <w:left w:val="single" w:color="auto" w:sz="4" w:space="0"/>
              <w:bottom w:val="single" w:color="auto" w:sz="4" w:space="0"/>
              <w:right w:val="single" w:color="auto" w:sz="4" w:space="0"/>
            </w:tcBorders>
            <w:noWrap/>
            <w:vAlign w:val="center"/>
          </w:tcPr>
          <w:p w14:paraId="42C4BD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18480</w:t>
            </w:r>
          </w:p>
        </w:tc>
        <w:tc>
          <w:tcPr>
            <w:tcW w:w="572" w:type="pct"/>
            <w:tcBorders>
              <w:top w:val="single" w:color="auto" w:sz="4" w:space="0"/>
              <w:left w:val="single" w:color="auto" w:sz="4" w:space="0"/>
              <w:bottom w:val="single" w:color="auto" w:sz="4" w:space="0"/>
              <w:right w:val="single" w:color="auto" w:sz="4" w:space="0"/>
            </w:tcBorders>
            <w:noWrap/>
            <w:vAlign w:val="center"/>
          </w:tcPr>
          <w:p w14:paraId="73E173A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19320</w:t>
            </w:r>
          </w:p>
        </w:tc>
        <w:tc>
          <w:tcPr>
            <w:tcW w:w="597" w:type="pct"/>
            <w:tcBorders>
              <w:top w:val="single" w:color="auto" w:sz="4" w:space="0"/>
              <w:left w:val="single" w:color="auto" w:sz="4" w:space="0"/>
              <w:bottom w:val="single" w:color="auto" w:sz="4" w:space="0"/>
              <w:right w:val="single" w:color="auto" w:sz="4" w:space="0"/>
            </w:tcBorders>
            <w:noWrap/>
            <w:vAlign w:val="center"/>
          </w:tcPr>
          <w:p w14:paraId="63758F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20160</w:t>
            </w:r>
          </w:p>
        </w:tc>
        <w:tc>
          <w:tcPr>
            <w:tcW w:w="626" w:type="pct"/>
            <w:tcBorders>
              <w:top w:val="single" w:color="auto" w:sz="4" w:space="0"/>
              <w:left w:val="single" w:color="auto" w:sz="4" w:space="0"/>
              <w:bottom w:val="single" w:color="auto" w:sz="4" w:space="0"/>
              <w:right w:val="single" w:color="auto" w:sz="4" w:space="0"/>
            </w:tcBorders>
            <w:noWrap/>
            <w:vAlign w:val="center"/>
          </w:tcPr>
          <w:p w14:paraId="5C33EF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21000</w:t>
            </w:r>
          </w:p>
        </w:tc>
        <w:tc>
          <w:tcPr>
            <w:tcW w:w="628" w:type="pct"/>
            <w:tcBorders>
              <w:top w:val="single" w:color="auto" w:sz="4" w:space="0"/>
              <w:left w:val="single" w:color="auto" w:sz="4" w:space="0"/>
              <w:bottom w:val="single" w:color="auto" w:sz="4" w:space="0"/>
              <w:right w:val="single" w:color="auto" w:sz="4" w:space="0"/>
            </w:tcBorders>
            <w:noWrap/>
            <w:vAlign w:val="center"/>
          </w:tcPr>
          <w:p w14:paraId="4FAA1E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21840</w:t>
            </w:r>
          </w:p>
        </w:tc>
      </w:tr>
    </w:tbl>
    <w:p w14:paraId="583EA9E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集贤县 2024 年到 2030 年的预测工程垃圾产量呈现出明显的逐年上升趋势。2024年为16800吨，到2030年增长至21840吨，与预测经济趋势一致。</w:t>
      </w:r>
    </w:p>
    <w:p w14:paraId="44C7FCB2">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bookmarkStart w:id="81" w:name="_Toc6528"/>
      <w:bookmarkStart w:id="82" w:name="_Toc18774"/>
      <w:r>
        <w:rPr>
          <w:rFonts w:hint="eastAsia" w:ascii="楷体_GB2312" w:hAnsi="楷体_GB2312" w:eastAsia="楷体_GB2312" w:cs="楷体_GB2312"/>
          <w:b w:val="0"/>
          <w:bCs w:val="0"/>
          <w:caps w:val="0"/>
          <w:smallCaps w:val="0"/>
          <w:color w:val="auto"/>
          <w:spacing w:val="0"/>
          <w:sz w:val="32"/>
          <w:szCs w:val="28"/>
          <w:lang w:val="en-US" w:eastAsia="zh-CN"/>
        </w:rPr>
        <w:t>5．拆除垃圾产生量预测</w:t>
      </w:r>
      <w:bookmarkEnd w:id="81"/>
      <w:bookmarkEnd w:id="82"/>
    </w:p>
    <w:p w14:paraId="1AD82AB9">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可按下式计算：</w:t>
      </w:r>
    </w:p>
    <w:p w14:paraId="615CEE7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Mc=Rc×mc×kc</w:t>
      </w:r>
    </w:p>
    <w:p w14:paraId="337BF17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式中：Mc—某城市或区域拆除垃圾产生量（吨/年）；</w:t>
      </w:r>
    </w:p>
    <w:p w14:paraId="6098CF2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Rc—城市或区域拆除面积（万m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/年）；</w:t>
      </w:r>
    </w:p>
    <w:p w14:paraId="16C3AA2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mc—单位面积拆除垃圾产生量基数（吨/万m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），可取8000～13000吨/万m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，估算集贤县单位面积拆除垃圾产生量基数为11000吨/万m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w:t>
      </w:r>
    </w:p>
    <w:p w14:paraId="04E871A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kc—拆除垃圾产生量修正系数，经济发展快、城市更新量大取1.1~1.2，经济发展较快、城市更新量较大取1.0~1.1，一般取0.8~1.0，本次参照工程垃圾产生量修正系数进行预测。</w:t>
      </w:r>
    </w:p>
    <w:p w14:paraId="05E1F93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随着集贤县城市棚改项目的逐步完成，集贤县棚户区改造项目、拆迁项目大幅减少，城镇开发边界自2021年到2035年向外拓展906.81公顷，按照15年进行计算，每年新增60.45公顷建设用地。由此可推断近远期城市发展以优先利用新增建设用地为主，征地拆迁以城市更新为主，参照《集贤县国土空间总体规划（2021—2035年）》，拆除垃圾产生量已逐步趋于稳定，老旧小区改造计划不再以拆除为主，而是通过改造或增加设施。规划远期，由于建成时间超过30年的建筑数量增加，结合地方财政承受能力，符合拆除新建条件的将逐步纳入改造计划中。确定集贤县拆除垃圾年产生量基数为5000吨。</w:t>
      </w:r>
    </w:p>
    <w:p w14:paraId="179F8995">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2024-2030集贤县拆除垃圾产生量统计表</w:t>
      </w:r>
    </w:p>
    <w:tbl>
      <w:tblPr>
        <w:tblStyle w:val="26"/>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018"/>
        <w:gridCol w:w="1147"/>
        <w:gridCol w:w="1076"/>
        <w:gridCol w:w="888"/>
        <w:gridCol w:w="1090"/>
        <w:gridCol w:w="993"/>
        <w:gridCol w:w="1007"/>
      </w:tblGrid>
      <w:tr w14:paraId="42A5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06" w:type="pct"/>
            <w:tcBorders>
              <w:top w:val="single" w:color="auto" w:sz="4" w:space="0"/>
              <w:left w:val="single" w:color="auto" w:sz="4" w:space="0"/>
              <w:bottom w:val="single" w:color="auto" w:sz="4" w:space="0"/>
              <w:right w:val="single" w:color="auto" w:sz="4" w:space="0"/>
            </w:tcBorders>
            <w:noWrap/>
            <w:vAlign w:val="center"/>
          </w:tcPr>
          <w:p w14:paraId="46CD20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年份</w:t>
            </w:r>
          </w:p>
        </w:tc>
        <w:tc>
          <w:tcPr>
            <w:tcW w:w="577" w:type="pct"/>
            <w:tcBorders>
              <w:top w:val="single" w:color="auto" w:sz="4" w:space="0"/>
              <w:left w:val="single" w:color="auto" w:sz="4" w:space="0"/>
              <w:bottom w:val="single" w:color="auto" w:sz="4" w:space="0"/>
              <w:right w:val="single" w:color="auto" w:sz="4" w:space="0"/>
            </w:tcBorders>
            <w:noWrap/>
            <w:vAlign w:val="center"/>
          </w:tcPr>
          <w:p w14:paraId="0F5E19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2024</w:t>
            </w:r>
          </w:p>
        </w:tc>
        <w:tc>
          <w:tcPr>
            <w:tcW w:w="650" w:type="pct"/>
            <w:tcBorders>
              <w:top w:val="single" w:color="auto" w:sz="4" w:space="0"/>
              <w:left w:val="single" w:color="auto" w:sz="4" w:space="0"/>
              <w:bottom w:val="single" w:color="auto" w:sz="4" w:space="0"/>
              <w:right w:val="single" w:color="auto" w:sz="4" w:space="0"/>
            </w:tcBorders>
            <w:noWrap/>
            <w:vAlign w:val="center"/>
          </w:tcPr>
          <w:p w14:paraId="67CEA4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2025</w:t>
            </w:r>
          </w:p>
        </w:tc>
        <w:tc>
          <w:tcPr>
            <w:tcW w:w="610" w:type="pct"/>
            <w:tcBorders>
              <w:top w:val="single" w:color="auto" w:sz="4" w:space="0"/>
              <w:left w:val="single" w:color="auto" w:sz="4" w:space="0"/>
              <w:bottom w:val="single" w:color="auto" w:sz="4" w:space="0"/>
              <w:right w:val="single" w:color="auto" w:sz="4" w:space="0"/>
            </w:tcBorders>
            <w:noWrap/>
            <w:vAlign w:val="center"/>
          </w:tcPr>
          <w:p w14:paraId="4731C4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2026</w:t>
            </w:r>
          </w:p>
        </w:tc>
        <w:tc>
          <w:tcPr>
            <w:tcW w:w="503" w:type="pct"/>
            <w:tcBorders>
              <w:top w:val="single" w:color="auto" w:sz="4" w:space="0"/>
              <w:left w:val="single" w:color="auto" w:sz="4" w:space="0"/>
              <w:bottom w:val="single" w:color="auto" w:sz="4" w:space="0"/>
              <w:right w:val="single" w:color="auto" w:sz="4" w:space="0"/>
            </w:tcBorders>
            <w:noWrap/>
            <w:vAlign w:val="center"/>
          </w:tcPr>
          <w:p w14:paraId="1A593DE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2027</w:t>
            </w:r>
          </w:p>
        </w:tc>
        <w:tc>
          <w:tcPr>
            <w:tcW w:w="618" w:type="pct"/>
            <w:tcBorders>
              <w:top w:val="single" w:color="auto" w:sz="4" w:space="0"/>
              <w:left w:val="single" w:color="auto" w:sz="4" w:space="0"/>
              <w:bottom w:val="single" w:color="auto" w:sz="4" w:space="0"/>
              <w:right w:val="single" w:color="auto" w:sz="4" w:space="0"/>
            </w:tcBorders>
            <w:noWrap/>
            <w:vAlign w:val="center"/>
          </w:tcPr>
          <w:p w14:paraId="7CAE3D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2028</w:t>
            </w:r>
          </w:p>
        </w:tc>
        <w:tc>
          <w:tcPr>
            <w:tcW w:w="563" w:type="pct"/>
            <w:tcBorders>
              <w:top w:val="single" w:color="auto" w:sz="4" w:space="0"/>
              <w:left w:val="single" w:color="auto" w:sz="4" w:space="0"/>
              <w:bottom w:val="single" w:color="auto" w:sz="4" w:space="0"/>
              <w:right w:val="single" w:color="auto" w:sz="4" w:space="0"/>
            </w:tcBorders>
            <w:noWrap/>
            <w:vAlign w:val="center"/>
          </w:tcPr>
          <w:p w14:paraId="772EAE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2029</w:t>
            </w:r>
          </w:p>
        </w:tc>
        <w:tc>
          <w:tcPr>
            <w:tcW w:w="571" w:type="pct"/>
            <w:tcBorders>
              <w:top w:val="single" w:color="auto" w:sz="4" w:space="0"/>
              <w:left w:val="single" w:color="auto" w:sz="4" w:space="0"/>
              <w:bottom w:val="single" w:color="auto" w:sz="4" w:space="0"/>
              <w:right w:val="single" w:color="auto" w:sz="4" w:space="0"/>
            </w:tcBorders>
            <w:noWrap/>
            <w:vAlign w:val="center"/>
          </w:tcPr>
          <w:p w14:paraId="6A475F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2030</w:t>
            </w:r>
          </w:p>
        </w:tc>
      </w:tr>
      <w:tr w14:paraId="78CA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906" w:type="pct"/>
            <w:tcBorders>
              <w:top w:val="single" w:color="auto" w:sz="4" w:space="0"/>
              <w:left w:val="single" w:color="auto" w:sz="4" w:space="0"/>
              <w:bottom w:val="single" w:color="auto" w:sz="4" w:space="0"/>
              <w:right w:val="single" w:color="auto" w:sz="4" w:space="0"/>
            </w:tcBorders>
            <w:noWrap/>
            <w:vAlign w:val="center"/>
          </w:tcPr>
          <w:p w14:paraId="6D8C9A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拆除垃圾产生量修正系数</w:t>
            </w:r>
          </w:p>
        </w:tc>
        <w:tc>
          <w:tcPr>
            <w:tcW w:w="577" w:type="pct"/>
            <w:tcBorders>
              <w:top w:val="single" w:color="auto" w:sz="4" w:space="0"/>
              <w:left w:val="single" w:color="auto" w:sz="4" w:space="0"/>
              <w:bottom w:val="single" w:color="auto" w:sz="4" w:space="0"/>
              <w:right w:val="single" w:color="auto" w:sz="4" w:space="0"/>
            </w:tcBorders>
            <w:noWrap/>
            <w:vAlign w:val="center"/>
          </w:tcPr>
          <w:p w14:paraId="68CE1E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0.8</w:t>
            </w:r>
          </w:p>
        </w:tc>
        <w:tc>
          <w:tcPr>
            <w:tcW w:w="650" w:type="pct"/>
            <w:tcBorders>
              <w:top w:val="single" w:color="auto" w:sz="4" w:space="0"/>
              <w:left w:val="single" w:color="auto" w:sz="4" w:space="0"/>
              <w:bottom w:val="single" w:color="auto" w:sz="4" w:space="0"/>
              <w:right w:val="single" w:color="auto" w:sz="4" w:space="0"/>
            </w:tcBorders>
            <w:noWrap/>
            <w:vAlign w:val="center"/>
          </w:tcPr>
          <w:p w14:paraId="2FF58B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0.84</w:t>
            </w:r>
          </w:p>
        </w:tc>
        <w:tc>
          <w:tcPr>
            <w:tcW w:w="610" w:type="pct"/>
            <w:tcBorders>
              <w:top w:val="single" w:color="auto" w:sz="4" w:space="0"/>
              <w:left w:val="single" w:color="auto" w:sz="4" w:space="0"/>
              <w:bottom w:val="single" w:color="auto" w:sz="4" w:space="0"/>
              <w:right w:val="single" w:color="auto" w:sz="4" w:space="0"/>
            </w:tcBorders>
            <w:noWrap/>
            <w:vAlign w:val="center"/>
          </w:tcPr>
          <w:p w14:paraId="479362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0.88</w:t>
            </w:r>
          </w:p>
        </w:tc>
        <w:tc>
          <w:tcPr>
            <w:tcW w:w="503" w:type="pct"/>
            <w:tcBorders>
              <w:top w:val="single" w:color="auto" w:sz="4" w:space="0"/>
              <w:left w:val="single" w:color="auto" w:sz="4" w:space="0"/>
              <w:bottom w:val="single" w:color="auto" w:sz="4" w:space="0"/>
              <w:right w:val="single" w:color="auto" w:sz="4" w:space="0"/>
            </w:tcBorders>
            <w:noWrap/>
            <w:vAlign w:val="center"/>
          </w:tcPr>
          <w:p w14:paraId="1613BC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0.92</w:t>
            </w:r>
          </w:p>
        </w:tc>
        <w:tc>
          <w:tcPr>
            <w:tcW w:w="618" w:type="pct"/>
            <w:tcBorders>
              <w:top w:val="single" w:color="auto" w:sz="4" w:space="0"/>
              <w:left w:val="single" w:color="auto" w:sz="4" w:space="0"/>
              <w:bottom w:val="single" w:color="auto" w:sz="4" w:space="0"/>
              <w:right w:val="single" w:color="auto" w:sz="4" w:space="0"/>
            </w:tcBorders>
            <w:noWrap/>
            <w:vAlign w:val="center"/>
          </w:tcPr>
          <w:p w14:paraId="413198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0.96</w:t>
            </w:r>
          </w:p>
        </w:tc>
        <w:tc>
          <w:tcPr>
            <w:tcW w:w="563" w:type="pct"/>
            <w:tcBorders>
              <w:top w:val="single" w:color="auto" w:sz="4" w:space="0"/>
              <w:left w:val="single" w:color="auto" w:sz="4" w:space="0"/>
              <w:bottom w:val="single" w:color="auto" w:sz="4" w:space="0"/>
              <w:right w:val="single" w:color="auto" w:sz="4" w:space="0"/>
            </w:tcBorders>
            <w:noWrap/>
            <w:vAlign w:val="center"/>
          </w:tcPr>
          <w:p w14:paraId="22B5AA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w:t>
            </w:r>
          </w:p>
        </w:tc>
        <w:tc>
          <w:tcPr>
            <w:tcW w:w="571" w:type="pct"/>
            <w:tcBorders>
              <w:top w:val="single" w:color="auto" w:sz="4" w:space="0"/>
              <w:left w:val="single" w:color="auto" w:sz="4" w:space="0"/>
              <w:bottom w:val="single" w:color="auto" w:sz="4" w:space="0"/>
              <w:right w:val="single" w:color="auto" w:sz="4" w:space="0"/>
            </w:tcBorders>
            <w:noWrap/>
            <w:vAlign w:val="center"/>
          </w:tcPr>
          <w:p w14:paraId="2B61F9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1.04</w:t>
            </w:r>
          </w:p>
        </w:tc>
      </w:tr>
      <w:tr w14:paraId="3CED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90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1DEF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拆除垃圾产生量（吨）</w:t>
            </w:r>
          </w:p>
        </w:tc>
        <w:tc>
          <w:tcPr>
            <w:tcW w:w="5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F84AD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4000</w:t>
            </w:r>
          </w:p>
        </w:tc>
        <w:tc>
          <w:tcPr>
            <w:tcW w:w="65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47FB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4200</w:t>
            </w:r>
          </w:p>
        </w:tc>
        <w:tc>
          <w:tcPr>
            <w:tcW w:w="61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EF31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4400</w:t>
            </w:r>
          </w:p>
        </w:tc>
        <w:tc>
          <w:tcPr>
            <w:tcW w:w="5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B56C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4600</w:t>
            </w:r>
          </w:p>
        </w:tc>
        <w:tc>
          <w:tcPr>
            <w:tcW w:w="61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9038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4800</w:t>
            </w:r>
          </w:p>
        </w:tc>
        <w:tc>
          <w:tcPr>
            <w:tcW w:w="56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4A46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5000</w:t>
            </w:r>
          </w:p>
        </w:tc>
        <w:tc>
          <w:tcPr>
            <w:tcW w:w="57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94F1A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5200</w:t>
            </w:r>
          </w:p>
        </w:tc>
      </w:tr>
    </w:tbl>
    <w:p w14:paraId="3C67ACE8">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bookmarkStart w:id="83" w:name="_Toc8868"/>
      <w:bookmarkStart w:id="84" w:name="_Toc3313"/>
      <w:r>
        <w:rPr>
          <w:rFonts w:hint="eastAsia" w:ascii="楷体_GB2312" w:hAnsi="楷体_GB2312" w:eastAsia="楷体_GB2312" w:cs="楷体_GB2312"/>
          <w:b w:val="0"/>
          <w:bCs w:val="0"/>
          <w:caps w:val="0"/>
          <w:smallCaps w:val="0"/>
          <w:color w:val="auto"/>
          <w:spacing w:val="0"/>
          <w:sz w:val="32"/>
          <w:szCs w:val="28"/>
          <w:lang w:val="en-US" w:eastAsia="zh-CN"/>
        </w:rPr>
        <w:t>6．装修垃圾产生量预测</w:t>
      </w:r>
      <w:bookmarkEnd w:id="83"/>
      <w:bookmarkEnd w:id="84"/>
    </w:p>
    <w:p w14:paraId="2DA5587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可按下式计算：</w:t>
      </w:r>
    </w:p>
    <w:p w14:paraId="6096326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Mz=Rz×mz×kz</w:t>
      </w:r>
    </w:p>
    <w:p w14:paraId="621F3C6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式中：Mz—某城市或区域装修垃圾产生量（吨/年）；</w:t>
      </w:r>
    </w:p>
    <w:p w14:paraId="5BBE447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Rz—城市或区域居民户数（户）；</w:t>
      </w:r>
    </w:p>
    <w:p w14:paraId="0ECC96D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mz—单位户数装修垃圾产生量基数（吨/户/年），可取0.5—1.0吨/户/年，集贤县取0.8吨/户/年；</w:t>
      </w:r>
    </w:p>
    <w:p w14:paraId="69914F6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kz—装修垃圾产生量修正系数，经济发展快、新建住宅交房量大取1.1~1.2，经济发展较快、新建住宅交房量较大取1.0~1.1。一般取0.8~1.0，本次取0.8。</w:t>
      </w:r>
    </w:p>
    <w:p w14:paraId="46B5953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本次只计算中心城区装修垃圾产生量，参照“表2-1集贤县城镇开发边界指标分解表”。未来的发展建设用地增量主要在福利镇和集贤镇，其余各镇建设用地量基本保持不变。因此本次装修垃圾主要计算福利镇和集贤镇的人口。2025年，中心城区常住人口13.20万人，集贤镇人口1万人，2030年中心城区常住人口13.8万人，集贤镇1.2万人。按照每户2.5人进行计算，则2025年产生装修垃圾的户数为5.68万户，2030年产生装修垃圾的户数为6万户。</w:t>
      </w:r>
    </w:p>
    <w:p w14:paraId="130168E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参考《建筑垃圾处理技术标准》（CJJ/T134-2019），并随着集贤县商品住宅全装修的推行、BIM技术的应用及采取其他源头减量措施，每户每次装修垃圾产生量按0.8吨计，装修频次近期按10年1次，远期按8年1次计。预测集贤县装修垃圾产生量：近期（2025年）为4544吨/年，远期（2030年）为4800吨/年。</w:t>
      </w:r>
    </w:p>
    <w:p w14:paraId="4B45D860">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bookmarkStart w:id="85" w:name="_Toc7120"/>
      <w:bookmarkStart w:id="86" w:name="_Toc4452"/>
      <w:r>
        <w:rPr>
          <w:rFonts w:hint="eastAsia" w:ascii="楷体_GB2312" w:hAnsi="楷体_GB2312" w:eastAsia="楷体_GB2312" w:cs="楷体_GB2312"/>
          <w:b w:val="0"/>
          <w:bCs w:val="0"/>
          <w:caps w:val="0"/>
          <w:smallCaps w:val="0"/>
          <w:color w:val="auto"/>
          <w:spacing w:val="0"/>
          <w:sz w:val="32"/>
          <w:szCs w:val="28"/>
          <w:lang w:val="en-US" w:eastAsia="zh-CN"/>
        </w:rPr>
        <w:t>7．工程渣土产生量预测</w:t>
      </w:r>
      <w:bookmarkEnd w:id="85"/>
      <w:bookmarkEnd w:id="86"/>
    </w:p>
    <w:p w14:paraId="5F289E50">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不同的建设项目产生渣土的量有很大差异。例如，房地产开发项目在基础开挖和主体施工阶段会产生大量渣土；道路建设项目主要在路基开挖和填方过程中产生渣土。其中影响渣土量的因素也有很多种，包括建筑面积、道路长度、场地面积等。一般来说，工程规模越大，渣土产生量也会相应增加；工程所在地的地形起伏、原有地貌特征会影响渣土产生量；土壤的类型、硬度、稳定性等地质因素会影响挖掘难度和渣土产生量。</w:t>
      </w:r>
    </w:p>
    <w:p w14:paraId="37B9490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处理技术标准》（CJJ/T134-2019）中工程渣土的产量是依据现场地形、设计资料及施工工艺等综合确定。参照住建部《施工现场建筑垃圾减量化技术标准》《建筑垃圾处理标准》《住房和城乡建设部关于推进建筑垃圾减量化的指导意见》《建筑垃圾就地分类及处理技术标准（征求意见稿）》《施工现场建筑垃圾减量化指导图册》，规划工程设计阶段进行土方平衡，减少工程渣土的产生，根据2021—2023年集贤县产生数据，结合集贤县房屋建筑新开工面积，综合确定每新增1万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产生约0.2万吨的工程渣土。按照每年新增60.45公顷建设用地指标，计算可得每年新增渣土约为12.09万吨。</w:t>
      </w:r>
    </w:p>
    <w:p w14:paraId="2D56E6E3">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r>
        <w:rPr>
          <w:rFonts w:hint="eastAsia" w:ascii="楷体_GB2312" w:hAnsi="楷体_GB2312" w:eastAsia="楷体_GB2312" w:cs="楷体_GB2312"/>
          <w:b w:val="0"/>
          <w:bCs w:val="0"/>
          <w:caps w:val="0"/>
          <w:smallCaps w:val="0"/>
          <w:color w:val="auto"/>
          <w:spacing w:val="0"/>
          <w:sz w:val="32"/>
          <w:szCs w:val="28"/>
          <w:lang w:val="en-US" w:eastAsia="zh-CN"/>
        </w:rPr>
        <w:t>8．工程泥浆产生量预测</w:t>
      </w:r>
    </w:p>
    <w:p w14:paraId="508169F2">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一般的建筑装修工程产生的泥浆相对较少，而基础工程、地下连续墙施工、河道疏浚等项目会产生大量泥浆，影响其产量的因素包括建筑面积、挖掘深度、河道长度等。通常，工程规模越大，产生的泥浆量也会相应增加。</w:t>
      </w:r>
    </w:p>
    <w:p w14:paraId="4CD1FE6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处理技术标准》（CJJ/T134-2019）中工程渣土和工程泥浆的产量是依据现场地形、设计资料及施工工艺等综合确定。参照住建部《施工现场建筑垃圾减量化技术标准》《建筑垃圾处理标准》《住房和城乡建设部关于推进建筑垃圾减量化的指导意见》《建筑垃圾就地分类及处理技术标准（征求意见稿）》《施工现场建筑垃圾减量化指导图册》，对工程泥浆进行脱水处理，鼓励堆填等方式就地利用。</w:t>
      </w:r>
    </w:p>
    <w:p w14:paraId="59F17C5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根据2021—2023年集贤县产生数据，结合集贤县房屋建筑新开工面积，综合确定每新增1万m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产生约0.05万吨工程泥浆计算指标。按照每年新增60.45公顷建设用地指标，计算可得每年产生工程泥浆约为3.03万吨。</w:t>
      </w:r>
    </w:p>
    <w:p w14:paraId="44EE0DFD">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bookmarkStart w:id="87" w:name="_Toc15334"/>
      <w:bookmarkStart w:id="88" w:name="_Toc2233"/>
      <w:r>
        <w:rPr>
          <w:rFonts w:hint="eastAsia" w:ascii="楷体_GB2312" w:hAnsi="楷体_GB2312" w:eastAsia="楷体_GB2312" w:cs="楷体_GB2312"/>
          <w:b w:val="0"/>
          <w:bCs w:val="0"/>
          <w:caps w:val="0"/>
          <w:smallCaps w:val="0"/>
          <w:color w:val="auto"/>
          <w:spacing w:val="0"/>
          <w:sz w:val="32"/>
          <w:szCs w:val="28"/>
          <w:lang w:val="en-US" w:eastAsia="zh-CN"/>
        </w:rPr>
        <w:t>9．建筑垃圾产生量预测</w:t>
      </w:r>
      <w:bookmarkEnd w:id="87"/>
      <w:bookmarkEnd w:id="88"/>
    </w:p>
    <w:p w14:paraId="26EA4B90">
      <w:pPr>
        <w:pStyle w:val="40"/>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经以上预测，集贤县近远期建筑垃圾量如下表：</w:t>
      </w:r>
    </w:p>
    <w:p w14:paraId="1DCA509A">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集贤县建筑垃圾分类量预测表</w:t>
      </w:r>
    </w:p>
    <w:tbl>
      <w:tblPr>
        <w:tblStyle w:val="26"/>
        <w:tblW w:w="50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50"/>
        <w:gridCol w:w="1297"/>
        <w:gridCol w:w="1297"/>
        <w:gridCol w:w="1297"/>
        <w:gridCol w:w="1297"/>
        <w:gridCol w:w="1297"/>
        <w:gridCol w:w="1298"/>
      </w:tblGrid>
      <w:tr w14:paraId="01CF1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785" w:type="pct"/>
            <w:tcBorders>
              <w:top w:val="single" w:color="000000" w:sz="6" w:space="0"/>
              <w:left w:val="single" w:color="000000" w:sz="6" w:space="0"/>
              <w:bottom w:val="single" w:color="auto" w:sz="6" w:space="0"/>
              <w:right w:val="single" w:color="auto" w:sz="6" w:space="0"/>
              <w:tl2br w:val="nil"/>
              <w:tr2bl w:val="nil"/>
            </w:tcBorders>
            <w:noWrap w:val="0"/>
            <w:vAlign w:val="top"/>
          </w:tcPr>
          <w:p w14:paraId="0E310D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年份</w:t>
            </w:r>
          </w:p>
        </w:tc>
        <w:tc>
          <w:tcPr>
            <w:tcW w:w="702" w:type="pct"/>
            <w:tcBorders>
              <w:top w:val="single" w:color="000000" w:sz="6" w:space="0"/>
              <w:left w:val="single" w:color="auto" w:sz="6" w:space="0"/>
              <w:bottom w:val="single" w:color="auto" w:sz="6" w:space="0"/>
              <w:right w:val="single" w:color="auto" w:sz="6" w:space="0"/>
              <w:tl2br w:val="nil"/>
              <w:tr2bl w:val="nil"/>
            </w:tcBorders>
            <w:noWrap w:val="0"/>
            <w:vAlign w:val="top"/>
          </w:tcPr>
          <w:p w14:paraId="6FB42B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2025</w:t>
            </w:r>
          </w:p>
        </w:tc>
        <w:tc>
          <w:tcPr>
            <w:tcW w:w="702" w:type="pct"/>
            <w:tcBorders>
              <w:top w:val="single" w:color="000000" w:sz="6" w:space="0"/>
              <w:left w:val="single" w:color="auto" w:sz="6" w:space="0"/>
              <w:bottom w:val="single" w:color="auto" w:sz="6" w:space="0"/>
              <w:right w:val="single" w:color="auto" w:sz="6" w:space="0"/>
              <w:tl2br w:val="nil"/>
              <w:tr2bl w:val="nil"/>
            </w:tcBorders>
            <w:noWrap w:val="0"/>
            <w:vAlign w:val="top"/>
          </w:tcPr>
          <w:p w14:paraId="531CB6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2026</w:t>
            </w:r>
          </w:p>
        </w:tc>
        <w:tc>
          <w:tcPr>
            <w:tcW w:w="702" w:type="pct"/>
            <w:tcBorders>
              <w:top w:val="single" w:color="000000" w:sz="6" w:space="0"/>
              <w:left w:val="single" w:color="auto" w:sz="6" w:space="0"/>
              <w:bottom w:val="single" w:color="auto" w:sz="6" w:space="0"/>
              <w:right w:val="single" w:color="auto" w:sz="6" w:space="0"/>
              <w:tl2br w:val="nil"/>
              <w:tr2bl w:val="nil"/>
            </w:tcBorders>
            <w:noWrap w:val="0"/>
            <w:vAlign w:val="top"/>
          </w:tcPr>
          <w:p w14:paraId="3A44AC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2027</w:t>
            </w:r>
          </w:p>
        </w:tc>
        <w:tc>
          <w:tcPr>
            <w:tcW w:w="702" w:type="pct"/>
            <w:tcBorders>
              <w:top w:val="single" w:color="000000" w:sz="6" w:space="0"/>
              <w:left w:val="single" w:color="auto" w:sz="6" w:space="0"/>
              <w:bottom w:val="single" w:color="auto" w:sz="6" w:space="0"/>
              <w:right w:val="single" w:color="auto" w:sz="6" w:space="0"/>
              <w:tl2br w:val="nil"/>
              <w:tr2bl w:val="nil"/>
            </w:tcBorders>
            <w:noWrap w:val="0"/>
            <w:vAlign w:val="top"/>
          </w:tcPr>
          <w:p w14:paraId="2D71D6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2028</w:t>
            </w:r>
          </w:p>
        </w:tc>
        <w:tc>
          <w:tcPr>
            <w:tcW w:w="702" w:type="pct"/>
            <w:tcBorders>
              <w:top w:val="single" w:color="000000" w:sz="6" w:space="0"/>
              <w:left w:val="single" w:color="auto" w:sz="6" w:space="0"/>
              <w:bottom w:val="single" w:color="auto" w:sz="6" w:space="0"/>
              <w:right w:val="single" w:color="auto" w:sz="6" w:space="0"/>
              <w:tl2br w:val="nil"/>
              <w:tr2bl w:val="nil"/>
            </w:tcBorders>
            <w:noWrap w:val="0"/>
            <w:vAlign w:val="top"/>
          </w:tcPr>
          <w:p w14:paraId="6C90B4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2029</w:t>
            </w:r>
          </w:p>
        </w:tc>
        <w:tc>
          <w:tcPr>
            <w:tcW w:w="702" w:type="pct"/>
            <w:tcBorders>
              <w:top w:val="single" w:color="000000" w:sz="6" w:space="0"/>
              <w:left w:val="single" w:color="auto" w:sz="6" w:space="0"/>
              <w:bottom w:val="single" w:color="auto" w:sz="6" w:space="0"/>
              <w:right w:val="single" w:color="000000" w:sz="6" w:space="0"/>
              <w:tl2br w:val="nil"/>
              <w:tr2bl w:val="nil"/>
            </w:tcBorders>
            <w:noWrap w:val="0"/>
            <w:vAlign w:val="top"/>
          </w:tcPr>
          <w:p w14:paraId="6D6C61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2030</w:t>
            </w:r>
          </w:p>
        </w:tc>
      </w:tr>
      <w:tr w14:paraId="5927D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785" w:type="pct"/>
            <w:tcBorders>
              <w:top w:val="single" w:color="auto" w:sz="6" w:space="0"/>
              <w:left w:val="single" w:color="000000" w:sz="6" w:space="0"/>
              <w:bottom w:val="single" w:color="auto" w:sz="6" w:space="0"/>
              <w:right w:val="single" w:color="auto" w:sz="6" w:space="0"/>
              <w:tl2br w:val="nil"/>
              <w:tr2bl w:val="nil"/>
            </w:tcBorders>
            <w:noWrap w:val="0"/>
            <w:vAlign w:val="center"/>
          </w:tcPr>
          <w:p w14:paraId="64CDA8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工程垃圾（吨/年）</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D40B9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16800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48733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18480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255A9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19320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A4994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20160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708C3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21000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BDE48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21840</w:t>
            </w:r>
          </w:p>
        </w:tc>
      </w:tr>
      <w:tr w14:paraId="15D1F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785" w:type="pct"/>
            <w:tcBorders>
              <w:top w:val="single" w:color="auto" w:sz="6" w:space="0"/>
              <w:left w:val="single" w:color="000000" w:sz="6" w:space="0"/>
              <w:bottom w:val="single" w:color="auto" w:sz="6" w:space="0"/>
              <w:right w:val="single" w:color="auto" w:sz="6" w:space="0"/>
              <w:tl2br w:val="nil"/>
              <w:tr2bl w:val="nil"/>
            </w:tcBorders>
            <w:noWrap w:val="0"/>
            <w:vAlign w:val="center"/>
          </w:tcPr>
          <w:p w14:paraId="557953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拆除垃圾（吨/年）</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2F977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4000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4B5CB1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4400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90E5D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4600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27918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4800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F706A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5000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F3744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5200</w:t>
            </w:r>
          </w:p>
        </w:tc>
      </w:tr>
      <w:tr w14:paraId="5B1D8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785" w:type="pct"/>
            <w:tcBorders>
              <w:top w:val="single" w:color="auto" w:sz="6" w:space="0"/>
              <w:left w:val="single" w:color="000000" w:sz="6" w:space="0"/>
              <w:bottom w:val="single" w:color="auto" w:sz="6" w:space="0"/>
              <w:right w:val="single" w:color="auto" w:sz="6" w:space="0"/>
              <w:tl2br w:val="nil"/>
              <w:tr2bl w:val="nil"/>
            </w:tcBorders>
            <w:noWrap w:val="0"/>
            <w:vAlign w:val="center"/>
          </w:tcPr>
          <w:p w14:paraId="242DE3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装修垃圾（吨/年）</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F02DE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4544</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19F74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4800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37757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4800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A6DC2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4800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74BE02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4800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1E6E6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4800</w:t>
            </w:r>
          </w:p>
        </w:tc>
      </w:tr>
      <w:tr w14:paraId="25D82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785" w:type="pct"/>
            <w:tcBorders>
              <w:top w:val="single" w:color="auto" w:sz="6" w:space="0"/>
              <w:left w:val="single" w:color="000000" w:sz="6" w:space="0"/>
              <w:bottom w:val="single" w:color="auto" w:sz="6" w:space="0"/>
              <w:right w:val="single" w:color="auto" w:sz="6" w:space="0"/>
              <w:tl2br w:val="nil"/>
              <w:tr2bl w:val="nil"/>
            </w:tcBorders>
            <w:noWrap w:val="0"/>
            <w:vAlign w:val="center"/>
          </w:tcPr>
          <w:p w14:paraId="6C0C29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工程渣土（吨/年）</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B0F70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120900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91318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120900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25095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120900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57D10D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120900</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269611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120900</w:t>
            </w:r>
          </w:p>
        </w:tc>
        <w:tc>
          <w:tcPr>
            <w:tcW w:w="702" w:type="pct"/>
            <w:tcBorders>
              <w:top w:val="single" w:color="auto" w:sz="6" w:space="0"/>
              <w:left w:val="single" w:color="auto" w:sz="6" w:space="0"/>
              <w:bottom w:val="single" w:color="auto" w:sz="6" w:space="0"/>
              <w:right w:val="single" w:color="000000" w:sz="6" w:space="0"/>
              <w:tl2br w:val="nil"/>
              <w:tr2bl w:val="nil"/>
            </w:tcBorders>
            <w:noWrap w:val="0"/>
            <w:vAlign w:val="center"/>
          </w:tcPr>
          <w:p w14:paraId="309374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120900</w:t>
            </w:r>
          </w:p>
        </w:tc>
      </w:tr>
      <w:tr w14:paraId="4EB9C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785" w:type="pct"/>
            <w:tcBorders>
              <w:top w:val="single" w:color="auto" w:sz="6" w:space="0"/>
              <w:left w:val="single" w:color="000000" w:sz="6" w:space="0"/>
              <w:bottom w:val="single" w:color="auto" w:sz="6" w:space="0"/>
              <w:right w:val="single" w:color="auto" w:sz="6" w:space="0"/>
              <w:tl2br w:val="nil"/>
              <w:tr2bl w:val="nil"/>
            </w:tcBorders>
            <w:noWrap w:val="0"/>
            <w:vAlign w:val="center"/>
          </w:tcPr>
          <w:p w14:paraId="51FEEA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工程泥浆（吨/年）</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628F9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30225</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663AAF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30225</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0EA8A8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30225</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13DAA2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30225</w:t>
            </w:r>
          </w:p>
        </w:tc>
        <w:tc>
          <w:tcPr>
            <w:tcW w:w="702" w:type="pct"/>
            <w:tcBorders>
              <w:top w:val="single" w:color="auto" w:sz="6" w:space="0"/>
              <w:left w:val="single" w:color="auto" w:sz="6" w:space="0"/>
              <w:bottom w:val="single" w:color="auto" w:sz="6" w:space="0"/>
              <w:right w:val="single" w:color="auto" w:sz="6" w:space="0"/>
              <w:tl2br w:val="nil"/>
              <w:tr2bl w:val="nil"/>
            </w:tcBorders>
            <w:noWrap w:val="0"/>
            <w:vAlign w:val="center"/>
          </w:tcPr>
          <w:p w14:paraId="39C00C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30225</w:t>
            </w:r>
          </w:p>
        </w:tc>
        <w:tc>
          <w:tcPr>
            <w:tcW w:w="702" w:type="pct"/>
            <w:tcBorders>
              <w:top w:val="single" w:color="auto" w:sz="6" w:space="0"/>
              <w:left w:val="single" w:color="auto" w:sz="6" w:space="0"/>
              <w:bottom w:val="single" w:color="auto" w:sz="6" w:space="0"/>
              <w:right w:val="single" w:color="000000" w:sz="6" w:space="0"/>
              <w:tl2br w:val="nil"/>
              <w:tr2bl w:val="nil"/>
            </w:tcBorders>
            <w:noWrap w:val="0"/>
            <w:vAlign w:val="center"/>
          </w:tcPr>
          <w:p w14:paraId="4BE83F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30225</w:t>
            </w:r>
          </w:p>
        </w:tc>
      </w:tr>
      <w:tr w14:paraId="7454F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785" w:type="pct"/>
            <w:tcBorders>
              <w:top w:val="single" w:color="auto" w:sz="6" w:space="0"/>
              <w:left w:val="single" w:color="000000" w:sz="6" w:space="0"/>
              <w:bottom w:val="single" w:color="000000" w:sz="6" w:space="0"/>
              <w:right w:val="single" w:color="auto" w:sz="6" w:space="0"/>
              <w:tl2br w:val="nil"/>
              <w:tr2bl w:val="nil"/>
            </w:tcBorders>
            <w:noWrap w:val="0"/>
            <w:vAlign w:val="center"/>
          </w:tcPr>
          <w:p w14:paraId="1093F5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总计</w:t>
            </w:r>
          </w:p>
        </w:tc>
        <w:tc>
          <w:tcPr>
            <w:tcW w:w="702" w:type="pct"/>
            <w:tcBorders>
              <w:top w:val="single" w:color="auto" w:sz="6" w:space="0"/>
              <w:left w:val="single" w:color="auto" w:sz="6" w:space="0"/>
              <w:bottom w:val="single" w:color="000000" w:sz="6" w:space="0"/>
              <w:right w:val="single" w:color="auto" w:sz="6" w:space="0"/>
              <w:tl2br w:val="nil"/>
              <w:tr2bl w:val="nil"/>
            </w:tcBorders>
            <w:noWrap w:val="0"/>
            <w:vAlign w:val="center"/>
          </w:tcPr>
          <w:p w14:paraId="0233B6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178493</w:t>
            </w:r>
          </w:p>
        </w:tc>
        <w:tc>
          <w:tcPr>
            <w:tcW w:w="702" w:type="pct"/>
            <w:tcBorders>
              <w:top w:val="single" w:color="auto" w:sz="6" w:space="0"/>
              <w:left w:val="single" w:color="auto" w:sz="6" w:space="0"/>
              <w:bottom w:val="single" w:color="000000" w:sz="6" w:space="0"/>
              <w:right w:val="single" w:color="auto" w:sz="6" w:space="0"/>
              <w:tl2br w:val="nil"/>
              <w:tr2bl w:val="nil"/>
            </w:tcBorders>
            <w:noWrap w:val="0"/>
            <w:vAlign w:val="center"/>
          </w:tcPr>
          <w:p w14:paraId="26AA9E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180831</w:t>
            </w:r>
          </w:p>
        </w:tc>
        <w:tc>
          <w:tcPr>
            <w:tcW w:w="702" w:type="pct"/>
            <w:tcBorders>
              <w:top w:val="single" w:color="auto" w:sz="6" w:space="0"/>
              <w:left w:val="single" w:color="auto" w:sz="6" w:space="0"/>
              <w:bottom w:val="single" w:color="000000" w:sz="6" w:space="0"/>
              <w:right w:val="single" w:color="auto" w:sz="6" w:space="0"/>
              <w:tl2br w:val="nil"/>
              <w:tr2bl w:val="nil"/>
            </w:tcBorders>
            <w:noWrap w:val="0"/>
            <w:vAlign w:val="center"/>
          </w:tcPr>
          <w:p w14:paraId="03E825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181872</w:t>
            </w:r>
          </w:p>
        </w:tc>
        <w:tc>
          <w:tcPr>
            <w:tcW w:w="702" w:type="pct"/>
            <w:tcBorders>
              <w:top w:val="single" w:color="auto" w:sz="6" w:space="0"/>
              <w:left w:val="single" w:color="auto" w:sz="6" w:space="0"/>
              <w:bottom w:val="single" w:color="000000" w:sz="6" w:space="0"/>
              <w:right w:val="single" w:color="auto" w:sz="6" w:space="0"/>
              <w:tl2br w:val="nil"/>
              <w:tr2bl w:val="nil"/>
            </w:tcBorders>
            <w:noWrap w:val="0"/>
            <w:vAlign w:val="center"/>
          </w:tcPr>
          <w:p w14:paraId="5499A2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182913</w:t>
            </w:r>
          </w:p>
        </w:tc>
        <w:tc>
          <w:tcPr>
            <w:tcW w:w="702" w:type="pct"/>
            <w:tcBorders>
              <w:top w:val="single" w:color="auto" w:sz="6" w:space="0"/>
              <w:left w:val="single" w:color="auto" w:sz="6" w:space="0"/>
              <w:bottom w:val="single" w:color="000000" w:sz="6" w:space="0"/>
              <w:right w:val="single" w:color="auto" w:sz="6" w:space="0"/>
              <w:tl2br w:val="nil"/>
              <w:tr2bl w:val="nil"/>
            </w:tcBorders>
            <w:noWrap w:val="0"/>
            <w:vAlign w:val="center"/>
          </w:tcPr>
          <w:p w14:paraId="5056B8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183954</w:t>
            </w:r>
          </w:p>
        </w:tc>
        <w:tc>
          <w:tcPr>
            <w:tcW w:w="702" w:type="pct"/>
            <w:tcBorders>
              <w:top w:val="single" w:color="auto" w:sz="6" w:space="0"/>
              <w:left w:val="single" w:color="auto" w:sz="6" w:space="0"/>
              <w:bottom w:val="single" w:color="000000" w:sz="6" w:space="0"/>
              <w:right w:val="single" w:color="000000" w:sz="6" w:space="0"/>
              <w:tl2br w:val="nil"/>
              <w:tr2bl w:val="nil"/>
            </w:tcBorders>
            <w:noWrap w:val="0"/>
            <w:vAlign w:val="center"/>
          </w:tcPr>
          <w:p w14:paraId="013DEE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184995</w:t>
            </w:r>
          </w:p>
        </w:tc>
      </w:tr>
    </w:tbl>
    <w:p w14:paraId="58290449">
      <w:pPr>
        <w:widowControl/>
        <w:jc w:val="left"/>
        <w:rPr>
          <w:b w:val="0"/>
          <w:bCs w:val="0"/>
          <w:caps w:val="0"/>
          <w:smallCaps w:val="0"/>
          <w:color w:val="auto"/>
          <w:spacing w:val="0"/>
          <w:sz w:val="28"/>
          <w:szCs w:val="22"/>
        </w:rPr>
      </w:pPr>
      <w:r>
        <w:rPr>
          <w:b w:val="0"/>
          <w:bCs w:val="0"/>
          <w:caps w:val="0"/>
          <w:smallCaps w:val="0"/>
          <w:color w:val="auto"/>
          <w:spacing w:val="0"/>
          <w:szCs w:val="22"/>
        </w:rPr>
        <w:br w:type="page"/>
      </w:r>
    </w:p>
    <w:p w14:paraId="7057CD1B">
      <w:pPr>
        <w:pStyle w:val="7"/>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ind w:left="0" w:leftChars="0" w:firstLine="0" w:firstLineChars="0"/>
        <w:textAlignment w:val="auto"/>
        <w:rPr>
          <w:rFonts w:hint="eastAsia"/>
          <w:b w:val="0"/>
          <w:bCs w:val="0"/>
          <w:caps w:val="0"/>
          <w:smallCaps w:val="0"/>
          <w:color w:val="auto"/>
          <w:spacing w:val="0"/>
          <w:sz w:val="44"/>
          <w:szCs w:val="44"/>
          <w:lang w:val="en-US" w:eastAsia="zh-CN"/>
        </w:rPr>
      </w:pPr>
      <w:bookmarkStart w:id="89" w:name="_Toc28430"/>
      <w:bookmarkStart w:id="90" w:name="_Toc16803"/>
      <w:bookmarkStart w:id="91" w:name="_Toc9532"/>
      <w:r>
        <w:rPr>
          <w:rFonts w:hint="eastAsia"/>
          <w:b w:val="0"/>
          <w:bCs w:val="0"/>
          <w:caps w:val="0"/>
          <w:smallCaps w:val="0"/>
          <w:color w:val="auto"/>
          <w:spacing w:val="0"/>
          <w:sz w:val="44"/>
          <w:szCs w:val="44"/>
          <w:lang w:val="en-US" w:eastAsia="zh-CN"/>
        </w:rPr>
        <w:t>第三章 源头减量化规划</w:t>
      </w:r>
      <w:bookmarkEnd w:id="89"/>
      <w:bookmarkEnd w:id="90"/>
      <w:bookmarkEnd w:id="91"/>
    </w:p>
    <w:p w14:paraId="0560C094">
      <w:pPr>
        <w:pStyle w:val="40"/>
        <w:bidi w:val="0"/>
        <w:rPr>
          <w:rFonts w:hint="default" w:ascii="黑体" w:hAnsi="黑体" w:eastAsia="黑体" w:cs="黑体"/>
          <w:b w:val="0"/>
          <w:bCs w:val="0"/>
          <w:caps w:val="0"/>
          <w:smallCaps w:val="0"/>
          <w:color w:val="auto"/>
          <w:spacing w:val="0"/>
          <w:lang w:val="en-US" w:eastAsia="zh-CN"/>
        </w:rPr>
      </w:pPr>
      <w:bookmarkStart w:id="92" w:name="_Toc23293"/>
      <w:bookmarkStart w:id="93" w:name="_Toc18617"/>
      <w:bookmarkStart w:id="94" w:name="_Toc10876"/>
      <w:bookmarkStart w:id="95" w:name="_Toc26176"/>
      <w:bookmarkStart w:id="96" w:name="_Toc22132"/>
      <w:bookmarkStart w:id="97" w:name="_Toc15646"/>
      <w:r>
        <w:rPr>
          <w:rFonts w:hint="eastAsia" w:ascii="黑体" w:hAnsi="黑体" w:eastAsia="黑体" w:cs="黑体"/>
          <w:b w:val="0"/>
          <w:bCs w:val="0"/>
          <w:caps w:val="0"/>
          <w:smallCaps w:val="0"/>
          <w:color w:val="auto"/>
          <w:spacing w:val="0"/>
          <w:lang w:val="en-US" w:eastAsia="zh-CN"/>
        </w:rPr>
        <w:t>一、</w:t>
      </w:r>
      <w:r>
        <w:rPr>
          <w:rFonts w:hint="default" w:ascii="黑体" w:hAnsi="黑体" w:eastAsia="黑体" w:cs="黑体"/>
          <w:b w:val="0"/>
          <w:bCs w:val="0"/>
          <w:caps w:val="0"/>
          <w:smallCaps w:val="0"/>
          <w:color w:val="auto"/>
          <w:spacing w:val="0"/>
          <w:lang w:val="en-US" w:eastAsia="zh-CN"/>
        </w:rPr>
        <w:t>源头减量要求</w:t>
      </w:r>
      <w:bookmarkEnd w:id="92"/>
      <w:bookmarkEnd w:id="93"/>
      <w:bookmarkEnd w:id="94"/>
      <w:bookmarkEnd w:id="95"/>
      <w:bookmarkEnd w:id="96"/>
      <w:bookmarkEnd w:id="97"/>
    </w:p>
    <w:p w14:paraId="5D95755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根据《住房和城乡建设部关于推进建筑垃圾减量化的指导意见》（建质〔2020〕46号）总体要求：各地区建筑垃圾减量化工作机制初步建立，到2025年底，各地区建筑垃圾减量化工作机制进一步完善，实现新建建筑施工现场建筑垃圾（不包括工程渣土、工程泥浆）排放量每万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不高于300吨，装配式建筑施工现场建筑垃圾（不包括工程渣土、工程泥浆）排放量每万m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不高于200吨；并落实企业主体责任，按照“谁产生、谁负责”的原则，落实建设单位建筑垃圾减量化的首要责任。建设单位应将建筑垃圾减量化目标和措施纳入招标文件和合同文本，将建筑垃圾减量化措施费纳入工程概算，并监督设计、施工、监理单位具体落实。因此，建筑垃</w:t>
      </w:r>
      <w:r>
        <w:rPr>
          <w:rFonts w:hint="eastAsia" w:ascii="仿宋_GB2312" w:hAnsi="仿宋_GB2312" w:eastAsia="仿宋_GB2312" w:cs="仿宋_GB2312"/>
          <w:color w:val="auto"/>
          <w:spacing w:val="0"/>
          <w:kern w:val="2"/>
          <w:sz w:val="32"/>
          <w:szCs w:val="32"/>
          <w:highlight w:val="none"/>
          <w:lang w:val="en-US" w:eastAsia="zh-CN" w:bidi="ar-SA"/>
        </w:rPr>
        <w:t>圾专项规划应当以此为依据，将建筑垃圾源头减量化作为项目管理和</w:t>
      </w:r>
      <w:r>
        <w:rPr>
          <w:rFonts w:hint="eastAsia" w:ascii="仿宋_GB2312" w:hAnsi="仿宋_GB2312" w:eastAsia="仿宋_GB2312" w:cs="仿宋_GB2312"/>
          <w:b w:val="0"/>
          <w:bCs w:val="0"/>
          <w:caps w:val="0"/>
          <w:smallCaps w:val="0"/>
          <w:color w:val="auto"/>
          <w:spacing w:val="0"/>
          <w:lang w:val="en-US" w:eastAsia="zh-CN"/>
        </w:rPr>
        <w:t>核准要求的工作重点事项。</w:t>
      </w:r>
    </w:p>
    <w:p w14:paraId="508438E3">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98" w:name="_Toc28620"/>
      <w:bookmarkStart w:id="99" w:name="_Toc6428"/>
      <w:bookmarkStart w:id="100" w:name="_Toc10354"/>
      <w:r>
        <w:rPr>
          <w:rFonts w:hint="eastAsia" w:ascii="楷体_GB2312" w:hAnsi="楷体_GB2312" w:eastAsia="楷体_GB2312" w:cs="楷体_GB2312"/>
          <w:b w:val="0"/>
          <w:bCs w:val="0"/>
          <w:caps w:val="0"/>
          <w:smallCaps w:val="0"/>
          <w:color w:val="auto"/>
          <w:spacing w:val="0"/>
          <w:sz w:val="32"/>
          <w:szCs w:val="28"/>
          <w:lang w:val="en-US" w:eastAsia="zh-CN"/>
        </w:rPr>
        <w:t>1．</w:t>
      </w:r>
      <w:r>
        <w:rPr>
          <w:rFonts w:hint="default" w:ascii="楷体_GB2312" w:hAnsi="楷体_GB2312" w:eastAsia="楷体_GB2312" w:cs="楷体_GB2312"/>
          <w:b w:val="0"/>
          <w:bCs w:val="0"/>
          <w:caps w:val="0"/>
          <w:smallCaps w:val="0"/>
          <w:color w:val="auto"/>
          <w:spacing w:val="0"/>
          <w:sz w:val="32"/>
          <w:szCs w:val="28"/>
          <w:lang w:val="en-US" w:eastAsia="zh-CN"/>
        </w:rPr>
        <w:t>基本要求</w:t>
      </w:r>
      <w:bookmarkEnd w:id="98"/>
      <w:bookmarkEnd w:id="99"/>
      <w:bookmarkEnd w:id="100"/>
    </w:p>
    <w:p w14:paraId="430DF6F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集贤县</w:t>
      </w:r>
      <w:r>
        <w:rPr>
          <w:rFonts w:hint="default" w:ascii="仿宋_GB2312" w:hAnsi="仿宋_GB2312" w:eastAsia="仿宋_GB2312" w:cs="仿宋_GB2312"/>
          <w:b w:val="0"/>
          <w:bCs w:val="0"/>
          <w:caps w:val="0"/>
          <w:smallCaps w:val="0"/>
          <w:color w:val="auto"/>
          <w:spacing w:val="0"/>
          <w:lang w:val="en-US" w:eastAsia="zh-CN"/>
        </w:rPr>
        <w:t>政府应明确以下要求对建设单位进行监管</w:t>
      </w:r>
      <w:r>
        <w:rPr>
          <w:rFonts w:hint="eastAsia" w:ascii="仿宋_GB2312" w:hAnsi="仿宋_GB2312" w:eastAsia="仿宋_GB2312" w:cs="仿宋_GB2312"/>
          <w:b w:val="0"/>
          <w:bCs w:val="0"/>
          <w:caps w:val="0"/>
          <w:smallCaps w:val="0"/>
          <w:color w:val="auto"/>
          <w:spacing w:val="0"/>
          <w:lang w:val="en-US" w:eastAsia="zh-CN"/>
        </w:rPr>
        <w:t>：</w:t>
      </w:r>
    </w:p>
    <w:p w14:paraId="192E4F6E">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统筹规划，源头减量。统筹工程策划、设计、施工等阶段，从源头上预防和减少工程建设过程中建筑垃圾的产生，有效减少工程全寿命期的建筑垃圾排放。</w:t>
      </w:r>
    </w:p>
    <w:p w14:paraId="32E0BF74">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因地制宜，系统推进。根据各地具体要求和工程项目实际情况，整合资源，制定计划，多措并举，系统推进建筑垃圾减量化工作。</w:t>
      </w:r>
    </w:p>
    <w:p w14:paraId="36062F4D">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创新驱动，精细管理。推动建筑垃圾减量化技术和管理创新，推行精细化设计和施工，实现施工现场建筑垃圾分类管控和再利用。</w:t>
      </w:r>
    </w:p>
    <w:p w14:paraId="39C79BAB">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01" w:name="_Toc7132"/>
      <w:bookmarkStart w:id="102" w:name="_Toc9181"/>
      <w:bookmarkStart w:id="103" w:name="_Toc18942"/>
      <w:r>
        <w:rPr>
          <w:rFonts w:hint="eastAsia" w:ascii="楷体_GB2312" w:hAnsi="楷体_GB2312" w:eastAsia="楷体_GB2312" w:cs="楷体_GB2312"/>
          <w:b w:val="0"/>
          <w:bCs w:val="0"/>
          <w:caps w:val="0"/>
          <w:smallCaps w:val="0"/>
          <w:color w:val="auto"/>
          <w:spacing w:val="0"/>
          <w:sz w:val="32"/>
          <w:szCs w:val="28"/>
          <w:lang w:val="en-US" w:eastAsia="zh-CN"/>
        </w:rPr>
        <w:t>2．</w:t>
      </w:r>
      <w:r>
        <w:rPr>
          <w:rFonts w:hint="default" w:ascii="楷体_GB2312" w:hAnsi="楷体_GB2312" w:eastAsia="楷体_GB2312" w:cs="楷体_GB2312"/>
          <w:b w:val="0"/>
          <w:bCs w:val="0"/>
          <w:caps w:val="0"/>
          <w:smallCaps w:val="0"/>
          <w:color w:val="auto"/>
          <w:spacing w:val="0"/>
          <w:sz w:val="32"/>
          <w:szCs w:val="28"/>
          <w:lang w:val="en-US" w:eastAsia="zh-CN"/>
        </w:rPr>
        <w:t>建设单位源头减量要求</w:t>
      </w:r>
      <w:bookmarkEnd w:id="101"/>
      <w:bookmarkEnd w:id="102"/>
      <w:bookmarkEnd w:id="103"/>
    </w:p>
    <w:p w14:paraId="76FE5BFF">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明确目标与措施</w:t>
      </w:r>
    </w:p>
    <w:p w14:paraId="5437070D">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应明确建筑垃圾减量化目标和措施，并纳入招标文件和合同文本，将建筑垃圾减量化措施费纳入工程概算，及时支付所需费用。</w:t>
      </w:r>
    </w:p>
    <w:p w14:paraId="139F59C4">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建立奖惩机制</w:t>
      </w:r>
    </w:p>
    <w:p w14:paraId="7854C305">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建立相应奖惩机制，监督和激励设计、施工单位落实建筑垃圾减量化的目标措施。</w:t>
      </w:r>
    </w:p>
    <w:p w14:paraId="39D21F5D">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采用新型模式</w:t>
      </w:r>
    </w:p>
    <w:p w14:paraId="5434C1F7">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积极采用工业化、信息化新型建造方式和工程总承包、全过程工程咨询等组织模式。</w:t>
      </w:r>
    </w:p>
    <w:p w14:paraId="04E1F332">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（4）</w:t>
      </w:r>
      <w:r>
        <w:rPr>
          <w:rFonts w:hint="eastAsia" w:ascii="仿宋_GB2312" w:hAnsi="仿宋_GB2312" w:eastAsia="仿宋_GB2312" w:cs="仿宋_GB2312"/>
          <w:b w:val="0"/>
          <w:bCs w:val="0"/>
          <w:caps w:val="0"/>
          <w:smallCaps w:val="0"/>
          <w:color w:val="auto"/>
          <w:spacing w:val="0"/>
          <w:lang w:val="en-US" w:eastAsia="zh-CN"/>
        </w:rPr>
        <w:t>支持永临结合</w:t>
      </w:r>
    </w:p>
    <w:p w14:paraId="16DC4E8E">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在满足相关标准规范的情况下，对具备条件的施工现场，支持施工单位实施水、电、消防、道路等临时设施工程的“永临结合”。</w:t>
      </w:r>
    </w:p>
    <w:p w14:paraId="46A649C5">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04" w:name="_Toc30048"/>
      <w:bookmarkStart w:id="105" w:name="_Toc21004"/>
      <w:bookmarkStart w:id="106" w:name="_Toc9129"/>
      <w:r>
        <w:rPr>
          <w:rFonts w:hint="eastAsia" w:ascii="楷体_GB2312" w:hAnsi="楷体_GB2312" w:eastAsia="楷体_GB2312" w:cs="楷体_GB2312"/>
          <w:b w:val="0"/>
          <w:bCs w:val="0"/>
          <w:caps w:val="0"/>
          <w:smallCaps w:val="0"/>
          <w:color w:val="auto"/>
          <w:spacing w:val="0"/>
          <w:sz w:val="32"/>
          <w:szCs w:val="28"/>
          <w:lang w:val="en-US" w:eastAsia="zh-CN"/>
        </w:rPr>
        <w:t>3．</w:t>
      </w:r>
      <w:r>
        <w:rPr>
          <w:rFonts w:hint="default" w:ascii="楷体_GB2312" w:hAnsi="楷体_GB2312" w:eastAsia="楷体_GB2312" w:cs="楷体_GB2312"/>
          <w:b w:val="0"/>
          <w:bCs w:val="0"/>
          <w:caps w:val="0"/>
          <w:smallCaps w:val="0"/>
          <w:color w:val="auto"/>
          <w:spacing w:val="0"/>
          <w:sz w:val="32"/>
          <w:szCs w:val="28"/>
          <w:lang w:val="en-US" w:eastAsia="zh-CN"/>
        </w:rPr>
        <w:t>施工单位源头减量要求</w:t>
      </w:r>
      <w:bookmarkEnd w:id="104"/>
      <w:bookmarkEnd w:id="105"/>
      <w:bookmarkEnd w:id="106"/>
    </w:p>
    <w:p w14:paraId="353F830A">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深化与优化设计</w:t>
      </w:r>
    </w:p>
    <w:p w14:paraId="68F2E602">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val="0"/>
          <w:bCs w:val="0"/>
          <w:caps w:val="0"/>
          <w:smallCaps w:val="0"/>
          <w:color w:val="auto"/>
          <w:spacing w:val="0"/>
          <w:lang w:val="en-US" w:eastAsia="zh-CN"/>
        </w:rPr>
        <w:t>在不降低设计标准、不影响设计功能的前提下，与设计人员充分沟通，合理优化、深化原设计，避免或减少施工过程中拆改、变更产生建筑垃圾。如地基基础、主体结构、机电安装、装饰装修等各方面的</w:t>
      </w:r>
      <w:r>
        <w:rPr>
          <w:rFonts w:hint="eastAsia" w:ascii="仿宋_GB2312" w:hAnsi="仿宋_GB2312" w:eastAsia="仿宋_GB2312" w:cs="仿宋_GB2312"/>
          <w:color w:val="auto"/>
          <w:spacing w:val="0"/>
          <w:kern w:val="2"/>
          <w:sz w:val="32"/>
          <w:szCs w:val="32"/>
          <w:highlight w:val="none"/>
          <w:lang w:val="en-US" w:eastAsia="zh-CN" w:bidi="ar-SA"/>
        </w:rPr>
        <w:t>优（深）化设计。</w:t>
      </w:r>
    </w:p>
    <w:p w14:paraId="22A7B2C8">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color w:val="auto"/>
          <w:spacing w:val="0"/>
          <w:kern w:val="2"/>
          <w:sz w:val="32"/>
          <w:szCs w:val="32"/>
          <w:highlight w:val="none"/>
          <w:lang w:val="en-US" w:eastAsia="zh-CN" w:bidi="ar-SA"/>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color w:val="auto"/>
          <w:spacing w:val="0"/>
          <w:kern w:val="2"/>
          <w:sz w:val="32"/>
          <w:szCs w:val="32"/>
          <w:highlight w:val="none"/>
          <w:lang w:val="en-US" w:eastAsia="zh-CN" w:bidi="ar-SA"/>
        </w:rPr>
        <w:t>实施永临结合</w:t>
      </w:r>
    </w:p>
    <w:p w14:paraId="4359AEE0">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对具备条件的施工现场，实施水、电、消防、道路等临时设施工程的“永临结合”，</w:t>
      </w:r>
      <w:r>
        <w:rPr>
          <w:rFonts w:hint="eastAsia" w:ascii="仿宋_GB2312" w:hAnsi="仿宋_GB2312" w:eastAsia="仿宋_GB2312" w:cs="仿宋_GB2312"/>
          <w:b w:val="0"/>
          <w:bCs w:val="0"/>
          <w:caps w:val="0"/>
          <w:smallCaps w:val="0"/>
          <w:color w:val="auto"/>
          <w:spacing w:val="0"/>
          <w:lang w:val="en-US" w:eastAsia="zh-CN"/>
        </w:rPr>
        <w:t>并通过合理的维护措施，确保交付时满足使用功能需要。</w:t>
      </w:r>
    </w:p>
    <w:p w14:paraId="6FFBAA2F">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采用标准化设施</w:t>
      </w:r>
    </w:p>
    <w:p w14:paraId="55623AC1">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施工现场办公用房、宿舍、工地围挡、大门、工具棚、安全防护栏杆等临时设施推广采用重复利用率高的标准化设施。</w:t>
      </w:r>
    </w:p>
    <w:p w14:paraId="68BC177B">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（4）</w:t>
      </w:r>
      <w:r>
        <w:rPr>
          <w:rFonts w:hint="eastAsia" w:ascii="仿宋_GB2312" w:hAnsi="仿宋_GB2312" w:eastAsia="仿宋_GB2312" w:cs="仿宋_GB2312"/>
          <w:b w:val="0"/>
          <w:bCs w:val="0"/>
          <w:caps w:val="0"/>
          <w:smallCaps w:val="0"/>
          <w:color w:val="auto"/>
          <w:spacing w:val="0"/>
          <w:lang w:val="en-US" w:eastAsia="zh-CN"/>
        </w:rPr>
        <w:t>优化施工方案</w:t>
      </w:r>
    </w:p>
    <w:p w14:paraId="4D1B5814">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优化施工方案，合理确定施工工序，实现精细化管理。在地基与基础工程、主体结构工程、机电安装工程、装饰装修工程等各阶段采取相应的优化措施。</w:t>
      </w:r>
    </w:p>
    <w:p w14:paraId="74F84CE2">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如地基与基础工程中平衡挖方与填方量，选用无肥槽工艺等；主体结构工程中采用专业化生产的成型钢筋，优先选用免临时支撑体系等；机电安装工程中对管线路由进行空间复核，优先采用工厂化预制加工等；装饰装修工程中推行土建机电装修一体化施工，采用工厂加工、现场装配等。</w:t>
      </w:r>
    </w:p>
    <w:p w14:paraId="4951BA43">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（5）</w:t>
      </w:r>
      <w:r>
        <w:rPr>
          <w:rFonts w:hint="eastAsia" w:ascii="仿宋_GB2312" w:hAnsi="仿宋_GB2312" w:eastAsia="仿宋_GB2312" w:cs="仿宋_GB2312"/>
          <w:b w:val="0"/>
          <w:bCs w:val="0"/>
          <w:caps w:val="0"/>
          <w:smallCaps w:val="0"/>
          <w:color w:val="auto"/>
          <w:spacing w:val="0"/>
          <w:lang w:val="en-US" w:eastAsia="zh-CN"/>
        </w:rPr>
        <w:t>合理安排物资</w:t>
      </w:r>
    </w:p>
    <w:p w14:paraId="5D65F87A">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按照设计图纸、施工方案和施工进度合理安排施工物资采购、运输计划，选择合适的储存地点和储存方式，全面加强采购、运输、加工、安装的过程管理。鼓励在一定区域范围内统筹临时设施和周转材料的调配。</w:t>
      </w:r>
    </w:p>
    <w:p w14:paraId="1BF328AB">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（6）</w:t>
      </w:r>
      <w:r>
        <w:rPr>
          <w:rFonts w:hint="eastAsia" w:ascii="仿宋_GB2312" w:hAnsi="仿宋_GB2312" w:eastAsia="仿宋_GB2312" w:cs="仿宋_GB2312"/>
          <w:b w:val="0"/>
          <w:bCs w:val="0"/>
          <w:caps w:val="0"/>
          <w:smallCaps w:val="0"/>
          <w:color w:val="auto"/>
          <w:spacing w:val="0"/>
          <w:lang w:val="en-US" w:eastAsia="zh-CN"/>
        </w:rPr>
        <w:t>采用成品部件</w:t>
      </w:r>
    </w:p>
    <w:p w14:paraId="184E14EA">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鼓励采用成品窨井、装配式机房等部品部件，实现工厂化预制、整体化安装。</w:t>
      </w:r>
    </w:p>
    <w:p w14:paraId="3E642077">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（7）</w:t>
      </w:r>
      <w:r>
        <w:rPr>
          <w:rFonts w:hint="eastAsia" w:ascii="仿宋_GB2312" w:hAnsi="仿宋_GB2312" w:eastAsia="仿宋_GB2312" w:cs="仿宋_GB2312"/>
          <w:b w:val="0"/>
          <w:bCs w:val="0"/>
          <w:caps w:val="0"/>
          <w:smallCaps w:val="0"/>
          <w:color w:val="auto"/>
          <w:spacing w:val="0"/>
          <w:lang w:val="en-US" w:eastAsia="zh-CN"/>
        </w:rPr>
        <w:t>利用信息化手段</w:t>
      </w:r>
    </w:p>
    <w:p w14:paraId="569AD58F">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结合施工工艺要求及管理人员实际施工经验，利用信息化手段进行预制下料排版及虚拟装配，进一步提升原材料整材利用率，精准投料，避免施工现场临时加工产生大量余料。</w:t>
      </w:r>
    </w:p>
    <w:p w14:paraId="35818CA8">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（8）</w:t>
      </w:r>
      <w:r>
        <w:rPr>
          <w:rFonts w:hint="eastAsia" w:ascii="仿宋_GB2312" w:hAnsi="仿宋_GB2312" w:eastAsia="仿宋_GB2312" w:cs="仿宋_GB2312"/>
          <w:b w:val="0"/>
          <w:bCs w:val="0"/>
          <w:caps w:val="0"/>
          <w:smallCaps w:val="0"/>
          <w:color w:val="auto"/>
          <w:spacing w:val="0"/>
          <w:lang w:val="en-US" w:eastAsia="zh-CN"/>
        </w:rPr>
        <w:t>回收包装物</w:t>
      </w:r>
    </w:p>
    <w:p w14:paraId="6162BEFC">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设备和原材料提供单位应进行包装物回收，减少过度包装产生的建筑垃圾。</w:t>
      </w:r>
    </w:p>
    <w:p w14:paraId="6CA02984">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（9）</w:t>
      </w:r>
      <w:r>
        <w:rPr>
          <w:rFonts w:hint="eastAsia" w:ascii="仿宋_GB2312" w:hAnsi="仿宋_GB2312" w:eastAsia="仿宋_GB2312" w:cs="仿宋_GB2312"/>
          <w:b w:val="0"/>
          <w:bCs w:val="0"/>
          <w:caps w:val="0"/>
          <w:smallCaps w:val="0"/>
          <w:color w:val="auto"/>
          <w:spacing w:val="0"/>
          <w:lang w:val="en-US" w:eastAsia="zh-CN"/>
        </w:rPr>
        <w:t>控制质量</w:t>
      </w:r>
    </w:p>
    <w:p w14:paraId="0A7A359A">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严格按设计要求控制进场材料和设备的质量，严把施工质量关，强化各工序质量管控，减少因质量问题导致的返工或修补。加强对已完工工程的成品保护，避免二次损坏。</w:t>
      </w:r>
    </w:p>
    <w:p w14:paraId="19396329">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（10）</w:t>
      </w:r>
      <w:r>
        <w:rPr>
          <w:rFonts w:hint="eastAsia" w:ascii="仿宋_GB2312" w:hAnsi="仿宋_GB2312" w:eastAsia="仿宋_GB2312" w:cs="仿宋_GB2312"/>
          <w:b w:val="0"/>
          <w:bCs w:val="0"/>
          <w:caps w:val="0"/>
          <w:smallCaps w:val="0"/>
          <w:color w:val="auto"/>
          <w:spacing w:val="0"/>
          <w:lang w:val="en-US" w:eastAsia="zh-CN"/>
        </w:rPr>
        <w:t>建立管理机制</w:t>
      </w:r>
    </w:p>
    <w:p w14:paraId="33247754">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结合BIM、物联网等信息化技术，建立健全施工现场建筑垃圾减量化全过程管理机制。鼓励采用智慧工地管理平台，实现建筑垃圾减量化管理与施工现场各项管理的有机结合。</w:t>
      </w:r>
    </w:p>
    <w:p w14:paraId="57093528">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（11）</w:t>
      </w:r>
      <w:r>
        <w:rPr>
          <w:rFonts w:hint="eastAsia" w:ascii="仿宋_GB2312" w:hAnsi="仿宋_GB2312" w:eastAsia="仿宋_GB2312" w:cs="仿宋_GB2312"/>
          <w:b w:val="0"/>
          <w:bCs w:val="0"/>
          <w:caps w:val="0"/>
          <w:smallCaps w:val="0"/>
          <w:color w:val="auto"/>
          <w:spacing w:val="0"/>
          <w:lang w:val="en-US" w:eastAsia="zh-CN"/>
        </w:rPr>
        <w:t>实时统计监控</w:t>
      </w:r>
    </w:p>
    <w:p w14:paraId="19CC104E">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实时统计并监控建筑垃圾的产生量，以便采取针对性措施减少排放。</w:t>
      </w:r>
    </w:p>
    <w:p w14:paraId="65BF6168">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07" w:name="_Toc21920"/>
      <w:bookmarkStart w:id="108" w:name="_Toc4539"/>
      <w:bookmarkStart w:id="109" w:name="_Toc3345"/>
      <w:r>
        <w:rPr>
          <w:rFonts w:hint="eastAsia" w:ascii="楷体_GB2312" w:hAnsi="楷体_GB2312" w:eastAsia="楷体_GB2312" w:cs="楷体_GB2312"/>
          <w:b w:val="0"/>
          <w:bCs w:val="0"/>
          <w:caps w:val="0"/>
          <w:smallCaps w:val="0"/>
          <w:color w:val="auto"/>
          <w:spacing w:val="0"/>
          <w:sz w:val="32"/>
          <w:szCs w:val="28"/>
          <w:lang w:val="en-US" w:eastAsia="zh-CN"/>
        </w:rPr>
        <w:t>4．</w:t>
      </w:r>
      <w:r>
        <w:rPr>
          <w:rFonts w:hint="default" w:ascii="楷体_GB2312" w:hAnsi="楷体_GB2312" w:eastAsia="楷体_GB2312" w:cs="楷体_GB2312"/>
          <w:b w:val="0"/>
          <w:bCs w:val="0"/>
          <w:caps w:val="0"/>
          <w:smallCaps w:val="0"/>
          <w:color w:val="auto"/>
          <w:spacing w:val="0"/>
          <w:sz w:val="32"/>
          <w:szCs w:val="28"/>
          <w:lang w:val="en-US" w:eastAsia="zh-CN"/>
        </w:rPr>
        <w:t>施工现场源头减量要求</w:t>
      </w:r>
      <w:bookmarkEnd w:id="107"/>
      <w:bookmarkEnd w:id="108"/>
      <w:bookmarkEnd w:id="109"/>
    </w:p>
    <w:p w14:paraId="2E192C50">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合理规划临时设施</w:t>
      </w:r>
    </w:p>
    <w:p w14:paraId="08CF3A97">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现场临时道路布置应与原有及永久道路兼顾考虑，充分利用原有及永久道路基层，并加设预制拼装可周转的临时路面；现场临时围挡应最大限度利用原有围墙或永久围墙；现场临时用电应根据结构及电气施工图纸，经现场优化选用合适的正式配电线路；临时工程消防、施工生产用水管道及消防水池可利用正式工程消防管道及消防水池；现场垂直运输可充分利用正式消防电梯；地下室临时通风可利用地下室正式排风机及风管；临时市政管线可利用场内正式市政工程管线；现场临时绿化可利用场内原有及永久绿化。</w:t>
      </w:r>
    </w:p>
    <w:p w14:paraId="4E8C6D63">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分类收集与存放</w:t>
      </w:r>
    </w:p>
    <w:p w14:paraId="0D1E372F">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按《建筑垃圾处理技术标准》CJJ/T134将建筑垃圾分为工程渣土、工程泥浆、工程垃圾、拆除垃圾等类别，并进一步按化学成分细分。制定分类收集与存放管理制度，包括分类、收集点和堆放池布置、运输路线等，对不同类型建筑垃圾采取相应的收集和存放措施，如工程渣土和工程泥浆的分类收集及存放，工程垃圾和拆除垃圾的分类收集及存放等。对危险废物按《国家危险废物名录》规定收集存放。</w:t>
      </w:r>
    </w:p>
    <w:p w14:paraId="49B4D86B">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就地处置利用</w:t>
      </w:r>
    </w:p>
    <w:p w14:paraId="515B8A76">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遵循因地制宜、分类利用的原则，对建筑垃圾进行就地处置。具备就地资源化处置能力的施工单位，应合理设置加工区及产品储存区。工程渣土、工程泥浆符合要求可用于土方堆填；金属类垃圾可简单加工回用于工程；无机非金属建筑垃圾可根据场地条件设置场内处置设备进行资源化再利用。对难以就地利用的建筑垃圾，制定合理的消防、防腐及环保措施并及时转运处置。</w:t>
      </w:r>
    </w:p>
    <w:p w14:paraId="3149A3DD">
      <w:pPr>
        <w:pStyle w:val="40"/>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（4）</w:t>
      </w:r>
      <w:r>
        <w:rPr>
          <w:rFonts w:hint="eastAsia" w:ascii="仿宋_GB2312" w:hAnsi="仿宋_GB2312" w:eastAsia="仿宋_GB2312" w:cs="仿宋_GB2312"/>
          <w:b w:val="0"/>
          <w:bCs w:val="0"/>
          <w:caps w:val="0"/>
          <w:smallCaps w:val="0"/>
          <w:color w:val="auto"/>
          <w:spacing w:val="0"/>
          <w:lang w:val="en-US" w:eastAsia="zh-CN"/>
        </w:rPr>
        <w:t>排放控制管理</w:t>
      </w:r>
    </w:p>
    <w:p w14:paraId="7FFAC181">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对出场建筑垃圾进行分类称重（计量），禁止携载未分类垃圾的运输车辆出场。称重（计量）后及时记录且记录应保持连续性、真实性和准确性。称重（计量）设备定期标定。鼓励淤泥质工程渣土、工程泥浆经脱水或硬化后外运。在出入口等显著位置实时公示建筑垃圾出场排放量。出场建筑垃圾应运往符合要求的处置场所或消纳场所，严禁将生活垃圾和危险废物混入建筑垃圾排放。</w:t>
      </w:r>
    </w:p>
    <w:p w14:paraId="168C2759">
      <w:pPr>
        <w:pStyle w:val="40"/>
        <w:bidi w:val="0"/>
        <w:rPr>
          <w:rFonts w:hint="default" w:ascii="黑体" w:hAnsi="黑体" w:eastAsia="黑体" w:cs="黑体"/>
          <w:b w:val="0"/>
          <w:bCs w:val="0"/>
          <w:caps w:val="0"/>
          <w:smallCaps w:val="0"/>
          <w:color w:val="auto"/>
          <w:spacing w:val="0"/>
          <w:lang w:val="en-US" w:eastAsia="zh-CN"/>
        </w:rPr>
      </w:pPr>
      <w:bookmarkStart w:id="110" w:name="_Toc9156"/>
      <w:bookmarkStart w:id="111" w:name="_Toc8205"/>
      <w:bookmarkStart w:id="112" w:name="_Toc13670"/>
      <w:bookmarkStart w:id="113" w:name="_Toc29743"/>
      <w:bookmarkStart w:id="114" w:name="_Toc20539"/>
      <w:r>
        <w:rPr>
          <w:rFonts w:hint="eastAsia" w:ascii="黑体" w:hAnsi="黑体" w:eastAsia="黑体" w:cs="黑体"/>
          <w:b w:val="0"/>
          <w:bCs w:val="0"/>
          <w:caps w:val="0"/>
          <w:smallCaps w:val="0"/>
          <w:color w:val="auto"/>
          <w:spacing w:val="0"/>
          <w:lang w:val="en-US" w:eastAsia="zh-CN"/>
        </w:rPr>
        <w:t>二、</w:t>
      </w:r>
      <w:r>
        <w:rPr>
          <w:rFonts w:hint="default" w:ascii="黑体" w:hAnsi="黑体" w:eastAsia="黑体" w:cs="黑体"/>
          <w:b w:val="0"/>
          <w:bCs w:val="0"/>
          <w:caps w:val="0"/>
          <w:smallCaps w:val="0"/>
          <w:color w:val="auto"/>
          <w:spacing w:val="0"/>
          <w:lang w:val="en-US" w:eastAsia="zh-CN"/>
        </w:rPr>
        <w:t>源头减量总体措施</w:t>
      </w:r>
      <w:bookmarkEnd w:id="110"/>
      <w:bookmarkEnd w:id="111"/>
      <w:bookmarkEnd w:id="112"/>
      <w:bookmarkEnd w:id="113"/>
      <w:bookmarkEnd w:id="114"/>
    </w:p>
    <w:p w14:paraId="12E5A22F">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15" w:name="_Toc17886"/>
      <w:r>
        <w:rPr>
          <w:rFonts w:hint="eastAsia" w:ascii="楷体_GB2312" w:hAnsi="楷体_GB2312" w:eastAsia="楷体_GB2312" w:cs="楷体_GB2312"/>
          <w:b w:val="0"/>
          <w:bCs w:val="0"/>
          <w:caps w:val="0"/>
          <w:smallCaps w:val="0"/>
          <w:color w:val="auto"/>
          <w:spacing w:val="0"/>
          <w:sz w:val="32"/>
          <w:szCs w:val="28"/>
          <w:lang w:val="en-US" w:eastAsia="zh-CN"/>
        </w:rPr>
        <w:t>1．</w:t>
      </w:r>
      <w:r>
        <w:rPr>
          <w:rFonts w:hint="default" w:ascii="楷体_GB2312" w:hAnsi="楷体_GB2312" w:eastAsia="楷体_GB2312" w:cs="楷体_GB2312"/>
          <w:b w:val="0"/>
          <w:bCs w:val="0"/>
          <w:caps w:val="0"/>
          <w:smallCaps w:val="0"/>
          <w:color w:val="auto"/>
          <w:spacing w:val="0"/>
          <w:sz w:val="32"/>
          <w:szCs w:val="28"/>
          <w:lang w:val="en-US" w:eastAsia="zh-CN"/>
        </w:rPr>
        <w:t>开展绿色策划。</w:t>
      </w:r>
      <w:bookmarkEnd w:id="115"/>
      <w:r>
        <w:rPr>
          <w:rFonts w:hint="eastAsia" w:ascii="楷体_GB2312" w:hAnsi="楷体_GB2312" w:eastAsia="楷体_GB2312" w:cs="楷体_GB2312"/>
          <w:b w:val="0"/>
          <w:bCs w:val="0"/>
          <w:caps w:val="0"/>
          <w:smallCaps w:val="0"/>
          <w:color w:val="auto"/>
          <w:spacing w:val="0"/>
          <w:sz w:val="32"/>
          <w:szCs w:val="28"/>
          <w:lang w:val="en-US" w:eastAsia="zh-CN"/>
        </w:rPr>
        <w:t xml:space="preserve"> </w:t>
      </w:r>
    </w:p>
    <w:p w14:paraId="0301809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落实企业主体责任。按照“谁产生、谁负责”的原则，落实建设单位建筑垃圾减量化的首要责任。建设单位应将建筑垃圾减量化目标和措施纳入招标文件和合同文本，将建筑垃圾减量化措施费纳入工程概算，并监督设计、施工、监理单位具体落实。</w:t>
      </w:r>
    </w:p>
    <w:p w14:paraId="144A9AC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实施新型建造方式。大力发展装配式建筑，积极推广钢结构装配式住宅，推行工厂化预制、装配化施工、信息化管理的建造模式。鼓励创新设计、施工技术与装备，优先选用绿色建材，实行全装修交付，减少施工现场建筑垃圾的产生。在建设单位主导下，推进建筑信息模型（BIM）等技术在工程设计和施工中的应用，减少设计中的“错漏碰缺”，辅助施工现场管理，提高资源利用率。</w:t>
      </w:r>
    </w:p>
    <w:p w14:paraId="1FE8499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采用新型组织模式。推动工程建设组织方式改革，指导建设单位在工程项目中推行工程总承包和全过程工程咨询，推进建筑师负责制，加强设计与施工的深度协同，构建有利于推进建筑垃圾减量化的组织模式。</w:t>
      </w:r>
    </w:p>
    <w:p w14:paraId="41C08DF8">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16" w:name="_Toc12543"/>
      <w:r>
        <w:rPr>
          <w:rFonts w:hint="eastAsia" w:ascii="楷体_GB2312" w:hAnsi="楷体_GB2312" w:eastAsia="楷体_GB2312" w:cs="楷体_GB2312"/>
          <w:b w:val="0"/>
          <w:bCs w:val="0"/>
          <w:caps w:val="0"/>
          <w:smallCaps w:val="0"/>
          <w:color w:val="auto"/>
          <w:spacing w:val="0"/>
          <w:sz w:val="32"/>
          <w:szCs w:val="28"/>
          <w:lang w:val="en-US" w:eastAsia="zh-CN"/>
        </w:rPr>
        <w:t>2．</w:t>
      </w:r>
      <w:r>
        <w:rPr>
          <w:rFonts w:hint="default" w:ascii="楷体_GB2312" w:hAnsi="楷体_GB2312" w:eastAsia="楷体_GB2312" w:cs="楷体_GB2312"/>
          <w:b w:val="0"/>
          <w:bCs w:val="0"/>
          <w:caps w:val="0"/>
          <w:smallCaps w:val="0"/>
          <w:color w:val="auto"/>
          <w:spacing w:val="0"/>
          <w:sz w:val="32"/>
          <w:szCs w:val="28"/>
          <w:lang w:val="en-US" w:eastAsia="zh-CN"/>
        </w:rPr>
        <w:t>实施绿色设计。</w:t>
      </w:r>
      <w:bookmarkEnd w:id="116"/>
    </w:p>
    <w:p w14:paraId="72AA1A2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树立全寿命期理念。统筹考虑工程全寿命期的耐久性、可持续性，鼓励设计单位采用高强度、高性能、高耐久性和可循环材料以及先进适用技术体系等开展工程设计。根据“模数统一、模块协同”原则，推进功能模块和部品构件标准化，减少异型和非标准部品构件。对改建扩建工程，鼓励充分利用原结构及满足要求的原机电设备。</w:t>
      </w:r>
    </w:p>
    <w:p w14:paraId="4666A3F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提高设计质量。设计单位应根据地形地貌合理确定场地标高，开展土方平衡论证，减少渣土外运。选择适宜的结构体系，减少建筑形体不规则性。提倡建筑、结构、机电、装修、景观全专业一体化协同设计，保证设计深度满足施工需要，减少施工过程设计变更。</w:t>
      </w:r>
    </w:p>
    <w:p w14:paraId="0F79C232">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17" w:name="_Toc11563"/>
      <w:r>
        <w:rPr>
          <w:rFonts w:hint="eastAsia" w:ascii="楷体_GB2312" w:hAnsi="楷体_GB2312" w:eastAsia="楷体_GB2312" w:cs="楷体_GB2312"/>
          <w:b w:val="0"/>
          <w:bCs w:val="0"/>
          <w:caps w:val="0"/>
          <w:smallCaps w:val="0"/>
          <w:color w:val="auto"/>
          <w:spacing w:val="0"/>
          <w:sz w:val="32"/>
          <w:szCs w:val="28"/>
          <w:lang w:val="en-US" w:eastAsia="zh-CN"/>
        </w:rPr>
        <w:t>3．</w:t>
      </w:r>
      <w:r>
        <w:rPr>
          <w:rFonts w:hint="default" w:ascii="楷体_GB2312" w:hAnsi="楷体_GB2312" w:eastAsia="楷体_GB2312" w:cs="楷体_GB2312"/>
          <w:b w:val="0"/>
          <w:bCs w:val="0"/>
          <w:caps w:val="0"/>
          <w:smallCaps w:val="0"/>
          <w:color w:val="auto"/>
          <w:spacing w:val="0"/>
          <w:sz w:val="32"/>
          <w:szCs w:val="28"/>
          <w:lang w:val="en-US" w:eastAsia="zh-CN"/>
        </w:rPr>
        <w:t>推广绿色施工。</w:t>
      </w:r>
      <w:bookmarkEnd w:id="117"/>
    </w:p>
    <w:p w14:paraId="5015DE0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编制专项方案。施工单位应组织编制施工现场建筑垃圾减量化专项方案，明确建筑垃圾减量化目标和职责分工，提出源头减量、分类管理、就地处置、排放控制的具体措施。</w:t>
      </w:r>
    </w:p>
    <w:p w14:paraId="78157BB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做好设计深化和施工组织优化。施工单位应结合工程加工、运输、安装方案和施工工艺要求，细化节点构造和具体做法。优化施工组织设计，合理确定施工工序，推行数字化加工和信息化管理，实现精准下料、精细管理，降低建筑材料损耗率。</w:t>
      </w:r>
    </w:p>
    <w:p w14:paraId="03D6DCA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强化施工质量管控。施工、监理等单位应严格按设计要求控制进场材料和设备的质量，严把施工质量关，强化各工序质量管控，减少因质量问题导致的返工或修补。加强对已完工工程的成品保护，避免二次损坏。</w:t>
      </w:r>
    </w:p>
    <w:p w14:paraId="3A522EA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提高临时设施和周转材料的重复利用率。施工现场办公用房、宿舍、围挡、大门、工具棚、安全防护栏杆等推广采用重复利用率高的标准化设施。鼓励采用工具式脚手架和模板支撑体系，推广应用铝模板、金属防护网、金属通道板、拼装式道路板等周转材料。鼓励施工单位在一定区域范围内统筹临时设施和周转材料的调配。</w:t>
      </w:r>
    </w:p>
    <w:p w14:paraId="5D2A6B41">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val="0"/>
          <w:bCs w:val="0"/>
          <w:caps w:val="0"/>
          <w:smallCaps w:val="0"/>
          <w:color w:val="auto"/>
          <w:spacing w:val="0"/>
          <w:lang w:val="en-US" w:eastAsia="zh-CN"/>
        </w:rPr>
        <w:t>推行临时设施和永久性设施的结合利用。施工单位应充分考虑施工用消防立管、消防水池、照明线路、道路、围挡等与永久性设施的结合利用，减少因拆除临时设施产生的建</w:t>
      </w:r>
      <w:r>
        <w:rPr>
          <w:rFonts w:hint="eastAsia" w:ascii="仿宋_GB2312" w:hAnsi="仿宋_GB2312" w:eastAsia="仿宋_GB2312" w:cs="仿宋_GB2312"/>
          <w:color w:val="auto"/>
          <w:spacing w:val="0"/>
          <w:kern w:val="2"/>
          <w:sz w:val="32"/>
          <w:szCs w:val="32"/>
          <w:highlight w:val="none"/>
          <w:lang w:val="en-US" w:eastAsia="zh-CN" w:bidi="ar-SA"/>
        </w:rPr>
        <w:t>筑垃圾。</w:t>
      </w:r>
    </w:p>
    <w:p w14:paraId="5D53923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实行建筑垃圾分类管理。施工单位应建立建筑垃圾分类收集与存放管理制度，实行分类收集、分类存放、分类处置</w:t>
      </w:r>
      <w:r>
        <w:rPr>
          <w:rFonts w:hint="eastAsia" w:ascii="仿宋_GB2312" w:hAnsi="仿宋_GB2312" w:eastAsia="仿宋_GB2312" w:cs="仿宋_GB2312"/>
          <w:b w:val="0"/>
          <w:bCs w:val="0"/>
          <w:caps w:val="0"/>
          <w:smallCaps w:val="0"/>
          <w:color w:val="auto"/>
          <w:spacing w:val="0"/>
          <w:lang w:val="en-US" w:eastAsia="zh-CN"/>
        </w:rPr>
        <w:t>。鼓励以末端处置为导向对建筑垃圾进行细化分类。严禁将危险废物和生活垃圾混入建筑垃圾。</w:t>
      </w:r>
    </w:p>
    <w:p w14:paraId="09BAF8F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引导施工现场建筑垃圾再利用。施工单位应充分利用混凝土、钢筋、模板、珍珠岩保温材料等余料，在满足质量要求的前提下，根据实际需求加工制作成各类工程材料，实行循环利用。施工现场不具备就地利用条件的，应按规定及时转运到建筑垃圾处置场所进行资源化处置和再利用。</w:t>
      </w:r>
    </w:p>
    <w:p w14:paraId="6529B2F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减少施工现场建筑垃圾排放。施工单位应实时统计并监控建筑垃圾产生量，及时采取针对性措施降低建筑垃圾排放量。鼓励采用现场泥沙分离、泥浆脱水预处理等工艺，减少工程渣土和工程泥浆排放。</w:t>
      </w:r>
    </w:p>
    <w:p w14:paraId="1F0498F2">
      <w:pPr>
        <w:pStyle w:val="40"/>
        <w:bidi w:val="0"/>
        <w:rPr>
          <w:rFonts w:hint="eastAsia" w:ascii="黑体" w:hAnsi="黑体" w:eastAsia="黑体" w:cs="黑体"/>
          <w:b w:val="0"/>
          <w:bCs w:val="0"/>
          <w:caps w:val="0"/>
          <w:smallCaps w:val="0"/>
          <w:color w:val="auto"/>
          <w:spacing w:val="0"/>
          <w:lang w:val="en-US" w:eastAsia="zh-CN"/>
        </w:rPr>
      </w:pPr>
      <w:bookmarkStart w:id="118" w:name="_Toc29804"/>
      <w:bookmarkStart w:id="119" w:name="_Toc29409"/>
      <w:bookmarkStart w:id="120" w:name="_Toc1643"/>
      <w:bookmarkStart w:id="121" w:name="_Toc8753"/>
      <w:bookmarkStart w:id="122" w:name="_Toc24973"/>
      <w:r>
        <w:rPr>
          <w:rFonts w:hint="eastAsia" w:ascii="黑体" w:hAnsi="黑体" w:eastAsia="黑体" w:cs="黑体"/>
          <w:b w:val="0"/>
          <w:bCs w:val="0"/>
          <w:caps w:val="0"/>
          <w:smallCaps w:val="0"/>
          <w:color w:val="auto"/>
          <w:spacing w:val="0"/>
          <w:lang w:val="en-US" w:eastAsia="zh-CN"/>
        </w:rPr>
        <w:t>三、分类源头减量措施</w:t>
      </w:r>
      <w:bookmarkEnd w:id="118"/>
      <w:bookmarkEnd w:id="119"/>
      <w:bookmarkEnd w:id="120"/>
      <w:bookmarkEnd w:id="121"/>
      <w:bookmarkEnd w:id="122"/>
    </w:p>
    <w:p w14:paraId="74D6B579">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23" w:name="_Toc12163"/>
      <w:bookmarkStart w:id="124" w:name="_Toc15889"/>
      <w:bookmarkStart w:id="125" w:name="_Toc12394"/>
      <w:bookmarkStart w:id="126" w:name="_Toc1199"/>
      <w:r>
        <w:rPr>
          <w:rFonts w:hint="eastAsia" w:ascii="楷体_GB2312" w:hAnsi="楷体_GB2312" w:eastAsia="楷体_GB2312" w:cs="楷体_GB2312"/>
          <w:b w:val="0"/>
          <w:bCs w:val="0"/>
          <w:caps w:val="0"/>
          <w:smallCaps w:val="0"/>
          <w:color w:val="auto"/>
          <w:spacing w:val="0"/>
          <w:sz w:val="32"/>
          <w:szCs w:val="28"/>
          <w:lang w:val="en-US" w:eastAsia="zh-CN"/>
        </w:rPr>
        <w:t>1．</w:t>
      </w:r>
      <w:r>
        <w:rPr>
          <w:rFonts w:hint="default" w:ascii="楷体_GB2312" w:hAnsi="楷体_GB2312" w:eastAsia="楷体_GB2312" w:cs="楷体_GB2312"/>
          <w:b w:val="0"/>
          <w:bCs w:val="0"/>
          <w:caps w:val="0"/>
          <w:smallCaps w:val="0"/>
          <w:color w:val="auto"/>
          <w:spacing w:val="0"/>
          <w:sz w:val="32"/>
          <w:szCs w:val="28"/>
          <w:lang w:val="en-US" w:eastAsia="zh-CN"/>
        </w:rPr>
        <w:t>工程渣土减量措施</w:t>
      </w:r>
      <w:bookmarkEnd w:id="123"/>
      <w:bookmarkEnd w:id="124"/>
      <w:bookmarkEnd w:id="125"/>
      <w:bookmarkEnd w:id="126"/>
    </w:p>
    <w:p w14:paraId="76B7456E">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spacing w:val="0"/>
          <w:kern w:val="2"/>
          <w:sz w:val="32"/>
          <w:szCs w:val="32"/>
          <w:highlight w:val="none"/>
          <w:lang w:val="en-US" w:eastAsia="zh-CN" w:bidi="ar-SA"/>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color w:val="auto"/>
          <w:spacing w:val="0"/>
          <w:kern w:val="2"/>
          <w:sz w:val="32"/>
          <w:szCs w:val="32"/>
          <w:highlight w:val="none"/>
          <w:lang w:val="en-US" w:eastAsia="zh-CN" w:bidi="ar-SA"/>
        </w:rPr>
        <w:t>设计单位应根据地形地貌合理确定场地标高，开展土方平衡论证，减少渣土外运量。</w:t>
      </w:r>
    </w:p>
    <w:p w14:paraId="5CDD6DB5">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spacing w:val="0"/>
          <w:kern w:val="2"/>
          <w:sz w:val="32"/>
          <w:szCs w:val="32"/>
          <w:highlight w:val="none"/>
          <w:lang w:val="en-US" w:eastAsia="zh-CN" w:bidi="ar-SA"/>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color w:val="auto"/>
          <w:spacing w:val="0"/>
          <w:kern w:val="2"/>
          <w:sz w:val="32"/>
          <w:szCs w:val="32"/>
          <w:highlight w:val="none"/>
          <w:lang w:val="en-US" w:eastAsia="zh-CN" w:bidi="ar-SA"/>
        </w:rPr>
        <w:t>施工单位应优化施工方案，根据场地地质情况和标高，合理优化施工工艺和施工顺序，平衡挖方与填方量，减少场地内土方外运量。</w:t>
      </w:r>
    </w:p>
    <w:p w14:paraId="523155D2">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color w:val="auto"/>
          <w:spacing w:val="0"/>
          <w:kern w:val="2"/>
          <w:sz w:val="32"/>
          <w:szCs w:val="32"/>
          <w:highlight w:val="none"/>
          <w:lang w:val="en-US" w:eastAsia="zh-CN" w:bidi="ar-SA"/>
        </w:rPr>
        <w:t>基坑支护可选用无肥槽工艺，如地下连续墙、护坡桩等垂直支护技术，避免</w:t>
      </w:r>
      <w:r>
        <w:rPr>
          <w:rFonts w:hint="eastAsia" w:ascii="仿宋_GB2312" w:hAnsi="仿宋_GB2312" w:eastAsia="仿宋_GB2312" w:cs="仿宋_GB2312"/>
          <w:b w:val="0"/>
          <w:bCs w:val="0"/>
          <w:caps w:val="0"/>
          <w:smallCaps w:val="0"/>
          <w:color w:val="auto"/>
          <w:spacing w:val="0"/>
          <w:lang w:val="en-US" w:eastAsia="zh-CN"/>
        </w:rPr>
        <w:t>放坡开挖，减少渣土产生。</w:t>
      </w:r>
    </w:p>
    <w:p w14:paraId="2F6CCE87">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spacing w:val="0"/>
          <w:kern w:val="2"/>
          <w:sz w:val="32"/>
          <w:szCs w:val="32"/>
          <w:highlight w:val="none"/>
          <w:lang w:val="en-US" w:eastAsia="zh-CN" w:bidi="ar-SA"/>
        </w:rPr>
      </w:pPr>
      <w:r>
        <w:rPr>
          <w:rFonts w:hint="default" w:ascii="仿宋_GB2312" w:hAnsi="仿宋_GB2312" w:eastAsia="仿宋_GB2312" w:cs="仿宋_GB2312"/>
          <w:b w:val="0"/>
          <w:bCs w:val="0"/>
          <w:caps w:val="0"/>
          <w:smallCaps w:val="0"/>
          <w:color w:val="auto"/>
          <w:spacing w:val="0"/>
          <w:lang w:eastAsia="zh-CN"/>
        </w:rPr>
        <w:t>（4）</w:t>
      </w:r>
      <w:r>
        <w:rPr>
          <w:rFonts w:hint="eastAsia" w:ascii="仿宋_GB2312" w:hAnsi="仿宋_GB2312" w:eastAsia="仿宋_GB2312" w:cs="仿宋_GB2312"/>
          <w:color w:val="auto"/>
          <w:spacing w:val="0"/>
          <w:kern w:val="2"/>
          <w:sz w:val="32"/>
          <w:szCs w:val="32"/>
          <w:highlight w:val="none"/>
          <w:lang w:val="en-US" w:eastAsia="zh-CN" w:bidi="ar-SA"/>
        </w:rPr>
        <w:t>精确计算材料用量，鼓励采用先进施工方法减少基坑支护量。</w:t>
      </w:r>
    </w:p>
    <w:p w14:paraId="1A0D8D6D">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（5）</w:t>
      </w:r>
      <w:r>
        <w:rPr>
          <w:rFonts w:hint="eastAsia" w:ascii="仿宋_GB2312" w:hAnsi="仿宋_GB2312" w:eastAsia="仿宋_GB2312" w:cs="仿宋_GB2312"/>
          <w:color w:val="auto"/>
          <w:spacing w:val="0"/>
          <w:kern w:val="2"/>
          <w:sz w:val="32"/>
          <w:szCs w:val="32"/>
          <w:highlight w:val="none"/>
          <w:lang w:val="en-US" w:eastAsia="zh-CN" w:bidi="ar-SA"/>
        </w:rPr>
        <w:t>根据现场环境条件，优先选用可重复利用的材料，如可拆卸式锚杆、金属内支撑、S</w:t>
      </w:r>
      <w:r>
        <w:rPr>
          <w:rFonts w:hint="eastAsia" w:ascii="仿宋_GB2312" w:hAnsi="仿宋_GB2312" w:eastAsia="仿宋_GB2312" w:cs="仿宋_GB2312"/>
          <w:caps w:val="0"/>
          <w:smallCaps w:val="0"/>
          <w:color w:val="auto"/>
          <w:spacing w:val="0"/>
          <w:lang w:val="en-US" w:eastAsia="zh-CN"/>
        </w:rPr>
        <w:t>MW工法桩、钢板桩、装配式坡面支护材料等。</w:t>
      </w:r>
    </w:p>
    <w:p w14:paraId="227C906E">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（6）</w:t>
      </w:r>
      <w:r>
        <w:rPr>
          <w:rFonts w:hint="eastAsia" w:ascii="仿宋_GB2312" w:hAnsi="仿宋_GB2312" w:eastAsia="仿宋_GB2312" w:cs="仿宋_GB2312"/>
          <w:caps w:val="0"/>
          <w:smallCaps w:val="0"/>
          <w:color w:val="auto"/>
          <w:spacing w:val="0"/>
          <w:lang w:val="en-US" w:eastAsia="zh-CN"/>
        </w:rPr>
        <w:t>在灌</w:t>
      </w:r>
      <w:r>
        <w:rPr>
          <w:rFonts w:hint="eastAsia" w:ascii="仿宋_GB2312" w:hAnsi="仿宋_GB2312" w:eastAsia="仿宋_GB2312" w:cs="仿宋_GB2312"/>
          <w:b w:val="0"/>
          <w:bCs w:val="0"/>
          <w:caps w:val="0"/>
          <w:smallCaps w:val="0"/>
          <w:color w:val="auto"/>
          <w:spacing w:val="0"/>
          <w:lang w:val="en-US" w:eastAsia="zh-CN"/>
        </w:rPr>
        <w:t>注桩施工时，采用智能化灌注标高控制方法，减少超灌混凝土，减少桩头破除建筑垃圾量。</w:t>
      </w:r>
    </w:p>
    <w:p w14:paraId="04F75D41">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（7）</w:t>
      </w:r>
      <w:r>
        <w:rPr>
          <w:rFonts w:hint="eastAsia" w:ascii="仿宋_GB2312" w:hAnsi="仿宋_GB2312" w:eastAsia="仿宋_GB2312" w:cs="仿宋_GB2312"/>
          <w:b w:val="0"/>
          <w:bCs w:val="0"/>
          <w:caps w:val="0"/>
          <w:smallCaps w:val="0"/>
          <w:color w:val="auto"/>
          <w:spacing w:val="0"/>
          <w:lang w:val="en-US" w:eastAsia="zh-CN"/>
        </w:rPr>
        <w:t>采用地下连续墙支护的工程，地下连续墙经防水处理后作为地下室外墙，减少地下室外墙施工产生的建筑垃圾。</w:t>
      </w:r>
    </w:p>
    <w:p w14:paraId="16218D4E">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（8）</w:t>
      </w:r>
      <w:r>
        <w:rPr>
          <w:rFonts w:hint="eastAsia" w:ascii="仿宋_GB2312" w:hAnsi="仿宋_GB2312" w:eastAsia="仿宋_GB2312" w:cs="仿宋_GB2312"/>
          <w:b w:val="0"/>
          <w:bCs w:val="0"/>
          <w:caps w:val="0"/>
          <w:smallCaps w:val="0"/>
          <w:color w:val="auto"/>
          <w:spacing w:val="0"/>
          <w:lang w:val="en-US" w:eastAsia="zh-CN"/>
        </w:rPr>
        <w:t>深大基坑开挖需设置栈桥时，优先选用钢结构等装配式结构体系，并充分利用原基坑支护桩和混凝土支撑作为支撑体系。</w:t>
      </w:r>
    </w:p>
    <w:p w14:paraId="620F46AB">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27" w:name="_Toc1757"/>
      <w:bookmarkStart w:id="128" w:name="_Toc32403"/>
      <w:bookmarkStart w:id="129" w:name="_Toc13823"/>
      <w:bookmarkStart w:id="130" w:name="_Toc28640"/>
      <w:r>
        <w:rPr>
          <w:rFonts w:hint="eastAsia" w:ascii="楷体_GB2312" w:hAnsi="楷体_GB2312" w:eastAsia="楷体_GB2312" w:cs="楷体_GB2312"/>
          <w:b w:val="0"/>
          <w:bCs w:val="0"/>
          <w:caps w:val="0"/>
          <w:smallCaps w:val="0"/>
          <w:color w:val="auto"/>
          <w:spacing w:val="0"/>
          <w:sz w:val="32"/>
          <w:szCs w:val="28"/>
          <w:lang w:val="en-US" w:eastAsia="zh-CN"/>
        </w:rPr>
        <w:t>2．</w:t>
      </w:r>
      <w:r>
        <w:rPr>
          <w:rFonts w:hint="default" w:ascii="楷体_GB2312" w:hAnsi="楷体_GB2312" w:eastAsia="楷体_GB2312" w:cs="楷体_GB2312"/>
          <w:b w:val="0"/>
          <w:bCs w:val="0"/>
          <w:caps w:val="0"/>
          <w:smallCaps w:val="0"/>
          <w:color w:val="auto"/>
          <w:spacing w:val="0"/>
          <w:sz w:val="32"/>
          <w:szCs w:val="28"/>
          <w:lang w:val="en-US" w:eastAsia="zh-CN"/>
        </w:rPr>
        <w:t>工程泥浆减量措施</w:t>
      </w:r>
      <w:bookmarkEnd w:id="127"/>
      <w:bookmarkEnd w:id="128"/>
      <w:bookmarkEnd w:id="129"/>
      <w:bookmarkEnd w:id="130"/>
    </w:p>
    <w:p w14:paraId="641939C6">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spacing w:val="0"/>
          <w:kern w:val="2"/>
          <w:sz w:val="32"/>
          <w:szCs w:val="32"/>
          <w:highlight w:val="none"/>
          <w:lang w:val="en-US" w:eastAsia="zh-CN" w:bidi="ar-SA"/>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在工程设</w:t>
      </w:r>
      <w:r>
        <w:rPr>
          <w:rFonts w:hint="eastAsia" w:ascii="仿宋_GB2312" w:hAnsi="仿宋_GB2312" w:eastAsia="仿宋_GB2312" w:cs="仿宋_GB2312"/>
          <w:color w:val="auto"/>
          <w:spacing w:val="0"/>
          <w:kern w:val="2"/>
          <w:sz w:val="32"/>
          <w:szCs w:val="32"/>
          <w:highlight w:val="none"/>
          <w:lang w:val="en-US" w:eastAsia="zh-CN" w:bidi="ar-SA"/>
        </w:rPr>
        <w:t>计时，充分考虑地质条件，选择合适的基础形式。例如，如果地质条件允许，优先选择浅基础形式，减少深基础施工中因钻孔等操作产生的大量泥浆。</w:t>
      </w:r>
    </w:p>
    <w:p w14:paraId="2E681EEF">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color w:val="auto"/>
          <w:spacing w:val="0"/>
          <w:kern w:val="2"/>
          <w:sz w:val="32"/>
          <w:szCs w:val="32"/>
          <w:highlight w:val="none"/>
          <w:lang w:val="en-US" w:eastAsia="zh-CN" w:bidi="ar-SA"/>
        </w:rPr>
        <w:t>合理规划基础尺寸和埋深</w:t>
      </w:r>
      <w:r>
        <w:rPr>
          <w:rFonts w:hint="eastAsia" w:ascii="仿宋_GB2312" w:hAnsi="仿宋_GB2312" w:eastAsia="仿宋_GB2312" w:cs="仿宋_GB2312"/>
          <w:b w:val="0"/>
          <w:bCs w:val="0"/>
          <w:caps w:val="0"/>
          <w:smallCaps w:val="0"/>
          <w:color w:val="auto"/>
          <w:spacing w:val="0"/>
          <w:lang w:val="en-US" w:eastAsia="zh-CN"/>
        </w:rPr>
        <w:t>，避免过度挖掘造成不必要的泥浆产生。</w:t>
      </w:r>
    </w:p>
    <w:p w14:paraId="20DCAEE9">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对于需要进行地下连续墙等施工工艺的项目，设计单位应与施工单位紧密配合，优化施工工艺参数。例如，合理确定泥浆的配比和使用量，在保证施工质量的前提下，尽量减少泥浆的使用。</w:t>
      </w:r>
    </w:p>
    <w:p w14:paraId="3F4DC463">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（4）</w:t>
      </w:r>
      <w:r>
        <w:rPr>
          <w:rFonts w:hint="eastAsia" w:ascii="仿宋_GB2312" w:hAnsi="仿宋_GB2312" w:eastAsia="仿宋_GB2312" w:cs="仿宋_GB2312"/>
          <w:b w:val="0"/>
          <w:bCs w:val="0"/>
          <w:caps w:val="0"/>
          <w:smallCaps w:val="0"/>
          <w:color w:val="auto"/>
          <w:spacing w:val="0"/>
          <w:lang w:val="en-US" w:eastAsia="zh-CN"/>
        </w:rPr>
        <w:t>合理安排施工工序，避免不必要的泥浆产生。例如在基础工程施工中，应先进行场地平整和测量放线等准备工作，然后集中进行钻孔等易产生泥浆的施工操作，避免施工过程中反复钻孔导致泥浆量增加。</w:t>
      </w:r>
    </w:p>
    <w:p w14:paraId="7C65FF3F">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（5）</w:t>
      </w:r>
      <w:r>
        <w:rPr>
          <w:rFonts w:hint="eastAsia" w:ascii="仿宋_GB2312" w:hAnsi="仿宋_GB2312" w:eastAsia="仿宋_GB2312" w:cs="仿宋_GB2312"/>
          <w:b w:val="0"/>
          <w:bCs w:val="0"/>
          <w:caps w:val="0"/>
          <w:smallCaps w:val="0"/>
          <w:color w:val="auto"/>
          <w:spacing w:val="0"/>
          <w:lang w:val="en-US" w:eastAsia="zh-CN"/>
        </w:rPr>
        <w:t>对于涉及多个基础施工区域的项目，应采用分区施工的方式，避免不同区域施工相互干扰，减少泥浆的生成量。</w:t>
      </w:r>
    </w:p>
    <w:p w14:paraId="1FC6E637">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（6）</w:t>
      </w:r>
      <w:r>
        <w:rPr>
          <w:rFonts w:hint="eastAsia" w:ascii="仿宋_GB2312" w:hAnsi="仿宋_GB2312" w:eastAsia="仿宋_GB2312" w:cs="仿宋_GB2312"/>
          <w:b w:val="0"/>
          <w:bCs w:val="0"/>
          <w:caps w:val="0"/>
          <w:smallCaps w:val="0"/>
          <w:color w:val="auto"/>
          <w:spacing w:val="0"/>
          <w:lang w:val="en-US" w:eastAsia="zh-CN"/>
        </w:rPr>
        <w:t>选择先进的施工设备，如采用新型的钻孔机械，其具有更好的成孔效率和泥浆控制能力，可以减少泥浆的产生量。</w:t>
      </w:r>
    </w:p>
    <w:p w14:paraId="7A810237">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（7）</w:t>
      </w:r>
      <w:r>
        <w:rPr>
          <w:rFonts w:hint="eastAsia" w:ascii="仿宋_GB2312" w:hAnsi="仿宋_GB2312" w:eastAsia="仿宋_GB2312" w:cs="仿宋_GB2312"/>
          <w:b w:val="0"/>
          <w:bCs w:val="0"/>
          <w:caps w:val="0"/>
          <w:smallCaps w:val="0"/>
          <w:color w:val="auto"/>
          <w:spacing w:val="0"/>
          <w:lang w:val="en-US" w:eastAsia="zh-CN"/>
        </w:rPr>
        <w:t>定期对施工设备进行维护和保养，确保设备的正常运行，避免因设备故障导致施工效率降低，进而增加泥浆的产生量。</w:t>
      </w:r>
    </w:p>
    <w:p w14:paraId="52A8C0C5">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（8）</w:t>
      </w:r>
      <w:r>
        <w:rPr>
          <w:rFonts w:hint="eastAsia" w:ascii="仿宋_GB2312" w:hAnsi="仿宋_GB2312" w:eastAsia="仿宋_GB2312" w:cs="仿宋_GB2312"/>
          <w:b w:val="0"/>
          <w:bCs w:val="0"/>
          <w:caps w:val="0"/>
          <w:smallCaps w:val="0"/>
          <w:color w:val="auto"/>
          <w:spacing w:val="0"/>
          <w:lang w:val="en-US" w:eastAsia="zh-CN"/>
        </w:rPr>
        <w:t>施工时产生的泥浆应排入泥浆池集中堆放，泥浆池宜用不透水、可周转的材料制作。泥浆池的位置应合理规划，尽量靠近泥浆产生源，减少泥浆运输过程中的泄漏和损耗。</w:t>
      </w:r>
    </w:p>
    <w:p w14:paraId="3893F9D6">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（9）</w:t>
      </w:r>
      <w:r>
        <w:rPr>
          <w:rFonts w:hint="eastAsia" w:ascii="仿宋_GB2312" w:hAnsi="仿宋_GB2312" w:eastAsia="仿宋_GB2312" w:cs="仿宋_GB2312"/>
          <w:b w:val="0"/>
          <w:bCs w:val="0"/>
          <w:caps w:val="0"/>
          <w:smallCaps w:val="0"/>
          <w:color w:val="auto"/>
          <w:spacing w:val="0"/>
          <w:lang w:val="en-US" w:eastAsia="zh-CN"/>
        </w:rPr>
        <w:t>建立泥浆循环利用系统，对泥浆进行处理和净化后，使其能够重复使用。例如，通过设置泥浆分离器等设备，将泥浆中的固体颗粒分离出来，净化后的泥浆可以再次用于钻孔等施工操作，提高泥浆的利用率，减少泥浆的排放量。</w:t>
      </w:r>
    </w:p>
    <w:p w14:paraId="62875B51">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31" w:name="_Toc2547"/>
      <w:bookmarkStart w:id="132" w:name="_Toc27985"/>
      <w:bookmarkStart w:id="133" w:name="_Toc28526"/>
      <w:bookmarkStart w:id="134" w:name="_Toc10939"/>
      <w:r>
        <w:rPr>
          <w:rFonts w:hint="eastAsia" w:ascii="楷体_GB2312" w:hAnsi="楷体_GB2312" w:eastAsia="楷体_GB2312" w:cs="楷体_GB2312"/>
          <w:b w:val="0"/>
          <w:bCs w:val="0"/>
          <w:caps w:val="0"/>
          <w:smallCaps w:val="0"/>
          <w:color w:val="auto"/>
          <w:spacing w:val="0"/>
          <w:sz w:val="32"/>
          <w:szCs w:val="28"/>
          <w:lang w:val="en-US" w:eastAsia="zh-CN"/>
        </w:rPr>
        <w:t>3．</w:t>
      </w:r>
      <w:r>
        <w:rPr>
          <w:rFonts w:hint="default" w:ascii="楷体_GB2312" w:hAnsi="楷体_GB2312" w:eastAsia="楷体_GB2312" w:cs="楷体_GB2312"/>
          <w:b w:val="0"/>
          <w:bCs w:val="0"/>
          <w:caps w:val="0"/>
          <w:smallCaps w:val="0"/>
          <w:color w:val="auto"/>
          <w:spacing w:val="0"/>
          <w:sz w:val="32"/>
          <w:szCs w:val="28"/>
          <w:lang w:val="en-US" w:eastAsia="zh-CN"/>
        </w:rPr>
        <w:t>工程垃圾减量措施</w:t>
      </w:r>
      <w:bookmarkEnd w:id="131"/>
      <w:bookmarkEnd w:id="132"/>
      <w:bookmarkEnd w:id="133"/>
      <w:bookmarkEnd w:id="134"/>
    </w:p>
    <w:p w14:paraId="1E141264">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机电管线</w:t>
      </w:r>
      <w:r>
        <w:rPr>
          <w:rFonts w:hint="eastAsia" w:ascii="仿宋_GB2312" w:hAnsi="仿宋_GB2312" w:eastAsia="仿宋_GB2312" w:cs="仿宋_GB2312"/>
          <w:color w:val="auto"/>
          <w:spacing w:val="0"/>
          <w:kern w:val="2"/>
          <w:sz w:val="32"/>
          <w:szCs w:val="32"/>
          <w:highlight w:val="none"/>
          <w:lang w:val="en-US" w:eastAsia="zh-CN" w:bidi="ar-SA"/>
        </w:rPr>
        <w:t>施工前，根据深化设计图纸，对管线路由进行空间复核。仔细检查安装空间是否满足管线、支吊架布置及管线检修需要。例如，对于一些狭窄空间，要精确计算管线的走向和弯曲半径，确保不</w:t>
      </w:r>
      <w:r>
        <w:rPr>
          <w:rFonts w:hint="eastAsia" w:ascii="仿宋_GB2312" w:hAnsi="仿宋_GB2312" w:eastAsia="仿宋_GB2312" w:cs="仿宋_GB2312"/>
          <w:b w:val="0"/>
          <w:bCs w:val="0"/>
          <w:caps w:val="0"/>
          <w:smallCaps w:val="0"/>
          <w:color w:val="auto"/>
          <w:spacing w:val="0"/>
          <w:lang w:val="en-US" w:eastAsia="zh-CN"/>
        </w:rPr>
        <w:t>会因空间不足而导致后期拆改。</w:t>
      </w:r>
    </w:p>
    <w:p w14:paraId="2A54D639">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推行建筑、结构、机电全专业一体化协同设计。在设计初期，各专业设计师就充分沟通，避免因设计不协调而出现管线冲突等问题。比如，结构设计师在设计梁柱时，要考虑机电管线的穿梁、穿柱需求，预留合适的孔洞，避免后期为了铺设管线而对结构进行拆改。</w:t>
      </w:r>
    </w:p>
    <w:p w14:paraId="43AAC87E">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钢筋工程采用专业化生产的成型钢筋。在设计阶段就要考虑采用符合工程要求的成型钢筋，这样可以避免现场大量加工钢筋产生的废料。同时，现场设置钢筋集中加工场，从源头减少钢筋加工产生的建筑垃圾。钢筋连接采用螺纹套筒连接技术，这种连接方式可以提高连接质量，减少因连接不良而需要重新加工的情况。</w:t>
      </w:r>
    </w:p>
    <w:p w14:paraId="6D247B15">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（4）</w:t>
      </w:r>
      <w:r>
        <w:rPr>
          <w:rFonts w:hint="eastAsia" w:ascii="仿宋_GB2312" w:hAnsi="仿宋_GB2312" w:eastAsia="仿宋_GB2312" w:cs="仿宋_GB2312"/>
          <w:b w:val="0"/>
          <w:bCs w:val="0"/>
          <w:caps w:val="0"/>
          <w:smallCaps w:val="0"/>
          <w:color w:val="auto"/>
          <w:spacing w:val="0"/>
          <w:lang w:val="en-US" w:eastAsia="zh-CN"/>
        </w:rPr>
        <w:t>地面混凝土浇筑采用原浆一次找平，实现一次成型，减少二次找平。采用清水混凝土技术及高精度砌体施工技术，减少内外墙抹灰工序。在设计时就要考虑这些施工工艺的可行性，通过优化设计减少施工过程中可能产生的垃圾。例如，对于一些对外观要求较高的建筑部位，采用清水混凝土技术可以避免后期抹灰产生的垃圾。</w:t>
      </w:r>
    </w:p>
    <w:p w14:paraId="3769828D">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（5）</w:t>
      </w:r>
      <w:r>
        <w:rPr>
          <w:rFonts w:hint="eastAsia" w:ascii="仿宋_GB2312" w:hAnsi="仿宋_GB2312" w:eastAsia="仿宋_GB2312" w:cs="仿宋_GB2312"/>
          <w:b w:val="0"/>
          <w:bCs w:val="0"/>
          <w:caps w:val="0"/>
          <w:smallCaps w:val="0"/>
          <w:color w:val="auto"/>
          <w:spacing w:val="0"/>
          <w:lang w:val="en-US" w:eastAsia="zh-CN"/>
        </w:rPr>
        <w:t>按照设计图纸、施工方案和施工进度合理安排施工物资采购、运输计划。根据工程进度精确计算所需材料的数量和规格，避免采购过多造成积压浪费，也避免因材料不足而延误工期。例如，对于一些定制材料，要提前与供应商沟通好交货时间和数量。</w:t>
      </w:r>
    </w:p>
    <w:p w14:paraId="2DBD3823">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（6）</w:t>
      </w:r>
      <w:r>
        <w:rPr>
          <w:rFonts w:hint="eastAsia" w:ascii="仿宋_GB2312" w:hAnsi="仿宋_GB2312" w:eastAsia="仿宋_GB2312" w:cs="仿宋_GB2312"/>
          <w:b w:val="0"/>
          <w:bCs w:val="0"/>
          <w:caps w:val="0"/>
          <w:smallCaps w:val="0"/>
          <w:color w:val="auto"/>
          <w:spacing w:val="0"/>
          <w:lang w:val="en-US" w:eastAsia="zh-CN"/>
        </w:rPr>
        <w:t>选择合适的储存地点和储存方式。对于不同类型的材料，要根据其特性进行分类存放。比如，钢材要放在干燥通风的地方，防止生锈；水泥要放在防潮的地方，避免结块。合理的储存方式可以延长材料的使用寿命，减少因材料损坏而产生的垃圾。</w:t>
      </w:r>
    </w:p>
    <w:p w14:paraId="452F3D06">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（7）</w:t>
      </w:r>
      <w:r>
        <w:rPr>
          <w:rFonts w:hint="eastAsia" w:ascii="仿宋_GB2312" w:hAnsi="仿宋_GB2312" w:eastAsia="仿宋_GB2312" w:cs="仿宋_GB2312"/>
          <w:b w:val="0"/>
          <w:bCs w:val="0"/>
          <w:caps w:val="0"/>
          <w:smallCaps w:val="0"/>
          <w:color w:val="auto"/>
          <w:spacing w:val="0"/>
          <w:lang w:val="en-US" w:eastAsia="zh-CN"/>
        </w:rPr>
        <w:t>设备配管及风管制作等优先采用工厂化预制加工。在工厂环境下，可以提高加工精度，减少现场加工产生的建筑垃圾。例如，工厂预制的风管可以精确到毫米级别，而现场加工很难达到这样的精度。</w:t>
      </w:r>
    </w:p>
    <w:p w14:paraId="77D4E027">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（8）</w:t>
      </w:r>
      <w:r>
        <w:rPr>
          <w:rFonts w:hint="eastAsia" w:ascii="仿宋_GB2312" w:hAnsi="仿宋_GB2312" w:eastAsia="仿宋_GB2312" w:cs="仿宋_GB2312"/>
          <w:b w:val="0"/>
          <w:bCs w:val="0"/>
          <w:caps w:val="0"/>
          <w:smallCaps w:val="0"/>
          <w:color w:val="auto"/>
          <w:spacing w:val="0"/>
          <w:lang w:val="en-US" w:eastAsia="zh-CN"/>
        </w:rPr>
        <w:t>对于必须在现场加工的材料，要加强现场加工管理。合理安排加工场地，配备必要的加工设备和工具，提高加工效率和质量。例如，在现场设置专门的木工加工区，对木材进行精细加工，减少边角废料的产生。</w:t>
      </w:r>
    </w:p>
    <w:p w14:paraId="3F9ADC55">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（9）</w:t>
      </w:r>
      <w:r>
        <w:rPr>
          <w:rFonts w:hint="eastAsia" w:ascii="仿宋_GB2312" w:hAnsi="仿宋_GB2312" w:eastAsia="仿宋_GB2312" w:cs="仿宋_GB2312"/>
          <w:b w:val="0"/>
          <w:bCs w:val="0"/>
          <w:caps w:val="0"/>
          <w:smallCaps w:val="0"/>
          <w:color w:val="auto"/>
          <w:spacing w:val="0"/>
          <w:lang w:val="en-US" w:eastAsia="zh-CN"/>
        </w:rPr>
        <w:t>合理确定施工工序，实现精细化管理。在机电安装工程中，对于安装空间紧张、管线敷设密集的区域，应根据深化设计图纸，合理安排各专业、系统间施工顺序，避免因工序倒置造成大面积拆改。比如，在铺设电气管线之前，要先确定好给排水管线的位置，避免相互干扰。</w:t>
      </w:r>
    </w:p>
    <w:p w14:paraId="11EBE5CE">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（10）</w:t>
      </w:r>
      <w:r>
        <w:rPr>
          <w:rFonts w:hint="eastAsia" w:ascii="仿宋_GB2312" w:hAnsi="仿宋_GB2312" w:eastAsia="仿宋_GB2312" w:cs="仿宋_GB2312"/>
          <w:b w:val="0"/>
          <w:bCs w:val="0"/>
          <w:caps w:val="0"/>
          <w:smallCaps w:val="0"/>
          <w:color w:val="auto"/>
          <w:spacing w:val="0"/>
          <w:lang w:val="en-US" w:eastAsia="zh-CN"/>
        </w:rPr>
        <w:t>加强各专业之间的协同施工。在主体结构施工过程中，当钢筋工程进行到一定阶段时，混凝土工程要及时跟进，避免钢筋长时间暴露在空气中生锈，同时也提高施工效率，减少因施工不协调而产生的垃圾。</w:t>
      </w:r>
    </w:p>
    <w:p w14:paraId="453CEBAE">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35" w:name="_Toc13959"/>
      <w:bookmarkStart w:id="136" w:name="_Toc30288"/>
      <w:bookmarkStart w:id="137" w:name="_Toc16299"/>
      <w:bookmarkStart w:id="138" w:name="_Toc22082"/>
      <w:r>
        <w:rPr>
          <w:rFonts w:hint="eastAsia" w:ascii="楷体_GB2312" w:hAnsi="楷体_GB2312" w:eastAsia="楷体_GB2312" w:cs="楷体_GB2312"/>
          <w:b w:val="0"/>
          <w:bCs w:val="0"/>
          <w:caps w:val="0"/>
          <w:smallCaps w:val="0"/>
          <w:color w:val="auto"/>
          <w:spacing w:val="0"/>
          <w:sz w:val="32"/>
          <w:szCs w:val="28"/>
          <w:lang w:val="en-US" w:eastAsia="zh-CN"/>
        </w:rPr>
        <w:t>4．</w:t>
      </w:r>
      <w:r>
        <w:rPr>
          <w:rFonts w:hint="default" w:ascii="楷体_GB2312" w:hAnsi="楷体_GB2312" w:eastAsia="楷体_GB2312" w:cs="楷体_GB2312"/>
          <w:b w:val="0"/>
          <w:bCs w:val="0"/>
          <w:caps w:val="0"/>
          <w:smallCaps w:val="0"/>
          <w:color w:val="auto"/>
          <w:spacing w:val="0"/>
          <w:sz w:val="32"/>
          <w:szCs w:val="28"/>
          <w:lang w:val="en-US" w:eastAsia="zh-CN"/>
        </w:rPr>
        <w:t>拆除垃圾减量措施</w:t>
      </w:r>
      <w:bookmarkEnd w:id="135"/>
      <w:bookmarkEnd w:id="136"/>
      <w:bookmarkEnd w:id="137"/>
      <w:bookmarkEnd w:id="138"/>
    </w:p>
    <w:p w14:paraId="094188BB">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施工单位应在项目前期与设计单位充分沟通。在建筑设计时，考虑建筑的功能布局和使用需求，避免过度复杂的结构设计和不合理的空间规划，减少后期因功能调整或空间优化而产生的拆除需求。</w:t>
      </w:r>
    </w:p>
    <w:p w14:paraId="37859583">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对于既有建筑的改造项目，在设计过程中，应充分评估原有建筑结构和设施的可利用性，尽量保留原有的结构构件和设备系统，避免不必要的拆除。例如，对于一些具有历史文化价值的建筑构件，应通过合理的设计手法将其融入新的设计方案中，既保留了建筑的历史文化特色，又减少了拆除垃圾的产生。</w:t>
      </w:r>
    </w:p>
    <w:p w14:paraId="5285C6F8">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推广应用可拆卸、可重复利用的建筑设计理念。例如，在建筑结构设计中，采用可拆卸的连接件和构件，当建筑需要进行局部调整或拆除时，这些构件可以方便地拆卸下来进行重复利用，而不是作为垃圾被丢弃。</w:t>
      </w:r>
    </w:p>
    <w:p w14:paraId="3E766406">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（4）</w:t>
      </w:r>
      <w:r>
        <w:rPr>
          <w:rFonts w:hint="eastAsia" w:ascii="仿宋_GB2312" w:hAnsi="仿宋_GB2312" w:eastAsia="仿宋_GB2312" w:cs="仿宋_GB2312"/>
          <w:b w:val="0"/>
          <w:bCs w:val="0"/>
          <w:caps w:val="0"/>
          <w:smallCaps w:val="0"/>
          <w:color w:val="auto"/>
          <w:spacing w:val="0"/>
          <w:lang w:val="en-US" w:eastAsia="zh-CN"/>
        </w:rPr>
        <w:t>在拆除施工前，应制定详细的拆除方案。对拆除对象进行全面的结构分析，确定合理的拆除顺序和方法。例如，对于多层建筑，应按照从上到下的顺序进行拆除，先拆除屋顶和非承重结构，再拆除承重结构，这样可以避免因拆除顺序不当导致结构失稳，减少因意外事故而产生的额外拆除垃圾。</w:t>
      </w:r>
    </w:p>
    <w:p w14:paraId="6370B55A">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（5）</w:t>
      </w:r>
      <w:r>
        <w:rPr>
          <w:rFonts w:hint="eastAsia" w:ascii="仿宋_GB2312" w:hAnsi="仿宋_GB2312" w:eastAsia="仿宋_GB2312" w:cs="仿宋_GB2312"/>
          <w:b w:val="0"/>
          <w:bCs w:val="0"/>
          <w:caps w:val="0"/>
          <w:smallCaps w:val="0"/>
          <w:color w:val="auto"/>
          <w:spacing w:val="0"/>
          <w:lang w:val="en-US" w:eastAsia="zh-CN"/>
        </w:rPr>
        <w:t>根据拆除对象的特点和周围环境情况，选择合适的拆除工具和设备。例如，对于小型建筑或局部拆除工程，可以采用人工拆除结合小型机械拆除的方式，减少大型拆除设备对周围环境的破坏和因过度拆除而产生的垃圾量。</w:t>
      </w:r>
    </w:p>
    <w:p w14:paraId="2699E491">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（6）</w:t>
      </w:r>
      <w:r>
        <w:rPr>
          <w:rFonts w:hint="eastAsia" w:ascii="仿宋_GB2312" w:hAnsi="仿宋_GB2312" w:eastAsia="仿宋_GB2312" w:cs="仿宋_GB2312"/>
          <w:b w:val="0"/>
          <w:bCs w:val="0"/>
          <w:caps w:val="0"/>
          <w:smallCaps w:val="0"/>
          <w:color w:val="auto"/>
          <w:spacing w:val="0"/>
          <w:lang w:val="en-US" w:eastAsia="zh-CN"/>
        </w:rPr>
        <w:t>拆除施工过程中，应严格控制拆除的精度。例如，在拆除墙体时，应尽量按照预定的尺寸进行拆除，避免过度拆除造成周边结构的损坏，从而减少因修复周边结构而产生的额外拆除垃圾。</w:t>
      </w:r>
    </w:p>
    <w:p w14:paraId="5642E127">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（7）</w:t>
      </w:r>
      <w:r>
        <w:rPr>
          <w:rFonts w:hint="eastAsia" w:ascii="仿宋_GB2312" w:hAnsi="仿宋_GB2312" w:eastAsia="仿宋_GB2312" w:cs="仿宋_GB2312"/>
          <w:b w:val="0"/>
          <w:bCs w:val="0"/>
          <w:caps w:val="0"/>
          <w:smallCaps w:val="0"/>
          <w:color w:val="auto"/>
          <w:spacing w:val="0"/>
          <w:lang w:val="en-US" w:eastAsia="zh-CN"/>
        </w:rPr>
        <w:t>在拆除过程中，对建筑材料进行分类拆除。例如，将金属材料、木材、砖石等不同类型的材料分别拆除和收集，便于后续的回收利用。对于可直接重复利用的材料，如完整的门窗、钢梁等，应及时进行清理和保护，以便在其他项目中再次使用。</w:t>
      </w:r>
    </w:p>
    <w:p w14:paraId="54ED343C">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（8）</w:t>
      </w:r>
      <w:r>
        <w:rPr>
          <w:rFonts w:hint="eastAsia" w:ascii="仿宋_GB2312" w:hAnsi="仿宋_GB2312" w:eastAsia="仿宋_GB2312" w:cs="仿宋_GB2312"/>
          <w:b w:val="0"/>
          <w:bCs w:val="0"/>
          <w:caps w:val="0"/>
          <w:smallCaps w:val="0"/>
          <w:color w:val="auto"/>
          <w:spacing w:val="0"/>
          <w:lang w:val="en-US" w:eastAsia="zh-CN"/>
        </w:rPr>
        <w:t>建立拆除材料回收利用机制，与相关的回收企业建立合作关系，确保拆除后的材料能够得到有效的回收利用，减少拆除垃圾的最终排放量。</w:t>
      </w:r>
    </w:p>
    <w:p w14:paraId="1FD5D5C0">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39" w:name="_Toc17305"/>
      <w:bookmarkStart w:id="140" w:name="_Toc3995"/>
      <w:bookmarkStart w:id="141" w:name="_Toc10938"/>
      <w:bookmarkStart w:id="142" w:name="_Toc23175"/>
      <w:r>
        <w:rPr>
          <w:rFonts w:hint="eastAsia" w:ascii="楷体_GB2312" w:hAnsi="楷体_GB2312" w:eastAsia="楷体_GB2312" w:cs="楷体_GB2312"/>
          <w:b w:val="0"/>
          <w:bCs w:val="0"/>
          <w:caps w:val="0"/>
          <w:smallCaps w:val="0"/>
          <w:color w:val="auto"/>
          <w:spacing w:val="0"/>
          <w:sz w:val="32"/>
          <w:szCs w:val="28"/>
          <w:lang w:val="en-US" w:eastAsia="zh-CN"/>
        </w:rPr>
        <w:t>5．</w:t>
      </w:r>
      <w:r>
        <w:rPr>
          <w:rFonts w:hint="default" w:ascii="楷体_GB2312" w:hAnsi="楷体_GB2312" w:eastAsia="楷体_GB2312" w:cs="楷体_GB2312"/>
          <w:b w:val="0"/>
          <w:bCs w:val="0"/>
          <w:caps w:val="0"/>
          <w:smallCaps w:val="0"/>
          <w:color w:val="auto"/>
          <w:spacing w:val="0"/>
          <w:sz w:val="32"/>
          <w:szCs w:val="28"/>
          <w:lang w:val="en-US" w:eastAsia="zh-CN"/>
        </w:rPr>
        <w:t>装修垃圾减量措施</w:t>
      </w:r>
      <w:bookmarkEnd w:id="139"/>
      <w:bookmarkEnd w:id="140"/>
      <w:bookmarkEnd w:id="141"/>
      <w:bookmarkEnd w:id="142"/>
    </w:p>
    <w:p w14:paraId="21DB198D">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推行土建机电装修一体化设计，使各专业之间紧密配合，避免因设计不协调导致的后期装修改动。例如，在设计阶段就确定好水电线路、插座开关位置等与装修相关的细节，减少装修过程中因调整这些设施而产生的垃圾。</w:t>
      </w:r>
    </w:p>
    <w:p w14:paraId="2060E0B3">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采用标准化设计，减少异型和非标准装修构件的使用。标准化设计可以提高装修材料的通用性和可替换性，降低因定制特殊构件而产生的多余材料和垃圾。</w:t>
      </w:r>
    </w:p>
    <w:p w14:paraId="5FBBF934">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在设计选材时，优先考虑环保可回收材料。例如，选择可回收的金属龙骨代替木质龙骨，选择可降解的塑料管材代替传统的PVC管材等。这些材料在装修完成后可以方便地回收利用，减少装修垃圾的产生。</w:t>
      </w:r>
    </w:p>
    <w:p w14:paraId="5E412154">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（4）</w:t>
      </w:r>
      <w:r>
        <w:rPr>
          <w:rFonts w:hint="eastAsia" w:ascii="仿宋_GB2312" w:hAnsi="仿宋_GB2312" w:eastAsia="仿宋_GB2312" w:cs="仿宋_GB2312"/>
          <w:b w:val="0"/>
          <w:bCs w:val="0"/>
          <w:caps w:val="0"/>
          <w:smallCaps w:val="0"/>
          <w:color w:val="auto"/>
          <w:spacing w:val="0"/>
          <w:lang w:val="en-US" w:eastAsia="zh-CN"/>
        </w:rPr>
        <w:t>门窗、幕墙、块材、板材等采用工厂加工、现场装配的方式。工厂化生产可以提高材料的加工精度和质量，减少现场加工产生的边角废料。现场装配也减少了因现场切割、打磨等操作产生的灰尘和垃圾。</w:t>
      </w:r>
    </w:p>
    <w:p w14:paraId="0ED27F3E">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（5）</w:t>
      </w:r>
      <w:r>
        <w:rPr>
          <w:rFonts w:hint="eastAsia" w:ascii="仿宋_GB2312" w:hAnsi="仿宋_GB2312" w:eastAsia="仿宋_GB2312" w:cs="仿宋_GB2312"/>
          <w:b w:val="0"/>
          <w:bCs w:val="0"/>
          <w:caps w:val="0"/>
          <w:smallCaps w:val="0"/>
          <w:color w:val="auto"/>
          <w:spacing w:val="0"/>
          <w:lang w:val="en-US" w:eastAsia="zh-CN"/>
        </w:rPr>
        <w:t>推</w:t>
      </w:r>
      <w:r>
        <w:rPr>
          <w:rFonts w:hint="eastAsia" w:ascii="仿宋_GB2312" w:hAnsi="仿宋_GB2312" w:eastAsia="仿宋_GB2312" w:cs="仿宋_GB2312"/>
          <w:color w:val="auto"/>
          <w:spacing w:val="0"/>
          <w:kern w:val="2"/>
          <w:sz w:val="32"/>
          <w:szCs w:val="32"/>
          <w:highlight w:val="none"/>
          <w:lang w:val="en-US" w:eastAsia="zh-CN" w:bidi="ar-SA"/>
        </w:rPr>
        <w:t>广应用轻钢龙骨墙板、ALC墙板等具有可回收利用价值的建筑围护材料。这些材料在安装过程中产生的垃圾相对较少，而且安装后如果需要拆除，材料也可以方便地回收利用。</w:t>
      </w:r>
    </w:p>
    <w:p w14:paraId="11C0B4FA">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（6）</w:t>
      </w:r>
      <w:r>
        <w:rPr>
          <w:rFonts w:hint="eastAsia" w:ascii="仿宋_GB2312" w:hAnsi="仿宋_GB2312" w:eastAsia="仿宋_GB2312" w:cs="仿宋_GB2312"/>
          <w:b w:val="0"/>
          <w:bCs w:val="0"/>
          <w:caps w:val="0"/>
          <w:smallCaps w:val="0"/>
          <w:color w:val="auto"/>
          <w:spacing w:val="0"/>
          <w:lang w:val="en-US" w:eastAsia="zh-CN"/>
        </w:rPr>
        <w:t>按照设计图纸、施工方案和施工进度合理安排施工物资采购、运输计划。避免因物资采购过多或过早导致的材料积压和浪费，同时确保材料按时到达施工现场，减少因材料短缺而导致的施工延误和额外垃圾产生。</w:t>
      </w:r>
    </w:p>
    <w:p w14:paraId="20EC5686">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（7）</w:t>
      </w:r>
      <w:r>
        <w:rPr>
          <w:rFonts w:hint="eastAsia" w:ascii="仿宋_GB2312" w:hAnsi="仿宋_GB2312" w:eastAsia="仿宋_GB2312" w:cs="仿宋_GB2312"/>
          <w:b w:val="0"/>
          <w:bCs w:val="0"/>
          <w:caps w:val="0"/>
          <w:smallCaps w:val="0"/>
          <w:color w:val="auto"/>
          <w:spacing w:val="0"/>
          <w:lang w:val="en-US" w:eastAsia="zh-CN"/>
        </w:rPr>
        <w:t>选择合适的储存地点和储存方式。对于装修材料，应根据其特性选择干燥、通风良好的储存地点，避免材料因受潮、霉变等原因无法使用而成为垃圾。同时，采用合理的储存方式，如分类存放、使用货架等，便于材料的管理和取用，减少因材料混乱而产生的浪费和垃圾。</w:t>
      </w:r>
    </w:p>
    <w:p w14:paraId="2BFB34C0">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（8）</w:t>
      </w:r>
      <w:r>
        <w:rPr>
          <w:rFonts w:hint="eastAsia" w:ascii="仿宋_GB2312" w:hAnsi="仿宋_GB2312" w:eastAsia="仿宋_GB2312" w:cs="仿宋_GB2312"/>
          <w:b w:val="0"/>
          <w:bCs w:val="0"/>
          <w:caps w:val="0"/>
          <w:smallCaps w:val="0"/>
          <w:color w:val="auto"/>
          <w:spacing w:val="0"/>
          <w:lang w:val="en-US" w:eastAsia="zh-CN"/>
        </w:rPr>
        <w:t>全面加强采购、运输、加工、安装的过程管理。在采购环节，严格控制材料质量，避免因质量问题导致的退货和更换，产生额外垃圾。在运输环节，确保材料安全运输，避免因运输损坏而产生垃圾。在加工环节，提高加工精度，减少边角废料。在安装环节，确保安装质量，避免因安装不当导致的返工和垃圾产生。</w:t>
      </w:r>
    </w:p>
    <w:p w14:paraId="3B0AAE7A">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（9）</w:t>
      </w:r>
      <w:r>
        <w:rPr>
          <w:rFonts w:hint="eastAsia" w:ascii="仿宋_GB2312" w:hAnsi="仿宋_GB2312" w:eastAsia="仿宋_GB2312" w:cs="仿宋_GB2312"/>
          <w:b w:val="0"/>
          <w:bCs w:val="0"/>
          <w:caps w:val="0"/>
          <w:smallCaps w:val="0"/>
          <w:color w:val="auto"/>
          <w:spacing w:val="0"/>
          <w:lang w:val="en-US" w:eastAsia="zh-CN"/>
        </w:rPr>
        <w:t>鼓励在一定区域范围内统筹临时设施和周转材料的调配。例如，在一个小区的多个装修工程中，可以统一调配脚手架、模板等周转材料，提高材料的利用率，减少因重复购置和闲置而产生的浪费和垃圾。</w:t>
      </w:r>
    </w:p>
    <w:p w14:paraId="03B0DD33">
      <w:pPr>
        <w:pStyle w:val="40"/>
        <w:bidi w:val="0"/>
        <w:rPr>
          <w:rFonts w:hint="eastAsia" w:ascii="黑体" w:hAnsi="黑体" w:eastAsia="黑体" w:cs="黑体"/>
          <w:b w:val="0"/>
          <w:bCs w:val="0"/>
          <w:caps w:val="0"/>
          <w:smallCaps w:val="0"/>
          <w:color w:val="auto"/>
          <w:spacing w:val="0"/>
          <w:lang w:val="en-US" w:eastAsia="zh-CN"/>
        </w:rPr>
      </w:pPr>
      <w:bookmarkStart w:id="143" w:name="_Toc28624"/>
      <w:bookmarkStart w:id="144" w:name="_Toc23450"/>
      <w:bookmarkStart w:id="145" w:name="_Toc8733"/>
      <w:bookmarkStart w:id="146" w:name="_Toc32567"/>
      <w:bookmarkStart w:id="147" w:name="_Toc2780"/>
      <w:r>
        <w:rPr>
          <w:rFonts w:hint="eastAsia" w:ascii="黑体" w:hAnsi="黑体" w:eastAsia="黑体" w:cs="黑体"/>
          <w:b w:val="0"/>
          <w:bCs w:val="0"/>
          <w:caps w:val="0"/>
          <w:smallCaps w:val="0"/>
          <w:color w:val="auto"/>
          <w:spacing w:val="0"/>
          <w:lang w:val="en-US" w:eastAsia="zh-CN"/>
        </w:rPr>
        <w:t>四、源头污染环境防治要求</w:t>
      </w:r>
      <w:bookmarkEnd w:id="143"/>
      <w:bookmarkEnd w:id="144"/>
      <w:bookmarkEnd w:id="145"/>
      <w:bookmarkEnd w:id="146"/>
      <w:bookmarkEnd w:id="147"/>
    </w:p>
    <w:p w14:paraId="0F46E5D9">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48" w:name="_Toc12057"/>
      <w:bookmarkStart w:id="149" w:name="_Toc26856"/>
      <w:bookmarkStart w:id="150" w:name="_Toc15029"/>
      <w:r>
        <w:rPr>
          <w:rFonts w:hint="eastAsia" w:ascii="楷体_GB2312" w:hAnsi="楷体_GB2312" w:eastAsia="楷体_GB2312" w:cs="楷体_GB2312"/>
          <w:b w:val="0"/>
          <w:bCs w:val="0"/>
          <w:caps w:val="0"/>
          <w:smallCaps w:val="0"/>
          <w:color w:val="auto"/>
          <w:spacing w:val="0"/>
          <w:sz w:val="32"/>
          <w:szCs w:val="28"/>
          <w:lang w:val="en-US" w:eastAsia="zh-CN"/>
        </w:rPr>
        <w:t>1．扬尘污染防治要求</w:t>
      </w:r>
      <w:bookmarkEnd w:id="148"/>
      <w:bookmarkEnd w:id="149"/>
      <w:bookmarkEnd w:id="150"/>
    </w:p>
    <w:p w14:paraId="507EEA66">
      <w:pPr>
        <w:pStyle w:val="40"/>
        <w:numPr>
          <w:ilvl w:val="0"/>
          <w:numId w:val="0"/>
        </w:numPr>
        <w:bidi w:val="0"/>
        <w:ind w:leftChars="200"/>
        <w:rPr>
          <w:rFonts w:hint="eastAsia" w:ascii="仿宋_GB2312" w:hAnsi="仿宋_GB2312" w:eastAsia="仿宋_GB2312" w:cs="仿宋_GB2312"/>
          <w:color w:val="auto"/>
          <w:spacing w:val="0"/>
          <w:kern w:val="2"/>
          <w:sz w:val="32"/>
          <w:szCs w:val="32"/>
          <w:highlight w:val="none"/>
          <w:lang w:val="en-US" w:eastAsia="zh-CN" w:bidi="ar-SA"/>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施工场</w:t>
      </w:r>
      <w:r>
        <w:rPr>
          <w:rFonts w:hint="eastAsia" w:ascii="仿宋_GB2312" w:hAnsi="仿宋_GB2312" w:eastAsia="仿宋_GB2312" w:cs="仿宋_GB2312"/>
          <w:color w:val="auto"/>
          <w:spacing w:val="0"/>
          <w:kern w:val="2"/>
          <w:sz w:val="32"/>
          <w:szCs w:val="32"/>
          <w:highlight w:val="none"/>
          <w:lang w:val="en-US" w:eastAsia="zh-CN" w:bidi="ar-SA"/>
        </w:rPr>
        <w:t>地封闭</w:t>
      </w:r>
    </w:p>
    <w:p w14:paraId="457BFD30">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围挡设置：施工现场的围挡应围绕整个施工区域设置，形成一个封闭的空间。围挡的高度一般在城市区域不低于2.5m，在其他区域不低于1.8m。围挡材料除了金属板材和装配式板材外，还可以采用彩钢板等。金属板材围挡具有坚固耐用、美观大方的特点，装配式板材围挡则便于安装和拆卸。</w:t>
      </w:r>
    </w:p>
    <w:p w14:paraId="70F84717">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防溢座细节：围挡底部的</w:t>
      </w:r>
      <w:r>
        <w:rPr>
          <w:rFonts w:hint="eastAsia" w:ascii="仿宋_GB2312" w:hAnsi="仿宋_GB2312" w:eastAsia="仿宋_GB2312" w:cs="仿宋_GB2312"/>
          <w:sz w:val="32"/>
          <w:szCs w:val="32"/>
          <w:highlight w:val="none"/>
          <w:lang w:val="en-US" w:eastAsia="zh-CN"/>
        </w:rPr>
        <w:t>防溢座可以采用混凝土浇筑或砖砌的方式制作，高度一般在0.2—0.3m左右。防溢座的内侧应与围挡紧密连接，外侧应具有</w:t>
      </w:r>
      <w:r>
        <w:rPr>
          <w:rFonts w:hint="eastAsia" w:ascii="仿宋_GB2312" w:hAnsi="仿宋_GB2312" w:eastAsia="仿宋_GB2312" w:cs="仿宋_GB2312"/>
          <w:b w:val="0"/>
          <w:bCs w:val="0"/>
          <w:caps w:val="0"/>
          <w:smallCaps w:val="0"/>
          <w:color w:val="auto"/>
          <w:spacing w:val="0"/>
          <w:lang w:val="en-US" w:eastAsia="zh-CN"/>
        </w:rPr>
        <w:t>一定的坡度，以便于雨水和灰尘等顺着坡度流走，防止在围挡底部堆积。</w:t>
      </w:r>
    </w:p>
    <w:p w14:paraId="65503BA5">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场地硬化与绿化</w:t>
      </w:r>
    </w:p>
    <w:p w14:paraId="60C6828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场地硬化范围：除了主要出入口、主要道路、材料堆放区和加工区外，像塔吊基础周围、施工电梯基础周围等经常有车辆和人员活动的区域也应进行硬化处理。硬化的混凝土厚度一般在10—20cm左右，根据场地的承载要求可以适当调整。沥青硬化适用于一些对平整度要求较高的区域，如停车场等。</w:t>
      </w:r>
    </w:p>
    <w:p w14:paraId="16F51D2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绿化规划与养护：绿化区域应根据施工现场的实际情况进行合理规划，可以在围挡内侧、办公区和生活区周围等设置绿化带。选择的植物应具有耐旱、耐尘、易成活的特点，如一些本地的草本植物和灌木。绿化区域应定期浇水，浇水频率根据季节和天气情况调整，一般夏季每天浇水1—2次，冬季每周浇水1—2次。同时要注意对植物进行修剪和病虫害防治。</w:t>
      </w:r>
    </w:p>
    <w:p w14:paraId="609D968B">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扬尘控制</w:t>
      </w:r>
    </w:p>
    <w:p w14:paraId="1885E39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洒水降尘频率与方式：洒水车洒水频率在晴天且无明显风的情况下，一般每2—3小时对主要道路和土方作业区洒一次水。在有风的情况下，应根据风力大小适当增加洒水次数，如风力3-4级时，每1—2小时洒一次水。对于一些局部扬尘较大的区域，如装卸水泥的区域，可以采用小型喷雾器进行喷雾降尘。</w:t>
      </w:r>
    </w:p>
    <w:p w14:paraId="0FD1944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湿法作业要求：土方开挖时，应在挖掘设备上安装喷水装置，使挖掘过程中泥土始终保持湿润。堆填土时，应边堆填边喷水，确保堆填土的湿度符合要求。转运土方时，运输车辆应进行覆盖，并且在装车和卸车过程中都要进行喷水。</w:t>
      </w:r>
    </w:p>
    <w:p w14:paraId="5D2C359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粉状物料储存与使用：水泥、石灰等粉状物料的密封储存容器应具有良好的密封性，如采用密封式的筒仓或密封袋。在使用过程中，对于密封式搅拌站，除尘设备应定期进行检查和维护，确保其除尘效率。对于小型的粉状物料使用场所，如人工搅拌水泥的地方，可以采用简易的防尘罩进行防尘。</w:t>
      </w:r>
    </w:p>
    <w:p w14:paraId="3CFAD3C8">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51" w:name="_Toc15189"/>
      <w:bookmarkStart w:id="152" w:name="_Toc28224"/>
      <w:bookmarkStart w:id="153" w:name="_Toc12215"/>
      <w:r>
        <w:rPr>
          <w:rFonts w:hint="eastAsia" w:ascii="楷体_GB2312" w:hAnsi="楷体_GB2312" w:eastAsia="楷体_GB2312" w:cs="楷体_GB2312"/>
          <w:b w:val="0"/>
          <w:bCs w:val="0"/>
          <w:caps w:val="0"/>
          <w:smallCaps w:val="0"/>
          <w:color w:val="auto"/>
          <w:spacing w:val="0"/>
          <w:sz w:val="32"/>
          <w:szCs w:val="28"/>
          <w:lang w:val="en-US" w:eastAsia="zh-CN"/>
        </w:rPr>
        <w:t>2．水污染防治要求</w:t>
      </w:r>
      <w:bookmarkEnd w:id="151"/>
      <w:bookmarkEnd w:id="152"/>
      <w:bookmarkEnd w:id="153"/>
    </w:p>
    <w:p w14:paraId="540EB866">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施工废水处理</w:t>
      </w:r>
    </w:p>
    <w:p w14:paraId="0832B60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污水处理设施设置：沉淀池应根据废水的流量和水质情况合理确定其大小和数量。一般来说，对于一个中等规模的施工现场，沉淀池的容积应在10-20m</w:t>
      </w:r>
      <w:r>
        <w:rPr>
          <w:rFonts w:hint="eastAsia" w:ascii="仿宋_GB2312" w:hAnsi="仿宋_GB2312" w:eastAsia="仿宋_GB2312" w:cs="仿宋_GB2312"/>
          <w:b w:val="0"/>
          <w:bCs w:val="0"/>
          <w:caps w:val="0"/>
          <w:smallCaps w:val="0"/>
          <w:color w:val="auto"/>
          <w:spacing w:val="0"/>
          <w:vertAlign w:val="superscript"/>
          <w:lang w:val="en-US" w:eastAsia="zh-CN"/>
        </w:rPr>
        <w:t>3</w:t>
      </w:r>
      <w:r>
        <w:rPr>
          <w:rFonts w:hint="eastAsia" w:ascii="仿宋_GB2312" w:hAnsi="仿宋_GB2312" w:eastAsia="仿宋_GB2312" w:cs="仿宋_GB2312"/>
          <w:b w:val="0"/>
          <w:bCs w:val="0"/>
          <w:caps w:val="0"/>
          <w:smallCaps w:val="0"/>
          <w:color w:val="auto"/>
          <w:spacing w:val="0"/>
          <w:lang w:val="en-US" w:eastAsia="zh-CN"/>
        </w:rPr>
        <w:t>左右。化粪池应根据施工人员的数量确定其大小，一般每人按0.1-0.2m</w:t>
      </w:r>
      <w:r>
        <w:rPr>
          <w:rFonts w:hint="eastAsia" w:ascii="仿宋_GB2312" w:hAnsi="仿宋_GB2312" w:eastAsia="仿宋_GB2312" w:cs="仿宋_GB2312"/>
          <w:b w:val="0"/>
          <w:bCs w:val="0"/>
          <w:caps w:val="0"/>
          <w:smallCaps w:val="0"/>
          <w:color w:val="auto"/>
          <w:spacing w:val="0"/>
          <w:vertAlign w:val="superscript"/>
          <w:lang w:val="en-US" w:eastAsia="zh-CN"/>
        </w:rPr>
        <w:t>3</w:t>
      </w:r>
      <w:r>
        <w:rPr>
          <w:rFonts w:hint="eastAsia" w:ascii="仿宋_GB2312" w:hAnsi="仿宋_GB2312" w:eastAsia="仿宋_GB2312" w:cs="仿宋_GB2312"/>
          <w:b w:val="0"/>
          <w:bCs w:val="0"/>
          <w:caps w:val="0"/>
          <w:smallCaps w:val="0"/>
          <w:color w:val="auto"/>
          <w:spacing w:val="0"/>
          <w:lang w:val="en-US" w:eastAsia="zh-CN"/>
        </w:rPr>
        <w:t>的容积计算。隔油池应设置在食堂、车辆冲洗房等有油污产生的地方，其容积根据油污产生量确定，一般在1-5m</w:t>
      </w:r>
      <w:r>
        <w:rPr>
          <w:rFonts w:hint="eastAsia" w:ascii="仿宋_GB2312" w:hAnsi="仿宋_GB2312" w:eastAsia="仿宋_GB2312" w:cs="仿宋_GB2312"/>
          <w:b w:val="0"/>
          <w:bCs w:val="0"/>
          <w:caps w:val="0"/>
          <w:smallCaps w:val="0"/>
          <w:color w:val="auto"/>
          <w:spacing w:val="0"/>
          <w:vertAlign w:val="superscript"/>
          <w:lang w:val="en-US" w:eastAsia="zh-CN"/>
        </w:rPr>
        <w:t>3</w:t>
      </w:r>
      <w:r>
        <w:rPr>
          <w:rFonts w:hint="eastAsia" w:ascii="仿宋_GB2312" w:hAnsi="仿宋_GB2312" w:eastAsia="仿宋_GB2312" w:cs="仿宋_GB2312"/>
          <w:b w:val="0"/>
          <w:bCs w:val="0"/>
          <w:caps w:val="0"/>
          <w:smallCaps w:val="0"/>
          <w:color w:val="auto"/>
          <w:spacing w:val="0"/>
          <w:lang w:val="en-US" w:eastAsia="zh-CN"/>
        </w:rPr>
        <w:t>左右。</w:t>
      </w:r>
    </w:p>
    <w:p w14:paraId="3C3E45B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废水处理工艺：对于混凝土搅拌站产生的废水，首先应通过沉淀去除较大的悬浮物，然后可以采用化学混凝沉淀的方法进一步去除细小的悬浮物和部分溶解性污染物。车辆冲洗废水应先通过隔油池去除油污，然后再通过沉淀和过滤去除其他污染物。</w:t>
      </w:r>
    </w:p>
    <w:p w14:paraId="5FF93065">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雨水管理</w:t>
      </w:r>
    </w:p>
    <w:p w14:paraId="66A1685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雨水收集池与雨水井设置：雨水收集池的大小应根据施工现场的面积和当地的降雨情况确定。一般来说，对于一个1000m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左右的施工现场，雨水收集池的容积应在10-20m</w:t>
      </w:r>
      <w:r>
        <w:rPr>
          <w:rFonts w:hint="eastAsia" w:ascii="仿宋_GB2312" w:hAnsi="仿宋_GB2312" w:eastAsia="仿宋_GB2312" w:cs="仿宋_GB2312"/>
          <w:b w:val="0"/>
          <w:bCs w:val="0"/>
          <w:caps w:val="0"/>
          <w:smallCaps w:val="0"/>
          <w:color w:val="auto"/>
          <w:spacing w:val="0"/>
          <w:vertAlign w:val="superscript"/>
          <w:lang w:val="en-US" w:eastAsia="zh-CN"/>
        </w:rPr>
        <w:t>3</w:t>
      </w:r>
      <w:r>
        <w:rPr>
          <w:rFonts w:hint="eastAsia" w:ascii="仿宋_GB2312" w:hAnsi="仿宋_GB2312" w:eastAsia="仿宋_GB2312" w:cs="仿宋_GB2312"/>
          <w:b w:val="0"/>
          <w:bCs w:val="0"/>
          <w:caps w:val="0"/>
          <w:smallCaps w:val="0"/>
          <w:color w:val="auto"/>
          <w:spacing w:val="0"/>
          <w:lang w:val="en-US" w:eastAsia="zh-CN"/>
        </w:rPr>
        <w:t>左右。雨水井应均匀分布在施工现场，间距一般在20—50m左右。</w:t>
      </w:r>
    </w:p>
    <w:p w14:paraId="7E659E5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含污染物雨水处理：对于受污染的基坑排水，应首先检测其污染物含量，然后根据污染物类型和含量采用相应的处理方法。如果是含有大量泥沙的排水，可以先通过沉淀去除泥沙，然后再根据其他污染物情况进行进一步处理。</w:t>
      </w:r>
    </w:p>
    <w:p w14:paraId="03F6ADC1">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54" w:name="_Toc801"/>
      <w:bookmarkStart w:id="155" w:name="_Toc17959"/>
      <w:bookmarkStart w:id="156" w:name="_Toc9105"/>
      <w:r>
        <w:rPr>
          <w:rFonts w:hint="eastAsia" w:ascii="楷体_GB2312" w:hAnsi="楷体_GB2312" w:eastAsia="楷体_GB2312" w:cs="楷体_GB2312"/>
          <w:b w:val="0"/>
          <w:bCs w:val="0"/>
          <w:caps w:val="0"/>
          <w:smallCaps w:val="0"/>
          <w:color w:val="auto"/>
          <w:spacing w:val="0"/>
          <w:sz w:val="32"/>
          <w:szCs w:val="28"/>
          <w:lang w:val="en-US" w:eastAsia="zh-CN"/>
        </w:rPr>
        <w:t>3．噪声污染防治要求</w:t>
      </w:r>
      <w:bookmarkEnd w:id="154"/>
      <w:bookmarkEnd w:id="155"/>
      <w:bookmarkEnd w:id="156"/>
    </w:p>
    <w:p w14:paraId="0ED502B7">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施工时间控制</w:t>
      </w:r>
    </w:p>
    <w:p w14:paraId="7E5133E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特殊情况审批：对于因工艺要求必须连续施工的项目，如混凝土浇筑等，在申请相关部门批准时，应详细说明施工的原因、持续时间、采取的噪声控制措施等。相关部门在审批时应综合考虑周边居民的生活和生产情况，合理确定是否批准以及批准的条件。</w:t>
      </w:r>
    </w:p>
    <w:p w14:paraId="2C28206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公告方式：提前向周边居民公告连续施工的情况时，可以采用在施工现场周围张贴公告、通过社区居委会或物业向居民发送通知等方式。公告内容应包括施工的时间、项目名称、采取的噪声控制措施等。</w:t>
      </w:r>
    </w:p>
    <w:p w14:paraId="00890A7F">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噪声控制措施</w:t>
      </w:r>
    </w:p>
    <w:p w14:paraId="14592AD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设备选型与降噪：低噪声设备在选购时应查看其噪声指标，一般应选择噪声级低于85分贝（A）的设备。对于挖掘机、装载机、搅拌机等噪声较大的设备，安装消声器时应根据设备的型号和噪声特性选择合适的消声器。减震垫应选择具有良好减震性能的产品，如橡胶减震垫等。</w:t>
      </w:r>
    </w:p>
    <w:p w14:paraId="06F00DD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隔音屏障设置：隔音屏障可以采用金属板材、吸声材料复合而成。屏障的高度一般在2—5m左右，根据周边环境和噪声源的位置合理选择。如果噪声源较高，如塔吊上的机械设备，则隔音屏障应相应增加</w:t>
      </w:r>
    </w:p>
    <w:p w14:paraId="245B9E34">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57" w:name="_Toc31695"/>
      <w:bookmarkStart w:id="158" w:name="_Toc29006"/>
      <w:bookmarkStart w:id="159" w:name="_Toc19900"/>
      <w:r>
        <w:rPr>
          <w:rFonts w:hint="eastAsia" w:ascii="楷体_GB2312" w:hAnsi="楷体_GB2312" w:eastAsia="楷体_GB2312" w:cs="楷体_GB2312"/>
          <w:b w:val="0"/>
          <w:bCs w:val="0"/>
          <w:caps w:val="0"/>
          <w:smallCaps w:val="0"/>
          <w:color w:val="auto"/>
          <w:spacing w:val="0"/>
          <w:sz w:val="32"/>
          <w:szCs w:val="28"/>
          <w:lang w:val="en-US" w:eastAsia="zh-CN"/>
        </w:rPr>
        <w:t>4．固体废物污染防治要求</w:t>
      </w:r>
      <w:bookmarkEnd w:id="157"/>
      <w:bookmarkEnd w:id="158"/>
      <w:bookmarkEnd w:id="159"/>
    </w:p>
    <w:p w14:paraId="39D5A351">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垃圾分类收集与存放</w:t>
      </w:r>
    </w:p>
    <w:p w14:paraId="7A2957F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分类：工程渣土包括开挖的土方、石方等；工程泥浆主要是基础施工过程中产生的泥浆；工程垃圾包括在施工过程中产生的废弃的构配件、材料等；拆除垃圾是对原有建筑物或结构拆除过程中产生的垃圾。不同类型的建筑垃圾应分别设置收集点和堆放池，收集点应靠近产生源，堆放池应具有一定的容量和防渗漏、防扬尘等功能。</w:t>
      </w:r>
    </w:p>
    <w:p w14:paraId="0D60C9F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危险废物处理：废油漆桶应在使用后及时收集，存放在专门的危险废物储存区域，该区域应具有防雨、防晒、防渗漏等功能。废电池也应单独收集，按照相关规定送往有资质的单位处理。</w:t>
      </w:r>
    </w:p>
    <w:p w14:paraId="3151F217">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固体废弃物处置</w:t>
      </w:r>
    </w:p>
    <w:p w14:paraId="5BFB8AD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可回收利用废弃物：金属废弃物如钢筋、钢板等可以卖给废品回收公司；木材废弃物可以进行再加工利用，如制作成木模板、木托盘等；塑料废弃物可以进行分类回收，用于生产再生塑料产品。</w:t>
      </w:r>
    </w:p>
    <w:p w14:paraId="02120D1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不可回收利用废弃物：不可回收利用的建筑垃圾如破碎的混凝土块、砖瓦等应按照当地相关规定运往指定的处置场所，如建筑垃圾消纳场等。生活垃圾应及时收集，每天至少清运一次，运往附近的垃圾处理厂进行处理。</w:t>
      </w:r>
    </w:p>
    <w:p w14:paraId="0F3AB149">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60" w:name="_Toc18833"/>
      <w:bookmarkStart w:id="161" w:name="_Toc3511"/>
      <w:bookmarkStart w:id="162" w:name="_Toc9202"/>
      <w:r>
        <w:rPr>
          <w:rFonts w:hint="eastAsia" w:ascii="楷体_GB2312" w:hAnsi="楷体_GB2312" w:eastAsia="楷体_GB2312" w:cs="楷体_GB2312"/>
          <w:b w:val="0"/>
          <w:bCs w:val="0"/>
          <w:caps w:val="0"/>
          <w:smallCaps w:val="0"/>
          <w:color w:val="auto"/>
          <w:spacing w:val="0"/>
          <w:sz w:val="32"/>
          <w:szCs w:val="28"/>
          <w:lang w:val="en-US" w:eastAsia="zh-CN"/>
        </w:rPr>
        <w:t>5．土壤污染防治要求</w:t>
      </w:r>
      <w:bookmarkEnd w:id="160"/>
      <w:bookmarkEnd w:id="161"/>
      <w:bookmarkEnd w:id="162"/>
    </w:p>
    <w:p w14:paraId="2CB63020">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化学品管理</w:t>
      </w:r>
    </w:p>
    <w:p w14:paraId="138B2C1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储存库设置：化学品储存库应远离生活区和水源地，距离一般应在50m以上。储存库的建筑材料应具有良好的防渗漏性能，如采用混凝土结构并进行防渗处理。储存库内应设置通风设施，以保持空气流通，防止化学品挥发积聚。</w:t>
      </w:r>
    </w:p>
    <w:p w14:paraId="3C1C61F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废弃化学品处理：废弃的化学品应在规定的时间内交由有资质的单位回收处理。在交给回收单位之前，应将不同类型的化学品进行分类包装，防止混合后发生化学反应产生危险。</w:t>
      </w:r>
    </w:p>
    <w:p w14:paraId="5538ECD5">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油料管理</w:t>
      </w:r>
    </w:p>
    <w:p w14:paraId="3949E82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储存容器要求：储存油料的容器如油罐、油桶等应具有良好的防渗漏性能，一般应采用金属材质并进行防腐处理。容器应放在阴凉、干燥的地方，避免阳光直射。</w:t>
      </w:r>
    </w:p>
    <w:p w14:paraId="42E017C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加油现场措施：加油现场应设置防油堤，防油堤的高度一般在0.2—0.3m左右。接油盘应放在加油设备下方，以收集可能泄漏的油料。对于泄漏的油料应及时清理，清理工具应具有良好的吸油性能，如吸油毡等。</w:t>
      </w:r>
    </w:p>
    <w:p w14:paraId="059E617C">
      <w:pPr>
        <w:jc w:val="left"/>
        <w:rPr>
          <w:b w:val="0"/>
          <w:bCs w:val="0"/>
          <w:caps w:val="0"/>
          <w:smallCaps w:val="0"/>
          <w:color w:val="auto"/>
          <w:spacing w:val="0"/>
          <w:sz w:val="28"/>
          <w:szCs w:val="22"/>
        </w:rPr>
      </w:pPr>
      <w:r>
        <w:rPr>
          <w:b w:val="0"/>
          <w:bCs w:val="0"/>
          <w:caps w:val="0"/>
          <w:smallCaps w:val="0"/>
          <w:color w:val="auto"/>
          <w:spacing w:val="0"/>
          <w:szCs w:val="22"/>
        </w:rPr>
        <w:br w:type="page"/>
      </w:r>
    </w:p>
    <w:p w14:paraId="3E52E76D">
      <w:pPr>
        <w:pStyle w:val="7"/>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ind w:left="0" w:leftChars="0" w:firstLine="0" w:firstLineChars="0"/>
        <w:textAlignment w:val="auto"/>
        <w:rPr>
          <w:rFonts w:hint="default"/>
          <w:b w:val="0"/>
          <w:bCs w:val="0"/>
          <w:caps w:val="0"/>
          <w:smallCaps w:val="0"/>
          <w:color w:val="auto"/>
          <w:spacing w:val="0"/>
          <w:sz w:val="44"/>
          <w:szCs w:val="44"/>
          <w:lang w:val="en-US" w:eastAsia="zh-CN"/>
        </w:rPr>
      </w:pPr>
      <w:bookmarkStart w:id="163" w:name="_Toc13027"/>
      <w:bookmarkStart w:id="164" w:name="_Toc19052"/>
      <w:bookmarkStart w:id="165" w:name="_Toc25370"/>
      <w:r>
        <w:rPr>
          <w:rFonts w:hint="eastAsia"/>
          <w:b w:val="0"/>
          <w:bCs w:val="0"/>
          <w:caps w:val="0"/>
          <w:smallCaps w:val="0"/>
          <w:color w:val="auto"/>
          <w:spacing w:val="0"/>
          <w:sz w:val="44"/>
          <w:szCs w:val="44"/>
          <w:lang w:val="en-US" w:eastAsia="zh-CN"/>
        </w:rPr>
        <w:t>第四章 收运体系规划</w:t>
      </w:r>
      <w:bookmarkEnd w:id="163"/>
      <w:bookmarkEnd w:id="164"/>
      <w:bookmarkEnd w:id="165"/>
    </w:p>
    <w:p w14:paraId="493014F8">
      <w:pPr>
        <w:pStyle w:val="40"/>
        <w:bidi w:val="0"/>
        <w:rPr>
          <w:rFonts w:hint="default" w:ascii="黑体" w:hAnsi="黑体" w:eastAsia="黑体" w:cs="黑体"/>
          <w:b w:val="0"/>
          <w:bCs w:val="0"/>
          <w:caps w:val="0"/>
          <w:smallCaps w:val="0"/>
          <w:color w:val="auto"/>
          <w:spacing w:val="0"/>
          <w:lang w:val="en-US" w:eastAsia="zh-CN"/>
        </w:rPr>
      </w:pPr>
      <w:bookmarkStart w:id="166" w:name="_Toc9136"/>
      <w:bookmarkStart w:id="167" w:name="_Toc12256"/>
      <w:bookmarkStart w:id="168" w:name="_Toc15990"/>
      <w:bookmarkStart w:id="169" w:name="_Toc1229"/>
      <w:bookmarkStart w:id="170" w:name="_Toc27651"/>
      <w:bookmarkStart w:id="171" w:name="_Toc16752"/>
      <w:r>
        <w:rPr>
          <w:rFonts w:hint="eastAsia" w:ascii="黑体" w:hAnsi="黑体" w:eastAsia="黑体" w:cs="黑体"/>
          <w:b w:val="0"/>
          <w:bCs w:val="0"/>
          <w:caps w:val="0"/>
          <w:smallCaps w:val="0"/>
          <w:color w:val="auto"/>
          <w:spacing w:val="0"/>
          <w:lang w:val="en-US" w:eastAsia="zh-CN"/>
        </w:rPr>
        <w:t>一、</w:t>
      </w:r>
      <w:r>
        <w:rPr>
          <w:rFonts w:hint="default" w:ascii="黑体" w:hAnsi="黑体" w:eastAsia="黑体" w:cs="黑体"/>
          <w:b w:val="0"/>
          <w:bCs w:val="0"/>
          <w:caps w:val="0"/>
          <w:smallCaps w:val="0"/>
          <w:color w:val="auto"/>
          <w:spacing w:val="0"/>
          <w:lang w:val="en-US" w:eastAsia="zh-CN"/>
        </w:rPr>
        <w:t>收运模式</w:t>
      </w:r>
      <w:bookmarkEnd w:id="166"/>
      <w:bookmarkEnd w:id="167"/>
      <w:bookmarkEnd w:id="168"/>
      <w:bookmarkEnd w:id="169"/>
      <w:bookmarkEnd w:id="170"/>
      <w:bookmarkEnd w:id="171"/>
    </w:p>
    <w:p w14:paraId="25DB1961">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val="0"/>
          <w:bCs w:val="0"/>
          <w:caps w:val="0"/>
          <w:smallCaps w:val="0"/>
          <w:color w:val="auto"/>
          <w:spacing w:val="0"/>
        </w:rPr>
        <w:t>目前</w:t>
      </w:r>
      <w:r>
        <w:rPr>
          <w:rFonts w:hint="eastAsia" w:ascii="仿宋_GB2312" w:hAnsi="仿宋_GB2312" w:eastAsia="仿宋_GB2312" w:cs="仿宋_GB2312"/>
          <w:b w:val="0"/>
          <w:bCs w:val="0"/>
          <w:caps w:val="0"/>
          <w:smallCaps w:val="0"/>
          <w:color w:val="auto"/>
          <w:spacing w:val="0"/>
          <w:lang w:eastAsia="zh-CN"/>
        </w:rPr>
        <w:t>集贤县</w:t>
      </w:r>
      <w:r>
        <w:rPr>
          <w:rFonts w:hint="eastAsia" w:ascii="仿宋_GB2312" w:hAnsi="仿宋_GB2312" w:eastAsia="仿宋_GB2312" w:cs="仿宋_GB2312"/>
          <w:b w:val="0"/>
          <w:bCs w:val="0"/>
          <w:caps w:val="0"/>
          <w:smallCaps w:val="0"/>
          <w:color w:val="auto"/>
          <w:spacing w:val="0"/>
        </w:rPr>
        <w:t>在建筑垃圾收运方面，既没有专用的收集车辆，也缺乏建</w:t>
      </w:r>
      <w:r>
        <w:rPr>
          <w:rFonts w:hint="eastAsia" w:ascii="仿宋_GB2312" w:hAnsi="仿宋_GB2312" w:eastAsia="仿宋_GB2312" w:cs="仿宋_GB2312"/>
          <w:color w:val="auto"/>
          <w:spacing w:val="0"/>
          <w:kern w:val="2"/>
          <w:sz w:val="32"/>
          <w:szCs w:val="32"/>
          <w:highlight w:val="none"/>
          <w:lang w:val="en-US" w:eastAsia="zh-CN" w:bidi="ar-SA"/>
        </w:rPr>
        <w:t>筑垃圾消纳场，建筑企业通常将其运输至低洼地或其他需要堆填之处进行掩埋。</w:t>
      </w:r>
    </w:p>
    <w:p w14:paraId="53C8DAB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集贤县建筑垃圾的收运体系应当明确各类建筑垃圾（工程垃圾、拆除垃圾、装修垃圾、工程泥土</w:t>
      </w:r>
      <w:r>
        <w:rPr>
          <w:rFonts w:hint="eastAsia" w:ascii="仿宋_GB2312" w:hAnsi="仿宋_GB2312" w:eastAsia="仿宋_GB2312" w:cs="仿宋_GB2312"/>
          <w:b w:val="0"/>
          <w:bCs w:val="0"/>
          <w:caps w:val="0"/>
          <w:smallCaps w:val="0"/>
          <w:color w:val="auto"/>
          <w:spacing w:val="0"/>
          <w:lang w:val="en-US" w:eastAsia="zh-CN"/>
        </w:rPr>
        <w:t>、工程泥浆）的收运主体及相关部门的责任。</w:t>
      </w:r>
    </w:p>
    <w:p w14:paraId="4B80238B">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72" w:name="_Toc2152"/>
      <w:bookmarkStart w:id="173" w:name="_Toc5529"/>
      <w:bookmarkStart w:id="174" w:name="_Toc5398"/>
      <w:r>
        <w:rPr>
          <w:rFonts w:hint="eastAsia" w:ascii="楷体_GB2312" w:hAnsi="楷体_GB2312" w:eastAsia="楷体_GB2312" w:cs="楷体_GB2312"/>
          <w:b w:val="0"/>
          <w:bCs w:val="0"/>
          <w:caps w:val="0"/>
          <w:smallCaps w:val="0"/>
          <w:color w:val="auto"/>
          <w:spacing w:val="0"/>
          <w:sz w:val="32"/>
          <w:szCs w:val="28"/>
          <w:lang w:val="en-US" w:eastAsia="zh-CN"/>
        </w:rPr>
        <w:t>1．</w:t>
      </w:r>
      <w:r>
        <w:rPr>
          <w:rFonts w:hint="default" w:ascii="楷体_GB2312" w:hAnsi="楷体_GB2312" w:eastAsia="楷体_GB2312" w:cs="楷体_GB2312"/>
          <w:b w:val="0"/>
          <w:bCs w:val="0"/>
          <w:caps w:val="0"/>
          <w:smallCaps w:val="0"/>
          <w:color w:val="auto"/>
          <w:spacing w:val="0"/>
          <w:sz w:val="32"/>
          <w:szCs w:val="28"/>
          <w:lang w:val="en-US" w:eastAsia="zh-CN"/>
        </w:rPr>
        <w:t>责任主体</w:t>
      </w:r>
      <w:bookmarkEnd w:id="172"/>
      <w:bookmarkEnd w:id="173"/>
      <w:bookmarkEnd w:id="174"/>
    </w:p>
    <w:p w14:paraId="0A715CE2">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相关部门落实责任具体要求如下：</w:t>
      </w:r>
    </w:p>
    <w:p w14:paraId="41672FE7">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政府部门。负责建筑垃圾核准的行业指导部门监督建筑垃圾分类的合理性并按照黑龙江省住房和城乡建设厅《关于转发建筑垃圾核准事项实施规范的函》进行核准</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lang w:val="en-US" w:eastAsia="zh-CN"/>
        </w:rPr>
        <w:t>负责建筑垃圾收运处置的行业指导部门监督收集、转运、处理阶段和合法合规性；负责建筑垃圾生态环境保护监管的行业指导部门</w:t>
      </w:r>
      <w:r>
        <w:rPr>
          <w:rFonts w:hint="eastAsia" w:ascii="仿宋_GB2312" w:hAnsi="仿宋_GB2312" w:eastAsia="仿宋_GB2312" w:cs="仿宋_GB2312"/>
          <w:b w:val="0"/>
          <w:bCs w:val="0"/>
          <w:caps w:val="0"/>
          <w:smallCaps w:val="0"/>
          <w:color w:val="auto"/>
          <w:spacing w:val="0"/>
        </w:rPr>
        <w:t>负责监督垃圾收运过程中的环境保护措施落实情况，防止污染</w:t>
      </w:r>
      <w:r>
        <w:rPr>
          <w:rFonts w:hint="eastAsia" w:ascii="仿宋_GB2312" w:hAnsi="仿宋_GB2312" w:eastAsia="仿宋_GB2312" w:cs="仿宋_GB2312"/>
          <w:b w:val="0"/>
          <w:bCs w:val="0"/>
          <w:caps w:val="0"/>
          <w:smallCaps w:val="0"/>
          <w:color w:val="auto"/>
          <w:spacing w:val="0"/>
          <w:lang w:val="en-US" w:eastAsia="zh-CN"/>
        </w:rPr>
        <w:t>环境</w:t>
      </w:r>
      <w:r>
        <w:rPr>
          <w:rFonts w:hint="eastAsia" w:ascii="仿宋_GB2312" w:hAnsi="仿宋_GB2312" w:eastAsia="仿宋_GB2312" w:cs="仿宋_GB2312"/>
          <w:b w:val="0"/>
          <w:bCs w:val="0"/>
          <w:caps w:val="0"/>
          <w:smallCaps w:val="0"/>
          <w:color w:val="auto"/>
          <w:spacing w:val="0"/>
        </w:rPr>
        <w:t>。</w:t>
      </w:r>
    </w:p>
    <w:p w14:paraId="71AABC2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产生单位。工程建设单位、拆除单位、装修单位等作为垃圾产生者，负责将垃圾收集并堆放到指定地点，承担一定的收运费用。施工单位具体负责工程垃圾、拆除垃圾、工程渣土和工程泥浆在施工现场的收集和临时存放，确保符合环保和安全要求。</w:t>
      </w:r>
    </w:p>
    <w:p w14:paraId="29B270A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专业收转运企业。通过招标等方式确定一批有资质、有实力的专业建筑垃圾清运公司和工程泥浆处理公司，负责各类垃圾的运输和处理。这些企业应具备符合标准的运输车辆、专业的处理设备和技术人员，严格遵守收运流程和环保要求。</w:t>
      </w:r>
    </w:p>
    <w:p w14:paraId="74B6B33E">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75" w:name="_Toc13124"/>
      <w:bookmarkStart w:id="176" w:name="_Toc9930"/>
      <w:bookmarkStart w:id="177" w:name="_Toc32753"/>
      <w:bookmarkStart w:id="178" w:name="OLE_LINK9"/>
      <w:r>
        <w:rPr>
          <w:rFonts w:hint="eastAsia" w:ascii="楷体_GB2312" w:hAnsi="楷体_GB2312" w:eastAsia="楷体_GB2312" w:cs="楷体_GB2312"/>
          <w:b w:val="0"/>
          <w:bCs w:val="0"/>
          <w:caps w:val="0"/>
          <w:smallCaps w:val="0"/>
          <w:color w:val="auto"/>
          <w:spacing w:val="0"/>
          <w:sz w:val="32"/>
          <w:szCs w:val="28"/>
          <w:lang w:val="en-US" w:eastAsia="zh-CN"/>
        </w:rPr>
        <w:t>2．</w:t>
      </w:r>
      <w:r>
        <w:rPr>
          <w:rFonts w:hint="default" w:ascii="楷体_GB2312" w:hAnsi="楷体_GB2312" w:eastAsia="楷体_GB2312" w:cs="楷体_GB2312"/>
          <w:b w:val="0"/>
          <w:bCs w:val="0"/>
          <w:caps w:val="0"/>
          <w:smallCaps w:val="0"/>
          <w:color w:val="auto"/>
          <w:spacing w:val="0"/>
          <w:sz w:val="32"/>
          <w:szCs w:val="28"/>
          <w:lang w:val="en-US" w:eastAsia="zh-CN"/>
        </w:rPr>
        <w:t>收运主体</w:t>
      </w:r>
      <w:bookmarkEnd w:id="175"/>
      <w:bookmarkEnd w:id="176"/>
      <w:bookmarkEnd w:id="177"/>
    </w:p>
    <w:bookmarkEnd w:id="178"/>
    <w:p w14:paraId="62473D9F">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工程渣土收运主体：主要是施工单位负责工程渣土的收运工作。在土方开挖等工程中，施工单位要确保渣土的合理收集和运输。有些地区设立了专门的渣土运输公司，这些公司在取得相关许可后，按照规定参与工程渣土的收运工作。</w:t>
      </w:r>
    </w:p>
    <w:p w14:paraId="2E5BD379">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工程泥浆收运主体：施工单位是工程泥浆收运的主要责任主体。对于一些大型的桩基工程等产生大量工程泥浆的项目，可能会有专业的泥浆处理公司介入，负责泥浆的运输和处理。</w:t>
      </w:r>
    </w:p>
    <w:p w14:paraId="146BD491">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工程垃圾收运主体：一般由施工单位负责收集。施工单位在施工现场设置专门的垃圾堆放区域，将工程施工过程中产生的诸如废弃建筑材料、包装材料等工程垃圾集中堆放。在一些地区，也有专业的建筑垃圾清运公司受施工单位委托进行收运。这些清运公司需要具备相应的运输资质，包括车辆符合环保标准、驾驶员具备相关从业资格等。</w:t>
      </w:r>
    </w:p>
    <w:p w14:paraId="66160B4E">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拆除垃圾收运主体：拆除工程的承包单位通常是拆除垃圾的主要收运责任主体。他们在拆除建筑物、构筑物过程中，负责将产生的大量建筑垃圾收集起来。同样，专业的建筑垃圾清运企业也可参与其中，承担从拆除现场到处理地点的运输工作。</w:t>
      </w:r>
    </w:p>
    <w:p w14:paraId="0073823B">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装修垃圾收运主体：装修公司或者装修业主有责任对装修垃圾进行收集。物业管理公司负责协调装修垃圾的收运事宜。部分城市有专门的装修垃圾清运服务企业，这些企业与小区物业或者装修公司合作，承担装修垃圾的运输和处理工作。</w:t>
      </w:r>
    </w:p>
    <w:p w14:paraId="11F88FB7">
      <w:pPr>
        <w:pStyle w:val="40"/>
        <w:bidi w:val="0"/>
        <w:rPr>
          <w:rFonts w:hint="default" w:ascii="黑体" w:hAnsi="黑体" w:eastAsia="黑体" w:cs="黑体"/>
          <w:b w:val="0"/>
          <w:bCs w:val="0"/>
          <w:caps w:val="0"/>
          <w:smallCaps w:val="0"/>
          <w:color w:val="auto"/>
          <w:spacing w:val="0"/>
          <w:lang w:val="en-US" w:eastAsia="zh-CN"/>
        </w:rPr>
      </w:pPr>
      <w:bookmarkStart w:id="179" w:name="_Toc484"/>
      <w:bookmarkStart w:id="180" w:name="_Toc7691"/>
      <w:bookmarkStart w:id="181" w:name="_Toc4883"/>
      <w:bookmarkStart w:id="182" w:name="_Toc5800"/>
      <w:r>
        <w:rPr>
          <w:rFonts w:hint="eastAsia" w:ascii="黑体" w:hAnsi="黑体" w:eastAsia="黑体" w:cs="黑体"/>
          <w:b w:val="0"/>
          <w:bCs w:val="0"/>
          <w:caps w:val="0"/>
          <w:smallCaps w:val="0"/>
          <w:color w:val="auto"/>
          <w:spacing w:val="0"/>
          <w:lang w:val="en-US" w:eastAsia="zh-CN"/>
        </w:rPr>
        <w:t>二、</w:t>
      </w:r>
      <w:r>
        <w:rPr>
          <w:rFonts w:hint="default" w:ascii="黑体" w:hAnsi="黑体" w:eastAsia="黑体" w:cs="黑体"/>
          <w:b w:val="0"/>
          <w:bCs w:val="0"/>
          <w:caps w:val="0"/>
          <w:smallCaps w:val="0"/>
          <w:color w:val="auto"/>
          <w:spacing w:val="0"/>
          <w:lang w:val="en-US" w:eastAsia="zh-CN"/>
        </w:rPr>
        <w:t>收运</w:t>
      </w:r>
      <w:bookmarkEnd w:id="179"/>
      <w:bookmarkEnd w:id="180"/>
      <w:bookmarkEnd w:id="181"/>
      <w:r>
        <w:rPr>
          <w:rFonts w:hint="eastAsia" w:ascii="黑体" w:hAnsi="黑体" w:eastAsia="黑体" w:cs="黑体"/>
          <w:b w:val="0"/>
          <w:bCs w:val="0"/>
          <w:caps w:val="0"/>
          <w:smallCaps w:val="0"/>
          <w:color w:val="auto"/>
          <w:spacing w:val="0"/>
          <w:lang w:val="en-US" w:eastAsia="zh-CN"/>
        </w:rPr>
        <w:t>模式</w:t>
      </w:r>
      <w:bookmarkEnd w:id="182"/>
    </w:p>
    <w:p w14:paraId="10BF3A68">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83" w:name="_Toc13935"/>
      <w:r>
        <w:rPr>
          <w:rFonts w:hint="eastAsia" w:ascii="楷体_GB2312" w:hAnsi="楷体_GB2312" w:eastAsia="楷体_GB2312" w:cs="楷体_GB2312"/>
          <w:b w:val="0"/>
          <w:bCs w:val="0"/>
          <w:caps w:val="0"/>
          <w:smallCaps w:val="0"/>
          <w:color w:val="auto"/>
          <w:spacing w:val="0"/>
          <w:sz w:val="32"/>
          <w:szCs w:val="28"/>
          <w:lang w:val="en-US" w:eastAsia="zh-CN"/>
        </w:rPr>
        <w:t>1．</w:t>
      </w:r>
      <w:r>
        <w:rPr>
          <w:rFonts w:hint="default" w:ascii="楷体_GB2312" w:hAnsi="楷体_GB2312" w:eastAsia="楷体_GB2312" w:cs="楷体_GB2312"/>
          <w:b w:val="0"/>
          <w:bCs w:val="0"/>
          <w:caps w:val="0"/>
          <w:smallCaps w:val="0"/>
          <w:color w:val="auto"/>
          <w:spacing w:val="0"/>
          <w:sz w:val="32"/>
          <w:szCs w:val="28"/>
          <w:lang w:val="en-US" w:eastAsia="zh-CN"/>
        </w:rPr>
        <w:t>工程渣土收运</w:t>
      </w:r>
      <w:bookmarkEnd w:id="183"/>
      <w:r>
        <w:rPr>
          <w:rFonts w:hint="eastAsia" w:ascii="楷体_GB2312" w:hAnsi="楷体_GB2312" w:eastAsia="楷体_GB2312" w:cs="楷体_GB2312"/>
          <w:b w:val="0"/>
          <w:bCs w:val="0"/>
          <w:caps w:val="0"/>
          <w:smallCaps w:val="0"/>
          <w:color w:val="auto"/>
          <w:spacing w:val="0"/>
          <w:sz w:val="32"/>
          <w:szCs w:val="28"/>
          <w:lang w:val="en-US" w:eastAsia="zh-CN"/>
        </w:rPr>
        <w:t>模式</w:t>
      </w:r>
    </w:p>
    <w:p w14:paraId="11CD3A9F">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挖掘收集：在工程施工现场，通过挖掘机等设备将土方开挖产生的渣土收集到渣土堆放点。堆放点的位置要合理规划，避免影响施工进度和安全。</w:t>
      </w:r>
    </w:p>
    <w:p w14:paraId="692151A9">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运输车辆选择：根据渣土的量和性质，选择合适的运输车辆。车辆要具备良好的密封性，防止渣土在运输过程中泄漏。对于一些大型的渣土运输工程，可能需要使用重型自卸卡车。</w:t>
      </w:r>
    </w:p>
    <w:p w14:paraId="400E4855">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运输路线规划：由施工单位或者渣土运输公司向当地交通和城管部门申请运输路线。运输过程中要严格按照规定路线行驶，避开城市交通高峰期和敏感区域（如学校、医院等）。</w:t>
      </w:r>
    </w:p>
    <w:p w14:paraId="75C9ED0D">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处置：做好与收运工作的衔接，依据《建筑垃圾处理技术标准》（CJJT 134-2019）转运调配要求设置渣土暂存区，将工程渣土运输到施工现场指定的渣土暂存区。</w:t>
      </w:r>
    </w:p>
    <w:p w14:paraId="04EE6EC3">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84" w:name="_Toc10505"/>
      <w:r>
        <w:rPr>
          <w:rFonts w:hint="eastAsia" w:ascii="楷体_GB2312" w:hAnsi="楷体_GB2312" w:eastAsia="楷体_GB2312" w:cs="楷体_GB2312"/>
          <w:b w:val="0"/>
          <w:bCs w:val="0"/>
          <w:caps w:val="0"/>
          <w:smallCaps w:val="0"/>
          <w:color w:val="auto"/>
          <w:spacing w:val="0"/>
          <w:sz w:val="32"/>
          <w:szCs w:val="28"/>
          <w:lang w:val="en-US" w:eastAsia="zh-CN"/>
        </w:rPr>
        <w:t>2．</w:t>
      </w:r>
      <w:r>
        <w:rPr>
          <w:rFonts w:hint="default" w:ascii="楷体_GB2312" w:hAnsi="楷体_GB2312" w:eastAsia="楷体_GB2312" w:cs="楷体_GB2312"/>
          <w:b w:val="0"/>
          <w:bCs w:val="0"/>
          <w:caps w:val="0"/>
          <w:smallCaps w:val="0"/>
          <w:color w:val="auto"/>
          <w:spacing w:val="0"/>
          <w:sz w:val="32"/>
          <w:szCs w:val="28"/>
          <w:lang w:val="en-US" w:eastAsia="zh-CN"/>
        </w:rPr>
        <w:t>工程泥浆收运</w:t>
      </w:r>
      <w:bookmarkEnd w:id="184"/>
      <w:r>
        <w:rPr>
          <w:rFonts w:hint="eastAsia" w:ascii="楷体_GB2312" w:hAnsi="楷体_GB2312" w:eastAsia="楷体_GB2312" w:cs="楷体_GB2312"/>
          <w:b w:val="0"/>
          <w:bCs w:val="0"/>
          <w:caps w:val="0"/>
          <w:smallCaps w:val="0"/>
          <w:color w:val="auto"/>
          <w:spacing w:val="0"/>
          <w:sz w:val="32"/>
          <w:szCs w:val="28"/>
          <w:lang w:val="en-US" w:eastAsia="zh-CN"/>
        </w:rPr>
        <w:t>模式</w:t>
      </w:r>
    </w:p>
    <w:p w14:paraId="67915325">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收集：在工程施工过程中，如钻孔灌注桩施工等，通过泥浆池收集工程泥浆。泥浆池要做好防护措施，防止泥浆外溢。</w:t>
      </w:r>
    </w:p>
    <w:p w14:paraId="4F0D2642">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处理：在运输前，有些工程泥浆需要进行预处理，如通过沉淀、过滤等方式使泥浆脱水，便于后续运输及堆填回用。</w:t>
      </w:r>
    </w:p>
    <w:p w14:paraId="3C32132B">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运输：使用专门的泥浆运输车辆，这些车辆一般是密封的罐车。运输过程中要确保泥浆不泄漏，避免对道路和环境造成污染。</w:t>
      </w:r>
    </w:p>
    <w:p w14:paraId="67FF04DE">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处置：做好与收运工作的衔接，依据《建筑垃圾处理技术标准》（CJJT 134-2019）转运调配要求设置泥浆暂存区，将工程渣土运输到施工现场指定的泥浆暂存区。</w:t>
      </w:r>
    </w:p>
    <w:p w14:paraId="7B9EDE92">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85" w:name="_Toc3096"/>
      <w:r>
        <w:rPr>
          <w:rFonts w:hint="eastAsia" w:ascii="楷体_GB2312" w:hAnsi="楷体_GB2312" w:eastAsia="楷体_GB2312" w:cs="楷体_GB2312"/>
          <w:b w:val="0"/>
          <w:bCs w:val="0"/>
          <w:caps w:val="0"/>
          <w:smallCaps w:val="0"/>
          <w:color w:val="auto"/>
          <w:spacing w:val="0"/>
          <w:sz w:val="32"/>
          <w:szCs w:val="28"/>
          <w:lang w:val="en-US" w:eastAsia="zh-CN"/>
        </w:rPr>
        <w:t>3．</w:t>
      </w:r>
      <w:r>
        <w:rPr>
          <w:rFonts w:hint="default" w:ascii="楷体_GB2312" w:hAnsi="楷体_GB2312" w:eastAsia="楷体_GB2312" w:cs="楷体_GB2312"/>
          <w:b w:val="0"/>
          <w:bCs w:val="0"/>
          <w:caps w:val="0"/>
          <w:smallCaps w:val="0"/>
          <w:color w:val="auto"/>
          <w:spacing w:val="0"/>
          <w:sz w:val="32"/>
          <w:szCs w:val="28"/>
          <w:lang w:val="en-US" w:eastAsia="zh-CN"/>
        </w:rPr>
        <w:t>工程垃圾收运</w:t>
      </w:r>
      <w:bookmarkEnd w:id="185"/>
      <w:r>
        <w:rPr>
          <w:rFonts w:hint="eastAsia" w:ascii="楷体_GB2312" w:hAnsi="楷体_GB2312" w:eastAsia="楷体_GB2312" w:cs="楷体_GB2312"/>
          <w:b w:val="0"/>
          <w:bCs w:val="0"/>
          <w:caps w:val="0"/>
          <w:smallCaps w:val="0"/>
          <w:color w:val="auto"/>
          <w:spacing w:val="0"/>
          <w:sz w:val="32"/>
          <w:szCs w:val="28"/>
          <w:lang w:val="en-US" w:eastAsia="zh-CN"/>
        </w:rPr>
        <w:t>模式</w:t>
      </w:r>
    </w:p>
    <w:p w14:paraId="5B1F106C">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收集环节：施工人员在施工过程中，将产生的工程垃圾分类放置到指定的收集容器或堆放点。例如，将金属废料、木材废料等分别收集，方便后续处理。</w:t>
      </w:r>
    </w:p>
    <w:p w14:paraId="7B841EC5">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装载环节：使用合适的装载设备（如装载机、叉车等）将垃圾装入运输车辆。在装载过程中，要注意避免垃圾散落，对周围环境造成污染。</w:t>
      </w:r>
    </w:p>
    <w:p w14:paraId="2C5D2E12">
      <w:pPr>
        <w:pStyle w:val="40"/>
        <w:bidi w:val="0"/>
        <w:rPr>
          <w:rFonts w:hint="default" w:ascii="仿宋_GB2312" w:hAnsi="仿宋_GB2312" w:eastAsia="仿宋_GB2312" w:cs="仿宋_GB2312"/>
          <w:color w:val="auto"/>
          <w:spacing w:val="0"/>
          <w:kern w:val="2"/>
          <w:sz w:val="32"/>
          <w:szCs w:val="32"/>
          <w:highlight w:val="none"/>
          <w:lang w:val="en-US" w:eastAsia="zh-CN" w:bidi="ar-SA"/>
        </w:rPr>
      </w:pPr>
      <w:r>
        <w:rPr>
          <w:rFonts w:hint="default" w:ascii="仿宋_GB2312" w:hAnsi="仿宋_GB2312" w:eastAsia="仿宋_GB2312" w:cs="仿宋_GB2312"/>
          <w:b w:val="0"/>
          <w:bCs w:val="0"/>
          <w:caps w:val="0"/>
          <w:smallCaps w:val="0"/>
          <w:color w:val="auto"/>
          <w:spacing w:val="0"/>
          <w:lang w:val="en-US" w:eastAsia="zh-CN"/>
        </w:rPr>
        <w:t>运输环节：运输车辆按照</w:t>
      </w:r>
      <w:r>
        <w:rPr>
          <w:rFonts w:hint="default" w:ascii="仿宋_GB2312" w:hAnsi="仿宋_GB2312" w:eastAsia="仿宋_GB2312" w:cs="仿宋_GB2312"/>
          <w:color w:val="auto"/>
          <w:spacing w:val="0"/>
          <w:kern w:val="2"/>
          <w:sz w:val="32"/>
          <w:szCs w:val="32"/>
          <w:highlight w:val="none"/>
          <w:lang w:val="en-US" w:eastAsia="zh-CN" w:bidi="ar-SA"/>
        </w:rPr>
        <w:t>规定的路线和时间将工程垃圾运往指定的处理场所。运输过程中要确保车辆封闭良好，防止垃圾泄漏、遗撒。有些地方会要求运输车辆安装 GPS 定位系统，以便监管部门实时监控运输路径。</w:t>
      </w:r>
    </w:p>
    <w:p w14:paraId="537F1542">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color w:val="auto"/>
          <w:spacing w:val="0"/>
          <w:kern w:val="2"/>
          <w:sz w:val="32"/>
          <w:szCs w:val="32"/>
          <w:highlight w:val="none"/>
          <w:lang w:val="en-US" w:eastAsia="zh-CN" w:bidi="ar-SA"/>
        </w:rPr>
        <w:t>处理环节：做好与收运工作的衔接，可进入调配场。</w:t>
      </w:r>
      <w:r>
        <w:rPr>
          <w:rFonts w:hint="eastAsia" w:ascii="仿宋_GB2312" w:hAnsi="仿宋_GB2312" w:eastAsia="仿宋_GB2312" w:cs="仿宋_GB2312"/>
          <w:color w:val="auto"/>
          <w:spacing w:val="0"/>
          <w:kern w:val="2"/>
          <w:sz w:val="32"/>
          <w:szCs w:val="32"/>
          <w:highlight w:val="none"/>
          <w:lang w:val="en-US" w:eastAsia="zh-CN" w:bidi="ar-SA"/>
        </w:rPr>
        <w:t>本着共享原则，</w:t>
      </w:r>
      <w:r>
        <w:rPr>
          <w:rFonts w:hint="default" w:ascii="仿宋_GB2312" w:hAnsi="仿宋_GB2312" w:eastAsia="仿宋_GB2312" w:cs="仿宋_GB2312"/>
          <w:color w:val="auto"/>
          <w:spacing w:val="0"/>
          <w:kern w:val="2"/>
          <w:sz w:val="32"/>
          <w:szCs w:val="32"/>
          <w:highlight w:val="none"/>
          <w:lang w:val="en-US" w:eastAsia="zh-CN" w:bidi="ar-SA"/>
        </w:rPr>
        <w:t>与装修垃圾成分相近的工程</w:t>
      </w:r>
      <w:r>
        <w:rPr>
          <w:rFonts w:hint="default" w:ascii="仿宋_GB2312" w:hAnsi="仿宋_GB2312" w:eastAsia="仿宋_GB2312" w:cs="仿宋_GB2312"/>
          <w:b w:val="0"/>
          <w:bCs w:val="0"/>
          <w:caps w:val="0"/>
          <w:smallCaps w:val="0"/>
          <w:color w:val="auto"/>
          <w:spacing w:val="0"/>
          <w:lang w:val="en-US" w:eastAsia="zh-CN"/>
        </w:rPr>
        <w:t>垃圾</w:t>
      </w:r>
      <w:r>
        <w:rPr>
          <w:rFonts w:hint="eastAsia" w:ascii="仿宋_GB2312" w:hAnsi="仿宋_GB2312" w:eastAsia="仿宋_GB2312" w:cs="仿宋_GB2312"/>
          <w:b w:val="0"/>
          <w:bCs w:val="0"/>
          <w:caps w:val="0"/>
          <w:smallCaps w:val="0"/>
          <w:color w:val="auto"/>
          <w:spacing w:val="0"/>
          <w:lang w:val="en-US" w:eastAsia="zh-CN"/>
        </w:rPr>
        <w:t>远期经协调，</w:t>
      </w:r>
      <w:r>
        <w:rPr>
          <w:rFonts w:hint="default" w:ascii="仿宋_GB2312" w:hAnsi="仿宋_GB2312" w:eastAsia="仿宋_GB2312" w:cs="仿宋_GB2312"/>
          <w:b w:val="0"/>
          <w:bCs w:val="0"/>
          <w:caps w:val="0"/>
          <w:smallCaps w:val="0"/>
          <w:color w:val="auto"/>
          <w:spacing w:val="0"/>
          <w:lang w:val="en-US" w:eastAsia="zh-CN"/>
        </w:rPr>
        <w:t>进入</w:t>
      </w:r>
      <w:r>
        <w:rPr>
          <w:rFonts w:hint="eastAsia" w:ascii="仿宋_GB2312" w:hAnsi="仿宋_GB2312" w:eastAsia="仿宋_GB2312" w:cs="仿宋_GB2312"/>
          <w:b w:val="0"/>
          <w:bCs w:val="0"/>
          <w:caps w:val="0"/>
          <w:smallCaps w:val="0"/>
          <w:color w:val="auto"/>
          <w:spacing w:val="0"/>
          <w:lang w:val="en-US" w:eastAsia="zh-CN"/>
        </w:rPr>
        <w:t>双鸭山市</w:t>
      </w:r>
      <w:r>
        <w:rPr>
          <w:rFonts w:hint="default" w:ascii="仿宋_GB2312" w:hAnsi="仿宋_GB2312" w:eastAsia="仿宋_GB2312" w:cs="仿宋_GB2312"/>
          <w:b w:val="0"/>
          <w:bCs w:val="0"/>
          <w:caps w:val="0"/>
          <w:smallCaps w:val="0"/>
          <w:color w:val="auto"/>
          <w:spacing w:val="0"/>
          <w:lang w:val="en-US" w:eastAsia="zh-CN"/>
        </w:rPr>
        <w:t>资源化利用厂。不可资源化的部分进入生活垃圾卫生</w:t>
      </w:r>
      <w:r>
        <w:rPr>
          <w:rFonts w:hint="eastAsia" w:ascii="仿宋_GB2312" w:hAnsi="仿宋_GB2312" w:eastAsia="仿宋_GB2312" w:cs="仿宋_GB2312"/>
          <w:b w:val="0"/>
          <w:bCs w:val="0"/>
          <w:caps w:val="0"/>
          <w:smallCaps w:val="0"/>
          <w:color w:val="auto"/>
          <w:spacing w:val="0"/>
          <w:lang w:val="en-US" w:eastAsia="zh-CN"/>
        </w:rPr>
        <w:t>消纳场</w:t>
      </w:r>
      <w:r>
        <w:rPr>
          <w:rFonts w:hint="default" w:ascii="仿宋_GB2312" w:hAnsi="仿宋_GB2312" w:eastAsia="仿宋_GB2312" w:cs="仿宋_GB2312"/>
          <w:b w:val="0"/>
          <w:bCs w:val="0"/>
          <w:caps w:val="0"/>
          <w:smallCaps w:val="0"/>
          <w:color w:val="auto"/>
          <w:spacing w:val="0"/>
          <w:lang w:val="en-US" w:eastAsia="zh-CN"/>
        </w:rPr>
        <w:t>。</w:t>
      </w:r>
    </w:p>
    <w:p w14:paraId="3B05F762">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86" w:name="_Toc10176"/>
      <w:r>
        <w:rPr>
          <w:rFonts w:hint="eastAsia" w:ascii="楷体_GB2312" w:hAnsi="楷体_GB2312" w:eastAsia="楷体_GB2312" w:cs="楷体_GB2312"/>
          <w:b w:val="0"/>
          <w:bCs w:val="0"/>
          <w:caps w:val="0"/>
          <w:smallCaps w:val="0"/>
          <w:color w:val="auto"/>
          <w:spacing w:val="0"/>
          <w:sz w:val="32"/>
          <w:szCs w:val="28"/>
          <w:lang w:val="en-US" w:eastAsia="zh-CN"/>
        </w:rPr>
        <w:t>4．</w:t>
      </w:r>
      <w:r>
        <w:rPr>
          <w:rFonts w:hint="default" w:ascii="楷体_GB2312" w:hAnsi="楷体_GB2312" w:eastAsia="楷体_GB2312" w:cs="楷体_GB2312"/>
          <w:b w:val="0"/>
          <w:bCs w:val="0"/>
          <w:caps w:val="0"/>
          <w:smallCaps w:val="0"/>
          <w:color w:val="auto"/>
          <w:spacing w:val="0"/>
          <w:sz w:val="32"/>
          <w:szCs w:val="28"/>
          <w:lang w:val="en-US" w:eastAsia="zh-CN"/>
        </w:rPr>
        <w:t>拆除垃圾收运</w:t>
      </w:r>
      <w:bookmarkEnd w:id="186"/>
      <w:r>
        <w:rPr>
          <w:rFonts w:hint="eastAsia" w:ascii="楷体_GB2312" w:hAnsi="楷体_GB2312" w:eastAsia="楷体_GB2312" w:cs="楷体_GB2312"/>
          <w:b w:val="0"/>
          <w:bCs w:val="0"/>
          <w:caps w:val="0"/>
          <w:smallCaps w:val="0"/>
          <w:color w:val="auto"/>
          <w:spacing w:val="0"/>
          <w:sz w:val="32"/>
          <w:szCs w:val="28"/>
          <w:lang w:val="en-US" w:eastAsia="zh-CN"/>
        </w:rPr>
        <w:t>模式</w:t>
      </w:r>
    </w:p>
    <w:p w14:paraId="11D03664">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收集：在拆除工作开展前，要在拆除现场周边设置围挡，防止拆除垃圾扩散。拆除过程中，及时将产生的砖瓦、混凝土块等垃圾集中收集到指定区域。对于一些含有有害物质（如旧保温材料中的石棉等）的拆除垃圾，要进行特殊标记和单独收集。</w:t>
      </w:r>
    </w:p>
    <w:p w14:paraId="39C6B6E2">
      <w:pPr>
        <w:pStyle w:val="40"/>
        <w:bidi w:val="0"/>
        <w:rPr>
          <w:rFonts w:hint="default" w:ascii="仿宋_GB2312" w:hAnsi="仿宋_GB2312" w:eastAsia="仿宋_GB2312" w:cs="仿宋_GB2312"/>
          <w:color w:val="auto"/>
          <w:spacing w:val="0"/>
          <w:kern w:val="2"/>
          <w:sz w:val="32"/>
          <w:szCs w:val="32"/>
          <w:highlight w:val="none"/>
          <w:lang w:val="en-US" w:eastAsia="zh-CN" w:bidi="ar-SA"/>
        </w:rPr>
      </w:pPr>
      <w:r>
        <w:rPr>
          <w:rFonts w:hint="default" w:ascii="仿宋_GB2312" w:hAnsi="仿宋_GB2312" w:eastAsia="仿宋_GB2312" w:cs="仿宋_GB2312"/>
          <w:color w:val="auto"/>
          <w:spacing w:val="0"/>
          <w:kern w:val="2"/>
          <w:sz w:val="32"/>
          <w:szCs w:val="32"/>
          <w:highlight w:val="none"/>
          <w:lang w:val="en-US" w:eastAsia="zh-CN" w:bidi="ar-SA"/>
        </w:rPr>
        <w:t>装载：根据拆除垃圾的类型和数量，选择合适的装载工具和车辆。对于大块的混凝土结构等，可能需要使用重型起重机或破碎设备先进行破碎处理，以便于装载。</w:t>
      </w:r>
    </w:p>
    <w:p w14:paraId="3285749F">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color w:val="auto"/>
          <w:spacing w:val="0"/>
          <w:kern w:val="2"/>
          <w:sz w:val="32"/>
          <w:szCs w:val="32"/>
          <w:highlight w:val="none"/>
          <w:lang w:val="en-US" w:eastAsia="zh-CN" w:bidi="ar-SA"/>
        </w:rPr>
        <w:t>运输：运输车辆要严格遵守交通规则和环保要求。由于拆除垃圾体积和重量较大，运输过程中更要注意车辆的稳定性和安全性。同时，要避免对城市</w:t>
      </w:r>
      <w:r>
        <w:rPr>
          <w:rFonts w:hint="default" w:ascii="仿宋_GB2312" w:hAnsi="仿宋_GB2312" w:eastAsia="仿宋_GB2312" w:cs="仿宋_GB2312"/>
          <w:b w:val="0"/>
          <w:bCs w:val="0"/>
          <w:caps w:val="0"/>
          <w:smallCaps w:val="0"/>
          <w:color w:val="auto"/>
          <w:spacing w:val="0"/>
          <w:lang w:val="en-US" w:eastAsia="zh-CN"/>
        </w:rPr>
        <w:t>道路造成损坏，如超重行驶等情况。</w:t>
      </w:r>
    </w:p>
    <w:p w14:paraId="054FD70B">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处理：做好与收运工作的衔接，可进入调配场。与装修垃圾成分相近的拆除垃圾</w:t>
      </w:r>
      <w:r>
        <w:rPr>
          <w:rFonts w:hint="eastAsia" w:ascii="仿宋_GB2312" w:hAnsi="仿宋_GB2312" w:eastAsia="仿宋_GB2312" w:cs="仿宋_GB2312"/>
          <w:b w:val="0"/>
          <w:bCs w:val="0"/>
          <w:caps w:val="0"/>
          <w:smallCaps w:val="0"/>
          <w:color w:val="auto"/>
          <w:spacing w:val="0"/>
          <w:lang w:val="en-US" w:eastAsia="zh-CN"/>
        </w:rPr>
        <w:t>远期经协调，规划</w:t>
      </w:r>
      <w:r>
        <w:rPr>
          <w:rFonts w:hint="default" w:ascii="仿宋_GB2312" w:hAnsi="仿宋_GB2312" w:eastAsia="仿宋_GB2312" w:cs="仿宋_GB2312"/>
          <w:b w:val="0"/>
          <w:bCs w:val="0"/>
          <w:caps w:val="0"/>
          <w:smallCaps w:val="0"/>
          <w:color w:val="auto"/>
          <w:spacing w:val="0"/>
          <w:lang w:val="en-US" w:eastAsia="zh-CN"/>
        </w:rPr>
        <w:t>进入</w:t>
      </w:r>
      <w:r>
        <w:rPr>
          <w:rFonts w:hint="eastAsia" w:ascii="仿宋_GB2312" w:hAnsi="仿宋_GB2312" w:eastAsia="仿宋_GB2312" w:cs="仿宋_GB2312"/>
          <w:b w:val="0"/>
          <w:bCs w:val="0"/>
          <w:caps w:val="0"/>
          <w:smallCaps w:val="0"/>
          <w:color w:val="auto"/>
          <w:spacing w:val="0"/>
          <w:lang w:val="en-US" w:eastAsia="zh-CN"/>
        </w:rPr>
        <w:t>双鸭山市</w:t>
      </w:r>
      <w:r>
        <w:rPr>
          <w:rFonts w:hint="default" w:ascii="仿宋_GB2312" w:hAnsi="仿宋_GB2312" w:eastAsia="仿宋_GB2312" w:cs="仿宋_GB2312"/>
          <w:b w:val="0"/>
          <w:bCs w:val="0"/>
          <w:caps w:val="0"/>
          <w:smallCaps w:val="0"/>
          <w:color w:val="auto"/>
          <w:spacing w:val="0"/>
          <w:lang w:val="en-US" w:eastAsia="zh-CN"/>
        </w:rPr>
        <w:t>资源化利用厂。不可资源化的部分进入生活垃圾卫生</w:t>
      </w:r>
      <w:r>
        <w:rPr>
          <w:rFonts w:hint="eastAsia" w:ascii="仿宋_GB2312" w:hAnsi="仿宋_GB2312" w:eastAsia="仿宋_GB2312" w:cs="仿宋_GB2312"/>
          <w:b w:val="0"/>
          <w:bCs w:val="0"/>
          <w:caps w:val="0"/>
          <w:smallCaps w:val="0"/>
          <w:color w:val="auto"/>
          <w:spacing w:val="0"/>
          <w:lang w:val="en-US" w:eastAsia="zh-CN"/>
        </w:rPr>
        <w:t>消纳场</w:t>
      </w:r>
      <w:r>
        <w:rPr>
          <w:rFonts w:hint="default" w:ascii="仿宋_GB2312" w:hAnsi="仿宋_GB2312" w:eastAsia="仿宋_GB2312" w:cs="仿宋_GB2312"/>
          <w:b w:val="0"/>
          <w:bCs w:val="0"/>
          <w:caps w:val="0"/>
          <w:smallCaps w:val="0"/>
          <w:color w:val="auto"/>
          <w:spacing w:val="0"/>
          <w:lang w:val="en-US" w:eastAsia="zh-CN"/>
        </w:rPr>
        <w:t>。</w:t>
      </w:r>
    </w:p>
    <w:p w14:paraId="2722EE3C">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187" w:name="_Toc26109"/>
      <w:r>
        <w:rPr>
          <w:rFonts w:hint="eastAsia" w:ascii="楷体_GB2312" w:hAnsi="楷体_GB2312" w:eastAsia="楷体_GB2312" w:cs="楷体_GB2312"/>
          <w:b w:val="0"/>
          <w:bCs w:val="0"/>
          <w:caps w:val="0"/>
          <w:smallCaps w:val="0"/>
          <w:color w:val="auto"/>
          <w:spacing w:val="0"/>
          <w:sz w:val="32"/>
          <w:szCs w:val="28"/>
          <w:lang w:val="en-US" w:eastAsia="zh-CN"/>
        </w:rPr>
        <w:t>5．</w:t>
      </w:r>
      <w:r>
        <w:rPr>
          <w:rFonts w:hint="default" w:ascii="楷体_GB2312" w:hAnsi="楷体_GB2312" w:eastAsia="楷体_GB2312" w:cs="楷体_GB2312"/>
          <w:b w:val="0"/>
          <w:bCs w:val="0"/>
          <w:caps w:val="0"/>
          <w:smallCaps w:val="0"/>
          <w:color w:val="auto"/>
          <w:spacing w:val="0"/>
          <w:sz w:val="32"/>
          <w:szCs w:val="28"/>
          <w:lang w:val="en-US" w:eastAsia="zh-CN"/>
        </w:rPr>
        <w:t>装修垃圾收运</w:t>
      </w:r>
      <w:bookmarkEnd w:id="187"/>
      <w:r>
        <w:rPr>
          <w:rFonts w:hint="eastAsia" w:ascii="楷体_GB2312" w:hAnsi="楷体_GB2312" w:eastAsia="楷体_GB2312" w:cs="楷体_GB2312"/>
          <w:b w:val="0"/>
          <w:bCs w:val="0"/>
          <w:caps w:val="0"/>
          <w:smallCaps w:val="0"/>
          <w:color w:val="auto"/>
          <w:spacing w:val="0"/>
          <w:sz w:val="32"/>
          <w:szCs w:val="28"/>
          <w:lang w:val="en-US" w:eastAsia="zh-CN"/>
        </w:rPr>
        <w:t>模式</w:t>
      </w:r>
    </w:p>
    <w:p w14:paraId="38B3E198">
      <w:pPr>
        <w:pStyle w:val="40"/>
        <w:bidi w:val="0"/>
        <w:rPr>
          <w:rFonts w:hint="default" w:ascii="仿宋_GB2312" w:hAnsi="仿宋_GB2312" w:eastAsia="仿宋_GB2312" w:cs="仿宋_GB2312"/>
          <w:color w:val="auto"/>
          <w:spacing w:val="0"/>
          <w:kern w:val="2"/>
          <w:sz w:val="32"/>
          <w:szCs w:val="32"/>
          <w:highlight w:val="none"/>
          <w:lang w:val="en-US" w:eastAsia="zh-CN" w:bidi="ar-SA"/>
        </w:rPr>
      </w:pPr>
      <w:r>
        <w:rPr>
          <w:rFonts w:hint="default" w:ascii="仿宋_GB2312" w:hAnsi="仿宋_GB2312" w:eastAsia="仿宋_GB2312" w:cs="仿宋_GB2312"/>
          <w:b w:val="0"/>
          <w:bCs w:val="0"/>
          <w:caps w:val="0"/>
          <w:smallCaps w:val="0"/>
          <w:color w:val="auto"/>
          <w:spacing w:val="0"/>
          <w:lang w:val="en-US" w:eastAsia="zh-CN"/>
        </w:rPr>
        <w:t>收集：在装修现场，装修人员将产生的装修垃圾（如废弃的瓷砖、木板、涂料桶等）分类放置到不同的垃圾袋或容器中。装修公司或业主应在小区指定的位置堆放装修垃圾，避免随意丢弃在楼道、公共</w:t>
      </w:r>
      <w:r>
        <w:rPr>
          <w:rFonts w:hint="default" w:ascii="仿宋_GB2312" w:hAnsi="仿宋_GB2312" w:eastAsia="仿宋_GB2312" w:cs="仿宋_GB2312"/>
          <w:color w:val="auto"/>
          <w:spacing w:val="0"/>
          <w:kern w:val="2"/>
          <w:sz w:val="32"/>
          <w:szCs w:val="32"/>
          <w:highlight w:val="none"/>
          <w:lang w:val="en-US" w:eastAsia="zh-CN" w:bidi="ar-SA"/>
        </w:rPr>
        <w:t>区域等。</w:t>
      </w:r>
    </w:p>
    <w:p w14:paraId="214D3248">
      <w:pPr>
        <w:pStyle w:val="40"/>
        <w:bidi w:val="0"/>
        <w:rPr>
          <w:rFonts w:hint="default" w:ascii="仿宋_GB2312" w:hAnsi="仿宋_GB2312" w:eastAsia="仿宋_GB2312" w:cs="仿宋_GB2312"/>
          <w:color w:val="auto"/>
          <w:spacing w:val="0"/>
          <w:kern w:val="2"/>
          <w:sz w:val="32"/>
          <w:szCs w:val="32"/>
          <w:highlight w:val="none"/>
          <w:lang w:val="en-US" w:eastAsia="zh-CN" w:bidi="ar-SA"/>
        </w:rPr>
      </w:pPr>
      <w:r>
        <w:rPr>
          <w:rFonts w:hint="default" w:ascii="仿宋_GB2312" w:hAnsi="仿宋_GB2312" w:eastAsia="仿宋_GB2312" w:cs="仿宋_GB2312"/>
          <w:color w:val="auto"/>
          <w:spacing w:val="0"/>
          <w:kern w:val="2"/>
          <w:sz w:val="32"/>
          <w:szCs w:val="32"/>
          <w:highlight w:val="none"/>
          <w:lang w:val="en-US" w:eastAsia="zh-CN" w:bidi="ar-SA"/>
        </w:rPr>
        <w:t>预约运输：如果是通过专业清运企业收运，业主或装修公司需要提前向清运企业预约收运时间。清运企业根据垃圾量安排合适的车辆和人员。</w:t>
      </w:r>
    </w:p>
    <w:p w14:paraId="73112434">
      <w:pPr>
        <w:pStyle w:val="40"/>
        <w:bidi w:val="0"/>
        <w:rPr>
          <w:rFonts w:hint="default" w:ascii="仿宋_GB2312" w:hAnsi="仿宋_GB2312" w:eastAsia="仿宋_GB2312" w:cs="仿宋_GB2312"/>
          <w:caps w:val="0"/>
          <w:smallCaps w:val="0"/>
          <w:color w:val="auto"/>
          <w:spacing w:val="0"/>
          <w:lang w:val="en-US" w:eastAsia="zh-CN"/>
        </w:rPr>
      </w:pPr>
      <w:r>
        <w:rPr>
          <w:rFonts w:hint="default" w:ascii="仿宋_GB2312" w:hAnsi="仿宋_GB2312" w:eastAsia="仿宋_GB2312" w:cs="仿宋_GB2312"/>
          <w:color w:val="auto"/>
          <w:spacing w:val="0"/>
          <w:kern w:val="2"/>
          <w:sz w:val="32"/>
          <w:szCs w:val="32"/>
          <w:highlight w:val="none"/>
          <w:lang w:val="en-US" w:eastAsia="zh-CN" w:bidi="ar-SA"/>
        </w:rPr>
        <w:t>运输：运输车辆将装修垃圾运往指定的装修垃圾</w:t>
      </w:r>
      <w:r>
        <w:rPr>
          <w:rFonts w:hint="eastAsia" w:ascii="仿宋_GB2312" w:hAnsi="仿宋_GB2312" w:eastAsia="仿宋_GB2312" w:cs="仿宋_GB2312"/>
          <w:color w:val="auto"/>
          <w:spacing w:val="0"/>
          <w:kern w:val="2"/>
          <w:sz w:val="32"/>
          <w:szCs w:val="32"/>
          <w:highlight w:val="none"/>
          <w:lang w:val="en-US" w:eastAsia="zh-CN" w:bidi="ar-SA"/>
        </w:rPr>
        <w:t>处理厂</w:t>
      </w:r>
      <w:r>
        <w:rPr>
          <w:rFonts w:hint="default" w:ascii="仿宋_GB2312" w:hAnsi="仿宋_GB2312" w:eastAsia="仿宋_GB2312" w:cs="仿宋_GB2312"/>
          <w:color w:val="auto"/>
          <w:spacing w:val="0"/>
          <w:kern w:val="2"/>
          <w:sz w:val="32"/>
          <w:szCs w:val="32"/>
          <w:highlight w:val="none"/>
          <w:lang w:val="en-US" w:eastAsia="zh-CN" w:bidi="ar-SA"/>
        </w:rPr>
        <w:t>。这些处理场会对装修垃圾进行分类筛选，如将可回收的木材、金属等材料分离出来</w:t>
      </w:r>
      <w:r>
        <w:rPr>
          <w:rFonts w:hint="default" w:ascii="仿宋_GB2312" w:hAnsi="仿宋_GB2312" w:eastAsia="仿宋_GB2312" w:cs="仿宋_GB2312"/>
          <w:caps w:val="0"/>
          <w:smallCaps w:val="0"/>
          <w:color w:val="auto"/>
          <w:spacing w:val="0"/>
          <w:lang w:val="en-US" w:eastAsia="zh-CN"/>
        </w:rPr>
        <w:t>进行回收，不可回收的部分进行适当的填埋或其他处理方式。</w:t>
      </w:r>
    </w:p>
    <w:p w14:paraId="56071E6A">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caps w:val="0"/>
          <w:smallCaps w:val="0"/>
          <w:color w:val="auto"/>
          <w:spacing w:val="0"/>
          <w:lang w:val="en-US" w:eastAsia="zh-CN"/>
        </w:rPr>
        <w:t>记录：整个收运过程中</w:t>
      </w:r>
      <w:r>
        <w:rPr>
          <w:rFonts w:hint="default" w:ascii="仿宋_GB2312" w:hAnsi="仿宋_GB2312" w:eastAsia="仿宋_GB2312" w:cs="仿宋_GB2312"/>
          <w:b w:val="0"/>
          <w:bCs w:val="0"/>
          <w:caps w:val="0"/>
          <w:smallCaps w:val="0"/>
          <w:color w:val="auto"/>
          <w:spacing w:val="0"/>
          <w:lang w:val="en-US" w:eastAsia="zh-CN"/>
        </w:rPr>
        <w:t>，要做好相关记录，包括装修垃圾的来源、种类、数量、运输路线和处理去向等信息，以便监管和追溯。</w:t>
      </w:r>
    </w:p>
    <w:p w14:paraId="2382C9E0">
      <w:pPr>
        <w:pStyle w:val="40"/>
        <w:bidi w:val="0"/>
        <w:rPr>
          <w:rFonts w:hint="default" w:ascii="黑体" w:hAnsi="黑体" w:eastAsia="黑体" w:cs="黑体"/>
          <w:b w:val="0"/>
          <w:bCs w:val="0"/>
          <w:caps w:val="0"/>
          <w:smallCaps w:val="0"/>
          <w:color w:val="auto"/>
          <w:spacing w:val="0"/>
          <w:lang w:val="en-US" w:eastAsia="zh-CN"/>
        </w:rPr>
      </w:pPr>
      <w:bookmarkStart w:id="188" w:name="_Toc23299"/>
      <w:bookmarkStart w:id="189" w:name="_Toc6693"/>
      <w:bookmarkStart w:id="190" w:name="_Toc22557"/>
      <w:bookmarkStart w:id="191" w:name="_Toc13595"/>
      <w:bookmarkStart w:id="192" w:name="_Toc14823"/>
      <w:bookmarkStart w:id="193" w:name="_Toc6299"/>
      <w:r>
        <w:rPr>
          <w:rFonts w:hint="eastAsia" w:ascii="黑体" w:hAnsi="黑体" w:eastAsia="黑体" w:cs="黑体"/>
          <w:b w:val="0"/>
          <w:bCs w:val="0"/>
          <w:caps w:val="0"/>
          <w:smallCaps w:val="0"/>
          <w:color w:val="auto"/>
          <w:spacing w:val="0"/>
          <w:lang w:val="en-US" w:eastAsia="zh-CN"/>
        </w:rPr>
        <w:t>三、</w:t>
      </w:r>
      <w:r>
        <w:rPr>
          <w:rFonts w:hint="default" w:ascii="黑体" w:hAnsi="黑体" w:eastAsia="黑体" w:cs="黑体"/>
          <w:b w:val="0"/>
          <w:bCs w:val="0"/>
          <w:caps w:val="0"/>
          <w:smallCaps w:val="0"/>
          <w:color w:val="auto"/>
          <w:spacing w:val="0"/>
          <w:lang w:val="en-US" w:eastAsia="zh-CN"/>
        </w:rPr>
        <w:t>收运要求</w:t>
      </w:r>
      <w:bookmarkEnd w:id="188"/>
      <w:bookmarkEnd w:id="189"/>
      <w:bookmarkEnd w:id="190"/>
      <w:bookmarkEnd w:id="191"/>
      <w:bookmarkEnd w:id="192"/>
      <w:bookmarkEnd w:id="193"/>
    </w:p>
    <w:p w14:paraId="495498F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根据</w:t>
      </w:r>
      <w:r>
        <w:rPr>
          <w:rFonts w:hint="eastAsia" w:ascii="仿宋_GB2312" w:hAnsi="仿宋_GB2312" w:eastAsia="仿宋_GB2312" w:cs="仿宋_GB2312"/>
          <w:b w:val="0"/>
          <w:bCs w:val="0"/>
          <w:caps w:val="0"/>
          <w:smallCaps w:val="0"/>
          <w:color w:val="auto"/>
          <w:spacing w:val="0"/>
        </w:rPr>
        <w:t>《中华人民共和国固体废物污染环境防治法》（2020年二次修订）</w:t>
      </w:r>
      <w:r>
        <w:rPr>
          <w:rFonts w:hint="eastAsia" w:ascii="仿宋_GB2312" w:hAnsi="仿宋_GB2312" w:eastAsia="仿宋_GB2312" w:cs="仿宋_GB2312"/>
          <w:b w:val="0"/>
          <w:bCs w:val="0"/>
          <w:caps w:val="0"/>
          <w:smallCaps w:val="0"/>
          <w:color w:val="auto"/>
          <w:spacing w:val="0"/>
          <w:lang w:val="en-US" w:eastAsia="zh-CN"/>
        </w:rPr>
        <w:t>六十二条，县级以上地方人民政府环境卫生主管部门负责建筑垃圾污染环境防治工作，建立建筑垃圾全过程管理制度，规范建筑垃圾产生、收集、贮存、运输、利用、处置行为，推进综合利用，加强建筑垃圾处置设施、场所建设，保障处置安全，防止污染环境。</w:t>
      </w:r>
    </w:p>
    <w:p w14:paraId="7D7AAAC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根据《城市建筑垃圾管理规定》十一条、十四条，建筑垃圾相关收运要求如下：</w:t>
      </w:r>
    </w:p>
    <w:p w14:paraId="43DD3FA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装修房屋过程中产生的建筑垃圾与生活垃圾分别收集，并堆放到指定地点。</w:t>
      </w:r>
    </w:p>
    <w:p w14:paraId="2449415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处置建筑垃圾的单位在运输建筑垃圾时，应当随车携带建筑垃圾处置核准文件，按照城市人民政府有关部门规定的运输路线、时间运行，不得丢弃、遗撒建筑垃圾，不得超出核准范围承运建筑垃圾。</w:t>
      </w:r>
    </w:p>
    <w:p w14:paraId="44E2D3D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建筑垃圾收运要求相关技术内容应符合国家现行标准《生活垃圾处理处置工程项目规范》GB 55012、《建筑废弃物再生工厂设计标准》GB 51322、《建筑垃圾处理技术标准》（CJJT 134-2019）等的规定。</w:t>
      </w:r>
    </w:p>
    <w:p w14:paraId="192889A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工程渣土宜实施分类运输，并应符合下列规定：</w:t>
      </w:r>
    </w:p>
    <w:p w14:paraId="78B67C0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表层土不宜和其他土类、拆除垃圾混合；</w:t>
      </w:r>
    </w:p>
    <w:p w14:paraId="1563992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可用作建筑原材料的粉砂（土）、砂土以及卵（砾）石、岩石等，宜分类收集；</w:t>
      </w:r>
    </w:p>
    <w:p w14:paraId="79C98CC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宜结合工程渣土的性能、资源化利用、市场需求制定分类收集方案；</w:t>
      </w:r>
    </w:p>
    <w:p w14:paraId="4056E1D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根据实际条件，工程渣土可就地堆放或直接外运；</w:t>
      </w:r>
    </w:p>
    <w:p w14:paraId="2A3159E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工程渣土就地堆放宜采取有效的风险管控措施，以免因过量堆放造成环境和安全隐患。</w:t>
      </w:r>
    </w:p>
    <w:p w14:paraId="25506B0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工程泥浆的收集应符合下列规定：</w:t>
      </w:r>
    </w:p>
    <w:p w14:paraId="7266DF1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收集应做到减量化、稳定化、无害化；</w:t>
      </w:r>
    </w:p>
    <w:p w14:paraId="76BE24A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应因地制宜合理制定收集方案；</w:t>
      </w:r>
    </w:p>
    <w:p w14:paraId="4645DAC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现场设置工程泥浆暂存设施时，设施不应漏水；</w:t>
      </w:r>
    </w:p>
    <w:p w14:paraId="548E8AF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工程垃圾应实施分类收集，并应符合下列规定：</w:t>
      </w:r>
    </w:p>
    <w:p w14:paraId="41C39A2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施工现场内应设置用于工程垃圾初次分拣的专用场地；</w:t>
      </w:r>
    </w:p>
    <w:p w14:paraId="20D3C61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应及时将工程垃圾收集至收集箱或存放池存放；</w:t>
      </w:r>
    </w:p>
    <w:p w14:paraId="5576AE5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工程垃圾存放区应设置有效隔挡设施，并应设置防扬尘设施。</w:t>
      </w:r>
    </w:p>
    <w:p w14:paraId="37B3F93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工程垃圾存放区堆体堆放要满足《建筑垃圾处理技术标准》（CJJT 134-2019）中关于建筑垃圾堆放的要求。</w:t>
      </w:r>
    </w:p>
    <w:p w14:paraId="010EA0B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拆除垃圾应实施分类收集，且不得与生活垃圾混杂，并应符合下列规定：</w:t>
      </w:r>
    </w:p>
    <w:p w14:paraId="1E2DD7A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建（构）筑物拆除前应清除、腾空内部可移动设施、设备、家具及废弃杂物等；</w:t>
      </w:r>
    </w:p>
    <w:p w14:paraId="264AABE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zh-CN" w:eastAsia="zh-CN"/>
        </w:rPr>
        <w:t>可分类拆除、分类堆放，附属构件（门、窗等）可先于主体结构拆除；</w:t>
      </w:r>
    </w:p>
    <w:p w14:paraId="185F78E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zh-CN" w:eastAsia="zh-CN"/>
        </w:rPr>
        <w:t>拆除的混凝土梁、柱、楼板构件或其他预制件可统一收集；</w:t>
      </w:r>
    </w:p>
    <w:p w14:paraId="5C2C002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zh-CN" w:eastAsia="zh-CN"/>
        </w:rPr>
        <w:t>砖瓦应分类堆放，完整的砖瓦可直接再利用；</w:t>
      </w:r>
    </w:p>
    <w:p w14:paraId="5A7E1AB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zh-CN" w:eastAsia="zh-CN"/>
        </w:rPr>
        <w:t>应在拆除现场进行初次分拣，可采用机械辅助人工将金属、混凝土、砖分离。</w:t>
      </w:r>
    </w:p>
    <w:p w14:paraId="3A7B9B0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装修垃圾应实施分类收集，且不得与生活垃圾混杂，并应符合下列规定：</w:t>
      </w:r>
    </w:p>
    <w:p w14:paraId="774967D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装修垃圾应采用袋装收集；</w:t>
      </w:r>
    </w:p>
    <w:p w14:paraId="6B65AB0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混凝土砂浆等拌合物，废砖瓦、废陶瓷等无机物应避免与有机杂物、金属等混杂；</w:t>
      </w:r>
    </w:p>
    <w:p w14:paraId="4A7DB38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住宅小区内的装修垃圾应固定收集于装修垃圾堆放点；</w:t>
      </w:r>
    </w:p>
    <w:p w14:paraId="45F05EB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不具备条件时，应明确告知小区居民预约服务电话；</w:t>
      </w:r>
    </w:p>
    <w:p w14:paraId="7D80CB9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非住宅装修工程，装修垃圾应分类、集中堆放；</w:t>
      </w:r>
    </w:p>
    <w:p w14:paraId="77BC991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处置企业应及时转运装修垃圾，以免因过量堆放造成环境和安全隐患。</w:t>
      </w:r>
    </w:p>
    <w:p w14:paraId="674159C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建筑垃圾运输应符合下列规定：</w:t>
      </w:r>
    </w:p>
    <w:p w14:paraId="5011BE9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拆除垃圾、工程垃圾、工程渣土宜采用载质量大于10t的专用运输车，装修垃圾宜采用载质量5t～15t的专用运输车，工程泥浆运输宜采用封闭式罐车；</w:t>
      </w:r>
    </w:p>
    <w:p w14:paraId="681ED24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易产生扬尘污染的建筑垃圾应采用封闭式货车运输；</w:t>
      </w:r>
    </w:p>
    <w:p w14:paraId="21C3CAA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运输车辆、船舶应配备和使用定位系统，可采用 GPS（全球定位系统）、北斗导航等技术。宜建立监控信息系统管控运输车辆。</w:t>
      </w:r>
    </w:p>
    <w:p w14:paraId="7351883B">
      <w:pPr>
        <w:pStyle w:val="40"/>
        <w:bidi w:val="0"/>
        <w:rPr>
          <w:rFonts w:hint="default" w:ascii="黑体" w:hAnsi="黑体" w:eastAsia="黑体" w:cs="黑体"/>
          <w:b w:val="0"/>
          <w:bCs w:val="0"/>
          <w:caps w:val="0"/>
          <w:smallCaps w:val="0"/>
          <w:color w:val="auto"/>
          <w:spacing w:val="0"/>
          <w:lang w:val="en-US" w:eastAsia="zh-CN"/>
        </w:rPr>
      </w:pPr>
      <w:bookmarkStart w:id="194" w:name="_Toc5618"/>
      <w:bookmarkStart w:id="195" w:name="_Toc10452"/>
      <w:bookmarkStart w:id="196" w:name="_Toc1772"/>
      <w:bookmarkStart w:id="197" w:name="_Toc13899"/>
      <w:bookmarkStart w:id="198" w:name="_Toc22589"/>
      <w:bookmarkStart w:id="199" w:name="_Toc12400"/>
      <w:r>
        <w:rPr>
          <w:rFonts w:hint="eastAsia" w:ascii="黑体" w:hAnsi="黑体" w:eastAsia="黑体" w:cs="黑体"/>
          <w:b w:val="0"/>
          <w:bCs w:val="0"/>
          <w:caps w:val="0"/>
          <w:smallCaps w:val="0"/>
          <w:color w:val="auto"/>
          <w:spacing w:val="0"/>
          <w:lang w:val="en-US" w:eastAsia="zh-CN"/>
        </w:rPr>
        <w:t>四、</w:t>
      </w:r>
      <w:r>
        <w:rPr>
          <w:rFonts w:hint="default" w:ascii="黑体" w:hAnsi="黑体" w:eastAsia="黑体" w:cs="黑体"/>
          <w:b w:val="0"/>
          <w:bCs w:val="0"/>
          <w:caps w:val="0"/>
          <w:smallCaps w:val="0"/>
          <w:color w:val="auto"/>
          <w:spacing w:val="0"/>
          <w:lang w:val="en-US" w:eastAsia="zh-CN"/>
        </w:rPr>
        <w:t>收运体系</w:t>
      </w:r>
      <w:bookmarkEnd w:id="194"/>
      <w:bookmarkEnd w:id="195"/>
      <w:bookmarkEnd w:id="196"/>
      <w:bookmarkEnd w:id="197"/>
      <w:bookmarkEnd w:id="198"/>
      <w:bookmarkEnd w:id="199"/>
    </w:p>
    <w:p w14:paraId="732DF420">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rPr>
      </w:pPr>
      <w:bookmarkStart w:id="200" w:name="OLE_LINK8"/>
      <w:r>
        <w:rPr>
          <w:rFonts w:hint="eastAsia" w:ascii="仿宋_GB2312" w:hAnsi="仿宋_GB2312" w:eastAsia="仿宋_GB2312" w:cs="仿宋_GB2312"/>
          <w:b w:val="0"/>
          <w:bCs w:val="0"/>
          <w:caps w:val="0"/>
          <w:smallCaps w:val="0"/>
          <w:color w:val="auto"/>
          <w:spacing w:val="0"/>
          <w:lang w:val="en-US" w:eastAsia="zh-CN"/>
        </w:rPr>
        <w:t>1.集贤县中心城区负责建筑垃圾核准的部门按照相关文件对建筑垃圾分类进行核准，市区（县）负责建筑垃圾收运处置的相关部门监督收集、转运相关工作的合法合规性，并派专人对工程渣土和工程泥浆的暂存区域进行监管，市区（县）负责建筑垃圾生态环境保护监管的相关部门负责监督垃圾收运过程中的环境保护措施落实情况，防止污染环境。</w:t>
      </w:r>
    </w:p>
    <w:bookmarkEnd w:id="200"/>
    <w:p w14:paraId="06568F1D">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2.集贤县中心城区产生的工程渣土、工程泥浆进行源头减量处理，自行暂存、回用、堆填。</w:t>
      </w:r>
    </w:p>
    <w:p w14:paraId="2F72F702">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3.集贤县中心城区产生的可资源化利用的工程垃圾、拆除垃圾转运至集贤县调配场进行简单分拣，分拣出的不可资源化利用的工程垃圾、拆除垃圾进入集贤县建筑垃圾消纳场。分拣出可资源化利用的工程垃圾进行暂时储备，待集贤县开展道路填方、矿山修复、土壤改良等相关建设项目时，进行资源化利用。</w:t>
      </w:r>
    </w:p>
    <w:p w14:paraId="27563942">
      <w:pPr>
        <w:pStyle w:val="40"/>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4.集贤县中心城区产生的装修垃圾进入调配场，远期可资源化利用的装修垃圾运送至双鸭山市资源化利用厂，其余不可资源化利用的装修垃圾进入集贤县建筑垃圾消纳场。</w:t>
      </w:r>
    </w:p>
    <w:p w14:paraId="63C15EEB">
      <w:pPr>
        <w:pStyle w:val="40"/>
        <w:bidi w:val="0"/>
        <w:rPr>
          <w:rFonts w:hint="default" w:ascii="黑体" w:hAnsi="黑体" w:eastAsia="黑体" w:cs="黑体"/>
          <w:b w:val="0"/>
          <w:bCs w:val="0"/>
          <w:caps w:val="0"/>
          <w:smallCaps w:val="0"/>
          <w:color w:val="auto"/>
          <w:spacing w:val="0"/>
          <w:lang w:val="en-US" w:eastAsia="zh-CN"/>
        </w:rPr>
      </w:pPr>
      <w:bookmarkStart w:id="201" w:name="_Toc23657"/>
      <w:bookmarkStart w:id="202" w:name="_Toc23479"/>
      <w:bookmarkStart w:id="203" w:name="_Toc10421"/>
      <w:bookmarkStart w:id="204" w:name="_Toc19641"/>
      <w:r>
        <w:rPr>
          <w:rFonts w:hint="eastAsia" w:ascii="黑体" w:hAnsi="黑体" w:eastAsia="黑体" w:cs="黑体"/>
          <w:b w:val="0"/>
          <w:bCs w:val="0"/>
          <w:caps w:val="0"/>
          <w:smallCaps w:val="0"/>
          <w:color w:val="auto"/>
          <w:spacing w:val="0"/>
          <w:lang w:val="en-US" w:eastAsia="zh-CN"/>
        </w:rPr>
        <w:t>五、</w:t>
      </w:r>
      <w:r>
        <w:rPr>
          <w:rFonts w:hint="default" w:ascii="黑体" w:hAnsi="黑体" w:eastAsia="黑体" w:cs="黑体"/>
          <w:b w:val="0"/>
          <w:bCs w:val="0"/>
          <w:caps w:val="0"/>
          <w:smallCaps w:val="0"/>
          <w:color w:val="auto"/>
          <w:spacing w:val="0"/>
          <w:lang w:val="en-US" w:eastAsia="zh-CN"/>
        </w:rPr>
        <w:t>就地利用措施</w:t>
      </w:r>
      <w:bookmarkEnd w:id="201"/>
      <w:bookmarkEnd w:id="202"/>
      <w:bookmarkEnd w:id="203"/>
      <w:bookmarkEnd w:id="204"/>
    </w:p>
    <w:p w14:paraId="24D2A5D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工程渣土就地利用措施：对于土质较好的工程渣土，可以用于土地复垦、园林绿化等项目；可以作为填方材料用于道路建设、场地平整等工程；通过土壤改良技术，将工程渣土转化为适合种植的土壤，用于农业生产或生态修复。</w:t>
      </w:r>
    </w:p>
    <w:p w14:paraId="073695F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工程泥浆就地利用措施：经过固化处理后的泥浆可以制成泥饼，用于填方、筑路等工程。对于一些水质较好的泥浆，可以进行泥水分离，分离后的水经过处理后可以循环利用于工程施工中。探索利用工程泥浆进行生态修复的方法，如用于湿地建设等项目。</w:t>
      </w:r>
    </w:p>
    <w:p w14:paraId="3B2AB95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工程垃圾就地利用措施：金属材料可以回收后送钢铁厂进行再加工；木材可以进行破碎处理，用于制作生物质燃料或人造板材；混凝土块等可以经过破碎、筛分等处理后，作为再生骨料用于道路基层、填方等工程；对于一些可再利用的建筑构配件，如门窗、管道等，可以进行拆卸和整理，在其他工程项目中进行二次利用。</w:t>
      </w:r>
    </w:p>
    <w:p w14:paraId="1DF81F63">
      <w:pPr>
        <w:pStyle w:val="40"/>
        <w:bidi w:val="0"/>
        <w:rPr>
          <w:rFonts w:hint="eastAsia" w:ascii="仿宋_GB2312" w:hAnsi="仿宋_GB2312" w:eastAsia="仿宋_GB2312" w:cs="仿宋_GB2312"/>
          <w:b w:val="0"/>
          <w:bCs w:val="0"/>
          <w:caps w:val="0"/>
          <w:smallCaps w:val="0"/>
          <w:color w:val="auto"/>
          <w:spacing w:val="0"/>
          <w:lang w:val="en-US" w:eastAsia="zh-CN"/>
        </w:rPr>
      </w:pPr>
      <w:bookmarkStart w:id="205" w:name="_Toc28107"/>
      <w:r>
        <w:rPr>
          <w:rFonts w:hint="eastAsia" w:ascii="仿宋_GB2312" w:hAnsi="仿宋_GB2312" w:eastAsia="仿宋_GB2312" w:cs="仿宋_GB2312"/>
          <w:b w:val="0"/>
          <w:bCs w:val="0"/>
          <w:caps w:val="0"/>
          <w:smallCaps w:val="0"/>
          <w:color w:val="auto"/>
          <w:spacing w:val="0"/>
          <w:lang w:val="en-US" w:eastAsia="zh-CN"/>
        </w:rPr>
        <w:t>拆除垃圾就地利用措施：砖瓦等可以用于填坑、铺路等简易工程；混凝土块经过破碎处理后，可作为再生骨料用于道路建设或其他建筑工程；木材可以进行粉碎处理，用于制作生物质燃料或园林覆盖物；对于一些有历史价值的建筑构件，可以进行保护性拆除和保存，用于古建筑修复或文化展示。</w:t>
      </w:r>
    </w:p>
    <w:bookmarkEnd w:id="205"/>
    <w:p w14:paraId="73FFE1B3">
      <w:pPr>
        <w:pStyle w:val="40"/>
        <w:bidi w:val="0"/>
        <w:rPr>
          <w:rFonts w:hint="eastAsia" w:ascii="仿宋_GB2312" w:hAnsi="仿宋_GB2312" w:eastAsia="仿宋_GB2312" w:cs="仿宋_GB2312"/>
          <w:b w:val="0"/>
          <w:bCs w:val="0"/>
          <w:caps w:val="0"/>
          <w:smallCaps w:val="0"/>
          <w:color w:val="auto"/>
          <w:spacing w:val="0"/>
          <w:lang w:val="en-US" w:eastAsia="zh-CN"/>
        </w:rPr>
      </w:pPr>
      <w:bookmarkStart w:id="206" w:name="_Toc31670"/>
      <w:r>
        <w:rPr>
          <w:rFonts w:hint="eastAsia" w:ascii="仿宋_GB2312" w:hAnsi="仿宋_GB2312" w:eastAsia="仿宋_GB2312" w:cs="仿宋_GB2312"/>
          <w:b w:val="0"/>
          <w:bCs w:val="0"/>
          <w:caps w:val="0"/>
          <w:smallCaps w:val="0"/>
          <w:color w:val="auto"/>
          <w:spacing w:val="0"/>
          <w:lang w:val="en-US" w:eastAsia="zh-CN"/>
        </w:rPr>
        <w:t>装修垃圾就地利用措施：可回收的材料如金属、木材等可以进行分类回收，送相关企业进行再加工；瓷砖等陶瓷材料可以进行破碎处理，用于制作透水砖或其他建筑材料；对于一些旧家具等，可以进行捐赠或二手交易，实现资源地再利用。</w:t>
      </w:r>
    </w:p>
    <w:p w14:paraId="4B14BF13">
      <w:pPr>
        <w:pStyle w:val="40"/>
        <w:bidi w:val="0"/>
        <w:rPr>
          <w:rFonts w:hint="default" w:ascii="黑体" w:hAnsi="黑体" w:eastAsia="黑体" w:cs="黑体"/>
          <w:b w:val="0"/>
          <w:bCs w:val="0"/>
          <w:caps w:val="0"/>
          <w:smallCaps w:val="0"/>
          <w:color w:val="auto"/>
          <w:spacing w:val="0"/>
          <w:lang w:val="en-US" w:eastAsia="zh-CN"/>
        </w:rPr>
      </w:pPr>
      <w:bookmarkStart w:id="207" w:name="_Toc22030"/>
      <w:r>
        <w:rPr>
          <w:rFonts w:hint="eastAsia" w:ascii="黑体" w:hAnsi="黑体" w:eastAsia="黑体" w:cs="黑体"/>
          <w:b w:val="0"/>
          <w:bCs w:val="0"/>
          <w:caps w:val="0"/>
          <w:smallCaps w:val="0"/>
          <w:color w:val="auto"/>
          <w:spacing w:val="0"/>
          <w:lang w:val="en-US" w:eastAsia="zh-CN"/>
        </w:rPr>
        <w:t>六、资源化工程垃圾</w:t>
      </w:r>
      <w:r>
        <w:rPr>
          <w:rFonts w:hint="default" w:ascii="黑体" w:hAnsi="黑体" w:eastAsia="黑体" w:cs="黑体"/>
          <w:b w:val="0"/>
          <w:bCs w:val="0"/>
          <w:caps w:val="0"/>
          <w:smallCaps w:val="0"/>
          <w:color w:val="auto"/>
          <w:spacing w:val="0"/>
          <w:lang w:val="en-US" w:eastAsia="zh-CN"/>
        </w:rPr>
        <w:t>利用措施</w:t>
      </w:r>
      <w:bookmarkEnd w:id="207"/>
    </w:p>
    <w:p w14:paraId="1A988FB0">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道路填方材料：在一些道路填方工程中，</w:t>
      </w:r>
      <w:r>
        <w:rPr>
          <w:rFonts w:hint="eastAsia" w:ascii="仿宋_GB2312" w:hAnsi="仿宋_GB2312" w:eastAsia="仿宋_GB2312" w:cs="仿宋_GB2312"/>
          <w:b w:val="0"/>
          <w:bCs w:val="0"/>
          <w:caps w:val="0"/>
          <w:smallCaps w:val="0"/>
          <w:color w:val="auto"/>
          <w:spacing w:val="0"/>
          <w:lang w:val="en-US" w:eastAsia="zh-CN"/>
        </w:rPr>
        <w:t>资源化</w:t>
      </w:r>
      <w:r>
        <w:rPr>
          <w:rFonts w:hint="default" w:ascii="仿宋_GB2312" w:hAnsi="仿宋_GB2312" w:eastAsia="仿宋_GB2312" w:cs="仿宋_GB2312"/>
          <w:b w:val="0"/>
          <w:bCs w:val="0"/>
          <w:caps w:val="0"/>
          <w:smallCaps w:val="0"/>
          <w:color w:val="auto"/>
          <w:spacing w:val="0"/>
          <w:lang w:val="en-US" w:eastAsia="zh-CN"/>
        </w:rPr>
        <w:t>工程垃圾可以作为填方材料使用。将工程垃圾进行适当的破碎和筛分，去除其中的杂质和过大颗粒，使其满足填方材料的粒径和级配要求，然后用于道路填方，可提高填方的稳定性和承载能力。</w:t>
      </w:r>
    </w:p>
    <w:p w14:paraId="0B1A2E7C">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场地填方：在一些土地平整、场地建设等工程中，工程垃圾可以作为填方材料使用。如在城市建设中的低洼地带填方、工业园区场地填方等，可将工程垃圾进行简单处理后，用于填平场地，提高土地利用率。</w:t>
      </w:r>
    </w:p>
    <w:p w14:paraId="34519A0C">
      <w:pPr>
        <w:pStyle w:val="40"/>
        <w:bidi w:val="0"/>
        <w:rPr>
          <w:rFonts w:hint="default"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val="en-US" w:eastAsia="zh-CN"/>
        </w:rPr>
        <w:t>软土地基处理：对于一些软土地基，可采用工程垃圾进行加固处理。将工程垃圾破碎后，按照一定的方式和比例填入软土地基中，通过压实等工艺，提高地基的承载力和稳定性，减少地基沉降。</w:t>
      </w:r>
    </w:p>
    <w:p w14:paraId="516E0F13">
      <w:pPr>
        <w:pStyle w:val="40"/>
        <w:bidi w:val="0"/>
        <w:rPr>
          <w:rFonts w:hint="default"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矿山修复：（1）</w:t>
      </w:r>
      <w:r>
        <w:rPr>
          <w:rFonts w:hint="default" w:ascii="仿宋_GB2312" w:hAnsi="仿宋_GB2312" w:eastAsia="仿宋_GB2312" w:cs="仿宋_GB2312"/>
          <w:b w:val="0"/>
          <w:bCs w:val="0"/>
          <w:caps w:val="0"/>
          <w:smallCaps w:val="0"/>
          <w:color w:val="auto"/>
          <w:spacing w:val="0"/>
          <w:lang w:val="en-US" w:eastAsia="zh-CN"/>
        </w:rPr>
        <w:t>采坑与塌陷区填充</w:t>
      </w:r>
      <w:r>
        <w:rPr>
          <w:rFonts w:hint="eastAsia" w:ascii="仿宋_GB2312" w:hAnsi="仿宋_GB2312" w:eastAsia="仿宋_GB2312" w:cs="仿宋_GB2312"/>
          <w:b w:val="0"/>
          <w:bCs w:val="0"/>
          <w:caps w:val="0"/>
          <w:smallCaps w:val="0"/>
          <w:color w:val="auto"/>
          <w:spacing w:val="0"/>
          <w:lang w:val="en-US" w:eastAsia="zh-CN"/>
        </w:rPr>
        <w:t>。</w:t>
      </w:r>
      <w:r>
        <w:rPr>
          <w:rFonts w:hint="default" w:ascii="仿宋_GB2312" w:hAnsi="仿宋_GB2312" w:eastAsia="仿宋_GB2312" w:cs="仿宋_GB2312"/>
          <w:b w:val="0"/>
          <w:bCs w:val="0"/>
          <w:caps w:val="0"/>
          <w:smallCaps w:val="0"/>
          <w:color w:val="auto"/>
          <w:spacing w:val="0"/>
          <w:lang w:val="en-US" w:eastAsia="zh-CN"/>
        </w:rPr>
        <w:t>将</w:t>
      </w:r>
      <w:r>
        <w:rPr>
          <w:rFonts w:hint="eastAsia" w:ascii="仿宋_GB2312" w:hAnsi="仿宋_GB2312" w:eastAsia="仿宋_GB2312" w:cs="仿宋_GB2312"/>
          <w:b w:val="0"/>
          <w:bCs w:val="0"/>
          <w:caps w:val="0"/>
          <w:smallCaps w:val="0"/>
          <w:color w:val="auto"/>
          <w:spacing w:val="0"/>
          <w:lang w:val="en-US" w:eastAsia="zh-CN"/>
        </w:rPr>
        <w:t>资源化</w:t>
      </w:r>
      <w:r>
        <w:rPr>
          <w:rFonts w:hint="default" w:ascii="仿宋_GB2312" w:hAnsi="仿宋_GB2312" w:eastAsia="仿宋_GB2312" w:cs="仿宋_GB2312"/>
          <w:b w:val="0"/>
          <w:bCs w:val="0"/>
          <w:caps w:val="0"/>
          <w:smallCaps w:val="0"/>
          <w:color w:val="auto"/>
          <w:spacing w:val="0"/>
          <w:lang w:val="en-US" w:eastAsia="zh-CN"/>
        </w:rPr>
        <w:t>工程</w:t>
      </w:r>
      <w:r>
        <w:rPr>
          <w:rFonts w:hint="eastAsia" w:ascii="仿宋_GB2312" w:hAnsi="仿宋_GB2312" w:eastAsia="仿宋_GB2312" w:cs="仿宋_GB2312"/>
          <w:b w:val="0"/>
          <w:bCs w:val="0"/>
          <w:caps w:val="0"/>
          <w:smallCaps w:val="0"/>
          <w:color w:val="auto"/>
          <w:spacing w:val="0"/>
          <w:lang w:val="en-US" w:eastAsia="zh-CN"/>
        </w:rPr>
        <w:t>垃圾</w:t>
      </w:r>
      <w:r>
        <w:rPr>
          <w:rFonts w:hint="default" w:ascii="仿宋_GB2312" w:hAnsi="仿宋_GB2312" w:eastAsia="仿宋_GB2312" w:cs="仿宋_GB2312"/>
          <w:b w:val="0"/>
          <w:bCs w:val="0"/>
          <w:caps w:val="0"/>
          <w:smallCaps w:val="0"/>
          <w:color w:val="auto"/>
          <w:spacing w:val="0"/>
          <w:lang w:val="en-US" w:eastAsia="zh-CN"/>
        </w:rPr>
        <w:t>运输至矿山的采坑、塌陷区等区域，进行分层填充。如湘潭景宏石灰岩矿闭坑矿山修复项目就采用超高水材料采空区开放式填充法，将渣土与水混合制浆后灌入采空区并固结形成填充体，防止地表塌陷等地质灾害。</w:t>
      </w:r>
      <w:r>
        <w:rPr>
          <w:rFonts w:hint="eastAsia" w:ascii="仿宋_GB2312" w:hAnsi="仿宋_GB2312" w:eastAsia="仿宋_GB2312" w:cs="仿宋_GB2312"/>
          <w:b w:val="0"/>
          <w:bCs w:val="0"/>
          <w:caps w:val="0"/>
          <w:smallCaps w:val="0"/>
          <w:color w:val="auto"/>
          <w:spacing w:val="0"/>
          <w:lang w:val="en-US" w:eastAsia="zh-CN"/>
        </w:rPr>
        <w:t>（2）</w:t>
      </w:r>
      <w:r>
        <w:rPr>
          <w:rFonts w:hint="default" w:ascii="仿宋_GB2312" w:hAnsi="仿宋_GB2312" w:eastAsia="仿宋_GB2312" w:cs="仿宋_GB2312"/>
          <w:b w:val="0"/>
          <w:bCs w:val="0"/>
          <w:caps w:val="0"/>
          <w:smallCaps w:val="0"/>
          <w:color w:val="auto"/>
          <w:spacing w:val="0"/>
          <w:lang w:val="en-US" w:eastAsia="zh-CN"/>
        </w:rPr>
        <w:t>堆山与平整场地</w:t>
      </w:r>
      <w:r>
        <w:rPr>
          <w:rFonts w:hint="eastAsia" w:ascii="仿宋_GB2312" w:hAnsi="仿宋_GB2312" w:eastAsia="仿宋_GB2312" w:cs="仿宋_GB2312"/>
          <w:b w:val="0"/>
          <w:bCs w:val="0"/>
          <w:caps w:val="0"/>
          <w:smallCaps w:val="0"/>
          <w:color w:val="auto"/>
          <w:spacing w:val="0"/>
          <w:lang w:val="en-US" w:eastAsia="zh-CN"/>
        </w:rPr>
        <w:t>。</w:t>
      </w:r>
      <w:r>
        <w:rPr>
          <w:rFonts w:hint="default" w:ascii="仿宋_GB2312" w:hAnsi="仿宋_GB2312" w:eastAsia="仿宋_GB2312" w:cs="仿宋_GB2312"/>
          <w:b w:val="0"/>
          <w:bCs w:val="0"/>
          <w:caps w:val="0"/>
          <w:smallCaps w:val="0"/>
          <w:color w:val="auto"/>
          <w:spacing w:val="0"/>
          <w:lang w:val="en-US" w:eastAsia="zh-CN"/>
        </w:rPr>
        <w:t>在一些地势低洼或需要重塑地形的区域，利用</w:t>
      </w:r>
      <w:r>
        <w:rPr>
          <w:rFonts w:hint="eastAsia" w:ascii="仿宋_GB2312" w:hAnsi="仿宋_GB2312" w:eastAsia="仿宋_GB2312" w:cs="仿宋_GB2312"/>
          <w:b w:val="0"/>
          <w:bCs w:val="0"/>
          <w:caps w:val="0"/>
          <w:smallCaps w:val="0"/>
          <w:color w:val="auto"/>
          <w:spacing w:val="0"/>
          <w:lang w:val="en-US" w:eastAsia="zh-CN"/>
        </w:rPr>
        <w:t>资源化</w:t>
      </w:r>
      <w:r>
        <w:rPr>
          <w:rFonts w:hint="default" w:ascii="仿宋_GB2312" w:hAnsi="仿宋_GB2312" w:eastAsia="仿宋_GB2312" w:cs="仿宋_GB2312"/>
          <w:b w:val="0"/>
          <w:bCs w:val="0"/>
          <w:caps w:val="0"/>
          <w:smallCaps w:val="0"/>
          <w:color w:val="auto"/>
          <w:spacing w:val="0"/>
          <w:lang w:val="en-US" w:eastAsia="zh-CN"/>
        </w:rPr>
        <w:t>工程</w:t>
      </w:r>
      <w:r>
        <w:rPr>
          <w:rFonts w:hint="eastAsia" w:ascii="仿宋_GB2312" w:hAnsi="仿宋_GB2312" w:eastAsia="仿宋_GB2312" w:cs="仿宋_GB2312"/>
          <w:b w:val="0"/>
          <w:bCs w:val="0"/>
          <w:caps w:val="0"/>
          <w:smallCaps w:val="0"/>
          <w:color w:val="auto"/>
          <w:spacing w:val="0"/>
          <w:lang w:val="en-US" w:eastAsia="zh-CN"/>
        </w:rPr>
        <w:t>垃圾</w:t>
      </w:r>
      <w:r>
        <w:rPr>
          <w:rFonts w:hint="default" w:ascii="仿宋_GB2312" w:hAnsi="仿宋_GB2312" w:eastAsia="仿宋_GB2312" w:cs="仿宋_GB2312"/>
          <w:b w:val="0"/>
          <w:bCs w:val="0"/>
          <w:caps w:val="0"/>
          <w:smallCaps w:val="0"/>
          <w:color w:val="auto"/>
          <w:spacing w:val="0"/>
          <w:lang w:val="en-US" w:eastAsia="zh-CN"/>
        </w:rPr>
        <w:t>进行堆山处理，形成新的地形地貌。同时，对周边场地进行平整，为后续的修复工作创造条件。在堆山过程中，可设置多级边坡平台，以解决降雨后堆山体易失稳的问题。</w:t>
      </w:r>
    </w:p>
    <w:p w14:paraId="7CB509A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土壤改良：对资源化</w:t>
      </w:r>
      <w:r>
        <w:rPr>
          <w:rFonts w:hint="default" w:ascii="仿宋_GB2312" w:hAnsi="仿宋_GB2312" w:eastAsia="仿宋_GB2312" w:cs="仿宋_GB2312"/>
          <w:b w:val="0"/>
          <w:bCs w:val="0"/>
          <w:caps w:val="0"/>
          <w:smallCaps w:val="0"/>
          <w:color w:val="auto"/>
          <w:spacing w:val="0"/>
          <w:lang w:val="en-US" w:eastAsia="zh-CN"/>
        </w:rPr>
        <w:t>工程</w:t>
      </w:r>
      <w:r>
        <w:rPr>
          <w:rFonts w:hint="eastAsia" w:ascii="仿宋_GB2312" w:hAnsi="仿宋_GB2312" w:eastAsia="仿宋_GB2312" w:cs="仿宋_GB2312"/>
          <w:b w:val="0"/>
          <w:bCs w:val="0"/>
          <w:caps w:val="0"/>
          <w:smallCaps w:val="0"/>
          <w:color w:val="auto"/>
          <w:spacing w:val="0"/>
          <w:lang w:val="en-US" w:eastAsia="zh-CN"/>
        </w:rPr>
        <w:t>垃圾进行筛选，去除其中的杂质、过大颗粒等，根据不同的修复需求，将合适粒径的渣土用于不同的修复区域。还可将工程渣土与其他土壤改良材料如腐殖土、泥炭土等按一定比例混合，改善土壤的物理性质和肥力。</w:t>
      </w:r>
    </w:p>
    <w:p w14:paraId="21A3AFE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植被恢复：用资源化</w:t>
      </w:r>
      <w:r>
        <w:rPr>
          <w:rFonts w:hint="default" w:ascii="仿宋_GB2312" w:hAnsi="仿宋_GB2312" w:eastAsia="仿宋_GB2312" w:cs="仿宋_GB2312"/>
          <w:b w:val="0"/>
          <w:bCs w:val="0"/>
          <w:caps w:val="0"/>
          <w:smallCaps w:val="0"/>
          <w:color w:val="auto"/>
          <w:spacing w:val="0"/>
          <w:lang w:val="en-US" w:eastAsia="zh-CN"/>
        </w:rPr>
        <w:t>工程</w:t>
      </w:r>
      <w:r>
        <w:rPr>
          <w:rFonts w:hint="eastAsia" w:ascii="仿宋_GB2312" w:hAnsi="仿宋_GB2312" w:eastAsia="仿宋_GB2312" w:cs="仿宋_GB2312"/>
          <w:b w:val="0"/>
          <w:bCs w:val="0"/>
          <w:caps w:val="0"/>
          <w:smallCaps w:val="0"/>
          <w:color w:val="auto"/>
          <w:spacing w:val="0"/>
          <w:lang w:val="en-US" w:eastAsia="zh-CN"/>
        </w:rPr>
        <w:t>垃圾堆填重建山体，表面覆盖生态型覆盖层，一般包括下部的导水层和上部的植被持水层。导水层内铺设粗颗粒渣土，植被持水层内铺设细颗粒渣土，为植被生长提供良好的土壤环境和水分条件。</w:t>
      </w:r>
    </w:p>
    <w:bookmarkEnd w:id="206"/>
    <w:p w14:paraId="2367202C">
      <w:pPr>
        <w:pStyle w:val="40"/>
        <w:bidi w:val="0"/>
        <w:rPr>
          <w:rFonts w:hint="default" w:ascii="黑体" w:hAnsi="黑体" w:eastAsia="黑体" w:cs="黑体"/>
          <w:b w:val="0"/>
          <w:bCs w:val="0"/>
          <w:caps w:val="0"/>
          <w:smallCaps w:val="0"/>
          <w:color w:val="auto"/>
          <w:spacing w:val="0"/>
          <w:lang w:val="en-US" w:eastAsia="zh-CN"/>
        </w:rPr>
      </w:pPr>
      <w:bookmarkStart w:id="208" w:name="_Toc11332"/>
      <w:bookmarkStart w:id="209" w:name="_Toc8049"/>
      <w:bookmarkStart w:id="210" w:name="_Toc11798"/>
      <w:bookmarkStart w:id="211" w:name="_Toc6763"/>
      <w:bookmarkStart w:id="212" w:name="_Toc27763"/>
      <w:bookmarkStart w:id="213" w:name="_Toc2879"/>
      <w:r>
        <w:rPr>
          <w:rFonts w:hint="eastAsia" w:ascii="黑体" w:hAnsi="黑体" w:eastAsia="黑体" w:cs="黑体"/>
          <w:b w:val="0"/>
          <w:bCs w:val="0"/>
          <w:caps w:val="0"/>
          <w:smallCaps w:val="0"/>
          <w:color w:val="auto"/>
          <w:spacing w:val="0"/>
          <w:lang w:val="en-US" w:eastAsia="zh-CN"/>
        </w:rPr>
        <w:t>七、</w:t>
      </w:r>
      <w:r>
        <w:rPr>
          <w:rFonts w:hint="default" w:ascii="黑体" w:hAnsi="黑体" w:eastAsia="黑体" w:cs="黑体"/>
          <w:b w:val="0"/>
          <w:bCs w:val="0"/>
          <w:caps w:val="0"/>
          <w:smallCaps w:val="0"/>
          <w:color w:val="auto"/>
          <w:spacing w:val="0"/>
          <w:lang w:val="en-US" w:eastAsia="zh-CN"/>
        </w:rPr>
        <w:t>收运设施设备</w:t>
      </w:r>
      <w:bookmarkEnd w:id="208"/>
      <w:bookmarkEnd w:id="209"/>
      <w:bookmarkEnd w:id="210"/>
      <w:bookmarkEnd w:id="211"/>
      <w:bookmarkEnd w:id="212"/>
      <w:bookmarkEnd w:id="213"/>
    </w:p>
    <w:p w14:paraId="4589B601">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214" w:name="_Toc3138"/>
      <w:bookmarkStart w:id="215" w:name="_Toc5173"/>
      <w:bookmarkStart w:id="216" w:name="_Toc23179"/>
      <w:bookmarkStart w:id="217" w:name="_Toc30481"/>
      <w:r>
        <w:rPr>
          <w:rFonts w:hint="eastAsia" w:ascii="楷体_GB2312" w:hAnsi="楷体_GB2312" w:eastAsia="楷体_GB2312" w:cs="楷体_GB2312"/>
          <w:b w:val="0"/>
          <w:bCs w:val="0"/>
          <w:caps w:val="0"/>
          <w:smallCaps w:val="0"/>
          <w:color w:val="auto"/>
          <w:spacing w:val="0"/>
          <w:sz w:val="32"/>
          <w:szCs w:val="28"/>
          <w:lang w:val="en-US" w:eastAsia="zh-CN"/>
        </w:rPr>
        <w:t>1．</w:t>
      </w:r>
      <w:r>
        <w:rPr>
          <w:rFonts w:hint="default" w:ascii="楷体_GB2312" w:hAnsi="楷体_GB2312" w:eastAsia="楷体_GB2312" w:cs="楷体_GB2312"/>
          <w:b w:val="0"/>
          <w:bCs w:val="0"/>
          <w:caps w:val="0"/>
          <w:smallCaps w:val="0"/>
          <w:color w:val="auto"/>
          <w:spacing w:val="0"/>
          <w:sz w:val="32"/>
          <w:szCs w:val="28"/>
          <w:lang w:val="en-US" w:eastAsia="zh-CN"/>
        </w:rPr>
        <w:t>装修垃圾指定投放点</w:t>
      </w:r>
      <w:bookmarkEnd w:id="214"/>
      <w:bookmarkEnd w:id="215"/>
      <w:bookmarkEnd w:id="216"/>
      <w:bookmarkEnd w:id="217"/>
    </w:p>
    <w:p w14:paraId="4F16CEDF">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责任主体</w:t>
      </w:r>
    </w:p>
    <w:p w14:paraId="5A7A97E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装修垃圾指定投放点由物业进行管理。当装修垃圾产生时，由业主向物业提出申请。物业划分装修垃圾投放点，并负责联络负责运输收集的行业指导部门，提出使用装修垃圾收纳容器的申请，对装修垃圾后续运输过程进行规范监管。</w:t>
      </w:r>
    </w:p>
    <w:p w14:paraId="4F2B0A17">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布置要求</w:t>
      </w:r>
    </w:p>
    <w:p w14:paraId="5FA66AE8">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装修垃圾指定投放点应合理布置，一般遵循以下原则：应选择在居民住宅区相对集中且交通便利的地方，便于居民投放和运输。设置条件包括有明确的标识和围挡，保证垃圾存放安全且不影响环境。技术上要求地面硬化、排水良好，避免垃圾渗滤液污染。用地面积根据服务区域的大小和垃圾产生量来确定，选址要考虑周边环境和居民意见。建设规模应满足服务范围内的需求，服务范围覆盖周边一定区域的居民区。在运营维护方面，要定期清理、消毒，确保投放点的整洁和正常使用，同时加强监管，防止违规倾倒。布置原则：根据居民区分布情况，合理布局，方便居民投放。</w:t>
      </w:r>
    </w:p>
    <w:p w14:paraId="1837A642">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投放容器要求</w:t>
      </w:r>
    </w:p>
    <w:p w14:paraId="3BEE708E">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材质要求</w:t>
      </w:r>
    </w:p>
    <w:p w14:paraId="4B8A52F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应选用坚固、耐用的材质，能够承受装修垃圾的重量和搬运过程中的碰撞等。常见的如金属材质（如钢板）、塑料材质（加厚型、高质量塑料）等。金属材质的容器坚固性好，能长期使用，但可能会生锈；塑料材质的容器相对轻便，便于搬运和移动，但要选择质量好、不易损坏的塑料。</w:t>
      </w:r>
    </w:p>
    <w:p w14:paraId="7C4DEDF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避免使用可能会对环境和人体健康造成危害的材质。一些来源不清的塑料可能含有放射性物质或有害挥发性物质等，不适合作为装修垃圾投放容器的材质。</w:t>
      </w:r>
    </w:p>
    <w:p w14:paraId="61AB8A0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尺寸要求</w:t>
      </w:r>
    </w:p>
    <w:p w14:paraId="45645C0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根据装修垃圾的产生量和投放场地的空间大小，选择合适尺寸的容器。如果是在小区等住宅区域，一般不宜选择过大的容器，以免占用过多空间；而在一些大型装修工程现场，可以根据实际需要选择较大尺寸的容器。例如，对于普通家庭装修，容量在10-20m</w:t>
      </w:r>
      <w:r>
        <w:rPr>
          <w:rFonts w:hint="eastAsia" w:ascii="仿宋_GB2312" w:hAnsi="仿宋_GB2312" w:eastAsia="仿宋_GB2312" w:cs="仿宋_GB2312"/>
          <w:b w:val="0"/>
          <w:bCs w:val="0"/>
          <w:caps w:val="0"/>
          <w:smallCaps w:val="0"/>
          <w:color w:val="auto"/>
          <w:spacing w:val="0"/>
          <w:vertAlign w:val="superscript"/>
          <w:lang w:val="en-US" w:eastAsia="zh-CN"/>
        </w:rPr>
        <w:t>3</w:t>
      </w:r>
      <w:r>
        <w:rPr>
          <w:rFonts w:hint="eastAsia" w:ascii="仿宋_GB2312" w:hAnsi="仿宋_GB2312" w:eastAsia="仿宋_GB2312" w:cs="仿宋_GB2312"/>
          <w:b w:val="0"/>
          <w:bCs w:val="0"/>
          <w:caps w:val="0"/>
          <w:smallCaps w:val="0"/>
          <w:color w:val="auto"/>
          <w:spacing w:val="0"/>
          <w:lang w:val="en-US" w:eastAsia="zh-CN"/>
        </w:rPr>
        <w:t>左右的容器比较合适；对于大型商业装修项目，可能需要使用更大容量的容器。装修业主将室内装修垃圾袋装运送至小区装修垃圾投放点指定容器内。</w:t>
      </w:r>
    </w:p>
    <w:p w14:paraId="03622C3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容器的形状应尽量规则，以便于整齐堆放和运输。常见的形状有方形、长方形、圆形等，其中方形和长方形的容器在空间利用上更具优势，能够更好地贴合投放场地的形状。</w:t>
      </w:r>
    </w:p>
    <w:p w14:paraId="67DE7938">
      <w:pPr>
        <w:pStyle w:val="4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caps w:val="0"/>
          <w:smallCaps w:val="0"/>
          <w:color w:val="auto"/>
          <w:spacing w:val="0"/>
          <w:lang w:val="en-US" w:eastAsia="zh-CN"/>
        </w:rPr>
      </w:pPr>
      <w:r>
        <w:rPr>
          <w:rFonts w:hint="default"/>
          <w:b w:val="0"/>
          <w:bCs w:val="0"/>
          <w:caps w:val="0"/>
          <w:smallCaps w:val="0"/>
          <w:color w:val="auto"/>
          <w:spacing w:val="0"/>
          <w:lang w:val="en-US" w:eastAsia="zh-CN"/>
        </w:rPr>
        <w:drawing>
          <wp:inline distT="0" distB="0" distL="114300" distR="114300">
            <wp:extent cx="5071110" cy="3803650"/>
            <wp:effectExtent l="0" t="0" r="8890" b="6350"/>
            <wp:docPr id="9" name="图片 1" descr="e3400c901c187bbde1318b75016b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e3400c901c187bbde1318b75016b91d"/>
                    <pic:cNvPicPr>
                      <a:picLocks noChangeAspect="1"/>
                    </pic:cNvPicPr>
                  </pic:nvPicPr>
                  <pic:blipFill>
                    <a:blip r:embed="rId24"/>
                    <a:stretch>
                      <a:fillRect/>
                    </a:stretch>
                  </pic:blipFill>
                  <pic:spPr>
                    <a:xfrm>
                      <a:off x="0" y="0"/>
                      <a:ext cx="5071110" cy="3803650"/>
                    </a:xfrm>
                    <a:prstGeom prst="rect">
                      <a:avLst/>
                    </a:prstGeom>
                    <a:noFill/>
                    <a:ln>
                      <a:noFill/>
                    </a:ln>
                  </pic:spPr>
                </pic:pic>
              </a:graphicData>
            </a:graphic>
          </wp:inline>
        </w:drawing>
      </w:r>
    </w:p>
    <w:p w14:paraId="4FA7CED2">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装修垃圾投放容器</w:t>
      </w:r>
    </w:p>
    <w:p w14:paraId="447636B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封闭性要求</w:t>
      </w:r>
    </w:p>
    <w:p w14:paraId="51031C9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容器应具有良好的封闭性，能够防止装修垃圾中的灰尘、碎屑等飘散，避免对周围环境造成污染。例如，可以采用带有密封盖的垃圾桶或垃圾箱，确保在运输和存放过程中盖子能够紧密关闭。</w:t>
      </w:r>
    </w:p>
    <w:p w14:paraId="62B5141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对于可能含有液体的装修垃圾（如剩余的涂料、胶水等），容器应具有一定的防渗漏功能，避免液体泄漏污染地面和地下水。可以在容器内部设置防渗漏层或使用专门的防渗漏垃圾桶。</w:t>
      </w:r>
    </w:p>
    <w:p w14:paraId="796FA27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标志要求</w:t>
      </w:r>
    </w:p>
    <w:p w14:paraId="7410468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明确分类标识：如果需要对装修垃圾进行分类投放，容器上应明确标注不同垃圾类别的标识，如 “木材类”“砖石类”“塑料类”“有害垃圾类” 等，以便装修人员和垃圾处理人员能够准确地将垃圾投放到相应的容器中。</w:t>
      </w:r>
    </w:p>
    <w:p w14:paraId="53CC01F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警示标识：容器上还应设置一些警示标识，如 “禁止乱扔垃圾”“注意安全” 等，提醒人们正确使用投放容器，避免发生意外事故</w:t>
      </w:r>
    </w:p>
    <w:p w14:paraId="1C35E10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其他要求</w:t>
      </w:r>
    </w:p>
    <w:p w14:paraId="64617BE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便于搬运和移动：容器应配备便于搬运和移动的装置，如轮子、把手等，以便在需要时能够轻松地将容器移动到指定位置进行垃圾清运。</w:t>
      </w:r>
    </w:p>
    <w:p w14:paraId="6C1CD83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定期清洁和维护：容器应定期进行清洁和维护，保持其干净、整洁，避免滋生细菌和异味。对于损坏的容器，应及时进行维修或更换。</w:t>
      </w:r>
    </w:p>
    <w:p w14:paraId="2EDF6827">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218" w:name="_Toc10197"/>
      <w:bookmarkStart w:id="219" w:name="_Toc15353"/>
      <w:bookmarkStart w:id="220" w:name="_Toc3355"/>
      <w:bookmarkStart w:id="221" w:name="_Toc30038"/>
      <w:r>
        <w:rPr>
          <w:rFonts w:hint="eastAsia" w:ascii="楷体_GB2312" w:hAnsi="楷体_GB2312" w:eastAsia="楷体_GB2312" w:cs="楷体_GB2312"/>
          <w:b w:val="0"/>
          <w:bCs w:val="0"/>
          <w:caps w:val="0"/>
          <w:smallCaps w:val="0"/>
          <w:color w:val="auto"/>
          <w:spacing w:val="0"/>
          <w:sz w:val="32"/>
          <w:szCs w:val="28"/>
          <w:lang w:val="en-US" w:eastAsia="zh-CN"/>
        </w:rPr>
        <w:t>2．</w:t>
      </w:r>
      <w:r>
        <w:rPr>
          <w:rFonts w:hint="default" w:ascii="楷体_GB2312" w:hAnsi="楷体_GB2312" w:eastAsia="楷体_GB2312" w:cs="楷体_GB2312"/>
          <w:b w:val="0"/>
          <w:bCs w:val="0"/>
          <w:caps w:val="0"/>
          <w:smallCaps w:val="0"/>
          <w:color w:val="auto"/>
          <w:spacing w:val="0"/>
          <w:sz w:val="32"/>
          <w:szCs w:val="28"/>
          <w:lang w:val="en-US" w:eastAsia="zh-CN"/>
        </w:rPr>
        <w:t>建筑垃圾收运车辆</w:t>
      </w:r>
      <w:bookmarkEnd w:id="218"/>
      <w:bookmarkEnd w:id="219"/>
      <w:bookmarkEnd w:id="220"/>
      <w:bookmarkEnd w:id="221"/>
    </w:p>
    <w:p w14:paraId="2D94AF02">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车辆类型选择</w:t>
      </w:r>
    </w:p>
    <w:p w14:paraId="1E7BFA9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自卸式卡车</w:t>
      </w:r>
    </w:p>
    <w:p w14:paraId="6E04DC0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优点：装载量大，能够快速卸载垃圾，提高收运效率。适合大型建筑垃圾的收运，如大量的砖石、混凝土块等。</w:t>
      </w:r>
    </w:p>
    <w:p w14:paraId="1FFFEDB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缺点：车身较大，在一些狭窄道路行驶可能受限。对道路要求较高，容易对路面造成损坏。</w:t>
      </w:r>
    </w:p>
    <w:p w14:paraId="3BAE7A7A">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适用场景：大型建筑工地、拆迁现场等建筑垃圾产生量大的地方。</w:t>
      </w:r>
    </w:p>
    <w:p w14:paraId="737170A3">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钩臂车</w:t>
      </w:r>
    </w:p>
    <w:p w14:paraId="2537030A">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优点：操作方便；一车多箱，运输高效；安全性能好；维护成本相对较低</w:t>
      </w:r>
    </w:p>
    <w:p w14:paraId="1820B88C">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缺点：装载量相对自卸式卡车较小。成本可能较高。</w:t>
      </w:r>
    </w:p>
    <w:p w14:paraId="23A46FC4">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适用场景：城市市区内的建筑垃圾收运，特别是对环境要求较高的区域。</w:t>
      </w:r>
    </w:p>
    <w:p w14:paraId="22E7246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60" w:firstLineChars="200"/>
        <w:jc w:val="center"/>
        <w:textAlignment w:val="baseline"/>
        <w:rPr>
          <w:rFonts w:hint="default" w:ascii="Times New Roman" w:hAnsi="Times New Roman" w:eastAsia="宋体" w:cs="Times New Roman"/>
          <w:caps w:val="0"/>
          <w:smallCaps w:val="0"/>
          <w:color w:val="auto"/>
          <w:spacing w:val="0"/>
          <w:sz w:val="28"/>
          <w:szCs w:val="28"/>
          <w:lang w:eastAsia="zh-CN"/>
        </w:rPr>
      </w:pPr>
      <w:r>
        <w:rPr>
          <w:rFonts w:hint="default" w:ascii="Times New Roman" w:hAnsi="Times New Roman" w:eastAsia="宋体" w:cs="Times New Roman"/>
          <w:caps w:val="0"/>
          <w:smallCaps w:val="0"/>
          <w:color w:val="auto"/>
          <w:spacing w:val="0"/>
          <w:sz w:val="28"/>
          <w:szCs w:val="28"/>
          <w:lang w:eastAsia="zh-CN"/>
        </w:rPr>
        <w:drawing>
          <wp:inline distT="0" distB="0" distL="114300" distR="114300">
            <wp:extent cx="4445000" cy="3333750"/>
            <wp:effectExtent l="0" t="0" r="0" b="6350"/>
            <wp:docPr id="8" name="图片 2" descr="56cebad2883df40ca87965e677e1a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56cebad2883df40ca87965e677e1aa4"/>
                    <pic:cNvPicPr>
                      <a:picLocks noChangeAspect="1"/>
                    </pic:cNvPicPr>
                  </pic:nvPicPr>
                  <pic:blipFill>
                    <a:blip r:embed="rId25"/>
                    <a:stretch>
                      <a:fillRect/>
                    </a:stretch>
                  </pic:blipFill>
                  <pic:spPr>
                    <a:xfrm>
                      <a:off x="0" y="0"/>
                      <a:ext cx="4445000" cy="3333750"/>
                    </a:xfrm>
                    <a:prstGeom prst="rect">
                      <a:avLst/>
                    </a:prstGeom>
                    <a:noFill/>
                    <a:ln>
                      <a:noFill/>
                    </a:ln>
                  </pic:spPr>
                </pic:pic>
              </a:graphicData>
            </a:graphic>
          </wp:inline>
        </w:drawing>
      </w:r>
    </w:p>
    <w:p w14:paraId="6247B8E4">
      <w:pPr>
        <w:pStyle w:val="40"/>
        <w:bidi w:val="0"/>
        <w:ind w:left="0" w:leftChars="0" w:firstLine="0" w:firstLineChars="0"/>
        <w:jc w:val="center"/>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勾臂车</w:t>
      </w:r>
    </w:p>
    <w:p w14:paraId="599BE68C">
      <w:pPr>
        <w:pStyle w:val="40"/>
        <w:numPr>
          <w:ilvl w:val="0"/>
          <w:numId w:val="0"/>
        </w:numPr>
        <w:bidi w:val="0"/>
        <w:ind w:left="402" w:leftChars="0"/>
        <w:rPr>
          <w:rFonts w:hint="eastAsia" w:ascii="仿宋_GB2312" w:hAnsi="仿宋_GB2312" w:eastAsia="仿宋_GB2312" w:cs="仿宋_GB2312"/>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caps w:val="0"/>
          <w:smallCaps w:val="0"/>
          <w:color w:val="auto"/>
          <w:spacing w:val="0"/>
          <w:lang w:val="en-US" w:eastAsia="zh-CN"/>
        </w:rPr>
        <w:t>车辆数量确定</w:t>
      </w:r>
    </w:p>
    <w:p w14:paraId="7B217C10">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考虑建筑垃圾产生量</w:t>
      </w:r>
    </w:p>
    <w:p w14:paraId="6F7BB21B">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根据所在区域的建设项目数量、规模以及日常装修活动等因素，估算建筑垃圾的产生量。可以通过历史数据统计、市场调研等方法进行预估。</w:t>
      </w:r>
    </w:p>
    <w:p w14:paraId="7474E03B">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运输距离和时间</w:t>
      </w:r>
    </w:p>
    <w:p w14:paraId="70DAA08F">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考虑建筑垃圾收运点与处理场之间的距离，以及运输过程中可能遇到的交通状况等因素。运输距离越长、交通拥堵情况越严重，所需的车辆数量就可能越多。</w:t>
      </w:r>
    </w:p>
    <w:p w14:paraId="511D47B4">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车辆维护和备用需求</w:t>
      </w:r>
    </w:p>
    <w:p w14:paraId="57F2D5FC">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预留一定数量的备用车辆，以应对车辆故障、维修保养等情况。同时，要考虑车辆的维护周期和成本，合理安排车辆的使用和维护计划。</w:t>
      </w:r>
    </w:p>
    <w:p w14:paraId="3EAD7146">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一般来说，可以按照车辆总数的 10% - 20% 预留备用车辆。</w:t>
      </w:r>
    </w:p>
    <w:p w14:paraId="1964497C">
      <w:pPr>
        <w:pStyle w:val="40"/>
        <w:numPr>
          <w:ilvl w:val="0"/>
          <w:numId w:val="0"/>
        </w:numPr>
        <w:bidi w:val="0"/>
        <w:ind w:left="402" w:leftChars="0"/>
        <w:rPr>
          <w:rFonts w:hint="eastAsia" w:ascii="仿宋_GB2312" w:hAnsi="仿宋_GB2312" w:eastAsia="仿宋_GB2312" w:cs="仿宋_GB2312"/>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caps w:val="0"/>
          <w:smallCaps w:val="0"/>
          <w:color w:val="auto"/>
          <w:spacing w:val="0"/>
          <w:lang w:val="en-US" w:eastAsia="zh-CN"/>
        </w:rPr>
        <w:t>车辆调度管理</w:t>
      </w:r>
    </w:p>
    <w:p w14:paraId="5A8AD5DA">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信息化管理系统</w:t>
      </w:r>
    </w:p>
    <w:p w14:paraId="343DF3BF">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建立建筑垃圾收运车辆信息化管理平台，实时监控车辆的位置、行驶路线、装载状态等信息。通过 GPS 定位、车载传感器等技术，实现对车辆的精准调度和管理。</w:t>
      </w:r>
    </w:p>
    <w:p w14:paraId="0904F1E9">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优化运输路线</w:t>
      </w:r>
    </w:p>
    <w:p w14:paraId="7EF2E1BC">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根据收运点和处理场的分布情况，以及交通流量等因素，规划最优的运输路线。可以利用地理信息系统（GIS）等技术，分析不同路线的行驶时间、距离和成本，选择最佳路线。</w:t>
      </w:r>
    </w:p>
    <w:p w14:paraId="0B6F1FDD">
      <w:pPr>
        <w:pStyle w:val="40"/>
        <w:bidi w:val="0"/>
        <w:rPr>
          <w:rFonts w:hint="eastAsia" w:ascii="仿宋_GB2312" w:hAnsi="仿宋_GB2312" w:eastAsia="仿宋_GB2312" w:cs="仿宋_GB2312"/>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灵活调度机制</w:t>
      </w:r>
    </w:p>
    <w:p w14:paraId="222958A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aps w:val="0"/>
          <w:smallCaps w:val="0"/>
          <w:color w:val="auto"/>
          <w:spacing w:val="0"/>
          <w:lang w:val="en-US" w:eastAsia="zh-CN"/>
        </w:rPr>
        <w:t>建立灵活的车辆调度机制，根据实际情况及时调整车辆的分配和任务安排。例如，在建筑垃圾产</w:t>
      </w:r>
      <w:r>
        <w:rPr>
          <w:rFonts w:hint="eastAsia" w:ascii="仿宋_GB2312" w:hAnsi="仿宋_GB2312" w:eastAsia="仿宋_GB2312" w:cs="仿宋_GB2312"/>
          <w:b w:val="0"/>
          <w:bCs w:val="0"/>
          <w:caps w:val="0"/>
          <w:smallCaps w:val="0"/>
          <w:color w:val="auto"/>
          <w:spacing w:val="0"/>
          <w:lang w:val="en-US" w:eastAsia="zh-CN"/>
        </w:rPr>
        <w:t>生高峰期，可以增加车辆投入；而在低谷期，可以适当减少车辆运行，降低成本。</w:t>
      </w:r>
    </w:p>
    <w:p w14:paraId="4D50EEF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同时，要考虑突发事件的应对，如恶劣天气、交通管制等情况下，能够及时调整车辆调度方案，确保建筑垃圾的正常收运。</w:t>
      </w:r>
    </w:p>
    <w:p w14:paraId="645C38EF">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r>
        <w:rPr>
          <w:rFonts w:hint="eastAsia" w:ascii="楷体_GB2312" w:hAnsi="楷体_GB2312" w:eastAsia="楷体_GB2312" w:cs="楷体_GB2312"/>
          <w:b w:val="0"/>
          <w:bCs w:val="0"/>
          <w:caps w:val="0"/>
          <w:smallCaps w:val="0"/>
          <w:color w:val="auto"/>
          <w:spacing w:val="0"/>
          <w:sz w:val="32"/>
          <w:szCs w:val="28"/>
          <w:lang w:val="en-US" w:eastAsia="zh-CN"/>
        </w:rPr>
        <w:t>3．车辆环保要求</w:t>
      </w:r>
    </w:p>
    <w:p w14:paraId="69366B1E">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排放标准</w:t>
      </w:r>
    </w:p>
    <w:p w14:paraId="7655918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选择符合国家环保排放标准的车辆，减少尾气排放对环境的污染。目前，国家对机动车尾气排放的要求越来越严格，应优先选择达到国六及以上排放标准的车辆。</w:t>
      </w:r>
    </w:p>
    <w:p w14:paraId="7907EDF5">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防扬尘措施</w:t>
      </w:r>
    </w:p>
    <w:p w14:paraId="2D73787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车辆应配备防扬尘装置，如密封车厢、喷雾降尘设备等，防止建筑垃圾在运输过程中产生扬尘污染。密封车厢可以有效防止垃圾撒漏和扬尘飘散；喷雾降尘设备可以在装卸垃圾时进行喷雾，降低扬尘浓度。</w:t>
      </w:r>
    </w:p>
    <w:p w14:paraId="59F13177">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噪声控制</w:t>
      </w:r>
    </w:p>
    <w:p w14:paraId="1DA4419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选择低噪声的车辆，减少运输过程中的噪声污染。可以通过选择优质的发动机、优化车辆结构等方式降低车辆噪声。</w:t>
      </w:r>
    </w:p>
    <w:p w14:paraId="114F1391">
      <w:pPr>
        <w:pStyle w:val="40"/>
        <w:bidi w:val="0"/>
        <w:rPr>
          <w:rFonts w:hint="default" w:ascii="Times New Roman" w:hAnsi="Times New Roman"/>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例如，在车辆的发动机舱和车厢内部采用隔音材料，降低发动机噪声和垃圾碰撞产生的噪声；在居民区附近行驶时，限制车辆的行驶速度，减少噪声影响。</w:t>
      </w:r>
    </w:p>
    <w:p w14:paraId="5A3BE987">
      <w:pPr>
        <w:pStyle w:val="40"/>
        <w:bidi w:val="0"/>
        <w:rPr>
          <w:rFonts w:hint="eastAsia" w:ascii="黑体" w:hAnsi="黑体" w:eastAsia="黑体" w:cs="黑体"/>
          <w:b w:val="0"/>
          <w:bCs w:val="0"/>
          <w:caps w:val="0"/>
          <w:smallCaps w:val="0"/>
          <w:color w:val="auto"/>
          <w:spacing w:val="0"/>
          <w:lang w:val="en-US" w:eastAsia="zh-CN"/>
        </w:rPr>
      </w:pPr>
      <w:bookmarkStart w:id="222" w:name="_Toc20396"/>
      <w:bookmarkStart w:id="223" w:name="_Toc16878"/>
      <w:bookmarkStart w:id="224" w:name="_Toc27463"/>
      <w:bookmarkStart w:id="225" w:name="_Toc167296627"/>
      <w:bookmarkStart w:id="226" w:name="_Toc167281355"/>
      <w:bookmarkStart w:id="227" w:name="_Toc167281625"/>
      <w:r>
        <w:rPr>
          <w:rFonts w:hint="eastAsia" w:ascii="黑体" w:hAnsi="黑体" w:eastAsia="黑体" w:cs="黑体"/>
          <w:b w:val="0"/>
          <w:bCs w:val="0"/>
          <w:caps w:val="0"/>
          <w:smallCaps w:val="0"/>
          <w:color w:val="auto"/>
          <w:spacing w:val="0"/>
          <w:lang w:val="en-US" w:eastAsia="zh-CN"/>
        </w:rPr>
        <w:t>八、建筑垃圾转运调配站规划</w:t>
      </w:r>
      <w:bookmarkEnd w:id="222"/>
      <w:bookmarkEnd w:id="223"/>
      <w:bookmarkEnd w:id="224"/>
    </w:p>
    <w:p w14:paraId="5A62E3EC">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bookmarkStart w:id="228" w:name="_Toc16359"/>
      <w:bookmarkStart w:id="229" w:name="_Toc28469"/>
      <w:r>
        <w:rPr>
          <w:rFonts w:hint="eastAsia" w:ascii="楷体_GB2312" w:hAnsi="楷体_GB2312" w:eastAsia="楷体_GB2312" w:cs="楷体_GB2312"/>
          <w:b w:val="0"/>
          <w:bCs w:val="0"/>
          <w:caps w:val="0"/>
          <w:smallCaps w:val="0"/>
          <w:color w:val="auto"/>
          <w:spacing w:val="0"/>
          <w:sz w:val="32"/>
          <w:szCs w:val="28"/>
          <w:lang w:val="en-US" w:eastAsia="zh-CN"/>
        </w:rPr>
        <w:t>1．布置原则</w:t>
      </w:r>
      <w:bookmarkEnd w:id="228"/>
      <w:bookmarkEnd w:id="229"/>
    </w:p>
    <w:p w14:paraId="0232309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统筹设置：应综合考虑产生量、收（转）运能力及运距、处置方式、环境影响、群众意愿等因素，科学选点，适当规模、适当数量设置，力求设置数量与实际需要基本匹配。</w:t>
      </w:r>
    </w:p>
    <w:p w14:paraId="66E9247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严格控制：严格遵守国家、省市有关法律法规规定，按规定的要求开展报批管理，经审核、批准后方可设置。禁止未经批准擅自设置，切实加强对违规堆放场所的日常监管，依法严查违规设置、不规范设置、安全环保管理不到位等突出问题，确保设置规范、管理到位。</w:t>
      </w:r>
    </w:p>
    <w:p w14:paraId="2FB9A5A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安全运行：遵循“安全第一”原则，严格按照法律法规、规定的安全管理要求。建设运行主体单位必须制定安全、环保事故处置预案，明确现场管理安全环保责任，落实场所安全环保管理措施，常态化组织安全环保隐患排查及整改，严防发生安全生产事故和环境污染。</w:t>
      </w:r>
    </w:p>
    <w:p w14:paraId="1F60385F">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bookmarkStart w:id="230" w:name="_Toc20460"/>
      <w:bookmarkStart w:id="231" w:name="_Toc16285"/>
      <w:r>
        <w:rPr>
          <w:rFonts w:hint="eastAsia" w:ascii="楷体_GB2312" w:hAnsi="楷体_GB2312" w:eastAsia="楷体_GB2312" w:cs="楷体_GB2312"/>
          <w:b w:val="0"/>
          <w:bCs w:val="0"/>
          <w:caps w:val="0"/>
          <w:smallCaps w:val="0"/>
          <w:color w:val="auto"/>
          <w:spacing w:val="0"/>
          <w:sz w:val="32"/>
          <w:szCs w:val="28"/>
          <w:lang w:val="en-US" w:eastAsia="zh-CN"/>
        </w:rPr>
        <w:t>2．技术要求</w:t>
      </w:r>
      <w:bookmarkEnd w:id="230"/>
      <w:bookmarkEnd w:id="231"/>
    </w:p>
    <w:p w14:paraId="785C5B65">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暂时不具备堆填处置条件，且具有回填利用或资源化再生价值的建筑垃圾可进入转运调配场。</w:t>
      </w:r>
    </w:p>
    <w:p w14:paraId="3BF88E40">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转运调配场堆放区可采取室内或露天方式，并应采取有效的防尘、降噪措施。露天堆放的建筑垃圾应及时遮盖，堆放区地坪标高应高于周围场地至少0.15m，四周应设置排水沟，满足场地雨水导排要求。</w:t>
      </w:r>
    </w:p>
    <w:p w14:paraId="6DF1F60F">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建筑垃圾堆放高度高出地坪不宜超过3m。当超过3m时，应进行堆体和地基稳定性验算，保证堆体和地基的稳定安全。当堆放场地附近有挖方工程时，应进行堆体和挖方边坡稳定性验算，保证挖方工程安全。</w:t>
      </w:r>
    </w:p>
    <w:p w14:paraId="26B4E0EA">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（4）</w:t>
      </w:r>
      <w:r>
        <w:rPr>
          <w:rFonts w:hint="eastAsia" w:ascii="仿宋_GB2312" w:hAnsi="仿宋_GB2312" w:eastAsia="仿宋_GB2312" w:cs="仿宋_GB2312"/>
          <w:b w:val="0"/>
          <w:bCs w:val="0"/>
          <w:caps w:val="0"/>
          <w:smallCaps w:val="0"/>
          <w:color w:val="auto"/>
          <w:spacing w:val="0"/>
          <w:lang w:val="en-US" w:eastAsia="zh-CN"/>
        </w:rPr>
        <w:t>转运调配场应合理设置开挖空间及进出口。</w:t>
      </w:r>
    </w:p>
    <w:p w14:paraId="6D2154E1">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（5）</w:t>
      </w:r>
      <w:r>
        <w:rPr>
          <w:rFonts w:hint="eastAsia" w:ascii="仿宋_GB2312" w:hAnsi="仿宋_GB2312" w:eastAsia="仿宋_GB2312" w:cs="仿宋_GB2312"/>
          <w:b w:val="0"/>
          <w:bCs w:val="0"/>
          <w:caps w:val="0"/>
          <w:smallCaps w:val="0"/>
          <w:color w:val="auto"/>
          <w:spacing w:val="0"/>
          <w:lang w:val="en-US" w:eastAsia="zh-CN"/>
        </w:rPr>
        <w:t>转运调配场可根据后端处理处置设施的要求，配备相应的预处理设施，预处理设施宜设置在封闭车间内，并应采取有效的防尘、降噪措施。</w:t>
      </w:r>
    </w:p>
    <w:p w14:paraId="5307515E">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（6）</w:t>
      </w:r>
      <w:r>
        <w:rPr>
          <w:rFonts w:hint="eastAsia" w:ascii="仿宋_GB2312" w:hAnsi="仿宋_GB2312" w:eastAsia="仿宋_GB2312" w:cs="仿宋_GB2312"/>
          <w:b w:val="0"/>
          <w:bCs w:val="0"/>
          <w:caps w:val="0"/>
          <w:smallCaps w:val="0"/>
          <w:color w:val="auto"/>
          <w:spacing w:val="0"/>
          <w:lang w:val="en-US" w:eastAsia="zh-CN"/>
        </w:rPr>
        <w:t>转运调配场应配备装载机、推土机等作业机械，配备机械数量应与作业需求相适应。</w:t>
      </w:r>
    </w:p>
    <w:p w14:paraId="6AE0DE08">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bookmarkStart w:id="232" w:name="_Toc30792"/>
      <w:bookmarkStart w:id="233" w:name="_Toc13631"/>
      <w:r>
        <w:rPr>
          <w:rFonts w:hint="eastAsia" w:ascii="楷体_GB2312" w:hAnsi="楷体_GB2312" w:eastAsia="楷体_GB2312" w:cs="楷体_GB2312"/>
          <w:b w:val="0"/>
          <w:bCs w:val="0"/>
          <w:caps w:val="0"/>
          <w:smallCaps w:val="0"/>
          <w:color w:val="auto"/>
          <w:spacing w:val="0"/>
          <w:sz w:val="32"/>
          <w:szCs w:val="28"/>
          <w:lang w:val="en-US" w:eastAsia="zh-CN"/>
        </w:rPr>
        <w:t>3．调配场规划</w:t>
      </w:r>
      <w:bookmarkEnd w:id="232"/>
      <w:bookmarkEnd w:id="233"/>
    </w:p>
    <w:p w14:paraId="5B27B9AE">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服务范围</w:t>
      </w:r>
    </w:p>
    <w:p w14:paraId="3073EE9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集贤县建筑垃圾调配场只接收规划范围内产生的工程垃圾、装修垃圾及拆除垃圾。</w:t>
      </w:r>
    </w:p>
    <w:p w14:paraId="51255204">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选址安排</w:t>
      </w:r>
    </w:p>
    <w:p w14:paraId="680CC06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根据《建筑垃圾处理技术规范》（CJJ134-2009）基地选址应符合现行标准和相关标准的规定，并应符合下列要求：</w:t>
      </w:r>
    </w:p>
    <w:p w14:paraId="2D7BE61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场址设置应符合市城市总体规划及市环境卫生专业规划要求，并应通过环境影响评价报告书的认定。</w:t>
      </w:r>
    </w:p>
    <w:p w14:paraId="0F54B99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对围环境不应产生污染或对围环境污染不超过有关法律法令和现行标准允许的范围。</w:t>
      </w:r>
    </w:p>
    <w:p w14:paraId="61FBEEA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与当地的大气防护、水土资源保护、大自然保护及生态平衡要求相一致。</w:t>
      </w:r>
    </w:p>
    <w:p w14:paraId="642068F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厂址应选择在生态资源、地面水系、机场、文化遗址、风景区等敏感目标少的区域。</w:t>
      </w:r>
    </w:p>
    <w:p w14:paraId="255133B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位于地下水贫乏地区、环境保护目标区域的地下水流向下游地区及夏季主导风向下风向。</w:t>
      </w:r>
    </w:p>
    <w:p w14:paraId="5B2A372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厂址选择应综合考虑基地的服务区域、转运能力、运输距离等因素。</w:t>
      </w:r>
    </w:p>
    <w:p w14:paraId="190BFDE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厂址与市区之间应有良好的道路交通条件。交通方便，运距合理。</w:t>
      </w:r>
    </w:p>
    <w:p w14:paraId="2E3BEBB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厂址应有满足生产、生活的供水水源和污水排放条件。</w:t>
      </w:r>
    </w:p>
    <w:p w14:paraId="7FFBDA7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厂址附近应有必需的电力供应。</w:t>
      </w:r>
    </w:p>
    <w:p w14:paraId="5A7F3F9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应充分利用天然地形，选择人口密度低、土地利用价值低、征地费用少、施工便利的场址。</w:t>
      </w:r>
    </w:p>
    <w:p w14:paraId="20E2393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厂址应满足工程建设的工程地质条件和水文地质条件，不应选在发震断层、滑坡、泥流、沼泽、流沙及采矿陷落区等地区。</w:t>
      </w:r>
    </w:p>
    <w:p w14:paraId="30D5E47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厂址不应受洪水、潮水或涝的威胁；必须建在该地区时，应有可靠的防洪、排涝措施。</w:t>
      </w:r>
    </w:p>
    <w:p w14:paraId="1E7497EE">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r>
        <w:rPr>
          <w:rFonts w:hint="eastAsia" w:ascii="楷体_GB2312" w:hAnsi="楷体_GB2312" w:eastAsia="楷体_GB2312" w:cs="楷体_GB2312"/>
          <w:b w:val="0"/>
          <w:bCs w:val="0"/>
          <w:caps w:val="0"/>
          <w:smallCaps w:val="0"/>
          <w:color w:val="auto"/>
          <w:spacing w:val="0"/>
          <w:sz w:val="32"/>
          <w:szCs w:val="28"/>
          <w:lang w:val="en-US" w:eastAsia="zh-CN"/>
        </w:rPr>
        <w:t>4．</w:t>
      </w:r>
      <w:r>
        <w:rPr>
          <w:rFonts w:hint="default" w:ascii="楷体_GB2312" w:hAnsi="楷体_GB2312" w:eastAsia="楷体_GB2312" w:cs="楷体_GB2312"/>
          <w:b w:val="0"/>
          <w:bCs w:val="0"/>
          <w:caps w:val="0"/>
          <w:smallCaps w:val="0"/>
          <w:color w:val="auto"/>
          <w:spacing w:val="0"/>
          <w:sz w:val="32"/>
          <w:szCs w:val="28"/>
          <w:lang w:val="en-US" w:eastAsia="zh-CN"/>
        </w:rPr>
        <w:t>技术要求及设置条件</w:t>
      </w:r>
    </w:p>
    <w:p w14:paraId="16D5300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建设建筑垃圾调配场是为解决集贤县建筑垃圾乱倾卸、占地和污染环境问题。项目规划建设将以长期、可靠、稳定、安全、卫生、先进为准则，将现存建筑垃圾及未来产生的建筑垃圾分类铺设，集中处置。</w:t>
      </w:r>
    </w:p>
    <w:p w14:paraId="70A5C63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要实现上述目标，项目规划中遵循的原则如下：</w:t>
      </w:r>
    </w:p>
    <w:p w14:paraId="7C3AE41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源头负责化：各级政府加快研究制定建筑垃圾减量排放相关标准和指导性政策，制定建筑垃圾排放收费标准，尽快落实建筑垃圾排放申报制度、排放者负责制、差别化收费及违约金制度。</w:t>
      </w:r>
    </w:p>
    <w:p w14:paraId="3C0F69E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运输规范化：在生产加工和垃圾分选区、建设、运行的各个阶段，尽可能清洁生产，减少对自然生态平衡的影响，优化项目区生产环境，改善生态化发展条件。</w:t>
      </w:r>
    </w:p>
    <w:p w14:paraId="7F3B663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用地资源化：在技术可行的情况下，使土地资源利用率达到最大化，尽可能节约用地。</w:t>
      </w:r>
    </w:p>
    <w:p w14:paraId="3DB21FE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组织合理化：根据建筑垃圾运输、生产、输出的合理组织流动，对项目区交通和物料运输进行全过程范围控制，对可能产生的污染源（粉尘、污水、臭气、散落垃圾等）进行全面的控制，营造优良的生态环境。</w:t>
      </w:r>
    </w:p>
    <w:p w14:paraId="25E4467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垃圾分类化：不得允许未随车携带核准证、营运证和通行证的车辆进场卸载建筑垃圾；不得收纳工业垃圾、生活垃圾和有毒有害垃圾。</w:t>
      </w:r>
    </w:p>
    <w:p w14:paraId="38B208CC">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r>
        <w:rPr>
          <w:rFonts w:hint="eastAsia" w:ascii="楷体_GB2312" w:hAnsi="楷体_GB2312" w:eastAsia="楷体_GB2312" w:cs="楷体_GB2312"/>
          <w:b w:val="0"/>
          <w:bCs w:val="0"/>
          <w:caps w:val="0"/>
          <w:smallCaps w:val="0"/>
          <w:color w:val="auto"/>
          <w:spacing w:val="0"/>
          <w:sz w:val="32"/>
          <w:szCs w:val="28"/>
          <w:lang w:val="en-US" w:eastAsia="zh-CN"/>
        </w:rPr>
        <w:t>5．布局原则</w:t>
      </w:r>
    </w:p>
    <w:p w14:paraId="56C567A5">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功能分区清晰。根据处理工艺流程、地形以及管理等需要，合理布置</w:t>
      </w:r>
      <w:r>
        <w:rPr>
          <w:rFonts w:hint="eastAsia" w:ascii="仿宋_GB2312" w:hAnsi="仿宋_GB2312" w:eastAsia="仿宋_GB2312" w:cs="仿宋_GB2312"/>
          <w:b w:val="0"/>
          <w:bCs w:val="0"/>
          <w:caps w:val="0"/>
          <w:smallCaps w:val="0"/>
          <w:color w:val="auto"/>
          <w:spacing w:val="0"/>
          <w:lang w:val="en-US" w:eastAsia="zh-CN"/>
        </w:rPr>
        <w:t>调配场</w:t>
      </w:r>
      <w:r>
        <w:rPr>
          <w:rFonts w:hint="eastAsia" w:ascii="仿宋_GB2312" w:hAnsi="仿宋_GB2312" w:eastAsia="仿宋_GB2312" w:cs="仿宋_GB2312"/>
          <w:b w:val="0"/>
          <w:bCs w:val="0"/>
          <w:caps w:val="0"/>
          <w:smallCaps w:val="0"/>
          <w:color w:val="auto"/>
          <w:spacing w:val="0"/>
        </w:rPr>
        <w:t>，各分区功能明确，布置合理。既是有机整体，又相对独立，便于分期实施。</w:t>
      </w:r>
    </w:p>
    <w:p w14:paraId="3FE20562">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因地制宜。主要是合理利用地形，场地平整以建筑渣土</w:t>
      </w:r>
      <w:r>
        <w:rPr>
          <w:rFonts w:hint="eastAsia" w:ascii="仿宋_GB2312" w:hAnsi="仿宋_GB2312" w:eastAsia="仿宋_GB2312" w:cs="仿宋_GB2312"/>
          <w:b w:val="0"/>
          <w:bCs w:val="0"/>
          <w:caps w:val="0"/>
          <w:smallCaps w:val="0"/>
          <w:color w:val="auto"/>
          <w:spacing w:val="0"/>
          <w:lang w:eastAsia="zh-CN"/>
        </w:rPr>
        <w:t>堆填</w:t>
      </w:r>
      <w:r>
        <w:rPr>
          <w:rFonts w:hint="eastAsia" w:ascii="仿宋_GB2312" w:hAnsi="仿宋_GB2312" w:eastAsia="仿宋_GB2312" w:cs="仿宋_GB2312"/>
          <w:b w:val="0"/>
          <w:bCs w:val="0"/>
          <w:caps w:val="0"/>
          <w:smallCaps w:val="0"/>
          <w:color w:val="auto"/>
          <w:spacing w:val="0"/>
        </w:rPr>
        <w:t>为主，减少土石方开</w:t>
      </w:r>
      <w:r>
        <w:rPr>
          <w:rFonts w:hint="eastAsia" w:ascii="仿宋_GB2312" w:hAnsi="仿宋_GB2312" w:eastAsia="仿宋_GB2312" w:cs="仿宋_GB2312"/>
          <w:b w:val="0"/>
          <w:bCs w:val="0"/>
          <w:caps w:val="0"/>
          <w:smallCaps w:val="0"/>
          <w:color w:val="auto"/>
          <w:spacing w:val="0"/>
          <w:lang w:eastAsia="zh-CN"/>
        </w:rPr>
        <w:t>挖</w:t>
      </w:r>
      <w:r>
        <w:rPr>
          <w:rFonts w:hint="eastAsia" w:ascii="仿宋_GB2312" w:hAnsi="仿宋_GB2312" w:eastAsia="仿宋_GB2312" w:cs="仿宋_GB2312"/>
          <w:b w:val="0"/>
          <w:bCs w:val="0"/>
          <w:caps w:val="0"/>
          <w:smallCaps w:val="0"/>
          <w:color w:val="auto"/>
          <w:spacing w:val="0"/>
        </w:rPr>
        <w:t>工程量，节约基建投资。</w:t>
      </w:r>
    </w:p>
    <w:p w14:paraId="6E627C53">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总体布置近远期结合。在满足处理规模和功能要求的前提下，实现集约化布置，分期建设。</w:t>
      </w:r>
    </w:p>
    <w:p w14:paraId="7AA33AED">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对场内外物流进行合理组织，使交通线路顺直通畅，各区联系方便快捷，生产运营能有效快捷进行；</w:t>
      </w:r>
    </w:p>
    <w:p w14:paraId="0C5F885A">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主要生产部分与辅助生产部分应综合考虑地形、风向、使用功能及安全等因素，宜采取相对集中布置；</w:t>
      </w:r>
    </w:p>
    <w:p w14:paraId="65AA5B8D">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符合劳动保护、环保及防火、安全要求；</w:t>
      </w:r>
    </w:p>
    <w:p w14:paraId="60481EA2">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通过围墙有效围护场区地界，强化场区四周绿化、美化，减少环境污染，建设出一个安全、卫生、美化的场区。</w:t>
      </w:r>
    </w:p>
    <w:p w14:paraId="3A3AD587">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r>
        <w:rPr>
          <w:rFonts w:hint="eastAsia" w:ascii="楷体_GB2312" w:hAnsi="楷体_GB2312" w:eastAsia="楷体_GB2312" w:cs="楷体_GB2312"/>
          <w:b w:val="0"/>
          <w:bCs w:val="0"/>
          <w:caps w:val="0"/>
          <w:smallCaps w:val="0"/>
          <w:color w:val="auto"/>
          <w:spacing w:val="0"/>
          <w:sz w:val="32"/>
          <w:szCs w:val="28"/>
          <w:lang w:val="en-US" w:eastAsia="zh-CN"/>
        </w:rPr>
        <w:t>6．选址规划</w:t>
      </w:r>
    </w:p>
    <w:p w14:paraId="3C82A4FE">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根据</w:t>
      </w:r>
      <w:r>
        <w:rPr>
          <w:rFonts w:hint="eastAsia" w:ascii="仿宋_GB2312" w:hAnsi="仿宋_GB2312" w:eastAsia="仿宋_GB2312" w:cs="仿宋_GB2312"/>
          <w:b w:val="0"/>
          <w:bCs w:val="0"/>
          <w:caps w:val="0"/>
          <w:smallCaps w:val="0"/>
          <w:color w:val="auto"/>
          <w:spacing w:val="0"/>
          <w:lang w:eastAsia="zh-CN"/>
        </w:rPr>
        <w:t>集贤县</w:t>
      </w:r>
      <w:r>
        <w:rPr>
          <w:rFonts w:hint="eastAsia" w:ascii="仿宋_GB2312" w:hAnsi="仿宋_GB2312" w:eastAsia="仿宋_GB2312" w:cs="仿宋_GB2312"/>
          <w:b w:val="0"/>
          <w:bCs w:val="0"/>
          <w:caps w:val="0"/>
          <w:smallCaps w:val="0"/>
          <w:color w:val="auto"/>
          <w:spacing w:val="0"/>
        </w:rPr>
        <w:t>城市规模和城市建设远期预测，规划建筑垃圾转运调配</w:t>
      </w:r>
      <w:r>
        <w:rPr>
          <w:rFonts w:hint="eastAsia" w:ascii="仿宋_GB2312" w:hAnsi="仿宋_GB2312" w:eastAsia="仿宋_GB2312" w:cs="仿宋_GB2312"/>
          <w:b w:val="0"/>
          <w:bCs w:val="0"/>
          <w:caps w:val="0"/>
          <w:smallCaps w:val="0"/>
          <w:color w:val="auto"/>
          <w:spacing w:val="0"/>
          <w:lang w:val="en-US" w:eastAsia="zh-CN"/>
        </w:rPr>
        <w:t>场</w:t>
      </w:r>
      <w:r>
        <w:rPr>
          <w:rFonts w:hint="eastAsia" w:ascii="仿宋_GB2312" w:hAnsi="仿宋_GB2312" w:eastAsia="仿宋_GB2312" w:cs="仿宋_GB2312"/>
          <w:b w:val="0"/>
          <w:bCs w:val="0"/>
          <w:caps w:val="0"/>
          <w:smallCaps w:val="0"/>
          <w:color w:val="auto"/>
          <w:spacing w:val="0"/>
        </w:rPr>
        <w:t>与消纳场</w:t>
      </w:r>
      <w:r>
        <w:rPr>
          <w:rFonts w:hint="eastAsia" w:ascii="仿宋_GB2312" w:hAnsi="仿宋_GB2312" w:eastAsia="仿宋_GB2312" w:cs="仿宋_GB2312"/>
          <w:b w:val="0"/>
          <w:bCs w:val="0"/>
          <w:caps w:val="0"/>
          <w:smallCaps w:val="0"/>
          <w:color w:val="auto"/>
          <w:spacing w:val="0"/>
          <w:lang w:val="en-US" w:eastAsia="zh-CN"/>
        </w:rPr>
        <w:t>就近建设</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lang w:val="en-US" w:eastAsia="zh-CN"/>
        </w:rPr>
        <w:t>规划对</w:t>
      </w:r>
      <w:r>
        <w:rPr>
          <w:rFonts w:hint="eastAsia" w:ascii="仿宋_GB2312" w:hAnsi="仿宋_GB2312" w:eastAsia="仿宋_GB2312" w:cs="仿宋_GB2312"/>
          <w:b w:val="0"/>
          <w:bCs w:val="0"/>
          <w:caps w:val="0"/>
          <w:smallCaps w:val="0"/>
          <w:color w:val="auto"/>
          <w:spacing w:val="0"/>
        </w:rPr>
        <w:t>建筑垃圾转运调配</w:t>
      </w:r>
      <w:r>
        <w:rPr>
          <w:rFonts w:hint="eastAsia" w:ascii="仿宋_GB2312" w:hAnsi="仿宋_GB2312" w:eastAsia="仿宋_GB2312" w:cs="仿宋_GB2312"/>
          <w:b w:val="0"/>
          <w:bCs w:val="0"/>
          <w:caps w:val="0"/>
          <w:smallCaps w:val="0"/>
          <w:color w:val="auto"/>
          <w:spacing w:val="0"/>
          <w:lang w:val="en-US" w:eastAsia="zh-CN"/>
        </w:rPr>
        <w:t>场进行选址，</w:t>
      </w:r>
      <w:r>
        <w:rPr>
          <w:rFonts w:hint="eastAsia" w:ascii="仿宋_GB2312" w:hAnsi="仿宋_GB2312" w:eastAsia="仿宋_GB2312" w:cs="仿宋_GB2312"/>
          <w:b w:val="0"/>
          <w:bCs w:val="0"/>
          <w:caps w:val="0"/>
          <w:smallCaps w:val="0"/>
          <w:color w:val="auto"/>
          <w:spacing w:val="0"/>
        </w:rPr>
        <w:t>综合考虑产生量、收</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转</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运能力及运距、处置方式、环境影响、群众意愿</w:t>
      </w:r>
      <w:r>
        <w:rPr>
          <w:rFonts w:hint="eastAsia" w:ascii="仿宋_GB2312" w:hAnsi="仿宋_GB2312" w:eastAsia="仿宋_GB2312" w:cs="仿宋_GB2312"/>
          <w:b w:val="0"/>
          <w:bCs w:val="0"/>
          <w:caps w:val="0"/>
          <w:smallCaps w:val="0"/>
          <w:color w:val="auto"/>
          <w:spacing w:val="0"/>
          <w:lang w:eastAsia="zh-CN"/>
        </w:rPr>
        <w:t>等因素，</w:t>
      </w:r>
      <w:r>
        <w:rPr>
          <w:rFonts w:hint="eastAsia" w:ascii="仿宋_GB2312" w:hAnsi="仿宋_GB2312" w:eastAsia="仿宋_GB2312" w:cs="仿宋_GB2312"/>
          <w:b w:val="0"/>
          <w:bCs w:val="0"/>
          <w:caps w:val="0"/>
          <w:smallCaps w:val="0"/>
          <w:color w:val="auto"/>
          <w:spacing w:val="0"/>
          <w:lang w:val="en-US" w:eastAsia="zh-CN"/>
        </w:rPr>
        <w:t>选择位于集贤县笔架山农场西南侧的建筑垃圾消纳场区东侧，占地面积0.4公顷，容量2.5万m</w:t>
      </w:r>
      <w:r>
        <w:rPr>
          <w:rFonts w:hint="eastAsia" w:ascii="仿宋_GB2312" w:hAnsi="仿宋_GB2312" w:eastAsia="仿宋_GB2312" w:cs="仿宋_GB2312"/>
          <w:b w:val="0"/>
          <w:bCs w:val="0"/>
          <w:caps w:val="0"/>
          <w:smallCaps w:val="0"/>
          <w:color w:val="auto"/>
          <w:spacing w:val="0"/>
          <w:vertAlign w:val="superscript"/>
          <w:lang w:val="en-US" w:eastAsia="zh-CN"/>
        </w:rPr>
        <w:t>3</w:t>
      </w:r>
      <w:r>
        <w:rPr>
          <w:rFonts w:hint="eastAsia" w:ascii="仿宋_GB2312" w:hAnsi="仿宋_GB2312" w:eastAsia="仿宋_GB2312" w:cs="仿宋_GB2312"/>
          <w:b w:val="0"/>
          <w:bCs w:val="0"/>
          <w:caps w:val="0"/>
          <w:smallCaps w:val="0"/>
          <w:color w:val="auto"/>
          <w:spacing w:val="0"/>
          <w:lang w:val="en-US" w:eastAsia="zh-CN"/>
        </w:rPr>
        <w:t>，可满足2～3年周转期的需求</w:t>
      </w:r>
      <w:r>
        <w:rPr>
          <w:rFonts w:hint="eastAsia" w:ascii="仿宋_GB2312" w:hAnsi="仿宋_GB2312" w:eastAsia="仿宋_GB2312" w:cs="仿宋_GB2312"/>
          <w:b w:val="0"/>
          <w:bCs w:val="0"/>
          <w:caps w:val="0"/>
          <w:smallCaps w:val="0"/>
          <w:color w:val="auto"/>
          <w:spacing w:val="0"/>
          <w:lang w:eastAsia="zh-CN"/>
        </w:rPr>
        <w:t>。远期根据</w:t>
      </w:r>
      <w:r>
        <w:rPr>
          <w:rFonts w:hint="eastAsia" w:ascii="仿宋_GB2312" w:hAnsi="仿宋_GB2312" w:eastAsia="仿宋_GB2312" w:cs="仿宋_GB2312"/>
          <w:b w:val="0"/>
          <w:bCs w:val="0"/>
          <w:caps w:val="0"/>
          <w:smallCaps w:val="0"/>
          <w:color w:val="auto"/>
          <w:spacing w:val="0"/>
          <w:lang w:val="en-US" w:eastAsia="zh-CN"/>
        </w:rPr>
        <w:t>城市</w:t>
      </w:r>
      <w:r>
        <w:rPr>
          <w:rFonts w:hint="eastAsia" w:ascii="仿宋_GB2312" w:hAnsi="仿宋_GB2312" w:eastAsia="仿宋_GB2312" w:cs="仿宋_GB2312"/>
          <w:b w:val="0"/>
          <w:bCs w:val="0"/>
          <w:caps w:val="0"/>
          <w:smallCaps w:val="0"/>
          <w:color w:val="auto"/>
          <w:spacing w:val="0"/>
          <w:lang w:eastAsia="zh-CN"/>
        </w:rPr>
        <w:t>发展情况对调配</w:t>
      </w:r>
      <w:r>
        <w:rPr>
          <w:rFonts w:hint="eastAsia" w:ascii="仿宋_GB2312" w:hAnsi="仿宋_GB2312" w:eastAsia="仿宋_GB2312" w:cs="仿宋_GB2312"/>
          <w:b w:val="0"/>
          <w:bCs w:val="0"/>
          <w:caps w:val="0"/>
          <w:smallCaps w:val="0"/>
          <w:color w:val="auto"/>
          <w:spacing w:val="0"/>
          <w:lang w:val="en-US" w:eastAsia="zh-CN"/>
        </w:rPr>
        <w:t>场进行</w:t>
      </w:r>
      <w:r>
        <w:rPr>
          <w:rFonts w:hint="eastAsia" w:ascii="仿宋_GB2312" w:hAnsi="仿宋_GB2312" w:eastAsia="仿宋_GB2312" w:cs="仿宋_GB2312"/>
          <w:b w:val="0"/>
          <w:bCs w:val="0"/>
          <w:caps w:val="0"/>
          <w:smallCaps w:val="0"/>
          <w:color w:val="auto"/>
          <w:spacing w:val="0"/>
          <w:lang w:eastAsia="zh-CN"/>
        </w:rPr>
        <w:t>新/扩建以满足发展需要。</w:t>
      </w:r>
    </w:p>
    <w:p w14:paraId="25FF8AB8">
      <w:pPr>
        <w:pStyle w:val="8"/>
        <w:spacing w:line="240" w:lineRule="auto"/>
        <w:jc w:val="center"/>
        <w:rPr>
          <w:rFonts w:hint="eastAsia" w:eastAsia="宋体"/>
          <w:b w:val="0"/>
          <w:bCs w:val="0"/>
          <w:caps w:val="0"/>
          <w:smallCaps w:val="0"/>
          <w:color w:val="auto"/>
          <w:spacing w:val="0"/>
          <w:highlight w:val="none"/>
          <w:lang w:eastAsia="zh-CN"/>
        </w:rPr>
      </w:pPr>
      <w:r>
        <w:rPr>
          <w:rFonts w:hint="eastAsia" w:eastAsia="宋体"/>
          <w:b w:val="0"/>
          <w:bCs w:val="0"/>
          <w:caps w:val="0"/>
          <w:smallCaps w:val="0"/>
          <w:color w:val="auto"/>
          <w:spacing w:val="0"/>
          <w:highlight w:val="none"/>
          <w:lang w:eastAsia="zh-CN"/>
        </w:rPr>
        <w:drawing>
          <wp:inline distT="0" distB="0" distL="114300" distR="114300">
            <wp:extent cx="5071745" cy="3330575"/>
            <wp:effectExtent l="0" t="0" r="14605" b="3175"/>
            <wp:docPr id="6" name="图片 6" descr="9f7efdf9412572ea2c0bd84560cf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f7efdf9412572ea2c0bd84560cf8e0"/>
                    <pic:cNvPicPr>
                      <a:picLocks noChangeAspect="1"/>
                    </pic:cNvPicPr>
                  </pic:nvPicPr>
                  <pic:blipFill>
                    <a:blip r:embed="rId26"/>
                    <a:stretch>
                      <a:fillRect/>
                    </a:stretch>
                  </pic:blipFill>
                  <pic:spPr>
                    <a:xfrm>
                      <a:off x="0" y="0"/>
                      <a:ext cx="5071745" cy="3330575"/>
                    </a:xfrm>
                    <a:prstGeom prst="rect">
                      <a:avLst/>
                    </a:prstGeom>
                  </pic:spPr>
                </pic:pic>
              </a:graphicData>
            </a:graphic>
          </wp:inline>
        </w:drawing>
      </w:r>
    </w:p>
    <w:p w14:paraId="467B4CD2">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建筑垃圾调配场拟选址航拍图</w:t>
      </w:r>
    </w:p>
    <w:p w14:paraId="7EF6D227">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234" w:name="_Toc30932"/>
      <w:r>
        <w:rPr>
          <w:rFonts w:hint="eastAsia" w:ascii="楷体_GB2312" w:hAnsi="楷体_GB2312" w:eastAsia="楷体_GB2312" w:cs="楷体_GB2312"/>
          <w:b w:val="0"/>
          <w:bCs w:val="0"/>
          <w:caps w:val="0"/>
          <w:smallCaps w:val="0"/>
          <w:color w:val="auto"/>
          <w:spacing w:val="0"/>
          <w:sz w:val="32"/>
          <w:szCs w:val="28"/>
          <w:lang w:val="en-US" w:eastAsia="zh-CN"/>
        </w:rPr>
        <w:t>7．</w:t>
      </w:r>
      <w:r>
        <w:rPr>
          <w:rFonts w:hint="default" w:ascii="楷体_GB2312" w:hAnsi="楷体_GB2312" w:eastAsia="楷体_GB2312" w:cs="楷体_GB2312"/>
          <w:b w:val="0"/>
          <w:bCs w:val="0"/>
          <w:caps w:val="0"/>
          <w:smallCaps w:val="0"/>
          <w:color w:val="auto"/>
          <w:spacing w:val="0"/>
          <w:sz w:val="32"/>
          <w:szCs w:val="28"/>
          <w:lang w:val="en-US" w:eastAsia="zh-CN"/>
        </w:rPr>
        <w:t>工程方案</w:t>
      </w:r>
      <w:bookmarkEnd w:id="234"/>
    </w:p>
    <w:p w14:paraId="63A81C4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rPr>
        <w:t>建筑垃圾分类收集运输→</w:t>
      </w:r>
      <w:r>
        <w:rPr>
          <w:rFonts w:hint="eastAsia" w:ascii="仿宋_GB2312" w:hAnsi="仿宋_GB2312" w:eastAsia="仿宋_GB2312" w:cs="仿宋_GB2312"/>
          <w:b w:val="0"/>
          <w:bCs w:val="0"/>
          <w:caps w:val="0"/>
          <w:smallCaps w:val="0"/>
          <w:color w:val="auto"/>
          <w:spacing w:val="0"/>
          <w:lang w:val="en-US" w:eastAsia="zh-CN"/>
        </w:rPr>
        <w:t>调配场内暂存</w:t>
      </w:r>
      <w:r>
        <w:rPr>
          <w:rFonts w:hint="eastAsia" w:ascii="仿宋_GB2312" w:hAnsi="仿宋_GB2312" w:eastAsia="仿宋_GB2312" w:cs="仿宋_GB2312"/>
          <w:b w:val="0"/>
          <w:bCs w:val="0"/>
          <w:caps w:val="0"/>
          <w:smallCaps w:val="0"/>
          <w:color w:val="auto"/>
          <w:spacing w:val="0"/>
        </w:rPr>
        <w:t>→</w:t>
      </w:r>
      <w:r>
        <w:rPr>
          <w:rFonts w:hint="eastAsia" w:ascii="仿宋_GB2312" w:hAnsi="仿宋_GB2312" w:eastAsia="仿宋_GB2312" w:cs="仿宋_GB2312"/>
          <w:b w:val="0"/>
          <w:bCs w:val="0"/>
          <w:caps w:val="0"/>
          <w:smallCaps w:val="0"/>
          <w:color w:val="auto"/>
          <w:spacing w:val="0"/>
          <w:lang w:val="en-US" w:eastAsia="zh-CN"/>
        </w:rPr>
        <w:t>根据需要转运至对应地点</w:t>
      </w:r>
    </w:p>
    <w:p w14:paraId="6DB63682">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分类暂存区</w:t>
      </w:r>
    </w:p>
    <w:p w14:paraId="101A4863">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转运调配场堆放区采取露天方式，定期喷水防尘、降噪措施。露天堆放的建筑垃圾及时采用1.0mm厚</w:t>
      </w:r>
      <w:r>
        <w:rPr>
          <w:rFonts w:hint="eastAsia" w:ascii="仿宋_GB2312" w:hAnsi="仿宋_GB2312" w:eastAsia="仿宋_GB2312" w:cs="仿宋_GB2312"/>
          <w:b w:val="0"/>
          <w:bCs w:val="0"/>
          <w:caps w:val="0"/>
          <w:smallCaps w:val="0"/>
          <w:color w:val="auto"/>
          <w:spacing w:val="0"/>
          <w:lang w:val="en-US" w:eastAsia="zh-CN"/>
        </w:rPr>
        <w:t>HDPE膜</w:t>
      </w:r>
      <w:r>
        <w:rPr>
          <w:rFonts w:hint="eastAsia" w:ascii="仿宋_GB2312" w:hAnsi="仿宋_GB2312" w:eastAsia="仿宋_GB2312" w:cs="仿宋_GB2312"/>
          <w:b w:val="0"/>
          <w:bCs w:val="0"/>
          <w:caps w:val="0"/>
          <w:smallCaps w:val="0"/>
          <w:color w:val="auto"/>
          <w:spacing w:val="0"/>
        </w:rPr>
        <w:t>遮盖，堆放区地坪标高应高于周围场地至少0.15m，雨水导排至</w:t>
      </w:r>
      <w:r>
        <w:rPr>
          <w:rFonts w:hint="eastAsia" w:ascii="仿宋_GB2312" w:hAnsi="仿宋_GB2312" w:eastAsia="仿宋_GB2312" w:cs="仿宋_GB2312"/>
          <w:b w:val="0"/>
          <w:bCs w:val="0"/>
          <w:caps w:val="0"/>
          <w:smallCaps w:val="0"/>
          <w:color w:val="auto"/>
          <w:spacing w:val="0"/>
          <w:lang w:val="en-US" w:eastAsia="zh-CN"/>
        </w:rPr>
        <w:t>周边坑塘</w:t>
      </w:r>
      <w:r>
        <w:rPr>
          <w:rFonts w:hint="eastAsia" w:ascii="仿宋_GB2312" w:hAnsi="仿宋_GB2312" w:eastAsia="仿宋_GB2312" w:cs="仿宋_GB2312"/>
          <w:b w:val="0"/>
          <w:bCs w:val="0"/>
          <w:caps w:val="0"/>
          <w:smallCaps w:val="0"/>
          <w:color w:val="auto"/>
          <w:spacing w:val="0"/>
        </w:rPr>
        <w:t>。</w:t>
      </w:r>
    </w:p>
    <w:p w14:paraId="2B65B8AD">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降尘降噪设计</w:t>
      </w:r>
    </w:p>
    <w:p w14:paraId="29A2274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场区四周设置绿化带。</w:t>
      </w:r>
    </w:p>
    <w:p w14:paraId="47D99DBA">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扬尘和粉尘的控制拟采取以下措施：</w:t>
      </w:r>
    </w:p>
    <w:p w14:paraId="2B2D057A">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1）</w:t>
      </w:r>
      <w:r>
        <w:rPr>
          <w:rFonts w:hint="eastAsia" w:ascii="仿宋_GB2312" w:hAnsi="仿宋_GB2312" w:eastAsia="仿宋_GB2312" w:cs="仿宋_GB2312"/>
          <w:b w:val="0"/>
          <w:bCs w:val="0"/>
          <w:caps w:val="0"/>
          <w:smallCaps w:val="0"/>
          <w:color w:val="auto"/>
          <w:spacing w:val="0"/>
          <w:lang w:val="en-US" w:eastAsia="zh-CN"/>
        </w:rPr>
        <w:t>厂区</w:t>
      </w:r>
      <w:r>
        <w:rPr>
          <w:rFonts w:hint="eastAsia" w:ascii="仿宋_GB2312" w:hAnsi="仿宋_GB2312" w:eastAsia="仿宋_GB2312" w:cs="仿宋_GB2312"/>
          <w:b w:val="0"/>
          <w:bCs w:val="0"/>
          <w:caps w:val="0"/>
          <w:smallCaps w:val="0"/>
          <w:color w:val="auto"/>
          <w:spacing w:val="0"/>
        </w:rPr>
        <w:t>设置</w:t>
      </w:r>
      <w:r>
        <w:rPr>
          <w:rFonts w:hint="eastAsia" w:ascii="仿宋_GB2312" w:hAnsi="仿宋_GB2312" w:eastAsia="仿宋_GB2312" w:cs="仿宋_GB2312"/>
          <w:b w:val="0"/>
          <w:bCs w:val="0"/>
          <w:caps w:val="0"/>
          <w:smallCaps w:val="0"/>
          <w:color w:val="auto"/>
          <w:spacing w:val="0"/>
          <w:lang w:val="en-US" w:eastAsia="zh-CN"/>
        </w:rPr>
        <w:t>防尘网</w:t>
      </w:r>
      <w:r>
        <w:rPr>
          <w:rFonts w:hint="eastAsia" w:ascii="仿宋_GB2312" w:hAnsi="仿宋_GB2312" w:eastAsia="仿宋_GB2312" w:cs="仿宋_GB2312"/>
          <w:b w:val="0"/>
          <w:bCs w:val="0"/>
          <w:caps w:val="0"/>
          <w:smallCaps w:val="0"/>
          <w:color w:val="auto"/>
          <w:spacing w:val="0"/>
        </w:rPr>
        <w:t>；</w:t>
      </w:r>
    </w:p>
    <w:p w14:paraId="3D079DB1">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2）在容易产生扬尘的地方设置喷雾降尘的设施。</w:t>
      </w:r>
    </w:p>
    <w:p w14:paraId="2E70EA8A">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3）配备保洁车辆，对场内道路采取定时保洁措施；</w:t>
      </w:r>
    </w:p>
    <w:p w14:paraId="25C8D2F1">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4）种植绿化隔离带，控制扬尘扩散；</w:t>
      </w:r>
    </w:p>
    <w:p w14:paraId="5E7E2340">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bookmarkStart w:id="235" w:name="bookmark106"/>
      <w:bookmarkEnd w:id="235"/>
      <w:bookmarkStart w:id="236" w:name="bookmark108"/>
      <w:bookmarkEnd w:id="236"/>
      <w:bookmarkStart w:id="237" w:name="_Toc8571"/>
      <w:bookmarkStart w:id="238" w:name="_Toc7976"/>
      <w:bookmarkStart w:id="239" w:name="_Toc16547"/>
      <w:bookmarkStart w:id="240" w:name="_Toc19477"/>
      <w:bookmarkStart w:id="241" w:name="_Toc24811"/>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地磅设计</w:t>
      </w:r>
    </w:p>
    <w:p w14:paraId="4BE4391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厂区主入口设置一台80t地磅。</w:t>
      </w:r>
    </w:p>
    <w:p w14:paraId="2847601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1）地磅结构设计</w:t>
      </w:r>
    </w:p>
    <w:p w14:paraId="45B16A4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采用高强度钢材制作秤台，确保其能够承受垃圾运输车辆的重量。秤台表面应进行防滑处理，防止车辆在称重过程中打滑。</w:t>
      </w:r>
    </w:p>
    <w:p w14:paraId="15F2303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设计合理的秤台结构，确保称重时的稳定性和准确性。可以采用 U 型梁结构或平板结构，根据实际情况进行选择。</w:t>
      </w:r>
    </w:p>
    <w:p w14:paraId="1512EBD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选择高精度、可靠性好的称重传感器，安装在秤台下方。传感器的数量和分布应根据秤台尺寸和承载能力进行合理设计，确保称重的准确性和稳定性。</w:t>
      </w:r>
    </w:p>
    <w:p w14:paraId="2661FF5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传感器应进行防水、防尘、防腐处理，以适应垃圾调配场的恶劣环境。</w:t>
      </w:r>
    </w:p>
    <w:p w14:paraId="4CCB588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在秤台的两端和两侧设置限位装置，防止车辆在称重过程中超出秤台范围，保证称重的准确性和安全性。限位装置应具有足够的强度和刚度，能够承受车辆的冲击力</w:t>
      </w:r>
    </w:p>
    <w:p w14:paraId="5CED040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2）地磅附属设施设计</w:t>
      </w:r>
    </w:p>
    <w:p w14:paraId="418D02A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在秤台周围设置防护栏，防止车辆在称重过程中发生意外碰撞。防护栏的高度应不低于 1.2m，强度应能够承受车辆的撞击。</w:t>
      </w:r>
    </w:p>
    <w:p w14:paraId="2E34910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在地磅入口和出口处设置减速带，提醒车辆减速慢行，确保称重的准确性和安全性。</w:t>
      </w:r>
    </w:p>
    <w:p w14:paraId="0C9D7E7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在垃圾调配场地磅周围设置充足的照明设施，确保夜间称重的安全性和准确性。照明灯具应具有防水、防尘、防腐等性能，适应垃圾调配场的恶劣环境。</w:t>
      </w:r>
    </w:p>
    <w:p w14:paraId="39DED5B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在地磅周围设置排水系统，及时排除雨水和污水，防止积水影响地磅的正常使用。排水系统应与垃圾调配场的整体排水系统相连接。</w:t>
      </w:r>
    </w:p>
    <w:p w14:paraId="2885B7E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在垃圾调配场地磅周围设置明显的标识和标线，引导车辆正确行驶和停放。标识和标线应清晰、醒目，易于识别</w:t>
      </w:r>
    </w:p>
    <w:p w14:paraId="0D77895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3）地磅控制系统设计</w:t>
      </w:r>
    </w:p>
    <w:p w14:paraId="0701D1F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①称重仪表：</w:t>
      </w:r>
    </w:p>
    <w:p w14:paraId="265A064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选择功能齐全、操作简便的称重仪表，能够实时显示车辆的重量、累计重量、去皮重量等信息。称重仪表应具有数据存储、打印、传输等功能，方便数据管理和统计。</w:t>
      </w:r>
    </w:p>
    <w:p w14:paraId="1CF16F1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称重仪表应具有良好的抗干扰能力，能够在垃圾调配场的复杂环境下稳定工作。</w:t>
      </w:r>
    </w:p>
    <w:p w14:paraId="634ACF8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②计算机管理系统：</w:t>
      </w:r>
    </w:p>
    <w:p w14:paraId="0E38D1C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建立计算机管理系统，与称重仪表进行连接，实现地磅的远程监控和管理。计算机管理系统应具有数据采集、存储、查询、统计、报表生成等功能，方便管理人员对垃圾调配场的称重数据进行管理和分析。</w:t>
      </w:r>
    </w:p>
    <w:p w14:paraId="31F0F5E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计算机管理系统应具有良好的安全性和稳定性，能够防止数据丢失和系统故障。</w:t>
      </w:r>
    </w:p>
    <w:p w14:paraId="6EC7913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③通信系统：</w:t>
      </w:r>
    </w:p>
    <w:p w14:paraId="53DC5CC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建立通信系统，实现地磅与垃圾调配场其他设备和管理部门的信息交互。通信系统可以采用有线通信或无线通信方式，根据实际情况进行选择。</w:t>
      </w:r>
    </w:p>
    <w:p w14:paraId="4C5C8C7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通信系统应具有良好的可靠性和稳定性，能够确保信息的及时传递和准确接收。</w:t>
      </w:r>
    </w:p>
    <w:p w14:paraId="1C7F6DE8">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（4）</w:t>
      </w:r>
      <w:r>
        <w:rPr>
          <w:rFonts w:hint="eastAsia" w:ascii="仿宋_GB2312" w:hAnsi="仿宋_GB2312" w:eastAsia="仿宋_GB2312" w:cs="仿宋_GB2312"/>
          <w:b w:val="0"/>
          <w:bCs w:val="0"/>
          <w:caps w:val="0"/>
          <w:smallCaps w:val="0"/>
          <w:color w:val="auto"/>
          <w:spacing w:val="0"/>
          <w:lang w:val="en-US" w:eastAsia="zh-CN"/>
        </w:rPr>
        <w:t>道路设计</w:t>
      </w:r>
      <w:bookmarkEnd w:id="237"/>
      <w:bookmarkEnd w:id="238"/>
      <w:bookmarkEnd w:id="239"/>
      <w:bookmarkEnd w:id="240"/>
      <w:bookmarkEnd w:id="241"/>
    </w:p>
    <w:p w14:paraId="7807CD0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rPr>
        <w:t>厂区</w:t>
      </w:r>
      <w:r>
        <w:rPr>
          <w:rFonts w:hint="eastAsia" w:ascii="仿宋_GB2312" w:hAnsi="仿宋_GB2312" w:eastAsia="仿宋_GB2312" w:cs="仿宋_GB2312"/>
          <w:b w:val="0"/>
          <w:bCs w:val="0"/>
          <w:caps w:val="0"/>
          <w:smallCaps w:val="0"/>
          <w:color w:val="auto"/>
          <w:spacing w:val="0"/>
          <w:lang w:val="en-US" w:eastAsia="zh-CN"/>
        </w:rPr>
        <w:t>进场</w:t>
      </w:r>
      <w:r>
        <w:rPr>
          <w:rFonts w:hint="eastAsia" w:ascii="仿宋_GB2312" w:hAnsi="仿宋_GB2312" w:eastAsia="仿宋_GB2312" w:cs="仿宋_GB2312"/>
          <w:b w:val="0"/>
          <w:bCs w:val="0"/>
          <w:caps w:val="0"/>
          <w:smallCaps w:val="0"/>
          <w:color w:val="auto"/>
          <w:spacing w:val="0"/>
        </w:rPr>
        <w:t>道路</w:t>
      </w:r>
      <w:r>
        <w:rPr>
          <w:rFonts w:hint="eastAsia" w:ascii="仿宋_GB2312" w:hAnsi="仿宋_GB2312" w:eastAsia="仿宋_GB2312" w:cs="仿宋_GB2312"/>
          <w:b w:val="0"/>
          <w:bCs w:val="0"/>
          <w:caps w:val="0"/>
          <w:smallCaps w:val="0"/>
          <w:color w:val="auto"/>
          <w:spacing w:val="0"/>
          <w:lang w:val="en-US" w:eastAsia="zh-CN"/>
        </w:rPr>
        <w:t>采用</w:t>
      </w:r>
      <w:r>
        <w:rPr>
          <w:rFonts w:hint="eastAsia" w:ascii="仿宋_GB2312" w:hAnsi="仿宋_GB2312" w:eastAsia="仿宋_GB2312" w:cs="仿宋_GB2312"/>
          <w:b w:val="0"/>
          <w:bCs w:val="0"/>
          <w:caps w:val="0"/>
          <w:smallCaps w:val="0"/>
          <w:color w:val="auto"/>
          <w:spacing w:val="0"/>
        </w:rPr>
        <w:t>混凝土面层，</w:t>
      </w:r>
      <w:r>
        <w:rPr>
          <w:rFonts w:hint="eastAsia" w:ascii="仿宋_GB2312" w:hAnsi="仿宋_GB2312" w:eastAsia="仿宋_GB2312" w:cs="仿宋_GB2312"/>
          <w:b w:val="0"/>
          <w:bCs w:val="0"/>
          <w:caps w:val="0"/>
          <w:smallCaps w:val="0"/>
          <w:color w:val="auto"/>
          <w:spacing w:val="0"/>
          <w:lang w:val="en-US" w:eastAsia="zh-CN"/>
        </w:rPr>
        <w:t>地面坡度1%，向四周找坡。</w:t>
      </w:r>
    </w:p>
    <w:p w14:paraId="20CE6896">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道路按露天矿山道路三级标准进行设计：设计时速：20km/h；</w:t>
      </w:r>
    </w:p>
    <w:p w14:paraId="5A3EAFCD">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道路最大纵坡：2.41%；</w:t>
      </w:r>
    </w:p>
    <w:p w14:paraId="0142290E">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路面路拱横坡为双向2%；</w:t>
      </w:r>
    </w:p>
    <w:p w14:paraId="6639AE7C">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极限最小转弯半径（包括回头曲线半径）：6m，特殊要求部分为12m。</w:t>
      </w:r>
    </w:p>
    <w:p w14:paraId="53F474B4">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1）路面结构</w:t>
      </w:r>
    </w:p>
    <w:p w14:paraId="2ACA87E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rPr>
        <w:t>道路及硬化场地</w:t>
      </w:r>
      <w:r>
        <w:rPr>
          <w:rFonts w:hint="eastAsia" w:ascii="仿宋_GB2312" w:hAnsi="仿宋_GB2312" w:eastAsia="仿宋_GB2312" w:cs="仿宋_GB2312"/>
          <w:b w:val="0"/>
          <w:bCs w:val="0"/>
          <w:caps w:val="0"/>
          <w:smallCaps w:val="0"/>
          <w:color w:val="auto"/>
          <w:spacing w:val="0"/>
          <w:lang w:val="en-US" w:eastAsia="zh-CN"/>
        </w:rPr>
        <w:t>结构层从上到下依次为：</w:t>
      </w:r>
    </w:p>
    <w:p w14:paraId="387A3FA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C30水泥混凝土20cm</w:t>
      </w:r>
    </w:p>
    <w:p w14:paraId="74E612A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6%水泥稳定砂砾20cm</w:t>
      </w:r>
    </w:p>
    <w:p w14:paraId="3CE9CDD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5%水泥稳定砂砾20cm</w:t>
      </w:r>
    </w:p>
    <w:p w14:paraId="219C6466">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山皮石30cm</w:t>
      </w:r>
    </w:p>
    <w:p w14:paraId="5E170F85">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2）道路路基</w:t>
      </w:r>
    </w:p>
    <w:p w14:paraId="76BFF738">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路基分段采用填方路基、挖方路基、半填半挖路基形式，路基必须密实、均匀、稳定。抗折强度为4.5MPa。</w:t>
      </w:r>
    </w:p>
    <w:p w14:paraId="108AB41B">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bookmarkStart w:id="242" w:name="bookmark110"/>
      <w:bookmarkEnd w:id="242"/>
      <w:bookmarkStart w:id="243" w:name="_Toc340"/>
      <w:bookmarkStart w:id="244" w:name="_Toc26952"/>
      <w:bookmarkStart w:id="245" w:name="_Toc9597"/>
      <w:bookmarkStart w:id="246" w:name="_Toc22232"/>
      <w:bookmarkStart w:id="247" w:name="_Toc25275"/>
      <w:r>
        <w:rPr>
          <w:rFonts w:hint="default" w:ascii="仿宋_GB2312" w:hAnsi="仿宋_GB2312" w:eastAsia="仿宋_GB2312" w:cs="仿宋_GB2312"/>
          <w:b w:val="0"/>
          <w:bCs w:val="0"/>
          <w:caps w:val="0"/>
          <w:smallCaps w:val="0"/>
          <w:color w:val="auto"/>
          <w:spacing w:val="0"/>
          <w:lang w:eastAsia="zh-CN"/>
        </w:rPr>
        <w:t>（5）</w:t>
      </w:r>
      <w:r>
        <w:rPr>
          <w:rFonts w:hint="eastAsia" w:ascii="仿宋_GB2312" w:hAnsi="仿宋_GB2312" w:eastAsia="仿宋_GB2312" w:cs="仿宋_GB2312"/>
          <w:b w:val="0"/>
          <w:bCs w:val="0"/>
          <w:caps w:val="0"/>
          <w:smallCaps w:val="0"/>
          <w:color w:val="auto"/>
          <w:spacing w:val="0"/>
          <w:lang w:val="en-US" w:eastAsia="zh-CN"/>
        </w:rPr>
        <w:t>抗震设防烈度</w:t>
      </w:r>
      <w:bookmarkEnd w:id="243"/>
      <w:bookmarkEnd w:id="244"/>
      <w:bookmarkEnd w:id="245"/>
      <w:bookmarkEnd w:id="246"/>
      <w:bookmarkEnd w:id="247"/>
    </w:p>
    <w:p w14:paraId="3B178138">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抗震设防烈度为7度，设计基本地震加速度0.10g，设计地震分组为第一组，特征周期值0.35s；场地类别为</w:t>
      </w:r>
      <w:r>
        <w:rPr>
          <w:rFonts w:hint="eastAsia" w:ascii="仿宋_GB2312" w:hAnsi="仿宋_GB2312" w:eastAsia="仿宋_GB2312" w:cs="仿宋_GB2312"/>
          <w:b w:val="0"/>
          <w:bCs w:val="0"/>
          <w:caps w:val="0"/>
          <w:smallCaps w:val="0"/>
          <w:color w:val="auto"/>
          <w:spacing w:val="0"/>
          <w:lang w:eastAsia="zh-CN"/>
        </w:rPr>
        <w:t>Ⅱ类</w:t>
      </w:r>
      <w:r>
        <w:rPr>
          <w:rFonts w:hint="eastAsia" w:ascii="仿宋_GB2312" w:hAnsi="仿宋_GB2312" w:eastAsia="仿宋_GB2312" w:cs="仿宋_GB2312"/>
          <w:b w:val="0"/>
          <w:bCs w:val="0"/>
          <w:caps w:val="0"/>
          <w:smallCaps w:val="0"/>
          <w:color w:val="auto"/>
          <w:spacing w:val="0"/>
        </w:rPr>
        <w:t>；钢结构结构抗震等级为四级；基本风压0.65 kN/</w:t>
      </w:r>
      <w:r>
        <w:rPr>
          <w:rFonts w:hint="eastAsia" w:ascii="仿宋_GB2312" w:hAnsi="仿宋_GB2312" w:eastAsia="仿宋_GB2312" w:cs="仿宋_GB2312"/>
          <w:b w:val="0"/>
          <w:bCs w:val="0"/>
          <w:caps w:val="0"/>
          <w:smallCaps w:val="0"/>
          <w:color w:val="auto"/>
          <w:spacing w:val="0"/>
          <w:lang w:val="en-US" w:eastAsia="zh-CN"/>
        </w:rPr>
        <w:t>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rPr>
        <w:t>，基本雪压0.95kN/</w:t>
      </w:r>
      <w:r>
        <w:rPr>
          <w:rFonts w:hint="eastAsia" w:ascii="仿宋_GB2312" w:hAnsi="仿宋_GB2312" w:eastAsia="仿宋_GB2312" w:cs="仿宋_GB2312"/>
          <w:b w:val="0"/>
          <w:bCs w:val="0"/>
          <w:caps w:val="0"/>
          <w:smallCaps w:val="0"/>
          <w:color w:val="auto"/>
          <w:spacing w:val="0"/>
          <w:lang w:val="en-US" w:eastAsia="zh-CN"/>
        </w:rPr>
        <w:t>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rPr>
        <w:t>（重现期100年）；建筑结构安全等级为二级。</w:t>
      </w:r>
    </w:p>
    <w:p w14:paraId="7481C7BF">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（6）</w:t>
      </w:r>
      <w:r>
        <w:rPr>
          <w:rFonts w:hint="eastAsia" w:ascii="仿宋_GB2312" w:hAnsi="仿宋_GB2312" w:eastAsia="仿宋_GB2312" w:cs="仿宋_GB2312"/>
          <w:b w:val="0"/>
          <w:bCs w:val="0"/>
          <w:caps w:val="0"/>
          <w:smallCaps w:val="0"/>
          <w:color w:val="auto"/>
          <w:spacing w:val="0"/>
          <w:lang w:val="en-US" w:eastAsia="zh-CN"/>
        </w:rPr>
        <w:t>结构选型</w:t>
      </w:r>
    </w:p>
    <w:p w14:paraId="02907090">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本项目所设计的</w:t>
      </w:r>
      <w:r>
        <w:rPr>
          <w:rFonts w:hint="eastAsia" w:ascii="仿宋_GB2312" w:hAnsi="仿宋_GB2312" w:eastAsia="仿宋_GB2312" w:cs="仿宋_GB2312"/>
          <w:b w:val="0"/>
          <w:bCs w:val="0"/>
          <w:caps w:val="0"/>
          <w:smallCaps w:val="0"/>
          <w:color w:val="auto"/>
          <w:spacing w:val="0"/>
          <w:lang w:val="en-US" w:eastAsia="zh-CN"/>
        </w:rPr>
        <w:t>防尘网</w:t>
      </w:r>
      <w:r>
        <w:rPr>
          <w:rFonts w:hint="eastAsia" w:ascii="仿宋_GB2312" w:hAnsi="仿宋_GB2312" w:eastAsia="仿宋_GB2312" w:cs="仿宋_GB2312"/>
          <w:b w:val="0"/>
          <w:bCs w:val="0"/>
          <w:caps w:val="0"/>
          <w:smallCaps w:val="0"/>
          <w:color w:val="auto"/>
          <w:spacing w:val="0"/>
        </w:rPr>
        <w:t>为大跨度，采用</w:t>
      </w:r>
      <w:r>
        <w:rPr>
          <w:rFonts w:hint="eastAsia" w:ascii="仿宋_GB2312" w:hAnsi="仿宋_GB2312" w:eastAsia="仿宋_GB2312" w:cs="仿宋_GB2312"/>
          <w:b w:val="0"/>
          <w:bCs w:val="0"/>
          <w:caps w:val="0"/>
          <w:smallCaps w:val="0"/>
          <w:color w:val="auto"/>
          <w:spacing w:val="0"/>
          <w:lang w:val="en-US" w:eastAsia="zh-CN"/>
        </w:rPr>
        <w:t>轻型钢</w:t>
      </w:r>
      <w:r>
        <w:rPr>
          <w:rFonts w:hint="eastAsia" w:ascii="仿宋_GB2312" w:hAnsi="仿宋_GB2312" w:eastAsia="仿宋_GB2312" w:cs="仿宋_GB2312"/>
          <w:b w:val="0"/>
          <w:bCs w:val="0"/>
          <w:caps w:val="0"/>
          <w:smallCaps w:val="0"/>
          <w:color w:val="auto"/>
          <w:spacing w:val="0"/>
        </w:rPr>
        <w:t>架结构。</w:t>
      </w:r>
    </w:p>
    <w:p w14:paraId="766E4A83">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（7）</w:t>
      </w:r>
      <w:r>
        <w:rPr>
          <w:rFonts w:hint="eastAsia" w:ascii="仿宋_GB2312" w:hAnsi="仿宋_GB2312" w:eastAsia="仿宋_GB2312" w:cs="仿宋_GB2312"/>
          <w:b w:val="0"/>
          <w:bCs w:val="0"/>
          <w:caps w:val="0"/>
          <w:smallCaps w:val="0"/>
          <w:color w:val="auto"/>
          <w:spacing w:val="0"/>
          <w:lang w:val="en-US" w:eastAsia="zh-CN"/>
        </w:rPr>
        <w:t>地基与基础处理</w:t>
      </w:r>
    </w:p>
    <w:p w14:paraId="104912A7">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本工程地基基础的设计等级为丙级。</w:t>
      </w:r>
      <w:r>
        <w:rPr>
          <w:rFonts w:hint="eastAsia" w:ascii="仿宋_GB2312" w:hAnsi="仿宋_GB2312" w:eastAsia="仿宋_GB2312" w:cs="仿宋_GB2312"/>
          <w:b w:val="0"/>
          <w:bCs w:val="0"/>
          <w:caps w:val="0"/>
          <w:smallCaps w:val="0"/>
          <w:color w:val="auto"/>
          <w:spacing w:val="0"/>
          <w:lang w:val="en-US" w:eastAsia="zh-CN"/>
        </w:rPr>
        <w:t>防尘网地下部分</w:t>
      </w:r>
      <w:r>
        <w:rPr>
          <w:rFonts w:hint="eastAsia" w:ascii="仿宋_GB2312" w:hAnsi="仿宋_GB2312" w:eastAsia="仿宋_GB2312" w:cs="仿宋_GB2312"/>
          <w:b w:val="0"/>
          <w:bCs w:val="0"/>
          <w:caps w:val="0"/>
          <w:smallCaps w:val="0"/>
          <w:color w:val="auto"/>
          <w:spacing w:val="0"/>
        </w:rPr>
        <w:t>采用柱下独立基础。基槽</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坑</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开挖后及施工基础期间应采取必要的措施，防止雨水，施工用水，地下水的</w:t>
      </w:r>
      <w:r>
        <w:rPr>
          <w:rFonts w:hint="eastAsia" w:ascii="仿宋_GB2312" w:hAnsi="仿宋_GB2312" w:eastAsia="仿宋_GB2312" w:cs="仿宋_GB2312"/>
          <w:b w:val="0"/>
          <w:bCs w:val="0"/>
          <w:caps w:val="0"/>
          <w:smallCaps w:val="0"/>
          <w:color w:val="auto"/>
          <w:spacing w:val="0"/>
          <w:lang w:eastAsia="zh-CN"/>
        </w:rPr>
        <w:t>渗入</w:t>
      </w:r>
      <w:r>
        <w:rPr>
          <w:rFonts w:hint="eastAsia" w:ascii="仿宋_GB2312" w:hAnsi="仿宋_GB2312" w:eastAsia="仿宋_GB2312" w:cs="仿宋_GB2312"/>
          <w:b w:val="0"/>
          <w:bCs w:val="0"/>
          <w:caps w:val="0"/>
          <w:smallCaps w:val="0"/>
          <w:color w:val="auto"/>
          <w:spacing w:val="0"/>
        </w:rPr>
        <w:t>。施工基础前须将槽内浮土、积水、淤泥、杂物等清理干净。</w:t>
      </w:r>
    </w:p>
    <w:p w14:paraId="28754870">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（8）</w:t>
      </w:r>
      <w:r>
        <w:rPr>
          <w:rFonts w:hint="eastAsia" w:ascii="仿宋_GB2312" w:hAnsi="仿宋_GB2312" w:eastAsia="仿宋_GB2312" w:cs="仿宋_GB2312"/>
          <w:b w:val="0"/>
          <w:bCs w:val="0"/>
          <w:caps w:val="0"/>
          <w:smallCaps w:val="0"/>
          <w:color w:val="auto"/>
          <w:spacing w:val="0"/>
          <w:lang w:val="en-US" w:eastAsia="zh-CN"/>
        </w:rPr>
        <w:t>主要结构材料</w:t>
      </w:r>
    </w:p>
    <w:p w14:paraId="21DD40F0">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结构设计根据国家现行设计规范、规定，本着就地取材、满足生产工艺要求的前提下，根据工程实际特点，合理选用结构方案，优先采用新技术、新材料。</w:t>
      </w:r>
    </w:p>
    <w:p w14:paraId="4F45129F">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1）混凝土</w:t>
      </w:r>
    </w:p>
    <w:p w14:paraId="666784D7">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基础、</w:t>
      </w:r>
      <w:r>
        <w:rPr>
          <w:rFonts w:hint="eastAsia" w:ascii="仿宋_GB2312" w:hAnsi="仿宋_GB2312" w:eastAsia="仿宋_GB2312" w:cs="仿宋_GB2312"/>
          <w:b w:val="0"/>
          <w:bCs w:val="0"/>
          <w:caps w:val="0"/>
          <w:smallCaps w:val="0"/>
          <w:color w:val="auto"/>
          <w:spacing w:val="0"/>
          <w:lang w:val="en-US" w:eastAsia="zh-CN"/>
        </w:rPr>
        <w:t>排水沟</w:t>
      </w:r>
      <w:r>
        <w:rPr>
          <w:rFonts w:hint="eastAsia" w:ascii="仿宋_GB2312" w:hAnsi="仿宋_GB2312" w:eastAsia="仿宋_GB2312" w:cs="仿宋_GB2312"/>
          <w:b w:val="0"/>
          <w:bCs w:val="0"/>
          <w:caps w:val="0"/>
          <w:smallCaps w:val="0"/>
          <w:color w:val="auto"/>
          <w:spacing w:val="0"/>
        </w:rPr>
        <w:t>一般采用C30混凝土，抗渗等级P6。露天结构抗冻标号F200。含碱量满足规程要求。基础垫层采用C15素混凝土。</w:t>
      </w:r>
    </w:p>
    <w:p w14:paraId="6006C7FC">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2）钢筋种类</w:t>
      </w:r>
    </w:p>
    <w:p w14:paraId="665DD0FC">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钢筋采用HPB300钢和HRB400钢。其中吊环均采用未进行冷加工的HPB300钢。钢筋的机械性能、化学成分和外形尺寸应符合国家有关规范的规定。预埋钢板采用Q235B。</w:t>
      </w:r>
    </w:p>
    <w:p w14:paraId="568CA792">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3）钢材</w:t>
      </w:r>
    </w:p>
    <w:p w14:paraId="03F2B611">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钢材材质为Q355B级钢。其质量等级、化学成分及力学性能应分别符合现行国家标准《低合金高强度结构钢》(GB/T 1591-2018)、《碳素结构钢》</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GB/T 700-2006</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和《建筑结构用钢板》</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GB/T 19879-2015</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的规定。</w:t>
      </w:r>
    </w:p>
    <w:p w14:paraId="63A4816D">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4</w:t>
      </w:r>
      <w:r>
        <w:rPr>
          <w:rFonts w:hint="eastAsia" w:ascii="仿宋_GB2312" w:hAnsi="仿宋_GB2312" w:eastAsia="仿宋_GB2312" w:cs="仿宋_GB2312"/>
          <w:b w:val="0"/>
          <w:bCs w:val="0"/>
          <w:caps w:val="0"/>
          <w:smallCaps w:val="0"/>
          <w:color w:val="auto"/>
          <w:spacing w:val="0"/>
        </w:rPr>
        <w:t>）外加剂</w:t>
      </w:r>
    </w:p>
    <w:p w14:paraId="18285184">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采用优质合格的具有防腐、防渗功能的混凝土气密性外加剂，</w:t>
      </w:r>
    </w:p>
    <w:p w14:paraId="29644205">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外加剂应符合《普通混凝土配合比设计规程》JGJ55-2011、J64-2000及《混凝土外加剂》（GB8076-2008），施工前测试有关指标。</w:t>
      </w:r>
    </w:p>
    <w:p w14:paraId="74E0B405">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bookmarkStart w:id="248" w:name="bookmark114"/>
      <w:bookmarkEnd w:id="248"/>
      <w:bookmarkStart w:id="249" w:name="bookmark112"/>
      <w:bookmarkEnd w:id="249"/>
      <w:bookmarkStart w:id="250" w:name="_Toc16187"/>
      <w:bookmarkStart w:id="251" w:name="_Toc18660"/>
      <w:bookmarkStart w:id="252" w:name="_Toc11985"/>
      <w:bookmarkStart w:id="253" w:name="_Toc28270"/>
      <w:bookmarkStart w:id="254" w:name="_Toc28296"/>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给排水设计</w:t>
      </w:r>
      <w:bookmarkEnd w:id="250"/>
      <w:bookmarkEnd w:id="251"/>
      <w:bookmarkEnd w:id="252"/>
      <w:bookmarkEnd w:id="253"/>
      <w:bookmarkEnd w:id="254"/>
    </w:p>
    <w:p w14:paraId="5CB0459A">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1</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设计依据</w:t>
      </w:r>
    </w:p>
    <w:p w14:paraId="6BF74EC2">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①</w:t>
      </w:r>
      <w:r>
        <w:rPr>
          <w:rFonts w:hint="eastAsia" w:ascii="仿宋_GB2312" w:hAnsi="仿宋_GB2312" w:eastAsia="仿宋_GB2312" w:cs="仿宋_GB2312"/>
          <w:b w:val="0"/>
          <w:bCs w:val="0"/>
          <w:caps w:val="0"/>
          <w:smallCaps w:val="0"/>
          <w:color w:val="auto"/>
          <w:spacing w:val="0"/>
        </w:rPr>
        <w:t>《建筑给水排水制图标准》（GB/T50106-2010）</w:t>
      </w:r>
    </w:p>
    <w:p w14:paraId="3CF1F667">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②</w:t>
      </w:r>
      <w:r>
        <w:rPr>
          <w:rFonts w:hint="eastAsia" w:ascii="仿宋_GB2312" w:hAnsi="仿宋_GB2312" w:eastAsia="仿宋_GB2312" w:cs="仿宋_GB2312"/>
          <w:b w:val="0"/>
          <w:bCs w:val="0"/>
          <w:caps w:val="0"/>
          <w:smallCaps w:val="0"/>
          <w:color w:val="auto"/>
          <w:spacing w:val="0"/>
        </w:rPr>
        <w:t>《给水排水管道工程施工及验收规范》（</w:t>
      </w:r>
      <w:r>
        <w:rPr>
          <w:rFonts w:hint="eastAsia" w:ascii="仿宋_GB2312" w:hAnsi="仿宋_GB2312" w:eastAsia="仿宋_GB2312" w:cs="仿宋_GB2312"/>
          <w:b w:val="0"/>
          <w:bCs w:val="0"/>
          <w:caps w:val="0"/>
          <w:smallCaps w:val="0"/>
          <w:color w:val="auto"/>
          <w:spacing w:val="0"/>
        </w:rPr>
        <w:fldChar w:fldCharType="begin"/>
      </w:r>
      <w:r>
        <w:rPr>
          <w:rFonts w:hint="eastAsia" w:ascii="仿宋_GB2312" w:hAnsi="仿宋_GB2312" w:eastAsia="仿宋_GB2312" w:cs="仿宋_GB2312"/>
          <w:b w:val="0"/>
          <w:bCs w:val="0"/>
          <w:caps w:val="0"/>
          <w:smallCaps w:val="0"/>
          <w:color w:val="auto"/>
          <w:spacing w:val="0"/>
        </w:rPr>
        <w:instrText xml:space="preserve">HYPERLINK"http://www.doc88.com/p-09129743698.html"</w:instrText>
      </w:r>
      <w:r>
        <w:rPr>
          <w:rFonts w:hint="eastAsia" w:ascii="仿宋_GB2312" w:hAnsi="仿宋_GB2312" w:eastAsia="仿宋_GB2312" w:cs="仿宋_GB2312"/>
          <w:b w:val="0"/>
          <w:bCs w:val="0"/>
          <w:caps w:val="0"/>
          <w:smallCaps w:val="0"/>
          <w:color w:val="auto"/>
          <w:spacing w:val="0"/>
        </w:rPr>
        <w:fldChar w:fldCharType="separate"/>
      </w:r>
      <w:r>
        <w:rPr>
          <w:rFonts w:hint="eastAsia" w:ascii="仿宋_GB2312" w:hAnsi="仿宋_GB2312" w:eastAsia="仿宋_GB2312" w:cs="仿宋_GB2312"/>
          <w:b w:val="0"/>
          <w:bCs w:val="0"/>
          <w:caps w:val="0"/>
          <w:smallCaps w:val="0"/>
          <w:color w:val="auto"/>
          <w:spacing w:val="0"/>
        </w:rPr>
        <w:t>GB50268-2008</w:t>
      </w:r>
      <w:r>
        <w:rPr>
          <w:rFonts w:hint="eastAsia" w:ascii="仿宋_GB2312" w:hAnsi="仿宋_GB2312" w:eastAsia="仿宋_GB2312" w:cs="仿宋_GB2312"/>
          <w:b w:val="0"/>
          <w:bCs w:val="0"/>
          <w:caps w:val="0"/>
          <w:smallCaps w:val="0"/>
          <w:color w:val="auto"/>
          <w:spacing w:val="0"/>
        </w:rPr>
        <w:fldChar w:fldCharType="end"/>
      </w:r>
      <w:r>
        <w:rPr>
          <w:rFonts w:hint="eastAsia" w:ascii="仿宋_GB2312" w:hAnsi="仿宋_GB2312" w:eastAsia="仿宋_GB2312" w:cs="仿宋_GB2312"/>
          <w:b w:val="0"/>
          <w:bCs w:val="0"/>
          <w:caps w:val="0"/>
          <w:smallCaps w:val="0"/>
          <w:color w:val="auto"/>
          <w:spacing w:val="0"/>
        </w:rPr>
        <w:t>）</w:t>
      </w:r>
    </w:p>
    <w:p w14:paraId="71B11E51">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③</w:t>
      </w:r>
      <w:r>
        <w:rPr>
          <w:rFonts w:hint="eastAsia" w:ascii="仿宋_GB2312" w:hAnsi="仿宋_GB2312" w:eastAsia="仿宋_GB2312" w:cs="仿宋_GB2312"/>
          <w:b w:val="0"/>
          <w:bCs w:val="0"/>
          <w:caps w:val="0"/>
          <w:smallCaps w:val="0"/>
          <w:color w:val="auto"/>
          <w:spacing w:val="0"/>
        </w:rPr>
        <w:t>《建筑给水排水设计标准》（GB50015-2019）</w:t>
      </w:r>
    </w:p>
    <w:p w14:paraId="43F9F595">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④</w:t>
      </w:r>
      <w:r>
        <w:rPr>
          <w:rFonts w:hint="eastAsia" w:ascii="仿宋_GB2312" w:hAnsi="仿宋_GB2312" w:eastAsia="仿宋_GB2312" w:cs="仿宋_GB2312"/>
          <w:b w:val="0"/>
          <w:bCs w:val="0"/>
          <w:caps w:val="0"/>
          <w:smallCaps w:val="0"/>
          <w:color w:val="auto"/>
          <w:spacing w:val="0"/>
        </w:rPr>
        <w:t>《城镇供热管网设计规范》（CJJ34-2010）</w:t>
      </w:r>
    </w:p>
    <w:p w14:paraId="3174E73D">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⑤</w:t>
      </w:r>
      <w:r>
        <w:rPr>
          <w:rFonts w:hint="eastAsia" w:ascii="仿宋_GB2312" w:hAnsi="仿宋_GB2312" w:eastAsia="仿宋_GB2312" w:cs="仿宋_GB2312"/>
          <w:b w:val="0"/>
          <w:bCs w:val="0"/>
          <w:caps w:val="0"/>
          <w:smallCaps w:val="0"/>
          <w:color w:val="auto"/>
          <w:spacing w:val="0"/>
        </w:rPr>
        <w:t>《城镇供热直埋热水管道技术规程》（CJJ/81-2013）</w:t>
      </w:r>
    </w:p>
    <w:p w14:paraId="6614B7C9">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⑥</w:t>
      </w:r>
      <w:r>
        <w:rPr>
          <w:rFonts w:hint="eastAsia" w:ascii="仿宋_GB2312" w:hAnsi="仿宋_GB2312" w:eastAsia="仿宋_GB2312" w:cs="仿宋_GB2312"/>
          <w:b w:val="0"/>
          <w:bCs w:val="0"/>
          <w:caps w:val="0"/>
          <w:smallCaps w:val="0"/>
          <w:color w:val="auto"/>
          <w:spacing w:val="0"/>
        </w:rPr>
        <w:t>《工业企业设计卫生标准》（CBZ1-2010）</w:t>
      </w:r>
    </w:p>
    <w:p w14:paraId="0A73B1C4">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⑦</w:t>
      </w:r>
      <w:r>
        <w:rPr>
          <w:rFonts w:hint="eastAsia" w:ascii="仿宋_GB2312" w:hAnsi="仿宋_GB2312" w:eastAsia="仿宋_GB2312" w:cs="仿宋_GB2312"/>
          <w:b w:val="0"/>
          <w:bCs w:val="0"/>
          <w:caps w:val="0"/>
          <w:smallCaps w:val="0"/>
          <w:color w:val="auto"/>
          <w:spacing w:val="0"/>
        </w:rPr>
        <w:t>《民用建筑供暖通风与空气调节设计规范附条文说明[另册]》</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GB50736-2012</w:t>
      </w:r>
      <w:r>
        <w:rPr>
          <w:rFonts w:hint="eastAsia" w:ascii="仿宋_GB2312" w:hAnsi="仿宋_GB2312" w:eastAsia="仿宋_GB2312" w:cs="仿宋_GB2312"/>
          <w:b w:val="0"/>
          <w:bCs w:val="0"/>
          <w:caps w:val="0"/>
          <w:smallCaps w:val="0"/>
          <w:color w:val="auto"/>
          <w:spacing w:val="0"/>
          <w:lang w:eastAsia="zh-CN"/>
        </w:rPr>
        <w:t>)</w:t>
      </w:r>
    </w:p>
    <w:p w14:paraId="7DE5DDF0">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⑧</w:t>
      </w:r>
      <w:r>
        <w:rPr>
          <w:rFonts w:hint="eastAsia" w:ascii="仿宋_GB2312" w:hAnsi="仿宋_GB2312" w:eastAsia="仿宋_GB2312" w:cs="仿宋_GB2312"/>
          <w:b w:val="0"/>
          <w:bCs w:val="0"/>
          <w:caps w:val="0"/>
          <w:smallCaps w:val="0"/>
          <w:color w:val="auto"/>
          <w:spacing w:val="0"/>
        </w:rPr>
        <w:t>《民用建筑热工设计规范》（GB50176-2016）</w:t>
      </w:r>
    </w:p>
    <w:p w14:paraId="799C01CF">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⑨</w:t>
      </w:r>
      <w:r>
        <w:rPr>
          <w:rFonts w:hint="eastAsia" w:ascii="仿宋_GB2312" w:hAnsi="仿宋_GB2312" w:eastAsia="仿宋_GB2312" w:cs="仿宋_GB2312"/>
          <w:b w:val="0"/>
          <w:bCs w:val="0"/>
          <w:caps w:val="0"/>
          <w:smallCaps w:val="0"/>
          <w:color w:val="auto"/>
          <w:spacing w:val="0"/>
        </w:rPr>
        <w:t>《严寒和寒冷地区居住建筑节能设计标准》（JGJ26-2010）</w:t>
      </w:r>
    </w:p>
    <w:p w14:paraId="26DC8CDF">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排水计算</w:t>
      </w:r>
    </w:p>
    <w:p w14:paraId="579384E0">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本项目不存在生产排水，雨水参照</w:t>
      </w:r>
      <w:r>
        <w:rPr>
          <w:rFonts w:hint="eastAsia" w:ascii="仿宋_GB2312" w:hAnsi="仿宋_GB2312" w:eastAsia="仿宋_GB2312" w:cs="仿宋_GB2312"/>
          <w:b w:val="0"/>
          <w:bCs w:val="0"/>
          <w:caps w:val="0"/>
          <w:smallCaps w:val="0"/>
          <w:color w:val="auto"/>
          <w:spacing w:val="0"/>
          <w:lang w:val="en-US" w:eastAsia="zh-CN"/>
        </w:rPr>
        <w:t>集贤县</w:t>
      </w:r>
      <w:r>
        <w:rPr>
          <w:rFonts w:hint="eastAsia" w:ascii="仿宋_GB2312" w:hAnsi="仿宋_GB2312" w:eastAsia="仿宋_GB2312" w:cs="仿宋_GB2312"/>
          <w:b w:val="0"/>
          <w:bCs w:val="0"/>
          <w:caps w:val="0"/>
          <w:smallCaps w:val="0"/>
          <w:color w:val="auto"/>
          <w:spacing w:val="0"/>
        </w:rPr>
        <w:t>暴雨强度计算，雨水</w:t>
      </w:r>
      <w:r>
        <w:rPr>
          <w:rFonts w:hint="eastAsia" w:ascii="仿宋_GB2312" w:hAnsi="仿宋_GB2312" w:eastAsia="仿宋_GB2312" w:cs="仿宋_GB2312"/>
          <w:b w:val="0"/>
          <w:bCs w:val="0"/>
          <w:caps w:val="0"/>
          <w:smallCaps w:val="0"/>
          <w:color w:val="auto"/>
          <w:spacing w:val="0"/>
          <w:lang w:val="en-US" w:eastAsia="zh-CN"/>
        </w:rPr>
        <w:t>散</w:t>
      </w:r>
      <w:r>
        <w:rPr>
          <w:rFonts w:hint="eastAsia" w:ascii="仿宋_GB2312" w:hAnsi="仿宋_GB2312" w:eastAsia="仿宋_GB2312" w:cs="仿宋_GB2312"/>
          <w:b w:val="0"/>
          <w:bCs w:val="0"/>
          <w:caps w:val="0"/>
          <w:smallCaps w:val="0"/>
          <w:color w:val="auto"/>
          <w:spacing w:val="0"/>
        </w:rPr>
        <w:t>排入厂区新建排水沟。</w:t>
      </w:r>
    </w:p>
    <w:p w14:paraId="6118179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1）Ψ—径流系数</w:t>
      </w:r>
    </w:p>
    <w:p w14:paraId="23987B9C">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影响径流系数的因素有地面透水性、植物和洼地截留量、集流时间和暴雨类型等。按照《室外排水设计标准》（GB50014-2021）4.1.8条，汇水面积径流系数如下表，综合径流系数应按地面种类加权平均计算。</w:t>
      </w:r>
    </w:p>
    <w:p w14:paraId="59AF422E">
      <w:pPr>
        <w:pStyle w:val="40"/>
        <w:bidi w:val="0"/>
        <w:ind w:left="0" w:leftChars="0" w:firstLine="0" w:firstLineChars="0"/>
        <w:jc w:val="center"/>
        <w:rPr>
          <w:rFonts w:hint="default"/>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径流系数取值表</w:t>
      </w:r>
    </w:p>
    <w:tbl>
      <w:tblPr>
        <w:tblStyle w:val="26"/>
        <w:tblW w:w="4693" w:type="pct"/>
        <w:tblInd w:w="6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20"/>
        <w:gridCol w:w="3085"/>
      </w:tblGrid>
      <w:tr w14:paraId="3E50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86" w:type="pct"/>
            <w:tcBorders>
              <w:top w:val="single" w:color="auto" w:sz="4" w:space="0"/>
              <w:left w:val="single" w:color="auto" w:sz="4" w:space="0"/>
              <w:bottom w:val="single" w:color="auto" w:sz="4" w:space="0"/>
              <w:right w:val="single" w:color="auto" w:sz="4" w:space="0"/>
            </w:tcBorders>
            <w:noWrap w:val="0"/>
            <w:vAlign w:val="center"/>
          </w:tcPr>
          <w:p w14:paraId="2166DD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地面种类</w:t>
            </w:r>
          </w:p>
        </w:tc>
        <w:tc>
          <w:tcPr>
            <w:tcW w:w="1813" w:type="pct"/>
            <w:tcBorders>
              <w:top w:val="single" w:color="auto" w:sz="4" w:space="0"/>
              <w:left w:val="single" w:color="auto" w:sz="4" w:space="0"/>
              <w:bottom w:val="single" w:color="auto" w:sz="4" w:space="0"/>
              <w:right w:val="single" w:color="auto" w:sz="4" w:space="0"/>
            </w:tcBorders>
            <w:noWrap w:val="0"/>
            <w:vAlign w:val="center"/>
          </w:tcPr>
          <w:p w14:paraId="4C9E90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径流系数</w:t>
            </w:r>
          </w:p>
        </w:tc>
      </w:tr>
      <w:tr w14:paraId="3688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86" w:type="pct"/>
            <w:tcBorders>
              <w:top w:val="single" w:color="auto" w:sz="4" w:space="0"/>
              <w:left w:val="single" w:color="auto" w:sz="4" w:space="0"/>
              <w:bottom w:val="single" w:color="auto" w:sz="4" w:space="0"/>
              <w:right w:val="single" w:color="auto" w:sz="4" w:space="0"/>
            </w:tcBorders>
            <w:noWrap w:val="0"/>
            <w:vAlign w:val="center"/>
          </w:tcPr>
          <w:p w14:paraId="174334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各类屋面、混凝土或沥青路面</w:t>
            </w:r>
          </w:p>
        </w:tc>
        <w:tc>
          <w:tcPr>
            <w:tcW w:w="1813" w:type="pct"/>
            <w:tcBorders>
              <w:top w:val="single" w:color="auto" w:sz="4" w:space="0"/>
              <w:left w:val="single" w:color="auto" w:sz="4" w:space="0"/>
              <w:bottom w:val="single" w:color="auto" w:sz="4" w:space="0"/>
              <w:right w:val="single" w:color="auto" w:sz="4" w:space="0"/>
            </w:tcBorders>
            <w:noWrap w:val="0"/>
            <w:vAlign w:val="center"/>
          </w:tcPr>
          <w:p w14:paraId="5BFAA3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0.85-0.95</w:t>
            </w:r>
          </w:p>
        </w:tc>
      </w:tr>
      <w:tr w14:paraId="10C5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86" w:type="pct"/>
            <w:tcBorders>
              <w:top w:val="single" w:color="auto" w:sz="4" w:space="0"/>
              <w:left w:val="single" w:color="auto" w:sz="4" w:space="0"/>
              <w:bottom w:val="single" w:color="auto" w:sz="4" w:space="0"/>
              <w:right w:val="single" w:color="auto" w:sz="4" w:space="0"/>
            </w:tcBorders>
            <w:noWrap w:val="0"/>
            <w:vAlign w:val="center"/>
          </w:tcPr>
          <w:p w14:paraId="69FB62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大块石铺砌路面或沥青表面处理的碎石路面</w:t>
            </w:r>
          </w:p>
        </w:tc>
        <w:tc>
          <w:tcPr>
            <w:tcW w:w="1813" w:type="pct"/>
            <w:tcBorders>
              <w:top w:val="single" w:color="auto" w:sz="4" w:space="0"/>
              <w:left w:val="single" w:color="auto" w:sz="4" w:space="0"/>
              <w:bottom w:val="single" w:color="auto" w:sz="4" w:space="0"/>
              <w:right w:val="single" w:color="auto" w:sz="4" w:space="0"/>
            </w:tcBorders>
            <w:noWrap w:val="0"/>
            <w:vAlign w:val="center"/>
          </w:tcPr>
          <w:p w14:paraId="55C02A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0.55-0.65</w:t>
            </w:r>
          </w:p>
        </w:tc>
      </w:tr>
      <w:tr w14:paraId="563E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86" w:type="pct"/>
            <w:tcBorders>
              <w:top w:val="single" w:color="auto" w:sz="4" w:space="0"/>
              <w:left w:val="single" w:color="auto" w:sz="4" w:space="0"/>
              <w:bottom w:val="single" w:color="auto" w:sz="4" w:space="0"/>
              <w:right w:val="single" w:color="auto" w:sz="4" w:space="0"/>
            </w:tcBorders>
            <w:noWrap w:val="0"/>
            <w:vAlign w:val="center"/>
          </w:tcPr>
          <w:p w14:paraId="2587A0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级配碎石路面</w:t>
            </w:r>
          </w:p>
        </w:tc>
        <w:tc>
          <w:tcPr>
            <w:tcW w:w="1813" w:type="pct"/>
            <w:tcBorders>
              <w:top w:val="single" w:color="auto" w:sz="4" w:space="0"/>
              <w:left w:val="single" w:color="auto" w:sz="4" w:space="0"/>
              <w:bottom w:val="single" w:color="auto" w:sz="4" w:space="0"/>
              <w:right w:val="single" w:color="auto" w:sz="4" w:space="0"/>
            </w:tcBorders>
            <w:noWrap w:val="0"/>
            <w:vAlign w:val="center"/>
          </w:tcPr>
          <w:p w14:paraId="53C147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0.45-0.50</w:t>
            </w:r>
          </w:p>
        </w:tc>
      </w:tr>
      <w:tr w14:paraId="380C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86" w:type="pct"/>
            <w:tcBorders>
              <w:top w:val="single" w:color="auto" w:sz="4" w:space="0"/>
              <w:left w:val="single" w:color="auto" w:sz="4" w:space="0"/>
              <w:bottom w:val="single" w:color="auto" w:sz="4" w:space="0"/>
              <w:right w:val="single" w:color="auto" w:sz="4" w:space="0"/>
            </w:tcBorders>
            <w:noWrap w:val="0"/>
            <w:vAlign w:val="center"/>
          </w:tcPr>
          <w:p w14:paraId="52ECD5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干砌砖石或碎石路面</w:t>
            </w:r>
          </w:p>
        </w:tc>
        <w:tc>
          <w:tcPr>
            <w:tcW w:w="1813" w:type="pct"/>
            <w:tcBorders>
              <w:top w:val="single" w:color="auto" w:sz="4" w:space="0"/>
              <w:left w:val="single" w:color="auto" w:sz="4" w:space="0"/>
              <w:bottom w:val="single" w:color="auto" w:sz="4" w:space="0"/>
              <w:right w:val="single" w:color="auto" w:sz="4" w:space="0"/>
            </w:tcBorders>
            <w:noWrap w:val="0"/>
            <w:vAlign w:val="center"/>
          </w:tcPr>
          <w:p w14:paraId="683ECD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0.35-0.40</w:t>
            </w:r>
          </w:p>
        </w:tc>
      </w:tr>
      <w:tr w14:paraId="5B38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86" w:type="pct"/>
            <w:tcBorders>
              <w:top w:val="single" w:color="auto" w:sz="4" w:space="0"/>
              <w:left w:val="single" w:color="auto" w:sz="4" w:space="0"/>
              <w:bottom w:val="single" w:color="auto" w:sz="4" w:space="0"/>
              <w:right w:val="single" w:color="auto" w:sz="4" w:space="0"/>
            </w:tcBorders>
            <w:noWrap w:val="0"/>
            <w:vAlign w:val="center"/>
          </w:tcPr>
          <w:p w14:paraId="6A7FF2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非铺砌土路面</w:t>
            </w:r>
          </w:p>
        </w:tc>
        <w:tc>
          <w:tcPr>
            <w:tcW w:w="1813" w:type="pct"/>
            <w:tcBorders>
              <w:top w:val="single" w:color="auto" w:sz="4" w:space="0"/>
              <w:left w:val="single" w:color="auto" w:sz="4" w:space="0"/>
              <w:bottom w:val="single" w:color="auto" w:sz="4" w:space="0"/>
              <w:right w:val="single" w:color="auto" w:sz="4" w:space="0"/>
            </w:tcBorders>
            <w:noWrap w:val="0"/>
            <w:vAlign w:val="center"/>
          </w:tcPr>
          <w:p w14:paraId="749C6F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0.25-0.35</w:t>
            </w:r>
          </w:p>
        </w:tc>
      </w:tr>
      <w:tr w14:paraId="3F18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86" w:type="pct"/>
            <w:tcBorders>
              <w:top w:val="single" w:color="auto" w:sz="4" w:space="0"/>
              <w:left w:val="single" w:color="auto" w:sz="4" w:space="0"/>
              <w:bottom w:val="single" w:color="auto" w:sz="4" w:space="0"/>
              <w:right w:val="single" w:color="auto" w:sz="4" w:space="0"/>
            </w:tcBorders>
            <w:noWrap w:val="0"/>
            <w:vAlign w:val="center"/>
          </w:tcPr>
          <w:p w14:paraId="51595D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公园或绿地</w:t>
            </w:r>
          </w:p>
        </w:tc>
        <w:tc>
          <w:tcPr>
            <w:tcW w:w="1813" w:type="pct"/>
            <w:tcBorders>
              <w:top w:val="single" w:color="auto" w:sz="4" w:space="0"/>
              <w:left w:val="single" w:color="auto" w:sz="4" w:space="0"/>
              <w:bottom w:val="single" w:color="auto" w:sz="4" w:space="0"/>
              <w:right w:val="single" w:color="auto" w:sz="4" w:space="0"/>
            </w:tcBorders>
            <w:noWrap w:val="0"/>
            <w:vAlign w:val="center"/>
          </w:tcPr>
          <w:p w14:paraId="3F7879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0.10-0.20</w:t>
            </w:r>
          </w:p>
        </w:tc>
      </w:tr>
    </w:tbl>
    <w:p w14:paraId="0BA16709">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本工程雨水排放系统综合径流系数取0.</w:t>
      </w:r>
      <w:r>
        <w:rPr>
          <w:rFonts w:hint="eastAsia" w:ascii="仿宋_GB2312" w:hAnsi="仿宋_GB2312" w:eastAsia="仿宋_GB2312" w:cs="仿宋_GB2312"/>
          <w:b w:val="0"/>
          <w:bCs w:val="0"/>
          <w:caps w:val="0"/>
          <w:smallCaps w:val="0"/>
          <w:color w:val="auto"/>
          <w:spacing w:val="0"/>
          <w:lang w:val="en-US" w:eastAsia="zh-CN"/>
        </w:rPr>
        <w:t>85</w:t>
      </w:r>
      <w:r>
        <w:rPr>
          <w:rFonts w:hint="eastAsia" w:ascii="仿宋_GB2312" w:hAnsi="仿宋_GB2312" w:eastAsia="仿宋_GB2312" w:cs="仿宋_GB2312"/>
          <w:b w:val="0"/>
          <w:bCs w:val="0"/>
          <w:caps w:val="0"/>
          <w:smallCaps w:val="0"/>
          <w:color w:val="auto"/>
          <w:spacing w:val="0"/>
        </w:rPr>
        <w:t>。</w:t>
      </w:r>
    </w:p>
    <w:p w14:paraId="2E3AB3D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2）P—设计重现期</w:t>
      </w:r>
    </w:p>
    <w:p w14:paraId="2BC155AE">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根据《室外排水设计标准》（GB50014-2021）的4.1.3条文，本工程考虑排水重现期为P=2年。</w:t>
      </w:r>
    </w:p>
    <w:p w14:paraId="52DCCD9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3）径流时间</w:t>
      </w:r>
    </w:p>
    <w:p w14:paraId="3D79D833">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①</w:t>
      </w:r>
      <w:r>
        <w:rPr>
          <w:rFonts w:hint="eastAsia" w:ascii="仿宋_GB2312" w:hAnsi="仿宋_GB2312" w:eastAsia="仿宋_GB2312" w:cs="仿宋_GB2312"/>
          <w:b w:val="0"/>
          <w:bCs w:val="0"/>
          <w:caps w:val="0"/>
          <w:smallCaps w:val="0"/>
          <w:color w:val="auto"/>
          <w:spacing w:val="0"/>
        </w:rPr>
        <w:t>地面集水时间的确定</w:t>
      </w:r>
    </w:p>
    <w:p w14:paraId="4B467951">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地面集水时间是指雨水从汇水面积上最远点流到第一个雨水口的时间。地面集水时间受到地形坡度、地面铺砌、地面种植情况、水流路程、道路纵坡等因素的影响，这些因素直接决定着水流沿地面或边沟的流速。根据《室外排水设计标准》（GB500l4-2021）：地面集水时间主要取决</w:t>
      </w:r>
      <w:r>
        <w:rPr>
          <w:rFonts w:hint="eastAsia" w:ascii="仿宋_GB2312" w:hAnsi="仿宋_GB2312" w:eastAsia="仿宋_GB2312" w:cs="仿宋_GB2312"/>
          <w:b w:val="0"/>
          <w:bCs w:val="0"/>
          <w:caps w:val="0"/>
          <w:smallCaps w:val="0"/>
          <w:color w:val="auto"/>
          <w:spacing w:val="0"/>
          <w:lang w:eastAsia="zh-CN"/>
        </w:rPr>
        <w:t>于</w:t>
      </w:r>
      <w:r>
        <w:rPr>
          <w:rFonts w:hint="eastAsia" w:ascii="仿宋_GB2312" w:hAnsi="仿宋_GB2312" w:eastAsia="仿宋_GB2312" w:cs="仿宋_GB2312"/>
          <w:b w:val="0"/>
          <w:bCs w:val="0"/>
          <w:caps w:val="0"/>
          <w:smallCaps w:val="0"/>
          <w:color w:val="auto"/>
          <w:spacing w:val="0"/>
        </w:rPr>
        <w:t>水流距离的长短、地形坡度及地面覆盖情况综合考虑，一般采用5</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15min。根据规划区的地形条件及汇水面积等条件，本设计采用t1=10min。</w:t>
      </w:r>
    </w:p>
    <w:p w14:paraId="13F97A66">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②</w:t>
      </w:r>
      <w:r>
        <w:rPr>
          <w:rFonts w:hint="eastAsia" w:ascii="仿宋_GB2312" w:hAnsi="仿宋_GB2312" w:eastAsia="仿宋_GB2312" w:cs="仿宋_GB2312"/>
          <w:b w:val="0"/>
          <w:bCs w:val="0"/>
          <w:caps w:val="0"/>
          <w:smallCaps w:val="0"/>
          <w:color w:val="auto"/>
          <w:spacing w:val="0"/>
        </w:rPr>
        <w:t>管渠内雨水流行时间</w:t>
      </w:r>
    </w:p>
    <w:p w14:paraId="24786D44">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管渠内雨水流行时间是指雨水从雨水口进入管道，最后排至河道的流行时间，是暴雨强度指标之一，它与管道长度、坡降、流速、管材性质有关。</w:t>
      </w:r>
    </w:p>
    <w:p w14:paraId="14E3C633">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t2=∑</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L/60v</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min</w:t>
      </w:r>
    </w:p>
    <w:p w14:paraId="6E613CE2">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式中：</w:t>
      </w:r>
    </w:p>
    <w:p w14:paraId="75817DF7">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L—各管段长度（米）；</w:t>
      </w:r>
    </w:p>
    <w:p w14:paraId="2F05F2DB">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v—水流速度（米/秒）</w:t>
      </w:r>
    </w:p>
    <w:p w14:paraId="7D48079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经计算，末端雨水量为77L/s。</w:t>
      </w:r>
    </w:p>
    <w:p w14:paraId="0A8DBE80">
      <w:pPr>
        <w:pStyle w:val="40"/>
        <w:bidi w:val="0"/>
        <w:rPr>
          <w:rFonts w:hint="eastAsia" w:ascii="仿宋_GB2312" w:hAnsi="仿宋_GB2312" w:eastAsia="仿宋_GB2312" w:cs="仿宋_GB2312"/>
          <w:b w:val="0"/>
          <w:bCs w:val="0"/>
          <w:caps w:val="0"/>
          <w:smallCaps w:val="0"/>
          <w:color w:val="auto"/>
          <w:spacing w:val="0"/>
          <w:lang w:val="en-US" w:eastAsia="zh-CN"/>
        </w:rPr>
      </w:pPr>
      <w:bookmarkStart w:id="255" w:name="_Toc158398036"/>
      <w:r>
        <w:rPr>
          <w:rFonts w:hint="eastAsia" w:ascii="仿宋_GB2312" w:hAnsi="仿宋_GB2312" w:eastAsia="仿宋_GB2312" w:cs="仿宋_GB2312"/>
          <w:b w:val="0"/>
          <w:bCs w:val="0"/>
          <w:caps w:val="0"/>
          <w:smallCaps w:val="0"/>
          <w:color w:val="auto"/>
          <w:spacing w:val="0"/>
          <w:lang w:val="en-US" w:eastAsia="zh-CN"/>
        </w:rPr>
        <w:t>3）排水沟设计</w:t>
      </w:r>
      <w:bookmarkEnd w:id="255"/>
    </w:p>
    <w:p w14:paraId="4D3848A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rPr>
        <w:t>采用重力流</w:t>
      </w:r>
      <w:r>
        <w:rPr>
          <w:rFonts w:hint="eastAsia" w:ascii="仿宋_GB2312" w:hAnsi="仿宋_GB2312" w:eastAsia="仿宋_GB2312" w:cs="仿宋_GB2312"/>
          <w:b w:val="0"/>
          <w:bCs w:val="0"/>
          <w:caps w:val="0"/>
          <w:smallCaps w:val="0"/>
          <w:color w:val="auto"/>
          <w:spacing w:val="0"/>
          <w:lang w:val="en-US" w:eastAsia="zh-CN"/>
        </w:rPr>
        <w:t>排水沟</w:t>
      </w:r>
      <w:r>
        <w:rPr>
          <w:rFonts w:hint="eastAsia" w:ascii="仿宋_GB2312" w:hAnsi="仿宋_GB2312" w:eastAsia="仿宋_GB2312" w:cs="仿宋_GB2312"/>
          <w:b w:val="0"/>
          <w:bCs w:val="0"/>
          <w:caps w:val="0"/>
          <w:smallCaps w:val="0"/>
          <w:color w:val="auto"/>
          <w:spacing w:val="0"/>
        </w:rPr>
        <w:t>，</w:t>
      </w:r>
      <w:r>
        <w:rPr>
          <w:rFonts w:hint="eastAsia" w:ascii="仿宋_GB2312" w:hAnsi="仿宋_GB2312" w:eastAsia="仿宋_GB2312" w:cs="仿宋_GB2312"/>
          <w:b w:val="0"/>
          <w:bCs w:val="0"/>
          <w:caps w:val="0"/>
          <w:smallCaps w:val="0"/>
          <w:color w:val="auto"/>
          <w:spacing w:val="0"/>
          <w:lang w:val="en-US" w:eastAsia="zh-CN"/>
        </w:rPr>
        <w:t>断面尺寸500*500mm</w:t>
      </w:r>
      <w:r>
        <w:rPr>
          <w:rFonts w:hint="eastAsia" w:ascii="仿宋_GB2312" w:hAnsi="仿宋_GB2312" w:eastAsia="仿宋_GB2312" w:cs="仿宋_GB2312"/>
          <w:b w:val="0"/>
          <w:bCs w:val="0"/>
          <w:caps w:val="0"/>
          <w:smallCaps w:val="0"/>
          <w:color w:val="auto"/>
          <w:spacing w:val="0"/>
        </w:rPr>
        <w:t>，坡度为0.001-0.0</w:t>
      </w:r>
      <w:r>
        <w:rPr>
          <w:rFonts w:hint="eastAsia" w:ascii="仿宋_GB2312" w:hAnsi="仿宋_GB2312" w:eastAsia="仿宋_GB2312" w:cs="仿宋_GB2312"/>
          <w:b w:val="0"/>
          <w:bCs w:val="0"/>
          <w:caps w:val="0"/>
          <w:smallCaps w:val="0"/>
          <w:color w:val="auto"/>
          <w:spacing w:val="0"/>
          <w:lang w:val="en-US" w:eastAsia="zh-CN"/>
        </w:rPr>
        <w:t>68</w:t>
      </w:r>
      <w:r>
        <w:rPr>
          <w:rFonts w:hint="eastAsia" w:ascii="仿宋_GB2312" w:hAnsi="仿宋_GB2312" w:eastAsia="仿宋_GB2312" w:cs="仿宋_GB2312"/>
          <w:b w:val="0"/>
          <w:bCs w:val="0"/>
          <w:caps w:val="0"/>
          <w:smallCaps w:val="0"/>
          <w:color w:val="auto"/>
          <w:spacing w:val="0"/>
        </w:rPr>
        <w:t>。配套建设</w:t>
      </w:r>
      <w:r>
        <w:rPr>
          <w:rFonts w:hint="eastAsia" w:ascii="仿宋_GB2312" w:hAnsi="仿宋_GB2312" w:eastAsia="仿宋_GB2312" w:cs="仿宋_GB2312"/>
          <w:b w:val="0"/>
          <w:bCs w:val="0"/>
          <w:caps w:val="0"/>
          <w:smallCaps w:val="0"/>
          <w:color w:val="auto"/>
          <w:spacing w:val="0"/>
          <w:lang w:val="en-US" w:eastAsia="zh-CN"/>
        </w:rPr>
        <w:t>检查井和过路管</w:t>
      </w:r>
      <w:r>
        <w:rPr>
          <w:rFonts w:hint="eastAsia" w:ascii="仿宋_GB2312" w:hAnsi="仿宋_GB2312" w:eastAsia="仿宋_GB2312" w:cs="仿宋_GB2312"/>
          <w:b w:val="0"/>
          <w:bCs w:val="0"/>
          <w:caps w:val="0"/>
          <w:smallCaps w:val="0"/>
          <w:color w:val="auto"/>
          <w:spacing w:val="0"/>
        </w:rPr>
        <w:t>。</w:t>
      </w:r>
      <w:r>
        <w:rPr>
          <w:rFonts w:hint="eastAsia" w:ascii="仿宋_GB2312" w:hAnsi="仿宋_GB2312" w:eastAsia="仿宋_GB2312" w:cs="仿宋_GB2312"/>
          <w:b w:val="0"/>
          <w:bCs w:val="0"/>
          <w:caps w:val="0"/>
          <w:smallCaps w:val="0"/>
          <w:color w:val="auto"/>
          <w:spacing w:val="0"/>
          <w:lang w:val="en-US" w:eastAsia="zh-CN"/>
        </w:rPr>
        <w:t>检查井做法参照图集20S515。</w:t>
      </w:r>
    </w:p>
    <w:p w14:paraId="337C2923">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围挡设计</w:t>
      </w:r>
    </w:p>
    <w:p w14:paraId="3F4ECEA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1）围挡材料选择</w:t>
      </w:r>
    </w:p>
    <w:p w14:paraId="4627146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采用铁艺围挡。</w:t>
      </w:r>
    </w:p>
    <w:p w14:paraId="0664A33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2）围挡高度设计</w:t>
      </w:r>
    </w:p>
    <w:p w14:paraId="3FA89C0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一般情况下，围挡高度不低于2m，以确保有效遮挡垃圾调配场内的垃圾和作业活动，避免对周边环境产生不良视觉影响。如果垃圾调配场周边有较高的建筑物或特殊的景观要求，可以适当增加围挡高度至 2.5 m或以上。</w:t>
      </w:r>
    </w:p>
    <w:p w14:paraId="67EE1DAD">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256" w:name="_Toc16824"/>
      <w:r>
        <w:rPr>
          <w:rFonts w:hint="eastAsia" w:ascii="楷体_GB2312" w:hAnsi="楷体_GB2312" w:eastAsia="楷体_GB2312" w:cs="楷体_GB2312"/>
          <w:b w:val="0"/>
          <w:bCs w:val="0"/>
          <w:caps w:val="0"/>
          <w:smallCaps w:val="0"/>
          <w:color w:val="auto"/>
          <w:spacing w:val="0"/>
          <w:sz w:val="32"/>
          <w:szCs w:val="28"/>
          <w:lang w:val="en-US" w:eastAsia="zh-CN"/>
        </w:rPr>
        <w:t>8．</w:t>
      </w:r>
      <w:r>
        <w:rPr>
          <w:rFonts w:hint="default" w:ascii="楷体_GB2312" w:hAnsi="楷体_GB2312" w:eastAsia="楷体_GB2312" w:cs="楷体_GB2312"/>
          <w:b w:val="0"/>
          <w:bCs w:val="0"/>
          <w:caps w:val="0"/>
          <w:smallCaps w:val="0"/>
          <w:color w:val="auto"/>
          <w:spacing w:val="0"/>
          <w:sz w:val="32"/>
          <w:szCs w:val="28"/>
          <w:lang w:val="en-US" w:eastAsia="zh-CN"/>
        </w:rPr>
        <w:t>运营维护</w:t>
      </w:r>
      <w:bookmarkEnd w:id="256"/>
    </w:p>
    <w:p w14:paraId="79E261DB">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（1）建立完备的生产管理层次；</w:t>
      </w:r>
    </w:p>
    <w:p w14:paraId="24B43BF1">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（2）对生产操作工人，管理职工进行必要的资格审查，并组织进行上岗前的专业技术培训；</w:t>
      </w:r>
    </w:p>
    <w:p w14:paraId="62E17BC0">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（3）聘请有资历有经验的专业技术人员负责厂的技术管理工作；</w:t>
      </w:r>
    </w:p>
    <w:p w14:paraId="520A0822">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（4）制订健全的岗位负责制，安排操作规程等工厂管理规章制度；</w:t>
      </w:r>
    </w:p>
    <w:p w14:paraId="67327F38">
      <w:pPr>
        <w:pStyle w:val="40"/>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rPr>
        <w:t>（5）招聘专业技术人员，并提前入岗，参与施工安装调试验收的全过程。</w:t>
      </w:r>
    </w:p>
    <w:p w14:paraId="3B248AD7">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257" w:name="_Toc15333"/>
      <w:bookmarkStart w:id="258" w:name="_Toc26847"/>
      <w:r>
        <w:rPr>
          <w:rFonts w:hint="eastAsia" w:ascii="楷体_GB2312" w:hAnsi="楷体_GB2312" w:eastAsia="楷体_GB2312" w:cs="楷体_GB2312"/>
          <w:b w:val="0"/>
          <w:bCs w:val="0"/>
          <w:caps w:val="0"/>
          <w:smallCaps w:val="0"/>
          <w:color w:val="auto"/>
          <w:spacing w:val="0"/>
          <w:sz w:val="32"/>
          <w:szCs w:val="28"/>
          <w:lang w:val="en-US" w:eastAsia="zh-CN"/>
        </w:rPr>
        <w:t>9．</w:t>
      </w:r>
      <w:r>
        <w:rPr>
          <w:rFonts w:hint="default" w:ascii="楷体_GB2312" w:hAnsi="楷体_GB2312" w:eastAsia="楷体_GB2312" w:cs="楷体_GB2312"/>
          <w:b w:val="0"/>
          <w:bCs w:val="0"/>
          <w:caps w:val="0"/>
          <w:smallCaps w:val="0"/>
          <w:color w:val="auto"/>
          <w:spacing w:val="0"/>
          <w:sz w:val="32"/>
          <w:szCs w:val="28"/>
          <w:lang w:val="en-US" w:eastAsia="zh-CN"/>
        </w:rPr>
        <w:t>建筑垃圾收运车辆</w:t>
      </w:r>
      <w:bookmarkEnd w:id="257"/>
      <w:bookmarkEnd w:id="258"/>
    </w:p>
    <w:p w14:paraId="5BCEE4D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收运车辆的布置应遵循高效、便捷的原则。设置条件包括车辆性能良好，具备密闭运输功能，防止垃圾撒漏。技术要求方面，车辆要符合环保标准，具备称重和定位系统。用地面积根据车辆数量和停放需求来确定。选址安排应靠近转运调配场或主要运输路线，便于车辆进出。建设规模要根据建筑垃圾的收运任务量来确定相应的车辆数量。服务范围覆盖整个建筑垃圾产生和消纳区域。在运营维护上，要定期对车辆进行保养和维修，确保其安全运行，同时加强驾驶员的培训和管理，提高收运效率和服务质量。</w:t>
      </w:r>
    </w:p>
    <w:p w14:paraId="6EA7F29F">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bookmarkStart w:id="259" w:name="_Toc9196"/>
      <w:r>
        <w:rPr>
          <w:rFonts w:hint="eastAsia" w:ascii="仿宋_GB2312" w:hAnsi="仿宋_GB2312" w:eastAsia="仿宋_GB2312" w:cs="仿宋_GB2312"/>
          <w:b w:val="0"/>
          <w:bCs w:val="0"/>
          <w:caps w:val="0"/>
          <w:smallCaps w:val="0"/>
          <w:color w:val="auto"/>
          <w:spacing w:val="0"/>
          <w:lang w:val="en-US" w:eastAsia="zh-CN"/>
        </w:rPr>
        <w:t>集贤县域建筑垃圾转运车辆配置</w:t>
      </w:r>
      <w:bookmarkEnd w:id="259"/>
    </w:p>
    <w:tbl>
      <w:tblPr>
        <w:tblStyle w:val="41"/>
        <w:tblW w:w="430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64"/>
        <w:gridCol w:w="2100"/>
        <w:gridCol w:w="2077"/>
        <w:gridCol w:w="2080"/>
      </w:tblGrid>
      <w:tr w14:paraId="1B30B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895" w:type="pct"/>
            <w:noWrap w:val="0"/>
            <w:vAlign w:val="center"/>
          </w:tcPr>
          <w:p w14:paraId="39D2AF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p>
        </w:tc>
        <w:tc>
          <w:tcPr>
            <w:tcW w:w="1378" w:type="pct"/>
            <w:noWrap w:val="0"/>
            <w:vAlign w:val="center"/>
          </w:tcPr>
          <w:p w14:paraId="542CAC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10t 渣土车（辆）</w:t>
            </w:r>
          </w:p>
        </w:tc>
        <w:tc>
          <w:tcPr>
            <w:tcW w:w="1362" w:type="pct"/>
            <w:noWrap w:val="0"/>
            <w:vAlign w:val="center"/>
          </w:tcPr>
          <w:p w14:paraId="36807B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5t 渣土车</w:t>
            </w:r>
          </w:p>
        </w:tc>
        <w:tc>
          <w:tcPr>
            <w:tcW w:w="1364" w:type="pct"/>
            <w:noWrap w:val="0"/>
            <w:vAlign w:val="center"/>
          </w:tcPr>
          <w:p w14:paraId="56818A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合计（辆）</w:t>
            </w:r>
          </w:p>
        </w:tc>
      </w:tr>
      <w:tr w14:paraId="3A872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jc w:val="center"/>
        </w:trPr>
        <w:tc>
          <w:tcPr>
            <w:tcW w:w="895" w:type="pct"/>
            <w:noWrap w:val="0"/>
            <w:vAlign w:val="center"/>
          </w:tcPr>
          <w:p w14:paraId="18636C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集贤县</w:t>
            </w:r>
          </w:p>
        </w:tc>
        <w:tc>
          <w:tcPr>
            <w:tcW w:w="1378" w:type="pct"/>
            <w:noWrap w:val="0"/>
            <w:vAlign w:val="center"/>
          </w:tcPr>
          <w:p w14:paraId="007C521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6</w:t>
            </w:r>
          </w:p>
        </w:tc>
        <w:tc>
          <w:tcPr>
            <w:tcW w:w="1362" w:type="pct"/>
            <w:noWrap w:val="0"/>
            <w:vAlign w:val="center"/>
          </w:tcPr>
          <w:p w14:paraId="375B253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10</w:t>
            </w:r>
          </w:p>
        </w:tc>
        <w:tc>
          <w:tcPr>
            <w:tcW w:w="1364" w:type="pct"/>
            <w:noWrap w:val="0"/>
            <w:vAlign w:val="center"/>
          </w:tcPr>
          <w:p w14:paraId="5A68B7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16</w:t>
            </w:r>
          </w:p>
        </w:tc>
      </w:tr>
    </w:tbl>
    <w:p w14:paraId="06F9ED86">
      <w:pPr>
        <w:rPr>
          <w:rFonts w:hint="eastAsia"/>
          <w:b w:val="0"/>
          <w:bCs w:val="0"/>
          <w:caps w:val="0"/>
          <w:smallCaps w:val="0"/>
          <w:color w:val="auto"/>
          <w:spacing w:val="0"/>
          <w:highlight w:val="none"/>
        </w:rPr>
      </w:pPr>
      <w:r>
        <w:rPr>
          <w:rFonts w:hint="eastAsia"/>
          <w:b w:val="0"/>
          <w:bCs w:val="0"/>
          <w:caps w:val="0"/>
          <w:smallCaps w:val="0"/>
          <w:color w:val="auto"/>
          <w:spacing w:val="0"/>
          <w:highlight w:val="none"/>
        </w:rPr>
        <w:br w:type="page"/>
      </w:r>
    </w:p>
    <w:bookmarkEnd w:id="225"/>
    <w:bookmarkEnd w:id="226"/>
    <w:bookmarkEnd w:id="227"/>
    <w:p w14:paraId="1C5AE51E">
      <w:pPr>
        <w:pStyle w:val="7"/>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ind w:left="0" w:leftChars="0" w:firstLine="0" w:firstLineChars="0"/>
        <w:textAlignment w:val="auto"/>
        <w:rPr>
          <w:rFonts w:hint="eastAsia"/>
          <w:b w:val="0"/>
          <w:bCs w:val="0"/>
          <w:caps w:val="0"/>
          <w:smallCaps w:val="0"/>
          <w:color w:val="auto"/>
          <w:spacing w:val="0"/>
          <w:sz w:val="44"/>
          <w:szCs w:val="44"/>
          <w:lang w:val="en-US" w:eastAsia="zh-CN"/>
        </w:rPr>
      </w:pPr>
      <w:bookmarkStart w:id="260" w:name="_Toc23858"/>
      <w:bookmarkStart w:id="261" w:name="_Toc24207"/>
      <w:bookmarkStart w:id="262" w:name="_Toc2465"/>
      <w:r>
        <w:rPr>
          <w:rFonts w:hint="eastAsia"/>
          <w:b w:val="0"/>
          <w:bCs w:val="0"/>
          <w:caps w:val="0"/>
          <w:smallCaps w:val="0"/>
          <w:color w:val="auto"/>
          <w:spacing w:val="0"/>
          <w:sz w:val="44"/>
          <w:szCs w:val="44"/>
          <w:lang w:val="en-US" w:eastAsia="zh-CN"/>
        </w:rPr>
        <w:t>第五章 处置体系规划</w:t>
      </w:r>
      <w:bookmarkEnd w:id="260"/>
      <w:bookmarkEnd w:id="261"/>
      <w:bookmarkEnd w:id="262"/>
    </w:p>
    <w:p w14:paraId="38CF0B2D">
      <w:pPr>
        <w:pStyle w:val="40"/>
        <w:bidi w:val="0"/>
        <w:rPr>
          <w:rFonts w:hint="default" w:ascii="黑体" w:hAnsi="黑体" w:eastAsia="黑体" w:cs="黑体"/>
          <w:b w:val="0"/>
          <w:bCs w:val="0"/>
          <w:caps w:val="0"/>
          <w:smallCaps w:val="0"/>
          <w:color w:val="auto"/>
          <w:spacing w:val="0"/>
          <w:lang w:val="en-US" w:eastAsia="zh-CN"/>
        </w:rPr>
      </w:pPr>
      <w:bookmarkStart w:id="263" w:name="_Toc11994"/>
      <w:bookmarkStart w:id="264" w:name="_Toc20903"/>
      <w:bookmarkStart w:id="265" w:name="_Toc24296"/>
      <w:bookmarkStart w:id="266" w:name="_Toc2683"/>
      <w:bookmarkStart w:id="267" w:name="_Toc15519"/>
      <w:r>
        <w:rPr>
          <w:rFonts w:hint="eastAsia" w:ascii="黑体" w:hAnsi="黑体" w:eastAsia="黑体" w:cs="黑体"/>
          <w:b w:val="0"/>
          <w:bCs w:val="0"/>
          <w:caps w:val="0"/>
          <w:smallCaps w:val="0"/>
          <w:color w:val="auto"/>
          <w:spacing w:val="0"/>
          <w:lang w:val="en-US" w:eastAsia="zh-CN"/>
        </w:rPr>
        <w:t>一、</w:t>
      </w:r>
      <w:r>
        <w:rPr>
          <w:rFonts w:hint="default" w:ascii="黑体" w:hAnsi="黑体" w:eastAsia="黑体" w:cs="黑体"/>
          <w:b w:val="0"/>
          <w:bCs w:val="0"/>
          <w:caps w:val="0"/>
          <w:smallCaps w:val="0"/>
          <w:color w:val="auto"/>
          <w:spacing w:val="0"/>
          <w:lang w:val="en-US" w:eastAsia="zh-CN"/>
        </w:rPr>
        <w:t>处置方式</w:t>
      </w:r>
      <w:bookmarkEnd w:id="263"/>
      <w:bookmarkEnd w:id="264"/>
      <w:bookmarkEnd w:id="265"/>
      <w:bookmarkEnd w:id="266"/>
      <w:bookmarkEnd w:id="267"/>
    </w:p>
    <w:p w14:paraId="4D7C632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建筑垃圾的处理包括收集、转运、运输、分类和回收、处理和处置，以及其他一些配套服务。建筑垃圾的处理宜优先考虑资源化利用，处理及利用优先次序可按下表选择。</w:t>
      </w:r>
    </w:p>
    <w:tbl>
      <w:tblPr>
        <w:tblStyle w:val="41"/>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39"/>
        <w:gridCol w:w="6580"/>
      </w:tblGrid>
      <w:tr w14:paraId="438B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2439" w:type="dxa"/>
            <w:noWrap w:val="0"/>
            <w:vAlign w:val="top"/>
          </w:tcPr>
          <w:p w14:paraId="7B82A5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类型</w:t>
            </w:r>
          </w:p>
        </w:tc>
        <w:tc>
          <w:tcPr>
            <w:tcW w:w="6580" w:type="dxa"/>
            <w:noWrap w:val="0"/>
            <w:vAlign w:val="top"/>
          </w:tcPr>
          <w:p w14:paraId="58F2AD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处理及利用优先次序</w:t>
            </w:r>
          </w:p>
        </w:tc>
      </w:tr>
      <w:tr w14:paraId="4649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2439" w:type="dxa"/>
            <w:noWrap w:val="0"/>
            <w:vAlign w:val="top"/>
          </w:tcPr>
          <w:p w14:paraId="2CB201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工程渣土</w:t>
            </w:r>
          </w:p>
        </w:tc>
        <w:tc>
          <w:tcPr>
            <w:tcW w:w="6580" w:type="dxa"/>
            <w:noWrap w:val="0"/>
            <w:vAlign w:val="top"/>
          </w:tcPr>
          <w:p w14:paraId="5FB17C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回填；作为生活垃圾消纳场覆盖用土；资源化利用；填埋处置</w:t>
            </w:r>
          </w:p>
        </w:tc>
      </w:tr>
      <w:tr w14:paraId="153C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2439" w:type="dxa"/>
            <w:noWrap w:val="0"/>
            <w:vAlign w:val="top"/>
          </w:tcPr>
          <w:p w14:paraId="56101B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工程泥浆</w:t>
            </w:r>
          </w:p>
        </w:tc>
        <w:tc>
          <w:tcPr>
            <w:tcW w:w="6580" w:type="dxa"/>
            <w:noWrap w:val="0"/>
            <w:vAlign w:val="top"/>
          </w:tcPr>
          <w:p w14:paraId="145922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回填；作为生活垃圾消纳场覆盖用土；资源化利用；填埋处置</w:t>
            </w:r>
          </w:p>
        </w:tc>
      </w:tr>
      <w:tr w14:paraId="756A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2439" w:type="dxa"/>
            <w:noWrap w:val="0"/>
            <w:vAlign w:val="top"/>
          </w:tcPr>
          <w:p w14:paraId="129892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工程垃圾</w:t>
            </w:r>
          </w:p>
        </w:tc>
        <w:tc>
          <w:tcPr>
            <w:tcW w:w="6580" w:type="dxa"/>
            <w:noWrap w:val="0"/>
            <w:vAlign w:val="top"/>
          </w:tcPr>
          <w:p w14:paraId="0AFB28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资源化利用；回填；填埋处置</w:t>
            </w:r>
          </w:p>
        </w:tc>
      </w:tr>
      <w:tr w14:paraId="6E48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2439" w:type="dxa"/>
            <w:noWrap w:val="0"/>
            <w:vAlign w:val="top"/>
          </w:tcPr>
          <w:p w14:paraId="04FC47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拆除垃圾</w:t>
            </w:r>
          </w:p>
        </w:tc>
        <w:tc>
          <w:tcPr>
            <w:tcW w:w="6580" w:type="dxa"/>
            <w:noWrap w:val="0"/>
            <w:vAlign w:val="top"/>
          </w:tcPr>
          <w:p w14:paraId="0AC1F8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资源化利用；回填；填埋处置</w:t>
            </w:r>
          </w:p>
        </w:tc>
      </w:tr>
      <w:tr w14:paraId="35A1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2439" w:type="dxa"/>
            <w:noWrap w:val="0"/>
            <w:vAlign w:val="top"/>
          </w:tcPr>
          <w:p w14:paraId="52C552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装修垃圾</w:t>
            </w:r>
          </w:p>
        </w:tc>
        <w:tc>
          <w:tcPr>
            <w:tcW w:w="6580" w:type="dxa"/>
            <w:noWrap w:val="0"/>
            <w:vAlign w:val="top"/>
          </w:tcPr>
          <w:p w14:paraId="3085EA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分类、资源化利用；填埋处置</w:t>
            </w:r>
          </w:p>
        </w:tc>
      </w:tr>
    </w:tbl>
    <w:p w14:paraId="7A4FD15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回填是指利用现有低洼地块或即将开发利用但地坪标高低于使用要求的地块，以符合条件的建筑垃圾替代部分土石方弥补地坪标高的行为。</w:t>
      </w:r>
    </w:p>
    <w:p w14:paraId="18D0FC9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资源化利用是指将建筑垃圾直接利用或经分类收集、运输、处置等过程，再加以利用的行为。</w:t>
      </w:r>
    </w:p>
    <w:p w14:paraId="4A247D0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填埋处置（消纳）是指采取防渗、铺平、压实、覆盖等对建筑垃圾进行处理和对气体、渗沥液、蝇虫等进行治理的处理方法。</w:t>
      </w:r>
    </w:p>
    <w:p w14:paraId="0274C45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根据我国国情，我国的垃圾产业政策是：近期以卫生填埋为主，有条件的地方可发展焚烧技术和高温堆肥技术，应该本着垃圾处理无害化、减量化、资源化这个顺序和原则。</w:t>
      </w:r>
    </w:p>
    <w:p w14:paraId="1DE46F1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垃圾处理方式选择与自然条件有密切关系。我国南方地区地下水位高，人口密度大，土地资源紧张，填埋易造成水源污染；北方地区干旱少雨，地下水位较低，土地资源相对宽松，在近期采取垃圾卫生填埋方式比较经济。垃圾焚烧处理具有占地小、减量化显著、彻底无害化以及可回收热能可以发电等特点，未来许多发达城市将把生活垃圾焚烧发电厂作为城市生活垃圾处理的一个重要组成部分。</w:t>
      </w:r>
    </w:p>
    <w:p w14:paraId="202CCC1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资源化利用是以建筑垃圾处理企业为主体，以节约资源、保护环境为目标，通过采用先进的技术设施及处理工艺，将建筑垃圾实现有效收集并将其转化为可重新利用的资源和产品，通过销售实现经济效益，从而实现循环再利用。</w:t>
      </w:r>
    </w:p>
    <w:p w14:paraId="49062E3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资源化利用的相关主体主要包括能提供建筑垃圾处理服务的、按照有关市场规则参与竞争的企业，包括建筑垃圾产生阶段、建筑垃圾运输阶段、建筑垃圾资源化阶段、建筑垃圾资源化产品使用阶段等相关企业。建筑垃圾资源化利用形成的产品包括：再生骨料、再生砖、再生建材等。</w:t>
      </w:r>
    </w:p>
    <w:p w14:paraId="3F78AF2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资源化利用可以减少对新资源的需求，从而节约自然资源的消耗。通过回收利用建筑垃圾，可以减少建筑原材料的开采和加工，从而降低对自然资源的破坏和消耗。其次，可以减少对能源的消耗。建筑垃圾的回收利用可以通过优化处理过程和采用更高效的设备来降低能源消耗，第三，可以减少环境污染。建筑垃圾的处置过程中可能会产生废气、废水、废渣等有害物质。但通过回收利用，可以对这些有害物质进行控制和处理，从而减少对环境的污染。此外，建筑垃圾回收利用还可以产生可再生利用的建筑垃圾材料。</w:t>
      </w:r>
    </w:p>
    <w:p w14:paraId="2F5D12E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通过建筑垃圾资源化利用项目的建设，可以使集贤县的建筑垃圾处理结构更加合理，提高垃圾处理整体的运行效率，并实现垃圾资源化利用，实现集贤县生活垃圾处理长期可持续发展的要求。建筑垃圾不可能达到 100%的资源化，剔除的剩余杂物需要输运 到消纳场或者是焚烧场等辅助设施进行处理；分离出来的剩土也需要 送到渣土调剂临时堆放场存放。</w:t>
      </w:r>
    </w:p>
    <w:p w14:paraId="5D4FC560">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268" w:name="_Toc29664"/>
      <w:bookmarkStart w:id="269" w:name="_Toc1141"/>
      <w:r>
        <w:rPr>
          <w:rFonts w:hint="eastAsia" w:ascii="楷体_GB2312" w:hAnsi="楷体_GB2312" w:eastAsia="楷体_GB2312" w:cs="楷体_GB2312"/>
          <w:b w:val="0"/>
          <w:bCs w:val="0"/>
          <w:caps w:val="0"/>
          <w:smallCaps w:val="0"/>
          <w:color w:val="auto"/>
          <w:spacing w:val="0"/>
          <w:sz w:val="32"/>
          <w:szCs w:val="28"/>
          <w:lang w:val="en-US" w:eastAsia="zh-CN"/>
        </w:rPr>
        <w:t>1．</w:t>
      </w:r>
      <w:r>
        <w:rPr>
          <w:rFonts w:hint="default" w:ascii="楷体_GB2312" w:hAnsi="楷体_GB2312" w:eastAsia="楷体_GB2312" w:cs="楷体_GB2312"/>
          <w:b w:val="0"/>
          <w:bCs w:val="0"/>
          <w:caps w:val="0"/>
          <w:smallCaps w:val="0"/>
          <w:color w:val="auto"/>
          <w:spacing w:val="0"/>
          <w:sz w:val="32"/>
          <w:szCs w:val="28"/>
          <w:lang w:val="en-US" w:eastAsia="zh-CN"/>
        </w:rPr>
        <w:t>建筑垃圾资源化利用</w:t>
      </w:r>
      <w:bookmarkEnd w:id="268"/>
      <w:bookmarkEnd w:id="269"/>
    </w:p>
    <w:p w14:paraId="147D761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建筑垃圾资源化利用实行源头减量化和无害化原则，严禁混入污泥、生活垃圾、工业和危险废 弃物等。建筑垃圾资源化利用要与土地总体规划、城市循环经济规划、旧住宅区（厂区）、城中村改造、工业园区和城市建设等结合科学规划，兼顾近期和远期衔接，合理利用土地。</w:t>
      </w:r>
    </w:p>
    <w:p w14:paraId="4B9CBE4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建筑垃圾资源化利用企业的布局遵循“全面覆盖、运距合理、总量控制 ”的原则，根据区域内 建筑垃圾存量和预测统筹确定。其生产规模处置，根据区域内建筑垃圾存量和预测统筹确定，满足城市经济和社会发展需要。经过对集贤县区位、经济发展的综合研判，规划集贤县在规划期内不建设专门的资源化利用设施。规划远期经协商后，将可资源化的建筑垃圾就近运至双鸭山市建筑垃圾资源化处理厂，实现减少投资，区域基础设施就近共建共享。</w:t>
      </w:r>
    </w:p>
    <w:p w14:paraId="68BE6BB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建筑垃圾的收集、运输、处置应符合《建筑垃圾处理技术规范》CJJ-134 的有关规定，并应满足下列要求：</w:t>
      </w:r>
    </w:p>
    <w:p w14:paraId="2774AF98">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编制建筑垃圾资源化利用专项方案，在源头对建筑垃圾实施分类收集；</w:t>
      </w:r>
    </w:p>
    <w:p w14:paraId="7FB1D7D4">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建立建筑垃圾运输的各方会签、终点结算制度，实行运输过程的流向和总结算制度，实行运输过程的流向和总量管控，严禁偷倒、乱倒；</w:t>
      </w:r>
    </w:p>
    <w:p w14:paraId="79BDB6D3">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根据建筑垃圾种类、质量特性，建立建筑垃圾处置的收、付费制度。</w:t>
      </w:r>
    </w:p>
    <w:p w14:paraId="3831AEE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工程渣土优先进行场地填方处理。工程垃圾应根据土层、类别、特性确定用途，可用于道路填方、场地填方、软土地基处理、矿山修复、土壤改良、植被恢复等。工程场地的表层耕植土优先用于园林绿化。废弃泥浆经固化、脱水处理后，泥饼可用作回填、场地覆盖或制备再生产品。</w:t>
      </w:r>
    </w:p>
    <w:p w14:paraId="7E224594">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270" w:name="_Toc29383"/>
      <w:bookmarkStart w:id="271" w:name="_Toc10835"/>
      <w:r>
        <w:rPr>
          <w:rFonts w:hint="eastAsia" w:ascii="楷体_GB2312" w:hAnsi="楷体_GB2312" w:eastAsia="楷体_GB2312" w:cs="楷体_GB2312"/>
          <w:b w:val="0"/>
          <w:bCs w:val="0"/>
          <w:caps w:val="0"/>
          <w:smallCaps w:val="0"/>
          <w:color w:val="auto"/>
          <w:spacing w:val="0"/>
          <w:sz w:val="32"/>
          <w:szCs w:val="28"/>
          <w:lang w:val="en-US" w:eastAsia="zh-CN"/>
        </w:rPr>
        <w:t>2．</w:t>
      </w:r>
      <w:r>
        <w:rPr>
          <w:rFonts w:hint="default" w:ascii="楷体_GB2312" w:hAnsi="楷体_GB2312" w:eastAsia="楷体_GB2312" w:cs="楷体_GB2312"/>
          <w:b w:val="0"/>
          <w:bCs w:val="0"/>
          <w:caps w:val="0"/>
          <w:smallCaps w:val="0"/>
          <w:color w:val="auto"/>
          <w:spacing w:val="0"/>
          <w:sz w:val="32"/>
          <w:szCs w:val="28"/>
          <w:lang w:val="en-US" w:eastAsia="zh-CN"/>
        </w:rPr>
        <w:t>建筑垃圾填埋消纳</w:t>
      </w:r>
      <w:bookmarkEnd w:id="270"/>
      <w:bookmarkEnd w:id="271"/>
    </w:p>
    <w:p w14:paraId="5AC229F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量非常大，除极少部分有害外，如经防腐处理的废旧木材、含有汞的日光灯管等，其他均可进行再生利用。所以从理论上讲，只需将建筑垃圾中的有害成分分离出来送往危险废物处置厂，对剩余的绝大部分无毒无害的建筑垃圾进行循环利用即可。但目前我国大多数城市对建筑垃圾是采取填埋处理。</w:t>
      </w:r>
    </w:p>
    <w:p w14:paraId="3700A2A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对环境的危害性小于生活垃圾，但是也不能将其简单的一埋了之。建设消纳场前应对场地的水文和地质条件进行评估。根据消纳场的环境影响、交通、土地征用、运输距离、封场后的土地开发等因素，对场地进一步地进行筛选。</w:t>
      </w:r>
    </w:p>
    <w:p w14:paraId="362E568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合理的选址可以尽量减少甚至避免建筑垃圾对空气、水、土壤资源的污染，以及与消纳场相毗连的产业和土地利用所产生的不利影响。</w:t>
      </w:r>
    </w:p>
    <w:p w14:paraId="57CCAB4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消纳场地的选择要考虑以下多方面的因素：根据建筑垃圾的来源和数量确定消纳场的规模；上覆土壤要易取得，易压实，防渗能力要强；运输和操作设备的噪声不易影响周围居民；运输距离适宜，位于城市的下风向和地下水的下游。</w:t>
      </w:r>
    </w:p>
    <w:p w14:paraId="0FF266C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消纳场封场后应采取覆盖措施，最大限度地阻止降水向下渗透，上覆土层可以采用植被土，营造人工林，还原自然地貌，也可作公园和娱乐场所，修造停车场，建设储备仓库等。</w:t>
      </w:r>
    </w:p>
    <w:p w14:paraId="0B6C3EFA">
      <w:pPr>
        <w:pStyle w:val="40"/>
        <w:bidi w:val="0"/>
        <w:rPr>
          <w:rFonts w:hint="default" w:ascii="黑体" w:hAnsi="黑体" w:eastAsia="黑体" w:cs="黑体"/>
          <w:b w:val="0"/>
          <w:bCs w:val="0"/>
          <w:caps w:val="0"/>
          <w:smallCaps w:val="0"/>
          <w:color w:val="auto"/>
          <w:spacing w:val="0"/>
          <w:lang w:val="en-US" w:eastAsia="zh-CN"/>
        </w:rPr>
      </w:pPr>
      <w:bookmarkStart w:id="272" w:name="_Toc13798"/>
      <w:bookmarkStart w:id="273" w:name="_Toc11095"/>
      <w:bookmarkStart w:id="274" w:name="_Toc3146"/>
      <w:bookmarkStart w:id="275" w:name="_Toc2062"/>
      <w:r>
        <w:rPr>
          <w:rFonts w:hint="eastAsia" w:ascii="黑体" w:hAnsi="黑体" w:eastAsia="黑体" w:cs="黑体"/>
          <w:b w:val="0"/>
          <w:bCs w:val="0"/>
          <w:caps w:val="0"/>
          <w:smallCaps w:val="0"/>
          <w:color w:val="auto"/>
          <w:spacing w:val="0"/>
          <w:lang w:val="en-US" w:eastAsia="zh-CN"/>
        </w:rPr>
        <w:t>二、</w:t>
      </w:r>
      <w:r>
        <w:rPr>
          <w:rFonts w:hint="default" w:ascii="黑体" w:hAnsi="黑体" w:eastAsia="黑体" w:cs="黑体"/>
          <w:b w:val="0"/>
          <w:bCs w:val="0"/>
          <w:caps w:val="0"/>
          <w:smallCaps w:val="0"/>
          <w:color w:val="auto"/>
          <w:spacing w:val="0"/>
          <w:lang w:val="en-US" w:eastAsia="zh-CN"/>
        </w:rPr>
        <w:t>处置体系</w:t>
      </w:r>
      <w:bookmarkEnd w:id="272"/>
      <w:bookmarkEnd w:id="273"/>
      <w:bookmarkEnd w:id="274"/>
      <w:bookmarkEnd w:id="275"/>
    </w:p>
    <w:p w14:paraId="517CC148">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276" w:name="_Toc2610"/>
      <w:r>
        <w:rPr>
          <w:rFonts w:hint="eastAsia" w:ascii="楷体_GB2312" w:hAnsi="楷体_GB2312" w:eastAsia="楷体_GB2312" w:cs="楷体_GB2312"/>
          <w:b w:val="0"/>
          <w:bCs w:val="0"/>
          <w:caps w:val="0"/>
          <w:smallCaps w:val="0"/>
          <w:color w:val="auto"/>
          <w:spacing w:val="0"/>
          <w:sz w:val="32"/>
          <w:szCs w:val="28"/>
          <w:lang w:val="en-US" w:eastAsia="zh-CN"/>
        </w:rPr>
        <w:t>1．</w:t>
      </w:r>
      <w:r>
        <w:rPr>
          <w:rFonts w:hint="default" w:ascii="楷体_GB2312" w:hAnsi="楷体_GB2312" w:eastAsia="楷体_GB2312" w:cs="楷体_GB2312"/>
          <w:b w:val="0"/>
          <w:bCs w:val="0"/>
          <w:caps w:val="0"/>
          <w:smallCaps w:val="0"/>
          <w:color w:val="auto"/>
          <w:spacing w:val="0"/>
          <w:sz w:val="32"/>
          <w:szCs w:val="28"/>
          <w:lang w:val="en-US" w:eastAsia="zh-CN"/>
        </w:rPr>
        <w:t>建筑垃圾消纳厂选址</w:t>
      </w:r>
      <w:bookmarkEnd w:id="276"/>
    </w:p>
    <w:p w14:paraId="71D8CE22">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选址原则</w:t>
      </w:r>
    </w:p>
    <w:p w14:paraId="7032B40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符合当地城市总体规划、环境卫生专业规划以及国家现行有关标准的要求。</w:t>
      </w:r>
    </w:p>
    <w:p w14:paraId="3F2DE84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与当地的大气防护、水土资源保护、自然保护及生态平衡要求相一致。</w:t>
      </w:r>
    </w:p>
    <w:p w14:paraId="0CB304F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工程地质与水文地质条件应满足设施建设和运行的要求，不应选在发震断层、滑坡、泥 石流、沼泽、流沙及采矿陷落区等地区。</w:t>
      </w:r>
    </w:p>
    <w:p w14:paraId="6C730D56">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val="0"/>
          <w:bCs w:val="0"/>
          <w:caps w:val="0"/>
          <w:smallCaps w:val="0"/>
          <w:color w:val="auto"/>
          <w:spacing w:val="0"/>
          <w:lang w:val="en-US" w:eastAsia="zh-CN"/>
        </w:rPr>
        <w:t>交通方便，运距合理，并应综合考虑建筑垃圾处理厂的服务区域、建筑</w:t>
      </w:r>
      <w:r>
        <w:rPr>
          <w:rFonts w:hint="eastAsia" w:ascii="仿宋_GB2312" w:hAnsi="仿宋_GB2312" w:eastAsia="仿宋_GB2312" w:cs="仿宋_GB2312"/>
          <w:color w:val="auto"/>
          <w:spacing w:val="0"/>
          <w:kern w:val="2"/>
          <w:sz w:val="32"/>
          <w:szCs w:val="32"/>
          <w:highlight w:val="none"/>
          <w:lang w:val="en-US" w:eastAsia="zh-CN" w:bidi="ar-SA"/>
        </w:rPr>
        <w:t>垃圾收集运输能力、产品出路、预留发展等因素。</w:t>
      </w:r>
    </w:p>
    <w:p w14:paraId="1C112626">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应有良好的电力、给水和排水条件。</w:t>
      </w:r>
    </w:p>
    <w:p w14:paraId="43B9B2C2">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人口密度、土地利用价值及征地费用均较低。</w:t>
      </w:r>
    </w:p>
    <w:p w14:paraId="2E62D988">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厂址应避免选择在生态资源、地面水系 、机场、文化遗址、风景区等敏感区域。</w:t>
      </w:r>
    </w:p>
    <w:p w14:paraId="44D97A20">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位于地下水贫乏地区、环境保护目标区域的地下水流向下游地区及夏季主导风向下风向。</w:t>
      </w:r>
    </w:p>
    <w:p w14:paraId="1935A30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厂址不应受洪水、潮水或内涝的威胁；必须建在该类地区时，应有可靠的防</w:t>
      </w:r>
      <w:r>
        <w:rPr>
          <w:rFonts w:hint="eastAsia" w:ascii="仿宋_GB2312" w:hAnsi="仿宋_GB2312" w:eastAsia="仿宋_GB2312" w:cs="仿宋_GB2312"/>
          <w:b w:val="0"/>
          <w:bCs w:val="0"/>
          <w:caps w:val="0"/>
          <w:smallCaps w:val="0"/>
          <w:color w:val="auto"/>
          <w:spacing w:val="0"/>
          <w:lang w:val="en-US" w:eastAsia="zh-CN"/>
        </w:rPr>
        <w:t>洪、排涝措 施，其防洪标准应符合现行国家标准。</w:t>
      </w:r>
    </w:p>
    <w:p w14:paraId="5C5C6A1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符合国家环保要求。</w:t>
      </w:r>
    </w:p>
    <w:p w14:paraId="344AC6D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应符合环境影响评价的要求。</w:t>
      </w:r>
    </w:p>
    <w:p w14:paraId="426767DF">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建筑垃圾消纳场的建设应符合下列要求：</w:t>
      </w:r>
    </w:p>
    <w:p w14:paraId="40C00EF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1）四周设置不低于2m的实体围墙，或设置界桩，明确控制范围；如安全需要、必须设置 安全防护挡土墙，以确保安全；并设置门头、安全警示标志；配备与处置工艺相符合的作业、降尘、照明等设备。</w:t>
      </w:r>
    </w:p>
    <w:p w14:paraId="252230A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2）出入口道路应铺设砼化路面长度不少于 100 m、宽度不少于 5 m，并设置规范冲洗设施（宽4 m×长 8 m），安装自动喷水控尘设施，设置 20 m间隔的钻孔式喷淋输水管；有排水、消防等设施；入口道路有会车点，场内有循环车道。</w:t>
      </w:r>
    </w:p>
    <w:p w14:paraId="19654EC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3）应当配备用于建筑垃圾消纳的机械设备，专用车辆入场的建筑垃圾应及时推平、碾压，后期恢复植被、进行绿化。</w:t>
      </w:r>
    </w:p>
    <w:p w14:paraId="0FC8C05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4）消纳场必须配有专业的保洁人员，做好施工车辆出消纳场前的保洁工作，对车辆的车轮、车厢吸附的泥土进行冲洗，确保净车出场，杜绝车辆夹带泥土上路，污染路面，保证进出车辆车容车貌整洁进入城区。</w:t>
      </w:r>
    </w:p>
    <w:p w14:paraId="72F19DF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5）有健全的现场运行管理制度和完整的原始记录，如实填报建筑垃圾处置相关报表。</w:t>
      </w:r>
    </w:p>
    <w:p w14:paraId="24F929F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6）有健全的安全管理措施并得到有效执行，以保持水土平衡，防止塌方、泥石流等灾害事故的发生。</w:t>
      </w:r>
    </w:p>
    <w:p w14:paraId="559FBA2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7）保持场内的环境整洁，场内没有蚊蝇滋生地，防止尘土飞扬，污水流溢。不得受纳工业垃圾、生活垃圾和有毒有害垃圾。</w:t>
      </w:r>
    </w:p>
    <w:p w14:paraId="3CA84608">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277" w:name="_Toc5644"/>
      <w:r>
        <w:rPr>
          <w:rFonts w:hint="eastAsia" w:ascii="楷体_GB2312" w:hAnsi="楷体_GB2312" w:eastAsia="楷体_GB2312" w:cs="楷体_GB2312"/>
          <w:b w:val="0"/>
          <w:bCs w:val="0"/>
          <w:caps w:val="0"/>
          <w:smallCaps w:val="0"/>
          <w:color w:val="auto"/>
          <w:spacing w:val="0"/>
          <w:sz w:val="32"/>
          <w:szCs w:val="28"/>
          <w:lang w:val="en-US" w:eastAsia="zh-CN"/>
        </w:rPr>
        <w:t>2．</w:t>
      </w:r>
      <w:r>
        <w:rPr>
          <w:rFonts w:hint="default" w:ascii="楷体_GB2312" w:hAnsi="楷体_GB2312" w:eastAsia="楷体_GB2312" w:cs="楷体_GB2312"/>
          <w:b w:val="0"/>
          <w:bCs w:val="0"/>
          <w:caps w:val="0"/>
          <w:smallCaps w:val="0"/>
          <w:color w:val="auto"/>
          <w:spacing w:val="0"/>
          <w:sz w:val="32"/>
          <w:szCs w:val="28"/>
          <w:lang w:val="en-US" w:eastAsia="zh-CN"/>
        </w:rPr>
        <w:t>建设规模</w:t>
      </w:r>
      <w:bookmarkEnd w:id="277"/>
    </w:p>
    <w:p w14:paraId="74F23D6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消纳场的建设主体工程包括：防洪与雨污分流、地基处理与场地平整、垃圾坝、堆体排水、 堆填气体导排（根据需要建设）等工程；配套工程包括：计量设施、洗车作业平台、消防、电气、通风与空调、绿化等工程。其总图应按照功能要求进行分区合理布置，功能区包括进出口、堆填库区、污水处理区、生产管理区、道路、周边维护等，堆填库区的占地面积宜为消纳场总面积的 70%～90%，不得小于 60% ，已根据处理规模及建设条件作出分期和分区建设的安排和规划。</w:t>
      </w:r>
    </w:p>
    <w:p w14:paraId="35E6214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集贤县建筑垃圾消纳场处理能力按工程垃圾、装修垃圾、拆除垃圾量的60%计算，近期规模为1.52万吨/年，远期规模为1.91万吨/年，占地面积为5.4公顷，选址在集贤县笔架山农场西南侧。</w:t>
      </w:r>
    </w:p>
    <w:p w14:paraId="6F92C2B4">
      <w:pPr>
        <w:pStyle w:val="8"/>
        <w:spacing w:line="240" w:lineRule="auto"/>
        <w:jc w:val="center"/>
        <w:rPr>
          <w:rFonts w:hint="eastAsia" w:eastAsia="宋体"/>
          <w:b w:val="0"/>
          <w:bCs w:val="0"/>
          <w:caps w:val="0"/>
          <w:smallCaps w:val="0"/>
          <w:color w:val="auto"/>
          <w:spacing w:val="0"/>
          <w:highlight w:val="none"/>
          <w:lang w:eastAsia="zh-CN"/>
        </w:rPr>
      </w:pPr>
      <w:r>
        <w:rPr>
          <w:rFonts w:hint="eastAsia" w:eastAsia="宋体"/>
          <w:b w:val="0"/>
          <w:bCs w:val="0"/>
          <w:caps w:val="0"/>
          <w:smallCaps w:val="0"/>
          <w:color w:val="auto"/>
          <w:spacing w:val="0"/>
          <w:highlight w:val="none"/>
          <w:lang w:eastAsia="zh-CN"/>
        </w:rPr>
        <w:drawing>
          <wp:inline distT="0" distB="0" distL="114300" distR="114300">
            <wp:extent cx="5228590" cy="3054350"/>
            <wp:effectExtent l="0" t="0" r="10160" b="12700"/>
            <wp:docPr id="1" name="图片 1" descr="0bf951cad30a1ad73a6c6f9549ab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bf951cad30a1ad73a6c6f9549ab52f"/>
                    <pic:cNvPicPr>
                      <a:picLocks noChangeAspect="1"/>
                    </pic:cNvPicPr>
                  </pic:nvPicPr>
                  <pic:blipFill>
                    <a:blip r:embed="rId27"/>
                    <a:stretch>
                      <a:fillRect/>
                    </a:stretch>
                  </pic:blipFill>
                  <pic:spPr>
                    <a:xfrm>
                      <a:off x="0" y="0"/>
                      <a:ext cx="5228590" cy="3054350"/>
                    </a:xfrm>
                    <a:prstGeom prst="rect">
                      <a:avLst/>
                    </a:prstGeom>
                  </pic:spPr>
                </pic:pic>
              </a:graphicData>
            </a:graphic>
          </wp:inline>
        </w:drawing>
      </w:r>
    </w:p>
    <w:p w14:paraId="59650A2C">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建筑垃圾消纳场拟选址航拍图</w:t>
      </w:r>
    </w:p>
    <w:p w14:paraId="503F50D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设计填埋库容量20万m³，可容纳集贤县及所辖各建制镇10年的建筑垃圾填埋量，满足建筑垃圾填埋处置场设计使用年限不应小于10年的要求，设计年限为2035年。</w:t>
      </w:r>
    </w:p>
    <w:p w14:paraId="09D3D709">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278" w:name="_Toc29465"/>
      <w:r>
        <w:rPr>
          <w:rFonts w:hint="eastAsia" w:ascii="楷体_GB2312" w:hAnsi="楷体_GB2312" w:eastAsia="楷体_GB2312" w:cs="楷体_GB2312"/>
          <w:b w:val="0"/>
          <w:bCs w:val="0"/>
          <w:caps w:val="0"/>
          <w:smallCaps w:val="0"/>
          <w:color w:val="auto"/>
          <w:spacing w:val="0"/>
          <w:sz w:val="32"/>
          <w:szCs w:val="28"/>
          <w:lang w:val="en-US" w:eastAsia="zh-CN"/>
        </w:rPr>
        <w:t>3．</w:t>
      </w:r>
      <w:r>
        <w:rPr>
          <w:rFonts w:hint="default" w:ascii="楷体_GB2312" w:hAnsi="楷体_GB2312" w:eastAsia="楷体_GB2312" w:cs="楷体_GB2312"/>
          <w:b w:val="0"/>
          <w:bCs w:val="0"/>
          <w:caps w:val="0"/>
          <w:smallCaps w:val="0"/>
          <w:color w:val="auto"/>
          <w:spacing w:val="0"/>
          <w:sz w:val="32"/>
          <w:szCs w:val="28"/>
          <w:lang w:val="en-US" w:eastAsia="zh-CN"/>
        </w:rPr>
        <w:t>技术方案</w:t>
      </w:r>
      <w:bookmarkEnd w:id="278"/>
    </w:p>
    <w:p w14:paraId="06AE951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目前，最常用的处理方式主要有填埋、建筑垃圾制砌块、建筑垃圾夯扩桩和再生骨料等，这四种主要处理方式的适用条件和效果各有特点，详见下表。</w:t>
      </w:r>
    </w:p>
    <w:p w14:paraId="17732DCB">
      <w:pPr>
        <w:pStyle w:val="40"/>
        <w:bidi w:val="0"/>
        <w:rPr>
          <w:rFonts w:hint="eastAsia" w:ascii="仿宋_GB2312" w:hAnsi="仿宋_GB2312" w:eastAsia="仿宋_GB2312" w:cs="仿宋_GB2312"/>
          <w:b w:val="0"/>
          <w:bCs w:val="0"/>
          <w:caps w:val="0"/>
          <w:smallCaps w:val="0"/>
          <w:color w:val="auto"/>
          <w:spacing w:val="0"/>
          <w:lang w:val="en-US" w:eastAsia="zh-CN"/>
        </w:rPr>
      </w:pPr>
    </w:p>
    <w:p w14:paraId="31BD4A7A">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建筑垃圾填埋工艺比选表</w:t>
      </w:r>
    </w:p>
    <w:tbl>
      <w:tblPr>
        <w:tblStyle w:val="26"/>
        <w:tblW w:w="4779" w:type="pct"/>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3618"/>
        <w:gridCol w:w="4104"/>
      </w:tblGrid>
      <w:tr w14:paraId="6898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729" w:type="pct"/>
            <w:noWrap/>
            <w:vAlign w:val="center"/>
          </w:tcPr>
          <w:p w14:paraId="0B04C7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方法</w:t>
            </w:r>
          </w:p>
        </w:tc>
        <w:tc>
          <w:tcPr>
            <w:tcW w:w="2014" w:type="pct"/>
            <w:noWrap/>
            <w:vAlign w:val="center"/>
          </w:tcPr>
          <w:p w14:paraId="710B14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优点</w:t>
            </w:r>
          </w:p>
        </w:tc>
        <w:tc>
          <w:tcPr>
            <w:tcW w:w="2256" w:type="pct"/>
            <w:noWrap/>
            <w:vAlign w:val="center"/>
          </w:tcPr>
          <w:p w14:paraId="0328EC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缺点</w:t>
            </w:r>
          </w:p>
        </w:tc>
      </w:tr>
      <w:tr w14:paraId="649A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29" w:type="pct"/>
            <w:noWrap/>
            <w:vAlign w:val="center"/>
          </w:tcPr>
          <w:p w14:paraId="4BC234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填埋</w:t>
            </w:r>
          </w:p>
        </w:tc>
        <w:tc>
          <w:tcPr>
            <w:tcW w:w="2014" w:type="pct"/>
            <w:noWrap/>
            <w:vAlign w:val="center"/>
          </w:tcPr>
          <w:p w14:paraId="6792C0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处理量大，运行费用低；</w:t>
            </w:r>
          </w:p>
          <w:p w14:paraId="53DA41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工艺费用简单；</w:t>
            </w:r>
          </w:p>
          <w:p w14:paraId="608880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管理简单易行；</w:t>
            </w:r>
          </w:p>
          <w:p w14:paraId="058092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是其他处理方法的最终消纳场。</w:t>
            </w:r>
          </w:p>
        </w:tc>
        <w:tc>
          <w:tcPr>
            <w:tcW w:w="2256" w:type="pct"/>
            <w:noWrap/>
            <w:vAlign w:val="center"/>
          </w:tcPr>
          <w:p w14:paraId="69B898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占用土地；</w:t>
            </w:r>
          </w:p>
          <w:p w14:paraId="419FE5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浪费可回收资源。</w:t>
            </w:r>
          </w:p>
        </w:tc>
      </w:tr>
      <w:tr w14:paraId="53A2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29" w:type="pct"/>
            <w:noWrap/>
            <w:vAlign w:val="center"/>
          </w:tcPr>
          <w:p w14:paraId="4C6270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制砌块</w:t>
            </w:r>
          </w:p>
        </w:tc>
        <w:tc>
          <w:tcPr>
            <w:tcW w:w="2014" w:type="pct"/>
            <w:noWrap/>
            <w:vAlign w:val="center"/>
          </w:tcPr>
          <w:p w14:paraId="6806B1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节约资源，不用烧制；</w:t>
            </w:r>
          </w:p>
          <w:p w14:paraId="7B01F4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可使建筑垃圾减量化。</w:t>
            </w:r>
          </w:p>
        </w:tc>
        <w:tc>
          <w:tcPr>
            <w:tcW w:w="2256" w:type="pct"/>
            <w:noWrap/>
            <w:vAlign w:val="center"/>
          </w:tcPr>
          <w:p w14:paraId="66A5CB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需添加水泥、沙土等辅材；</w:t>
            </w:r>
          </w:p>
          <w:p w14:paraId="07C256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产品需长时间养护才能出厂；</w:t>
            </w:r>
          </w:p>
          <w:p w14:paraId="7B415C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受市场影响大；</w:t>
            </w:r>
          </w:p>
          <w:p w14:paraId="4008A6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产生一定噪声污染。</w:t>
            </w:r>
          </w:p>
        </w:tc>
      </w:tr>
      <w:tr w14:paraId="6995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29" w:type="pct"/>
            <w:noWrap/>
            <w:vAlign w:val="center"/>
          </w:tcPr>
          <w:p w14:paraId="57B8A4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夯扩桩</w:t>
            </w:r>
          </w:p>
        </w:tc>
        <w:tc>
          <w:tcPr>
            <w:tcW w:w="2014" w:type="pct"/>
            <w:noWrap/>
            <w:vAlign w:val="center"/>
          </w:tcPr>
          <w:p w14:paraId="6A8F4CA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减量化、无害化程度高</w:t>
            </w:r>
          </w:p>
          <w:p w14:paraId="72A9C2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就地填埋，节约外运费用</w:t>
            </w:r>
          </w:p>
        </w:tc>
        <w:tc>
          <w:tcPr>
            <w:tcW w:w="2256" w:type="pct"/>
            <w:noWrap/>
            <w:vAlign w:val="center"/>
          </w:tcPr>
          <w:p w14:paraId="7C5271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工艺特殊，施工机具特殊；</w:t>
            </w:r>
          </w:p>
          <w:p w14:paraId="71653D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针对性和用途有一定限制。</w:t>
            </w:r>
          </w:p>
        </w:tc>
      </w:tr>
      <w:tr w14:paraId="555E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29" w:type="pct"/>
            <w:noWrap/>
            <w:vAlign w:val="center"/>
          </w:tcPr>
          <w:p w14:paraId="7A5593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再生骨料</w:t>
            </w:r>
          </w:p>
        </w:tc>
        <w:tc>
          <w:tcPr>
            <w:tcW w:w="2014" w:type="pct"/>
            <w:noWrap/>
            <w:vAlign w:val="center"/>
          </w:tcPr>
          <w:p w14:paraId="523E41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工艺简单；节约原生材料</w:t>
            </w:r>
          </w:p>
        </w:tc>
        <w:tc>
          <w:tcPr>
            <w:tcW w:w="2256" w:type="pct"/>
            <w:noWrap/>
            <w:vAlign w:val="center"/>
          </w:tcPr>
          <w:p w14:paraId="064B39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只适用于路基等级要求较低的场所；</w:t>
            </w:r>
          </w:p>
          <w:p w14:paraId="6131F8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与原生骨料相比性能较差；</w:t>
            </w:r>
          </w:p>
          <w:p w14:paraId="3FD4A1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需要的加工机械较多。</w:t>
            </w:r>
          </w:p>
        </w:tc>
      </w:tr>
    </w:tbl>
    <w:p w14:paraId="5F765E0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项目建筑垃圾处理工艺确定原则是：技术成熟，设备可靠，投入产出比最佳，符合集贤县的实际情况，满足环境保护要求。</w:t>
      </w:r>
    </w:p>
    <w:p w14:paraId="0BC9BC62">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集贤县建筑垃圾的产量、组成及变化趋势</w:t>
      </w:r>
    </w:p>
    <w:p w14:paraId="3096582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根据实际调查，目前集贤县建筑垃圾产量较低，在产生的过程中一些成分被直接回收利用，实际运至处理厂需要处理的建筑垃圾中可回收利用成分较低，大部分为渣土等不可回收利用成分，因此，从产量和成分方面分析，目前集贤县建筑垃圾适宜填埋处理。</w:t>
      </w:r>
    </w:p>
    <w:p w14:paraId="4D235783">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各种建筑垃圾处理方式的特点</w:t>
      </w:r>
    </w:p>
    <w:p w14:paraId="6EA09F1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填埋工艺简单，操作管理简便，资源化利用处理工艺复杂，需要相应技术人员管理，才能做到既能处理达标又能盈利，目前不符合集贤县的实际情况。</w:t>
      </w:r>
    </w:p>
    <w:p w14:paraId="04DC7AFB">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r>
        <w:rPr>
          <w:rFonts w:hint="default" w:ascii="仿宋_GB2312" w:hAnsi="仿宋_GB2312" w:eastAsia="仿宋_GB2312" w:cs="仿宋_GB2312"/>
          <w:b w:val="0"/>
          <w:bCs w:val="0"/>
          <w:caps w:val="0"/>
          <w:smallCaps w:val="0"/>
          <w:color w:val="auto"/>
          <w:spacing w:val="0"/>
          <w:lang w:eastAsia="zh-CN"/>
        </w:rPr>
        <w:t>（3）</w:t>
      </w:r>
      <w:r>
        <w:rPr>
          <w:rFonts w:hint="eastAsia" w:ascii="仿宋_GB2312" w:hAnsi="仿宋_GB2312" w:eastAsia="仿宋_GB2312" w:cs="仿宋_GB2312"/>
          <w:b w:val="0"/>
          <w:bCs w:val="0"/>
          <w:caps w:val="0"/>
          <w:smallCaps w:val="0"/>
          <w:color w:val="auto"/>
          <w:spacing w:val="0"/>
          <w:lang w:val="en-US" w:eastAsia="zh-CN"/>
        </w:rPr>
        <w:t>投入产出比</w:t>
      </w:r>
    </w:p>
    <w:p w14:paraId="47651C0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填埋成本较低，资源化利用处理成本高，受市场影响较大，目前集贤县砖砌体需求量较低，且目前国内对再生砖质量有些许偏见，更影响了市场对再生砖的需求量。</w:t>
      </w:r>
    </w:p>
    <w:p w14:paraId="72E570C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综上所述，目前集贤县建筑垃圾处理适于填埋处理，因此，项目采用填埋处理工艺，并采取土方回填、矿山修复等简单的资源化处理工艺。</w:t>
      </w:r>
    </w:p>
    <w:p w14:paraId="5F65BC0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考虑到集贤县随着经济的发展，建筑垃圾产量会不断增加，垃圾可回收成分会不断提高，且随着人们对建筑垃圾再生产品的认识提高，建筑垃圾再生产品市场会不断扩大，后期可与双鸭山市协调，考虑再生资源化处理工艺。</w:t>
      </w:r>
    </w:p>
    <w:p w14:paraId="7FE1223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结合目前建筑垃圾处理处置的主要方法与集贤县实际情况，本工程选择对集贤县建设中产生的泥土、砂石、混凝土砌块、渣土等建筑垃圾进行采用露天填埋填的方式处理，实现建筑垃圾与生活垃圾的分类填埋，要求填实填平。</w:t>
      </w:r>
    </w:p>
    <w:p w14:paraId="3DD3D65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处理流程如下：</w:t>
      </w:r>
    </w:p>
    <w:p w14:paraId="60E0823A">
      <w:pPr>
        <w:pStyle w:val="40"/>
        <w:spacing w:after="48" w:line="360" w:lineRule="auto"/>
        <w:ind w:firstLine="560"/>
        <w:rPr>
          <w:rFonts w:hint="eastAsia" w:ascii="方正仿宋_GB2312" w:hAnsi="方正仿宋_GB2312" w:eastAsia="方正仿宋_GB2312" w:cs="方正仿宋_GB2312"/>
          <w:b w:val="0"/>
          <w:bCs w:val="0"/>
          <w:caps w:val="0"/>
          <w:smallCaps w:val="0"/>
          <w:color w:val="auto"/>
          <w:spacing w:val="0"/>
          <w:sz w:val="32"/>
          <w:szCs w:val="32"/>
          <w:highlight w:val="none"/>
          <w:lang w:val="en-US" w:eastAsia="zh-CN"/>
        </w:rPr>
      </w:pPr>
      <w:r>
        <w:rPr>
          <w:rFonts w:hint="eastAsia" w:ascii="方正仿宋_GB2312" w:hAnsi="方正仿宋_GB2312" w:eastAsia="方正仿宋_GB2312" w:cs="方正仿宋_GB2312"/>
          <w:b w:val="0"/>
          <w:bCs w:val="0"/>
          <w:caps w:val="0"/>
          <w:smallCaps w:val="0"/>
          <w:color w:val="auto"/>
          <w:spacing w:val="0"/>
          <w:sz w:val="32"/>
          <w:szCs w:val="32"/>
          <w:highlight w:val="none"/>
          <w:lang w:val="en-US" w:eastAsia="zh-CN"/>
        </w:rPr>
        <w:drawing>
          <wp:inline distT="0" distB="0" distL="114300" distR="114300">
            <wp:extent cx="5274310" cy="3634740"/>
            <wp:effectExtent l="0" t="0" r="8890"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8"/>
                    <a:stretch>
                      <a:fillRect/>
                    </a:stretch>
                  </pic:blipFill>
                  <pic:spPr>
                    <a:xfrm>
                      <a:off x="0" y="0"/>
                      <a:ext cx="5274310" cy="3634740"/>
                    </a:xfrm>
                    <a:prstGeom prst="rect">
                      <a:avLst/>
                    </a:prstGeom>
                    <a:noFill/>
                    <a:ln>
                      <a:noFill/>
                    </a:ln>
                  </pic:spPr>
                </pic:pic>
              </a:graphicData>
            </a:graphic>
          </wp:inline>
        </w:drawing>
      </w:r>
    </w:p>
    <w:p w14:paraId="17AEEA7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由垃圾清运车运至垃圾处理场自卸后堆放，由推土机推平后，一层一层地压实。建筑垃圾消纳场经过数年填埋后，沟谷壑地变为平地，通过土地综合治理，可以转为建设用地或者农业用地，土地得到升值和利用。</w:t>
      </w:r>
    </w:p>
    <w:p w14:paraId="313BA1B0">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279" w:name="_Toc29652"/>
      <w:r>
        <w:rPr>
          <w:rFonts w:hint="eastAsia" w:ascii="楷体_GB2312" w:hAnsi="楷体_GB2312" w:eastAsia="楷体_GB2312" w:cs="楷体_GB2312"/>
          <w:b w:val="0"/>
          <w:bCs w:val="0"/>
          <w:caps w:val="0"/>
          <w:smallCaps w:val="0"/>
          <w:color w:val="auto"/>
          <w:spacing w:val="0"/>
          <w:sz w:val="32"/>
          <w:szCs w:val="28"/>
          <w:lang w:val="en-US" w:eastAsia="zh-CN"/>
        </w:rPr>
        <w:t>4．</w:t>
      </w:r>
      <w:r>
        <w:rPr>
          <w:rFonts w:hint="default" w:ascii="楷体_GB2312" w:hAnsi="楷体_GB2312" w:eastAsia="楷体_GB2312" w:cs="楷体_GB2312"/>
          <w:b w:val="0"/>
          <w:bCs w:val="0"/>
          <w:caps w:val="0"/>
          <w:smallCaps w:val="0"/>
          <w:color w:val="auto"/>
          <w:spacing w:val="0"/>
          <w:sz w:val="32"/>
          <w:szCs w:val="28"/>
          <w:lang w:val="en-US" w:eastAsia="zh-CN"/>
        </w:rPr>
        <w:t>工艺方案</w:t>
      </w:r>
      <w:bookmarkEnd w:id="279"/>
    </w:p>
    <w:p w14:paraId="39A7DF27">
      <w:pPr>
        <w:pStyle w:val="40"/>
        <w:numPr>
          <w:ilvl w:val="0"/>
          <w:numId w:val="0"/>
        </w:numPr>
        <w:bidi w:val="0"/>
        <w:ind w:leftChars="200"/>
        <w:rPr>
          <w:rFonts w:hint="eastAsia" w:ascii="仿宋_GB2312" w:hAnsi="仿宋_GB2312" w:eastAsia="仿宋_GB2312" w:cs="仿宋_GB2312"/>
          <w:color w:val="auto"/>
          <w:spacing w:val="0"/>
          <w:kern w:val="2"/>
          <w:sz w:val="32"/>
          <w:szCs w:val="32"/>
          <w:highlight w:val="none"/>
          <w:lang w:val="en-US" w:eastAsia="zh-CN" w:bidi="ar-SA"/>
        </w:rPr>
      </w:pPr>
      <w:bookmarkStart w:id="280" w:name="_Toc76933320"/>
      <w:r>
        <w:rPr>
          <w:rFonts w:hint="default" w:ascii="仿宋_GB2312" w:hAnsi="仿宋_GB2312" w:eastAsia="仿宋_GB2312" w:cs="仿宋_GB2312"/>
          <w:b w:val="0"/>
          <w:bCs w:val="0"/>
          <w:caps w:val="0"/>
          <w:smallCaps w:val="0"/>
          <w:color w:val="auto"/>
          <w:spacing w:val="0"/>
          <w:lang w:eastAsia="zh-CN"/>
        </w:rPr>
        <w:t>（1）</w:t>
      </w:r>
      <w:r>
        <w:rPr>
          <w:rFonts w:hint="eastAsia" w:ascii="仿宋_GB2312" w:hAnsi="仿宋_GB2312" w:eastAsia="仿宋_GB2312" w:cs="仿宋_GB2312"/>
          <w:b w:val="0"/>
          <w:bCs w:val="0"/>
          <w:caps w:val="0"/>
          <w:smallCaps w:val="0"/>
          <w:color w:val="auto"/>
          <w:spacing w:val="0"/>
          <w:lang w:val="en-US" w:eastAsia="zh-CN"/>
        </w:rPr>
        <w:t>垃圾</w:t>
      </w:r>
      <w:r>
        <w:rPr>
          <w:rFonts w:hint="eastAsia" w:ascii="仿宋_GB2312" w:hAnsi="仿宋_GB2312" w:eastAsia="仿宋_GB2312" w:cs="仿宋_GB2312"/>
          <w:color w:val="auto"/>
          <w:spacing w:val="0"/>
          <w:kern w:val="2"/>
          <w:sz w:val="32"/>
          <w:szCs w:val="32"/>
          <w:highlight w:val="none"/>
          <w:lang w:val="en-US" w:eastAsia="zh-CN" w:bidi="ar-SA"/>
        </w:rPr>
        <w:t>坝坝型确定</w:t>
      </w:r>
      <w:bookmarkEnd w:id="280"/>
    </w:p>
    <w:p w14:paraId="353AB20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为增大库容、保持垃</w:t>
      </w:r>
      <w:r>
        <w:rPr>
          <w:rFonts w:hint="eastAsia" w:ascii="仿宋_GB2312" w:hAnsi="仿宋_GB2312" w:eastAsia="仿宋_GB2312" w:cs="仿宋_GB2312"/>
          <w:b w:val="0"/>
          <w:bCs w:val="0"/>
          <w:caps w:val="0"/>
          <w:smallCaps w:val="0"/>
          <w:color w:val="auto"/>
          <w:spacing w:val="0"/>
          <w:lang w:val="en-US" w:eastAsia="zh-CN"/>
        </w:rPr>
        <w:t>圾堆体的稳定及防止雨季作业时垃圾及其他杂物被雨水冲出填埋区外，在垃圾消纳场的周围设置垃圾坝。</w:t>
      </w:r>
    </w:p>
    <w:p w14:paraId="6910A7F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垃圾坝是消纳场中最主要的建（构）筑物，其投资在全部投资中占有相当的比例，选择合理的坝型对降低工程造价意义重大。确定坝型需考虑的因素主要是：坝址的工程地质条件，筑坝材料及坝的运行条件。</w:t>
      </w:r>
    </w:p>
    <w:p w14:paraId="50144DEA">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val="0"/>
          <w:bCs w:val="0"/>
          <w:caps w:val="0"/>
          <w:smallCaps w:val="0"/>
          <w:color w:val="auto"/>
          <w:spacing w:val="0"/>
          <w:lang w:val="en-US" w:eastAsia="zh-CN"/>
        </w:rPr>
        <w:t>目前国内应用较多，技术较成熟的坝型主要有：碾压式土石坝、浆砌石重力坝和</w:t>
      </w:r>
      <w:r>
        <w:rPr>
          <w:rFonts w:hint="eastAsia" w:ascii="仿宋_GB2312" w:hAnsi="仿宋_GB2312" w:eastAsia="仿宋_GB2312" w:cs="仿宋_GB2312"/>
          <w:color w:val="auto"/>
          <w:spacing w:val="0"/>
          <w:kern w:val="2"/>
          <w:sz w:val="32"/>
          <w:szCs w:val="32"/>
          <w:highlight w:val="none"/>
          <w:lang w:val="en-US" w:eastAsia="zh-CN" w:bidi="ar-SA"/>
        </w:rPr>
        <w:t>混凝土重力坝。</w:t>
      </w:r>
    </w:p>
    <w:p w14:paraId="4134772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碾压式土石坝的优点为坝体的适应性强，施工简单，对地质条件要求较低，但坝体较大，占有库容较多，施工期受气候影响较大。由于集贤县具备筑坝所需的石料，质地良好，储量丰富，开采及运输均极为方便，而消纳场场地平整时能够产出筑坝所需的土石料，因此采用碾压式土石坝</w:t>
      </w:r>
      <w:r>
        <w:rPr>
          <w:rFonts w:hint="eastAsia" w:ascii="仿宋_GB2312" w:hAnsi="仿宋_GB2312" w:eastAsia="仿宋_GB2312" w:cs="仿宋_GB2312"/>
          <w:b w:val="0"/>
          <w:bCs w:val="0"/>
          <w:caps w:val="0"/>
          <w:smallCaps w:val="0"/>
          <w:color w:val="auto"/>
          <w:spacing w:val="0"/>
          <w:lang w:val="en-US" w:eastAsia="zh-CN"/>
        </w:rPr>
        <w:t>具有较适宜的工程条件。</w:t>
      </w:r>
    </w:p>
    <w:p w14:paraId="5D4FBEB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而浆砌石坝和混凝土坝体形相似，断面均较小，占库容较少，但对地质条件要求较高，但在同等运行条件下，浆砌石坝较混凝土坝造价低，且当地具备筑坝所用的石材，因此混凝土坝不可选，而浆砌石坝可作为备选坝型。</w:t>
      </w:r>
    </w:p>
    <w:p w14:paraId="44AA2F4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经过对建设场地的分析，建设场地的地质条件较为适合碾压式土石坝的建设。同时，在两种坝型的筑坝材料方面。由于库区清理过程中将有大量碎石土产出，可作为筑坝材料，就地取材，可节省大量的资金；而浆砌石坝筑坝所需的石材要求较高（要求达到MU30以上），石材需外购并运至场内，造价较高；经过比较，设计确定垃圾坝坝型为碾压式土石坝。</w:t>
      </w:r>
    </w:p>
    <w:p w14:paraId="61BC1FA7">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浆砌石坝与碾压式土石坝造价比较表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9"/>
        <w:gridCol w:w="4172"/>
      </w:tblGrid>
      <w:tr w14:paraId="5B21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2698" w:type="pct"/>
            <w:tcBorders>
              <w:tl2br w:val="single" w:color="auto" w:sz="4" w:space="0"/>
            </w:tcBorders>
            <w:noWrap w:val="0"/>
            <w:vAlign w:val="center"/>
          </w:tcPr>
          <w:p w14:paraId="40A004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坝型                  项目</w:t>
            </w:r>
          </w:p>
        </w:tc>
        <w:tc>
          <w:tcPr>
            <w:tcW w:w="2302" w:type="pct"/>
            <w:noWrap w:val="0"/>
            <w:vAlign w:val="center"/>
          </w:tcPr>
          <w:p w14:paraId="390459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单位造价（元/m</w:t>
            </w:r>
            <w:r>
              <w:rPr>
                <w:rFonts w:hint="eastAsia" w:ascii="仿宋_GB2312" w:hAnsi="仿宋_GB2312" w:eastAsia="仿宋_GB2312" w:cs="仿宋_GB2312"/>
                <w:b w:val="0"/>
                <w:bCs w:val="0"/>
                <w:caps w:val="0"/>
                <w:smallCaps w:val="0"/>
                <w:color w:val="auto"/>
                <w:spacing w:val="0"/>
                <w:sz w:val="21"/>
                <w:szCs w:val="21"/>
                <w:vertAlign w:val="superscript"/>
                <w:lang w:val="en-US" w:eastAsia="zh-CN"/>
              </w:rPr>
              <w:t>3</w:t>
            </w:r>
            <w:r>
              <w:rPr>
                <w:rFonts w:hint="eastAsia" w:ascii="仿宋_GB2312" w:hAnsi="仿宋_GB2312" w:eastAsia="仿宋_GB2312" w:cs="仿宋_GB2312"/>
                <w:b w:val="0"/>
                <w:bCs w:val="0"/>
                <w:caps w:val="0"/>
                <w:smallCaps w:val="0"/>
                <w:color w:val="auto"/>
                <w:spacing w:val="0"/>
                <w:sz w:val="21"/>
                <w:szCs w:val="21"/>
                <w:lang w:val="en-US" w:eastAsia="zh-CN"/>
              </w:rPr>
              <w:t>）</w:t>
            </w:r>
          </w:p>
        </w:tc>
      </w:tr>
      <w:tr w14:paraId="6DC8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2698" w:type="pct"/>
            <w:noWrap w:val="0"/>
            <w:vAlign w:val="center"/>
          </w:tcPr>
          <w:p w14:paraId="312C89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浆砌石坝</w:t>
            </w:r>
          </w:p>
        </w:tc>
        <w:tc>
          <w:tcPr>
            <w:tcW w:w="2302" w:type="pct"/>
            <w:noWrap w:val="0"/>
            <w:vAlign w:val="center"/>
          </w:tcPr>
          <w:p w14:paraId="3F0C90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173</w:t>
            </w:r>
          </w:p>
        </w:tc>
      </w:tr>
      <w:tr w14:paraId="5AD5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2698" w:type="pct"/>
            <w:noWrap w:val="0"/>
            <w:vAlign w:val="center"/>
          </w:tcPr>
          <w:p w14:paraId="64B3D6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土石坝</w:t>
            </w:r>
          </w:p>
        </w:tc>
        <w:tc>
          <w:tcPr>
            <w:tcW w:w="2302" w:type="pct"/>
            <w:noWrap w:val="0"/>
            <w:vAlign w:val="center"/>
          </w:tcPr>
          <w:p w14:paraId="22B6CC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30</w:t>
            </w:r>
          </w:p>
        </w:tc>
      </w:tr>
    </w:tbl>
    <w:p w14:paraId="0082DDB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规划确定本次工程建设的垃圾坝选用碾压式土石坝。</w:t>
      </w:r>
    </w:p>
    <w:p w14:paraId="0970602A">
      <w:pPr>
        <w:pStyle w:val="40"/>
        <w:numPr>
          <w:ilvl w:val="0"/>
          <w:numId w:val="0"/>
        </w:numPr>
        <w:bidi w:val="0"/>
        <w:ind w:leftChars="200"/>
        <w:rPr>
          <w:rFonts w:hint="eastAsia" w:ascii="仿宋_GB2312" w:hAnsi="仿宋_GB2312" w:eastAsia="仿宋_GB2312" w:cs="仿宋_GB2312"/>
          <w:b w:val="0"/>
          <w:bCs w:val="0"/>
          <w:caps w:val="0"/>
          <w:smallCaps w:val="0"/>
          <w:color w:val="auto"/>
          <w:spacing w:val="0"/>
          <w:lang w:val="en-US" w:eastAsia="zh-CN"/>
        </w:rPr>
      </w:pPr>
      <w:bookmarkStart w:id="281" w:name="_Toc76933321"/>
      <w:r>
        <w:rPr>
          <w:rFonts w:hint="default" w:ascii="仿宋_GB2312" w:hAnsi="仿宋_GB2312" w:eastAsia="仿宋_GB2312" w:cs="仿宋_GB2312"/>
          <w:b w:val="0"/>
          <w:bCs w:val="0"/>
          <w:caps w:val="0"/>
          <w:smallCaps w:val="0"/>
          <w:color w:val="auto"/>
          <w:spacing w:val="0"/>
          <w:lang w:eastAsia="zh-CN"/>
        </w:rPr>
        <w:t>（2）</w:t>
      </w:r>
      <w:r>
        <w:rPr>
          <w:rFonts w:hint="eastAsia" w:ascii="仿宋_GB2312" w:hAnsi="仿宋_GB2312" w:eastAsia="仿宋_GB2312" w:cs="仿宋_GB2312"/>
          <w:b w:val="0"/>
          <w:bCs w:val="0"/>
          <w:caps w:val="0"/>
          <w:smallCaps w:val="0"/>
          <w:color w:val="auto"/>
          <w:spacing w:val="0"/>
          <w:lang w:val="en-US" w:eastAsia="zh-CN"/>
        </w:rPr>
        <w:t>防渗方式确定及材料选择</w:t>
      </w:r>
      <w:bookmarkEnd w:id="281"/>
    </w:p>
    <w:p w14:paraId="6E929B1F">
      <w:pPr>
        <w:pStyle w:val="40"/>
        <w:bidi w:val="0"/>
        <w:rPr>
          <w:rFonts w:hint="eastAsia" w:ascii="仿宋_GB2312" w:hAnsi="仿宋_GB2312" w:eastAsia="仿宋_GB2312" w:cs="仿宋_GB2312"/>
          <w:b w:val="0"/>
          <w:bCs w:val="0"/>
          <w:caps w:val="0"/>
          <w:smallCaps w:val="0"/>
          <w:color w:val="auto"/>
          <w:spacing w:val="0"/>
          <w:lang w:val="en-US" w:eastAsia="zh-CN"/>
        </w:rPr>
      </w:pPr>
      <w:bookmarkStart w:id="282" w:name="_Toc76933322"/>
      <w:r>
        <w:rPr>
          <w:rFonts w:hint="eastAsia" w:ascii="仿宋_GB2312" w:hAnsi="仿宋_GB2312" w:eastAsia="仿宋_GB2312" w:cs="仿宋_GB2312"/>
          <w:b w:val="0"/>
          <w:bCs w:val="0"/>
          <w:caps w:val="0"/>
          <w:smallCaps w:val="0"/>
          <w:color w:val="auto"/>
          <w:spacing w:val="0"/>
          <w:lang w:val="en-US" w:eastAsia="zh-CN"/>
        </w:rPr>
        <w:t>1）防渗的选取</w:t>
      </w:r>
    </w:p>
    <w:p w14:paraId="33199E1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综合考虑集贤县近期规划，考虑集贤县建筑垃圾经资源化处理后，建筑垃圾消纳场接收的建筑垃圾有机物含量较高，故有必要对本项目进行防渗处理。</w:t>
      </w:r>
    </w:p>
    <w:p w14:paraId="2CD4CFA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2）防渗方式确定</w:t>
      </w:r>
      <w:bookmarkEnd w:id="282"/>
    </w:p>
    <w:p w14:paraId="26ED349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《建筑垃圾处理技术规范》（CJJ/T134-2019）中规定，当天然基础层饱和渗透系数小于1.0×10-7 cm/s，且天然基础层厚度不小于2m，可采用天然黏土类衬里结构。当天然黏土基础进行人工改性压实后达到天然黏土衬里结构的等效防渗性能要求时，可采用改性压实黏土类衬里作为防渗结构。</w:t>
      </w:r>
    </w:p>
    <w:p w14:paraId="6C5C051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对单衬里防渗结构和复合衬里防渗结构比较见下表：</w:t>
      </w:r>
    </w:p>
    <w:p w14:paraId="3E040FE2">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单衬里防渗结构和复合衬里防渗结构比较</w:t>
      </w:r>
    </w:p>
    <w:tbl>
      <w:tblPr>
        <w:tblStyle w:val="27"/>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3154"/>
        <w:gridCol w:w="3005"/>
        <w:gridCol w:w="1511"/>
      </w:tblGrid>
      <w:tr w14:paraId="75F7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noWrap w:val="0"/>
            <w:vAlign w:val="top"/>
          </w:tcPr>
          <w:p w14:paraId="595704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项目</w:t>
            </w:r>
          </w:p>
        </w:tc>
        <w:tc>
          <w:tcPr>
            <w:tcW w:w="3154" w:type="dxa"/>
            <w:noWrap w:val="0"/>
            <w:vAlign w:val="top"/>
          </w:tcPr>
          <w:p w14:paraId="3D0F1F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方案一：单衬里防渗结构</w:t>
            </w:r>
          </w:p>
        </w:tc>
        <w:tc>
          <w:tcPr>
            <w:tcW w:w="3005" w:type="dxa"/>
            <w:noWrap w:val="0"/>
            <w:vAlign w:val="top"/>
          </w:tcPr>
          <w:p w14:paraId="6C2149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方案二：复合衬里防渗结构</w:t>
            </w:r>
          </w:p>
        </w:tc>
        <w:tc>
          <w:tcPr>
            <w:tcW w:w="1511" w:type="dxa"/>
            <w:noWrap w:val="0"/>
            <w:vAlign w:val="top"/>
          </w:tcPr>
          <w:p w14:paraId="3E841C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对比</w:t>
            </w:r>
          </w:p>
        </w:tc>
      </w:tr>
      <w:tr w14:paraId="0615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noWrap w:val="0"/>
            <w:vAlign w:val="top"/>
          </w:tcPr>
          <w:p w14:paraId="1FD296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结构</w:t>
            </w:r>
          </w:p>
        </w:tc>
        <w:tc>
          <w:tcPr>
            <w:tcW w:w="3154" w:type="dxa"/>
            <w:noWrap w:val="0"/>
            <w:vAlign w:val="top"/>
          </w:tcPr>
          <w:p w14:paraId="5C6F35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1.基础层</w:t>
            </w:r>
          </w:p>
          <w:p w14:paraId="02612A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2.反滤层（可选择层）</w:t>
            </w:r>
          </w:p>
          <w:p w14:paraId="54F8B1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3.地下水导流层（可选择层）</w:t>
            </w:r>
          </w:p>
          <w:p w14:paraId="4C8538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4.膜下保护层</w:t>
            </w:r>
          </w:p>
          <w:p w14:paraId="586A9E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5.膜防渗层</w:t>
            </w:r>
          </w:p>
          <w:p w14:paraId="2D7605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6.膜上保护层</w:t>
            </w:r>
          </w:p>
          <w:p w14:paraId="5E6D56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7.污水导排层</w:t>
            </w:r>
          </w:p>
          <w:p w14:paraId="18884D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8.缓冲层</w:t>
            </w:r>
          </w:p>
        </w:tc>
        <w:tc>
          <w:tcPr>
            <w:tcW w:w="3005" w:type="dxa"/>
            <w:noWrap w:val="0"/>
            <w:vAlign w:val="top"/>
          </w:tcPr>
          <w:p w14:paraId="2D8C99A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1.基础层</w:t>
            </w:r>
          </w:p>
          <w:p w14:paraId="5180F3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2.反滤层（可选择层）</w:t>
            </w:r>
          </w:p>
          <w:p w14:paraId="7BAF44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3.地下水导流层（可选择层）</w:t>
            </w:r>
          </w:p>
          <w:p w14:paraId="694E08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4.复合防渗兼膜下保护层</w:t>
            </w:r>
          </w:p>
          <w:p w14:paraId="1A43B7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5.膜防渗层</w:t>
            </w:r>
          </w:p>
          <w:p w14:paraId="10B5AE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6.膜上保护层</w:t>
            </w:r>
          </w:p>
          <w:p w14:paraId="7517B2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7.污水导排层</w:t>
            </w:r>
          </w:p>
          <w:p w14:paraId="416BD4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8.缓冲层</w:t>
            </w:r>
          </w:p>
        </w:tc>
        <w:tc>
          <w:tcPr>
            <w:tcW w:w="1511" w:type="dxa"/>
            <w:noWrap w:val="0"/>
            <w:vAlign w:val="top"/>
          </w:tcPr>
          <w:p w14:paraId="2AD03CE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两方案相同</w:t>
            </w:r>
          </w:p>
        </w:tc>
      </w:tr>
      <w:tr w14:paraId="06C7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149" w:type="dxa"/>
            <w:noWrap w:val="0"/>
            <w:vAlign w:val="top"/>
          </w:tcPr>
          <w:p w14:paraId="227C2D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基础</w:t>
            </w:r>
          </w:p>
        </w:tc>
        <w:tc>
          <w:tcPr>
            <w:tcW w:w="3154" w:type="dxa"/>
            <w:noWrap w:val="0"/>
            <w:vAlign w:val="top"/>
          </w:tcPr>
          <w:p w14:paraId="53D3CE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黏土</w:t>
            </w:r>
          </w:p>
        </w:tc>
        <w:tc>
          <w:tcPr>
            <w:tcW w:w="3005" w:type="dxa"/>
            <w:noWrap w:val="0"/>
            <w:vAlign w:val="top"/>
          </w:tcPr>
          <w:p w14:paraId="084546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防水层</w:t>
            </w:r>
          </w:p>
        </w:tc>
        <w:tc>
          <w:tcPr>
            <w:tcW w:w="1511" w:type="dxa"/>
            <w:noWrap w:val="0"/>
            <w:vAlign w:val="top"/>
          </w:tcPr>
          <w:p w14:paraId="1B2262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方案二利于实施</w:t>
            </w:r>
          </w:p>
        </w:tc>
      </w:tr>
      <w:tr w14:paraId="0805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noWrap w:val="0"/>
            <w:vAlign w:val="top"/>
          </w:tcPr>
          <w:p w14:paraId="19D3C7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防渗效果</w:t>
            </w:r>
          </w:p>
        </w:tc>
        <w:tc>
          <w:tcPr>
            <w:tcW w:w="3154" w:type="dxa"/>
            <w:noWrap w:val="0"/>
            <w:vAlign w:val="top"/>
          </w:tcPr>
          <w:p w14:paraId="5B593E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较好</w:t>
            </w:r>
          </w:p>
        </w:tc>
        <w:tc>
          <w:tcPr>
            <w:tcW w:w="3005" w:type="dxa"/>
            <w:noWrap w:val="0"/>
            <w:vAlign w:val="top"/>
          </w:tcPr>
          <w:p w14:paraId="532D13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较好</w:t>
            </w:r>
          </w:p>
        </w:tc>
        <w:tc>
          <w:tcPr>
            <w:tcW w:w="1511" w:type="dxa"/>
            <w:noWrap w:val="0"/>
            <w:vAlign w:val="top"/>
          </w:tcPr>
          <w:p w14:paraId="295476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两方案相同</w:t>
            </w:r>
          </w:p>
        </w:tc>
      </w:tr>
      <w:tr w14:paraId="1556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noWrap w:val="0"/>
            <w:vAlign w:val="top"/>
          </w:tcPr>
          <w:p w14:paraId="1FDEC01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经济</w:t>
            </w:r>
          </w:p>
        </w:tc>
        <w:tc>
          <w:tcPr>
            <w:tcW w:w="3154" w:type="dxa"/>
            <w:noWrap w:val="0"/>
            <w:vAlign w:val="top"/>
          </w:tcPr>
          <w:p w14:paraId="38F494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40元/m</w:t>
            </w:r>
            <w:r>
              <w:rPr>
                <w:rFonts w:hint="eastAsia" w:ascii="仿宋_GB2312" w:hAnsi="仿宋_GB2312" w:eastAsia="仿宋_GB2312" w:cs="仿宋_GB2312"/>
                <w:b w:val="0"/>
                <w:bCs w:val="0"/>
                <w:caps w:val="0"/>
                <w:smallCaps w:val="0"/>
                <w:color w:val="auto"/>
                <w:spacing w:val="0"/>
                <w:sz w:val="21"/>
                <w:szCs w:val="21"/>
                <w:vertAlign w:val="superscript"/>
                <w:lang w:val="en-US" w:eastAsia="zh-CN"/>
              </w:rPr>
              <w:t>2</w:t>
            </w:r>
          </w:p>
        </w:tc>
        <w:tc>
          <w:tcPr>
            <w:tcW w:w="3005" w:type="dxa"/>
            <w:noWrap w:val="0"/>
            <w:vAlign w:val="top"/>
          </w:tcPr>
          <w:p w14:paraId="2C05FF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50元/m</w:t>
            </w:r>
            <w:r>
              <w:rPr>
                <w:rFonts w:hint="eastAsia" w:ascii="仿宋_GB2312" w:hAnsi="仿宋_GB2312" w:eastAsia="仿宋_GB2312" w:cs="仿宋_GB2312"/>
                <w:b w:val="0"/>
                <w:bCs w:val="0"/>
                <w:caps w:val="0"/>
                <w:smallCaps w:val="0"/>
                <w:color w:val="auto"/>
                <w:spacing w:val="0"/>
                <w:sz w:val="21"/>
                <w:szCs w:val="21"/>
                <w:vertAlign w:val="superscript"/>
                <w:lang w:val="en-US" w:eastAsia="zh-CN"/>
              </w:rPr>
              <w:t>2</w:t>
            </w:r>
          </w:p>
        </w:tc>
        <w:tc>
          <w:tcPr>
            <w:tcW w:w="1511" w:type="dxa"/>
            <w:noWrap w:val="0"/>
            <w:vAlign w:val="top"/>
          </w:tcPr>
          <w:p w14:paraId="22FBA3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方案一价格相对较低</w:t>
            </w:r>
          </w:p>
        </w:tc>
      </w:tr>
    </w:tbl>
    <w:p w14:paraId="4482233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由上表对比分析可知，通过对单衬里防渗结构和复合衬里防渗结构在结构、基础、防渗效果及经济方面的对比，可以看出在结构和防渗效果方面，两方案效果相当；在基础方面，方案二更利于实施；在经济方面，方案一价格相对较低。综合以上对比及考虑集贤县实际情况，选择复合衬里防渗结构。</w:t>
      </w:r>
    </w:p>
    <w:p w14:paraId="568FF164">
      <w:pPr>
        <w:pStyle w:val="40"/>
        <w:bidi w:val="0"/>
        <w:rPr>
          <w:rFonts w:hint="eastAsia" w:ascii="仿宋_GB2312" w:hAnsi="仿宋_GB2312" w:eastAsia="仿宋_GB2312" w:cs="仿宋_GB2312"/>
          <w:b w:val="0"/>
          <w:bCs w:val="0"/>
          <w:caps w:val="0"/>
          <w:smallCaps w:val="0"/>
          <w:color w:val="auto"/>
          <w:spacing w:val="0"/>
          <w:lang w:val="en-US" w:eastAsia="zh-CN"/>
        </w:rPr>
      </w:pPr>
      <w:bookmarkStart w:id="283" w:name="_Toc233364652"/>
      <w:bookmarkStart w:id="284" w:name="_Toc76933323"/>
      <w:r>
        <w:rPr>
          <w:rFonts w:hint="eastAsia" w:ascii="仿宋_GB2312" w:hAnsi="仿宋_GB2312" w:eastAsia="仿宋_GB2312" w:cs="仿宋_GB2312"/>
          <w:b w:val="0"/>
          <w:bCs w:val="0"/>
          <w:caps w:val="0"/>
          <w:smallCaps w:val="0"/>
          <w:color w:val="auto"/>
          <w:spacing w:val="0"/>
          <w:lang w:val="en-US" w:eastAsia="zh-CN"/>
        </w:rPr>
        <w:t>3）防渗材料选择</w:t>
      </w:r>
      <w:bookmarkEnd w:id="283"/>
      <w:bookmarkEnd w:id="284"/>
    </w:p>
    <w:p w14:paraId="132E071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目前垃圾消纳场防渗系统所采用的各类人工合成材料的特性比较见下表。</w:t>
      </w:r>
    </w:p>
    <w:p w14:paraId="28332389">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人工合成防渗材料的特性和优缺点比较</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962"/>
        <w:gridCol w:w="1588"/>
        <w:gridCol w:w="2875"/>
        <w:gridCol w:w="1713"/>
      </w:tblGrid>
      <w:tr w14:paraId="44B7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blHeader/>
          <w:jc w:val="center"/>
        </w:trPr>
        <w:tc>
          <w:tcPr>
            <w:tcW w:w="509" w:type="pct"/>
            <w:noWrap w:val="0"/>
            <w:vAlign w:val="center"/>
          </w:tcPr>
          <w:p w14:paraId="6A2190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序号</w:t>
            </w:r>
          </w:p>
        </w:tc>
        <w:tc>
          <w:tcPr>
            <w:tcW w:w="1082" w:type="pct"/>
            <w:noWrap w:val="0"/>
            <w:vAlign w:val="center"/>
          </w:tcPr>
          <w:p w14:paraId="1CF750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名称</w:t>
            </w:r>
          </w:p>
        </w:tc>
        <w:tc>
          <w:tcPr>
            <w:tcW w:w="876" w:type="pct"/>
            <w:noWrap w:val="0"/>
            <w:vAlign w:val="center"/>
          </w:tcPr>
          <w:p w14:paraId="1C29DC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特性</w:t>
            </w:r>
          </w:p>
        </w:tc>
        <w:tc>
          <w:tcPr>
            <w:tcW w:w="1586" w:type="pct"/>
            <w:noWrap w:val="0"/>
            <w:vAlign w:val="center"/>
          </w:tcPr>
          <w:p w14:paraId="5650CC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优点</w:t>
            </w:r>
          </w:p>
        </w:tc>
        <w:tc>
          <w:tcPr>
            <w:tcW w:w="945" w:type="pct"/>
            <w:noWrap w:val="0"/>
            <w:vAlign w:val="center"/>
          </w:tcPr>
          <w:p w14:paraId="6B0454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缺点</w:t>
            </w:r>
          </w:p>
        </w:tc>
      </w:tr>
      <w:tr w14:paraId="50F4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noWrap w:val="0"/>
            <w:vAlign w:val="center"/>
          </w:tcPr>
          <w:p w14:paraId="1F2FDE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1</w:t>
            </w:r>
          </w:p>
        </w:tc>
        <w:tc>
          <w:tcPr>
            <w:tcW w:w="1082" w:type="pct"/>
            <w:noWrap w:val="0"/>
            <w:vAlign w:val="center"/>
          </w:tcPr>
          <w:p w14:paraId="39FDA9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异丁橡胶</w:t>
            </w:r>
          </w:p>
          <w:p w14:paraId="71E1AF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(EDPM)</w:t>
            </w:r>
          </w:p>
        </w:tc>
        <w:tc>
          <w:tcPr>
            <w:tcW w:w="876" w:type="pct"/>
            <w:noWrap w:val="0"/>
            <w:vAlign w:val="center"/>
          </w:tcPr>
          <w:p w14:paraId="729814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异丁烯与少量异戍烯的共聚物</w:t>
            </w:r>
          </w:p>
        </w:tc>
        <w:tc>
          <w:tcPr>
            <w:tcW w:w="1586" w:type="pct"/>
            <w:noWrap w:val="0"/>
            <w:vAlign w:val="center"/>
          </w:tcPr>
          <w:p w14:paraId="6A3587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对紫外线、臭氧和气候因素有较强的抵抗能力；高温和低温条件有良好的工作特性；吸水能力低。</w:t>
            </w:r>
          </w:p>
        </w:tc>
        <w:tc>
          <w:tcPr>
            <w:tcW w:w="945" w:type="pct"/>
            <w:noWrap w:val="0"/>
            <w:vAlign w:val="center"/>
          </w:tcPr>
          <w:p w14:paraId="1846B0A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对碳氢化合物抵抗能力差，会发生强烈膨胀；难于黏结。</w:t>
            </w:r>
          </w:p>
        </w:tc>
      </w:tr>
      <w:tr w14:paraId="765F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noWrap w:val="0"/>
            <w:vAlign w:val="center"/>
          </w:tcPr>
          <w:p w14:paraId="4B75FE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2</w:t>
            </w:r>
          </w:p>
        </w:tc>
        <w:tc>
          <w:tcPr>
            <w:tcW w:w="1082" w:type="pct"/>
            <w:noWrap w:val="0"/>
            <w:vAlign w:val="center"/>
          </w:tcPr>
          <w:p w14:paraId="68254C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氯化聚乙烯</w:t>
            </w:r>
          </w:p>
          <w:p w14:paraId="769211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(CPE)</w:t>
            </w:r>
          </w:p>
        </w:tc>
        <w:tc>
          <w:tcPr>
            <w:tcW w:w="876" w:type="pct"/>
            <w:noWrap w:val="0"/>
            <w:vAlign w:val="center"/>
          </w:tcPr>
          <w:p w14:paraId="2E32D3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氯气和高密度聚烯化学反应而成</w:t>
            </w:r>
          </w:p>
        </w:tc>
        <w:tc>
          <w:tcPr>
            <w:tcW w:w="1586" w:type="pct"/>
            <w:noWrap w:val="0"/>
            <w:vAlign w:val="center"/>
          </w:tcPr>
          <w:p w14:paraId="182E06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对紫外线、臭氧和气候因素有较强的抵抗能力；在低温条件下有良好的工作特性；抗张强度和延展强度好；易于黏结。</w:t>
            </w:r>
          </w:p>
        </w:tc>
        <w:tc>
          <w:tcPr>
            <w:tcW w:w="945" w:type="pct"/>
            <w:noWrap w:val="0"/>
            <w:vAlign w:val="center"/>
          </w:tcPr>
          <w:p w14:paraId="44E9C7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抗化学品、酸和油能力差；拉伸后恢复性差。</w:t>
            </w:r>
          </w:p>
        </w:tc>
      </w:tr>
      <w:tr w14:paraId="6BB9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noWrap w:val="0"/>
            <w:vAlign w:val="center"/>
          </w:tcPr>
          <w:p w14:paraId="560847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3</w:t>
            </w:r>
          </w:p>
        </w:tc>
        <w:tc>
          <w:tcPr>
            <w:tcW w:w="1082" w:type="pct"/>
            <w:noWrap w:val="0"/>
            <w:vAlign w:val="center"/>
          </w:tcPr>
          <w:p w14:paraId="034AD2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氯磺化聚乙烯</w:t>
            </w:r>
          </w:p>
          <w:p w14:paraId="0B137D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(CSPE)</w:t>
            </w:r>
          </w:p>
        </w:tc>
        <w:tc>
          <w:tcPr>
            <w:tcW w:w="876" w:type="pct"/>
            <w:noWrap w:val="0"/>
            <w:vAlign w:val="center"/>
          </w:tcPr>
          <w:p w14:paraId="010694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由聚乙烯和氯气、二氧化硫反应生成的高分子化合物</w:t>
            </w:r>
          </w:p>
        </w:tc>
        <w:tc>
          <w:tcPr>
            <w:tcW w:w="1586" w:type="pct"/>
            <w:noWrap w:val="0"/>
            <w:vAlign w:val="center"/>
          </w:tcPr>
          <w:p w14:paraId="3D7FCB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对紫外线、臭氧和气候因素有较强的抵抗能力；在低温条件下有良好的工作特性；良好的抗化学品、酸能力；良好的抗细菌能力；易于黏结。</w:t>
            </w:r>
          </w:p>
        </w:tc>
        <w:tc>
          <w:tcPr>
            <w:tcW w:w="945" w:type="pct"/>
            <w:noWrap w:val="0"/>
            <w:vAlign w:val="center"/>
          </w:tcPr>
          <w:p w14:paraId="560542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强度低；</w:t>
            </w:r>
          </w:p>
          <w:p w14:paraId="6D526D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耐油性能差；</w:t>
            </w:r>
          </w:p>
        </w:tc>
      </w:tr>
      <w:tr w14:paraId="072F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noWrap w:val="0"/>
            <w:vAlign w:val="center"/>
          </w:tcPr>
          <w:p w14:paraId="5BFB9E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4</w:t>
            </w:r>
          </w:p>
        </w:tc>
        <w:tc>
          <w:tcPr>
            <w:tcW w:w="1082" w:type="pct"/>
            <w:noWrap w:val="0"/>
            <w:vAlign w:val="center"/>
          </w:tcPr>
          <w:p w14:paraId="66DFB3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氯醇橡胶</w:t>
            </w:r>
          </w:p>
        </w:tc>
        <w:tc>
          <w:tcPr>
            <w:tcW w:w="876" w:type="pct"/>
            <w:noWrap w:val="0"/>
            <w:vAlign w:val="center"/>
          </w:tcPr>
          <w:p w14:paraId="0448FB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由脂肪族聚醚和氮甲基支链反应生成的饱和大分子化合物</w:t>
            </w:r>
          </w:p>
        </w:tc>
        <w:tc>
          <w:tcPr>
            <w:tcW w:w="1586" w:type="pct"/>
            <w:noWrap w:val="0"/>
            <w:vAlign w:val="center"/>
          </w:tcPr>
          <w:p w14:paraId="7C2997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对紫外线、臭氧和气候因素有较强的抵抗能力；抗张强度和延展强度好；</w:t>
            </w:r>
          </w:p>
        </w:tc>
        <w:tc>
          <w:tcPr>
            <w:tcW w:w="945" w:type="pct"/>
            <w:noWrap w:val="0"/>
            <w:vAlign w:val="center"/>
          </w:tcPr>
          <w:p w14:paraId="6B9A68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难于黏结。</w:t>
            </w:r>
          </w:p>
        </w:tc>
      </w:tr>
      <w:tr w14:paraId="0A78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noWrap w:val="0"/>
            <w:vAlign w:val="center"/>
          </w:tcPr>
          <w:p w14:paraId="5F9336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5</w:t>
            </w:r>
          </w:p>
        </w:tc>
        <w:tc>
          <w:tcPr>
            <w:tcW w:w="1082" w:type="pct"/>
            <w:noWrap w:val="0"/>
            <w:vAlign w:val="center"/>
          </w:tcPr>
          <w:p w14:paraId="4C8F60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乙丙橡胶</w:t>
            </w:r>
          </w:p>
          <w:p w14:paraId="76BE45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(EPDM)</w:t>
            </w:r>
          </w:p>
        </w:tc>
        <w:tc>
          <w:tcPr>
            <w:tcW w:w="876" w:type="pct"/>
            <w:noWrap w:val="0"/>
            <w:vAlign w:val="center"/>
          </w:tcPr>
          <w:p w14:paraId="1C2549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乙烯、丙烯和非共轭烃聚合的高分子化合物</w:t>
            </w:r>
          </w:p>
        </w:tc>
        <w:tc>
          <w:tcPr>
            <w:tcW w:w="1586" w:type="pct"/>
            <w:noWrap w:val="0"/>
            <w:vAlign w:val="center"/>
          </w:tcPr>
          <w:p w14:paraId="358646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对紫外线、臭氧和气候因素有较强的抵抗能力；在低温条件下有良好的工作特性；吸水能力低。</w:t>
            </w:r>
          </w:p>
        </w:tc>
        <w:tc>
          <w:tcPr>
            <w:tcW w:w="945" w:type="pct"/>
            <w:noWrap w:val="0"/>
            <w:vAlign w:val="center"/>
          </w:tcPr>
          <w:p w14:paraId="799BD4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抗油、碳氢化合物能力差；难于黏结。</w:t>
            </w:r>
          </w:p>
        </w:tc>
      </w:tr>
      <w:tr w14:paraId="3061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noWrap w:val="0"/>
            <w:vAlign w:val="center"/>
          </w:tcPr>
          <w:p w14:paraId="7A644F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6</w:t>
            </w:r>
          </w:p>
        </w:tc>
        <w:tc>
          <w:tcPr>
            <w:tcW w:w="1082" w:type="pct"/>
            <w:noWrap w:val="0"/>
            <w:vAlign w:val="center"/>
          </w:tcPr>
          <w:p w14:paraId="052DE3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高密度聚乙烯</w:t>
            </w:r>
          </w:p>
          <w:p w14:paraId="26A423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(HDPE)</w:t>
            </w:r>
          </w:p>
        </w:tc>
        <w:tc>
          <w:tcPr>
            <w:tcW w:w="876" w:type="pct"/>
            <w:noWrap w:val="0"/>
            <w:vAlign w:val="center"/>
          </w:tcPr>
          <w:p w14:paraId="7612E0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由聚乙烯吹制或板材压延而成</w:t>
            </w:r>
          </w:p>
        </w:tc>
        <w:tc>
          <w:tcPr>
            <w:tcW w:w="1586" w:type="pct"/>
            <w:noWrap w:val="0"/>
            <w:vAlign w:val="center"/>
          </w:tcPr>
          <w:p w14:paraId="059D0A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对紫外线、臭氧和气候因素有较强的抵抗能力；在低温条件下有良好的工作特性；良好的抗化学品、酸能力；抗张强度和延展强度好；良好的抗细菌能力；易于焊接。</w:t>
            </w:r>
          </w:p>
        </w:tc>
        <w:tc>
          <w:tcPr>
            <w:tcW w:w="945" w:type="pct"/>
            <w:noWrap w:val="0"/>
            <w:vAlign w:val="center"/>
          </w:tcPr>
          <w:p w14:paraId="70135C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抗穿刺能力稍差。</w:t>
            </w:r>
          </w:p>
        </w:tc>
      </w:tr>
      <w:tr w14:paraId="7C84D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noWrap w:val="0"/>
            <w:vAlign w:val="center"/>
          </w:tcPr>
          <w:p w14:paraId="0A1798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7</w:t>
            </w:r>
          </w:p>
        </w:tc>
        <w:tc>
          <w:tcPr>
            <w:tcW w:w="1082" w:type="pct"/>
            <w:noWrap w:val="0"/>
            <w:vAlign w:val="center"/>
          </w:tcPr>
          <w:p w14:paraId="2659F3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氯丁橡胶</w:t>
            </w:r>
          </w:p>
          <w:p w14:paraId="000471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(CDR)</w:t>
            </w:r>
          </w:p>
        </w:tc>
        <w:tc>
          <w:tcPr>
            <w:tcW w:w="876" w:type="pct"/>
            <w:noWrap w:val="0"/>
            <w:vAlign w:val="center"/>
          </w:tcPr>
          <w:p w14:paraId="7CF0F5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以氯丁乙烯为基本单元的橡胶</w:t>
            </w:r>
          </w:p>
        </w:tc>
        <w:tc>
          <w:tcPr>
            <w:tcW w:w="1586" w:type="pct"/>
            <w:noWrap w:val="0"/>
            <w:vAlign w:val="center"/>
          </w:tcPr>
          <w:p w14:paraId="6E67EB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对紫外线、臭氧和气候因素有较强的抵抗能力；良好的抗化学品、酸能力；抗穿刺能力好。</w:t>
            </w:r>
          </w:p>
        </w:tc>
        <w:tc>
          <w:tcPr>
            <w:tcW w:w="945" w:type="pct"/>
            <w:noWrap w:val="0"/>
            <w:vAlign w:val="center"/>
          </w:tcPr>
          <w:p w14:paraId="430D33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难于黏结。</w:t>
            </w:r>
          </w:p>
        </w:tc>
      </w:tr>
      <w:tr w14:paraId="7216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noWrap w:val="0"/>
            <w:vAlign w:val="center"/>
          </w:tcPr>
          <w:p w14:paraId="14311B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8</w:t>
            </w:r>
          </w:p>
        </w:tc>
        <w:tc>
          <w:tcPr>
            <w:tcW w:w="1082" w:type="pct"/>
            <w:noWrap w:val="0"/>
            <w:vAlign w:val="center"/>
          </w:tcPr>
          <w:p w14:paraId="396C9B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聚氯乙烯</w:t>
            </w:r>
          </w:p>
          <w:p w14:paraId="7C8308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(PVC)</w:t>
            </w:r>
          </w:p>
        </w:tc>
        <w:tc>
          <w:tcPr>
            <w:tcW w:w="876" w:type="pct"/>
            <w:noWrap w:val="0"/>
            <w:vAlign w:val="center"/>
          </w:tcPr>
          <w:p w14:paraId="660D7B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聚乙烯单体的聚合物</w:t>
            </w:r>
          </w:p>
        </w:tc>
        <w:tc>
          <w:tcPr>
            <w:tcW w:w="1586" w:type="pct"/>
            <w:noWrap w:val="0"/>
            <w:vAlign w:val="center"/>
          </w:tcPr>
          <w:p w14:paraId="10982D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抗张强度和延展强度好；抗穿刺能力好；易于黏结。</w:t>
            </w:r>
          </w:p>
        </w:tc>
        <w:tc>
          <w:tcPr>
            <w:tcW w:w="945" w:type="pct"/>
            <w:noWrap w:val="0"/>
            <w:vAlign w:val="center"/>
          </w:tcPr>
          <w:p w14:paraId="7BFF86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1"/>
                <w:szCs w:val="21"/>
                <w:lang w:val="en-US" w:eastAsia="zh-CN"/>
              </w:rPr>
            </w:pPr>
            <w:r>
              <w:rPr>
                <w:rFonts w:hint="eastAsia" w:ascii="仿宋_GB2312" w:hAnsi="仿宋_GB2312" w:eastAsia="仿宋_GB2312" w:cs="仿宋_GB2312"/>
                <w:b w:val="0"/>
                <w:bCs w:val="0"/>
                <w:caps w:val="0"/>
                <w:smallCaps w:val="0"/>
                <w:color w:val="auto"/>
                <w:spacing w:val="0"/>
                <w:sz w:val="21"/>
                <w:szCs w:val="21"/>
                <w:lang w:val="en-US" w:eastAsia="zh-CN"/>
              </w:rPr>
              <w:t>对紫外线、臭氧和气候因素抵抗能力差；抗化学品、酸和油能力差。</w:t>
            </w:r>
          </w:p>
        </w:tc>
      </w:tr>
    </w:tbl>
    <w:p w14:paraId="1B643AEE">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通过上表的性能对比，同时总结国内外消纳场使用人工合成防渗材料的经验教训，在广泛收集资料和调查的基础上，考虑材料对垃圾消纳场的适应性和化学稳定性，本设计选用1.5mm厚度的高密度聚乙烯（HDPE）土工膜为本垃圾消纳场水平防渗层的衬里材料。1.5mm高密度聚乙烯（HDPE）土工膜的物理力学指标见下表。</w:t>
      </w:r>
    </w:p>
    <w:p w14:paraId="0DDB9146">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HDPE膜物理力学性能指标</w:t>
      </w:r>
    </w:p>
    <w:tbl>
      <w:tblPr>
        <w:tblStyle w:val="26"/>
        <w:tblW w:w="48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2737"/>
        <w:gridCol w:w="2929"/>
      </w:tblGrid>
      <w:tr w14:paraId="75FC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exact"/>
          <w:tblHeader/>
          <w:jc w:val="center"/>
        </w:trPr>
        <w:tc>
          <w:tcPr>
            <w:tcW w:w="1774" w:type="pct"/>
            <w:noWrap w:val="0"/>
            <w:vAlign w:val="center"/>
          </w:tcPr>
          <w:p w14:paraId="7523B6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bookmarkStart w:id="285" w:name="_Toc17711"/>
            <w:bookmarkStart w:id="286" w:name="_Toc5286"/>
            <w:r>
              <w:rPr>
                <w:rFonts w:hint="eastAsia" w:ascii="仿宋_GB2312" w:hAnsi="仿宋_GB2312" w:eastAsia="仿宋_GB2312" w:cs="仿宋_GB2312"/>
                <w:b w:val="0"/>
                <w:bCs w:val="0"/>
                <w:caps w:val="0"/>
                <w:smallCaps w:val="0"/>
                <w:color w:val="auto"/>
                <w:spacing w:val="0"/>
                <w:sz w:val="28"/>
                <w:szCs w:val="28"/>
                <w:lang w:val="en-US" w:eastAsia="zh-CN"/>
              </w:rPr>
              <w:t>性   能</w:t>
            </w:r>
          </w:p>
        </w:tc>
        <w:tc>
          <w:tcPr>
            <w:tcW w:w="1558" w:type="pct"/>
            <w:noWrap w:val="0"/>
            <w:vAlign w:val="center"/>
          </w:tcPr>
          <w:p w14:paraId="4AA2B5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单  位</w:t>
            </w:r>
          </w:p>
        </w:tc>
        <w:tc>
          <w:tcPr>
            <w:tcW w:w="1667" w:type="pct"/>
            <w:noWrap w:val="0"/>
            <w:vAlign w:val="center"/>
          </w:tcPr>
          <w:p w14:paraId="3A78DD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光面指标</w:t>
            </w:r>
          </w:p>
        </w:tc>
      </w:tr>
      <w:tr w14:paraId="4151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exact"/>
          <w:jc w:val="center"/>
        </w:trPr>
        <w:tc>
          <w:tcPr>
            <w:tcW w:w="1774" w:type="pct"/>
            <w:noWrap w:val="0"/>
            <w:vAlign w:val="center"/>
          </w:tcPr>
          <w:p w14:paraId="162CFE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屈服强度</w:t>
            </w:r>
          </w:p>
        </w:tc>
        <w:tc>
          <w:tcPr>
            <w:tcW w:w="1558" w:type="pct"/>
            <w:noWrap w:val="0"/>
            <w:vAlign w:val="center"/>
          </w:tcPr>
          <w:p w14:paraId="3E49AB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MPa</w:t>
            </w:r>
          </w:p>
        </w:tc>
        <w:tc>
          <w:tcPr>
            <w:tcW w:w="1667" w:type="pct"/>
            <w:noWrap w:val="0"/>
            <w:vAlign w:val="center"/>
          </w:tcPr>
          <w:p w14:paraId="69EAB6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≥22</w:t>
            </w:r>
          </w:p>
        </w:tc>
      </w:tr>
      <w:tr w14:paraId="4929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exact"/>
          <w:jc w:val="center"/>
        </w:trPr>
        <w:tc>
          <w:tcPr>
            <w:tcW w:w="1774" w:type="pct"/>
            <w:noWrap w:val="0"/>
            <w:vAlign w:val="center"/>
          </w:tcPr>
          <w:p w14:paraId="39E0C1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耐环境应力开裂</w:t>
            </w:r>
          </w:p>
        </w:tc>
        <w:tc>
          <w:tcPr>
            <w:tcW w:w="1558" w:type="pct"/>
            <w:noWrap w:val="0"/>
            <w:vAlign w:val="center"/>
          </w:tcPr>
          <w:p w14:paraId="5CBA4C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hr</w:t>
            </w:r>
          </w:p>
        </w:tc>
        <w:tc>
          <w:tcPr>
            <w:tcW w:w="1667" w:type="pct"/>
            <w:noWrap w:val="0"/>
            <w:vAlign w:val="center"/>
          </w:tcPr>
          <w:p w14:paraId="36F847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≥300</w:t>
            </w:r>
          </w:p>
        </w:tc>
      </w:tr>
      <w:tr w14:paraId="6326B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exact"/>
          <w:jc w:val="center"/>
        </w:trPr>
        <w:tc>
          <w:tcPr>
            <w:tcW w:w="1774" w:type="pct"/>
            <w:noWrap w:val="0"/>
            <w:vAlign w:val="center"/>
          </w:tcPr>
          <w:p w14:paraId="0962C9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断裂伸长率</w:t>
            </w:r>
          </w:p>
        </w:tc>
        <w:tc>
          <w:tcPr>
            <w:tcW w:w="1558" w:type="pct"/>
            <w:noWrap w:val="0"/>
            <w:vAlign w:val="center"/>
          </w:tcPr>
          <w:p w14:paraId="72838B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w:t>
            </w:r>
          </w:p>
        </w:tc>
        <w:tc>
          <w:tcPr>
            <w:tcW w:w="1667" w:type="pct"/>
            <w:noWrap w:val="0"/>
            <w:vAlign w:val="center"/>
          </w:tcPr>
          <w:p w14:paraId="169858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≥700</w:t>
            </w:r>
          </w:p>
        </w:tc>
      </w:tr>
      <w:tr w14:paraId="62BC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exact"/>
          <w:jc w:val="center"/>
        </w:trPr>
        <w:tc>
          <w:tcPr>
            <w:tcW w:w="1774" w:type="pct"/>
            <w:noWrap w:val="0"/>
            <w:vAlign w:val="center"/>
          </w:tcPr>
          <w:p w14:paraId="29602D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直角撕裂强度</w:t>
            </w:r>
          </w:p>
        </w:tc>
        <w:tc>
          <w:tcPr>
            <w:tcW w:w="1558" w:type="pct"/>
            <w:noWrap w:val="0"/>
            <w:vAlign w:val="center"/>
          </w:tcPr>
          <w:p w14:paraId="7BF2E3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N/mm</w:t>
            </w:r>
          </w:p>
        </w:tc>
        <w:tc>
          <w:tcPr>
            <w:tcW w:w="1667" w:type="pct"/>
            <w:noWrap w:val="0"/>
            <w:vAlign w:val="center"/>
          </w:tcPr>
          <w:p w14:paraId="63D86F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≥187</w:t>
            </w:r>
          </w:p>
        </w:tc>
      </w:tr>
      <w:tr w14:paraId="44FA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exact"/>
          <w:jc w:val="center"/>
        </w:trPr>
        <w:tc>
          <w:tcPr>
            <w:tcW w:w="1774" w:type="pct"/>
            <w:noWrap w:val="0"/>
            <w:vAlign w:val="center"/>
          </w:tcPr>
          <w:p w14:paraId="3A0036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-70℃低温脆化温度</w:t>
            </w:r>
          </w:p>
        </w:tc>
        <w:tc>
          <w:tcPr>
            <w:tcW w:w="1558" w:type="pct"/>
            <w:noWrap w:val="0"/>
            <w:vAlign w:val="center"/>
          </w:tcPr>
          <w:p w14:paraId="4577C0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p>
        </w:tc>
        <w:tc>
          <w:tcPr>
            <w:tcW w:w="1667" w:type="pct"/>
            <w:noWrap w:val="0"/>
            <w:vAlign w:val="center"/>
          </w:tcPr>
          <w:p w14:paraId="67DC4F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通过</w:t>
            </w:r>
          </w:p>
        </w:tc>
      </w:tr>
      <w:tr w14:paraId="19DE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exact"/>
          <w:jc w:val="center"/>
        </w:trPr>
        <w:tc>
          <w:tcPr>
            <w:tcW w:w="1774" w:type="pct"/>
            <w:noWrap w:val="0"/>
            <w:vAlign w:val="center"/>
          </w:tcPr>
          <w:p w14:paraId="632132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水蒸气渗透系统</w:t>
            </w:r>
          </w:p>
        </w:tc>
        <w:tc>
          <w:tcPr>
            <w:tcW w:w="1558" w:type="pct"/>
            <w:noWrap w:val="0"/>
            <w:vAlign w:val="center"/>
          </w:tcPr>
          <w:p w14:paraId="0D18F6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G·cm/(c</w:t>
            </w:r>
            <w:r>
              <w:rPr>
                <w:rFonts w:hint="eastAsia" w:ascii="仿宋_GB2312" w:hAnsi="仿宋_GB2312" w:eastAsia="仿宋_GB2312" w:cs="仿宋_GB2312"/>
                <w:b w:val="0"/>
                <w:bCs w:val="0"/>
                <w:caps w:val="0"/>
                <w:smallCaps w:val="0"/>
                <w:color w:val="auto"/>
                <w:spacing w:val="0"/>
                <w:lang w:val="en-US" w:eastAsia="zh-CN"/>
              </w:rPr>
              <w:t>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sz w:val="28"/>
                <w:szCs w:val="28"/>
                <w:lang w:val="en-US" w:eastAsia="zh-CN"/>
              </w:rPr>
              <w:t>·s·Pa)</w:t>
            </w:r>
          </w:p>
        </w:tc>
        <w:tc>
          <w:tcPr>
            <w:tcW w:w="1667" w:type="pct"/>
            <w:noWrap w:val="0"/>
            <w:vAlign w:val="center"/>
          </w:tcPr>
          <w:p w14:paraId="748479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≤1.0E-13</w:t>
            </w:r>
          </w:p>
        </w:tc>
      </w:tr>
      <w:tr w14:paraId="6151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exact"/>
          <w:jc w:val="center"/>
        </w:trPr>
        <w:tc>
          <w:tcPr>
            <w:tcW w:w="1774" w:type="pct"/>
            <w:noWrap w:val="0"/>
            <w:vAlign w:val="center"/>
          </w:tcPr>
          <w:p w14:paraId="069F87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炭黑含量</w:t>
            </w:r>
          </w:p>
        </w:tc>
        <w:tc>
          <w:tcPr>
            <w:tcW w:w="1558" w:type="pct"/>
            <w:noWrap w:val="0"/>
            <w:vAlign w:val="center"/>
          </w:tcPr>
          <w:p w14:paraId="2F983E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w:t>
            </w:r>
          </w:p>
        </w:tc>
        <w:tc>
          <w:tcPr>
            <w:tcW w:w="1667" w:type="pct"/>
            <w:noWrap w:val="0"/>
            <w:vAlign w:val="center"/>
          </w:tcPr>
          <w:p w14:paraId="5EC72D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2-3</w:t>
            </w:r>
          </w:p>
        </w:tc>
      </w:tr>
      <w:tr w14:paraId="66FE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exact"/>
          <w:jc w:val="center"/>
        </w:trPr>
        <w:tc>
          <w:tcPr>
            <w:tcW w:w="1774" w:type="pct"/>
            <w:noWrap w:val="0"/>
            <w:vAlign w:val="center"/>
          </w:tcPr>
          <w:p w14:paraId="46950D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200℃氧化诱导时间</w:t>
            </w:r>
          </w:p>
        </w:tc>
        <w:tc>
          <w:tcPr>
            <w:tcW w:w="1558" w:type="pct"/>
            <w:noWrap w:val="0"/>
            <w:vAlign w:val="center"/>
          </w:tcPr>
          <w:p w14:paraId="52DC47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min</w:t>
            </w:r>
          </w:p>
        </w:tc>
        <w:tc>
          <w:tcPr>
            <w:tcW w:w="1667" w:type="pct"/>
            <w:noWrap w:val="0"/>
            <w:vAlign w:val="center"/>
          </w:tcPr>
          <w:p w14:paraId="5CEAA7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≥120</w:t>
            </w:r>
          </w:p>
        </w:tc>
      </w:tr>
      <w:tr w14:paraId="4C29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jc w:val="center"/>
        </w:trPr>
        <w:tc>
          <w:tcPr>
            <w:tcW w:w="1774" w:type="pct"/>
            <w:noWrap w:val="0"/>
            <w:vAlign w:val="center"/>
          </w:tcPr>
          <w:p w14:paraId="23460D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尺寸稳定性</w:t>
            </w:r>
          </w:p>
        </w:tc>
        <w:tc>
          <w:tcPr>
            <w:tcW w:w="1558" w:type="pct"/>
            <w:noWrap w:val="0"/>
            <w:vAlign w:val="center"/>
          </w:tcPr>
          <w:p w14:paraId="7009DB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w:t>
            </w:r>
          </w:p>
        </w:tc>
        <w:tc>
          <w:tcPr>
            <w:tcW w:w="1667" w:type="pct"/>
            <w:noWrap w:val="0"/>
            <w:vAlign w:val="center"/>
          </w:tcPr>
          <w:p w14:paraId="24A957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val="0"/>
                <w:bCs w:val="0"/>
                <w:caps w:val="0"/>
                <w:smallCaps w:val="0"/>
                <w:color w:val="auto"/>
                <w:spacing w:val="0"/>
                <w:sz w:val="28"/>
                <w:szCs w:val="28"/>
                <w:lang w:val="en-US" w:eastAsia="zh-CN"/>
              </w:rPr>
            </w:pPr>
            <w:r>
              <w:rPr>
                <w:rFonts w:hint="eastAsia" w:ascii="仿宋_GB2312" w:hAnsi="仿宋_GB2312" w:eastAsia="仿宋_GB2312" w:cs="仿宋_GB2312"/>
                <w:b w:val="0"/>
                <w:bCs w:val="0"/>
                <w:caps w:val="0"/>
                <w:smallCaps w:val="0"/>
                <w:color w:val="auto"/>
                <w:spacing w:val="0"/>
                <w:sz w:val="28"/>
                <w:szCs w:val="28"/>
                <w:lang w:val="en-US" w:eastAsia="zh-CN"/>
              </w:rPr>
              <w:t>±2</w:t>
            </w:r>
          </w:p>
        </w:tc>
      </w:tr>
      <w:bookmarkEnd w:id="285"/>
      <w:bookmarkEnd w:id="286"/>
    </w:tbl>
    <w:p w14:paraId="44046698">
      <w:pPr>
        <w:pStyle w:val="40"/>
        <w:bidi w:val="0"/>
        <w:rPr>
          <w:rFonts w:hint="eastAsia" w:ascii="仿宋_GB2312" w:hAnsi="仿宋_GB2312" w:eastAsia="仿宋_GB2312" w:cs="仿宋_GB2312"/>
          <w:b w:val="0"/>
          <w:bCs w:val="0"/>
          <w:caps w:val="0"/>
          <w:smallCaps w:val="0"/>
          <w:color w:val="auto"/>
          <w:spacing w:val="0"/>
          <w:lang w:val="en-US" w:eastAsia="zh-CN"/>
        </w:rPr>
      </w:pPr>
      <w:bookmarkStart w:id="287" w:name="_Toc76933334"/>
      <w:r>
        <w:rPr>
          <w:rFonts w:hint="eastAsia" w:ascii="仿宋_GB2312" w:hAnsi="仿宋_GB2312" w:eastAsia="仿宋_GB2312" w:cs="仿宋_GB2312"/>
          <w:b w:val="0"/>
          <w:bCs w:val="0"/>
          <w:caps w:val="0"/>
          <w:smallCaps w:val="0"/>
          <w:color w:val="auto"/>
          <w:spacing w:val="0"/>
          <w:lang w:val="en-US" w:eastAsia="zh-CN"/>
        </w:rPr>
        <w:t>4）处理处置工艺</w:t>
      </w:r>
      <w:bookmarkEnd w:id="287"/>
    </w:p>
    <w:p w14:paraId="4A4B5C7B">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黑龙江省集贤县建筑垃圾</w:t>
      </w:r>
      <w:bookmarkStart w:id="288" w:name="_Toc398883649"/>
      <w:r>
        <w:rPr>
          <w:rFonts w:hint="eastAsia" w:ascii="仿宋_GB2312" w:hAnsi="仿宋_GB2312" w:eastAsia="仿宋_GB2312" w:cs="仿宋_GB2312"/>
          <w:color w:val="auto"/>
          <w:spacing w:val="0"/>
          <w:kern w:val="2"/>
          <w:sz w:val="32"/>
          <w:szCs w:val="32"/>
          <w:highlight w:val="none"/>
          <w:lang w:val="en-US" w:eastAsia="zh-CN" w:bidi="ar-SA"/>
        </w:rPr>
        <w:t>消纳场主要用于填埋集贤县建设中产生的泥土、砂石及混凝土砌块、玻璃、木材、石灰、渣土等建筑垃圾，消纳场采用建筑露天填埋的方式处理上述建筑垃圾，要求填实填平。</w:t>
      </w:r>
    </w:p>
    <w:p w14:paraId="0F872182">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符合进场要求的建筑垃圾经由场区东南侧进场道路运至场内，过磅称重并运至填埋平台卸土后，空车出场。消纳场把运来的建筑垃圾由推土机推平后层层压实，堆满后需进行封场（有条件时可对封场后的表面进行绿化），</w:t>
      </w:r>
      <w:r>
        <w:rPr>
          <w:rFonts w:hint="eastAsia" w:ascii="仿宋_GB2312" w:hAnsi="仿宋_GB2312" w:eastAsia="仿宋_GB2312" w:cs="仿宋_GB2312"/>
          <w:b w:val="0"/>
          <w:bCs w:val="0"/>
          <w:caps w:val="0"/>
          <w:smallCaps w:val="0"/>
          <w:color w:val="auto"/>
          <w:spacing w:val="0"/>
          <w:lang w:val="en-US" w:eastAsia="zh-CN"/>
        </w:rPr>
        <w:t>防止水土流失。建筑垃圾消纳场经过数年</w:t>
      </w:r>
      <w:r>
        <w:rPr>
          <w:rFonts w:hint="eastAsia" w:ascii="仿宋_GB2312" w:hAnsi="仿宋_GB2312" w:eastAsia="仿宋_GB2312" w:cs="仿宋_GB2312"/>
          <w:color w:val="auto"/>
          <w:spacing w:val="0"/>
          <w:kern w:val="2"/>
          <w:sz w:val="32"/>
          <w:szCs w:val="32"/>
          <w:highlight w:val="none"/>
          <w:lang w:val="en-US" w:eastAsia="zh-CN" w:bidi="ar-SA"/>
        </w:rPr>
        <w:t>填埋后，沟谷壑地变为平地，通过土地综合治理，可以转为建设用地或者农业用地，土地得到升值和利用。</w:t>
      </w:r>
    </w:p>
    <w:bookmarkEnd w:id="288"/>
    <w:p w14:paraId="171AD248">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消纳场总占地面积3.3公顷，主体工程包括库区开槽、绿化、道路等部分。</w:t>
      </w:r>
    </w:p>
    <w:p w14:paraId="44BAFEC5">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289" w:name="_Toc7409"/>
      <w:r>
        <w:rPr>
          <w:rFonts w:hint="eastAsia" w:ascii="楷体_GB2312" w:hAnsi="楷体_GB2312" w:eastAsia="楷体_GB2312" w:cs="楷体_GB2312"/>
          <w:b w:val="0"/>
          <w:bCs w:val="0"/>
          <w:caps w:val="0"/>
          <w:smallCaps w:val="0"/>
          <w:color w:val="auto"/>
          <w:spacing w:val="0"/>
          <w:sz w:val="32"/>
          <w:szCs w:val="28"/>
          <w:lang w:val="en-US" w:eastAsia="zh-CN"/>
        </w:rPr>
        <w:t>5．垃圾场竖向设计</w:t>
      </w:r>
      <w:bookmarkEnd w:id="289"/>
    </w:p>
    <w:p w14:paraId="2B4EF8DA">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bookmarkStart w:id="290" w:name="_Toc76933348"/>
      <w:bookmarkStart w:id="291" w:name="_Toc10113"/>
      <w:r>
        <w:rPr>
          <w:rFonts w:hint="eastAsia" w:ascii="仿宋_GB2312" w:hAnsi="仿宋_GB2312" w:eastAsia="仿宋_GB2312" w:cs="仿宋_GB2312"/>
          <w:b w:val="0"/>
          <w:bCs w:val="0"/>
          <w:caps w:val="0"/>
          <w:smallCaps w:val="0"/>
          <w:color w:val="auto"/>
          <w:spacing w:val="0"/>
          <w:kern w:val="2"/>
          <w:sz w:val="32"/>
          <w:szCs w:val="32"/>
          <w:lang w:val="en-US" w:eastAsia="zh-CN" w:bidi="ar-SA"/>
        </w:rPr>
        <w:t>（1）</w:t>
      </w:r>
      <w:r>
        <w:rPr>
          <w:rFonts w:hint="eastAsia" w:ascii="仿宋_GB2312" w:hAnsi="仿宋_GB2312" w:eastAsia="仿宋_GB2312" w:cs="仿宋_GB2312"/>
          <w:b w:val="0"/>
          <w:bCs w:val="0"/>
          <w:caps w:val="0"/>
          <w:smallCaps w:val="0"/>
          <w:color w:val="auto"/>
          <w:spacing w:val="0"/>
          <w:lang w:val="en-US" w:eastAsia="zh-CN"/>
        </w:rPr>
        <w:t>垃圾坝</w:t>
      </w:r>
      <w:bookmarkEnd w:id="290"/>
    </w:p>
    <w:p w14:paraId="4209056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1）坝体断面设计</w:t>
      </w:r>
    </w:p>
    <w:p w14:paraId="23BE5904">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根据工艺要求及工程地质条件确定：坝顶宽6.0m，坝坡1:2.0。坝体采用碎石土料碾压而成，坝体上游坝坡铺设防渗HDPE土工膜，并铺设边坡导流层。为方便坝体防渗膜的铺设，在坝顶处设置锚固沟，而下游坝坡则采用草皮护坡。</w:t>
      </w:r>
    </w:p>
    <w:p w14:paraId="674939E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筑坝材料的要求：中粒径大于5mm的颗粒</w:t>
      </w:r>
      <w:r>
        <w:rPr>
          <w:rFonts w:hint="eastAsia" w:ascii="仿宋_GB2312" w:hAnsi="仿宋_GB2312" w:eastAsia="仿宋_GB2312" w:cs="仿宋_GB2312"/>
          <w:b w:val="0"/>
          <w:bCs w:val="0"/>
          <w:caps w:val="0"/>
          <w:smallCaps w:val="0"/>
          <w:color w:val="auto"/>
          <w:spacing w:val="0"/>
          <w:lang w:val="en-US" w:eastAsia="zh-CN"/>
        </w:rPr>
        <w:t>含量不大于50％，最大粒径不大于150mm，0.075mm以下的颗粒含量不应小于15％，填筑时不得发生粗料集中架空现象。</w:t>
      </w:r>
    </w:p>
    <w:p w14:paraId="09578EE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2）坝基处理</w:t>
      </w:r>
    </w:p>
    <w:p w14:paraId="52B47F2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本次工程建设坝体前需清除地表腐殖土层，坝基厚度按0.5m计，坝基建在粉质粘土层上。坝体填筑前，土质地基应采用碾压机械进行全面碾压，保证地基土料的相对密度Dr不低于0.75。</w:t>
      </w:r>
    </w:p>
    <w:p w14:paraId="4417893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3）筑坝材料设计</w:t>
      </w:r>
    </w:p>
    <w:p w14:paraId="2392E9ED">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val="0"/>
          <w:bCs w:val="0"/>
          <w:caps w:val="0"/>
          <w:smallCaps w:val="0"/>
          <w:color w:val="auto"/>
          <w:spacing w:val="0"/>
          <w:lang w:val="en-US" w:eastAsia="zh-CN"/>
        </w:rPr>
        <w:t>垃圾坝坝体庞大，耗用的筑坝材料较多，应尽量采取就地取材的</w:t>
      </w:r>
      <w:r>
        <w:rPr>
          <w:rFonts w:hint="eastAsia" w:ascii="仿宋_GB2312" w:hAnsi="仿宋_GB2312" w:eastAsia="仿宋_GB2312" w:cs="仿宋_GB2312"/>
          <w:color w:val="auto"/>
          <w:spacing w:val="0"/>
          <w:kern w:val="2"/>
          <w:sz w:val="32"/>
          <w:szCs w:val="32"/>
          <w:highlight w:val="none"/>
          <w:lang w:val="en-US" w:eastAsia="zh-CN" w:bidi="ar-SA"/>
        </w:rPr>
        <w:t>方法，既能增加垃圾的填埋库容，又可降低垃圾坝的造价，综合经济效益明显。在清库过程中，将有黏土产出，经制备后，可用于筑坝。</w:t>
      </w:r>
    </w:p>
    <w:p w14:paraId="51660D23">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坝料必须在经过鉴定符合坝料设计要求的料场内开采，不合格的坝料不得上坝。坝体土料应按设计取料，分层进行填筑，要求坝体土料填筑的相对密度Dr不低于0.75，土料设计干容重按相对密度换算进行施工控制。</w:t>
      </w:r>
    </w:p>
    <w:p w14:paraId="14C950A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填筑坝料种类、级配、含</w:t>
      </w:r>
      <w:r>
        <w:rPr>
          <w:rFonts w:hint="eastAsia" w:ascii="仿宋_GB2312" w:hAnsi="仿宋_GB2312" w:eastAsia="仿宋_GB2312" w:cs="仿宋_GB2312"/>
          <w:b w:val="0"/>
          <w:bCs w:val="0"/>
          <w:caps w:val="0"/>
          <w:smallCaps w:val="0"/>
          <w:color w:val="auto"/>
          <w:spacing w:val="0"/>
          <w:lang w:val="en-US" w:eastAsia="zh-CN"/>
        </w:rPr>
        <w:t>水量、土块大小、超径颗粒、填筑部位以及相应的压实标准等，均须符合设计规定。必须严格控制压实参数。压实合格后始准铺筑上层新料。填筑时必须严格控制覆土厚度，不得超厚。分段碾压时，相邻两段交接带碾迹应彼此搭接，顺碾压方向，搭接长度应不小于0.3～0.5m；垂直碾压方向搭接宽度应为1～1.5m。</w:t>
      </w:r>
    </w:p>
    <w:p w14:paraId="2E2F8E4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4）土石料制备</w:t>
      </w:r>
    </w:p>
    <w:p w14:paraId="1FB0167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筑坝土石料主要来源于垃圾坝坝基开挖、渗滤液调节池开挖及外运砾石。防渗结构所需碎石等均为外购。场地清理所得含有机质土料不得用于筑坝。</w:t>
      </w:r>
    </w:p>
    <w:p w14:paraId="098561F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筑坝土石料应堆存于预留堆土场内，储料场应有必要的防雨措施，如覆盖物、周边挖排水沟等，以保持土石料内相对稳定的含水率。</w:t>
      </w:r>
    </w:p>
    <w:p w14:paraId="48335A3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应连续性施工，同时也应避免开挖出的土石料直接上坝。</w:t>
      </w:r>
    </w:p>
    <w:p w14:paraId="468814C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本次设计建设碾压式土石垃圾坝（场内道路），需满足垃圾自卸车出入方便。</w:t>
      </w:r>
    </w:p>
    <w:p w14:paraId="54820B2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5）存在的问题及施工时应注意的事项</w:t>
      </w:r>
    </w:p>
    <w:p w14:paraId="27F5E08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在施工图设计开始之前应对垃圾坝坝址处进行补充勘察。同时对筑坝材料进行进一步的研究和调查。</w:t>
      </w:r>
    </w:p>
    <w:p w14:paraId="1FF2B24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拟建垃圾坝施工开槽后，将清基出的弃土在坝址上游处筑一临时围堰，以免地表水汇集于基槽内，对坝基造成不良影响。</w:t>
      </w:r>
    </w:p>
    <w:p w14:paraId="4EEDCFE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坝基开挖至建基面后应及时验收并采取有效的保护措施。</w:t>
      </w:r>
    </w:p>
    <w:p w14:paraId="745C078B">
      <w:pPr>
        <w:pStyle w:val="40"/>
        <w:bidi w:val="0"/>
        <w:rPr>
          <w:rFonts w:hint="eastAsia"/>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在垃圾坝四周设置防尘网，高4m。</w:t>
      </w:r>
    </w:p>
    <w:p w14:paraId="1CD0E983">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bookmarkStart w:id="292" w:name="_Toc76933349"/>
      <w:r>
        <w:rPr>
          <w:rFonts w:hint="eastAsia" w:ascii="楷体_GB2312" w:hAnsi="楷体_GB2312" w:eastAsia="楷体_GB2312" w:cs="楷体_GB2312"/>
          <w:b w:val="0"/>
          <w:bCs w:val="0"/>
          <w:caps w:val="0"/>
          <w:smallCaps w:val="0"/>
          <w:color w:val="auto"/>
          <w:spacing w:val="0"/>
          <w:sz w:val="32"/>
          <w:szCs w:val="28"/>
          <w:lang w:val="en-US" w:eastAsia="zh-CN"/>
        </w:rPr>
        <w:t>6．垃圾场堆体设计</w:t>
      </w:r>
      <w:bookmarkEnd w:id="292"/>
    </w:p>
    <w:p w14:paraId="6B57FEE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结合建筑渣土填埋和处理需求，本项目竖向布置的基本原则为：满足生产、运输及工程管线敷设要求，保证场地水能顺利排除；场地平整以建筑渣土回填为主，减少土石方开挖工程量，同时应与周边地形标高相协调。</w:t>
      </w:r>
    </w:p>
    <w:p w14:paraId="1CC3798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根据《建筑边坡工程技术规范》（GB50330-2013），边坡安全等级为一级。场地填方地段由于填土结构松散、均匀性差，受填土自重固结及工程建成后地面附加荷载的影响，填土地基易产生密实性沉降及不均匀沉降，造成地面下沉、开裂等危害，其危险性、危害性中等，填土过程应进行分层碾压夯实处理。同时，为了增加填土边坡的稳定性，对外侧填土边坡进行加筋处理。场区填方边坡设计按1:2放坡。填方边坡外侧设双向土工格栅（土工布），设计极限抗拉强度值为250KN/m，水平加筋长度约为15—20m。竖向间距为0.5m。边坡外侧采用三维植被网植草护坡。</w:t>
      </w:r>
    </w:p>
    <w:p w14:paraId="0F31014A">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bookmarkStart w:id="293" w:name="_Toc76933350"/>
      <w:r>
        <w:rPr>
          <w:rFonts w:hint="eastAsia" w:ascii="仿宋_GB2312" w:hAnsi="仿宋_GB2312" w:eastAsia="仿宋_GB2312" w:cs="仿宋_GB2312"/>
          <w:b w:val="0"/>
          <w:bCs w:val="0"/>
          <w:caps w:val="0"/>
          <w:smallCaps w:val="0"/>
          <w:color w:val="auto"/>
          <w:spacing w:val="0"/>
          <w:kern w:val="2"/>
          <w:sz w:val="32"/>
          <w:szCs w:val="32"/>
          <w:lang w:val="en-US" w:eastAsia="zh-CN" w:bidi="ar-SA"/>
        </w:rPr>
        <w:t>（1）</w:t>
      </w:r>
      <w:r>
        <w:rPr>
          <w:rFonts w:hint="eastAsia" w:ascii="仿宋_GB2312" w:hAnsi="仿宋_GB2312" w:eastAsia="仿宋_GB2312" w:cs="仿宋_GB2312"/>
          <w:b w:val="0"/>
          <w:bCs w:val="0"/>
          <w:caps w:val="0"/>
          <w:smallCaps w:val="0"/>
          <w:color w:val="auto"/>
          <w:spacing w:val="0"/>
          <w:lang w:val="en-US" w:eastAsia="zh-CN"/>
        </w:rPr>
        <w:t>库容计算</w:t>
      </w:r>
      <w:bookmarkEnd w:id="293"/>
    </w:p>
    <w:p w14:paraId="4E62502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根据估算，本建筑垃圾消纳场的总库容约为20万m</w:t>
      </w:r>
      <w:r>
        <w:rPr>
          <w:rFonts w:hint="eastAsia" w:ascii="仿宋_GB2312" w:hAnsi="仿宋_GB2312" w:eastAsia="仿宋_GB2312" w:cs="仿宋_GB2312"/>
          <w:b w:val="0"/>
          <w:bCs w:val="0"/>
          <w:caps w:val="0"/>
          <w:smallCaps w:val="0"/>
          <w:color w:val="auto"/>
          <w:spacing w:val="0"/>
          <w:vertAlign w:val="superscript"/>
          <w:lang w:val="en-US" w:eastAsia="zh-CN"/>
        </w:rPr>
        <w:t>3</w:t>
      </w:r>
      <w:r>
        <w:rPr>
          <w:rFonts w:hint="eastAsia" w:ascii="仿宋_GB2312" w:hAnsi="仿宋_GB2312" w:eastAsia="仿宋_GB2312" w:cs="仿宋_GB2312"/>
          <w:b w:val="0"/>
          <w:bCs w:val="0"/>
          <w:caps w:val="0"/>
          <w:smallCaps w:val="0"/>
          <w:color w:val="auto"/>
          <w:spacing w:val="0"/>
          <w:lang w:val="en-US" w:eastAsia="zh-CN"/>
        </w:rPr>
        <w:t>，参照建筑垃圾平均密度1.00t/m</w:t>
      </w:r>
      <w:r>
        <w:rPr>
          <w:rFonts w:hint="eastAsia" w:ascii="仿宋_GB2312" w:hAnsi="仿宋_GB2312" w:eastAsia="仿宋_GB2312" w:cs="仿宋_GB2312"/>
          <w:b w:val="0"/>
          <w:bCs w:val="0"/>
          <w:caps w:val="0"/>
          <w:smallCaps w:val="0"/>
          <w:color w:val="auto"/>
          <w:spacing w:val="0"/>
          <w:vertAlign w:val="superscript"/>
          <w:lang w:val="en-US" w:eastAsia="zh-CN"/>
        </w:rPr>
        <w:t>3</w:t>
      </w:r>
      <w:r>
        <w:rPr>
          <w:rFonts w:hint="eastAsia" w:ascii="仿宋_GB2312" w:hAnsi="仿宋_GB2312" w:eastAsia="仿宋_GB2312" w:cs="仿宋_GB2312"/>
          <w:b w:val="0"/>
          <w:bCs w:val="0"/>
          <w:caps w:val="0"/>
          <w:smallCaps w:val="0"/>
          <w:color w:val="auto"/>
          <w:spacing w:val="0"/>
          <w:lang w:val="en-US" w:eastAsia="zh-CN"/>
        </w:rPr>
        <w:t>，约合总建筑垃圾填埋能力20万吨。</w:t>
      </w:r>
    </w:p>
    <w:p w14:paraId="7DD2941E">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bookmarkStart w:id="294" w:name="_Toc76933351"/>
      <w:r>
        <w:rPr>
          <w:rFonts w:hint="eastAsia" w:ascii="仿宋_GB2312" w:hAnsi="仿宋_GB2312" w:eastAsia="仿宋_GB2312" w:cs="仿宋_GB2312"/>
          <w:b w:val="0"/>
          <w:bCs w:val="0"/>
          <w:caps w:val="0"/>
          <w:smallCaps w:val="0"/>
          <w:color w:val="auto"/>
          <w:spacing w:val="0"/>
          <w:kern w:val="2"/>
          <w:sz w:val="32"/>
          <w:szCs w:val="32"/>
          <w:lang w:val="en-US" w:eastAsia="zh-CN" w:bidi="ar-SA"/>
        </w:rPr>
        <w:t>（2）</w:t>
      </w:r>
      <w:r>
        <w:rPr>
          <w:rFonts w:hint="eastAsia" w:ascii="仿宋_GB2312" w:hAnsi="仿宋_GB2312" w:eastAsia="仿宋_GB2312" w:cs="仿宋_GB2312"/>
          <w:b w:val="0"/>
          <w:bCs w:val="0"/>
          <w:caps w:val="0"/>
          <w:smallCaps w:val="0"/>
          <w:color w:val="auto"/>
          <w:spacing w:val="0"/>
          <w:lang w:val="en-US" w:eastAsia="zh-CN"/>
        </w:rPr>
        <w:t>填埋设计</w:t>
      </w:r>
      <w:bookmarkEnd w:id="294"/>
    </w:p>
    <w:p w14:paraId="4D3940D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1）摊铺作业</w:t>
      </w:r>
    </w:p>
    <w:p w14:paraId="62E4239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进场垃圾分单元进行填埋，每天一个作业单元，填埋作业过程包括场地准备、垃圾的运输、倾倒、摊铺、压实及覆土。各阶段开始准备垃圾填埋时，对摊铺于防渗系统上的第一层垃圾，厚度至少为 2m，被摊铺在基底和边坡上的第一层垃圾使用推土机适度压实。</w:t>
      </w:r>
    </w:p>
    <w:p w14:paraId="4610550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摊铺必须分层进行，每层厚度0.25—0.35m，铺匀后用推土机压实3—8次。按此程序摊铺3-4层，使压实后的垃圾总层厚达到1.6—2.4m左右，在每日填埋作业结束时进行每日覆盖，覆盖土厚度为0.15m。在形成的垃圾堆体上修筑临时道路和临时卸车平台，以便向前、向左或向右开展新单元的填埋作业。以此方式完成一个单元层的垃圾填埋作业，然后再进行上面单元层的垃圾填埋作业。一般情况下，单元层坡面的坡度不大于1:2。</w:t>
      </w:r>
    </w:p>
    <w:p w14:paraId="062E7F7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2）压实作业</w:t>
      </w:r>
    </w:p>
    <w:p w14:paraId="51AC802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压实作业是填埋操作中的重要环节。垃圾压实能够减少沉降，有利于堆体稳定；能够减少空隙和空穴的形成；减少建筑垃圾产生的扬尘和轻物质飞散；能够有效延长消纳场使用年限。在消纳场压实作业过程中，影响压实的因素很多，主要有以下几个方面：</w:t>
      </w:r>
    </w:p>
    <w:p w14:paraId="26C4F26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①垃圾层的厚度：层厚是最为关键的因素。为了获得最佳的压实密度，垃圾摊铺层层厚一般以0.4—0.6m左右为宜，单元层层厚以0.5m为宜。</w:t>
      </w:r>
    </w:p>
    <w:p w14:paraId="5950B32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②碾压次数：碾压次数也影响压实密度，一般碾压3—5次能达到较好的效果，超过5次，从成本－效益分析角度来看是不合算的。</w:t>
      </w:r>
    </w:p>
    <w:p w14:paraId="338869D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③单元层的坡度：坡度应保持的坡度能使压实达到很好的压实效果。</w:t>
      </w:r>
    </w:p>
    <w:p w14:paraId="72170FC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④含水量：黏土和垃圾的含水量对它们压实密度都有较大影响。一些现场数据显示最大压实密度的最佳含水率在 50%左右。</w:t>
      </w:r>
    </w:p>
    <w:p w14:paraId="494DFA6D">
      <w:pPr>
        <w:pStyle w:val="40"/>
        <w:bidi w:val="0"/>
        <w:rPr>
          <w:rFonts w:hint="eastAsia" w:ascii="仿宋_GB2312" w:hAnsi="仿宋_GB2312" w:eastAsia="仿宋_GB2312" w:cs="仿宋_GB2312"/>
          <w:b w:val="0"/>
          <w:bCs w:val="0"/>
          <w:caps w:val="0"/>
          <w:smallCaps w:val="0"/>
          <w:color w:val="auto"/>
          <w:spacing w:val="0"/>
          <w:lang w:val="en-US" w:eastAsia="zh-CN"/>
        </w:rPr>
      </w:pPr>
      <w:bookmarkStart w:id="295" w:name="_Toc6142"/>
      <w:bookmarkStart w:id="296" w:name="_Toc76933352"/>
      <w:r>
        <w:rPr>
          <w:rFonts w:hint="eastAsia" w:ascii="仿宋_GB2312" w:hAnsi="仿宋_GB2312" w:eastAsia="仿宋_GB2312" w:cs="仿宋_GB2312"/>
          <w:b w:val="0"/>
          <w:bCs w:val="0"/>
          <w:caps w:val="0"/>
          <w:smallCaps w:val="0"/>
          <w:color w:val="auto"/>
          <w:spacing w:val="0"/>
          <w:lang w:val="en-US" w:eastAsia="zh-CN"/>
        </w:rPr>
        <w:t>3）渗滤液产生量</w:t>
      </w:r>
      <w:bookmarkEnd w:id="295"/>
      <w:bookmarkEnd w:id="296"/>
    </w:p>
    <w:p w14:paraId="7D74402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影响渗滤液产量最主要的因素是大气降水，一年内大气降水在时间上及数量上均不均匀，而渗滤液处理站对进水的水量要求尽量稳定。</w:t>
      </w:r>
    </w:p>
    <w:p w14:paraId="2D4EAEA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因此本工程设渗滤液调节池一座，调节池主要作用主要是储存渗滤液，以确保消纳场运行期间暴雨季节渗滤液不外溢，不造成二次污染。</w:t>
      </w:r>
    </w:p>
    <w:p w14:paraId="3972C6C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日平均渗滤液产生量按下列公式进行计算：</w:t>
      </w:r>
    </w:p>
    <w:p w14:paraId="44F9196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Q=I×(C1A1+ C2A2+ C3A3)/1000</w:t>
      </w:r>
    </w:p>
    <w:p w14:paraId="30F9AB8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式中：Q－渗滤液产生量，m</w:t>
      </w:r>
      <w:r>
        <w:rPr>
          <w:rFonts w:hint="eastAsia" w:ascii="仿宋_GB2312" w:hAnsi="仿宋_GB2312" w:eastAsia="仿宋_GB2312" w:cs="仿宋_GB2312"/>
          <w:b w:val="0"/>
          <w:bCs w:val="0"/>
          <w:caps w:val="0"/>
          <w:smallCaps w:val="0"/>
          <w:color w:val="auto"/>
          <w:spacing w:val="0"/>
          <w:vertAlign w:val="superscript"/>
          <w:lang w:val="en-US" w:eastAsia="zh-CN"/>
        </w:rPr>
        <w:t>3</w:t>
      </w:r>
      <w:r>
        <w:rPr>
          <w:rFonts w:hint="eastAsia" w:ascii="仿宋_GB2312" w:hAnsi="仿宋_GB2312" w:eastAsia="仿宋_GB2312" w:cs="仿宋_GB2312"/>
          <w:b w:val="0"/>
          <w:bCs w:val="0"/>
          <w:caps w:val="0"/>
          <w:smallCaps w:val="0"/>
          <w:color w:val="auto"/>
          <w:spacing w:val="0"/>
          <w:lang w:val="en-US" w:eastAsia="zh-CN"/>
        </w:rPr>
        <w:t>/d</w:t>
      </w:r>
    </w:p>
    <w:p w14:paraId="7F788F4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I一年平均日降水量，取1.62 mm/d</w:t>
      </w:r>
    </w:p>
    <w:p w14:paraId="5539D51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A1－作业单元汇水面积；</w:t>
      </w:r>
    </w:p>
    <w:p w14:paraId="55C8904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A2－中间覆盖单元汇水面积；</w:t>
      </w:r>
    </w:p>
    <w:p w14:paraId="42DF638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A3-终场覆盖单元汇水面积；</w:t>
      </w:r>
    </w:p>
    <w:p w14:paraId="6228F88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C1-作业单元A1的渗出系数，其值为0.5～0.7，取0.6；</w:t>
      </w:r>
    </w:p>
    <w:p w14:paraId="30BD7C0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C2中间覆盖单元A2的渗出系数，其值为（0.4～0.6）C1，取0.6 C1；</w:t>
      </w:r>
    </w:p>
    <w:p w14:paraId="23FC06C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C3为终场覆盖单元A3的渗出系数，取0.1～0.2；</w:t>
      </w:r>
    </w:p>
    <w:p w14:paraId="5E18A58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根据以上公式，渗滤液最大产出时为除一个操作单元为作业单元其余为中间覆盖单元时，计算出平均日产渗滤液的量。建筑垃圾渗滤液产生后由建设单位自行提供车辆运输至渗滤液处理站进行处置。</w:t>
      </w:r>
    </w:p>
    <w:p w14:paraId="179DDE67">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bookmarkStart w:id="297" w:name="_Toc337454032"/>
      <w:bookmarkStart w:id="298" w:name="_Toc233364649"/>
      <w:bookmarkStart w:id="299" w:name="_Toc76933353"/>
      <w:bookmarkStart w:id="300" w:name="_Toc5242"/>
      <w:r>
        <w:rPr>
          <w:rFonts w:hint="eastAsia" w:ascii="仿宋_GB2312" w:hAnsi="仿宋_GB2312" w:eastAsia="仿宋_GB2312" w:cs="仿宋_GB2312"/>
          <w:b w:val="0"/>
          <w:bCs w:val="0"/>
          <w:caps w:val="0"/>
          <w:smallCaps w:val="0"/>
          <w:color w:val="auto"/>
          <w:spacing w:val="0"/>
          <w:kern w:val="2"/>
          <w:sz w:val="32"/>
          <w:szCs w:val="32"/>
          <w:lang w:val="en-US" w:eastAsia="zh-CN" w:bidi="ar-SA"/>
        </w:rPr>
        <w:t>（3）</w:t>
      </w:r>
      <w:r>
        <w:rPr>
          <w:rFonts w:hint="eastAsia" w:ascii="仿宋_GB2312" w:hAnsi="仿宋_GB2312" w:eastAsia="仿宋_GB2312" w:cs="仿宋_GB2312"/>
          <w:b w:val="0"/>
          <w:bCs w:val="0"/>
          <w:caps w:val="0"/>
          <w:smallCaps w:val="0"/>
          <w:color w:val="auto"/>
          <w:spacing w:val="0"/>
          <w:lang w:val="en-US" w:eastAsia="zh-CN"/>
        </w:rPr>
        <w:t>防渗</w:t>
      </w:r>
      <w:bookmarkEnd w:id="297"/>
      <w:bookmarkEnd w:id="298"/>
      <w:r>
        <w:rPr>
          <w:rFonts w:hint="eastAsia" w:ascii="仿宋_GB2312" w:hAnsi="仿宋_GB2312" w:eastAsia="仿宋_GB2312" w:cs="仿宋_GB2312"/>
          <w:b w:val="0"/>
          <w:bCs w:val="0"/>
          <w:caps w:val="0"/>
          <w:smallCaps w:val="0"/>
          <w:color w:val="auto"/>
          <w:spacing w:val="0"/>
          <w:lang w:val="en-US" w:eastAsia="zh-CN"/>
        </w:rPr>
        <w:t>系统工程</w:t>
      </w:r>
      <w:bookmarkEnd w:id="299"/>
      <w:bookmarkEnd w:id="300"/>
    </w:p>
    <w:p w14:paraId="3111490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本次建设建筑垃圾消纳场的场区底部土质较好，场地开挖后基本为土质基础，稍经平整处理后就可以直接进行场底防渗层的铺设。根据集贤县实际情况，地下水位对本工程无影响，因此本次设计无须设置地下水导排系统。</w:t>
      </w:r>
    </w:p>
    <w:p w14:paraId="52CD3F7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1）场底防渗结构</w:t>
      </w:r>
    </w:p>
    <w:p w14:paraId="5C426E6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在平整完毕的场底的土质基础上做场地防渗，其结构自下向上为：</w:t>
      </w:r>
    </w:p>
    <w:p w14:paraId="37A4D0F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750mm厚压实黏土防渗层（渗透系数不大于1×10—7m/s）</w:t>
      </w:r>
    </w:p>
    <w:p w14:paraId="6C91DBE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1.5mm厚的HDPE土工膜</w:t>
      </w:r>
    </w:p>
    <w:p w14:paraId="0368D80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600g/m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无纺土工布</w:t>
      </w:r>
    </w:p>
    <w:p w14:paraId="77EC10A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100mm厚粗砂垫层</w:t>
      </w:r>
    </w:p>
    <w:p w14:paraId="0A97C13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300mm厚卵石导流层</w:t>
      </w:r>
    </w:p>
    <w:p w14:paraId="5696C2F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200g/m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无纺土工布</w:t>
      </w:r>
    </w:p>
    <w:p w14:paraId="2EF24F4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2）边坡防渗层结构设计</w:t>
      </w:r>
    </w:p>
    <w:p w14:paraId="4DADA19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对于库区四周的垃圾坝填筑完毕后，即可进行防渗系统的铺设，其结构自下向上为：</w:t>
      </w:r>
    </w:p>
    <w:p w14:paraId="2340CD7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750mm厚压实黏土防渗层（渗透系数不大于1×10—7m/s）</w:t>
      </w:r>
    </w:p>
    <w:p w14:paraId="3BC749D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1.5mm厚的HDPE土工膜</w:t>
      </w:r>
    </w:p>
    <w:p w14:paraId="6FC394D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600g/m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无纺土工布</w:t>
      </w:r>
    </w:p>
    <w:p w14:paraId="277A528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复合土工排水网（上下粘接200g/m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无纺土工布，中间为排水网）</w:t>
      </w:r>
    </w:p>
    <w:p w14:paraId="2BD2D8F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装袋土保护层</w:t>
      </w:r>
    </w:p>
    <w:p w14:paraId="4186C1DA">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kern w:val="2"/>
          <w:sz w:val="32"/>
          <w:szCs w:val="32"/>
          <w:lang w:val="en-US" w:eastAsia="zh-CN" w:bidi="ar-SA"/>
        </w:rPr>
        <w:t>（4）</w:t>
      </w:r>
      <w:r>
        <w:rPr>
          <w:rFonts w:hint="eastAsia" w:ascii="仿宋_GB2312" w:hAnsi="仿宋_GB2312" w:eastAsia="仿宋_GB2312" w:cs="仿宋_GB2312"/>
          <w:b w:val="0"/>
          <w:bCs w:val="0"/>
          <w:caps w:val="0"/>
          <w:smallCaps w:val="0"/>
          <w:color w:val="auto"/>
          <w:spacing w:val="0"/>
          <w:lang w:val="en-US" w:eastAsia="zh-CN"/>
        </w:rPr>
        <w:t>防渗材料的锚固</w:t>
      </w:r>
    </w:p>
    <w:p w14:paraId="4151FA3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沿垃圾坝一周设置锚固沟对防渗膜进行锚固。</w:t>
      </w:r>
    </w:p>
    <w:p w14:paraId="7E4190D5">
      <w:pPr>
        <w:pStyle w:val="40"/>
        <w:bidi w:val="0"/>
        <w:rPr>
          <w:rFonts w:hint="eastAsia" w:ascii="仿宋_GB2312" w:hAnsi="仿宋_GB2312" w:eastAsia="仿宋_GB2312" w:cs="仿宋_GB2312"/>
          <w:b w:val="0"/>
          <w:bCs w:val="0"/>
          <w:caps w:val="0"/>
          <w:smallCaps w:val="0"/>
          <w:color w:val="auto"/>
          <w:spacing w:val="0"/>
          <w:lang w:val="en-US" w:eastAsia="zh-CN"/>
        </w:rPr>
      </w:pPr>
      <w:bookmarkStart w:id="301" w:name="_Toc76933354"/>
      <w:bookmarkStart w:id="302" w:name="_Toc13820"/>
      <w:r>
        <w:rPr>
          <w:rFonts w:hint="eastAsia" w:ascii="仿宋_GB2312" w:hAnsi="仿宋_GB2312" w:eastAsia="仿宋_GB2312" w:cs="仿宋_GB2312"/>
          <w:b w:val="0"/>
          <w:bCs w:val="0"/>
          <w:caps w:val="0"/>
          <w:smallCaps w:val="0"/>
          <w:color w:val="auto"/>
          <w:spacing w:val="0"/>
          <w:lang w:val="en-US" w:eastAsia="zh-CN"/>
        </w:rPr>
        <w:t>渗滤液收集导排系统</w:t>
      </w:r>
      <w:bookmarkEnd w:id="301"/>
      <w:bookmarkEnd w:id="302"/>
    </w:p>
    <w:p w14:paraId="7664687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设计中采用在整个场底铺设100mm厚的粗砂和300mm厚的碎石作为渗滤液导流层，在导流层内设导流管，导流渗滤液。支导流管管径200mm，主导流管管径300mm，支导流管与主导流管之间夹角为60度，支导流管中的渗滤液流入主导流管一并流向垃圾坝，穿过垃圾坝底靠重力流入调节水池。</w:t>
      </w:r>
    </w:p>
    <w:p w14:paraId="3950B29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场区内每隔40—50m设置一个导排井，随垃圾堆体的填高而上升，整个场区共设置6个导排井。</w:t>
      </w:r>
    </w:p>
    <w:p w14:paraId="71E2FF06">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bookmarkStart w:id="303" w:name="_Toc20417"/>
      <w:bookmarkStart w:id="304" w:name="_Toc76933355"/>
      <w:r>
        <w:rPr>
          <w:rFonts w:hint="eastAsia" w:ascii="仿宋_GB2312" w:hAnsi="仿宋_GB2312" w:eastAsia="仿宋_GB2312" w:cs="仿宋_GB2312"/>
          <w:b w:val="0"/>
          <w:bCs w:val="0"/>
          <w:caps w:val="0"/>
          <w:smallCaps w:val="0"/>
          <w:color w:val="auto"/>
          <w:spacing w:val="0"/>
          <w:kern w:val="2"/>
          <w:sz w:val="32"/>
          <w:szCs w:val="32"/>
          <w:lang w:val="en-US" w:eastAsia="zh-CN" w:bidi="ar-SA"/>
        </w:rPr>
        <w:t>（5）</w:t>
      </w:r>
      <w:r>
        <w:rPr>
          <w:rFonts w:hint="eastAsia" w:ascii="仿宋_GB2312" w:hAnsi="仿宋_GB2312" w:eastAsia="仿宋_GB2312" w:cs="仿宋_GB2312"/>
          <w:b w:val="0"/>
          <w:bCs w:val="0"/>
          <w:caps w:val="0"/>
          <w:smallCaps w:val="0"/>
          <w:color w:val="auto"/>
          <w:spacing w:val="0"/>
          <w:lang w:val="en-US" w:eastAsia="zh-CN"/>
        </w:rPr>
        <w:t>渗滤液调节池设计</w:t>
      </w:r>
      <w:bookmarkEnd w:id="303"/>
      <w:bookmarkEnd w:id="304"/>
    </w:p>
    <w:p w14:paraId="5067A6D9">
      <w:pPr>
        <w:pStyle w:val="40"/>
        <w:bidi w:val="0"/>
        <w:rPr>
          <w:rFonts w:hint="eastAsia" w:ascii="仿宋_GB2312" w:hAnsi="仿宋_GB2312" w:eastAsia="仿宋_GB2312" w:cs="仿宋_GB2312"/>
          <w:b w:val="0"/>
          <w:bCs w:val="0"/>
          <w:caps w:val="0"/>
          <w:smallCaps w:val="0"/>
          <w:color w:val="auto"/>
          <w:spacing w:val="0"/>
          <w:lang w:val="en-US" w:eastAsia="zh-CN"/>
        </w:rPr>
      </w:pPr>
      <w:bookmarkStart w:id="305" w:name="_Toc76933356"/>
      <w:r>
        <w:rPr>
          <w:rFonts w:hint="eastAsia" w:ascii="仿宋_GB2312" w:hAnsi="仿宋_GB2312" w:eastAsia="仿宋_GB2312" w:cs="仿宋_GB2312"/>
          <w:b w:val="0"/>
          <w:bCs w:val="0"/>
          <w:caps w:val="0"/>
          <w:smallCaps w:val="0"/>
          <w:color w:val="auto"/>
          <w:spacing w:val="0"/>
          <w:lang w:val="en-US" w:eastAsia="zh-CN"/>
        </w:rPr>
        <w:t>1）调节池容积确定</w:t>
      </w:r>
      <w:bookmarkEnd w:id="305"/>
    </w:p>
    <w:p w14:paraId="1E40ECD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调节池容积与渗滤液产量、处理量及蒸发量有关，调节池容积按下列公式进行计算：</w:t>
      </w:r>
    </w:p>
    <w:p w14:paraId="56C2E0C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Q=C×I×A/1000</w:t>
      </w:r>
    </w:p>
    <w:p w14:paraId="0DD8398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式中：Q-调节池容积</w:t>
      </w:r>
    </w:p>
    <w:p w14:paraId="68531DF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C－渗出系数，取0.8；</w:t>
      </w:r>
    </w:p>
    <w:p w14:paraId="0EACCA1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I－连续7日最大降雨量（mm）；</w:t>
      </w:r>
    </w:p>
    <w:p w14:paraId="290BCDD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A－汇水面积（m</w:t>
      </w:r>
      <w:r>
        <w:rPr>
          <w:rFonts w:hint="eastAsia" w:ascii="仿宋_GB2312" w:hAnsi="仿宋_GB2312" w:eastAsia="仿宋_GB2312" w:cs="仿宋_GB2312"/>
          <w:b w:val="0"/>
          <w:bCs w:val="0"/>
          <w:caps w:val="0"/>
          <w:smallCaps w:val="0"/>
          <w:color w:val="auto"/>
          <w:spacing w:val="0"/>
          <w:vertAlign w:val="superscript"/>
          <w:lang w:val="en-US" w:eastAsia="zh-CN"/>
        </w:rPr>
        <w:t>2</w:t>
      </w:r>
      <w:r>
        <w:rPr>
          <w:rFonts w:hint="eastAsia" w:ascii="仿宋_GB2312" w:hAnsi="仿宋_GB2312" w:eastAsia="仿宋_GB2312" w:cs="仿宋_GB2312"/>
          <w:b w:val="0"/>
          <w:bCs w:val="0"/>
          <w:caps w:val="0"/>
          <w:smallCaps w:val="0"/>
          <w:color w:val="auto"/>
          <w:spacing w:val="0"/>
          <w:lang w:val="en-US" w:eastAsia="zh-CN"/>
        </w:rPr>
        <w:t>）；</w:t>
      </w:r>
    </w:p>
    <w:p w14:paraId="2108E09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本工程调节池按远期设计，同时考虑到降雨量的不确定因素，结合国内外各工程实例，方可设计选用调节池容积。</w:t>
      </w:r>
    </w:p>
    <w:p w14:paraId="5617B489">
      <w:pPr>
        <w:pStyle w:val="40"/>
        <w:bidi w:val="0"/>
        <w:rPr>
          <w:rFonts w:hint="eastAsia" w:ascii="仿宋_GB2312" w:hAnsi="仿宋_GB2312" w:eastAsia="仿宋_GB2312" w:cs="仿宋_GB2312"/>
          <w:b w:val="0"/>
          <w:bCs w:val="0"/>
          <w:caps w:val="0"/>
          <w:smallCaps w:val="0"/>
          <w:color w:val="auto"/>
          <w:spacing w:val="0"/>
          <w:lang w:val="en-US" w:eastAsia="zh-CN"/>
        </w:rPr>
      </w:pPr>
      <w:bookmarkStart w:id="306" w:name="_Toc76933357"/>
      <w:r>
        <w:rPr>
          <w:rFonts w:hint="eastAsia" w:ascii="仿宋_GB2312" w:hAnsi="仿宋_GB2312" w:eastAsia="仿宋_GB2312" w:cs="仿宋_GB2312"/>
          <w:b w:val="0"/>
          <w:bCs w:val="0"/>
          <w:caps w:val="0"/>
          <w:smallCaps w:val="0"/>
          <w:color w:val="auto"/>
          <w:spacing w:val="0"/>
          <w:lang w:val="en-US" w:eastAsia="zh-CN"/>
        </w:rPr>
        <w:t>2）调节池结构形式</w:t>
      </w:r>
      <w:bookmarkEnd w:id="306"/>
    </w:p>
    <w:p w14:paraId="21C7F5C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本次设计采用钢筋混凝土结构。考虑渗滤液产生臭气对环境的影响，调节池需要防护。本工程采用在通风管加活性炭吸附对调节池进行防臭处理。</w:t>
      </w:r>
    </w:p>
    <w:p w14:paraId="4386B06A">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bookmarkStart w:id="307" w:name="_Toc1754"/>
      <w:r>
        <w:rPr>
          <w:rFonts w:hint="eastAsia" w:ascii="楷体_GB2312" w:hAnsi="楷体_GB2312" w:eastAsia="楷体_GB2312" w:cs="楷体_GB2312"/>
          <w:b w:val="0"/>
          <w:bCs w:val="0"/>
          <w:caps w:val="0"/>
          <w:smallCaps w:val="0"/>
          <w:color w:val="auto"/>
          <w:spacing w:val="0"/>
          <w:sz w:val="32"/>
          <w:szCs w:val="28"/>
          <w:lang w:val="en-US" w:eastAsia="zh-CN"/>
        </w:rPr>
        <w:t>7．环境保护</w:t>
      </w:r>
      <w:bookmarkEnd w:id="307"/>
    </w:p>
    <w:p w14:paraId="11088E31">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bookmarkStart w:id="308" w:name="_Toc9014"/>
      <w:r>
        <w:rPr>
          <w:rFonts w:hint="eastAsia" w:ascii="仿宋_GB2312" w:hAnsi="仿宋_GB2312" w:eastAsia="仿宋_GB2312" w:cs="仿宋_GB2312"/>
          <w:b w:val="0"/>
          <w:bCs w:val="0"/>
          <w:caps w:val="0"/>
          <w:smallCaps w:val="0"/>
          <w:color w:val="auto"/>
          <w:spacing w:val="0"/>
          <w:kern w:val="2"/>
          <w:sz w:val="32"/>
          <w:szCs w:val="32"/>
          <w:lang w:val="en-US" w:eastAsia="zh-CN" w:bidi="ar-SA"/>
        </w:rPr>
        <w:t>（1）</w:t>
      </w:r>
      <w:r>
        <w:rPr>
          <w:rFonts w:hint="eastAsia" w:ascii="仿宋_GB2312" w:hAnsi="仿宋_GB2312" w:eastAsia="仿宋_GB2312" w:cs="仿宋_GB2312"/>
          <w:b w:val="0"/>
          <w:bCs w:val="0"/>
          <w:caps w:val="0"/>
          <w:smallCaps w:val="0"/>
          <w:color w:val="auto"/>
          <w:spacing w:val="0"/>
          <w:lang w:val="en-US" w:eastAsia="zh-CN"/>
        </w:rPr>
        <w:t>主要污染物及污染源</w:t>
      </w:r>
      <w:bookmarkEnd w:id="308"/>
    </w:p>
    <w:p w14:paraId="0D942C2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1）大气污染物</w:t>
      </w:r>
    </w:p>
    <w:p w14:paraId="79C4FEC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本项目主要污染物为粉尘、有机污染物等。</w:t>
      </w:r>
    </w:p>
    <w:p w14:paraId="4E37CD8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2）废水</w:t>
      </w:r>
    </w:p>
    <w:p w14:paraId="755089B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产生的废水主要有生活污水、生产污水、冲洗污水等，主要污染因子有pH、SS、CODCr、BOD5、NH3-N、大肠杆菌群等。</w:t>
      </w:r>
    </w:p>
    <w:p w14:paraId="1F2F88E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3）噪声</w:t>
      </w:r>
    </w:p>
    <w:p w14:paraId="2D915D2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厂内主要噪声源主要为破碎分选、制砖及各类辅助设备产生的动力机械噪声，形成对周围环境的影响。</w:t>
      </w:r>
    </w:p>
    <w:p w14:paraId="49972B31">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bookmarkStart w:id="309" w:name="_Toc25025"/>
      <w:r>
        <w:rPr>
          <w:rFonts w:hint="eastAsia" w:ascii="仿宋_GB2312" w:hAnsi="仿宋_GB2312" w:eastAsia="仿宋_GB2312" w:cs="仿宋_GB2312"/>
          <w:b w:val="0"/>
          <w:bCs w:val="0"/>
          <w:caps w:val="0"/>
          <w:smallCaps w:val="0"/>
          <w:color w:val="auto"/>
          <w:spacing w:val="0"/>
          <w:kern w:val="2"/>
          <w:sz w:val="32"/>
          <w:szCs w:val="32"/>
          <w:lang w:val="en-US" w:eastAsia="zh-CN" w:bidi="ar-SA"/>
        </w:rPr>
        <w:t>（2）</w:t>
      </w:r>
      <w:r>
        <w:rPr>
          <w:rFonts w:hint="eastAsia" w:ascii="仿宋_GB2312" w:hAnsi="仿宋_GB2312" w:eastAsia="仿宋_GB2312" w:cs="仿宋_GB2312"/>
          <w:b w:val="0"/>
          <w:bCs w:val="0"/>
          <w:caps w:val="0"/>
          <w:smallCaps w:val="0"/>
          <w:color w:val="auto"/>
          <w:spacing w:val="0"/>
          <w:lang w:val="en-US" w:eastAsia="zh-CN"/>
        </w:rPr>
        <w:t>本工程对环境影响</w:t>
      </w:r>
      <w:bookmarkEnd w:id="309"/>
    </w:p>
    <w:p w14:paraId="58A6640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本工程属于环保工程，其建设投产能够大大减轻建筑垃圾不规范处置对我们赖以生存的环境造成的污染，其环境效益非常显著。本工程采用先进的环保技术措施，不仅安全环保地集中处理建筑垃圾，而且可避免对周边环境造成二次污染。本项目的实施将为当地的经济发展提供良好的生态环境。</w:t>
      </w:r>
    </w:p>
    <w:p w14:paraId="563EA745">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bookmarkStart w:id="310" w:name="_Toc28732"/>
      <w:r>
        <w:rPr>
          <w:rFonts w:hint="eastAsia" w:ascii="仿宋_GB2312" w:hAnsi="仿宋_GB2312" w:eastAsia="仿宋_GB2312" w:cs="仿宋_GB2312"/>
          <w:b w:val="0"/>
          <w:bCs w:val="0"/>
          <w:caps w:val="0"/>
          <w:smallCaps w:val="0"/>
          <w:color w:val="auto"/>
          <w:spacing w:val="0"/>
          <w:kern w:val="2"/>
          <w:sz w:val="32"/>
          <w:szCs w:val="32"/>
          <w:lang w:val="en-US" w:eastAsia="zh-CN" w:bidi="ar-SA"/>
        </w:rPr>
        <w:t>（3）</w:t>
      </w:r>
      <w:r>
        <w:rPr>
          <w:rFonts w:hint="eastAsia" w:ascii="仿宋_GB2312" w:hAnsi="仿宋_GB2312" w:eastAsia="仿宋_GB2312" w:cs="仿宋_GB2312"/>
          <w:b w:val="0"/>
          <w:bCs w:val="0"/>
          <w:caps w:val="0"/>
          <w:smallCaps w:val="0"/>
          <w:color w:val="auto"/>
          <w:spacing w:val="0"/>
          <w:lang w:val="en-US" w:eastAsia="zh-CN"/>
        </w:rPr>
        <w:t>采用环境保护标准</w:t>
      </w:r>
      <w:bookmarkEnd w:id="310"/>
    </w:p>
    <w:p w14:paraId="1AE71A6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厂内的噪声治理应符合现行国家标准《声环境质量标准》（GB3096-2008），厂界噪声标准执行《工业企业厂界环境噪声排放标准》（GB12348-2008）Ⅱ类标准，即等效声级昼间为65dB(A)，夜间为55dB(A)。对建筑物的直达声源噪声控制，应符合现行国家标准《工业企业噪声控制设计规范》（GB/T50087-2013）的有关规定。</w:t>
      </w:r>
    </w:p>
    <w:p w14:paraId="7BA3F85F">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bookmarkStart w:id="311" w:name="_Toc28193"/>
      <w:r>
        <w:rPr>
          <w:rFonts w:hint="eastAsia" w:ascii="仿宋_GB2312" w:hAnsi="仿宋_GB2312" w:eastAsia="仿宋_GB2312" w:cs="仿宋_GB2312"/>
          <w:b w:val="0"/>
          <w:bCs w:val="0"/>
          <w:caps w:val="0"/>
          <w:smallCaps w:val="0"/>
          <w:color w:val="auto"/>
          <w:spacing w:val="0"/>
          <w:kern w:val="2"/>
          <w:sz w:val="32"/>
          <w:szCs w:val="32"/>
          <w:lang w:val="en-US" w:eastAsia="zh-CN" w:bidi="ar-SA"/>
        </w:rPr>
        <w:t>（4）</w:t>
      </w:r>
      <w:r>
        <w:rPr>
          <w:rFonts w:hint="eastAsia" w:ascii="仿宋_GB2312" w:hAnsi="仿宋_GB2312" w:eastAsia="仿宋_GB2312" w:cs="仿宋_GB2312"/>
          <w:b w:val="0"/>
          <w:bCs w:val="0"/>
          <w:caps w:val="0"/>
          <w:smallCaps w:val="0"/>
          <w:color w:val="auto"/>
          <w:spacing w:val="0"/>
          <w:lang w:val="en-US" w:eastAsia="zh-CN"/>
        </w:rPr>
        <w:t>污染物治理措施</w:t>
      </w:r>
      <w:bookmarkEnd w:id="311"/>
    </w:p>
    <w:p w14:paraId="030C005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1）大气污染物</w:t>
      </w:r>
    </w:p>
    <w:p w14:paraId="62A35DF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根据国内外粉尘处理的经验，袋式除尘器具有烟尘净化效率高、维修方便、净化效率不受颗粒物比电阻和原浓度的影响等优点，同时对有机污染物和重金属均有良好的处理效果，除尘效率大于99％，故本工程采用袋式除尘器。</w:t>
      </w:r>
    </w:p>
    <w:p w14:paraId="5DA6E1F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2）废水</w:t>
      </w:r>
    </w:p>
    <w:p w14:paraId="46BD832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生活、生产废水处理系统实行清浊分流。生活和部分生产废水排入园区污水管道。雨水直接排入雨水管网。</w:t>
      </w:r>
    </w:p>
    <w:p w14:paraId="512179C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3）噪声</w:t>
      </w:r>
    </w:p>
    <w:p w14:paraId="1DCA87F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本工程对噪声采取以下治理措施：</w:t>
      </w:r>
    </w:p>
    <w:p w14:paraId="1FA5AEC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①厂区总体设计布置时，将主要噪声源尽可能布置在远离操作办公的地方，以防噪声对工作环境的影响。</w:t>
      </w:r>
    </w:p>
    <w:p w14:paraId="4B0626E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②在运行管理人员集中的控制室内，门窗处设置吸声装置（如密封门窗等），室内设置吸声吊顶，以减少噪声对运行人员的影响，使其工作环境达到允许的噪声标准。</w:t>
      </w:r>
    </w:p>
    <w:p w14:paraId="5904590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③对设备采取减振、安装消音器、隔声等方式。</w:t>
      </w:r>
    </w:p>
    <w:p w14:paraId="3801843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④车辆来回行驶对道路两旁居住人群带来影响，车辆在正常行驶时，15m外其噪声值均为85～90dB左右，对道路附近声环境有一定影响，因此应控制垃圾车行驶车速，改善路面状况，尽量避免在夜间运输垃圾。</w:t>
      </w:r>
    </w:p>
    <w:p w14:paraId="3C71BF7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⑤采用低噪声的设备。</w:t>
      </w:r>
    </w:p>
    <w:p w14:paraId="65AB8F1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⑥厂区加强绿化，以起到降低噪声的作用。</w:t>
      </w:r>
    </w:p>
    <w:p w14:paraId="0B40D090">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312" w:name="_Toc9169"/>
      <w:r>
        <w:rPr>
          <w:rFonts w:hint="eastAsia" w:ascii="楷体_GB2312" w:hAnsi="楷体_GB2312" w:eastAsia="楷体_GB2312" w:cs="楷体_GB2312"/>
          <w:b w:val="0"/>
          <w:bCs w:val="0"/>
          <w:caps w:val="0"/>
          <w:smallCaps w:val="0"/>
          <w:color w:val="auto"/>
          <w:spacing w:val="0"/>
          <w:sz w:val="32"/>
          <w:szCs w:val="28"/>
          <w:lang w:val="en-US" w:eastAsia="zh-CN"/>
        </w:rPr>
        <w:t>8．</w:t>
      </w:r>
      <w:r>
        <w:rPr>
          <w:rFonts w:hint="default" w:ascii="楷体_GB2312" w:hAnsi="楷体_GB2312" w:eastAsia="楷体_GB2312" w:cs="楷体_GB2312"/>
          <w:b w:val="0"/>
          <w:bCs w:val="0"/>
          <w:caps w:val="0"/>
          <w:smallCaps w:val="0"/>
          <w:color w:val="auto"/>
          <w:spacing w:val="0"/>
          <w:sz w:val="32"/>
          <w:szCs w:val="28"/>
          <w:lang w:val="en-US" w:eastAsia="zh-CN"/>
        </w:rPr>
        <w:t>运营维护</w:t>
      </w:r>
      <w:bookmarkEnd w:id="312"/>
    </w:p>
    <w:p w14:paraId="5E8B7006">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bookmarkStart w:id="313" w:name="_Toc22013"/>
      <w:r>
        <w:rPr>
          <w:rFonts w:hint="eastAsia" w:ascii="仿宋_GB2312" w:hAnsi="仿宋_GB2312" w:eastAsia="仿宋_GB2312" w:cs="仿宋_GB2312"/>
          <w:b w:val="0"/>
          <w:bCs w:val="0"/>
          <w:caps w:val="0"/>
          <w:smallCaps w:val="0"/>
          <w:color w:val="auto"/>
          <w:spacing w:val="0"/>
          <w:kern w:val="2"/>
          <w:sz w:val="32"/>
          <w:szCs w:val="32"/>
          <w:lang w:val="en-US" w:eastAsia="zh-CN" w:bidi="ar-SA"/>
        </w:rPr>
        <w:t>（1）</w:t>
      </w:r>
      <w:r>
        <w:rPr>
          <w:rFonts w:hint="eastAsia" w:ascii="仿宋_GB2312" w:hAnsi="仿宋_GB2312" w:eastAsia="仿宋_GB2312" w:cs="仿宋_GB2312"/>
          <w:b w:val="0"/>
          <w:bCs w:val="0"/>
          <w:caps w:val="0"/>
          <w:smallCaps w:val="0"/>
          <w:color w:val="auto"/>
          <w:spacing w:val="0"/>
          <w:lang w:val="en-US" w:eastAsia="zh-CN"/>
        </w:rPr>
        <w:t>运营组织方案</w:t>
      </w:r>
      <w:bookmarkEnd w:id="313"/>
    </w:p>
    <w:p w14:paraId="53A78BD5">
      <w:pPr>
        <w:pStyle w:val="40"/>
        <w:bidi w:val="0"/>
        <w:rPr>
          <w:rFonts w:hint="eastAsia" w:ascii="仿宋_GB2312" w:hAnsi="仿宋_GB2312" w:eastAsia="仿宋_GB2312" w:cs="仿宋_GB2312"/>
          <w:b w:val="0"/>
          <w:bCs w:val="0"/>
          <w:caps w:val="0"/>
          <w:smallCaps w:val="0"/>
          <w:color w:val="auto"/>
          <w:spacing w:val="0"/>
          <w:lang w:val="en-US" w:eastAsia="zh-CN"/>
        </w:rPr>
      </w:pPr>
      <w:bookmarkStart w:id="314" w:name="_Toc1802"/>
      <w:r>
        <w:rPr>
          <w:rFonts w:hint="eastAsia" w:ascii="仿宋_GB2312" w:hAnsi="仿宋_GB2312" w:eastAsia="仿宋_GB2312" w:cs="仿宋_GB2312"/>
          <w:b w:val="0"/>
          <w:bCs w:val="0"/>
          <w:caps w:val="0"/>
          <w:smallCaps w:val="0"/>
          <w:color w:val="auto"/>
          <w:spacing w:val="0"/>
          <w:lang w:val="en-US" w:eastAsia="zh-CN"/>
        </w:rPr>
        <w:t>1）组织机构</w:t>
      </w:r>
      <w:bookmarkEnd w:id="314"/>
    </w:p>
    <w:p w14:paraId="1013897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按照国家有关法律规定，实行股份制、项目法人责任制，负责厂区的项目策划、资金筹措、组织建设、生产经营、债务偿还和资产的保值增值。公司为独立的法人机构。公司组建董事会、监事会，董事会任命总经理，并通过公司设置各职能部门全面负责项目的建设、生产、经营和管理工作。</w:t>
      </w:r>
    </w:p>
    <w:p w14:paraId="3B547FE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管理机构设置的原则为机构合理、人员精炼、方便生产、利于管理。</w:t>
      </w:r>
    </w:p>
    <w:p w14:paraId="139DD4ED">
      <w:pPr>
        <w:pStyle w:val="40"/>
        <w:numPr>
          <w:ilvl w:val="0"/>
          <w:numId w:val="0"/>
        </w:numPr>
        <w:bidi w:val="0"/>
        <w:ind w:left="402" w:leftChars="0"/>
        <w:rPr>
          <w:rFonts w:hint="eastAsia" w:ascii="仿宋_GB2312" w:hAnsi="仿宋_GB2312" w:eastAsia="仿宋_GB2312" w:cs="仿宋_GB2312"/>
          <w:b w:val="0"/>
          <w:bCs w:val="0"/>
          <w:caps w:val="0"/>
          <w:smallCaps w:val="0"/>
          <w:color w:val="auto"/>
          <w:spacing w:val="0"/>
          <w:lang w:val="en-US" w:eastAsia="zh-CN"/>
        </w:rPr>
      </w:pPr>
      <w:bookmarkStart w:id="315" w:name="_Toc32353"/>
      <w:r>
        <w:rPr>
          <w:rFonts w:hint="eastAsia" w:ascii="仿宋_GB2312" w:hAnsi="仿宋_GB2312" w:eastAsia="仿宋_GB2312" w:cs="仿宋_GB2312"/>
          <w:b w:val="0"/>
          <w:bCs w:val="0"/>
          <w:caps w:val="0"/>
          <w:smallCaps w:val="0"/>
          <w:color w:val="auto"/>
          <w:spacing w:val="0"/>
          <w:lang w:val="en-US" w:eastAsia="zh-CN"/>
        </w:rPr>
        <w:t>2）工作制和劳动定员</w:t>
      </w:r>
      <w:bookmarkEnd w:id="315"/>
    </w:p>
    <w:p w14:paraId="3BD715A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本项目新增管理机构负责本项目建设的组织协调和管理。</w:t>
      </w:r>
    </w:p>
    <w:p w14:paraId="61AAB9A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工作日：全年生产天数300天。工作制度：双班生产</w:t>
      </w:r>
    </w:p>
    <w:p w14:paraId="5AE3269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劳动定员：根据本项目的建设规模和劳动组织安排，以及企业劳动定额标准，编制本项目的劳动定员为6人，其中管理人员2人，技术工人4人。</w:t>
      </w:r>
    </w:p>
    <w:p w14:paraId="2A0087BD">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bookmarkStart w:id="316" w:name="_Toc9494"/>
      <w:r>
        <w:rPr>
          <w:rFonts w:hint="eastAsia" w:ascii="楷体_GB2312" w:hAnsi="楷体_GB2312" w:eastAsia="楷体_GB2312" w:cs="楷体_GB2312"/>
          <w:b w:val="0"/>
          <w:bCs w:val="0"/>
          <w:caps w:val="0"/>
          <w:smallCaps w:val="0"/>
          <w:color w:val="auto"/>
          <w:spacing w:val="0"/>
          <w:sz w:val="32"/>
          <w:szCs w:val="28"/>
          <w:lang w:val="en-US" w:eastAsia="zh-CN"/>
        </w:rPr>
        <w:t>9．人员组成和培训</w:t>
      </w:r>
      <w:bookmarkEnd w:id="316"/>
    </w:p>
    <w:p w14:paraId="599B9C7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（1）人员组成</w:t>
      </w:r>
    </w:p>
    <w:p w14:paraId="0236C56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为使本工程能够顺利建成投产，正常运行，企业员工的素质（包括文化水平、技术熟练程度、工作责任心、劳动纪律等）起关键性作用。因此员工的招聘与培训十分重要。</w:t>
      </w:r>
    </w:p>
    <w:p w14:paraId="7CA3A02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各职能管理部门的人员，必须对厂区生产情况有一定的了解，并有较高的文化素质、管理才能和组织能力，可通过国家有关部门的选调，也可通过人才市场招聘。</w:t>
      </w:r>
    </w:p>
    <w:p w14:paraId="658CFD2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各专业工程技术人员必须相关专业毕业，具有本科以上学历或中级以上技术职称，工作能力强，有开拓创新精神。可通过人才市场或直接从高等院校择优录取。</w:t>
      </w:r>
    </w:p>
    <w:p w14:paraId="7931CD9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本工程引进国内先进技术，自动化水平高，要求生产人员具有高中以上文化程度，有较强的知识接受能力，入场前须经过相应的考试和严格的挑选。</w:t>
      </w:r>
    </w:p>
    <w:p w14:paraId="589B5E3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（2）人员培训</w:t>
      </w:r>
    </w:p>
    <w:p w14:paraId="53A3AAE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1）国内培训</w:t>
      </w:r>
    </w:p>
    <w:p w14:paraId="1B5DB77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在本厂投产前，先选派部分管理人员和操作人员，到国内已建成的建筑垃圾消纳场进行实地培训3～6个月。以掌握生产管理和岗位实践操作技术，积累一定的经验。</w:t>
      </w:r>
    </w:p>
    <w:p w14:paraId="112B4FF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2）现场培训</w:t>
      </w:r>
    </w:p>
    <w:p w14:paraId="6BCA37E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由设备提供方组织有经验的专家到现场讲课，实地指导设备安装、调试和操作，进行现场培训。</w:t>
      </w:r>
    </w:p>
    <w:p w14:paraId="54F3E38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操作人员上岗前，应通过安全教育、操作规程、生产前后环节的协作、联系和事故处理等各项考试，合格者方可上岗。同时建议企业对职工应有试用期，对管理及生产人员在试用期内不能胜任者，予以辞退，保证企业投产后高效率正常运营。</w:t>
      </w:r>
    </w:p>
    <w:p w14:paraId="4A44F0E2">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bookmarkStart w:id="317" w:name="_Toc20735"/>
      <w:bookmarkStart w:id="318" w:name="_Toc23138"/>
      <w:bookmarkStart w:id="319" w:name="_Toc1659"/>
      <w:bookmarkStart w:id="320" w:name="_Toc17981"/>
      <w:r>
        <w:rPr>
          <w:rFonts w:hint="eastAsia" w:ascii="楷体_GB2312" w:hAnsi="楷体_GB2312" w:eastAsia="楷体_GB2312" w:cs="楷体_GB2312"/>
          <w:b w:val="0"/>
          <w:bCs w:val="0"/>
          <w:caps w:val="0"/>
          <w:smallCaps w:val="0"/>
          <w:color w:val="auto"/>
          <w:spacing w:val="0"/>
          <w:sz w:val="32"/>
          <w:szCs w:val="28"/>
          <w:lang w:val="en-US" w:eastAsia="zh-CN"/>
        </w:rPr>
        <w:t>10．安全保障方案</w:t>
      </w:r>
      <w:bookmarkEnd w:id="317"/>
      <w:bookmarkEnd w:id="318"/>
      <w:bookmarkEnd w:id="319"/>
      <w:bookmarkEnd w:id="320"/>
    </w:p>
    <w:p w14:paraId="20A3F5C1">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bookmarkStart w:id="321" w:name="_Toc7900"/>
      <w:bookmarkStart w:id="322" w:name="_Toc27135"/>
      <w:bookmarkStart w:id="323" w:name="_Toc8684"/>
      <w:r>
        <w:rPr>
          <w:rFonts w:hint="eastAsia" w:ascii="仿宋_GB2312" w:hAnsi="仿宋_GB2312" w:eastAsia="仿宋_GB2312" w:cs="仿宋_GB2312"/>
          <w:b w:val="0"/>
          <w:bCs w:val="0"/>
          <w:caps w:val="0"/>
          <w:smallCaps w:val="0"/>
          <w:color w:val="auto"/>
          <w:spacing w:val="0"/>
          <w:kern w:val="2"/>
          <w:sz w:val="32"/>
          <w:szCs w:val="32"/>
          <w:lang w:val="en-US" w:eastAsia="zh-CN" w:bidi="ar-SA"/>
        </w:rPr>
        <w:t>（1）</w:t>
      </w:r>
      <w:r>
        <w:rPr>
          <w:rFonts w:hint="eastAsia" w:ascii="仿宋_GB2312" w:hAnsi="仿宋_GB2312" w:eastAsia="仿宋_GB2312" w:cs="仿宋_GB2312"/>
          <w:b w:val="0"/>
          <w:bCs w:val="0"/>
          <w:caps w:val="0"/>
          <w:smallCaps w:val="0"/>
          <w:color w:val="auto"/>
          <w:spacing w:val="0"/>
          <w:lang w:val="en-US" w:eastAsia="zh-CN"/>
        </w:rPr>
        <w:t>主要危害因素分析及防范措施</w:t>
      </w:r>
      <w:bookmarkEnd w:id="321"/>
      <w:bookmarkEnd w:id="322"/>
      <w:bookmarkEnd w:id="323"/>
    </w:p>
    <w:p w14:paraId="349D2CE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1）主要职业危险、危害综述</w:t>
      </w:r>
    </w:p>
    <w:p w14:paraId="490F72A5">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val="0"/>
          <w:bCs w:val="0"/>
          <w:caps w:val="0"/>
          <w:smallCaps w:val="0"/>
          <w:color w:val="auto"/>
          <w:spacing w:val="0"/>
          <w:lang w:val="en-US" w:eastAsia="zh-CN"/>
        </w:rPr>
        <w:t>本工程的主要因素可分为两类，其一为自然因素形成的危害和不利影响；一般包括地震、不良地质、暑热、雷击、暴雨等因素；其二为生产过</w:t>
      </w:r>
      <w:r>
        <w:rPr>
          <w:rFonts w:hint="eastAsia" w:ascii="仿宋_GB2312" w:hAnsi="仿宋_GB2312" w:eastAsia="仿宋_GB2312" w:cs="仿宋_GB2312"/>
          <w:color w:val="auto"/>
          <w:spacing w:val="0"/>
          <w:kern w:val="2"/>
          <w:sz w:val="32"/>
          <w:szCs w:val="32"/>
          <w:highlight w:val="none"/>
          <w:lang w:val="en-US" w:eastAsia="zh-CN" w:bidi="ar-SA"/>
        </w:rPr>
        <w:t>程中产生的危害，包括有害尘毒、火灾爆炸事故、机械伤害、噪声振动、触电事故、坠落及碰撞等各种因素。</w:t>
      </w:r>
    </w:p>
    <w:p w14:paraId="49C0E38A">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2）自然危害因素及其防范措施</w:t>
      </w:r>
    </w:p>
    <w:p w14:paraId="44995EB7">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防暑防寒</w:t>
      </w:r>
    </w:p>
    <w:p w14:paraId="6F003FC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当环境温度超过或低于一定范围时，会对人体产生不良影响。为防暑热，在所有</w:t>
      </w:r>
      <w:r>
        <w:rPr>
          <w:rFonts w:hint="eastAsia" w:ascii="仿宋_GB2312" w:hAnsi="仿宋_GB2312" w:eastAsia="仿宋_GB2312" w:cs="仿宋_GB2312"/>
          <w:b w:val="0"/>
          <w:bCs w:val="0"/>
          <w:caps w:val="0"/>
          <w:smallCaps w:val="0"/>
          <w:color w:val="auto"/>
          <w:spacing w:val="0"/>
          <w:lang w:val="en-US" w:eastAsia="zh-CN"/>
        </w:rPr>
        <w:t>控制室和办公设施内采用分体式空调机进行舒适性空气调节。以改善职工的工作环境。</w:t>
      </w:r>
    </w:p>
    <w:p w14:paraId="26C27CD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防雷击</w:t>
      </w:r>
    </w:p>
    <w:p w14:paraId="6724A59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建筑物防雷按三类考虑。</w:t>
      </w:r>
    </w:p>
    <w:p w14:paraId="28660F2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采用屋顶钢筋焊接成网，形成避雷网；烟囱安装避雷针，沿爬梯装设两根引下线，接地电阻不大于10Ω；防雷接地、工作保护接地、变压器接地共用一套接地系统，接地电阻不大于4Ω。</w:t>
      </w:r>
    </w:p>
    <w:p w14:paraId="3C09820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防洪</w:t>
      </w:r>
    </w:p>
    <w:p w14:paraId="53F23DC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本厂防洪标准按50年重现期考虑。为了防止内涝，及时排除雨水，避免积水毁坏设备、厂房，在厂区内设雨水排除系统。</w:t>
      </w:r>
    </w:p>
    <w:p w14:paraId="1063521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防震</w:t>
      </w:r>
    </w:p>
    <w:p w14:paraId="37EAA75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地震对建筑物的破坏作用明显，作用范围大，进而威胁设备和人员的安全，但是，地震一般出现的概率较小。本工程所在区域地震基本烈度为6度。设计中应采取相应的抗震构造措施。</w:t>
      </w:r>
    </w:p>
    <w:p w14:paraId="3A7F6ED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3）生产危害因素及其防范措施</w:t>
      </w:r>
    </w:p>
    <w:p w14:paraId="2310A0C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高温辐射</w:t>
      </w:r>
    </w:p>
    <w:p w14:paraId="7832BF6A">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val="0"/>
          <w:bCs w:val="0"/>
          <w:caps w:val="0"/>
          <w:smallCaps w:val="0"/>
          <w:color w:val="auto"/>
          <w:spacing w:val="0"/>
          <w:lang w:val="en-US" w:eastAsia="zh-CN"/>
        </w:rPr>
        <w:t>当工作场所的高</w:t>
      </w:r>
      <w:r>
        <w:rPr>
          <w:rFonts w:hint="eastAsia" w:ascii="仿宋_GB2312" w:hAnsi="仿宋_GB2312" w:eastAsia="仿宋_GB2312" w:cs="仿宋_GB2312"/>
          <w:color w:val="auto"/>
          <w:spacing w:val="0"/>
          <w:kern w:val="2"/>
          <w:sz w:val="32"/>
          <w:szCs w:val="32"/>
          <w:highlight w:val="none"/>
          <w:lang w:val="en-US" w:eastAsia="zh-CN" w:bidi="ar-SA"/>
        </w:rPr>
        <w:t>温辐射强度大于4.2J/m2.min时，可使人体过热，产生一系列生理功能变化，使人体体温调节失去平衡，水盐代谢出现紊乱，消化及神经系统受到影响，表现为注意力不集中、动作协调性、准确性差，极易发生事故。</w:t>
      </w:r>
    </w:p>
    <w:p w14:paraId="34F10D74">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振动与噪声</w:t>
      </w:r>
    </w:p>
    <w:p w14:paraId="1D502AFA">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振动能使人体患振动病，主要表现在头晕、乏力、睡眠障碍、心悸、出冷汗等。</w:t>
      </w:r>
    </w:p>
    <w:p w14:paraId="3AFA0FCD">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噪声除损害听觉器官外，对神经系统、心血管系统亦有不良影响。长时间接触，能使人头痛头晕，易疲劳，记忆力减退，使冠心病患者发病率增多。</w:t>
      </w:r>
    </w:p>
    <w:p w14:paraId="73705A90">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火灾爆炸</w:t>
      </w:r>
    </w:p>
    <w:p w14:paraId="188BEF81">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火灾是一种剧烈燃烧现象，当燃烧失去控制时，便形成火灾事故，火灾事故能造成较大的人员及财产损失。</w:t>
      </w:r>
    </w:p>
    <w:p w14:paraId="330BA83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爆炸同火灾一样，</w:t>
      </w:r>
      <w:r>
        <w:rPr>
          <w:rFonts w:hint="eastAsia" w:ascii="仿宋_GB2312" w:hAnsi="仿宋_GB2312" w:eastAsia="仿宋_GB2312" w:cs="仿宋_GB2312"/>
          <w:b w:val="0"/>
          <w:bCs w:val="0"/>
          <w:caps w:val="0"/>
          <w:smallCaps w:val="0"/>
          <w:color w:val="auto"/>
          <w:spacing w:val="0"/>
          <w:lang w:val="en-US" w:eastAsia="zh-CN"/>
        </w:rPr>
        <w:t>能造成较大的人员伤亡及财产损失。</w:t>
      </w:r>
    </w:p>
    <w:p w14:paraId="211041B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其他安全事故</w:t>
      </w:r>
    </w:p>
    <w:p w14:paraId="4FE98CC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压力容器的事故可能造成设备损失，危及人身安全。</w:t>
      </w:r>
    </w:p>
    <w:p w14:paraId="7FDB8C2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此外，触电、碰撞、坠落、机械伤害等事故均对人身形成伤害，严重时可造成人员死亡。</w:t>
      </w:r>
    </w:p>
    <w:p w14:paraId="619474C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4）其他安全防范措施</w:t>
      </w:r>
    </w:p>
    <w:p w14:paraId="74CB9F5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抗震</w:t>
      </w:r>
    </w:p>
    <w:p w14:paraId="6BAC3D5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结构设计过程中进行抗震设计。</w:t>
      </w:r>
    </w:p>
    <w:p w14:paraId="23E781B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抗洪</w:t>
      </w:r>
    </w:p>
    <w:p w14:paraId="6AD82C2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本工程设计中为了防止内涝，及时排出雨水，避免积水毁坏设备、厂房，在厂区内设有场地雨水排除系统。</w:t>
      </w:r>
    </w:p>
    <w:p w14:paraId="59D2B53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防雷</w:t>
      </w:r>
    </w:p>
    <w:p w14:paraId="08BCF5E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设计已采用避雷或防雷措施。</w:t>
      </w:r>
    </w:p>
    <w:p w14:paraId="0A99FD0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防不良地质</w:t>
      </w:r>
    </w:p>
    <w:p w14:paraId="487298C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厂区地质资料表明：厂区及其周围地区无影响稳定性的活动断裂，无不良地质存在。</w:t>
      </w:r>
    </w:p>
    <w:p w14:paraId="2B54EB4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防暑</w:t>
      </w:r>
    </w:p>
    <w:p w14:paraId="05DC41E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为防范暑热，采取以下防暑降温措施：在生产厂房采取自然通风或机械通风等通风换气措施，中央控制室、办公室等设置空调系统。</w:t>
      </w:r>
    </w:p>
    <w:p w14:paraId="3F16841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减振降噪</w:t>
      </w:r>
    </w:p>
    <w:p w14:paraId="38CB2A2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拟采用低噪声设备、密封、隔音和吸音等措施来降低噪声。</w:t>
      </w:r>
    </w:p>
    <w:p w14:paraId="4808859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强振设备与管道间采用柔性连接方式，防止振动造成危害。</w:t>
      </w:r>
    </w:p>
    <w:p w14:paraId="35AEFA3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经采取上述措施后，对于操作人员每天接触噪声8小时场所，噪声级均可低于85dB(A)，车间办公室、休息室等室内噪声级均小于70dB(A)，对于操作工作接触噪声不足8小时的场所及其他作业地点的噪声均满足《工业企业噪声控制设计规范》中的标准要求。</w:t>
      </w:r>
    </w:p>
    <w:p w14:paraId="6CD49D7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防火</w:t>
      </w:r>
    </w:p>
    <w:p w14:paraId="4586380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在总平面布置中，各生产区域、装置及建筑物的布置均留有足够的防火安全间距，道路设计则满足消防车对弯道的要求。</w:t>
      </w:r>
    </w:p>
    <w:p w14:paraId="6970768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电气安全设计</w:t>
      </w:r>
    </w:p>
    <w:p w14:paraId="6A4647F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电力供应是工程运行的生命线，本工程电气设计采取以下安全措施：</w:t>
      </w:r>
    </w:p>
    <w:p w14:paraId="323A317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高压配电装置</w:t>
      </w:r>
    </w:p>
    <w:p w14:paraId="53DF78C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10kV配电装置，设专职值班人员负责运行和维护，巡视检查工作不可少于二人。</w:t>
      </w:r>
    </w:p>
    <w:p w14:paraId="49571F3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每半年应进行一次停电检修和清扫，严禁带电作业，在检修电气设备前必须切断电源，并在电源开关上挂“禁止合闸有人工作”的警告牌，警告牌挂取应有专人负责。</w:t>
      </w:r>
    </w:p>
    <w:p w14:paraId="32AEB77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隔离开关每季检查一次，支持瓷瓶应无裂纹及放电现象，接线柱和螺栓无松动，刀片无变形，接触严密。</w:t>
      </w:r>
    </w:p>
    <w:p w14:paraId="09F48AE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避雷装置在雷雨季节到来前进行一次预防性试验，并测量其接地电阻值，雷电过后应检查避雷器的瓷瓶、连接线和接地线是否完好。</w:t>
      </w:r>
    </w:p>
    <w:p w14:paraId="4163546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低压配电装置</w:t>
      </w:r>
    </w:p>
    <w:p w14:paraId="37089F4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低压电气设备和器材的绝缘电阻不得低于0.5MΩ，维护人员应定期用摇表检查，不符合要求应及时更换。</w:t>
      </w:r>
    </w:p>
    <w:p w14:paraId="15F347A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电力电缆</w:t>
      </w:r>
    </w:p>
    <w:p w14:paraId="5B7BBFB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厂内配电网络，全部采取电力电缆，网络敷设方式采取电缆沟、电缆桥架和直埋三种敷设方式。</w:t>
      </w:r>
    </w:p>
    <w:p w14:paraId="6E56590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为防止电缆火灾蔓延，在电缆设施的重要部位，采取设防火门或防火隔墙、电缆表面刷涂防火涂料，电缆通过的孔洞用耐火材料封堵等措施。</w:t>
      </w:r>
    </w:p>
    <w:p w14:paraId="2CEEFD0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严防触电，保证人身安全</w:t>
      </w:r>
    </w:p>
    <w:p w14:paraId="68CBA82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全厂设接地网，将接地装置全部连接成整体，接地装置的接地电阻小于4Ω，并与自然接地体连接，接地保护和接零保护与接地网连接，电气设备每个接地点以单独的接地线与接地干线相连接。</w:t>
      </w:r>
    </w:p>
    <w:p w14:paraId="0F0C6DD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10kV开关柜全部采用五防功能，0.4kV配电柜全部采用开关与门联锁，不停电打不开柜门，不关柜门合不上闸，防止人员误操作触电。</w:t>
      </w:r>
    </w:p>
    <w:p w14:paraId="14430F1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配电装置防护级为IP4X以上，全部为封闭式，操作人员无任何机会触及带电导体，以确保人身安全。</w:t>
      </w:r>
    </w:p>
    <w:p w14:paraId="0CB8F7B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配电装置操作面板前地板铺绝缘橡胶板，操作人员戴绝缘手套，穿绝缘胶靴。</w:t>
      </w:r>
    </w:p>
    <w:p w14:paraId="2947F8B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其他</w:t>
      </w:r>
    </w:p>
    <w:p w14:paraId="73A0D36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1kV以上正常不带电的设备金属外壳设接地保护；0.5kV以下的设备金属外壳作接零保护；设备设置漏电保护装置。</w:t>
      </w:r>
    </w:p>
    <w:p w14:paraId="0971E5B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为了防止机械伤害及坠落事故的发生，生产场所梯子、平台及高处均设置安全栏杆，栏杆的高度和强度符合国家劳动保护规定；</w:t>
      </w:r>
    </w:p>
    <w:p w14:paraId="6E2C0BE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设备的可动部件设置必要的安全防护网、罩；地沟、水井设置盖板；有危险的吊装口、安装孔等处设安全围栏；在有危险性的场所设置相应的安全标志及事故照明设施。</w:t>
      </w:r>
    </w:p>
    <w:p w14:paraId="6C12B2C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机械设备和电气设备的布置留有足够的安全操作距离和空间。</w:t>
      </w:r>
    </w:p>
    <w:p w14:paraId="385272B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起吊提升设备的选型、生产制造、安装和使用应严格按劳动部门的规定执行，使用前必须报当地劳动主管部门，做到：合格设计，定点制造，具有安装合格证的队伍安装，劳动部门核发许可证后使用。</w:t>
      </w:r>
    </w:p>
    <w:p w14:paraId="4C30A69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设计要求本工程在运行前制定相应的安全法规，操作人员上岗前必须进行必要的专门技术培训，以确保建筑垃圾处理设备正常、安全运转。</w:t>
      </w:r>
    </w:p>
    <w:p w14:paraId="1D7BAA03">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bookmarkStart w:id="324" w:name="_Toc18218"/>
      <w:bookmarkStart w:id="325" w:name="_Toc1344"/>
      <w:bookmarkStart w:id="326" w:name="_Toc22923"/>
      <w:r>
        <w:rPr>
          <w:rFonts w:hint="eastAsia" w:ascii="仿宋_GB2312" w:hAnsi="仿宋_GB2312" w:eastAsia="仿宋_GB2312" w:cs="仿宋_GB2312"/>
          <w:b w:val="0"/>
          <w:bCs w:val="0"/>
          <w:caps w:val="0"/>
          <w:smallCaps w:val="0"/>
          <w:color w:val="auto"/>
          <w:spacing w:val="0"/>
          <w:kern w:val="2"/>
          <w:sz w:val="32"/>
          <w:szCs w:val="32"/>
          <w:lang w:val="en-US" w:eastAsia="zh-CN" w:bidi="ar-SA"/>
        </w:rPr>
        <w:t>（2）</w:t>
      </w:r>
      <w:r>
        <w:rPr>
          <w:rFonts w:hint="eastAsia" w:ascii="仿宋_GB2312" w:hAnsi="仿宋_GB2312" w:eastAsia="仿宋_GB2312" w:cs="仿宋_GB2312"/>
          <w:b w:val="0"/>
          <w:bCs w:val="0"/>
          <w:caps w:val="0"/>
          <w:smallCaps w:val="0"/>
          <w:color w:val="auto"/>
          <w:spacing w:val="0"/>
          <w:lang w:val="en-US" w:eastAsia="zh-CN"/>
        </w:rPr>
        <w:t>劳动卫生措施</w:t>
      </w:r>
      <w:bookmarkEnd w:id="324"/>
      <w:bookmarkEnd w:id="325"/>
      <w:bookmarkEnd w:id="326"/>
    </w:p>
    <w:p w14:paraId="6FF78C1B">
      <w:pPr>
        <w:pStyle w:val="40"/>
        <w:bidi w:val="0"/>
        <w:rPr>
          <w:rFonts w:hint="eastAsia" w:ascii="仿宋_GB2312" w:hAnsi="仿宋_GB2312" w:eastAsia="仿宋_GB2312" w:cs="仿宋_GB2312"/>
          <w:b w:val="0"/>
          <w:bCs w:val="0"/>
          <w:caps w:val="0"/>
          <w:smallCaps w:val="0"/>
          <w:color w:val="auto"/>
          <w:spacing w:val="0"/>
          <w:lang w:val="en-US" w:eastAsia="zh-CN"/>
        </w:rPr>
      </w:pPr>
      <w:bookmarkStart w:id="327" w:name="_Toc15312"/>
      <w:bookmarkStart w:id="328" w:name="_Toc2739"/>
      <w:bookmarkStart w:id="329" w:name="_Toc17326"/>
      <w:r>
        <w:rPr>
          <w:rFonts w:hint="eastAsia" w:ascii="仿宋_GB2312" w:hAnsi="仿宋_GB2312" w:eastAsia="仿宋_GB2312" w:cs="仿宋_GB2312"/>
          <w:b w:val="0"/>
          <w:bCs w:val="0"/>
          <w:caps w:val="0"/>
          <w:smallCaps w:val="0"/>
          <w:color w:val="auto"/>
          <w:spacing w:val="0"/>
          <w:lang w:val="en-US" w:eastAsia="zh-CN"/>
        </w:rPr>
        <w:t>1）安全卫生机构</w:t>
      </w:r>
      <w:bookmarkEnd w:id="327"/>
      <w:bookmarkEnd w:id="328"/>
      <w:bookmarkEnd w:id="329"/>
    </w:p>
    <w:p w14:paraId="4D809E0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为了满足安全及卫生的需要，本工程拟设立相应的安全卫生机构，并配备专职与兼职的安全卫生设施维修、保养、日常监测检验人员与监督管理人员，负责厂区的安全卫生工作；设置环境监测室，定期对主厂房各生产车间及厂区内的粉尘及有害物质进行采样，提出化验报告；设立医务室，解决职工常见病的医治和工伤事故的临时处置。</w:t>
      </w:r>
    </w:p>
    <w:p w14:paraId="1BCFA931">
      <w:pPr>
        <w:pStyle w:val="40"/>
        <w:bidi w:val="0"/>
        <w:rPr>
          <w:rFonts w:hint="eastAsia" w:ascii="仿宋_GB2312" w:hAnsi="仿宋_GB2312" w:eastAsia="仿宋_GB2312" w:cs="仿宋_GB2312"/>
          <w:b w:val="0"/>
          <w:bCs w:val="0"/>
          <w:caps w:val="0"/>
          <w:smallCaps w:val="0"/>
          <w:color w:val="auto"/>
          <w:spacing w:val="0"/>
          <w:lang w:val="en-US" w:eastAsia="zh-CN"/>
        </w:rPr>
      </w:pPr>
      <w:bookmarkStart w:id="330" w:name="_Toc26246"/>
      <w:bookmarkStart w:id="331" w:name="_Toc27242"/>
      <w:bookmarkStart w:id="332" w:name="_Toc17033"/>
      <w:r>
        <w:rPr>
          <w:rFonts w:hint="eastAsia" w:ascii="仿宋_GB2312" w:hAnsi="仿宋_GB2312" w:eastAsia="仿宋_GB2312" w:cs="仿宋_GB2312"/>
          <w:b w:val="0"/>
          <w:bCs w:val="0"/>
          <w:caps w:val="0"/>
          <w:smallCaps w:val="0"/>
          <w:color w:val="auto"/>
          <w:spacing w:val="0"/>
          <w:lang w:val="en-US" w:eastAsia="zh-CN"/>
        </w:rPr>
        <w:t>2）应急措施</w:t>
      </w:r>
      <w:bookmarkEnd w:id="330"/>
      <w:bookmarkEnd w:id="331"/>
      <w:bookmarkEnd w:id="332"/>
    </w:p>
    <w:p w14:paraId="31BE922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消防安全等措施已在文本中述及。其他事故应急措施如下：</w:t>
      </w:r>
    </w:p>
    <w:p w14:paraId="0784BB9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停电：某些设备在停电状态下无法正常运营，本项目拟申请两路电源，确保主体设备能够正常运营。</w:t>
      </w:r>
    </w:p>
    <w:p w14:paraId="5A3D36C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进厂道路产生交通阻塞：派专人加强入场道路巡视，发现车辆事故立即进行现场指挥，并通知厂内派车牵引。本工程厂内物流进行合理分流。</w:t>
      </w:r>
    </w:p>
    <w:p w14:paraId="7AFF371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污水池满溢：增加抽吸车的备用配置，并与环卫部门建立经常联系，保证紧急情况下利用环卫部门的吸粪车救急。</w:t>
      </w:r>
    </w:p>
    <w:p w14:paraId="72C4924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厂内H2S等气体浓度超标：设置事故通风预案，事故工况下将容器区排风直接排放。</w:t>
      </w:r>
    </w:p>
    <w:p w14:paraId="7C5A3EA4">
      <w:pPr>
        <w:pStyle w:val="40"/>
        <w:bidi w:val="0"/>
        <w:rPr>
          <w:rFonts w:hint="eastAsia" w:ascii="仿宋_GB2312" w:hAnsi="仿宋_GB2312" w:eastAsia="仿宋_GB2312" w:cs="仿宋_GB2312"/>
          <w:b w:val="0"/>
          <w:bCs w:val="0"/>
          <w:caps w:val="0"/>
          <w:smallCaps w:val="0"/>
          <w:color w:val="auto"/>
          <w:spacing w:val="0"/>
          <w:lang w:val="en-US" w:eastAsia="zh-CN"/>
        </w:rPr>
      </w:pPr>
      <w:bookmarkStart w:id="333" w:name="_Toc31001"/>
      <w:bookmarkStart w:id="334" w:name="_Toc19436"/>
      <w:bookmarkStart w:id="335" w:name="_Toc10928"/>
      <w:r>
        <w:rPr>
          <w:rFonts w:hint="eastAsia" w:ascii="仿宋_GB2312" w:hAnsi="仿宋_GB2312" w:eastAsia="仿宋_GB2312" w:cs="仿宋_GB2312"/>
          <w:b w:val="0"/>
          <w:bCs w:val="0"/>
          <w:caps w:val="0"/>
          <w:smallCaps w:val="0"/>
          <w:color w:val="auto"/>
          <w:spacing w:val="0"/>
          <w:lang w:val="en-US" w:eastAsia="zh-CN"/>
        </w:rPr>
        <w:t>3）预期效果</w:t>
      </w:r>
      <w:bookmarkEnd w:id="333"/>
      <w:bookmarkEnd w:id="334"/>
      <w:bookmarkEnd w:id="335"/>
    </w:p>
    <w:p w14:paraId="254B1AC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生产必须安全，安全促进生产。遵照“安全第一，预防为主”的方针，本工程采用国外进口核心设备和国内安全可靠的设备并致力提高生产过程的机械化、自动化程度，因而大大减少了危害工人健康的因素和不安全隐患。同时针对本工程的特点，对危险源的防范做了周到的设计，并在防火、防人身伤亡事故方面采取了防患于未然的、积极的措施。可以预见，本工程投产后，在取得环保效益，社会效益，经济效益的同时，也保障了工人在生产过程中的劳动安全卫生。</w:t>
      </w:r>
    </w:p>
    <w:p w14:paraId="50D268DC">
      <w:pPr>
        <w:pStyle w:val="40"/>
        <w:bidi w:val="0"/>
        <w:rPr>
          <w:rFonts w:hint="eastAsia" w:ascii="仿宋_GB2312" w:hAnsi="仿宋_GB2312" w:eastAsia="仿宋_GB2312" w:cs="仿宋_GB2312"/>
          <w:b w:val="0"/>
          <w:bCs w:val="0"/>
          <w:caps w:val="0"/>
          <w:smallCaps w:val="0"/>
          <w:color w:val="auto"/>
          <w:spacing w:val="0"/>
          <w:lang w:val="en-US" w:eastAsia="zh-CN"/>
        </w:rPr>
      </w:pPr>
      <w:bookmarkStart w:id="336" w:name="_Toc13165"/>
      <w:bookmarkStart w:id="337" w:name="_Toc28247"/>
      <w:bookmarkStart w:id="338" w:name="_Toc29419"/>
      <w:bookmarkStart w:id="339" w:name="_Toc15938"/>
      <w:r>
        <w:rPr>
          <w:rFonts w:hint="eastAsia" w:ascii="仿宋_GB2312" w:hAnsi="仿宋_GB2312" w:eastAsia="仿宋_GB2312" w:cs="仿宋_GB2312"/>
          <w:b w:val="0"/>
          <w:bCs w:val="0"/>
          <w:caps w:val="0"/>
          <w:smallCaps w:val="0"/>
          <w:color w:val="auto"/>
          <w:spacing w:val="0"/>
          <w:lang w:val="en-US" w:eastAsia="zh-CN"/>
        </w:rPr>
        <w:t>4）绩效管理方案</w:t>
      </w:r>
      <w:bookmarkEnd w:id="336"/>
      <w:bookmarkEnd w:id="337"/>
      <w:bookmarkEnd w:id="338"/>
      <w:bookmarkEnd w:id="339"/>
    </w:p>
    <w:p w14:paraId="0834F02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基本目标</w:t>
      </w:r>
    </w:p>
    <w:p w14:paraId="5C1A40D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通过安全绩效管理系统实施安全目标管理，保证全年安全目标的实现，提高整体运作能力与核心竞争力。</w:t>
      </w:r>
    </w:p>
    <w:p w14:paraId="4F9C999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通过安全绩效管理帮助各单位提高安全工作绩效，为以后员工胜任力的提高打下基础，建立适应企业发展战略的队伍。</w:t>
      </w:r>
    </w:p>
    <w:p w14:paraId="5ED4FF3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在安全绩效管理过程中，促进考核与被考核之间的沟通与交流，形成开放、积极参与、主动沟通的企业文化，增强企业的凝聚力。</w:t>
      </w:r>
    </w:p>
    <w:p w14:paraId="03DF9D2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基本原则</w:t>
      </w:r>
    </w:p>
    <w:p w14:paraId="52C2B94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公开性原则：安全绩效考核指标的制定，要坚持公开、公正的原则，考核者与被考核者要就指标、目标的确定、考核的程序等进行充分的沟通，并达成一致，使安全绩效管理考核有透明度。</w:t>
      </w:r>
    </w:p>
    <w:p w14:paraId="6D3F693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客观性原则：安全绩效管理要做到以事实为依据，对被考核单位的任何评价都应有事实根据，避免主观臆断和个人感情色彩。</w:t>
      </w:r>
    </w:p>
    <w:p w14:paraId="1A3FF8F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开放沟通原则：在整个安全绩效管理过程中，考核与被考核单位要开诚布公地进行沟通与交流，考核评估结果要及时反馈给被考核评估单位，肯定成绩，指出不足，并提出今后应努力和改进方向，发现问题或多或少有不同意见，应及时进行沟通。</w:t>
      </w:r>
    </w:p>
    <w:p w14:paraId="0BCB980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常规性原则：安全绩效管理是各级管理者的日常工作职责，对被考核单位作出正确的考核评估是考核单位领导重要的管理工作内容，安全绩效管理工作必须成为常规性的管理工作。</w:t>
      </w:r>
    </w:p>
    <w:p w14:paraId="4D81D4A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发展性原则：安全绩效管理通过约束与竞争促进团队的发展，考核单位与被考核单位均要以提高安全和高绩效为首要目标。</w:t>
      </w:r>
    </w:p>
    <w:p w14:paraId="637022E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安全考核评估时间和频率</w:t>
      </w:r>
    </w:p>
    <w:p w14:paraId="1DCB899B">
      <w:pPr>
        <w:pStyle w:val="40"/>
        <w:bidi w:val="0"/>
        <w:rPr>
          <w:rFonts w:hint="eastAsia"/>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各部门、各单位安全绩效考核频率为每年进行一次，一年为一周期，年末进行汇总得分。</w:t>
      </w:r>
    </w:p>
    <w:p w14:paraId="3D3588DA">
      <w:pPr>
        <w:pStyle w:val="40"/>
        <w:bidi w:val="0"/>
        <w:rPr>
          <w:rFonts w:hint="default" w:ascii="黑体" w:hAnsi="黑体" w:eastAsia="黑体" w:cs="黑体"/>
          <w:b w:val="0"/>
          <w:bCs w:val="0"/>
          <w:caps w:val="0"/>
          <w:smallCaps w:val="0"/>
          <w:color w:val="auto"/>
          <w:spacing w:val="0"/>
          <w:lang w:val="en-US" w:eastAsia="zh-CN"/>
        </w:rPr>
      </w:pPr>
      <w:bookmarkStart w:id="340" w:name="_Toc23945"/>
      <w:bookmarkStart w:id="341" w:name="_Toc2440"/>
      <w:bookmarkStart w:id="342" w:name="_Toc5675"/>
      <w:r>
        <w:rPr>
          <w:rFonts w:hint="eastAsia" w:ascii="黑体" w:hAnsi="黑体" w:eastAsia="黑体" w:cs="黑体"/>
          <w:b w:val="0"/>
          <w:bCs w:val="0"/>
          <w:caps w:val="0"/>
          <w:smallCaps w:val="0"/>
          <w:color w:val="auto"/>
          <w:spacing w:val="0"/>
          <w:lang w:val="en-US" w:eastAsia="zh-CN"/>
        </w:rPr>
        <w:t>三、</w:t>
      </w:r>
      <w:r>
        <w:rPr>
          <w:rFonts w:hint="default" w:ascii="黑体" w:hAnsi="黑体" w:eastAsia="黑体" w:cs="黑体"/>
          <w:b w:val="0"/>
          <w:bCs w:val="0"/>
          <w:caps w:val="0"/>
          <w:smallCaps w:val="0"/>
          <w:color w:val="auto"/>
          <w:spacing w:val="0"/>
          <w:lang w:val="en-US" w:eastAsia="zh-CN"/>
        </w:rPr>
        <w:t>非正规建筑垃圾堆放点治理</w:t>
      </w:r>
      <w:bookmarkEnd w:id="291"/>
      <w:bookmarkEnd w:id="340"/>
      <w:bookmarkEnd w:id="341"/>
      <w:bookmarkEnd w:id="342"/>
    </w:p>
    <w:p w14:paraId="123D651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目前我国建筑垃圾堆放地的选址在很大程度上具有随意性，留下了不少安全隐患。施工场地附近多成为建筑垃圾的临时堆放场所，由于开发商只图建筑施工方便和缺乏应有的防护措施，在外界因素的影响下，建筑垃圾堆出现崩塌，阻碍道路甚至冲向其他建筑物的现象时有发生。在郊区，坑塘沟渠多是建筑垃圾的首选堆放地，不仅降低了对水体的调蓄能力，也导致地表排水和泄洪能力的降低。</w:t>
      </w:r>
    </w:p>
    <w:p w14:paraId="23ED56B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由于建筑垃圾中也含有少量易燃物，因此容易引发火灾，导致灾害的可能性较大。因此建筑垃圾随意堆放不仅直接造成对土壤、水质、空气等的污染，同时也存在隐性的安全隐患。非正规建筑垃圾堆放点治理是一项重要的工作，需要政府部门、社会各界和广大居民的共同努力。通过科学有效的治理措施，改善环境质量，为居民创造一个更加美好的生活空间。</w:t>
      </w:r>
    </w:p>
    <w:p w14:paraId="29C6CAC4">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343" w:name="_Toc23670"/>
      <w:bookmarkStart w:id="344" w:name="_Toc27230"/>
      <w:r>
        <w:rPr>
          <w:rFonts w:hint="eastAsia" w:ascii="楷体_GB2312" w:hAnsi="楷体_GB2312" w:eastAsia="楷体_GB2312" w:cs="楷体_GB2312"/>
          <w:b w:val="0"/>
          <w:bCs w:val="0"/>
          <w:caps w:val="0"/>
          <w:smallCaps w:val="0"/>
          <w:color w:val="auto"/>
          <w:spacing w:val="0"/>
          <w:sz w:val="32"/>
          <w:szCs w:val="28"/>
          <w:lang w:val="en-US" w:eastAsia="zh-CN"/>
        </w:rPr>
        <w:t>1．</w:t>
      </w:r>
      <w:r>
        <w:rPr>
          <w:rFonts w:hint="default" w:ascii="楷体_GB2312" w:hAnsi="楷体_GB2312" w:eastAsia="楷体_GB2312" w:cs="楷体_GB2312"/>
          <w:b w:val="0"/>
          <w:bCs w:val="0"/>
          <w:caps w:val="0"/>
          <w:smallCaps w:val="0"/>
          <w:color w:val="auto"/>
          <w:spacing w:val="0"/>
          <w:sz w:val="32"/>
          <w:szCs w:val="28"/>
          <w:lang w:val="en-US" w:eastAsia="zh-CN"/>
        </w:rPr>
        <w:t>治理对象</w:t>
      </w:r>
      <w:bookmarkEnd w:id="343"/>
      <w:bookmarkEnd w:id="344"/>
    </w:p>
    <w:p w14:paraId="6270DF5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集贤县建筑垃圾来源主要有主体结构工程施工和内外装饰装修施工，种类有钢筋、不锈钢、混凝土块、砖块及装修垃圾，如陶瓷、玻璃、木材、塑料、石膏、涂料、大理石、保温板等。</w:t>
      </w:r>
    </w:p>
    <w:p w14:paraId="54640AC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通过这样的规划安排，逐步解决非正规堆存问题，实现环境的改善和可持续发展。</w:t>
      </w:r>
    </w:p>
    <w:p w14:paraId="666B994A">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345" w:name="_Toc10718"/>
      <w:bookmarkStart w:id="346" w:name="_Toc419"/>
      <w:r>
        <w:rPr>
          <w:rFonts w:hint="eastAsia" w:ascii="楷体_GB2312" w:hAnsi="楷体_GB2312" w:eastAsia="楷体_GB2312" w:cs="楷体_GB2312"/>
          <w:b w:val="0"/>
          <w:bCs w:val="0"/>
          <w:caps w:val="0"/>
          <w:smallCaps w:val="0"/>
          <w:color w:val="auto"/>
          <w:spacing w:val="0"/>
          <w:sz w:val="32"/>
          <w:szCs w:val="28"/>
          <w:lang w:val="en-US" w:eastAsia="zh-CN"/>
        </w:rPr>
        <w:t>2．</w:t>
      </w:r>
      <w:r>
        <w:rPr>
          <w:rFonts w:hint="default" w:ascii="楷体_GB2312" w:hAnsi="楷体_GB2312" w:eastAsia="楷体_GB2312" w:cs="楷体_GB2312"/>
          <w:b w:val="0"/>
          <w:bCs w:val="0"/>
          <w:caps w:val="0"/>
          <w:smallCaps w:val="0"/>
          <w:color w:val="auto"/>
          <w:spacing w:val="0"/>
          <w:sz w:val="32"/>
          <w:szCs w:val="28"/>
          <w:lang w:val="en-US" w:eastAsia="zh-CN"/>
        </w:rPr>
        <w:t>治理主体</w:t>
      </w:r>
      <w:bookmarkEnd w:id="345"/>
      <w:bookmarkEnd w:id="346"/>
    </w:p>
    <w:p w14:paraId="4EEDA291">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kern w:val="2"/>
          <w:sz w:val="32"/>
          <w:szCs w:val="32"/>
          <w:lang w:val="en-US" w:eastAsia="zh-CN" w:bidi="ar-SA"/>
        </w:rPr>
        <w:t>（1）</w:t>
      </w:r>
      <w:r>
        <w:rPr>
          <w:rFonts w:hint="eastAsia" w:ascii="仿宋_GB2312" w:hAnsi="仿宋_GB2312" w:eastAsia="仿宋_GB2312" w:cs="仿宋_GB2312"/>
          <w:b w:val="0"/>
          <w:bCs w:val="0"/>
          <w:caps w:val="0"/>
          <w:smallCaps w:val="0"/>
          <w:color w:val="auto"/>
          <w:spacing w:val="0"/>
          <w:lang w:val="en-US" w:eastAsia="zh-CN"/>
        </w:rPr>
        <w:t>政府部门</w:t>
      </w:r>
    </w:p>
    <w:p w14:paraId="5FD322F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政府部门作为治理的主导力量，应承担起统筹规划和协调各方的重要职责。他们需要制定详细的治理政策和方案，明确治理目标和任务，并投入相应的人力、物力和财力资源。同时，政府部门还应建立健全监督机制，确保治理工作的顺利进行和有效落实。</w:t>
      </w:r>
    </w:p>
    <w:p w14:paraId="46A567E9">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kern w:val="2"/>
          <w:sz w:val="32"/>
          <w:szCs w:val="32"/>
          <w:lang w:val="en-US" w:eastAsia="zh-CN" w:bidi="ar-SA"/>
        </w:rPr>
        <w:t>（2）</w:t>
      </w:r>
      <w:r>
        <w:rPr>
          <w:rFonts w:hint="eastAsia" w:ascii="仿宋_GB2312" w:hAnsi="仿宋_GB2312" w:eastAsia="仿宋_GB2312" w:cs="仿宋_GB2312"/>
          <w:b w:val="0"/>
          <w:bCs w:val="0"/>
          <w:caps w:val="0"/>
          <w:smallCaps w:val="0"/>
          <w:color w:val="auto"/>
          <w:spacing w:val="0"/>
          <w:lang w:val="en-US" w:eastAsia="zh-CN"/>
        </w:rPr>
        <w:t>环保部门</w:t>
      </w:r>
    </w:p>
    <w:p w14:paraId="79290AC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环保部门在治理过程中起着关键的监督和指导作用。他们要对治理过程中的环境影响进行评估和监测，确保各项治理措施符合环保要求。环保部门还应加强对建筑垃圾处理企业的监管，督促其规范运营，减少环境污染。</w:t>
      </w:r>
    </w:p>
    <w:p w14:paraId="5BBB8535">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kern w:val="2"/>
          <w:sz w:val="32"/>
          <w:szCs w:val="32"/>
          <w:lang w:val="en-US" w:eastAsia="zh-CN" w:bidi="ar-SA"/>
        </w:rPr>
        <w:t>（3）</w:t>
      </w:r>
      <w:r>
        <w:rPr>
          <w:rFonts w:hint="eastAsia" w:ascii="仿宋_GB2312" w:hAnsi="仿宋_GB2312" w:eastAsia="仿宋_GB2312" w:cs="仿宋_GB2312"/>
          <w:b w:val="0"/>
          <w:bCs w:val="0"/>
          <w:caps w:val="0"/>
          <w:smallCaps w:val="0"/>
          <w:color w:val="auto"/>
          <w:spacing w:val="0"/>
          <w:lang w:val="en-US" w:eastAsia="zh-CN"/>
        </w:rPr>
        <w:t>城市管理部门</w:t>
      </w:r>
    </w:p>
    <w:p w14:paraId="48ED024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城市管理部门具体负责治理工作的实施。他们需要组织专业的清理队伍，对非正规建筑垃圾堆放点进行清理和转运。同时，城市管理部门还要与相关部门密切配合，协调解决治理过程中遇到的各种问题。</w:t>
      </w:r>
    </w:p>
    <w:p w14:paraId="7494BD77">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kern w:val="2"/>
          <w:sz w:val="32"/>
          <w:szCs w:val="32"/>
          <w:lang w:val="en-US" w:eastAsia="zh-CN" w:bidi="ar-SA"/>
        </w:rPr>
        <w:t>（4）</w:t>
      </w:r>
      <w:r>
        <w:rPr>
          <w:rFonts w:hint="eastAsia" w:ascii="仿宋_GB2312" w:hAnsi="仿宋_GB2312" w:eastAsia="仿宋_GB2312" w:cs="仿宋_GB2312"/>
          <w:b w:val="0"/>
          <w:bCs w:val="0"/>
          <w:caps w:val="0"/>
          <w:smallCaps w:val="0"/>
          <w:color w:val="auto"/>
          <w:spacing w:val="0"/>
          <w:lang w:val="en-US" w:eastAsia="zh-CN"/>
        </w:rPr>
        <w:t>社区组织</w:t>
      </w:r>
    </w:p>
    <w:p w14:paraId="5126FBA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社区组织是联系政府和居民的桥梁和纽带。他们可以协助政府部门开展宣传教育工作，增强居民的环保意识，引导居民自觉参与到建筑垃圾治理中来。社区组织还可以及时反馈居民的意见和建议，促进治理工作的不断完善。</w:t>
      </w:r>
    </w:p>
    <w:p w14:paraId="17F1CFC9">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347" w:name="_Toc31151"/>
      <w:bookmarkStart w:id="348" w:name="_Toc7940"/>
      <w:r>
        <w:rPr>
          <w:rFonts w:hint="eastAsia" w:ascii="楷体_GB2312" w:hAnsi="楷体_GB2312" w:eastAsia="楷体_GB2312" w:cs="楷体_GB2312"/>
          <w:b w:val="0"/>
          <w:bCs w:val="0"/>
          <w:caps w:val="0"/>
          <w:smallCaps w:val="0"/>
          <w:color w:val="auto"/>
          <w:spacing w:val="0"/>
          <w:sz w:val="32"/>
          <w:szCs w:val="28"/>
          <w:lang w:val="en-US" w:eastAsia="zh-CN"/>
        </w:rPr>
        <w:t>3．</w:t>
      </w:r>
      <w:r>
        <w:rPr>
          <w:rFonts w:hint="default" w:ascii="楷体_GB2312" w:hAnsi="楷体_GB2312" w:eastAsia="楷体_GB2312" w:cs="楷体_GB2312"/>
          <w:b w:val="0"/>
          <w:bCs w:val="0"/>
          <w:caps w:val="0"/>
          <w:smallCaps w:val="0"/>
          <w:color w:val="auto"/>
          <w:spacing w:val="0"/>
          <w:sz w:val="32"/>
          <w:szCs w:val="28"/>
          <w:lang w:val="en-US" w:eastAsia="zh-CN"/>
        </w:rPr>
        <w:t>治理方式</w:t>
      </w:r>
      <w:bookmarkEnd w:id="347"/>
      <w:bookmarkEnd w:id="348"/>
    </w:p>
    <w:p w14:paraId="31647B96">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kern w:val="2"/>
          <w:sz w:val="32"/>
          <w:szCs w:val="32"/>
          <w:lang w:val="en-US" w:eastAsia="zh-CN" w:bidi="ar-SA"/>
        </w:rPr>
        <w:t>（1）</w:t>
      </w:r>
      <w:r>
        <w:rPr>
          <w:rFonts w:hint="eastAsia" w:ascii="仿宋_GB2312" w:hAnsi="仿宋_GB2312" w:eastAsia="仿宋_GB2312" w:cs="仿宋_GB2312"/>
          <w:b w:val="0"/>
          <w:bCs w:val="0"/>
          <w:caps w:val="0"/>
          <w:smallCaps w:val="0"/>
          <w:color w:val="auto"/>
          <w:spacing w:val="0"/>
          <w:lang w:val="en-US" w:eastAsia="zh-CN"/>
        </w:rPr>
        <w:t>清理转运</w:t>
      </w:r>
    </w:p>
    <w:p w14:paraId="17AA335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对于非正规建筑垃圾堆放点，首先需要进行清理转运。这一过程需要专业的设备和人员，将建筑垃圾从堆放点运走，确保现场环境得到有效清理。在清理转运过程中，要严格按照规定的路线和时间进行运输，避免对城市交通和居民生活造成影响。</w:t>
      </w:r>
    </w:p>
    <w:p w14:paraId="255951F0">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kern w:val="2"/>
          <w:sz w:val="32"/>
          <w:szCs w:val="32"/>
          <w:lang w:val="en-US" w:eastAsia="zh-CN" w:bidi="ar-SA"/>
        </w:rPr>
        <w:t>（2）</w:t>
      </w:r>
      <w:r>
        <w:rPr>
          <w:rFonts w:hint="eastAsia" w:ascii="仿宋_GB2312" w:hAnsi="仿宋_GB2312" w:eastAsia="仿宋_GB2312" w:cs="仿宋_GB2312"/>
          <w:b w:val="0"/>
          <w:bCs w:val="0"/>
          <w:caps w:val="0"/>
          <w:smallCaps w:val="0"/>
          <w:color w:val="auto"/>
          <w:spacing w:val="0"/>
          <w:lang w:val="en-US" w:eastAsia="zh-CN"/>
        </w:rPr>
        <w:t>填埋</w:t>
      </w:r>
    </w:p>
    <w:p w14:paraId="32A1D31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对于无法回收利用的建筑垃圾，可以选择在符合环保要求的地点进行填埋处理。填埋过程中要严格控制填埋深度和填埋量，确保消纳场的安全和稳定。同时，还要对消纳场进行定期监测和维护，防止消纳场对周边环境造成污染。</w:t>
      </w:r>
    </w:p>
    <w:p w14:paraId="572EBDD5">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kern w:val="2"/>
          <w:sz w:val="32"/>
          <w:szCs w:val="32"/>
          <w:lang w:val="en-US" w:eastAsia="zh-CN" w:bidi="ar-SA"/>
        </w:rPr>
        <w:t>（3）</w:t>
      </w:r>
      <w:r>
        <w:rPr>
          <w:rFonts w:hint="eastAsia" w:ascii="仿宋_GB2312" w:hAnsi="仿宋_GB2312" w:eastAsia="仿宋_GB2312" w:cs="仿宋_GB2312"/>
          <w:b w:val="0"/>
          <w:bCs w:val="0"/>
          <w:caps w:val="0"/>
          <w:smallCaps w:val="0"/>
          <w:color w:val="auto"/>
          <w:spacing w:val="0"/>
          <w:lang w:val="en-US" w:eastAsia="zh-CN"/>
        </w:rPr>
        <w:t>资源回收利用</w:t>
      </w:r>
    </w:p>
    <w:p w14:paraId="0704D26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部分建筑垃圾是可以回收利用的，如砖块、混凝土等。通过对这些建筑垃圾进行分类回收，可以减少资源浪费，降低环境污染。资源回收利用需要专业的技术和设备支持，同时还需要建立完善的回收利用体系。</w:t>
      </w:r>
    </w:p>
    <w:p w14:paraId="6FA9BE6D">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349" w:name="_Toc11475"/>
      <w:bookmarkStart w:id="350" w:name="_Toc12931"/>
      <w:r>
        <w:rPr>
          <w:rFonts w:hint="eastAsia" w:ascii="楷体_GB2312" w:hAnsi="楷体_GB2312" w:eastAsia="楷体_GB2312" w:cs="楷体_GB2312"/>
          <w:b w:val="0"/>
          <w:bCs w:val="0"/>
          <w:caps w:val="0"/>
          <w:smallCaps w:val="0"/>
          <w:color w:val="auto"/>
          <w:spacing w:val="0"/>
          <w:sz w:val="32"/>
          <w:szCs w:val="28"/>
          <w:lang w:val="en-US" w:eastAsia="zh-CN"/>
        </w:rPr>
        <w:t>4．</w:t>
      </w:r>
      <w:r>
        <w:rPr>
          <w:rFonts w:hint="default" w:ascii="楷体_GB2312" w:hAnsi="楷体_GB2312" w:eastAsia="楷体_GB2312" w:cs="楷体_GB2312"/>
          <w:b w:val="0"/>
          <w:bCs w:val="0"/>
          <w:caps w:val="0"/>
          <w:smallCaps w:val="0"/>
          <w:color w:val="auto"/>
          <w:spacing w:val="0"/>
          <w:sz w:val="32"/>
          <w:szCs w:val="28"/>
          <w:lang w:val="en-US" w:eastAsia="zh-CN"/>
        </w:rPr>
        <w:t>治理时间</w:t>
      </w:r>
      <w:bookmarkEnd w:id="349"/>
      <w:bookmarkEnd w:id="350"/>
    </w:p>
    <w:p w14:paraId="7E3E0CE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治理工作应尽快启动，制定明确的时间表，确保在规定时间内完成治理任务。在治理时间的安排上，要充分考虑到各种因素的影响，如天气、人力、物力等。同时，还要根据不同区域的实际情况，合理安排治理进度，确保治理工作的高效有序进行。治理时间的确定要具有一定的灵活性，以便根据实际情况进行及时调整。先对集贤县非正规堆存的建筑垃圾进行分类，再分别进行资源化利用或无害化处理。</w:t>
      </w:r>
    </w:p>
    <w:p w14:paraId="11688C42">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351" w:name="_Toc25358"/>
      <w:bookmarkStart w:id="352" w:name="_Toc24075"/>
      <w:r>
        <w:rPr>
          <w:rFonts w:hint="eastAsia" w:ascii="楷体_GB2312" w:hAnsi="楷体_GB2312" w:eastAsia="楷体_GB2312" w:cs="楷体_GB2312"/>
          <w:b w:val="0"/>
          <w:bCs w:val="0"/>
          <w:caps w:val="0"/>
          <w:smallCaps w:val="0"/>
          <w:color w:val="auto"/>
          <w:spacing w:val="0"/>
          <w:sz w:val="32"/>
          <w:szCs w:val="28"/>
          <w:lang w:val="en-US" w:eastAsia="zh-CN"/>
        </w:rPr>
        <w:t>5．</w:t>
      </w:r>
      <w:r>
        <w:rPr>
          <w:rFonts w:hint="default" w:ascii="楷体_GB2312" w:hAnsi="楷体_GB2312" w:eastAsia="楷体_GB2312" w:cs="楷体_GB2312"/>
          <w:b w:val="0"/>
          <w:bCs w:val="0"/>
          <w:caps w:val="0"/>
          <w:smallCaps w:val="0"/>
          <w:color w:val="auto"/>
          <w:spacing w:val="0"/>
          <w:sz w:val="32"/>
          <w:szCs w:val="28"/>
          <w:lang w:val="en-US" w:eastAsia="zh-CN"/>
        </w:rPr>
        <w:t>治理措施</w:t>
      </w:r>
      <w:bookmarkEnd w:id="351"/>
      <w:bookmarkEnd w:id="352"/>
    </w:p>
    <w:p w14:paraId="46F86873">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kern w:val="2"/>
          <w:sz w:val="32"/>
          <w:szCs w:val="32"/>
          <w:lang w:val="en-US" w:eastAsia="zh-CN" w:bidi="ar-SA"/>
        </w:rPr>
        <w:t>（1）</w:t>
      </w:r>
      <w:r>
        <w:rPr>
          <w:rFonts w:hint="eastAsia" w:ascii="仿宋_GB2312" w:hAnsi="仿宋_GB2312" w:eastAsia="仿宋_GB2312" w:cs="仿宋_GB2312"/>
          <w:b w:val="0"/>
          <w:bCs w:val="0"/>
          <w:caps w:val="0"/>
          <w:smallCaps w:val="0"/>
          <w:color w:val="auto"/>
          <w:spacing w:val="0"/>
          <w:lang w:val="en-US" w:eastAsia="zh-CN"/>
        </w:rPr>
        <w:t>全面排查</w:t>
      </w:r>
    </w:p>
    <w:p w14:paraId="768C5BC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治理工作开始之前，需要对辖区内的非正规建筑垃圾堆放点进行全面摸底调查。通过实地勘察、卫星遥感等手段，掌握堆放点的具体位置、规模、类型等详细信息。全面排查是治理工作的基础，只有掌握了准确的信息，才能制定出科学合理的治理方案。</w:t>
      </w:r>
    </w:p>
    <w:p w14:paraId="4BCC7407">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kern w:val="2"/>
          <w:sz w:val="32"/>
          <w:szCs w:val="32"/>
          <w:lang w:val="en-US" w:eastAsia="zh-CN" w:bidi="ar-SA"/>
        </w:rPr>
        <w:t>（2）</w:t>
      </w:r>
      <w:r>
        <w:rPr>
          <w:rFonts w:hint="eastAsia" w:ascii="仿宋_GB2312" w:hAnsi="仿宋_GB2312" w:eastAsia="仿宋_GB2312" w:cs="仿宋_GB2312"/>
          <w:b w:val="0"/>
          <w:bCs w:val="0"/>
          <w:caps w:val="0"/>
          <w:smallCaps w:val="0"/>
          <w:color w:val="auto"/>
          <w:spacing w:val="0"/>
          <w:lang w:val="en-US" w:eastAsia="zh-CN"/>
        </w:rPr>
        <w:t>加强监管</w:t>
      </w:r>
    </w:p>
    <w:p w14:paraId="189B16E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立长效监管机制，防止新的非正规建筑垃圾堆放点出现。要加强对建筑工地、拆迁工地等源头的监管，督促相关单位规范建筑垃圾的排放和处置。同时，还要加强对运输车辆的监管，防止建筑垃圾随意倾倒。加强监管需要各部门密切配合，形成工作合力。</w:t>
      </w:r>
    </w:p>
    <w:p w14:paraId="1A68678D">
      <w:pPr>
        <w:pStyle w:val="40"/>
        <w:numPr>
          <w:ilvl w:val="3"/>
          <w:numId w:val="0"/>
        </w:numPr>
        <w:bidi w:val="0"/>
        <w:ind w:left="0" w:leftChars="0" w:firstLine="402" w:firstLineChars="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kern w:val="2"/>
          <w:sz w:val="32"/>
          <w:szCs w:val="32"/>
          <w:lang w:val="en-US" w:eastAsia="zh-CN" w:bidi="ar-SA"/>
        </w:rPr>
        <w:t>（3）</w:t>
      </w:r>
      <w:r>
        <w:rPr>
          <w:rFonts w:hint="eastAsia" w:ascii="仿宋_GB2312" w:hAnsi="仿宋_GB2312" w:eastAsia="仿宋_GB2312" w:cs="仿宋_GB2312"/>
          <w:b w:val="0"/>
          <w:bCs w:val="0"/>
          <w:caps w:val="0"/>
          <w:smallCaps w:val="0"/>
          <w:color w:val="auto"/>
          <w:spacing w:val="0"/>
          <w:lang w:val="en-US" w:eastAsia="zh-CN"/>
        </w:rPr>
        <w:t>宣传教育</w:t>
      </w:r>
    </w:p>
    <w:p w14:paraId="5F9FE2A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通过多种渠道向居民宣传环保知识，提高公众对建筑垃圾治理的认识和参与度。可以利用电视、报纸、网络等媒体进行宣传，也可以通过社区宣传栏、宣传册等方式进行宣传。宣传教育要注重针对性和实效性，让居民真正了解建筑垃圾治理的重要性和必要性。</w:t>
      </w:r>
    </w:p>
    <w:p w14:paraId="3B33F4EB">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353" w:name="_Toc28311"/>
      <w:bookmarkStart w:id="354" w:name="_Toc27417"/>
      <w:r>
        <w:rPr>
          <w:rFonts w:hint="eastAsia" w:ascii="楷体_GB2312" w:hAnsi="楷体_GB2312" w:eastAsia="楷体_GB2312" w:cs="楷体_GB2312"/>
          <w:b w:val="0"/>
          <w:bCs w:val="0"/>
          <w:caps w:val="0"/>
          <w:smallCaps w:val="0"/>
          <w:color w:val="auto"/>
          <w:spacing w:val="0"/>
          <w:sz w:val="32"/>
          <w:szCs w:val="28"/>
          <w:lang w:val="en-US" w:eastAsia="zh-CN"/>
        </w:rPr>
        <w:t>6．</w:t>
      </w:r>
      <w:r>
        <w:rPr>
          <w:rFonts w:hint="default" w:ascii="楷体_GB2312" w:hAnsi="楷体_GB2312" w:eastAsia="楷体_GB2312" w:cs="楷体_GB2312"/>
          <w:b w:val="0"/>
          <w:bCs w:val="0"/>
          <w:caps w:val="0"/>
          <w:smallCaps w:val="0"/>
          <w:color w:val="auto"/>
          <w:spacing w:val="0"/>
          <w:sz w:val="32"/>
          <w:szCs w:val="28"/>
          <w:lang w:val="en-US" w:eastAsia="zh-CN"/>
        </w:rPr>
        <w:t>治理要求</w:t>
      </w:r>
      <w:bookmarkEnd w:id="353"/>
      <w:bookmarkEnd w:id="354"/>
    </w:p>
    <w:p w14:paraId="37D4366D">
      <w:pPr>
        <w:pStyle w:val="40"/>
        <w:numPr>
          <w:ilvl w:val="3"/>
          <w:numId w:val="0"/>
        </w:numPr>
        <w:bidi w:val="0"/>
        <w:ind w:left="0" w:leftChars="0" w:firstLine="640" w:firstLineChars="20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kern w:val="2"/>
          <w:sz w:val="32"/>
          <w:szCs w:val="32"/>
          <w:lang w:val="en-US" w:eastAsia="zh-CN" w:bidi="ar-SA"/>
        </w:rPr>
        <w:t>（1）</w:t>
      </w:r>
      <w:r>
        <w:rPr>
          <w:rFonts w:hint="eastAsia" w:ascii="仿宋_GB2312" w:hAnsi="仿宋_GB2312" w:eastAsia="仿宋_GB2312" w:cs="仿宋_GB2312"/>
          <w:b w:val="0"/>
          <w:bCs w:val="0"/>
          <w:caps w:val="0"/>
          <w:smallCaps w:val="0"/>
          <w:color w:val="auto"/>
          <w:spacing w:val="0"/>
          <w:lang w:val="en-US" w:eastAsia="zh-CN"/>
        </w:rPr>
        <w:t>严格按照环保标准进行治理</w:t>
      </w:r>
    </w:p>
    <w:p w14:paraId="6127D506">
      <w:pPr>
        <w:pStyle w:val="40"/>
        <w:numPr>
          <w:ilvl w:val="3"/>
          <w:numId w:val="0"/>
        </w:numPr>
        <w:bidi w:val="0"/>
        <w:ind w:left="0" w:leftChars="0" w:firstLine="640" w:firstLineChars="20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kern w:val="2"/>
          <w:sz w:val="32"/>
          <w:szCs w:val="32"/>
          <w:lang w:val="en-US" w:eastAsia="zh-CN" w:bidi="ar-SA"/>
        </w:rPr>
        <w:t>（2）</w:t>
      </w:r>
      <w:r>
        <w:rPr>
          <w:rFonts w:hint="eastAsia" w:ascii="仿宋_GB2312" w:hAnsi="仿宋_GB2312" w:eastAsia="仿宋_GB2312" w:cs="仿宋_GB2312"/>
          <w:b w:val="0"/>
          <w:bCs w:val="0"/>
          <w:caps w:val="0"/>
          <w:smallCaps w:val="0"/>
          <w:color w:val="auto"/>
          <w:spacing w:val="0"/>
          <w:lang w:val="en-US" w:eastAsia="zh-CN"/>
        </w:rPr>
        <w:t>在治理过程中，要严格遵守各项环保标准和规范，确保治理过程不会对环境造成二次污染。要对治理过程中的各项环境指标进行监测和评估，及时发现问题并采取措施加以解决。</w:t>
      </w:r>
    </w:p>
    <w:p w14:paraId="7CEFCA27">
      <w:pPr>
        <w:pStyle w:val="40"/>
        <w:numPr>
          <w:ilvl w:val="3"/>
          <w:numId w:val="0"/>
        </w:numPr>
        <w:bidi w:val="0"/>
        <w:ind w:left="0" w:leftChars="0" w:firstLine="640" w:firstLineChars="20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kern w:val="2"/>
          <w:sz w:val="32"/>
          <w:szCs w:val="32"/>
          <w:lang w:val="en-US" w:eastAsia="zh-CN" w:bidi="ar-SA"/>
        </w:rPr>
        <w:t>（3）</w:t>
      </w:r>
      <w:r>
        <w:rPr>
          <w:rFonts w:hint="eastAsia" w:ascii="仿宋_GB2312" w:hAnsi="仿宋_GB2312" w:eastAsia="仿宋_GB2312" w:cs="仿宋_GB2312"/>
          <w:b w:val="0"/>
          <w:bCs w:val="0"/>
          <w:caps w:val="0"/>
          <w:smallCaps w:val="0"/>
          <w:color w:val="auto"/>
          <w:spacing w:val="0"/>
          <w:lang w:val="en-US" w:eastAsia="zh-CN"/>
        </w:rPr>
        <w:t>注重治理效果</w:t>
      </w:r>
    </w:p>
    <w:p w14:paraId="1F8512A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治理工作的最终目的是要取得良好的治理效果。要确保非正规建筑垃圾堆放点得到彻底清理，不留隐患。同时，还要注重治理后的环境恢复和美化，让居民切实感受到治理带来的变化。</w:t>
      </w:r>
    </w:p>
    <w:p w14:paraId="24DEB43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（4）加强协调配合</w:t>
      </w:r>
    </w:p>
    <w:p w14:paraId="722951C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各治理主体之间要密切协作，形成工作合力。政府部门要发挥主导作用，协调各方力量共同参与治理；环保部门要加强监督和指导，确保治理工作符合环保要求；城市管理部门要认真履行职责，做好具体的治理工作；社区组织要积极配合，协助做好宣传教育等工作。</w:t>
      </w:r>
    </w:p>
    <w:p w14:paraId="17F96705">
      <w:pPr>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br w:type="page"/>
      </w:r>
    </w:p>
    <w:p w14:paraId="00892DE8">
      <w:pPr>
        <w:pStyle w:val="7"/>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ind w:left="0" w:leftChars="0" w:firstLine="0" w:firstLineChars="0"/>
        <w:textAlignment w:val="auto"/>
        <w:rPr>
          <w:rFonts w:hint="default"/>
          <w:b w:val="0"/>
          <w:bCs w:val="0"/>
          <w:caps w:val="0"/>
          <w:smallCaps w:val="0"/>
          <w:color w:val="auto"/>
          <w:spacing w:val="0"/>
          <w:sz w:val="44"/>
          <w:szCs w:val="44"/>
          <w:lang w:val="en-US" w:eastAsia="zh-CN"/>
        </w:rPr>
      </w:pPr>
      <w:bookmarkStart w:id="355" w:name="_Toc13749"/>
      <w:bookmarkStart w:id="356" w:name="_Toc15335"/>
      <w:r>
        <w:rPr>
          <w:rFonts w:hint="eastAsia" w:ascii="Times New Roman" w:hAnsi="Times New Roman" w:eastAsia="黑体" w:cs="Times New Roman"/>
          <w:b w:val="0"/>
          <w:bCs w:val="0"/>
          <w:caps w:val="0"/>
          <w:smallCaps w:val="0"/>
          <w:color w:val="auto"/>
          <w:spacing w:val="0"/>
          <w:kern w:val="44"/>
          <w:sz w:val="44"/>
          <w:szCs w:val="44"/>
          <w:lang w:val="en-US" w:eastAsia="zh-CN" w:bidi="ar-SA"/>
        </w:rPr>
        <w:t xml:space="preserve">第六章 </w:t>
      </w:r>
      <w:r>
        <w:rPr>
          <w:rFonts w:hint="default"/>
          <w:b w:val="0"/>
          <w:bCs w:val="0"/>
          <w:caps w:val="0"/>
          <w:smallCaps w:val="0"/>
          <w:color w:val="auto"/>
          <w:spacing w:val="0"/>
          <w:sz w:val="44"/>
          <w:szCs w:val="44"/>
          <w:lang w:val="en-US" w:eastAsia="zh-CN"/>
        </w:rPr>
        <w:t>污染防治规划</w:t>
      </w:r>
      <w:bookmarkEnd w:id="355"/>
      <w:bookmarkEnd w:id="356"/>
    </w:p>
    <w:p w14:paraId="00426A33">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对照有关法律法规及标准规范，明确以下方面的生态环境保护措施和污染防治有关要求。</w:t>
      </w:r>
    </w:p>
    <w:p w14:paraId="1A60B272">
      <w:pPr>
        <w:pStyle w:val="40"/>
        <w:bidi w:val="0"/>
        <w:rPr>
          <w:rFonts w:hint="default" w:ascii="黑体" w:hAnsi="黑体" w:eastAsia="黑体" w:cs="黑体"/>
          <w:b w:val="0"/>
          <w:bCs w:val="0"/>
          <w:caps w:val="0"/>
          <w:smallCaps w:val="0"/>
          <w:color w:val="auto"/>
          <w:spacing w:val="0"/>
          <w:lang w:val="en-US" w:eastAsia="zh-CN"/>
        </w:rPr>
      </w:pPr>
      <w:bookmarkStart w:id="357" w:name="_Toc17628"/>
      <w:bookmarkStart w:id="358" w:name="_Toc14243"/>
      <w:bookmarkStart w:id="359" w:name="_Toc10178"/>
      <w:bookmarkStart w:id="360" w:name="_Toc3940"/>
      <w:r>
        <w:rPr>
          <w:rFonts w:hint="eastAsia" w:ascii="黑体" w:hAnsi="黑体" w:eastAsia="黑体" w:cs="黑体"/>
          <w:b w:val="0"/>
          <w:bCs w:val="0"/>
          <w:caps w:val="0"/>
          <w:smallCaps w:val="0"/>
          <w:color w:val="auto"/>
          <w:spacing w:val="0"/>
          <w:lang w:val="en-US" w:eastAsia="zh-CN"/>
        </w:rPr>
        <w:t>一、</w:t>
      </w:r>
      <w:r>
        <w:rPr>
          <w:rFonts w:hint="default" w:ascii="黑体" w:hAnsi="黑体" w:eastAsia="黑体" w:cs="黑体"/>
          <w:b w:val="0"/>
          <w:bCs w:val="0"/>
          <w:caps w:val="0"/>
          <w:smallCaps w:val="0"/>
          <w:color w:val="auto"/>
          <w:spacing w:val="0"/>
          <w:lang w:val="en-US" w:eastAsia="zh-CN"/>
        </w:rPr>
        <w:t>环境保护总控目标</w:t>
      </w:r>
      <w:bookmarkEnd w:id="357"/>
      <w:bookmarkEnd w:id="358"/>
      <w:bookmarkEnd w:id="359"/>
      <w:bookmarkEnd w:id="360"/>
    </w:p>
    <w:p w14:paraId="7151AA1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本规划能够大大减轻建筑垃圾不规范处置对我们赖以生存的环境造成的污染，其环境效益非常显著。本工程采用先进的环保技术措施，不仅安全环保地集中处理建筑垃圾，而且可避免对周边环境造成二次污染。本规划的实施将为当地的经济发展提供良好的生态环境。以下为集贤县建筑垃圾专项规划的环境保护总控目标：</w:t>
      </w:r>
    </w:p>
    <w:p w14:paraId="1B7306E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减少污染：降低建筑垃圾对土壤、水体、空气的污染，确保环境质量得到有效保护。</w:t>
      </w:r>
    </w:p>
    <w:p w14:paraId="7B85693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资源回收利用：提高建筑垃圾的回收利用率，实现资源的最大化利用，减少资源浪费。</w:t>
      </w:r>
    </w:p>
    <w:p w14:paraId="0B55785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恢复生态：通过治理使受建筑垃圾影响的区域逐步恢复生态平衡，提升生态环境质量。</w:t>
      </w:r>
    </w:p>
    <w:p w14:paraId="5E48FF4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规范处置：实现建筑垃圾的规范处置，杜绝非正规堆存和随意倾倒等行为。</w:t>
      </w:r>
    </w:p>
    <w:p w14:paraId="4E9756A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长效管理：建立健全长效管理机制，确保建筑垃圾治理工作的可持续性和稳定性。</w:t>
      </w:r>
    </w:p>
    <w:p w14:paraId="134FDF75">
      <w:pPr>
        <w:pStyle w:val="40"/>
        <w:bidi w:val="0"/>
        <w:rPr>
          <w:rFonts w:hint="default" w:ascii="黑体" w:hAnsi="黑体" w:eastAsia="黑体" w:cs="黑体"/>
          <w:b w:val="0"/>
          <w:bCs w:val="0"/>
          <w:caps w:val="0"/>
          <w:smallCaps w:val="0"/>
          <w:color w:val="auto"/>
          <w:spacing w:val="0"/>
          <w:lang w:val="en-US" w:eastAsia="zh-CN"/>
        </w:rPr>
      </w:pPr>
      <w:bookmarkStart w:id="361" w:name="_Toc24278"/>
      <w:bookmarkStart w:id="362" w:name="_Toc17637"/>
      <w:bookmarkStart w:id="363" w:name="_Toc4886"/>
      <w:bookmarkStart w:id="364" w:name="_Toc24527"/>
      <w:bookmarkStart w:id="365" w:name="_Toc15377"/>
      <w:r>
        <w:rPr>
          <w:rFonts w:hint="eastAsia" w:ascii="黑体" w:hAnsi="黑体" w:eastAsia="黑体" w:cs="黑体"/>
          <w:b w:val="0"/>
          <w:bCs w:val="0"/>
          <w:caps w:val="0"/>
          <w:smallCaps w:val="0"/>
          <w:color w:val="auto"/>
          <w:spacing w:val="0"/>
          <w:lang w:val="en-US" w:eastAsia="zh-CN"/>
        </w:rPr>
        <w:t>二、</w:t>
      </w:r>
      <w:r>
        <w:rPr>
          <w:rFonts w:hint="default" w:ascii="黑体" w:hAnsi="黑体" w:eastAsia="黑体" w:cs="黑体"/>
          <w:b w:val="0"/>
          <w:bCs w:val="0"/>
          <w:caps w:val="0"/>
          <w:smallCaps w:val="0"/>
          <w:color w:val="auto"/>
          <w:spacing w:val="0"/>
          <w:lang w:val="en-US" w:eastAsia="zh-CN"/>
        </w:rPr>
        <w:t>水土流失防治措施</w:t>
      </w:r>
      <w:bookmarkEnd w:id="361"/>
      <w:bookmarkEnd w:id="362"/>
    </w:p>
    <w:p w14:paraId="07198EE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在城市化进程中，建筑垃圾的产生不可避免，而随之而来的水土流失问题也日益严重。为了有效防治水土流失，保障生态环境的稳定，我们需要采取一系列科学有效的措施。</w:t>
      </w:r>
    </w:p>
    <w:p w14:paraId="73270EF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首先，植被恢复是防治水土流失的关键举措之一。在建筑垃圾清理后，应尽快在治理区域种植适合当地环境的植物，通过植物的根系固定土壤，减少雨水对地面的直接冲刷，同时增加地面的覆盖度，降低水土流失的风险。</w:t>
      </w:r>
    </w:p>
    <w:p w14:paraId="4B8360F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其次，加强边坡的稳定也是重要环节。对于建筑垃圾堆积形成的边坡，要采用合适的加固措施，如设置挡土墙、护坡等，以防止边坡崩塌和土壤滑落，从而避免水土流失的进一步加剧。</w:t>
      </w:r>
    </w:p>
    <w:p w14:paraId="056769F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完善排水系统同样不可或缺。合理规划和修建排水设施，能够及时疏导雨水，避免雨水在治理区域内积聚和长时间浸泡，从根本上减少水土流失的可能性。</w:t>
      </w:r>
    </w:p>
    <w:p w14:paraId="340498D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覆盖措施也是一种有效的手段。使用防尘网、土工布等材料对建筑垃圾进行覆盖，能够阻挡雨水直接冲击垃圾，降低水土流失的发生概率。</w:t>
      </w:r>
    </w:p>
    <w:p w14:paraId="670BE06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此外，定期的巡查与维护是保障防治效果的重要保障。要加强对治理区域的巡查，及时发现并处理可能导致水土流失的隐患，确保各项防治措施的有效性。</w:t>
      </w:r>
    </w:p>
    <w:p w14:paraId="6279915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最后，土壤改良也是不容忽视的方面。通过改善土壤质地，提高土壤的蓄水保墒能力，增强土壤对侵蚀的抵抗能力，进一步提升水土流失防治的效果。</w:t>
      </w:r>
    </w:p>
    <w:p w14:paraId="28DB93B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总之，建筑垃圾治理中的水土流失防治是一项综合性的工作，需要我们从多个方面入手，采取切实有效的措施，共同守护我们的生态环境。只有这样，才能实现可持续发展的目标，让我们的城市更加美丽宜居。</w:t>
      </w:r>
    </w:p>
    <w:p w14:paraId="5753B9E3">
      <w:pPr>
        <w:pStyle w:val="40"/>
        <w:bidi w:val="0"/>
        <w:rPr>
          <w:rFonts w:hint="default" w:ascii="黑体" w:hAnsi="黑体" w:eastAsia="黑体" w:cs="黑体"/>
          <w:b w:val="0"/>
          <w:bCs w:val="0"/>
          <w:caps w:val="0"/>
          <w:smallCaps w:val="0"/>
          <w:color w:val="auto"/>
          <w:spacing w:val="0"/>
          <w:lang w:val="en-US" w:eastAsia="zh-CN"/>
        </w:rPr>
      </w:pPr>
      <w:bookmarkStart w:id="366" w:name="_Toc3332"/>
      <w:bookmarkStart w:id="367" w:name="_Toc24886"/>
      <w:r>
        <w:rPr>
          <w:rFonts w:hint="eastAsia" w:ascii="黑体" w:hAnsi="黑体" w:eastAsia="黑体" w:cs="黑体"/>
          <w:b w:val="0"/>
          <w:bCs w:val="0"/>
          <w:caps w:val="0"/>
          <w:smallCaps w:val="0"/>
          <w:color w:val="auto"/>
          <w:spacing w:val="0"/>
          <w:lang w:val="en-US" w:eastAsia="zh-CN"/>
        </w:rPr>
        <w:t>三、</w:t>
      </w:r>
      <w:r>
        <w:rPr>
          <w:rFonts w:hint="default" w:ascii="黑体" w:hAnsi="黑体" w:eastAsia="黑体" w:cs="黑体"/>
          <w:b w:val="0"/>
          <w:bCs w:val="0"/>
          <w:caps w:val="0"/>
          <w:smallCaps w:val="0"/>
          <w:color w:val="auto"/>
          <w:spacing w:val="0"/>
          <w:lang w:val="en-US" w:eastAsia="zh-CN"/>
        </w:rPr>
        <w:t>大气环境保护措施</w:t>
      </w:r>
      <w:bookmarkEnd w:id="366"/>
      <w:bookmarkEnd w:id="367"/>
    </w:p>
    <w:p w14:paraId="69F8538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本项目主要大气环境污染物为粉尘等。</w:t>
      </w:r>
    </w:p>
    <w:p w14:paraId="34EE062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对粉尘防护措施：首先，要加强对产生粉尘源头的管理，通过优化生产工艺、使用先进的除尘设备等方式，从源头上减少粉尘的产生。同时，要加强对建筑工地、工业厂区等重点区域的监管，确保其采取有效的抑尘措施，如洒水降尘、覆盖防尘网等。此外，还可以通过种植绿化带、增加植被覆盖等方式，进一步吸附和固定粉尘，改善大气环境质量。根据国内外粉尘处理的经验，袋式除尘器具有烟尘净化效率高、维修方便、净化效率不受颗粒物比电阻和原浓度的影响等优点，同时对有机污染物和重金属均有良好的处理效果，除尘效率大于99％，故本工程采用袋式除尘器。</w:t>
      </w:r>
    </w:p>
    <w:p w14:paraId="08ED0AD0">
      <w:pPr>
        <w:pStyle w:val="40"/>
        <w:bidi w:val="0"/>
        <w:rPr>
          <w:rFonts w:hint="default" w:ascii="黑体" w:hAnsi="黑体" w:eastAsia="黑体" w:cs="黑体"/>
          <w:b w:val="0"/>
          <w:bCs w:val="0"/>
          <w:caps w:val="0"/>
          <w:smallCaps w:val="0"/>
          <w:color w:val="auto"/>
          <w:spacing w:val="0"/>
          <w:lang w:val="en-US" w:eastAsia="zh-CN"/>
        </w:rPr>
      </w:pPr>
      <w:bookmarkStart w:id="368" w:name="_Toc10725"/>
      <w:bookmarkStart w:id="369" w:name="_Toc23710"/>
      <w:r>
        <w:rPr>
          <w:rFonts w:hint="eastAsia" w:ascii="黑体" w:hAnsi="黑体" w:eastAsia="黑体" w:cs="黑体"/>
          <w:b w:val="0"/>
          <w:bCs w:val="0"/>
          <w:caps w:val="0"/>
          <w:smallCaps w:val="0"/>
          <w:color w:val="auto"/>
          <w:spacing w:val="0"/>
          <w:lang w:val="en-US" w:eastAsia="zh-CN"/>
        </w:rPr>
        <w:t>四、</w:t>
      </w:r>
      <w:r>
        <w:rPr>
          <w:rFonts w:hint="default" w:ascii="黑体" w:hAnsi="黑体" w:eastAsia="黑体" w:cs="黑体"/>
          <w:b w:val="0"/>
          <w:bCs w:val="0"/>
          <w:caps w:val="0"/>
          <w:smallCaps w:val="0"/>
          <w:color w:val="auto"/>
          <w:spacing w:val="0"/>
          <w:lang w:val="en-US" w:eastAsia="zh-CN"/>
        </w:rPr>
        <w:t>水环境保护措施</w:t>
      </w:r>
      <w:bookmarkEnd w:id="368"/>
      <w:bookmarkEnd w:id="369"/>
    </w:p>
    <w:p w14:paraId="25E9399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产生的废水主要有生活污水、生产污水、冲洗污水等，主要污染因子有pH、SS、CODCr、BOD5、NH3-N、大肠杆菌群等。</w:t>
      </w:r>
    </w:p>
    <w:p w14:paraId="439746DC">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为了确保建筑垃圾资源化及填埋过程中的水环境保护，我们需要采取一系列综合措施。对于消纳场，要做好防渗处理，防止垃圾渗滤液渗漏污染地下水。同时，要建设完善的排水系统，及时疏导雨水，避免积水形成。定期对消纳场及周边的水环境进行监测，以便及时发现问题并采取措施解决。此外，还应加强对消纳场工作人员的环保培训，提高其环保意识和操作水平，共同做好水环境保护工作。</w:t>
      </w:r>
    </w:p>
    <w:p w14:paraId="42DC8726">
      <w:pPr>
        <w:pStyle w:val="40"/>
        <w:bidi w:val="0"/>
        <w:rPr>
          <w:rFonts w:hint="default" w:ascii="黑体" w:hAnsi="黑体" w:eastAsia="黑体" w:cs="黑体"/>
          <w:b w:val="0"/>
          <w:bCs w:val="0"/>
          <w:caps w:val="0"/>
          <w:smallCaps w:val="0"/>
          <w:color w:val="auto"/>
          <w:spacing w:val="0"/>
          <w:lang w:val="en-US" w:eastAsia="zh-CN"/>
        </w:rPr>
      </w:pPr>
      <w:bookmarkStart w:id="370" w:name="_Toc18868"/>
      <w:bookmarkStart w:id="371" w:name="_Toc25470"/>
      <w:r>
        <w:rPr>
          <w:rFonts w:hint="eastAsia" w:ascii="黑体" w:hAnsi="黑体" w:eastAsia="黑体" w:cs="黑体"/>
          <w:b w:val="0"/>
          <w:bCs w:val="0"/>
          <w:caps w:val="0"/>
          <w:smallCaps w:val="0"/>
          <w:color w:val="auto"/>
          <w:spacing w:val="0"/>
          <w:lang w:val="en-US" w:eastAsia="zh-CN"/>
        </w:rPr>
        <w:t>五、</w:t>
      </w:r>
      <w:r>
        <w:rPr>
          <w:rFonts w:hint="default" w:ascii="黑体" w:hAnsi="黑体" w:eastAsia="黑体" w:cs="黑体"/>
          <w:b w:val="0"/>
          <w:bCs w:val="0"/>
          <w:caps w:val="0"/>
          <w:smallCaps w:val="0"/>
          <w:color w:val="auto"/>
          <w:spacing w:val="0"/>
          <w:lang w:val="en-US" w:eastAsia="zh-CN"/>
        </w:rPr>
        <w:t>噪声环境保护措施</w:t>
      </w:r>
      <w:bookmarkEnd w:id="370"/>
      <w:bookmarkEnd w:id="371"/>
    </w:p>
    <w:p w14:paraId="42651FC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建筑垃圾消纳场内主要噪声源主要为破碎分选、制砖及各类辅助设备产生的动力机械噪声，形成对周围环境的影响。</w:t>
      </w:r>
    </w:p>
    <w:p w14:paraId="2BB4021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对建筑垃圾消纳场建设中产生的噪声采取以下治理措施：</w:t>
      </w:r>
    </w:p>
    <w:p w14:paraId="7618E96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（1）厂区总体设计布置时，将主要噪声源尽可能布置在远离操作办公的地方，以防噪声对工作环境的影响。</w:t>
      </w:r>
    </w:p>
    <w:p w14:paraId="2CE1161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（2）在运行管理人员集中的控制室内，门窗处设置吸声装置（如密封门窗等），室内设置吸声吊顶，以减少噪声对运行人员的影响，使其工作环境达到允许的噪声标准。</w:t>
      </w:r>
    </w:p>
    <w:p w14:paraId="120F41C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（3）对设备采取减振、安装消音器、隔声等方式。</w:t>
      </w:r>
    </w:p>
    <w:p w14:paraId="1E1B799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（4）车辆来回行驶对道路两旁居住人群带来影响，车辆在正常行驶时，15m外其噪声值均为85～90dB左右，对道路附近声环境有一定影响，因此应控制垃圾车行驶车速，改善路面状况，尽量避免在夜间运输垃圾。</w:t>
      </w:r>
    </w:p>
    <w:p w14:paraId="4790589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（5）采用低噪声的设备。</w:t>
      </w:r>
    </w:p>
    <w:p w14:paraId="124A006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（6）厂区加强绿化，以起到降低噪声的作用。</w:t>
      </w:r>
    </w:p>
    <w:p w14:paraId="32EDE4FA">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厂内的噪声治理应符合现行国家标准《声环境质量标准》（GB3096-2008），厂界噪声标准执行《工业企业厂界环境噪声排放标准》（GB12348-2008）Ⅱ类标准，即等效声级昼间为65dB(A)，夜间为55dB(A)。对建筑物的直达声源噪声控制，应符合现行国家标准《工业企业噪声控制设计规范》（GB/T50087-2013）的有关规定。</w:t>
      </w:r>
    </w:p>
    <w:p w14:paraId="32FE2BE7">
      <w:pPr>
        <w:pStyle w:val="40"/>
        <w:bidi w:val="0"/>
        <w:rPr>
          <w:rFonts w:hint="default" w:ascii="黑体" w:hAnsi="黑体" w:eastAsia="黑体" w:cs="黑体"/>
          <w:b w:val="0"/>
          <w:bCs w:val="0"/>
          <w:caps w:val="0"/>
          <w:smallCaps w:val="0"/>
          <w:color w:val="auto"/>
          <w:spacing w:val="0"/>
          <w:lang w:val="en-US" w:eastAsia="zh-CN"/>
        </w:rPr>
      </w:pPr>
      <w:bookmarkStart w:id="372" w:name="_Toc17507"/>
      <w:bookmarkStart w:id="373" w:name="_Toc8585"/>
      <w:r>
        <w:rPr>
          <w:rFonts w:hint="eastAsia" w:ascii="黑体" w:hAnsi="黑体" w:eastAsia="黑体" w:cs="黑体"/>
          <w:b w:val="0"/>
          <w:bCs w:val="0"/>
          <w:caps w:val="0"/>
          <w:smallCaps w:val="0"/>
          <w:color w:val="auto"/>
          <w:spacing w:val="0"/>
          <w:lang w:val="en-US" w:eastAsia="zh-CN"/>
        </w:rPr>
        <w:t>六、</w:t>
      </w:r>
      <w:r>
        <w:rPr>
          <w:rFonts w:hint="default" w:ascii="黑体" w:hAnsi="黑体" w:eastAsia="黑体" w:cs="黑体"/>
          <w:b w:val="0"/>
          <w:bCs w:val="0"/>
          <w:caps w:val="0"/>
          <w:smallCaps w:val="0"/>
          <w:color w:val="auto"/>
          <w:spacing w:val="0"/>
          <w:lang w:val="en-US" w:eastAsia="zh-CN"/>
        </w:rPr>
        <w:t>土壤环境保护措施</w:t>
      </w:r>
      <w:bookmarkEnd w:id="372"/>
      <w:bookmarkEnd w:id="373"/>
    </w:p>
    <w:bookmarkEnd w:id="363"/>
    <w:bookmarkEnd w:id="364"/>
    <w:bookmarkEnd w:id="365"/>
    <w:p w14:paraId="4E89274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为了保护土壤环境，在进行建筑垃圾资源化及填埋时，需要采取一系列有效的措施。首先，要对建筑垃圾进行严格的分类和筛选，将可回收利用的部分进行资源化处理，减少资源浪费。在填埋过程中，要确保消纳场地的防渗性能良好，防止垃圾渗滤液渗漏对土壤造成污染。同时，要加强消纳场的日常管理和维护，定期对填埋区域进行监测，及时发现并处理可能出现的问题。</w:t>
      </w:r>
    </w:p>
    <w:p w14:paraId="6DA66808">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此外，对于已经受到污染的土壤，可以采用土壤修复技术进行治理。比如，通过物理修复方法，如换土、客土等，直接去除受污染的土壤；利用化学修复方法，如添加化学改良剂、进行化学淋洗等，来降低土壤中污染物的浓度；生物修复技术则通过利用微生物、植物等的代谢作用来降解和转化污染物，使土壤逐渐恢复健康。还可以采用多种修复技术相结合的方式，提高修复效果。</w:t>
      </w:r>
    </w:p>
    <w:p w14:paraId="3CC74AA6">
      <w:pPr>
        <w:pStyle w:val="40"/>
        <w:bidi w:val="0"/>
        <w:rPr>
          <w:rFonts w:hint="eastAsia" w:ascii="方正仿宋_GB2312" w:hAnsi="方正仿宋_GB2312" w:eastAsia="方正仿宋_GB2312" w:cs="方正仿宋_GB2312"/>
          <w:b w:val="0"/>
          <w:bCs w:val="0"/>
          <w:caps w:val="0"/>
          <w:smallCaps w:val="0"/>
          <w:color w:val="auto"/>
          <w:spacing w:val="0"/>
          <w:szCs w:val="32"/>
        </w:rPr>
      </w:pPr>
      <w:r>
        <w:rPr>
          <w:rFonts w:hint="eastAsia" w:ascii="仿宋_GB2312" w:hAnsi="仿宋_GB2312" w:eastAsia="仿宋_GB2312" w:cs="仿宋_GB2312"/>
          <w:b w:val="0"/>
          <w:bCs w:val="0"/>
          <w:caps w:val="0"/>
          <w:smallCaps w:val="0"/>
          <w:color w:val="auto"/>
          <w:spacing w:val="0"/>
          <w:lang w:val="en-US" w:eastAsia="zh-CN"/>
        </w:rPr>
        <w:t>最后，通过种植植被等方式，改善填埋区域的生态环境，促进土壤的自我修复。总之，只有通过科学合理的措施，包括土壤修复技术的应用，才能有效保障土壤环境的安全和稳定。</w:t>
      </w:r>
      <w:r>
        <w:rPr>
          <w:rFonts w:hint="eastAsia" w:ascii="方正仿宋_GB2312" w:hAnsi="方正仿宋_GB2312" w:eastAsia="方正仿宋_GB2312" w:cs="方正仿宋_GB2312"/>
          <w:b w:val="0"/>
          <w:bCs w:val="0"/>
          <w:caps w:val="0"/>
          <w:smallCaps w:val="0"/>
          <w:color w:val="auto"/>
          <w:spacing w:val="0"/>
          <w:szCs w:val="32"/>
        </w:rPr>
        <w:br w:type="page"/>
      </w:r>
    </w:p>
    <w:p w14:paraId="636C05E9">
      <w:pPr>
        <w:pStyle w:val="7"/>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ind w:left="0" w:leftChars="0" w:firstLine="0" w:firstLineChars="0"/>
        <w:textAlignment w:val="auto"/>
        <w:rPr>
          <w:rFonts w:hint="default"/>
          <w:b w:val="0"/>
          <w:bCs w:val="0"/>
          <w:caps w:val="0"/>
          <w:smallCaps w:val="0"/>
          <w:color w:val="auto"/>
          <w:spacing w:val="0"/>
          <w:sz w:val="44"/>
          <w:szCs w:val="44"/>
          <w:lang w:val="en-US" w:eastAsia="zh-CN"/>
        </w:rPr>
      </w:pPr>
      <w:bookmarkStart w:id="374" w:name="_Toc19884"/>
      <w:bookmarkStart w:id="375" w:name="_Toc30100"/>
      <w:r>
        <w:rPr>
          <w:rFonts w:hint="eastAsia" w:ascii="Times New Roman" w:hAnsi="Times New Roman" w:eastAsia="黑体" w:cs="Times New Roman"/>
          <w:b w:val="0"/>
          <w:bCs w:val="0"/>
          <w:caps w:val="0"/>
          <w:smallCaps w:val="0"/>
          <w:color w:val="auto"/>
          <w:spacing w:val="0"/>
          <w:kern w:val="44"/>
          <w:sz w:val="44"/>
          <w:szCs w:val="44"/>
          <w:lang w:val="en-US" w:eastAsia="zh-CN" w:bidi="ar-SA"/>
        </w:rPr>
        <w:t xml:space="preserve">第七章 </w:t>
      </w:r>
      <w:r>
        <w:rPr>
          <w:rFonts w:hint="default"/>
          <w:b w:val="0"/>
          <w:bCs w:val="0"/>
          <w:caps w:val="0"/>
          <w:smallCaps w:val="0"/>
          <w:color w:val="auto"/>
          <w:spacing w:val="0"/>
          <w:sz w:val="44"/>
          <w:szCs w:val="44"/>
          <w:lang w:val="en-US" w:eastAsia="zh-CN"/>
        </w:rPr>
        <w:t>管理体系规划</w:t>
      </w:r>
      <w:bookmarkEnd w:id="374"/>
      <w:bookmarkEnd w:id="375"/>
    </w:p>
    <w:p w14:paraId="11C63E72">
      <w:pPr>
        <w:pStyle w:val="40"/>
        <w:bidi w:val="0"/>
        <w:rPr>
          <w:rFonts w:hint="default" w:ascii="黑体" w:hAnsi="黑体" w:eastAsia="黑体" w:cs="黑体"/>
          <w:b w:val="0"/>
          <w:bCs w:val="0"/>
          <w:caps w:val="0"/>
          <w:smallCaps w:val="0"/>
          <w:color w:val="auto"/>
          <w:spacing w:val="0"/>
          <w:lang w:val="en-US" w:eastAsia="zh-CN"/>
        </w:rPr>
      </w:pPr>
      <w:bookmarkStart w:id="376" w:name="_Toc29806"/>
      <w:bookmarkStart w:id="377" w:name="_Toc31836"/>
      <w:bookmarkStart w:id="378" w:name="_Toc28354"/>
      <w:r>
        <w:rPr>
          <w:rFonts w:hint="eastAsia" w:ascii="黑体" w:hAnsi="黑体" w:eastAsia="黑体" w:cs="黑体"/>
          <w:b w:val="0"/>
          <w:bCs w:val="0"/>
          <w:caps w:val="0"/>
          <w:smallCaps w:val="0"/>
          <w:color w:val="auto"/>
          <w:spacing w:val="0"/>
          <w:lang w:val="en-US" w:eastAsia="zh-CN"/>
        </w:rPr>
        <w:t>一、</w:t>
      </w:r>
      <w:r>
        <w:rPr>
          <w:rFonts w:hint="default" w:ascii="黑体" w:hAnsi="黑体" w:eastAsia="黑体" w:cs="黑体"/>
          <w:b w:val="0"/>
          <w:bCs w:val="0"/>
          <w:caps w:val="0"/>
          <w:smallCaps w:val="0"/>
          <w:color w:val="auto"/>
          <w:spacing w:val="0"/>
          <w:lang w:val="en-US" w:eastAsia="zh-CN"/>
        </w:rPr>
        <w:t>组织领导机构</w:t>
      </w:r>
      <w:bookmarkEnd w:id="376"/>
      <w:bookmarkEnd w:id="377"/>
      <w:bookmarkEnd w:id="378"/>
    </w:p>
    <w:p w14:paraId="7873DA12">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379" w:name="_Toc6625"/>
      <w:bookmarkStart w:id="380" w:name="_Toc19964"/>
      <w:r>
        <w:rPr>
          <w:rFonts w:hint="eastAsia" w:ascii="楷体_GB2312" w:hAnsi="楷体_GB2312" w:eastAsia="楷体_GB2312" w:cs="楷体_GB2312"/>
          <w:b w:val="0"/>
          <w:bCs w:val="0"/>
          <w:caps w:val="0"/>
          <w:smallCaps w:val="0"/>
          <w:color w:val="auto"/>
          <w:spacing w:val="0"/>
          <w:sz w:val="32"/>
          <w:szCs w:val="28"/>
          <w:lang w:val="en-US" w:eastAsia="zh-CN"/>
        </w:rPr>
        <w:t>1．</w:t>
      </w:r>
      <w:r>
        <w:rPr>
          <w:rFonts w:hint="default" w:ascii="楷体_GB2312" w:hAnsi="楷体_GB2312" w:eastAsia="楷体_GB2312" w:cs="楷体_GB2312"/>
          <w:b w:val="0"/>
          <w:bCs w:val="0"/>
          <w:caps w:val="0"/>
          <w:smallCaps w:val="0"/>
          <w:color w:val="auto"/>
          <w:spacing w:val="0"/>
          <w:sz w:val="32"/>
          <w:szCs w:val="28"/>
          <w:lang w:val="en-US" w:eastAsia="zh-CN"/>
        </w:rPr>
        <w:t>运营模式选择</w:t>
      </w:r>
      <w:bookmarkEnd w:id="379"/>
      <w:bookmarkEnd w:id="380"/>
    </w:p>
    <w:p w14:paraId="2CA9FFA8">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集贤县建筑垃圾处置体系建设完成后由集贤县住房和城乡建设局自行运行，主要理由如下：</w:t>
      </w:r>
    </w:p>
    <w:p w14:paraId="46CC7B38">
      <w:pPr>
        <w:pStyle w:val="40"/>
        <w:bidi w:val="0"/>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集贤县住房和城乡建设局目前负责集贤县生活垃圾焚烧厂、医疗垃圾处理厂、餐厨垃圾处理厂的运营，已形成规模效应，能够节省一部分人员的支出费用。</w:t>
      </w:r>
    </w:p>
    <w:p w14:paraId="6AD6D2FC">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default" w:ascii="楷体_GB2312" w:hAnsi="楷体_GB2312" w:eastAsia="楷体_GB2312" w:cs="楷体_GB2312"/>
          <w:b w:val="0"/>
          <w:bCs w:val="0"/>
          <w:caps w:val="0"/>
          <w:smallCaps w:val="0"/>
          <w:color w:val="auto"/>
          <w:spacing w:val="0"/>
          <w:sz w:val="32"/>
          <w:szCs w:val="28"/>
          <w:lang w:val="en-US" w:eastAsia="zh-CN"/>
        </w:rPr>
      </w:pPr>
      <w:bookmarkStart w:id="381" w:name="_Toc24016"/>
      <w:bookmarkStart w:id="382" w:name="_Toc20229"/>
      <w:r>
        <w:rPr>
          <w:rFonts w:hint="eastAsia" w:ascii="楷体_GB2312" w:hAnsi="楷体_GB2312" w:eastAsia="楷体_GB2312" w:cs="楷体_GB2312"/>
          <w:b w:val="0"/>
          <w:bCs w:val="0"/>
          <w:caps w:val="0"/>
          <w:smallCaps w:val="0"/>
          <w:color w:val="auto"/>
          <w:spacing w:val="0"/>
          <w:sz w:val="32"/>
          <w:szCs w:val="28"/>
          <w:lang w:val="en-US" w:eastAsia="zh-CN"/>
        </w:rPr>
        <w:t>2．</w:t>
      </w:r>
      <w:r>
        <w:rPr>
          <w:rFonts w:hint="default" w:ascii="楷体_GB2312" w:hAnsi="楷体_GB2312" w:eastAsia="楷体_GB2312" w:cs="楷体_GB2312"/>
          <w:b w:val="0"/>
          <w:bCs w:val="0"/>
          <w:caps w:val="0"/>
          <w:smallCaps w:val="0"/>
          <w:color w:val="auto"/>
          <w:spacing w:val="0"/>
          <w:sz w:val="32"/>
          <w:szCs w:val="28"/>
          <w:lang w:val="en-US" w:eastAsia="zh-CN"/>
        </w:rPr>
        <w:t>运营组织方案</w:t>
      </w:r>
      <w:bookmarkEnd w:id="381"/>
      <w:bookmarkEnd w:id="382"/>
    </w:p>
    <w:p w14:paraId="32C47CF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按照国家有关法律规定，实行股份制、项目法人责任制，负责厂区的项目策划、资金筹措、组织建设、生产经营、债务偿还和资产的保值增值。公司为独立的法人机构。公司组建董事会、监事会，董事会任命总经理，并通过公司设置各职</w:t>
      </w:r>
      <w:r>
        <w:rPr>
          <w:rFonts w:hint="eastAsia" w:ascii="仿宋_GB2312" w:hAnsi="仿宋_GB2312" w:eastAsia="仿宋_GB2312" w:cs="仿宋_GB2312"/>
          <w:b w:val="0"/>
          <w:bCs w:val="0"/>
          <w:caps w:val="0"/>
          <w:smallCaps w:val="0"/>
          <w:color w:val="auto"/>
          <w:spacing w:val="0"/>
          <w:lang w:val="en-US" w:eastAsia="zh-CN"/>
        </w:rPr>
        <w:t>能部门全面负责项目的建设、生产、经营和管理工作。</w:t>
      </w:r>
    </w:p>
    <w:p w14:paraId="1076C87D">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管理机构设置的原则为机构合理、人员精炼、方便生产、利于管理。</w:t>
      </w:r>
    </w:p>
    <w:p w14:paraId="0AE66547">
      <w:pPr>
        <w:pStyle w:val="40"/>
        <w:bidi w:val="0"/>
        <w:rPr>
          <w:rFonts w:hint="eastAsia" w:ascii="仿宋_GB2312" w:hAnsi="仿宋_GB2312" w:eastAsia="仿宋_GB2312" w:cs="仿宋_GB2312"/>
          <w:b w:val="0"/>
          <w:bCs w:val="0"/>
          <w:caps w:val="0"/>
          <w:smallCaps w:val="0"/>
          <w:color w:val="auto"/>
          <w:spacing w:val="0"/>
          <w:lang w:val="en-US" w:eastAsia="zh-CN"/>
        </w:rPr>
      </w:pPr>
      <w:bookmarkStart w:id="383" w:name="_Toc6198"/>
      <w:bookmarkStart w:id="384" w:name="_Toc29680"/>
      <w:bookmarkStart w:id="385" w:name="_Toc6749"/>
      <w:r>
        <w:rPr>
          <w:rFonts w:hint="eastAsia" w:ascii="仿宋_GB2312" w:hAnsi="仿宋_GB2312" w:eastAsia="仿宋_GB2312" w:cs="仿宋_GB2312"/>
          <w:b w:val="0"/>
          <w:bCs w:val="0"/>
          <w:caps w:val="0"/>
          <w:smallCaps w:val="0"/>
          <w:color w:val="auto"/>
          <w:spacing w:val="0"/>
          <w:lang w:val="en-US" w:eastAsia="zh-CN"/>
        </w:rPr>
        <w:t>工作制和劳动定员</w:t>
      </w:r>
      <w:bookmarkEnd w:id="383"/>
      <w:bookmarkEnd w:id="384"/>
      <w:bookmarkEnd w:id="385"/>
    </w:p>
    <w:p w14:paraId="792C219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本项目新增管理机构负责本项目建设的组织协调和管理。人员编制情况按岗配置，其配备比率及人数见下表。</w:t>
      </w:r>
    </w:p>
    <w:p w14:paraId="2B625FFE">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p>
    <w:p w14:paraId="507E61C2">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p>
    <w:p w14:paraId="19DACD7B">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p>
    <w:p w14:paraId="52C79226">
      <w:pPr>
        <w:pStyle w:val="40"/>
        <w:bidi w:val="0"/>
        <w:ind w:left="0" w:leftChars="0" w:firstLine="0" w:firstLineChars="0"/>
        <w:jc w:val="center"/>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劳动定员编制表</w:t>
      </w:r>
    </w:p>
    <w:tbl>
      <w:tblPr>
        <w:tblStyle w:val="41"/>
        <w:tblW w:w="93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9"/>
        <w:gridCol w:w="3356"/>
        <w:gridCol w:w="721"/>
        <w:gridCol w:w="1487"/>
        <w:gridCol w:w="1534"/>
        <w:gridCol w:w="1540"/>
      </w:tblGrid>
      <w:tr w14:paraId="41F64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jc w:val="center"/>
        </w:trPr>
        <w:tc>
          <w:tcPr>
            <w:tcW w:w="719" w:type="dxa"/>
            <w:noWrap w:val="0"/>
            <w:textDirection w:val="tbRlV"/>
            <w:vAlign w:val="top"/>
          </w:tcPr>
          <w:p w14:paraId="4A49D2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仿宋_GB2312" w:hAnsi="仿宋_GB2312" w:eastAsia="仿宋_GB2312" w:cs="仿宋_GB2312"/>
                <w:b w:val="0"/>
                <w:bCs w:val="0"/>
                <w:caps w:val="0"/>
                <w:smallCaps w:val="0"/>
                <w:color w:val="auto"/>
                <w:spacing w:val="0"/>
                <w:sz w:val="28"/>
                <w:szCs w:val="28"/>
                <w:lang w:val="en-US" w:eastAsia="en-US"/>
              </w:rPr>
            </w:pPr>
          </w:p>
        </w:tc>
        <w:tc>
          <w:tcPr>
            <w:tcW w:w="3356" w:type="dxa"/>
            <w:noWrap w:val="0"/>
            <w:vAlign w:val="top"/>
          </w:tcPr>
          <w:p w14:paraId="5D0CE1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岗位</w:t>
            </w:r>
          </w:p>
        </w:tc>
        <w:tc>
          <w:tcPr>
            <w:tcW w:w="721" w:type="dxa"/>
            <w:noWrap w:val="0"/>
            <w:textDirection w:val="tbRlV"/>
            <w:vAlign w:val="top"/>
          </w:tcPr>
          <w:p w14:paraId="5B69FA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班制</w:t>
            </w:r>
          </w:p>
        </w:tc>
        <w:tc>
          <w:tcPr>
            <w:tcW w:w="1487" w:type="dxa"/>
            <w:noWrap w:val="0"/>
            <w:vAlign w:val="top"/>
          </w:tcPr>
          <w:p w14:paraId="28038A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每班人员</w:t>
            </w:r>
          </w:p>
        </w:tc>
        <w:tc>
          <w:tcPr>
            <w:tcW w:w="1534" w:type="dxa"/>
            <w:noWrap w:val="0"/>
            <w:vAlign w:val="top"/>
          </w:tcPr>
          <w:p w14:paraId="55485B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配置人员</w:t>
            </w:r>
          </w:p>
        </w:tc>
        <w:tc>
          <w:tcPr>
            <w:tcW w:w="1540" w:type="dxa"/>
            <w:noWrap w:val="0"/>
            <w:vAlign w:val="top"/>
          </w:tcPr>
          <w:p w14:paraId="36C85C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备注</w:t>
            </w:r>
          </w:p>
        </w:tc>
      </w:tr>
      <w:tr w14:paraId="1CCBB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9" w:type="dxa"/>
            <w:noWrap w:val="0"/>
            <w:vAlign w:val="top"/>
          </w:tcPr>
          <w:p w14:paraId="6C9830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一</w:t>
            </w:r>
          </w:p>
        </w:tc>
        <w:tc>
          <w:tcPr>
            <w:tcW w:w="3356" w:type="dxa"/>
            <w:noWrap w:val="0"/>
            <w:vAlign w:val="top"/>
          </w:tcPr>
          <w:p w14:paraId="42BF2A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行政管理部门</w:t>
            </w:r>
          </w:p>
        </w:tc>
        <w:tc>
          <w:tcPr>
            <w:tcW w:w="721" w:type="dxa"/>
            <w:noWrap w:val="0"/>
            <w:vAlign w:val="top"/>
          </w:tcPr>
          <w:p w14:paraId="726ECD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p>
        </w:tc>
        <w:tc>
          <w:tcPr>
            <w:tcW w:w="1487" w:type="dxa"/>
            <w:noWrap w:val="0"/>
            <w:vAlign w:val="top"/>
          </w:tcPr>
          <w:p w14:paraId="610EB0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17</w:t>
            </w:r>
          </w:p>
        </w:tc>
        <w:tc>
          <w:tcPr>
            <w:tcW w:w="1534" w:type="dxa"/>
            <w:noWrap w:val="0"/>
            <w:vAlign w:val="top"/>
          </w:tcPr>
          <w:p w14:paraId="0227B8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17</w:t>
            </w:r>
          </w:p>
        </w:tc>
        <w:tc>
          <w:tcPr>
            <w:tcW w:w="1540" w:type="dxa"/>
            <w:noWrap w:val="0"/>
            <w:vAlign w:val="top"/>
          </w:tcPr>
          <w:p w14:paraId="4F16EC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p>
        </w:tc>
      </w:tr>
      <w:tr w14:paraId="451A2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9" w:type="dxa"/>
            <w:noWrap w:val="0"/>
            <w:vAlign w:val="top"/>
          </w:tcPr>
          <w:p w14:paraId="587B28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1</w:t>
            </w:r>
          </w:p>
        </w:tc>
        <w:tc>
          <w:tcPr>
            <w:tcW w:w="3356" w:type="dxa"/>
            <w:noWrap w:val="0"/>
            <w:vAlign w:val="top"/>
          </w:tcPr>
          <w:p w14:paraId="4A89D9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总经理</w:t>
            </w:r>
          </w:p>
        </w:tc>
        <w:tc>
          <w:tcPr>
            <w:tcW w:w="721" w:type="dxa"/>
            <w:noWrap w:val="0"/>
            <w:vAlign w:val="top"/>
          </w:tcPr>
          <w:p w14:paraId="17D254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1</w:t>
            </w:r>
          </w:p>
        </w:tc>
        <w:tc>
          <w:tcPr>
            <w:tcW w:w="1487" w:type="dxa"/>
            <w:noWrap w:val="0"/>
            <w:vAlign w:val="top"/>
          </w:tcPr>
          <w:p w14:paraId="1CBADC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1</w:t>
            </w:r>
          </w:p>
        </w:tc>
        <w:tc>
          <w:tcPr>
            <w:tcW w:w="1534" w:type="dxa"/>
            <w:noWrap w:val="0"/>
            <w:vAlign w:val="top"/>
          </w:tcPr>
          <w:p w14:paraId="293DFD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1</w:t>
            </w:r>
          </w:p>
        </w:tc>
        <w:tc>
          <w:tcPr>
            <w:tcW w:w="1540" w:type="dxa"/>
            <w:noWrap w:val="0"/>
            <w:vAlign w:val="top"/>
          </w:tcPr>
          <w:p w14:paraId="338AFC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p>
        </w:tc>
      </w:tr>
      <w:tr w14:paraId="40D9D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9" w:type="dxa"/>
            <w:noWrap w:val="0"/>
            <w:vAlign w:val="top"/>
          </w:tcPr>
          <w:p w14:paraId="3431B5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w:t>
            </w:r>
          </w:p>
        </w:tc>
        <w:tc>
          <w:tcPr>
            <w:tcW w:w="3356" w:type="dxa"/>
            <w:noWrap w:val="0"/>
            <w:vAlign w:val="top"/>
          </w:tcPr>
          <w:p w14:paraId="57BA69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副总经理</w:t>
            </w:r>
          </w:p>
        </w:tc>
        <w:tc>
          <w:tcPr>
            <w:tcW w:w="721" w:type="dxa"/>
            <w:noWrap w:val="0"/>
            <w:vAlign w:val="top"/>
          </w:tcPr>
          <w:p w14:paraId="390105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1</w:t>
            </w:r>
          </w:p>
        </w:tc>
        <w:tc>
          <w:tcPr>
            <w:tcW w:w="1487" w:type="dxa"/>
            <w:noWrap w:val="0"/>
            <w:vAlign w:val="top"/>
          </w:tcPr>
          <w:p w14:paraId="29275B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w:t>
            </w:r>
          </w:p>
        </w:tc>
        <w:tc>
          <w:tcPr>
            <w:tcW w:w="1534" w:type="dxa"/>
            <w:noWrap w:val="0"/>
            <w:vAlign w:val="top"/>
          </w:tcPr>
          <w:p w14:paraId="0545EF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w:t>
            </w:r>
          </w:p>
        </w:tc>
        <w:tc>
          <w:tcPr>
            <w:tcW w:w="1540" w:type="dxa"/>
            <w:noWrap w:val="0"/>
            <w:vAlign w:val="top"/>
          </w:tcPr>
          <w:p w14:paraId="2B869E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p>
        </w:tc>
      </w:tr>
      <w:tr w14:paraId="27BDE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9" w:type="dxa"/>
            <w:noWrap w:val="0"/>
            <w:vAlign w:val="top"/>
          </w:tcPr>
          <w:p w14:paraId="793352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3</w:t>
            </w:r>
          </w:p>
        </w:tc>
        <w:tc>
          <w:tcPr>
            <w:tcW w:w="3356" w:type="dxa"/>
            <w:noWrap w:val="0"/>
            <w:vAlign w:val="top"/>
          </w:tcPr>
          <w:p w14:paraId="01DB7A1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生产技术部</w:t>
            </w:r>
          </w:p>
        </w:tc>
        <w:tc>
          <w:tcPr>
            <w:tcW w:w="721" w:type="dxa"/>
            <w:noWrap w:val="0"/>
            <w:vAlign w:val="top"/>
          </w:tcPr>
          <w:p w14:paraId="7CC839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1</w:t>
            </w:r>
          </w:p>
        </w:tc>
        <w:tc>
          <w:tcPr>
            <w:tcW w:w="1487" w:type="dxa"/>
            <w:noWrap w:val="0"/>
            <w:vAlign w:val="top"/>
          </w:tcPr>
          <w:p w14:paraId="4C1BDE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4</w:t>
            </w:r>
          </w:p>
        </w:tc>
        <w:tc>
          <w:tcPr>
            <w:tcW w:w="1534" w:type="dxa"/>
            <w:noWrap w:val="0"/>
            <w:vAlign w:val="top"/>
          </w:tcPr>
          <w:p w14:paraId="47C0F9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4</w:t>
            </w:r>
          </w:p>
        </w:tc>
        <w:tc>
          <w:tcPr>
            <w:tcW w:w="1540" w:type="dxa"/>
            <w:noWrap w:val="0"/>
            <w:vAlign w:val="top"/>
          </w:tcPr>
          <w:p w14:paraId="021457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p>
        </w:tc>
      </w:tr>
      <w:tr w14:paraId="0D636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9" w:type="dxa"/>
            <w:noWrap w:val="0"/>
            <w:vAlign w:val="top"/>
          </w:tcPr>
          <w:p w14:paraId="323EB4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4</w:t>
            </w:r>
          </w:p>
        </w:tc>
        <w:tc>
          <w:tcPr>
            <w:tcW w:w="3356" w:type="dxa"/>
            <w:noWrap w:val="0"/>
            <w:vAlign w:val="top"/>
          </w:tcPr>
          <w:p w14:paraId="092709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工程及维修部</w:t>
            </w:r>
          </w:p>
        </w:tc>
        <w:tc>
          <w:tcPr>
            <w:tcW w:w="721" w:type="dxa"/>
            <w:noWrap w:val="0"/>
            <w:vAlign w:val="top"/>
          </w:tcPr>
          <w:p w14:paraId="68E241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1</w:t>
            </w:r>
          </w:p>
        </w:tc>
        <w:tc>
          <w:tcPr>
            <w:tcW w:w="1487" w:type="dxa"/>
            <w:noWrap w:val="0"/>
            <w:vAlign w:val="top"/>
          </w:tcPr>
          <w:p w14:paraId="6908F9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5</w:t>
            </w:r>
          </w:p>
        </w:tc>
        <w:tc>
          <w:tcPr>
            <w:tcW w:w="1534" w:type="dxa"/>
            <w:noWrap w:val="0"/>
            <w:vAlign w:val="top"/>
          </w:tcPr>
          <w:p w14:paraId="25B198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5</w:t>
            </w:r>
          </w:p>
        </w:tc>
        <w:tc>
          <w:tcPr>
            <w:tcW w:w="1540" w:type="dxa"/>
            <w:noWrap w:val="0"/>
            <w:vAlign w:val="top"/>
          </w:tcPr>
          <w:p w14:paraId="1A9F4D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p>
        </w:tc>
      </w:tr>
      <w:tr w14:paraId="41515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9" w:type="dxa"/>
            <w:noWrap w:val="0"/>
            <w:vAlign w:val="top"/>
          </w:tcPr>
          <w:p w14:paraId="1DEDF8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5</w:t>
            </w:r>
          </w:p>
        </w:tc>
        <w:tc>
          <w:tcPr>
            <w:tcW w:w="3356" w:type="dxa"/>
            <w:noWrap w:val="0"/>
            <w:vAlign w:val="top"/>
          </w:tcPr>
          <w:p w14:paraId="7D3276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综合管理部</w:t>
            </w:r>
          </w:p>
        </w:tc>
        <w:tc>
          <w:tcPr>
            <w:tcW w:w="721" w:type="dxa"/>
            <w:noWrap w:val="0"/>
            <w:vAlign w:val="top"/>
          </w:tcPr>
          <w:p w14:paraId="7616D3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1</w:t>
            </w:r>
          </w:p>
        </w:tc>
        <w:tc>
          <w:tcPr>
            <w:tcW w:w="1487" w:type="dxa"/>
            <w:noWrap w:val="0"/>
            <w:vAlign w:val="top"/>
          </w:tcPr>
          <w:p w14:paraId="4AD38E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5</w:t>
            </w:r>
          </w:p>
        </w:tc>
        <w:tc>
          <w:tcPr>
            <w:tcW w:w="1534" w:type="dxa"/>
            <w:noWrap w:val="0"/>
            <w:vAlign w:val="top"/>
          </w:tcPr>
          <w:p w14:paraId="6C7310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5</w:t>
            </w:r>
          </w:p>
        </w:tc>
        <w:tc>
          <w:tcPr>
            <w:tcW w:w="1540" w:type="dxa"/>
            <w:noWrap w:val="0"/>
            <w:vAlign w:val="top"/>
          </w:tcPr>
          <w:p w14:paraId="1AB32DA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p>
        </w:tc>
      </w:tr>
      <w:tr w14:paraId="7CB23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9" w:type="dxa"/>
            <w:noWrap w:val="0"/>
            <w:vAlign w:val="top"/>
          </w:tcPr>
          <w:p w14:paraId="46BB3D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二</w:t>
            </w:r>
          </w:p>
        </w:tc>
        <w:tc>
          <w:tcPr>
            <w:tcW w:w="3356" w:type="dxa"/>
            <w:noWrap w:val="0"/>
            <w:vAlign w:val="top"/>
          </w:tcPr>
          <w:p w14:paraId="5456E0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生产管理部门</w:t>
            </w:r>
          </w:p>
        </w:tc>
        <w:tc>
          <w:tcPr>
            <w:tcW w:w="721" w:type="dxa"/>
            <w:noWrap w:val="0"/>
            <w:vAlign w:val="top"/>
          </w:tcPr>
          <w:p w14:paraId="479548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p>
        </w:tc>
        <w:tc>
          <w:tcPr>
            <w:tcW w:w="1487" w:type="dxa"/>
            <w:noWrap w:val="0"/>
            <w:vAlign w:val="top"/>
          </w:tcPr>
          <w:p w14:paraId="0E9B18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15</w:t>
            </w:r>
          </w:p>
        </w:tc>
        <w:tc>
          <w:tcPr>
            <w:tcW w:w="1534" w:type="dxa"/>
            <w:noWrap w:val="0"/>
            <w:vAlign w:val="top"/>
          </w:tcPr>
          <w:p w14:paraId="4247B0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28</w:t>
            </w:r>
          </w:p>
        </w:tc>
        <w:tc>
          <w:tcPr>
            <w:tcW w:w="1540" w:type="dxa"/>
            <w:noWrap w:val="0"/>
            <w:vAlign w:val="top"/>
          </w:tcPr>
          <w:p w14:paraId="682FE7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p>
        </w:tc>
      </w:tr>
      <w:tr w14:paraId="17476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9" w:type="dxa"/>
            <w:noWrap w:val="0"/>
            <w:vAlign w:val="top"/>
          </w:tcPr>
          <w:p w14:paraId="50EAF1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1</w:t>
            </w:r>
          </w:p>
        </w:tc>
        <w:tc>
          <w:tcPr>
            <w:tcW w:w="3356" w:type="dxa"/>
            <w:noWrap w:val="0"/>
            <w:vAlign w:val="top"/>
          </w:tcPr>
          <w:p w14:paraId="1DE7B6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建筑垃堆场人工预分拣</w:t>
            </w:r>
          </w:p>
        </w:tc>
        <w:tc>
          <w:tcPr>
            <w:tcW w:w="721" w:type="dxa"/>
            <w:noWrap w:val="0"/>
            <w:vAlign w:val="top"/>
          </w:tcPr>
          <w:p w14:paraId="5924C5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w:t>
            </w:r>
          </w:p>
        </w:tc>
        <w:tc>
          <w:tcPr>
            <w:tcW w:w="1487" w:type="dxa"/>
            <w:noWrap w:val="0"/>
            <w:vAlign w:val="top"/>
          </w:tcPr>
          <w:p w14:paraId="0AAE68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4</w:t>
            </w:r>
          </w:p>
        </w:tc>
        <w:tc>
          <w:tcPr>
            <w:tcW w:w="1534" w:type="dxa"/>
            <w:noWrap w:val="0"/>
            <w:vAlign w:val="top"/>
          </w:tcPr>
          <w:p w14:paraId="162533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8</w:t>
            </w:r>
          </w:p>
        </w:tc>
        <w:tc>
          <w:tcPr>
            <w:tcW w:w="1540" w:type="dxa"/>
            <w:noWrap w:val="0"/>
            <w:vAlign w:val="top"/>
          </w:tcPr>
          <w:p w14:paraId="027CAB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2班2运转</w:t>
            </w:r>
          </w:p>
        </w:tc>
      </w:tr>
      <w:tr w14:paraId="79876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9" w:type="dxa"/>
            <w:noWrap w:val="0"/>
            <w:vAlign w:val="top"/>
          </w:tcPr>
          <w:p w14:paraId="19E0ED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w:t>
            </w:r>
          </w:p>
        </w:tc>
        <w:tc>
          <w:tcPr>
            <w:tcW w:w="3356" w:type="dxa"/>
            <w:noWrap w:val="0"/>
            <w:vAlign w:val="top"/>
          </w:tcPr>
          <w:p w14:paraId="6955DBA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建筑垃圾上料间</w:t>
            </w:r>
          </w:p>
        </w:tc>
        <w:tc>
          <w:tcPr>
            <w:tcW w:w="721" w:type="dxa"/>
            <w:noWrap w:val="0"/>
            <w:vAlign w:val="top"/>
          </w:tcPr>
          <w:p w14:paraId="34DBC7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w:t>
            </w:r>
          </w:p>
        </w:tc>
        <w:tc>
          <w:tcPr>
            <w:tcW w:w="1487" w:type="dxa"/>
            <w:noWrap w:val="0"/>
            <w:vAlign w:val="top"/>
          </w:tcPr>
          <w:p w14:paraId="4FB024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w:t>
            </w:r>
          </w:p>
        </w:tc>
        <w:tc>
          <w:tcPr>
            <w:tcW w:w="1534" w:type="dxa"/>
            <w:noWrap w:val="0"/>
            <w:vAlign w:val="top"/>
          </w:tcPr>
          <w:p w14:paraId="63866D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4</w:t>
            </w:r>
          </w:p>
        </w:tc>
        <w:tc>
          <w:tcPr>
            <w:tcW w:w="1540" w:type="dxa"/>
            <w:noWrap w:val="0"/>
            <w:vAlign w:val="top"/>
          </w:tcPr>
          <w:p w14:paraId="339080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2班2运转</w:t>
            </w:r>
          </w:p>
        </w:tc>
      </w:tr>
      <w:tr w14:paraId="6DE86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9" w:type="dxa"/>
            <w:noWrap w:val="0"/>
            <w:vAlign w:val="top"/>
          </w:tcPr>
          <w:p w14:paraId="5DB42F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3</w:t>
            </w:r>
          </w:p>
        </w:tc>
        <w:tc>
          <w:tcPr>
            <w:tcW w:w="3356" w:type="dxa"/>
            <w:noWrap w:val="0"/>
            <w:vAlign w:val="top"/>
          </w:tcPr>
          <w:p w14:paraId="5A7769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建筑垃圾分选线</w:t>
            </w:r>
          </w:p>
        </w:tc>
        <w:tc>
          <w:tcPr>
            <w:tcW w:w="721" w:type="dxa"/>
            <w:noWrap w:val="0"/>
            <w:vAlign w:val="top"/>
          </w:tcPr>
          <w:p w14:paraId="05A941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w:t>
            </w:r>
          </w:p>
        </w:tc>
        <w:tc>
          <w:tcPr>
            <w:tcW w:w="1487" w:type="dxa"/>
            <w:noWrap w:val="0"/>
            <w:vAlign w:val="top"/>
          </w:tcPr>
          <w:p w14:paraId="0E28A0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5</w:t>
            </w:r>
          </w:p>
        </w:tc>
        <w:tc>
          <w:tcPr>
            <w:tcW w:w="1534" w:type="dxa"/>
            <w:noWrap w:val="0"/>
            <w:vAlign w:val="top"/>
          </w:tcPr>
          <w:p w14:paraId="2D797C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10</w:t>
            </w:r>
          </w:p>
        </w:tc>
        <w:tc>
          <w:tcPr>
            <w:tcW w:w="1540" w:type="dxa"/>
            <w:noWrap w:val="0"/>
            <w:vAlign w:val="top"/>
          </w:tcPr>
          <w:p w14:paraId="077B30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2班2运转</w:t>
            </w:r>
          </w:p>
        </w:tc>
      </w:tr>
      <w:tr w14:paraId="4E757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9" w:type="dxa"/>
            <w:noWrap w:val="0"/>
            <w:vAlign w:val="top"/>
          </w:tcPr>
          <w:p w14:paraId="5913A7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4</w:t>
            </w:r>
          </w:p>
        </w:tc>
        <w:tc>
          <w:tcPr>
            <w:tcW w:w="3356" w:type="dxa"/>
            <w:noWrap w:val="0"/>
            <w:vAlign w:val="top"/>
          </w:tcPr>
          <w:p w14:paraId="5914C8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中央控制室</w:t>
            </w:r>
          </w:p>
        </w:tc>
        <w:tc>
          <w:tcPr>
            <w:tcW w:w="721" w:type="dxa"/>
            <w:noWrap w:val="0"/>
            <w:vAlign w:val="top"/>
          </w:tcPr>
          <w:p w14:paraId="370E60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w:t>
            </w:r>
          </w:p>
        </w:tc>
        <w:tc>
          <w:tcPr>
            <w:tcW w:w="1487" w:type="dxa"/>
            <w:noWrap w:val="0"/>
            <w:vAlign w:val="top"/>
          </w:tcPr>
          <w:p w14:paraId="7FF520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w:t>
            </w:r>
          </w:p>
        </w:tc>
        <w:tc>
          <w:tcPr>
            <w:tcW w:w="1534" w:type="dxa"/>
            <w:noWrap w:val="0"/>
            <w:vAlign w:val="top"/>
          </w:tcPr>
          <w:p w14:paraId="40C6DC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4</w:t>
            </w:r>
          </w:p>
        </w:tc>
        <w:tc>
          <w:tcPr>
            <w:tcW w:w="1540" w:type="dxa"/>
            <w:noWrap w:val="0"/>
            <w:vAlign w:val="top"/>
          </w:tcPr>
          <w:p w14:paraId="3B74CB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2班2运转</w:t>
            </w:r>
          </w:p>
        </w:tc>
      </w:tr>
      <w:tr w14:paraId="4CE0B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9" w:type="dxa"/>
            <w:noWrap w:val="0"/>
            <w:vAlign w:val="top"/>
          </w:tcPr>
          <w:p w14:paraId="5F59F6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5</w:t>
            </w:r>
          </w:p>
        </w:tc>
        <w:tc>
          <w:tcPr>
            <w:tcW w:w="3356" w:type="dxa"/>
            <w:noWrap w:val="0"/>
            <w:vAlign w:val="top"/>
          </w:tcPr>
          <w:p w14:paraId="6F9077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原料、骨料场工作人员</w:t>
            </w:r>
          </w:p>
        </w:tc>
        <w:tc>
          <w:tcPr>
            <w:tcW w:w="721" w:type="dxa"/>
            <w:noWrap w:val="0"/>
            <w:vAlign w:val="top"/>
          </w:tcPr>
          <w:p w14:paraId="7021D4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1</w:t>
            </w:r>
          </w:p>
        </w:tc>
        <w:tc>
          <w:tcPr>
            <w:tcW w:w="1487" w:type="dxa"/>
            <w:noWrap w:val="0"/>
            <w:vAlign w:val="top"/>
          </w:tcPr>
          <w:p w14:paraId="2F8585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w:t>
            </w:r>
          </w:p>
        </w:tc>
        <w:tc>
          <w:tcPr>
            <w:tcW w:w="1534" w:type="dxa"/>
            <w:noWrap w:val="0"/>
            <w:vAlign w:val="top"/>
          </w:tcPr>
          <w:p w14:paraId="48781B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w:t>
            </w:r>
          </w:p>
        </w:tc>
        <w:tc>
          <w:tcPr>
            <w:tcW w:w="1540" w:type="dxa"/>
            <w:noWrap w:val="0"/>
            <w:vAlign w:val="top"/>
          </w:tcPr>
          <w:p w14:paraId="550AC0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长白班</w:t>
            </w:r>
          </w:p>
        </w:tc>
      </w:tr>
      <w:tr w14:paraId="165C2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9" w:type="dxa"/>
            <w:noWrap w:val="0"/>
            <w:vAlign w:val="top"/>
          </w:tcPr>
          <w:p w14:paraId="0E00B39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三</w:t>
            </w:r>
          </w:p>
        </w:tc>
        <w:tc>
          <w:tcPr>
            <w:tcW w:w="3356" w:type="dxa"/>
            <w:noWrap w:val="0"/>
            <w:vAlign w:val="top"/>
          </w:tcPr>
          <w:p w14:paraId="034E20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后勤部门</w:t>
            </w:r>
          </w:p>
        </w:tc>
        <w:tc>
          <w:tcPr>
            <w:tcW w:w="721" w:type="dxa"/>
            <w:noWrap w:val="0"/>
            <w:vAlign w:val="top"/>
          </w:tcPr>
          <w:p w14:paraId="03EF2A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p>
        </w:tc>
        <w:tc>
          <w:tcPr>
            <w:tcW w:w="1487" w:type="dxa"/>
            <w:noWrap w:val="0"/>
            <w:vAlign w:val="top"/>
          </w:tcPr>
          <w:p w14:paraId="10D580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5</w:t>
            </w:r>
          </w:p>
        </w:tc>
        <w:tc>
          <w:tcPr>
            <w:tcW w:w="1534" w:type="dxa"/>
            <w:noWrap w:val="0"/>
            <w:vAlign w:val="top"/>
          </w:tcPr>
          <w:p w14:paraId="7BDEA7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5</w:t>
            </w:r>
          </w:p>
        </w:tc>
        <w:tc>
          <w:tcPr>
            <w:tcW w:w="1540" w:type="dxa"/>
            <w:noWrap w:val="0"/>
            <w:vAlign w:val="top"/>
          </w:tcPr>
          <w:p w14:paraId="5E9D85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p>
        </w:tc>
      </w:tr>
      <w:tr w14:paraId="16A4E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9" w:type="dxa"/>
            <w:noWrap w:val="0"/>
            <w:vAlign w:val="top"/>
          </w:tcPr>
          <w:p w14:paraId="148512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1</w:t>
            </w:r>
          </w:p>
        </w:tc>
        <w:tc>
          <w:tcPr>
            <w:tcW w:w="3356" w:type="dxa"/>
            <w:noWrap w:val="0"/>
            <w:vAlign w:val="top"/>
          </w:tcPr>
          <w:p w14:paraId="38DBC6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门卫</w:t>
            </w:r>
          </w:p>
        </w:tc>
        <w:tc>
          <w:tcPr>
            <w:tcW w:w="721" w:type="dxa"/>
            <w:noWrap w:val="0"/>
            <w:vAlign w:val="top"/>
          </w:tcPr>
          <w:p w14:paraId="40C5B6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w:t>
            </w:r>
          </w:p>
        </w:tc>
        <w:tc>
          <w:tcPr>
            <w:tcW w:w="1487" w:type="dxa"/>
            <w:noWrap w:val="0"/>
            <w:vAlign w:val="top"/>
          </w:tcPr>
          <w:p w14:paraId="15800C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w:t>
            </w:r>
          </w:p>
        </w:tc>
        <w:tc>
          <w:tcPr>
            <w:tcW w:w="1534" w:type="dxa"/>
            <w:noWrap w:val="0"/>
            <w:vAlign w:val="top"/>
          </w:tcPr>
          <w:p w14:paraId="490FDB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w:t>
            </w:r>
          </w:p>
        </w:tc>
        <w:tc>
          <w:tcPr>
            <w:tcW w:w="1540" w:type="dxa"/>
            <w:noWrap w:val="0"/>
            <w:vAlign w:val="top"/>
          </w:tcPr>
          <w:p w14:paraId="520B55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2班2运转</w:t>
            </w:r>
          </w:p>
        </w:tc>
      </w:tr>
      <w:tr w14:paraId="2B8DD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9" w:type="dxa"/>
            <w:noWrap w:val="0"/>
            <w:vAlign w:val="top"/>
          </w:tcPr>
          <w:p w14:paraId="2F4200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2</w:t>
            </w:r>
          </w:p>
        </w:tc>
        <w:tc>
          <w:tcPr>
            <w:tcW w:w="3356" w:type="dxa"/>
            <w:noWrap w:val="0"/>
            <w:vAlign w:val="top"/>
          </w:tcPr>
          <w:p w14:paraId="7230C5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食堂保洁</w:t>
            </w:r>
          </w:p>
        </w:tc>
        <w:tc>
          <w:tcPr>
            <w:tcW w:w="721" w:type="dxa"/>
            <w:noWrap w:val="0"/>
            <w:vAlign w:val="top"/>
          </w:tcPr>
          <w:p w14:paraId="7E6599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1</w:t>
            </w:r>
          </w:p>
        </w:tc>
        <w:tc>
          <w:tcPr>
            <w:tcW w:w="1487" w:type="dxa"/>
            <w:noWrap w:val="0"/>
            <w:vAlign w:val="top"/>
          </w:tcPr>
          <w:p w14:paraId="36B6E3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3</w:t>
            </w:r>
          </w:p>
        </w:tc>
        <w:tc>
          <w:tcPr>
            <w:tcW w:w="1534" w:type="dxa"/>
            <w:noWrap w:val="0"/>
            <w:vAlign w:val="top"/>
          </w:tcPr>
          <w:p w14:paraId="078AC0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3</w:t>
            </w:r>
          </w:p>
        </w:tc>
        <w:tc>
          <w:tcPr>
            <w:tcW w:w="1540" w:type="dxa"/>
            <w:noWrap w:val="0"/>
            <w:vAlign w:val="top"/>
          </w:tcPr>
          <w:p w14:paraId="660161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p>
        </w:tc>
      </w:tr>
      <w:tr w14:paraId="24256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719" w:type="dxa"/>
            <w:noWrap w:val="0"/>
            <w:vAlign w:val="top"/>
          </w:tcPr>
          <w:p w14:paraId="13738C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p>
        </w:tc>
        <w:tc>
          <w:tcPr>
            <w:tcW w:w="3356" w:type="dxa"/>
            <w:noWrap w:val="0"/>
            <w:vAlign w:val="top"/>
          </w:tcPr>
          <w:p w14:paraId="5993AB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合计</w:t>
            </w:r>
          </w:p>
        </w:tc>
        <w:tc>
          <w:tcPr>
            <w:tcW w:w="721" w:type="dxa"/>
            <w:noWrap w:val="0"/>
            <w:vAlign w:val="top"/>
          </w:tcPr>
          <w:p w14:paraId="106D57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p>
        </w:tc>
        <w:tc>
          <w:tcPr>
            <w:tcW w:w="1487" w:type="dxa"/>
            <w:noWrap w:val="0"/>
            <w:vAlign w:val="top"/>
          </w:tcPr>
          <w:p w14:paraId="6C2D64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37</w:t>
            </w:r>
          </w:p>
        </w:tc>
        <w:tc>
          <w:tcPr>
            <w:tcW w:w="1534" w:type="dxa"/>
            <w:noWrap w:val="0"/>
            <w:vAlign w:val="top"/>
          </w:tcPr>
          <w:p w14:paraId="55B155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r>
              <w:rPr>
                <w:rFonts w:hint="default" w:ascii="仿宋_GB2312" w:hAnsi="仿宋_GB2312" w:eastAsia="仿宋_GB2312" w:cs="仿宋_GB2312"/>
                <w:b w:val="0"/>
                <w:bCs w:val="0"/>
                <w:caps w:val="0"/>
                <w:smallCaps w:val="0"/>
                <w:color w:val="auto"/>
                <w:spacing w:val="0"/>
                <w:sz w:val="28"/>
                <w:szCs w:val="28"/>
                <w:lang w:val="en-US" w:eastAsia="en-US"/>
              </w:rPr>
              <w:t>50</w:t>
            </w:r>
          </w:p>
        </w:tc>
        <w:tc>
          <w:tcPr>
            <w:tcW w:w="1540" w:type="dxa"/>
            <w:noWrap w:val="0"/>
            <w:vAlign w:val="top"/>
          </w:tcPr>
          <w:p w14:paraId="5D37C5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cs="仿宋_GB2312"/>
                <w:b w:val="0"/>
                <w:bCs w:val="0"/>
                <w:caps w:val="0"/>
                <w:smallCaps w:val="0"/>
                <w:color w:val="auto"/>
                <w:spacing w:val="0"/>
                <w:sz w:val="28"/>
                <w:szCs w:val="28"/>
                <w:lang w:val="en-US" w:eastAsia="en-US"/>
              </w:rPr>
            </w:pPr>
          </w:p>
        </w:tc>
      </w:tr>
    </w:tbl>
    <w:p w14:paraId="43B6B9BE">
      <w:pPr>
        <w:pStyle w:val="33"/>
        <w:keepNext w:val="0"/>
        <w:keepLines w:val="0"/>
        <w:pageBreakBefore w:val="0"/>
        <w:widowControl w:val="0"/>
        <w:numPr>
          <w:ilvl w:val="2"/>
          <w:numId w:val="0"/>
        </w:numPr>
        <w:kinsoku/>
        <w:wordWrap/>
        <w:overflowPunct/>
        <w:topLinePunct w:val="0"/>
        <w:autoSpaceDE/>
        <w:autoSpaceDN/>
        <w:bidi w:val="0"/>
        <w:adjustRightInd/>
        <w:snapToGrid/>
        <w:spacing w:before="0" w:beforeLines="0" w:after="0" w:afterLines="0" w:line="576" w:lineRule="exact"/>
        <w:ind w:left="0" w:leftChars="0" w:firstLine="640" w:firstLineChars="200"/>
        <w:textAlignment w:val="auto"/>
        <w:rPr>
          <w:rFonts w:hint="eastAsia" w:ascii="楷体_GB2312" w:hAnsi="楷体_GB2312" w:eastAsia="楷体_GB2312" w:cs="楷体_GB2312"/>
          <w:b w:val="0"/>
          <w:bCs w:val="0"/>
          <w:caps w:val="0"/>
          <w:smallCaps w:val="0"/>
          <w:color w:val="auto"/>
          <w:spacing w:val="0"/>
          <w:sz w:val="32"/>
          <w:szCs w:val="28"/>
          <w:lang w:val="en-US" w:eastAsia="zh-CN"/>
        </w:rPr>
      </w:pPr>
      <w:bookmarkStart w:id="386" w:name="_Toc8736"/>
      <w:bookmarkStart w:id="387" w:name="_Toc11507"/>
      <w:bookmarkStart w:id="388" w:name="_Toc14401"/>
      <w:r>
        <w:rPr>
          <w:rFonts w:hint="eastAsia" w:ascii="楷体_GB2312" w:hAnsi="楷体_GB2312" w:eastAsia="楷体_GB2312" w:cs="楷体_GB2312"/>
          <w:b w:val="0"/>
          <w:bCs w:val="0"/>
          <w:caps w:val="0"/>
          <w:smallCaps w:val="0"/>
          <w:color w:val="auto"/>
          <w:spacing w:val="0"/>
          <w:sz w:val="32"/>
          <w:szCs w:val="28"/>
          <w:lang w:val="en-US" w:eastAsia="zh-CN"/>
        </w:rPr>
        <w:t>3．人员组成和培训</w:t>
      </w:r>
      <w:bookmarkEnd w:id="386"/>
      <w:bookmarkEnd w:id="387"/>
      <w:bookmarkEnd w:id="388"/>
    </w:p>
    <w:p w14:paraId="756FB09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人员组成：</w:t>
      </w:r>
    </w:p>
    <w:p w14:paraId="6199A7D3">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为使本工程能够顺利建成投产，正常运行，企业员工的素质</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包括文化水平、技术熟练程度、工作责任心、劳动纪律等</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起关键性作用。因此员工的招聘与培训十分重要。</w:t>
      </w:r>
    </w:p>
    <w:p w14:paraId="1D806B27">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各职能管理部门的人员，必须对</w:t>
      </w:r>
      <w:r>
        <w:rPr>
          <w:rFonts w:hint="eastAsia" w:ascii="仿宋_GB2312" w:hAnsi="仿宋_GB2312" w:eastAsia="仿宋_GB2312" w:cs="仿宋_GB2312"/>
          <w:b w:val="0"/>
          <w:bCs w:val="0"/>
          <w:caps w:val="0"/>
          <w:smallCaps w:val="0"/>
          <w:color w:val="auto"/>
          <w:spacing w:val="0"/>
          <w:lang w:val="en-US" w:eastAsia="zh-CN"/>
        </w:rPr>
        <w:t>厂区</w:t>
      </w:r>
      <w:r>
        <w:rPr>
          <w:rFonts w:hint="eastAsia" w:ascii="仿宋_GB2312" w:hAnsi="仿宋_GB2312" w:eastAsia="仿宋_GB2312" w:cs="仿宋_GB2312"/>
          <w:b w:val="0"/>
          <w:bCs w:val="0"/>
          <w:caps w:val="0"/>
          <w:smallCaps w:val="0"/>
          <w:color w:val="auto"/>
          <w:spacing w:val="0"/>
        </w:rPr>
        <w:t>生产情况有一定的了解，并有较高的文化素质、管理才能和组织能力，可通过国家有关部门的选调，也可通过人才市场招聘。</w:t>
      </w:r>
    </w:p>
    <w:p w14:paraId="3C67AEB4">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各专业工程技术人员必须相关专业毕业，具有本科以上学历或中级以上技术职称，工作能力强，有开拓创新精神。可通过人才市场或直接从高等院校择优录取。</w:t>
      </w:r>
    </w:p>
    <w:p w14:paraId="36EBA40C">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本工程引进国内先进技术，自动化水平高，要求生产人员具有高中以上文化程度，有较强的知识接受能力，入场前须经过相应的考试和严格的挑选。</w:t>
      </w:r>
    </w:p>
    <w:p w14:paraId="09020C12">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人员培训：</w:t>
      </w:r>
    </w:p>
    <w:p w14:paraId="38CCE651">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rPr>
        <w:t>现场培训</w:t>
      </w:r>
      <w:r>
        <w:rPr>
          <w:rFonts w:hint="eastAsia" w:ascii="仿宋_GB2312" w:hAnsi="仿宋_GB2312" w:eastAsia="仿宋_GB2312" w:cs="仿宋_GB2312"/>
          <w:b w:val="0"/>
          <w:bCs w:val="0"/>
          <w:caps w:val="0"/>
          <w:smallCaps w:val="0"/>
          <w:color w:val="auto"/>
          <w:spacing w:val="0"/>
          <w:lang w:eastAsia="zh-CN"/>
        </w:rPr>
        <w:t>。</w:t>
      </w:r>
      <w:r>
        <w:rPr>
          <w:rFonts w:hint="eastAsia" w:ascii="仿宋_GB2312" w:hAnsi="仿宋_GB2312" w:eastAsia="仿宋_GB2312" w:cs="仿宋_GB2312"/>
          <w:b w:val="0"/>
          <w:bCs w:val="0"/>
          <w:caps w:val="0"/>
          <w:smallCaps w:val="0"/>
          <w:color w:val="auto"/>
          <w:spacing w:val="0"/>
        </w:rPr>
        <w:t>由设备提供方组织有经验的专家到现场讲课，实地指导设备安装、调试和操作，进行现场培训。</w:t>
      </w:r>
    </w:p>
    <w:p w14:paraId="6D909993">
      <w:pPr>
        <w:pStyle w:val="40"/>
        <w:bidi w:val="0"/>
        <w:rPr>
          <w:rFonts w:hint="eastAsia" w:ascii="仿宋_GB2312" w:hAnsi="仿宋_GB2312" w:eastAsia="仿宋_GB2312" w:cs="仿宋_GB2312"/>
          <w:b w:val="0"/>
          <w:bCs w:val="0"/>
          <w:caps w:val="0"/>
          <w:smallCaps w:val="0"/>
          <w:color w:val="auto"/>
          <w:spacing w:val="0"/>
          <w:szCs w:val="32"/>
          <w:highlight w:val="none"/>
        </w:rPr>
      </w:pPr>
      <w:r>
        <w:rPr>
          <w:rFonts w:hint="eastAsia" w:ascii="仿宋_GB2312" w:hAnsi="仿宋_GB2312" w:eastAsia="仿宋_GB2312" w:cs="仿宋_GB2312"/>
          <w:b w:val="0"/>
          <w:bCs w:val="0"/>
          <w:caps w:val="0"/>
          <w:smallCaps w:val="0"/>
          <w:color w:val="auto"/>
          <w:spacing w:val="0"/>
        </w:rPr>
        <w:t>操作人员上岗前，应通过安全教育、操作规程、生产前后环节的协作、联系和事故处理等各项考试，合格者方可上岗。同时建议企业对职工应有试用期，对管理及生产人员在试用期内不能胜任者，予以辞退，保证企业投产后高效率正常运营</w:t>
      </w:r>
      <w:r>
        <w:rPr>
          <w:rFonts w:hint="eastAsia" w:ascii="仿宋_GB2312" w:hAnsi="仿宋_GB2312" w:eastAsia="仿宋_GB2312" w:cs="仿宋_GB2312"/>
          <w:b w:val="0"/>
          <w:bCs w:val="0"/>
          <w:caps w:val="0"/>
          <w:smallCaps w:val="0"/>
          <w:color w:val="auto"/>
          <w:spacing w:val="0"/>
          <w:szCs w:val="32"/>
          <w:highlight w:val="none"/>
        </w:rPr>
        <w:t>。</w:t>
      </w:r>
    </w:p>
    <w:p w14:paraId="0EAEB8B7">
      <w:pPr>
        <w:pStyle w:val="40"/>
        <w:bidi w:val="0"/>
        <w:rPr>
          <w:rFonts w:hint="default" w:ascii="黑体" w:hAnsi="黑体" w:eastAsia="黑体" w:cs="黑体"/>
          <w:b w:val="0"/>
          <w:bCs w:val="0"/>
          <w:caps w:val="0"/>
          <w:smallCaps w:val="0"/>
          <w:color w:val="auto"/>
          <w:spacing w:val="0"/>
          <w:lang w:val="en-US" w:eastAsia="zh-CN"/>
        </w:rPr>
      </w:pPr>
      <w:bookmarkStart w:id="389" w:name="_Toc15319"/>
      <w:bookmarkStart w:id="390" w:name="_Toc12496"/>
      <w:bookmarkStart w:id="391" w:name="_Toc5878"/>
      <w:r>
        <w:rPr>
          <w:rFonts w:hint="eastAsia" w:ascii="黑体" w:hAnsi="黑体" w:eastAsia="黑体" w:cs="黑体"/>
          <w:b w:val="0"/>
          <w:bCs w:val="0"/>
          <w:caps w:val="0"/>
          <w:smallCaps w:val="0"/>
          <w:color w:val="auto"/>
          <w:spacing w:val="0"/>
          <w:lang w:val="en-US" w:eastAsia="zh-CN"/>
        </w:rPr>
        <w:t>二、</w:t>
      </w:r>
      <w:r>
        <w:rPr>
          <w:rFonts w:hint="default" w:ascii="黑体" w:hAnsi="黑体" w:eastAsia="黑体" w:cs="黑体"/>
          <w:b w:val="0"/>
          <w:bCs w:val="0"/>
          <w:caps w:val="0"/>
          <w:smallCaps w:val="0"/>
          <w:color w:val="auto"/>
          <w:spacing w:val="0"/>
          <w:lang w:val="en-US" w:eastAsia="zh-CN"/>
        </w:rPr>
        <w:t>部门职责分工</w:t>
      </w:r>
      <w:bookmarkEnd w:id="389"/>
      <w:bookmarkEnd w:id="390"/>
      <w:bookmarkEnd w:id="391"/>
    </w:p>
    <w:p w14:paraId="55B969E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在建筑垃圾处置体系中，各个部门承担着重要的职责，共同协作确保建筑垃圾得到妥善处理和有效利用。</w:t>
      </w:r>
    </w:p>
    <w:p w14:paraId="521CE1D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城市管理部门应发挥主导作用，负责制定建筑垃圾管理政策和规划，监督和指导整个处置过程。他们要确保法规的执行，协调各相关部门之间的工作。</w:t>
      </w:r>
    </w:p>
    <w:p w14:paraId="5D3BBA8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生态环境部门主要负责监控建筑垃圾处置对环境的影响，包括大气、土壤和水体等方面。他们要确保处置过程符合环保要求，防止污染的发生。</w:t>
      </w:r>
    </w:p>
    <w:p w14:paraId="4FF9919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建设部门要对建筑工地的建筑垃圾产生进行源头管理，督促施工单位做好分类、收集和临时存放等工作。同时，他们也要参与建筑垃圾资源化利用的推进工作。</w:t>
      </w:r>
    </w:p>
    <w:p w14:paraId="59C3DC4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交通运输部门负责建筑垃圾运输的管理和监督，确保运输过程合法合规，防止超载、遗撒等问题。</w:t>
      </w:r>
    </w:p>
    <w:p w14:paraId="527048F4">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环卫部门承担着建筑垃圾的收集、运输和最终处置等具体工作，要确保垃圾的及时清理和妥善处理。</w:t>
      </w:r>
    </w:p>
    <w:p w14:paraId="1E6EECB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财政部门负责保障建筑垃圾处置相关工作的资金投入，支持基础设施建设和技术研发等。</w:t>
      </w:r>
    </w:p>
    <w:p w14:paraId="7234F501">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其他相关部门也要根据自身职责，积极配合建筑垃圾处置工作，形成合力，共同推动城市的可持续发展。</w:t>
      </w:r>
    </w:p>
    <w:p w14:paraId="6791BE25">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只有各个部门明确职责，各司其职，才能构建起高效、科学的建筑垃圾处置体系，为城市的环境和发展提供有力保障。各个部门需密切协作，形成合力，共同推动建筑垃圾处置体系的高效运行，实现资源的合理利用和环境的有效保护。</w:t>
      </w:r>
    </w:p>
    <w:p w14:paraId="7213A169">
      <w:pPr>
        <w:pStyle w:val="40"/>
        <w:bidi w:val="0"/>
        <w:rPr>
          <w:rFonts w:hint="default" w:ascii="黑体" w:hAnsi="黑体" w:eastAsia="黑体" w:cs="黑体"/>
          <w:b w:val="0"/>
          <w:bCs w:val="0"/>
          <w:caps w:val="0"/>
          <w:smallCaps w:val="0"/>
          <w:color w:val="auto"/>
          <w:spacing w:val="0"/>
          <w:lang w:val="en-US" w:eastAsia="zh-CN"/>
        </w:rPr>
      </w:pPr>
      <w:bookmarkStart w:id="392" w:name="_Toc21315"/>
      <w:bookmarkStart w:id="393" w:name="_Toc20313"/>
      <w:bookmarkStart w:id="394" w:name="_Toc8158"/>
      <w:r>
        <w:rPr>
          <w:rFonts w:hint="eastAsia" w:ascii="黑体" w:hAnsi="黑体" w:eastAsia="黑体" w:cs="黑体"/>
          <w:b w:val="0"/>
          <w:bCs w:val="0"/>
          <w:caps w:val="0"/>
          <w:smallCaps w:val="0"/>
          <w:color w:val="auto"/>
          <w:spacing w:val="0"/>
          <w:lang w:val="en-US" w:eastAsia="zh-CN"/>
        </w:rPr>
        <w:t>三、</w:t>
      </w:r>
      <w:r>
        <w:rPr>
          <w:rFonts w:hint="default" w:ascii="黑体" w:hAnsi="黑体" w:eastAsia="黑体" w:cs="黑体"/>
          <w:b w:val="0"/>
          <w:bCs w:val="0"/>
          <w:caps w:val="0"/>
          <w:smallCaps w:val="0"/>
          <w:color w:val="auto"/>
          <w:spacing w:val="0"/>
          <w:lang w:val="en-US" w:eastAsia="zh-CN"/>
        </w:rPr>
        <w:t>管理制度建设</w:t>
      </w:r>
      <w:bookmarkEnd w:id="392"/>
      <w:bookmarkEnd w:id="393"/>
      <w:bookmarkEnd w:id="394"/>
    </w:p>
    <w:p w14:paraId="66556EA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建筑垃圾的妥善处置是城市建设与管理中的重要任务，它不仅关系到城市的环境质量，还直接影响着城市的可持续发展。而建立健全的建筑垃圾处置体系中的管理制度，则是实现有效治理的关键基石。</w:t>
      </w:r>
    </w:p>
    <w:p w14:paraId="3B36F1F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备案核准制度是整个建筑垃圾处置流程的首要环节，也是基础保障。通过严格、规范的备案核准程序，我们能够全面、准确地掌握建筑垃圾的产生量、具体流向以及处置方式等关键信息，为后续的管理工作提供翔实的数据支持。有了这些数据，我们就能更有针对性地制定管理策略，确保每一处建筑垃圾都能得到妥善安置。</w:t>
      </w:r>
    </w:p>
    <w:p w14:paraId="15E8D41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源头减量制度则是从根源上解决问题的重要举措。在建筑设计阶段，就应该积极推行环保理念，鼓励设计师们采用可再生材料和先进的建筑技术，以最大程度地降低建筑垃圾的产生量。在施工过程中，也要加强管理，严格要求施工单位按照规定进行操作，避免因施工不当而造成不必要的垃圾产生。通过源头减量，我们不仅能够减少建筑垃圾对环境的影响，还能节约资源，实现可持续发展的目标。</w:t>
      </w:r>
    </w:p>
    <w:p w14:paraId="0AA7224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市场准入制度是规范建筑垃圾处置企业行为的重要手段。只有那些具备相应资质和技术实力的企业，才能进入建筑垃圾处置市场。这样一来，我们就能确保处置企业具备足够的专业能力，保障处置质量和安全。同时，市场准入制度还能促进企业之间的良性竞争，推动行业整体发展水平的提升。</w:t>
      </w:r>
    </w:p>
    <w:p w14:paraId="3E43D71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运输监管制度在建筑垃圾处置体系中也起着至关重要的作用。加强对运输车辆的监管，严格规范运输行为，是防止建筑垃圾在运输过程中出现超载、遗撒等问题的关键。通过安装定位装置、设置检查关卡等方式，我们能够实时掌握运输车辆的动态，确保其在运输过程中遵守相关规定，保障道路交通安全和城市环境整洁。</w:t>
      </w:r>
    </w:p>
    <w:p w14:paraId="5E72490F">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联合执法制度则是整合各部门力量，形成强大执法合力的重要制度。城市管理、环境保护、交通运输等多个部门要协同作战，共同打击违法违规处置建筑垃圾的行为。通过联合执法，我们能够提高执法效率，加大对违法行为的惩处力度，让那些试图违法违规的人望而却步。</w:t>
      </w:r>
    </w:p>
    <w:p w14:paraId="19FE68D7">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投诉举报制度是公众参与建筑垃圾处置监督的重要途径。通过设立投诉举报渠道，鼓励公众积极参与监督，我们能够及时发现问题，迅速采取措施解决。同时，投诉举报制度也能让公众感受到自己的参与权和监督权得到了尊重，增强公众对城市管理工作的认同感和归属感。</w:t>
      </w:r>
    </w:p>
    <w:p w14:paraId="4A943E33">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评价考核制度是对相关部门和企业工作的评估和检验。通过制定科学合理的评价指标体系，我们能够对部门和企业的工作进行全面、客观地评价。对于表现优秀的部门和企业，要给予表彰和奖励；对于工作不力的部门和企业，要进行批评和督促整改。通过评价考核制度，我们能够激励各部门和企业积极履行职责，提高建筑垃圾处置效率。</w:t>
      </w:r>
    </w:p>
    <w:p w14:paraId="6707ECB0">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激励奖惩制度则是通过奖励和惩罚的手段，引导各方积极参与建筑垃圾处置工作的重要制度。对于那些在建筑垃圾处置方面表现出色的企业和个人，要给予物质和精神上的奖励，激发他们的工作积极性和创造力。而对于那些违反规定、造成不良影响的企业和个人，要依法进行严厉惩处，让他们为自己的行为付出代价。</w:t>
      </w:r>
    </w:p>
    <w:p w14:paraId="38735D2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扶持政策制度是为建筑垃圾处置产业发展提供支持的重要举措。通过制定一系列优惠政策，如财政补贴、税收减免等，我们能够鼓励企业加大对建筑垃圾处置技术研发和设备更新的投入，推动建筑垃圾处置产业的升级和发展。同时，扶持政策制度还能吸引更多的社会资本进入建筑垃圾处置领域，促进产业的多元化发展。</w:t>
      </w:r>
    </w:p>
    <w:p w14:paraId="123C4899">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总之，完善的建筑垃圾处置体系需要备案核准制度、源头减量制度、市场准入制度、运输监管制度、联合执法制度、投诉举报制度、评价考核制度、激励奖惩制度和扶持政策制度等一系列相互关联、相互配合的管理制度共同支撑。只有通过这些制度的有效实施，我们才能实现建筑垃圾的科学处置，推动城市环境的改善和可持续发展，让我们的城市更加美丽宜居。</w:t>
      </w:r>
    </w:p>
    <w:p w14:paraId="1C4FB14B">
      <w:pPr>
        <w:pStyle w:val="8"/>
        <w:rPr>
          <w:rFonts w:hint="eastAsia"/>
          <w:b w:val="0"/>
          <w:bCs w:val="0"/>
          <w:caps w:val="0"/>
          <w:smallCaps w:val="0"/>
          <w:color w:val="auto"/>
          <w:spacing w:val="0"/>
        </w:rPr>
      </w:pPr>
      <w:r>
        <w:rPr>
          <w:rFonts w:hint="eastAsia"/>
          <w:b w:val="0"/>
          <w:bCs w:val="0"/>
          <w:caps w:val="0"/>
          <w:smallCaps w:val="0"/>
          <w:color w:val="auto"/>
          <w:spacing w:val="0"/>
        </w:rPr>
        <w:br w:type="page"/>
      </w:r>
    </w:p>
    <w:p w14:paraId="5745019D">
      <w:pPr>
        <w:pStyle w:val="7"/>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ind w:left="0" w:leftChars="0" w:firstLine="0" w:firstLineChars="0"/>
        <w:textAlignment w:val="auto"/>
        <w:rPr>
          <w:rFonts w:hint="default"/>
          <w:b w:val="0"/>
          <w:bCs w:val="0"/>
          <w:caps w:val="0"/>
          <w:smallCaps w:val="0"/>
          <w:color w:val="auto"/>
          <w:spacing w:val="0"/>
          <w:sz w:val="44"/>
          <w:szCs w:val="44"/>
          <w:lang w:val="en-US" w:eastAsia="zh-CN"/>
        </w:rPr>
      </w:pPr>
      <w:bookmarkStart w:id="395" w:name="_Toc28475"/>
      <w:bookmarkStart w:id="396" w:name="_Toc7903"/>
      <w:bookmarkStart w:id="397" w:name="_Toc1500"/>
      <w:r>
        <w:rPr>
          <w:rFonts w:hint="eastAsia" w:ascii="Times New Roman" w:hAnsi="Times New Roman" w:eastAsia="黑体" w:cs="Times New Roman"/>
          <w:b w:val="0"/>
          <w:bCs w:val="0"/>
          <w:caps w:val="0"/>
          <w:smallCaps w:val="0"/>
          <w:color w:val="auto"/>
          <w:spacing w:val="0"/>
          <w:kern w:val="44"/>
          <w:sz w:val="44"/>
          <w:szCs w:val="44"/>
          <w:lang w:val="en-US" w:eastAsia="zh-CN" w:bidi="ar-SA"/>
        </w:rPr>
        <w:t xml:space="preserve">第八章 </w:t>
      </w:r>
      <w:r>
        <w:rPr>
          <w:rFonts w:hint="eastAsia"/>
          <w:b w:val="0"/>
          <w:bCs w:val="0"/>
          <w:caps w:val="0"/>
          <w:smallCaps w:val="0"/>
          <w:color w:val="auto"/>
          <w:spacing w:val="0"/>
          <w:sz w:val="44"/>
          <w:szCs w:val="44"/>
          <w:lang w:val="en-US" w:eastAsia="zh-CN"/>
        </w:rPr>
        <w:t>保障措施</w:t>
      </w:r>
      <w:bookmarkEnd w:id="395"/>
      <w:bookmarkEnd w:id="396"/>
      <w:bookmarkEnd w:id="397"/>
    </w:p>
    <w:p w14:paraId="3C97C21E">
      <w:pPr>
        <w:pStyle w:val="40"/>
        <w:bidi w:val="0"/>
        <w:rPr>
          <w:rFonts w:hint="eastAsia" w:ascii="黑体" w:hAnsi="黑体" w:eastAsia="黑体" w:cs="黑体"/>
          <w:b w:val="0"/>
          <w:bCs w:val="0"/>
          <w:caps w:val="0"/>
          <w:smallCaps w:val="0"/>
          <w:color w:val="auto"/>
          <w:spacing w:val="0"/>
          <w:lang w:val="en-US" w:eastAsia="zh-CN"/>
        </w:rPr>
      </w:pPr>
      <w:bookmarkStart w:id="398" w:name="_Toc14096"/>
      <w:bookmarkStart w:id="399" w:name="_Toc28037"/>
      <w:bookmarkStart w:id="400" w:name="_Toc2347"/>
      <w:r>
        <w:rPr>
          <w:rFonts w:hint="eastAsia" w:ascii="黑体" w:hAnsi="黑体" w:eastAsia="黑体" w:cs="黑体"/>
          <w:b w:val="0"/>
          <w:bCs w:val="0"/>
          <w:caps w:val="0"/>
          <w:smallCaps w:val="0"/>
          <w:color w:val="auto"/>
          <w:spacing w:val="0"/>
          <w:lang w:val="en-US" w:eastAsia="zh-CN"/>
        </w:rPr>
        <w:t>一、政策保障</w:t>
      </w:r>
      <w:bookmarkEnd w:id="398"/>
      <w:bookmarkEnd w:id="399"/>
      <w:bookmarkEnd w:id="400"/>
    </w:p>
    <w:p w14:paraId="77639B34">
      <w:pPr>
        <w:pStyle w:val="40"/>
        <w:bidi w:val="0"/>
        <w:rPr>
          <w:rFonts w:hint="eastAsia" w:ascii="仿宋_GB2312" w:hAnsi="仿宋_GB2312" w:eastAsia="仿宋_GB2312" w:cs="仿宋_GB2312"/>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根据规划目标和产业发展需求，深入开展建筑垃圾在收集、运输、处理等领域地方标准与技术规程。完善建筑垃圾资源化制度，强化源头治理、运输监控、消纳处置及考核评估等机制。支持开展再生产品市场推广，加大对利用建筑垃圾生产新型墙体材料项目及其应用等扶持力度，探索源头减量、资源再生利用</w:t>
      </w:r>
      <w:r>
        <w:rPr>
          <w:rFonts w:hint="eastAsia" w:ascii="仿宋_GB2312" w:hAnsi="仿宋_GB2312" w:eastAsia="仿宋_GB2312" w:cs="仿宋_GB2312"/>
          <w:b w:val="0"/>
          <w:bCs w:val="0"/>
          <w:caps w:val="0"/>
          <w:smallCaps w:val="0"/>
          <w:color w:val="auto"/>
          <w:spacing w:val="0"/>
        </w:rPr>
        <w:t>等产业激励政策。</w:t>
      </w:r>
    </w:p>
    <w:p w14:paraId="7A2757C2">
      <w:pPr>
        <w:pStyle w:val="40"/>
        <w:bidi w:val="0"/>
        <w:rPr>
          <w:rFonts w:hint="eastAsia" w:ascii="黑体" w:hAnsi="黑体" w:eastAsia="黑体" w:cs="黑体"/>
          <w:b w:val="0"/>
          <w:bCs w:val="0"/>
          <w:caps w:val="0"/>
          <w:smallCaps w:val="0"/>
          <w:color w:val="auto"/>
          <w:spacing w:val="0"/>
          <w:lang w:val="en-US" w:eastAsia="zh-CN"/>
        </w:rPr>
      </w:pPr>
      <w:bookmarkStart w:id="401" w:name="_Toc32318"/>
      <w:bookmarkStart w:id="402" w:name="_Toc4226"/>
      <w:bookmarkStart w:id="403" w:name="_Toc10570"/>
      <w:r>
        <w:rPr>
          <w:rFonts w:hint="eastAsia" w:ascii="黑体" w:hAnsi="黑体" w:eastAsia="黑体" w:cs="黑体"/>
          <w:b w:val="0"/>
          <w:bCs w:val="0"/>
          <w:caps w:val="0"/>
          <w:smallCaps w:val="0"/>
          <w:color w:val="auto"/>
          <w:spacing w:val="0"/>
          <w:lang w:val="en-US" w:eastAsia="zh-CN"/>
        </w:rPr>
        <w:t>二、组织保障</w:t>
      </w:r>
      <w:bookmarkEnd w:id="401"/>
      <w:bookmarkEnd w:id="402"/>
      <w:bookmarkEnd w:id="403"/>
    </w:p>
    <w:p w14:paraId="0AADC9FB">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成立县建筑垃圾污染环境防治工作专班，统筹推进和监督落实建筑垃圾治理工作。明确建筑垃圾污染环境防治和资源化利用规划目标，确立具体任务和组织安排。认真落实属地责任，切实强化监管工作。各有关部门根据职责分工，强化责任担当，密切协作配合，形成上下联动、齐抓共管、合力推进的工作格局。</w:t>
      </w:r>
    </w:p>
    <w:p w14:paraId="3E3D8421">
      <w:pPr>
        <w:pStyle w:val="40"/>
        <w:bidi w:val="0"/>
        <w:rPr>
          <w:rFonts w:hint="eastAsia" w:ascii="黑体" w:hAnsi="黑体" w:eastAsia="黑体" w:cs="黑体"/>
          <w:b w:val="0"/>
          <w:bCs w:val="0"/>
          <w:caps w:val="0"/>
          <w:smallCaps w:val="0"/>
          <w:color w:val="auto"/>
          <w:spacing w:val="0"/>
          <w:lang w:val="en-US" w:eastAsia="zh-CN"/>
        </w:rPr>
      </w:pPr>
      <w:bookmarkStart w:id="404" w:name="_Toc24308"/>
      <w:bookmarkStart w:id="405" w:name="_Toc9699"/>
      <w:bookmarkStart w:id="406" w:name="_Toc18286"/>
      <w:r>
        <w:rPr>
          <w:rFonts w:hint="eastAsia" w:ascii="黑体" w:hAnsi="黑体" w:eastAsia="黑体" w:cs="黑体"/>
          <w:b w:val="0"/>
          <w:bCs w:val="0"/>
          <w:caps w:val="0"/>
          <w:smallCaps w:val="0"/>
          <w:color w:val="auto"/>
          <w:spacing w:val="0"/>
          <w:lang w:val="en-US" w:eastAsia="zh-CN"/>
        </w:rPr>
        <w:t>三、资金保障</w:t>
      </w:r>
      <w:bookmarkEnd w:id="404"/>
      <w:bookmarkEnd w:id="405"/>
      <w:bookmarkEnd w:id="406"/>
    </w:p>
    <w:p w14:paraId="45B5A966">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根据政府部门有关垃圾治理工作方案、收运处理设施建设及运行风险评估等要求，明确建筑垃圾治理所涉收集、储运、处置设施设备采购、配置等费用纳入政府年度预算。统筹安排建筑垃圾治理资金来源和分配，拓宽政府财政资金、专项资金等渠道。鼓励社会资本参与建筑垃圾污染环境防治及资源化利用，推进市场化运营。</w:t>
      </w:r>
    </w:p>
    <w:p w14:paraId="32434563">
      <w:pPr>
        <w:pStyle w:val="40"/>
        <w:bidi w:val="0"/>
        <w:rPr>
          <w:rFonts w:hint="eastAsia" w:ascii="黑体" w:hAnsi="黑体" w:eastAsia="黑体" w:cs="黑体"/>
          <w:b w:val="0"/>
          <w:bCs w:val="0"/>
          <w:caps w:val="0"/>
          <w:smallCaps w:val="0"/>
          <w:color w:val="auto"/>
          <w:spacing w:val="0"/>
          <w:lang w:val="en-US" w:eastAsia="zh-CN"/>
        </w:rPr>
      </w:pPr>
      <w:bookmarkStart w:id="407" w:name="_Toc15255"/>
      <w:bookmarkStart w:id="408" w:name="_Toc29206"/>
      <w:bookmarkStart w:id="409" w:name="_Toc23145"/>
      <w:r>
        <w:rPr>
          <w:rFonts w:hint="eastAsia" w:ascii="黑体" w:hAnsi="黑体" w:eastAsia="黑体" w:cs="黑体"/>
          <w:b w:val="0"/>
          <w:bCs w:val="0"/>
          <w:caps w:val="0"/>
          <w:smallCaps w:val="0"/>
          <w:color w:val="auto"/>
          <w:spacing w:val="0"/>
          <w:lang w:val="en-US" w:eastAsia="zh-CN"/>
        </w:rPr>
        <w:t>四、土地保障</w:t>
      </w:r>
      <w:bookmarkEnd w:id="407"/>
      <w:bookmarkEnd w:id="408"/>
      <w:bookmarkEnd w:id="409"/>
    </w:p>
    <w:p w14:paraId="25039D1E">
      <w:pPr>
        <w:pStyle w:val="40"/>
        <w:bidi w:val="0"/>
        <w:rPr>
          <w:rFonts w:hint="eastAsia" w:ascii="仿宋_GB2312" w:hAnsi="仿宋_GB2312" w:eastAsia="仿宋_GB2312" w:cs="仿宋_GB2312"/>
          <w:b w:val="0"/>
          <w:bCs w:val="0"/>
          <w:caps w:val="0"/>
          <w:smallCaps w:val="0"/>
          <w:color w:val="auto"/>
          <w:spacing w:val="0"/>
          <w:lang w:val="en-US" w:eastAsia="zh-CN"/>
        </w:rPr>
      </w:pPr>
      <w:r>
        <w:rPr>
          <w:rFonts w:hint="eastAsia" w:ascii="仿宋_GB2312" w:hAnsi="仿宋_GB2312" w:eastAsia="仿宋_GB2312" w:cs="仿宋_GB2312"/>
          <w:b w:val="0"/>
          <w:bCs w:val="0"/>
          <w:caps w:val="0"/>
          <w:smallCaps w:val="0"/>
          <w:color w:val="auto"/>
          <w:spacing w:val="0"/>
          <w:lang w:val="en-US" w:eastAsia="zh-CN"/>
        </w:rPr>
        <w:t>结合国土空间总体规划，加强对建筑垃圾消纳场所合理规划布局，确保位置分布合理、便于管理运营，最大程度降低对周边环境影响。创新用地供给模式，严格控制建筑垃圾消纳场所用地变更，对适宜采用灵活用地设施，可通过租赁、先租后让、租让结合、弹性年期出让等方式落实用地保障，推动土地使用年期与企业活跃期相适应。规范开展建筑垃圾转运、处理设施等建设审批。</w:t>
      </w:r>
    </w:p>
    <w:p w14:paraId="7283D3DE">
      <w:pPr>
        <w:pStyle w:val="40"/>
        <w:bidi w:val="0"/>
        <w:rPr>
          <w:rFonts w:hint="eastAsia" w:ascii="黑体" w:hAnsi="黑体" w:eastAsia="黑体" w:cs="黑体"/>
          <w:b w:val="0"/>
          <w:bCs w:val="0"/>
          <w:caps w:val="0"/>
          <w:smallCaps w:val="0"/>
          <w:color w:val="auto"/>
          <w:spacing w:val="0"/>
          <w:lang w:val="en-US" w:eastAsia="zh-CN"/>
        </w:rPr>
      </w:pPr>
      <w:bookmarkStart w:id="410" w:name="_Toc14107"/>
      <w:bookmarkStart w:id="411" w:name="_Toc21509"/>
      <w:r>
        <w:rPr>
          <w:rFonts w:hint="eastAsia" w:ascii="黑体" w:hAnsi="黑体" w:eastAsia="黑体" w:cs="黑体"/>
          <w:b w:val="0"/>
          <w:bCs w:val="0"/>
          <w:caps w:val="0"/>
          <w:smallCaps w:val="0"/>
          <w:color w:val="auto"/>
          <w:spacing w:val="0"/>
          <w:lang w:val="en-US" w:eastAsia="zh-CN"/>
        </w:rPr>
        <w:t>五、技术保障</w:t>
      </w:r>
      <w:bookmarkEnd w:id="410"/>
      <w:bookmarkEnd w:id="411"/>
    </w:p>
    <w:p w14:paraId="27EEFABC">
      <w:pPr>
        <w:pStyle w:val="40"/>
        <w:bidi w:val="0"/>
        <w:rPr>
          <w:rFonts w:hint="eastAsia"/>
          <w:b w:val="0"/>
          <w:bCs w:val="0"/>
          <w:caps w:val="0"/>
          <w:smallCaps w:val="0"/>
          <w:color w:val="auto"/>
          <w:spacing w:val="0"/>
        </w:rPr>
      </w:pPr>
      <w:r>
        <w:rPr>
          <w:rFonts w:hint="eastAsia" w:ascii="仿宋_GB2312" w:hAnsi="仿宋_GB2312" w:eastAsia="仿宋_GB2312" w:cs="仿宋_GB2312"/>
          <w:b w:val="0"/>
          <w:bCs w:val="0"/>
          <w:caps w:val="0"/>
          <w:smallCaps w:val="0"/>
          <w:color w:val="auto"/>
          <w:spacing w:val="0"/>
          <w:lang w:val="en-US" w:eastAsia="zh-CN"/>
        </w:rPr>
        <w:t>落实建筑垃圾治理相关数据实时上报联动机制，完善建筑垃圾资源化利用全过程信息化管理体系。建立数据汇集、分析和共享机制，加强建筑垃圾数字治理数据信息实时采集，通过整合各类信息，为决策提供科学依据和数据支撑。探索“天空地一体化”监控技术应用，借助先进技术手段，构建完善建筑垃圾从源头到末端处置全过程数字化闭环监管。</w:t>
      </w:r>
    </w:p>
    <w:sectPr>
      <w:footerReference r:id="rId11"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CBABB9B-14F7-4F36-9CBD-85436BA7678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C54AE204-8F94-4F9C-8006-287EA4491351}"/>
  </w:font>
  <w:font w:name="仿宋_GB2312">
    <w:altName w:val="仿宋"/>
    <w:panose1 w:val="02010609030101010101"/>
    <w:charset w:val="86"/>
    <w:family w:val="auto"/>
    <w:pitch w:val="default"/>
    <w:sig w:usb0="00000000" w:usb1="00000000" w:usb2="00000000" w:usb3="00000000" w:csb0="00040000" w:csb1="00000000"/>
    <w:embedRegular r:id="rId3" w:fontKey="{1B3F1279-48DE-4071-B3DE-D7CB643DE65E}"/>
  </w:font>
  <w:font w:name="方正仿宋_GB2312">
    <w:altName w:val="仿宋"/>
    <w:panose1 w:val="02000000000000000000"/>
    <w:charset w:val="86"/>
    <w:family w:val="auto"/>
    <w:pitch w:val="default"/>
    <w:sig w:usb0="00000000" w:usb1="00000000" w:usb2="00000012" w:usb3="00000000" w:csb0="00040001" w:csb1="00000000"/>
    <w:embedRegular r:id="rId4" w:fontKey="{CFE2A68B-D106-45F0-8E83-F419B68A2A4C}"/>
  </w:font>
  <w:font w:name="等线">
    <w:panose1 w:val="02010600030101010101"/>
    <w:charset w:val="86"/>
    <w:family w:val="auto"/>
    <w:pitch w:val="default"/>
    <w:sig w:usb0="A00002BF" w:usb1="38CF7CFA" w:usb2="00000016" w:usb3="00000000" w:csb0="0004000F" w:csb1="00000000"/>
  </w:font>
  <w:font w:name="方正小标宋简体">
    <w:altName w:val="黑体"/>
    <w:panose1 w:val="02000000000000000000"/>
    <w:charset w:val="86"/>
    <w:family w:val="auto"/>
    <w:pitch w:val="default"/>
    <w:sig w:usb0="00000000" w:usb1="00000000" w:usb2="00000012" w:usb3="00000000" w:csb0="00040001" w:csb1="00000000"/>
    <w:embedRegular r:id="rId5" w:fontKey="{981C6A36-F696-4E04-AA19-2F3D770735F1}"/>
  </w:font>
  <w:font w:name="楷体_GB2312">
    <w:altName w:val="楷体"/>
    <w:panose1 w:val="02010609030101010101"/>
    <w:charset w:val="86"/>
    <w:family w:val="modern"/>
    <w:pitch w:val="default"/>
    <w:sig w:usb0="00000000" w:usb1="00000000" w:usb2="00000000" w:usb3="00000000" w:csb0="00040000" w:csb1="00000000"/>
    <w:embedRegular r:id="rId6" w:fontKey="{98F83393-984C-4523-88A1-394432B78927}"/>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30B04">
    <w:pPr>
      <w:pStyle w:val="18"/>
      <w:jc w:val="center"/>
    </w:pPr>
  </w:p>
  <w:p w14:paraId="1892D8DD">
    <w:pPr>
      <w:pStyle w:val="1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434FA">
    <w:pPr>
      <w:pStyle w:val="18"/>
      <w:jc w:val="cente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AD0F">
                          <w:pPr>
                            <w:pStyle w:val="1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A49AD0F">
                    <w:pPr>
                      <w:pStyle w:val="1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p>
                </w:txbxContent>
              </v:textbox>
            </v:shape>
          </w:pict>
        </mc:Fallback>
      </mc:AlternateContent>
    </w:r>
  </w:p>
  <w:p w14:paraId="5AB94CBF">
    <w:pPr>
      <w:pStyle w:val="1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2B970">
    <w:pPr>
      <w:pStyle w:val="18"/>
      <w:jc w:val="center"/>
    </w:pPr>
  </w:p>
  <w:p w14:paraId="6BEF2B51">
    <w:pPr>
      <w:pStyle w:val="18"/>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78B96">
    <w:pPr>
      <w:pStyle w:val="18"/>
      <w:jc w:val="right"/>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42AC58">
                          <w:pPr>
                            <w:pStyle w:val="18"/>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Ii4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QiLjd0CAAAmBgAADgAAAAAAAAABACAAAAAfAQAAZHJzL2Uyb0RvYy54bWxQSwUG&#10;AAAAAAYABgBZAQAAbgYAAAAA&#10;">
              <v:fill on="f" focussize="0,0"/>
              <v:stroke on="f" weight="0.5pt"/>
              <v:imagedata o:title=""/>
              <o:lock v:ext="edit" aspectratio="f"/>
              <v:textbox inset="0mm,0mm,0mm,0mm" style="mso-fit-shape-to-text:t;">
                <w:txbxContent>
                  <w:p w14:paraId="2642AC58">
                    <w:pPr>
                      <w:pStyle w:val="18"/>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7C566">
    <w:pPr>
      <w:pStyle w:val="18"/>
      <w:jc w:val="right"/>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89C2A0">
                          <w:pPr>
                            <w:pStyle w:val="18"/>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3tSfd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GgrRQ&#10;8ftvX++//7z/8QXBHgi0VWYCcbcKIu3uUu4guN83sOl47yrdun9ghMAP8t4d5GU7i6g7lA7SNAIX&#10;BV+/APzweFxpY18x2SJnZFhD/bysZLMwtgvtQ9xtQhYN576GXKBthoenZ5E/cPAAOBcuFrIAjL3V&#10;1ebTOBpfpVdpEiSD4VWQRHkezIp5EgyLeHSWn+bzeR5/dnhxMqmbsmTC3df3SZw8rw77XukqfOgU&#10;I3lTOjiXktGr5ZxrtCHQp4X/OYUh+Qdh4eM0vBtYPaEUD5LocjAOimE6CpIiOQvGoygNonh8OR5G&#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ze1J90CAAAmBgAADgAAAAAAAAABACAAAAAfAQAAZHJzL2Uyb0RvYy54bWxQSwUG&#10;AAAAAAYABgBZAQAAbgYAAAAA&#10;">
              <v:fill on="f" focussize="0,0"/>
              <v:stroke on="f" weight="0.5pt"/>
              <v:imagedata o:title=""/>
              <o:lock v:ext="edit" aspectratio="f"/>
              <v:textbox inset="0mm,0mm,0mm,0mm" style="mso-fit-shape-to-text:t;">
                <w:txbxContent>
                  <w:p w14:paraId="7E89C2A0">
                    <w:pPr>
                      <w:pStyle w:val="18"/>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9F93E">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52562">
    <w:pPr>
      <w:pStyle w:val="19"/>
      <w:pBdr>
        <w:bottom w:val="none" w:color="auto" w:sz="0" w:space="1"/>
      </w:pBdr>
      <w:spacing w:line="240" w:lineRule="auto"/>
      <w:ind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BA2EFD"/>
    <w:multiLevelType w:val="multilevel"/>
    <w:tmpl w:val="01BA2EFD"/>
    <w:lvl w:ilvl="0" w:tentative="0">
      <w:start w:val="1"/>
      <w:numFmt w:val="decimal"/>
      <w:pStyle w:val="7"/>
      <w:suff w:val="space"/>
      <w:lvlText w:val="第%1章"/>
      <w:lvlJc w:val="left"/>
      <w:pPr>
        <w:ind w:left="0" w:firstLine="0"/>
      </w:pPr>
      <w:rPr>
        <w:rFonts w:hint="default" w:ascii="Times New Roman" w:hAnsi="Times New Roman" w:eastAsia="黑体"/>
        <w:b w:val="0"/>
        <w:i w:val="0"/>
        <w:sz w:val="36"/>
      </w:rPr>
    </w:lvl>
    <w:lvl w:ilvl="1" w:tentative="0">
      <w:start w:val="1"/>
      <w:numFmt w:val="decimal"/>
      <w:pStyle w:val="32"/>
      <w:suff w:val="space"/>
      <w:lvlText w:val="%1.%2"/>
      <w:lvlJc w:val="left"/>
      <w:pPr>
        <w:tabs>
          <w:tab w:val="left" w:pos="0"/>
        </w:tabs>
        <w:ind w:left="0" w:leftChars="0" w:firstLine="0" w:firstLineChars="0"/>
      </w:pPr>
      <w:rPr>
        <w:rFonts w:hint="default" w:ascii="Times New Roman" w:hAnsi="Times New Roman"/>
        <w:b w:val="0"/>
        <w:i w:val="0"/>
        <w:sz w:val="32"/>
      </w:rPr>
    </w:lvl>
    <w:lvl w:ilvl="2" w:tentative="0">
      <w:start w:val="1"/>
      <w:numFmt w:val="decimal"/>
      <w:pStyle w:val="33"/>
      <w:isLgl/>
      <w:suff w:val="space"/>
      <w:lvlText w:val="%1.%2.%3"/>
      <w:lvlJc w:val="left"/>
      <w:pPr>
        <w:tabs>
          <w:tab w:val="left" w:pos="0"/>
        </w:tabs>
        <w:ind w:left="0" w:leftChars="0" w:firstLine="0" w:firstLineChars="0"/>
      </w:pPr>
      <w:rPr>
        <w:rFonts w:hint="default" w:ascii="Times New Roman" w:hAnsi="Times New Roman"/>
        <w:b w:val="0"/>
        <w:i w:val="0"/>
        <w:sz w:val="30"/>
      </w:rPr>
    </w:lvl>
    <w:lvl w:ilvl="3" w:tentative="0">
      <w:start w:val="1"/>
      <w:numFmt w:val="decimal"/>
      <w:pStyle w:val="34"/>
      <w:isLgl/>
      <w:suff w:val="space"/>
      <w:lvlText w:val="%1.%2.%3.%4"/>
      <w:lvlJc w:val="left"/>
      <w:pPr>
        <w:ind w:left="0" w:firstLine="0"/>
      </w:pPr>
      <w:rPr>
        <w:rFonts w:hint="default" w:ascii="Times New Roman" w:hAnsi="Times New Roman"/>
        <w:sz w:val="28"/>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9."/>
      <w:lvlJc w:val="left"/>
      <w:pPr>
        <w:ind w:left="0" w:firstLine="0"/>
      </w:pPr>
      <w:rPr>
        <w:rFonts w:hint="default" w:ascii="Times New Roman" w:hAnsi="Times New Roman"/>
      </w:rPr>
    </w:lvl>
  </w:abstractNum>
  <w:abstractNum w:abstractNumId="1">
    <w:nsid w:val="26AACA7E"/>
    <w:multiLevelType w:val="multilevel"/>
    <w:tmpl w:val="26AACA7E"/>
    <w:lvl w:ilvl="0" w:tentative="0">
      <w:start w:val="1"/>
      <w:numFmt w:val="decimal"/>
      <w:pStyle w:val="2"/>
      <w:lvlText w:val="第%1章"/>
      <w:lvlJc w:val="left"/>
      <w:pPr>
        <w:ind w:left="425" w:hanging="425"/>
      </w:pPr>
      <w:rPr>
        <w:rFonts w:hint="default" w:eastAsia="黑体"/>
        <w:sz w:val="36"/>
      </w:rPr>
    </w:lvl>
    <w:lvl w:ilvl="1" w:tentative="0">
      <w:start w:val="1"/>
      <w:numFmt w:val="decimal"/>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lvlText w:val="%1.%2.%3.%4."/>
      <w:lvlJc w:val="left"/>
      <w:pPr>
        <w:ind w:left="850" w:hanging="850"/>
      </w:pPr>
      <w:rPr>
        <w:rFonts w:hint="default" w:ascii="Times New Roman" w:hAnsi="Times New Roman" w:cs="Arial"/>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69D55622"/>
    <w:multiLevelType w:val="multilevel"/>
    <w:tmpl w:val="69D55622"/>
    <w:lvl w:ilvl="0" w:tentative="0">
      <w:start w:val="1"/>
      <w:numFmt w:val="decimal"/>
      <w:suff w:val="space"/>
      <w:lvlText w:val="第%1章"/>
      <w:lvlJc w:val="left"/>
      <w:pPr>
        <w:ind w:left="432" w:hanging="432"/>
      </w:pPr>
      <w:rPr>
        <w:rFonts w:hint="eastAsia"/>
        <w:b w:val="0"/>
        <w:i w:val="0"/>
        <w:sz w:val="36"/>
        <w:lang w:val="en-US"/>
      </w:rPr>
    </w:lvl>
    <w:lvl w:ilvl="1" w:tentative="0">
      <w:start w:val="1"/>
      <w:numFmt w:val="decimal"/>
      <w:pStyle w:val="3"/>
      <w:suff w:val="space"/>
      <w:lvlText w:val="%1.%2"/>
      <w:lvlJc w:val="left"/>
      <w:pPr>
        <w:ind w:left="0" w:firstLine="0"/>
      </w:pPr>
      <w:rPr>
        <w:rFonts w:hint="default" w:ascii="Times New Roman" w:hAnsi="Times New Roman" w:eastAsia="黑体"/>
        <w:b w:val="0"/>
        <w:i w:val="0"/>
        <w:color w:val="auto"/>
        <w:sz w:val="32"/>
        <w:u w:val="none"/>
      </w:rPr>
    </w:lvl>
    <w:lvl w:ilvl="2" w:tentative="0">
      <w:start w:val="1"/>
      <w:numFmt w:val="decimal"/>
      <w:suff w:val="space"/>
      <w:lvlText w:val="%1.%2.%3"/>
      <w:lvlJc w:val="left"/>
      <w:pPr>
        <w:ind w:left="0" w:firstLine="0"/>
      </w:pPr>
      <w:rPr>
        <w:rFonts w:hint="default" w:ascii="Times New Roman" w:hAnsi="Times New Roman" w:eastAsia="黑体"/>
        <w:b w:val="0"/>
        <w:i w:val="0"/>
        <w:sz w:val="30"/>
      </w:rPr>
    </w:lvl>
    <w:lvl w:ilvl="3" w:tentative="0">
      <w:start w:val="1"/>
      <w:numFmt w:val="decimal"/>
      <w:suff w:val="space"/>
      <w:lvlText w:val="%1.%2.%3.%4"/>
      <w:lvlJc w:val="left"/>
      <w:pPr>
        <w:ind w:left="864" w:hanging="864"/>
      </w:pPr>
      <w:rPr>
        <w:rFonts w:hint="default" w:ascii="Times New Roman" w:hAnsi="Times New Roman" w:eastAsia="黑体"/>
        <w:b w:val="0"/>
        <w:i w:val="0"/>
        <w:sz w:val="28"/>
      </w:rPr>
    </w:lvl>
    <w:lvl w:ilvl="4" w:tentative="0">
      <w:start w:val="1"/>
      <w:numFmt w:val="decimal"/>
      <w:lvlText w:val="%1.%2.%3.%4.%5"/>
      <w:lvlJc w:val="left"/>
      <w:pPr>
        <w:tabs>
          <w:tab w:val="left" w:pos="1008"/>
        </w:tabs>
        <w:ind w:left="1008" w:hanging="1008"/>
      </w:pPr>
      <w:rPr>
        <w:rFonts w:hint="eastAsia"/>
        <w:b w:val="0"/>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xOGQzNTI3M2JmYzQ2Zjc2MmM1YTcxNWE4ZmI2NjYifQ=="/>
  </w:docVars>
  <w:rsids>
    <w:rsidRoot w:val="4DB9437B"/>
    <w:rsid w:val="0007568F"/>
    <w:rsid w:val="000774A4"/>
    <w:rsid w:val="00096ADB"/>
    <w:rsid w:val="001C5EB8"/>
    <w:rsid w:val="001E7133"/>
    <w:rsid w:val="00205C9C"/>
    <w:rsid w:val="002E6CFA"/>
    <w:rsid w:val="002F4F53"/>
    <w:rsid w:val="00323D53"/>
    <w:rsid w:val="00484893"/>
    <w:rsid w:val="004E64A8"/>
    <w:rsid w:val="005424E4"/>
    <w:rsid w:val="00565EF9"/>
    <w:rsid w:val="0057466C"/>
    <w:rsid w:val="005A247B"/>
    <w:rsid w:val="005D7106"/>
    <w:rsid w:val="005E0476"/>
    <w:rsid w:val="006236B7"/>
    <w:rsid w:val="006636DE"/>
    <w:rsid w:val="006D5021"/>
    <w:rsid w:val="007200AE"/>
    <w:rsid w:val="00735F74"/>
    <w:rsid w:val="00736041"/>
    <w:rsid w:val="00746FA4"/>
    <w:rsid w:val="007A1C1B"/>
    <w:rsid w:val="007F0865"/>
    <w:rsid w:val="00820616"/>
    <w:rsid w:val="00872A0D"/>
    <w:rsid w:val="008736B0"/>
    <w:rsid w:val="008D03ED"/>
    <w:rsid w:val="008D0ED0"/>
    <w:rsid w:val="00924DE6"/>
    <w:rsid w:val="00947A4F"/>
    <w:rsid w:val="00A74DFD"/>
    <w:rsid w:val="00AB4A9B"/>
    <w:rsid w:val="00B11FE3"/>
    <w:rsid w:val="00B131A5"/>
    <w:rsid w:val="00C8562A"/>
    <w:rsid w:val="00CD589B"/>
    <w:rsid w:val="00D3065B"/>
    <w:rsid w:val="00E1670E"/>
    <w:rsid w:val="00E84FEC"/>
    <w:rsid w:val="02057204"/>
    <w:rsid w:val="03C6471B"/>
    <w:rsid w:val="044D110F"/>
    <w:rsid w:val="05D3572A"/>
    <w:rsid w:val="05D54250"/>
    <w:rsid w:val="065531B9"/>
    <w:rsid w:val="077F1090"/>
    <w:rsid w:val="08DE3112"/>
    <w:rsid w:val="08EB22B6"/>
    <w:rsid w:val="0ABC490D"/>
    <w:rsid w:val="0C1B3CF0"/>
    <w:rsid w:val="0DF566DE"/>
    <w:rsid w:val="0E333921"/>
    <w:rsid w:val="0E5A393F"/>
    <w:rsid w:val="1171562C"/>
    <w:rsid w:val="1395244B"/>
    <w:rsid w:val="13F617DA"/>
    <w:rsid w:val="143E468E"/>
    <w:rsid w:val="14795140"/>
    <w:rsid w:val="148E1A8F"/>
    <w:rsid w:val="15436ADA"/>
    <w:rsid w:val="162126F2"/>
    <w:rsid w:val="16465015"/>
    <w:rsid w:val="168D6819"/>
    <w:rsid w:val="17710C68"/>
    <w:rsid w:val="17941AD2"/>
    <w:rsid w:val="17D82747"/>
    <w:rsid w:val="19622730"/>
    <w:rsid w:val="1B1D4E18"/>
    <w:rsid w:val="1BB20EC9"/>
    <w:rsid w:val="1D8938EC"/>
    <w:rsid w:val="1F2A7100"/>
    <w:rsid w:val="20220938"/>
    <w:rsid w:val="23E9569E"/>
    <w:rsid w:val="24E11DBA"/>
    <w:rsid w:val="29FD1610"/>
    <w:rsid w:val="2A0F7F3F"/>
    <w:rsid w:val="2A6875E4"/>
    <w:rsid w:val="2B746525"/>
    <w:rsid w:val="2C000C8C"/>
    <w:rsid w:val="2C401025"/>
    <w:rsid w:val="2D973380"/>
    <w:rsid w:val="2DA52FC1"/>
    <w:rsid w:val="2E73471B"/>
    <w:rsid w:val="30B32E72"/>
    <w:rsid w:val="334555F7"/>
    <w:rsid w:val="33555EEC"/>
    <w:rsid w:val="33683D96"/>
    <w:rsid w:val="34243A41"/>
    <w:rsid w:val="353A1AC3"/>
    <w:rsid w:val="36664BC2"/>
    <w:rsid w:val="36844A1D"/>
    <w:rsid w:val="37025FC2"/>
    <w:rsid w:val="37074CED"/>
    <w:rsid w:val="38B44A00"/>
    <w:rsid w:val="39000F9C"/>
    <w:rsid w:val="3A573895"/>
    <w:rsid w:val="3B3E754B"/>
    <w:rsid w:val="3B54214A"/>
    <w:rsid w:val="3C6471A1"/>
    <w:rsid w:val="3C8D17F0"/>
    <w:rsid w:val="3D865087"/>
    <w:rsid w:val="3E483C21"/>
    <w:rsid w:val="3EA66988"/>
    <w:rsid w:val="3EAC1226"/>
    <w:rsid w:val="3F3D3C0F"/>
    <w:rsid w:val="3F6C31C8"/>
    <w:rsid w:val="3FF7135B"/>
    <w:rsid w:val="407451A1"/>
    <w:rsid w:val="4099592E"/>
    <w:rsid w:val="41430CD4"/>
    <w:rsid w:val="414951C5"/>
    <w:rsid w:val="41BC3CA2"/>
    <w:rsid w:val="41C64B7A"/>
    <w:rsid w:val="423514FF"/>
    <w:rsid w:val="42A80E04"/>
    <w:rsid w:val="43DA7D60"/>
    <w:rsid w:val="449F05D1"/>
    <w:rsid w:val="44E5051F"/>
    <w:rsid w:val="44E82564"/>
    <w:rsid w:val="4619011F"/>
    <w:rsid w:val="46326F64"/>
    <w:rsid w:val="47B050EC"/>
    <w:rsid w:val="48300A0A"/>
    <w:rsid w:val="484F660F"/>
    <w:rsid w:val="48D620A3"/>
    <w:rsid w:val="49155685"/>
    <w:rsid w:val="4B83098E"/>
    <w:rsid w:val="4D8434C1"/>
    <w:rsid w:val="4DB9437B"/>
    <w:rsid w:val="4DF30BA2"/>
    <w:rsid w:val="4E147FE6"/>
    <w:rsid w:val="4F847B89"/>
    <w:rsid w:val="4FF4755C"/>
    <w:rsid w:val="50285274"/>
    <w:rsid w:val="51136310"/>
    <w:rsid w:val="514B2408"/>
    <w:rsid w:val="515E6E39"/>
    <w:rsid w:val="51FF463E"/>
    <w:rsid w:val="52DE6BCC"/>
    <w:rsid w:val="537F1565"/>
    <w:rsid w:val="538F0C43"/>
    <w:rsid w:val="53B22259"/>
    <w:rsid w:val="55765EBC"/>
    <w:rsid w:val="564A4038"/>
    <w:rsid w:val="56B129E1"/>
    <w:rsid w:val="577C38C9"/>
    <w:rsid w:val="58411916"/>
    <w:rsid w:val="59271254"/>
    <w:rsid w:val="59872A4C"/>
    <w:rsid w:val="5A3769A7"/>
    <w:rsid w:val="5A384E6A"/>
    <w:rsid w:val="5A983FD0"/>
    <w:rsid w:val="5AD63A5D"/>
    <w:rsid w:val="5BD25B4C"/>
    <w:rsid w:val="5C967DF5"/>
    <w:rsid w:val="5CBD3A32"/>
    <w:rsid w:val="5F0C439F"/>
    <w:rsid w:val="5F8F74AA"/>
    <w:rsid w:val="5F9F77EF"/>
    <w:rsid w:val="5FCC63D2"/>
    <w:rsid w:val="5FF02166"/>
    <w:rsid w:val="601E25DC"/>
    <w:rsid w:val="60733548"/>
    <w:rsid w:val="60F33B22"/>
    <w:rsid w:val="624F1172"/>
    <w:rsid w:val="62F51214"/>
    <w:rsid w:val="63D250FF"/>
    <w:rsid w:val="6429473B"/>
    <w:rsid w:val="642A4615"/>
    <w:rsid w:val="643E6E98"/>
    <w:rsid w:val="646843D3"/>
    <w:rsid w:val="64D41F06"/>
    <w:rsid w:val="654142AB"/>
    <w:rsid w:val="65870C23"/>
    <w:rsid w:val="65BC490E"/>
    <w:rsid w:val="660D6AFB"/>
    <w:rsid w:val="666857B8"/>
    <w:rsid w:val="66AA62F3"/>
    <w:rsid w:val="688119AB"/>
    <w:rsid w:val="68CC65ED"/>
    <w:rsid w:val="69FE623F"/>
    <w:rsid w:val="6BCB600C"/>
    <w:rsid w:val="6C0362C2"/>
    <w:rsid w:val="6C2C5A79"/>
    <w:rsid w:val="6C313697"/>
    <w:rsid w:val="6C6E023A"/>
    <w:rsid w:val="6D1D4C7A"/>
    <w:rsid w:val="6D6C5C8F"/>
    <w:rsid w:val="6DDF6507"/>
    <w:rsid w:val="71A5271C"/>
    <w:rsid w:val="730C571E"/>
    <w:rsid w:val="73221F8B"/>
    <w:rsid w:val="73935B20"/>
    <w:rsid w:val="74A76BEC"/>
    <w:rsid w:val="74B43F14"/>
    <w:rsid w:val="75BA5938"/>
    <w:rsid w:val="794A6D5D"/>
    <w:rsid w:val="7B9B4FC3"/>
    <w:rsid w:val="7CE216DA"/>
    <w:rsid w:val="7F032366"/>
    <w:rsid w:val="7F9B10FB"/>
    <w:rsid w:val="7FE96086"/>
    <w:rsid w:val="7FFE925E"/>
    <w:rsid w:val="A86E000D"/>
    <w:rsid w:val="D2E9E139"/>
    <w:rsid w:val="D7776066"/>
    <w:rsid w:val="D7FE0DF6"/>
    <w:rsid w:val="FBEB4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1026" w:firstLineChars="20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numPr>
        <w:ilvl w:val="0"/>
        <w:numId w:val="1"/>
      </w:numPr>
      <w:spacing w:before="340" w:after="330" w:line="579" w:lineRule="auto"/>
      <w:ind w:left="425" w:hanging="425" w:firstLineChars="0"/>
      <w:jc w:val="center"/>
      <w:outlineLvl w:val="0"/>
    </w:pPr>
    <w:rPr>
      <w:rFonts w:ascii="Times New Roman" w:hAnsi="Times New Roman" w:eastAsia="黑体"/>
      <w:bCs/>
      <w:kern w:val="44"/>
      <w:sz w:val="36"/>
      <w:szCs w:val="44"/>
    </w:rPr>
  </w:style>
  <w:style w:type="paragraph" w:styleId="3">
    <w:name w:val="heading 2"/>
    <w:basedOn w:val="1"/>
    <w:next w:val="1"/>
    <w:qFormat/>
    <w:uiPriority w:val="0"/>
    <w:pPr>
      <w:keepNext/>
      <w:keepLines/>
      <w:numPr>
        <w:ilvl w:val="1"/>
        <w:numId w:val="2"/>
      </w:numPr>
      <w:spacing w:before="75" w:beforeLines="75" w:after="50" w:afterLines="50" w:line="550" w:lineRule="exact"/>
      <w:outlineLvl w:val="1"/>
    </w:pPr>
    <w:rPr>
      <w:rFonts w:eastAsia="黑体"/>
      <w:bCs/>
      <w:sz w:val="32"/>
      <w:szCs w:val="32"/>
    </w:rPr>
  </w:style>
  <w:style w:type="paragraph" w:styleId="4">
    <w:name w:val="heading 3"/>
    <w:basedOn w:val="1"/>
    <w:next w:val="1"/>
    <w:unhideWhenUsed/>
    <w:qFormat/>
    <w:uiPriority w:val="0"/>
    <w:pPr>
      <w:keepNext/>
      <w:keepLines/>
      <w:numPr>
        <w:ilvl w:val="2"/>
        <w:numId w:val="1"/>
      </w:numPr>
      <w:spacing w:before="260" w:beforeLines="0" w:after="260" w:afterLines="0" w:line="413" w:lineRule="auto"/>
      <w:ind w:left="709" w:hanging="709" w:firstLineChars="0"/>
      <w:jc w:val="left"/>
      <w:outlineLvl w:val="2"/>
    </w:pPr>
    <w:rPr>
      <w:rFonts w:ascii="Times New Roman" w:hAnsi="Times New Roman" w:eastAsia="黑体"/>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toc 7"/>
    <w:basedOn w:val="7"/>
    <w:next w:val="1"/>
    <w:unhideWhenUsed/>
    <w:qFormat/>
    <w:uiPriority w:val="39"/>
    <w:pPr>
      <w:spacing w:before="156" w:after="234"/>
    </w:pPr>
    <w:rPr>
      <w:color w:val="auto"/>
    </w:rPr>
  </w:style>
  <w:style w:type="paragraph" w:customStyle="1" w:styleId="7">
    <w:name w:val="一级标题"/>
    <w:basedOn w:val="2"/>
    <w:next w:val="8"/>
    <w:qFormat/>
    <w:uiPriority w:val="0"/>
    <w:pPr>
      <w:keepNext w:val="0"/>
      <w:keepLines w:val="0"/>
      <w:numPr>
        <w:ilvl w:val="0"/>
        <w:numId w:val="3"/>
      </w:numPr>
      <w:spacing w:beforeLines="50" w:afterLines="75" w:line="240" w:lineRule="auto"/>
      <w:jc w:val="center"/>
    </w:pPr>
    <w:rPr>
      <w:rFonts w:eastAsia="黑体"/>
      <w:bCs w:val="0"/>
      <w:sz w:val="36"/>
    </w:rPr>
  </w:style>
  <w:style w:type="paragraph" w:customStyle="1" w:styleId="8">
    <w:name w:val="正文2"/>
    <w:basedOn w:val="1"/>
    <w:qFormat/>
    <w:uiPriority w:val="0"/>
    <w:pPr>
      <w:spacing w:beforeLines="75" w:afterLines="75" w:line="360" w:lineRule="auto"/>
      <w:ind w:firstLine="200" w:firstLineChars="200"/>
    </w:pPr>
    <w:rPr>
      <w:sz w:val="28"/>
    </w:rPr>
  </w:style>
  <w:style w:type="paragraph" w:styleId="9">
    <w:name w:val="Normal Indent"/>
    <w:basedOn w:val="1"/>
    <w:qFormat/>
    <w:uiPriority w:val="99"/>
    <w:pPr>
      <w:adjustRightInd w:val="0"/>
      <w:snapToGrid w:val="0"/>
      <w:spacing w:line="360" w:lineRule="auto"/>
      <w:ind w:firstLine="420" w:firstLineChars="200"/>
    </w:pPr>
    <w:rPr>
      <w:sz w:val="24"/>
    </w:rPr>
  </w:style>
  <w:style w:type="paragraph" w:styleId="10">
    <w:name w:val="caption"/>
    <w:basedOn w:val="1"/>
    <w:next w:val="1"/>
    <w:qFormat/>
    <w:uiPriority w:val="0"/>
    <w:pPr>
      <w:spacing w:before="75" w:beforeLines="75" w:after="50" w:afterLines="50" w:line="360" w:lineRule="auto"/>
      <w:jc w:val="center"/>
    </w:pPr>
    <w:rPr>
      <w:rFonts w:cs="Arial"/>
      <w:sz w:val="24"/>
      <w:szCs w:val="20"/>
    </w:rPr>
  </w:style>
  <w:style w:type="paragraph" w:styleId="11">
    <w:name w:val="Document Map"/>
    <w:basedOn w:val="1"/>
    <w:link w:val="35"/>
    <w:qFormat/>
    <w:uiPriority w:val="0"/>
    <w:rPr>
      <w:rFonts w:ascii="宋体"/>
      <w:sz w:val="18"/>
      <w:szCs w:val="18"/>
    </w:rPr>
  </w:style>
  <w:style w:type="paragraph" w:styleId="12">
    <w:name w:val="annotation text"/>
    <w:basedOn w:val="1"/>
    <w:qFormat/>
    <w:uiPriority w:val="0"/>
    <w:pPr>
      <w:jc w:val="left"/>
    </w:pPr>
  </w:style>
  <w:style w:type="paragraph" w:styleId="13">
    <w:name w:val="Body Text"/>
    <w:basedOn w:val="1"/>
    <w:qFormat/>
    <w:uiPriority w:val="0"/>
    <w:rPr>
      <w:rFonts w:ascii="仿宋" w:hAnsi="仿宋" w:eastAsia="仿宋" w:cs="仿宋"/>
      <w:sz w:val="35"/>
      <w:szCs w:val="35"/>
      <w:lang w:val="en-US" w:eastAsia="en-US" w:bidi="ar-SA"/>
    </w:rPr>
  </w:style>
  <w:style w:type="paragraph" w:styleId="14">
    <w:name w:val="toc 5"/>
    <w:basedOn w:val="1"/>
    <w:next w:val="1"/>
    <w:unhideWhenUsed/>
    <w:qFormat/>
    <w:uiPriority w:val="39"/>
    <w:pPr>
      <w:ind w:left="1680" w:leftChars="800"/>
    </w:pPr>
    <w:rPr>
      <w:rFonts w:asciiTheme="minorHAnsi" w:hAnsiTheme="minorHAnsi" w:eastAsiaTheme="minorEastAsia" w:cstheme="minorBidi"/>
      <w:sz w:val="21"/>
      <w:szCs w:val="22"/>
    </w:rPr>
  </w:style>
  <w:style w:type="paragraph" w:styleId="15">
    <w:name w:val="toc 3"/>
    <w:basedOn w:val="1"/>
    <w:next w:val="1"/>
    <w:qFormat/>
    <w:uiPriority w:val="39"/>
    <w:pPr>
      <w:ind w:left="400" w:leftChars="400"/>
      <w:jc w:val="left"/>
    </w:pPr>
    <w:rPr>
      <w:rFonts w:asciiTheme="minorHAnsi"/>
      <w:iCs/>
      <w:sz w:val="28"/>
    </w:rPr>
  </w:style>
  <w:style w:type="paragraph" w:styleId="16">
    <w:name w:val="toc 8"/>
    <w:basedOn w:val="1"/>
    <w:next w:val="1"/>
    <w:unhideWhenUsed/>
    <w:qFormat/>
    <w:uiPriority w:val="39"/>
    <w:pPr>
      <w:ind w:left="2940" w:leftChars="1400"/>
    </w:pPr>
    <w:rPr>
      <w:rFonts w:asciiTheme="minorHAnsi" w:hAnsiTheme="minorHAnsi" w:eastAsiaTheme="minorEastAsia" w:cstheme="minorBidi"/>
      <w:sz w:val="21"/>
      <w:szCs w:val="22"/>
    </w:rPr>
  </w:style>
  <w:style w:type="paragraph" w:styleId="17">
    <w:name w:val="Balloon Text"/>
    <w:basedOn w:val="1"/>
    <w:link w:val="37"/>
    <w:qFormat/>
    <w:uiPriority w:val="0"/>
    <w:rPr>
      <w:sz w:val="18"/>
      <w:szCs w:val="18"/>
    </w:rPr>
  </w:style>
  <w:style w:type="paragraph" w:styleId="18">
    <w:name w:val="footer"/>
    <w:basedOn w:val="1"/>
    <w:unhideWhenUsed/>
    <w:qFormat/>
    <w:uiPriority w:val="99"/>
    <w:pPr>
      <w:tabs>
        <w:tab w:val="center" w:pos="4153"/>
        <w:tab w:val="right" w:pos="8306"/>
      </w:tabs>
      <w:snapToGrid w:val="0"/>
      <w:ind w:firstLine="0" w:firstLineChars="0"/>
      <w:jc w:val="left"/>
    </w:pPr>
    <w:rPr>
      <w:rFonts w:ascii="Times New Roman" w:hAnsi="Times New Roman" w:eastAsia="宋体"/>
      <w:sz w:val="24"/>
      <w:szCs w:val="18"/>
    </w:rPr>
  </w:style>
  <w:style w:type="paragraph" w:styleId="19">
    <w:name w:val="header"/>
    <w:basedOn w:val="1"/>
    <w:link w:val="36"/>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120" w:after="120"/>
      <w:jc w:val="left"/>
    </w:pPr>
    <w:rPr>
      <w:rFonts w:asciiTheme="minorHAnsi"/>
      <w:b/>
      <w:bCs/>
      <w:caps/>
      <w:sz w:val="28"/>
    </w:rPr>
  </w:style>
  <w:style w:type="paragraph" w:styleId="21">
    <w:name w:val="toc 4"/>
    <w:basedOn w:val="1"/>
    <w:next w:val="1"/>
    <w:qFormat/>
    <w:uiPriority w:val="39"/>
    <w:pPr>
      <w:ind w:left="600" w:leftChars="600"/>
      <w:jc w:val="left"/>
    </w:pPr>
    <w:rPr>
      <w:rFonts w:asciiTheme="minorHAnsi"/>
      <w:sz w:val="24"/>
      <w:szCs w:val="18"/>
    </w:rPr>
  </w:style>
  <w:style w:type="paragraph" w:styleId="22">
    <w:name w:val="toc 6"/>
    <w:basedOn w:val="1"/>
    <w:next w:val="1"/>
    <w:unhideWhenUsed/>
    <w:qFormat/>
    <w:uiPriority w:val="39"/>
    <w:pPr>
      <w:ind w:left="2100" w:leftChars="1000"/>
    </w:pPr>
    <w:rPr>
      <w:rFonts w:asciiTheme="minorHAnsi" w:hAnsiTheme="minorHAnsi" w:eastAsiaTheme="minorEastAsia" w:cstheme="minorBidi"/>
      <w:sz w:val="21"/>
      <w:szCs w:val="22"/>
    </w:rPr>
  </w:style>
  <w:style w:type="paragraph" w:styleId="23">
    <w:name w:val="toc 2"/>
    <w:basedOn w:val="1"/>
    <w:next w:val="1"/>
    <w:qFormat/>
    <w:uiPriority w:val="39"/>
    <w:pPr>
      <w:ind w:left="200" w:leftChars="200"/>
      <w:jc w:val="left"/>
    </w:pPr>
    <w:rPr>
      <w:rFonts w:asciiTheme="minorHAnsi"/>
      <w:smallCaps/>
      <w:sz w:val="28"/>
    </w:rPr>
  </w:style>
  <w:style w:type="paragraph" w:styleId="24">
    <w:name w:val="toc 9"/>
    <w:basedOn w:val="1"/>
    <w:next w:val="1"/>
    <w:unhideWhenUsed/>
    <w:qFormat/>
    <w:uiPriority w:val="39"/>
    <w:pPr>
      <w:ind w:left="3360" w:leftChars="1600"/>
    </w:pPr>
    <w:rPr>
      <w:rFonts w:asciiTheme="minorHAnsi" w:hAnsiTheme="minorHAnsi" w:eastAsiaTheme="minorEastAsia" w:cstheme="minorBidi"/>
      <w:sz w:val="21"/>
      <w:szCs w:val="22"/>
    </w:rPr>
  </w:style>
  <w:style w:type="paragraph" w:styleId="25">
    <w:name w:val="Normal (Web)"/>
    <w:basedOn w:val="1"/>
    <w:qFormat/>
    <w:uiPriority w:val="0"/>
    <w:pPr>
      <w:spacing w:before="0" w:beforeAutospacing="1" w:after="0" w:afterAutospacing="1"/>
      <w:ind w:left="0" w:right="0"/>
      <w:jc w:val="left"/>
    </w:pPr>
    <w:rPr>
      <w:kern w:val="0"/>
      <w:sz w:val="24"/>
      <w:lang w:val="en-US" w:eastAsia="zh-CN" w:bidi="ar"/>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b/>
    </w:rPr>
  </w:style>
  <w:style w:type="character" w:styleId="30">
    <w:name w:val="page number"/>
    <w:basedOn w:val="28"/>
    <w:qFormat/>
    <w:uiPriority w:val="0"/>
  </w:style>
  <w:style w:type="character" w:styleId="31">
    <w:name w:val="Hyperlink"/>
    <w:basedOn w:val="28"/>
    <w:unhideWhenUsed/>
    <w:qFormat/>
    <w:uiPriority w:val="99"/>
    <w:rPr>
      <w:color w:val="0026E5" w:themeColor="hyperlink"/>
      <w:u w:val="single"/>
      <w14:textFill>
        <w14:solidFill>
          <w14:schemeClr w14:val="hlink"/>
        </w14:solidFill>
      </w14:textFill>
    </w:rPr>
  </w:style>
  <w:style w:type="paragraph" w:customStyle="1" w:styleId="32">
    <w:name w:val="二级标题"/>
    <w:basedOn w:val="2"/>
    <w:next w:val="8"/>
    <w:qFormat/>
    <w:uiPriority w:val="0"/>
    <w:pPr>
      <w:keepNext w:val="0"/>
      <w:keepLines w:val="0"/>
      <w:numPr>
        <w:ilvl w:val="1"/>
        <w:numId w:val="3"/>
      </w:numPr>
      <w:spacing w:before="100" w:beforeLines="100" w:after="100" w:afterLines="100" w:line="550" w:lineRule="exact"/>
      <w:ind w:left="0"/>
      <w:jc w:val="left"/>
      <w:outlineLvl w:val="1"/>
    </w:pPr>
    <w:rPr>
      <w:rFonts w:ascii="Times New Roman" w:hAnsi="Times New Roman"/>
      <w:sz w:val="32"/>
      <w:szCs w:val="24"/>
    </w:rPr>
  </w:style>
  <w:style w:type="paragraph" w:customStyle="1" w:styleId="33">
    <w:name w:val="三级标题"/>
    <w:basedOn w:val="32"/>
    <w:next w:val="8"/>
    <w:qFormat/>
    <w:uiPriority w:val="0"/>
    <w:pPr>
      <w:numPr>
        <w:ilvl w:val="2"/>
      </w:numPr>
      <w:spacing w:before="312" w:after="312"/>
      <w:ind w:left="0"/>
      <w:outlineLvl w:val="2"/>
    </w:pPr>
    <w:rPr>
      <w:bCs w:val="0"/>
      <w:sz w:val="30"/>
    </w:rPr>
  </w:style>
  <w:style w:type="paragraph" w:customStyle="1" w:styleId="34">
    <w:name w:val="四级标题"/>
    <w:basedOn w:val="33"/>
    <w:next w:val="8"/>
    <w:qFormat/>
    <w:uiPriority w:val="0"/>
    <w:pPr>
      <w:numPr>
        <w:ilvl w:val="3"/>
      </w:numPr>
      <w:spacing w:beforeLines="50"/>
      <w:outlineLvl w:val="3"/>
    </w:pPr>
    <w:rPr>
      <w:bCs/>
      <w:sz w:val="28"/>
      <w:szCs w:val="44"/>
    </w:rPr>
  </w:style>
  <w:style w:type="character" w:customStyle="1" w:styleId="35">
    <w:name w:val="文档结构图 Char"/>
    <w:basedOn w:val="28"/>
    <w:link w:val="11"/>
    <w:qFormat/>
    <w:uiPriority w:val="0"/>
    <w:rPr>
      <w:rFonts w:ascii="宋体" w:hAnsi="Times New Roman" w:eastAsia="宋体" w:cs="Times New Roman"/>
      <w:kern w:val="2"/>
      <w:sz w:val="18"/>
      <w:szCs w:val="18"/>
    </w:rPr>
  </w:style>
  <w:style w:type="character" w:customStyle="1" w:styleId="36">
    <w:name w:val="页眉 Char"/>
    <w:basedOn w:val="28"/>
    <w:link w:val="19"/>
    <w:qFormat/>
    <w:uiPriority w:val="0"/>
    <w:rPr>
      <w:rFonts w:ascii="Times New Roman" w:hAnsi="Times New Roman" w:eastAsia="宋体" w:cs="Times New Roman"/>
      <w:kern w:val="2"/>
      <w:sz w:val="18"/>
      <w:szCs w:val="18"/>
    </w:rPr>
  </w:style>
  <w:style w:type="character" w:customStyle="1" w:styleId="37">
    <w:name w:val="批注框文本 Char"/>
    <w:basedOn w:val="28"/>
    <w:link w:val="17"/>
    <w:qFormat/>
    <w:uiPriority w:val="0"/>
    <w:rPr>
      <w:rFonts w:ascii="Times New Roman" w:hAnsi="Times New Roman" w:eastAsia="宋体" w:cs="Times New Roman"/>
      <w:kern w:val="2"/>
      <w:sz w:val="18"/>
      <w:szCs w:val="18"/>
    </w:rPr>
  </w:style>
  <w:style w:type="character" w:customStyle="1" w:styleId="38">
    <w:name w:val="font11"/>
    <w:basedOn w:val="28"/>
    <w:qFormat/>
    <w:uiPriority w:val="0"/>
    <w:rPr>
      <w:rFonts w:hint="eastAsia" w:ascii="仿宋_GB2312" w:eastAsia="仿宋_GB2312" w:cs="仿宋_GB2312"/>
      <w:color w:val="000000"/>
      <w:sz w:val="32"/>
      <w:szCs w:val="32"/>
      <w:u w:val="none"/>
    </w:rPr>
  </w:style>
  <w:style w:type="character" w:customStyle="1" w:styleId="39">
    <w:name w:val="font21"/>
    <w:basedOn w:val="28"/>
    <w:qFormat/>
    <w:uiPriority w:val="0"/>
    <w:rPr>
      <w:rFonts w:hint="eastAsia" w:ascii="宋体" w:hAnsi="宋体" w:eastAsia="宋体" w:cs="宋体"/>
      <w:color w:val="000000"/>
      <w:sz w:val="32"/>
      <w:szCs w:val="32"/>
      <w:u w:val="none"/>
    </w:rPr>
  </w:style>
  <w:style w:type="paragraph" w:customStyle="1" w:styleId="40">
    <w:name w:val="缩2字"/>
    <w:basedOn w:val="1"/>
    <w:qFormat/>
    <w:uiPriority w:val="0"/>
    <w:pPr>
      <w:spacing w:line="576" w:lineRule="exact"/>
      <w:ind w:firstLine="200" w:firstLineChars="200"/>
    </w:pPr>
    <w:rPr>
      <w:rFonts w:ascii="Times New Roman" w:hAnsi="Times New Roman" w:eastAsia="方正仿宋_GB2312"/>
      <w:color w:val="0070C0"/>
      <w:spacing w:val="6"/>
      <w:sz w:val="32"/>
      <w:szCs w:val="32"/>
    </w:rPr>
  </w:style>
  <w:style w:type="table" w:customStyle="1" w:styleId="41">
    <w:name w:val="Table Normal"/>
    <w:unhideWhenUsed/>
    <w:qFormat/>
    <w:uiPriority w:val="2"/>
    <w:pPr>
      <w:widowControl w:val="0"/>
    </w:pPr>
    <w:rPr>
      <w:rFonts w:ascii="等线" w:hAnsi="等线" w:eastAsia="等线"/>
      <w:sz w:val="22"/>
      <w:szCs w:val="22"/>
      <w:lang w:val="en-US" w:eastAsia="en-US" w:bidi="ar-SA"/>
    </w:rPr>
    <w:tblPr>
      <w:tblCellMar>
        <w:top w:w="0" w:type="dxa"/>
        <w:left w:w="0" w:type="dxa"/>
        <w:bottom w:w="0" w:type="dxa"/>
        <w:right w:w="0" w:type="dxa"/>
      </w:tblCellMar>
    </w:tblPr>
  </w:style>
  <w:style w:type="paragraph" w:customStyle="1" w:styleId="42">
    <w:name w:val="WPSOffice手动目录 1"/>
    <w:qFormat/>
    <w:uiPriority w:val="0"/>
    <w:pPr>
      <w:ind w:leftChars="0"/>
    </w:pPr>
    <w:rPr>
      <w:rFonts w:ascii="Times New Roman" w:hAnsi="Times New Roman" w:eastAsia="宋体" w:cs="Times New Roman"/>
      <w:sz w:val="20"/>
      <w:szCs w:val="20"/>
    </w:rPr>
  </w:style>
  <w:style w:type="paragraph" w:customStyle="1" w:styleId="43">
    <w:name w:val="WPSOffice手动目录 2"/>
    <w:qFormat/>
    <w:uiPriority w:val="0"/>
    <w:pPr>
      <w:ind w:leftChars="200"/>
    </w:pPr>
    <w:rPr>
      <w:rFonts w:ascii="Times New Roman" w:hAnsi="Times New Roman" w:eastAsia="宋体" w:cs="Times New Roman"/>
      <w:sz w:val="20"/>
      <w:szCs w:val="20"/>
    </w:rPr>
  </w:style>
  <w:style w:type="paragraph" w:customStyle="1" w:styleId="44">
    <w:name w:val=" Char Char6"/>
    <w:basedOn w:val="1"/>
    <w:next w:val="1"/>
    <w:qFormat/>
    <w:uiPriority w:val="0"/>
    <w:pPr>
      <w:spacing w:line="360" w:lineRule="auto"/>
      <w:ind w:firstLine="200" w:firstLineChars="200"/>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6.jpe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148</Pages>
  <Words>4617</Words>
  <Characters>5062</Characters>
  <Lines>299</Lines>
  <Paragraphs>84</Paragraphs>
  <TotalTime>22</TotalTime>
  <ScaleCrop>false</ScaleCrop>
  <LinksUpToDate>false</LinksUpToDate>
  <CharactersWithSpaces>5389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2024-05-25T16:05:00Z</dcterms:created>
  <dc:creator>张昕冉</dc:creator>
  <cp:lastModifiedBy>Cui-Yan</cp:lastModifiedBy>
  <cp:lastPrinted>2025-05-15T09:57:00Z</cp:lastPrinted>
  <dcterms:modified xsi:type="dcterms:W3CDTF">2025-05-16T06:28:00Z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29E78E5158BF45BD99F036D85259C6D0_13</vt:lpwstr>
  </property>
  <property fmtid="{D5CDD505-2E9C-101B-9397-08002B2CF9AE}" pid="4" name="KSOTemplateDocerSaveRecord">
    <vt:lpwstr>eyJoZGlkIjoiOGFlZGIzNDNiMTg1MjMxZDIwMGY4ZDFhMjlkOWJiOWIiLCJ1c2VySWQiOiIzMDA3MDUxMTcifQ==</vt:lpwstr>
  </property>
</Properties>
</file>