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D8599F">
      <w:pPr>
        <w:ind w:left="0" w:leftChars="0" w:firstLine="0" w:firstLineChars="0"/>
        <w:rPr>
          <w:rFonts w:ascii="Times New Roman" w:hAnsi="Times New Roman" w:cs="Times New Roman"/>
          <w:bCs/>
          <w:spacing w:val="-6"/>
          <w:sz w:val="36"/>
          <w:szCs w:val="24"/>
          <w:lang w:bidi="ar"/>
        </w:rPr>
      </w:pPr>
      <w:bookmarkStart w:id="1643" w:name="_GoBack"/>
      <w:bookmarkEnd w:id="1643"/>
    </w:p>
    <w:p w14:paraId="7C505C24">
      <w:pPr>
        <w:pStyle w:val="29"/>
        <w:tabs>
          <w:tab w:val="left" w:pos="420"/>
        </w:tabs>
        <w:rPr>
          <w:rFonts w:ascii="Times New Roman" w:hAnsi="Times New Roman" w:cs="Times New Roman"/>
        </w:rPr>
      </w:pPr>
      <w:bookmarkStart w:id="0" w:name="_Toc9027"/>
      <w:r>
        <w:rPr>
          <w:rFonts w:ascii="Times New Roman" w:hAnsi="Times New Roman" w:cs="Times New Roman"/>
          <w:sz w:val="36"/>
          <w:szCs w:val="36"/>
        </w:rPr>
        <w:t>目  录</w:t>
      </w:r>
      <w:bookmarkEnd w:id="0"/>
      <w:r>
        <w:rPr>
          <w:rFonts w:ascii="Times New Roman" w:hAnsi="Times New Roman" w:cs="Times New Roman"/>
        </w:rPr>
        <w:fldChar w:fldCharType="begin"/>
      </w:r>
      <w:r>
        <w:rPr>
          <w:rFonts w:ascii="Times New Roman" w:hAnsi="Times New Roman" w:cs="Times New Roman"/>
        </w:rPr>
        <w:instrText xml:space="preserve">TOC \o "1-2" \h \u </w:instrText>
      </w:r>
      <w:r>
        <w:rPr>
          <w:rFonts w:ascii="Times New Roman" w:hAnsi="Times New Roman" w:cs="Times New Roman"/>
        </w:rPr>
        <w:fldChar w:fldCharType="separate"/>
      </w:r>
    </w:p>
    <w:p w14:paraId="137F3381">
      <w:pPr>
        <w:pStyle w:val="18"/>
      </w:pPr>
      <w:r>
        <w:fldChar w:fldCharType="begin"/>
      </w:r>
      <w:r>
        <w:instrText xml:space="preserve"> HYPERLINK \l "_Toc28470" </w:instrText>
      </w:r>
      <w:r>
        <w:fldChar w:fldCharType="separate"/>
      </w:r>
      <w:r>
        <w:rPr>
          <w:rFonts w:eastAsia="仿宋"/>
        </w:rPr>
        <w:t xml:space="preserve">1 </w:t>
      </w:r>
      <w:r>
        <w:t>总则</w:t>
      </w:r>
      <w:r>
        <w:tab/>
      </w:r>
      <w:r>
        <w:fldChar w:fldCharType="begin"/>
      </w:r>
      <w:r>
        <w:instrText xml:space="preserve"> PAGEREF _Toc28470 \h </w:instrText>
      </w:r>
      <w:r>
        <w:fldChar w:fldCharType="separate"/>
      </w:r>
      <w:r>
        <w:t>1</w:t>
      </w:r>
      <w:r>
        <w:fldChar w:fldCharType="end"/>
      </w:r>
      <w:r>
        <w:fldChar w:fldCharType="end"/>
      </w:r>
    </w:p>
    <w:p w14:paraId="7DB56213">
      <w:pPr>
        <w:pStyle w:val="19"/>
        <w:tabs>
          <w:tab w:val="right" w:leader="dot" w:pos="8845"/>
        </w:tabs>
        <w:ind w:firstLine="632"/>
        <w:rPr>
          <w:rFonts w:ascii="Times New Roman" w:hAnsi="Times New Roman" w:cs="Times New Roman"/>
        </w:rPr>
      </w:pPr>
      <w:r>
        <w:fldChar w:fldCharType="begin"/>
      </w:r>
      <w:r>
        <w:instrText xml:space="preserve"> HYPERLINK \l "_Toc20256" </w:instrText>
      </w:r>
      <w:r>
        <w:fldChar w:fldCharType="separate"/>
      </w:r>
      <w:r>
        <w:rPr>
          <w:rFonts w:ascii="Times New Roman" w:hAnsi="Times New Roman" w:eastAsia="仿宋" w:cs="Times New Roman"/>
          <w:bCs/>
        </w:rPr>
        <w:t xml:space="preserve">1.1 </w:t>
      </w:r>
      <w:r>
        <w:rPr>
          <w:rFonts w:ascii="Times New Roman" w:hAnsi="Times New Roman" w:cs="Times New Roman"/>
        </w:rPr>
        <w:t>编制目的</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_Toc20256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14:paraId="5D6E9493">
      <w:pPr>
        <w:pStyle w:val="19"/>
        <w:tabs>
          <w:tab w:val="right" w:leader="dot" w:pos="8845"/>
        </w:tabs>
        <w:ind w:firstLine="632"/>
        <w:rPr>
          <w:rFonts w:ascii="Times New Roman" w:hAnsi="Times New Roman" w:cs="Times New Roman"/>
        </w:rPr>
      </w:pPr>
      <w:r>
        <w:fldChar w:fldCharType="begin"/>
      </w:r>
      <w:r>
        <w:instrText xml:space="preserve"> HYPERLINK \l "_Toc20657" </w:instrText>
      </w:r>
      <w:r>
        <w:fldChar w:fldCharType="separate"/>
      </w:r>
      <w:r>
        <w:rPr>
          <w:rFonts w:ascii="Times New Roman" w:hAnsi="Times New Roman" w:eastAsia="仿宋" w:cs="Times New Roman"/>
          <w:bCs/>
        </w:rPr>
        <w:t xml:space="preserve">1.2 </w:t>
      </w:r>
      <w:r>
        <w:rPr>
          <w:rFonts w:ascii="Times New Roman" w:hAnsi="Times New Roman" w:cs="Times New Roman"/>
        </w:rPr>
        <w:t>编制依据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_Toc20657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14:paraId="1BC83656">
      <w:pPr>
        <w:pStyle w:val="19"/>
        <w:tabs>
          <w:tab w:val="right" w:leader="dot" w:pos="8845"/>
        </w:tabs>
        <w:ind w:firstLine="632"/>
        <w:rPr>
          <w:rFonts w:ascii="Times New Roman" w:hAnsi="Times New Roman" w:cs="Times New Roman"/>
        </w:rPr>
      </w:pPr>
      <w:r>
        <w:fldChar w:fldCharType="begin"/>
      </w:r>
      <w:r>
        <w:instrText xml:space="preserve"> HYPERLINK \l "_Toc15615" </w:instrText>
      </w:r>
      <w:r>
        <w:fldChar w:fldCharType="separate"/>
      </w:r>
      <w:r>
        <w:rPr>
          <w:rFonts w:ascii="Times New Roman" w:hAnsi="Times New Roman" w:eastAsia="仿宋" w:cs="Times New Roman"/>
          <w:bCs/>
        </w:rPr>
        <w:t xml:space="preserve">1.3 </w:t>
      </w:r>
      <w:r>
        <w:rPr>
          <w:rFonts w:ascii="Times New Roman" w:hAnsi="Times New Roman" w:cs="Times New Roman"/>
        </w:rPr>
        <w:t>适用范围</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_Toc15615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14:paraId="4ED390F1">
      <w:pPr>
        <w:pStyle w:val="19"/>
        <w:tabs>
          <w:tab w:val="right" w:leader="dot" w:pos="8845"/>
        </w:tabs>
        <w:ind w:firstLine="632"/>
        <w:rPr>
          <w:rFonts w:ascii="Times New Roman" w:hAnsi="Times New Roman" w:cs="Times New Roman"/>
        </w:rPr>
      </w:pPr>
      <w:r>
        <w:fldChar w:fldCharType="begin"/>
      </w:r>
      <w:r>
        <w:instrText xml:space="preserve"> HYPERLINK \l "_Toc26185" </w:instrText>
      </w:r>
      <w:r>
        <w:fldChar w:fldCharType="separate"/>
      </w:r>
      <w:r>
        <w:rPr>
          <w:rFonts w:ascii="Times New Roman" w:hAnsi="Times New Roman" w:eastAsia="仿宋" w:cs="Times New Roman"/>
          <w:bCs/>
        </w:rPr>
        <w:t xml:space="preserve">1.4 </w:t>
      </w:r>
      <w:r>
        <w:rPr>
          <w:rFonts w:ascii="Times New Roman" w:hAnsi="Times New Roman" w:cs="Times New Roman"/>
        </w:rPr>
        <w:t>工作原则</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_Toc26185 \h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fldChar w:fldCharType="end"/>
      </w:r>
    </w:p>
    <w:p w14:paraId="49164BB8">
      <w:pPr>
        <w:pStyle w:val="19"/>
        <w:tabs>
          <w:tab w:val="right" w:leader="dot" w:pos="8845"/>
        </w:tabs>
        <w:ind w:firstLine="632"/>
        <w:rPr>
          <w:rFonts w:ascii="Times New Roman" w:hAnsi="Times New Roman" w:cs="Times New Roman"/>
        </w:rPr>
      </w:pPr>
      <w:r>
        <w:fldChar w:fldCharType="begin"/>
      </w:r>
      <w:r>
        <w:instrText xml:space="preserve"> HYPERLINK \l "_Toc7228" </w:instrText>
      </w:r>
      <w:r>
        <w:fldChar w:fldCharType="separate"/>
      </w:r>
      <w:r>
        <w:rPr>
          <w:rFonts w:ascii="Times New Roman" w:hAnsi="Times New Roman" w:eastAsia="仿宋" w:cs="Times New Roman"/>
          <w:bCs/>
        </w:rPr>
        <w:t xml:space="preserve">1.5 </w:t>
      </w:r>
      <w:r>
        <w:rPr>
          <w:rFonts w:ascii="Times New Roman" w:hAnsi="Times New Roman" w:cs="Times New Roman"/>
        </w:rPr>
        <w:t>突发事件分类与分级</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_Toc7228 \h </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r>
        <w:rPr>
          <w:rFonts w:ascii="Times New Roman" w:hAnsi="Times New Roman" w:cs="Times New Roman"/>
        </w:rPr>
        <w:fldChar w:fldCharType="end"/>
      </w:r>
    </w:p>
    <w:p w14:paraId="4F5B0428">
      <w:pPr>
        <w:pStyle w:val="19"/>
        <w:tabs>
          <w:tab w:val="right" w:leader="dot" w:pos="8845"/>
        </w:tabs>
        <w:ind w:firstLine="632"/>
        <w:rPr>
          <w:rFonts w:ascii="Times New Roman" w:hAnsi="Times New Roman" w:cs="Times New Roman"/>
        </w:rPr>
      </w:pPr>
      <w:r>
        <w:fldChar w:fldCharType="begin"/>
      </w:r>
      <w:r>
        <w:instrText xml:space="preserve"> HYPERLINK \l "_Toc12186" </w:instrText>
      </w:r>
      <w:r>
        <w:fldChar w:fldCharType="separate"/>
      </w:r>
      <w:r>
        <w:rPr>
          <w:rFonts w:ascii="Times New Roman" w:hAnsi="Times New Roman" w:eastAsia="仿宋" w:cs="Times New Roman"/>
          <w:bCs/>
        </w:rPr>
        <w:t xml:space="preserve">1.6 </w:t>
      </w:r>
      <w:r>
        <w:rPr>
          <w:rFonts w:ascii="Times New Roman" w:hAnsi="Times New Roman" w:cs="Times New Roman"/>
        </w:rPr>
        <w:t>分级应对与响应分级</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_Toc12186 \h </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rPr>
        <w:fldChar w:fldCharType="end"/>
      </w:r>
    </w:p>
    <w:p w14:paraId="1F5AB65A">
      <w:pPr>
        <w:pStyle w:val="19"/>
        <w:tabs>
          <w:tab w:val="right" w:leader="dot" w:pos="8845"/>
        </w:tabs>
        <w:ind w:firstLine="632"/>
        <w:rPr>
          <w:rFonts w:ascii="Times New Roman" w:hAnsi="Times New Roman" w:cs="Times New Roman"/>
        </w:rPr>
      </w:pPr>
      <w:r>
        <w:fldChar w:fldCharType="begin"/>
      </w:r>
      <w:r>
        <w:instrText xml:space="preserve"> HYPERLINK \l "_Toc13770" </w:instrText>
      </w:r>
      <w:r>
        <w:fldChar w:fldCharType="separate"/>
      </w:r>
      <w:r>
        <w:rPr>
          <w:rFonts w:ascii="Times New Roman" w:hAnsi="Times New Roman" w:eastAsia="仿宋" w:cs="Times New Roman"/>
          <w:bCs/>
        </w:rPr>
        <w:t xml:space="preserve">1.7 </w:t>
      </w:r>
      <w:r>
        <w:rPr>
          <w:rFonts w:ascii="Times New Roman" w:hAnsi="Times New Roman" w:cs="Times New Roman"/>
        </w:rPr>
        <w:t>应急预案体系</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_Toc13770 \h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r>
        <w:rPr>
          <w:rFonts w:ascii="Times New Roman" w:hAnsi="Times New Roman" w:cs="Times New Roman"/>
        </w:rPr>
        <w:fldChar w:fldCharType="end"/>
      </w:r>
    </w:p>
    <w:p w14:paraId="6AAFEC3C">
      <w:pPr>
        <w:pStyle w:val="18"/>
      </w:pPr>
      <w:r>
        <w:fldChar w:fldCharType="begin"/>
      </w:r>
      <w:r>
        <w:instrText xml:space="preserve"> HYPERLINK \l "_Toc651" </w:instrText>
      </w:r>
      <w:r>
        <w:fldChar w:fldCharType="separate"/>
      </w:r>
      <w:r>
        <w:rPr>
          <w:rFonts w:eastAsia="仿宋"/>
        </w:rPr>
        <w:t xml:space="preserve">2 </w:t>
      </w:r>
      <w:r>
        <w:t>组织指挥体系</w:t>
      </w:r>
      <w:r>
        <w:tab/>
      </w:r>
      <w:r>
        <w:fldChar w:fldCharType="begin"/>
      </w:r>
      <w:r>
        <w:instrText xml:space="preserve"> PAGEREF _Toc651 \h </w:instrText>
      </w:r>
      <w:r>
        <w:fldChar w:fldCharType="separate"/>
      </w:r>
      <w:r>
        <w:t>6</w:t>
      </w:r>
      <w:r>
        <w:fldChar w:fldCharType="end"/>
      </w:r>
      <w:r>
        <w:fldChar w:fldCharType="end"/>
      </w:r>
    </w:p>
    <w:p w14:paraId="77BCAB37">
      <w:pPr>
        <w:pStyle w:val="19"/>
        <w:tabs>
          <w:tab w:val="right" w:leader="dot" w:pos="8845"/>
        </w:tabs>
        <w:ind w:firstLine="632"/>
        <w:rPr>
          <w:rFonts w:ascii="Times New Roman" w:hAnsi="Times New Roman" w:cs="Times New Roman"/>
        </w:rPr>
      </w:pPr>
      <w:r>
        <w:fldChar w:fldCharType="begin"/>
      </w:r>
      <w:r>
        <w:instrText xml:space="preserve"> HYPERLINK \l "_Toc24005" </w:instrText>
      </w:r>
      <w:r>
        <w:fldChar w:fldCharType="separate"/>
      </w:r>
      <w:r>
        <w:rPr>
          <w:rFonts w:ascii="Times New Roman" w:hAnsi="Times New Roman" w:eastAsia="仿宋" w:cs="Times New Roman"/>
          <w:bCs/>
        </w:rPr>
        <w:t xml:space="preserve">2.1 </w:t>
      </w:r>
      <w:r>
        <w:rPr>
          <w:rFonts w:ascii="Times New Roman" w:hAnsi="Times New Roman" w:cs="Times New Roman"/>
        </w:rPr>
        <w:t>领导机构</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_Toc24005 \h </w:instrText>
      </w:r>
      <w:r>
        <w:rPr>
          <w:rFonts w:ascii="Times New Roman" w:hAnsi="Times New Roman" w:cs="Times New Roman"/>
        </w:rPr>
        <w:fldChar w:fldCharType="separate"/>
      </w:r>
      <w:r>
        <w:rPr>
          <w:rFonts w:ascii="Times New Roman" w:hAnsi="Times New Roman" w:cs="Times New Roman"/>
        </w:rPr>
        <w:t>6</w:t>
      </w:r>
      <w:r>
        <w:rPr>
          <w:rFonts w:ascii="Times New Roman" w:hAnsi="Times New Roman" w:cs="Times New Roman"/>
        </w:rPr>
        <w:fldChar w:fldCharType="end"/>
      </w:r>
      <w:r>
        <w:rPr>
          <w:rFonts w:ascii="Times New Roman" w:hAnsi="Times New Roman" w:cs="Times New Roman"/>
        </w:rPr>
        <w:fldChar w:fldCharType="end"/>
      </w:r>
    </w:p>
    <w:p w14:paraId="0DBAEE4D">
      <w:pPr>
        <w:pStyle w:val="19"/>
        <w:tabs>
          <w:tab w:val="right" w:leader="dot" w:pos="8845"/>
        </w:tabs>
        <w:ind w:firstLine="632"/>
        <w:rPr>
          <w:rFonts w:ascii="Times New Roman" w:hAnsi="Times New Roman" w:cs="Times New Roman"/>
        </w:rPr>
      </w:pPr>
      <w:r>
        <w:fldChar w:fldCharType="begin"/>
      </w:r>
      <w:r>
        <w:instrText xml:space="preserve"> HYPERLINK \l "_Toc10578" </w:instrText>
      </w:r>
      <w:r>
        <w:fldChar w:fldCharType="separate"/>
      </w:r>
      <w:r>
        <w:rPr>
          <w:rFonts w:ascii="Times New Roman" w:hAnsi="Times New Roman" w:eastAsia="仿宋" w:cs="Times New Roman"/>
          <w:bCs/>
        </w:rPr>
        <w:t xml:space="preserve">2.2 </w:t>
      </w:r>
      <w:r>
        <w:rPr>
          <w:rFonts w:ascii="Times New Roman" w:hAnsi="Times New Roman" w:cs="Times New Roman"/>
        </w:rPr>
        <w:t>指挥机构</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_Toc10578 \h </w:instrText>
      </w:r>
      <w:r>
        <w:rPr>
          <w:rFonts w:ascii="Times New Roman" w:hAnsi="Times New Roman" w:cs="Times New Roman"/>
        </w:rPr>
        <w:fldChar w:fldCharType="separate"/>
      </w:r>
      <w:r>
        <w:rPr>
          <w:rFonts w:ascii="Times New Roman" w:hAnsi="Times New Roman" w:cs="Times New Roman"/>
        </w:rPr>
        <w:t>8</w:t>
      </w:r>
      <w:r>
        <w:rPr>
          <w:rFonts w:ascii="Times New Roman" w:hAnsi="Times New Roman" w:cs="Times New Roman"/>
        </w:rPr>
        <w:fldChar w:fldCharType="end"/>
      </w:r>
      <w:r>
        <w:rPr>
          <w:rFonts w:ascii="Times New Roman" w:hAnsi="Times New Roman" w:cs="Times New Roman"/>
        </w:rPr>
        <w:fldChar w:fldCharType="end"/>
      </w:r>
    </w:p>
    <w:p w14:paraId="202C609D">
      <w:pPr>
        <w:pStyle w:val="19"/>
        <w:tabs>
          <w:tab w:val="right" w:leader="dot" w:pos="8845"/>
        </w:tabs>
        <w:ind w:firstLine="632"/>
        <w:rPr>
          <w:rFonts w:ascii="Times New Roman" w:hAnsi="Times New Roman" w:cs="Times New Roman"/>
        </w:rPr>
      </w:pPr>
      <w:r>
        <w:fldChar w:fldCharType="begin"/>
      </w:r>
      <w:r>
        <w:instrText xml:space="preserve"> HYPERLINK \l "_Toc2541" </w:instrText>
      </w:r>
      <w:r>
        <w:fldChar w:fldCharType="separate"/>
      </w:r>
      <w:r>
        <w:rPr>
          <w:rFonts w:ascii="Times New Roman" w:hAnsi="Times New Roman" w:eastAsia="仿宋" w:cs="Times New Roman"/>
          <w:bCs/>
        </w:rPr>
        <w:t xml:space="preserve">2.3 </w:t>
      </w:r>
      <w:r>
        <w:rPr>
          <w:rFonts w:ascii="Times New Roman" w:hAnsi="Times New Roman" w:cs="Times New Roman"/>
        </w:rPr>
        <w:t>基层应急机构</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_Toc2541 \h </w:instrText>
      </w:r>
      <w:r>
        <w:rPr>
          <w:rFonts w:ascii="Times New Roman" w:hAnsi="Times New Roman" w:cs="Times New Roman"/>
        </w:rPr>
        <w:fldChar w:fldCharType="separate"/>
      </w:r>
      <w:r>
        <w:rPr>
          <w:rFonts w:ascii="Times New Roman" w:hAnsi="Times New Roman" w:cs="Times New Roman"/>
        </w:rPr>
        <w:t>12</w:t>
      </w:r>
      <w:r>
        <w:rPr>
          <w:rFonts w:ascii="Times New Roman" w:hAnsi="Times New Roman" w:cs="Times New Roman"/>
        </w:rPr>
        <w:fldChar w:fldCharType="end"/>
      </w:r>
      <w:r>
        <w:rPr>
          <w:rFonts w:ascii="Times New Roman" w:hAnsi="Times New Roman" w:cs="Times New Roman"/>
        </w:rPr>
        <w:fldChar w:fldCharType="end"/>
      </w:r>
    </w:p>
    <w:p w14:paraId="495FFB11">
      <w:pPr>
        <w:pStyle w:val="19"/>
        <w:tabs>
          <w:tab w:val="right" w:leader="dot" w:pos="8845"/>
        </w:tabs>
        <w:ind w:firstLine="632"/>
        <w:rPr>
          <w:rFonts w:ascii="Times New Roman" w:hAnsi="Times New Roman" w:cs="Times New Roman"/>
        </w:rPr>
      </w:pPr>
      <w:r>
        <w:fldChar w:fldCharType="begin"/>
      </w:r>
      <w:r>
        <w:instrText xml:space="preserve"> HYPERLINK \l "_Toc19845" </w:instrText>
      </w:r>
      <w:r>
        <w:fldChar w:fldCharType="separate"/>
      </w:r>
      <w:r>
        <w:rPr>
          <w:rFonts w:ascii="Times New Roman" w:hAnsi="Times New Roman" w:eastAsia="仿宋" w:cs="Times New Roman"/>
          <w:bCs/>
        </w:rPr>
        <w:t xml:space="preserve">2.4 </w:t>
      </w:r>
      <w:r>
        <w:rPr>
          <w:rFonts w:ascii="Times New Roman" w:hAnsi="Times New Roman" w:cs="Times New Roman"/>
        </w:rPr>
        <w:t>专家组</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_Toc19845 \h </w:instrText>
      </w:r>
      <w:r>
        <w:rPr>
          <w:rFonts w:ascii="Times New Roman" w:hAnsi="Times New Roman" w:cs="Times New Roman"/>
        </w:rPr>
        <w:fldChar w:fldCharType="separate"/>
      </w:r>
      <w:r>
        <w:rPr>
          <w:rFonts w:ascii="Times New Roman" w:hAnsi="Times New Roman" w:cs="Times New Roman"/>
        </w:rPr>
        <w:t>12</w:t>
      </w:r>
      <w:r>
        <w:rPr>
          <w:rFonts w:ascii="Times New Roman" w:hAnsi="Times New Roman" w:cs="Times New Roman"/>
        </w:rPr>
        <w:fldChar w:fldCharType="end"/>
      </w:r>
      <w:r>
        <w:rPr>
          <w:rFonts w:ascii="Times New Roman" w:hAnsi="Times New Roman" w:cs="Times New Roman"/>
        </w:rPr>
        <w:fldChar w:fldCharType="end"/>
      </w:r>
    </w:p>
    <w:p w14:paraId="4726B8FC">
      <w:pPr>
        <w:pStyle w:val="18"/>
      </w:pPr>
      <w:r>
        <w:fldChar w:fldCharType="begin"/>
      </w:r>
      <w:r>
        <w:instrText xml:space="preserve"> HYPERLINK \l "_Toc1263" </w:instrText>
      </w:r>
      <w:r>
        <w:fldChar w:fldCharType="separate"/>
      </w:r>
      <w:r>
        <w:rPr>
          <w:rFonts w:eastAsia="仿宋"/>
        </w:rPr>
        <w:t xml:space="preserve">3 </w:t>
      </w:r>
      <w:r>
        <w:t>监测预警</w:t>
      </w:r>
      <w:r>
        <w:tab/>
      </w:r>
      <w:r>
        <w:fldChar w:fldCharType="begin"/>
      </w:r>
      <w:r>
        <w:instrText xml:space="preserve"> PAGEREF _Toc1263 \h </w:instrText>
      </w:r>
      <w:r>
        <w:fldChar w:fldCharType="separate"/>
      </w:r>
      <w:r>
        <w:t>13</w:t>
      </w:r>
      <w:r>
        <w:fldChar w:fldCharType="end"/>
      </w:r>
      <w:r>
        <w:fldChar w:fldCharType="end"/>
      </w:r>
    </w:p>
    <w:p w14:paraId="69F73435">
      <w:pPr>
        <w:pStyle w:val="19"/>
        <w:tabs>
          <w:tab w:val="right" w:leader="dot" w:pos="8845"/>
        </w:tabs>
        <w:ind w:firstLine="632"/>
        <w:rPr>
          <w:rFonts w:ascii="Times New Roman" w:hAnsi="Times New Roman" w:cs="Times New Roman"/>
        </w:rPr>
      </w:pPr>
      <w:r>
        <w:fldChar w:fldCharType="begin"/>
      </w:r>
      <w:r>
        <w:instrText xml:space="preserve"> HYPERLINK \l "_Toc203" </w:instrText>
      </w:r>
      <w:r>
        <w:fldChar w:fldCharType="separate"/>
      </w:r>
      <w:r>
        <w:rPr>
          <w:rFonts w:ascii="Times New Roman" w:hAnsi="Times New Roman" w:eastAsia="仿宋" w:cs="Times New Roman"/>
          <w:bCs/>
        </w:rPr>
        <w:t xml:space="preserve">3.1 </w:t>
      </w:r>
      <w:r>
        <w:rPr>
          <w:rFonts w:ascii="Times New Roman" w:hAnsi="Times New Roman" w:cs="Times New Roman"/>
        </w:rPr>
        <w:t>风险监测与防控</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_Toc203 \h </w:instrText>
      </w:r>
      <w:r>
        <w:rPr>
          <w:rFonts w:ascii="Times New Roman" w:hAnsi="Times New Roman" w:cs="Times New Roman"/>
        </w:rPr>
        <w:fldChar w:fldCharType="separate"/>
      </w:r>
      <w:r>
        <w:rPr>
          <w:rFonts w:ascii="Times New Roman" w:hAnsi="Times New Roman" w:cs="Times New Roman"/>
        </w:rPr>
        <w:t>13</w:t>
      </w:r>
      <w:r>
        <w:rPr>
          <w:rFonts w:ascii="Times New Roman" w:hAnsi="Times New Roman" w:cs="Times New Roman"/>
        </w:rPr>
        <w:fldChar w:fldCharType="end"/>
      </w:r>
      <w:r>
        <w:rPr>
          <w:rFonts w:ascii="Times New Roman" w:hAnsi="Times New Roman" w:cs="Times New Roman"/>
        </w:rPr>
        <w:fldChar w:fldCharType="end"/>
      </w:r>
    </w:p>
    <w:p w14:paraId="3589C8B6">
      <w:pPr>
        <w:pStyle w:val="19"/>
        <w:tabs>
          <w:tab w:val="right" w:leader="dot" w:pos="8845"/>
        </w:tabs>
        <w:ind w:firstLine="632"/>
        <w:rPr>
          <w:rFonts w:ascii="Times New Roman" w:hAnsi="Times New Roman" w:cs="Times New Roman"/>
        </w:rPr>
      </w:pPr>
      <w:r>
        <w:fldChar w:fldCharType="begin"/>
      </w:r>
      <w:r>
        <w:instrText xml:space="preserve"> HYPERLINK \l "_Toc27871" </w:instrText>
      </w:r>
      <w:r>
        <w:fldChar w:fldCharType="separate"/>
      </w:r>
      <w:r>
        <w:rPr>
          <w:rFonts w:ascii="Times New Roman" w:hAnsi="Times New Roman" w:eastAsia="仿宋" w:cs="Times New Roman"/>
          <w:bCs/>
        </w:rPr>
        <w:t xml:space="preserve">3.2 </w:t>
      </w:r>
      <w:r>
        <w:rPr>
          <w:rFonts w:ascii="Times New Roman" w:hAnsi="Times New Roman" w:cs="Times New Roman"/>
        </w:rPr>
        <w:t>预警</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_Toc27871 \h </w:instrText>
      </w:r>
      <w:r>
        <w:rPr>
          <w:rFonts w:ascii="Times New Roman" w:hAnsi="Times New Roman" w:cs="Times New Roman"/>
        </w:rPr>
        <w:fldChar w:fldCharType="separate"/>
      </w:r>
      <w:r>
        <w:rPr>
          <w:rFonts w:ascii="Times New Roman" w:hAnsi="Times New Roman" w:cs="Times New Roman"/>
        </w:rPr>
        <w:t>14</w:t>
      </w:r>
      <w:r>
        <w:rPr>
          <w:rFonts w:ascii="Times New Roman" w:hAnsi="Times New Roman" w:cs="Times New Roman"/>
        </w:rPr>
        <w:fldChar w:fldCharType="end"/>
      </w:r>
      <w:r>
        <w:rPr>
          <w:rFonts w:ascii="Times New Roman" w:hAnsi="Times New Roman" w:cs="Times New Roman"/>
        </w:rPr>
        <w:fldChar w:fldCharType="end"/>
      </w:r>
    </w:p>
    <w:p w14:paraId="52702903">
      <w:pPr>
        <w:pStyle w:val="18"/>
      </w:pPr>
      <w:r>
        <w:fldChar w:fldCharType="begin"/>
      </w:r>
      <w:r>
        <w:instrText xml:space="preserve"> HYPERLINK \l "_Toc30689" </w:instrText>
      </w:r>
      <w:r>
        <w:fldChar w:fldCharType="separate"/>
      </w:r>
      <w:r>
        <w:rPr>
          <w:rFonts w:eastAsia="仿宋"/>
        </w:rPr>
        <w:t xml:space="preserve">4 </w:t>
      </w:r>
      <w:r>
        <w:t>应急响应</w:t>
      </w:r>
      <w:r>
        <w:tab/>
      </w:r>
      <w:r>
        <w:fldChar w:fldCharType="begin"/>
      </w:r>
      <w:r>
        <w:instrText xml:space="preserve"> PAGEREF _Toc30689 \h </w:instrText>
      </w:r>
      <w:r>
        <w:fldChar w:fldCharType="separate"/>
      </w:r>
      <w:r>
        <w:t>17</w:t>
      </w:r>
      <w:r>
        <w:fldChar w:fldCharType="end"/>
      </w:r>
      <w:r>
        <w:fldChar w:fldCharType="end"/>
      </w:r>
    </w:p>
    <w:p w14:paraId="526E3447">
      <w:pPr>
        <w:pStyle w:val="19"/>
        <w:tabs>
          <w:tab w:val="right" w:leader="dot" w:pos="8845"/>
        </w:tabs>
        <w:ind w:firstLine="632"/>
        <w:rPr>
          <w:rFonts w:ascii="Times New Roman" w:hAnsi="Times New Roman" w:cs="Times New Roman"/>
        </w:rPr>
      </w:pPr>
      <w:r>
        <w:fldChar w:fldCharType="begin"/>
      </w:r>
      <w:r>
        <w:instrText xml:space="preserve"> HYPERLINK \l "_Toc24207" </w:instrText>
      </w:r>
      <w:r>
        <w:fldChar w:fldCharType="separate"/>
      </w:r>
      <w:r>
        <w:rPr>
          <w:rFonts w:ascii="Times New Roman" w:hAnsi="Times New Roman" w:eastAsia="仿宋" w:cs="Times New Roman"/>
          <w:bCs/>
        </w:rPr>
        <w:t xml:space="preserve">4.1 </w:t>
      </w:r>
      <w:r>
        <w:rPr>
          <w:rFonts w:ascii="Times New Roman" w:hAnsi="Times New Roman" w:cs="Times New Roman"/>
        </w:rPr>
        <w:t>信息报告</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_Toc24207 \h </w:instrText>
      </w:r>
      <w:r>
        <w:rPr>
          <w:rFonts w:ascii="Times New Roman" w:hAnsi="Times New Roman" w:cs="Times New Roman"/>
        </w:rPr>
        <w:fldChar w:fldCharType="separate"/>
      </w:r>
      <w:r>
        <w:rPr>
          <w:rFonts w:ascii="Times New Roman" w:hAnsi="Times New Roman" w:cs="Times New Roman"/>
        </w:rPr>
        <w:t>17</w:t>
      </w:r>
      <w:r>
        <w:rPr>
          <w:rFonts w:ascii="Times New Roman" w:hAnsi="Times New Roman" w:cs="Times New Roman"/>
        </w:rPr>
        <w:fldChar w:fldCharType="end"/>
      </w:r>
      <w:r>
        <w:rPr>
          <w:rFonts w:ascii="Times New Roman" w:hAnsi="Times New Roman" w:cs="Times New Roman"/>
        </w:rPr>
        <w:fldChar w:fldCharType="end"/>
      </w:r>
    </w:p>
    <w:p w14:paraId="0EBE0216">
      <w:pPr>
        <w:pStyle w:val="19"/>
        <w:tabs>
          <w:tab w:val="right" w:leader="dot" w:pos="8845"/>
        </w:tabs>
        <w:ind w:firstLine="632"/>
        <w:rPr>
          <w:rFonts w:ascii="Times New Roman" w:hAnsi="Times New Roman" w:cs="Times New Roman"/>
        </w:rPr>
      </w:pPr>
      <w:r>
        <w:fldChar w:fldCharType="begin"/>
      </w:r>
      <w:r>
        <w:instrText xml:space="preserve"> HYPERLINK \l "_Toc29465" </w:instrText>
      </w:r>
      <w:r>
        <w:fldChar w:fldCharType="separate"/>
      </w:r>
      <w:r>
        <w:rPr>
          <w:rFonts w:ascii="Times New Roman" w:hAnsi="Times New Roman" w:eastAsia="仿宋" w:cs="Times New Roman"/>
          <w:bCs/>
        </w:rPr>
        <w:t xml:space="preserve">4.2 </w:t>
      </w:r>
      <w:r>
        <w:rPr>
          <w:rFonts w:ascii="Times New Roman" w:hAnsi="Times New Roman" w:cs="Times New Roman"/>
        </w:rPr>
        <w:t>先期处置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_Toc29465 \h </w:instrText>
      </w:r>
      <w:r>
        <w:rPr>
          <w:rFonts w:ascii="Times New Roman" w:hAnsi="Times New Roman" w:cs="Times New Roman"/>
        </w:rPr>
        <w:fldChar w:fldCharType="separate"/>
      </w:r>
      <w:r>
        <w:rPr>
          <w:rFonts w:ascii="Times New Roman" w:hAnsi="Times New Roman" w:cs="Times New Roman"/>
        </w:rPr>
        <w:t>19</w:t>
      </w:r>
      <w:r>
        <w:rPr>
          <w:rFonts w:ascii="Times New Roman" w:hAnsi="Times New Roman" w:cs="Times New Roman"/>
        </w:rPr>
        <w:fldChar w:fldCharType="end"/>
      </w:r>
      <w:r>
        <w:rPr>
          <w:rFonts w:ascii="Times New Roman" w:hAnsi="Times New Roman" w:cs="Times New Roman"/>
        </w:rPr>
        <w:fldChar w:fldCharType="end"/>
      </w:r>
    </w:p>
    <w:p w14:paraId="38F564F8">
      <w:pPr>
        <w:pStyle w:val="19"/>
        <w:tabs>
          <w:tab w:val="right" w:leader="dot" w:pos="8845"/>
        </w:tabs>
        <w:ind w:firstLine="632"/>
        <w:rPr>
          <w:rFonts w:ascii="Times New Roman" w:hAnsi="Times New Roman" w:cs="Times New Roman"/>
        </w:rPr>
      </w:pPr>
      <w:r>
        <w:fldChar w:fldCharType="begin"/>
      </w:r>
      <w:r>
        <w:instrText xml:space="preserve"> HYPERLINK \l "_Toc31919" </w:instrText>
      </w:r>
      <w:r>
        <w:fldChar w:fldCharType="separate"/>
      </w:r>
      <w:r>
        <w:rPr>
          <w:rFonts w:ascii="Times New Roman" w:hAnsi="Times New Roman" w:eastAsia="仿宋" w:cs="Times New Roman"/>
          <w:bCs/>
        </w:rPr>
        <w:t xml:space="preserve">4.3 </w:t>
      </w:r>
      <w:r>
        <w:rPr>
          <w:rFonts w:ascii="Times New Roman" w:hAnsi="Times New Roman" w:cs="Times New Roman"/>
        </w:rPr>
        <w:t>分级响应</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_Toc31919 \h </w:instrText>
      </w:r>
      <w:r>
        <w:rPr>
          <w:rFonts w:ascii="Times New Roman" w:hAnsi="Times New Roman" w:cs="Times New Roman"/>
        </w:rPr>
        <w:fldChar w:fldCharType="separate"/>
      </w:r>
      <w:r>
        <w:rPr>
          <w:rFonts w:ascii="Times New Roman" w:hAnsi="Times New Roman" w:cs="Times New Roman"/>
        </w:rPr>
        <w:t>19</w:t>
      </w:r>
      <w:r>
        <w:rPr>
          <w:rFonts w:ascii="Times New Roman" w:hAnsi="Times New Roman" w:cs="Times New Roman"/>
        </w:rPr>
        <w:fldChar w:fldCharType="end"/>
      </w:r>
      <w:r>
        <w:rPr>
          <w:rFonts w:ascii="Times New Roman" w:hAnsi="Times New Roman" w:cs="Times New Roman"/>
        </w:rPr>
        <w:fldChar w:fldCharType="end"/>
      </w:r>
    </w:p>
    <w:p w14:paraId="248F4A00">
      <w:pPr>
        <w:pStyle w:val="19"/>
        <w:tabs>
          <w:tab w:val="right" w:leader="dot" w:pos="8845"/>
        </w:tabs>
        <w:ind w:firstLine="632"/>
        <w:rPr>
          <w:rFonts w:ascii="Times New Roman" w:hAnsi="Times New Roman" w:cs="Times New Roman"/>
        </w:rPr>
      </w:pPr>
      <w:r>
        <w:fldChar w:fldCharType="begin"/>
      </w:r>
      <w:r>
        <w:instrText xml:space="preserve"> HYPERLINK \l "_Toc26491" </w:instrText>
      </w:r>
      <w:r>
        <w:fldChar w:fldCharType="separate"/>
      </w:r>
      <w:r>
        <w:rPr>
          <w:rFonts w:ascii="Times New Roman" w:hAnsi="Times New Roman" w:eastAsia="仿宋" w:cs="Times New Roman"/>
          <w:bCs/>
        </w:rPr>
        <w:t xml:space="preserve">4.4 </w:t>
      </w:r>
      <w:r>
        <w:rPr>
          <w:rFonts w:ascii="Times New Roman" w:hAnsi="Times New Roman" w:cs="Times New Roman"/>
        </w:rPr>
        <w:t>指挥协调</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_Toc26491 \h </w:instrText>
      </w:r>
      <w:r>
        <w:rPr>
          <w:rFonts w:ascii="Times New Roman" w:hAnsi="Times New Roman" w:cs="Times New Roman"/>
        </w:rPr>
        <w:fldChar w:fldCharType="separate"/>
      </w:r>
      <w:r>
        <w:rPr>
          <w:rFonts w:ascii="Times New Roman" w:hAnsi="Times New Roman" w:cs="Times New Roman"/>
        </w:rPr>
        <w:t>20</w:t>
      </w:r>
      <w:r>
        <w:rPr>
          <w:rFonts w:ascii="Times New Roman" w:hAnsi="Times New Roman" w:cs="Times New Roman"/>
        </w:rPr>
        <w:fldChar w:fldCharType="end"/>
      </w:r>
      <w:r>
        <w:rPr>
          <w:rFonts w:ascii="Times New Roman" w:hAnsi="Times New Roman" w:cs="Times New Roman"/>
        </w:rPr>
        <w:fldChar w:fldCharType="end"/>
      </w:r>
    </w:p>
    <w:p w14:paraId="141211A0">
      <w:pPr>
        <w:pStyle w:val="19"/>
        <w:tabs>
          <w:tab w:val="right" w:leader="dot" w:pos="8845"/>
        </w:tabs>
        <w:ind w:firstLine="632"/>
        <w:rPr>
          <w:rFonts w:ascii="Times New Roman" w:hAnsi="Times New Roman" w:cs="Times New Roman"/>
        </w:rPr>
      </w:pPr>
      <w:r>
        <w:fldChar w:fldCharType="begin"/>
      </w:r>
      <w:r>
        <w:instrText xml:space="preserve"> HYPERLINK \l "_Toc14554" </w:instrText>
      </w:r>
      <w:r>
        <w:fldChar w:fldCharType="separate"/>
      </w:r>
      <w:r>
        <w:rPr>
          <w:rFonts w:ascii="Times New Roman" w:hAnsi="Times New Roman" w:eastAsia="仿宋" w:cs="Times New Roman"/>
          <w:bCs/>
        </w:rPr>
        <w:t xml:space="preserve">4.5 </w:t>
      </w:r>
      <w:r>
        <w:rPr>
          <w:rFonts w:ascii="Times New Roman" w:hAnsi="Times New Roman" w:cs="Times New Roman"/>
        </w:rPr>
        <w:t>处置措施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_Toc14554 \h </w:instrText>
      </w:r>
      <w:r>
        <w:rPr>
          <w:rFonts w:ascii="Times New Roman" w:hAnsi="Times New Roman" w:cs="Times New Roman"/>
        </w:rPr>
        <w:fldChar w:fldCharType="separate"/>
      </w:r>
      <w:r>
        <w:rPr>
          <w:rFonts w:ascii="Times New Roman" w:hAnsi="Times New Roman" w:cs="Times New Roman"/>
        </w:rPr>
        <w:t>22</w:t>
      </w:r>
      <w:r>
        <w:rPr>
          <w:rFonts w:ascii="Times New Roman" w:hAnsi="Times New Roman" w:cs="Times New Roman"/>
        </w:rPr>
        <w:fldChar w:fldCharType="end"/>
      </w:r>
      <w:r>
        <w:rPr>
          <w:rFonts w:ascii="Times New Roman" w:hAnsi="Times New Roman" w:cs="Times New Roman"/>
        </w:rPr>
        <w:fldChar w:fldCharType="end"/>
      </w:r>
    </w:p>
    <w:p w14:paraId="61BD0AFB">
      <w:pPr>
        <w:pStyle w:val="19"/>
        <w:tabs>
          <w:tab w:val="right" w:leader="dot" w:pos="8845"/>
        </w:tabs>
        <w:ind w:firstLine="632"/>
        <w:rPr>
          <w:rFonts w:ascii="Times New Roman" w:hAnsi="Times New Roman" w:cs="Times New Roman"/>
        </w:rPr>
      </w:pPr>
      <w:r>
        <w:fldChar w:fldCharType="begin"/>
      </w:r>
      <w:r>
        <w:instrText xml:space="preserve"> HYPERLINK \l "_Toc22056" </w:instrText>
      </w:r>
      <w:r>
        <w:fldChar w:fldCharType="separate"/>
      </w:r>
      <w:r>
        <w:rPr>
          <w:rFonts w:ascii="Times New Roman" w:hAnsi="Times New Roman" w:eastAsia="仿宋" w:cs="Times New Roman"/>
          <w:bCs/>
        </w:rPr>
        <w:t xml:space="preserve">4.6 </w:t>
      </w:r>
      <w:r>
        <w:rPr>
          <w:rFonts w:ascii="Times New Roman" w:hAnsi="Times New Roman" w:cs="Times New Roman"/>
        </w:rPr>
        <w:t>信息发布与舆论引导</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_Toc22056 \h </w:instrText>
      </w:r>
      <w:r>
        <w:rPr>
          <w:rFonts w:ascii="Times New Roman" w:hAnsi="Times New Roman" w:cs="Times New Roman"/>
        </w:rPr>
        <w:fldChar w:fldCharType="separate"/>
      </w:r>
      <w:r>
        <w:rPr>
          <w:rFonts w:ascii="Times New Roman" w:hAnsi="Times New Roman" w:cs="Times New Roman"/>
        </w:rPr>
        <w:t>25</w:t>
      </w:r>
      <w:r>
        <w:rPr>
          <w:rFonts w:ascii="Times New Roman" w:hAnsi="Times New Roman" w:cs="Times New Roman"/>
        </w:rPr>
        <w:fldChar w:fldCharType="end"/>
      </w:r>
      <w:r>
        <w:rPr>
          <w:rFonts w:ascii="Times New Roman" w:hAnsi="Times New Roman" w:cs="Times New Roman"/>
        </w:rPr>
        <w:fldChar w:fldCharType="end"/>
      </w:r>
    </w:p>
    <w:p w14:paraId="63DB5601">
      <w:pPr>
        <w:pStyle w:val="19"/>
        <w:tabs>
          <w:tab w:val="right" w:leader="dot" w:pos="8845"/>
        </w:tabs>
        <w:ind w:firstLine="632"/>
        <w:rPr>
          <w:rFonts w:ascii="Times New Roman" w:hAnsi="Times New Roman" w:cs="Times New Roman"/>
        </w:rPr>
      </w:pPr>
      <w:r>
        <w:fldChar w:fldCharType="begin"/>
      </w:r>
      <w:r>
        <w:instrText xml:space="preserve"> HYPERLINK \l "_Toc13805" </w:instrText>
      </w:r>
      <w:r>
        <w:fldChar w:fldCharType="separate"/>
      </w:r>
      <w:r>
        <w:rPr>
          <w:rFonts w:ascii="Times New Roman" w:hAnsi="Times New Roman" w:eastAsia="仿宋" w:cs="Times New Roman"/>
          <w:bCs/>
        </w:rPr>
        <w:t xml:space="preserve">4.7 </w:t>
      </w:r>
      <w:r>
        <w:rPr>
          <w:rFonts w:ascii="Times New Roman" w:hAnsi="Times New Roman" w:cs="Times New Roman"/>
        </w:rPr>
        <w:t>应急结束</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_Toc13805 \h </w:instrText>
      </w:r>
      <w:r>
        <w:rPr>
          <w:rFonts w:ascii="Times New Roman" w:hAnsi="Times New Roman" w:cs="Times New Roman"/>
        </w:rPr>
        <w:fldChar w:fldCharType="separate"/>
      </w:r>
      <w:r>
        <w:rPr>
          <w:rFonts w:ascii="Times New Roman" w:hAnsi="Times New Roman" w:cs="Times New Roman"/>
        </w:rPr>
        <w:t>25</w:t>
      </w:r>
      <w:r>
        <w:rPr>
          <w:rFonts w:ascii="Times New Roman" w:hAnsi="Times New Roman" w:cs="Times New Roman"/>
        </w:rPr>
        <w:fldChar w:fldCharType="end"/>
      </w:r>
      <w:r>
        <w:rPr>
          <w:rFonts w:ascii="Times New Roman" w:hAnsi="Times New Roman" w:cs="Times New Roman"/>
        </w:rPr>
        <w:fldChar w:fldCharType="end"/>
      </w:r>
    </w:p>
    <w:p w14:paraId="3BE7BD08">
      <w:pPr>
        <w:pStyle w:val="18"/>
      </w:pPr>
      <w:r>
        <w:fldChar w:fldCharType="begin"/>
      </w:r>
      <w:r>
        <w:instrText xml:space="preserve"> HYPERLINK \l "_Toc27579" </w:instrText>
      </w:r>
      <w:r>
        <w:fldChar w:fldCharType="separate"/>
      </w:r>
      <w:r>
        <w:rPr>
          <w:rFonts w:eastAsia="仿宋"/>
        </w:rPr>
        <w:t xml:space="preserve">5 </w:t>
      </w:r>
      <w:r>
        <w:t>后期处置与恢复重建</w:t>
      </w:r>
      <w:r>
        <w:tab/>
      </w:r>
      <w:r>
        <w:fldChar w:fldCharType="begin"/>
      </w:r>
      <w:r>
        <w:instrText xml:space="preserve"> PAGEREF _Toc27579 \h </w:instrText>
      </w:r>
      <w:r>
        <w:fldChar w:fldCharType="separate"/>
      </w:r>
      <w:r>
        <w:t>26</w:t>
      </w:r>
      <w:r>
        <w:fldChar w:fldCharType="end"/>
      </w:r>
      <w:r>
        <w:fldChar w:fldCharType="end"/>
      </w:r>
    </w:p>
    <w:p w14:paraId="52870C57">
      <w:pPr>
        <w:pStyle w:val="19"/>
        <w:tabs>
          <w:tab w:val="right" w:leader="dot" w:pos="8845"/>
        </w:tabs>
        <w:ind w:firstLine="632"/>
        <w:rPr>
          <w:rFonts w:ascii="Times New Roman" w:hAnsi="Times New Roman" w:cs="Times New Roman"/>
        </w:rPr>
      </w:pPr>
      <w:r>
        <w:fldChar w:fldCharType="begin"/>
      </w:r>
      <w:r>
        <w:instrText xml:space="preserve"> HYPERLINK \l "_Toc5743" </w:instrText>
      </w:r>
      <w:r>
        <w:fldChar w:fldCharType="separate"/>
      </w:r>
      <w:r>
        <w:rPr>
          <w:rFonts w:ascii="Times New Roman" w:hAnsi="Times New Roman" w:eastAsia="仿宋" w:cs="Times New Roman"/>
          <w:bCs/>
        </w:rPr>
        <w:t xml:space="preserve">5.1 </w:t>
      </w:r>
      <w:r>
        <w:rPr>
          <w:rFonts w:ascii="Times New Roman" w:hAnsi="Times New Roman" w:cs="Times New Roman"/>
        </w:rPr>
        <w:t>善后处置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_Toc5743 \h </w:instrText>
      </w:r>
      <w:r>
        <w:rPr>
          <w:rFonts w:ascii="Times New Roman" w:hAnsi="Times New Roman" w:cs="Times New Roman"/>
        </w:rPr>
        <w:fldChar w:fldCharType="separate"/>
      </w:r>
      <w:r>
        <w:rPr>
          <w:rFonts w:ascii="Times New Roman" w:hAnsi="Times New Roman" w:cs="Times New Roman"/>
        </w:rPr>
        <w:t>26</w:t>
      </w:r>
      <w:r>
        <w:rPr>
          <w:rFonts w:ascii="Times New Roman" w:hAnsi="Times New Roman" w:cs="Times New Roman"/>
        </w:rPr>
        <w:fldChar w:fldCharType="end"/>
      </w:r>
      <w:r>
        <w:rPr>
          <w:rFonts w:ascii="Times New Roman" w:hAnsi="Times New Roman" w:cs="Times New Roman"/>
        </w:rPr>
        <w:fldChar w:fldCharType="end"/>
      </w:r>
    </w:p>
    <w:p w14:paraId="31F2FC75">
      <w:pPr>
        <w:pStyle w:val="19"/>
        <w:tabs>
          <w:tab w:val="right" w:leader="dot" w:pos="8845"/>
        </w:tabs>
        <w:ind w:firstLine="632"/>
        <w:rPr>
          <w:rFonts w:ascii="Times New Roman" w:hAnsi="Times New Roman" w:cs="Times New Roman"/>
        </w:rPr>
      </w:pPr>
      <w:r>
        <w:fldChar w:fldCharType="begin"/>
      </w:r>
      <w:r>
        <w:instrText xml:space="preserve"> HYPERLINK \l "_Toc4015" </w:instrText>
      </w:r>
      <w:r>
        <w:fldChar w:fldCharType="separate"/>
      </w:r>
      <w:r>
        <w:rPr>
          <w:rFonts w:ascii="Times New Roman" w:hAnsi="Times New Roman" w:eastAsia="仿宋" w:cs="Times New Roman"/>
          <w:bCs/>
        </w:rPr>
        <w:t xml:space="preserve">5.2 </w:t>
      </w:r>
      <w:r>
        <w:rPr>
          <w:rFonts w:ascii="Times New Roman" w:hAnsi="Times New Roman" w:cs="Times New Roman"/>
        </w:rPr>
        <w:t>调查、评估与总结</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_Toc4015 \h </w:instrText>
      </w:r>
      <w:r>
        <w:rPr>
          <w:rFonts w:ascii="Times New Roman" w:hAnsi="Times New Roman" w:cs="Times New Roman"/>
        </w:rPr>
        <w:fldChar w:fldCharType="separate"/>
      </w:r>
      <w:r>
        <w:rPr>
          <w:rFonts w:ascii="Times New Roman" w:hAnsi="Times New Roman" w:cs="Times New Roman"/>
        </w:rPr>
        <w:t>26</w:t>
      </w:r>
      <w:r>
        <w:rPr>
          <w:rFonts w:ascii="Times New Roman" w:hAnsi="Times New Roman" w:cs="Times New Roman"/>
        </w:rPr>
        <w:fldChar w:fldCharType="end"/>
      </w:r>
      <w:r>
        <w:rPr>
          <w:rFonts w:ascii="Times New Roman" w:hAnsi="Times New Roman" w:cs="Times New Roman"/>
        </w:rPr>
        <w:fldChar w:fldCharType="end"/>
      </w:r>
    </w:p>
    <w:p w14:paraId="4A79487B">
      <w:pPr>
        <w:pStyle w:val="19"/>
        <w:tabs>
          <w:tab w:val="right" w:leader="dot" w:pos="8845"/>
        </w:tabs>
        <w:ind w:firstLine="632"/>
        <w:rPr>
          <w:rFonts w:ascii="Times New Roman" w:hAnsi="Times New Roman" w:cs="Times New Roman"/>
        </w:rPr>
      </w:pPr>
      <w:r>
        <w:fldChar w:fldCharType="begin"/>
      </w:r>
      <w:r>
        <w:instrText xml:space="preserve"> HYPERLINK \l "_Toc24264" </w:instrText>
      </w:r>
      <w:r>
        <w:fldChar w:fldCharType="separate"/>
      </w:r>
      <w:r>
        <w:rPr>
          <w:rFonts w:ascii="Times New Roman" w:hAnsi="Times New Roman" w:eastAsia="仿宋" w:cs="Times New Roman"/>
          <w:bCs/>
        </w:rPr>
        <w:t xml:space="preserve">5.3 </w:t>
      </w:r>
      <w:r>
        <w:rPr>
          <w:rFonts w:ascii="Times New Roman" w:hAnsi="Times New Roman" w:cs="Times New Roman"/>
        </w:rPr>
        <w:t>恢复重建</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_Toc24264 \h </w:instrText>
      </w:r>
      <w:r>
        <w:rPr>
          <w:rFonts w:ascii="Times New Roman" w:hAnsi="Times New Roman" w:cs="Times New Roman"/>
        </w:rPr>
        <w:fldChar w:fldCharType="separate"/>
      </w:r>
      <w:r>
        <w:rPr>
          <w:rFonts w:ascii="Times New Roman" w:hAnsi="Times New Roman" w:cs="Times New Roman"/>
        </w:rPr>
        <w:t>27</w:t>
      </w:r>
      <w:r>
        <w:rPr>
          <w:rFonts w:ascii="Times New Roman" w:hAnsi="Times New Roman" w:cs="Times New Roman"/>
        </w:rPr>
        <w:fldChar w:fldCharType="end"/>
      </w:r>
      <w:r>
        <w:rPr>
          <w:rFonts w:ascii="Times New Roman" w:hAnsi="Times New Roman" w:cs="Times New Roman"/>
        </w:rPr>
        <w:fldChar w:fldCharType="end"/>
      </w:r>
    </w:p>
    <w:p w14:paraId="5C04022B">
      <w:pPr>
        <w:pStyle w:val="18"/>
      </w:pPr>
      <w:r>
        <w:fldChar w:fldCharType="begin"/>
      </w:r>
      <w:r>
        <w:instrText xml:space="preserve"> HYPERLINK \l "_Toc3105" </w:instrText>
      </w:r>
      <w:r>
        <w:fldChar w:fldCharType="separate"/>
      </w:r>
      <w:r>
        <w:rPr>
          <w:rFonts w:eastAsia="仿宋"/>
        </w:rPr>
        <w:t xml:space="preserve">6 </w:t>
      </w:r>
      <w:r>
        <w:t>应急保障</w:t>
      </w:r>
      <w:r>
        <w:tab/>
      </w:r>
      <w:r>
        <w:fldChar w:fldCharType="begin"/>
      </w:r>
      <w:r>
        <w:instrText xml:space="preserve"> PAGEREF _Toc3105 \h </w:instrText>
      </w:r>
      <w:r>
        <w:fldChar w:fldCharType="separate"/>
      </w:r>
      <w:r>
        <w:t>27</w:t>
      </w:r>
      <w:r>
        <w:fldChar w:fldCharType="end"/>
      </w:r>
      <w:r>
        <w:fldChar w:fldCharType="end"/>
      </w:r>
    </w:p>
    <w:p w14:paraId="56C4F119">
      <w:pPr>
        <w:pStyle w:val="19"/>
        <w:tabs>
          <w:tab w:val="right" w:leader="dot" w:pos="8845"/>
        </w:tabs>
        <w:ind w:firstLine="632"/>
        <w:rPr>
          <w:rFonts w:ascii="Times New Roman" w:hAnsi="Times New Roman" w:cs="Times New Roman"/>
        </w:rPr>
      </w:pPr>
      <w:r>
        <w:fldChar w:fldCharType="begin"/>
      </w:r>
      <w:r>
        <w:instrText xml:space="preserve"> HYPERLINK \l "_Toc4760" </w:instrText>
      </w:r>
      <w:r>
        <w:fldChar w:fldCharType="separate"/>
      </w:r>
      <w:r>
        <w:rPr>
          <w:rFonts w:ascii="Times New Roman" w:hAnsi="Times New Roman" w:eastAsia="仿宋" w:cs="Times New Roman"/>
          <w:bCs/>
        </w:rPr>
        <w:t xml:space="preserve">6.1 </w:t>
      </w:r>
      <w:r>
        <w:rPr>
          <w:rFonts w:ascii="Times New Roman" w:hAnsi="Times New Roman" w:cs="Times New Roman"/>
        </w:rPr>
        <w:t>队伍保障</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_Toc4760 \h </w:instrText>
      </w:r>
      <w:r>
        <w:rPr>
          <w:rFonts w:ascii="Times New Roman" w:hAnsi="Times New Roman" w:cs="Times New Roman"/>
        </w:rPr>
        <w:fldChar w:fldCharType="separate"/>
      </w:r>
      <w:r>
        <w:rPr>
          <w:rFonts w:ascii="Times New Roman" w:hAnsi="Times New Roman" w:cs="Times New Roman"/>
        </w:rPr>
        <w:t>27</w:t>
      </w:r>
      <w:r>
        <w:rPr>
          <w:rFonts w:ascii="Times New Roman" w:hAnsi="Times New Roman" w:cs="Times New Roman"/>
        </w:rPr>
        <w:fldChar w:fldCharType="end"/>
      </w:r>
      <w:r>
        <w:rPr>
          <w:rFonts w:ascii="Times New Roman" w:hAnsi="Times New Roman" w:cs="Times New Roman"/>
        </w:rPr>
        <w:fldChar w:fldCharType="end"/>
      </w:r>
    </w:p>
    <w:p w14:paraId="5001736A">
      <w:pPr>
        <w:pStyle w:val="19"/>
        <w:tabs>
          <w:tab w:val="right" w:leader="dot" w:pos="8845"/>
        </w:tabs>
        <w:ind w:firstLine="632"/>
        <w:rPr>
          <w:rFonts w:ascii="Times New Roman" w:hAnsi="Times New Roman" w:cs="Times New Roman"/>
        </w:rPr>
      </w:pPr>
      <w:r>
        <w:fldChar w:fldCharType="begin"/>
      </w:r>
      <w:r>
        <w:instrText xml:space="preserve"> HYPERLINK \l "_Toc30816" </w:instrText>
      </w:r>
      <w:r>
        <w:fldChar w:fldCharType="separate"/>
      </w:r>
      <w:r>
        <w:rPr>
          <w:rFonts w:ascii="Times New Roman" w:hAnsi="Times New Roman" w:eastAsia="仿宋" w:cs="Times New Roman"/>
          <w:bCs/>
        </w:rPr>
        <w:t xml:space="preserve">6.2 </w:t>
      </w:r>
      <w:r>
        <w:rPr>
          <w:rFonts w:ascii="Times New Roman" w:hAnsi="Times New Roman" w:cs="Times New Roman"/>
        </w:rPr>
        <w:t>财力保障</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_Toc30816 \h </w:instrText>
      </w:r>
      <w:r>
        <w:rPr>
          <w:rFonts w:ascii="Times New Roman" w:hAnsi="Times New Roman" w:cs="Times New Roman"/>
        </w:rPr>
        <w:fldChar w:fldCharType="separate"/>
      </w:r>
      <w:r>
        <w:rPr>
          <w:rFonts w:ascii="Times New Roman" w:hAnsi="Times New Roman" w:cs="Times New Roman"/>
        </w:rPr>
        <w:t>28</w:t>
      </w:r>
      <w:r>
        <w:rPr>
          <w:rFonts w:ascii="Times New Roman" w:hAnsi="Times New Roman" w:cs="Times New Roman"/>
        </w:rPr>
        <w:fldChar w:fldCharType="end"/>
      </w:r>
      <w:r>
        <w:rPr>
          <w:rFonts w:ascii="Times New Roman" w:hAnsi="Times New Roman" w:cs="Times New Roman"/>
        </w:rPr>
        <w:fldChar w:fldCharType="end"/>
      </w:r>
    </w:p>
    <w:p w14:paraId="3DA4F017">
      <w:pPr>
        <w:pStyle w:val="19"/>
        <w:tabs>
          <w:tab w:val="right" w:leader="dot" w:pos="8845"/>
        </w:tabs>
        <w:ind w:firstLine="632"/>
        <w:rPr>
          <w:rFonts w:ascii="Times New Roman" w:hAnsi="Times New Roman" w:cs="Times New Roman"/>
        </w:rPr>
      </w:pPr>
      <w:r>
        <w:fldChar w:fldCharType="begin"/>
      </w:r>
      <w:r>
        <w:instrText xml:space="preserve"> HYPERLINK \l "_Toc11636" </w:instrText>
      </w:r>
      <w:r>
        <w:fldChar w:fldCharType="separate"/>
      </w:r>
      <w:r>
        <w:rPr>
          <w:rFonts w:ascii="Times New Roman" w:hAnsi="Times New Roman" w:eastAsia="仿宋" w:cs="Times New Roman"/>
          <w:bCs/>
        </w:rPr>
        <w:t xml:space="preserve">6.3 </w:t>
      </w:r>
      <w:r>
        <w:rPr>
          <w:rFonts w:ascii="Times New Roman" w:hAnsi="Times New Roman" w:cs="Times New Roman"/>
        </w:rPr>
        <w:t>物资保障</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_Toc11636 \h </w:instrText>
      </w:r>
      <w:r>
        <w:rPr>
          <w:rFonts w:ascii="Times New Roman" w:hAnsi="Times New Roman" w:cs="Times New Roman"/>
        </w:rPr>
        <w:fldChar w:fldCharType="separate"/>
      </w:r>
      <w:r>
        <w:rPr>
          <w:rFonts w:ascii="Times New Roman" w:hAnsi="Times New Roman" w:cs="Times New Roman"/>
        </w:rPr>
        <w:t>29</w:t>
      </w:r>
      <w:r>
        <w:rPr>
          <w:rFonts w:ascii="Times New Roman" w:hAnsi="Times New Roman" w:cs="Times New Roman"/>
        </w:rPr>
        <w:fldChar w:fldCharType="end"/>
      </w:r>
      <w:r>
        <w:rPr>
          <w:rFonts w:ascii="Times New Roman" w:hAnsi="Times New Roman" w:cs="Times New Roman"/>
        </w:rPr>
        <w:fldChar w:fldCharType="end"/>
      </w:r>
    </w:p>
    <w:p w14:paraId="02AFB8A9">
      <w:pPr>
        <w:pStyle w:val="19"/>
        <w:tabs>
          <w:tab w:val="right" w:leader="dot" w:pos="8845"/>
        </w:tabs>
        <w:ind w:firstLine="632"/>
        <w:rPr>
          <w:rFonts w:ascii="Times New Roman" w:hAnsi="Times New Roman" w:cs="Times New Roman"/>
        </w:rPr>
      </w:pPr>
      <w:r>
        <w:fldChar w:fldCharType="begin"/>
      </w:r>
      <w:r>
        <w:instrText xml:space="preserve"> HYPERLINK \l "_Toc9505" </w:instrText>
      </w:r>
      <w:r>
        <w:fldChar w:fldCharType="separate"/>
      </w:r>
      <w:r>
        <w:rPr>
          <w:rFonts w:ascii="Times New Roman" w:hAnsi="Times New Roman" w:eastAsia="仿宋" w:cs="Times New Roman"/>
          <w:bCs/>
        </w:rPr>
        <w:t xml:space="preserve">6.4 </w:t>
      </w:r>
      <w:r>
        <w:rPr>
          <w:rFonts w:ascii="Times New Roman" w:hAnsi="Times New Roman" w:cs="Times New Roman"/>
        </w:rPr>
        <w:t>治安保障</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_Toc9505 \h </w:instrText>
      </w:r>
      <w:r>
        <w:rPr>
          <w:rFonts w:ascii="Times New Roman" w:hAnsi="Times New Roman" w:cs="Times New Roman"/>
        </w:rPr>
        <w:fldChar w:fldCharType="separate"/>
      </w:r>
      <w:r>
        <w:rPr>
          <w:rFonts w:ascii="Times New Roman" w:hAnsi="Times New Roman" w:cs="Times New Roman"/>
        </w:rPr>
        <w:t>30</w:t>
      </w:r>
      <w:r>
        <w:rPr>
          <w:rFonts w:ascii="Times New Roman" w:hAnsi="Times New Roman" w:cs="Times New Roman"/>
        </w:rPr>
        <w:fldChar w:fldCharType="end"/>
      </w:r>
      <w:r>
        <w:rPr>
          <w:rFonts w:ascii="Times New Roman" w:hAnsi="Times New Roman" w:cs="Times New Roman"/>
        </w:rPr>
        <w:fldChar w:fldCharType="end"/>
      </w:r>
    </w:p>
    <w:p w14:paraId="2B314533">
      <w:pPr>
        <w:pStyle w:val="19"/>
        <w:tabs>
          <w:tab w:val="right" w:leader="dot" w:pos="8845"/>
        </w:tabs>
        <w:ind w:firstLine="632"/>
        <w:rPr>
          <w:rFonts w:ascii="Times New Roman" w:hAnsi="Times New Roman" w:cs="Times New Roman"/>
        </w:rPr>
      </w:pPr>
      <w:r>
        <w:fldChar w:fldCharType="begin"/>
      </w:r>
      <w:r>
        <w:instrText xml:space="preserve"> HYPERLINK \l "_Toc23244" </w:instrText>
      </w:r>
      <w:r>
        <w:fldChar w:fldCharType="separate"/>
      </w:r>
      <w:r>
        <w:rPr>
          <w:rFonts w:ascii="Times New Roman" w:hAnsi="Times New Roman" w:eastAsia="仿宋" w:cs="Times New Roman"/>
          <w:bCs/>
        </w:rPr>
        <w:t xml:space="preserve">6.5 </w:t>
      </w:r>
      <w:r>
        <w:rPr>
          <w:rFonts w:ascii="Times New Roman" w:hAnsi="Times New Roman" w:cs="Times New Roman"/>
        </w:rPr>
        <w:t>医疗卫生保障</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_Toc23244 \h </w:instrText>
      </w:r>
      <w:r>
        <w:rPr>
          <w:rFonts w:ascii="Times New Roman" w:hAnsi="Times New Roman" w:cs="Times New Roman"/>
        </w:rPr>
        <w:fldChar w:fldCharType="separate"/>
      </w:r>
      <w:r>
        <w:rPr>
          <w:rFonts w:ascii="Times New Roman" w:hAnsi="Times New Roman" w:cs="Times New Roman"/>
        </w:rPr>
        <w:t>30</w:t>
      </w:r>
      <w:r>
        <w:rPr>
          <w:rFonts w:ascii="Times New Roman" w:hAnsi="Times New Roman" w:cs="Times New Roman"/>
        </w:rPr>
        <w:fldChar w:fldCharType="end"/>
      </w:r>
      <w:r>
        <w:rPr>
          <w:rFonts w:ascii="Times New Roman" w:hAnsi="Times New Roman" w:cs="Times New Roman"/>
        </w:rPr>
        <w:fldChar w:fldCharType="end"/>
      </w:r>
    </w:p>
    <w:p w14:paraId="00C6AA26">
      <w:pPr>
        <w:pStyle w:val="19"/>
        <w:tabs>
          <w:tab w:val="right" w:leader="dot" w:pos="8845"/>
        </w:tabs>
        <w:ind w:firstLine="632"/>
        <w:rPr>
          <w:rFonts w:ascii="Times New Roman" w:hAnsi="Times New Roman" w:cs="Times New Roman"/>
        </w:rPr>
      </w:pPr>
      <w:r>
        <w:fldChar w:fldCharType="begin"/>
      </w:r>
      <w:r>
        <w:instrText xml:space="preserve"> HYPERLINK \l "_Toc32610" </w:instrText>
      </w:r>
      <w:r>
        <w:fldChar w:fldCharType="separate"/>
      </w:r>
      <w:r>
        <w:rPr>
          <w:rFonts w:ascii="Times New Roman" w:hAnsi="Times New Roman" w:eastAsia="仿宋" w:cs="Times New Roman"/>
          <w:bCs/>
        </w:rPr>
        <w:t xml:space="preserve">6.6 </w:t>
      </w:r>
      <w:r>
        <w:rPr>
          <w:rFonts w:ascii="Times New Roman" w:hAnsi="Times New Roman" w:cs="Times New Roman"/>
        </w:rPr>
        <w:t>交通运输保障</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_Toc32610 \h </w:instrText>
      </w:r>
      <w:r>
        <w:rPr>
          <w:rFonts w:ascii="Times New Roman" w:hAnsi="Times New Roman" w:cs="Times New Roman"/>
        </w:rPr>
        <w:fldChar w:fldCharType="separate"/>
      </w:r>
      <w:r>
        <w:rPr>
          <w:rFonts w:ascii="Times New Roman" w:hAnsi="Times New Roman" w:cs="Times New Roman"/>
        </w:rPr>
        <w:t>30</w:t>
      </w:r>
      <w:r>
        <w:rPr>
          <w:rFonts w:ascii="Times New Roman" w:hAnsi="Times New Roman" w:cs="Times New Roman"/>
        </w:rPr>
        <w:fldChar w:fldCharType="end"/>
      </w:r>
      <w:r>
        <w:rPr>
          <w:rFonts w:ascii="Times New Roman" w:hAnsi="Times New Roman" w:cs="Times New Roman"/>
        </w:rPr>
        <w:fldChar w:fldCharType="end"/>
      </w:r>
    </w:p>
    <w:p w14:paraId="1EA9D92F">
      <w:pPr>
        <w:pStyle w:val="19"/>
        <w:tabs>
          <w:tab w:val="right" w:leader="dot" w:pos="8845"/>
        </w:tabs>
        <w:ind w:firstLine="632"/>
        <w:rPr>
          <w:rFonts w:ascii="Times New Roman" w:hAnsi="Times New Roman" w:cs="Times New Roman"/>
        </w:rPr>
      </w:pPr>
      <w:r>
        <w:fldChar w:fldCharType="begin"/>
      </w:r>
      <w:r>
        <w:instrText xml:space="preserve"> HYPERLINK \l "_Toc11727" </w:instrText>
      </w:r>
      <w:r>
        <w:fldChar w:fldCharType="separate"/>
      </w:r>
      <w:r>
        <w:rPr>
          <w:rFonts w:ascii="Times New Roman" w:hAnsi="Times New Roman" w:eastAsia="仿宋" w:cs="Times New Roman"/>
          <w:bCs/>
        </w:rPr>
        <w:t xml:space="preserve">6.7 </w:t>
      </w:r>
      <w:r>
        <w:rPr>
          <w:rFonts w:ascii="Times New Roman" w:hAnsi="Times New Roman" w:cs="Times New Roman"/>
        </w:rPr>
        <w:t>通信保障</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_Toc11727 \h </w:instrText>
      </w:r>
      <w:r>
        <w:rPr>
          <w:rFonts w:ascii="Times New Roman" w:hAnsi="Times New Roman" w:cs="Times New Roman"/>
        </w:rPr>
        <w:fldChar w:fldCharType="separate"/>
      </w:r>
      <w:r>
        <w:rPr>
          <w:rFonts w:ascii="Times New Roman" w:hAnsi="Times New Roman" w:cs="Times New Roman"/>
        </w:rPr>
        <w:t>31</w:t>
      </w:r>
      <w:r>
        <w:rPr>
          <w:rFonts w:ascii="Times New Roman" w:hAnsi="Times New Roman" w:cs="Times New Roman"/>
        </w:rPr>
        <w:fldChar w:fldCharType="end"/>
      </w:r>
      <w:r>
        <w:rPr>
          <w:rFonts w:ascii="Times New Roman" w:hAnsi="Times New Roman" w:cs="Times New Roman"/>
        </w:rPr>
        <w:fldChar w:fldCharType="end"/>
      </w:r>
    </w:p>
    <w:p w14:paraId="7DCC7C61">
      <w:pPr>
        <w:pStyle w:val="19"/>
        <w:tabs>
          <w:tab w:val="right" w:leader="dot" w:pos="8845"/>
        </w:tabs>
        <w:ind w:firstLine="632"/>
        <w:rPr>
          <w:rFonts w:ascii="Times New Roman" w:hAnsi="Times New Roman" w:cs="Times New Roman"/>
        </w:rPr>
      </w:pPr>
      <w:r>
        <w:fldChar w:fldCharType="begin"/>
      </w:r>
      <w:r>
        <w:instrText xml:space="preserve"> HYPERLINK \l "_Toc18226" </w:instrText>
      </w:r>
      <w:r>
        <w:fldChar w:fldCharType="separate"/>
      </w:r>
      <w:r>
        <w:rPr>
          <w:rFonts w:ascii="Times New Roman" w:hAnsi="Times New Roman" w:eastAsia="仿宋" w:cs="Times New Roman"/>
          <w:bCs/>
        </w:rPr>
        <w:t xml:space="preserve">6.8 </w:t>
      </w:r>
      <w:r>
        <w:rPr>
          <w:rFonts w:ascii="Times New Roman" w:hAnsi="Times New Roman" w:cs="Times New Roman"/>
        </w:rPr>
        <w:t>公共设施保障</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_Toc18226 \h </w:instrText>
      </w:r>
      <w:r>
        <w:rPr>
          <w:rFonts w:ascii="Times New Roman" w:hAnsi="Times New Roman" w:cs="Times New Roman"/>
        </w:rPr>
        <w:fldChar w:fldCharType="separate"/>
      </w:r>
      <w:r>
        <w:rPr>
          <w:rFonts w:ascii="Times New Roman" w:hAnsi="Times New Roman" w:cs="Times New Roman"/>
        </w:rPr>
        <w:t>31</w:t>
      </w:r>
      <w:r>
        <w:rPr>
          <w:rFonts w:ascii="Times New Roman" w:hAnsi="Times New Roman" w:cs="Times New Roman"/>
        </w:rPr>
        <w:fldChar w:fldCharType="end"/>
      </w:r>
      <w:r>
        <w:rPr>
          <w:rFonts w:ascii="Times New Roman" w:hAnsi="Times New Roman" w:cs="Times New Roman"/>
        </w:rPr>
        <w:fldChar w:fldCharType="end"/>
      </w:r>
    </w:p>
    <w:p w14:paraId="3F5A1E42">
      <w:pPr>
        <w:pStyle w:val="19"/>
        <w:tabs>
          <w:tab w:val="right" w:leader="dot" w:pos="8845"/>
        </w:tabs>
        <w:ind w:firstLine="632"/>
        <w:rPr>
          <w:rFonts w:ascii="Times New Roman" w:hAnsi="Times New Roman" w:cs="Times New Roman"/>
        </w:rPr>
      </w:pPr>
      <w:r>
        <w:fldChar w:fldCharType="begin"/>
      </w:r>
      <w:r>
        <w:instrText xml:space="preserve"> HYPERLINK \l "_Toc24953" </w:instrText>
      </w:r>
      <w:r>
        <w:fldChar w:fldCharType="separate"/>
      </w:r>
      <w:r>
        <w:rPr>
          <w:rFonts w:ascii="Times New Roman" w:hAnsi="Times New Roman" w:eastAsia="仿宋" w:cs="Times New Roman"/>
          <w:bCs/>
        </w:rPr>
        <w:t xml:space="preserve">6.9 </w:t>
      </w:r>
      <w:r>
        <w:rPr>
          <w:rFonts w:ascii="Times New Roman" w:hAnsi="Times New Roman" w:cs="Times New Roman"/>
        </w:rPr>
        <w:t>基础信息服务保障</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_Toc24953 \h </w:instrText>
      </w:r>
      <w:r>
        <w:rPr>
          <w:rFonts w:ascii="Times New Roman" w:hAnsi="Times New Roman" w:cs="Times New Roman"/>
        </w:rPr>
        <w:fldChar w:fldCharType="separate"/>
      </w:r>
      <w:r>
        <w:rPr>
          <w:rFonts w:ascii="Times New Roman" w:hAnsi="Times New Roman" w:cs="Times New Roman"/>
        </w:rPr>
        <w:t>31</w:t>
      </w:r>
      <w:r>
        <w:rPr>
          <w:rFonts w:ascii="Times New Roman" w:hAnsi="Times New Roman" w:cs="Times New Roman"/>
        </w:rPr>
        <w:fldChar w:fldCharType="end"/>
      </w:r>
      <w:r>
        <w:rPr>
          <w:rFonts w:ascii="Times New Roman" w:hAnsi="Times New Roman" w:cs="Times New Roman"/>
        </w:rPr>
        <w:fldChar w:fldCharType="end"/>
      </w:r>
    </w:p>
    <w:p w14:paraId="21414BB0">
      <w:pPr>
        <w:pStyle w:val="19"/>
        <w:tabs>
          <w:tab w:val="right" w:leader="dot" w:pos="8845"/>
        </w:tabs>
        <w:ind w:firstLine="632"/>
        <w:rPr>
          <w:rFonts w:ascii="Times New Roman" w:hAnsi="Times New Roman" w:cs="Times New Roman"/>
        </w:rPr>
      </w:pPr>
      <w:r>
        <w:fldChar w:fldCharType="begin"/>
      </w:r>
      <w:r>
        <w:instrText xml:space="preserve"> HYPERLINK \l "_Toc8704" </w:instrText>
      </w:r>
      <w:r>
        <w:fldChar w:fldCharType="separate"/>
      </w:r>
      <w:r>
        <w:rPr>
          <w:rFonts w:ascii="Times New Roman" w:hAnsi="Times New Roman" w:eastAsia="仿宋" w:cs="Times New Roman"/>
          <w:bCs/>
        </w:rPr>
        <w:t xml:space="preserve">6.10 </w:t>
      </w:r>
      <w:r>
        <w:rPr>
          <w:rFonts w:ascii="Times New Roman" w:hAnsi="Times New Roman" w:cs="Times New Roman"/>
        </w:rPr>
        <w:t>科技保障</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_Toc8704 \h </w:instrText>
      </w:r>
      <w:r>
        <w:rPr>
          <w:rFonts w:ascii="Times New Roman" w:hAnsi="Times New Roman" w:cs="Times New Roman"/>
        </w:rPr>
        <w:fldChar w:fldCharType="separate"/>
      </w:r>
      <w:r>
        <w:rPr>
          <w:rFonts w:ascii="Times New Roman" w:hAnsi="Times New Roman" w:cs="Times New Roman"/>
        </w:rPr>
        <w:t>32</w:t>
      </w:r>
      <w:r>
        <w:rPr>
          <w:rFonts w:ascii="Times New Roman" w:hAnsi="Times New Roman" w:cs="Times New Roman"/>
        </w:rPr>
        <w:fldChar w:fldCharType="end"/>
      </w:r>
      <w:r>
        <w:rPr>
          <w:rFonts w:ascii="Times New Roman" w:hAnsi="Times New Roman" w:cs="Times New Roman"/>
        </w:rPr>
        <w:fldChar w:fldCharType="end"/>
      </w:r>
    </w:p>
    <w:p w14:paraId="31D42A84">
      <w:pPr>
        <w:pStyle w:val="19"/>
        <w:tabs>
          <w:tab w:val="right" w:leader="dot" w:pos="8845"/>
        </w:tabs>
        <w:ind w:firstLine="632"/>
        <w:rPr>
          <w:rFonts w:ascii="Times New Roman" w:hAnsi="Times New Roman" w:cs="Times New Roman"/>
        </w:rPr>
      </w:pPr>
      <w:r>
        <w:fldChar w:fldCharType="begin"/>
      </w:r>
      <w:r>
        <w:instrText xml:space="preserve"> HYPERLINK \l "_Toc10819" </w:instrText>
      </w:r>
      <w:r>
        <w:fldChar w:fldCharType="separate"/>
      </w:r>
      <w:r>
        <w:rPr>
          <w:rFonts w:ascii="Times New Roman" w:hAnsi="Times New Roman" w:eastAsia="仿宋" w:cs="Times New Roman"/>
          <w:bCs/>
        </w:rPr>
        <w:t xml:space="preserve">6.11 </w:t>
      </w:r>
      <w:r>
        <w:rPr>
          <w:rFonts w:ascii="Times New Roman" w:hAnsi="Times New Roman" w:cs="Times New Roman"/>
        </w:rPr>
        <w:t>社会动员保障</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_Toc10819 \h </w:instrText>
      </w:r>
      <w:r>
        <w:rPr>
          <w:rFonts w:ascii="Times New Roman" w:hAnsi="Times New Roman" w:cs="Times New Roman"/>
        </w:rPr>
        <w:fldChar w:fldCharType="separate"/>
      </w:r>
      <w:r>
        <w:rPr>
          <w:rFonts w:ascii="Times New Roman" w:hAnsi="Times New Roman" w:cs="Times New Roman"/>
        </w:rPr>
        <w:t>32</w:t>
      </w:r>
      <w:r>
        <w:rPr>
          <w:rFonts w:ascii="Times New Roman" w:hAnsi="Times New Roman" w:cs="Times New Roman"/>
        </w:rPr>
        <w:fldChar w:fldCharType="end"/>
      </w:r>
      <w:r>
        <w:rPr>
          <w:rFonts w:ascii="Times New Roman" w:hAnsi="Times New Roman" w:cs="Times New Roman"/>
        </w:rPr>
        <w:fldChar w:fldCharType="end"/>
      </w:r>
    </w:p>
    <w:p w14:paraId="636BBF6F">
      <w:pPr>
        <w:pStyle w:val="18"/>
      </w:pPr>
      <w:r>
        <w:fldChar w:fldCharType="begin"/>
      </w:r>
      <w:r>
        <w:instrText xml:space="preserve"> HYPERLINK \l "_Toc3106" </w:instrText>
      </w:r>
      <w:r>
        <w:fldChar w:fldCharType="separate"/>
      </w:r>
      <w:r>
        <w:rPr>
          <w:rFonts w:eastAsia="仿宋"/>
        </w:rPr>
        <w:t xml:space="preserve">7 </w:t>
      </w:r>
      <w:r>
        <w:t>预案管理</w:t>
      </w:r>
      <w:r>
        <w:tab/>
      </w:r>
      <w:r>
        <w:fldChar w:fldCharType="begin"/>
      </w:r>
      <w:r>
        <w:instrText xml:space="preserve"> PAGEREF _Toc3106 \h </w:instrText>
      </w:r>
      <w:r>
        <w:fldChar w:fldCharType="separate"/>
      </w:r>
      <w:r>
        <w:t>32</w:t>
      </w:r>
      <w:r>
        <w:fldChar w:fldCharType="end"/>
      </w:r>
      <w:r>
        <w:fldChar w:fldCharType="end"/>
      </w:r>
    </w:p>
    <w:p w14:paraId="5AD9610D">
      <w:pPr>
        <w:pStyle w:val="19"/>
        <w:tabs>
          <w:tab w:val="right" w:leader="dot" w:pos="8845"/>
        </w:tabs>
        <w:ind w:firstLine="632"/>
        <w:rPr>
          <w:rFonts w:ascii="Times New Roman" w:hAnsi="Times New Roman" w:cs="Times New Roman"/>
        </w:rPr>
      </w:pPr>
      <w:r>
        <w:fldChar w:fldCharType="begin"/>
      </w:r>
      <w:r>
        <w:instrText xml:space="preserve"> HYPERLINK \l "_Toc11777" </w:instrText>
      </w:r>
      <w:r>
        <w:fldChar w:fldCharType="separate"/>
      </w:r>
      <w:r>
        <w:rPr>
          <w:rFonts w:ascii="Times New Roman" w:hAnsi="Times New Roman" w:eastAsia="仿宋" w:cs="Times New Roman"/>
          <w:bCs/>
        </w:rPr>
        <w:t xml:space="preserve">7.1 </w:t>
      </w:r>
      <w:r>
        <w:rPr>
          <w:rFonts w:ascii="Times New Roman" w:hAnsi="Times New Roman" w:cs="Times New Roman"/>
        </w:rPr>
        <w:t>预案制定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_Toc11777 \h </w:instrText>
      </w:r>
      <w:r>
        <w:rPr>
          <w:rFonts w:ascii="Times New Roman" w:hAnsi="Times New Roman" w:cs="Times New Roman"/>
        </w:rPr>
        <w:fldChar w:fldCharType="separate"/>
      </w:r>
      <w:r>
        <w:rPr>
          <w:rFonts w:ascii="Times New Roman" w:hAnsi="Times New Roman" w:cs="Times New Roman"/>
        </w:rPr>
        <w:t>32</w:t>
      </w:r>
      <w:r>
        <w:rPr>
          <w:rFonts w:ascii="Times New Roman" w:hAnsi="Times New Roman" w:cs="Times New Roman"/>
        </w:rPr>
        <w:fldChar w:fldCharType="end"/>
      </w:r>
      <w:r>
        <w:rPr>
          <w:rFonts w:ascii="Times New Roman" w:hAnsi="Times New Roman" w:cs="Times New Roman"/>
        </w:rPr>
        <w:fldChar w:fldCharType="end"/>
      </w:r>
    </w:p>
    <w:p w14:paraId="4000C6E1">
      <w:pPr>
        <w:pStyle w:val="19"/>
        <w:tabs>
          <w:tab w:val="right" w:leader="dot" w:pos="8845"/>
        </w:tabs>
        <w:ind w:firstLine="632"/>
        <w:rPr>
          <w:rFonts w:ascii="Times New Roman" w:hAnsi="Times New Roman" w:cs="Times New Roman"/>
        </w:rPr>
      </w:pPr>
      <w:r>
        <w:fldChar w:fldCharType="begin"/>
      </w:r>
      <w:r>
        <w:instrText xml:space="preserve"> HYPERLINK \l "_Toc2979" </w:instrText>
      </w:r>
      <w:r>
        <w:fldChar w:fldCharType="separate"/>
      </w:r>
      <w:r>
        <w:rPr>
          <w:rFonts w:ascii="Times New Roman" w:hAnsi="Times New Roman" w:eastAsia="仿宋" w:cs="Times New Roman"/>
          <w:bCs/>
        </w:rPr>
        <w:t xml:space="preserve">7.2 </w:t>
      </w:r>
      <w:r>
        <w:rPr>
          <w:rFonts w:ascii="Times New Roman" w:hAnsi="Times New Roman" w:cs="Times New Roman"/>
        </w:rPr>
        <w:t>审批与备案</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_Toc2979 \h </w:instrText>
      </w:r>
      <w:r>
        <w:rPr>
          <w:rFonts w:ascii="Times New Roman" w:hAnsi="Times New Roman" w:cs="Times New Roman"/>
        </w:rPr>
        <w:fldChar w:fldCharType="separate"/>
      </w:r>
      <w:r>
        <w:rPr>
          <w:rFonts w:ascii="Times New Roman" w:hAnsi="Times New Roman" w:cs="Times New Roman"/>
        </w:rPr>
        <w:t>33</w:t>
      </w:r>
      <w:r>
        <w:rPr>
          <w:rFonts w:ascii="Times New Roman" w:hAnsi="Times New Roman" w:cs="Times New Roman"/>
        </w:rPr>
        <w:fldChar w:fldCharType="end"/>
      </w:r>
      <w:r>
        <w:rPr>
          <w:rFonts w:ascii="Times New Roman" w:hAnsi="Times New Roman" w:cs="Times New Roman"/>
        </w:rPr>
        <w:fldChar w:fldCharType="end"/>
      </w:r>
    </w:p>
    <w:p w14:paraId="7E2A365A">
      <w:pPr>
        <w:pStyle w:val="19"/>
        <w:tabs>
          <w:tab w:val="right" w:leader="dot" w:pos="8845"/>
        </w:tabs>
        <w:ind w:firstLine="632"/>
        <w:rPr>
          <w:rFonts w:ascii="Times New Roman" w:hAnsi="Times New Roman" w:cs="Times New Roman"/>
        </w:rPr>
      </w:pPr>
      <w:r>
        <w:fldChar w:fldCharType="begin"/>
      </w:r>
      <w:r>
        <w:instrText xml:space="preserve"> HYPERLINK \l "_Toc7150" </w:instrText>
      </w:r>
      <w:r>
        <w:fldChar w:fldCharType="separate"/>
      </w:r>
      <w:r>
        <w:rPr>
          <w:rFonts w:ascii="Times New Roman" w:hAnsi="Times New Roman" w:eastAsia="仿宋" w:cs="Times New Roman"/>
          <w:bCs/>
        </w:rPr>
        <w:t xml:space="preserve">7.3 </w:t>
      </w:r>
      <w:r>
        <w:rPr>
          <w:rFonts w:ascii="Times New Roman" w:hAnsi="Times New Roman" w:cs="Times New Roman"/>
        </w:rPr>
        <w:t>宣传与培训</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_Toc7150 \h </w:instrText>
      </w:r>
      <w:r>
        <w:rPr>
          <w:rFonts w:ascii="Times New Roman" w:hAnsi="Times New Roman" w:cs="Times New Roman"/>
        </w:rPr>
        <w:fldChar w:fldCharType="separate"/>
      </w:r>
      <w:r>
        <w:rPr>
          <w:rFonts w:ascii="Times New Roman" w:hAnsi="Times New Roman" w:cs="Times New Roman"/>
        </w:rPr>
        <w:t>33</w:t>
      </w:r>
      <w:r>
        <w:rPr>
          <w:rFonts w:ascii="Times New Roman" w:hAnsi="Times New Roman" w:cs="Times New Roman"/>
        </w:rPr>
        <w:fldChar w:fldCharType="end"/>
      </w:r>
      <w:r>
        <w:rPr>
          <w:rFonts w:ascii="Times New Roman" w:hAnsi="Times New Roman" w:cs="Times New Roman"/>
        </w:rPr>
        <w:fldChar w:fldCharType="end"/>
      </w:r>
    </w:p>
    <w:p w14:paraId="072CA26F">
      <w:pPr>
        <w:pStyle w:val="19"/>
        <w:tabs>
          <w:tab w:val="right" w:leader="dot" w:pos="8845"/>
        </w:tabs>
        <w:ind w:firstLine="632"/>
        <w:rPr>
          <w:rFonts w:ascii="Times New Roman" w:hAnsi="Times New Roman" w:cs="Times New Roman"/>
        </w:rPr>
      </w:pPr>
      <w:r>
        <w:fldChar w:fldCharType="begin"/>
      </w:r>
      <w:r>
        <w:instrText xml:space="preserve"> HYPERLINK \l "_Toc22188" </w:instrText>
      </w:r>
      <w:r>
        <w:fldChar w:fldCharType="separate"/>
      </w:r>
      <w:r>
        <w:rPr>
          <w:rFonts w:ascii="Times New Roman" w:hAnsi="Times New Roman" w:eastAsia="仿宋" w:cs="Times New Roman"/>
          <w:bCs/>
        </w:rPr>
        <w:t xml:space="preserve">7.4 </w:t>
      </w:r>
      <w:r>
        <w:rPr>
          <w:rFonts w:ascii="Times New Roman" w:hAnsi="Times New Roman" w:cs="Times New Roman"/>
        </w:rPr>
        <w:t>应急演练</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_Toc22188 \h </w:instrText>
      </w:r>
      <w:r>
        <w:rPr>
          <w:rFonts w:ascii="Times New Roman" w:hAnsi="Times New Roman" w:cs="Times New Roman"/>
        </w:rPr>
        <w:fldChar w:fldCharType="separate"/>
      </w:r>
      <w:r>
        <w:rPr>
          <w:rFonts w:ascii="Times New Roman" w:hAnsi="Times New Roman" w:cs="Times New Roman"/>
        </w:rPr>
        <w:t>34</w:t>
      </w:r>
      <w:r>
        <w:rPr>
          <w:rFonts w:ascii="Times New Roman" w:hAnsi="Times New Roman" w:cs="Times New Roman"/>
        </w:rPr>
        <w:fldChar w:fldCharType="end"/>
      </w:r>
      <w:r>
        <w:rPr>
          <w:rFonts w:ascii="Times New Roman" w:hAnsi="Times New Roman" w:cs="Times New Roman"/>
        </w:rPr>
        <w:fldChar w:fldCharType="end"/>
      </w:r>
    </w:p>
    <w:p w14:paraId="0F112F5D">
      <w:pPr>
        <w:pStyle w:val="19"/>
        <w:tabs>
          <w:tab w:val="right" w:leader="dot" w:pos="8845"/>
        </w:tabs>
        <w:ind w:firstLine="632"/>
        <w:rPr>
          <w:rFonts w:ascii="Times New Roman" w:hAnsi="Times New Roman" w:cs="Times New Roman"/>
        </w:rPr>
      </w:pPr>
      <w:r>
        <w:fldChar w:fldCharType="begin"/>
      </w:r>
      <w:r>
        <w:instrText xml:space="preserve"> HYPERLINK \l "_Toc28162" </w:instrText>
      </w:r>
      <w:r>
        <w:fldChar w:fldCharType="separate"/>
      </w:r>
      <w:r>
        <w:rPr>
          <w:rFonts w:ascii="Times New Roman" w:hAnsi="Times New Roman" w:eastAsia="仿宋" w:cs="Times New Roman"/>
          <w:bCs/>
        </w:rPr>
        <w:t xml:space="preserve">7.5 </w:t>
      </w:r>
      <w:r>
        <w:rPr>
          <w:rFonts w:ascii="Times New Roman" w:hAnsi="Times New Roman" w:cs="Times New Roman"/>
        </w:rPr>
        <w:t>评估与修订</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_Toc28162 \h </w:instrText>
      </w:r>
      <w:r>
        <w:rPr>
          <w:rFonts w:ascii="Times New Roman" w:hAnsi="Times New Roman" w:cs="Times New Roman"/>
        </w:rPr>
        <w:fldChar w:fldCharType="separate"/>
      </w:r>
      <w:r>
        <w:rPr>
          <w:rFonts w:ascii="Times New Roman" w:hAnsi="Times New Roman" w:cs="Times New Roman"/>
        </w:rPr>
        <w:t>34</w:t>
      </w:r>
      <w:r>
        <w:rPr>
          <w:rFonts w:ascii="Times New Roman" w:hAnsi="Times New Roman" w:cs="Times New Roman"/>
        </w:rPr>
        <w:fldChar w:fldCharType="end"/>
      </w:r>
      <w:r>
        <w:rPr>
          <w:rFonts w:ascii="Times New Roman" w:hAnsi="Times New Roman" w:cs="Times New Roman"/>
        </w:rPr>
        <w:fldChar w:fldCharType="end"/>
      </w:r>
    </w:p>
    <w:p w14:paraId="3C4F57FE">
      <w:pPr>
        <w:pStyle w:val="19"/>
        <w:tabs>
          <w:tab w:val="right" w:leader="dot" w:pos="8845"/>
        </w:tabs>
        <w:ind w:firstLine="632"/>
        <w:rPr>
          <w:rFonts w:ascii="Times New Roman" w:hAnsi="Times New Roman" w:cs="Times New Roman"/>
        </w:rPr>
      </w:pPr>
      <w:r>
        <w:fldChar w:fldCharType="begin"/>
      </w:r>
      <w:r>
        <w:instrText xml:space="preserve"> HYPERLINK \l "_Toc29181" </w:instrText>
      </w:r>
      <w:r>
        <w:fldChar w:fldCharType="separate"/>
      </w:r>
      <w:r>
        <w:rPr>
          <w:rFonts w:ascii="Times New Roman" w:hAnsi="Times New Roman" w:eastAsia="仿宋" w:cs="Times New Roman"/>
          <w:bCs/>
        </w:rPr>
        <w:t xml:space="preserve">7.6 </w:t>
      </w:r>
      <w:r>
        <w:rPr>
          <w:rFonts w:ascii="Times New Roman" w:hAnsi="Times New Roman" w:cs="Times New Roman"/>
        </w:rPr>
        <w:t>监督与奖惩</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_Toc29181 \h </w:instrText>
      </w:r>
      <w:r>
        <w:rPr>
          <w:rFonts w:ascii="Times New Roman" w:hAnsi="Times New Roman" w:cs="Times New Roman"/>
        </w:rPr>
        <w:fldChar w:fldCharType="separate"/>
      </w:r>
      <w:r>
        <w:rPr>
          <w:rFonts w:ascii="Times New Roman" w:hAnsi="Times New Roman" w:cs="Times New Roman"/>
        </w:rPr>
        <w:t>35</w:t>
      </w:r>
      <w:r>
        <w:rPr>
          <w:rFonts w:ascii="Times New Roman" w:hAnsi="Times New Roman" w:cs="Times New Roman"/>
        </w:rPr>
        <w:fldChar w:fldCharType="end"/>
      </w:r>
      <w:r>
        <w:rPr>
          <w:rFonts w:ascii="Times New Roman" w:hAnsi="Times New Roman" w:cs="Times New Roman"/>
        </w:rPr>
        <w:fldChar w:fldCharType="end"/>
      </w:r>
    </w:p>
    <w:p w14:paraId="7140C3F6">
      <w:pPr>
        <w:pStyle w:val="18"/>
      </w:pPr>
      <w:r>
        <w:fldChar w:fldCharType="begin"/>
      </w:r>
      <w:r>
        <w:instrText xml:space="preserve"> HYPERLINK \l "_Toc26112" </w:instrText>
      </w:r>
      <w:r>
        <w:fldChar w:fldCharType="separate"/>
      </w:r>
      <w:r>
        <w:rPr>
          <w:rFonts w:eastAsia="仿宋"/>
        </w:rPr>
        <w:t xml:space="preserve">8 </w:t>
      </w:r>
      <w:r>
        <w:t>附则</w:t>
      </w:r>
      <w:r>
        <w:tab/>
      </w:r>
      <w:r>
        <w:fldChar w:fldCharType="begin"/>
      </w:r>
      <w:r>
        <w:instrText xml:space="preserve"> PAGEREF _Toc26112 \h </w:instrText>
      </w:r>
      <w:r>
        <w:fldChar w:fldCharType="separate"/>
      </w:r>
      <w:r>
        <w:t>36</w:t>
      </w:r>
      <w:r>
        <w:fldChar w:fldCharType="end"/>
      </w:r>
      <w:r>
        <w:fldChar w:fldCharType="end"/>
      </w:r>
    </w:p>
    <w:p w14:paraId="4229019F">
      <w:pPr>
        <w:pStyle w:val="19"/>
        <w:tabs>
          <w:tab w:val="right" w:leader="dot" w:pos="8845"/>
        </w:tabs>
        <w:ind w:firstLine="632"/>
        <w:rPr>
          <w:rFonts w:ascii="Times New Roman" w:hAnsi="Times New Roman" w:cs="Times New Roman"/>
        </w:rPr>
      </w:pPr>
      <w:r>
        <w:fldChar w:fldCharType="begin"/>
      </w:r>
      <w:r>
        <w:instrText xml:space="preserve"> HYPERLINK \l "_Toc12364" </w:instrText>
      </w:r>
      <w:r>
        <w:fldChar w:fldCharType="separate"/>
      </w:r>
      <w:r>
        <w:rPr>
          <w:rFonts w:ascii="Times New Roman" w:hAnsi="Times New Roman" w:eastAsia="仿宋" w:cs="Times New Roman"/>
          <w:bCs/>
        </w:rPr>
        <w:t xml:space="preserve">8.1 </w:t>
      </w:r>
      <w:r>
        <w:rPr>
          <w:rFonts w:ascii="Times New Roman" w:hAnsi="Times New Roman" w:cs="Times New Roman"/>
        </w:rPr>
        <w:t>名词术语解释</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_Toc12364 \h </w:instrText>
      </w:r>
      <w:r>
        <w:rPr>
          <w:rFonts w:ascii="Times New Roman" w:hAnsi="Times New Roman" w:cs="Times New Roman"/>
        </w:rPr>
        <w:fldChar w:fldCharType="separate"/>
      </w:r>
      <w:r>
        <w:rPr>
          <w:rFonts w:ascii="Times New Roman" w:hAnsi="Times New Roman" w:cs="Times New Roman"/>
        </w:rPr>
        <w:t>36</w:t>
      </w:r>
      <w:r>
        <w:rPr>
          <w:rFonts w:ascii="Times New Roman" w:hAnsi="Times New Roman" w:cs="Times New Roman"/>
        </w:rPr>
        <w:fldChar w:fldCharType="end"/>
      </w:r>
      <w:r>
        <w:rPr>
          <w:rFonts w:ascii="Times New Roman" w:hAnsi="Times New Roman" w:cs="Times New Roman"/>
        </w:rPr>
        <w:fldChar w:fldCharType="end"/>
      </w:r>
    </w:p>
    <w:p w14:paraId="53AF17ED">
      <w:pPr>
        <w:pStyle w:val="19"/>
        <w:tabs>
          <w:tab w:val="right" w:leader="dot" w:pos="8845"/>
        </w:tabs>
        <w:ind w:firstLine="632"/>
        <w:rPr>
          <w:rFonts w:ascii="Times New Roman" w:hAnsi="Times New Roman" w:cs="Times New Roman"/>
        </w:rPr>
      </w:pPr>
      <w:r>
        <w:fldChar w:fldCharType="begin"/>
      </w:r>
      <w:r>
        <w:instrText xml:space="preserve"> HYPERLINK \l "_Toc11227" </w:instrText>
      </w:r>
      <w:r>
        <w:fldChar w:fldCharType="separate"/>
      </w:r>
      <w:r>
        <w:rPr>
          <w:rFonts w:ascii="Times New Roman" w:hAnsi="Times New Roman" w:eastAsia="仿宋" w:cs="Times New Roman"/>
          <w:bCs/>
        </w:rPr>
        <w:t xml:space="preserve">8.2 </w:t>
      </w:r>
      <w:r>
        <w:rPr>
          <w:rFonts w:ascii="Times New Roman" w:hAnsi="Times New Roman" w:cs="Times New Roman"/>
        </w:rPr>
        <w:t>预案解释与实施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_Toc11227 \h </w:instrText>
      </w:r>
      <w:r>
        <w:rPr>
          <w:rFonts w:ascii="Times New Roman" w:hAnsi="Times New Roman" w:cs="Times New Roman"/>
        </w:rPr>
        <w:fldChar w:fldCharType="separate"/>
      </w:r>
      <w:r>
        <w:rPr>
          <w:rFonts w:ascii="Times New Roman" w:hAnsi="Times New Roman" w:cs="Times New Roman"/>
        </w:rPr>
        <w:t>37</w:t>
      </w:r>
      <w:r>
        <w:rPr>
          <w:rFonts w:ascii="Times New Roman" w:hAnsi="Times New Roman" w:cs="Times New Roman"/>
        </w:rPr>
        <w:fldChar w:fldCharType="end"/>
      </w:r>
      <w:r>
        <w:rPr>
          <w:rFonts w:ascii="Times New Roman" w:hAnsi="Times New Roman" w:cs="Times New Roman"/>
        </w:rPr>
        <w:fldChar w:fldCharType="end"/>
      </w:r>
    </w:p>
    <w:p w14:paraId="442BC3B3">
      <w:pPr>
        <w:pStyle w:val="18"/>
      </w:pPr>
      <w:r>
        <w:fldChar w:fldCharType="begin"/>
      </w:r>
      <w:r>
        <w:instrText xml:space="preserve"> HYPERLINK \l "_Toc392" </w:instrText>
      </w:r>
      <w:r>
        <w:fldChar w:fldCharType="separate"/>
      </w:r>
      <w:r>
        <w:t>附件1：集贤县应急组织指挥体系图</w:t>
      </w:r>
      <w:r>
        <w:tab/>
      </w:r>
      <w:r>
        <w:fldChar w:fldCharType="begin"/>
      </w:r>
      <w:r>
        <w:instrText xml:space="preserve"> PAGEREF _Toc392 \h </w:instrText>
      </w:r>
      <w:r>
        <w:fldChar w:fldCharType="separate"/>
      </w:r>
      <w:r>
        <w:t>38</w:t>
      </w:r>
      <w:r>
        <w:fldChar w:fldCharType="end"/>
      </w:r>
      <w:r>
        <w:fldChar w:fldCharType="end"/>
      </w:r>
    </w:p>
    <w:p w14:paraId="32E21EC6">
      <w:pPr>
        <w:pStyle w:val="18"/>
      </w:pPr>
      <w:r>
        <w:fldChar w:fldCharType="begin"/>
      </w:r>
      <w:r>
        <w:instrText xml:space="preserve"> HYPERLINK \l "_Toc24677" </w:instrText>
      </w:r>
      <w:r>
        <w:fldChar w:fldCharType="separate"/>
      </w:r>
      <w:r>
        <w:t>附件2：集贤县突发事件应急处置牵头部门</w:t>
      </w:r>
      <w:r>
        <w:tab/>
      </w:r>
      <w:r>
        <w:fldChar w:fldCharType="begin"/>
      </w:r>
      <w:r>
        <w:instrText xml:space="preserve"> PAGEREF _Toc24677 \h </w:instrText>
      </w:r>
      <w:r>
        <w:fldChar w:fldCharType="separate"/>
      </w:r>
      <w:r>
        <w:t>39</w:t>
      </w:r>
      <w:r>
        <w:fldChar w:fldCharType="end"/>
      </w:r>
      <w:r>
        <w:fldChar w:fldCharType="end"/>
      </w:r>
    </w:p>
    <w:p w14:paraId="10AE670C">
      <w:pPr>
        <w:pStyle w:val="18"/>
      </w:pPr>
      <w:r>
        <w:fldChar w:fldCharType="begin"/>
      </w:r>
      <w:r>
        <w:instrText xml:space="preserve"> HYPERLINK \l "_Toc14674" </w:instrText>
      </w:r>
      <w:r>
        <w:fldChar w:fldCharType="separate"/>
      </w:r>
      <w:r>
        <w:t>附件3：集贤县应急职能单位应急工作职责</w:t>
      </w:r>
      <w:r>
        <w:tab/>
      </w:r>
      <w:r>
        <w:fldChar w:fldCharType="begin"/>
      </w:r>
      <w:r>
        <w:instrText xml:space="preserve"> PAGEREF _Toc14674 \h </w:instrText>
      </w:r>
      <w:r>
        <w:fldChar w:fldCharType="separate"/>
      </w:r>
      <w:r>
        <w:t>41</w:t>
      </w:r>
      <w:r>
        <w:fldChar w:fldCharType="end"/>
      </w:r>
      <w:r>
        <w:fldChar w:fldCharType="end"/>
      </w:r>
    </w:p>
    <w:p w14:paraId="01B1BFEB">
      <w:pPr>
        <w:pStyle w:val="18"/>
      </w:pPr>
      <w:r>
        <w:fldChar w:fldCharType="begin"/>
      </w:r>
      <w:r>
        <w:instrText xml:space="preserve"> HYPERLINK \l "_Toc20076" </w:instrText>
      </w:r>
      <w:r>
        <w:fldChar w:fldCharType="separate"/>
      </w:r>
      <w:r>
        <w:t>附件4：集贤县突发事件应对流程简图</w:t>
      </w:r>
      <w:r>
        <w:tab/>
      </w:r>
      <w:r>
        <w:fldChar w:fldCharType="begin"/>
      </w:r>
      <w:r>
        <w:instrText xml:space="preserve"> PAGEREF _Toc20076 \h </w:instrText>
      </w:r>
      <w:r>
        <w:fldChar w:fldCharType="separate"/>
      </w:r>
      <w:r>
        <w:t>46</w:t>
      </w:r>
      <w:r>
        <w:fldChar w:fldCharType="end"/>
      </w:r>
      <w:r>
        <w:fldChar w:fldCharType="end"/>
      </w:r>
    </w:p>
    <w:p w14:paraId="04C49AC0">
      <w:pPr>
        <w:pStyle w:val="18"/>
        <w:rPr>
          <w:rFonts w:hint="eastAsia"/>
        </w:rPr>
      </w:pPr>
      <w:r>
        <w:fldChar w:fldCharType="begin"/>
      </w:r>
      <w:r>
        <w:instrText xml:space="preserve"> HYPERLINK \l "_Toc20076" </w:instrText>
      </w:r>
      <w:r>
        <w:fldChar w:fldCharType="separate"/>
      </w:r>
      <w:r>
        <w:t>附件5：集贤县专项应急预案目录</w:t>
      </w:r>
      <w:r>
        <w:tab/>
      </w:r>
      <w:r>
        <w:fldChar w:fldCharType="end"/>
      </w:r>
      <w:r>
        <w:t>47</w:t>
      </w:r>
    </w:p>
    <w:p w14:paraId="255D2C77">
      <w:pPr>
        <w:tabs>
          <w:tab w:val="left" w:pos="420"/>
        </w:tabs>
        <w:ind w:firstLine="0" w:firstLineChars="0"/>
        <w:jc w:val="center"/>
        <w:rPr>
          <w:rFonts w:ascii="Times New Roman" w:hAnsi="Times New Roman" w:cs="Times New Roman"/>
        </w:rPr>
      </w:pPr>
      <w:r>
        <w:rPr>
          <w:rFonts w:ascii="Times New Roman" w:hAnsi="Times New Roman" w:cs="Times New Roman"/>
          <w:b/>
        </w:rPr>
        <w:fldChar w:fldCharType="end"/>
      </w:r>
    </w:p>
    <w:p w14:paraId="7CF343D1">
      <w:pPr>
        <w:pStyle w:val="2"/>
        <w:rPr>
          <w:rFonts w:ascii="Times New Roman" w:hAnsi="Times New Roman" w:cs="Times New Roman"/>
          <w:b w:val="0"/>
        </w:rPr>
        <w:sectPr>
          <w:headerReference r:id="rId5" w:type="default"/>
          <w:footerReference r:id="rId6" w:type="default"/>
          <w:pgSz w:w="11906" w:h="16838"/>
          <w:pgMar w:top="2098" w:right="1474" w:bottom="1984" w:left="1587" w:header="624" w:footer="1134" w:gutter="0"/>
          <w:pgNumType w:fmt="upperRoman" w:start="1"/>
          <w:cols w:space="720" w:num="1"/>
          <w:docGrid w:type="linesAndChars" w:linePitch="579" w:charSpace="-842"/>
        </w:sectPr>
      </w:pPr>
    </w:p>
    <w:p w14:paraId="7BA7593D">
      <w:pPr>
        <w:pStyle w:val="2"/>
        <w:ind w:firstLine="0" w:firstLineChars="0"/>
        <w:rPr>
          <w:rFonts w:ascii="Times New Roman" w:hAnsi="Times New Roman" w:cs="Times New Roman"/>
        </w:rPr>
      </w:pPr>
      <w:bookmarkStart w:id="1" w:name="_Toc28470"/>
      <w:bookmarkStart w:id="2" w:name="_Toc24668"/>
      <w:r>
        <w:rPr>
          <w:rFonts w:ascii="Times New Roman" w:hAnsi="Times New Roman" w:cs="Times New Roman"/>
        </w:rPr>
        <w:t>总则</w:t>
      </w:r>
      <w:bookmarkEnd w:id="1"/>
      <w:bookmarkEnd w:id="2"/>
    </w:p>
    <w:p w14:paraId="1AC2FB14">
      <w:pPr>
        <w:pStyle w:val="3"/>
        <w:ind w:firstLine="0" w:firstLineChars="0"/>
        <w:rPr>
          <w:rFonts w:ascii="Times New Roman" w:hAnsi="Times New Roman" w:cs="Times New Roman"/>
        </w:rPr>
      </w:pPr>
      <w:bookmarkStart w:id="3" w:name="_Toc24419"/>
      <w:bookmarkStart w:id="4" w:name="_Toc20256"/>
      <w:bookmarkStart w:id="5" w:name="_Toc25943"/>
      <w:r>
        <w:rPr>
          <w:rFonts w:ascii="Times New Roman" w:hAnsi="Times New Roman" w:cs="Times New Roman"/>
        </w:rPr>
        <w:t>编制目的</w:t>
      </w:r>
      <w:bookmarkEnd w:id="3"/>
      <w:bookmarkEnd w:id="4"/>
      <w:bookmarkEnd w:id="5"/>
    </w:p>
    <w:p w14:paraId="6F91F758">
      <w:pPr>
        <w:ind w:firstLine="632"/>
        <w:rPr>
          <w:rFonts w:ascii="Times New Roman" w:hAnsi="Times New Roman" w:cs="Times New Roman"/>
        </w:rPr>
      </w:pPr>
      <w:bookmarkStart w:id="6" w:name="_Toc19191"/>
      <w:r>
        <w:rPr>
          <w:rFonts w:ascii="Times New Roman" w:hAnsi="Times New Roman" w:cs="Times New Roman"/>
        </w:rPr>
        <w:t>为建立健全高效、科学、规范、统一的突发事件应急指挥、保障和预防控制体系，最大程度地预防和减少突发事件及其造成的损害，保障我县人民群众生命财产安全，保持社会和谐稳定和国民经济平稳健康发展，快速反应、有效控制和妥善处理突发事件，特制定本预案。</w:t>
      </w:r>
    </w:p>
    <w:p w14:paraId="372CCB84">
      <w:pPr>
        <w:pStyle w:val="3"/>
        <w:ind w:firstLine="0" w:firstLineChars="0"/>
        <w:rPr>
          <w:rFonts w:ascii="Times New Roman" w:hAnsi="Times New Roman" w:cs="Times New Roman"/>
        </w:rPr>
      </w:pPr>
      <w:bookmarkStart w:id="7" w:name="_Toc20657"/>
      <w:r>
        <w:rPr>
          <w:rFonts w:ascii="Times New Roman" w:hAnsi="Times New Roman" w:cs="Times New Roman"/>
        </w:rPr>
        <w:t>编制依据</w:t>
      </w:r>
      <w:bookmarkEnd w:id="7"/>
    </w:p>
    <w:p w14:paraId="6CA1AB4F">
      <w:pPr>
        <w:ind w:firstLine="632"/>
        <w:rPr>
          <w:rFonts w:ascii="Times New Roman" w:hAnsi="Times New Roman" w:cs="Times New Roman"/>
        </w:rPr>
      </w:pPr>
      <w:r>
        <w:rPr>
          <w:rFonts w:ascii="Times New Roman" w:hAnsi="Times New Roman" w:cs="Times New Roman"/>
        </w:rPr>
        <w:t>依据《中华人民共和国突发事件应对法》以及《〈关于全面推进政务公开工作的意见〉实施细则》（国办发〔2016〕80号）《突发事件应急预案管理办法》（国办发〔2024〕5号）《黑龙江省突发事件应急预案管理实施办法》（黑政办发〔2024〕12号）《关于强化突发事件第一时间报告的办法》（黑政办发〔2021〕25号）《双鸭山市人民政府关于印发双鸭山市应急指挥工作规则的通知》（双政发〔2023〕8号）等法律法规、规章和规范性文件，制定本预案。</w:t>
      </w:r>
    </w:p>
    <w:p w14:paraId="3FAF947C">
      <w:pPr>
        <w:pStyle w:val="3"/>
        <w:ind w:firstLine="0" w:firstLineChars="0"/>
        <w:rPr>
          <w:rFonts w:ascii="Times New Roman" w:hAnsi="Times New Roman" w:cs="Times New Roman"/>
        </w:rPr>
      </w:pPr>
      <w:bookmarkStart w:id="8" w:name="_Toc15652"/>
      <w:bookmarkStart w:id="9" w:name="_Toc15615"/>
      <w:r>
        <w:rPr>
          <w:rFonts w:ascii="Times New Roman" w:hAnsi="Times New Roman" w:cs="Times New Roman"/>
        </w:rPr>
        <w:t>适用范围</w:t>
      </w:r>
      <w:bookmarkEnd w:id="6"/>
      <w:bookmarkEnd w:id="8"/>
      <w:bookmarkEnd w:id="9"/>
    </w:p>
    <w:p w14:paraId="30B40D68">
      <w:pPr>
        <w:ind w:firstLine="632"/>
        <w:rPr>
          <w:rFonts w:ascii="Times New Roman" w:hAnsi="Times New Roman" w:cs="Times New Roman"/>
        </w:rPr>
      </w:pPr>
      <w:r>
        <w:rPr>
          <w:rFonts w:ascii="Times New Roman" w:hAnsi="Times New Roman" w:cs="Times New Roman"/>
        </w:rPr>
        <w:t>本预案适用于发生在集贤县行政区域内，或发生在其他地区涉及集贤县，由集贤县处置或参与处置的各类突发事件。</w:t>
      </w:r>
    </w:p>
    <w:p w14:paraId="4EA9E53B">
      <w:pPr>
        <w:ind w:firstLine="632"/>
        <w:rPr>
          <w:rFonts w:ascii="Times New Roman" w:hAnsi="Times New Roman" w:cs="Times New Roman"/>
        </w:rPr>
      </w:pPr>
      <w:r>
        <w:rPr>
          <w:rFonts w:ascii="Times New Roman" w:hAnsi="Times New Roman" w:cs="Times New Roman"/>
        </w:rPr>
        <w:t>本预案规范集贤县突发事件应急预案体系和应急组织指挥体系，指导集贤县的预防与应急准备、监测与预警、应急处置与救援、事后恢复与重建等突发事件应对工作。</w:t>
      </w:r>
    </w:p>
    <w:p w14:paraId="06FEBEDD">
      <w:pPr>
        <w:pStyle w:val="3"/>
        <w:ind w:firstLine="0" w:firstLineChars="0"/>
        <w:rPr>
          <w:rFonts w:ascii="Times New Roman" w:hAnsi="Times New Roman" w:cs="Times New Roman"/>
        </w:rPr>
      </w:pPr>
      <w:bookmarkStart w:id="10" w:name="_Toc7587"/>
      <w:bookmarkStart w:id="11" w:name="_Toc18128"/>
      <w:bookmarkStart w:id="12" w:name="_Toc26185"/>
      <w:r>
        <w:rPr>
          <w:rFonts w:ascii="Times New Roman" w:hAnsi="Times New Roman" w:cs="Times New Roman"/>
        </w:rPr>
        <w:t>工作原则</w:t>
      </w:r>
      <w:bookmarkEnd w:id="10"/>
      <w:bookmarkEnd w:id="11"/>
      <w:bookmarkEnd w:id="12"/>
    </w:p>
    <w:p w14:paraId="0ABAA2B1">
      <w:pPr>
        <w:ind w:firstLine="632"/>
        <w:rPr>
          <w:rFonts w:ascii="Times New Roman" w:hAnsi="Times New Roman" w:cs="Times New Roman"/>
        </w:rPr>
      </w:pPr>
      <w:r>
        <w:rPr>
          <w:rFonts w:ascii="Times New Roman" w:hAnsi="Times New Roman" w:cs="Times New Roman"/>
        </w:rPr>
        <w:t>（1）坚持生命至上、安全第一。牢固树立以人民为中心的发展思想，建立健全党委领导下的应急管理行政领导负责制，把保障公众健康和生命财产安全作为首要任务，最大程度减轻突发事件风险、减少突发事件及其造成的人员伤亡和危害。</w:t>
      </w:r>
    </w:p>
    <w:p w14:paraId="62327052">
      <w:pPr>
        <w:ind w:firstLine="632"/>
        <w:rPr>
          <w:rFonts w:ascii="Times New Roman" w:hAnsi="Times New Roman" w:cs="Times New Roman"/>
        </w:rPr>
      </w:pPr>
      <w:r>
        <w:rPr>
          <w:rFonts w:ascii="Times New Roman" w:hAnsi="Times New Roman" w:cs="Times New Roman"/>
        </w:rPr>
        <w:t>（2）坚持居安思危、预防为主。增强全社会防范突发事件意识，落实各项预防措施，做好应对突发事件的思想准备、组织准备、物资准备等各项准备工作。对各类可能引发突发事件的因素及时进行分析、预警，做到早发现、早报告、早处置。</w:t>
      </w:r>
    </w:p>
    <w:p w14:paraId="4EBF15E0">
      <w:pPr>
        <w:ind w:firstLine="632"/>
        <w:rPr>
          <w:rFonts w:ascii="Times New Roman" w:hAnsi="Times New Roman" w:cs="Times New Roman"/>
        </w:rPr>
      </w:pPr>
      <w:r>
        <w:rPr>
          <w:rFonts w:ascii="Times New Roman" w:hAnsi="Times New Roman" w:cs="Times New Roman"/>
        </w:rPr>
        <w:t>（3）坚持统一领导、协调联动。在县委、县政府统一领导下，行业（领域）部门分类管理、源头防控，充分发挥应急管理部门统筹协调作用，建立健全统一指挥、专常兼备、反应灵敏、上下联动、平战结合的应急管理体制。</w:t>
      </w:r>
    </w:p>
    <w:p w14:paraId="7EBAB571">
      <w:pPr>
        <w:ind w:firstLine="632"/>
        <w:rPr>
          <w:rFonts w:ascii="Times New Roman" w:hAnsi="Times New Roman" w:cs="Times New Roman"/>
        </w:rPr>
      </w:pPr>
      <w:r>
        <w:rPr>
          <w:rFonts w:ascii="Times New Roman" w:hAnsi="Times New Roman" w:cs="Times New Roman"/>
        </w:rPr>
        <w:t>（4）坚持分级负责、属地为主。县委、县政府加强统筹指导，协调全县应急资源予以支持。事发地政府在本级党委的领导下全面负责组织应对工作，及时启动应急响应，统一调度使用应急资源。注重组织动员社会力量广泛参与，形成工作合力。</w:t>
      </w:r>
    </w:p>
    <w:p w14:paraId="60699424">
      <w:pPr>
        <w:ind w:firstLine="632"/>
        <w:rPr>
          <w:rFonts w:ascii="Times New Roman" w:hAnsi="Times New Roman" w:cs="Times New Roman"/>
        </w:rPr>
      </w:pPr>
      <w:r>
        <w:rPr>
          <w:rFonts w:ascii="Times New Roman" w:hAnsi="Times New Roman" w:cs="Times New Roman"/>
        </w:rPr>
        <w:t>（5）坚持快速反应、高效处置。建立健全以综合性消防救援队伍为主力、以民兵预备役应急力量为突击、以专业救援队伍为骨干、以社会救援组织为辅助的应急力量体系，健全完善快速反应、协调联动机制，高效应对各类突发事件。</w:t>
      </w:r>
    </w:p>
    <w:p w14:paraId="7E950D3A">
      <w:pPr>
        <w:ind w:firstLine="632"/>
        <w:rPr>
          <w:rFonts w:ascii="Times New Roman" w:hAnsi="Times New Roman" w:cs="Times New Roman"/>
        </w:rPr>
      </w:pPr>
      <w:r>
        <w:rPr>
          <w:rFonts w:ascii="Times New Roman" w:hAnsi="Times New Roman" w:cs="Times New Roman"/>
        </w:rPr>
        <w:t>（6）坚持依法依规、科技支撑。依据有关法律和行政法规，维护公众的合法权益，推动突发事件应对工作规范化、制度化、法治化。加强公共安全科学研究和技术开发，充分发挥专家队伍和专业人员的作用，提高应对突发事件的科技水平和指挥能力，避免发生次生、衍生灾害事件。</w:t>
      </w:r>
    </w:p>
    <w:p w14:paraId="726C87ED">
      <w:pPr>
        <w:pStyle w:val="3"/>
        <w:ind w:firstLine="0" w:firstLineChars="0"/>
        <w:rPr>
          <w:rFonts w:ascii="Times New Roman" w:hAnsi="Times New Roman" w:cs="Times New Roman"/>
        </w:rPr>
      </w:pPr>
      <w:bookmarkStart w:id="13" w:name="_Toc10818"/>
      <w:bookmarkStart w:id="14" w:name="_Toc24582"/>
      <w:bookmarkStart w:id="15" w:name="_Toc26292"/>
      <w:bookmarkStart w:id="16" w:name="_Toc7228"/>
      <w:bookmarkStart w:id="17" w:name="_Toc31948"/>
      <w:bookmarkStart w:id="18" w:name="_Toc15798"/>
      <w:r>
        <w:rPr>
          <w:rFonts w:ascii="Times New Roman" w:hAnsi="Times New Roman" w:cs="Times New Roman"/>
        </w:rPr>
        <w:t>突发事件分类与分级</w:t>
      </w:r>
      <w:bookmarkEnd w:id="13"/>
      <w:bookmarkEnd w:id="14"/>
      <w:bookmarkEnd w:id="15"/>
      <w:bookmarkEnd w:id="16"/>
      <w:bookmarkEnd w:id="17"/>
    </w:p>
    <w:p w14:paraId="6B9BE02D">
      <w:pPr>
        <w:pStyle w:val="4"/>
        <w:ind w:firstLine="0" w:firstLineChars="0"/>
        <w:rPr>
          <w:rFonts w:ascii="Times New Roman" w:hAnsi="Times New Roman" w:cs="Times New Roman"/>
        </w:rPr>
      </w:pPr>
      <w:bookmarkStart w:id="19" w:name="_Toc1537"/>
      <w:r>
        <w:rPr>
          <w:rFonts w:ascii="Times New Roman" w:hAnsi="Times New Roman" w:cs="Times New Roman"/>
        </w:rPr>
        <w:t>突发事件分类</w:t>
      </w:r>
      <w:bookmarkEnd w:id="19"/>
    </w:p>
    <w:p w14:paraId="4EE2AEC3">
      <w:pPr>
        <w:ind w:firstLine="632"/>
        <w:rPr>
          <w:rFonts w:ascii="Times New Roman" w:hAnsi="Times New Roman" w:cs="Times New Roman"/>
        </w:rPr>
      </w:pPr>
      <w:r>
        <w:rPr>
          <w:rFonts w:ascii="Times New Roman" w:hAnsi="Times New Roman" w:cs="Times New Roman"/>
        </w:rPr>
        <w:t>（1）自然灾害。集贤县潜在自然灾害风险主要包括地震灾害，洪涝、干旱等水旱灾害，山洪、滑坡、泥石流等地质灾害，暴雨、暴雪、冰雹等气象灾害，森林草原火灾，生物灾害，农作物灾害等。</w:t>
      </w:r>
    </w:p>
    <w:p w14:paraId="71A6C0A0">
      <w:pPr>
        <w:ind w:firstLine="632"/>
        <w:rPr>
          <w:rFonts w:ascii="Times New Roman" w:hAnsi="Times New Roman" w:cs="Times New Roman"/>
        </w:rPr>
      </w:pPr>
      <w:r>
        <w:rPr>
          <w:rFonts w:ascii="Times New Roman" w:hAnsi="Times New Roman" w:cs="Times New Roman"/>
        </w:rPr>
        <w:t>（2）事故灾难。集贤县潜在事故灾难风险主要包括煤矿事故、非煤矿山事故、危险化学品事故、工商贸企业生产安全事故、环境污染和生态破坏事件等。</w:t>
      </w:r>
    </w:p>
    <w:p w14:paraId="27C5C8A0">
      <w:pPr>
        <w:ind w:firstLine="632"/>
        <w:rPr>
          <w:rFonts w:ascii="Times New Roman" w:hAnsi="Times New Roman" w:cs="Times New Roman"/>
        </w:rPr>
      </w:pPr>
      <w:r>
        <w:rPr>
          <w:rFonts w:ascii="Times New Roman" w:hAnsi="Times New Roman" w:cs="Times New Roman"/>
        </w:rPr>
        <w:t>（3）公共卫生事件。集贤县潜在公共卫生事件风险主要包括传染病疫情、群体性不明原因疾病、职业中毒事件、食品和药品安全事件、动物疫情以及其他严重影响公众健康和生命安全的事件等。</w:t>
      </w:r>
    </w:p>
    <w:p w14:paraId="1FEEAE14">
      <w:pPr>
        <w:ind w:firstLine="632"/>
        <w:rPr>
          <w:rFonts w:ascii="Times New Roman" w:hAnsi="Times New Roman" w:cs="Times New Roman"/>
        </w:rPr>
      </w:pPr>
      <w:r>
        <w:rPr>
          <w:rFonts w:ascii="Times New Roman" w:hAnsi="Times New Roman" w:cs="Times New Roman"/>
        </w:rPr>
        <w:t>（4）社会安全事件。集贤县潜在社会安全事件风险主要包括恐怖袭击事件、极端暴力犯罪事件、群体性上访事件、涉外突发事件、民族宗教事件、重大刑事案件等。</w:t>
      </w:r>
    </w:p>
    <w:p w14:paraId="3F3C0247">
      <w:pPr>
        <w:pStyle w:val="4"/>
        <w:ind w:firstLine="0" w:firstLineChars="0"/>
        <w:rPr>
          <w:rFonts w:ascii="Times New Roman" w:hAnsi="Times New Roman" w:cs="Times New Roman"/>
        </w:rPr>
      </w:pPr>
      <w:bookmarkStart w:id="20" w:name="_Toc19868"/>
      <w:r>
        <w:rPr>
          <w:rFonts w:ascii="Times New Roman" w:hAnsi="Times New Roman" w:cs="Times New Roman"/>
        </w:rPr>
        <w:t>事件分级</w:t>
      </w:r>
      <w:bookmarkEnd w:id="20"/>
    </w:p>
    <w:p w14:paraId="3E70017B">
      <w:pPr>
        <w:ind w:firstLine="632"/>
        <w:rPr>
          <w:rFonts w:ascii="Times New Roman" w:hAnsi="Times New Roman" w:cs="Times New Roman"/>
        </w:rPr>
      </w:pPr>
      <w:r>
        <w:rPr>
          <w:rFonts w:ascii="Times New Roman" w:hAnsi="Times New Roman" w:cs="Times New Roman"/>
        </w:rPr>
        <w:t>按照社会危害程度、影响范围等因素，突发事件一般分为Ⅰ级（特别重大）、Ⅱ级（重大）、Ⅲ级（较大）和Ⅳ级（一般）四个级别。突发事件分级标准按照法律法规及上位预案中突发事件分级标准执行。各类突发事件分级标准在相应的专项应急预案中予以明确。</w:t>
      </w:r>
    </w:p>
    <w:p w14:paraId="39F89877">
      <w:pPr>
        <w:pStyle w:val="3"/>
        <w:ind w:firstLine="0" w:firstLineChars="0"/>
        <w:rPr>
          <w:rFonts w:ascii="Times New Roman" w:hAnsi="Times New Roman" w:cs="Times New Roman"/>
        </w:rPr>
      </w:pPr>
      <w:bookmarkStart w:id="21" w:name="_Toc8003"/>
      <w:bookmarkStart w:id="22" w:name="_Toc12186"/>
      <w:bookmarkStart w:id="23" w:name="_Toc1775"/>
      <w:bookmarkStart w:id="24" w:name="_Toc536"/>
      <w:bookmarkStart w:id="25" w:name="_Toc10521"/>
      <w:r>
        <w:rPr>
          <w:rFonts w:ascii="Times New Roman" w:hAnsi="Times New Roman" w:cs="Times New Roman"/>
        </w:rPr>
        <w:t>分级应对与响应分级</w:t>
      </w:r>
      <w:bookmarkEnd w:id="21"/>
      <w:bookmarkEnd w:id="22"/>
      <w:bookmarkEnd w:id="23"/>
      <w:bookmarkEnd w:id="24"/>
      <w:bookmarkEnd w:id="25"/>
    </w:p>
    <w:p w14:paraId="280F3FEC">
      <w:pPr>
        <w:pStyle w:val="4"/>
        <w:ind w:firstLine="0" w:firstLineChars="0"/>
        <w:rPr>
          <w:rFonts w:ascii="Times New Roman" w:hAnsi="Times New Roman" w:cs="Times New Roman"/>
        </w:rPr>
      </w:pPr>
      <w:r>
        <w:rPr>
          <w:rFonts w:ascii="Times New Roman" w:hAnsi="Times New Roman" w:cs="Times New Roman"/>
        </w:rPr>
        <w:t>分级应对</w:t>
      </w:r>
    </w:p>
    <w:p w14:paraId="5BE3947C">
      <w:pPr>
        <w:ind w:firstLine="632"/>
        <w:rPr>
          <w:rFonts w:ascii="Times New Roman" w:hAnsi="Times New Roman" w:cs="Times New Roman"/>
        </w:rPr>
      </w:pPr>
      <w:r>
        <w:rPr>
          <w:rFonts w:ascii="Times New Roman" w:hAnsi="Times New Roman" w:cs="Times New Roman"/>
        </w:rPr>
        <w:t>突发事件应对遵循分级负责、属地为主、分类应对、协调联动的原则。突发事件发生后，各级党委、政府及其有关部门，基层组织和单位等根据突发事件初判事件级别、应急处置能力以及预期影响后果，综合研判确定本层级的响应级别。对于事件本身比较敏感，或发生在重点地区或重大活动举办、重要会议召开等时期的，可适当提高响应级别。应急响应启动后，可视突发事件事态发展情况及时对响应级别进行调整。</w:t>
      </w:r>
    </w:p>
    <w:p w14:paraId="3F1BBBDF">
      <w:pPr>
        <w:ind w:firstLine="632"/>
        <w:rPr>
          <w:rFonts w:ascii="Times New Roman" w:hAnsi="Times New Roman" w:cs="Times New Roman"/>
        </w:rPr>
      </w:pPr>
      <w:r>
        <w:rPr>
          <w:rFonts w:ascii="Times New Roman" w:hAnsi="Times New Roman" w:cs="Times New Roman"/>
        </w:rPr>
        <w:t>突发事件的组织处置指挥权限、启动响应程序在县级专项应急预案中予以明确。原则上，由事发地乡镇人民政府对突发事件进行先期处置，当超出事发地乡镇级人民政府的应对能力时由县人民政府提供支援或负责应对，必要时，按程序提请县人民政府协助或负责应对；涉及跨乡镇级行政区域的，由县人民政府负责应对；法律法规有明确规定的，从其规定。乡镇级人民政府负责应对的各类突发事件，由县人民政府相关部门牵头响应支援，具体在专项应急预案中予以明确。应急管理、卫生健康、公安等部门在各自职责范围内做好自然灾害、事故灾难、公共卫生事件、社会安全事件等突发事件应对工作，并指导、协调下级人民政府及其相关部门做好有关突发事件的应对工作。</w:t>
      </w:r>
    </w:p>
    <w:p w14:paraId="7BC6F4E1">
      <w:pPr>
        <w:pStyle w:val="4"/>
        <w:ind w:firstLine="0" w:firstLineChars="0"/>
        <w:rPr>
          <w:rFonts w:ascii="Times New Roman" w:hAnsi="Times New Roman" w:cs="Times New Roman"/>
        </w:rPr>
      </w:pPr>
      <w:r>
        <w:rPr>
          <w:rFonts w:ascii="Times New Roman" w:hAnsi="Times New Roman" w:cs="Times New Roman"/>
        </w:rPr>
        <w:t>响应分级</w:t>
      </w:r>
    </w:p>
    <w:p w14:paraId="0F6EC47C">
      <w:pPr>
        <w:ind w:firstLine="632"/>
        <w:rPr>
          <w:rFonts w:ascii="Times New Roman" w:hAnsi="Times New Roman" w:cs="Times New Roman"/>
        </w:rPr>
      </w:pPr>
      <w:r>
        <w:rPr>
          <w:rFonts w:ascii="Times New Roman" w:hAnsi="Times New Roman" w:cs="Times New Roman"/>
        </w:rPr>
        <w:t>县级层面应急响应级别由高到低一般分为四级：一级、二级、三级、四级，具体响应分级及其标准依据在县级专项应急预案中予以明确。原则上，启动一级、二级响应由县委、县政府决定，由县委、县政府主要负责同志或分管领导同志组织指导协调；启动三级、四级响应由县级相关专项应急指挥部决定，由县委、县政府分管领导指导协调。对涉及面广、敏感复杂或处置不当后果严重的较大突发事件，根据应对工作需要，可启动县级相应级别应急响应程序。以上响应启动程序将根据国家、省、市、县级层面应急指挥体制机制变化作出相应调整。</w:t>
      </w:r>
    </w:p>
    <w:p w14:paraId="782E15A7">
      <w:pPr>
        <w:ind w:firstLine="632"/>
        <w:rPr>
          <w:rFonts w:ascii="Times New Roman" w:hAnsi="Times New Roman" w:cs="Times New Roman"/>
        </w:rPr>
      </w:pPr>
      <w:r>
        <w:rPr>
          <w:rFonts w:ascii="Times New Roman" w:hAnsi="Times New Roman" w:cs="Times New Roman"/>
        </w:rPr>
        <w:t>各乡镇人民政府响应等级可参照县级层面应急响应级别设置，结合本地实际情况予以明确。</w:t>
      </w:r>
    </w:p>
    <w:p w14:paraId="10E49CDC">
      <w:pPr>
        <w:pStyle w:val="3"/>
        <w:ind w:firstLine="0" w:firstLineChars="0"/>
        <w:rPr>
          <w:rFonts w:ascii="Times New Roman" w:hAnsi="Times New Roman" w:cs="Times New Roman"/>
        </w:rPr>
      </w:pPr>
      <w:bookmarkStart w:id="26" w:name="_Toc13770"/>
      <w:bookmarkStart w:id="27" w:name="_Toc20"/>
      <w:r>
        <w:rPr>
          <w:rFonts w:ascii="Times New Roman" w:hAnsi="Times New Roman" w:cs="Times New Roman"/>
        </w:rPr>
        <w:t>应急预案体系</w:t>
      </w:r>
      <w:bookmarkEnd w:id="18"/>
      <w:bookmarkEnd w:id="26"/>
      <w:bookmarkEnd w:id="27"/>
    </w:p>
    <w:p w14:paraId="78188BCA">
      <w:pPr>
        <w:ind w:firstLine="632"/>
        <w:rPr>
          <w:rFonts w:ascii="Times New Roman" w:hAnsi="Times New Roman" w:cs="Times New Roman"/>
        </w:rPr>
      </w:pPr>
      <w:r>
        <w:rPr>
          <w:rFonts w:ascii="Times New Roman" w:hAnsi="Times New Roman" w:cs="Times New Roman"/>
        </w:rPr>
        <w:t>集贤县应急预案按照制定主体分为政府及其部门应急预案、单位和基层组织应急预案两大类。本县应急预案体系按照县、乡镇、村（居）委会三级管理。</w:t>
      </w:r>
    </w:p>
    <w:p w14:paraId="55761BFD">
      <w:pPr>
        <w:pStyle w:val="4"/>
        <w:ind w:firstLine="0" w:firstLineChars="0"/>
        <w:rPr>
          <w:rFonts w:ascii="Times New Roman" w:hAnsi="Times New Roman" w:cs="Times New Roman"/>
        </w:rPr>
      </w:pPr>
      <w:bookmarkStart w:id="28" w:name="_Toc26409"/>
      <w:r>
        <w:rPr>
          <w:rFonts w:ascii="Times New Roman" w:hAnsi="Times New Roman" w:cs="Times New Roman"/>
        </w:rPr>
        <w:t>政府及其部门应急预案</w:t>
      </w:r>
      <w:bookmarkEnd w:id="28"/>
    </w:p>
    <w:p w14:paraId="3619481A">
      <w:pPr>
        <w:ind w:firstLine="632"/>
        <w:rPr>
          <w:rFonts w:ascii="Times New Roman" w:hAnsi="Times New Roman" w:cs="Times New Roman"/>
        </w:rPr>
      </w:pPr>
      <w:r>
        <w:rPr>
          <w:rFonts w:ascii="Times New Roman" w:hAnsi="Times New Roman" w:cs="Times New Roman"/>
        </w:rPr>
        <w:t>县人民政府及其部门应急预案由县人民政府及其部门制定，包括总体应急预案、专项应急预案和部门应急预案等。各级各类应急预案衔接遵循“下级服从上级，专项服从总体，预案之间不得相互矛盾”原则。县应急管理局负责本级各类应急预案衔接协调工作。</w:t>
      </w:r>
    </w:p>
    <w:p w14:paraId="1A02BFCE">
      <w:pPr>
        <w:ind w:firstLine="632"/>
        <w:rPr>
          <w:rFonts w:ascii="Times New Roman" w:hAnsi="Times New Roman" w:cs="Times New Roman"/>
        </w:rPr>
      </w:pPr>
      <w:r>
        <w:rPr>
          <w:rFonts w:ascii="Times New Roman" w:hAnsi="Times New Roman" w:cs="Times New Roman"/>
        </w:rPr>
        <w:t>总体应急预案是应急预案体系的总纲，是县人民政府组织应对突发事件的总体制度安排，由县人民政府制定。</w:t>
      </w:r>
    </w:p>
    <w:p w14:paraId="675975DB">
      <w:pPr>
        <w:ind w:firstLine="632"/>
        <w:rPr>
          <w:rFonts w:ascii="Times New Roman" w:hAnsi="Times New Roman" w:cs="Times New Roman"/>
        </w:rPr>
      </w:pPr>
      <w:r>
        <w:rPr>
          <w:rFonts w:ascii="Times New Roman" w:hAnsi="Times New Roman" w:cs="Times New Roman"/>
        </w:rPr>
        <w:t>专项应急预案是县人民政府为应对某一类型或某几种类型突发事件，或者针对重要目标物保护、重大活动保障、应急资源保障等重要专项工作而预先制定的涉及多个部门职责的工作方案，由有关部门牵头制定，报县人民政府批准后印发实施。</w:t>
      </w:r>
    </w:p>
    <w:p w14:paraId="3D4D9DC6">
      <w:pPr>
        <w:ind w:firstLine="632"/>
        <w:rPr>
          <w:rFonts w:ascii="Times New Roman" w:hAnsi="Times New Roman" w:cs="Times New Roman"/>
        </w:rPr>
      </w:pPr>
      <w:r>
        <w:rPr>
          <w:rFonts w:ascii="Times New Roman" w:hAnsi="Times New Roman" w:cs="Times New Roman"/>
        </w:rPr>
        <w:t>部门应急预案是县人民政府有关部门根据总体应急预案、专项应急预案和部门职责，为应对本部门（行业、领域）突发事件，或者针对重要目标保护、重大活动保障、应急保障等涉及部门工作而预先制定的方案。</w:t>
      </w:r>
    </w:p>
    <w:p w14:paraId="193A4AA1">
      <w:pPr>
        <w:ind w:firstLine="632"/>
        <w:rPr>
          <w:rFonts w:ascii="Times New Roman" w:hAnsi="Times New Roman" w:cs="Times New Roman"/>
        </w:rPr>
      </w:pPr>
      <w:r>
        <w:rPr>
          <w:rFonts w:ascii="Times New Roman" w:hAnsi="Times New Roman" w:cs="Times New Roman"/>
        </w:rPr>
        <w:t>乡镇人民政府、相关部门（单位）根据实际工作需要，联合制定应对区域性、流域性突发事件的联合应急预案。</w:t>
      </w:r>
    </w:p>
    <w:p w14:paraId="019E81D5">
      <w:pPr>
        <w:pStyle w:val="4"/>
        <w:ind w:firstLine="0" w:firstLineChars="0"/>
        <w:rPr>
          <w:rFonts w:ascii="Times New Roman" w:hAnsi="Times New Roman" w:cs="Times New Roman"/>
        </w:rPr>
      </w:pPr>
      <w:bookmarkStart w:id="29" w:name="_Toc16917"/>
      <w:r>
        <w:rPr>
          <w:rFonts w:ascii="Times New Roman" w:hAnsi="Times New Roman" w:cs="Times New Roman"/>
        </w:rPr>
        <w:t>单位和基层组织应急预案</w:t>
      </w:r>
      <w:bookmarkEnd w:id="29"/>
    </w:p>
    <w:p w14:paraId="1018CB03">
      <w:pPr>
        <w:ind w:firstLine="632"/>
        <w:rPr>
          <w:rFonts w:ascii="Times New Roman" w:hAnsi="Times New Roman" w:cs="Times New Roman"/>
        </w:rPr>
      </w:pPr>
      <w:bookmarkStart w:id="30" w:name="_Toc17430"/>
      <w:r>
        <w:rPr>
          <w:rFonts w:ascii="Times New Roman" w:hAnsi="Times New Roman" w:cs="Times New Roman"/>
        </w:rPr>
        <w:t>单位和基层组织应急预案由企事业单位、社会团体、居委会、村委会等法人和基层组织按照法律法规要求，结合突发事件应对需要制定。</w:t>
      </w:r>
    </w:p>
    <w:bookmarkEnd w:id="30"/>
    <w:p w14:paraId="6463D449">
      <w:pPr>
        <w:pStyle w:val="2"/>
        <w:ind w:firstLine="0" w:firstLineChars="0"/>
        <w:rPr>
          <w:rFonts w:ascii="Times New Roman" w:hAnsi="Times New Roman" w:cs="Times New Roman"/>
        </w:rPr>
      </w:pPr>
      <w:bookmarkStart w:id="31" w:name="_Toc1174"/>
      <w:bookmarkStart w:id="32" w:name="_Toc651"/>
      <w:r>
        <w:rPr>
          <w:rFonts w:ascii="Times New Roman" w:hAnsi="Times New Roman" w:cs="Times New Roman"/>
        </w:rPr>
        <w:t>组织指挥体系</w:t>
      </w:r>
      <w:bookmarkEnd w:id="31"/>
      <w:bookmarkEnd w:id="32"/>
    </w:p>
    <w:p w14:paraId="324AA25F">
      <w:pPr>
        <w:pStyle w:val="3"/>
        <w:ind w:firstLine="0" w:firstLineChars="0"/>
        <w:rPr>
          <w:rFonts w:ascii="Times New Roman" w:hAnsi="Times New Roman" w:cs="Times New Roman"/>
        </w:rPr>
      </w:pPr>
      <w:bookmarkStart w:id="33" w:name="_Toc16418"/>
      <w:bookmarkStart w:id="34" w:name="_Toc24005"/>
      <w:bookmarkStart w:id="35" w:name="_Toc21286"/>
      <w:bookmarkStart w:id="36" w:name="_Toc6148"/>
      <w:bookmarkStart w:id="37" w:name="_Toc28389"/>
      <w:r>
        <w:rPr>
          <w:rFonts w:ascii="Times New Roman" w:hAnsi="Times New Roman" w:cs="Times New Roman"/>
        </w:rPr>
        <w:t>领导机构</w:t>
      </w:r>
      <w:bookmarkEnd w:id="33"/>
      <w:bookmarkEnd w:id="34"/>
      <w:bookmarkEnd w:id="35"/>
      <w:bookmarkEnd w:id="36"/>
      <w:bookmarkEnd w:id="37"/>
    </w:p>
    <w:p w14:paraId="4D8F41A8">
      <w:pPr>
        <w:ind w:firstLine="632"/>
        <w:rPr>
          <w:rFonts w:ascii="Times New Roman" w:hAnsi="Times New Roman" w:cs="Times New Roman"/>
        </w:rPr>
        <w:sectPr>
          <w:footerReference r:id="rId7" w:type="default"/>
          <w:footerReference r:id="rId8" w:type="even"/>
          <w:pgSz w:w="11906" w:h="16838"/>
          <w:pgMar w:top="2098" w:right="1474" w:bottom="1984" w:left="1587" w:header="624" w:footer="1134" w:gutter="0"/>
          <w:pgNumType w:start="1"/>
          <w:cols w:space="720" w:num="1"/>
          <w:docGrid w:type="linesAndChars" w:linePitch="579" w:charSpace="-842"/>
        </w:sectPr>
      </w:pPr>
      <w:bookmarkStart w:id="38" w:name="_Toc16998"/>
      <w:r>
        <w:rPr>
          <w:rFonts w:ascii="Times New Roman" w:hAnsi="Times New Roman" w:cs="Times New Roman"/>
        </w:rPr>
        <w:t>在县委领导下，县人民政府是全县突发事件应对工作的行政领导机构。集贤县人民政府突发公共事件应急委员会（以下简称</w:t>
      </w:r>
    </w:p>
    <w:p w14:paraId="46394094">
      <w:pPr>
        <w:ind w:firstLine="632"/>
        <w:rPr>
          <w:rFonts w:ascii="Times New Roman" w:hAnsi="Times New Roman" w:cs="Times New Roman"/>
        </w:rPr>
      </w:pPr>
      <w:r>
        <w:rPr>
          <w:rFonts w:ascii="Times New Roman" w:hAnsi="Times New Roman" w:cs="Times New Roman"/>
        </w:rPr>
        <w:t>县应急委）在县委、县政府的领导下，研究部署、指导协调全县应急管理工作。</w:t>
      </w:r>
    </w:p>
    <w:p w14:paraId="78DF5DEA">
      <w:pPr>
        <w:ind w:firstLine="632"/>
        <w:rPr>
          <w:rFonts w:ascii="Times New Roman" w:hAnsi="Times New Roman" w:cs="Times New Roman"/>
        </w:rPr>
      </w:pPr>
      <w:r>
        <w:rPr>
          <w:rFonts w:ascii="Times New Roman" w:hAnsi="Times New Roman" w:cs="Times New Roman"/>
        </w:rPr>
        <w:t>主 任 委员：县委副书记、县长</w:t>
      </w:r>
    </w:p>
    <w:p w14:paraId="14A0EBC4">
      <w:pPr>
        <w:ind w:firstLine="632"/>
        <w:rPr>
          <w:rFonts w:ascii="Times New Roman" w:hAnsi="Times New Roman" w:cs="Times New Roman"/>
        </w:rPr>
      </w:pPr>
      <w:r>
        <w:rPr>
          <w:rFonts w:ascii="Times New Roman" w:hAnsi="Times New Roman" w:cs="Times New Roman"/>
        </w:rPr>
        <w:t>副主任委员：县委常委、常务副县长</w:t>
      </w:r>
    </w:p>
    <w:p w14:paraId="59C1A09B">
      <w:pPr>
        <w:ind w:firstLine="632"/>
        <w:rPr>
          <w:rFonts w:ascii="Times New Roman" w:hAnsi="Times New Roman" w:cs="Times New Roman"/>
        </w:rPr>
      </w:pPr>
      <w:r>
        <w:rPr>
          <w:rFonts w:ascii="Times New Roman" w:hAnsi="Times New Roman" w:cs="Times New Roman"/>
        </w:rPr>
        <w:t>委      员：县人民政府副县长，以及承担突发事件防范和应急处置职责的县人民政府有关部门主要负责同志。</w:t>
      </w:r>
    </w:p>
    <w:p w14:paraId="176D8E92">
      <w:pPr>
        <w:ind w:firstLine="632"/>
        <w:rPr>
          <w:rFonts w:ascii="Times New Roman" w:hAnsi="Times New Roman" w:cs="Times New Roman"/>
        </w:rPr>
      </w:pPr>
      <w:r>
        <w:rPr>
          <w:rFonts w:ascii="Times New Roman" w:hAnsi="Times New Roman" w:cs="Times New Roman"/>
        </w:rPr>
        <w:t>县应急委主要职责：</w:t>
      </w:r>
    </w:p>
    <w:p w14:paraId="4B663CD0">
      <w:pPr>
        <w:ind w:firstLine="632"/>
        <w:rPr>
          <w:rFonts w:ascii="Times New Roman" w:hAnsi="Times New Roman" w:cs="Times New Roman"/>
        </w:rPr>
      </w:pPr>
      <w:r>
        <w:rPr>
          <w:rFonts w:ascii="Times New Roman" w:hAnsi="Times New Roman" w:cs="Times New Roman"/>
        </w:rPr>
        <w:t>（1）研究提出全县应急管理工作重大决策和指导意见；</w:t>
      </w:r>
    </w:p>
    <w:p w14:paraId="42ACAFC1">
      <w:pPr>
        <w:ind w:firstLine="632"/>
        <w:rPr>
          <w:rFonts w:ascii="Times New Roman" w:hAnsi="Times New Roman" w:cs="Times New Roman"/>
        </w:rPr>
      </w:pPr>
      <w:r>
        <w:rPr>
          <w:rFonts w:ascii="Times New Roman" w:hAnsi="Times New Roman" w:cs="Times New Roman"/>
        </w:rPr>
        <w:t>（2）分析全县突发事件总体形势，研究解决应急管理工作中的重大问题；</w:t>
      </w:r>
    </w:p>
    <w:p w14:paraId="1BADC2ED">
      <w:pPr>
        <w:ind w:firstLine="632"/>
        <w:rPr>
          <w:rFonts w:ascii="Times New Roman" w:hAnsi="Times New Roman" w:cs="Times New Roman"/>
        </w:rPr>
      </w:pPr>
      <w:r>
        <w:rPr>
          <w:rFonts w:ascii="Times New Roman" w:hAnsi="Times New Roman" w:cs="Times New Roman"/>
        </w:rPr>
        <w:t>（3）在上级政府的领导下，组织指挥全县力量应对特别重大、重大、较大突发事件，领导县指挥部处置一般突发事件；</w:t>
      </w:r>
    </w:p>
    <w:p w14:paraId="55B16C1A">
      <w:pPr>
        <w:ind w:firstLine="632"/>
        <w:rPr>
          <w:rFonts w:ascii="Times New Roman" w:hAnsi="Times New Roman" w:cs="Times New Roman"/>
        </w:rPr>
      </w:pPr>
      <w:r>
        <w:rPr>
          <w:rFonts w:ascii="Times New Roman" w:hAnsi="Times New Roman" w:cs="Times New Roman"/>
        </w:rPr>
        <w:t>（4）完成上级政府交办的其他应急管理工作。</w:t>
      </w:r>
    </w:p>
    <w:p w14:paraId="0E3153B4">
      <w:pPr>
        <w:ind w:firstLine="632"/>
        <w:rPr>
          <w:rFonts w:ascii="Times New Roman" w:hAnsi="Times New Roman" w:cs="Times New Roman"/>
        </w:rPr>
      </w:pPr>
      <w:r>
        <w:rPr>
          <w:rFonts w:ascii="Times New Roman" w:hAnsi="Times New Roman" w:cs="Times New Roman"/>
        </w:rPr>
        <w:t>县应急委下设办公室（以下简称县应急办），设在县应急管理局，县应急办主任由县应急管理局局长兼任。</w:t>
      </w:r>
    </w:p>
    <w:p w14:paraId="34B956CF">
      <w:pPr>
        <w:ind w:firstLine="632"/>
        <w:rPr>
          <w:rFonts w:ascii="Times New Roman" w:hAnsi="Times New Roman" w:cs="Times New Roman"/>
        </w:rPr>
      </w:pPr>
      <w:r>
        <w:rPr>
          <w:rFonts w:ascii="Times New Roman" w:hAnsi="Times New Roman" w:cs="Times New Roman"/>
        </w:rPr>
        <w:t>县应急办主要职责：</w:t>
      </w:r>
    </w:p>
    <w:bookmarkEnd w:id="38"/>
    <w:p w14:paraId="27B8F1CD">
      <w:pPr>
        <w:ind w:firstLine="632"/>
        <w:rPr>
          <w:rFonts w:ascii="Times New Roman" w:hAnsi="Times New Roman" w:cs="Times New Roman"/>
        </w:rPr>
      </w:pPr>
      <w:r>
        <w:rPr>
          <w:rFonts w:ascii="Times New Roman" w:hAnsi="Times New Roman" w:cs="Times New Roman"/>
        </w:rPr>
        <w:t>（1）贯彻执行县人民政府应急委员会的决定，负责全县突发事件应急救援的指导协调、监督检查、组织实施等工作；负责对突发事件所涉及的全县性重大工作事项提出建议，并报县应急委；</w:t>
      </w:r>
    </w:p>
    <w:p w14:paraId="45485789">
      <w:pPr>
        <w:ind w:firstLine="632"/>
        <w:rPr>
          <w:rFonts w:ascii="Times New Roman" w:hAnsi="Times New Roman" w:cs="Times New Roman"/>
        </w:rPr>
      </w:pPr>
      <w:r>
        <w:rPr>
          <w:rFonts w:ascii="Times New Roman" w:hAnsi="Times New Roman" w:cs="Times New Roman"/>
        </w:rPr>
        <w:t>（2）负责全县重大应急救援问题的调查研究、承办会议、起草地方性应急法规和规章草案、重要文件等；依据县突发事件总体应急预案制定全县应急救援系统的建设措施和规划；</w:t>
      </w:r>
    </w:p>
    <w:p w14:paraId="21582C9A">
      <w:pPr>
        <w:ind w:firstLine="632"/>
        <w:rPr>
          <w:rFonts w:ascii="Times New Roman" w:hAnsi="Times New Roman" w:cs="Times New Roman"/>
        </w:rPr>
      </w:pPr>
      <w:r>
        <w:rPr>
          <w:rFonts w:ascii="Times New Roman" w:hAnsi="Times New Roman" w:cs="Times New Roman"/>
        </w:rPr>
        <w:t>（3）负责《集贤县突发事件总体应急预案》的修订工作；组织、指导和检查县直有关部门做好各类专项应急预案及各乡镇做好突发事件总体应急预案的修订和评估工作；</w:t>
      </w:r>
    </w:p>
    <w:p w14:paraId="38FA8321">
      <w:pPr>
        <w:ind w:firstLine="632"/>
        <w:rPr>
          <w:rFonts w:ascii="Times New Roman" w:hAnsi="Times New Roman" w:cs="Times New Roman"/>
        </w:rPr>
      </w:pPr>
      <w:r>
        <w:rPr>
          <w:rFonts w:ascii="Times New Roman" w:hAnsi="Times New Roman" w:cs="Times New Roman"/>
        </w:rPr>
        <w:t>（4）负责全县应急管理工作人员的培训和专业应急救援队伍、志愿者队伍等社会可动员力量的培训指导工作；督促落实和检查指导县直单位、乡镇人民政府组织实施的预案演练工作；</w:t>
      </w:r>
    </w:p>
    <w:p w14:paraId="24C5145B">
      <w:pPr>
        <w:ind w:firstLine="632"/>
        <w:rPr>
          <w:rFonts w:ascii="Times New Roman" w:hAnsi="Times New Roman" w:cs="Times New Roman"/>
        </w:rPr>
      </w:pPr>
      <w:r>
        <w:rPr>
          <w:rFonts w:ascii="Times New Roman" w:hAnsi="Times New Roman" w:cs="Times New Roman"/>
        </w:rPr>
        <w:t>（5）负责突发事件紧急预警发布和相关新闻报道的审核以及新闻媒体的协调、接待等相关事宜；负责全县紧急救援、避险、避灾、自救、互救等应急常识与相关法律法规的宣传教育工作；</w:t>
      </w:r>
    </w:p>
    <w:p w14:paraId="773932EB">
      <w:pPr>
        <w:ind w:firstLine="632"/>
        <w:rPr>
          <w:rFonts w:ascii="Times New Roman" w:hAnsi="Times New Roman" w:cs="Times New Roman"/>
        </w:rPr>
      </w:pPr>
      <w:r>
        <w:rPr>
          <w:rFonts w:ascii="Times New Roman" w:hAnsi="Times New Roman" w:cs="Times New Roman"/>
        </w:rPr>
        <w:t>（6）负责接收和办理领导对特别重大、重大、较大突发事件的重要批示、指示精神或需向县应急办报送的紧急重要事项；督促落实县委领导和县应急委领导有关决定事项和指示、批示精神，适时做好与突发事件事发地的信息沟通工作；</w:t>
      </w:r>
    </w:p>
    <w:p w14:paraId="31D39BCD">
      <w:pPr>
        <w:ind w:firstLine="632"/>
        <w:rPr>
          <w:rFonts w:ascii="Times New Roman" w:hAnsi="Times New Roman" w:cs="Times New Roman"/>
        </w:rPr>
      </w:pPr>
      <w:r>
        <w:rPr>
          <w:rFonts w:ascii="Times New Roman" w:hAnsi="Times New Roman" w:cs="Times New Roman"/>
        </w:rPr>
        <w:t>（7）负责与县人民政府应急委员会专家组成员的联络、组织、协调、指导县内相关行业的应急科学研究工作；</w:t>
      </w:r>
    </w:p>
    <w:p w14:paraId="3A68FC5C">
      <w:pPr>
        <w:ind w:firstLine="632"/>
        <w:rPr>
          <w:rFonts w:ascii="Times New Roman" w:hAnsi="Times New Roman" w:cs="Times New Roman"/>
        </w:rPr>
      </w:pPr>
      <w:r>
        <w:rPr>
          <w:rFonts w:ascii="Times New Roman" w:hAnsi="Times New Roman" w:cs="Times New Roman"/>
        </w:rPr>
        <w:t>（8）负责与上级有关部门的联系工作；负责与毗邻县在信息沟通、应急支援等方面的联络和协调工作；</w:t>
      </w:r>
    </w:p>
    <w:p w14:paraId="32EC8921">
      <w:pPr>
        <w:ind w:firstLine="632"/>
        <w:rPr>
          <w:rFonts w:ascii="Times New Roman" w:hAnsi="Times New Roman" w:cs="Times New Roman"/>
        </w:rPr>
      </w:pPr>
      <w:r>
        <w:rPr>
          <w:rFonts w:ascii="Times New Roman" w:hAnsi="Times New Roman" w:cs="Times New Roman"/>
        </w:rPr>
        <w:t>（9）承办县应急委交办的其他工作。</w:t>
      </w:r>
    </w:p>
    <w:p w14:paraId="09F2234E">
      <w:pPr>
        <w:pStyle w:val="3"/>
        <w:ind w:firstLine="0" w:firstLineChars="0"/>
        <w:rPr>
          <w:rFonts w:ascii="Times New Roman" w:hAnsi="Times New Roman" w:cs="Times New Roman"/>
        </w:rPr>
      </w:pPr>
      <w:bookmarkStart w:id="39" w:name="_Toc10380"/>
      <w:bookmarkStart w:id="40" w:name="_Toc28117"/>
      <w:bookmarkStart w:id="41" w:name="_Toc25287"/>
      <w:bookmarkStart w:id="42" w:name="_Toc10578"/>
      <w:bookmarkStart w:id="43" w:name="_Toc10349"/>
      <w:r>
        <w:rPr>
          <w:rFonts w:ascii="Times New Roman" w:hAnsi="Times New Roman" w:cs="Times New Roman"/>
        </w:rPr>
        <w:t>指挥机构</w:t>
      </w:r>
      <w:bookmarkEnd w:id="39"/>
      <w:bookmarkEnd w:id="40"/>
      <w:bookmarkEnd w:id="41"/>
      <w:bookmarkEnd w:id="42"/>
      <w:bookmarkEnd w:id="43"/>
    </w:p>
    <w:p w14:paraId="7FB8D823">
      <w:pPr>
        <w:pStyle w:val="4"/>
        <w:ind w:firstLine="0" w:firstLineChars="0"/>
        <w:rPr>
          <w:rFonts w:ascii="Times New Roman" w:hAnsi="Times New Roman" w:cs="Times New Roman"/>
        </w:rPr>
      </w:pPr>
      <w:bookmarkStart w:id="44" w:name="_Toc31379"/>
      <w:r>
        <w:rPr>
          <w:rFonts w:ascii="Times New Roman" w:hAnsi="Times New Roman" w:cs="Times New Roman"/>
        </w:rPr>
        <w:t>总指挥机构</w:t>
      </w:r>
      <w:bookmarkEnd w:id="44"/>
    </w:p>
    <w:p w14:paraId="26783137">
      <w:pPr>
        <w:ind w:firstLine="632"/>
        <w:rPr>
          <w:rFonts w:ascii="Times New Roman" w:hAnsi="Times New Roman" w:cs="Times New Roman"/>
        </w:rPr>
      </w:pPr>
      <w:r>
        <w:rPr>
          <w:rFonts w:ascii="Times New Roman" w:hAnsi="Times New Roman" w:cs="Times New Roman"/>
        </w:rPr>
        <w:t>县应急委在发生较大及以上突发事件后转为集贤县突发事件总指挥部（以下简称总指挥部），负责在上级指挥机构的领导下，组织指挥本县应急力量开展突发事件先期处置应对工作。县指挥部总指挥由县长担任。县人民政府可按所应对的突发事件对总指挥部进行命名。</w:t>
      </w:r>
    </w:p>
    <w:p w14:paraId="46DF1D1E">
      <w:pPr>
        <w:ind w:firstLine="632"/>
        <w:rPr>
          <w:rFonts w:ascii="Times New Roman" w:hAnsi="Times New Roman" w:cs="Times New Roman"/>
        </w:rPr>
      </w:pPr>
      <w:r>
        <w:rPr>
          <w:rFonts w:ascii="Times New Roman" w:hAnsi="Times New Roman" w:cs="Times New Roman"/>
        </w:rPr>
        <w:t>总指挥部主要职责：</w:t>
      </w:r>
    </w:p>
    <w:p w14:paraId="4A1448B1">
      <w:pPr>
        <w:ind w:firstLine="632"/>
        <w:rPr>
          <w:rFonts w:ascii="Times New Roman" w:hAnsi="Times New Roman" w:cs="Times New Roman"/>
        </w:rPr>
      </w:pPr>
      <w:r>
        <w:rPr>
          <w:rFonts w:ascii="Times New Roman" w:hAnsi="Times New Roman" w:cs="Times New Roman"/>
        </w:rPr>
        <w:t>（1）组织指挥、指导协调较大、重大、特别重大突发事件应对工作；</w:t>
      </w:r>
    </w:p>
    <w:p w14:paraId="4CA9EF15">
      <w:pPr>
        <w:ind w:firstLine="632"/>
        <w:rPr>
          <w:rFonts w:ascii="Times New Roman" w:hAnsi="Times New Roman" w:cs="Times New Roman"/>
        </w:rPr>
      </w:pPr>
      <w:r>
        <w:rPr>
          <w:rFonts w:ascii="Times New Roman" w:hAnsi="Times New Roman" w:cs="Times New Roman"/>
        </w:rPr>
        <w:t>（2）执行上级指挥机构下达的突发事件应对指令，报告突发事件应对工作情况。</w:t>
      </w:r>
    </w:p>
    <w:p w14:paraId="223DB87C">
      <w:pPr>
        <w:ind w:firstLine="632"/>
        <w:rPr>
          <w:rFonts w:ascii="Times New Roman" w:hAnsi="Times New Roman" w:cs="Times New Roman"/>
        </w:rPr>
      </w:pPr>
      <w:r>
        <w:rPr>
          <w:rFonts w:ascii="Times New Roman" w:hAnsi="Times New Roman" w:cs="Times New Roman"/>
        </w:rPr>
        <w:t>总指挥部办公室由县应急办和突发事件应急处置牵头部门共同组成，必要时，可吸纳县人民政府其他相关工作部门组成专班，在突发事件应对期间合署办公。</w:t>
      </w:r>
    </w:p>
    <w:p w14:paraId="76C637AD">
      <w:pPr>
        <w:ind w:firstLine="632"/>
        <w:rPr>
          <w:rFonts w:ascii="Times New Roman" w:hAnsi="Times New Roman" w:cs="Times New Roman"/>
        </w:rPr>
      </w:pPr>
      <w:bookmarkStart w:id="45" w:name="_Toc19242"/>
      <w:r>
        <w:rPr>
          <w:rFonts w:ascii="Times New Roman" w:hAnsi="Times New Roman" w:cs="Times New Roman"/>
        </w:rPr>
        <w:t>总指挥部办公室主要职责：</w:t>
      </w:r>
    </w:p>
    <w:p w14:paraId="26DD4A7D">
      <w:pPr>
        <w:ind w:firstLine="632"/>
        <w:rPr>
          <w:rFonts w:ascii="Times New Roman" w:hAnsi="Times New Roman" w:cs="Times New Roman"/>
        </w:rPr>
      </w:pPr>
      <w:r>
        <w:rPr>
          <w:rFonts w:ascii="Times New Roman" w:hAnsi="Times New Roman" w:cs="Times New Roman"/>
        </w:rPr>
        <w:t>（1）受理突发事件信息报告，传达总指挥部及上级指挥机构指令；</w:t>
      </w:r>
    </w:p>
    <w:p w14:paraId="397E4E2E">
      <w:pPr>
        <w:ind w:firstLine="632"/>
        <w:rPr>
          <w:rFonts w:ascii="Times New Roman" w:hAnsi="Times New Roman" w:cs="Times New Roman"/>
        </w:rPr>
      </w:pPr>
      <w:r>
        <w:rPr>
          <w:rFonts w:ascii="Times New Roman" w:hAnsi="Times New Roman" w:cs="Times New Roman"/>
        </w:rPr>
        <w:t>（2）按程序提出启动、终止县级Ⅰ级应急响应的建议，获批后发布通知；</w:t>
      </w:r>
    </w:p>
    <w:p w14:paraId="1D7C2747">
      <w:pPr>
        <w:ind w:firstLine="632"/>
        <w:rPr>
          <w:rFonts w:ascii="Times New Roman" w:hAnsi="Times New Roman" w:cs="Times New Roman"/>
        </w:rPr>
      </w:pPr>
      <w:r>
        <w:rPr>
          <w:rFonts w:ascii="Times New Roman" w:hAnsi="Times New Roman" w:cs="Times New Roman"/>
        </w:rPr>
        <w:t>（3）牵头组织、协调各部门、单位参与突发事件应急处置工作；</w:t>
      </w:r>
    </w:p>
    <w:p w14:paraId="5B96F34A">
      <w:pPr>
        <w:ind w:firstLine="632"/>
        <w:rPr>
          <w:rFonts w:ascii="Times New Roman" w:hAnsi="Times New Roman" w:cs="Times New Roman"/>
        </w:rPr>
      </w:pPr>
      <w:r>
        <w:rPr>
          <w:rFonts w:ascii="Times New Roman" w:hAnsi="Times New Roman" w:cs="Times New Roman"/>
        </w:rPr>
        <w:t>（4）协助县领导做好突发事件应对工作。</w:t>
      </w:r>
    </w:p>
    <w:p w14:paraId="233511C8">
      <w:pPr>
        <w:pStyle w:val="4"/>
        <w:ind w:firstLine="0" w:firstLineChars="0"/>
        <w:rPr>
          <w:rFonts w:ascii="Times New Roman" w:hAnsi="Times New Roman" w:cs="Times New Roman"/>
        </w:rPr>
      </w:pPr>
      <w:r>
        <w:rPr>
          <w:rFonts w:ascii="Times New Roman" w:hAnsi="Times New Roman" w:cs="Times New Roman"/>
        </w:rPr>
        <w:t>专项指挥机构</w:t>
      </w:r>
      <w:bookmarkEnd w:id="45"/>
    </w:p>
    <w:p w14:paraId="3445C4D8">
      <w:pPr>
        <w:ind w:firstLine="632"/>
        <w:rPr>
          <w:rFonts w:ascii="Times New Roman" w:hAnsi="Times New Roman" w:cs="Times New Roman"/>
        </w:rPr>
      </w:pPr>
      <w:r>
        <w:rPr>
          <w:rFonts w:ascii="Times New Roman" w:hAnsi="Times New Roman" w:cs="Times New Roman"/>
        </w:rPr>
        <w:t>各类突发事件应对由各类专项应急预案确立的指挥机构组织指导协调或视情设立的县专项指挥机构负责，成员按各类专项应急预案确立的县有关部门和单位负责同志组成，主要牵头部门承担综合工作，并做好与相关专项指挥机构的衔接。</w:t>
      </w:r>
    </w:p>
    <w:p w14:paraId="087B62E1">
      <w:pPr>
        <w:ind w:firstLine="632"/>
        <w:rPr>
          <w:rFonts w:ascii="Times New Roman" w:hAnsi="Times New Roman" w:cs="Times New Roman"/>
        </w:rPr>
      </w:pPr>
      <w:r>
        <w:rPr>
          <w:rFonts w:ascii="Times New Roman" w:hAnsi="Times New Roman" w:cs="Times New Roman"/>
        </w:rPr>
        <w:t>县各相关专项指挥机构与相邻县专项指挥机构建立应急联动机制，共同做好区域性、流域性、关联性强的突发事件防范应对工作。</w:t>
      </w:r>
    </w:p>
    <w:p w14:paraId="0E154105">
      <w:pPr>
        <w:ind w:firstLine="632"/>
        <w:rPr>
          <w:rFonts w:ascii="Times New Roman" w:hAnsi="Times New Roman" w:cs="Times New Roman"/>
        </w:rPr>
      </w:pPr>
      <w:r>
        <w:rPr>
          <w:rFonts w:ascii="Times New Roman" w:hAnsi="Times New Roman" w:cs="Times New Roman"/>
        </w:rPr>
        <w:t>各专项指挥机构除现有的常设机构外，其他非常设机构按总体应急预案要求组建后，一般与有关专项应急预案同时启动，其日常工作由专项指挥部办公室所在部门承担。</w:t>
      </w:r>
    </w:p>
    <w:p w14:paraId="3B9B7619">
      <w:pPr>
        <w:ind w:firstLine="632"/>
        <w:rPr>
          <w:rFonts w:ascii="Times New Roman" w:hAnsi="Times New Roman" w:cs="Times New Roman"/>
        </w:rPr>
      </w:pPr>
      <w:r>
        <w:rPr>
          <w:rFonts w:ascii="Times New Roman" w:hAnsi="Times New Roman" w:cs="Times New Roman"/>
        </w:rPr>
        <w:t>专项指挥机构职责：</w:t>
      </w:r>
    </w:p>
    <w:p w14:paraId="785D2278">
      <w:pPr>
        <w:ind w:firstLine="632"/>
        <w:rPr>
          <w:rFonts w:ascii="Times New Roman" w:hAnsi="Times New Roman" w:cs="Times New Roman"/>
        </w:rPr>
      </w:pPr>
      <w:r>
        <w:rPr>
          <w:rFonts w:ascii="Times New Roman" w:hAnsi="Times New Roman" w:cs="Times New Roman"/>
        </w:rPr>
        <w:t>（1）贯彻落实县应急委的决定事项，及时向县应急委报告重要情况和提出建议；</w:t>
      </w:r>
    </w:p>
    <w:p w14:paraId="6D697C71">
      <w:pPr>
        <w:ind w:firstLine="632"/>
        <w:rPr>
          <w:rFonts w:ascii="Times New Roman" w:hAnsi="Times New Roman" w:cs="Times New Roman"/>
        </w:rPr>
      </w:pPr>
      <w:r>
        <w:rPr>
          <w:rFonts w:ascii="Times New Roman" w:hAnsi="Times New Roman" w:cs="Times New Roman"/>
        </w:rPr>
        <w:t>（2）负责依照本预案的相关要求，牵头组织支持部门共同做好专项应急预案和部门应急预案的编制、修订和组织实施工作；</w:t>
      </w:r>
    </w:p>
    <w:p w14:paraId="7CFF9A0F">
      <w:pPr>
        <w:ind w:firstLine="632"/>
        <w:rPr>
          <w:rFonts w:ascii="Times New Roman" w:hAnsi="Times New Roman" w:cs="Times New Roman"/>
        </w:rPr>
      </w:pPr>
      <w:r>
        <w:rPr>
          <w:rFonts w:ascii="Times New Roman" w:hAnsi="Times New Roman" w:cs="Times New Roman"/>
        </w:rPr>
        <w:t>（3）负责做好所属专业应急救援队伍的培训和预案演练工作；</w:t>
      </w:r>
    </w:p>
    <w:p w14:paraId="0DF89984">
      <w:pPr>
        <w:ind w:firstLine="632"/>
        <w:rPr>
          <w:rFonts w:ascii="Times New Roman" w:hAnsi="Times New Roman" w:cs="Times New Roman"/>
        </w:rPr>
      </w:pPr>
      <w:r>
        <w:rPr>
          <w:rFonts w:ascii="Times New Roman" w:hAnsi="Times New Roman" w:cs="Times New Roman"/>
        </w:rPr>
        <w:t>（4）负责督导所属专业应急救援队伍做好应急抢险装备的保养维护工作；</w:t>
      </w:r>
    </w:p>
    <w:p w14:paraId="2D740F90">
      <w:pPr>
        <w:ind w:firstLine="632"/>
        <w:rPr>
          <w:rFonts w:ascii="Times New Roman" w:hAnsi="Times New Roman" w:cs="Times New Roman"/>
        </w:rPr>
      </w:pPr>
      <w:r>
        <w:rPr>
          <w:rFonts w:ascii="Times New Roman" w:hAnsi="Times New Roman" w:cs="Times New Roman"/>
        </w:rPr>
        <w:t>（5）负责牵头组织支持部门共同做好相关类别突发事件的预防、应急准备、应急处置和恢复重建等工作。</w:t>
      </w:r>
    </w:p>
    <w:p w14:paraId="453F5E9D">
      <w:pPr>
        <w:ind w:firstLine="632"/>
        <w:rPr>
          <w:rFonts w:ascii="Times New Roman" w:hAnsi="Times New Roman" w:cs="Times New Roman"/>
        </w:rPr>
      </w:pPr>
      <w:r>
        <w:rPr>
          <w:rFonts w:ascii="Times New Roman" w:hAnsi="Times New Roman" w:cs="Times New Roman"/>
        </w:rPr>
        <w:t>专项指挥机构下设办公室，设在该类突发事件的业务主管部门。办公室主任在专项应急预案中明确。</w:t>
      </w:r>
    </w:p>
    <w:p w14:paraId="22F5742E">
      <w:pPr>
        <w:ind w:firstLine="632"/>
        <w:rPr>
          <w:rFonts w:ascii="Times New Roman" w:hAnsi="Times New Roman" w:cs="Times New Roman"/>
        </w:rPr>
      </w:pPr>
      <w:r>
        <w:rPr>
          <w:rFonts w:ascii="Times New Roman" w:hAnsi="Times New Roman" w:cs="Times New Roman"/>
        </w:rPr>
        <w:t>专项指挥部办公室职责：</w:t>
      </w:r>
    </w:p>
    <w:p w14:paraId="3D9F2420">
      <w:pPr>
        <w:ind w:firstLine="632"/>
        <w:rPr>
          <w:rFonts w:ascii="Times New Roman" w:hAnsi="Times New Roman" w:cs="Times New Roman"/>
        </w:rPr>
      </w:pPr>
      <w:r>
        <w:rPr>
          <w:rFonts w:ascii="Times New Roman" w:hAnsi="Times New Roman" w:cs="Times New Roman"/>
        </w:rPr>
        <w:t>（1）贯彻执行上级和县委、县政府有关本类别突发事件应对工作的方针、政策，认真落实应急工作的指示和要求；</w:t>
      </w:r>
    </w:p>
    <w:p w14:paraId="62AAC4C8">
      <w:pPr>
        <w:ind w:firstLine="632"/>
        <w:rPr>
          <w:rFonts w:ascii="Times New Roman" w:hAnsi="Times New Roman" w:cs="Times New Roman"/>
        </w:rPr>
      </w:pPr>
      <w:r>
        <w:rPr>
          <w:rFonts w:ascii="Times New Roman" w:hAnsi="Times New Roman" w:cs="Times New Roman"/>
        </w:rPr>
        <w:t>（2）建立和完善本类别突发事件监测预警工作机制；</w:t>
      </w:r>
    </w:p>
    <w:p w14:paraId="41C1238A">
      <w:pPr>
        <w:ind w:firstLine="632"/>
        <w:rPr>
          <w:rFonts w:ascii="Times New Roman" w:hAnsi="Times New Roman" w:cs="Times New Roman"/>
        </w:rPr>
      </w:pPr>
      <w:r>
        <w:rPr>
          <w:rFonts w:ascii="Times New Roman" w:hAnsi="Times New Roman" w:cs="Times New Roman"/>
        </w:rPr>
        <w:t>（3）牵头组织本类别专项应急预案的起草和修订工作，按照相关要求承办应急演练；</w:t>
      </w:r>
    </w:p>
    <w:p w14:paraId="4703B62E">
      <w:pPr>
        <w:ind w:firstLine="632"/>
        <w:rPr>
          <w:rFonts w:ascii="Times New Roman" w:hAnsi="Times New Roman" w:cs="Times New Roman"/>
        </w:rPr>
      </w:pPr>
      <w:r>
        <w:rPr>
          <w:rFonts w:ascii="Times New Roman" w:hAnsi="Times New Roman" w:cs="Times New Roman"/>
        </w:rPr>
        <w:t>（4）受理本类别突发事件信息报告，及时支援属地政府处置，传达专项指挥部及上级部门指令；</w:t>
      </w:r>
    </w:p>
    <w:p w14:paraId="59F13717">
      <w:pPr>
        <w:ind w:firstLine="632"/>
        <w:rPr>
          <w:rFonts w:ascii="Times New Roman" w:hAnsi="Times New Roman" w:cs="Times New Roman"/>
        </w:rPr>
      </w:pPr>
      <w:r>
        <w:rPr>
          <w:rFonts w:ascii="Times New Roman" w:hAnsi="Times New Roman" w:cs="Times New Roman"/>
        </w:rPr>
        <w:t>（5）按程序提出启动、终止本类别突发事件县级应急响应的建议，获批后发布通知；</w:t>
      </w:r>
    </w:p>
    <w:p w14:paraId="76BB34FD">
      <w:pPr>
        <w:ind w:firstLine="632"/>
        <w:rPr>
          <w:rFonts w:ascii="Times New Roman" w:hAnsi="Times New Roman" w:cs="Times New Roman"/>
        </w:rPr>
      </w:pPr>
      <w:r>
        <w:rPr>
          <w:rFonts w:ascii="Times New Roman" w:hAnsi="Times New Roman" w:cs="Times New Roman"/>
        </w:rPr>
        <w:t>（6）牵头组织、协调专项指挥部各成员单位参与本类别突发事件应急处置工作；</w:t>
      </w:r>
    </w:p>
    <w:p w14:paraId="4FF73B85">
      <w:pPr>
        <w:ind w:firstLine="632"/>
        <w:rPr>
          <w:rFonts w:ascii="Times New Roman" w:hAnsi="Times New Roman" w:cs="Times New Roman"/>
        </w:rPr>
      </w:pPr>
      <w:r>
        <w:rPr>
          <w:rFonts w:ascii="Times New Roman" w:hAnsi="Times New Roman" w:cs="Times New Roman"/>
        </w:rPr>
        <w:t>（7）组织协调本类别突发事件的宣传教育和培训工作；</w:t>
      </w:r>
    </w:p>
    <w:p w14:paraId="4F96B693">
      <w:pPr>
        <w:ind w:firstLine="632"/>
        <w:rPr>
          <w:rFonts w:ascii="Times New Roman" w:hAnsi="Times New Roman" w:cs="Times New Roman"/>
        </w:rPr>
      </w:pPr>
      <w:r>
        <w:rPr>
          <w:rFonts w:ascii="Times New Roman" w:hAnsi="Times New Roman" w:cs="Times New Roman"/>
        </w:rPr>
        <w:t>（8）承担专项指挥部其他日常管理工作。</w:t>
      </w:r>
    </w:p>
    <w:p w14:paraId="6034AF1D">
      <w:pPr>
        <w:pStyle w:val="4"/>
        <w:ind w:firstLine="0" w:firstLineChars="0"/>
        <w:rPr>
          <w:rFonts w:ascii="Times New Roman" w:hAnsi="Times New Roman" w:cs="Times New Roman"/>
        </w:rPr>
      </w:pPr>
      <w:bookmarkStart w:id="46" w:name="_Toc20670"/>
      <w:r>
        <w:rPr>
          <w:rFonts w:ascii="Times New Roman" w:hAnsi="Times New Roman" w:cs="Times New Roman"/>
        </w:rPr>
        <w:t>现场指挥机构</w:t>
      </w:r>
      <w:bookmarkEnd w:id="46"/>
    </w:p>
    <w:p w14:paraId="34138FF9">
      <w:pPr>
        <w:ind w:firstLine="632"/>
        <w:rPr>
          <w:rFonts w:ascii="Times New Roman" w:hAnsi="Times New Roman" w:cs="Times New Roman"/>
        </w:rPr>
      </w:pPr>
      <w:r>
        <w:rPr>
          <w:rFonts w:ascii="Times New Roman" w:hAnsi="Times New Roman" w:cs="Times New Roman"/>
        </w:rPr>
        <w:t>突发事件发生后，根据应对需要，设立由县人民政府、相关部门负责同志等组成的现场指挥机构，组织、指挥、协调突发事件现场应急处置工作。现场指挥机构可根据需要设立综合协调、灾害监测、抢险救援、交通管制、医疗卫生、善后处置、信息发布及新闻宣传、群众生活、基础设施保障和生产恢复、专家支持、调查评估等工作组。当突发事件涉及多个区域的，可分别设置多个现场指挥部。</w:t>
      </w:r>
    </w:p>
    <w:p w14:paraId="6E274477">
      <w:pPr>
        <w:ind w:firstLine="632"/>
        <w:rPr>
          <w:rFonts w:ascii="Times New Roman" w:hAnsi="Times New Roman" w:cs="Times New Roman"/>
        </w:rPr>
      </w:pPr>
      <w:r>
        <w:rPr>
          <w:rFonts w:ascii="Times New Roman" w:hAnsi="Times New Roman" w:cs="Times New Roman"/>
        </w:rPr>
        <w:t>特别重大、重大、较大突发事件发生后，县人民政府设立现场指挥机构；一般突发事件发生后，县人民政府视情设立现场指挥机构。现场指挥部职责：</w:t>
      </w:r>
    </w:p>
    <w:p w14:paraId="556A63D6">
      <w:pPr>
        <w:ind w:firstLine="632"/>
        <w:rPr>
          <w:rFonts w:ascii="Times New Roman" w:hAnsi="Times New Roman" w:cs="Times New Roman"/>
        </w:rPr>
      </w:pPr>
      <w:r>
        <w:rPr>
          <w:rFonts w:ascii="Times New Roman" w:hAnsi="Times New Roman" w:cs="Times New Roman"/>
        </w:rPr>
        <w:t>（1）组织指挥现场应急救援力量执行各项应急处置任务；</w:t>
      </w:r>
    </w:p>
    <w:p w14:paraId="46414D26">
      <w:pPr>
        <w:ind w:firstLine="632"/>
        <w:rPr>
          <w:rFonts w:ascii="Times New Roman" w:hAnsi="Times New Roman" w:cs="Times New Roman"/>
        </w:rPr>
      </w:pPr>
      <w:r>
        <w:rPr>
          <w:rFonts w:ascii="Times New Roman" w:hAnsi="Times New Roman" w:cs="Times New Roman"/>
        </w:rPr>
        <w:t>（2）组织搭建现场指挥部工作场所，划定应急功能区域；</w:t>
      </w:r>
    </w:p>
    <w:p w14:paraId="71355ECC">
      <w:pPr>
        <w:ind w:firstLine="632"/>
        <w:rPr>
          <w:rFonts w:ascii="Times New Roman" w:hAnsi="Times New Roman" w:cs="Times New Roman"/>
        </w:rPr>
      </w:pPr>
      <w:r>
        <w:rPr>
          <w:rFonts w:ascii="Times New Roman" w:hAnsi="Times New Roman" w:cs="Times New Roman"/>
        </w:rPr>
        <w:t>（3）对接外部救援力量，做好外部救援力量的保障工作；</w:t>
      </w:r>
    </w:p>
    <w:p w14:paraId="0B4B9763">
      <w:pPr>
        <w:ind w:firstLine="632"/>
        <w:rPr>
          <w:rFonts w:ascii="Times New Roman" w:hAnsi="Times New Roman" w:cs="Times New Roman"/>
        </w:rPr>
      </w:pPr>
      <w:r>
        <w:rPr>
          <w:rFonts w:ascii="Times New Roman" w:hAnsi="Times New Roman" w:cs="Times New Roman"/>
        </w:rPr>
        <w:t>（4）根据现场情况，组织制定现场应急处置方案并实施；</w:t>
      </w:r>
    </w:p>
    <w:p w14:paraId="76C915C2">
      <w:pPr>
        <w:ind w:firstLine="632"/>
        <w:rPr>
          <w:rFonts w:ascii="Times New Roman" w:hAnsi="Times New Roman" w:cs="Times New Roman"/>
        </w:rPr>
      </w:pPr>
      <w:r>
        <w:rPr>
          <w:rFonts w:ascii="Times New Roman" w:hAnsi="Times New Roman" w:cs="Times New Roman"/>
        </w:rPr>
        <w:t>（5）及时向上级指挥机构报告突发事件应急处置工作进展情况及重大事项；</w:t>
      </w:r>
    </w:p>
    <w:p w14:paraId="0CD369C7">
      <w:pPr>
        <w:ind w:firstLine="632"/>
        <w:rPr>
          <w:rFonts w:ascii="Times New Roman" w:hAnsi="Times New Roman" w:cs="Times New Roman"/>
        </w:rPr>
      </w:pPr>
      <w:r>
        <w:rPr>
          <w:rFonts w:ascii="Times New Roman" w:hAnsi="Times New Roman" w:cs="Times New Roman"/>
        </w:rPr>
        <w:t>（6）根据授权，发布突发事件信息。</w:t>
      </w:r>
    </w:p>
    <w:p w14:paraId="65553485">
      <w:pPr>
        <w:pStyle w:val="3"/>
        <w:ind w:firstLine="0" w:firstLineChars="0"/>
        <w:rPr>
          <w:rFonts w:ascii="Times New Roman" w:hAnsi="Times New Roman" w:cs="Times New Roman"/>
        </w:rPr>
      </w:pPr>
      <w:bookmarkStart w:id="47" w:name="_Toc2541"/>
      <w:bookmarkStart w:id="48" w:name="_Toc31337"/>
      <w:r>
        <w:rPr>
          <w:rFonts w:ascii="Times New Roman" w:hAnsi="Times New Roman" w:cs="Times New Roman"/>
        </w:rPr>
        <w:t>基层应急机构</w:t>
      </w:r>
      <w:bookmarkEnd w:id="47"/>
      <w:bookmarkEnd w:id="48"/>
    </w:p>
    <w:p w14:paraId="51E9FADD">
      <w:pPr>
        <w:ind w:firstLine="632"/>
        <w:rPr>
          <w:rFonts w:ascii="Times New Roman" w:hAnsi="Times New Roman" w:cs="Times New Roman"/>
        </w:rPr>
      </w:pPr>
      <w:r>
        <w:rPr>
          <w:rFonts w:ascii="Times New Roman" w:hAnsi="Times New Roman" w:cs="Times New Roman"/>
        </w:rPr>
        <w:t>在县委、县政府的领导下，各乡镇人民政府设立突发事件应急指挥部或相关机构，配备专职工作人员，具体负责辖区内各类突发事件的应急处置工作，并根据《应急管理部办公厅关于印发&lt;乡镇（街道）突发事件应急预案编制参考&gt;和&lt;村（社区）突发事件应急预案编制参考&gt;的通知》（应急厅函〔2023〕231号）的要求组织建立本级突发事件应急预案体系。</w:t>
      </w:r>
    </w:p>
    <w:p w14:paraId="0F8711EE">
      <w:pPr>
        <w:ind w:firstLine="632"/>
        <w:rPr>
          <w:rFonts w:ascii="Times New Roman" w:hAnsi="Times New Roman" w:cs="Times New Roman"/>
        </w:rPr>
      </w:pPr>
      <w:r>
        <w:rPr>
          <w:rFonts w:ascii="Times New Roman" w:hAnsi="Times New Roman" w:cs="Times New Roman"/>
        </w:rPr>
        <w:t>村（居）委会等群众自治组织应明确突发事件应对工作责任人，协助政府及有关部门做好突发事件应对工作。</w:t>
      </w:r>
    </w:p>
    <w:p w14:paraId="3FEFE940">
      <w:pPr>
        <w:ind w:firstLine="632"/>
        <w:rPr>
          <w:rFonts w:ascii="Times New Roman" w:hAnsi="Times New Roman" w:cs="Times New Roman"/>
        </w:rPr>
      </w:pPr>
      <w:r>
        <w:rPr>
          <w:rFonts w:ascii="Times New Roman" w:hAnsi="Times New Roman" w:cs="Times New Roman"/>
        </w:rPr>
        <w:t>其他基层组织和单位在县人民政府及乡镇人民政府的指导下开展应急管理工作。</w:t>
      </w:r>
    </w:p>
    <w:p w14:paraId="5FCE615B">
      <w:pPr>
        <w:pStyle w:val="3"/>
        <w:ind w:firstLine="0" w:firstLineChars="0"/>
        <w:rPr>
          <w:rFonts w:ascii="Times New Roman" w:hAnsi="Times New Roman" w:cs="Times New Roman"/>
        </w:rPr>
      </w:pPr>
      <w:bookmarkStart w:id="49" w:name="_Toc15935"/>
      <w:bookmarkStart w:id="50" w:name="_Toc19845"/>
      <w:r>
        <w:rPr>
          <w:rFonts w:ascii="Times New Roman" w:hAnsi="Times New Roman" w:cs="Times New Roman"/>
        </w:rPr>
        <w:t>专家组</w:t>
      </w:r>
      <w:bookmarkEnd w:id="49"/>
      <w:bookmarkEnd w:id="50"/>
    </w:p>
    <w:p w14:paraId="45266624">
      <w:pPr>
        <w:ind w:firstLine="632"/>
        <w:rPr>
          <w:rFonts w:ascii="Times New Roman" w:hAnsi="Times New Roman" w:cs="Times New Roman"/>
        </w:rPr>
      </w:pPr>
      <w:r>
        <w:rPr>
          <w:rFonts w:ascii="Times New Roman" w:hAnsi="Times New Roman" w:cs="Times New Roman"/>
        </w:rPr>
        <w:t>各专项指挥机构和有关部门应建立突发事件防范应对专家库，可以根据实际需要聘请专家、学者组成专家组，为制定中长期公共安全规划、信息系统建设与强化危机管理提供决策性意见和建议；参与突发事件的灾害评估、灾情分析和应急科学研究等工作；必要时，参加突发事件的应急处置工作。</w:t>
      </w:r>
    </w:p>
    <w:p w14:paraId="7B492EC1">
      <w:pPr>
        <w:pStyle w:val="2"/>
        <w:ind w:firstLine="0" w:firstLineChars="0"/>
        <w:rPr>
          <w:rFonts w:ascii="Times New Roman" w:hAnsi="Times New Roman" w:cs="Times New Roman"/>
        </w:rPr>
      </w:pPr>
      <w:bookmarkStart w:id="51" w:name="_Toc16634"/>
      <w:bookmarkStart w:id="52" w:name="_Toc1263"/>
      <w:r>
        <w:rPr>
          <w:rFonts w:ascii="Times New Roman" w:hAnsi="Times New Roman" w:cs="Times New Roman"/>
        </w:rPr>
        <w:t>监测预警</w:t>
      </w:r>
      <w:bookmarkEnd w:id="51"/>
      <w:bookmarkEnd w:id="52"/>
    </w:p>
    <w:p w14:paraId="3CD9B1C8">
      <w:pPr>
        <w:pStyle w:val="3"/>
        <w:ind w:firstLine="0" w:firstLineChars="0"/>
        <w:rPr>
          <w:rFonts w:ascii="Times New Roman" w:hAnsi="Times New Roman" w:cs="Times New Roman"/>
        </w:rPr>
      </w:pPr>
      <w:bookmarkStart w:id="53" w:name="_Toc17196"/>
      <w:bookmarkStart w:id="54" w:name="_Toc203"/>
      <w:r>
        <w:rPr>
          <w:rFonts w:ascii="Times New Roman" w:hAnsi="Times New Roman" w:cs="Times New Roman"/>
        </w:rPr>
        <w:t>风险监测与防控</w:t>
      </w:r>
      <w:bookmarkEnd w:id="53"/>
      <w:bookmarkEnd w:id="54"/>
    </w:p>
    <w:p w14:paraId="157237EE">
      <w:pPr>
        <w:ind w:firstLine="632"/>
        <w:rPr>
          <w:rFonts w:ascii="Times New Roman" w:hAnsi="Times New Roman" w:cs="Times New Roman"/>
        </w:rPr>
      </w:pPr>
      <w:r>
        <w:rPr>
          <w:rFonts w:ascii="Times New Roman" w:hAnsi="Times New Roman" w:cs="Times New Roman"/>
        </w:rPr>
        <w:t>县人民政府及其部门、乡镇人民政府坚持“预防为主、关口前移、重心下沉、防控结合”的原则，加强风险防控体系建设。严格落实国家及地方风险防控有关法律法规要求，建立完善风险监测与风险防控相关制度，健全风险联防联控、信息互联互通等工作机制，实行风险分类分级管理和动态管理。对风险源与风险区域进行辨识和评估，建立风险清单，研究制定并落实风险防控措施，从源头上防范化解各类风险，把问题解决在萌芽之时、成灾之前。</w:t>
      </w:r>
    </w:p>
    <w:p w14:paraId="01C9C890">
      <w:pPr>
        <w:pStyle w:val="4"/>
        <w:ind w:firstLine="0" w:firstLineChars="0"/>
        <w:rPr>
          <w:rFonts w:ascii="Times New Roman" w:hAnsi="Times New Roman" w:cs="Times New Roman"/>
        </w:rPr>
      </w:pPr>
      <w:r>
        <w:rPr>
          <w:rFonts w:ascii="Times New Roman" w:hAnsi="Times New Roman" w:cs="Times New Roman"/>
        </w:rPr>
        <w:t>风险监测</w:t>
      </w:r>
    </w:p>
    <w:p w14:paraId="11AA7D92">
      <w:pPr>
        <w:ind w:firstLine="632"/>
        <w:rPr>
          <w:rFonts w:ascii="Times New Roman" w:hAnsi="Times New Roman" w:cs="Times New Roman"/>
        </w:rPr>
      </w:pPr>
      <w:r>
        <w:rPr>
          <w:rFonts w:ascii="Times New Roman" w:hAnsi="Times New Roman" w:cs="Times New Roman"/>
        </w:rPr>
        <w:t>由县、乡镇人民政府负责自下而上建立突发事件信息监测网络，在现有气象监测、地震监测和森林防火监测等手段的基础上，拓宽信息渠道，扩大监测范围，划分监测区域，明确监测任务，完善监测设施，提高监测能力。风险监测应贯穿于突发事件事前、事中、事后全过程。</w:t>
      </w:r>
    </w:p>
    <w:p w14:paraId="16D00E09">
      <w:pPr>
        <w:pStyle w:val="4"/>
        <w:ind w:firstLine="0" w:firstLineChars="0"/>
        <w:rPr>
          <w:rFonts w:ascii="Times New Roman" w:hAnsi="Times New Roman" w:cs="Times New Roman"/>
        </w:rPr>
      </w:pPr>
      <w:r>
        <w:rPr>
          <w:rFonts w:ascii="Times New Roman" w:hAnsi="Times New Roman" w:cs="Times New Roman"/>
        </w:rPr>
        <w:t>风险防控</w:t>
      </w:r>
    </w:p>
    <w:p w14:paraId="4B007789">
      <w:pPr>
        <w:ind w:firstLine="632"/>
        <w:rPr>
          <w:rFonts w:ascii="Times New Roman" w:hAnsi="Times New Roman" w:cs="Times New Roman"/>
        </w:rPr>
      </w:pPr>
      <w:r>
        <w:rPr>
          <w:rFonts w:ascii="Times New Roman" w:hAnsi="Times New Roman" w:cs="Times New Roman"/>
        </w:rPr>
        <w:t>由县人民政府和相关行业部门，负责本辖区或本行业重大危险源、重大隐患的普查、登记和管理工作；掌握本行政辖区和本行业重大危险源数量、重大隐患分布和可能造成危害的程度以及影响范围等基本情况，做好信息收集和风险分析工作。</w:t>
      </w:r>
    </w:p>
    <w:p w14:paraId="5E8A7E21">
      <w:pPr>
        <w:ind w:firstLine="632"/>
        <w:rPr>
          <w:rFonts w:ascii="Times New Roman" w:hAnsi="Times New Roman" w:cs="Times New Roman"/>
        </w:rPr>
      </w:pPr>
      <w:r>
        <w:rPr>
          <w:rFonts w:ascii="Times New Roman" w:hAnsi="Times New Roman" w:cs="Times New Roman"/>
        </w:rPr>
        <w:t>各乡镇人民政府、县直及驻县各有关部门单位应加强本地区、本行业（领域）风险评估和隐患排查整改，有针对性地制定应急预案或应对措施，做好突发事件预防及应急准备工作，及时发现、化解各类风险和突发事件。</w:t>
      </w:r>
    </w:p>
    <w:p w14:paraId="36929A09">
      <w:pPr>
        <w:pStyle w:val="3"/>
        <w:ind w:firstLine="0" w:firstLineChars="0"/>
        <w:rPr>
          <w:rFonts w:ascii="Times New Roman" w:hAnsi="Times New Roman" w:cs="Times New Roman"/>
        </w:rPr>
      </w:pPr>
      <w:bookmarkStart w:id="55" w:name="_Toc27871"/>
      <w:bookmarkStart w:id="56" w:name="_Toc9649"/>
      <w:r>
        <w:rPr>
          <w:rFonts w:ascii="Times New Roman" w:hAnsi="Times New Roman" w:cs="Times New Roman"/>
        </w:rPr>
        <w:t>预警</w:t>
      </w:r>
      <w:bookmarkEnd w:id="55"/>
      <w:bookmarkEnd w:id="56"/>
    </w:p>
    <w:p w14:paraId="467271EE">
      <w:pPr>
        <w:ind w:firstLine="632"/>
        <w:rPr>
          <w:rFonts w:ascii="Times New Roman" w:hAnsi="Times New Roman" w:cs="Times New Roman"/>
        </w:rPr>
      </w:pPr>
      <w:r>
        <w:rPr>
          <w:rFonts w:ascii="Times New Roman" w:hAnsi="Times New Roman" w:cs="Times New Roman"/>
        </w:rPr>
        <w:t>县应急办负责全县突发事件预警工作的综合监督管理，县级相关部门负责相关类别突发事件预警管理工作，各乡镇人民政府负责本地区突发事件预警管理工作。</w:t>
      </w:r>
    </w:p>
    <w:p w14:paraId="3A3F5FD2">
      <w:pPr>
        <w:pStyle w:val="4"/>
        <w:ind w:firstLine="0" w:firstLineChars="0"/>
        <w:rPr>
          <w:rFonts w:ascii="Times New Roman" w:hAnsi="Times New Roman" w:cs="Times New Roman"/>
        </w:rPr>
      </w:pPr>
      <w:r>
        <w:rPr>
          <w:rFonts w:ascii="Times New Roman" w:hAnsi="Times New Roman" w:cs="Times New Roman"/>
        </w:rPr>
        <w:t>预警级别</w:t>
      </w:r>
    </w:p>
    <w:p w14:paraId="4C31F4B9">
      <w:pPr>
        <w:ind w:firstLine="632"/>
        <w:rPr>
          <w:rFonts w:ascii="Times New Roman" w:hAnsi="Times New Roman" w:cs="Times New Roman"/>
        </w:rPr>
      </w:pPr>
      <w:r>
        <w:rPr>
          <w:rFonts w:ascii="Times New Roman" w:hAnsi="Times New Roman" w:cs="Times New Roman"/>
        </w:rPr>
        <w:t>对可以预警的自然灾害、事故灾难或公共卫生事件，有关部门收集到征兆信息后，组织分析评估，研判发生的可能性、强度和影响范围以及可能发生的次生衍生突发事件，确定预警级别。按照紧急程度、发展势态和可能造成的危害程度，预警级别由高到低划分为四级：Ⅰ级（特别严重）、Ⅱ级（严重）、Ⅲ级（较重）和Ⅳ级（一般），依次用红色，橙色、黄色和蓝色表示。预警级别的确定由各信息监测、监控和公众信息接警主管部门负责对发生在本辖区内的突发事件信息进行风险分析评估，根据突发事件的级别标准，以及国家、省、市相关法律法规和政策规定确定预警级别。</w:t>
      </w:r>
    </w:p>
    <w:p w14:paraId="2815CDD6">
      <w:pPr>
        <w:pStyle w:val="4"/>
        <w:ind w:firstLine="0" w:firstLineChars="0"/>
        <w:rPr>
          <w:rFonts w:ascii="Times New Roman" w:hAnsi="Times New Roman" w:cs="Times New Roman"/>
        </w:rPr>
      </w:pPr>
      <w:r>
        <w:rPr>
          <w:rFonts w:ascii="Times New Roman" w:hAnsi="Times New Roman" w:cs="Times New Roman"/>
        </w:rPr>
        <w:t>预警发布、调整和解除</w:t>
      </w:r>
    </w:p>
    <w:p w14:paraId="42F77820">
      <w:pPr>
        <w:ind w:firstLine="632"/>
        <w:rPr>
          <w:rFonts w:ascii="Times New Roman" w:hAnsi="Times New Roman" w:cs="Times New Roman"/>
        </w:rPr>
      </w:pPr>
      <w:r>
        <w:rPr>
          <w:rFonts w:ascii="Times New Roman" w:hAnsi="Times New Roman" w:cs="Times New Roman"/>
        </w:rPr>
        <w:t>由县应急办统筹全县预警信息全媒体渠道发布工作。</w:t>
      </w:r>
    </w:p>
    <w:p w14:paraId="6C5B5DD9">
      <w:pPr>
        <w:ind w:firstLine="632"/>
        <w:rPr>
          <w:rFonts w:ascii="Times New Roman" w:hAnsi="Times New Roman" w:cs="Times New Roman"/>
        </w:rPr>
      </w:pPr>
      <w:r>
        <w:rPr>
          <w:rFonts w:ascii="Times New Roman" w:hAnsi="Times New Roman" w:cs="Times New Roman"/>
        </w:rPr>
        <w:t>预警信息发布主体为县人民政府或者各专项应急指挥部。发布主体应依托互联网、电视、电台、显示屏和移动通信网络，向本行政区域范围内可能遭受突发事件影响的用户进行预警信息发布，提供防御应对指南。</w:t>
      </w:r>
    </w:p>
    <w:p w14:paraId="25FA0F33">
      <w:pPr>
        <w:ind w:firstLine="632"/>
        <w:rPr>
          <w:rFonts w:ascii="Times New Roman" w:hAnsi="Times New Roman" w:cs="Times New Roman"/>
        </w:rPr>
      </w:pPr>
      <w:r>
        <w:rPr>
          <w:rFonts w:ascii="Times New Roman" w:hAnsi="Times New Roman" w:cs="Times New Roman"/>
        </w:rPr>
        <w:t>预警信息范围包括发生或者可能发生，造成或者可能造成严重社会危害，且可以预警、可以公开发布的自然灾害、事故灾难、公共卫生、社会安全等事件信息。预警信息内容要求准确、简练，包括发布主体、发布时间、事件类别、起始时间、影响范围、预警级别、警示措施、事态发展、咨询电话等。</w:t>
      </w:r>
    </w:p>
    <w:p w14:paraId="0546EBF0">
      <w:pPr>
        <w:ind w:firstLine="632"/>
        <w:rPr>
          <w:rFonts w:ascii="Times New Roman" w:hAnsi="Times New Roman" w:cs="Times New Roman"/>
        </w:rPr>
      </w:pPr>
      <w:r>
        <w:rPr>
          <w:rFonts w:ascii="Times New Roman" w:hAnsi="Times New Roman" w:cs="Times New Roman"/>
        </w:rPr>
        <w:t>突发事件预警信息发布后，预警发布单位应密切关注事态发展情况，按照有关规定适时调整预警级别或及时更新预警信息内容。</w:t>
      </w:r>
    </w:p>
    <w:p w14:paraId="79DA6236">
      <w:pPr>
        <w:ind w:firstLine="632"/>
        <w:rPr>
          <w:rFonts w:ascii="Times New Roman" w:hAnsi="Times New Roman" w:cs="Times New Roman"/>
        </w:rPr>
      </w:pPr>
      <w:r>
        <w:rPr>
          <w:rFonts w:ascii="Times New Roman" w:hAnsi="Times New Roman" w:cs="Times New Roman"/>
        </w:rPr>
        <w:t>有事实证明不可能发生突发事件或者危险已经解除的，预警发布单位应当及时宣布解除预警，终止预警期，并解除已采取的有关措施。</w:t>
      </w:r>
    </w:p>
    <w:p w14:paraId="529B4C67">
      <w:pPr>
        <w:pStyle w:val="4"/>
        <w:ind w:firstLine="0" w:firstLineChars="0"/>
        <w:rPr>
          <w:rFonts w:ascii="Times New Roman" w:hAnsi="Times New Roman" w:cs="Times New Roman"/>
        </w:rPr>
      </w:pPr>
      <w:r>
        <w:rPr>
          <w:rFonts w:ascii="Times New Roman" w:hAnsi="Times New Roman" w:cs="Times New Roman"/>
        </w:rPr>
        <w:t>预警行动</w:t>
      </w:r>
    </w:p>
    <w:p w14:paraId="61FCF4FE">
      <w:pPr>
        <w:ind w:firstLine="632"/>
        <w:rPr>
          <w:rFonts w:ascii="Times New Roman" w:hAnsi="Times New Roman" w:cs="Times New Roman"/>
        </w:rPr>
      </w:pPr>
      <w:r>
        <w:rPr>
          <w:rFonts w:ascii="Times New Roman" w:hAnsi="Times New Roman" w:cs="Times New Roman"/>
        </w:rPr>
        <w:t>预警发布后，各乡镇人民政府，县直及驻县各有关部门单位立即启动应急响应机制，做好防范准备、协同处置工作，并按照有关规定及时报告、通报有关情况。</w:t>
      </w:r>
    </w:p>
    <w:p w14:paraId="105269C0">
      <w:pPr>
        <w:ind w:firstLine="632"/>
        <w:rPr>
          <w:rFonts w:ascii="Times New Roman" w:hAnsi="Times New Roman" w:cs="Times New Roman"/>
        </w:rPr>
      </w:pPr>
      <w:r>
        <w:rPr>
          <w:rFonts w:ascii="Times New Roman" w:hAnsi="Times New Roman" w:cs="Times New Roman"/>
        </w:rPr>
        <w:t>自然灾害、事故灾难、社会安全事件和公共卫生事件四级预警发布后，各乡镇人民政府，县直及驻县各有关部门单位要根据预警级别、实际情况和分级负责的原则，采取下列一项或多项措施：</w:t>
      </w:r>
    </w:p>
    <w:p w14:paraId="60AE199C">
      <w:pPr>
        <w:ind w:firstLine="632"/>
        <w:rPr>
          <w:rFonts w:ascii="Times New Roman" w:hAnsi="Times New Roman" w:cs="Times New Roman"/>
        </w:rPr>
      </w:pPr>
      <w:r>
        <w:rPr>
          <w:rFonts w:ascii="Times New Roman" w:hAnsi="Times New Roman" w:cs="Times New Roman"/>
        </w:rPr>
        <w:t>（1）责令有关部门、专业机构、监测网点和负有特定职责的人员及时收集、报告有关信息，向社会公布反映突发事件信息的渠道，加强对突发事件发生、发展情况的监测、预报和预警工作。</w:t>
      </w:r>
    </w:p>
    <w:p w14:paraId="56799913">
      <w:pPr>
        <w:ind w:firstLine="632"/>
        <w:rPr>
          <w:rFonts w:ascii="Times New Roman" w:hAnsi="Times New Roman" w:cs="Times New Roman"/>
        </w:rPr>
      </w:pPr>
      <w:r>
        <w:rPr>
          <w:rFonts w:ascii="Times New Roman" w:hAnsi="Times New Roman" w:cs="Times New Roman"/>
        </w:rPr>
        <w:t>（2）组织有关部门和机构、专业技术人员、有关专家学者，随时对突发事件信息进行分析评估，预测发生突发事件可能性的大小、影响范围和强度以及可能发生的突发事件的级别。</w:t>
      </w:r>
    </w:p>
    <w:p w14:paraId="3FA233C1">
      <w:pPr>
        <w:ind w:firstLine="632"/>
        <w:rPr>
          <w:rFonts w:ascii="Times New Roman" w:hAnsi="Times New Roman" w:cs="Times New Roman"/>
        </w:rPr>
      </w:pPr>
      <w:r>
        <w:rPr>
          <w:rFonts w:ascii="Times New Roman" w:hAnsi="Times New Roman" w:cs="Times New Roman"/>
        </w:rPr>
        <w:t>（3）根据有关法律法规和国务院规定的权限和程序，向社会发布与公众有关的突发事件预测信息和分析评估结果，并对相关信息的报道工作进行管理。</w:t>
      </w:r>
    </w:p>
    <w:p w14:paraId="33ED9132">
      <w:pPr>
        <w:ind w:firstLine="632"/>
        <w:rPr>
          <w:rFonts w:ascii="Times New Roman" w:hAnsi="Times New Roman" w:cs="Times New Roman"/>
        </w:rPr>
      </w:pPr>
      <w:r>
        <w:rPr>
          <w:rFonts w:ascii="Times New Roman" w:hAnsi="Times New Roman" w:cs="Times New Roman"/>
        </w:rPr>
        <w:t>（4）按照有关规定，及时向社会发布可能受到突发事件危害的警告，宣传避免、减轻危害的常识，公布咨询电话。</w:t>
      </w:r>
    </w:p>
    <w:p w14:paraId="614BB59C">
      <w:pPr>
        <w:ind w:firstLine="632"/>
        <w:rPr>
          <w:rFonts w:ascii="Times New Roman" w:hAnsi="Times New Roman" w:cs="Times New Roman"/>
        </w:rPr>
      </w:pPr>
      <w:r>
        <w:rPr>
          <w:rFonts w:ascii="Times New Roman" w:hAnsi="Times New Roman" w:cs="Times New Roman"/>
        </w:rPr>
        <w:t>（5）责令应急救援队伍、负有特定职责的人员进入待命状态，并动员后备人员做好参加应急救援和处置工作的准备。</w:t>
      </w:r>
    </w:p>
    <w:p w14:paraId="65D94C9E">
      <w:pPr>
        <w:ind w:firstLine="632"/>
        <w:rPr>
          <w:rFonts w:ascii="Times New Roman" w:hAnsi="Times New Roman" w:cs="Times New Roman"/>
        </w:rPr>
      </w:pPr>
      <w:r>
        <w:rPr>
          <w:rFonts w:ascii="Times New Roman" w:hAnsi="Times New Roman" w:cs="Times New Roman"/>
        </w:rPr>
        <w:t>（6）调集应急救援所需物资、设备、工具，准备应急设施和避难场所，并确保其处于良好状态、随时可以投入正常使用。</w:t>
      </w:r>
    </w:p>
    <w:p w14:paraId="393C3EB7">
      <w:pPr>
        <w:ind w:firstLine="632"/>
        <w:rPr>
          <w:rFonts w:ascii="Times New Roman" w:hAnsi="Times New Roman" w:cs="Times New Roman"/>
        </w:rPr>
      </w:pPr>
      <w:r>
        <w:rPr>
          <w:rFonts w:ascii="Times New Roman" w:hAnsi="Times New Roman" w:cs="Times New Roman"/>
        </w:rPr>
        <w:t>（7）加强对重点单位、重要部位和重要基础设施的安全保卫，维护社会治安秩序。</w:t>
      </w:r>
    </w:p>
    <w:p w14:paraId="40AC12B3">
      <w:pPr>
        <w:ind w:firstLine="632"/>
        <w:rPr>
          <w:rFonts w:ascii="Times New Roman" w:hAnsi="Times New Roman" w:cs="Times New Roman"/>
        </w:rPr>
      </w:pPr>
      <w:r>
        <w:rPr>
          <w:rFonts w:ascii="Times New Roman" w:hAnsi="Times New Roman" w:cs="Times New Roman"/>
        </w:rPr>
        <w:t>（8）采取必要措施，确保交通、通信、供水、排水、供电、供气、供热等公共设施的安全和正常运行。</w:t>
      </w:r>
    </w:p>
    <w:p w14:paraId="53FA98B2">
      <w:pPr>
        <w:ind w:firstLine="632"/>
        <w:rPr>
          <w:rFonts w:ascii="Times New Roman" w:hAnsi="Times New Roman" w:cs="Times New Roman"/>
        </w:rPr>
      </w:pPr>
      <w:r>
        <w:rPr>
          <w:rFonts w:ascii="Times New Roman" w:hAnsi="Times New Roman" w:cs="Times New Roman"/>
        </w:rPr>
        <w:t>（9）及时向社会发布有关采取特定措施避免或者减轻危害的建议、劝告。</w:t>
      </w:r>
    </w:p>
    <w:p w14:paraId="1D4180FA">
      <w:pPr>
        <w:ind w:firstLine="632"/>
        <w:rPr>
          <w:rFonts w:ascii="Times New Roman" w:hAnsi="Times New Roman" w:cs="Times New Roman"/>
        </w:rPr>
      </w:pPr>
      <w:r>
        <w:rPr>
          <w:rFonts w:ascii="Times New Roman" w:hAnsi="Times New Roman" w:cs="Times New Roman"/>
        </w:rPr>
        <w:t>（10）转移、疏散或者撤离易受突发事件危害的人员并予以妥善安置，转移重要财产。</w:t>
      </w:r>
    </w:p>
    <w:p w14:paraId="19901D61">
      <w:pPr>
        <w:ind w:firstLine="632"/>
        <w:rPr>
          <w:rFonts w:ascii="Times New Roman" w:hAnsi="Times New Roman" w:cs="Times New Roman"/>
        </w:rPr>
      </w:pPr>
      <w:r>
        <w:rPr>
          <w:rFonts w:ascii="Times New Roman" w:hAnsi="Times New Roman" w:cs="Times New Roman"/>
        </w:rPr>
        <w:t>（11）关闭或者限制使用易受突发事件危害的场所，控制或者限制容易导致危害扩大的公共场所的活动。</w:t>
      </w:r>
    </w:p>
    <w:p w14:paraId="6322C38B">
      <w:pPr>
        <w:ind w:firstLine="632"/>
        <w:rPr>
          <w:rFonts w:ascii="Times New Roman" w:hAnsi="Times New Roman" w:cs="Times New Roman"/>
        </w:rPr>
      </w:pPr>
      <w:r>
        <w:rPr>
          <w:rFonts w:ascii="Times New Roman" w:hAnsi="Times New Roman" w:cs="Times New Roman"/>
        </w:rPr>
        <w:t>（12）及时向受影响区域的相邻县级人民政府进行预警通报，根据需要适时启动应急联动机制，按照预警要求，迅速组织有关部门和单位做好应急准备。</w:t>
      </w:r>
    </w:p>
    <w:p w14:paraId="5B9C4D59">
      <w:pPr>
        <w:ind w:firstLine="632"/>
        <w:rPr>
          <w:rFonts w:ascii="Times New Roman" w:hAnsi="Times New Roman" w:cs="Times New Roman"/>
        </w:rPr>
      </w:pPr>
      <w:r>
        <w:rPr>
          <w:rFonts w:ascii="Times New Roman" w:hAnsi="Times New Roman" w:cs="Times New Roman"/>
        </w:rPr>
        <w:t>（13）法律法规、规章规定的其他必要的防范性、保护性措施。</w:t>
      </w:r>
    </w:p>
    <w:p w14:paraId="7478F6E3">
      <w:pPr>
        <w:pStyle w:val="2"/>
        <w:ind w:firstLine="0" w:firstLineChars="0"/>
        <w:rPr>
          <w:rFonts w:ascii="Times New Roman" w:hAnsi="Times New Roman" w:cs="Times New Roman"/>
        </w:rPr>
      </w:pPr>
      <w:bookmarkStart w:id="57" w:name="_Toc8965"/>
      <w:bookmarkStart w:id="58" w:name="_Toc30689"/>
      <w:r>
        <w:rPr>
          <w:rFonts w:ascii="Times New Roman" w:hAnsi="Times New Roman" w:cs="Times New Roman"/>
        </w:rPr>
        <w:t>应急响应</w:t>
      </w:r>
      <w:bookmarkEnd w:id="57"/>
      <w:bookmarkEnd w:id="58"/>
    </w:p>
    <w:p w14:paraId="35FFDE76">
      <w:pPr>
        <w:pStyle w:val="3"/>
        <w:ind w:firstLine="0" w:firstLineChars="0"/>
        <w:rPr>
          <w:rFonts w:ascii="Times New Roman" w:hAnsi="Times New Roman" w:cs="Times New Roman"/>
        </w:rPr>
      </w:pPr>
      <w:bookmarkStart w:id="59" w:name="_Toc23508"/>
      <w:bookmarkStart w:id="60" w:name="_Toc24207"/>
      <w:r>
        <w:rPr>
          <w:rFonts w:ascii="Times New Roman" w:hAnsi="Times New Roman" w:cs="Times New Roman"/>
        </w:rPr>
        <w:t>信息报告</w:t>
      </w:r>
      <w:bookmarkEnd w:id="59"/>
      <w:bookmarkEnd w:id="60"/>
    </w:p>
    <w:p w14:paraId="15AA9F40">
      <w:pPr>
        <w:ind w:firstLine="632"/>
        <w:rPr>
          <w:rFonts w:ascii="Times New Roman" w:hAnsi="Times New Roman" w:cs="Times New Roman"/>
        </w:rPr>
      </w:pPr>
      <w:r>
        <w:rPr>
          <w:rFonts w:ascii="Times New Roman" w:hAnsi="Times New Roman" w:cs="Times New Roman"/>
        </w:rPr>
        <w:t>（1）县人民政府和有关部门要建立健全基层网格员管理体制机制，统筹灾害信息员、群测群防员、气象信息员、网格员等资源，建立统一规范的基层网格员管理制度，实现社区（村）网格员全覆盖，并落实风险隐患巡查报告、突发事件第一时间报告、灾情第一时间统计报告等职责。</w:t>
      </w:r>
    </w:p>
    <w:p w14:paraId="6E594394">
      <w:pPr>
        <w:ind w:firstLine="632"/>
        <w:rPr>
          <w:rFonts w:ascii="Times New Roman" w:hAnsi="Times New Roman" w:cs="Times New Roman"/>
        </w:rPr>
      </w:pPr>
      <w:r>
        <w:rPr>
          <w:rFonts w:ascii="Times New Roman" w:hAnsi="Times New Roman" w:cs="Times New Roman"/>
        </w:rPr>
        <w:t>（2）突发事件发生或发现重大风险隐患后，基层网格员和有关社区、村、企业、社会组织及相关专业机构、监测网点等要及时向县人民政府及有关主管部门报告突发事件信息。有关主管部门要向县人民政府相关部门通报（对涉及面广、敏感、复杂的突发事件，同时通报县人民政府宣传、网信部门）。县人民政府及有关部门（蚌埠铜陵现代产业园区管理委员会）按照有关规定向市人民政府及有关部门报送信息。根据事态进展，及时续报突发事件处置等情况。</w:t>
      </w:r>
    </w:p>
    <w:p w14:paraId="7237C799">
      <w:pPr>
        <w:ind w:firstLine="632"/>
        <w:rPr>
          <w:rFonts w:ascii="Times New Roman" w:hAnsi="Times New Roman" w:cs="Times New Roman"/>
        </w:rPr>
      </w:pPr>
      <w:r>
        <w:rPr>
          <w:rFonts w:ascii="Times New Roman" w:hAnsi="Times New Roman" w:cs="Times New Roman"/>
        </w:rPr>
        <w:t>报告内容一般包括事件发生时间、地点、信息来源、性质、简要经过、影响范围、人员伤亡（失联）情况、房屋倒塌损坏情况、交通通信电力等基础设施损毁情况、现场救援情况和已经采取的其他措施等。</w:t>
      </w:r>
    </w:p>
    <w:p w14:paraId="68103F0F">
      <w:pPr>
        <w:ind w:firstLine="632"/>
        <w:rPr>
          <w:rFonts w:ascii="Times New Roman" w:hAnsi="Times New Roman" w:cs="Times New Roman"/>
        </w:rPr>
      </w:pPr>
      <w:r>
        <w:rPr>
          <w:rFonts w:ascii="Times New Roman" w:hAnsi="Times New Roman" w:cs="Times New Roman"/>
        </w:rPr>
        <w:t>（3）县人民政府及有关部门要全面掌握突发事件信息，特别重大、重大、较大及一般突发事件信息按规定及时向市级人民政府及有关部门报告。特殊情况下，事发地乡镇及村（居）民委员会在向县人民政府报告信息的同时，可越级上报市人民政府。对于一些事件本身比较敏感或发生在重点地区、敏感时间，或可能演化为特别重大、重大突发事件的，报送信息时不受相关突发事件分级标准限制。</w:t>
      </w:r>
    </w:p>
    <w:p w14:paraId="0E3DAE33">
      <w:pPr>
        <w:ind w:firstLine="632"/>
        <w:rPr>
          <w:rFonts w:ascii="Times New Roman" w:hAnsi="Times New Roman" w:cs="Times New Roman"/>
        </w:rPr>
      </w:pPr>
      <w:r>
        <w:rPr>
          <w:rFonts w:ascii="Times New Roman" w:hAnsi="Times New Roman" w:cs="Times New Roman"/>
        </w:rPr>
        <w:t>（4）接到突发事件信息后，县人民政府及有关部门要按照有关规定及时限要求，如实向市人民政府及有关部门报告，不得迟报、谎报、瞒报和漏报，同时通报可能受影响的地区、部门和企业。特别重大、重大、较大突发事件发生后或特殊情况下，县人民政府及有关部门可直接向省人民政府及有关部门报告。</w:t>
      </w:r>
    </w:p>
    <w:p w14:paraId="47089C16">
      <w:pPr>
        <w:ind w:firstLine="632"/>
        <w:rPr>
          <w:rFonts w:ascii="Times New Roman" w:hAnsi="Times New Roman" w:cs="Times New Roman"/>
        </w:rPr>
      </w:pPr>
      <w:r>
        <w:rPr>
          <w:rFonts w:ascii="Times New Roman" w:hAnsi="Times New Roman" w:cs="Times New Roman"/>
        </w:rPr>
        <w:t>（5）涉及港澳台侨、外籍人员，或影响到境外的突发事件，需要向有关国家、地区、国际机构通报的，按照相关规定办理。</w:t>
      </w:r>
    </w:p>
    <w:p w14:paraId="4021FF4C">
      <w:pPr>
        <w:ind w:firstLine="632"/>
        <w:rPr>
          <w:rFonts w:ascii="Times New Roman" w:hAnsi="Times New Roman" w:cs="Times New Roman"/>
        </w:rPr>
      </w:pPr>
      <w:r>
        <w:rPr>
          <w:rFonts w:ascii="Times New Roman" w:hAnsi="Times New Roman" w:cs="Times New Roman"/>
        </w:rPr>
        <w:t>（6）县级应急牵头部门要建立健全信息快速获取机制，完善突发信息报送和信息共享系统，融合相关应急资源信息、地理信息、事件动态信息等，为突发事件应对提供信息保障。鼓励获悉突发事件信息的公民主动向县人民政府、有关主管部门或者指定的专业机构报告。</w:t>
      </w:r>
    </w:p>
    <w:p w14:paraId="23DDC6B8">
      <w:pPr>
        <w:pStyle w:val="3"/>
        <w:ind w:firstLine="0" w:firstLineChars="0"/>
        <w:rPr>
          <w:rFonts w:ascii="Times New Roman" w:hAnsi="Times New Roman" w:cs="Times New Roman"/>
        </w:rPr>
      </w:pPr>
      <w:bookmarkStart w:id="61" w:name="_Toc177"/>
      <w:bookmarkStart w:id="62" w:name="_Toc29465"/>
      <w:r>
        <w:rPr>
          <w:rFonts w:ascii="Times New Roman" w:hAnsi="Times New Roman" w:cs="Times New Roman"/>
        </w:rPr>
        <w:t>先期处置</w:t>
      </w:r>
      <w:bookmarkEnd w:id="61"/>
      <w:bookmarkEnd w:id="62"/>
    </w:p>
    <w:p w14:paraId="43B51E9E">
      <w:pPr>
        <w:ind w:firstLine="632"/>
        <w:rPr>
          <w:rFonts w:ascii="Times New Roman" w:hAnsi="Times New Roman" w:cs="Times New Roman"/>
        </w:rPr>
      </w:pPr>
      <w:r>
        <w:rPr>
          <w:rFonts w:ascii="Times New Roman" w:hAnsi="Times New Roman" w:cs="Times New Roman"/>
        </w:rPr>
        <w:t>（1）突发事件发生后，事发单位要立即组织本单位应急队伍和工作人员营救受害人员，疏散、撤离、安置受威胁人员；控制危险源，标明危险区域，封锁危险场所，并采取其他必要措施防止危害扩大；迅速控制可疑的传染源，积极救治病人，组织医疗卫生人员加强个人防护；向所在地政府及有关部门、单位报告。对因本单位的问题引发的或主体是本单位人员的社会安全事件，有关单位要迅速派出负责人赶赴现场开展劝解、疏导工作。</w:t>
      </w:r>
    </w:p>
    <w:p w14:paraId="4E7C211E">
      <w:pPr>
        <w:ind w:firstLine="632"/>
        <w:rPr>
          <w:rFonts w:ascii="Times New Roman" w:hAnsi="Times New Roman" w:cs="Times New Roman"/>
        </w:rPr>
      </w:pPr>
      <w:r>
        <w:rPr>
          <w:rFonts w:ascii="Times New Roman" w:hAnsi="Times New Roman" w:cs="Times New Roman"/>
        </w:rPr>
        <w:t>（2）事发地村（居）委会和其他组织要根据预案，组织群众开展自救和互救，协助维护社会秩序，或按照当地政府的决定、命令组织开展突发事件应对工作。</w:t>
      </w:r>
    </w:p>
    <w:p w14:paraId="6A2EFF48">
      <w:pPr>
        <w:ind w:firstLine="632"/>
        <w:rPr>
          <w:rFonts w:ascii="Times New Roman" w:hAnsi="Times New Roman" w:cs="Times New Roman"/>
        </w:rPr>
      </w:pPr>
      <w:r>
        <w:rPr>
          <w:rFonts w:ascii="Times New Roman" w:hAnsi="Times New Roman" w:cs="Times New Roman"/>
        </w:rPr>
        <w:t>（3）事发地的乡镇人民政府要根据预案或上级政府的决定、命令，调动应急力量，采取措施控制事态发展，组织开展应急处置与救援工作。</w:t>
      </w:r>
    </w:p>
    <w:p w14:paraId="33E24EBD">
      <w:pPr>
        <w:pStyle w:val="3"/>
        <w:ind w:firstLine="0" w:firstLineChars="0"/>
        <w:rPr>
          <w:rFonts w:ascii="Times New Roman" w:hAnsi="Times New Roman" w:cs="Times New Roman"/>
        </w:rPr>
      </w:pPr>
      <w:bookmarkStart w:id="63" w:name="_Toc31919"/>
      <w:bookmarkStart w:id="64" w:name="_Toc16172"/>
      <w:r>
        <w:rPr>
          <w:rFonts w:ascii="Times New Roman" w:hAnsi="Times New Roman" w:cs="Times New Roman"/>
        </w:rPr>
        <w:t>分级响应</w:t>
      </w:r>
      <w:bookmarkEnd w:id="63"/>
      <w:bookmarkEnd w:id="64"/>
    </w:p>
    <w:p w14:paraId="6E2C9587">
      <w:pPr>
        <w:ind w:firstLine="632"/>
        <w:rPr>
          <w:rFonts w:ascii="Times New Roman" w:hAnsi="Times New Roman" w:cs="Times New Roman"/>
        </w:rPr>
      </w:pPr>
      <w:r>
        <w:rPr>
          <w:rFonts w:ascii="Times New Roman" w:hAnsi="Times New Roman" w:cs="Times New Roman"/>
        </w:rPr>
        <w:t>对于先期处置未能有效控制事态或需县人民政府协调处置的突发事件，依据县人民政府领导指示或根据事发地乡镇人民政府请求、县人民政府有关部门意见等提出启动应急响应的建议，按规定程序批准后启动相关应急响应，必要时提请总指挥部审议确定。</w:t>
      </w:r>
    </w:p>
    <w:p w14:paraId="1F2017A2">
      <w:pPr>
        <w:ind w:firstLine="632"/>
        <w:rPr>
          <w:rFonts w:ascii="Times New Roman" w:hAnsi="Times New Roman" w:cs="Times New Roman"/>
        </w:rPr>
      </w:pPr>
      <w:r>
        <w:rPr>
          <w:rFonts w:ascii="Times New Roman" w:hAnsi="Times New Roman" w:cs="Times New Roman"/>
        </w:rPr>
        <w:t>（1）一般突发事件（Ⅳ级响应）：由事发地乡镇人民政府为主处置并启动应急响应，组织调动事发单位、乡镇人民政府相关应急救援队伍和资源进行协同处置。根据乡镇人民政府请求或实际需要，县有关部门、单位启动县级部门预案应急响应配合处置。</w:t>
      </w:r>
    </w:p>
    <w:p w14:paraId="3709D458">
      <w:pPr>
        <w:ind w:firstLine="632"/>
        <w:rPr>
          <w:rFonts w:ascii="Times New Roman" w:hAnsi="Times New Roman" w:cs="Times New Roman"/>
        </w:rPr>
      </w:pPr>
      <w:r>
        <w:rPr>
          <w:rFonts w:ascii="Times New Roman" w:hAnsi="Times New Roman" w:cs="Times New Roman"/>
        </w:rPr>
        <w:t>（2）较大突发事件以上（Ⅲ级响应以上）：由突发事件处置县直牵头责任部门提出建议，报专项指挥部总指挥批准启动应急响应，组织调动事发单位，乡镇人民政府以及县相关专业应急救援队伍和资源进行协同处置。</w:t>
      </w:r>
    </w:p>
    <w:p w14:paraId="463D3165">
      <w:pPr>
        <w:pStyle w:val="3"/>
        <w:ind w:firstLine="0" w:firstLineChars="0"/>
        <w:rPr>
          <w:rFonts w:ascii="Times New Roman" w:hAnsi="Times New Roman" w:cs="Times New Roman"/>
        </w:rPr>
      </w:pPr>
      <w:bookmarkStart w:id="65" w:name="_Toc27574"/>
      <w:bookmarkStart w:id="66" w:name="_Toc26491"/>
      <w:r>
        <w:rPr>
          <w:rFonts w:ascii="Times New Roman" w:hAnsi="Times New Roman" w:cs="Times New Roman"/>
        </w:rPr>
        <w:t>指挥协调</w:t>
      </w:r>
      <w:bookmarkEnd w:id="65"/>
      <w:bookmarkEnd w:id="66"/>
    </w:p>
    <w:p w14:paraId="3DC886FD">
      <w:pPr>
        <w:pStyle w:val="4"/>
        <w:ind w:firstLine="0" w:firstLineChars="0"/>
        <w:rPr>
          <w:rFonts w:ascii="Times New Roman" w:hAnsi="Times New Roman" w:cs="Times New Roman"/>
        </w:rPr>
      </w:pPr>
      <w:bookmarkStart w:id="67" w:name="_Toc32007"/>
      <w:r>
        <w:rPr>
          <w:rFonts w:ascii="Times New Roman" w:hAnsi="Times New Roman" w:cs="Times New Roman"/>
        </w:rPr>
        <w:t>组织指挥</w:t>
      </w:r>
      <w:bookmarkEnd w:id="67"/>
    </w:p>
    <w:p w14:paraId="681C7F90">
      <w:pPr>
        <w:ind w:firstLine="632"/>
        <w:rPr>
          <w:rFonts w:ascii="Times New Roman" w:hAnsi="Times New Roman" w:cs="Times New Roman"/>
        </w:rPr>
      </w:pPr>
      <w:r>
        <w:rPr>
          <w:rFonts w:ascii="Times New Roman" w:hAnsi="Times New Roman" w:cs="Times New Roman"/>
        </w:rPr>
        <w:t>事故应急救援先期处置的指挥与协调由县相关专项指挥部办公室（必要时由总指挥部办公室）负责牵头处置；现场指挥部成立后，由现场指挥部统一协调指挥。</w:t>
      </w:r>
    </w:p>
    <w:p w14:paraId="0E3B4619">
      <w:pPr>
        <w:ind w:firstLine="632"/>
        <w:rPr>
          <w:rFonts w:ascii="Times New Roman" w:hAnsi="Times New Roman" w:cs="Times New Roman"/>
        </w:rPr>
      </w:pPr>
      <w:r>
        <w:rPr>
          <w:rFonts w:ascii="Times New Roman" w:hAnsi="Times New Roman" w:cs="Times New Roman"/>
        </w:rPr>
        <w:t>国务院、省政府、市政府成立指挥部或派出工作组的，在其统一指挥协调下进行处置。</w:t>
      </w:r>
    </w:p>
    <w:p w14:paraId="7693EC0D">
      <w:pPr>
        <w:pStyle w:val="4"/>
        <w:ind w:firstLine="0" w:firstLineChars="0"/>
        <w:rPr>
          <w:rFonts w:ascii="Times New Roman" w:hAnsi="Times New Roman" w:cs="Times New Roman"/>
        </w:rPr>
      </w:pPr>
      <w:r>
        <w:rPr>
          <w:rFonts w:ascii="Times New Roman" w:hAnsi="Times New Roman" w:cs="Times New Roman"/>
        </w:rPr>
        <w:t>现场指挥</w:t>
      </w:r>
    </w:p>
    <w:p w14:paraId="29619B87">
      <w:pPr>
        <w:ind w:firstLine="632"/>
        <w:rPr>
          <w:rFonts w:ascii="Times New Roman" w:hAnsi="Times New Roman" w:cs="Times New Roman"/>
        </w:rPr>
      </w:pPr>
      <w:r>
        <w:rPr>
          <w:rFonts w:ascii="Times New Roman" w:hAnsi="Times New Roman" w:cs="Times New Roman"/>
        </w:rPr>
        <w:t>现场指挥部实行指挥长负责制，在总指挥部或专项指挥部的领导下，按照“统一指挥、分工负责、相互配合、快速高效”的原则，根据处置需要设立若干应急工作组，明确各组责任分工与沟通联络机制；组织相关工作组、专家及实战经验丰富的人员科学制定应急处置方案，迅速、有序开展应急处置工作。上级现场指挥部成立后，下级现场指挥部并入上级现场指挥部。现场所有应急力量由现场指挥部统一领导，抢险救援行动由指挥部现场负责人指挥。各应急力量严格遵守现场处置工作有关规定和要求。</w:t>
      </w:r>
    </w:p>
    <w:p w14:paraId="0897BF5F">
      <w:pPr>
        <w:ind w:firstLine="632"/>
        <w:rPr>
          <w:rFonts w:ascii="Times New Roman" w:hAnsi="Times New Roman" w:cs="Times New Roman"/>
        </w:rPr>
      </w:pPr>
      <w:r>
        <w:rPr>
          <w:rFonts w:ascii="Times New Roman" w:hAnsi="Times New Roman" w:cs="Times New Roman"/>
        </w:rPr>
        <w:t>现场指挥部的指挥场所设置在靠近事发现场、环境安全、交通便利、通信畅通、便于后勤保障的地方，现场指挥部应有明显标志。现场指挥部根据情况，将突发事件处置现场划分为核心处置区、安全警戒区、外围管控区等区域，同时根据需要开设具备医疗救治、力量集结、物资收发、装备停靠、新闻发布、后勤保障等功能的区域。所在地乡镇人民政府为现场指挥部提供必要的后勤保障。</w:t>
      </w:r>
    </w:p>
    <w:p w14:paraId="51676B5E">
      <w:pPr>
        <w:pStyle w:val="4"/>
        <w:ind w:firstLine="0" w:firstLineChars="0"/>
        <w:rPr>
          <w:rFonts w:ascii="Times New Roman" w:hAnsi="Times New Roman" w:cs="Times New Roman"/>
        </w:rPr>
      </w:pPr>
      <w:bookmarkStart w:id="68" w:name="_Toc10748"/>
      <w:r>
        <w:rPr>
          <w:rFonts w:ascii="Times New Roman" w:hAnsi="Times New Roman" w:cs="Times New Roman"/>
        </w:rPr>
        <w:t>协同联动</w:t>
      </w:r>
      <w:bookmarkEnd w:id="68"/>
    </w:p>
    <w:p w14:paraId="309DB3A9">
      <w:pPr>
        <w:ind w:firstLine="632"/>
        <w:rPr>
          <w:rFonts w:ascii="Times New Roman" w:hAnsi="Times New Roman" w:cs="Times New Roman"/>
        </w:rPr>
      </w:pPr>
      <w:r>
        <w:rPr>
          <w:rFonts w:ascii="Times New Roman" w:hAnsi="Times New Roman" w:cs="Times New Roman"/>
        </w:rPr>
        <w:t>如突发事件事态进一步扩大，超出本县控制能力，或突发事件已波及我县大部分地区，直接或间接造成巨大灾害，由县相关专项指挥部提出建议，经县委或县人民政府主要领导同意，向市、省或国家有关方面请求支援。</w:t>
      </w:r>
    </w:p>
    <w:p w14:paraId="7F19CB9F">
      <w:pPr>
        <w:ind w:firstLine="632"/>
        <w:rPr>
          <w:rFonts w:ascii="Times New Roman" w:hAnsi="Times New Roman" w:cs="Times New Roman"/>
        </w:rPr>
      </w:pPr>
      <w:r>
        <w:rPr>
          <w:rFonts w:ascii="Times New Roman" w:hAnsi="Times New Roman" w:cs="Times New Roman"/>
        </w:rPr>
        <w:t>各抢险救援力量负责人参与专项指挥部和现场指挥部工作，根据任务分工，相互之间明确工作内容、责任区域、行动路线、工作程序、联络方式等事项，必要时，建立协同联动协议。参加应急处置的各方应急力量，实行统一管理、统一调动、统一行动。</w:t>
      </w:r>
    </w:p>
    <w:p w14:paraId="49DF20D0">
      <w:pPr>
        <w:pStyle w:val="3"/>
        <w:ind w:firstLine="0" w:firstLineChars="0"/>
        <w:rPr>
          <w:rFonts w:ascii="Times New Roman" w:hAnsi="Times New Roman" w:cs="Times New Roman"/>
        </w:rPr>
      </w:pPr>
      <w:bookmarkStart w:id="69" w:name="_Toc8346"/>
      <w:bookmarkStart w:id="70" w:name="_Toc14554"/>
      <w:r>
        <w:rPr>
          <w:rFonts w:ascii="Times New Roman" w:hAnsi="Times New Roman" w:cs="Times New Roman"/>
        </w:rPr>
        <w:t>处置措施</w:t>
      </w:r>
      <w:bookmarkEnd w:id="69"/>
      <w:bookmarkEnd w:id="70"/>
    </w:p>
    <w:p w14:paraId="5485EA1E">
      <w:pPr>
        <w:pStyle w:val="4"/>
        <w:ind w:firstLine="0" w:firstLineChars="0"/>
        <w:rPr>
          <w:rFonts w:ascii="Times New Roman" w:hAnsi="Times New Roman" w:cs="Times New Roman"/>
        </w:rPr>
      </w:pPr>
      <w:r>
        <w:rPr>
          <w:rFonts w:ascii="Times New Roman" w:hAnsi="Times New Roman" w:cs="Times New Roman"/>
        </w:rPr>
        <w:t>自然灾害、事故灾难、公共卫生事件处置措施</w:t>
      </w:r>
    </w:p>
    <w:p w14:paraId="0F5EE571">
      <w:pPr>
        <w:ind w:firstLine="632"/>
        <w:rPr>
          <w:rFonts w:ascii="Times New Roman" w:hAnsi="Times New Roman" w:cs="Times New Roman"/>
        </w:rPr>
      </w:pPr>
      <w:r>
        <w:rPr>
          <w:rFonts w:ascii="Times New Roman" w:hAnsi="Times New Roman" w:cs="Times New Roman"/>
        </w:rPr>
        <w:t>当自然灾害、事故灾难或公共卫生事件发生后，专项指挥部根据实际情况制定人员救援、医疗救治、受灾群众转移安置、现场勘查、现场抢险、设施抢修、治安管控、场所管制及其他防止发生次生、衍生灾害和事件的处置方案，细化处置措施，并采取下列一项或者多项应急措施：</w:t>
      </w:r>
    </w:p>
    <w:p w14:paraId="42AB4C95">
      <w:pPr>
        <w:ind w:firstLine="632"/>
        <w:rPr>
          <w:rFonts w:ascii="Times New Roman" w:hAnsi="Times New Roman" w:cs="Times New Roman"/>
        </w:rPr>
      </w:pPr>
      <w:r>
        <w:rPr>
          <w:rFonts w:ascii="Times New Roman" w:hAnsi="Times New Roman" w:cs="Times New Roman"/>
        </w:rPr>
        <w:t>（1）组织现场人员、应急测绘、勘察队伍等，利用无人机、雷达、卫星等手段获取现场影像，分析研判道路、桥梁、通信、电力等基础设施和居民住房损毁情况，重要目标物、人员密集场所和人口分布等信息，提出初步评估意见，并向现场指挥机构和有关部门报告。</w:t>
      </w:r>
    </w:p>
    <w:p w14:paraId="77FC6AC7">
      <w:pPr>
        <w:ind w:firstLine="632"/>
        <w:rPr>
          <w:rFonts w:ascii="Times New Roman" w:hAnsi="Times New Roman" w:cs="Times New Roman"/>
        </w:rPr>
      </w:pPr>
      <w:r>
        <w:rPr>
          <w:rFonts w:ascii="Times New Roman" w:hAnsi="Times New Roman" w:cs="Times New Roman"/>
        </w:rPr>
        <w:t>（2）组织营救受灾和被困人员，疏散、撤离并妥善安置受威胁人员，必要时组织动员社会力量有序参与应急救援和受灾人员救助工作。</w:t>
      </w:r>
    </w:p>
    <w:p w14:paraId="175F797B">
      <w:pPr>
        <w:ind w:firstLine="632"/>
        <w:rPr>
          <w:rFonts w:ascii="Times New Roman" w:hAnsi="Times New Roman" w:cs="Times New Roman"/>
        </w:rPr>
      </w:pPr>
      <w:r>
        <w:rPr>
          <w:rFonts w:ascii="Times New Roman" w:hAnsi="Times New Roman" w:cs="Times New Roman"/>
        </w:rPr>
        <w:t>（3）组织开展医疗救治、卫生防疫和公共卫生调查处理、应急心理救助、健康教育等卫生医疗工作，治疗传染病人和疑似病例，控制传染源，对密切接触者进行医学观察，根据需要对易感人群采取应急接种、预防性服药等。</w:t>
      </w:r>
    </w:p>
    <w:p w14:paraId="67EB1C38">
      <w:pPr>
        <w:ind w:firstLine="632"/>
        <w:rPr>
          <w:rFonts w:ascii="Times New Roman" w:hAnsi="Times New Roman" w:cs="Times New Roman"/>
        </w:rPr>
      </w:pPr>
      <w:r>
        <w:rPr>
          <w:rFonts w:ascii="Times New Roman" w:hAnsi="Times New Roman" w:cs="Times New Roman"/>
        </w:rPr>
        <w:t>（4）组织开展抢险工作，控制危险源、减轻或消除危害，并标明危险区域，封锁危险场所，划定警戒区，实行交通管制以及其他控制措施，铁路、交通运输、公安等有关部门要保证紧急情况下应急交通的优先安排、优先调度、优先放行，确保抢险救灾物资和人员能够及时、安全送达。</w:t>
      </w:r>
    </w:p>
    <w:p w14:paraId="0877E96F">
      <w:pPr>
        <w:ind w:firstLine="632"/>
        <w:rPr>
          <w:rFonts w:ascii="Times New Roman" w:hAnsi="Times New Roman" w:cs="Times New Roman"/>
        </w:rPr>
      </w:pPr>
      <w:r>
        <w:rPr>
          <w:rFonts w:ascii="Times New Roman" w:hAnsi="Times New Roman" w:cs="Times New Roman"/>
        </w:rPr>
        <w:t>（5）抢修被损坏的交通、水利、通信、供水、排水、供电、供气、供热等公共设施，短时难以恢复的，实施过渡方案，保障生产生活基本需要。</w:t>
      </w:r>
    </w:p>
    <w:p w14:paraId="1E7333E2">
      <w:pPr>
        <w:ind w:firstLine="632"/>
        <w:rPr>
          <w:rFonts w:ascii="Times New Roman" w:hAnsi="Times New Roman" w:cs="Times New Roman"/>
        </w:rPr>
      </w:pPr>
      <w:r>
        <w:rPr>
          <w:rFonts w:ascii="Times New Roman" w:hAnsi="Times New Roman" w:cs="Times New Roman"/>
        </w:rPr>
        <w:t>（6）开展环境应急监测，追踪研判污染范围、程度和发展趋势，切断污染源，控制和处置污染物，保护水源地等环境敏感目标，减轻环境影响，开展灾后环境风险排查，处置事件应对产生的废物。</w:t>
      </w:r>
    </w:p>
    <w:p w14:paraId="1D52257A">
      <w:pPr>
        <w:ind w:firstLine="632"/>
        <w:rPr>
          <w:rFonts w:ascii="Times New Roman" w:hAnsi="Times New Roman" w:cs="Times New Roman"/>
        </w:rPr>
      </w:pPr>
      <w:r>
        <w:rPr>
          <w:rFonts w:ascii="Times New Roman" w:hAnsi="Times New Roman" w:cs="Times New Roman"/>
        </w:rPr>
        <w:t>（7）禁止或者限制使用有关设备、设施，关闭或者限制使用有关场所，中止人员密集的活动或者可能导致危害扩大的生产经营活动，以及采取其他保护措施。</w:t>
      </w:r>
    </w:p>
    <w:p w14:paraId="6944F96E">
      <w:pPr>
        <w:ind w:firstLine="632"/>
        <w:rPr>
          <w:rFonts w:ascii="Times New Roman" w:hAnsi="Times New Roman" w:cs="Times New Roman"/>
        </w:rPr>
      </w:pPr>
      <w:r>
        <w:rPr>
          <w:rFonts w:ascii="Times New Roman" w:hAnsi="Times New Roman" w:cs="Times New Roman"/>
        </w:rPr>
        <w:t>（8）启用本级政府设置的财政预备费和储备的应急救灾物资，必要时调用其他急需物资、设备、设施、工具。</w:t>
      </w:r>
    </w:p>
    <w:p w14:paraId="2CDAD9B0">
      <w:pPr>
        <w:ind w:firstLine="632"/>
        <w:rPr>
          <w:rFonts w:ascii="Times New Roman" w:hAnsi="Times New Roman" w:cs="Times New Roman"/>
        </w:rPr>
      </w:pPr>
      <w:r>
        <w:rPr>
          <w:rFonts w:ascii="Times New Roman" w:hAnsi="Times New Roman" w:cs="Times New Roman"/>
        </w:rPr>
        <w:t>（9）做好受灾群众的基本生活保障，提供食品、饮用水、衣被、燃料等基本生活必需品和临时住所，开展卫生防疫工作，确保灾区群众有饭吃、有衣穿、有临时安全住处、有干净水喝、有医疗服务，确保大灾之后无大疫。</w:t>
      </w:r>
    </w:p>
    <w:p w14:paraId="41731838">
      <w:pPr>
        <w:ind w:firstLine="632"/>
        <w:rPr>
          <w:rFonts w:ascii="Times New Roman" w:hAnsi="Times New Roman" w:cs="Times New Roman"/>
        </w:rPr>
      </w:pPr>
      <w:r>
        <w:rPr>
          <w:rFonts w:ascii="Times New Roman" w:hAnsi="Times New Roman" w:cs="Times New Roman"/>
        </w:rPr>
        <w:t>（10）开展遇难人员善后处置，妥善处理遇难人员遗体，做好遇难人员家属安抚等工作。</w:t>
      </w:r>
    </w:p>
    <w:p w14:paraId="7A9C1DA0">
      <w:pPr>
        <w:ind w:firstLine="632"/>
        <w:rPr>
          <w:rFonts w:ascii="Times New Roman" w:hAnsi="Times New Roman" w:cs="Times New Roman"/>
        </w:rPr>
      </w:pPr>
      <w:r>
        <w:rPr>
          <w:rFonts w:ascii="Times New Roman" w:hAnsi="Times New Roman" w:cs="Times New Roman"/>
        </w:rPr>
        <w:t>（11）组织开展救灾捐赠活动，接受、管理、分配捐赠款物。</w:t>
      </w:r>
    </w:p>
    <w:p w14:paraId="44EC3D8E">
      <w:pPr>
        <w:ind w:firstLine="632"/>
        <w:rPr>
          <w:rFonts w:ascii="Times New Roman" w:hAnsi="Times New Roman" w:cs="Times New Roman"/>
        </w:rPr>
      </w:pPr>
      <w:r>
        <w:rPr>
          <w:rFonts w:ascii="Times New Roman" w:hAnsi="Times New Roman" w:cs="Times New Roman"/>
        </w:rPr>
        <w:t>（12）依法从严惩处囤积居奇、哄抬物价、制假售假等扰乱市场秩序的行为，稳定市场价格，维护市场秩序。依法从严惩处哄抢财物、干扰破坏应急处置工作等扰乱社会秩序的行为，维护社会治安。</w:t>
      </w:r>
    </w:p>
    <w:p w14:paraId="6A05866C">
      <w:pPr>
        <w:ind w:firstLine="632"/>
        <w:rPr>
          <w:rFonts w:ascii="Times New Roman" w:hAnsi="Times New Roman" w:cs="Times New Roman"/>
        </w:rPr>
      </w:pPr>
      <w:r>
        <w:rPr>
          <w:rFonts w:ascii="Times New Roman" w:hAnsi="Times New Roman" w:cs="Times New Roman"/>
        </w:rPr>
        <w:t>（13）采取必要措施防止发生次生、衍生灾害和事件。</w:t>
      </w:r>
    </w:p>
    <w:p w14:paraId="6FC5DDB4">
      <w:pPr>
        <w:pStyle w:val="4"/>
        <w:ind w:firstLine="0" w:firstLineChars="0"/>
        <w:rPr>
          <w:rFonts w:ascii="Times New Roman" w:hAnsi="Times New Roman" w:cs="Times New Roman"/>
        </w:rPr>
      </w:pPr>
      <w:r>
        <w:rPr>
          <w:rFonts w:ascii="Times New Roman" w:hAnsi="Times New Roman" w:cs="Times New Roman"/>
        </w:rPr>
        <w:t>社会安全事件处置措施</w:t>
      </w:r>
    </w:p>
    <w:p w14:paraId="01E623E1">
      <w:pPr>
        <w:ind w:firstLine="632"/>
        <w:rPr>
          <w:rFonts w:ascii="Times New Roman" w:hAnsi="Times New Roman" w:cs="Times New Roman"/>
        </w:rPr>
      </w:pPr>
      <w:bookmarkStart w:id="71" w:name="_Toc15126"/>
      <w:r>
        <w:rPr>
          <w:rFonts w:ascii="Times New Roman" w:hAnsi="Times New Roman" w:cs="Times New Roman"/>
        </w:rPr>
        <w:t>当社会安全事件发生后，要根据事件的性质和特点，重点开展矛盾化解、社会面控制、重点场所保护等方面的处置措施。</w:t>
      </w:r>
    </w:p>
    <w:p w14:paraId="6437E61D">
      <w:pPr>
        <w:ind w:firstLine="632"/>
        <w:rPr>
          <w:rFonts w:ascii="Times New Roman" w:hAnsi="Times New Roman" w:cs="Times New Roman"/>
        </w:rPr>
      </w:pPr>
      <w:r>
        <w:rPr>
          <w:rFonts w:ascii="Times New Roman" w:hAnsi="Times New Roman" w:cs="Times New Roman"/>
        </w:rPr>
        <w:t>（1）了解分析事件起因，有针对性地开展法治宣传和说服教育，及时疏导、化解矛盾和冲突。</w:t>
      </w:r>
    </w:p>
    <w:p w14:paraId="290A1BC5">
      <w:pPr>
        <w:ind w:firstLine="632"/>
        <w:rPr>
          <w:rFonts w:ascii="Times New Roman" w:hAnsi="Times New Roman" w:cs="Times New Roman"/>
        </w:rPr>
      </w:pPr>
      <w:r>
        <w:rPr>
          <w:rFonts w:ascii="Times New Roman" w:hAnsi="Times New Roman" w:cs="Times New Roman"/>
        </w:rPr>
        <w:t>（2）维护现场治安秩序，对使用器械相互对抗或以暴力行为参与冲突的当事人依法实行强制隔离，妥善解决现场纠纷和争端，控制事态发展。</w:t>
      </w:r>
    </w:p>
    <w:p w14:paraId="0EA99555">
      <w:pPr>
        <w:ind w:firstLine="632"/>
        <w:rPr>
          <w:rFonts w:ascii="Times New Roman" w:hAnsi="Times New Roman" w:cs="Times New Roman"/>
        </w:rPr>
      </w:pPr>
      <w:r>
        <w:rPr>
          <w:rFonts w:ascii="Times New Roman" w:hAnsi="Times New Roman" w:cs="Times New Roman"/>
        </w:rPr>
        <w:t>（3）对特定区域内的建筑物、交通工具、设备、设施以及燃料、燃气、电力、水的供应进行控制，必要时依法对网络、通信进行管控。</w:t>
      </w:r>
    </w:p>
    <w:p w14:paraId="508A3A6E">
      <w:pPr>
        <w:ind w:firstLine="632"/>
        <w:rPr>
          <w:rFonts w:ascii="Times New Roman" w:hAnsi="Times New Roman" w:cs="Times New Roman"/>
        </w:rPr>
      </w:pPr>
      <w:r>
        <w:rPr>
          <w:rFonts w:ascii="Times New Roman" w:hAnsi="Times New Roman" w:cs="Times New Roman"/>
        </w:rPr>
        <w:t>（4）封锁有关场所、道路，查验现场人员的身份证件，限制有关公共场所内的活动。</w:t>
      </w:r>
    </w:p>
    <w:p w14:paraId="4940EF41">
      <w:pPr>
        <w:ind w:firstLine="632"/>
        <w:rPr>
          <w:rFonts w:ascii="Times New Roman" w:hAnsi="Times New Roman" w:cs="Times New Roman"/>
        </w:rPr>
      </w:pPr>
      <w:r>
        <w:rPr>
          <w:rFonts w:ascii="Times New Roman" w:hAnsi="Times New Roman" w:cs="Times New Roman"/>
        </w:rPr>
        <w:t>（5）加强对易受冲击的核心机关和单位的警卫，加强对重点敏感人员、场所、部位和标志性建筑的安全保护。</w:t>
      </w:r>
    </w:p>
    <w:p w14:paraId="10A424ED">
      <w:pPr>
        <w:ind w:firstLine="632"/>
        <w:rPr>
          <w:rFonts w:ascii="Times New Roman" w:hAnsi="Times New Roman" w:cs="Times New Roman"/>
        </w:rPr>
      </w:pPr>
      <w:r>
        <w:rPr>
          <w:rFonts w:ascii="Times New Roman" w:hAnsi="Times New Roman" w:cs="Times New Roman"/>
        </w:rPr>
        <w:t>（6）发生严重危害社会治安秩序的事件时，立即依法出动警力，加大社会面检查、巡逻、控制力度，根据现场情况依法采取相应的强制性措施，尽快使社会秩序恢复正常。</w:t>
      </w:r>
    </w:p>
    <w:p w14:paraId="0CBB8178">
      <w:pPr>
        <w:ind w:firstLine="632"/>
        <w:rPr>
          <w:rFonts w:ascii="Times New Roman" w:hAnsi="Times New Roman" w:cs="Times New Roman"/>
        </w:rPr>
      </w:pPr>
      <w:r>
        <w:rPr>
          <w:rFonts w:ascii="Times New Roman" w:hAnsi="Times New Roman" w:cs="Times New Roman"/>
        </w:rPr>
        <w:t>（7）法律法规等规定的其他必要措施。</w:t>
      </w:r>
    </w:p>
    <w:p w14:paraId="4D99D23E">
      <w:pPr>
        <w:pStyle w:val="3"/>
        <w:ind w:firstLine="0" w:firstLineChars="0"/>
        <w:rPr>
          <w:rFonts w:ascii="Times New Roman" w:hAnsi="Times New Roman" w:cs="Times New Roman"/>
        </w:rPr>
      </w:pPr>
      <w:bookmarkStart w:id="72" w:name="_Toc22056"/>
      <w:r>
        <w:rPr>
          <w:rFonts w:ascii="Times New Roman" w:hAnsi="Times New Roman" w:cs="Times New Roman"/>
        </w:rPr>
        <w:t>信息发布与舆论引导</w:t>
      </w:r>
      <w:bookmarkEnd w:id="71"/>
      <w:bookmarkEnd w:id="72"/>
    </w:p>
    <w:p w14:paraId="6F7D84E8">
      <w:pPr>
        <w:pStyle w:val="4"/>
        <w:ind w:firstLine="0" w:firstLineChars="0"/>
        <w:rPr>
          <w:rFonts w:ascii="Times New Roman" w:hAnsi="Times New Roman" w:cs="Times New Roman"/>
        </w:rPr>
      </w:pPr>
      <w:r>
        <w:rPr>
          <w:rFonts w:ascii="Times New Roman" w:hAnsi="Times New Roman" w:cs="Times New Roman"/>
        </w:rPr>
        <w:t>信息发布</w:t>
      </w:r>
    </w:p>
    <w:p w14:paraId="6C6E7AC8">
      <w:pPr>
        <w:ind w:firstLine="632"/>
        <w:rPr>
          <w:rFonts w:ascii="Times New Roman" w:hAnsi="Times New Roman" w:cs="Times New Roman"/>
        </w:rPr>
      </w:pPr>
      <w:r>
        <w:rPr>
          <w:rFonts w:ascii="Times New Roman" w:hAnsi="Times New Roman" w:cs="Times New Roman"/>
        </w:rPr>
        <w:t>突发事件信息发布工作遵循时效性、准确性、针对性、广泛性、公益性原则，按照突发事件信息公开制度、新闻发言人制度、新闻发布会制度等有关规定实施。信息由县人民政府或其设立的应急指挥机构按照有关规定组织发布。涉密信息不予以公开，敏感信息按照相关程序审核报批后公开。参与突发事件应急处置工作的各有关单位和个人不得擅自对外发布相关信息。</w:t>
      </w:r>
    </w:p>
    <w:p w14:paraId="02338086">
      <w:pPr>
        <w:ind w:firstLine="632"/>
        <w:rPr>
          <w:rFonts w:ascii="Times New Roman" w:hAnsi="Times New Roman" w:cs="Times New Roman"/>
        </w:rPr>
      </w:pPr>
      <w:r>
        <w:rPr>
          <w:rFonts w:ascii="Times New Roman" w:hAnsi="Times New Roman" w:cs="Times New Roman"/>
        </w:rPr>
        <w:t>信息发布形式包括授权发布、提供新闻通稿、组织报道、接受记者采访、举行新闻发布会等。可通过主要新闻媒体、重点新闻网站或有关政府网站、移动新媒体等媒介进行发布。</w:t>
      </w:r>
    </w:p>
    <w:p w14:paraId="7E3CBB2B">
      <w:pPr>
        <w:pStyle w:val="4"/>
        <w:ind w:firstLine="0" w:firstLineChars="0"/>
        <w:rPr>
          <w:rFonts w:ascii="Times New Roman" w:hAnsi="Times New Roman" w:cs="Times New Roman"/>
        </w:rPr>
      </w:pPr>
      <w:r>
        <w:rPr>
          <w:rFonts w:ascii="Times New Roman" w:hAnsi="Times New Roman" w:cs="Times New Roman"/>
        </w:rPr>
        <w:t>舆论引导</w:t>
      </w:r>
    </w:p>
    <w:p w14:paraId="67641B66">
      <w:pPr>
        <w:ind w:firstLine="632"/>
        <w:rPr>
          <w:rFonts w:ascii="Times New Roman" w:hAnsi="Times New Roman" w:cs="Times New Roman"/>
        </w:rPr>
      </w:pPr>
      <w:r>
        <w:rPr>
          <w:rFonts w:ascii="Times New Roman" w:hAnsi="Times New Roman" w:cs="Times New Roman"/>
        </w:rPr>
        <w:t>在突发事件应对全过程加强舆论的搜集、研判与引导工作。县委宣传部牵头，会同网信、公安和突发事件应急处置牵头部门收集掌握相关舆情信息，及时查明信息来源，对信息危害和影响进行评估研判，积极采取措施予以回应和引导，对不实和负面信息，及时澄清并发布准确信息。当突发事件舆情信息超出本级控制能力时，由县委宣传部报请上级部门统一协调组织舆论引导工作。任何单位和个人不得编造、传播突发事件应急处置虚假信息。</w:t>
      </w:r>
    </w:p>
    <w:p w14:paraId="7819D989">
      <w:pPr>
        <w:pStyle w:val="3"/>
        <w:ind w:firstLine="0" w:firstLineChars="0"/>
        <w:rPr>
          <w:rFonts w:ascii="Times New Roman" w:hAnsi="Times New Roman" w:cs="Times New Roman"/>
        </w:rPr>
      </w:pPr>
      <w:bookmarkStart w:id="73" w:name="_Toc17945"/>
      <w:bookmarkStart w:id="74" w:name="_Toc13805"/>
      <w:r>
        <w:rPr>
          <w:rFonts w:ascii="Times New Roman" w:hAnsi="Times New Roman" w:cs="Times New Roman"/>
        </w:rPr>
        <w:t>应急结束</w:t>
      </w:r>
      <w:bookmarkEnd w:id="73"/>
      <w:bookmarkEnd w:id="74"/>
    </w:p>
    <w:p w14:paraId="00072B6D">
      <w:pPr>
        <w:ind w:firstLine="632"/>
        <w:rPr>
          <w:rFonts w:ascii="Times New Roman" w:hAnsi="Times New Roman" w:cs="Times New Roman"/>
        </w:rPr>
      </w:pPr>
      <w:bookmarkStart w:id="75" w:name="_Toc2135"/>
      <w:bookmarkStart w:id="76" w:name="_Toc17375"/>
      <w:r>
        <w:rPr>
          <w:rFonts w:ascii="Times New Roman" w:hAnsi="Times New Roman" w:cs="Times New Roman"/>
        </w:rPr>
        <w:t>各项应急处置工作基本结束，相关威胁和危害得到控制或消除，根据响应级别，组织指挥突发事件应对的县级应急指挥机构经会商研判，确定达到响应结束的条件，报请总指挥同意后宣布应急抢险救援结束，逐步停止有关应急处置措施，同时采取或者继续实施必要措施，防止发生次生、衍生事件或者重新引发突发事件。现场指挥部接到应急抢险救援结束的指令后，通知相关方面解除现场应急措施，组织各应急队伍和工作人员有序撤离，妥善安排过渡时期各项工作，逐步恢复正常生产生活秩序。</w:t>
      </w:r>
    </w:p>
    <w:p w14:paraId="13ACB7EE">
      <w:pPr>
        <w:pStyle w:val="2"/>
        <w:ind w:firstLine="0" w:firstLineChars="0"/>
        <w:rPr>
          <w:rFonts w:ascii="Times New Roman" w:hAnsi="Times New Roman" w:cs="Times New Roman"/>
        </w:rPr>
      </w:pPr>
      <w:bookmarkStart w:id="77" w:name="_Toc27579"/>
      <w:r>
        <w:rPr>
          <w:rFonts w:ascii="Times New Roman" w:hAnsi="Times New Roman" w:cs="Times New Roman"/>
        </w:rPr>
        <w:t>后期处置</w:t>
      </w:r>
      <w:bookmarkEnd w:id="75"/>
      <w:bookmarkStart w:id="78" w:name="_Toc31045"/>
      <w:bookmarkStart w:id="79" w:name="_Toc15922"/>
      <w:r>
        <w:rPr>
          <w:rFonts w:ascii="Times New Roman" w:hAnsi="Times New Roman" w:cs="Times New Roman"/>
        </w:rPr>
        <w:t>与恢复重建</w:t>
      </w:r>
      <w:bookmarkEnd w:id="76"/>
      <w:bookmarkEnd w:id="77"/>
      <w:bookmarkEnd w:id="78"/>
      <w:bookmarkEnd w:id="79"/>
    </w:p>
    <w:p w14:paraId="0D0C2DC7">
      <w:pPr>
        <w:pStyle w:val="3"/>
        <w:ind w:firstLine="0" w:firstLineChars="0"/>
        <w:rPr>
          <w:rFonts w:ascii="Times New Roman" w:hAnsi="Times New Roman" w:cs="Times New Roman"/>
        </w:rPr>
      </w:pPr>
      <w:bookmarkStart w:id="80" w:name="_Toc5743"/>
      <w:bookmarkStart w:id="81" w:name="_Toc9104"/>
      <w:r>
        <w:rPr>
          <w:rFonts w:ascii="Times New Roman" w:hAnsi="Times New Roman" w:cs="Times New Roman"/>
        </w:rPr>
        <w:t>善后处置</w:t>
      </w:r>
      <w:bookmarkEnd w:id="80"/>
      <w:bookmarkEnd w:id="81"/>
    </w:p>
    <w:p w14:paraId="7174057E">
      <w:pPr>
        <w:ind w:firstLine="632"/>
        <w:rPr>
          <w:rFonts w:ascii="Times New Roman" w:hAnsi="Times New Roman" w:cs="Times New Roman"/>
        </w:rPr>
      </w:pPr>
      <w:bookmarkStart w:id="82" w:name="_Toc16871"/>
      <w:bookmarkStart w:id="83" w:name="_Toc6431"/>
      <w:r>
        <w:rPr>
          <w:rFonts w:ascii="Times New Roman" w:hAnsi="Times New Roman" w:cs="Times New Roman"/>
        </w:rPr>
        <w:t>受突发事件影响地区的乡镇人民政府根据本地区遭受损失的情况，制定安置救助、抚慰抚恤、保险理赔、司法援助、征用补偿、疫病防治、心理辅导、环境恢复等善后工作计划并组织实施，妥善解决因处置突发事件引发的矛盾和纠纷。根据工作需要，县人民政府有关部门指导、协助乡镇人民政府做好各项突发事件善后处置工作。善后处置工作实施情况按照有关规定及时向上级政府报告。</w:t>
      </w:r>
    </w:p>
    <w:p w14:paraId="6B0EC4C9">
      <w:pPr>
        <w:pStyle w:val="3"/>
        <w:ind w:firstLine="0" w:firstLineChars="0"/>
        <w:rPr>
          <w:rFonts w:ascii="Times New Roman" w:hAnsi="Times New Roman" w:cs="Times New Roman"/>
        </w:rPr>
      </w:pPr>
      <w:bookmarkStart w:id="84" w:name="_Toc4015"/>
      <w:r>
        <w:rPr>
          <w:rFonts w:ascii="Times New Roman" w:hAnsi="Times New Roman" w:cs="Times New Roman"/>
        </w:rPr>
        <w:t>调查、评估与总结</w:t>
      </w:r>
      <w:bookmarkEnd w:id="82"/>
      <w:bookmarkEnd w:id="83"/>
      <w:bookmarkEnd w:id="84"/>
    </w:p>
    <w:p w14:paraId="7D3E014B">
      <w:pPr>
        <w:ind w:firstLine="632"/>
        <w:rPr>
          <w:rFonts w:ascii="Times New Roman" w:hAnsi="Times New Roman" w:cs="Times New Roman"/>
        </w:rPr>
      </w:pPr>
      <w:bookmarkStart w:id="85" w:name="_Toc133"/>
      <w:bookmarkStart w:id="86" w:name="_Toc23416"/>
      <w:bookmarkStart w:id="87" w:name="_Toc1586"/>
      <w:r>
        <w:rPr>
          <w:rFonts w:ascii="Times New Roman" w:hAnsi="Times New Roman" w:cs="Times New Roman"/>
        </w:rPr>
        <w:t>根据突发事件的调查权限及调查程序，县人民政府、乡镇人民政府组织或授权、委托有关部门及时查明突发事件的发生经过、原因、损失情况、相关责任等，编制突发事件的调查、评估报告，按照有关规定向上一级政府及有关部门报告。相关部门、基层组织、企事业单位及个人要配合调查评估工作。</w:t>
      </w:r>
    </w:p>
    <w:p w14:paraId="291883F1">
      <w:pPr>
        <w:ind w:firstLine="632"/>
        <w:rPr>
          <w:rFonts w:ascii="Times New Roman" w:hAnsi="Times New Roman" w:cs="Times New Roman"/>
        </w:rPr>
      </w:pPr>
      <w:r>
        <w:rPr>
          <w:rFonts w:ascii="Times New Roman" w:hAnsi="Times New Roman" w:cs="Times New Roman"/>
        </w:rPr>
        <w:t>参与突发事件应对的部门对本部门突发事件的应急处置工作进行总结，形成本部门突发事件应对总结报告报送专项指挥部办公室，专项指挥部办公室汇总形成突发事件应对总结报告上报县人民政府，并抄送县应急办。各部门根据总结情况持续改进突发事件应对工作，并适时修订专项应急预案和部门应急预案。</w:t>
      </w:r>
    </w:p>
    <w:p w14:paraId="5D740FA7">
      <w:pPr>
        <w:pStyle w:val="3"/>
        <w:ind w:firstLine="0" w:firstLineChars="0"/>
        <w:rPr>
          <w:rFonts w:ascii="Times New Roman" w:hAnsi="Times New Roman" w:cs="Times New Roman"/>
        </w:rPr>
      </w:pPr>
      <w:bookmarkStart w:id="88" w:name="_Toc24264"/>
      <w:r>
        <w:rPr>
          <w:rFonts w:ascii="Times New Roman" w:hAnsi="Times New Roman" w:cs="Times New Roman"/>
        </w:rPr>
        <w:t>恢复重建</w:t>
      </w:r>
      <w:bookmarkEnd w:id="85"/>
      <w:bookmarkEnd w:id="86"/>
      <w:bookmarkEnd w:id="87"/>
      <w:bookmarkEnd w:id="88"/>
    </w:p>
    <w:p w14:paraId="476BFD3C">
      <w:pPr>
        <w:ind w:firstLine="632"/>
        <w:rPr>
          <w:rFonts w:ascii="Times New Roman" w:hAnsi="Times New Roman" w:cs="Times New Roman"/>
        </w:rPr>
      </w:pPr>
      <w:r>
        <w:rPr>
          <w:rFonts w:ascii="Times New Roman" w:hAnsi="Times New Roman" w:cs="Times New Roman"/>
        </w:rPr>
        <w:t>县人民政府有关单位根据调查评估报告和受灾地区恢复重建规划，提出恢复重建的意见建议，按照有关规定报批后组织实施；需要国家、省、市支持的，由县人民政府向哈尔滨市政府、省政府、国务院或国务院有关部门提出请求。</w:t>
      </w:r>
    </w:p>
    <w:p w14:paraId="47D32ACD">
      <w:pPr>
        <w:pStyle w:val="2"/>
        <w:ind w:firstLine="0" w:firstLineChars="0"/>
        <w:rPr>
          <w:rFonts w:ascii="Times New Roman" w:hAnsi="Times New Roman" w:cs="Times New Roman"/>
        </w:rPr>
      </w:pPr>
      <w:bookmarkStart w:id="89" w:name="_Toc18574"/>
      <w:bookmarkStart w:id="90" w:name="_Toc3105"/>
      <w:r>
        <w:rPr>
          <w:rFonts w:ascii="Times New Roman" w:hAnsi="Times New Roman" w:cs="Times New Roman"/>
        </w:rPr>
        <w:t>应急保障</w:t>
      </w:r>
      <w:bookmarkEnd w:id="89"/>
      <w:bookmarkEnd w:id="90"/>
    </w:p>
    <w:p w14:paraId="08A45846">
      <w:pPr>
        <w:pStyle w:val="3"/>
        <w:ind w:firstLine="0" w:firstLineChars="0"/>
        <w:rPr>
          <w:rFonts w:ascii="Times New Roman" w:hAnsi="Times New Roman" w:cs="Times New Roman"/>
        </w:rPr>
      </w:pPr>
      <w:bookmarkStart w:id="91" w:name="_Toc4760"/>
      <w:bookmarkStart w:id="92" w:name="_Toc19805"/>
      <w:r>
        <w:rPr>
          <w:rFonts w:ascii="Times New Roman" w:hAnsi="Times New Roman" w:cs="Times New Roman"/>
        </w:rPr>
        <w:t>队伍保障</w:t>
      </w:r>
      <w:bookmarkEnd w:id="91"/>
      <w:bookmarkEnd w:id="92"/>
    </w:p>
    <w:p w14:paraId="02817BE6">
      <w:pPr>
        <w:ind w:firstLine="632"/>
        <w:rPr>
          <w:rFonts w:ascii="Times New Roman" w:hAnsi="Times New Roman" w:cs="Times New Roman"/>
        </w:rPr>
      </w:pPr>
      <w:r>
        <w:rPr>
          <w:rFonts w:ascii="Times New Roman" w:hAnsi="Times New Roman" w:cs="Times New Roman"/>
        </w:rPr>
        <w:t>综合性消防救援队伍是应急救援的主力军，应全面加强能力建设，适应全灾种应急救援需要。县人民政府应提供必要支持保障。</w:t>
      </w:r>
    </w:p>
    <w:p w14:paraId="60BF1382">
      <w:pPr>
        <w:ind w:firstLine="632"/>
        <w:rPr>
          <w:rFonts w:ascii="Times New Roman" w:hAnsi="Times New Roman" w:cs="Times New Roman"/>
        </w:rPr>
      </w:pPr>
      <w:r>
        <w:rPr>
          <w:rFonts w:ascii="Times New Roman" w:hAnsi="Times New Roman" w:cs="Times New Roman"/>
        </w:rPr>
        <w:t>专业应急队伍是应急救援的骨干力量。县应急管理局、公安局、自然资源局、生态环境局、交通运输局、水务局、住房和城乡建设局、农业农村局、文化广电和旅游局、卫生健康局、发展和改革局、工业信息科技局、市场监督管理局、气象局等主管部门根据职能分工和应急救援需要，加强本行业（领域）的专业应急队伍建设。</w:t>
      </w:r>
    </w:p>
    <w:p w14:paraId="2718DBD4">
      <w:pPr>
        <w:ind w:firstLine="632"/>
        <w:rPr>
          <w:rFonts w:ascii="Times New Roman" w:hAnsi="Times New Roman" w:cs="Times New Roman"/>
        </w:rPr>
      </w:pPr>
      <w:r>
        <w:rPr>
          <w:rFonts w:ascii="Times New Roman" w:hAnsi="Times New Roman" w:cs="Times New Roman"/>
        </w:rPr>
        <w:t>人民解放军和武警部队是应急救援的突击力量。县人民政府及有关部门要加强与当地驻军联系，建立健全信息共享和军地协调联动机制。</w:t>
      </w:r>
    </w:p>
    <w:p w14:paraId="38E6F67E">
      <w:pPr>
        <w:ind w:firstLine="632"/>
        <w:rPr>
          <w:rFonts w:ascii="Times New Roman" w:hAnsi="Times New Roman" w:cs="Times New Roman"/>
        </w:rPr>
      </w:pPr>
      <w:r>
        <w:rPr>
          <w:rFonts w:ascii="Times New Roman" w:hAnsi="Times New Roman" w:cs="Times New Roman"/>
        </w:rPr>
        <w:t>基层应急队伍是第一时间先期处置的重要力量。乡镇人民政府及村（居）民委员会应当单独建立或者与有关单位、社会组织共同建立基层应急救援队伍。</w:t>
      </w:r>
    </w:p>
    <w:p w14:paraId="4EA597CD">
      <w:pPr>
        <w:ind w:firstLine="632"/>
        <w:rPr>
          <w:rFonts w:ascii="Times New Roman" w:hAnsi="Times New Roman" w:cs="Times New Roman"/>
        </w:rPr>
      </w:pPr>
      <w:r>
        <w:rPr>
          <w:rFonts w:ascii="Times New Roman" w:hAnsi="Times New Roman" w:cs="Times New Roman"/>
        </w:rPr>
        <w:t>社会应急力量是应急救援的辅助力量。各级各有关部门要制定相关政策措施，充分发挥共青团、社会救援队作用，鼓励企事业单位、社会组织及公民个人等有序参与应急救援工作。</w:t>
      </w:r>
    </w:p>
    <w:p w14:paraId="46B232AD">
      <w:pPr>
        <w:pStyle w:val="3"/>
        <w:ind w:firstLine="0" w:firstLineChars="0"/>
        <w:rPr>
          <w:rFonts w:ascii="Times New Roman" w:hAnsi="Times New Roman" w:cs="Times New Roman"/>
        </w:rPr>
      </w:pPr>
      <w:bookmarkStart w:id="93" w:name="_Toc30816"/>
      <w:bookmarkStart w:id="94" w:name="_Toc24937"/>
      <w:r>
        <w:rPr>
          <w:rFonts w:ascii="Times New Roman" w:hAnsi="Times New Roman" w:cs="Times New Roman"/>
        </w:rPr>
        <w:t>财力保障</w:t>
      </w:r>
      <w:bookmarkEnd w:id="93"/>
      <w:bookmarkEnd w:id="94"/>
    </w:p>
    <w:p w14:paraId="09D1851B">
      <w:pPr>
        <w:ind w:firstLine="632"/>
        <w:rPr>
          <w:rFonts w:ascii="Times New Roman" w:hAnsi="Times New Roman" w:cs="Times New Roman"/>
        </w:rPr>
      </w:pPr>
      <w:r>
        <w:rPr>
          <w:rFonts w:ascii="Times New Roman" w:hAnsi="Times New Roman" w:cs="Times New Roman"/>
        </w:rPr>
        <w:t>县人民政府要将突发事件防范和应对工作所需经费纳入同级财政预算。</w:t>
      </w:r>
    </w:p>
    <w:p w14:paraId="46A8C4B3">
      <w:pPr>
        <w:ind w:firstLine="632"/>
        <w:rPr>
          <w:rFonts w:ascii="Times New Roman" w:hAnsi="Times New Roman" w:cs="Times New Roman"/>
        </w:rPr>
      </w:pPr>
      <w:r>
        <w:rPr>
          <w:rFonts w:ascii="Times New Roman" w:hAnsi="Times New Roman" w:cs="Times New Roman"/>
        </w:rPr>
        <w:t>处置突发事件所需财政负担的经费，按照现行事权、财权划分原则，分级负担。对受突发事件影响较大和财政困难的地区，启动县级及以上应急响应的，应根据实际情况和乡镇人民政府的请求，县财政按规定予以适当支持。需要市级援助的，由县人民政府提出请求。</w:t>
      </w:r>
    </w:p>
    <w:p w14:paraId="03FB5547">
      <w:pPr>
        <w:ind w:firstLine="632"/>
        <w:rPr>
          <w:rFonts w:ascii="Times New Roman" w:hAnsi="Times New Roman" w:cs="Times New Roman"/>
        </w:rPr>
      </w:pPr>
      <w:r>
        <w:rPr>
          <w:rFonts w:ascii="Times New Roman" w:hAnsi="Times New Roman" w:cs="Times New Roman"/>
        </w:rPr>
        <w:t>县有关部门研究提出相应的征用补偿或救助政策，报县人民政府审批。县财政、审计部门会同有关主管部门对突发事件财政应急保障资金的使用和效果进行监督和评估。</w:t>
      </w:r>
    </w:p>
    <w:p w14:paraId="39E19743">
      <w:pPr>
        <w:ind w:firstLine="632"/>
        <w:rPr>
          <w:rFonts w:ascii="Times New Roman" w:hAnsi="Times New Roman" w:cs="Times New Roman"/>
        </w:rPr>
      </w:pPr>
      <w:r>
        <w:rPr>
          <w:rFonts w:ascii="Times New Roman" w:hAnsi="Times New Roman" w:cs="Times New Roman"/>
        </w:rPr>
        <w:t>鼓励公民、法人或其他组织按照《中华人民共和国慈善法》《中华人民共和国公益事业捐赠法》等有关法律法规的规定，为应对突发事件提供物资、资金、技术支持和捐赠。</w:t>
      </w:r>
    </w:p>
    <w:p w14:paraId="6DEDAA16">
      <w:pPr>
        <w:ind w:firstLine="632"/>
        <w:rPr>
          <w:rFonts w:ascii="Times New Roman" w:hAnsi="Times New Roman" w:cs="Times New Roman"/>
        </w:rPr>
      </w:pPr>
      <w:r>
        <w:rPr>
          <w:rFonts w:ascii="Times New Roman" w:hAnsi="Times New Roman" w:cs="Times New Roman"/>
        </w:rPr>
        <w:t>建立健全灾害风险保险体系，鼓励单位和公民参加保险。加快推进巨灾保险制度，推行安全生产、环境污染和食品安全责任保险等。县人民政府及有关部门、单位应当为专业应急救援人员购买人身意外伤害保险，配备必要的防护装备和器材，减少应急救援人员的人身风险。志愿服务组织安排志愿者参与可能发生人身危险的志愿服务活动前，应当为志愿者购买相应的人身意外伤害保险。</w:t>
      </w:r>
    </w:p>
    <w:p w14:paraId="0F2C7534">
      <w:pPr>
        <w:pStyle w:val="3"/>
        <w:ind w:firstLine="0" w:firstLineChars="0"/>
        <w:rPr>
          <w:rFonts w:ascii="Times New Roman" w:hAnsi="Times New Roman" w:cs="Times New Roman"/>
        </w:rPr>
      </w:pPr>
      <w:bookmarkStart w:id="95" w:name="_Toc11636"/>
      <w:bookmarkStart w:id="96" w:name="_Toc27079"/>
      <w:r>
        <w:rPr>
          <w:rFonts w:ascii="Times New Roman" w:hAnsi="Times New Roman" w:cs="Times New Roman"/>
        </w:rPr>
        <w:t>物资保障</w:t>
      </w:r>
      <w:bookmarkEnd w:id="95"/>
      <w:bookmarkEnd w:id="96"/>
    </w:p>
    <w:p w14:paraId="7C98B1A1">
      <w:pPr>
        <w:ind w:firstLine="632"/>
        <w:rPr>
          <w:rFonts w:ascii="Times New Roman" w:hAnsi="Times New Roman" w:cs="Times New Roman"/>
        </w:rPr>
      </w:pPr>
      <w:bookmarkStart w:id="97" w:name="_Toc29980"/>
      <w:r>
        <w:rPr>
          <w:rFonts w:ascii="Times New Roman" w:hAnsi="Times New Roman" w:cs="Times New Roman"/>
        </w:rPr>
        <w:t>各级各有关单位应根据专业应急救援业务需求，采取“平战结合”的原则，配备现场救援和抢险装备、器材，建立相应的维护、保养和调用等制度，保障各类突发事件抢险和救援。建立救援和抢险物资装备信息数据库并及时维护更新并定期上报县应急办，保障应急指挥调度准确高效。</w:t>
      </w:r>
    </w:p>
    <w:p w14:paraId="6C3A3FEC">
      <w:pPr>
        <w:ind w:firstLine="632"/>
        <w:rPr>
          <w:rFonts w:ascii="Times New Roman" w:hAnsi="Times New Roman" w:cs="Times New Roman"/>
        </w:rPr>
      </w:pPr>
      <w:r>
        <w:rPr>
          <w:rFonts w:ascii="Times New Roman" w:hAnsi="Times New Roman" w:cs="Times New Roman"/>
        </w:rPr>
        <w:t>县发展和改革局、工业信息科技局、应急管理局、住房和城乡建设局、自然资源局、生态环境局、水务局、林业和草原局、卫生健康局等职能部门应按各自职责定期提供应急物资储备设备目录，并根据应对突发事件需要，采取商业储备、生产能力储备等方式，与有关企业签订合同，保障处置与救援所需物资的生产供给。</w:t>
      </w:r>
    </w:p>
    <w:p w14:paraId="24784DFA">
      <w:pPr>
        <w:ind w:firstLine="632"/>
        <w:rPr>
          <w:rFonts w:ascii="Times New Roman" w:hAnsi="Times New Roman" w:cs="Times New Roman"/>
        </w:rPr>
      </w:pPr>
      <w:r>
        <w:rPr>
          <w:rFonts w:ascii="Times New Roman" w:hAnsi="Times New Roman" w:cs="Times New Roman"/>
        </w:rPr>
        <w:t>县应急管理局等有关部门应会同事发地乡镇人民政府做好受灾群众衣、食、住等基本生活保障工作。相关专项指挥部办公室和事发地乡镇人民政府负责统计参与应急救援队伍的人数，做好食宿保障。</w:t>
      </w:r>
    </w:p>
    <w:p w14:paraId="6E35626C">
      <w:pPr>
        <w:ind w:firstLine="632"/>
        <w:rPr>
          <w:rFonts w:ascii="Times New Roman" w:hAnsi="Times New Roman" w:cs="Times New Roman"/>
        </w:rPr>
      </w:pPr>
      <w:r>
        <w:rPr>
          <w:rFonts w:ascii="Times New Roman" w:hAnsi="Times New Roman" w:cs="Times New Roman"/>
        </w:rPr>
        <w:t>根据突发事件处置需要，县人民政府及突发事件处置牵头部门可依法征用处置所需物资。</w:t>
      </w:r>
    </w:p>
    <w:p w14:paraId="42E87129">
      <w:pPr>
        <w:pStyle w:val="3"/>
        <w:ind w:firstLine="0" w:firstLineChars="0"/>
        <w:rPr>
          <w:rFonts w:ascii="Times New Roman" w:hAnsi="Times New Roman" w:cs="Times New Roman"/>
        </w:rPr>
      </w:pPr>
      <w:bookmarkStart w:id="98" w:name="_Toc16217"/>
      <w:bookmarkStart w:id="99" w:name="_Toc9505"/>
      <w:r>
        <w:rPr>
          <w:rFonts w:ascii="Times New Roman" w:hAnsi="Times New Roman" w:cs="Times New Roman"/>
        </w:rPr>
        <w:t>治安保障</w:t>
      </w:r>
      <w:bookmarkEnd w:id="98"/>
      <w:bookmarkEnd w:id="99"/>
    </w:p>
    <w:bookmarkEnd w:id="97"/>
    <w:p w14:paraId="4D90DDF1">
      <w:pPr>
        <w:ind w:firstLine="632"/>
        <w:rPr>
          <w:rFonts w:ascii="Times New Roman" w:hAnsi="Times New Roman" w:cs="Times New Roman"/>
        </w:rPr>
      </w:pPr>
      <w:bookmarkStart w:id="100" w:name="_Toc32272"/>
      <w:r>
        <w:rPr>
          <w:rFonts w:ascii="Times New Roman" w:hAnsi="Times New Roman" w:cs="Times New Roman"/>
        </w:rPr>
        <w:t>公安部门负责突发事件应对期间各项治安管控工作。根据突发事件情况，属地公安部门就近调派警力及时赶赴事发地设置警戒区，开展现场治安秩序维护、交通管制等工作。加强对重点地区、重点场所、重点人群、重要设施设备的保护，依法严厉打击各类违法犯罪活动。必要时，依法采取强制性管制措施，控制事态，维护社会秩序。事发地相关部门、单位、组织和个人积极配合公安部门做好治安管控工作。</w:t>
      </w:r>
    </w:p>
    <w:p w14:paraId="7A8ACD63">
      <w:pPr>
        <w:pStyle w:val="3"/>
        <w:ind w:firstLine="0" w:firstLineChars="0"/>
        <w:rPr>
          <w:rFonts w:ascii="Times New Roman" w:hAnsi="Times New Roman" w:cs="Times New Roman"/>
        </w:rPr>
      </w:pPr>
      <w:bookmarkStart w:id="101" w:name="_Toc23244"/>
      <w:r>
        <w:rPr>
          <w:rFonts w:ascii="Times New Roman" w:hAnsi="Times New Roman" w:cs="Times New Roman"/>
        </w:rPr>
        <w:t>医疗卫生保障</w:t>
      </w:r>
      <w:bookmarkEnd w:id="100"/>
      <w:bookmarkEnd w:id="101"/>
    </w:p>
    <w:p w14:paraId="56DCD1BF">
      <w:pPr>
        <w:ind w:firstLine="632"/>
        <w:rPr>
          <w:rFonts w:ascii="Times New Roman" w:hAnsi="Times New Roman" w:cs="Times New Roman"/>
        </w:rPr>
      </w:pPr>
      <w:bookmarkStart w:id="102" w:name="_Toc8537"/>
      <w:r>
        <w:rPr>
          <w:rFonts w:ascii="Times New Roman" w:hAnsi="Times New Roman" w:cs="Times New Roman"/>
        </w:rPr>
        <w:t>卫生健康部门负责建立和完善突发事件医疗卫生应急救援体系和公共卫生应急资源保障体系，加强突发事件应急医疗救治机构和疾病预防控制机构建设，掌握各类医疗卫生资源的分布、救援能力和专长。根据突发事件应对需要，组建医疗卫生应急救援队伍，及时赶赴现场开展医疗救治和疾病预防控制等工作。卫生健康、市场监管、工信等部门根据应急救援实际情况，及时为受灾地区协调药品、器械等医疗卫生物资和设备。社会卫生力量积极参加突发事件医疗卫生救助工作。</w:t>
      </w:r>
    </w:p>
    <w:p w14:paraId="3BA949FF">
      <w:pPr>
        <w:pStyle w:val="3"/>
        <w:ind w:firstLine="0" w:firstLineChars="0"/>
        <w:rPr>
          <w:rFonts w:ascii="Times New Roman" w:hAnsi="Times New Roman" w:cs="Times New Roman"/>
        </w:rPr>
      </w:pPr>
      <w:bookmarkStart w:id="103" w:name="_Toc32610"/>
      <w:r>
        <w:rPr>
          <w:rFonts w:ascii="Times New Roman" w:hAnsi="Times New Roman" w:cs="Times New Roman"/>
        </w:rPr>
        <w:t>交通运输保障</w:t>
      </w:r>
      <w:bookmarkEnd w:id="102"/>
      <w:bookmarkEnd w:id="103"/>
    </w:p>
    <w:p w14:paraId="5F385544">
      <w:pPr>
        <w:ind w:firstLine="632"/>
        <w:rPr>
          <w:rFonts w:ascii="Times New Roman" w:hAnsi="Times New Roman" w:cs="Times New Roman"/>
        </w:rPr>
      </w:pPr>
      <w:bookmarkStart w:id="104" w:name="_Toc38"/>
      <w:r>
        <w:rPr>
          <w:rFonts w:ascii="Times New Roman" w:hAnsi="Times New Roman" w:cs="Times New Roman"/>
        </w:rPr>
        <w:t>交通运输、公安、铁路等部门负责应急交通运输保障工作，建立和完善应急运力协调机制，加强交通应急抢险能力建设，加强应急运输体系建设，开辟应急运输绿色通道，提高人员、物资紧急运输能力。</w:t>
      </w:r>
    </w:p>
    <w:p w14:paraId="46AE5E74">
      <w:pPr>
        <w:pStyle w:val="3"/>
        <w:ind w:firstLine="0" w:firstLineChars="0"/>
        <w:rPr>
          <w:rFonts w:ascii="Times New Roman" w:hAnsi="Times New Roman" w:cs="Times New Roman"/>
        </w:rPr>
      </w:pPr>
      <w:bookmarkStart w:id="105" w:name="_Toc11727"/>
      <w:r>
        <w:rPr>
          <w:rFonts w:ascii="Times New Roman" w:hAnsi="Times New Roman" w:cs="Times New Roman"/>
        </w:rPr>
        <w:t>通信保障</w:t>
      </w:r>
      <w:bookmarkEnd w:id="104"/>
      <w:bookmarkEnd w:id="105"/>
    </w:p>
    <w:p w14:paraId="1EEB0541">
      <w:pPr>
        <w:ind w:firstLine="632"/>
        <w:rPr>
          <w:rFonts w:ascii="Times New Roman" w:hAnsi="Times New Roman" w:cs="Times New Roman"/>
        </w:rPr>
      </w:pPr>
      <w:bookmarkStart w:id="106" w:name="_Toc7625"/>
      <w:bookmarkStart w:id="107" w:name="_Toc19933"/>
      <w:bookmarkStart w:id="108" w:name="_Toc25770"/>
      <w:bookmarkStart w:id="109" w:name="_Toc5362"/>
      <w:r>
        <w:rPr>
          <w:rFonts w:ascii="Times New Roman" w:hAnsi="Times New Roman" w:cs="Times New Roman"/>
        </w:rPr>
        <w:t>通信运营商负责建立有线和无线相结合、基础通信网络与机动通信系统相配套的应急通信保障体系，确保应急指挥等处置工作通信畅通。综合性救援队伍应建立专用无线通信系统平台，保障复杂救援环境的应急通信需求。县委宣传部负责建立应急广播保障工作体系，拓宽面向全社会的突发事件应急信息传播渠道。</w:t>
      </w:r>
    </w:p>
    <w:p w14:paraId="362D028A">
      <w:pPr>
        <w:pStyle w:val="3"/>
        <w:ind w:firstLine="0" w:firstLineChars="0"/>
        <w:rPr>
          <w:rFonts w:ascii="Times New Roman" w:hAnsi="Times New Roman" w:cs="Times New Roman"/>
        </w:rPr>
      </w:pPr>
      <w:bookmarkStart w:id="110" w:name="_Toc18226"/>
      <w:r>
        <w:rPr>
          <w:rFonts w:ascii="Times New Roman" w:hAnsi="Times New Roman" w:cs="Times New Roman"/>
        </w:rPr>
        <w:t>公共设施保障</w:t>
      </w:r>
      <w:bookmarkEnd w:id="106"/>
      <w:bookmarkEnd w:id="107"/>
      <w:bookmarkEnd w:id="108"/>
      <w:bookmarkEnd w:id="109"/>
      <w:bookmarkEnd w:id="110"/>
    </w:p>
    <w:p w14:paraId="1060CB3A">
      <w:pPr>
        <w:ind w:firstLine="632"/>
        <w:rPr>
          <w:rFonts w:ascii="Times New Roman" w:hAnsi="Times New Roman" w:cs="Times New Roman"/>
        </w:rPr>
      </w:pPr>
      <w:bookmarkStart w:id="111" w:name="_Toc26689"/>
      <w:bookmarkStart w:id="112" w:name="_Toc27031"/>
      <w:bookmarkStart w:id="113" w:name="_Toc4128"/>
      <w:r>
        <w:rPr>
          <w:rFonts w:ascii="Times New Roman" w:hAnsi="Times New Roman" w:cs="Times New Roman"/>
        </w:rPr>
        <w:t>县人民政府、乡镇人民政府组织有关部门推动应急避难场所建设，统筹安排必需的供水、供电、排污等基础设施，注重日常维护和管理，保证其正常使用。完善紧急疏散管理办法和应急避难场所启用程序，明确责任人，确保在紧急情况下公众安全、有序转移、疏散到应急避难场所或其他安全地带，并保证避难场所的正常运营。</w:t>
      </w:r>
    </w:p>
    <w:p w14:paraId="46A3D770">
      <w:pPr>
        <w:pStyle w:val="3"/>
        <w:ind w:firstLine="0" w:firstLineChars="0"/>
        <w:rPr>
          <w:rFonts w:ascii="Times New Roman" w:hAnsi="Times New Roman" w:cs="Times New Roman"/>
        </w:rPr>
      </w:pPr>
      <w:bookmarkStart w:id="114" w:name="_Toc24953"/>
      <w:bookmarkStart w:id="115" w:name="_Toc24928"/>
      <w:r>
        <w:rPr>
          <w:rFonts w:ascii="Times New Roman" w:hAnsi="Times New Roman" w:cs="Times New Roman"/>
        </w:rPr>
        <w:t>基础信息服务保障</w:t>
      </w:r>
      <w:bookmarkEnd w:id="111"/>
      <w:bookmarkEnd w:id="112"/>
      <w:bookmarkEnd w:id="113"/>
      <w:bookmarkEnd w:id="114"/>
      <w:bookmarkEnd w:id="115"/>
    </w:p>
    <w:p w14:paraId="2F24559C">
      <w:pPr>
        <w:ind w:firstLine="632"/>
        <w:rPr>
          <w:rFonts w:ascii="Times New Roman" w:hAnsi="Times New Roman" w:cs="Times New Roman"/>
        </w:rPr>
      </w:pPr>
      <w:r>
        <w:rPr>
          <w:rFonts w:ascii="Times New Roman" w:hAnsi="Times New Roman" w:cs="Times New Roman"/>
        </w:rPr>
        <w:t>县气象局应加强灾害性天气监测能力，科学分析气象资料，提高预报预测水平，为应急处置提供气象信息服务。</w:t>
      </w:r>
    </w:p>
    <w:p w14:paraId="256FCC87">
      <w:pPr>
        <w:ind w:firstLine="632"/>
        <w:rPr>
          <w:rFonts w:ascii="Times New Roman" w:hAnsi="Times New Roman" w:cs="Times New Roman"/>
        </w:rPr>
      </w:pPr>
      <w:r>
        <w:rPr>
          <w:rFonts w:ascii="Times New Roman" w:hAnsi="Times New Roman" w:cs="Times New Roman"/>
        </w:rPr>
        <w:t>县水务局应及时提供江河、水库水情实报和预报，为应急处置提供水文资料和相关信息服务。</w:t>
      </w:r>
    </w:p>
    <w:p w14:paraId="11B9CBC4">
      <w:pPr>
        <w:pStyle w:val="3"/>
        <w:ind w:firstLine="0" w:firstLineChars="0"/>
        <w:rPr>
          <w:rFonts w:ascii="Times New Roman" w:hAnsi="Times New Roman" w:cs="Times New Roman"/>
        </w:rPr>
      </w:pPr>
      <w:bookmarkStart w:id="116" w:name="_Toc16466"/>
      <w:bookmarkStart w:id="117" w:name="_Toc25702"/>
      <w:bookmarkStart w:id="118" w:name="_Toc8704"/>
      <w:bookmarkStart w:id="119" w:name="_Toc7989"/>
      <w:bookmarkStart w:id="120" w:name="_Toc29016"/>
      <w:r>
        <w:rPr>
          <w:rFonts w:ascii="Times New Roman" w:hAnsi="Times New Roman" w:cs="Times New Roman"/>
        </w:rPr>
        <w:t>科技保障</w:t>
      </w:r>
      <w:bookmarkEnd w:id="116"/>
      <w:bookmarkEnd w:id="117"/>
      <w:bookmarkEnd w:id="118"/>
      <w:bookmarkEnd w:id="119"/>
      <w:bookmarkEnd w:id="120"/>
    </w:p>
    <w:p w14:paraId="726F529C">
      <w:pPr>
        <w:ind w:firstLine="632"/>
        <w:rPr>
          <w:rFonts w:ascii="Times New Roman" w:hAnsi="Times New Roman" w:cs="Times New Roman"/>
        </w:rPr>
      </w:pPr>
      <w:r>
        <w:rPr>
          <w:rFonts w:ascii="Times New Roman" w:hAnsi="Times New Roman" w:cs="Times New Roman"/>
        </w:rPr>
        <w:t>县人民政府及其部门、乡镇人民政府不断提升突发事件应对的科技支撑水平。应急管理、公安、交管、消防救援、卫生健康、水务、生态环境、气象等部门基于集贤县应急指挥中心指挥平台，实现各部门互联互通、资源共享，共同承担突发事件的监测预警、应急值守、信息处理、视频会商、综合研判、辅助决策、指挥协调、资源调用等工作。</w:t>
      </w:r>
    </w:p>
    <w:p w14:paraId="4813C436">
      <w:pPr>
        <w:pStyle w:val="3"/>
        <w:ind w:firstLine="0" w:firstLineChars="0"/>
        <w:rPr>
          <w:rFonts w:ascii="Times New Roman" w:hAnsi="Times New Roman" w:cs="Times New Roman"/>
        </w:rPr>
      </w:pPr>
      <w:bookmarkStart w:id="121" w:name="_Toc30174"/>
      <w:bookmarkStart w:id="122" w:name="_Toc10819"/>
      <w:bookmarkStart w:id="123" w:name="_Toc4346"/>
      <w:bookmarkStart w:id="124" w:name="_Toc26810"/>
      <w:bookmarkStart w:id="125" w:name="_Toc16873"/>
      <w:r>
        <w:rPr>
          <w:rFonts w:ascii="Times New Roman" w:hAnsi="Times New Roman" w:cs="Times New Roman"/>
        </w:rPr>
        <w:t>社会动员保障</w:t>
      </w:r>
      <w:bookmarkEnd w:id="121"/>
      <w:bookmarkEnd w:id="122"/>
      <w:bookmarkEnd w:id="123"/>
      <w:bookmarkEnd w:id="124"/>
      <w:bookmarkEnd w:id="125"/>
    </w:p>
    <w:p w14:paraId="5CDED3CE">
      <w:pPr>
        <w:ind w:firstLine="632"/>
        <w:rPr>
          <w:rFonts w:ascii="Times New Roman" w:hAnsi="Times New Roman" w:cs="Times New Roman"/>
        </w:rPr>
      </w:pPr>
      <w:bookmarkStart w:id="126" w:name="_Toc22584"/>
      <w:r>
        <w:rPr>
          <w:rFonts w:ascii="Times New Roman" w:hAnsi="Times New Roman" w:cs="Times New Roman"/>
        </w:rPr>
        <w:t>县人民政府及乡镇人民政府为确保突发事件应对工作的全面性、及时性和有效性，可通过发布倡议书等形式动员本地区的社会各界力量遵守特定的风险防控措施、参与或协助特定的应急处置或支援工作、提供或捐赠特定的应急物资。突发事件发生地的村（居）委会和其他组织要按照当地人民政府的决定、命令，进行宣传动员，组织群众开展自救和互救，协助维护社会秩序。</w:t>
      </w:r>
    </w:p>
    <w:p w14:paraId="7932353D">
      <w:pPr>
        <w:pStyle w:val="2"/>
        <w:ind w:firstLine="0" w:firstLineChars="0"/>
        <w:rPr>
          <w:rFonts w:ascii="Times New Roman" w:hAnsi="Times New Roman" w:cs="Times New Roman"/>
        </w:rPr>
      </w:pPr>
      <w:bookmarkStart w:id="127" w:name="_Toc3106"/>
      <w:r>
        <w:rPr>
          <w:rFonts w:ascii="Times New Roman" w:hAnsi="Times New Roman" w:cs="Times New Roman"/>
        </w:rPr>
        <w:t>预案管理</w:t>
      </w:r>
      <w:bookmarkEnd w:id="126"/>
      <w:bookmarkEnd w:id="127"/>
    </w:p>
    <w:p w14:paraId="098DEABC">
      <w:pPr>
        <w:pStyle w:val="3"/>
        <w:ind w:firstLine="0" w:firstLineChars="0"/>
        <w:rPr>
          <w:rFonts w:ascii="Times New Roman" w:hAnsi="Times New Roman" w:cs="Times New Roman"/>
        </w:rPr>
      </w:pPr>
      <w:bookmarkStart w:id="128" w:name="_Toc11777"/>
      <w:bookmarkStart w:id="129" w:name="_Toc21291"/>
      <w:r>
        <w:rPr>
          <w:rFonts w:ascii="Times New Roman" w:hAnsi="Times New Roman" w:cs="Times New Roman"/>
        </w:rPr>
        <w:t>预案制定</w:t>
      </w:r>
      <w:bookmarkEnd w:id="128"/>
      <w:bookmarkEnd w:id="129"/>
    </w:p>
    <w:p w14:paraId="377596ED">
      <w:pPr>
        <w:ind w:firstLine="632"/>
        <w:rPr>
          <w:rFonts w:ascii="Times New Roman" w:hAnsi="Times New Roman" w:cs="Times New Roman"/>
        </w:rPr>
      </w:pPr>
      <w:r>
        <w:rPr>
          <w:rFonts w:ascii="Times New Roman" w:hAnsi="Times New Roman" w:cs="Times New Roman"/>
        </w:rPr>
        <w:t>应急管理部门负责本级突发事件应急预案体系建设，牵头组织制定总体应急预案，对专项应急预案和部门应急预案制定进行指导和衔接。突发事件应急处置牵头部门根据总体应急预案和专项应急预案，牵头组织制定专项应急预案。各部门根据总体应急预案、专项应急预案和本部门应急职责，制定部门应急预案。</w:t>
      </w:r>
    </w:p>
    <w:p w14:paraId="29DF173D">
      <w:pPr>
        <w:ind w:firstLine="632"/>
        <w:rPr>
          <w:rFonts w:ascii="Times New Roman" w:hAnsi="Times New Roman" w:cs="Times New Roman"/>
        </w:rPr>
      </w:pPr>
      <w:r>
        <w:rPr>
          <w:rFonts w:ascii="Times New Roman" w:hAnsi="Times New Roman" w:cs="Times New Roman"/>
        </w:rPr>
        <w:t>开展应急预案编制时，应成立预案编制工作领导小组，吸收预案涉及主要部门和单位相关业务人员、有关专家及具有现场处置经验的人员参加。应急预案编制要在风险评估和应急资源调查的基础上进行，编制过程中要广泛听取相关部门、单位和专家的意见，必要时，向社会公开征求意见。</w:t>
      </w:r>
    </w:p>
    <w:p w14:paraId="60E51819">
      <w:pPr>
        <w:ind w:firstLine="632"/>
        <w:rPr>
          <w:rFonts w:ascii="Times New Roman" w:hAnsi="Times New Roman" w:cs="Times New Roman"/>
        </w:rPr>
      </w:pPr>
      <w:r>
        <w:rPr>
          <w:rFonts w:ascii="Times New Roman" w:hAnsi="Times New Roman" w:cs="Times New Roman"/>
        </w:rPr>
        <w:t>乡镇人民政府应当参照本预案，制定完善相应预案。</w:t>
      </w:r>
    </w:p>
    <w:p w14:paraId="6B61C882">
      <w:pPr>
        <w:pStyle w:val="3"/>
        <w:ind w:firstLine="0" w:firstLineChars="0"/>
        <w:rPr>
          <w:rFonts w:ascii="Times New Roman" w:hAnsi="Times New Roman" w:cs="Times New Roman"/>
        </w:rPr>
      </w:pPr>
      <w:bookmarkStart w:id="130" w:name="_Toc2979"/>
      <w:bookmarkStart w:id="131" w:name="_Toc32335"/>
      <w:r>
        <w:rPr>
          <w:rFonts w:ascii="Times New Roman" w:hAnsi="Times New Roman" w:cs="Times New Roman"/>
        </w:rPr>
        <w:t>审批与备案</w:t>
      </w:r>
      <w:bookmarkEnd w:id="130"/>
      <w:bookmarkEnd w:id="131"/>
    </w:p>
    <w:p w14:paraId="4D939A5F">
      <w:pPr>
        <w:ind w:firstLine="632"/>
        <w:rPr>
          <w:rFonts w:ascii="Times New Roman" w:hAnsi="Times New Roman" w:cs="Times New Roman"/>
        </w:rPr>
      </w:pPr>
      <w:r>
        <w:rPr>
          <w:rFonts w:ascii="Times New Roman" w:hAnsi="Times New Roman" w:cs="Times New Roman"/>
        </w:rPr>
        <w:t>总体应急预案经本级政府常务会议审议，以本级政府名义印发；专项应急预案经本级政府审批，必要时经本级政府常务会议或专题会议审议，以本级政府办公室名义印发。</w:t>
      </w:r>
    </w:p>
    <w:p w14:paraId="31B0E594">
      <w:pPr>
        <w:ind w:firstLine="632"/>
        <w:rPr>
          <w:rFonts w:ascii="Times New Roman" w:hAnsi="Times New Roman" w:cs="Times New Roman"/>
        </w:rPr>
      </w:pPr>
      <w:r>
        <w:rPr>
          <w:rFonts w:ascii="Times New Roman" w:hAnsi="Times New Roman" w:cs="Times New Roman"/>
        </w:rPr>
        <w:t>应急预案印发（转发）后20个工作日内进行备案。总体应急预案向上一级政府备案，径送上一级人民政府应急管理部门，同时抄送上一级人民政府有关部门；专项应急预案向上一级人民政府相应牵头部门备案，同时抄送上一级人民政府应急管理部门和有关部门；部门应急预案向本级人民政府备案，径送本级应急管理部门，同时抄送本级有关部门。</w:t>
      </w:r>
    </w:p>
    <w:p w14:paraId="39D59680">
      <w:pPr>
        <w:pStyle w:val="3"/>
        <w:ind w:firstLine="0" w:firstLineChars="0"/>
        <w:rPr>
          <w:rFonts w:ascii="Times New Roman" w:hAnsi="Times New Roman" w:cs="Times New Roman"/>
        </w:rPr>
      </w:pPr>
      <w:bookmarkStart w:id="132" w:name="_Toc7150"/>
      <w:bookmarkStart w:id="133" w:name="_Toc17376"/>
      <w:bookmarkStart w:id="134" w:name="_Toc7027"/>
      <w:bookmarkStart w:id="135" w:name="_Toc25117"/>
      <w:r>
        <w:rPr>
          <w:rFonts w:ascii="Times New Roman" w:hAnsi="Times New Roman" w:cs="Times New Roman"/>
        </w:rPr>
        <w:t>宣传与培训</w:t>
      </w:r>
      <w:bookmarkEnd w:id="132"/>
      <w:bookmarkEnd w:id="133"/>
    </w:p>
    <w:p w14:paraId="7459D5BA">
      <w:pPr>
        <w:ind w:firstLine="632"/>
        <w:rPr>
          <w:rFonts w:ascii="Times New Roman" w:hAnsi="Times New Roman" w:cs="Times New Roman"/>
        </w:rPr>
      </w:pPr>
      <w:r>
        <w:rPr>
          <w:rFonts w:ascii="Times New Roman" w:hAnsi="Times New Roman" w:cs="Times New Roman"/>
        </w:rPr>
        <w:t>（1）应急管理、新闻宣传、文化、广播电视等部门要通过图书、报刊、音像制品和电子出版物、广播、电视、网络、手机等，广泛宣传应急法律法规和预防、避险、自救、互救、减灾等知识，增强公众的忧患意识、社会责任意识、公共安全和风险防范意识，提高全社会的避险能力和自救互救能力。</w:t>
      </w:r>
    </w:p>
    <w:p w14:paraId="53C6CD13">
      <w:pPr>
        <w:ind w:firstLine="632"/>
        <w:rPr>
          <w:rFonts w:ascii="Times New Roman" w:hAnsi="Times New Roman" w:cs="Times New Roman"/>
        </w:rPr>
      </w:pPr>
      <w:r>
        <w:rPr>
          <w:rFonts w:ascii="Times New Roman" w:hAnsi="Times New Roman" w:cs="Times New Roman"/>
        </w:rPr>
        <w:t>（2）各级各类学校（幼儿园）要在教育部门指导下，把应急知识教育纳入教学内容，对学生进行应急知识教育，培养学生的应急安全意识和自救互救能力。教育部门要对学校开展应急知识教育进行指导和监督。</w:t>
      </w:r>
    </w:p>
    <w:p w14:paraId="2CCA7557">
      <w:pPr>
        <w:ind w:firstLine="632"/>
        <w:rPr>
          <w:rFonts w:ascii="Times New Roman" w:hAnsi="Times New Roman" w:cs="Times New Roman"/>
        </w:rPr>
      </w:pPr>
      <w:r>
        <w:rPr>
          <w:rFonts w:ascii="Times New Roman" w:hAnsi="Times New Roman" w:cs="Times New Roman"/>
        </w:rPr>
        <w:t>（3）各级政府及有关部门要建立健全突发事件应急管理培训制度，并纳入干部教育培训体系，针对本地特点定期开展突发事件应急预案宣传和教育培训工作。新闻媒体要开展突发事件预防与应急、自救与互救知识的公益宣传。企事业单位要定期开展应急管理法律法规、安全管理制度、安全操作规程以及应急知识等方面的教育与培训。</w:t>
      </w:r>
    </w:p>
    <w:p w14:paraId="6CF0B087">
      <w:pPr>
        <w:pStyle w:val="3"/>
        <w:ind w:firstLine="0" w:firstLineChars="0"/>
        <w:rPr>
          <w:rFonts w:ascii="Times New Roman" w:hAnsi="Times New Roman" w:cs="Times New Roman"/>
        </w:rPr>
      </w:pPr>
      <w:bookmarkStart w:id="136" w:name="_Toc22188"/>
      <w:r>
        <w:rPr>
          <w:rFonts w:ascii="Times New Roman" w:hAnsi="Times New Roman" w:cs="Times New Roman"/>
        </w:rPr>
        <w:t>应急演练</w:t>
      </w:r>
      <w:bookmarkEnd w:id="134"/>
      <w:bookmarkEnd w:id="136"/>
    </w:p>
    <w:p w14:paraId="6FA52440">
      <w:pPr>
        <w:ind w:firstLine="632"/>
        <w:rPr>
          <w:rFonts w:ascii="Times New Roman" w:hAnsi="Times New Roman" w:cs="Times New Roman"/>
        </w:rPr>
      </w:pPr>
      <w:r>
        <w:rPr>
          <w:rFonts w:ascii="Times New Roman" w:hAnsi="Times New Roman" w:cs="Times New Roman"/>
        </w:rPr>
        <w:t>（1）应急预案编制单位要建立应急演练制度，根据实际情况采取实战演练、桌面推演等方式，组织开展人员广泛参与、处置联动性强、形式多样、节约高效的应急演练。</w:t>
      </w:r>
    </w:p>
    <w:p w14:paraId="426A1FE8">
      <w:pPr>
        <w:ind w:firstLine="632"/>
        <w:rPr>
          <w:rFonts w:ascii="Times New Roman" w:hAnsi="Times New Roman" w:cs="Times New Roman"/>
        </w:rPr>
      </w:pPr>
      <w:r>
        <w:rPr>
          <w:rFonts w:ascii="Times New Roman" w:hAnsi="Times New Roman" w:cs="Times New Roman"/>
        </w:rPr>
        <w:t>（2）县级专项应急预案牵头部门要主动组织演练，相关部门和单位要积极配合参与。</w:t>
      </w:r>
    </w:p>
    <w:p w14:paraId="70263FD0">
      <w:pPr>
        <w:ind w:firstLine="632"/>
        <w:rPr>
          <w:rFonts w:ascii="Times New Roman" w:hAnsi="Times New Roman" w:cs="Times New Roman"/>
        </w:rPr>
      </w:pPr>
      <w:r>
        <w:rPr>
          <w:rFonts w:ascii="Times New Roman" w:hAnsi="Times New Roman" w:cs="Times New Roman"/>
        </w:rPr>
        <w:t>（3）各乡镇人民政府、村（居）委会、事业单位要结合实际开展应急演练，企业要按照相关法律法规要求定期开展应急演练。</w:t>
      </w:r>
    </w:p>
    <w:p w14:paraId="147FC10D">
      <w:pPr>
        <w:pStyle w:val="3"/>
        <w:ind w:firstLine="0" w:firstLineChars="0"/>
        <w:rPr>
          <w:rFonts w:ascii="Times New Roman" w:hAnsi="Times New Roman" w:cs="Times New Roman"/>
        </w:rPr>
      </w:pPr>
      <w:bookmarkStart w:id="137" w:name="_Toc28162"/>
      <w:r>
        <w:rPr>
          <w:rFonts w:ascii="Times New Roman" w:hAnsi="Times New Roman" w:cs="Times New Roman"/>
        </w:rPr>
        <w:t>评估与修订</w:t>
      </w:r>
      <w:bookmarkEnd w:id="135"/>
      <w:bookmarkEnd w:id="137"/>
    </w:p>
    <w:p w14:paraId="17799D81">
      <w:pPr>
        <w:ind w:firstLine="632"/>
        <w:rPr>
          <w:rFonts w:ascii="Times New Roman" w:hAnsi="Times New Roman" w:cs="Times New Roman"/>
        </w:rPr>
      </w:pPr>
      <w:r>
        <w:rPr>
          <w:rFonts w:ascii="Times New Roman" w:hAnsi="Times New Roman" w:cs="Times New Roman"/>
        </w:rPr>
        <w:t>应急预案制定单位定期开展应急预案评估工作，分析评价预案内容的针对性、实用性和可操作性，实现应急预案的动态优化和科学规范管理。</w:t>
      </w:r>
    </w:p>
    <w:p w14:paraId="3099C00C">
      <w:pPr>
        <w:ind w:firstLine="632"/>
        <w:rPr>
          <w:rFonts w:ascii="Times New Roman" w:hAnsi="Times New Roman" w:cs="Times New Roman"/>
        </w:rPr>
      </w:pPr>
      <w:r>
        <w:rPr>
          <w:rFonts w:ascii="Times New Roman" w:hAnsi="Times New Roman" w:cs="Times New Roman"/>
        </w:rPr>
        <w:t>有下列情形之一的，应当及时修订本预案：</w:t>
      </w:r>
    </w:p>
    <w:p w14:paraId="11E8C478">
      <w:pPr>
        <w:ind w:firstLine="632"/>
        <w:rPr>
          <w:rFonts w:ascii="Times New Roman" w:hAnsi="Times New Roman" w:cs="Times New Roman"/>
        </w:rPr>
      </w:pPr>
      <w:r>
        <w:rPr>
          <w:rFonts w:ascii="Times New Roman" w:hAnsi="Times New Roman" w:cs="Times New Roman"/>
        </w:rPr>
        <w:t>（1）有关法律、行政法规、规章、标准、上位预案中有关规定发生变化的；</w:t>
      </w:r>
    </w:p>
    <w:p w14:paraId="1757423E">
      <w:pPr>
        <w:ind w:firstLine="632"/>
        <w:rPr>
          <w:rFonts w:ascii="Times New Roman" w:hAnsi="Times New Roman" w:cs="Times New Roman"/>
        </w:rPr>
      </w:pPr>
      <w:r>
        <w:rPr>
          <w:rFonts w:ascii="Times New Roman" w:hAnsi="Times New Roman" w:cs="Times New Roman"/>
        </w:rPr>
        <w:t>（2）应急指挥机构及其职责发生重大调整的；</w:t>
      </w:r>
    </w:p>
    <w:p w14:paraId="2D7E3E85">
      <w:pPr>
        <w:ind w:firstLine="632"/>
        <w:rPr>
          <w:rFonts w:ascii="Times New Roman" w:hAnsi="Times New Roman" w:cs="Times New Roman"/>
        </w:rPr>
      </w:pPr>
      <w:r>
        <w:rPr>
          <w:rFonts w:ascii="Times New Roman" w:hAnsi="Times New Roman" w:cs="Times New Roman"/>
        </w:rPr>
        <w:t>（3）面临的风险发生重大变化的；</w:t>
      </w:r>
    </w:p>
    <w:p w14:paraId="695F1D1E">
      <w:pPr>
        <w:ind w:firstLine="632"/>
        <w:rPr>
          <w:rFonts w:ascii="Times New Roman" w:hAnsi="Times New Roman" w:cs="Times New Roman"/>
        </w:rPr>
      </w:pPr>
      <w:r>
        <w:rPr>
          <w:rFonts w:ascii="Times New Roman" w:hAnsi="Times New Roman" w:cs="Times New Roman"/>
        </w:rPr>
        <w:t>（4）重要应急资源发生重大变化的；</w:t>
      </w:r>
    </w:p>
    <w:p w14:paraId="3020A939">
      <w:pPr>
        <w:ind w:firstLine="632"/>
        <w:rPr>
          <w:rFonts w:ascii="Times New Roman" w:hAnsi="Times New Roman" w:cs="Times New Roman"/>
        </w:rPr>
      </w:pPr>
      <w:r>
        <w:rPr>
          <w:rFonts w:ascii="Times New Roman" w:hAnsi="Times New Roman" w:cs="Times New Roman"/>
        </w:rPr>
        <w:t>（5）预案中的其他重要信息发生变化的</w:t>
      </w:r>
    </w:p>
    <w:p w14:paraId="3E75B364">
      <w:pPr>
        <w:ind w:firstLine="632"/>
        <w:rPr>
          <w:rFonts w:ascii="Times New Roman" w:hAnsi="Times New Roman" w:cs="Times New Roman"/>
        </w:rPr>
      </w:pPr>
      <w:r>
        <w:rPr>
          <w:rFonts w:ascii="Times New Roman" w:hAnsi="Times New Roman" w:cs="Times New Roman"/>
        </w:rPr>
        <w:t>（6）在突发事件实际应对和应急演练中发现问题需要做出重大调整的；</w:t>
      </w:r>
    </w:p>
    <w:p w14:paraId="7A8000D7">
      <w:pPr>
        <w:ind w:firstLine="632"/>
        <w:rPr>
          <w:rFonts w:ascii="Times New Roman" w:hAnsi="Times New Roman" w:cs="Times New Roman"/>
        </w:rPr>
      </w:pPr>
      <w:r>
        <w:rPr>
          <w:rFonts w:ascii="Times New Roman" w:hAnsi="Times New Roman" w:cs="Times New Roman"/>
        </w:rPr>
        <w:t>（7）其他应当修订的情形。</w:t>
      </w:r>
    </w:p>
    <w:p w14:paraId="1E7548F5">
      <w:pPr>
        <w:pStyle w:val="3"/>
        <w:ind w:firstLine="0" w:firstLineChars="0"/>
        <w:rPr>
          <w:rFonts w:ascii="Times New Roman" w:hAnsi="Times New Roman" w:cs="Times New Roman"/>
        </w:rPr>
      </w:pPr>
      <w:bookmarkStart w:id="138" w:name="_Toc29181"/>
      <w:bookmarkStart w:id="139" w:name="_Toc1345"/>
      <w:r>
        <w:rPr>
          <w:rFonts w:ascii="Times New Roman" w:hAnsi="Times New Roman" w:cs="Times New Roman"/>
        </w:rPr>
        <w:t>监督与奖惩</w:t>
      </w:r>
      <w:bookmarkEnd w:id="138"/>
      <w:bookmarkEnd w:id="139"/>
    </w:p>
    <w:p w14:paraId="1BA2E53E">
      <w:pPr>
        <w:ind w:firstLine="632"/>
        <w:rPr>
          <w:rFonts w:ascii="Times New Roman" w:hAnsi="Times New Roman" w:cs="Times New Roman"/>
        </w:rPr>
      </w:pPr>
      <w:r>
        <w:rPr>
          <w:rFonts w:ascii="Times New Roman" w:hAnsi="Times New Roman" w:cs="Times New Roman"/>
        </w:rPr>
        <w:t>县人民政府将应急管理工作纳入县人民政府目标考核，加强对各部门的日常工作监督。</w:t>
      </w:r>
    </w:p>
    <w:p w14:paraId="1D468801">
      <w:pPr>
        <w:ind w:firstLine="632"/>
        <w:rPr>
          <w:rFonts w:ascii="Times New Roman" w:hAnsi="Times New Roman" w:cs="Times New Roman"/>
        </w:rPr>
      </w:pPr>
      <w:r>
        <w:rPr>
          <w:rFonts w:ascii="Times New Roman" w:hAnsi="Times New Roman" w:cs="Times New Roman"/>
        </w:rPr>
        <w:t>根据《中华人民共和国突发事件应对法》《中华人民共和国公务员法》等法律法规，对防止或者消除突发事件有功，使国家和人民群众利益免受或者减少损失的公务员或者公务员集体，以及在突发事件应急救援工作中做出突出贡献的单位和个人给予奖励。凡有下列情形之一的，依法给予党纪、政纪处分。构成犯罪的，依法追究刑事责任。</w:t>
      </w:r>
    </w:p>
    <w:p w14:paraId="2811BEFE">
      <w:pPr>
        <w:ind w:firstLine="632"/>
        <w:rPr>
          <w:rFonts w:ascii="Times New Roman" w:hAnsi="Times New Roman" w:cs="Times New Roman"/>
        </w:rPr>
      </w:pPr>
      <w:r>
        <w:rPr>
          <w:rFonts w:ascii="Times New Roman" w:hAnsi="Times New Roman" w:cs="Times New Roman"/>
        </w:rPr>
        <w:t>（1）未按规定采取预防措施，导致发生突发事件，或者未采取必要的防范措施，导致发生次生、衍生事件的；</w:t>
      </w:r>
    </w:p>
    <w:p w14:paraId="3C13C482">
      <w:pPr>
        <w:ind w:firstLine="632"/>
        <w:rPr>
          <w:rFonts w:ascii="Times New Roman" w:hAnsi="Times New Roman" w:cs="Times New Roman"/>
        </w:rPr>
      </w:pPr>
      <w:r>
        <w:rPr>
          <w:rFonts w:ascii="Times New Roman" w:hAnsi="Times New Roman" w:cs="Times New Roman"/>
        </w:rPr>
        <w:t>（2）迟报、谎报、瞒报、漏报有关突发事件的信息，或者报送、公布虚假信息，造成后果的；</w:t>
      </w:r>
    </w:p>
    <w:p w14:paraId="5ECBD683">
      <w:pPr>
        <w:ind w:firstLine="632"/>
        <w:rPr>
          <w:rFonts w:ascii="Times New Roman" w:hAnsi="Times New Roman" w:cs="Times New Roman"/>
        </w:rPr>
      </w:pPr>
      <w:r>
        <w:rPr>
          <w:rFonts w:ascii="Times New Roman" w:hAnsi="Times New Roman" w:cs="Times New Roman"/>
        </w:rPr>
        <w:t>（3）未按规定及时发布突发事件警报、采取预警措施，导致灾害事故发生的；</w:t>
      </w:r>
    </w:p>
    <w:p w14:paraId="4AACF9CC">
      <w:pPr>
        <w:ind w:firstLine="632"/>
        <w:rPr>
          <w:rFonts w:ascii="Times New Roman" w:hAnsi="Times New Roman" w:cs="Times New Roman"/>
        </w:rPr>
      </w:pPr>
      <w:r>
        <w:rPr>
          <w:rFonts w:ascii="Times New Roman" w:hAnsi="Times New Roman" w:cs="Times New Roman"/>
        </w:rPr>
        <w:t>（4）未按规定及时采取措施处置突发事件或者处置不当，造成后果的；</w:t>
      </w:r>
    </w:p>
    <w:p w14:paraId="7430AC29">
      <w:pPr>
        <w:ind w:firstLine="632"/>
        <w:rPr>
          <w:rFonts w:ascii="Times New Roman" w:hAnsi="Times New Roman" w:cs="Times New Roman"/>
        </w:rPr>
      </w:pPr>
      <w:r>
        <w:rPr>
          <w:rFonts w:ascii="Times New Roman" w:hAnsi="Times New Roman" w:cs="Times New Roman"/>
        </w:rPr>
        <w:t>（5）违反法律规定采取应对措施，侵犯公民生命健康权益的；</w:t>
      </w:r>
    </w:p>
    <w:p w14:paraId="3CBF02CC">
      <w:pPr>
        <w:ind w:firstLine="632"/>
        <w:rPr>
          <w:rFonts w:ascii="Times New Roman" w:hAnsi="Times New Roman" w:cs="Times New Roman"/>
        </w:rPr>
      </w:pPr>
      <w:r>
        <w:rPr>
          <w:rFonts w:ascii="Times New Roman" w:hAnsi="Times New Roman" w:cs="Times New Roman"/>
        </w:rPr>
        <w:t>（6）不服从县应急委、专项指挥部或现场指挥人员对突发事件应急处置工作的统一领导、指挥和协调的；</w:t>
      </w:r>
    </w:p>
    <w:p w14:paraId="384DC544">
      <w:pPr>
        <w:ind w:firstLine="632"/>
        <w:rPr>
          <w:rFonts w:ascii="Times New Roman" w:hAnsi="Times New Roman" w:cs="Times New Roman"/>
        </w:rPr>
      </w:pPr>
      <w:r>
        <w:rPr>
          <w:rFonts w:ascii="Times New Roman" w:hAnsi="Times New Roman" w:cs="Times New Roman"/>
        </w:rPr>
        <w:t>（7）未及时组织开展生产自救、恢复重建等善后工作的；</w:t>
      </w:r>
    </w:p>
    <w:p w14:paraId="3E6E63CF">
      <w:pPr>
        <w:ind w:firstLine="632"/>
        <w:rPr>
          <w:rFonts w:ascii="Times New Roman" w:hAnsi="Times New Roman" w:cs="Times New Roman"/>
        </w:rPr>
      </w:pPr>
      <w:r>
        <w:rPr>
          <w:rFonts w:ascii="Times New Roman" w:hAnsi="Times New Roman" w:cs="Times New Roman"/>
        </w:rPr>
        <w:t>（8）截留、挪用、私分或者变相私分应急救援资金物资的；</w:t>
      </w:r>
    </w:p>
    <w:p w14:paraId="502D7D19">
      <w:pPr>
        <w:ind w:firstLine="632"/>
        <w:rPr>
          <w:rFonts w:ascii="Times New Roman" w:hAnsi="Times New Roman" w:cs="Times New Roman"/>
        </w:rPr>
      </w:pPr>
      <w:r>
        <w:rPr>
          <w:rFonts w:ascii="Times New Roman" w:hAnsi="Times New Roman" w:cs="Times New Roman"/>
        </w:rPr>
        <w:t>（9）不及时归还征用的单位和个人财产，或者对被征用财产的单位和个人不按规定予以补偿的；</w:t>
      </w:r>
    </w:p>
    <w:p w14:paraId="0E888C85">
      <w:pPr>
        <w:pStyle w:val="2"/>
        <w:ind w:firstLine="0" w:firstLineChars="0"/>
        <w:rPr>
          <w:rFonts w:ascii="Times New Roman" w:hAnsi="Times New Roman" w:cs="Times New Roman"/>
        </w:rPr>
      </w:pPr>
      <w:bookmarkStart w:id="140" w:name="_Toc10581"/>
      <w:bookmarkStart w:id="141" w:name="_Toc26112"/>
      <w:r>
        <w:rPr>
          <w:rFonts w:ascii="Times New Roman" w:hAnsi="Times New Roman" w:cs="Times New Roman"/>
        </w:rPr>
        <w:t>附则</w:t>
      </w:r>
      <w:bookmarkEnd w:id="140"/>
      <w:bookmarkEnd w:id="141"/>
    </w:p>
    <w:p w14:paraId="411414C3">
      <w:pPr>
        <w:pStyle w:val="3"/>
        <w:ind w:firstLine="0" w:firstLineChars="0"/>
        <w:rPr>
          <w:rFonts w:ascii="Times New Roman" w:hAnsi="Times New Roman" w:cs="Times New Roman"/>
        </w:rPr>
      </w:pPr>
      <w:bookmarkStart w:id="142" w:name="_Toc12364"/>
      <w:bookmarkStart w:id="143" w:name="_Toc31716"/>
      <w:r>
        <w:rPr>
          <w:rFonts w:ascii="Times New Roman" w:hAnsi="Times New Roman" w:cs="Times New Roman"/>
        </w:rPr>
        <w:t>名词术语</w:t>
      </w:r>
      <w:bookmarkStart w:id="144" w:name="bookmark173"/>
      <w:bookmarkEnd w:id="144"/>
      <w:r>
        <w:rPr>
          <w:rFonts w:ascii="Times New Roman" w:hAnsi="Times New Roman" w:cs="Times New Roman"/>
        </w:rPr>
        <w:t>解释</w:t>
      </w:r>
      <w:bookmarkEnd w:id="142"/>
      <w:bookmarkEnd w:id="143"/>
    </w:p>
    <w:p w14:paraId="741D4FCB">
      <w:pPr>
        <w:ind w:firstLine="632"/>
        <w:rPr>
          <w:rFonts w:ascii="Times New Roman" w:hAnsi="Times New Roman" w:cs="Times New Roman"/>
        </w:rPr>
      </w:pPr>
      <w:bookmarkStart w:id="145" w:name="bookmark175"/>
      <w:bookmarkEnd w:id="145"/>
      <w:r>
        <w:rPr>
          <w:rFonts w:ascii="Times New Roman" w:hAnsi="Times New Roman" w:cs="Times New Roman"/>
        </w:rPr>
        <w:t>本预案有关等级的表述中“以上”含本级，“以下”不含本级。</w:t>
      </w:r>
    </w:p>
    <w:p w14:paraId="7EE61171">
      <w:pPr>
        <w:ind w:firstLine="632"/>
        <w:rPr>
          <w:rFonts w:ascii="Times New Roman" w:hAnsi="Times New Roman" w:cs="Times New Roman"/>
        </w:rPr>
      </w:pPr>
      <w:r>
        <w:rPr>
          <w:rFonts w:ascii="Times New Roman" w:hAnsi="Times New Roman" w:cs="Times New Roman"/>
        </w:rPr>
        <w:t>突发事件：指突然发生，造成或者可能造成严重社会危害，需要采取应急处置措施予以应对的自然灾害、事故灾难、公共卫生事件和社会安全事件。</w:t>
      </w:r>
    </w:p>
    <w:p w14:paraId="103B1171">
      <w:pPr>
        <w:ind w:firstLine="632"/>
        <w:rPr>
          <w:rFonts w:ascii="Times New Roman" w:hAnsi="Times New Roman" w:cs="Times New Roman"/>
        </w:rPr>
      </w:pPr>
      <w:r>
        <w:rPr>
          <w:rFonts w:ascii="Times New Roman" w:hAnsi="Times New Roman" w:cs="Times New Roman"/>
        </w:rPr>
        <w:t>预警：指在灾害或灾难以及其他需要提防的危险发生之前，根据以往的总结规律或观测得到的可能性前兆，向相关部门发出紧急信号，报告危险情况，以避免危害在不知情或准备不足的情况下发生，从而最大程度地减轻危害所造成的损失的行为。</w:t>
      </w:r>
    </w:p>
    <w:p w14:paraId="31A4BFFA">
      <w:pPr>
        <w:ind w:firstLine="632"/>
        <w:rPr>
          <w:rFonts w:ascii="Times New Roman" w:hAnsi="Times New Roman" w:cs="Times New Roman"/>
        </w:rPr>
      </w:pPr>
      <w:r>
        <w:rPr>
          <w:rFonts w:ascii="Times New Roman" w:hAnsi="Times New Roman" w:cs="Times New Roman"/>
        </w:rPr>
        <w:t>县级指挥机构：指县总指挥部、县专项指挥部、县现场指挥部。</w:t>
      </w:r>
    </w:p>
    <w:p w14:paraId="74C65AB8">
      <w:pPr>
        <w:ind w:firstLine="632"/>
        <w:rPr>
          <w:rFonts w:ascii="Times New Roman" w:hAnsi="Times New Roman" w:cs="Times New Roman"/>
        </w:rPr>
      </w:pPr>
      <w:r>
        <w:rPr>
          <w:rFonts w:ascii="Times New Roman" w:hAnsi="Times New Roman" w:cs="Times New Roman"/>
        </w:rPr>
        <w:t>综合性消防救援队伍：指消防救援队伍、森林消防队伍。</w:t>
      </w:r>
    </w:p>
    <w:p w14:paraId="4B7C2E57">
      <w:pPr>
        <w:pStyle w:val="3"/>
        <w:ind w:firstLine="0" w:firstLineChars="0"/>
        <w:rPr>
          <w:rFonts w:ascii="Times New Roman" w:hAnsi="Times New Roman" w:cs="Times New Roman"/>
        </w:rPr>
      </w:pPr>
      <w:bookmarkStart w:id="146" w:name="_Toc11227"/>
      <w:r>
        <w:rPr>
          <w:rFonts w:ascii="Times New Roman" w:hAnsi="Times New Roman" w:cs="Times New Roman"/>
        </w:rPr>
        <w:t>预案解释与实施</w:t>
      </w:r>
      <w:bookmarkEnd w:id="146"/>
    </w:p>
    <w:p w14:paraId="5CF0E4A8">
      <w:pPr>
        <w:ind w:firstLine="632"/>
        <w:rPr>
          <w:rFonts w:ascii="Times New Roman" w:hAnsi="Times New Roman" w:cs="Times New Roman"/>
        </w:rPr>
      </w:pPr>
      <w:r>
        <w:rPr>
          <w:rFonts w:ascii="Times New Roman" w:hAnsi="Times New Roman" w:cs="Times New Roman"/>
        </w:rPr>
        <w:t>本预案由集贤县人民政府负责制定，预案修订与解释工作由</w:t>
      </w:r>
      <w:r>
        <w:rPr>
          <w:rFonts w:hint="eastAsia" w:ascii="Times New Roman" w:hAnsi="Times New Roman" w:cs="Times New Roman"/>
        </w:rPr>
        <w:t>集贤县突发公共事件应急委员会办公室</w:t>
      </w:r>
      <w:r>
        <w:rPr>
          <w:rFonts w:ascii="Times New Roman" w:hAnsi="Times New Roman" w:cs="Times New Roman"/>
        </w:rPr>
        <w:t>具体负责。</w:t>
      </w:r>
    </w:p>
    <w:p w14:paraId="580669B0">
      <w:pPr>
        <w:ind w:firstLine="632"/>
        <w:rPr>
          <w:rFonts w:ascii="Times New Roman" w:hAnsi="Times New Roman" w:cs="Times New Roman"/>
        </w:rPr>
      </w:pPr>
      <w:r>
        <w:rPr>
          <w:rFonts w:ascii="Times New Roman" w:hAnsi="Times New Roman" w:cs="Times New Roman"/>
        </w:rPr>
        <w:t>本预案自发布之日起施行。</w:t>
      </w:r>
    </w:p>
    <w:p w14:paraId="5A10A10D">
      <w:pPr>
        <w:ind w:firstLine="632"/>
        <w:rPr>
          <w:rFonts w:ascii="Times New Roman" w:hAnsi="Times New Roman" w:cs="Times New Roman"/>
        </w:rPr>
      </w:pPr>
    </w:p>
    <w:p w14:paraId="0EE6BB64">
      <w:pPr>
        <w:ind w:firstLine="632"/>
        <w:rPr>
          <w:rFonts w:ascii="Times New Roman" w:hAnsi="Times New Roman" w:cs="Times New Roman"/>
        </w:rPr>
      </w:pPr>
      <w:r>
        <w:rPr>
          <w:rFonts w:ascii="Times New Roman" w:hAnsi="Times New Roman" w:cs="Times New Roman"/>
        </w:rPr>
        <w:t>附件：1.集贤县应急组织指挥体系图</w:t>
      </w:r>
    </w:p>
    <w:p w14:paraId="11DFFF53">
      <w:pPr>
        <w:ind w:firstLine="1580" w:firstLineChars="500"/>
        <w:rPr>
          <w:rFonts w:ascii="Times New Roman" w:hAnsi="Times New Roman" w:cs="Times New Roman"/>
        </w:rPr>
      </w:pPr>
      <w:r>
        <w:rPr>
          <w:rFonts w:ascii="Times New Roman" w:hAnsi="Times New Roman" w:cs="Times New Roman"/>
        </w:rPr>
        <w:t>2.集贤县突发事件应急处置牵头部门</w:t>
      </w:r>
    </w:p>
    <w:p w14:paraId="6AC421FF">
      <w:pPr>
        <w:ind w:firstLine="1580" w:firstLineChars="500"/>
        <w:rPr>
          <w:rFonts w:ascii="Times New Roman" w:hAnsi="Times New Roman" w:cs="Times New Roman"/>
        </w:rPr>
      </w:pPr>
      <w:r>
        <w:rPr>
          <w:rFonts w:ascii="Times New Roman" w:hAnsi="Times New Roman" w:cs="Times New Roman"/>
        </w:rPr>
        <w:t>3.集贤县应急职能单位应急工作职责</w:t>
      </w:r>
    </w:p>
    <w:p w14:paraId="17DF96F7">
      <w:pPr>
        <w:ind w:firstLine="1580" w:firstLineChars="500"/>
        <w:rPr>
          <w:rFonts w:ascii="Times New Roman" w:hAnsi="Times New Roman" w:cs="Times New Roman"/>
        </w:rPr>
      </w:pPr>
      <w:r>
        <w:rPr>
          <w:rFonts w:ascii="Times New Roman" w:hAnsi="Times New Roman" w:cs="Times New Roman"/>
        </w:rPr>
        <w:t>4.集贤县突发事件应对流程简图</w:t>
      </w:r>
    </w:p>
    <w:p w14:paraId="78F73640">
      <w:pPr>
        <w:ind w:firstLine="1580" w:firstLineChars="500"/>
        <w:rPr>
          <w:rFonts w:ascii="Times New Roman" w:hAnsi="Times New Roman" w:cs="Times New Roman"/>
        </w:rPr>
      </w:pPr>
      <w:r>
        <w:rPr>
          <w:rFonts w:ascii="Times New Roman" w:hAnsi="Times New Roman" w:cs="Times New Roman"/>
        </w:rPr>
        <w:t>5.集贤县专项应急预案目录</w:t>
      </w:r>
    </w:p>
    <w:p w14:paraId="1778AAA8">
      <w:pPr>
        <w:pStyle w:val="15"/>
        <w:ind w:left="632" w:firstLine="632"/>
      </w:pPr>
    </w:p>
    <w:p w14:paraId="08E7A642">
      <w:pPr>
        <w:ind w:firstLine="632"/>
        <w:rPr>
          <w:rFonts w:ascii="Times New Roman" w:hAnsi="Times New Roman" w:cs="Times New Roman"/>
        </w:rPr>
      </w:pPr>
      <w:r>
        <w:rPr>
          <w:rFonts w:ascii="Times New Roman" w:hAnsi="Times New Roman" w:cs="Times New Roman"/>
        </w:rPr>
        <w:br w:type="page"/>
      </w:r>
    </w:p>
    <w:p w14:paraId="0A42C9C1">
      <w:pPr>
        <w:pStyle w:val="2"/>
        <w:numPr>
          <w:ilvl w:val="0"/>
          <w:numId w:val="0"/>
        </w:numPr>
        <w:rPr>
          <w:rFonts w:ascii="Times New Roman" w:hAnsi="Times New Roman" w:cs="Times New Roman"/>
        </w:rPr>
      </w:pPr>
      <w:bookmarkStart w:id="147" w:name="_Toc392"/>
      <w:r>
        <w:rPr>
          <w:rFonts w:ascii="Times New Roman" w:hAnsi="Times New Roman" w:cs="Times New Roman"/>
        </w:rPr>
        <w:t>附件1：集贤县应急组织指挥体系图</w:t>
      </w:r>
      <w:bookmarkEnd w:id="147"/>
    </w:p>
    <w:p w14:paraId="20319F94">
      <w:pPr>
        <w:pStyle w:val="32"/>
        <w:rPr>
          <w:rFonts w:ascii="Times New Roman" w:hAnsi="Times New Roman" w:cs="Times New Roman"/>
        </w:rPr>
      </w:pPr>
    </w:p>
    <w:p w14:paraId="30DF778D">
      <w:pPr>
        <w:ind w:firstLine="0" w:firstLineChars="0"/>
        <w:jc w:val="center"/>
        <w:rPr>
          <w:rFonts w:ascii="Times New Roman" w:hAnsi="Times New Roman" w:cs="Times New Roman"/>
        </w:rPr>
      </w:pPr>
      <w:r>
        <w:rPr>
          <w:rFonts w:ascii="Times New Roman" w:hAnsi="Times New Roman" w:cs="Times New Roman"/>
        </w:rPr>
        <w:drawing>
          <wp:inline distT="0" distB="0" distL="114300" distR="114300">
            <wp:extent cx="5614035" cy="5017770"/>
            <wp:effectExtent l="0" t="0" r="0" b="0"/>
            <wp:docPr id="3"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1" descr="wps"/>
                    <pic:cNvPicPr>
                      <a:picLocks noChangeAspect="1"/>
                    </pic:cNvPicPr>
                  </pic:nvPicPr>
                  <pic:blipFill>
                    <a:blip r:embed="rId191"/>
                    <a:stretch>
                      <a:fillRect/>
                    </a:stretch>
                  </pic:blipFill>
                  <pic:spPr>
                    <a:xfrm>
                      <a:off x="0" y="0"/>
                      <a:ext cx="5614035" cy="5017770"/>
                    </a:xfrm>
                    <a:prstGeom prst="rect">
                      <a:avLst/>
                    </a:prstGeom>
                  </pic:spPr>
                </pic:pic>
              </a:graphicData>
            </a:graphic>
          </wp:inline>
        </w:drawing>
      </w:r>
    </w:p>
    <w:p w14:paraId="79741B9E">
      <w:pPr>
        <w:ind w:firstLine="632"/>
        <w:rPr>
          <w:rFonts w:ascii="Times New Roman" w:hAnsi="Times New Roman" w:cs="Times New Roman"/>
        </w:rPr>
        <w:sectPr>
          <w:pgSz w:w="11906" w:h="16838"/>
          <w:pgMar w:top="2098" w:right="1474" w:bottom="1984" w:left="1587" w:header="624" w:footer="1134" w:gutter="0"/>
          <w:pgNumType w:start="1"/>
          <w:cols w:space="720" w:num="1"/>
          <w:docGrid w:type="linesAndChars" w:linePitch="579" w:charSpace="-842"/>
        </w:sectPr>
      </w:pPr>
      <w:r>
        <w:rPr>
          <w:rFonts w:ascii="Times New Roman" w:hAnsi="Times New Roman" w:cs="Times New Roman"/>
        </w:rPr>
        <w:br w:type="page"/>
      </w:r>
    </w:p>
    <w:p w14:paraId="7FF66A0B">
      <w:pPr>
        <w:pStyle w:val="2"/>
        <w:numPr>
          <w:ilvl w:val="0"/>
          <w:numId w:val="0"/>
        </w:numPr>
        <w:rPr>
          <w:rFonts w:ascii="Times New Roman" w:hAnsi="Times New Roman" w:cs="Times New Roman"/>
        </w:rPr>
      </w:pPr>
      <w:bookmarkStart w:id="148" w:name="_Toc2972"/>
      <w:bookmarkStart w:id="149" w:name="_Toc24677"/>
      <w:bookmarkStart w:id="150" w:name="_Toc26414"/>
      <w:bookmarkStart w:id="151" w:name="_Toc31173"/>
      <w:bookmarkStart w:id="152" w:name="_Toc29149"/>
      <w:bookmarkStart w:id="153" w:name="_Toc25486"/>
      <w:bookmarkStart w:id="154" w:name="_Toc7469"/>
      <w:r>
        <w:rPr>
          <w:rFonts w:ascii="Times New Roman" w:hAnsi="Times New Roman" w:cs="Times New Roman"/>
        </w:rPr>
        <w:t>附件2</w:t>
      </w:r>
      <w:bookmarkEnd w:id="148"/>
      <w:r>
        <w:rPr>
          <w:rFonts w:ascii="Times New Roman" w:hAnsi="Times New Roman" w:cs="Times New Roman"/>
        </w:rPr>
        <w:t>：集贤县突发事件应急处置牵头部门</w:t>
      </w:r>
      <w:bookmarkEnd w:id="149"/>
    </w:p>
    <w:p w14:paraId="21268DA6">
      <w:pPr>
        <w:pStyle w:val="32"/>
        <w:rPr>
          <w:rFonts w:ascii="Times New Roman" w:hAnsi="Times New Roman" w:cs="Times New Roman"/>
        </w:r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0"/>
        <w:gridCol w:w="4531"/>
      </w:tblGrid>
      <w:tr w14:paraId="4E523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505C3F64">
            <w:pPr>
              <w:pStyle w:val="55"/>
              <w:rPr>
                <w:rFonts w:ascii="Times New Roman" w:hAnsi="Times New Roman" w:eastAsia="仿宋_GB2312" w:cs="Times New Roman"/>
                <w:sz w:val="28"/>
                <w:szCs w:val="28"/>
              </w:rPr>
            </w:pPr>
            <w:r>
              <w:rPr>
                <w:rFonts w:ascii="Times New Roman" w:hAnsi="Times New Roman" w:eastAsia="仿宋_GB2312" w:cs="Times New Roman"/>
                <w:sz w:val="28"/>
                <w:szCs w:val="28"/>
              </w:rPr>
              <w:t>事件类别</w:t>
            </w:r>
          </w:p>
        </w:tc>
        <w:tc>
          <w:tcPr>
            <w:tcW w:w="4531" w:type="dxa"/>
            <w:vAlign w:val="center"/>
          </w:tcPr>
          <w:p w14:paraId="18A49DF7">
            <w:pPr>
              <w:pStyle w:val="55"/>
              <w:rPr>
                <w:rFonts w:ascii="Times New Roman" w:hAnsi="Times New Roman" w:eastAsia="仿宋_GB2312" w:cs="Times New Roman"/>
                <w:sz w:val="28"/>
                <w:szCs w:val="28"/>
              </w:rPr>
            </w:pPr>
            <w:r>
              <w:rPr>
                <w:rFonts w:ascii="Times New Roman" w:hAnsi="Times New Roman" w:eastAsia="仿宋_GB2312" w:cs="Times New Roman"/>
                <w:sz w:val="28"/>
                <w:szCs w:val="28"/>
              </w:rPr>
              <w:t>应急处置牵头部门</w:t>
            </w:r>
          </w:p>
        </w:tc>
      </w:tr>
      <w:tr w14:paraId="122A0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gridSpan w:val="2"/>
            <w:vAlign w:val="center"/>
          </w:tcPr>
          <w:p w14:paraId="4941CB8B">
            <w:pPr>
              <w:pStyle w:val="55"/>
              <w:rPr>
                <w:rFonts w:ascii="Times New Roman" w:hAnsi="Times New Roman" w:eastAsia="仿宋_GB2312" w:cs="Times New Roman"/>
                <w:sz w:val="28"/>
                <w:szCs w:val="28"/>
              </w:rPr>
            </w:pPr>
            <w:r>
              <w:rPr>
                <w:rFonts w:ascii="Times New Roman" w:hAnsi="Times New Roman" w:eastAsia="仿宋_GB2312" w:cs="Times New Roman"/>
                <w:sz w:val="28"/>
                <w:szCs w:val="28"/>
              </w:rPr>
              <w:t>一、自然灾害类</w:t>
            </w:r>
          </w:p>
        </w:tc>
      </w:tr>
      <w:tr w14:paraId="4EE1E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348B4108">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山洪防御</w:t>
            </w:r>
          </w:p>
        </w:tc>
        <w:tc>
          <w:tcPr>
            <w:tcW w:w="4531" w:type="dxa"/>
            <w:vAlign w:val="center"/>
          </w:tcPr>
          <w:p w14:paraId="19363767">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县应急管理局</w:t>
            </w:r>
          </w:p>
        </w:tc>
      </w:tr>
      <w:tr w14:paraId="241ED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2FC86E51">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防汛抗旱</w:t>
            </w:r>
          </w:p>
        </w:tc>
        <w:tc>
          <w:tcPr>
            <w:tcW w:w="4531" w:type="dxa"/>
            <w:vAlign w:val="center"/>
          </w:tcPr>
          <w:p w14:paraId="2AE453FF">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县应急管理局</w:t>
            </w:r>
          </w:p>
        </w:tc>
      </w:tr>
      <w:tr w14:paraId="452AC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7290298A">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气象灾害</w:t>
            </w:r>
          </w:p>
        </w:tc>
        <w:tc>
          <w:tcPr>
            <w:tcW w:w="4531" w:type="dxa"/>
            <w:vAlign w:val="center"/>
          </w:tcPr>
          <w:p w14:paraId="580E9C96">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县气象局</w:t>
            </w:r>
          </w:p>
        </w:tc>
      </w:tr>
      <w:tr w14:paraId="4292E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6F354B32">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农作物重大病虫害</w:t>
            </w:r>
          </w:p>
        </w:tc>
        <w:tc>
          <w:tcPr>
            <w:tcW w:w="4531" w:type="dxa"/>
            <w:vAlign w:val="center"/>
          </w:tcPr>
          <w:p w14:paraId="0970417E">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县农业农村局</w:t>
            </w:r>
          </w:p>
        </w:tc>
      </w:tr>
      <w:tr w14:paraId="7FE1B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53D1C32F">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地震灾害</w:t>
            </w:r>
          </w:p>
        </w:tc>
        <w:tc>
          <w:tcPr>
            <w:tcW w:w="4531" w:type="dxa"/>
            <w:vAlign w:val="center"/>
          </w:tcPr>
          <w:p w14:paraId="195747A4">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县应急管理局</w:t>
            </w:r>
          </w:p>
        </w:tc>
      </w:tr>
      <w:tr w14:paraId="6F3BE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1E9EC5F5">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地质灾害</w:t>
            </w:r>
          </w:p>
        </w:tc>
        <w:tc>
          <w:tcPr>
            <w:tcW w:w="4531" w:type="dxa"/>
            <w:vAlign w:val="center"/>
          </w:tcPr>
          <w:p w14:paraId="7041AE3F">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县自然资源局</w:t>
            </w:r>
          </w:p>
        </w:tc>
      </w:tr>
      <w:tr w14:paraId="147E9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5AF888C4">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森林草原火灾</w:t>
            </w:r>
          </w:p>
        </w:tc>
        <w:tc>
          <w:tcPr>
            <w:tcW w:w="4531" w:type="dxa"/>
            <w:vAlign w:val="center"/>
          </w:tcPr>
          <w:p w14:paraId="5FCA2328">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县应急管理局</w:t>
            </w:r>
          </w:p>
        </w:tc>
      </w:tr>
      <w:tr w14:paraId="38C26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gridSpan w:val="2"/>
            <w:vAlign w:val="center"/>
          </w:tcPr>
          <w:p w14:paraId="56D6CE1E">
            <w:pPr>
              <w:pStyle w:val="55"/>
              <w:rPr>
                <w:rFonts w:ascii="Times New Roman" w:hAnsi="Times New Roman" w:eastAsia="仿宋_GB2312" w:cs="Times New Roman"/>
                <w:b w:val="0"/>
                <w:bCs/>
                <w:sz w:val="28"/>
                <w:szCs w:val="28"/>
              </w:rPr>
            </w:pPr>
            <w:r>
              <w:rPr>
                <w:rFonts w:ascii="Times New Roman" w:hAnsi="Times New Roman" w:eastAsia="仿宋_GB2312" w:cs="Times New Roman"/>
                <w:sz w:val="28"/>
                <w:szCs w:val="28"/>
              </w:rPr>
              <w:t>二、事故灾难类</w:t>
            </w:r>
          </w:p>
        </w:tc>
      </w:tr>
      <w:tr w14:paraId="2901A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48054340">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煤矿生产安全事故</w:t>
            </w:r>
          </w:p>
        </w:tc>
        <w:tc>
          <w:tcPr>
            <w:tcW w:w="4531" w:type="dxa"/>
            <w:vAlign w:val="center"/>
          </w:tcPr>
          <w:p w14:paraId="20692C3E">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县煤炭生产安全管理局</w:t>
            </w:r>
          </w:p>
        </w:tc>
      </w:tr>
      <w:tr w14:paraId="1C8B7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3CB0AB8F">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电网大面积停电事件</w:t>
            </w:r>
          </w:p>
        </w:tc>
        <w:tc>
          <w:tcPr>
            <w:tcW w:w="4531" w:type="dxa"/>
            <w:vAlign w:val="center"/>
          </w:tcPr>
          <w:p w14:paraId="7347DFA4">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县发展和改革局</w:t>
            </w:r>
          </w:p>
        </w:tc>
      </w:tr>
      <w:tr w14:paraId="5D945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2EF99010">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重特大火灾事故</w:t>
            </w:r>
          </w:p>
        </w:tc>
        <w:tc>
          <w:tcPr>
            <w:tcW w:w="4531" w:type="dxa"/>
            <w:vAlign w:val="center"/>
          </w:tcPr>
          <w:p w14:paraId="7252886A">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县消防救援大队</w:t>
            </w:r>
          </w:p>
        </w:tc>
      </w:tr>
      <w:tr w14:paraId="66867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27AE22A0">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道路交通事故</w:t>
            </w:r>
          </w:p>
        </w:tc>
        <w:tc>
          <w:tcPr>
            <w:tcW w:w="4531" w:type="dxa"/>
            <w:vAlign w:val="center"/>
          </w:tcPr>
          <w:p w14:paraId="705CA3C3">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县公安局</w:t>
            </w:r>
          </w:p>
        </w:tc>
      </w:tr>
      <w:tr w14:paraId="17310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0708EC60">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建筑施工生产安全事故</w:t>
            </w:r>
          </w:p>
        </w:tc>
        <w:tc>
          <w:tcPr>
            <w:tcW w:w="4531" w:type="dxa"/>
            <w:vAlign w:val="center"/>
          </w:tcPr>
          <w:p w14:paraId="281A8DDF">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县住房和城乡建设局</w:t>
            </w:r>
          </w:p>
        </w:tc>
      </w:tr>
      <w:tr w14:paraId="5C9C6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51D6E02E">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城市供水突发事件</w:t>
            </w:r>
          </w:p>
        </w:tc>
        <w:tc>
          <w:tcPr>
            <w:tcW w:w="4531" w:type="dxa"/>
            <w:vAlign w:val="center"/>
          </w:tcPr>
          <w:p w14:paraId="40B4332F">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县住房和城乡建设局</w:t>
            </w:r>
          </w:p>
        </w:tc>
      </w:tr>
      <w:tr w14:paraId="611DE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2D137772">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人防工程质量安全事故</w:t>
            </w:r>
          </w:p>
        </w:tc>
        <w:tc>
          <w:tcPr>
            <w:tcW w:w="4531" w:type="dxa"/>
            <w:vAlign w:val="center"/>
          </w:tcPr>
          <w:p w14:paraId="579970A8">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县人防办</w:t>
            </w:r>
          </w:p>
        </w:tc>
      </w:tr>
      <w:tr w14:paraId="2E8AE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589D7D54">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特种设备安全事故</w:t>
            </w:r>
          </w:p>
        </w:tc>
        <w:tc>
          <w:tcPr>
            <w:tcW w:w="4531" w:type="dxa"/>
            <w:vAlign w:val="center"/>
          </w:tcPr>
          <w:p w14:paraId="53B06224">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县市场监督管理局</w:t>
            </w:r>
          </w:p>
        </w:tc>
      </w:tr>
      <w:tr w14:paraId="222D0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0E20027D">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工商贸企业生产安全事故</w:t>
            </w:r>
          </w:p>
        </w:tc>
        <w:tc>
          <w:tcPr>
            <w:tcW w:w="4531" w:type="dxa"/>
            <w:vAlign w:val="center"/>
          </w:tcPr>
          <w:p w14:paraId="4267D90F">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县应急管理局</w:t>
            </w:r>
          </w:p>
        </w:tc>
      </w:tr>
      <w:tr w14:paraId="7D23D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5100B66B">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非煤矿山生产安全事故</w:t>
            </w:r>
          </w:p>
        </w:tc>
        <w:tc>
          <w:tcPr>
            <w:tcW w:w="4531" w:type="dxa"/>
            <w:vAlign w:val="center"/>
          </w:tcPr>
          <w:p w14:paraId="15684639">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县应急管理局</w:t>
            </w:r>
          </w:p>
        </w:tc>
      </w:tr>
      <w:tr w14:paraId="2267E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73D0DDDC">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城镇天然气安全事故</w:t>
            </w:r>
          </w:p>
        </w:tc>
        <w:tc>
          <w:tcPr>
            <w:tcW w:w="4531" w:type="dxa"/>
            <w:vAlign w:val="center"/>
          </w:tcPr>
          <w:p w14:paraId="3C56E8B4">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县住房和城乡建设局</w:t>
            </w:r>
          </w:p>
        </w:tc>
      </w:tr>
      <w:tr w14:paraId="0CB44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75500B66">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突发环境事件</w:t>
            </w:r>
          </w:p>
        </w:tc>
        <w:tc>
          <w:tcPr>
            <w:tcW w:w="4531" w:type="dxa"/>
            <w:vAlign w:val="center"/>
          </w:tcPr>
          <w:p w14:paraId="1CCFAF61">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县生态环境局</w:t>
            </w:r>
          </w:p>
        </w:tc>
      </w:tr>
      <w:tr w14:paraId="6A97F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675D7468">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危险化学品事故</w:t>
            </w:r>
          </w:p>
        </w:tc>
        <w:tc>
          <w:tcPr>
            <w:tcW w:w="4531" w:type="dxa"/>
            <w:vAlign w:val="center"/>
          </w:tcPr>
          <w:p w14:paraId="21409C1A">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县应急管理局</w:t>
            </w:r>
          </w:p>
        </w:tc>
      </w:tr>
      <w:tr w14:paraId="63BE8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gridSpan w:val="2"/>
            <w:vAlign w:val="center"/>
          </w:tcPr>
          <w:p w14:paraId="1C597352">
            <w:pPr>
              <w:pStyle w:val="55"/>
              <w:rPr>
                <w:rFonts w:ascii="Times New Roman" w:hAnsi="Times New Roman" w:eastAsia="仿宋_GB2312" w:cs="Times New Roman"/>
                <w:b w:val="0"/>
                <w:bCs/>
                <w:sz w:val="28"/>
                <w:szCs w:val="28"/>
              </w:rPr>
            </w:pPr>
            <w:r>
              <w:rPr>
                <w:rFonts w:ascii="Times New Roman" w:hAnsi="Times New Roman" w:eastAsia="仿宋_GB2312" w:cs="Times New Roman"/>
                <w:sz w:val="28"/>
                <w:szCs w:val="28"/>
              </w:rPr>
              <w:t>三、公共卫生类</w:t>
            </w:r>
          </w:p>
        </w:tc>
      </w:tr>
      <w:tr w14:paraId="74CD9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59F250B7">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食品安全事故</w:t>
            </w:r>
          </w:p>
        </w:tc>
        <w:tc>
          <w:tcPr>
            <w:tcW w:w="4531" w:type="dxa"/>
            <w:vAlign w:val="center"/>
          </w:tcPr>
          <w:p w14:paraId="7FA975AF">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县市场监督管理局</w:t>
            </w:r>
          </w:p>
        </w:tc>
      </w:tr>
      <w:tr w14:paraId="262B2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07282569">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突发公共卫生事件</w:t>
            </w:r>
          </w:p>
        </w:tc>
        <w:tc>
          <w:tcPr>
            <w:tcW w:w="4531" w:type="dxa"/>
            <w:vAlign w:val="center"/>
          </w:tcPr>
          <w:p w14:paraId="627355B4">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县卫生健康局</w:t>
            </w:r>
          </w:p>
        </w:tc>
      </w:tr>
      <w:tr w14:paraId="4752E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32F61BDA">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重大动物疫情</w:t>
            </w:r>
          </w:p>
        </w:tc>
        <w:tc>
          <w:tcPr>
            <w:tcW w:w="4531" w:type="dxa"/>
            <w:vAlign w:val="center"/>
          </w:tcPr>
          <w:p w14:paraId="3E017669">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县农业农村局</w:t>
            </w:r>
          </w:p>
        </w:tc>
      </w:tr>
      <w:tr w14:paraId="36C1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gridSpan w:val="2"/>
            <w:vAlign w:val="center"/>
          </w:tcPr>
          <w:p w14:paraId="69B1E9A1">
            <w:pPr>
              <w:pStyle w:val="55"/>
              <w:rPr>
                <w:rFonts w:ascii="Times New Roman" w:hAnsi="Times New Roman" w:eastAsia="仿宋_GB2312" w:cs="Times New Roman"/>
                <w:b w:val="0"/>
                <w:bCs/>
                <w:sz w:val="28"/>
                <w:szCs w:val="28"/>
              </w:rPr>
            </w:pPr>
            <w:r>
              <w:rPr>
                <w:rFonts w:ascii="Times New Roman" w:hAnsi="Times New Roman" w:eastAsia="仿宋_GB2312" w:cs="Times New Roman"/>
                <w:sz w:val="28"/>
                <w:szCs w:val="28"/>
              </w:rPr>
              <w:t>四、社会安全类</w:t>
            </w:r>
          </w:p>
        </w:tc>
      </w:tr>
      <w:tr w14:paraId="440A4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44FA2383">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大规模群体性事件</w:t>
            </w:r>
          </w:p>
        </w:tc>
        <w:tc>
          <w:tcPr>
            <w:tcW w:w="4531" w:type="dxa"/>
            <w:vAlign w:val="center"/>
          </w:tcPr>
          <w:p w14:paraId="22803285">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县公安局</w:t>
            </w:r>
          </w:p>
        </w:tc>
      </w:tr>
      <w:tr w14:paraId="1EC51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56CD5E40">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教育系统突发事件</w:t>
            </w:r>
          </w:p>
        </w:tc>
        <w:tc>
          <w:tcPr>
            <w:tcW w:w="4531" w:type="dxa"/>
            <w:vAlign w:val="center"/>
          </w:tcPr>
          <w:p w14:paraId="1A356CBE">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县教育和体育局</w:t>
            </w:r>
          </w:p>
        </w:tc>
      </w:tr>
      <w:tr w14:paraId="78F0E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4FC3F2A9">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民族宗教方面群体性事件</w:t>
            </w:r>
          </w:p>
        </w:tc>
        <w:tc>
          <w:tcPr>
            <w:tcW w:w="4531" w:type="dxa"/>
            <w:vAlign w:val="center"/>
          </w:tcPr>
          <w:p w14:paraId="27FD2414">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县民族宗教事务管理局</w:t>
            </w:r>
          </w:p>
        </w:tc>
      </w:tr>
      <w:tr w14:paraId="55998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7D908B16">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恐怖袭击事件</w:t>
            </w:r>
          </w:p>
        </w:tc>
        <w:tc>
          <w:tcPr>
            <w:tcW w:w="4531" w:type="dxa"/>
            <w:vAlign w:val="center"/>
          </w:tcPr>
          <w:p w14:paraId="782FC8C1">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县公安局</w:t>
            </w:r>
          </w:p>
        </w:tc>
      </w:tr>
      <w:tr w14:paraId="74DC0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42DFF6D8">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重特大刑事案件</w:t>
            </w:r>
          </w:p>
        </w:tc>
        <w:tc>
          <w:tcPr>
            <w:tcW w:w="4531" w:type="dxa"/>
            <w:vAlign w:val="center"/>
          </w:tcPr>
          <w:p w14:paraId="0E74D2AB">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县公安局</w:t>
            </w:r>
          </w:p>
        </w:tc>
      </w:tr>
      <w:tr w14:paraId="4A2AE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02C4722D">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涉外突发事件</w:t>
            </w:r>
          </w:p>
        </w:tc>
        <w:tc>
          <w:tcPr>
            <w:tcW w:w="4531" w:type="dxa"/>
            <w:vAlign w:val="center"/>
          </w:tcPr>
          <w:p w14:paraId="3219020D">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县公安局</w:t>
            </w:r>
          </w:p>
        </w:tc>
      </w:tr>
      <w:tr w14:paraId="26658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gridSpan w:val="2"/>
            <w:vAlign w:val="center"/>
          </w:tcPr>
          <w:p w14:paraId="4A632890">
            <w:pPr>
              <w:pStyle w:val="55"/>
              <w:rPr>
                <w:rFonts w:ascii="Times New Roman" w:hAnsi="Times New Roman" w:eastAsia="仿宋_GB2312" w:cs="Times New Roman"/>
                <w:b w:val="0"/>
                <w:bCs/>
                <w:sz w:val="28"/>
                <w:szCs w:val="28"/>
              </w:rPr>
            </w:pPr>
            <w:r>
              <w:rPr>
                <w:rFonts w:ascii="Times New Roman" w:hAnsi="Times New Roman" w:eastAsia="仿宋_GB2312" w:cs="Times New Roman"/>
                <w:sz w:val="28"/>
                <w:szCs w:val="28"/>
              </w:rPr>
              <w:t>五、应急保障类</w:t>
            </w:r>
          </w:p>
        </w:tc>
      </w:tr>
      <w:tr w14:paraId="76EF3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359F5520">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自然灾害救助应急保障</w:t>
            </w:r>
          </w:p>
        </w:tc>
        <w:tc>
          <w:tcPr>
            <w:tcW w:w="4531" w:type="dxa"/>
            <w:vAlign w:val="center"/>
          </w:tcPr>
          <w:p w14:paraId="5E5BD778">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县应急管理局</w:t>
            </w:r>
          </w:p>
        </w:tc>
      </w:tr>
      <w:tr w14:paraId="74E78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651BB763">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突发事件治安维护保障</w:t>
            </w:r>
          </w:p>
        </w:tc>
        <w:tc>
          <w:tcPr>
            <w:tcW w:w="4531" w:type="dxa"/>
            <w:vAlign w:val="center"/>
          </w:tcPr>
          <w:p w14:paraId="638AB549">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县公安局</w:t>
            </w:r>
          </w:p>
        </w:tc>
      </w:tr>
      <w:tr w14:paraId="76664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2B332182">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突发事件医疗卫生救援保障</w:t>
            </w:r>
          </w:p>
        </w:tc>
        <w:tc>
          <w:tcPr>
            <w:tcW w:w="4531" w:type="dxa"/>
            <w:vAlign w:val="center"/>
          </w:tcPr>
          <w:p w14:paraId="2450F0C4">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县卫生健康局</w:t>
            </w:r>
          </w:p>
        </w:tc>
      </w:tr>
      <w:tr w14:paraId="37951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2F1C7206">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通信保障</w:t>
            </w:r>
          </w:p>
        </w:tc>
        <w:tc>
          <w:tcPr>
            <w:tcW w:w="4531" w:type="dxa"/>
            <w:vAlign w:val="center"/>
          </w:tcPr>
          <w:p w14:paraId="57B8CD97">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县工业信息科技局</w:t>
            </w:r>
          </w:p>
        </w:tc>
      </w:tr>
      <w:tr w14:paraId="23B28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14:paraId="1E472737">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交通运输应急保障</w:t>
            </w:r>
          </w:p>
        </w:tc>
        <w:tc>
          <w:tcPr>
            <w:tcW w:w="4531" w:type="dxa"/>
            <w:vAlign w:val="center"/>
          </w:tcPr>
          <w:p w14:paraId="25DF0677">
            <w:pPr>
              <w:pStyle w:val="55"/>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县交通运输局</w:t>
            </w:r>
          </w:p>
        </w:tc>
      </w:tr>
    </w:tbl>
    <w:p w14:paraId="2A2DF852">
      <w:pPr>
        <w:ind w:firstLine="632"/>
        <w:rPr>
          <w:rFonts w:ascii="Times New Roman" w:hAnsi="Times New Roman" w:cs="Times New Roman"/>
        </w:rPr>
      </w:pPr>
    </w:p>
    <w:p w14:paraId="1CC3E344">
      <w:pPr>
        <w:pStyle w:val="15"/>
        <w:ind w:left="632" w:firstLine="632"/>
        <w:rPr>
          <w:rFonts w:ascii="Times New Roman" w:hAnsi="Times New Roman" w:cs="Times New Roman"/>
        </w:rPr>
        <w:sectPr>
          <w:pgSz w:w="11906" w:h="16838"/>
          <w:pgMar w:top="2098" w:right="1474" w:bottom="1984" w:left="1587" w:header="624" w:footer="1134" w:gutter="0"/>
          <w:cols w:space="720" w:num="1"/>
          <w:docGrid w:type="linesAndChars" w:linePitch="579" w:charSpace="-842"/>
        </w:sectPr>
      </w:pPr>
    </w:p>
    <w:p w14:paraId="38AEB5E6">
      <w:pPr>
        <w:pStyle w:val="2"/>
        <w:numPr>
          <w:ilvl w:val="0"/>
          <w:numId w:val="0"/>
        </w:numPr>
        <w:rPr>
          <w:rFonts w:ascii="Times New Roman" w:hAnsi="Times New Roman" w:cs="Times New Roman"/>
        </w:rPr>
      </w:pPr>
      <w:bookmarkStart w:id="155" w:name="_Toc14674"/>
      <w:r>
        <w:rPr>
          <w:rFonts w:ascii="Times New Roman" w:hAnsi="Times New Roman" w:cs="Times New Roman"/>
        </w:rPr>
        <w:t>附件3</w:t>
      </w:r>
      <w:bookmarkEnd w:id="150"/>
      <w:bookmarkEnd w:id="151"/>
      <w:bookmarkEnd w:id="152"/>
      <w:bookmarkEnd w:id="153"/>
      <w:bookmarkEnd w:id="154"/>
      <w:r>
        <w:rPr>
          <w:rFonts w:ascii="Times New Roman" w:hAnsi="Times New Roman" w:cs="Times New Roman"/>
        </w:rPr>
        <w:t>：集贤县应急职能单位应急工作职责</w:t>
      </w:r>
      <w:bookmarkEnd w:id="155"/>
    </w:p>
    <w:p w14:paraId="3F5A3F66">
      <w:pPr>
        <w:pStyle w:val="32"/>
        <w:rPr>
          <w:rFonts w:ascii="Times New Roman" w:hAnsi="Times New Roman" w:cs="Times New Roman"/>
        </w:rPr>
      </w:pPr>
    </w:p>
    <w:p w14:paraId="5C3C48AD">
      <w:pPr>
        <w:ind w:firstLine="634"/>
        <w:rPr>
          <w:rFonts w:ascii="Times New Roman" w:hAnsi="Times New Roman" w:cs="Times New Roman"/>
          <w:b/>
          <w:bCs/>
        </w:rPr>
      </w:pPr>
      <w:r>
        <w:rPr>
          <w:rFonts w:ascii="Times New Roman" w:hAnsi="Times New Roman" w:cs="Times New Roman"/>
          <w:b/>
          <w:bCs/>
        </w:rPr>
        <w:t>一、各单位共有的职责</w:t>
      </w:r>
    </w:p>
    <w:p w14:paraId="1C16BD2F">
      <w:pPr>
        <w:ind w:firstLine="632"/>
        <w:rPr>
          <w:rFonts w:ascii="Times New Roman" w:hAnsi="Times New Roman" w:cs="Times New Roman"/>
        </w:rPr>
      </w:pPr>
      <w:r>
        <w:rPr>
          <w:rFonts w:ascii="Times New Roman" w:hAnsi="Times New Roman" w:cs="Times New Roman"/>
        </w:rPr>
        <w:t>（1）贯彻执行县委、县政府有关应急管理工作的指示决定。</w:t>
      </w:r>
    </w:p>
    <w:p w14:paraId="0B24DB68">
      <w:pPr>
        <w:ind w:firstLine="632"/>
        <w:rPr>
          <w:rFonts w:ascii="Times New Roman" w:hAnsi="Times New Roman" w:cs="Times New Roman"/>
        </w:rPr>
      </w:pPr>
      <w:r>
        <w:rPr>
          <w:rFonts w:ascii="Times New Roman" w:hAnsi="Times New Roman" w:cs="Times New Roman"/>
        </w:rPr>
        <w:t>（2）完成县应急委部署的工作任务和确定的工作目标。</w:t>
      </w:r>
    </w:p>
    <w:p w14:paraId="1BE74CD6">
      <w:pPr>
        <w:ind w:firstLine="632"/>
        <w:rPr>
          <w:rFonts w:ascii="Times New Roman" w:hAnsi="Times New Roman" w:cs="Times New Roman"/>
        </w:rPr>
      </w:pPr>
      <w:r>
        <w:rPr>
          <w:rFonts w:ascii="Times New Roman" w:hAnsi="Times New Roman" w:cs="Times New Roman"/>
        </w:rPr>
        <w:t>（3）依照县突发事件总体应急预案和专项应急预案的有关规定负责本单位或本行业领域突发事件的应对工作。</w:t>
      </w:r>
    </w:p>
    <w:p w14:paraId="6D4492C4">
      <w:pPr>
        <w:ind w:firstLine="632"/>
        <w:rPr>
          <w:rFonts w:ascii="Times New Roman" w:hAnsi="Times New Roman" w:cs="Times New Roman"/>
        </w:rPr>
      </w:pPr>
      <w:r>
        <w:rPr>
          <w:rFonts w:ascii="Times New Roman" w:hAnsi="Times New Roman" w:cs="Times New Roman"/>
        </w:rPr>
        <w:t>（4）支持和配合其他成员单位组织开展与本单位职责相关的应急管理工作。</w:t>
      </w:r>
    </w:p>
    <w:p w14:paraId="1A549236">
      <w:pPr>
        <w:ind w:firstLine="632"/>
        <w:rPr>
          <w:rFonts w:ascii="Times New Roman" w:hAnsi="Times New Roman" w:cs="Times New Roman"/>
        </w:rPr>
      </w:pPr>
      <w:r>
        <w:rPr>
          <w:rFonts w:ascii="Times New Roman" w:hAnsi="Times New Roman" w:cs="Times New Roman"/>
        </w:rPr>
        <w:t>（5）定期分析本单位应急管理形势，认真履行应急管理工作职责。</w:t>
      </w:r>
    </w:p>
    <w:p w14:paraId="375388A5">
      <w:pPr>
        <w:ind w:firstLine="632"/>
        <w:rPr>
          <w:rFonts w:ascii="Times New Roman" w:hAnsi="Times New Roman" w:cs="Times New Roman"/>
        </w:rPr>
      </w:pPr>
      <w:r>
        <w:rPr>
          <w:rFonts w:ascii="Times New Roman" w:hAnsi="Times New Roman" w:cs="Times New Roman"/>
        </w:rPr>
        <w:t>（6）完成县应急委和县应急办交办的其他工作。</w:t>
      </w:r>
    </w:p>
    <w:p w14:paraId="01B374DF">
      <w:pPr>
        <w:ind w:firstLine="634"/>
        <w:rPr>
          <w:rFonts w:ascii="Times New Roman" w:hAnsi="Times New Roman" w:cs="Times New Roman"/>
          <w:b/>
          <w:bCs/>
        </w:rPr>
      </w:pPr>
      <w:r>
        <w:rPr>
          <w:rFonts w:ascii="Times New Roman" w:hAnsi="Times New Roman" w:cs="Times New Roman"/>
          <w:b/>
          <w:bCs/>
        </w:rPr>
        <w:t>二、主要应急职能单位及其职责</w:t>
      </w:r>
    </w:p>
    <w:p w14:paraId="1E7D8622">
      <w:pPr>
        <w:ind w:firstLine="632"/>
        <w:rPr>
          <w:rFonts w:ascii="Times New Roman" w:hAnsi="Times New Roman" w:cs="Times New Roman"/>
        </w:rPr>
      </w:pPr>
      <w:r>
        <w:rPr>
          <w:rFonts w:ascii="Times New Roman" w:hAnsi="Times New Roman" w:cs="Times New Roman"/>
        </w:rPr>
        <w:t>以下为各单位的主要职责，在专项应急预案中，根据突发事件应急处置特点对各单位职责进行进一步细化。</w:t>
      </w:r>
    </w:p>
    <w:p w14:paraId="3E099CC6">
      <w:pPr>
        <w:ind w:firstLine="634"/>
        <w:rPr>
          <w:rFonts w:ascii="Times New Roman" w:hAnsi="Times New Roman" w:cs="Times New Roman"/>
        </w:rPr>
      </w:pPr>
      <w:r>
        <w:rPr>
          <w:rFonts w:ascii="Times New Roman" w:hAnsi="Times New Roman" w:cs="Times New Roman"/>
          <w:b/>
          <w:bCs/>
        </w:rPr>
        <w:t>县人民政府办：</w:t>
      </w:r>
      <w:r>
        <w:rPr>
          <w:rFonts w:ascii="Times New Roman" w:hAnsi="Times New Roman" w:cs="Times New Roman"/>
        </w:rPr>
        <w:t>负责传达和落实县人民政府领导指示，协助处理各乡镇人民政府和县人民政府各部门向县人民政府反映的重要问题；协助处理需由县人民政府处理的突发事件的应急处置工作。</w:t>
      </w:r>
    </w:p>
    <w:p w14:paraId="78E88844">
      <w:pPr>
        <w:ind w:firstLine="634"/>
        <w:rPr>
          <w:rFonts w:ascii="Times New Roman" w:hAnsi="Times New Roman" w:cs="Times New Roman"/>
        </w:rPr>
      </w:pPr>
      <w:r>
        <w:rPr>
          <w:rFonts w:ascii="Times New Roman" w:hAnsi="Times New Roman" w:cs="Times New Roman"/>
          <w:b/>
          <w:bCs/>
        </w:rPr>
        <w:t>县委宣传部：</w:t>
      </w:r>
      <w:r>
        <w:rPr>
          <w:rFonts w:ascii="Times New Roman" w:hAnsi="Times New Roman" w:cs="Times New Roman"/>
        </w:rPr>
        <w:t>负责归口管理本县突发事件的新闻报道工作；提出自然灾害、事故灾难新闻报道意见；做好本县紧急处置自然灾害、事故灾难情况的新闻发布工作；协调新闻媒体做好新闻报道工作；网信部门加强对突发事件的舆情引导。</w:t>
      </w:r>
    </w:p>
    <w:p w14:paraId="1ED3D9A7">
      <w:pPr>
        <w:ind w:firstLine="634"/>
        <w:rPr>
          <w:rFonts w:ascii="Times New Roman" w:hAnsi="Times New Roman" w:cs="Times New Roman"/>
        </w:rPr>
      </w:pPr>
      <w:r>
        <w:rPr>
          <w:rFonts w:ascii="Times New Roman" w:hAnsi="Times New Roman" w:cs="Times New Roman"/>
          <w:b/>
          <w:bCs/>
        </w:rPr>
        <w:t>县财政局：</w:t>
      </w:r>
      <w:r>
        <w:rPr>
          <w:rFonts w:ascii="Times New Roman" w:hAnsi="Times New Roman" w:cs="Times New Roman"/>
        </w:rPr>
        <w:t>负责将县级负担的应急资金列入部门预算（日常应急管理费用、预案编制修订审查费用和预案大型演练费用等）；大型综合演练单独按项目预算安排，一般演练在正常工作经费中列支；会同有关部门单位安排应对突发事件重大建设项目资金。</w:t>
      </w:r>
    </w:p>
    <w:p w14:paraId="5EA9BFD6">
      <w:pPr>
        <w:ind w:firstLine="634"/>
        <w:rPr>
          <w:rFonts w:ascii="Times New Roman" w:hAnsi="Times New Roman" w:cs="Times New Roman"/>
        </w:rPr>
      </w:pPr>
      <w:r>
        <w:rPr>
          <w:rFonts w:ascii="Times New Roman" w:hAnsi="Times New Roman" w:cs="Times New Roman"/>
          <w:b/>
          <w:bCs/>
        </w:rPr>
        <w:t>县发展和改革局：</w:t>
      </w:r>
      <w:r>
        <w:rPr>
          <w:rFonts w:ascii="Times New Roman" w:hAnsi="Times New Roman" w:cs="Times New Roman"/>
        </w:rPr>
        <w:t>积极配合有关部门单位安排突发事件应对重大建设项目；制定市场价格监测、价格应急措施等；负责研究分析粮食安全形势和发展情况，对全县宏观粮食安全状况进行预测、预警，研究涉及粮食安全的重要问题，提出宏观调控政策建议；负责组织协调应急粮食的采购、加工、调运和供应。</w:t>
      </w:r>
    </w:p>
    <w:p w14:paraId="1253E69C">
      <w:pPr>
        <w:ind w:firstLine="634"/>
        <w:rPr>
          <w:rFonts w:ascii="Times New Roman" w:hAnsi="Times New Roman" w:cs="Times New Roman"/>
        </w:rPr>
      </w:pPr>
      <w:r>
        <w:rPr>
          <w:rFonts w:ascii="Times New Roman" w:hAnsi="Times New Roman" w:cs="Times New Roman"/>
          <w:b/>
          <w:bCs/>
        </w:rPr>
        <w:t>县文化广电和旅游局：</w:t>
      </w:r>
      <w:r>
        <w:rPr>
          <w:rFonts w:ascii="Times New Roman" w:hAnsi="Times New Roman" w:cs="Times New Roman"/>
        </w:rPr>
        <w:t>负责牵头协调、指导文化、旅游安全工作;负责大型文艺演出活动引发的事故等突发事件处置。</w:t>
      </w:r>
    </w:p>
    <w:p w14:paraId="33EB4C67">
      <w:pPr>
        <w:ind w:firstLine="634"/>
        <w:rPr>
          <w:rFonts w:ascii="Times New Roman" w:hAnsi="Times New Roman" w:cs="Times New Roman"/>
        </w:rPr>
      </w:pPr>
      <w:r>
        <w:rPr>
          <w:rFonts w:ascii="Times New Roman" w:hAnsi="Times New Roman" w:cs="Times New Roman"/>
          <w:b/>
          <w:bCs/>
        </w:rPr>
        <w:t>县农业农村局：</w:t>
      </w:r>
      <w:r>
        <w:rPr>
          <w:rFonts w:ascii="Times New Roman" w:hAnsi="Times New Roman" w:cs="Times New Roman"/>
        </w:rPr>
        <w:t>负责组织农技人员帮助指导灾区群众开展生产自救、恢复农业方面的生产、发展工作；负责农作物疫情、农业生物灾害应急工作；负责畜禽传染病疫情的监测、报告与防控。</w:t>
      </w:r>
    </w:p>
    <w:p w14:paraId="0741FEF5">
      <w:pPr>
        <w:ind w:firstLine="634"/>
        <w:rPr>
          <w:rFonts w:ascii="Times New Roman" w:hAnsi="Times New Roman" w:cs="Times New Roman"/>
        </w:rPr>
      </w:pPr>
      <w:r>
        <w:rPr>
          <w:rFonts w:ascii="Times New Roman" w:hAnsi="Times New Roman" w:cs="Times New Roman"/>
          <w:b/>
          <w:bCs/>
        </w:rPr>
        <w:t>县民政局：</w:t>
      </w:r>
      <w:r>
        <w:rPr>
          <w:rFonts w:ascii="Times New Roman" w:hAnsi="Times New Roman" w:cs="Times New Roman"/>
        </w:rPr>
        <w:t>负责做好灾民生活救助，组织、指导和开展救灾捐赠管理工作；筹措救灾捐赠物资，做好捐赠救灾物资的管理分配，并监督其使用情况。</w:t>
      </w:r>
    </w:p>
    <w:p w14:paraId="43CE8035">
      <w:pPr>
        <w:ind w:firstLine="634"/>
        <w:rPr>
          <w:rFonts w:ascii="Times New Roman" w:hAnsi="Times New Roman" w:cs="Times New Roman"/>
        </w:rPr>
      </w:pPr>
      <w:r>
        <w:rPr>
          <w:rFonts w:ascii="Times New Roman" w:hAnsi="Times New Roman" w:cs="Times New Roman"/>
          <w:b/>
          <w:bCs/>
        </w:rPr>
        <w:t>县应急管理局：</w:t>
      </w:r>
      <w:r>
        <w:rPr>
          <w:rFonts w:ascii="Times New Roman" w:hAnsi="Times New Roman" w:cs="Times New Roman"/>
        </w:rPr>
        <w:t>负责协调应急救援队伍参加突发事件应急救援工作，负责分配救灾款物并监督使用；协助开展自然灾害类突发事件的调查评估工作；管理全县应急救灾有关物资储备，实施应急救灾物资采购，负责县级救灾物资储备、轮换和日常管理，根据相关动用指令按程序组织调出。</w:t>
      </w:r>
    </w:p>
    <w:p w14:paraId="3C17AF7D">
      <w:pPr>
        <w:ind w:firstLine="634"/>
        <w:rPr>
          <w:rFonts w:ascii="Times New Roman" w:hAnsi="Times New Roman" w:cs="Times New Roman"/>
        </w:rPr>
      </w:pPr>
      <w:r>
        <w:rPr>
          <w:rFonts w:ascii="Times New Roman" w:hAnsi="Times New Roman" w:cs="Times New Roman"/>
          <w:b/>
          <w:bCs/>
        </w:rPr>
        <w:t>县卫生健康局：</w:t>
      </w:r>
      <w:r>
        <w:rPr>
          <w:rFonts w:ascii="Times New Roman" w:hAnsi="Times New Roman" w:cs="Times New Roman"/>
        </w:rPr>
        <w:t>负责组织协调有关部门和单位开展突发公共卫生事件应急处置工作；负责组织协调有关部门和单位开展突发公共卫生事件应急处置工作；组织指导突发公共卫生事件的预防控制、医疗应急处置；组织指导各类突发事件的医疗卫生救援工作；组织指导传染病、食源性疾病风险监测与预警工作；指导疾病控制机构与医疗卫生机构开展防灾减灾救灾工作。</w:t>
      </w:r>
    </w:p>
    <w:p w14:paraId="134782B1">
      <w:pPr>
        <w:ind w:firstLine="634"/>
        <w:rPr>
          <w:rFonts w:ascii="Times New Roman" w:hAnsi="Times New Roman" w:cs="Times New Roman"/>
        </w:rPr>
      </w:pPr>
      <w:r>
        <w:rPr>
          <w:rFonts w:ascii="Times New Roman" w:hAnsi="Times New Roman" w:cs="Times New Roman"/>
          <w:b/>
          <w:bCs/>
        </w:rPr>
        <w:t>县林业和草原局：</w:t>
      </w:r>
      <w:r>
        <w:rPr>
          <w:rFonts w:ascii="Times New Roman" w:hAnsi="Times New Roman" w:cs="Times New Roman"/>
        </w:rPr>
        <w:t>负责组织协调有关部门和单位开展林业和草原有害生物灾害应急处置工作；指导林业和草原有害生物防治、检疫工作。指导开展森林和草原防火巡护、野外火源管理、防火基础设施设备建设等工作。</w:t>
      </w:r>
    </w:p>
    <w:p w14:paraId="714A9EDE">
      <w:pPr>
        <w:ind w:firstLine="634"/>
        <w:rPr>
          <w:rFonts w:ascii="Times New Roman" w:hAnsi="Times New Roman" w:cs="Times New Roman"/>
        </w:rPr>
      </w:pPr>
      <w:r>
        <w:rPr>
          <w:rFonts w:ascii="Times New Roman" w:hAnsi="Times New Roman" w:cs="Times New Roman"/>
          <w:b/>
          <w:bCs/>
        </w:rPr>
        <w:t>县住房和城乡建设局：</w:t>
      </w:r>
      <w:r>
        <w:rPr>
          <w:rFonts w:ascii="Times New Roman" w:hAnsi="Times New Roman" w:cs="Times New Roman"/>
        </w:rPr>
        <w:t>负责处理建筑物倒塌和建设工程的安全事故，城市供水、供气、供暖系统事故的处置；负责其他应急工作中的供水、供气、供暖保障工作；</w:t>
      </w:r>
    </w:p>
    <w:p w14:paraId="3912CDB5">
      <w:pPr>
        <w:ind w:firstLine="634"/>
        <w:rPr>
          <w:rFonts w:ascii="Times New Roman" w:hAnsi="Times New Roman" w:cs="Times New Roman"/>
        </w:rPr>
      </w:pPr>
      <w:r>
        <w:rPr>
          <w:rFonts w:ascii="Times New Roman" w:hAnsi="Times New Roman" w:cs="Times New Roman"/>
          <w:b/>
          <w:bCs/>
        </w:rPr>
        <w:t>县审计局：</w:t>
      </w:r>
      <w:r>
        <w:rPr>
          <w:rFonts w:ascii="Times New Roman" w:hAnsi="Times New Roman" w:cs="Times New Roman"/>
        </w:rPr>
        <w:t>负责向县人民政府提交县本级应急预算执行情况的审计结果报告；负责审计各乡镇人民政府、县直各部门、事业单位及其下属单位的应急专项资金的使用情况。</w:t>
      </w:r>
    </w:p>
    <w:p w14:paraId="105413DE">
      <w:pPr>
        <w:ind w:firstLine="634"/>
        <w:rPr>
          <w:rFonts w:ascii="Times New Roman" w:hAnsi="Times New Roman" w:cs="Times New Roman"/>
        </w:rPr>
      </w:pPr>
      <w:r>
        <w:rPr>
          <w:rFonts w:ascii="Times New Roman" w:hAnsi="Times New Roman" w:cs="Times New Roman"/>
          <w:b/>
          <w:bCs/>
        </w:rPr>
        <w:t>县司法局：</w:t>
      </w:r>
      <w:r>
        <w:rPr>
          <w:rFonts w:ascii="Times New Roman" w:hAnsi="Times New Roman" w:cs="Times New Roman"/>
        </w:rPr>
        <w:t>负责协调机关公务员、法律服务工作者积极开展突发事件的法律宣传和法律服务工作；负责做好以县人民政府名义制发的有关应急工作方面的行政规范性文件合法性审查工作。</w:t>
      </w:r>
    </w:p>
    <w:p w14:paraId="4E737E7D">
      <w:pPr>
        <w:ind w:firstLine="634"/>
        <w:rPr>
          <w:rFonts w:ascii="Times New Roman" w:hAnsi="Times New Roman" w:cs="Times New Roman"/>
        </w:rPr>
      </w:pPr>
      <w:r>
        <w:rPr>
          <w:rFonts w:ascii="Times New Roman" w:hAnsi="Times New Roman" w:cs="Times New Roman"/>
          <w:b/>
          <w:bCs/>
        </w:rPr>
        <w:t>县自然资源局：</w:t>
      </w:r>
      <w:r>
        <w:rPr>
          <w:rFonts w:ascii="Times New Roman" w:hAnsi="Times New Roman" w:cs="Times New Roman"/>
        </w:rPr>
        <w:t>负责地质灾害损害情况进行调查；配合做好地质灾害应急救援相关工作，承担地质灾害应急救援的技术支撑工作；协调上级部门进行灾害评估、评审；做好受损房屋或村庄规划建设。</w:t>
      </w:r>
    </w:p>
    <w:p w14:paraId="1D37A71C">
      <w:pPr>
        <w:ind w:firstLine="634"/>
        <w:rPr>
          <w:rFonts w:ascii="Times New Roman" w:hAnsi="Times New Roman" w:cs="Times New Roman"/>
        </w:rPr>
      </w:pPr>
      <w:r>
        <w:rPr>
          <w:rFonts w:ascii="Times New Roman" w:hAnsi="Times New Roman" w:cs="Times New Roman"/>
          <w:b/>
          <w:bCs/>
        </w:rPr>
        <w:t>县交通运输局：</w:t>
      </w:r>
      <w:r>
        <w:rPr>
          <w:rFonts w:ascii="Times New Roman" w:hAnsi="Times New Roman" w:cs="Times New Roman"/>
        </w:rPr>
        <w:t>组织公路抢修及保通工作；指导交通运输行业开展防灾减灾救灾工作；组织实施交通运力保障工作。</w:t>
      </w:r>
    </w:p>
    <w:p w14:paraId="7E13135C">
      <w:pPr>
        <w:ind w:firstLine="634"/>
        <w:rPr>
          <w:rFonts w:ascii="Times New Roman" w:hAnsi="Times New Roman" w:cs="Times New Roman"/>
        </w:rPr>
      </w:pPr>
      <w:r>
        <w:rPr>
          <w:rFonts w:ascii="Times New Roman" w:hAnsi="Times New Roman" w:cs="Times New Roman"/>
          <w:b/>
          <w:bCs/>
        </w:rPr>
        <w:t>县教育和体育局：</w:t>
      </w:r>
      <w:r>
        <w:rPr>
          <w:rFonts w:ascii="Times New Roman" w:hAnsi="Times New Roman" w:cs="Times New Roman"/>
        </w:rPr>
        <w:t>负责涉及学校的突发事件处置；根据突发事件应对要求落实停课、停止户外活动、远程教学、利用学校场地开辟临时应急避难场所等应急处置措施；负责恢复灾后教学秩序。</w:t>
      </w:r>
    </w:p>
    <w:p w14:paraId="0E26D2AD">
      <w:pPr>
        <w:ind w:firstLine="634"/>
        <w:rPr>
          <w:rFonts w:ascii="Times New Roman" w:hAnsi="Times New Roman" w:cs="Times New Roman"/>
        </w:rPr>
      </w:pPr>
      <w:r>
        <w:rPr>
          <w:rFonts w:ascii="Times New Roman" w:hAnsi="Times New Roman" w:cs="Times New Roman"/>
          <w:b/>
          <w:bCs/>
        </w:rPr>
        <w:t>县公安局：</w:t>
      </w:r>
      <w:r>
        <w:rPr>
          <w:rFonts w:ascii="Times New Roman" w:hAnsi="Times New Roman" w:cs="Times New Roman"/>
        </w:rPr>
        <w:t>负责道路交通事故、群体性事件等应急工作；负责其他应急工作中的治安秩序维护、交通管制和协助党委政府相关部门的抢险救援等工作；负责异常天气（暴雪、暴雨冰雹）条件下的社会面治安秩序等。</w:t>
      </w:r>
    </w:p>
    <w:p w14:paraId="5D38F3F1">
      <w:pPr>
        <w:ind w:firstLine="634"/>
        <w:rPr>
          <w:rFonts w:ascii="Times New Roman" w:hAnsi="Times New Roman" w:cs="Times New Roman"/>
        </w:rPr>
      </w:pPr>
      <w:r>
        <w:rPr>
          <w:rFonts w:ascii="Times New Roman" w:hAnsi="Times New Roman" w:cs="Times New Roman"/>
          <w:b/>
          <w:bCs/>
        </w:rPr>
        <w:t>县消防救援大队：</w:t>
      </w:r>
      <w:r>
        <w:rPr>
          <w:rFonts w:ascii="Times New Roman" w:hAnsi="Times New Roman" w:cs="Times New Roman"/>
        </w:rPr>
        <w:t>负责火灾事故的应急工作；负责组织和指挥火灾现场扑救，承担或参加重大灾害事故和其他以抢救人员生命为主的应急救援工作；依法组织或参与火灾事故调查处理工作，统计火灾损失。</w:t>
      </w:r>
    </w:p>
    <w:p w14:paraId="1E0F49D5">
      <w:pPr>
        <w:ind w:firstLine="634"/>
        <w:rPr>
          <w:rFonts w:ascii="Times New Roman" w:hAnsi="Times New Roman" w:cs="Times New Roman"/>
        </w:rPr>
      </w:pPr>
      <w:r>
        <w:rPr>
          <w:rFonts w:ascii="Times New Roman" w:hAnsi="Times New Roman" w:cs="Times New Roman"/>
          <w:b/>
          <w:bCs/>
        </w:rPr>
        <w:t>县水务局：</w:t>
      </w:r>
      <w:r>
        <w:rPr>
          <w:rFonts w:ascii="Times New Roman" w:hAnsi="Times New Roman" w:cs="Times New Roman"/>
        </w:rPr>
        <w:t>负责全县水旱灾害防御工作；负责水情、旱情监测预警工作；编制重要江河和重要水工程防御洪水、抗御旱灾调度及应急水量调度方案并组织实施；承担防御洪水应急抢险的技术支撑工作。</w:t>
      </w:r>
    </w:p>
    <w:p w14:paraId="423FA3AA">
      <w:pPr>
        <w:ind w:firstLine="634"/>
        <w:rPr>
          <w:rFonts w:ascii="Times New Roman" w:hAnsi="Times New Roman" w:cs="Times New Roman"/>
        </w:rPr>
      </w:pPr>
      <w:r>
        <w:rPr>
          <w:rFonts w:ascii="Times New Roman" w:hAnsi="Times New Roman" w:cs="Times New Roman"/>
          <w:b/>
          <w:bCs/>
        </w:rPr>
        <w:t>双鸭山市集贤生态环境局：</w:t>
      </w:r>
      <w:r>
        <w:rPr>
          <w:rFonts w:ascii="Times New Roman" w:hAnsi="Times New Roman" w:cs="Times New Roman"/>
        </w:rPr>
        <w:t>负责调查处理环境污染事故和生态破坏事件，全县突发环境事件的应急、预警工作以及其他应急工作中的环境保护工作；负责全县环境监测和信息发布。</w:t>
      </w:r>
    </w:p>
    <w:p w14:paraId="397E6214">
      <w:pPr>
        <w:ind w:firstLine="634"/>
        <w:rPr>
          <w:rFonts w:ascii="Times New Roman" w:hAnsi="Times New Roman" w:cs="Times New Roman"/>
        </w:rPr>
      </w:pPr>
      <w:r>
        <w:rPr>
          <w:rFonts w:ascii="Times New Roman" w:hAnsi="Times New Roman" w:cs="Times New Roman"/>
          <w:b/>
          <w:bCs/>
        </w:rPr>
        <w:t>县气象局：</w:t>
      </w:r>
      <w:r>
        <w:rPr>
          <w:rFonts w:ascii="Times New Roman" w:hAnsi="Times New Roman" w:cs="Times New Roman"/>
        </w:rPr>
        <w:t>负责灾害性天气的监测、预警及预报，及时报送、发布气象信息，提出气象灾害防御措施；根据突发事件应对需要提供天气实况服务。</w:t>
      </w:r>
    </w:p>
    <w:p w14:paraId="6A64A8D7">
      <w:pPr>
        <w:ind w:firstLine="634"/>
        <w:rPr>
          <w:rFonts w:ascii="Times New Roman" w:hAnsi="Times New Roman" w:cs="Times New Roman"/>
        </w:rPr>
      </w:pPr>
      <w:r>
        <w:rPr>
          <w:rFonts w:ascii="Times New Roman" w:hAnsi="Times New Roman" w:cs="Times New Roman"/>
          <w:b/>
          <w:bCs/>
        </w:rPr>
        <w:t>县市场监督管理局：</w:t>
      </w:r>
      <w:r>
        <w:rPr>
          <w:rFonts w:ascii="Times New Roman" w:hAnsi="Times New Roman" w:cs="Times New Roman"/>
        </w:rPr>
        <w:t>负责突发事件发生后的市场秩序监管和流通商品质量监管；负责电梯、锅炉等特种设备事故的事故报告</w:t>
      </w:r>
      <w:r>
        <w:rPr>
          <w:rFonts w:hint="eastAsia" w:ascii="Times New Roman" w:hAnsi="Times New Roman" w:cs="Times New Roman"/>
        </w:rPr>
        <w:t>工作</w:t>
      </w:r>
      <w:r>
        <w:rPr>
          <w:rFonts w:ascii="Times New Roman" w:hAnsi="Times New Roman" w:cs="Times New Roman"/>
        </w:rPr>
        <w:t>；负责应急物资及产品生产的质量监督；负责食品质量安全事故、突发事件发生后的食品、药品监管；负责处理因药品和医疗器械事故引发的群体事件；负责经济安全中物价稳定应急工作；负责灾区物价稳定工作。</w:t>
      </w:r>
    </w:p>
    <w:p w14:paraId="72B8CFDA">
      <w:pPr>
        <w:ind w:firstLine="634"/>
        <w:rPr>
          <w:rFonts w:ascii="Times New Roman" w:hAnsi="Times New Roman" w:cs="Times New Roman"/>
        </w:rPr>
      </w:pPr>
      <w:r>
        <w:rPr>
          <w:rFonts w:ascii="Times New Roman" w:hAnsi="Times New Roman" w:cs="Times New Roman"/>
          <w:b/>
          <w:bCs/>
        </w:rPr>
        <w:t>县人民武装部：</w:t>
      </w:r>
      <w:r>
        <w:rPr>
          <w:rFonts w:ascii="Times New Roman" w:hAnsi="Times New Roman" w:cs="Times New Roman"/>
        </w:rPr>
        <w:t>负责组织协调民兵、预备役部队参加抢险救灾工作。</w:t>
      </w:r>
    </w:p>
    <w:p w14:paraId="3986B331">
      <w:pPr>
        <w:ind w:firstLine="634"/>
        <w:rPr>
          <w:rFonts w:ascii="Times New Roman" w:hAnsi="Times New Roman" w:cs="Times New Roman"/>
        </w:rPr>
      </w:pPr>
      <w:r>
        <w:rPr>
          <w:rFonts w:ascii="Times New Roman" w:hAnsi="Times New Roman" w:cs="Times New Roman"/>
          <w:b/>
          <w:bCs/>
        </w:rPr>
        <w:t>国网集贤县供电公司：</w:t>
      </w:r>
      <w:r>
        <w:rPr>
          <w:rFonts w:ascii="Times New Roman" w:hAnsi="Times New Roman" w:cs="Times New Roman"/>
        </w:rPr>
        <w:t>负责应急电力供应保障，组织进行灾区电力设备抢修，恢复电力供应。</w:t>
      </w:r>
    </w:p>
    <w:p w14:paraId="2EC22C54">
      <w:pPr>
        <w:ind w:firstLine="634"/>
        <w:rPr>
          <w:rFonts w:ascii="Times New Roman" w:hAnsi="Times New Roman" w:cs="Times New Roman"/>
        </w:rPr>
      </w:pPr>
      <w:r>
        <w:rPr>
          <w:rFonts w:ascii="Times New Roman" w:hAnsi="Times New Roman" w:cs="Times New Roman"/>
          <w:b/>
          <w:bCs/>
        </w:rPr>
        <w:t>中国移动集贤县分公司、中国电信集贤县分公司、中国联通集贤县分公司：</w:t>
      </w:r>
      <w:r>
        <w:rPr>
          <w:rFonts w:ascii="Times New Roman" w:hAnsi="Times New Roman" w:cs="Times New Roman"/>
        </w:rPr>
        <w:t>做好应急通信保障工作，协调调度应急通信设备，协调配合做好应急宣传动员工作。</w:t>
      </w:r>
    </w:p>
    <w:p w14:paraId="4E96ADCE">
      <w:pPr>
        <w:ind w:firstLine="634"/>
        <w:rPr>
          <w:rFonts w:ascii="Times New Roman" w:hAnsi="Times New Roman" w:cs="Times New Roman"/>
        </w:rPr>
      </w:pPr>
      <w:r>
        <w:rPr>
          <w:rFonts w:ascii="Times New Roman" w:hAnsi="Times New Roman" w:cs="Times New Roman"/>
          <w:b/>
          <w:bCs/>
        </w:rPr>
        <w:t>各乡镇人民政府：</w:t>
      </w:r>
      <w:r>
        <w:rPr>
          <w:rFonts w:ascii="Times New Roman" w:hAnsi="Times New Roman" w:cs="Times New Roman"/>
        </w:rPr>
        <w:t>负责做好本区域突发事件信息报告工作，配合县人民政府和相关专项应急指挥部在本地的应急处置或先期处置工作。</w:t>
      </w:r>
    </w:p>
    <w:p w14:paraId="760FFB9B">
      <w:pPr>
        <w:ind w:firstLine="632"/>
        <w:rPr>
          <w:rFonts w:ascii="Times New Roman" w:hAnsi="Times New Roman" w:cs="Times New Roman"/>
        </w:rPr>
      </w:pPr>
      <w:r>
        <w:rPr>
          <w:rFonts w:ascii="Times New Roman" w:hAnsi="Times New Roman" w:cs="Times New Roman"/>
        </w:rPr>
        <w:t>其他单位按照职责做好有关应急工作。</w:t>
      </w:r>
    </w:p>
    <w:p w14:paraId="3842D436">
      <w:pPr>
        <w:ind w:firstLine="632"/>
        <w:rPr>
          <w:rFonts w:ascii="Times New Roman" w:hAnsi="Times New Roman" w:cs="Times New Roman"/>
        </w:rPr>
      </w:pPr>
      <w:r>
        <w:rPr>
          <w:rFonts w:ascii="Times New Roman" w:hAnsi="Times New Roman" w:cs="Times New Roman"/>
        </w:rPr>
        <w:br w:type="page"/>
      </w:r>
    </w:p>
    <w:p w14:paraId="0EC0E70E">
      <w:pPr>
        <w:pStyle w:val="2"/>
        <w:numPr>
          <w:ilvl w:val="0"/>
          <w:numId w:val="0"/>
        </w:numPr>
        <w:rPr>
          <w:rFonts w:ascii="Times New Roman" w:hAnsi="Times New Roman" w:cs="Times New Roman"/>
        </w:rPr>
      </w:pPr>
      <w:bookmarkStart w:id="156" w:name="_Toc20076"/>
      <w:r>
        <w:rPr>
          <w:rFonts w:ascii="Times New Roman" w:hAnsi="Times New Roman" w:cs="Times New Roman"/>
        </w:rPr>
        <w:t>附件4：集贤县突发事件应对流程简图</w:t>
      </w:r>
      <w:bookmarkEnd w:id="156"/>
    </w:p>
    <w:p w14:paraId="4CC8C0AD">
      <w:pPr>
        <w:pStyle w:val="32"/>
        <w:rPr>
          <w:rFonts w:ascii="Times New Roman" w:hAnsi="Times New Roman" w:cs="Times New Roman"/>
        </w:rPr>
      </w:pPr>
    </w:p>
    <w:p w14:paraId="10EF8CE7">
      <w:pPr>
        <w:pStyle w:val="15"/>
        <w:ind w:left="0" w:leftChars="0" w:firstLine="0" w:firstLineChars="0"/>
        <w:rPr>
          <w:rFonts w:ascii="Times New Roman" w:hAnsi="Times New Roman" w:cs="Times New Roman"/>
        </w:rPr>
      </w:pPr>
      <w:r>
        <w:rPr>
          <w:rFonts w:ascii="Times New Roman" w:hAnsi="Times New Roman" w:cs="Times New Roman"/>
        </w:rPr>
        <w:drawing>
          <wp:anchor distT="0" distB="0" distL="114300" distR="114300" simplePos="0" relativeHeight="251661312" behindDoc="0" locked="0" layoutInCell="1" allowOverlap="1">
            <wp:simplePos x="0" y="0"/>
            <wp:positionH relativeFrom="column">
              <wp:posOffset>-319405</wp:posOffset>
            </wp:positionH>
            <wp:positionV relativeFrom="paragraph">
              <wp:posOffset>635</wp:posOffset>
            </wp:positionV>
            <wp:extent cx="6395085" cy="7341235"/>
            <wp:effectExtent l="0" t="0" r="5715" b="12065"/>
            <wp:wrapNone/>
            <wp:docPr id="9" name="图片 9" descr="未命名文件(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未命名文件(50)"/>
                    <pic:cNvPicPr>
                      <a:picLocks noChangeAspect="1"/>
                    </pic:cNvPicPr>
                  </pic:nvPicPr>
                  <pic:blipFill>
                    <a:blip r:embed="rId192"/>
                    <a:stretch>
                      <a:fillRect/>
                    </a:stretch>
                  </pic:blipFill>
                  <pic:spPr>
                    <a:xfrm>
                      <a:off x="0" y="0"/>
                      <a:ext cx="6395085" cy="7341235"/>
                    </a:xfrm>
                    <a:prstGeom prst="rect">
                      <a:avLst/>
                    </a:prstGeom>
                  </pic:spPr>
                </pic:pic>
              </a:graphicData>
            </a:graphic>
          </wp:anchor>
        </w:drawing>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676783BF">
      <w:pPr>
        <w:pStyle w:val="2"/>
        <w:numPr>
          <w:ilvl w:val="0"/>
          <w:numId w:val="0"/>
        </w:numPr>
        <w:rPr>
          <w:rFonts w:ascii="Times New Roman" w:hAnsi="Times New Roman" w:cs="Times New Roman"/>
        </w:rPr>
      </w:pPr>
      <w:r>
        <w:rPr>
          <w:rFonts w:ascii="Times New Roman" w:hAnsi="Times New Roman" w:cs="Times New Roman"/>
        </w:rPr>
        <w:t>附件5：</w:t>
      </w:r>
      <w:r>
        <w:rPr>
          <w:rFonts w:ascii="Times New Roman" w:hAnsi="Times New Roman" w:cs="Times New Roman"/>
          <w:b w:val="0"/>
        </w:rPr>
        <w:t>集贤县专项应急预案目录</w:t>
      </w:r>
    </w:p>
    <w:p w14:paraId="673CE790">
      <w:pPr>
        <w:pStyle w:val="32"/>
        <w:ind w:firstLine="632"/>
        <w:rPr>
          <w:rFonts w:ascii="Times New Roman" w:hAnsi="Times New Roman" w:cs="Times New Roman"/>
        </w:r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5"/>
      </w:tblGrid>
      <w:tr w14:paraId="370B3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5" w:type="dxa"/>
            <w:vAlign w:val="center"/>
          </w:tcPr>
          <w:p w14:paraId="0848A318">
            <w:pPr>
              <w:pStyle w:val="55"/>
              <w:ind w:firstLine="552"/>
              <w:rPr>
                <w:rFonts w:ascii="Times New Roman" w:hAnsi="Times New Roman" w:eastAsia="仿宋_GB2312" w:cs="Times New Roman"/>
                <w:sz w:val="28"/>
                <w:szCs w:val="28"/>
              </w:rPr>
            </w:pPr>
            <w:r>
              <w:rPr>
                <w:rFonts w:ascii="Times New Roman" w:hAnsi="Times New Roman" w:eastAsia="仿宋_GB2312" w:cs="Times New Roman"/>
                <w:sz w:val="28"/>
                <w:szCs w:val="28"/>
              </w:rPr>
              <w:t>事件类别</w:t>
            </w:r>
          </w:p>
        </w:tc>
      </w:tr>
      <w:tr w14:paraId="0DD60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5" w:type="dxa"/>
            <w:vAlign w:val="center"/>
          </w:tcPr>
          <w:p w14:paraId="463D4321">
            <w:pPr>
              <w:pStyle w:val="55"/>
              <w:ind w:firstLine="552"/>
              <w:rPr>
                <w:rFonts w:ascii="Times New Roman" w:hAnsi="Times New Roman" w:eastAsia="仿宋_GB2312" w:cs="Times New Roman"/>
                <w:sz w:val="28"/>
                <w:szCs w:val="28"/>
              </w:rPr>
            </w:pPr>
            <w:r>
              <w:rPr>
                <w:rFonts w:ascii="Times New Roman" w:hAnsi="Times New Roman" w:eastAsia="仿宋_GB2312" w:cs="Times New Roman"/>
                <w:sz w:val="28"/>
                <w:szCs w:val="28"/>
              </w:rPr>
              <w:t>一、自然灾害类</w:t>
            </w:r>
          </w:p>
        </w:tc>
      </w:tr>
      <w:tr w14:paraId="05766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5" w:type="dxa"/>
            <w:vAlign w:val="center"/>
          </w:tcPr>
          <w:p w14:paraId="78544573">
            <w:pPr>
              <w:pStyle w:val="55"/>
              <w:ind w:firstLine="552"/>
              <w:jc w:val="left"/>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1-集贤县山洪防御预案（修订稿）</w:t>
            </w:r>
          </w:p>
        </w:tc>
      </w:tr>
      <w:tr w14:paraId="34CEC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5" w:type="dxa"/>
            <w:vAlign w:val="center"/>
          </w:tcPr>
          <w:p w14:paraId="5E4DDE14">
            <w:pPr>
              <w:pStyle w:val="55"/>
              <w:ind w:firstLine="552"/>
              <w:jc w:val="left"/>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2-集贤县防汛应急预案（修订稿）</w:t>
            </w:r>
          </w:p>
        </w:tc>
      </w:tr>
      <w:tr w14:paraId="7191C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5" w:type="dxa"/>
            <w:vAlign w:val="center"/>
          </w:tcPr>
          <w:p w14:paraId="208FE2C9">
            <w:pPr>
              <w:pStyle w:val="55"/>
              <w:ind w:firstLine="552"/>
              <w:jc w:val="left"/>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3-集贤县抗旱应急预案（修订稿）</w:t>
            </w:r>
          </w:p>
        </w:tc>
      </w:tr>
      <w:tr w14:paraId="7E261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5" w:type="dxa"/>
            <w:vAlign w:val="center"/>
          </w:tcPr>
          <w:p w14:paraId="02419177">
            <w:pPr>
              <w:pStyle w:val="55"/>
              <w:ind w:firstLine="552"/>
              <w:jc w:val="left"/>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4-集贤县气象灾害应急预案（修订稿）</w:t>
            </w:r>
          </w:p>
        </w:tc>
      </w:tr>
      <w:tr w14:paraId="4C71E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5" w:type="dxa"/>
            <w:vAlign w:val="center"/>
          </w:tcPr>
          <w:p w14:paraId="22AF0AF7">
            <w:pPr>
              <w:pStyle w:val="55"/>
              <w:ind w:firstLine="552"/>
              <w:jc w:val="left"/>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5-集贤县林业和草原生物灾害应急预案（修订稿）</w:t>
            </w:r>
          </w:p>
        </w:tc>
      </w:tr>
      <w:tr w14:paraId="3337F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5" w:type="dxa"/>
            <w:vAlign w:val="center"/>
          </w:tcPr>
          <w:p w14:paraId="75383E03">
            <w:pPr>
              <w:pStyle w:val="55"/>
              <w:ind w:firstLine="552"/>
              <w:jc w:val="left"/>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6-集贤县地质灾害应急预案（修订稿）</w:t>
            </w:r>
          </w:p>
        </w:tc>
      </w:tr>
      <w:tr w14:paraId="25B22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5" w:type="dxa"/>
            <w:vAlign w:val="center"/>
          </w:tcPr>
          <w:p w14:paraId="1E215C3B">
            <w:pPr>
              <w:pStyle w:val="55"/>
              <w:ind w:firstLine="552"/>
              <w:jc w:val="left"/>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7-集贤县森林草原火灾应急预案（修订稿）</w:t>
            </w:r>
          </w:p>
        </w:tc>
      </w:tr>
      <w:tr w14:paraId="00221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5" w:type="dxa"/>
            <w:vAlign w:val="center"/>
          </w:tcPr>
          <w:p w14:paraId="7C0D29FF">
            <w:pPr>
              <w:pStyle w:val="55"/>
              <w:ind w:firstLine="552"/>
              <w:rPr>
                <w:rFonts w:ascii="Times New Roman" w:hAnsi="Times New Roman" w:eastAsia="仿宋_GB2312" w:cs="Times New Roman"/>
                <w:b w:val="0"/>
                <w:bCs/>
                <w:sz w:val="28"/>
                <w:szCs w:val="28"/>
              </w:rPr>
            </w:pPr>
            <w:r>
              <w:rPr>
                <w:rFonts w:ascii="Times New Roman" w:hAnsi="Times New Roman" w:eastAsia="仿宋_GB2312" w:cs="Times New Roman"/>
                <w:sz w:val="28"/>
                <w:szCs w:val="28"/>
              </w:rPr>
              <w:t>二、事故灾难类</w:t>
            </w:r>
          </w:p>
        </w:tc>
      </w:tr>
      <w:tr w14:paraId="40DD5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5" w:type="dxa"/>
            <w:vAlign w:val="center"/>
          </w:tcPr>
          <w:p w14:paraId="59668F0F">
            <w:pPr>
              <w:pStyle w:val="55"/>
              <w:ind w:firstLine="552"/>
              <w:jc w:val="left"/>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8-集贤县煤矿事故应急预案（修订稿）</w:t>
            </w:r>
          </w:p>
        </w:tc>
      </w:tr>
      <w:tr w14:paraId="5EEA5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5" w:type="dxa"/>
            <w:vAlign w:val="center"/>
          </w:tcPr>
          <w:p w14:paraId="442C2082">
            <w:pPr>
              <w:pStyle w:val="55"/>
              <w:ind w:firstLine="552"/>
              <w:jc w:val="left"/>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9-集贤县大面积停电应急预案（修订稿）</w:t>
            </w:r>
          </w:p>
        </w:tc>
      </w:tr>
      <w:tr w14:paraId="42C8F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5" w:type="dxa"/>
            <w:vAlign w:val="center"/>
          </w:tcPr>
          <w:p w14:paraId="191CB1BB">
            <w:pPr>
              <w:pStyle w:val="55"/>
              <w:ind w:firstLine="552"/>
              <w:jc w:val="left"/>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10-集贤县重特大火灾事故应急预案（修订稿）</w:t>
            </w:r>
          </w:p>
        </w:tc>
      </w:tr>
      <w:tr w14:paraId="57849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5" w:type="dxa"/>
            <w:vAlign w:val="center"/>
          </w:tcPr>
          <w:p w14:paraId="357DA8AC">
            <w:pPr>
              <w:pStyle w:val="55"/>
              <w:ind w:firstLine="552"/>
              <w:jc w:val="left"/>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11-集贤县道路交通事故应急预案（修订稿）</w:t>
            </w:r>
          </w:p>
        </w:tc>
      </w:tr>
      <w:tr w14:paraId="15956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5" w:type="dxa"/>
            <w:vAlign w:val="center"/>
          </w:tcPr>
          <w:p w14:paraId="785784BD">
            <w:pPr>
              <w:pStyle w:val="55"/>
              <w:ind w:firstLine="552"/>
              <w:jc w:val="left"/>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12-集贤县建筑施工安全生产事故应急预案（修订稿）</w:t>
            </w:r>
          </w:p>
        </w:tc>
      </w:tr>
      <w:tr w14:paraId="6BD4E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5" w:type="dxa"/>
            <w:vAlign w:val="center"/>
          </w:tcPr>
          <w:p w14:paraId="47FCD68C">
            <w:pPr>
              <w:pStyle w:val="55"/>
              <w:ind w:firstLine="552"/>
              <w:jc w:val="left"/>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13-集贤县供水突发事件应急预案（修订稿）</w:t>
            </w:r>
          </w:p>
        </w:tc>
      </w:tr>
      <w:tr w14:paraId="31956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5" w:type="dxa"/>
            <w:vAlign w:val="center"/>
          </w:tcPr>
          <w:p w14:paraId="4B17E045">
            <w:pPr>
              <w:pStyle w:val="55"/>
              <w:ind w:firstLine="552"/>
              <w:jc w:val="left"/>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14-集贤县特种设备事故应急预案（修订稿）</w:t>
            </w:r>
          </w:p>
        </w:tc>
      </w:tr>
      <w:tr w14:paraId="49FB2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5" w:type="dxa"/>
            <w:vAlign w:val="center"/>
          </w:tcPr>
          <w:p w14:paraId="55677D68">
            <w:pPr>
              <w:pStyle w:val="55"/>
              <w:ind w:firstLine="552"/>
              <w:jc w:val="left"/>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15-集贤县生产安全事故应急预案（修订稿）</w:t>
            </w:r>
          </w:p>
        </w:tc>
      </w:tr>
      <w:tr w14:paraId="11E17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5" w:type="dxa"/>
            <w:vAlign w:val="center"/>
          </w:tcPr>
          <w:p w14:paraId="1EEACE60">
            <w:pPr>
              <w:pStyle w:val="55"/>
              <w:ind w:firstLine="552"/>
              <w:jc w:val="left"/>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16-集贤县非煤矿山生产安全事故应急预案（修订稿）</w:t>
            </w:r>
          </w:p>
        </w:tc>
      </w:tr>
      <w:tr w14:paraId="47948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5" w:type="dxa"/>
            <w:vAlign w:val="center"/>
          </w:tcPr>
          <w:p w14:paraId="6B0A21BC">
            <w:pPr>
              <w:pStyle w:val="55"/>
              <w:ind w:firstLine="552"/>
              <w:jc w:val="left"/>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17-集贤县城镇燃气事故应急预案（修订稿）</w:t>
            </w:r>
          </w:p>
        </w:tc>
      </w:tr>
      <w:tr w14:paraId="2AEF7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5" w:type="dxa"/>
            <w:vAlign w:val="center"/>
          </w:tcPr>
          <w:p w14:paraId="25D46987">
            <w:pPr>
              <w:pStyle w:val="55"/>
              <w:ind w:firstLine="552"/>
              <w:jc w:val="left"/>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18-集贤县突发环境事件应急预案（修订稿）</w:t>
            </w:r>
          </w:p>
        </w:tc>
      </w:tr>
      <w:tr w14:paraId="42046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5" w:type="dxa"/>
            <w:vAlign w:val="center"/>
          </w:tcPr>
          <w:p w14:paraId="247CB0A9">
            <w:pPr>
              <w:pStyle w:val="55"/>
              <w:ind w:firstLine="552"/>
              <w:jc w:val="left"/>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19-集贤县危险化学品事故应急预案（修订稿）</w:t>
            </w:r>
          </w:p>
        </w:tc>
      </w:tr>
      <w:tr w14:paraId="14FE6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5" w:type="dxa"/>
            <w:vAlign w:val="center"/>
          </w:tcPr>
          <w:p w14:paraId="32596C3A">
            <w:pPr>
              <w:pStyle w:val="55"/>
              <w:ind w:firstLine="552"/>
              <w:rPr>
                <w:rFonts w:ascii="Times New Roman" w:hAnsi="Times New Roman" w:eastAsia="仿宋_GB2312" w:cs="Times New Roman"/>
                <w:b w:val="0"/>
                <w:bCs/>
                <w:sz w:val="28"/>
                <w:szCs w:val="28"/>
              </w:rPr>
            </w:pPr>
            <w:r>
              <w:rPr>
                <w:rFonts w:ascii="Times New Roman" w:hAnsi="Times New Roman" w:eastAsia="仿宋_GB2312" w:cs="Times New Roman"/>
                <w:sz w:val="28"/>
                <w:szCs w:val="28"/>
              </w:rPr>
              <w:t>三、公共卫生类</w:t>
            </w:r>
          </w:p>
        </w:tc>
      </w:tr>
      <w:tr w14:paraId="22DDE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5" w:type="dxa"/>
            <w:vAlign w:val="center"/>
          </w:tcPr>
          <w:p w14:paraId="2E1C31E0">
            <w:pPr>
              <w:pStyle w:val="55"/>
              <w:ind w:firstLine="552"/>
              <w:jc w:val="left"/>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20-集贤县食品安全事故应急预案（修订稿）</w:t>
            </w:r>
          </w:p>
        </w:tc>
      </w:tr>
      <w:tr w14:paraId="61DE1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5" w:type="dxa"/>
            <w:vAlign w:val="center"/>
          </w:tcPr>
          <w:p w14:paraId="537B33CF">
            <w:pPr>
              <w:pStyle w:val="55"/>
              <w:ind w:firstLine="552"/>
              <w:jc w:val="left"/>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21-集贤县突发公共卫生事件应急预案（修订稿）</w:t>
            </w:r>
          </w:p>
        </w:tc>
      </w:tr>
      <w:tr w14:paraId="39F3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5" w:type="dxa"/>
            <w:vAlign w:val="center"/>
          </w:tcPr>
          <w:p w14:paraId="6AEDFD49">
            <w:pPr>
              <w:pStyle w:val="55"/>
              <w:ind w:firstLine="552"/>
              <w:jc w:val="left"/>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22-集贤县重大动物疫情应急预案（修订稿）</w:t>
            </w:r>
          </w:p>
        </w:tc>
      </w:tr>
      <w:tr w14:paraId="12A03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5" w:type="dxa"/>
            <w:vAlign w:val="center"/>
          </w:tcPr>
          <w:p w14:paraId="471C6008">
            <w:pPr>
              <w:pStyle w:val="55"/>
              <w:ind w:firstLine="552"/>
              <w:rPr>
                <w:rFonts w:ascii="Times New Roman" w:hAnsi="Times New Roman" w:eastAsia="仿宋_GB2312" w:cs="Times New Roman"/>
                <w:b w:val="0"/>
                <w:bCs/>
                <w:sz w:val="28"/>
                <w:szCs w:val="28"/>
              </w:rPr>
            </w:pPr>
            <w:r>
              <w:rPr>
                <w:rFonts w:ascii="Times New Roman" w:hAnsi="Times New Roman" w:eastAsia="仿宋_GB2312" w:cs="Times New Roman"/>
                <w:sz w:val="28"/>
                <w:szCs w:val="28"/>
              </w:rPr>
              <w:t>四、社会安全类</w:t>
            </w:r>
          </w:p>
        </w:tc>
      </w:tr>
      <w:tr w14:paraId="64567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5" w:type="dxa"/>
            <w:vAlign w:val="center"/>
          </w:tcPr>
          <w:p w14:paraId="4F8CDA44">
            <w:pPr>
              <w:pStyle w:val="55"/>
              <w:ind w:firstLine="552"/>
              <w:jc w:val="left"/>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23-集贤县处置大规模群体性事件应急预案（修订稿）</w:t>
            </w:r>
          </w:p>
        </w:tc>
      </w:tr>
      <w:tr w14:paraId="25A6C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5" w:type="dxa"/>
            <w:vAlign w:val="center"/>
          </w:tcPr>
          <w:p w14:paraId="4A664D20">
            <w:pPr>
              <w:pStyle w:val="55"/>
              <w:ind w:firstLine="552"/>
              <w:jc w:val="left"/>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24-集贤县教育系统突发事件应急预案（修订稿）</w:t>
            </w:r>
          </w:p>
        </w:tc>
      </w:tr>
      <w:tr w14:paraId="58286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5" w:type="dxa"/>
            <w:vAlign w:val="center"/>
          </w:tcPr>
          <w:p w14:paraId="77D28932">
            <w:pPr>
              <w:pStyle w:val="55"/>
              <w:ind w:firstLine="552"/>
              <w:jc w:val="left"/>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25-集贤县民族宗教群体性事件应急预案（修订稿）</w:t>
            </w:r>
          </w:p>
        </w:tc>
      </w:tr>
      <w:tr w14:paraId="22BC3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5" w:type="dxa"/>
            <w:vAlign w:val="center"/>
          </w:tcPr>
          <w:p w14:paraId="7A790589">
            <w:pPr>
              <w:pStyle w:val="55"/>
              <w:ind w:firstLine="552"/>
              <w:jc w:val="left"/>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26-集贤县处置恐怖袭击事件应急预案（修订稿）</w:t>
            </w:r>
          </w:p>
        </w:tc>
      </w:tr>
      <w:tr w14:paraId="1E045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5" w:type="dxa"/>
            <w:vAlign w:val="center"/>
          </w:tcPr>
          <w:p w14:paraId="043746AE">
            <w:pPr>
              <w:pStyle w:val="55"/>
              <w:ind w:firstLine="552"/>
              <w:jc w:val="left"/>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27-集贤县处置重特大刑事案件应急预案（修订稿）</w:t>
            </w:r>
          </w:p>
        </w:tc>
      </w:tr>
      <w:tr w14:paraId="65CE8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5" w:type="dxa"/>
            <w:vAlign w:val="center"/>
          </w:tcPr>
          <w:p w14:paraId="17F2F77C">
            <w:pPr>
              <w:pStyle w:val="55"/>
              <w:ind w:firstLine="552"/>
              <w:jc w:val="left"/>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28-集贤县涉外突发事件应急预案（修订稿）</w:t>
            </w:r>
          </w:p>
        </w:tc>
      </w:tr>
      <w:tr w14:paraId="5CDF5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5" w:type="dxa"/>
            <w:vAlign w:val="center"/>
          </w:tcPr>
          <w:p w14:paraId="455FF81B">
            <w:pPr>
              <w:pStyle w:val="55"/>
              <w:ind w:firstLine="552"/>
              <w:rPr>
                <w:rFonts w:ascii="Times New Roman" w:hAnsi="Times New Roman" w:eastAsia="仿宋_GB2312" w:cs="Times New Roman"/>
                <w:b w:val="0"/>
                <w:bCs/>
                <w:sz w:val="28"/>
                <w:szCs w:val="28"/>
              </w:rPr>
            </w:pPr>
            <w:r>
              <w:rPr>
                <w:rFonts w:ascii="Times New Roman" w:hAnsi="Times New Roman" w:eastAsia="仿宋_GB2312" w:cs="Times New Roman"/>
                <w:sz w:val="28"/>
                <w:szCs w:val="28"/>
              </w:rPr>
              <w:t>五、应急保障类</w:t>
            </w:r>
          </w:p>
        </w:tc>
      </w:tr>
      <w:tr w14:paraId="27975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5" w:type="dxa"/>
            <w:vAlign w:val="center"/>
          </w:tcPr>
          <w:p w14:paraId="4E4470CB">
            <w:pPr>
              <w:pStyle w:val="55"/>
              <w:ind w:firstLine="552"/>
              <w:jc w:val="left"/>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29-集贤县突发事件治安维护应急保障预案（修订稿）</w:t>
            </w:r>
          </w:p>
        </w:tc>
      </w:tr>
      <w:tr w14:paraId="12227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5" w:type="dxa"/>
            <w:vAlign w:val="center"/>
          </w:tcPr>
          <w:p w14:paraId="3626E621">
            <w:pPr>
              <w:pStyle w:val="55"/>
              <w:ind w:firstLine="552"/>
              <w:jc w:val="left"/>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30-集贤县突发公共事件医疗卫生救援应急预案（修订稿）</w:t>
            </w:r>
          </w:p>
        </w:tc>
      </w:tr>
      <w:tr w14:paraId="6D3C3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5" w:type="dxa"/>
            <w:vAlign w:val="center"/>
          </w:tcPr>
          <w:p w14:paraId="21B15797">
            <w:pPr>
              <w:pStyle w:val="55"/>
              <w:ind w:firstLine="552"/>
              <w:jc w:val="left"/>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31-集贤县通信保障应急预案（修订稿）</w:t>
            </w:r>
          </w:p>
        </w:tc>
      </w:tr>
      <w:tr w14:paraId="2D81B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5" w:type="dxa"/>
            <w:vAlign w:val="center"/>
          </w:tcPr>
          <w:p w14:paraId="680A6F56">
            <w:pPr>
              <w:pStyle w:val="55"/>
              <w:ind w:firstLine="552"/>
              <w:jc w:val="left"/>
              <w:rPr>
                <w:rFonts w:ascii="Times New Roman" w:hAnsi="Times New Roman" w:eastAsia="仿宋_GB2312" w:cs="Times New Roman"/>
                <w:b w:val="0"/>
                <w:bCs/>
                <w:sz w:val="28"/>
                <w:szCs w:val="28"/>
              </w:rPr>
            </w:pPr>
            <w:r>
              <w:rPr>
                <w:rFonts w:ascii="Times New Roman" w:hAnsi="Times New Roman" w:eastAsia="仿宋_GB2312" w:cs="Times New Roman"/>
                <w:b w:val="0"/>
                <w:bCs/>
                <w:sz w:val="28"/>
                <w:szCs w:val="28"/>
              </w:rPr>
              <w:t>32-集贤县突发事件交通运输保障应急预案（修订稿）</w:t>
            </w:r>
          </w:p>
        </w:tc>
      </w:tr>
    </w:tbl>
    <w:p w14:paraId="58ADB0F0">
      <w:pPr>
        <w:pStyle w:val="15"/>
        <w:ind w:left="0" w:leftChars="0" w:firstLine="0" w:firstLineChars="0"/>
        <w:rPr>
          <w:rFonts w:ascii="Times New Roman" w:hAnsi="Times New Roman" w:cs="Times New Roman"/>
        </w:rPr>
        <w:sectPr>
          <w:pgSz w:w="11906" w:h="16838"/>
          <w:pgMar w:top="2098" w:right="1474" w:bottom="1984" w:left="1587" w:header="624" w:footer="1134" w:gutter="0"/>
          <w:cols w:space="720" w:num="1"/>
          <w:docGrid w:type="linesAndChars" w:linePitch="579" w:charSpace="-842"/>
        </w:sectPr>
      </w:pPr>
    </w:p>
    <w:p w14:paraId="2E7AB8A1">
      <w:pPr>
        <w:pStyle w:val="11"/>
        <w:ind w:firstLine="632"/>
      </w:pPr>
      <w:r>
        <w:rPr>
          <w:rFonts w:hint="eastAsia"/>
        </w:rPr>
        <w:t xml:space="preserve"> </w:t>
      </w:r>
    </w:p>
    <w:p w14:paraId="42C3E126">
      <w:pPr>
        <w:ind w:firstLine="0" w:firstLineChars="0"/>
        <w:jc w:val="center"/>
        <w:rPr>
          <w:sz w:val="36"/>
          <w:szCs w:val="36"/>
        </w:rPr>
      </w:pPr>
    </w:p>
    <w:p w14:paraId="049D0B0D">
      <w:pPr>
        <w:pStyle w:val="42"/>
      </w:pPr>
    </w:p>
    <w:p w14:paraId="6E47B3CE">
      <w:pPr>
        <w:autoSpaceDE w:val="0"/>
        <w:autoSpaceDN w:val="0"/>
        <w:adjustRightInd w:val="0"/>
        <w:spacing w:line="240" w:lineRule="atLeast"/>
        <w:ind w:firstLine="0" w:firstLineChars="0"/>
        <w:jc w:val="center"/>
        <w:rPr>
          <w:rFonts w:ascii="方正小标宋简体" w:hAnsi="方正小标宋简体" w:eastAsia="方正小标宋简体" w:cs="方正小标宋简体"/>
          <w:bCs/>
          <w:color w:val="000000"/>
          <w:spacing w:val="-6"/>
          <w:kern w:val="0"/>
          <w:sz w:val="52"/>
          <w:szCs w:val="52"/>
          <w:lang w:bidi="ar"/>
        </w:rPr>
      </w:pPr>
      <w:r>
        <w:rPr>
          <w:rFonts w:hint="eastAsia" w:ascii="方正小标宋简体" w:hAnsi="方正小标宋简体" w:eastAsia="方正小标宋简体" w:cs="方正小标宋简体"/>
          <w:bCs/>
          <w:color w:val="000000"/>
          <w:spacing w:val="-6"/>
          <w:kern w:val="0"/>
          <w:sz w:val="52"/>
          <w:szCs w:val="52"/>
          <w:lang w:bidi="ar"/>
        </w:rPr>
        <w:t>集贤县山洪防御预案</w:t>
      </w:r>
    </w:p>
    <w:p w14:paraId="05C1E200">
      <w:pPr>
        <w:pStyle w:val="11"/>
        <w:ind w:firstLine="0" w:firstLineChars="0"/>
        <w:jc w:val="center"/>
        <w:rPr>
          <w:rFonts w:ascii="Times New Roman" w:hAnsi="Times New Roman" w:eastAsia="楷体_GB2312" w:cs="Times New Roman"/>
          <w:b/>
          <w:sz w:val="52"/>
          <w:szCs w:val="52"/>
        </w:rPr>
      </w:pPr>
      <w:r>
        <w:rPr>
          <w:rFonts w:hint="eastAsia" w:ascii="仿宋_GB2312" w:hAnsi="仿宋_GB2312" w:cs="仿宋_GB2312"/>
          <w:bCs/>
          <w:sz w:val="48"/>
          <w:szCs w:val="48"/>
        </w:rPr>
        <w:t>（修订稿）</w:t>
      </w:r>
    </w:p>
    <w:p w14:paraId="2502A42E">
      <w:pPr>
        <w:ind w:firstLine="632"/>
      </w:pPr>
    </w:p>
    <w:p w14:paraId="459C2ED5">
      <w:pPr>
        <w:ind w:firstLine="632"/>
      </w:pPr>
    </w:p>
    <w:p w14:paraId="11F494F1">
      <w:pPr>
        <w:ind w:firstLine="632"/>
      </w:pPr>
    </w:p>
    <w:p w14:paraId="48EE770C">
      <w:pPr>
        <w:pStyle w:val="11"/>
        <w:ind w:firstLine="632"/>
      </w:pPr>
    </w:p>
    <w:p w14:paraId="0E184994">
      <w:pPr>
        <w:pStyle w:val="11"/>
        <w:ind w:firstLine="632"/>
      </w:pPr>
    </w:p>
    <w:p w14:paraId="6A6A850A">
      <w:pPr>
        <w:pStyle w:val="11"/>
        <w:ind w:firstLine="632"/>
      </w:pPr>
    </w:p>
    <w:p w14:paraId="5AFC8D8F">
      <w:pPr>
        <w:pStyle w:val="11"/>
        <w:ind w:firstLine="632"/>
      </w:pPr>
    </w:p>
    <w:p w14:paraId="4E0B1C38">
      <w:pPr>
        <w:pStyle w:val="11"/>
        <w:ind w:firstLine="632"/>
      </w:pPr>
    </w:p>
    <w:p w14:paraId="210B3224">
      <w:pPr>
        <w:ind w:firstLine="632"/>
      </w:pPr>
    </w:p>
    <w:p w14:paraId="7A4D345E">
      <w:pPr>
        <w:ind w:firstLine="632"/>
      </w:pPr>
    </w:p>
    <w:p w14:paraId="028C0140">
      <w:pPr>
        <w:pStyle w:val="42"/>
      </w:pPr>
    </w:p>
    <w:p w14:paraId="2B19EF38">
      <w:pPr>
        <w:pStyle w:val="42"/>
      </w:pPr>
    </w:p>
    <w:p w14:paraId="412843AD">
      <w:pPr>
        <w:ind w:firstLine="632"/>
      </w:pPr>
    </w:p>
    <w:p w14:paraId="66C4A191">
      <w:pPr>
        <w:ind w:firstLine="0" w:firstLineChars="0"/>
        <w:jc w:val="center"/>
        <w:rPr>
          <w:rFonts w:eastAsia="仿宋"/>
          <w:bCs/>
          <w:spacing w:val="-6"/>
          <w:sz w:val="36"/>
          <w:szCs w:val="24"/>
          <w:lang w:bidi="ar"/>
        </w:rPr>
      </w:pPr>
      <w:r>
        <w:rPr>
          <w:rFonts w:hint="eastAsia"/>
          <w:bCs/>
          <w:spacing w:val="-6"/>
          <w:sz w:val="36"/>
          <w:szCs w:val="24"/>
          <w:lang w:bidi="ar"/>
        </w:rPr>
        <w:t>集贤县</w:t>
      </w:r>
      <w:r>
        <w:rPr>
          <w:rFonts w:hint="eastAsia" w:eastAsia="仿宋"/>
          <w:bCs/>
          <w:spacing w:val="-6"/>
          <w:sz w:val="36"/>
          <w:szCs w:val="24"/>
          <w:lang w:bidi="ar"/>
        </w:rPr>
        <w:t>人民政府</w:t>
      </w:r>
      <w:r>
        <w:rPr>
          <w:rFonts w:hint="eastAsia"/>
          <w:bCs/>
          <w:spacing w:val="-6"/>
          <w:sz w:val="36"/>
          <w:szCs w:val="24"/>
          <w:lang w:bidi="ar"/>
        </w:rPr>
        <w:t xml:space="preserve"> </w:t>
      </w:r>
      <w:r>
        <w:rPr>
          <w:rFonts w:hint="eastAsia" w:eastAsia="仿宋"/>
          <w:bCs/>
          <w:spacing w:val="-6"/>
          <w:sz w:val="36"/>
          <w:szCs w:val="24"/>
          <w:lang w:bidi="ar"/>
        </w:rPr>
        <w:t>编制</w:t>
      </w:r>
    </w:p>
    <w:p w14:paraId="57C2CFD9">
      <w:pPr>
        <w:ind w:firstLine="0" w:firstLineChars="0"/>
        <w:jc w:val="center"/>
        <w:rPr>
          <w:rFonts w:eastAsia="仿宋"/>
          <w:bCs/>
          <w:spacing w:val="-6"/>
          <w:sz w:val="36"/>
          <w:szCs w:val="24"/>
          <w:lang w:bidi="ar"/>
        </w:rPr>
      </w:pPr>
      <w:r>
        <w:rPr>
          <w:rFonts w:hint="eastAsia" w:eastAsia="仿宋"/>
          <w:bCs/>
          <w:spacing w:val="-6"/>
          <w:sz w:val="36"/>
          <w:szCs w:val="24"/>
          <w:lang w:bidi="ar"/>
        </w:rPr>
        <w:t>202</w:t>
      </w:r>
      <w:r>
        <w:rPr>
          <w:bCs/>
          <w:spacing w:val="-6"/>
          <w:sz w:val="36"/>
          <w:szCs w:val="24"/>
          <w:lang w:bidi="ar"/>
        </w:rPr>
        <w:t>5</w:t>
      </w:r>
      <w:r>
        <w:rPr>
          <w:rFonts w:hint="eastAsia" w:eastAsia="仿宋"/>
          <w:bCs/>
          <w:spacing w:val="-6"/>
          <w:sz w:val="36"/>
          <w:szCs w:val="24"/>
          <w:lang w:bidi="ar"/>
        </w:rPr>
        <w:t>年</w:t>
      </w:r>
      <w:r>
        <w:rPr>
          <w:rFonts w:eastAsia="仿宋"/>
          <w:bCs/>
          <w:spacing w:val="-6"/>
          <w:sz w:val="36"/>
          <w:szCs w:val="24"/>
          <w:lang w:bidi="ar"/>
        </w:rPr>
        <w:t>5</w:t>
      </w:r>
      <w:r>
        <w:rPr>
          <w:rFonts w:hint="eastAsia" w:eastAsia="仿宋"/>
          <w:bCs/>
          <w:spacing w:val="-6"/>
          <w:sz w:val="36"/>
          <w:szCs w:val="24"/>
          <w:lang w:bidi="ar"/>
        </w:rPr>
        <w:t>月</w:t>
      </w:r>
    </w:p>
    <w:p w14:paraId="0ED38359">
      <w:pPr>
        <w:ind w:firstLine="0" w:firstLineChars="0"/>
        <w:sectPr>
          <w:footerReference r:id="rId9" w:type="default"/>
          <w:pgSz w:w="11906" w:h="16838"/>
          <w:pgMar w:top="2098" w:right="1474" w:bottom="1984" w:left="1587" w:header="1814" w:footer="1587" w:gutter="0"/>
          <w:pgNumType w:fmt="numberInDash"/>
          <w:cols w:space="720" w:num="1"/>
          <w:docGrid w:type="linesAndChars" w:linePitch="579" w:charSpace="-842"/>
        </w:sectPr>
      </w:pPr>
      <w:r>
        <w:rPr>
          <w:rFonts w:hint="eastAsia"/>
        </w:rPr>
        <w:br w:type="page"/>
      </w:r>
    </w:p>
    <w:p w14:paraId="6BD73677">
      <w:pPr>
        <w:ind w:firstLine="0" w:firstLineChars="0"/>
        <w:jc w:val="center"/>
        <w:rPr>
          <w:rFonts w:ascii="微软雅黑" w:hAnsi="微软雅黑" w:eastAsia="微软雅黑" w:cs="微软雅黑"/>
          <w:b/>
          <w:bCs/>
          <w:sz w:val="36"/>
          <w:szCs w:val="36"/>
        </w:rPr>
      </w:pPr>
      <w:r>
        <w:rPr>
          <w:rFonts w:hint="eastAsia" w:ascii="微软雅黑" w:hAnsi="微软雅黑" w:eastAsia="微软雅黑" w:cs="微软雅黑"/>
          <w:b/>
          <w:bCs/>
          <w:sz w:val="36"/>
          <w:szCs w:val="36"/>
        </w:rPr>
        <w:t>目  录</w:t>
      </w:r>
    </w:p>
    <w:p w14:paraId="4227ABD7">
      <w:pPr>
        <w:pStyle w:val="18"/>
      </w:pPr>
      <w:r>
        <w:rPr>
          <w:rFonts w:hint="eastAsia" w:ascii="黑体" w:hAnsi="黑体" w:eastAsia="黑体" w:cs="黑体"/>
          <w:sz w:val="44"/>
          <w:szCs w:val="44"/>
        </w:rPr>
        <w:fldChar w:fldCharType="begin"/>
      </w:r>
      <w:r>
        <w:rPr>
          <w:rFonts w:hint="eastAsia" w:ascii="黑体" w:hAnsi="黑体" w:eastAsia="黑体" w:cs="黑体"/>
          <w:sz w:val="44"/>
          <w:szCs w:val="44"/>
        </w:rPr>
        <w:instrText xml:space="preserve">TOC \o "1-2" \h \u </w:instrText>
      </w:r>
      <w:r>
        <w:rPr>
          <w:rFonts w:hint="eastAsia" w:ascii="黑体" w:hAnsi="黑体" w:eastAsia="黑体" w:cs="黑体"/>
          <w:sz w:val="44"/>
          <w:szCs w:val="44"/>
        </w:rPr>
        <w:fldChar w:fldCharType="separate"/>
      </w:r>
      <w:r>
        <w:fldChar w:fldCharType="begin"/>
      </w:r>
      <w:r>
        <w:instrText xml:space="preserve"> HYPERLINK \l "_Toc16471" </w:instrText>
      </w:r>
      <w:r>
        <w:fldChar w:fldCharType="separate"/>
      </w:r>
      <w:r>
        <w:rPr>
          <w:rFonts w:eastAsia="仿宋"/>
        </w:rPr>
        <w:t xml:space="preserve">1 </w:t>
      </w:r>
      <w:r>
        <w:rPr>
          <w:rFonts w:hint="eastAsia"/>
        </w:rPr>
        <w:t>总则</w:t>
      </w:r>
      <w:r>
        <w:tab/>
      </w:r>
      <w:r>
        <w:fldChar w:fldCharType="begin"/>
      </w:r>
      <w:r>
        <w:instrText xml:space="preserve"> PAGEREF _Toc16471 \h </w:instrText>
      </w:r>
      <w:r>
        <w:fldChar w:fldCharType="separate"/>
      </w:r>
      <w:r>
        <w:t>1</w:t>
      </w:r>
      <w:r>
        <w:fldChar w:fldCharType="end"/>
      </w:r>
      <w:r>
        <w:fldChar w:fldCharType="end"/>
      </w:r>
    </w:p>
    <w:p w14:paraId="1B46DDAE">
      <w:pPr>
        <w:pStyle w:val="19"/>
        <w:tabs>
          <w:tab w:val="right" w:leader="dot" w:pos="8845"/>
        </w:tabs>
        <w:ind w:firstLine="632"/>
      </w:pPr>
      <w:r>
        <w:fldChar w:fldCharType="begin"/>
      </w:r>
      <w:r>
        <w:instrText xml:space="preserve"> HYPERLINK \l "_Toc22931" </w:instrText>
      </w:r>
      <w:r>
        <w:fldChar w:fldCharType="separate"/>
      </w:r>
      <w:r>
        <w:rPr>
          <w:rFonts w:eastAsia="仿宋"/>
          <w:bCs/>
          <w:szCs w:val="28"/>
        </w:rPr>
        <w:t xml:space="preserve">1.1 </w:t>
      </w:r>
      <w:r>
        <w:rPr>
          <w:rFonts w:hint="eastAsia"/>
        </w:rPr>
        <w:t>编制目的</w:t>
      </w:r>
      <w:r>
        <w:tab/>
      </w:r>
      <w:r>
        <w:fldChar w:fldCharType="begin"/>
      </w:r>
      <w:r>
        <w:instrText xml:space="preserve"> PAGEREF _Toc22931 \h </w:instrText>
      </w:r>
      <w:r>
        <w:fldChar w:fldCharType="separate"/>
      </w:r>
      <w:r>
        <w:t>1</w:t>
      </w:r>
      <w:r>
        <w:fldChar w:fldCharType="end"/>
      </w:r>
      <w:r>
        <w:fldChar w:fldCharType="end"/>
      </w:r>
    </w:p>
    <w:p w14:paraId="79A9D791">
      <w:pPr>
        <w:pStyle w:val="19"/>
        <w:tabs>
          <w:tab w:val="right" w:leader="dot" w:pos="8845"/>
        </w:tabs>
        <w:ind w:firstLine="632"/>
      </w:pPr>
      <w:r>
        <w:fldChar w:fldCharType="begin"/>
      </w:r>
      <w:r>
        <w:instrText xml:space="preserve"> HYPERLINK \l "_Toc20130" </w:instrText>
      </w:r>
      <w:r>
        <w:fldChar w:fldCharType="separate"/>
      </w:r>
      <w:r>
        <w:rPr>
          <w:rFonts w:eastAsia="仿宋"/>
          <w:bCs/>
          <w:szCs w:val="28"/>
        </w:rPr>
        <w:t xml:space="preserve">1.2 </w:t>
      </w:r>
      <w:r>
        <w:rPr>
          <w:rFonts w:hint="eastAsia"/>
        </w:rPr>
        <w:t>编制依据</w:t>
      </w:r>
      <w:r>
        <w:tab/>
      </w:r>
      <w:r>
        <w:fldChar w:fldCharType="begin"/>
      </w:r>
      <w:r>
        <w:instrText xml:space="preserve"> PAGEREF _Toc20130 \h </w:instrText>
      </w:r>
      <w:r>
        <w:fldChar w:fldCharType="separate"/>
      </w:r>
      <w:r>
        <w:t>1</w:t>
      </w:r>
      <w:r>
        <w:fldChar w:fldCharType="end"/>
      </w:r>
      <w:r>
        <w:fldChar w:fldCharType="end"/>
      </w:r>
    </w:p>
    <w:p w14:paraId="7E42AD62">
      <w:pPr>
        <w:pStyle w:val="19"/>
        <w:tabs>
          <w:tab w:val="right" w:leader="dot" w:pos="8845"/>
        </w:tabs>
        <w:ind w:firstLine="632"/>
      </w:pPr>
      <w:r>
        <w:fldChar w:fldCharType="begin"/>
      </w:r>
      <w:r>
        <w:instrText xml:space="preserve"> HYPERLINK \l "_Toc26335" </w:instrText>
      </w:r>
      <w:r>
        <w:fldChar w:fldCharType="separate"/>
      </w:r>
      <w:r>
        <w:rPr>
          <w:rFonts w:eastAsia="仿宋"/>
          <w:bCs/>
          <w:szCs w:val="28"/>
        </w:rPr>
        <w:t xml:space="preserve">1.3 </w:t>
      </w:r>
      <w:r>
        <w:rPr>
          <w:rFonts w:hint="eastAsia"/>
        </w:rPr>
        <w:t>编制原则</w:t>
      </w:r>
      <w:r>
        <w:tab/>
      </w:r>
      <w:r>
        <w:fldChar w:fldCharType="begin"/>
      </w:r>
      <w:r>
        <w:instrText xml:space="preserve"> PAGEREF _Toc26335 \h </w:instrText>
      </w:r>
      <w:r>
        <w:fldChar w:fldCharType="separate"/>
      </w:r>
      <w:r>
        <w:t>1</w:t>
      </w:r>
      <w:r>
        <w:fldChar w:fldCharType="end"/>
      </w:r>
      <w:r>
        <w:fldChar w:fldCharType="end"/>
      </w:r>
    </w:p>
    <w:p w14:paraId="5FAA1840">
      <w:pPr>
        <w:pStyle w:val="19"/>
        <w:tabs>
          <w:tab w:val="right" w:leader="dot" w:pos="8845"/>
        </w:tabs>
        <w:ind w:firstLine="632"/>
      </w:pPr>
      <w:r>
        <w:fldChar w:fldCharType="begin"/>
      </w:r>
      <w:r>
        <w:instrText xml:space="preserve"> HYPERLINK \l "_Toc19168" </w:instrText>
      </w:r>
      <w:r>
        <w:fldChar w:fldCharType="separate"/>
      </w:r>
      <w:r>
        <w:rPr>
          <w:rFonts w:eastAsia="仿宋"/>
          <w:bCs/>
          <w:szCs w:val="28"/>
        </w:rPr>
        <w:t xml:space="preserve">1.4 </w:t>
      </w:r>
      <w:r>
        <w:rPr>
          <w:rFonts w:hint="eastAsia"/>
        </w:rPr>
        <w:t>适用范围</w:t>
      </w:r>
      <w:r>
        <w:tab/>
      </w:r>
      <w:r>
        <w:fldChar w:fldCharType="begin"/>
      </w:r>
      <w:r>
        <w:instrText xml:space="preserve"> PAGEREF _Toc19168 \h </w:instrText>
      </w:r>
      <w:r>
        <w:fldChar w:fldCharType="separate"/>
      </w:r>
      <w:r>
        <w:t>1</w:t>
      </w:r>
      <w:r>
        <w:fldChar w:fldCharType="end"/>
      </w:r>
      <w:r>
        <w:fldChar w:fldCharType="end"/>
      </w:r>
    </w:p>
    <w:p w14:paraId="2A9F3281">
      <w:pPr>
        <w:pStyle w:val="19"/>
        <w:tabs>
          <w:tab w:val="right" w:leader="dot" w:pos="8845"/>
        </w:tabs>
        <w:ind w:firstLine="632"/>
      </w:pPr>
      <w:r>
        <w:fldChar w:fldCharType="begin"/>
      </w:r>
      <w:r>
        <w:instrText xml:space="preserve"> HYPERLINK \l "_Toc8163" </w:instrText>
      </w:r>
      <w:r>
        <w:fldChar w:fldCharType="separate"/>
      </w:r>
      <w:r>
        <w:rPr>
          <w:rFonts w:eastAsia="仿宋"/>
          <w:bCs/>
          <w:szCs w:val="28"/>
        </w:rPr>
        <w:t xml:space="preserve">1.5 </w:t>
      </w:r>
      <w:r>
        <w:rPr>
          <w:rFonts w:hint="eastAsia"/>
        </w:rPr>
        <w:t>编制单位审批权限</w:t>
      </w:r>
      <w:r>
        <w:tab/>
      </w:r>
      <w:r>
        <w:fldChar w:fldCharType="begin"/>
      </w:r>
      <w:r>
        <w:instrText xml:space="preserve"> PAGEREF _Toc8163 \h </w:instrText>
      </w:r>
      <w:r>
        <w:fldChar w:fldCharType="separate"/>
      </w:r>
      <w:r>
        <w:t>2</w:t>
      </w:r>
      <w:r>
        <w:fldChar w:fldCharType="end"/>
      </w:r>
      <w:r>
        <w:fldChar w:fldCharType="end"/>
      </w:r>
    </w:p>
    <w:p w14:paraId="2E8C18BC">
      <w:pPr>
        <w:pStyle w:val="19"/>
        <w:tabs>
          <w:tab w:val="right" w:leader="dot" w:pos="8845"/>
        </w:tabs>
        <w:ind w:firstLine="632"/>
      </w:pPr>
      <w:r>
        <w:fldChar w:fldCharType="begin"/>
      </w:r>
      <w:r>
        <w:instrText xml:space="preserve"> HYPERLINK \l "_Toc18482" </w:instrText>
      </w:r>
      <w:r>
        <w:fldChar w:fldCharType="separate"/>
      </w:r>
      <w:r>
        <w:rPr>
          <w:rFonts w:eastAsia="仿宋"/>
          <w:bCs/>
          <w:szCs w:val="28"/>
        </w:rPr>
        <w:t xml:space="preserve">1.6 </w:t>
      </w:r>
      <w:r>
        <w:rPr>
          <w:rFonts w:hint="eastAsia"/>
        </w:rPr>
        <w:t>工作目标</w:t>
      </w:r>
      <w:r>
        <w:tab/>
      </w:r>
      <w:r>
        <w:fldChar w:fldCharType="begin"/>
      </w:r>
      <w:r>
        <w:instrText xml:space="preserve"> PAGEREF _Toc18482 \h </w:instrText>
      </w:r>
      <w:r>
        <w:fldChar w:fldCharType="separate"/>
      </w:r>
      <w:r>
        <w:t>2</w:t>
      </w:r>
      <w:r>
        <w:fldChar w:fldCharType="end"/>
      </w:r>
      <w:r>
        <w:fldChar w:fldCharType="end"/>
      </w:r>
    </w:p>
    <w:p w14:paraId="40C57A4A">
      <w:pPr>
        <w:pStyle w:val="18"/>
      </w:pPr>
      <w:r>
        <w:fldChar w:fldCharType="begin"/>
      </w:r>
      <w:r>
        <w:instrText xml:space="preserve"> HYPERLINK \l "_Toc6637" </w:instrText>
      </w:r>
      <w:r>
        <w:fldChar w:fldCharType="separate"/>
      </w:r>
      <w:r>
        <w:rPr>
          <w:rFonts w:eastAsia="仿宋"/>
        </w:rPr>
        <w:t xml:space="preserve">2 </w:t>
      </w:r>
      <w:r>
        <w:rPr>
          <w:rFonts w:hint="eastAsia"/>
        </w:rPr>
        <w:t>基本情况</w:t>
      </w:r>
      <w:r>
        <w:tab/>
      </w:r>
      <w:r>
        <w:fldChar w:fldCharType="begin"/>
      </w:r>
      <w:r>
        <w:instrText xml:space="preserve"> PAGEREF _Toc6637 \h </w:instrText>
      </w:r>
      <w:r>
        <w:fldChar w:fldCharType="separate"/>
      </w:r>
      <w:r>
        <w:t>2</w:t>
      </w:r>
      <w:r>
        <w:fldChar w:fldCharType="end"/>
      </w:r>
      <w:r>
        <w:fldChar w:fldCharType="end"/>
      </w:r>
    </w:p>
    <w:p w14:paraId="7E95369C">
      <w:pPr>
        <w:pStyle w:val="19"/>
        <w:tabs>
          <w:tab w:val="right" w:leader="dot" w:pos="8845"/>
        </w:tabs>
        <w:ind w:firstLine="632"/>
      </w:pPr>
      <w:r>
        <w:fldChar w:fldCharType="begin"/>
      </w:r>
      <w:r>
        <w:instrText xml:space="preserve"> HYPERLINK \l "_Toc17080" </w:instrText>
      </w:r>
      <w:r>
        <w:fldChar w:fldCharType="separate"/>
      </w:r>
      <w:r>
        <w:rPr>
          <w:rFonts w:eastAsia="仿宋"/>
          <w:bCs/>
          <w:szCs w:val="28"/>
        </w:rPr>
        <w:t xml:space="preserve">2.1 </w:t>
      </w:r>
      <w:r>
        <w:rPr>
          <w:rFonts w:hint="eastAsia"/>
        </w:rPr>
        <w:t>自然情况</w:t>
      </w:r>
      <w:r>
        <w:tab/>
      </w:r>
      <w:r>
        <w:fldChar w:fldCharType="begin"/>
      </w:r>
      <w:r>
        <w:instrText xml:space="preserve"> PAGEREF _Toc17080 \h </w:instrText>
      </w:r>
      <w:r>
        <w:fldChar w:fldCharType="separate"/>
      </w:r>
      <w:r>
        <w:t>2</w:t>
      </w:r>
      <w:r>
        <w:fldChar w:fldCharType="end"/>
      </w:r>
      <w:r>
        <w:fldChar w:fldCharType="end"/>
      </w:r>
    </w:p>
    <w:p w14:paraId="135EA81E">
      <w:pPr>
        <w:pStyle w:val="19"/>
        <w:tabs>
          <w:tab w:val="right" w:leader="dot" w:pos="8845"/>
        </w:tabs>
        <w:ind w:firstLine="632"/>
      </w:pPr>
      <w:r>
        <w:fldChar w:fldCharType="begin"/>
      </w:r>
      <w:r>
        <w:instrText xml:space="preserve"> HYPERLINK \l "_Toc13459" </w:instrText>
      </w:r>
      <w:r>
        <w:fldChar w:fldCharType="separate"/>
      </w:r>
      <w:r>
        <w:rPr>
          <w:rFonts w:eastAsia="仿宋"/>
          <w:bCs/>
          <w:szCs w:val="28"/>
        </w:rPr>
        <w:t xml:space="preserve">2.2 </w:t>
      </w:r>
      <w:r>
        <w:rPr>
          <w:rFonts w:hint="eastAsia"/>
        </w:rPr>
        <w:t>河流分布情况</w:t>
      </w:r>
      <w:r>
        <w:tab/>
      </w:r>
      <w:r>
        <w:fldChar w:fldCharType="begin"/>
      </w:r>
      <w:r>
        <w:instrText xml:space="preserve"> PAGEREF _Toc13459 \h </w:instrText>
      </w:r>
      <w:r>
        <w:fldChar w:fldCharType="separate"/>
      </w:r>
      <w:r>
        <w:t>3</w:t>
      </w:r>
      <w:r>
        <w:fldChar w:fldCharType="end"/>
      </w:r>
      <w:r>
        <w:fldChar w:fldCharType="end"/>
      </w:r>
    </w:p>
    <w:p w14:paraId="3B02A592">
      <w:pPr>
        <w:pStyle w:val="19"/>
        <w:tabs>
          <w:tab w:val="right" w:leader="dot" w:pos="8845"/>
        </w:tabs>
        <w:ind w:firstLine="632"/>
      </w:pPr>
      <w:r>
        <w:fldChar w:fldCharType="begin"/>
      </w:r>
      <w:r>
        <w:instrText xml:space="preserve"> HYPERLINK \l "_Toc1981" </w:instrText>
      </w:r>
      <w:r>
        <w:fldChar w:fldCharType="separate"/>
      </w:r>
      <w:r>
        <w:rPr>
          <w:rFonts w:eastAsia="仿宋"/>
          <w:bCs/>
          <w:szCs w:val="28"/>
        </w:rPr>
        <w:t xml:space="preserve">2.3 </w:t>
      </w:r>
      <w:r>
        <w:rPr>
          <w:rFonts w:hint="eastAsia"/>
        </w:rPr>
        <w:t>区域内气象、水文条件，暴雨洪水特征</w:t>
      </w:r>
      <w:r>
        <w:tab/>
      </w:r>
      <w:r>
        <w:fldChar w:fldCharType="begin"/>
      </w:r>
      <w:r>
        <w:instrText xml:space="preserve"> PAGEREF _Toc1981 \h </w:instrText>
      </w:r>
      <w:r>
        <w:fldChar w:fldCharType="separate"/>
      </w:r>
      <w:r>
        <w:t>3</w:t>
      </w:r>
      <w:r>
        <w:fldChar w:fldCharType="end"/>
      </w:r>
      <w:r>
        <w:fldChar w:fldCharType="end"/>
      </w:r>
    </w:p>
    <w:p w14:paraId="1FFA0603">
      <w:pPr>
        <w:pStyle w:val="18"/>
      </w:pPr>
      <w:r>
        <w:fldChar w:fldCharType="begin"/>
      </w:r>
      <w:r>
        <w:instrText xml:space="preserve"> HYPERLINK \l "_Toc3008" </w:instrText>
      </w:r>
      <w:r>
        <w:fldChar w:fldCharType="separate"/>
      </w:r>
      <w:r>
        <w:rPr>
          <w:rFonts w:eastAsia="仿宋"/>
        </w:rPr>
        <w:t xml:space="preserve">3 </w:t>
      </w:r>
      <w:r>
        <w:rPr>
          <w:rFonts w:hint="eastAsia"/>
        </w:rPr>
        <w:t>历史山洪灾害程度及成因分析</w:t>
      </w:r>
      <w:r>
        <w:tab/>
      </w:r>
      <w:r>
        <w:fldChar w:fldCharType="begin"/>
      </w:r>
      <w:r>
        <w:instrText xml:space="preserve"> PAGEREF _Toc3008 \h </w:instrText>
      </w:r>
      <w:r>
        <w:fldChar w:fldCharType="separate"/>
      </w:r>
      <w:r>
        <w:t>4</w:t>
      </w:r>
      <w:r>
        <w:fldChar w:fldCharType="end"/>
      </w:r>
      <w:r>
        <w:fldChar w:fldCharType="end"/>
      </w:r>
    </w:p>
    <w:p w14:paraId="1C2A11D5">
      <w:pPr>
        <w:pStyle w:val="19"/>
        <w:tabs>
          <w:tab w:val="right" w:leader="dot" w:pos="8845"/>
        </w:tabs>
        <w:ind w:firstLine="632"/>
      </w:pPr>
      <w:r>
        <w:fldChar w:fldCharType="begin"/>
      </w:r>
      <w:r>
        <w:instrText xml:space="preserve"> HYPERLINK \l "_Toc24610" </w:instrText>
      </w:r>
      <w:r>
        <w:fldChar w:fldCharType="separate"/>
      </w:r>
      <w:r>
        <w:rPr>
          <w:rFonts w:eastAsia="仿宋"/>
          <w:bCs/>
          <w:szCs w:val="28"/>
        </w:rPr>
        <w:t xml:space="preserve">3.1 </w:t>
      </w:r>
      <w:r>
        <w:rPr>
          <w:rFonts w:hint="eastAsia"/>
        </w:rPr>
        <w:t>灾害类型</w:t>
      </w:r>
      <w:r>
        <w:tab/>
      </w:r>
      <w:r>
        <w:fldChar w:fldCharType="begin"/>
      </w:r>
      <w:r>
        <w:instrText xml:space="preserve"> PAGEREF _Toc24610 \h </w:instrText>
      </w:r>
      <w:r>
        <w:fldChar w:fldCharType="separate"/>
      </w:r>
      <w:r>
        <w:t>4</w:t>
      </w:r>
      <w:r>
        <w:fldChar w:fldCharType="end"/>
      </w:r>
      <w:r>
        <w:fldChar w:fldCharType="end"/>
      </w:r>
    </w:p>
    <w:p w14:paraId="2AAD28B2">
      <w:pPr>
        <w:pStyle w:val="19"/>
        <w:tabs>
          <w:tab w:val="right" w:leader="dot" w:pos="8845"/>
        </w:tabs>
        <w:ind w:firstLine="632"/>
      </w:pPr>
      <w:r>
        <w:fldChar w:fldCharType="begin"/>
      </w:r>
      <w:r>
        <w:instrText xml:space="preserve"> HYPERLINK \l "_Toc30441" </w:instrText>
      </w:r>
      <w:r>
        <w:fldChar w:fldCharType="separate"/>
      </w:r>
      <w:r>
        <w:rPr>
          <w:rFonts w:eastAsia="仿宋"/>
          <w:bCs/>
          <w:szCs w:val="28"/>
        </w:rPr>
        <w:t xml:space="preserve">3.2 </w:t>
      </w:r>
      <w:r>
        <w:rPr>
          <w:rFonts w:hint="eastAsia"/>
        </w:rPr>
        <w:t>历史山洪</w:t>
      </w:r>
      <w:r>
        <w:tab/>
      </w:r>
      <w:r>
        <w:fldChar w:fldCharType="begin"/>
      </w:r>
      <w:r>
        <w:instrText xml:space="preserve"> PAGEREF _Toc30441 \h </w:instrText>
      </w:r>
      <w:r>
        <w:fldChar w:fldCharType="separate"/>
      </w:r>
      <w:r>
        <w:t>4</w:t>
      </w:r>
      <w:r>
        <w:fldChar w:fldCharType="end"/>
      </w:r>
      <w:r>
        <w:fldChar w:fldCharType="end"/>
      </w:r>
    </w:p>
    <w:p w14:paraId="42F8D178">
      <w:pPr>
        <w:pStyle w:val="19"/>
        <w:tabs>
          <w:tab w:val="right" w:leader="dot" w:pos="8845"/>
        </w:tabs>
        <w:ind w:firstLine="632"/>
      </w:pPr>
      <w:r>
        <w:fldChar w:fldCharType="begin"/>
      </w:r>
      <w:r>
        <w:instrText xml:space="preserve"> HYPERLINK \l "_Toc5947" </w:instrText>
      </w:r>
      <w:r>
        <w:fldChar w:fldCharType="separate"/>
      </w:r>
      <w:r>
        <w:rPr>
          <w:rFonts w:eastAsia="仿宋"/>
          <w:bCs/>
          <w:szCs w:val="28"/>
        </w:rPr>
        <w:t xml:space="preserve">3.3 </w:t>
      </w:r>
      <w:r>
        <w:rPr>
          <w:rFonts w:hint="eastAsia"/>
        </w:rPr>
        <w:t>灾害成因分析</w:t>
      </w:r>
      <w:r>
        <w:tab/>
      </w:r>
      <w:r>
        <w:fldChar w:fldCharType="begin"/>
      </w:r>
      <w:r>
        <w:instrText xml:space="preserve"> PAGEREF _Toc5947 \h </w:instrText>
      </w:r>
      <w:r>
        <w:fldChar w:fldCharType="separate"/>
      </w:r>
      <w:r>
        <w:t>5</w:t>
      </w:r>
      <w:r>
        <w:fldChar w:fldCharType="end"/>
      </w:r>
      <w:r>
        <w:fldChar w:fldCharType="end"/>
      </w:r>
    </w:p>
    <w:p w14:paraId="5FEED5E1">
      <w:pPr>
        <w:pStyle w:val="18"/>
      </w:pPr>
      <w:r>
        <w:fldChar w:fldCharType="begin"/>
      </w:r>
      <w:r>
        <w:instrText xml:space="preserve"> HYPERLINK \l "_Toc26366" </w:instrText>
      </w:r>
      <w:r>
        <w:fldChar w:fldCharType="separate"/>
      </w:r>
      <w:r>
        <w:rPr>
          <w:rFonts w:eastAsia="仿宋"/>
        </w:rPr>
        <w:t xml:space="preserve">4 </w:t>
      </w:r>
      <w:r>
        <w:rPr>
          <w:rFonts w:hint="eastAsia"/>
        </w:rPr>
        <w:t>山洪灾害防御现状</w:t>
      </w:r>
      <w:r>
        <w:tab/>
      </w:r>
      <w:r>
        <w:fldChar w:fldCharType="begin"/>
      </w:r>
      <w:r>
        <w:instrText xml:space="preserve"> PAGEREF _Toc26366 \h </w:instrText>
      </w:r>
      <w:r>
        <w:fldChar w:fldCharType="separate"/>
      </w:r>
      <w:r>
        <w:t>5</w:t>
      </w:r>
      <w:r>
        <w:fldChar w:fldCharType="end"/>
      </w:r>
      <w:r>
        <w:fldChar w:fldCharType="end"/>
      </w:r>
    </w:p>
    <w:p w14:paraId="3F945C2A">
      <w:pPr>
        <w:pStyle w:val="19"/>
        <w:tabs>
          <w:tab w:val="right" w:leader="dot" w:pos="8845"/>
        </w:tabs>
        <w:ind w:firstLine="632"/>
      </w:pPr>
      <w:r>
        <w:fldChar w:fldCharType="begin"/>
      </w:r>
      <w:r>
        <w:instrText xml:space="preserve"> HYPERLINK \l "_Toc2430" </w:instrText>
      </w:r>
      <w:r>
        <w:fldChar w:fldCharType="separate"/>
      </w:r>
      <w:r>
        <w:rPr>
          <w:rFonts w:eastAsia="仿宋"/>
          <w:bCs/>
          <w:szCs w:val="28"/>
        </w:rPr>
        <w:t xml:space="preserve">4.1 </w:t>
      </w:r>
      <w:r>
        <w:t>山洪灾害防御非工程措施</w:t>
      </w:r>
      <w:r>
        <w:tab/>
      </w:r>
      <w:r>
        <w:fldChar w:fldCharType="begin"/>
      </w:r>
      <w:r>
        <w:instrText xml:space="preserve"> PAGEREF _Toc2430 \h </w:instrText>
      </w:r>
      <w:r>
        <w:fldChar w:fldCharType="separate"/>
      </w:r>
      <w:r>
        <w:t>5</w:t>
      </w:r>
      <w:r>
        <w:fldChar w:fldCharType="end"/>
      </w:r>
      <w:r>
        <w:fldChar w:fldCharType="end"/>
      </w:r>
    </w:p>
    <w:p w14:paraId="1498719C">
      <w:pPr>
        <w:pStyle w:val="19"/>
        <w:tabs>
          <w:tab w:val="right" w:leader="dot" w:pos="8845"/>
        </w:tabs>
        <w:ind w:firstLine="632"/>
      </w:pPr>
      <w:r>
        <w:fldChar w:fldCharType="begin"/>
      </w:r>
      <w:r>
        <w:instrText xml:space="preserve"> HYPERLINK \l "_Toc16599" </w:instrText>
      </w:r>
      <w:r>
        <w:fldChar w:fldCharType="separate"/>
      </w:r>
      <w:r>
        <w:rPr>
          <w:rFonts w:eastAsia="仿宋"/>
          <w:bCs/>
          <w:szCs w:val="28"/>
        </w:rPr>
        <w:t xml:space="preserve">4.2 </w:t>
      </w:r>
      <w:r>
        <w:t>山洪灾害防御工程措施</w:t>
      </w:r>
      <w:r>
        <w:tab/>
      </w:r>
      <w:r>
        <w:fldChar w:fldCharType="begin"/>
      </w:r>
      <w:r>
        <w:instrText xml:space="preserve"> PAGEREF _Toc16599 \h </w:instrText>
      </w:r>
      <w:r>
        <w:fldChar w:fldCharType="separate"/>
      </w:r>
      <w:r>
        <w:t>6</w:t>
      </w:r>
      <w:r>
        <w:fldChar w:fldCharType="end"/>
      </w:r>
      <w:r>
        <w:fldChar w:fldCharType="end"/>
      </w:r>
    </w:p>
    <w:p w14:paraId="23A61246">
      <w:pPr>
        <w:pStyle w:val="18"/>
      </w:pPr>
      <w:r>
        <w:fldChar w:fldCharType="begin"/>
      </w:r>
      <w:r>
        <w:instrText xml:space="preserve"> HYPERLINK \l "_Toc430" </w:instrText>
      </w:r>
      <w:r>
        <w:fldChar w:fldCharType="separate"/>
      </w:r>
      <w:r>
        <w:rPr>
          <w:rFonts w:eastAsia="仿宋"/>
        </w:rPr>
        <w:t xml:space="preserve">5 </w:t>
      </w:r>
      <w:r>
        <w:rPr>
          <w:rFonts w:hint="eastAsia"/>
        </w:rPr>
        <w:t>危险区、避险区</w:t>
      </w:r>
      <w:r>
        <w:tab/>
      </w:r>
      <w:r>
        <w:fldChar w:fldCharType="begin"/>
      </w:r>
      <w:r>
        <w:instrText xml:space="preserve"> PAGEREF _Toc430 \h </w:instrText>
      </w:r>
      <w:r>
        <w:fldChar w:fldCharType="separate"/>
      </w:r>
      <w:r>
        <w:t>8</w:t>
      </w:r>
      <w:r>
        <w:fldChar w:fldCharType="end"/>
      </w:r>
      <w:r>
        <w:fldChar w:fldCharType="end"/>
      </w:r>
    </w:p>
    <w:p w14:paraId="1244ACF5">
      <w:pPr>
        <w:pStyle w:val="19"/>
        <w:tabs>
          <w:tab w:val="right" w:leader="dot" w:pos="8845"/>
        </w:tabs>
        <w:ind w:firstLine="632"/>
      </w:pPr>
      <w:r>
        <w:fldChar w:fldCharType="begin"/>
      </w:r>
      <w:r>
        <w:instrText xml:space="preserve"> HYPERLINK \l "_Toc53" </w:instrText>
      </w:r>
      <w:r>
        <w:fldChar w:fldCharType="separate"/>
      </w:r>
      <w:r>
        <w:rPr>
          <w:rFonts w:eastAsia="仿宋"/>
          <w:bCs/>
          <w:szCs w:val="28"/>
        </w:rPr>
        <w:t xml:space="preserve">5.1 </w:t>
      </w:r>
      <w:r>
        <w:rPr>
          <w:rFonts w:hint="eastAsia"/>
        </w:rPr>
        <w:t>划分原则</w:t>
      </w:r>
      <w:r>
        <w:tab/>
      </w:r>
      <w:r>
        <w:fldChar w:fldCharType="begin"/>
      </w:r>
      <w:r>
        <w:instrText xml:space="preserve"> PAGEREF _Toc53 \h </w:instrText>
      </w:r>
      <w:r>
        <w:fldChar w:fldCharType="separate"/>
      </w:r>
      <w:r>
        <w:t>8</w:t>
      </w:r>
      <w:r>
        <w:fldChar w:fldCharType="end"/>
      </w:r>
      <w:r>
        <w:fldChar w:fldCharType="end"/>
      </w:r>
    </w:p>
    <w:p w14:paraId="39327895">
      <w:pPr>
        <w:pStyle w:val="19"/>
        <w:tabs>
          <w:tab w:val="right" w:leader="dot" w:pos="8845"/>
        </w:tabs>
        <w:ind w:firstLine="632"/>
      </w:pPr>
      <w:r>
        <w:fldChar w:fldCharType="begin"/>
      </w:r>
      <w:r>
        <w:instrText xml:space="preserve"> HYPERLINK \l "_Toc8301" </w:instrText>
      </w:r>
      <w:r>
        <w:fldChar w:fldCharType="separate"/>
      </w:r>
      <w:r>
        <w:rPr>
          <w:rFonts w:eastAsia="仿宋"/>
          <w:bCs/>
          <w:szCs w:val="28"/>
        </w:rPr>
        <w:t xml:space="preserve">5.2 </w:t>
      </w:r>
      <w:r>
        <w:rPr>
          <w:rFonts w:hint="eastAsia"/>
        </w:rPr>
        <w:t>“危险区”划分</w:t>
      </w:r>
      <w:r>
        <w:tab/>
      </w:r>
      <w:r>
        <w:fldChar w:fldCharType="begin"/>
      </w:r>
      <w:r>
        <w:instrText xml:space="preserve"> PAGEREF _Toc8301 \h </w:instrText>
      </w:r>
      <w:r>
        <w:fldChar w:fldCharType="separate"/>
      </w:r>
      <w:r>
        <w:t>8</w:t>
      </w:r>
      <w:r>
        <w:fldChar w:fldCharType="end"/>
      </w:r>
      <w:r>
        <w:fldChar w:fldCharType="end"/>
      </w:r>
    </w:p>
    <w:p w14:paraId="09593DE4">
      <w:pPr>
        <w:pStyle w:val="19"/>
        <w:tabs>
          <w:tab w:val="right" w:leader="dot" w:pos="8845"/>
        </w:tabs>
        <w:ind w:firstLine="632"/>
      </w:pPr>
      <w:r>
        <w:fldChar w:fldCharType="begin"/>
      </w:r>
      <w:r>
        <w:instrText xml:space="preserve"> HYPERLINK \l "_Toc3976" </w:instrText>
      </w:r>
      <w:r>
        <w:fldChar w:fldCharType="separate"/>
      </w:r>
      <w:r>
        <w:rPr>
          <w:rFonts w:eastAsia="仿宋"/>
          <w:bCs/>
          <w:szCs w:val="28"/>
        </w:rPr>
        <w:t xml:space="preserve">5.3 </w:t>
      </w:r>
      <w:r>
        <w:rPr>
          <w:rFonts w:hint="eastAsia"/>
        </w:rPr>
        <w:t>重点防护对象</w:t>
      </w:r>
      <w:r>
        <w:tab/>
      </w:r>
      <w:r>
        <w:fldChar w:fldCharType="begin"/>
      </w:r>
      <w:r>
        <w:instrText xml:space="preserve"> PAGEREF _Toc3976 \h </w:instrText>
      </w:r>
      <w:r>
        <w:fldChar w:fldCharType="separate"/>
      </w:r>
      <w:r>
        <w:t>9</w:t>
      </w:r>
      <w:r>
        <w:fldChar w:fldCharType="end"/>
      </w:r>
      <w:r>
        <w:fldChar w:fldCharType="end"/>
      </w:r>
    </w:p>
    <w:p w14:paraId="4296923F">
      <w:pPr>
        <w:pStyle w:val="19"/>
        <w:tabs>
          <w:tab w:val="right" w:leader="dot" w:pos="8845"/>
        </w:tabs>
        <w:ind w:firstLine="632"/>
      </w:pPr>
      <w:r>
        <w:fldChar w:fldCharType="begin"/>
      </w:r>
      <w:r>
        <w:instrText xml:space="preserve"> HYPERLINK \l "_Toc10591" </w:instrText>
      </w:r>
      <w:r>
        <w:fldChar w:fldCharType="separate"/>
      </w:r>
      <w:r>
        <w:rPr>
          <w:rFonts w:eastAsia="仿宋"/>
          <w:bCs/>
          <w:szCs w:val="28"/>
        </w:rPr>
        <w:t xml:space="preserve">5.4 </w:t>
      </w:r>
      <w:r>
        <w:rPr>
          <w:rFonts w:hint="eastAsia"/>
        </w:rPr>
        <w:t>目前防灾及救灾方面存在的问题</w:t>
      </w:r>
      <w:r>
        <w:tab/>
      </w:r>
      <w:r>
        <w:fldChar w:fldCharType="begin"/>
      </w:r>
      <w:r>
        <w:instrText xml:space="preserve"> PAGEREF _Toc10591 \h </w:instrText>
      </w:r>
      <w:r>
        <w:fldChar w:fldCharType="separate"/>
      </w:r>
      <w:r>
        <w:t>10</w:t>
      </w:r>
      <w:r>
        <w:fldChar w:fldCharType="end"/>
      </w:r>
      <w:r>
        <w:fldChar w:fldCharType="end"/>
      </w:r>
    </w:p>
    <w:p w14:paraId="0BCA9D63">
      <w:pPr>
        <w:pStyle w:val="18"/>
      </w:pPr>
      <w:r>
        <w:fldChar w:fldCharType="begin"/>
      </w:r>
      <w:r>
        <w:instrText xml:space="preserve"> HYPERLINK \l "_Toc25365" </w:instrText>
      </w:r>
      <w:r>
        <w:fldChar w:fldCharType="separate"/>
      </w:r>
      <w:r>
        <w:rPr>
          <w:rFonts w:eastAsia="仿宋"/>
        </w:rPr>
        <w:t xml:space="preserve">6 </w:t>
      </w:r>
      <w:r>
        <w:rPr>
          <w:rFonts w:hint="eastAsia"/>
        </w:rPr>
        <w:t>组织指挥体系及职责</w:t>
      </w:r>
      <w:r>
        <w:tab/>
      </w:r>
      <w:r>
        <w:fldChar w:fldCharType="begin"/>
      </w:r>
      <w:r>
        <w:instrText xml:space="preserve"> PAGEREF _Toc25365 \h </w:instrText>
      </w:r>
      <w:r>
        <w:fldChar w:fldCharType="separate"/>
      </w:r>
      <w:r>
        <w:t>10</w:t>
      </w:r>
      <w:r>
        <w:fldChar w:fldCharType="end"/>
      </w:r>
      <w:r>
        <w:fldChar w:fldCharType="end"/>
      </w:r>
    </w:p>
    <w:p w14:paraId="75B82815">
      <w:pPr>
        <w:pStyle w:val="19"/>
        <w:tabs>
          <w:tab w:val="right" w:leader="dot" w:pos="8845"/>
        </w:tabs>
        <w:ind w:firstLine="632"/>
      </w:pPr>
      <w:r>
        <w:fldChar w:fldCharType="begin"/>
      </w:r>
      <w:r>
        <w:instrText xml:space="preserve"> HYPERLINK \l "_Toc10806" </w:instrText>
      </w:r>
      <w:r>
        <w:fldChar w:fldCharType="separate"/>
      </w:r>
      <w:r>
        <w:rPr>
          <w:rFonts w:eastAsia="仿宋"/>
          <w:bCs/>
          <w:szCs w:val="28"/>
        </w:rPr>
        <w:t xml:space="preserve">6.1 </w:t>
      </w:r>
      <w:r>
        <w:rPr>
          <w:rFonts w:hint="eastAsia"/>
        </w:rPr>
        <w:t>县防汛抗旱指挥部组成及职责</w:t>
      </w:r>
      <w:r>
        <w:tab/>
      </w:r>
      <w:r>
        <w:fldChar w:fldCharType="begin"/>
      </w:r>
      <w:r>
        <w:instrText xml:space="preserve"> PAGEREF _Toc10806 \h </w:instrText>
      </w:r>
      <w:r>
        <w:fldChar w:fldCharType="separate"/>
      </w:r>
      <w:r>
        <w:t>11</w:t>
      </w:r>
      <w:r>
        <w:fldChar w:fldCharType="end"/>
      </w:r>
      <w:r>
        <w:fldChar w:fldCharType="end"/>
      </w:r>
    </w:p>
    <w:p w14:paraId="1EFA8E3B">
      <w:pPr>
        <w:pStyle w:val="19"/>
        <w:tabs>
          <w:tab w:val="right" w:leader="dot" w:pos="8845"/>
        </w:tabs>
        <w:ind w:firstLine="632"/>
      </w:pPr>
      <w:r>
        <w:fldChar w:fldCharType="begin"/>
      </w:r>
      <w:r>
        <w:instrText xml:space="preserve"> HYPERLINK \l "_Toc6713" </w:instrText>
      </w:r>
      <w:r>
        <w:fldChar w:fldCharType="separate"/>
      </w:r>
      <w:r>
        <w:rPr>
          <w:rFonts w:eastAsia="仿宋"/>
          <w:bCs/>
          <w:szCs w:val="28"/>
        </w:rPr>
        <w:t xml:space="preserve">6.2 </w:t>
      </w:r>
      <w:r>
        <w:rPr>
          <w:rFonts w:hint="eastAsia"/>
        </w:rPr>
        <w:t>乡镇级组织机构</w:t>
      </w:r>
      <w:r>
        <w:tab/>
      </w:r>
      <w:r>
        <w:fldChar w:fldCharType="begin"/>
      </w:r>
      <w:r>
        <w:instrText xml:space="preserve"> PAGEREF _Toc6713 \h </w:instrText>
      </w:r>
      <w:r>
        <w:fldChar w:fldCharType="separate"/>
      </w:r>
      <w:r>
        <w:t>13</w:t>
      </w:r>
      <w:r>
        <w:fldChar w:fldCharType="end"/>
      </w:r>
      <w:r>
        <w:fldChar w:fldCharType="end"/>
      </w:r>
    </w:p>
    <w:p w14:paraId="61B94575">
      <w:pPr>
        <w:pStyle w:val="19"/>
        <w:tabs>
          <w:tab w:val="right" w:leader="dot" w:pos="8845"/>
        </w:tabs>
        <w:ind w:firstLine="632"/>
      </w:pPr>
      <w:r>
        <w:fldChar w:fldCharType="begin"/>
      </w:r>
      <w:r>
        <w:instrText xml:space="preserve"> HYPERLINK \l "_Toc21354" </w:instrText>
      </w:r>
      <w:r>
        <w:fldChar w:fldCharType="separate"/>
      </w:r>
      <w:r>
        <w:rPr>
          <w:rFonts w:eastAsia="仿宋"/>
          <w:bCs/>
          <w:szCs w:val="28"/>
        </w:rPr>
        <w:t xml:space="preserve">6.3 </w:t>
      </w:r>
      <w:r>
        <w:rPr>
          <w:rFonts w:hint="eastAsia"/>
        </w:rPr>
        <w:t>社区级指挥机构</w:t>
      </w:r>
      <w:r>
        <w:tab/>
      </w:r>
      <w:r>
        <w:fldChar w:fldCharType="begin"/>
      </w:r>
      <w:r>
        <w:instrText xml:space="preserve"> PAGEREF _Toc21354 \h </w:instrText>
      </w:r>
      <w:r>
        <w:fldChar w:fldCharType="separate"/>
      </w:r>
      <w:r>
        <w:t>14</w:t>
      </w:r>
      <w:r>
        <w:fldChar w:fldCharType="end"/>
      </w:r>
      <w:r>
        <w:fldChar w:fldCharType="end"/>
      </w:r>
    </w:p>
    <w:p w14:paraId="4B8A58AD">
      <w:pPr>
        <w:pStyle w:val="18"/>
      </w:pPr>
      <w:r>
        <w:fldChar w:fldCharType="begin"/>
      </w:r>
      <w:r>
        <w:instrText xml:space="preserve"> HYPERLINK \l "_Toc16348" </w:instrText>
      </w:r>
      <w:r>
        <w:fldChar w:fldCharType="separate"/>
      </w:r>
      <w:r>
        <w:rPr>
          <w:rFonts w:eastAsia="仿宋"/>
        </w:rPr>
        <w:t xml:space="preserve">7 </w:t>
      </w:r>
      <w:r>
        <w:rPr>
          <w:rFonts w:hint="eastAsia"/>
        </w:rPr>
        <w:t>监测预警</w:t>
      </w:r>
      <w:r>
        <w:tab/>
      </w:r>
      <w:r>
        <w:fldChar w:fldCharType="begin"/>
      </w:r>
      <w:r>
        <w:instrText xml:space="preserve"> PAGEREF _Toc16348 \h </w:instrText>
      </w:r>
      <w:r>
        <w:fldChar w:fldCharType="separate"/>
      </w:r>
      <w:r>
        <w:t>14</w:t>
      </w:r>
      <w:r>
        <w:fldChar w:fldCharType="end"/>
      </w:r>
      <w:r>
        <w:fldChar w:fldCharType="end"/>
      </w:r>
    </w:p>
    <w:p w14:paraId="6065D8E5">
      <w:pPr>
        <w:pStyle w:val="19"/>
        <w:tabs>
          <w:tab w:val="right" w:leader="dot" w:pos="8845"/>
        </w:tabs>
        <w:ind w:firstLine="632"/>
      </w:pPr>
      <w:r>
        <w:fldChar w:fldCharType="begin"/>
      </w:r>
      <w:r>
        <w:instrText xml:space="preserve"> HYPERLINK \l "_Toc22377" </w:instrText>
      </w:r>
      <w:r>
        <w:fldChar w:fldCharType="separate"/>
      </w:r>
      <w:r>
        <w:rPr>
          <w:rFonts w:eastAsia="仿宋"/>
          <w:bCs/>
          <w:szCs w:val="28"/>
        </w:rPr>
        <w:t xml:space="preserve">7.1 </w:t>
      </w:r>
      <w:r>
        <w:rPr>
          <w:rFonts w:hint="eastAsia"/>
        </w:rPr>
        <w:t>山洪灾害雨、水情临界值确定</w:t>
      </w:r>
      <w:r>
        <w:tab/>
      </w:r>
      <w:r>
        <w:fldChar w:fldCharType="begin"/>
      </w:r>
      <w:r>
        <w:instrText xml:space="preserve"> PAGEREF _Toc22377 \h </w:instrText>
      </w:r>
      <w:r>
        <w:fldChar w:fldCharType="separate"/>
      </w:r>
      <w:r>
        <w:t>14</w:t>
      </w:r>
      <w:r>
        <w:fldChar w:fldCharType="end"/>
      </w:r>
      <w:r>
        <w:fldChar w:fldCharType="end"/>
      </w:r>
    </w:p>
    <w:p w14:paraId="5083E0B4">
      <w:pPr>
        <w:pStyle w:val="19"/>
        <w:tabs>
          <w:tab w:val="right" w:leader="dot" w:pos="8845"/>
        </w:tabs>
        <w:ind w:firstLine="632"/>
      </w:pPr>
      <w:r>
        <w:fldChar w:fldCharType="begin"/>
      </w:r>
      <w:r>
        <w:instrText xml:space="preserve"> HYPERLINK \l "_Toc19274" </w:instrText>
      </w:r>
      <w:r>
        <w:fldChar w:fldCharType="separate"/>
      </w:r>
      <w:r>
        <w:rPr>
          <w:rFonts w:eastAsia="仿宋"/>
          <w:bCs/>
          <w:szCs w:val="28"/>
        </w:rPr>
        <w:t xml:space="preserve">7.2 </w:t>
      </w:r>
      <w:r>
        <w:rPr>
          <w:rFonts w:hint="eastAsia"/>
        </w:rPr>
        <w:t>实时监测</w:t>
      </w:r>
      <w:r>
        <w:tab/>
      </w:r>
      <w:r>
        <w:fldChar w:fldCharType="begin"/>
      </w:r>
      <w:r>
        <w:instrText xml:space="preserve"> PAGEREF _Toc19274 \h </w:instrText>
      </w:r>
      <w:r>
        <w:fldChar w:fldCharType="separate"/>
      </w:r>
      <w:r>
        <w:t>15</w:t>
      </w:r>
      <w:r>
        <w:fldChar w:fldCharType="end"/>
      </w:r>
      <w:r>
        <w:fldChar w:fldCharType="end"/>
      </w:r>
    </w:p>
    <w:p w14:paraId="6C062231">
      <w:pPr>
        <w:pStyle w:val="19"/>
        <w:tabs>
          <w:tab w:val="right" w:leader="dot" w:pos="8845"/>
        </w:tabs>
        <w:ind w:firstLine="632"/>
      </w:pPr>
      <w:r>
        <w:fldChar w:fldCharType="begin"/>
      </w:r>
      <w:r>
        <w:instrText xml:space="preserve"> HYPERLINK \l "_Toc3196" </w:instrText>
      </w:r>
      <w:r>
        <w:fldChar w:fldCharType="separate"/>
      </w:r>
      <w:r>
        <w:rPr>
          <w:rFonts w:eastAsia="仿宋"/>
          <w:bCs/>
          <w:szCs w:val="28"/>
        </w:rPr>
        <w:t xml:space="preserve">7.3 </w:t>
      </w:r>
      <w:r>
        <w:rPr>
          <w:rFonts w:hint="eastAsia"/>
        </w:rPr>
        <w:t>通信</w:t>
      </w:r>
      <w:r>
        <w:tab/>
      </w:r>
      <w:r>
        <w:fldChar w:fldCharType="begin"/>
      </w:r>
      <w:r>
        <w:instrText xml:space="preserve"> PAGEREF _Toc3196 \h </w:instrText>
      </w:r>
      <w:r>
        <w:fldChar w:fldCharType="separate"/>
      </w:r>
      <w:r>
        <w:t>16</w:t>
      </w:r>
      <w:r>
        <w:fldChar w:fldCharType="end"/>
      </w:r>
      <w:r>
        <w:fldChar w:fldCharType="end"/>
      </w:r>
    </w:p>
    <w:p w14:paraId="7271ACA2">
      <w:pPr>
        <w:pStyle w:val="19"/>
        <w:tabs>
          <w:tab w:val="right" w:leader="dot" w:pos="8845"/>
        </w:tabs>
        <w:ind w:firstLine="632"/>
      </w:pPr>
      <w:r>
        <w:fldChar w:fldCharType="begin"/>
      </w:r>
      <w:r>
        <w:instrText xml:space="preserve"> HYPERLINK \l "_Toc19729" </w:instrText>
      </w:r>
      <w:r>
        <w:fldChar w:fldCharType="separate"/>
      </w:r>
      <w:r>
        <w:rPr>
          <w:rFonts w:eastAsia="仿宋"/>
          <w:bCs/>
          <w:szCs w:val="28"/>
        </w:rPr>
        <w:t xml:space="preserve">7.4 </w:t>
      </w:r>
      <w:r>
        <w:rPr>
          <w:rFonts w:hint="eastAsia"/>
        </w:rPr>
        <w:t>监测预警</w:t>
      </w:r>
      <w:r>
        <w:tab/>
      </w:r>
      <w:r>
        <w:fldChar w:fldCharType="begin"/>
      </w:r>
      <w:r>
        <w:instrText xml:space="preserve"> PAGEREF _Toc19729 \h </w:instrText>
      </w:r>
      <w:r>
        <w:fldChar w:fldCharType="separate"/>
      </w:r>
      <w:r>
        <w:t>16</w:t>
      </w:r>
      <w:r>
        <w:fldChar w:fldCharType="end"/>
      </w:r>
      <w:r>
        <w:fldChar w:fldCharType="end"/>
      </w:r>
    </w:p>
    <w:p w14:paraId="733053B0">
      <w:pPr>
        <w:pStyle w:val="19"/>
        <w:tabs>
          <w:tab w:val="right" w:leader="dot" w:pos="8845"/>
        </w:tabs>
        <w:ind w:firstLine="632"/>
      </w:pPr>
      <w:r>
        <w:fldChar w:fldCharType="begin"/>
      </w:r>
      <w:r>
        <w:instrText xml:space="preserve"> HYPERLINK \l "_Toc11970" </w:instrText>
      </w:r>
      <w:r>
        <w:fldChar w:fldCharType="separate"/>
      </w:r>
      <w:r>
        <w:rPr>
          <w:rFonts w:eastAsia="仿宋"/>
          <w:bCs/>
          <w:szCs w:val="28"/>
        </w:rPr>
        <w:t xml:space="preserve">7.5 </w:t>
      </w:r>
      <w:r>
        <w:rPr>
          <w:rFonts w:hint="eastAsia"/>
        </w:rPr>
        <w:t>响应措施</w:t>
      </w:r>
      <w:r>
        <w:tab/>
      </w:r>
      <w:r>
        <w:fldChar w:fldCharType="begin"/>
      </w:r>
      <w:r>
        <w:instrText xml:space="preserve"> PAGEREF _Toc11970 \h </w:instrText>
      </w:r>
      <w:r>
        <w:fldChar w:fldCharType="separate"/>
      </w:r>
      <w:r>
        <w:t>18</w:t>
      </w:r>
      <w:r>
        <w:fldChar w:fldCharType="end"/>
      </w:r>
      <w:r>
        <w:fldChar w:fldCharType="end"/>
      </w:r>
    </w:p>
    <w:p w14:paraId="245FC9A3">
      <w:pPr>
        <w:pStyle w:val="18"/>
      </w:pPr>
      <w:r>
        <w:fldChar w:fldCharType="begin"/>
      </w:r>
      <w:r>
        <w:instrText xml:space="preserve"> HYPERLINK \l "_Toc20373" </w:instrText>
      </w:r>
      <w:r>
        <w:fldChar w:fldCharType="separate"/>
      </w:r>
      <w:r>
        <w:rPr>
          <w:rFonts w:eastAsia="仿宋"/>
        </w:rPr>
        <w:t xml:space="preserve">8 </w:t>
      </w:r>
      <w:r>
        <w:rPr>
          <w:rFonts w:hint="eastAsia"/>
        </w:rPr>
        <w:t>转移安置</w:t>
      </w:r>
      <w:r>
        <w:tab/>
      </w:r>
      <w:r>
        <w:fldChar w:fldCharType="begin"/>
      </w:r>
      <w:r>
        <w:instrText xml:space="preserve"> PAGEREF _Toc20373 \h </w:instrText>
      </w:r>
      <w:r>
        <w:fldChar w:fldCharType="separate"/>
      </w:r>
      <w:r>
        <w:t>19</w:t>
      </w:r>
      <w:r>
        <w:fldChar w:fldCharType="end"/>
      </w:r>
      <w:r>
        <w:fldChar w:fldCharType="end"/>
      </w:r>
    </w:p>
    <w:p w14:paraId="69431516">
      <w:pPr>
        <w:pStyle w:val="19"/>
        <w:tabs>
          <w:tab w:val="right" w:leader="dot" w:pos="8845"/>
        </w:tabs>
        <w:ind w:firstLine="632"/>
      </w:pPr>
      <w:r>
        <w:fldChar w:fldCharType="begin"/>
      </w:r>
      <w:r>
        <w:instrText xml:space="preserve"> HYPERLINK \l "_Toc19164" </w:instrText>
      </w:r>
      <w:r>
        <w:fldChar w:fldCharType="separate"/>
      </w:r>
      <w:r>
        <w:rPr>
          <w:rFonts w:eastAsia="仿宋"/>
          <w:bCs/>
          <w:szCs w:val="28"/>
        </w:rPr>
        <w:t xml:space="preserve">8.1 </w:t>
      </w:r>
      <w:r>
        <w:rPr>
          <w:rFonts w:hint="eastAsia"/>
        </w:rPr>
        <w:t>转移安置</w:t>
      </w:r>
      <w:r>
        <w:tab/>
      </w:r>
      <w:r>
        <w:fldChar w:fldCharType="begin"/>
      </w:r>
      <w:r>
        <w:instrText xml:space="preserve"> PAGEREF _Toc19164 \h </w:instrText>
      </w:r>
      <w:r>
        <w:fldChar w:fldCharType="separate"/>
      </w:r>
      <w:r>
        <w:t>19</w:t>
      </w:r>
      <w:r>
        <w:fldChar w:fldCharType="end"/>
      </w:r>
      <w:r>
        <w:fldChar w:fldCharType="end"/>
      </w:r>
    </w:p>
    <w:p w14:paraId="4FB76C4B">
      <w:pPr>
        <w:pStyle w:val="19"/>
        <w:tabs>
          <w:tab w:val="right" w:leader="dot" w:pos="8845"/>
        </w:tabs>
        <w:ind w:firstLine="632"/>
      </w:pPr>
      <w:r>
        <w:fldChar w:fldCharType="begin"/>
      </w:r>
      <w:r>
        <w:instrText xml:space="preserve"> HYPERLINK \l "_Toc29045" </w:instrText>
      </w:r>
      <w:r>
        <w:fldChar w:fldCharType="separate"/>
      </w:r>
      <w:r>
        <w:rPr>
          <w:rFonts w:eastAsia="仿宋"/>
          <w:bCs/>
          <w:szCs w:val="28"/>
        </w:rPr>
        <w:t xml:space="preserve">8.2 </w:t>
      </w:r>
      <w:r>
        <w:rPr>
          <w:rFonts w:hint="eastAsia"/>
        </w:rPr>
        <w:t>转移安置纪律</w:t>
      </w:r>
      <w:r>
        <w:tab/>
      </w:r>
      <w:r>
        <w:fldChar w:fldCharType="begin"/>
      </w:r>
      <w:r>
        <w:instrText xml:space="preserve"> PAGEREF _Toc29045 \h </w:instrText>
      </w:r>
      <w:r>
        <w:fldChar w:fldCharType="separate"/>
      </w:r>
      <w:r>
        <w:t>21</w:t>
      </w:r>
      <w:r>
        <w:fldChar w:fldCharType="end"/>
      </w:r>
      <w:r>
        <w:fldChar w:fldCharType="end"/>
      </w:r>
    </w:p>
    <w:p w14:paraId="42808D04">
      <w:pPr>
        <w:pStyle w:val="19"/>
        <w:tabs>
          <w:tab w:val="right" w:leader="dot" w:pos="8845"/>
        </w:tabs>
        <w:ind w:firstLine="632"/>
      </w:pPr>
      <w:r>
        <w:fldChar w:fldCharType="begin"/>
      </w:r>
      <w:r>
        <w:instrText xml:space="preserve"> HYPERLINK \l "_Toc24399" </w:instrText>
      </w:r>
      <w:r>
        <w:fldChar w:fldCharType="separate"/>
      </w:r>
      <w:r>
        <w:rPr>
          <w:rFonts w:eastAsia="仿宋"/>
          <w:bCs/>
          <w:szCs w:val="28"/>
        </w:rPr>
        <w:t xml:space="preserve">8.3 </w:t>
      </w:r>
      <w:r>
        <w:rPr>
          <w:rFonts w:hint="eastAsia"/>
        </w:rPr>
        <w:t>转移保障措施</w:t>
      </w:r>
      <w:r>
        <w:tab/>
      </w:r>
      <w:r>
        <w:fldChar w:fldCharType="begin"/>
      </w:r>
      <w:r>
        <w:instrText xml:space="preserve"> PAGEREF _Toc24399 \h </w:instrText>
      </w:r>
      <w:r>
        <w:fldChar w:fldCharType="separate"/>
      </w:r>
      <w:r>
        <w:t>21</w:t>
      </w:r>
      <w:r>
        <w:fldChar w:fldCharType="end"/>
      </w:r>
      <w:r>
        <w:fldChar w:fldCharType="end"/>
      </w:r>
    </w:p>
    <w:p w14:paraId="1C136486">
      <w:pPr>
        <w:pStyle w:val="19"/>
        <w:tabs>
          <w:tab w:val="right" w:leader="dot" w:pos="8845"/>
        </w:tabs>
        <w:ind w:firstLine="632"/>
      </w:pPr>
      <w:r>
        <w:fldChar w:fldCharType="begin"/>
      </w:r>
      <w:r>
        <w:instrText xml:space="preserve"> HYPERLINK \l "_Toc12286" </w:instrText>
      </w:r>
      <w:r>
        <w:fldChar w:fldCharType="separate"/>
      </w:r>
      <w:r>
        <w:rPr>
          <w:rFonts w:eastAsia="仿宋"/>
          <w:bCs/>
          <w:szCs w:val="28"/>
        </w:rPr>
        <w:t xml:space="preserve">8.4 </w:t>
      </w:r>
      <w:r>
        <w:rPr>
          <w:rFonts w:hint="eastAsia"/>
        </w:rPr>
        <w:t>灾后安置</w:t>
      </w:r>
      <w:r>
        <w:tab/>
      </w:r>
      <w:r>
        <w:fldChar w:fldCharType="begin"/>
      </w:r>
      <w:r>
        <w:instrText xml:space="preserve"> PAGEREF _Toc12286 \h </w:instrText>
      </w:r>
      <w:r>
        <w:fldChar w:fldCharType="separate"/>
      </w:r>
      <w:r>
        <w:t>22</w:t>
      </w:r>
      <w:r>
        <w:fldChar w:fldCharType="end"/>
      </w:r>
      <w:r>
        <w:fldChar w:fldCharType="end"/>
      </w:r>
    </w:p>
    <w:p w14:paraId="26A044F6">
      <w:pPr>
        <w:pStyle w:val="18"/>
      </w:pPr>
      <w:r>
        <w:fldChar w:fldCharType="begin"/>
      </w:r>
      <w:r>
        <w:instrText xml:space="preserve"> HYPERLINK \l "_Toc29096" </w:instrText>
      </w:r>
      <w:r>
        <w:fldChar w:fldCharType="separate"/>
      </w:r>
      <w:r>
        <w:rPr>
          <w:rFonts w:eastAsia="仿宋"/>
        </w:rPr>
        <w:t xml:space="preserve">9 </w:t>
      </w:r>
      <w:r>
        <w:rPr>
          <w:rFonts w:hint="eastAsia"/>
        </w:rPr>
        <w:t>抢险救灾</w:t>
      </w:r>
      <w:r>
        <w:tab/>
      </w:r>
      <w:r>
        <w:fldChar w:fldCharType="begin"/>
      </w:r>
      <w:r>
        <w:instrText xml:space="preserve"> PAGEREF _Toc29096 \h </w:instrText>
      </w:r>
      <w:r>
        <w:fldChar w:fldCharType="separate"/>
      </w:r>
      <w:r>
        <w:t>22</w:t>
      </w:r>
      <w:r>
        <w:fldChar w:fldCharType="end"/>
      </w:r>
      <w:r>
        <w:fldChar w:fldCharType="end"/>
      </w:r>
    </w:p>
    <w:p w14:paraId="02624667">
      <w:pPr>
        <w:pStyle w:val="19"/>
        <w:tabs>
          <w:tab w:val="right" w:leader="dot" w:pos="8845"/>
        </w:tabs>
        <w:ind w:firstLine="632"/>
      </w:pPr>
      <w:r>
        <w:fldChar w:fldCharType="begin"/>
      </w:r>
      <w:r>
        <w:instrText xml:space="preserve"> HYPERLINK \l "_Toc18999" </w:instrText>
      </w:r>
      <w:r>
        <w:fldChar w:fldCharType="separate"/>
      </w:r>
      <w:r>
        <w:rPr>
          <w:rFonts w:eastAsia="仿宋"/>
          <w:bCs/>
          <w:szCs w:val="28"/>
        </w:rPr>
        <w:t xml:space="preserve">9.1 </w:t>
      </w:r>
      <w:r>
        <w:rPr>
          <w:rFonts w:hint="eastAsia"/>
        </w:rPr>
        <w:t>抢险救灾准备</w:t>
      </w:r>
      <w:r>
        <w:tab/>
      </w:r>
      <w:r>
        <w:fldChar w:fldCharType="begin"/>
      </w:r>
      <w:r>
        <w:instrText xml:space="preserve"> PAGEREF _Toc18999 \h </w:instrText>
      </w:r>
      <w:r>
        <w:fldChar w:fldCharType="separate"/>
      </w:r>
      <w:r>
        <w:t>23</w:t>
      </w:r>
      <w:r>
        <w:fldChar w:fldCharType="end"/>
      </w:r>
      <w:r>
        <w:fldChar w:fldCharType="end"/>
      </w:r>
    </w:p>
    <w:p w14:paraId="2922FE78">
      <w:pPr>
        <w:pStyle w:val="19"/>
        <w:tabs>
          <w:tab w:val="right" w:leader="dot" w:pos="8845"/>
        </w:tabs>
        <w:ind w:firstLine="632"/>
      </w:pPr>
      <w:r>
        <w:fldChar w:fldCharType="begin"/>
      </w:r>
      <w:r>
        <w:instrText xml:space="preserve"> HYPERLINK \l "_Toc32213" </w:instrText>
      </w:r>
      <w:r>
        <w:fldChar w:fldCharType="separate"/>
      </w:r>
      <w:r>
        <w:rPr>
          <w:rFonts w:eastAsia="仿宋"/>
          <w:bCs/>
          <w:szCs w:val="28"/>
        </w:rPr>
        <w:t xml:space="preserve">9.2 </w:t>
      </w:r>
      <w:r>
        <w:rPr>
          <w:rFonts w:hint="eastAsia"/>
        </w:rPr>
        <w:t>抢险、救灾</w:t>
      </w:r>
      <w:r>
        <w:tab/>
      </w:r>
      <w:r>
        <w:fldChar w:fldCharType="begin"/>
      </w:r>
      <w:r>
        <w:instrText xml:space="preserve"> PAGEREF _Toc32213 \h </w:instrText>
      </w:r>
      <w:r>
        <w:fldChar w:fldCharType="separate"/>
      </w:r>
      <w:r>
        <w:t>23</w:t>
      </w:r>
      <w:r>
        <w:fldChar w:fldCharType="end"/>
      </w:r>
      <w:r>
        <w:fldChar w:fldCharType="end"/>
      </w:r>
    </w:p>
    <w:p w14:paraId="0C47C62C">
      <w:pPr>
        <w:pStyle w:val="18"/>
      </w:pPr>
      <w:r>
        <w:fldChar w:fldCharType="begin"/>
      </w:r>
      <w:r>
        <w:instrText xml:space="preserve"> HYPERLINK \l "_Toc10571" </w:instrText>
      </w:r>
      <w:r>
        <w:fldChar w:fldCharType="separate"/>
      </w:r>
      <w:r>
        <w:rPr>
          <w:rFonts w:eastAsia="仿宋"/>
        </w:rPr>
        <w:t xml:space="preserve">10 </w:t>
      </w:r>
      <w:r>
        <w:t>应急保障</w:t>
      </w:r>
      <w:r>
        <w:tab/>
      </w:r>
      <w:r>
        <w:fldChar w:fldCharType="begin"/>
      </w:r>
      <w:r>
        <w:instrText xml:space="preserve"> PAGEREF _Toc10571 \h </w:instrText>
      </w:r>
      <w:r>
        <w:fldChar w:fldCharType="separate"/>
      </w:r>
      <w:r>
        <w:t>24</w:t>
      </w:r>
      <w:r>
        <w:fldChar w:fldCharType="end"/>
      </w:r>
      <w:r>
        <w:fldChar w:fldCharType="end"/>
      </w:r>
    </w:p>
    <w:p w14:paraId="50E53F34">
      <w:pPr>
        <w:pStyle w:val="19"/>
        <w:tabs>
          <w:tab w:val="right" w:leader="dot" w:pos="8845"/>
        </w:tabs>
        <w:ind w:firstLine="632"/>
      </w:pPr>
      <w:r>
        <w:fldChar w:fldCharType="begin"/>
      </w:r>
      <w:r>
        <w:instrText xml:space="preserve"> HYPERLINK \l "_Toc6498" </w:instrText>
      </w:r>
      <w:r>
        <w:fldChar w:fldCharType="separate"/>
      </w:r>
      <w:r>
        <w:rPr>
          <w:rFonts w:eastAsia="仿宋"/>
          <w:bCs/>
          <w:szCs w:val="28"/>
        </w:rPr>
        <w:t xml:space="preserve">10.1 </w:t>
      </w:r>
      <w:r>
        <w:t>落实责任</w:t>
      </w:r>
      <w:r>
        <w:tab/>
      </w:r>
      <w:r>
        <w:fldChar w:fldCharType="begin"/>
      </w:r>
      <w:r>
        <w:instrText xml:space="preserve"> PAGEREF _Toc6498 \h </w:instrText>
      </w:r>
      <w:r>
        <w:fldChar w:fldCharType="separate"/>
      </w:r>
      <w:r>
        <w:t>25</w:t>
      </w:r>
      <w:r>
        <w:fldChar w:fldCharType="end"/>
      </w:r>
      <w:r>
        <w:fldChar w:fldCharType="end"/>
      </w:r>
    </w:p>
    <w:p w14:paraId="28C572EA">
      <w:pPr>
        <w:pStyle w:val="19"/>
        <w:tabs>
          <w:tab w:val="right" w:leader="dot" w:pos="8845"/>
        </w:tabs>
        <w:ind w:firstLine="632"/>
      </w:pPr>
      <w:r>
        <w:fldChar w:fldCharType="begin"/>
      </w:r>
      <w:r>
        <w:instrText xml:space="preserve"> HYPERLINK \l "_Toc24935" </w:instrText>
      </w:r>
      <w:r>
        <w:fldChar w:fldCharType="separate"/>
      </w:r>
      <w:r>
        <w:rPr>
          <w:rFonts w:eastAsia="仿宋"/>
          <w:bCs/>
          <w:szCs w:val="28"/>
        </w:rPr>
        <w:t xml:space="preserve">10.2 </w:t>
      </w:r>
      <w:r>
        <w:t>汛前检查、落实措施</w:t>
      </w:r>
      <w:r>
        <w:tab/>
      </w:r>
      <w:r>
        <w:fldChar w:fldCharType="begin"/>
      </w:r>
      <w:r>
        <w:instrText xml:space="preserve"> PAGEREF _Toc24935 \h </w:instrText>
      </w:r>
      <w:r>
        <w:fldChar w:fldCharType="separate"/>
      </w:r>
      <w:r>
        <w:t>25</w:t>
      </w:r>
      <w:r>
        <w:fldChar w:fldCharType="end"/>
      </w:r>
      <w:r>
        <w:fldChar w:fldCharType="end"/>
      </w:r>
    </w:p>
    <w:p w14:paraId="7AE4848E">
      <w:pPr>
        <w:pStyle w:val="19"/>
        <w:tabs>
          <w:tab w:val="right" w:leader="dot" w:pos="8845"/>
        </w:tabs>
        <w:ind w:firstLine="632"/>
      </w:pPr>
      <w:r>
        <w:fldChar w:fldCharType="begin"/>
      </w:r>
      <w:r>
        <w:instrText xml:space="preserve"> HYPERLINK \l "_Toc12657" </w:instrText>
      </w:r>
      <w:r>
        <w:fldChar w:fldCharType="separate"/>
      </w:r>
      <w:r>
        <w:rPr>
          <w:rFonts w:eastAsia="仿宋"/>
          <w:bCs/>
          <w:szCs w:val="28"/>
        </w:rPr>
        <w:t xml:space="preserve">10.3 </w:t>
      </w:r>
      <w:r>
        <w:t>宣传教育</w:t>
      </w:r>
      <w:r>
        <w:tab/>
      </w:r>
      <w:r>
        <w:fldChar w:fldCharType="begin"/>
      </w:r>
      <w:r>
        <w:instrText xml:space="preserve"> PAGEREF _Toc12657 \h </w:instrText>
      </w:r>
      <w:r>
        <w:fldChar w:fldCharType="separate"/>
      </w:r>
      <w:r>
        <w:t>25</w:t>
      </w:r>
      <w:r>
        <w:fldChar w:fldCharType="end"/>
      </w:r>
      <w:r>
        <w:fldChar w:fldCharType="end"/>
      </w:r>
    </w:p>
    <w:p w14:paraId="51C80C04">
      <w:pPr>
        <w:pStyle w:val="19"/>
        <w:tabs>
          <w:tab w:val="right" w:leader="dot" w:pos="8845"/>
        </w:tabs>
        <w:ind w:firstLine="632"/>
      </w:pPr>
      <w:r>
        <w:fldChar w:fldCharType="begin"/>
      </w:r>
      <w:r>
        <w:instrText xml:space="preserve"> HYPERLINK \l "_Toc13879" </w:instrText>
      </w:r>
      <w:r>
        <w:fldChar w:fldCharType="separate"/>
      </w:r>
      <w:r>
        <w:rPr>
          <w:rFonts w:eastAsia="仿宋"/>
          <w:bCs/>
          <w:szCs w:val="28"/>
        </w:rPr>
        <w:t xml:space="preserve">10.4 </w:t>
      </w:r>
      <w:r>
        <w:t>发放明白卡</w:t>
      </w:r>
      <w:r>
        <w:tab/>
      </w:r>
      <w:r>
        <w:fldChar w:fldCharType="begin"/>
      </w:r>
      <w:r>
        <w:instrText xml:space="preserve"> PAGEREF _Toc13879 \h </w:instrText>
      </w:r>
      <w:r>
        <w:fldChar w:fldCharType="separate"/>
      </w:r>
      <w:r>
        <w:t>26</w:t>
      </w:r>
      <w:r>
        <w:fldChar w:fldCharType="end"/>
      </w:r>
      <w:r>
        <w:fldChar w:fldCharType="end"/>
      </w:r>
    </w:p>
    <w:p w14:paraId="751C1EE6">
      <w:pPr>
        <w:pStyle w:val="19"/>
        <w:tabs>
          <w:tab w:val="right" w:leader="dot" w:pos="8845"/>
        </w:tabs>
        <w:ind w:firstLine="632"/>
      </w:pPr>
      <w:r>
        <w:fldChar w:fldCharType="begin"/>
      </w:r>
      <w:r>
        <w:instrText xml:space="preserve"> HYPERLINK \l "_Toc16811" </w:instrText>
      </w:r>
      <w:r>
        <w:fldChar w:fldCharType="separate"/>
      </w:r>
      <w:r>
        <w:rPr>
          <w:rFonts w:eastAsia="仿宋"/>
          <w:bCs/>
          <w:szCs w:val="28"/>
        </w:rPr>
        <w:t xml:space="preserve">10.5 </w:t>
      </w:r>
      <w:r>
        <w:t>制作警示牌</w:t>
      </w:r>
      <w:r>
        <w:tab/>
      </w:r>
      <w:r>
        <w:fldChar w:fldCharType="begin"/>
      </w:r>
      <w:r>
        <w:instrText xml:space="preserve"> PAGEREF _Toc16811 \h </w:instrText>
      </w:r>
      <w:r>
        <w:fldChar w:fldCharType="separate"/>
      </w:r>
      <w:r>
        <w:t>26</w:t>
      </w:r>
      <w:r>
        <w:fldChar w:fldCharType="end"/>
      </w:r>
      <w:r>
        <w:fldChar w:fldCharType="end"/>
      </w:r>
    </w:p>
    <w:p w14:paraId="2D867A35">
      <w:pPr>
        <w:pStyle w:val="19"/>
        <w:tabs>
          <w:tab w:val="right" w:leader="dot" w:pos="8845"/>
        </w:tabs>
        <w:ind w:firstLine="632"/>
      </w:pPr>
      <w:r>
        <w:fldChar w:fldCharType="begin"/>
      </w:r>
      <w:r>
        <w:instrText xml:space="preserve"> HYPERLINK \l "_Toc10413" </w:instrText>
      </w:r>
      <w:r>
        <w:fldChar w:fldCharType="separate"/>
      </w:r>
      <w:r>
        <w:rPr>
          <w:rFonts w:eastAsia="仿宋"/>
          <w:bCs/>
          <w:szCs w:val="28"/>
        </w:rPr>
        <w:t xml:space="preserve">10.6 </w:t>
      </w:r>
      <w:r>
        <w:rPr>
          <w:rFonts w:hint="eastAsia"/>
        </w:rPr>
        <w:t>物资保障</w:t>
      </w:r>
      <w:r>
        <w:tab/>
      </w:r>
      <w:r>
        <w:fldChar w:fldCharType="begin"/>
      </w:r>
      <w:r>
        <w:instrText xml:space="preserve"> PAGEREF _Toc10413 \h </w:instrText>
      </w:r>
      <w:r>
        <w:fldChar w:fldCharType="separate"/>
      </w:r>
      <w:r>
        <w:t>26</w:t>
      </w:r>
      <w:r>
        <w:fldChar w:fldCharType="end"/>
      </w:r>
      <w:r>
        <w:fldChar w:fldCharType="end"/>
      </w:r>
    </w:p>
    <w:p w14:paraId="6B852710">
      <w:pPr>
        <w:pStyle w:val="19"/>
        <w:tabs>
          <w:tab w:val="right" w:leader="dot" w:pos="8845"/>
        </w:tabs>
        <w:ind w:firstLine="632"/>
      </w:pPr>
      <w:r>
        <w:fldChar w:fldCharType="begin"/>
      </w:r>
      <w:r>
        <w:instrText xml:space="preserve"> HYPERLINK \l "_Toc4987" </w:instrText>
      </w:r>
      <w:r>
        <w:fldChar w:fldCharType="separate"/>
      </w:r>
      <w:r>
        <w:rPr>
          <w:rFonts w:eastAsia="仿宋"/>
          <w:bCs/>
          <w:szCs w:val="28"/>
        </w:rPr>
        <w:t xml:space="preserve">10.7 </w:t>
      </w:r>
      <w:r>
        <w:rPr>
          <w:rFonts w:hint="eastAsia"/>
        </w:rPr>
        <w:t>抢险队伍保障</w:t>
      </w:r>
      <w:r>
        <w:tab/>
      </w:r>
      <w:r>
        <w:fldChar w:fldCharType="begin"/>
      </w:r>
      <w:r>
        <w:instrText xml:space="preserve"> PAGEREF _Toc4987 \h </w:instrText>
      </w:r>
      <w:r>
        <w:fldChar w:fldCharType="separate"/>
      </w:r>
      <w:r>
        <w:t>27</w:t>
      </w:r>
      <w:r>
        <w:fldChar w:fldCharType="end"/>
      </w:r>
      <w:r>
        <w:fldChar w:fldCharType="end"/>
      </w:r>
    </w:p>
    <w:p w14:paraId="3539D185">
      <w:pPr>
        <w:pStyle w:val="19"/>
        <w:tabs>
          <w:tab w:val="right" w:leader="dot" w:pos="8845"/>
        </w:tabs>
        <w:ind w:firstLine="632"/>
      </w:pPr>
      <w:r>
        <w:fldChar w:fldCharType="begin"/>
      </w:r>
      <w:r>
        <w:instrText xml:space="preserve"> HYPERLINK \l "_Toc32705" </w:instrText>
      </w:r>
      <w:r>
        <w:fldChar w:fldCharType="separate"/>
      </w:r>
      <w:r>
        <w:rPr>
          <w:rFonts w:eastAsia="仿宋"/>
          <w:bCs/>
          <w:szCs w:val="28"/>
        </w:rPr>
        <w:t xml:space="preserve">10.8 </w:t>
      </w:r>
      <w:r>
        <w:rPr>
          <w:rFonts w:hint="eastAsia"/>
        </w:rPr>
        <w:t>避灾场所保障</w:t>
      </w:r>
      <w:r>
        <w:tab/>
      </w:r>
      <w:r>
        <w:fldChar w:fldCharType="begin"/>
      </w:r>
      <w:r>
        <w:instrText xml:space="preserve"> PAGEREF _Toc32705 \h </w:instrText>
      </w:r>
      <w:r>
        <w:fldChar w:fldCharType="separate"/>
      </w:r>
      <w:r>
        <w:t>27</w:t>
      </w:r>
      <w:r>
        <w:fldChar w:fldCharType="end"/>
      </w:r>
      <w:r>
        <w:fldChar w:fldCharType="end"/>
      </w:r>
    </w:p>
    <w:p w14:paraId="02EAB7E4">
      <w:pPr>
        <w:pStyle w:val="19"/>
        <w:tabs>
          <w:tab w:val="right" w:leader="dot" w:pos="8845"/>
        </w:tabs>
        <w:ind w:firstLine="632"/>
      </w:pPr>
      <w:r>
        <w:fldChar w:fldCharType="begin"/>
      </w:r>
      <w:r>
        <w:instrText xml:space="preserve"> HYPERLINK \l "_Toc20557" </w:instrText>
      </w:r>
      <w:r>
        <w:fldChar w:fldCharType="separate"/>
      </w:r>
      <w:r>
        <w:rPr>
          <w:rFonts w:eastAsia="仿宋"/>
          <w:bCs/>
          <w:szCs w:val="28"/>
        </w:rPr>
        <w:t xml:space="preserve">10.9 </w:t>
      </w:r>
      <w:r>
        <w:t>培训和演练</w:t>
      </w:r>
      <w:r>
        <w:tab/>
      </w:r>
      <w:r>
        <w:fldChar w:fldCharType="begin"/>
      </w:r>
      <w:r>
        <w:instrText xml:space="preserve"> PAGEREF _Toc20557 \h </w:instrText>
      </w:r>
      <w:r>
        <w:fldChar w:fldCharType="separate"/>
      </w:r>
      <w:r>
        <w:t>28</w:t>
      </w:r>
      <w:r>
        <w:fldChar w:fldCharType="end"/>
      </w:r>
      <w:r>
        <w:fldChar w:fldCharType="end"/>
      </w:r>
    </w:p>
    <w:p w14:paraId="633BEC1D">
      <w:pPr>
        <w:pStyle w:val="18"/>
      </w:pPr>
      <w:r>
        <w:fldChar w:fldCharType="begin"/>
      </w:r>
      <w:r>
        <w:instrText xml:space="preserve"> HYPERLINK \l "_Toc3131" </w:instrText>
      </w:r>
      <w:r>
        <w:fldChar w:fldCharType="separate"/>
      </w:r>
      <w:r>
        <w:rPr>
          <w:rFonts w:eastAsia="仿宋"/>
        </w:rPr>
        <w:t xml:space="preserve">11 </w:t>
      </w:r>
      <w:r>
        <w:t>善后工作</w:t>
      </w:r>
      <w:r>
        <w:tab/>
      </w:r>
      <w:r>
        <w:fldChar w:fldCharType="begin"/>
      </w:r>
      <w:r>
        <w:instrText xml:space="preserve"> PAGEREF _Toc3131 \h </w:instrText>
      </w:r>
      <w:r>
        <w:fldChar w:fldCharType="separate"/>
      </w:r>
      <w:r>
        <w:t>30</w:t>
      </w:r>
      <w:r>
        <w:fldChar w:fldCharType="end"/>
      </w:r>
      <w:r>
        <w:fldChar w:fldCharType="end"/>
      </w:r>
    </w:p>
    <w:p w14:paraId="60A56080">
      <w:pPr>
        <w:pStyle w:val="19"/>
        <w:tabs>
          <w:tab w:val="right" w:leader="dot" w:pos="8845"/>
        </w:tabs>
        <w:ind w:firstLine="632"/>
      </w:pPr>
      <w:r>
        <w:fldChar w:fldCharType="begin"/>
      </w:r>
      <w:r>
        <w:instrText xml:space="preserve"> HYPERLINK \l "_Toc18095" </w:instrText>
      </w:r>
      <w:r>
        <w:fldChar w:fldCharType="separate"/>
      </w:r>
      <w:r>
        <w:rPr>
          <w:rFonts w:eastAsia="仿宋"/>
          <w:bCs/>
          <w:szCs w:val="28"/>
        </w:rPr>
        <w:t xml:space="preserve">11.1 </w:t>
      </w:r>
      <w:r>
        <w:t>救灾</w:t>
      </w:r>
      <w:r>
        <w:tab/>
      </w:r>
      <w:r>
        <w:fldChar w:fldCharType="begin"/>
      </w:r>
      <w:r>
        <w:instrText xml:space="preserve"> PAGEREF _Toc18095 \h </w:instrText>
      </w:r>
      <w:r>
        <w:fldChar w:fldCharType="separate"/>
      </w:r>
      <w:r>
        <w:t>30</w:t>
      </w:r>
      <w:r>
        <w:fldChar w:fldCharType="end"/>
      </w:r>
      <w:r>
        <w:fldChar w:fldCharType="end"/>
      </w:r>
    </w:p>
    <w:p w14:paraId="54B95F3D">
      <w:pPr>
        <w:pStyle w:val="19"/>
        <w:tabs>
          <w:tab w:val="right" w:leader="dot" w:pos="8845"/>
        </w:tabs>
        <w:ind w:firstLine="632"/>
      </w:pPr>
      <w:r>
        <w:fldChar w:fldCharType="begin"/>
      </w:r>
      <w:r>
        <w:instrText xml:space="preserve"> HYPERLINK \l "_Toc10186" </w:instrText>
      </w:r>
      <w:r>
        <w:fldChar w:fldCharType="separate"/>
      </w:r>
      <w:r>
        <w:rPr>
          <w:rFonts w:eastAsia="仿宋"/>
          <w:bCs/>
          <w:szCs w:val="28"/>
        </w:rPr>
        <w:t xml:space="preserve">11.2 </w:t>
      </w:r>
      <w:r>
        <w:t>防汛物资补充</w:t>
      </w:r>
      <w:r>
        <w:tab/>
      </w:r>
      <w:r>
        <w:fldChar w:fldCharType="begin"/>
      </w:r>
      <w:r>
        <w:instrText xml:space="preserve"> PAGEREF _Toc10186 \h </w:instrText>
      </w:r>
      <w:r>
        <w:fldChar w:fldCharType="separate"/>
      </w:r>
      <w:r>
        <w:t>31</w:t>
      </w:r>
      <w:r>
        <w:fldChar w:fldCharType="end"/>
      </w:r>
      <w:r>
        <w:fldChar w:fldCharType="end"/>
      </w:r>
    </w:p>
    <w:p w14:paraId="2F8024F3">
      <w:pPr>
        <w:pStyle w:val="19"/>
        <w:tabs>
          <w:tab w:val="right" w:leader="dot" w:pos="8845"/>
        </w:tabs>
        <w:ind w:firstLine="632"/>
      </w:pPr>
      <w:r>
        <w:fldChar w:fldCharType="begin"/>
      </w:r>
      <w:r>
        <w:instrText xml:space="preserve"> HYPERLINK \l "_Toc383" </w:instrText>
      </w:r>
      <w:r>
        <w:fldChar w:fldCharType="separate"/>
      </w:r>
      <w:r>
        <w:rPr>
          <w:rFonts w:eastAsia="仿宋"/>
          <w:bCs/>
          <w:szCs w:val="28"/>
        </w:rPr>
        <w:t xml:space="preserve">11.3 </w:t>
      </w:r>
      <w:r>
        <w:t>水毁工程修复</w:t>
      </w:r>
      <w:r>
        <w:tab/>
      </w:r>
      <w:r>
        <w:fldChar w:fldCharType="begin"/>
      </w:r>
      <w:r>
        <w:instrText xml:space="preserve"> PAGEREF _Toc383 \h </w:instrText>
      </w:r>
      <w:r>
        <w:fldChar w:fldCharType="separate"/>
      </w:r>
      <w:r>
        <w:t>31</w:t>
      </w:r>
      <w:r>
        <w:fldChar w:fldCharType="end"/>
      </w:r>
      <w:r>
        <w:fldChar w:fldCharType="end"/>
      </w:r>
    </w:p>
    <w:p w14:paraId="43806E6E">
      <w:pPr>
        <w:pStyle w:val="19"/>
        <w:tabs>
          <w:tab w:val="right" w:leader="dot" w:pos="8845"/>
        </w:tabs>
        <w:ind w:firstLine="632"/>
      </w:pPr>
      <w:r>
        <w:fldChar w:fldCharType="begin"/>
      </w:r>
      <w:r>
        <w:instrText xml:space="preserve"> HYPERLINK \l "_Toc12800" </w:instrText>
      </w:r>
      <w:r>
        <w:fldChar w:fldCharType="separate"/>
      </w:r>
      <w:r>
        <w:rPr>
          <w:rFonts w:eastAsia="仿宋"/>
          <w:bCs/>
          <w:szCs w:val="28"/>
        </w:rPr>
        <w:t xml:space="preserve">11.4 </w:t>
      </w:r>
      <w:r>
        <w:t>灾后重建</w:t>
      </w:r>
      <w:r>
        <w:tab/>
      </w:r>
      <w:r>
        <w:fldChar w:fldCharType="begin"/>
      </w:r>
      <w:r>
        <w:instrText xml:space="preserve"> PAGEREF _Toc12800 \h </w:instrText>
      </w:r>
      <w:r>
        <w:fldChar w:fldCharType="separate"/>
      </w:r>
      <w:r>
        <w:t>31</w:t>
      </w:r>
      <w:r>
        <w:fldChar w:fldCharType="end"/>
      </w:r>
      <w:r>
        <w:fldChar w:fldCharType="end"/>
      </w:r>
    </w:p>
    <w:p w14:paraId="3780926D">
      <w:pPr>
        <w:pStyle w:val="19"/>
        <w:tabs>
          <w:tab w:val="right" w:leader="dot" w:pos="8845"/>
        </w:tabs>
        <w:ind w:firstLine="632"/>
      </w:pPr>
      <w:r>
        <w:fldChar w:fldCharType="begin"/>
      </w:r>
      <w:r>
        <w:instrText xml:space="preserve"> HYPERLINK \l "_Toc2447" </w:instrText>
      </w:r>
      <w:r>
        <w:fldChar w:fldCharType="separate"/>
      </w:r>
      <w:r>
        <w:rPr>
          <w:rFonts w:eastAsia="仿宋"/>
          <w:bCs/>
          <w:szCs w:val="28"/>
        </w:rPr>
        <w:t xml:space="preserve">11.5 </w:t>
      </w:r>
      <w:r>
        <w:rPr>
          <w:rFonts w:hint="eastAsia"/>
        </w:rPr>
        <w:t>山洪灾害防御工作</w:t>
      </w:r>
      <w:r>
        <w:t>评价与灾害评估</w:t>
      </w:r>
      <w:r>
        <w:tab/>
      </w:r>
      <w:r>
        <w:fldChar w:fldCharType="begin"/>
      </w:r>
      <w:r>
        <w:instrText xml:space="preserve"> PAGEREF _Toc2447 \h </w:instrText>
      </w:r>
      <w:r>
        <w:fldChar w:fldCharType="separate"/>
      </w:r>
      <w:r>
        <w:t>32</w:t>
      </w:r>
      <w:r>
        <w:fldChar w:fldCharType="end"/>
      </w:r>
      <w:r>
        <w:fldChar w:fldCharType="end"/>
      </w:r>
    </w:p>
    <w:p w14:paraId="03943808">
      <w:pPr>
        <w:pStyle w:val="18"/>
      </w:pPr>
      <w:r>
        <w:fldChar w:fldCharType="begin"/>
      </w:r>
      <w:r>
        <w:instrText xml:space="preserve"> HYPERLINK \l "_Toc8671" </w:instrText>
      </w:r>
      <w:r>
        <w:fldChar w:fldCharType="separate"/>
      </w:r>
      <w:r>
        <w:rPr>
          <w:rFonts w:eastAsia="仿宋"/>
        </w:rPr>
        <w:t xml:space="preserve">12 </w:t>
      </w:r>
      <w:r>
        <w:t>附则</w:t>
      </w:r>
      <w:r>
        <w:tab/>
      </w:r>
      <w:r>
        <w:fldChar w:fldCharType="begin"/>
      </w:r>
      <w:r>
        <w:instrText xml:space="preserve"> PAGEREF _Toc8671 \h </w:instrText>
      </w:r>
      <w:r>
        <w:fldChar w:fldCharType="separate"/>
      </w:r>
      <w:r>
        <w:t>32</w:t>
      </w:r>
      <w:r>
        <w:fldChar w:fldCharType="end"/>
      </w:r>
      <w:r>
        <w:fldChar w:fldCharType="end"/>
      </w:r>
    </w:p>
    <w:p w14:paraId="0149B8A1">
      <w:pPr>
        <w:pStyle w:val="19"/>
        <w:tabs>
          <w:tab w:val="right" w:leader="dot" w:pos="8845"/>
        </w:tabs>
        <w:ind w:firstLine="632"/>
      </w:pPr>
      <w:r>
        <w:fldChar w:fldCharType="begin"/>
      </w:r>
      <w:r>
        <w:instrText xml:space="preserve"> HYPERLINK \l "_Toc11621" </w:instrText>
      </w:r>
      <w:r>
        <w:fldChar w:fldCharType="separate"/>
      </w:r>
      <w:r>
        <w:rPr>
          <w:rFonts w:eastAsia="仿宋"/>
          <w:bCs/>
          <w:szCs w:val="28"/>
        </w:rPr>
        <w:t xml:space="preserve">12.1 </w:t>
      </w:r>
      <w:r>
        <w:t>预案更新</w:t>
      </w:r>
      <w:r>
        <w:tab/>
      </w:r>
      <w:r>
        <w:fldChar w:fldCharType="begin"/>
      </w:r>
      <w:r>
        <w:instrText xml:space="preserve"> PAGEREF _Toc11621 \h </w:instrText>
      </w:r>
      <w:r>
        <w:fldChar w:fldCharType="separate"/>
      </w:r>
      <w:r>
        <w:t>32</w:t>
      </w:r>
      <w:r>
        <w:fldChar w:fldCharType="end"/>
      </w:r>
      <w:r>
        <w:fldChar w:fldCharType="end"/>
      </w:r>
    </w:p>
    <w:p w14:paraId="0E2B2A77">
      <w:pPr>
        <w:pStyle w:val="19"/>
        <w:tabs>
          <w:tab w:val="right" w:leader="dot" w:pos="8845"/>
        </w:tabs>
        <w:ind w:firstLine="632"/>
      </w:pPr>
      <w:r>
        <w:fldChar w:fldCharType="begin"/>
      </w:r>
      <w:r>
        <w:instrText xml:space="preserve"> HYPERLINK \l "_Toc14622" </w:instrText>
      </w:r>
      <w:r>
        <w:fldChar w:fldCharType="separate"/>
      </w:r>
      <w:r>
        <w:rPr>
          <w:rFonts w:eastAsia="仿宋"/>
          <w:bCs/>
          <w:szCs w:val="28"/>
        </w:rPr>
        <w:t xml:space="preserve">12.2 </w:t>
      </w:r>
      <w:r>
        <w:t>奖励与责任追究</w:t>
      </w:r>
      <w:r>
        <w:tab/>
      </w:r>
      <w:r>
        <w:fldChar w:fldCharType="begin"/>
      </w:r>
      <w:r>
        <w:instrText xml:space="preserve"> PAGEREF _Toc14622 \h </w:instrText>
      </w:r>
      <w:r>
        <w:fldChar w:fldCharType="separate"/>
      </w:r>
      <w:r>
        <w:t>33</w:t>
      </w:r>
      <w:r>
        <w:fldChar w:fldCharType="end"/>
      </w:r>
      <w:r>
        <w:fldChar w:fldCharType="end"/>
      </w:r>
    </w:p>
    <w:p w14:paraId="1CCB6741">
      <w:pPr>
        <w:pStyle w:val="19"/>
        <w:tabs>
          <w:tab w:val="right" w:leader="dot" w:pos="8845"/>
        </w:tabs>
        <w:ind w:firstLine="632"/>
      </w:pPr>
      <w:r>
        <w:fldChar w:fldCharType="begin"/>
      </w:r>
      <w:r>
        <w:instrText xml:space="preserve"> HYPERLINK \l "_Toc18435" </w:instrText>
      </w:r>
      <w:r>
        <w:fldChar w:fldCharType="separate"/>
      </w:r>
      <w:r>
        <w:rPr>
          <w:rFonts w:eastAsia="仿宋"/>
          <w:bCs/>
          <w:szCs w:val="28"/>
        </w:rPr>
        <w:t xml:space="preserve">12.3 </w:t>
      </w:r>
      <w:r>
        <w:rPr>
          <w:rFonts w:hint="eastAsia" w:ascii="Times New Roman" w:hAnsi="Times New Roman"/>
        </w:rPr>
        <w:t>预案制定与解释</w:t>
      </w:r>
      <w:r>
        <w:tab/>
      </w:r>
      <w:r>
        <w:fldChar w:fldCharType="begin"/>
      </w:r>
      <w:r>
        <w:instrText xml:space="preserve"> PAGEREF _Toc18435 \h </w:instrText>
      </w:r>
      <w:r>
        <w:fldChar w:fldCharType="separate"/>
      </w:r>
      <w:r>
        <w:t>33</w:t>
      </w:r>
      <w:r>
        <w:fldChar w:fldCharType="end"/>
      </w:r>
      <w:r>
        <w:fldChar w:fldCharType="end"/>
      </w:r>
    </w:p>
    <w:p w14:paraId="0BC1D154">
      <w:pPr>
        <w:pStyle w:val="19"/>
        <w:tabs>
          <w:tab w:val="right" w:leader="dot" w:pos="8845"/>
        </w:tabs>
        <w:ind w:firstLine="632"/>
      </w:pPr>
      <w:r>
        <w:fldChar w:fldCharType="begin"/>
      </w:r>
      <w:r>
        <w:instrText xml:space="preserve"> HYPERLINK \l "_Toc3668" </w:instrText>
      </w:r>
      <w:r>
        <w:fldChar w:fldCharType="separate"/>
      </w:r>
      <w:r>
        <w:rPr>
          <w:rFonts w:eastAsia="仿宋"/>
          <w:bCs/>
          <w:szCs w:val="28"/>
        </w:rPr>
        <w:t xml:space="preserve">12.4 </w:t>
      </w:r>
      <w:r>
        <w:rPr>
          <w:rFonts w:hint="eastAsia" w:ascii="Times New Roman" w:hAnsi="Times New Roman"/>
        </w:rPr>
        <w:t>预案中“以上”“以下”的含义</w:t>
      </w:r>
      <w:r>
        <w:tab/>
      </w:r>
      <w:r>
        <w:fldChar w:fldCharType="begin"/>
      </w:r>
      <w:r>
        <w:instrText xml:space="preserve"> PAGEREF _Toc3668 \h </w:instrText>
      </w:r>
      <w:r>
        <w:fldChar w:fldCharType="separate"/>
      </w:r>
      <w:r>
        <w:t>33</w:t>
      </w:r>
      <w:r>
        <w:fldChar w:fldCharType="end"/>
      </w:r>
      <w:r>
        <w:fldChar w:fldCharType="end"/>
      </w:r>
    </w:p>
    <w:p w14:paraId="0C3EF6EE">
      <w:pPr>
        <w:pStyle w:val="19"/>
        <w:tabs>
          <w:tab w:val="right" w:leader="dot" w:pos="8845"/>
        </w:tabs>
        <w:ind w:firstLine="632"/>
      </w:pPr>
      <w:r>
        <w:fldChar w:fldCharType="begin"/>
      </w:r>
      <w:r>
        <w:instrText xml:space="preserve"> HYPERLINK \l "_Toc1751" </w:instrText>
      </w:r>
      <w:r>
        <w:fldChar w:fldCharType="separate"/>
      </w:r>
      <w:r>
        <w:rPr>
          <w:rFonts w:eastAsia="仿宋"/>
          <w:bCs/>
          <w:szCs w:val="28"/>
        </w:rPr>
        <w:t xml:space="preserve">12.5 </w:t>
      </w:r>
      <w:r>
        <w:rPr>
          <w:rFonts w:hint="eastAsia" w:ascii="Times New Roman" w:hAnsi="Times New Roman"/>
        </w:rPr>
        <w:t>预案的实施</w:t>
      </w:r>
      <w:r>
        <w:tab/>
      </w:r>
      <w:r>
        <w:fldChar w:fldCharType="begin"/>
      </w:r>
      <w:r>
        <w:instrText xml:space="preserve"> PAGEREF _Toc1751 \h </w:instrText>
      </w:r>
      <w:r>
        <w:fldChar w:fldCharType="separate"/>
      </w:r>
      <w:r>
        <w:t>33</w:t>
      </w:r>
      <w:r>
        <w:fldChar w:fldCharType="end"/>
      </w:r>
      <w:r>
        <w:fldChar w:fldCharType="end"/>
      </w:r>
    </w:p>
    <w:p w14:paraId="4D5EC666">
      <w:pPr>
        <w:ind w:firstLine="0" w:firstLineChars="0"/>
        <w:rPr>
          <w:rFonts w:ascii="黑体" w:hAnsi="黑体" w:eastAsia="黑体" w:cs="黑体"/>
          <w:szCs w:val="44"/>
        </w:rPr>
      </w:pPr>
      <w:r>
        <w:rPr>
          <w:rFonts w:hint="eastAsia" w:ascii="黑体" w:hAnsi="黑体" w:eastAsia="黑体" w:cs="黑体"/>
          <w:szCs w:val="44"/>
        </w:rPr>
        <w:fldChar w:fldCharType="end"/>
      </w:r>
      <w:r>
        <w:rPr>
          <w:rFonts w:hint="eastAsia" w:ascii="黑体" w:hAnsi="黑体" w:eastAsia="黑体" w:cs="黑体"/>
          <w:szCs w:val="44"/>
        </w:rPr>
        <w:t xml:space="preserve"> </w:t>
      </w:r>
    </w:p>
    <w:p w14:paraId="684B574B">
      <w:pPr>
        <w:ind w:firstLine="632"/>
        <w:sectPr>
          <w:footerReference r:id="rId10" w:type="default"/>
          <w:footerReference r:id="rId11" w:type="even"/>
          <w:pgSz w:w="11906" w:h="16838"/>
          <w:pgMar w:top="2098" w:right="1474" w:bottom="1984" w:left="1587" w:header="624" w:footer="1134" w:gutter="0"/>
          <w:pgNumType w:fmt="upperRoman" w:start="1"/>
          <w:cols w:space="720" w:num="1"/>
          <w:docGrid w:type="linesAndChars" w:linePitch="579" w:charSpace="-842"/>
        </w:sectPr>
      </w:pPr>
    </w:p>
    <w:p w14:paraId="47AC40B0">
      <w:pPr>
        <w:ind w:firstLine="632"/>
      </w:pPr>
    </w:p>
    <w:p w14:paraId="4764B470">
      <w:pPr>
        <w:pStyle w:val="2"/>
        <w:numPr>
          <w:ilvl w:val="0"/>
          <w:numId w:val="2"/>
        </w:numPr>
        <w:tabs>
          <w:tab w:val="left" w:pos="0"/>
        </w:tabs>
        <w:rPr>
          <w:sz w:val="32"/>
          <w:szCs w:val="32"/>
        </w:rPr>
      </w:pPr>
      <w:bookmarkStart w:id="157" w:name="_Toc16471"/>
      <w:r>
        <w:rPr>
          <w:rFonts w:hint="eastAsia"/>
          <w:sz w:val="32"/>
          <w:szCs w:val="32"/>
        </w:rPr>
        <w:t>总则</w:t>
      </w:r>
      <w:bookmarkEnd w:id="157"/>
    </w:p>
    <w:p w14:paraId="216A83FC">
      <w:pPr>
        <w:pStyle w:val="3"/>
      </w:pPr>
      <w:bookmarkStart w:id="158" w:name="_Toc22931"/>
      <w:r>
        <w:rPr>
          <w:rFonts w:hint="eastAsia"/>
        </w:rPr>
        <w:t>编制目的</w:t>
      </w:r>
      <w:bookmarkEnd w:id="158"/>
    </w:p>
    <w:p w14:paraId="15EFF1E3">
      <w:pPr>
        <w:ind w:firstLine="632"/>
        <w:rPr>
          <w:rFonts w:ascii="仿宋_GB2312" w:hAnsi="仿宋_GB2312" w:cs="仿宋_GB2312"/>
        </w:rPr>
      </w:pPr>
      <w:r>
        <w:rPr>
          <w:rFonts w:hint="eastAsia" w:ascii="仿宋_GB2312" w:hAnsi="仿宋_GB2312" w:cs="仿宋_GB2312"/>
        </w:rPr>
        <w:t>为做好山洪灾害防御工作，保护人民群众生命财产安全，维护社会稳定，避免群死群伤事件的发生，促进经济和社会可持续发展，结合山洪灾害发生的实际情况制定本预案。</w:t>
      </w:r>
    </w:p>
    <w:p w14:paraId="694A8694">
      <w:pPr>
        <w:pStyle w:val="3"/>
      </w:pPr>
      <w:bookmarkStart w:id="159" w:name="_Toc20130"/>
      <w:r>
        <w:rPr>
          <w:rFonts w:hint="eastAsia"/>
        </w:rPr>
        <w:t>编制依据</w:t>
      </w:r>
      <w:bookmarkEnd w:id="159"/>
    </w:p>
    <w:p w14:paraId="0F87191C">
      <w:pPr>
        <w:ind w:firstLine="632"/>
      </w:pPr>
      <w:r>
        <w:rPr>
          <w:rFonts w:hint="eastAsia"/>
        </w:rPr>
        <w:t>依据《中华人民共和国防洪法》《中华人民共和国水法》《中华人民共和国突发事件应对法》《中华人民共和国防汛条例》《全国山洪灾害防治规划》《中华人民共和国水库大坝安全管理条例》《双鸭山市自然灾害救助应急保障预案》《集贤县突发事件总体应急预案》等相关法律、法规和规定，结合我县实际，制定本预案。</w:t>
      </w:r>
    </w:p>
    <w:p w14:paraId="6AE6943F">
      <w:pPr>
        <w:pStyle w:val="3"/>
      </w:pPr>
      <w:bookmarkStart w:id="160" w:name="_Toc26335"/>
      <w:r>
        <w:rPr>
          <w:rFonts w:hint="eastAsia"/>
        </w:rPr>
        <w:t>编制原则</w:t>
      </w:r>
      <w:bookmarkEnd w:id="160"/>
    </w:p>
    <w:p w14:paraId="3A8861A3">
      <w:pPr>
        <w:ind w:firstLine="632"/>
      </w:pPr>
      <w:r>
        <w:rPr>
          <w:rFonts w:hint="eastAsia"/>
        </w:rPr>
        <w:t>坚持以人为本，以保障人民群众生命安全为首要目标；坚持安全第一，常备不懈，以防为主，“防、避、抢、救”相结合；坚持落实行政首长负责制、分级管理责任制、分部门责任制、技术人员责任制和岗位责任制；坚持因地制宜，增强预案的实用性和可操作性。</w:t>
      </w:r>
    </w:p>
    <w:p w14:paraId="2148DD6C">
      <w:pPr>
        <w:pStyle w:val="3"/>
      </w:pPr>
      <w:bookmarkStart w:id="161" w:name="_Toc19168"/>
      <w:r>
        <w:rPr>
          <w:rFonts w:hint="eastAsia"/>
        </w:rPr>
        <w:t>适用范围</w:t>
      </w:r>
      <w:bookmarkEnd w:id="161"/>
    </w:p>
    <w:p w14:paraId="4B2903EC">
      <w:pPr>
        <w:ind w:firstLine="632"/>
      </w:pPr>
      <w:r>
        <w:rPr>
          <w:rFonts w:hint="eastAsia"/>
        </w:rPr>
        <w:t>本预案适用于集贤县行政区域范围内山洪灾害的预防和应急处置。在现有工程设施条件下，针对可能发生的山洪灾害预先制定的防御方案、对策和措施，是全县开展山洪灾害风险防控、应急准备、监测预警、指挥决策、防御调度、抢险救灾的依据。</w:t>
      </w:r>
    </w:p>
    <w:p w14:paraId="228CBAC3">
      <w:pPr>
        <w:pStyle w:val="3"/>
      </w:pPr>
      <w:bookmarkStart w:id="162" w:name="_Toc8163"/>
      <w:r>
        <w:rPr>
          <w:rFonts w:hint="eastAsia"/>
        </w:rPr>
        <w:t>编制单位审批权限</w:t>
      </w:r>
      <w:bookmarkEnd w:id="162"/>
    </w:p>
    <w:p w14:paraId="3CEF1442">
      <w:pPr>
        <w:numPr>
          <w:ilvl w:val="0"/>
          <w:numId w:val="3"/>
        </w:numPr>
        <w:ind w:firstLine="632"/>
      </w:pPr>
      <w:r>
        <w:rPr>
          <w:rFonts w:hint="eastAsia"/>
        </w:rPr>
        <w:t>县级山洪灾害防御预案由县应急管理局编制修订，县级防汛指挥机构组织审查，县级人民政府批准并及时公布，报市级防汛指挥机构备案。</w:t>
      </w:r>
    </w:p>
    <w:p w14:paraId="48BA16D6">
      <w:pPr>
        <w:numPr>
          <w:ilvl w:val="0"/>
          <w:numId w:val="3"/>
        </w:numPr>
        <w:ind w:firstLine="632"/>
      </w:pPr>
      <w:r>
        <w:rPr>
          <w:rFonts w:hint="eastAsia"/>
        </w:rPr>
        <w:t>乡镇级、社区级山洪灾害防御预案由乡镇级人民政府负责组织编制修订，由乡镇级人民政府批准并及时公布，报县级防汛指挥机构和县级水行政部门备案。</w:t>
      </w:r>
    </w:p>
    <w:p w14:paraId="68DE1364">
      <w:pPr>
        <w:pStyle w:val="3"/>
      </w:pPr>
      <w:bookmarkStart w:id="163" w:name="__RefHeading___Toc81175667"/>
      <w:bookmarkEnd w:id="163"/>
      <w:bookmarkStart w:id="164" w:name="_Toc18482"/>
      <w:r>
        <w:rPr>
          <w:rFonts w:hint="eastAsia"/>
        </w:rPr>
        <w:t>工作目标</w:t>
      </w:r>
      <w:bookmarkEnd w:id="164"/>
    </w:p>
    <w:p w14:paraId="7661B59C">
      <w:pPr>
        <w:ind w:firstLine="632"/>
      </w:pPr>
      <w:r>
        <w:rPr>
          <w:rFonts w:hint="eastAsia"/>
        </w:rPr>
        <w:t>当发生一般山洪灾害时，确保人民群众生命财产安全；遇超标准洪水和滑坡、泥石流险情时，最大限度地保证人民群众生命安全，确保做到不因工作不力而发生人员伤亡，最大限度地减少灾害损失。</w:t>
      </w:r>
    </w:p>
    <w:p w14:paraId="298C6C0D">
      <w:pPr>
        <w:pStyle w:val="2"/>
        <w:numPr>
          <w:ilvl w:val="0"/>
          <w:numId w:val="2"/>
        </w:numPr>
        <w:tabs>
          <w:tab w:val="left" w:pos="0"/>
        </w:tabs>
        <w:rPr>
          <w:sz w:val="32"/>
          <w:szCs w:val="32"/>
        </w:rPr>
      </w:pPr>
      <w:bookmarkStart w:id="165" w:name="_Toc6637"/>
      <w:r>
        <w:rPr>
          <w:rFonts w:hint="eastAsia"/>
          <w:sz w:val="32"/>
          <w:szCs w:val="32"/>
        </w:rPr>
        <w:t>基本情况</w:t>
      </w:r>
      <w:bookmarkEnd w:id="165"/>
    </w:p>
    <w:p w14:paraId="2ADD707C">
      <w:pPr>
        <w:pStyle w:val="3"/>
      </w:pPr>
      <w:bookmarkStart w:id="166" w:name="_Toc17080"/>
      <w:r>
        <w:rPr>
          <w:rFonts w:hint="eastAsia"/>
        </w:rPr>
        <w:t>自然情况</w:t>
      </w:r>
      <w:bookmarkEnd w:id="166"/>
    </w:p>
    <w:p w14:paraId="3FF2D96A">
      <w:pPr>
        <w:ind w:firstLine="632"/>
      </w:pPr>
      <w:r>
        <w:rPr>
          <w:rFonts w:hint="eastAsia"/>
        </w:rPr>
        <w:t xml:space="preserve">集贤县，隶属于黑龙江省双鸭山市，集贤县位于黑龙江省东北部，南倚完达山麓，北托三江沃野，松花江下游南岸。介于北纬46°29'5"~47°4'3"，东经130°39'30"~132°14'50"之间。东靠友谊县，东南与宝清县相连，南与双鸭山市毗邻，西北与桦川县相接。东西长75公里，南北宽42公里，全县区划面积2227.5平方公里，行政区划内耕地面积232万亩，林地面积66.6万亩。 </w:t>
      </w:r>
    </w:p>
    <w:p w14:paraId="1DF59E8E">
      <w:pPr>
        <w:ind w:firstLine="632"/>
      </w:pPr>
      <w:r>
        <w:rPr>
          <w:rFonts w:hint="eastAsia"/>
        </w:rPr>
        <w:t>集贤县地势为西南高、东北低，自西南向东北呈梯级下降，西南部为完达山余脉，群山连绵，海拔高程为200—400米，南部完达山余脉向东北延伸部分，丘陵广布，海拔高程为160—200米，中部是平原地区，地势平坦，略向北与东北倾斜，海拔高程为80—160米，大部分河流穿行其间。土地肥沃，人口密集。北部和东北部为低平原，有沼泽湿地，海拔高程为60—65米，形成了低山丘陵、山前慢岗、平原和地平原四种地貌类型。</w:t>
      </w:r>
    </w:p>
    <w:p w14:paraId="3AA3D204">
      <w:pPr>
        <w:pStyle w:val="3"/>
      </w:pPr>
      <w:bookmarkStart w:id="167" w:name="_Toc13459"/>
      <w:r>
        <w:rPr>
          <w:rFonts w:hint="eastAsia"/>
        </w:rPr>
        <w:t>河流分布情况</w:t>
      </w:r>
      <w:bookmarkEnd w:id="167"/>
    </w:p>
    <w:p w14:paraId="3E32E3D2">
      <w:pPr>
        <w:ind w:firstLine="632"/>
      </w:pPr>
      <w:r>
        <w:rPr>
          <w:rFonts w:hint="eastAsia"/>
        </w:rPr>
        <w:t>集贤县境内有小河流6条，堤防总长228.12公里，各河流流域面积均在50平方公里以上，属于乌苏里江水系和松花江水系。乌苏里江河水系：小黄河、二道河；松花江水系：安邦河、哈达密河、柳树河、太平河。境内主要河流为安邦河。除安邦河、二道河发源于双鸭山市外，其余河流均发源于本县。</w:t>
      </w:r>
    </w:p>
    <w:p w14:paraId="31791F5E">
      <w:pPr>
        <w:ind w:firstLine="632"/>
      </w:pPr>
      <w:r>
        <w:rPr>
          <w:rFonts w:hint="eastAsia"/>
        </w:rPr>
        <w:t>防汛重点河流为本县最大河流安邦河，属松花江水系，发源于双鸭山市以南的十二道坝九里川，全长167km，境内河长31km，流域面积1168km</w:t>
      </w:r>
      <w:r>
        <w:rPr>
          <w:rFonts w:hint="eastAsia"/>
          <w:vertAlign w:val="superscript"/>
        </w:rPr>
        <w:t>2</w:t>
      </w:r>
      <w:r>
        <w:rPr>
          <w:rFonts w:hint="eastAsia"/>
        </w:rPr>
        <w:t>，是松花江下游右岸的一级支流，属于季节性河流，多年平均流量为3.11m</w:t>
      </w:r>
      <w:r>
        <w:rPr>
          <w:rFonts w:hint="eastAsia"/>
          <w:vertAlign w:val="superscript"/>
        </w:rPr>
        <w:t>3</w:t>
      </w:r>
      <w:r>
        <w:rPr>
          <w:rFonts w:hint="eastAsia"/>
        </w:rPr>
        <w:t>/s。安邦河途经县城及重要交通要道，其中合发桥、罗锅桥穿堤路口相对较低，汛期由相关乡镇社区负责看护，河道运行中心加大河道巡查力度，紧急防汛期配备防汛沙袋防止洪水外流。</w:t>
      </w:r>
    </w:p>
    <w:p w14:paraId="20A99991">
      <w:pPr>
        <w:pStyle w:val="3"/>
      </w:pPr>
      <w:bookmarkStart w:id="168" w:name="_Toc1981"/>
      <w:r>
        <w:rPr>
          <w:rFonts w:hint="eastAsia"/>
        </w:rPr>
        <w:t>区域内气象、水文条件，暴雨洪水特征</w:t>
      </w:r>
      <w:bookmarkEnd w:id="168"/>
    </w:p>
    <w:p w14:paraId="605D2D0F">
      <w:pPr>
        <w:ind w:firstLine="632"/>
      </w:pPr>
      <w:r>
        <w:rPr>
          <w:rFonts w:hint="eastAsia"/>
        </w:rPr>
        <w:t>集贤县气候属中温带大陆性季风气候，受内蒙古和西伯利亚气候的影响，四季冷暖分明，春秋两季多风少雨，夏季高温多雨，冬季寒冷干燥。其特点是气温变化大，日照时间长，降雨时空分布不均，风多风大、频率高，土壤蒸发量大，春夏之交干旱频频繁</w:t>
      </w:r>
    </w:p>
    <w:p w14:paraId="59021504">
      <w:pPr>
        <w:ind w:firstLine="632"/>
      </w:pPr>
      <w:r>
        <w:rPr>
          <w:rFonts w:hint="eastAsia"/>
        </w:rPr>
        <w:t>集贤县多年平均气温4.0℃，一月最冷，平均气温-18℃，极端最低气温-35.6℃七月最热，平均气温22.6℃，极端最高气温38.1℃。无霜期140天。多年平均降水量为534mm。总的分布趋势为山区、半山区大于平原，降水量主要集中在6-8月，占全年降水量的60%以上，降水年内分配不均，时空、地域分配，差异较大。</w:t>
      </w:r>
    </w:p>
    <w:p w14:paraId="1ACCC7A4">
      <w:pPr>
        <w:ind w:firstLine="632"/>
      </w:pPr>
      <w:r>
        <w:rPr>
          <w:rFonts w:hint="eastAsia"/>
        </w:rPr>
        <w:t>依照集贤县的春夏秋冬四季变化明显，确定11月至次年3月为冬季、4月至5月为春季、6月至8月为夏季、9月至10月为秋季。集贤县年平均气温为2.3℃，结冰期为5个月，多年平均年降水量为579毫米，无霜期为115—125天，全年日照时数为2300—2700小时，多年平均年积温在蚂蚁河两岸2200—2400℃，在南北山区2000—2200℃，在南北高平原区为2100—2300℃。</w:t>
      </w:r>
    </w:p>
    <w:p w14:paraId="0EBA05A0">
      <w:pPr>
        <w:ind w:firstLine="632"/>
      </w:pPr>
      <w:r>
        <w:rPr>
          <w:rFonts w:hint="eastAsia"/>
        </w:rPr>
        <w:t>集贤县属松花江下游冲积平原，大部分为新生界第四纪形成，按土壤分为暗棕壤、白浆土、黑土、草甸土、沼泽土、泥浆土、水稻土7个土类。</w:t>
      </w:r>
    </w:p>
    <w:p w14:paraId="7C3E239E">
      <w:pPr>
        <w:pStyle w:val="2"/>
        <w:numPr>
          <w:ilvl w:val="0"/>
          <w:numId w:val="2"/>
        </w:numPr>
        <w:tabs>
          <w:tab w:val="left" w:pos="0"/>
        </w:tabs>
        <w:rPr>
          <w:sz w:val="32"/>
          <w:szCs w:val="32"/>
        </w:rPr>
      </w:pPr>
      <w:bookmarkStart w:id="169" w:name="_Toc3008"/>
      <w:r>
        <w:rPr>
          <w:rFonts w:hint="eastAsia"/>
          <w:sz w:val="32"/>
          <w:szCs w:val="32"/>
        </w:rPr>
        <w:t>历史山洪灾害程度及成因分析</w:t>
      </w:r>
      <w:bookmarkEnd w:id="169"/>
    </w:p>
    <w:p w14:paraId="6EB6A5F5">
      <w:pPr>
        <w:pStyle w:val="3"/>
      </w:pPr>
      <w:bookmarkStart w:id="170" w:name="_Toc24610"/>
      <w:r>
        <w:rPr>
          <w:rFonts w:hint="eastAsia"/>
        </w:rPr>
        <w:t>灾害类型</w:t>
      </w:r>
      <w:bookmarkEnd w:id="170"/>
    </w:p>
    <w:p w14:paraId="5DE5D469">
      <w:pPr>
        <w:ind w:firstLine="632"/>
      </w:pPr>
      <w:r>
        <w:rPr>
          <w:rFonts w:hint="eastAsia"/>
        </w:rPr>
        <w:t>本县洪涝灾害类型为：流域内河流洪水、客水、山洪灾害、局地强降雨、内涝等。</w:t>
      </w:r>
    </w:p>
    <w:p w14:paraId="39D591D3">
      <w:pPr>
        <w:pStyle w:val="3"/>
      </w:pPr>
      <w:bookmarkStart w:id="171" w:name="_Toc30441"/>
      <w:r>
        <w:rPr>
          <w:rFonts w:hint="eastAsia"/>
        </w:rPr>
        <w:t>历史山洪</w:t>
      </w:r>
      <w:bookmarkEnd w:id="171"/>
    </w:p>
    <w:p w14:paraId="72423A1D">
      <w:pPr>
        <w:ind w:firstLine="632"/>
      </w:pPr>
      <w:r>
        <w:rPr>
          <w:rFonts w:hint="eastAsia"/>
        </w:rPr>
        <w:t>1994年8月，先后两次出现大雨、暴雨过程，仅8月14日降雨量达61.8mm，发生山洪，河流水位急剧上涨，泛滥成灾。全县一半耕地受灾，四分之一绝产，冲毁桥涵27座，闸1座，堤防48处（2.4km），拦河坝1处，公路5.05km。直接经济损失达8536万元。</w:t>
      </w:r>
    </w:p>
    <w:p w14:paraId="5429A54B">
      <w:pPr>
        <w:pStyle w:val="3"/>
      </w:pPr>
      <w:bookmarkStart w:id="172" w:name="_Toc5947"/>
      <w:r>
        <w:rPr>
          <w:rFonts w:hint="eastAsia"/>
        </w:rPr>
        <w:t>灾害成因分析</w:t>
      </w:r>
      <w:bookmarkEnd w:id="172"/>
    </w:p>
    <w:p w14:paraId="33C95F00">
      <w:pPr>
        <w:numPr>
          <w:ilvl w:val="0"/>
          <w:numId w:val="4"/>
        </w:numPr>
        <w:ind w:firstLine="632"/>
      </w:pPr>
      <w:r>
        <w:rPr>
          <w:rFonts w:hint="eastAsia"/>
        </w:rPr>
        <w:t>自1960年以来，本县发生了5次大洪水，即1960、1981、1983、1994、1998年洪水。频发的洪水对我县的防洪安全构成了严重威胁。特别是近年来植被遭到破坏，水土流失加剧，洪水灾害呈上升势头。</w:t>
      </w:r>
    </w:p>
    <w:p w14:paraId="41BAFB47">
      <w:pPr>
        <w:numPr>
          <w:ilvl w:val="0"/>
          <w:numId w:val="4"/>
        </w:numPr>
        <w:ind w:firstLine="632"/>
      </w:pPr>
      <w:r>
        <w:rPr>
          <w:rFonts w:hint="eastAsia"/>
        </w:rPr>
        <w:t>集贤县境内部分河流堤防防洪标准低，抗御洪水能力相对较弱，部分堤防标准在10年一遇。</w:t>
      </w:r>
    </w:p>
    <w:p w14:paraId="5F294ACA">
      <w:pPr>
        <w:numPr>
          <w:ilvl w:val="0"/>
          <w:numId w:val="4"/>
        </w:numPr>
        <w:ind w:firstLine="632"/>
      </w:pPr>
      <w:r>
        <w:rPr>
          <w:rFonts w:hint="eastAsia"/>
        </w:rPr>
        <w:t>山洪灾害防治非工程措施设施设备和指挥系统还不够完善。</w:t>
      </w:r>
    </w:p>
    <w:p w14:paraId="53178ABE">
      <w:pPr>
        <w:pStyle w:val="2"/>
        <w:numPr>
          <w:ilvl w:val="0"/>
          <w:numId w:val="2"/>
        </w:numPr>
        <w:tabs>
          <w:tab w:val="left" w:pos="0"/>
        </w:tabs>
        <w:rPr>
          <w:sz w:val="32"/>
          <w:szCs w:val="32"/>
        </w:rPr>
      </w:pPr>
      <w:bookmarkStart w:id="173" w:name="_Toc26366"/>
      <w:r>
        <w:rPr>
          <w:rFonts w:hint="eastAsia"/>
          <w:sz w:val="32"/>
          <w:szCs w:val="32"/>
        </w:rPr>
        <w:t>山洪灾害防御现状</w:t>
      </w:r>
      <w:bookmarkEnd w:id="173"/>
    </w:p>
    <w:p w14:paraId="793CECFC">
      <w:pPr>
        <w:pStyle w:val="3"/>
      </w:pPr>
      <w:bookmarkStart w:id="174" w:name="_Toc2430"/>
      <w:r>
        <w:t>山洪灾害防御非工程措施</w:t>
      </w:r>
      <w:bookmarkEnd w:id="174"/>
    </w:p>
    <w:p w14:paraId="4E7623E9">
      <w:pPr>
        <w:ind w:firstLine="632"/>
      </w:pPr>
      <w:r>
        <w:t>近年来，</w:t>
      </w:r>
      <w:r>
        <w:rPr>
          <w:rFonts w:hint="eastAsia"/>
        </w:rPr>
        <w:t>集贤</w:t>
      </w:r>
      <w:r>
        <w:t>县水务部门在受山洪灾害威胁区域内共建设监测站29处，</w:t>
      </w:r>
      <w:r>
        <w:rPr>
          <w:rFonts w:hint="eastAsia"/>
        </w:rPr>
        <w:t>其中新建</w:t>
      </w:r>
      <w:r>
        <w:t>了10个自动雨量、10个简易雨量站、4个</w:t>
      </w:r>
      <w:r>
        <w:rPr>
          <w:rFonts w:hint="eastAsia"/>
        </w:rPr>
        <w:t>雨水</w:t>
      </w:r>
      <w:r>
        <w:t>监测站、5个简易水位站。共享气象、水文部门已建的站点21处，新建监测站2处（气象4要素自动监测站1处、气象6要素自动监测站1处）。编制了县、镇、</w:t>
      </w:r>
      <w:r>
        <w:rPr>
          <w:rFonts w:hint="eastAsia"/>
        </w:rPr>
        <w:t>社区</w:t>
      </w:r>
      <w:r>
        <w:t>三级山洪灾害防御预案，实行包保责任制，县领导及防汛指挥部成员包堤、包库、包乡镇；同时通过发放明白卡、宣传单、宣传手册，刷写宣传标语和警示标志、防汛知识培训，防汛演练等形式，不断</w:t>
      </w:r>
      <w:r>
        <w:rPr>
          <w:rFonts w:hint="eastAsia"/>
        </w:rPr>
        <w:t>增强</w:t>
      </w:r>
      <w:r>
        <w:t>群众的防灾避灾意识。通过监测预警系统的不断完善和山洪灾害防御知识的大力宣传，有效</w:t>
      </w:r>
      <w:r>
        <w:rPr>
          <w:rFonts w:hint="eastAsia"/>
        </w:rPr>
        <w:t>地</w:t>
      </w:r>
      <w:r>
        <w:t>提高了防御山洪的能力。</w:t>
      </w:r>
    </w:p>
    <w:p w14:paraId="1ED767A0">
      <w:pPr>
        <w:pStyle w:val="3"/>
      </w:pPr>
      <w:bookmarkStart w:id="175" w:name="_Toc16599"/>
      <w:r>
        <w:t>山洪灾害防御工程措施</w:t>
      </w:r>
      <w:bookmarkEnd w:id="175"/>
    </w:p>
    <w:p w14:paraId="1CAB01CE">
      <w:pPr>
        <w:pStyle w:val="4"/>
        <w:numPr>
          <w:ilvl w:val="2"/>
          <w:numId w:val="2"/>
        </w:numPr>
        <w:tabs>
          <w:tab w:val="left" w:pos="0"/>
        </w:tabs>
        <w:rPr>
          <w:rFonts w:ascii="仿宋_GB2312" w:hAnsi="仿宋_GB2312" w:eastAsia="仿宋_GB2312" w:cs="仿宋_GB2312"/>
        </w:rPr>
      </w:pPr>
      <w:r>
        <w:rPr>
          <w:rFonts w:hint="eastAsia" w:ascii="仿宋_GB2312" w:hAnsi="仿宋_GB2312" w:eastAsia="仿宋_GB2312" w:cs="仿宋_GB2312"/>
        </w:rPr>
        <w:t>现有堤防工程</w:t>
      </w:r>
    </w:p>
    <w:p w14:paraId="2A619A32">
      <w:pPr>
        <w:ind w:firstLine="632"/>
      </w:pPr>
      <w:r>
        <w:t>本县现有堤防长度为248.88公里，其中安邦河堤防61.7公里，堤坝高2米</w:t>
      </w:r>
      <w:r>
        <w:rPr>
          <w:rFonts w:hint="eastAsia"/>
        </w:rPr>
        <w:t>—</w:t>
      </w:r>
      <w:r>
        <w:t>3米、顶宽3米</w:t>
      </w:r>
      <w:r>
        <w:rPr>
          <w:rFonts w:hint="eastAsia"/>
        </w:rPr>
        <w:t>—</w:t>
      </w:r>
      <w:r>
        <w:t>8米、迎水坡比1:2.5、背水坡比1:2；太平河堤防9.6公里，堤坝高3米</w:t>
      </w:r>
      <w:r>
        <w:rPr>
          <w:rFonts w:hint="eastAsia"/>
        </w:rPr>
        <w:t>—</w:t>
      </w:r>
      <w:r>
        <w:t>4.2米、顶宽1.5米</w:t>
      </w:r>
      <w:r>
        <w:rPr>
          <w:rFonts w:hint="eastAsia"/>
        </w:rPr>
        <w:t>—</w:t>
      </w:r>
      <w:r>
        <w:t>3米、迎水坡比1:2、背水坡比1:1.5；哈达密河26.5公里，堤坝高1米</w:t>
      </w:r>
      <w:r>
        <w:rPr>
          <w:rFonts w:hint="eastAsia"/>
        </w:rPr>
        <w:t>—</w:t>
      </w:r>
      <w:r>
        <w:t>2.5米、顶宽3米、迎水坡比1:2.5、背水坡比1:2.5；柳树河42.48公里，堤坝高1.8米</w:t>
      </w:r>
      <w:r>
        <w:rPr>
          <w:rFonts w:hint="eastAsia"/>
        </w:rPr>
        <w:t>—</w:t>
      </w:r>
      <w:r>
        <w:t>2.5米、顶宽3米</w:t>
      </w:r>
      <w:r>
        <w:rPr>
          <w:rFonts w:hint="eastAsia"/>
        </w:rPr>
        <w:t>—</w:t>
      </w:r>
      <w:r>
        <w:t>4米、迎水坡比1:3、背水坡比1:2.5；二道河60.7公里，堤坝高3米</w:t>
      </w:r>
      <w:r>
        <w:rPr>
          <w:rFonts w:hint="eastAsia"/>
        </w:rPr>
        <w:t>—</w:t>
      </w:r>
      <w:r>
        <w:t>4米、顶宽3米</w:t>
      </w:r>
      <w:r>
        <w:rPr>
          <w:rFonts w:hint="eastAsia"/>
        </w:rPr>
        <w:t>—</w:t>
      </w:r>
      <w:r>
        <w:t>4米、迎水坡比1:2.5、背水坡比1:2.5；小黄河47.9公里，堤坝高2.5米</w:t>
      </w:r>
      <w:r>
        <w:rPr>
          <w:rFonts w:hint="eastAsia"/>
        </w:rPr>
        <w:t>—</w:t>
      </w:r>
      <w:r>
        <w:t>3.5米、顶宽4米、迎水坡比1:2.5、背水坡比1:2.5。</w:t>
      </w:r>
    </w:p>
    <w:p w14:paraId="7A6DB6F6">
      <w:pPr>
        <w:pStyle w:val="4"/>
        <w:numPr>
          <w:ilvl w:val="2"/>
          <w:numId w:val="2"/>
        </w:numPr>
        <w:tabs>
          <w:tab w:val="left" w:pos="0"/>
        </w:tabs>
        <w:rPr>
          <w:rFonts w:ascii="仿宋_GB2312" w:hAnsi="仿宋_GB2312" w:eastAsia="仿宋_GB2312" w:cs="仿宋_GB2312"/>
        </w:rPr>
      </w:pPr>
      <w:r>
        <w:rPr>
          <w:rFonts w:hint="eastAsia" w:ascii="仿宋_GB2312" w:hAnsi="仿宋_GB2312" w:eastAsia="仿宋_GB2312" w:cs="仿宋_GB2312"/>
        </w:rPr>
        <w:t>水库工程</w:t>
      </w:r>
    </w:p>
    <w:p w14:paraId="04987C5E">
      <w:pPr>
        <w:ind w:firstLine="632"/>
      </w:pPr>
      <w:r>
        <w:t>笔架山水库位于我县笔架山农场境内，距安邦河入口上游9.6公里处，是一座以灌溉为主，兼顾防洪、除涝、养鱼等综合利用多年调节的山丘区中型水库。其设计洪水标准为百年一遇，校核洪水标准为千年一遇。水库大坝为</w:t>
      </w:r>
      <w:r>
        <w:rPr>
          <w:rFonts w:hint="eastAsia"/>
        </w:rPr>
        <w:t>黏土</w:t>
      </w:r>
      <w:r>
        <w:t>心墙土石混合坝，最大坝高16.5米，坝长940米，坝顶宽6.5米。在三江流域规划中为第四区，是三江治理控制性工程，具有拦蓄上游山丘降水，有效削峰滞洪，提高哈达密河的防洪能力。水库校核水位为129.20米，总库容积为3080万立方米</w:t>
      </w:r>
      <w:r>
        <w:rPr>
          <w:rFonts w:hint="eastAsia"/>
        </w:rPr>
        <w:t>；</w:t>
      </w:r>
      <w:r>
        <w:t>正常蓄水位为128.20米，相应库容为2630万立方米；</w:t>
      </w:r>
      <w:r>
        <w:rPr>
          <w:rFonts w:hint="eastAsia"/>
        </w:rPr>
        <w:t>汛</w:t>
      </w:r>
      <w:r>
        <w:t>限水位126.5米，相应库容1910万立方米，死水位119.50米，相应库容180万立方米。</w:t>
      </w:r>
    </w:p>
    <w:p w14:paraId="57EB0EF2">
      <w:pPr>
        <w:ind w:firstLine="632"/>
      </w:pPr>
      <w:r>
        <w:t>红旗水库于我县永安乡境内，始建于1958年距县城福利镇约20公里，松花江一级支流安邦河的中下游。地理坐标东经131011′，北纬46054′。红旗水库是一座引安邦河水入库进行反调节的封闭平原小﹙1﹚型水库，以灌溉为主兼顾养鱼的综合利用平原水库。工程等别为Ⅳ等，设计洪水标准为10年一遇（P=10%），校核洪水标准为50年一遇（P=2%）。水库主体工程由土坝、输水闸、进水闸和泄洪闸组成。大坝为均质土坝，坝高77.84米～78.38米，土坝长8965米。坝顶宽4.0米。水库校核水位为76.44米，总库容积为502万立方米</w:t>
      </w:r>
      <w:r>
        <w:rPr>
          <w:rFonts w:hint="eastAsia"/>
        </w:rPr>
        <w:t>；</w:t>
      </w:r>
      <w:r>
        <w:t>正常蓄水位为76.44米，相应库容为395万立方米；死水位75.48米，相应库容107万立方米。</w:t>
      </w:r>
    </w:p>
    <w:p w14:paraId="3FD60E5F">
      <w:pPr>
        <w:ind w:firstLine="632"/>
      </w:pPr>
      <w:r>
        <w:t>三八水库位于集贤镇南，始建于1958年距县城福利镇约10公里，松花江二级支流幸福排干上游，地理坐标东经131015′，北纬46048′。三八水库是一座以防洪为主，兼顾灌溉、养殖及旅游等综合利用的小（1）型平原水库。设计洪水标准为20年一遇，水库工程由土坝、泄水闸、输水洞三部分组成。大坝为均质土坝，最大坝高4.20米，土坝长3100米。水库校核水位为80.96米，总库</w:t>
      </w:r>
      <w:r>
        <w:rPr>
          <w:rFonts w:hint="eastAsia"/>
        </w:rPr>
        <w:t>容</w:t>
      </w:r>
      <w:r>
        <w:t>为214万立方米</w:t>
      </w:r>
      <w:r>
        <w:rPr>
          <w:rFonts w:hint="eastAsia"/>
        </w:rPr>
        <w:t>；</w:t>
      </w:r>
      <w:r>
        <w:t>正常蓄水位为79.42米，相应库容为44.9万立方米；死水位78.5米，相应库容7万立方米。</w:t>
      </w:r>
    </w:p>
    <w:p w14:paraId="3434F25C">
      <w:pPr>
        <w:ind w:firstLine="632"/>
      </w:pPr>
      <w:r>
        <w:t>庆丰水库位于丰乐镇庆丰</w:t>
      </w:r>
      <w:r>
        <w:rPr>
          <w:rFonts w:hint="eastAsia"/>
        </w:rPr>
        <w:t>社区</w:t>
      </w:r>
      <w:r>
        <w:t>东，柳树河支流永丰沟上游，始建于1958年距县城福利镇约20公里，地理坐标为东经130°56′30″</w:t>
      </w:r>
      <w:r>
        <w:rPr>
          <w:rFonts w:hint="eastAsia"/>
        </w:rPr>
        <w:t>，</w:t>
      </w:r>
      <w:r>
        <w:t>北纬46°46′。庆丰水库是一座以防洪为主，兼顾灌溉、养殖的综合利用小</w:t>
      </w:r>
      <w:r>
        <w:rPr>
          <w:rFonts w:hint="eastAsia"/>
        </w:rPr>
        <w:t>（</w:t>
      </w:r>
      <w:r>
        <w:t>1</w:t>
      </w:r>
      <w:r>
        <w:rPr>
          <w:rFonts w:hint="eastAsia"/>
        </w:rPr>
        <w:t>）</w:t>
      </w:r>
      <w:r>
        <w:t>型山丘区水库。设计洪水标准为10年一遇，水库工程由土坝、溢洪道、输水洞三部分组成。大坝为均质土坝，最大坝高7.55米，土坝长488米。水库校核水位为120.1米，总库容积为163万立方米</w:t>
      </w:r>
      <w:r>
        <w:rPr>
          <w:rFonts w:hint="eastAsia"/>
        </w:rPr>
        <w:t>；</w:t>
      </w:r>
      <w:r>
        <w:t>正常蓄水位为118.4米，相应库容为78.1万立方米；死水位115.2米，相应库容7万立方米。</w:t>
      </w:r>
    </w:p>
    <w:p w14:paraId="3E7577C1">
      <w:pPr>
        <w:pStyle w:val="2"/>
        <w:numPr>
          <w:ilvl w:val="0"/>
          <w:numId w:val="2"/>
        </w:numPr>
        <w:tabs>
          <w:tab w:val="left" w:pos="0"/>
        </w:tabs>
        <w:rPr>
          <w:sz w:val="32"/>
          <w:szCs w:val="32"/>
        </w:rPr>
      </w:pPr>
      <w:bookmarkStart w:id="176" w:name="_Toc430"/>
      <w:r>
        <w:rPr>
          <w:rFonts w:hint="eastAsia"/>
          <w:sz w:val="32"/>
          <w:szCs w:val="32"/>
        </w:rPr>
        <w:t>危险区、避险区</w:t>
      </w:r>
      <w:bookmarkEnd w:id="176"/>
    </w:p>
    <w:p w14:paraId="73C14E8A">
      <w:pPr>
        <w:pStyle w:val="3"/>
      </w:pPr>
      <w:bookmarkStart w:id="177" w:name="_Toc53"/>
      <w:r>
        <w:rPr>
          <w:rFonts w:hint="eastAsia"/>
        </w:rPr>
        <w:t>划分原则</w:t>
      </w:r>
      <w:bookmarkEnd w:id="177"/>
    </w:p>
    <w:p w14:paraId="11BB08E9">
      <w:pPr>
        <w:ind w:firstLine="632"/>
      </w:pPr>
      <w:r>
        <w:rPr>
          <w:rFonts w:hint="eastAsia"/>
        </w:rPr>
        <w:t>危险区是指受山洪灾害威胁的区域，一旦发生山洪、泥石流，将直接造成人员伤亡以及房屋、设施破坏。危险区一般处于河谷、沟口、河滩、陡坡下、低洼处和不稳定的山体下。</w:t>
      </w:r>
    </w:p>
    <w:p w14:paraId="7F9E1953">
      <w:pPr>
        <w:ind w:firstLine="632"/>
      </w:pPr>
      <w:r>
        <w:rPr>
          <w:rFonts w:hint="eastAsia"/>
        </w:rPr>
        <w:t>避险区是指不受山洪、泥石流、滑坡威胁，地质结构比较稳定，可安全居住和从事生产活动的区域。避险区是危险区人员的避灾场所，一般应选在地势较高，平坦或坡度平缓的地方，避开河道、沟口、陡坡、低洼地带。根据区域山洪灾害的形成特点，在调查历史山洪灾害发生区域的基础上，结合气候和地形地质条件、人员分布等，分析山洪灾害可能发生的类型、程度及影响范围，合理划分危险区、避险区。</w:t>
      </w:r>
    </w:p>
    <w:p w14:paraId="432FCF9D">
      <w:pPr>
        <w:pStyle w:val="3"/>
      </w:pPr>
      <w:bookmarkStart w:id="178" w:name="_Toc8301"/>
      <w:r>
        <w:rPr>
          <w:rFonts w:hint="eastAsia"/>
        </w:rPr>
        <w:t>“危险区”划分</w:t>
      </w:r>
      <w:bookmarkEnd w:id="178"/>
    </w:p>
    <w:p w14:paraId="66412731">
      <w:pPr>
        <w:ind w:firstLine="632"/>
      </w:pPr>
      <w:r>
        <w:rPr>
          <w:rFonts w:hint="eastAsia"/>
        </w:rPr>
        <w:t>根据集贤县山洪灾害和形成特点确定安邦河作为防灾预案编制的对象，在调查各流域历史山洪灾害发生区域的基础上，结合分析未来山洪灾害可能发生的类型、程度及影响范围，确定危险区根据集贤县山洪灾害调查评价报告划定。</w:t>
      </w:r>
    </w:p>
    <w:p w14:paraId="06A982E1">
      <w:pPr>
        <w:pStyle w:val="3"/>
      </w:pPr>
      <w:bookmarkStart w:id="179" w:name="_Toc3976"/>
      <w:r>
        <w:rPr>
          <w:rFonts w:hint="eastAsia"/>
        </w:rPr>
        <w:t>重点防护对象</w:t>
      </w:r>
      <w:bookmarkEnd w:id="179"/>
    </w:p>
    <w:p w14:paraId="0AD22F3D">
      <w:pPr>
        <w:ind w:firstLine="632"/>
      </w:pPr>
      <w:r>
        <w:rPr>
          <w:rFonts w:hint="eastAsia"/>
        </w:rPr>
        <w:t>我县六条河流、四座水库重点保护城镇、社区、人口、耕地、铁路、公路等。</w:t>
      </w:r>
    </w:p>
    <w:p w14:paraId="001F5BF0">
      <w:pPr>
        <w:pStyle w:val="4"/>
        <w:numPr>
          <w:ilvl w:val="2"/>
          <w:numId w:val="2"/>
        </w:numPr>
        <w:tabs>
          <w:tab w:val="left" w:pos="0"/>
        </w:tabs>
        <w:rPr>
          <w:rFonts w:ascii="仿宋_GB2312" w:hAnsi="仿宋_GB2312" w:eastAsia="仿宋_GB2312" w:cs="仿宋_GB2312"/>
        </w:rPr>
      </w:pPr>
      <w:r>
        <w:rPr>
          <w:rFonts w:hint="eastAsia" w:ascii="仿宋_GB2312" w:hAnsi="仿宋_GB2312" w:eastAsia="仿宋_GB2312" w:cs="仿宋_GB2312"/>
        </w:rPr>
        <w:t>河流保护对象</w:t>
      </w:r>
    </w:p>
    <w:p w14:paraId="4FE7B37E">
      <w:pPr>
        <w:ind w:firstLine="632"/>
      </w:pPr>
      <w:r>
        <w:rPr>
          <w:rFonts w:hint="eastAsia"/>
        </w:rPr>
        <w:t>城镇1个、社区91个、人口12.73万人、耕地128.85万亩、铁路1个、公路2个。</w:t>
      </w:r>
    </w:p>
    <w:p w14:paraId="181D4390">
      <w:pPr>
        <w:ind w:firstLine="632"/>
      </w:pPr>
      <w:r>
        <w:rPr>
          <w:rFonts w:hint="eastAsia"/>
        </w:rPr>
        <w:t>安邦河：保护县城1个、社区8个、人口2.6万人、耕地8.9万亩；保护佳富铁路、依饶公路、同三公路。</w:t>
      </w:r>
    </w:p>
    <w:p w14:paraId="27950B26">
      <w:pPr>
        <w:ind w:firstLine="632"/>
      </w:pPr>
      <w:r>
        <w:rPr>
          <w:rFonts w:hint="eastAsia"/>
        </w:rPr>
        <w:t>哈达密河：保护社区9个、人口1.9万人、耕地12.9万亩；保护佳富铁路、同三公路、依饶公路。</w:t>
      </w:r>
    </w:p>
    <w:p w14:paraId="1C38F0A9">
      <w:pPr>
        <w:ind w:firstLine="632"/>
      </w:pPr>
      <w:r>
        <w:rPr>
          <w:rFonts w:hint="eastAsia"/>
        </w:rPr>
        <w:t>柳树河：保护效益社区20个、人口1.2万人、耕地12.1万亩；保护佳富铁路、同三公路、依饶公路。</w:t>
      </w:r>
    </w:p>
    <w:p w14:paraId="2F98B64A">
      <w:pPr>
        <w:ind w:firstLine="632"/>
      </w:pPr>
      <w:r>
        <w:rPr>
          <w:rFonts w:hint="eastAsia"/>
        </w:rPr>
        <w:t>二道河：保护社区9个、人口0.96万人、耕地25.3万亩；保护佳富铁路。</w:t>
      </w:r>
    </w:p>
    <w:p w14:paraId="04CE2179">
      <w:pPr>
        <w:ind w:firstLine="632"/>
      </w:pPr>
      <w:r>
        <w:rPr>
          <w:rFonts w:hint="eastAsia"/>
        </w:rPr>
        <w:t>小黄河：保护社区10个、人口0.82万人、耕地18.1万亩；保护佳富铁路。</w:t>
      </w:r>
    </w:p>
    <w:p w14:paraId="70E32469">
      <w:pPr>
        <w:ind w:firstLine="632"/>
      </w:pPr>
      <w:r>
        <w:rPr>
          <w:rFonts w:hint="eastAsia"/>
        </w:rPr>
        <w:t>太平河：保护社区2个、人口0.15万人、耕地5.8万亩；保护佳富铁路、依饶公路。</w:t>
      </w:r>
    </w:p>
    <w:p w14:paraId="264D4A15">
      <w:pPr>
        <w:pStyle w:val="4"/>
        <w:numPr>
          <w:ilvl w:val="2"/>
          <w:numId w:val="2"/>
        </w:numPr>
        <w:tabs>
          <w:tab w:val="left" w:pos="0"/>
        </w:tabs>
        <w:rPr>
          <w:rFonts w:ascii="仿宋_GB2312" w:hAnsi="仿宋_GB2312" w:eastAsia="仿宋_GB2312" w:cs="仿宋_GB2312"/>
        </w:rPr>
      </w:pPr>
      <w:r>
        <w:rPr>
          <w:rFonts w:hint="eastAsia" w:ascii="仿宋_GB2312" w:hAnsi="仿宋_GB2312" w:eastAsia="仿宋_GB2312" w:cs="仿宋_GB2312"/>
        </w:rPr>
        <w:t>水库保护对象</w:t>
      </w:r>
    </w:p>
    <w:p w14:paraId="2DE103BD">
      <w:pPr>
        <w:ind w:firstLine="632"/>
      </w:pPr>
      <w:r>
        <w:rPr>
          <w:rFonts w:hint="eastAsia"/>
        </w:rPr>
        <w:t>城镇2个、社区47个、人口7.9万人、耕地62.5万亩、铁路1个、公路2个。</w:t>
      </w:r>
    </w:p>
    <w:p w14:paraId="3E612C84">
      <w:pPr>
        <w:ind w:firstLine="632"/>
      </w:pPr>
      <w:r>
        <w:rPr>
          <w:rFonts w:hint="eastAsia"/>
        </w:rPr>
        <w:t>笔架山水库：保护城镇1个；保护社区25个；保护人口5万人；保护耕地45万亩；保护集佳高速公路及国家铁路线。</w:t>
      </w:r>
    </w:p>
    <w:p w14:paraId="2BDEBAD2">
      <w:pPr>
        <w:ind w:firstLine="632"/>
      </w:pPr>
      <w:r>
        <w:rPr>
          <w:rFonts w:hint="eastAsia"/>
        </w:rPr>
        <w:t>红旗水库：保护社区11个；保护人口1.2万人；保护耕地8万亩。</w:t>
      </w:r>
    </w:p>
    <w:p w14:paraId="4D9267AA">
      <w:pPr>
        <w:ind w:firstLine="632"/>
      </w:pPr>
      <w:r>
        <w:rPr>
          <w:rFonts w:hint="eastAsia"/>
        </w:rPr>
        <w:t>三八水库：保护城镇1个，集贤镇；保护社区6个；保护人口1万人；保护耕地7.5万亩；保护依饶公路。</w:t>
      </w:r>
    </w:p>
    <w:p w14:paraId="56945163">
      <w:pPr>
        <w:ind w:firstLine="632"/>
      </w:pPr>
      <w:r>
        <w:rPr>
          <w:rFonts w:hint="eastAsia"/>
        </w:rPr>
        <w:t>庆丰水库：保护社区5个；保护人口0.7万人；保护耕地2万亩；保护佳富铁路、同三公路、依饶公路。</w:t>
      </w:r>
    </w:p>
    <w:p w14:paraId="3943AD59">
      <w:pPr>
        <w:pStyle w:val="3"/>
      </w:pPr>
      <w:bookmarkStart w:id="180" w:name="_Toc10591"/>
      <w:r>
        <w:rPr>
          <w:rFonts w:hint="eastAsia"/>
        </w:rPr>
        <w:t>目前防灾及救灾方面存在的问题</w:t>
      </w:r>
      <w:bookmarkEnd w:id="180"/>
    </w:p>
    <w:p w14:paraId="07C95ADE">
      <w:pPr>
        <w:numPr>
          <w:ilvl w:val="0"/>
          <w:numId w:val="5"/>
        </w:numPr>
        <w:ind w:firstLine="632"/>
      </w:pPr>
      <w:r>
        <w:rPr>
          <w:rFonts w:hint="eastAsia"/>
        </w:rPr>
        <w:t>山洪灾害治理规划相对滞后，投入治理经费不足，导致被动防御自然灾害；</w:t>
      </w:r>
    </w:p>
    <w:p w14:paraId="4DE2B27A">
      <w:pPr>
        <w:numPr>
          <w:ilvl w:val="0"/>
          <w:numId w:val="5"/>
        </w:numPr>
        <w:ind w:firstLine="632"/>
      </w:pPr>
      <w:r>
        <w:rPr>
          <w:rFonts w:hint="eastAsia"/>
        </w:rPr>
        <w:t>预警预报设施不够健全，有效防御局地山洪灾害难度大；</w:t>
      </w:r>
    </w:p>
    <w:p w14:paraId="71CB280B">
      <w:pPr>
        <w:numPr>
          <w:ilvl w:val="0"/>
          <w:numId w:val="5"/>
        </w:numPr>
        <w:ind w:firstLine="632"/>
      </w:pPr>
      <w:r>
        <w:rPr>
          <w:rFonts w:hint="eastAsia"/>
        </w:rPr>
        <w:t>防灾救灾人员素质有待提高；</w:t>
      </w:r>
    </w:p>
    <w:p w14:paraId="4C2E04B3">
      <w:pPr>
        <w:numPr>
          <w:ilvl w:val="0"/>
          <w:numId w:val="5"/>
        </w:numPr>
        <w:ind w:firstLine="632"/>
      </w:pPr>
      <w:r>
        <w:rPr>
          <w:rFonts w:hint="eastAsia"/>
        </w:rPr>
        <w:t>防汛机构建设不够健全；</w:t>
      </w:r>
    </w:p>
    <w:p w14:paraId="6E6219EC">
      <w:pPr>
        <w:numPr>
          <w:ilvl w:val="0"/>
          <w:numId w:val="5"/>
        </w:numPr>
        <w:ind w:firstLine="632"/>
      </w:pPr>
      <w:r>
        <w:rPr>
          <w:rFonts w:hint="eastAsia"/>
        </w:rPr>
        <w:t>防汛人员不足，各乡镇预警预报设施维修专业技术及管理人员紧缺，费用不足。</w:t>
      </w:r>
    </w:p>
    <w:p w14:paraId="64716658">
      <w:pPr>
        <w:pStyle w:val="2"/>
        <w:numPr>
          <w:ilvl w:val="0"/>
          <w:numId w:val="2"/>
        </w:numPr>
        <w:tabs>
          <w:tab w:val="left" w:pos="0"/>
        </w:tabs>
        <w:rPr>
          <w:sz w:val="32"/>
          <w:szCs w:val="32"/>
        </w:rPr>
      </w:pPr>
      <w:bookmarkStart w:id="181" w:name="_Toc25365"/>
      <w:r>
        <w:rPr>
          <w:rFonts w:hint="eastAsia"/>
          <w:sz w:val="32"/>
          <w:szCs w:val="32"/>
        </w:rPr>
        <w:t>组织指挥体系及职责</w:t>
      </w:r>
      <w:bookmarkEnd w:id="181"/>
    </w:p>
    <w:p w14:paraId="4AB345FA">
      <w:pPr>
        <w:ind w:firstLine="632"/>
      </w:pPr>
      <w:r>
        <w:rPr>
          <w:rFonts w:hint="eastAsia"/>
        </w:rPr>
        <w:t>集贤县人民政府（以下简称“县政府”）防汛防旱指挥部（以下简称“县防指”）统一领导和组织全县山洪灾害防御工作。协调防指成员单位之间的应急工作，督促各部门、基层（政府、组织、单位）按职履责。</w:t>
      </w:r>
    </w:p>
    <w:p w14:paraId="43A69632">
      <w:pPr>
        <w:pStyle w:val="3"/>
      </w:pPr>
      <w:bookmarkStart w:id="182" w:name="_Toc10806"/>
      <w:r>
        <w:rPr>
          <w:rFonts w:hint="eastAsia"/>
        </w:rPr>
        <w:t>县防汛抗旱指挥部组成及职责</w:t>
      </w:r>
      <w:bookmarkEnd w:id="182"/>
    </w:p>
    <w:p w14:paraId="0524F7A1">
      <w:pPr>
        <w:pStyle w:val="4"/>
        <w:numPr>
          <w:ilvl w:val="2"/>
          <w:numId w:val="2"/>
        </w:numPr>
        <w:tabs>
          <w:tab w:val="left" w:pos="0"/>
        </w:tabs>
        <w:rPr>
          <w:rFonts w:ascii="仿宋_GB2312" w:hAnsi="仿宋_GB2312" w:eastAsia="仿宋_GB2312" w:cs="仿宋_GB2312"/>
        </w:rPr>
      </w:pPr>
      <w:r>
        <w:rPr>
          <w:rFonts w:hint="eastAsia" w:ascii="仿宋_GB2312" w:hAnsi="仿宋_GB2312" w:eastAsia="仿宋_GB2312" w:cs="仿宋_GB2312"/>
        </w:rPr>
        <w:t>指挥部组成</w:t>
      </w:r>
    </w:p>
    <w:p w14:paraId="5EABDC04">
      <w:pPr>
        <w:ind w:firstLine="632"/>
      </w:pPr>
      <w:r>
        <w:rPr>
          <w:rFonts w:hint="eastAsia"/>
        </w:rPr>
        <w:t>县防指总指挥长由县长担任，总指挥由县政府分管应急管理工作的副县长担任，常务副总指挥由分管水务工作的副县长担任，副总指挥由县应急管理局、县水务局主要负责同志和县人武部负责同志以及县消防救援大队主要负责同志担任。</w:t>
      </w:r>
    </w:p>
    <w:p w14:paraId="090A6828">
      <w:pPr>
        <w:ind w:firstLine="632"/>
      </w:pPr>
      <w:r>
        <w:rPr>
          <w:rFonts w:hint="eastAsia"/>
        </w:rPr>
        <w:t>成员单位包括：县政府办、县委宣传部、县发展和改革局、县教育和体育局、县工业信息科技局、县公安局、县财政局、县民政局、县自然资源局、县住房和城乡建设局、县交通局、县交警大队、县水务局、县农业农村局、县林业和草原局、县文化广电和旅游局、县卫生健康局、县应急管理局、县煤管局、县气象局、福利屯火车站、二九一农场、笔架山农场、国网集贤分公司、县农机总站、县消防救援大队、各通信运营单位及各乡镇人民政府等部门和单位。</w:t>
      </w:r>
    </w:p>
    <w:p w14:paraId="043B0BF3">
      <w:pPr>
        <w:ind w:firstLine="632"/>
      </w:pPr>
      <w:r>
        <w:rPr>
          <w:rFonts w:hint="eastAsia"/>
        </w:rPr>
        <w:t>县防汛抗旱指挥部办公室（以下简称“县防办”）设在县应急管理局，承担县防指日常工作。办公室主任由县应急管理局局长、县水务局局长兼任。</w:t>
      </w:r>
    </w:p>
    <w:p w14:paraId="58FF8576">
      <w:pPr>
        <w:pStyle w:val="4"/>
        <w:numPr>
          <w:ilvl w:val="2"/>
          <w:numId w:val="2"/>
        </w:numPr>
        <w:tabs>
          <w:tab w:val="left" w:pos="0"/>
        </w:tabs>
        <w:rPr>
          <w:rFonts w:ascii="仿宋_GB2312" w:hAnsi="仿宋_GB2312" w:eastAsia="仿宋_GB2312" w:cs="仿宋_GB2312"/>
        </w:rPr>
      </w:pPr>
      <w:r>
        <w:rPr>
          <w:rFonts w:hint="eastAsia" w:ascii="仿宋_GB2312" w:hAnsi="仿宋_GB2312" w:eastAsia="仿宋_GB2312" w:cs="仿宋_GB2312"/>
        </w:rPr>
        <w:t>指挥部工作职责</w:t>
      </w:r>
    </w:p>
    <w:p w14:paraId="6705219D">
      <w:pPr>
        <w:numPr>
          <w:ilvl w:val="0"/>
          <w:numId w:val="6"/>
        </w:numPr>
        <w:ind w:firstLine="632"/>
      </w:pPr>
      <w:r>
        <w:rPr>
          <w:rFonts w:hint="eastAsia"/>
        </w:rPr>
        <w:t>贯彻执行有关山洪灾害防御工作的法律法规、方针、政策和上级防指的指令、命令，组织、协调、监督、指导全县山洪灾害防御工作。</w:t>
      </w:r>
    </w:p>
    <w:p w14:paraId="21AD4F87">
      <w:pPr>
        <w:numPr>
          <w:ilvl w:val="0"/>
          <w:numId w:val="6"/>
        </w:numPr>
        <w:ind w:firstLine="632"/>
      </w:pPr>
      <w:r>
        <w:rPr>
          <w:rFonts w:hint="eastAsia"/>
        </w:rPr>
        <w:t>贯彻“安全第一、常备不懈、以防为主、全力抢险”的方针，明确各部门职责，协调各部门之间的工作配合，检查督促各有关部门做好山洪灾害防御工作。</w:t>
      </w:r>
    </w:p>
    <w:p w14:paraId="7EA8B920">
      <w:pPr>
        <w:numPr>
          <w:ilvl w:val="0"/>
          <w:numId w:val="6"/>
        </w:numPr>
        <w:ind w:firstLine="632"/>
      </w:pPr>
      <w:r>
        <w:rPr>
          <w:rFonts w:hint="eastAsia"/>
        </w:rPr>
        <w:t>遇到大暴雨可能引发山洪灾害时，及时掌握情况，研究对策，指挥协调山洪灾害抢险工作，努力减少灾害损失。</w:t>
      </w:r>
    </w:p>
    <w:p w14:paraId="5646B3C6">
      <w:pPr>
        <w:pStyle w:val="4"/>
        <w:numPr>
          <w:ilvl w:val="2"/>
          <w:numId w:val="2"/>
        </w:numPr>
        <w:tabs>
          <w:tab w:val="left" w:pos="0"/>
        </w:tabs>
        <w:rPr>
          <w:rFonts w:ascii="仿宋_GB2312" w:hAnsi="仿宋_GB2312" w:eastAsia="仿宋_GB2312" w:cs="仿宋_GB2312"/>
        </w:rPr>
      </w:pPr>
      <w:r>
        <w:rPr>
          <w:rFonts w:hint="eastAsia" w:ascii="仿宋_GB2312" w:hAnsi="仿宋_GB2312" w:eastAsia="仿宋_GB2312" w:cs="仿宋_GB2312"/>
        </w:rPr>
        <w:t>成员单位工作职责</w:t>
      </w:r>
    </w:p>
    <w:p w14:paraId="427F0B06">
      <w:pPr>
        <w:ind w:firstLine="632"/>
      </w:pPr>
      <w:r>
        <w:rPr>
          <w:rFonts w:hint="eastAsia"/>
        </w:rPr>
        <w:t>建立县防指指挥协调、水务部门牵头、相关部门配合，基层地方政府负责的山洪灾害防御工作机制。各级各部门各尽其责，加强协同。</w:t>
      </w:r>
    </w:p>
    <w:p w14:paraId="65897EFD">
      <w:pPr>
        <w:ind w:firstLine="634"/>
      </w:pPr>
      <w:r>
        <w:rPr>
          <w:rFonts w:hint="eastAsia"/>
          <w:b/>
          <w:bCs/>
        </w:rPr>
        <w:t>县应急管理局：</w:t>
      </w:r>
      <w:r>
        <w:rPr>
          <w:rFonts w:hint="eastAsia"/>
        </w:rPr>
        <w:t>协调和指导山洪灾害应急处置及抢险救援工作；会同相关业务部门提出具体的应急处置与抢险救援方案；组织推进应急队伍、物资储备和避灾安置场所建设；组织山洪灾害人员转移工作。</w:t>
      </w:r>
    </w:p>
    <w:p w14:paraId="42071EB0">
      <w:pPr>
        <w:ind w:firstLine="634"/>
      </w:pPr>
      <w:r>
        <w:rPr>
          <w:rFonts w:hint="eastAsia"/>
          <w:b/>
          <w:bCs/>
        </w:rPr>
        <w:t>县水务局：</w:t>
      </w:r>
      <w:r>
        <w:rPr>
          <w:rFonts w:hint="eastAsia"/>
        </w:rPr>
        <w:t>牵头组织编制山洪灾害防治规划（方案）和防护标准并指导实施；负责山洪灾害监测预报预警和防治工程措施建设技术审核；牵头组织开展山洪灾害调查评价及灾后复盘评估；组织开展县级山洪灾害防御宣传培训演练；指导基层做好责任落实、预案编制、宣传培训演练等山洪灾害防御工作。</w:t>
      </w:r>
    </w:p>
    <w:p w14:paraId="100699B0">
      <w:pPr>
        <w:ind w:firstLine="634"/>
      </w:pPr>
      <w:r>
        <w:rPr>
          <w:rFonts w:hint="eastAsia"/>
          <w:b/>
          <w:bCs/>
        </w:rPr>
        <w:t>县自然资源局：</w:t>
      </w:r>
      <w:r>
        <w:rPr>
          <w:rFonts w:hint="eastAsia"/>
        </w:rPr>
        <w:t>组织开展山洪灾害风险区地质灾害调查评价及风险隐患的排查与治理；指导开展山洪灾害风险区地质灾害的监测预报预警及群测群防等工作；负责山洪灾害风险区地质灾害应急救援的技术支撑。</w:t>
      </w:r>
    </w:p>
    <w:p w14:paraId="4CA52A64">
      <w:pPr>
        <w:ind w:firstLine="634"/>
      </w:pPr>
      <w:r>
        <w:rPr>
          <w:rFonts w:hint="eastAsia"/>
          <w:b/>
          <w:bCs/>
        </w:rPr>
        <w:t>县气象局：</w:t>
      </w:r>
      <w:r>
        <w:rPr>
          <w:rFonts w:hint="eastAsia"/>
        </w:rPr>
        <w:t>负责暴雨、台风等灾害性天气的监测预报预警；山洪灾害防御工作期间及时提供有关降雨预报和实时气象信息，与水利部门联合开展山洪灾害气象预警工作。</w:t>
      </w:r>
    </w:p>
    <w:p w14:paraId="4E84E495">
      <w:pPr>
        <w:ind w:firstLine="634"/>
      </w:pPr>
      <w:r>
        <w:rPr>
          <w:rFonts w:hint="eastAsia"/>
          <w:b/>
          <w:bCs/>
        </w:rPr>
        <w:t>县住建局：</w:t>
      </w:r>
      <w:r>
        <w:rPr>
          <w:rFonts w:hint="eastAsia"/>
        </w:rPr>
        <w:t>负责监督、指导山洪灾害风险区危房排查和农房安全管理。</w:t>
      </w:r>
    </w:p>
    <w:p w14:paraId="0AFC58F9">
      <w:pPr>
        <w:ind w:firstLine="634"/>
      </w:pPr>
      <w:r>
        <w:rPr>
          <w:rFonts w:hint="eastAsia"/>
          <w:b/>
          <w:bCs/>
        </w:rPr>
        <w:t>县交通运输局、县交警大队：</w:t>
      </w:r>
      <w:r>
        <w:rPr>
          <w:rFonts w:hint="eastAsia"/>
        </w:rPr>
        <w:t>负责指导山洪灾害风险区或山洪灾害影响区域转移道路抢险、自救工作，保障道路通畅。</w:t>
      </w:r>
    </w:p>
    <w:p w14:paraId="2E709B24">
      <w:pPr>
        <w:ind w:firstLine="634"/>
      </w:pPr>
      <w:r>
        <w:rPr>
          <w:rFonts w:hint="eastAsia"/>
          <w:b/>
          <w:bCs/>
        </w:rPr>
        <w:t>县文化广电旅游局：</w:t>
      </w:r>
      <w:r>
        <w:rPr>
          <w:rFonts w:hint="eastAsia"/>
        </w:rPr>
        <w:t>负责指导山洪灾害风险区或山洪灾害影响区域A级景区行业安全管理工作。。</w:t>
      </w:r>
    </w:p>
    <w:p w14:paraId="128E98CE">
      <w:pPr>
        <w:ind w:firstLine="632"/>
      </w:pPr>
      <w:r>
        <w:rPr>
          <w:rFonts w:hint="eastAsia"/>
        </w:rPr>
        <w:t>其他成员单位按照《集贤县防汛抗旱应急预案》职责分工，在各自业务范围内，协助做好山洪灾害防御工作。</w:t>
      </w:r>
    </w:p>
    <w:p w14:paraId="7F5955EA">
      <w:pPr>
        <w:pStyle w:val="3"/>
      </w:pPr>
      <w:bookmarkStart w:id="183" w:name="_Toc6713"/>
      <w:r>
        <w:rPr>
          <w:rFonts w:hint="eastAsia"/>
        </w:rPr>
        <w:t>乡镇级组织机构</w:t>
      </w:r>
      <w:bookmarkEnd w:id="183"/>
    </w:p>
    <w:p w14:paraId="45A53BAF">
      <w:pPr>
        <w:ind w:firstLine="632"/>
      </w:pPr>
      <w:r>
        <w:rPr>
          <w:rFonts w:hint="eastAsia"/>
        </w:rPr>
        <w:t>有山洪灾害防御任务的乡镇成立防汛指挥机构，负责本乡镇山洪灾害防御工作，乡镇长任总指挥，分管负责人任副总指挥，相关部门负责人为成员。防汛指挥机构下设监测、信息、转移、调度、保障等5个工作小组和2—3个应急抢险队（每队不少于10人）。</w:t>
      </w:r>
    </w:p>
    <w:p w14:paraId="33469E52">
      <w:pPr>
        <w:ind w:firstLine="632"/>
      </w:pPr>
      <w:r>
        <w:rPr>
          <w:rFonts w:hint="eastAsia"/>
        </w:rPr>
        <w:t>主要职责：在县委、县政府和县防指的统一领导下开展本辖区山洪灾害防御与抢险救灾工作。负责落实乡镇级山洪灾害防御相关责任人，编制乡镇级山洪灾害防御预案；负责组建乡镇级应急抢险队伍，落实乡镇级避灾安置场所，储备乡镇级防汛救灾物资；负责做好乡镇级山洪灾害防御宣传培训演练工作；负责做好监测预警工作，指挥并组织协调各社区进行群众安全转移，落实安置灾民及做好恢复生产工作；紧急情况下，按“乡自为战”的要求和预案规定，自行组织受灾人员转移并安置。</w:t>
      </w:r>
    </w:p>
    <w:p w14:paraId="35451157">
      <w:pPr>
        <w:pStyle w:val="3"/>
      </w:pPr>
      <w:bookmarkStart w:id="184" w:name="_Toc21354"/>
      <w:r>
        <w:rPr>
          <w:rFonts w:hint="eastAsia"/>
        </w:rPr>
        <w:t>社区级指挥机构</w:t>
      </w:r>
      <w:bookmarkEnd w:id="184"/>
    </w:p>
    <w:p w14:paraId="55687524">
      <w:pPr>
        <w:ind w:firstLine="632"/>
      </w:pPr>
      <w:r>
        <w:rPr>
          <w:rFonts w:hint="eastAsia"/>
        </w:rPr>
        <w:t>各社区分别成立以社区主任为负责人的山洪灾害防御指挥机构，并根据实际情况成立1—2个抢险队，有山洪灾害防御的自然社区确立负责人和专职监测预警人员。</w:t>
      </w:r>
    </w:p>
    <w:p w14:paraId="2B2CCBAF">
      <w:pPr>
        <w:ind w:firstLine="632"/>
      </w:pPr>
      <w:r>
        <w:rPr>
          <w:rFonts w:hint="eastAsia"/>
        </w:rPr>
        <w:t>主要职责：在乡镇党委、政府和乡镇防指领导下开展本村（社区）山洪灾害防御与抢险救灾工作。负责落实村级山洪灾害防御相关责任人，编制村级山洪灾害防御预案；负责组建村级应急抢险队伍，落实村级避灾安置场所，储备村级防汛救灾物资；负责做好村级山洪灾害防御宣传培训演练工作；负责做好监测预警、人员转移与安置工作紧急情况下，按“村自为战”的要求和预案规定，自行组织受灾人员转移并安置。</w:t>
      </w:r>
    </w:p>
    <w:p w14:paraId="4220A0FA">
      <w:pPr>
        <w:ind w:firstLine="632"/>
      </w:pPr>
      <w:r>
        <w:rPr>
          <w:rFonts w:hint="eastAsia"/>
        </w:rPr>
        <w:t>发生山洪灾害后，在交通、通讯中断的情况下，乡镇、社区山洪灾害防御指挥机构应迅速组织本辖区的人员进行转移自救等工作。</w:t>
      </w:r>
    </w:p>
    <w:p w14:paraId="41832AE0">
      <w:pPr>
        <w:pStyle w:val="2"/>
        <w:numPr>
          <w:ilvl w:val="0"/>
          <w:numId w:val="2"/>
        </w:numPr>
        <w:tabs>
          <w:tab w:val="left" w:pos="0"/>
        </w:tabs>
        <w:rPr>
          <w:sz w:val="32"/>
          <w:szCs w:val="32"/>
        </w:rPr>
      </w:pPr>
      <w:bookmarkStart w:id="185" w:name="_Toc16348"/>
      <w:r>
        <w:rPr>
          <w:rFonts w:hint="eastAsia"/>
          <w:sz w:val="32"/>
          <w:szCs w:val="32"/>
        </w:rPr>
        <w:t>监测预警</w:t>
      </w:r>
      <w:bookmarkEnd w:id="185"/>
    </w:p>
    <w:p w14:paraId="1C46006D">
      <w:pPr>
        <w:pStyle w:val="3"/>
      </w:pPr>
      <w:bookmarkStart w:id="186" w:name="_Toc22377"/>
      <w:r>
        <w:rPr>
          <w:rFonts w:hint="eastAsia"/>
        </w:rPr>
        <w:t>山洪灾害雨、水情临界值确定</w:t>
      </w:r>
      <w:bookmarkEnd w:id="186"/>
    </w:p>
    <w:p w14:paraId="709A1EF3">
      <w:pPr>
        <w:ind w:firstLine="632"/>
      </w:pPr>
      <w:r>
        <w:rPr>
          <w:rFonts w:hint="eastAsia"/>
        </w:rPr>
        <w:t>我县山洪灾害预警系统建设是在监测信息采集及预报分析决策的基础上，有目的、有步骤、有计划、有针对性地进行监测，以镇社区群测群防为主，水务、自然资源专业监测为辅。通过预先设定的预警程序和方式，在监测值达到各警戒指标值时，将预警信息及时、准确地传送到山洪灾害可能威胁区域，预警区域人员及时采取防范措施，最大限度地减少人员伤亡。依据我县历史山洪灾害发生时的降雨情况和我县地形地质条件分析，确定我县可能发生山洪灾害的临界值为1小时降雨≥30mm或12小时降雨≥50mm或日降雨≥100mm。通过气象预报及陕西水防、山洪灾害雨量自动监测站点实行雨情监测，根据监测、分析，按临界雨量、水位、山洪灾害征兆等，及时发布警报。</w:t>
      </w:r>
    </w:p>
    <w:p w14:paraId="7D0492D9">
      <w:pPr>
        <w:pStyle w:val="3"/>
      </w:pPr>
      <w:bookmarkStart w:id="187" w:name="_Toc19274"/>
      <w:r>
        <w:rPr>
          <w:rFonts w:hint="eastAsia"/>
        </w:rPr>
        <w:t>实时监测</w:t>
      </w:r>
      <w:bookmarkEnd w:id="187"/>
    </w:p>
    <w:p w14:paraId="53EA586A">
      <w:pPr>
        <w:pStyle w:val="4"/>
        <w:numPr>
          <w:ilvl w:val="2"/>
          <w:numId w:val="2"/>
        </w:numPr>
        <w:tabs>
          <w:tab w:val="left" w:pos="0"/>
        </w:tabs>
        <w:rPr>
          <w:rFonts w:ascii="仿宋_GB2312" w:hAnsi="仿宋_GB2312" w:eastAsia="仿宋_GB2312" w:cs="仿宋_GB2312"/>
        </w:rPr>
      </w:pPr>
      <w:r>
        <w:rPr>
          <w:rFonts w:hint="eastAsia" w:ascii="仿宋_GB2312" w:hAnsi="仿宋_GB2312" w:eastAsia="仿宋_GB2312" w:cs="仿宋_GB2312"/>
        </w:rPr>
        <w:t>监测内容</w:t>
      </w:r>
    </w:p>
    <w:p w14:paraId="02B1383E">
      <w:pPr>
        <w:ind w:firstLine="632"/>
      </w:pPr>
      <w:r>
        <w:rPr>
          <w:rFonts w:hint="eastAsia"/>
        </w:rPr>
        <w:t>各镇负责对辖区内的降雨量、河流水位、水库水位、泥石流和滑坡动态等信息进行观测、收集、分析上报。</w:t>
      </w:r>
    </w:p>
    <w:p w14:paraId="63C6FE40">
      <w:pPr>
        <w:pStyle w:val="4"/>
        <w:numPr>
          <w:ilvl w:val="2"/>
          <w:numId w:val="2"/>
        </w:numPr>
        <w:tabs>
          <w:tab w:val="left" w:pos="0"/>
        </w:tabs>
        <w:rPr>
          <w:rFonts w:ascii="仿宋_GB2312" w:hAnsi="仿宋_GB2312" w:eastAsia="仿宋_GB2312" w:cs="仿宋_GB2312"/>
        </w:rPr>
      </w:pPr>
      <w:r>
        <w:rPr>
          <w:rFonts w:hint="eastAsia" w:ascii="仿宋_GB2312" w:hAnsi="仿宋_GB2312" w:eastAsia="仿宋_GB2312" w:cs="仿宋_GB2312"/>
        </w:rPr>
        <w:t>监测要求</w:t>
      </w:r>
    </w:p>
    <w:p w14:paraId="3DE59F6D">
      <w:pPr>
        <w:ind w:firstLine="632"/>
      </w:pPr>
      <w:r>
        <w:rPr>
          <w:rFonts w:hint="eastAsia"/>
        </w:rPr>
        <w:t>各镇对辖区内的降雨、溪河水位、泥石流和滑坡地段安排专人进行有计划、有步骤、有针对性地监测，及时准确掌握辖区内降雨量、溪河水位变化、泥石流和滑坡动态等信息。</w:t>
      </w:r>
    </w:p>
    <w:p w14:paraId="4E8EB98F">
      <w:pPr>
        <w:pStyle w:val="4"/>
        <w:numPr>
          <w:ilvl w:val="2"/>
          <w:numId w:val="2"/>
        </w:numPr>
        <w:tabs>
          <w:tab w:val="left" w:pos="0"/>
        </w:tabs>
        <w:rPr>
          <w:rFonts w:ascii="仿宋_GB2312" w:hAnsi="仿宋_GB2312" w:eastAsia="仿宋_GB2312" w:cs="仿宋_GB2312"/>
        </w:rPr>
      </w:pPr>
      <w:r>
        <w:rPr>
          <w:rFonts w:hint="eastAsia" w:ascii="仿宋_GB2312" w:hAnsi="仿宋_GB2312" w:eastAsia="仿宋_GB2312" w:cs="仿宋_GB2312"/>
        </w:rPr>
        <w:t>监测系统的设立</w:t>
      </w:r>
    </w:p>
    <w:p w14:paraId="40FED742">
      <w:pPr>
        <w:ind w:firstLine="632"/>
      </w:pPr>
      <w:r>
        <w:rPr>
          <w:rFonts w:hint="eastAsia"/>
        </w:rPr>
        <w:t>我县现有自动雨量监测站10处、简易雨量监测站10处、自动雨水监测站4处、简易水位站5处。分布在县防汛办和各乡镇办所在地，并在各社区和泥石流易发地、水库、主要滑坡点设立人工观测点，及时收集辖区内各观测点区域降雨情况等信息。</w:t>
      </w:r>
    </w:p>
    <w:p w14:paraId="557141D9">
      <w:pPr>
        <w:ind w:firstLine="632"/>
      </w:pPr>
      <w:r>
        <w:rPr>
          <w:rFonts w:hint="eastAsia"/>
        </w:rPr>
        <w:t>主要天气信息由县气象局负责发布，滑坡等地质灾害信息由县自然资源局负责发布。</w:t>
      </w:r>
    </w:p>
    <w:p w14:paraId="48A41061">
      <w:pPr>
        <w:ind w:firstLine="632"/>
      </w:pPr>
      <w:r>
        <w:rPr>
          <w:rFonts w:hint="eastAsia"/>
        </w:rPr>
        <w:t>信息采集传输方式：传真、电话、网络、防汛预警平台、文件、实地观测等。</w:t>
      </w:r>
    </w:p>
    <w:p w14:paraId="71260D40">
      <w:pPr>
        <w:pStyle w:val="3"/>
      </w:pPr>
      <w:bookmarkStart w:id="188" w:name="_Toc3196"/>
      <w:r>
        <w:rPr>
          <w:rFonts w:hint="eastAsia"/>
        </w:rPr>
        <w:t>通信</w:t>
      </w:r>
      <w:bookmarkEnd w:id="188"/>
    </w:p>
    <w:p w14:paraId="6EC31520">
      <w:pPr>
        <w:numPr>
          <w:ilvl w:val="0"/>
          <w:numId w:val="7"/>
        </w:numPr>
        <w:ind w:firstLine="632"/>
      </w:pPr>
      <w:r>
        <w:rPr>
          <w:rFonts w:hint="eastAsia"/>
        </w:rPr>
        <w:t>通信方式：县、镇、社区各观测点利用现有手机、固定电话、卫星电话、无线预警广播、手摇报警器、手持扩音器、预警平台、锣、口哨等方式，把所掌握的信息及时传递出去。</w:t>
      </w:r>
    </w:p>
    <w:p w14:paraId="48AB60FF">
      <w:pPr>
        <w:numPr>
          <w:ilvl w:val="0"/>
          <w:numId w:val="7"/>
        </w:numPr>
        <w:ind w:firstLine="632"/>
      </w:pPr>
      <w:r>
        <w:rPr>
          <w:rFonts w:hint="eastAsia"/>
        </w:rPr>
        <w:t>建立以电话、手机、无线预警广播、预警平台、短信等通信方式为主的山洪灾害监测、预警等信息的传递和信息反馈通信网络。</w:t>
      </w:r>
    </w:p>
    <w:p w14:paraId="00CC9ABD">
      <w:pPr>
        <w:numPr>
          <w:ilvl w:val="0"/>
          <w:numId w:val="7"/>
        </w:numPr>
        <w:ind w:firstLine="632"/>
      </w:pPr>
      <w:r>
        <w:rPr>
          <w:rFonts w:hint="eastAsia"/>
        </w:rPr>
        <w:t>建立以县防汛办为管理中心，汇集山洪灾害各种类数据的信息共享平台。</w:t>
      </w:r>
    </w:p>
    <w:p w14:paraId="7575D748">
      <w:pPr>
        <w:pStyle w:val="3"/>
      </w:pPr>
      <w:bookmarkStart w:id="189" w:name="_Toc19729"/>
      <w:r>
        <w:rPr>
          <w:rFonts w:hint="eastAsia"/>
        </w:rPr>
        <w:t>监测预警</w:t>
      </w:r>
      <w:bookmarkEnd w:id="189"/>
    </w:p>
    <w:p w14:paraId="6CE87C08">
      <w:pPr>
        <w:pStyle w:val="4"/>
        <w:numPr>
          <w:ilvl w:val="2"/>
          <w:numId w:val="2"/>
        </w:numPr>
        <w:tabs>
          <w:tab w:val="left" w:pos="0"/>
        </w:tabs>
        <w:rPr>
          <w:rFonts w:ascii="仿宋_GB2312" w:hAnsi="仿宋_GB2312" w:eastAsia="仿宋_GB2312" w:cs="仿宋_GB2312"/>
        </w:rPr>
      </w:pPr>
      <w:r>
        <w:rPr>
          <w:rFonts w:hint="eastAsia" w:ascii="仿宋_GB2312" w:hAnsi="仿宋_GB2312" w:eastAsia="仿宋_GB2312" w:cs="仿宋_GB2312"/>
        </w:rPr>
        <w:t>预报内容</w:t>
      </w:r>
    </w:p>
    <w:p w14:paraId="1E1D77E5">
      <w:pPr>
        <w:ind w:firstLine="632"/>
      </w:pPr>
      <w:r>
        <w:rPr>
          <w:rFonts w:hint="eastAsia"/>
        </w:rPr>
        <w:t>县气象局及时准确预报全县天气情况。县水务局准确掌握全县水库蓄水水位变化情况和溪河洪水水位变化情况，及时发布水库水位和溪河洪水预报。县自然资源局准确掌握泥石流和滑坡动态，及时发布泥石流和滑坡预报。</w:t>
      </w:r>
    </w:p>
    <w:p w14:paraId="7D36CD7B">
      <w:pPr>
        <w:pStyle w:val="4"/>
        <w:numPr>
          <w:ilvl w:val="2"/>
          <w:numId w:val="2"/>
        </w:numPr>
        <w:tabs>
          <w:tab w:val="left" w:pos="0"/>
        </w:tabs>
        <w:rPr>
          <w:rFonts w:ascii="仿宋_GB2312" w:hAnsi="仿宋_GB2312" w:eastAsia="仿宋_GB2312" w:cs="仿宋_GB2312"/>
        </w:rPr>
      </w:pPr>
      <w:r>
        <w:rPr>
          <w:rFonts w:hint="eastAsia" w:ascii="仿宋_GB2312" w:hAnsi="仿宋_GB2312" w:eastAsia="仿宋_GB2312" w:cs="仿宋_GB2312"/>
        </w:rPr>
        <w:t>预警内容</w:t>
      </w:r>
    </w:p>
    <w:p w14:paraId="44E6EBCF">
      <w:pPr>
        <w:ind w:firstLine="632"/>
      </w:pPr>
      <w:r>
        <w:rPr>
          <w:rFonts w:hint="eastAsia"/>
        </w:rPr>
        <w:t>县气象局负责对全县暴雨落区、暴雨量级、暴雨时段进行预警。县水务局负责对全县水库、塘坝、溪河的洪水水位是否达到或超过临界值进行预警。县自然资源局负责对全县泥石流和滑坡发生可能性进行监测和预警。</w:t>
      </w:r>
    </w:p>
    <w:p w14:paraId="6F368937">
      <w:pPr>
        <w:pStyle w:val="4"/>
        <w:numPr>
          <w:ilvl w:val="2"/>
          <w:numId w:val="2"/>
        </w:numPr>
        <w:tabs>
          <w:tab w:val="left" w:pos="0"/>
        </w:tabs>
        <w:rPr>
          <w:rFonts w:ascii="仿宋_GB2312" w:hAnsi="仿宋_GB2312" w:eastAsia="仿宋_GB2312" w:cs="仿宋_GB2312"/>
        </w:rPr>
      </w:pPr>
      <w:r>
        <w:rPr>
          <w:rFonts w:hint="eastAsia" w:ascii="仿宋_GB2312" w:hAnsi="仿宋_GB2312" w:eastAsia="仿宋_GB2312" w:cs="仿宋_GB2312"/>
        </w:rPr>
        <w:t>预警等级划分原则</w:t>
      </w:r>
    </w:p>
    <w:p w14:paraId="78D5299A">
      <w:pPr>
        <w:ind w:firstLine="632"/>
      </w:pPr>
      <w:r>
        <w:rPr>
          <w:rFonts w:hint="eastAsia"/>
        </w:rPr>
        <w:t>全县山洪灾害预警分为四个等级。根据雨、水、险情可能造成的山洪灾害危害程度，分别发布IV（12小时降雨量≥50mm）级蓝色暴雨洪水灾害预警信号、Ⅲ（6小时降雨量≥50mm）级黄色暴雨洪水灾害预警信号、Ⅱ（3小时降雨量≥50mm）级橙色暴雨洪水灾害预警信号、I（3小时降雨量≥100mm）级红色暴雨洪水灾害预警信号。</w:t>
      </w:r>
    </w:p>
    <w:p w14:paraId="27448D41">
      <w:pPr>
        <w:pStyle w:val="4"/>
        <w:numPr>
          <w:ilvl w:val="2"/>
          <w:numId w:val="2"/>
        </w:numPr>
        <w:tabs>
          <w:tab w:val="left" w:pos="0"/>
        </w:tabs>
        <w:rPr>
          <w:rFonts w:ascii="仿宋_GB2312" w:hAnsi="仿宋_GB2312" w:eastAsia="仿宋_GB2312" w:cs="仿宋_GB2312"/>
        </w:rPr>
      </w:pPr>
      <w:r>
        <w:rPr>
          <w:rFonts w:hint="eastAsia" w:ascii="仿宋_GB2312" w:hAnsi="仿宋_GB2312" w:eastAsia="仿宋_GB2312" w:cs="仿宋_GB2312"/>
        </w:rPr>
        <w:t>监测预警</w:t>
      </w:r>
    </w:p>
    <w:p w14:paraId="60A16600">
      <w:pPr>
        <w:ind w:firstLine="632"/>
      </w:pPr>
      <w:r>
        <w:rPr>
          <w:rFonts w:hint="eastAsia"/>
        </w:rPr>
        <w:t>全县暴雨山洪灾害临界预警主要依据城区和各镇雨量监测点实时雨量和主要河道水位作为预警依据，根据监测点降雨量和洪水位等情况，分别发布一般预警信号和撤离预警信号。由城区和镇防汛指挥部根据情况分别发布相关命令。</w:t>
      </w:r>
    </w:p>
    <w:p w14:paraId="6A4DF22F">
      <w:pPr>
        <w:numPr>
          <w:ilvl w:val="0"/>
          <w:numId w:val="8"/>
        </w:numPr>
        <w:ind w:firstLine="632"/>
      </w:pPr>
      <w:r>
        <w:rPr>
          <w:rFonts w:hint="eastAsia"/>
        </w:rPr>
        <w:t>雨情监测及预警。各雨量监测点1小时降雨量分别超过20mm时，县、镇当日值班人员应通过短信或固定、移动电话通知相关防汛责任人，进行警示提醒，提高戒备；当3小时、6小时或12小时降雨量达到一定临界值时，分别发布预警信号（随时准备撤离指令）和警戒信号（立即进行避险转移指令）。</w:t>
      </w:r>
    </w:p>
    <w:p w14:paraId="674CDFE7">
      <w:pPr>
        <w:numPr>
          <w:ilvl w:val="0"/>
          <w:numId w:val="8"/>
        </w:numPr>
        <w:ind w:firstLine="632"/>
      </w:pPr>
      <w:r>
        <w:rPr>
          <w:rFonts w:hint="eastAsia"/>
        </w:rPr>
        <w:t>水情监测及预警。在县城及各乡镇办主要河流中、上游分别设立河道水位监控视频或人工水位监测点，当河道水位达到一定临界值时，分别发布预警信号（随时准备撤离指令）和警戒信号（立即进行避险转移指令）。各监测点任何一处发出预警或警戒信号，县、镇防汛指挥部根据情况适时向相关区域发布有关命令。</w:t>
      </w:r>
    </w:p>
    <w:p w14:paraId="5CD53581">
      <w:pPr>
        <w:pStyle w:val="4"/>
        <w:numPr>
          <w:ilvl w:val="2"/>
          <w:numId w:val="2"/>
        </w:numPr>
        <w:tabs>
          <w:tab w:val="left" w:pos="0"/>
        </w:tabs>
        <w:rPr>
          <w:rFonts w:ascii="仿宋_GB2312" w:hAnsi="仿宋_GB2312" w:eastAsia="仿宋_GB2312" w:cs="仿宋_GB2312"/>
        </w:rPr>
      </w:pPr>
      <w:r>
        <w:rPr>
          <w:rFonts w:hint="eastAsia" w:ascii="仿宋_GB2312" w:hAnsi="仿宋_GB2312" w:eastAsia="仿宋_GB2312" w:cs="仿宋_GB2312"/>
        </w:rPr>
        <w:t>预警方式</w:t>
      </w:r>
    </w:p>
    <w:p w14:paraId="63DA0561">
      <w:pPr>
        <w:ind w:firstLine="632"/>
      </w:pPr>
      <w:r>
        <w:rPr>
          <w:rFonts w:hint="eastAsia"/>
        </w:rPr>
        <w:t>全县预报预警以防汛短信预警平台、预警广播、有线电视台、政府网站、融媒体公众号、手机短信等方式进行发布。预警信号（随时准备撤离指令）和警戒信号（立即进行避险转移指令）通过预警广播、防汛专用报警器等方式发布。县城预警信号采用防汛专用警报、预警广播及各疏散撤离队手持喊话器等方式发布。</w:t>
      </w:r>
    </w:p>
    <w:p w14:paraId="4707FA52">
      <w:pPr>
        <w:ind w:firstLine="632"/>
      </w:pPr>
      <w:r>
        <w:rPr>
          <w:rFonts w:hint="eastAsia"/>
        </w:rPr>
        <w:t>一般预警信号（随时准备撤离指令）警报器声响为间断起伏音；</w:t>
      </w:r>
    </w:p>
    <w:p w14:paraId="17E27B2F">
      <w:pPr>
        <w:ind w:firstLine="632"/>
      </w:pPr>
      <w:r>
        <w:rPr>
          <w:rFonts w:hint="eastAsia"/>
        </w:rPr>
        <w:t>警戒信号（立即进行防灾避险转移指令）警报器声响为连续起伏音。</w:t>
      </w:r>
    </w:p>
    <w:p w14:paraId="1D079061">
      <w:pPr>
        <w:ind w:firstLine="632"/>
      </w:pPr>
      <w:r>
        <w:rPr>
          <w:rFonts w:hint="eastAsia"/>
        </w:rPr>
        <w:t>各乡镇办配备了防汛警报器的区域，预警信号为防汛专用警报音；未配备防汛警报器的区域，预警信号为预警广播、手摇报警器、铜锣或其他提前明确的方式发布预警信号。</w:t>
      </w:r>
    </w:p>
    <w:p w14:paraId="1F22AFB6">
      <w:pPr>
        <w:pStyle w:val="4"/>
        <w:numPr>
          <w:ilvl w:val="2"/>
          <w:numId w:val="2"/>
        </w:numPr>
        <w:tabs>
          <w:tab w:val="left" w:pos="0"/>
        </w:tabs>
        <w:rPr>
          <w:rFonts w:ascii="仿宋_GB2312" w:hAnsi="仿宋_GB2312" w:eastAsia="仿宋_GB2312" w:cs="仿宋_GB2312"/>
        </w:rPr>
      </w:pPr>
      <w:r>
        <w:rPr>
          <w:rFonts w:hint="eastAsia" w:ascii="仿宋_GB2312" w:hAnsi="仿宋_GB2312" w:eastAsia="仿宋_GB2312" w:cs="仿宋_GB2312"/>
        </w:rPr>
        <w:t>预警抢撤命令发布权限及方式</w:t>
      </w:r>
    </w:p>
    <w:p w14:paraId="67922C55">
      <w:pPr>
        <w:ind w:firstLine="632"/>
      </w:pPr>
      <w:r>
        <w:rPr>
          <w:rFonts w:hint="eastAsia"/>
        </w:rPr>
        <w:t>防灾避险撤离命令由县防指和各乡镇办防汛指挥部总指挥发布。命令的取消亦同。各乡镇办发布防灾避险撤离命令时应报县防汛抗旱指挥部备案。同时，县气象局、县水务局、县防汛办利用短信预警平台向相关防汛责任人手机用户群发预警命令及雨水情信息。</w:t>
      </w:r>
    </w:p>
    <w:p w14:paraId="7125FE64">
      <w:pPr>
        <w:pStyle w:val="3"/>
      </w:pPr>
      <w:bookmarkStart w:id="190" w:name="_Toc11970"/>
      <w:r>
        <w:rPr>
          <w:rFonts w:hint="eastAsia"/>
        </w:rPr>
        <w:t>响应措施</w:t>
      </w:r>
      <w:bookmarkEnd w:id="190"/>
    </w:p>
    <w:p w14:paraId="62985FA5">
      <w:pPr>
        <w:ind w:firstLine="632"/>
      </w:pPr>
      <w:r>
        <w:rPr>
          <w:rFonts w:hint="eastAsia"/>
        </w:rPr>
        <w:t>（1）防御山洪灾害的主体在县、乡、村，承担属地管理责任，编制防御山洪灾害应急预案，落实预警--叫应--反馈等防范应对具体措施。</w:t>
      </w:r>
    </w:p>
    <w:p w14:paraId="36020861">
      <w:pPr>
        <w:ind w:firstLine="632"/>
      </w:pPr>
      <w:r>
        <w:rPr>
          <w:rFonts w:hint="eastAsia"/>
        </w:rPr>
        <w:t>（2）山洪灾害日常防治和监测、预警工作由水务部门负责，应急处置和抢险救灾工作由应急管理部门负责，具体工作由基层人民政府组织实施。各级防指加强组织协调，指导自然资源、生态环境、住房城乡建设、水务、应急管理、消防、公安、气象等各有关部门按任务分工做好相关工作。</w:t>
      </w:r>
    </w:p>
    <w:p w14:paraId="344A78F5">
      <w:pPr>
        <w:ind w:firstLine="632"/>
      </w:pPr>
      <w:r>
        <w:rPr>
          <w:rFonts w:hint="eastAsia"/>
        </w:rPr>
        <w:t>（3）当山洪灾害易发区、小流域集雨区观测到降雨量达到预警阈值时，水务、气象等有关部门应及时发出预警，基层人民政府及时按预案组织受威胁人员安全撤离。</w:t>
      </w:r>
    </w:p>
    <w:p w14:paraId="1BFE11DE">
      <w:pPr>
        <w:ind w:firstLine="632"/>
      </w:pPr>
      <w:r>
        <w:rPr>
          <w:rFonts w:hint="eastAsia"/>
        </w:rPr>
        <w:t>（4）转移受威胁地区的群众应本着就近、迅速、安全、有序的原则进行，先人员后财产，先老幼病残孕后其他人员，防止出现道路堵塞和意外事件的发生。</w:t>
      </w:r>
    </w:p>
    <w:p w14:paraId="6E5F6E8A">
      <w:pPr>
        <w:ind w:firstLine="632"/>
      </w:pPr>
      <w:r>
        <w:rPr>
          <w:rFonts w:hint="eastAsia"/>
        </w:rPr>
        <w:t>（5）当发生山洪灾害时，当地防指迅速组织应急、水务、自然资源、气象等有关部门人员和专家，及时赶赴现场，加强观测，采取应急措施，并通报下游及早做好防御准备，防止山洪灾害造成更大损失。</w:t>
      </w:r>
    </w:p>
    <w:p w14:paraId="2776C1E3">
      <w:pPr>
        <w:ind w:firstLine="632"/>
      </w:pPr>
      <w:r>
        <w:rPr>
          <w:rFonts w:hint="eastAsia"/>
        </w:rPr>
        <w:t>（6）如山洪泥石流、滑坡体堵塞河道，当地防指应召集有关部门、有关专家研究处理方案，尽快采取应急措施，避免发生再次灾害。</w:t>
      </w:r>
    </w:p>
    <w:p w14:paraId="3642F3D5">
      <w:pPr>
        <w:ind w:firstLine="632"/>
      </w:pPr>
      <w:r>
        <w:rPr>
          <w:rFonts w:hint="eastAsia"/>
        </w:rPr>
        <w:t>（7）发生山洪灾害后，若有人员被困和伤亡，第一时间组织抢险突击队或综合消防救援队伍紧急抢救，必要时向市政府请求支援。</w:t>
      </w:r>
    </w:p>
    <w:p w14:paraId="6010AF47">
      <w:pPr>
        <w:pStyle w:val="2"/>
        <w:numPr>
          <w:ilvl w:val="0"/>
          <w:numId w:val="2"/>
        </w:numPr>
        <w:tabs>
          <w:tab w:val="left" w:pos="0"/>
        </w:tabs>
        <w:rPr>
          <w:sz w:val="32"/>
          <w:szCs w:val="32"/>
        </w:rPr>
      </w:pPr>
      <w:bookmarkStart w:id="191" w:name="_Toc20373"/>
      <w:r>
        <w:rPr>
          <w:rFonts w:hint="eastAsia"/>
          <w:sz w:val="32"/>
          <w:szCs w:val="32"/>
        </w:rPr>
        <w:t>转移安置</w:t>
      </w:r>
      <w:bookmarkEnd w:id="191"/>
    </w:p>
    <w:p w14:paraId="76B99FC6">
      <w:pPr>
        <w:pStyle w:val="3"/>
      </w:pPr>
      <w:bookmarkStart w:id="192" w:name="_Toc19164"/>
      <w:r>
        <w:rPr>
          <w:rFonts w:hint="eastAsia"/>
        </w:rPr>
        <w:t>转移安置</w:t>
      </w:r>
      <w:bookmarkEnd w:id="192"/>
    </w:p>
    <w:p w14:paraId="37801E80">
      <w:pPr>
        <w:ind w:firstLine="632"/>
      </w:pPr>
      <w:r>
        <w:rPr>
          <w:rFonts w:hint="eastAsia"/>
        </w:rPr>
        <w:t>做好山洪灾害淹没威胁区人员的转移迁安，是防汛抗洪工作的重要环节。各乡镇办都要制定专题预案，建立专门机构负责组织实施。各山洪危害区社区组，要做好预案的宣传落实工作，使群众对转移安置工作做到心中有数。</w:t>
      </w:r>
    </w:p>
    <w:p w14:paraId="23477CFF">
      <w:pPr>
        <w:numPr>
          <w:ilvl w:val="0"/>
          <w:numId w:val="9"/>
        </w:numPr>
        <w:ind w:firstLine="632"/>
      </w:pPr>
      <w:r>
        <w:rPr>
          <w:rFonts w:hint="eastAsia"/>
        </w:rPr>
        <w:t>山洪危害区的镇办及社区组根据实际，确定需要转移的人员，并负责所辖山洪危险区人员迁安的全部工作。水务部门按照业务分工做好山洪转移区的技术指导，包联部门做好配合工作。</w:t>
      </w:r>
    </w:p>
    <w:p w14:paraId="3924C30C">
      <w:pPr>
        <w:numPr>
          <w:ilvl w:val="0"/>
          <w:numId w:val="9"/>
        </w:numPr>
        <w:ind w:firstLine="632"/>
      </w:pPr>
      <w:r>
        <w:rPr>
          <w:rFonts w:hint="eastAsia"/>
        </w:rPr>
        <w:t>汛前，各乡镇办、水务局做好辖区山洪灾害威胁区的调查工作，明确转移人员，造册登记，并上报县防办。</w:t>
      </w:r>
    </w:p>
    <w:p w14:paraId="66332BD0">
      <w:pPr>
        <w:numPr>
          <w:ilvl w:val="0"/>
          <w:numId w:val="9"/>
        </w:numPr>
        <w:ind w:firstLine="632"/>
      </w:pPr>
      <w:r>
        <w:rPr>
          <w:rFonts w:hint="eastAsia"/>
        </w:rPr>
        <w:t>各乡镇办和县水务局汛前共同协定好转移地点，明确转移路线。汛期要确定专人每周定期检查转移路线，安置地点情况。如有异常应及时修补或改变线路，转移路线要避开跨河或易滑坡等地带，不要顺着泥石流上下游滑动方向转移，应向两侧或滑动体两侧方向转移。</w:t>
      </w:r>
    </w:p>
    <w:p w14:paraId="697839E6">
      <w:pPr>
        <w:numPr>
          <w:ilvl w:val="0"/>
          <w:numId w:val="9"/>
        </w:numPr>
        <w:ind w:firstLine="632"/>
      </w:pPr>
      <w:r>
        <w:rPr>
          <w:rFonts w:hint="eastAsia"/>
        </w:rPr>
        <w:t>县水务局、各乡镇办要制作好山洪灾害明白卡，将转移路线、安置地点、责任人等有关信息标清楚，并由镇社区发放到户，各乡镇人民政府要做好宣传工作，并制作标志牌，标明安全区、危险区、转移路线、安置地点等，并组织群众实际察看，熟悉情况，为迁安做好准备。</w:t>
      </w:r>
    </w:p>
    <w:p w14:paraId="5F1B19D0">
      <w:pPr>
        <w:numPr>
          <w:ilvl w:val="0"/>
          <w:numId w:val="9"/>
        </w:numPr>
        <w:ind w:firstLine="632"/>
      </w:pPr>
      <w:r>
        <w:rPr>
          <w:rFonts w:hint="eastAsia"/>
        </w:rPr>
        <w:t>具体迁安工作由镇社区负责，县级包联部门、业务部门配合，建立以社区为基本行动单元的撤离小组。每一个行动单元的撤离小组均由各镇社区负责指挥。</w:t>
      </w:r>
    </w:p>
    <w:p w14:paraId="746FCD0B">
      <w:pPr>
        <w:numPr>
          <w:ilvl w:val="0"/>
          <w:numId w:val="9"/>
        </w:numPr>
        <w:ind w:firstLine="632"/>
      </w:pPr>
      <w:r>
        <w:rPr>
          <w:rFonts w:hint="eastAsia"/>
        </w:rPr>
        <w:t>安置时根据实际情况，采取集中与分散相结合的方式，对人员多而且居住相对集中的则采取集中安置，对人员少而且居住相对分散的则采取分散安置。</w:t>
      </w:r>
    </w:p>
    <w:p w14:paraId="5A607188">
      <w:pPr>
        <w:numPr>
          <w:ilvl w:val="0"/>
          <w:numId w:val="9"/>
        </w:numPr>
        <w:ind w:firstLine="632"/>
      </w:pPr>
      <w:r>
        <w:rPr>
          <w:rFonts w:hint="eastAsia"/>
        </w:rPr>
        <w:t>当交通、通讯中断时，乡镇、社区应采取避险应急措施。在险情无法上传下达时，社区组负责人想方设法与镇、县联系，进行迁安。社区组长也可根据具体情况，采取切实可行的果断措施，进行紧急迁安。</w:t>
      </w:r>
    </w:p>
    <w:p w14:paraId="527FEC2E">
      <w:pPr>
        <w:pStyle w:val="3"/>
      </w:pPr>
      <w:bookmarkStart w:id="193" w:name="_Toc29045"/>
      <w:r>
        <w:rPr>
          <w:rFonts w:hint="eastAsia"/>
        </w:rPr>
        <w:t>转移安置纪律</w:t>
      </w:r>
      <w:bookmarkEnd w:id="193"/>
    </w:p>
    <w:p w14:paraId="3488924F">
      <w:pPr>
        <w:ind w:firstLine="632"/>
      </w:pPr>
      <w:r>
        <w:rPr>
          <w:rFonts w:hint="eastAsia"/>
        </w:rPr>
        <w:t>转移工作采取县、乡镇、社区、组干部层层包干负责的办法实施，统一指挥、统一转移、安全第一。转移安置工作必须按照县、市、县相关规定，各司其职，各负其责。严肃防汛纪律，坚持安全第一。</w:t>
      </w:r>
    </w:p>
    <w:p w14:paraId="5291DD1E">
      <w:pPr>
        <w:numPr>
          <w:ilvl w:val="0"/>
          <w:numId w:val="10"/>
        </w:numPr>
        <w:ind w:firstLine="632"/>
      </w:pPr>
      <w:r>
        <w:rPr>
          <w:rFonts w:hint="eastAsia"/>
        </w:rPr>
        <w:t>各成员单位在山洪灾害发生后，要恪尽职守，尽职尽责，听从指挥，服从调度，全力做好本职范围内的一切工作。</w:t>
      </w:r>
    </w:p>
    <w:p w14:paraId="19D46FCC">
      <w:pPr>
        <w:numPr>
          <w:ilvl w:val="0"/>
          <w:numId w:val="10"/>
        </w:numPr>
        <w:ind w:firstLine="632"/>
      </w:pPr>
      <w:r>
        <w:rPr>
          <w:rFonts w:hint="eastAsia"/>
        </w:rPr>
        <w:t>要加强领导，落实责任，逐级建立相应的工作组织，层层落实责任和任务，为灾民转移安置工作提供组织保证。</w:t>
      </w:r>
    </w:p>
    <w:p w14:paraId="520BFBB9">
      <w:pPr>
        <w:numPr>
          <w:ilvl w:val="0"/>
          <w:numId w:val="10"/>
        </w:numPr>
        <w:ind w:firstLine="632"/>
      </w:pPr>
      <w:r>
        <w:rPr>
          <w:rFonts w:hint="eastAsia"/>
        </w:rPr>
        <w:t>有关社区组织、部门及相关单位必须无条件服从抗洪抢险和撤离转移的命令，对救灾物资发放不到位、拒不执行命令和不按程序发放灾款灾物的单位和个人，要严肃追究其行政和法律责任。</w:t>
      </w:r>
    </w:p>
    <w:p w14:paraId="6C25405E">
      <w:pPr>
        <w:pStyle w:val="3"/>
      </w:pPr>
      <w:bookmarkStart w:id="194" w:name="_Toc24399"/>
      <w:r>
        <w:rPr>
          <w:rFonts w:hint="eastAsia"/>
        </w:rPr>
        <w:t>转移保障措施</w:t>
      </w:r>
      <w:bookmarkEnd w:id="194"/>
    </w:p>
    <w:p w14:paraId="4E3DC4DA">
      <w:pPr>
        <w:pStyle w:val="4"/>
        <w:numPr>
          <w:ilvl w:val="2"/>
          <w:numId w:val="2"/>
        </w:numPr>
        <w:tabs>
          <w:tab w:val="left" w:pos="0"/>
        </w:tabs>
        <w:rPr>
          <w:rFonts w:ascii="仿宋_GB2312" w:hAnsi="仿宋_GB2312" w:eastAsia="仿宋_GB2312" w:cs="仿宋_GB2312"/>
        </w:rPr>
      </w:pPr>
      <w:r>
        <w:rPr>
          <w:rFonts w:hint="eastAsia" w:ascii="仿宋_GB2312" w:hAnsi="仿宋_GB2312" w:eastAsia="仿宋_GB2312" w:cs="仿宋_GB2312"/>
        </w:rPr>
        <w:t>组织领导</w:t>
      </w:r>
    </w:p>
    <w:p w14:paraId="718FA9BC">
      <w:pPr>
        <w:ind w:firstLine="632"/>
      </w:pPr>
      <w:r>
        <w:rPr>
          <w:rFonts w:hint="eastAsia"/>
        </w:rPr>
        <w:t>为切实加强对这项工作的领导，保证撤离转移安置工作的统一指挥、统一调度，由转移组具体负责转移安置工作。</w:t>
      </w:r>
    </w:p>
    <w:p w14:paraId="31EC098E">
      <w:pPr>
        <w:pStyle w:val="4"/>
        <w:numPr>
          <w:ilvl w:val="2"/>
          <w:numId w:val="2"/>
        </w:numPr>
        <w:tabs>
          <w:tab w:val="left" w:pos="0"/>
        </w:tabs>
        <w:rPr>
          <w:rFonts w:ascii="仿宋_GB2312" w:hAnsi="仿宋_GB2312" w:eastAsia="仿宋_GB2312" w:cs="仿宋_GB2312"/>
        </w:rPr>
      </w:pPr>
      <w:r>
        <w:rPr>
          <w:rFonts w:hint="eastAsia" w:ascii="仿宋_GB2312" w:hAnsi="仿宋_GB2312" w:eastAsia="仿宋_GB2312" w:cs="仿宋_GB2312"/>
        </w:rPr>
        <w:t>保障措施</w:t>
      </w:r>
    </w:p>
    <w:p w14:paraId="2E219AF4">
      <w:pPr>
        <w:numPr>
          <w:ilvl w:val="0"/>
          <w:numId w:val="11"/>
        </w:numPr>
        <w:ind w:firstLine="632"/>
      </w:pPr>
      <w:r>
        <w:rPr>
          <w:rFonts w:hint="eastAsia"/>
        </w:rPr>
        <w:t>运输车辆：转移安置所需车辆，由镇办组织解决。</w:t>
      </w:r>
    </w:p>
    <w:p w14:paraId="2503F140">
      <w:pPr>
        <w:numPr>
          <w:ilvl w:val="0"/>
          <w:numId w:val="11"/>
        </w:numPr>
        <w:ind w:firstLine="632"/>
      </w:pPr>
      <w:r>
        <w:rPr>
          <w:rFonts w:hint="eastAsia"/>
        </w:rPr>
        <w:t>饮食供应：由后勤保障组负责安排供应。</w:t>
      </w:r>
    </w:p>
    <w:p w14:paraId="7C86606A">
      <w:pPr>
        <w:numPr>
          <w:ilvl w:val="0"/>
          <w:numId w:val="11"/>
        </w:numPr>
        <w:ind w:firstLine="632"/>
      </w:pPr>
      <w:r>
        <w:rPr>
          <w:rFonts w:hint="eastAsia"/>
        </w:rPr>
        <w:t>治安保卫：有关镇办要由主要负责人带队值班，严格值班纪律，做好治安保卫工作。集中安置地的安全保卫工作，由被安置的群众和公安机关组织联防，严厉打击不法分子，防止趁火打劫。</w:t>
      </w:r>
    </w:p>
    <w:p w14:paraId="14FBC92C">
      <w:pPr>
        <w:numPr>
          <w:ilvl w:val="0"/>
          <w:numId w:val="11"/>
        </w:numPr>
        <w:ind w:firstLine="632"/>
      </w:pPr>
      <w:r>
        <w:rPr>
          <w:rFonts w:hint="eastAsia"/>
        </w:rPr>
        <w:t>转移安置：由人员转移组负责组织受灾群众进行转移，做好灾民的转移安置工作。</w:t>
      </w:r>
    </w:p>
    <w:p w14:paraId="67F64400">
      <w:pPr>
        <w:numPr>
          <w:ilvl w:val="0"/>
          <w:numId w:val="11"/>
        </w:numPr>
        <w:ind w:firstLine="632"/>
      </w:pPr>
      <w:r>
        <w:rPr>
          <w:rFonts w:hint="eastAsia"/>
        </w:rPr>
        <w:t>医疗防疫：由后勤保障组负责，协助卫健部门深入安置地巡回检查，及时搞好疫病防治工作。</w:t>
      </w:r>
    </w:p>
    <w:p w14:paraId="6F7E7CB5">
      <w:pPr>
        <w:numPr>
          <w:ilvl w:val="0"/>
          <w:numId w:val="11"/>
        </w:numPr>
        <w:ind w:firstLine="632"/>
      </w:pPr>
      <w:r>
        <w:rPr>
          <w:rFonts w:hint="eastAsia"/>
        </w:rPr>
        <w:t>电力供应：由国网电力公司负责，在确保安全的前提下，加强对供电设备、线路的管理维护，确保正常运行。</w:t>
      </w:r>
    </w:p>
    <w:p w14:paraId="769D90A6">
      <w:pPr>
        <w:pStyle w:val="3"/>
      </w:pPr>
      <w:bookmarkStart w:id="195" w:name="_Toc12286"/>
      <w:r>
        <w:rPr>
          <w:rFonts w:hint="eastAsia"/>
        </w:rPr>
        <w:t>灾后安置</w:t>
      </w:r>
      <w:bookmarkEnd w:id="195"/>
    </w:p>
    <w:p w14:paraId="45618B95">
      <w:pPr>
        <w:ind w:firstLine="632"/>
      </w:pPr>
      <w:r>
        <w:rPr>
          <w:rFonts w:hint="eastAsia"/>
        </w:rPr>
        <w:t>当险情发生后，转移安置组应根据受灾范围、受灾群众的多少、人员伤亡情况、安置地点等具体情况，因地制宜地采取集中、分散等安置方式，转移后的安置办法主要有三种：一是投亲靠友；二是镇内部安置；三是在附近社区集中安排，尽量使受灾群众得到妥善地安置。灾后组织相关人员对受损房屋、周边环境状况等进行查看，确认安全后，组织转移人员有序返回。以便于尽快地恢复灾区群众的生产、生活和学校教学等的正常秩序，减少不必要的损失。</w:t>
      </w:r>
    </w:p>
    <w:p w14:paraId="38D484C6">
      <w:pPr>
        <w:pStyle w:val="2"/>
        <w:numPr>
          <w:ilvl w:val="0"/>
          <w:numId w:val="2"/>
        </w:numPr>
        <w:tabs>
          <w:tab w:val="left" w:pos="0"/>
        </w:tabs>
        <w:rPr>
          <w:sz w:val="32"/>
          <w:szCs w:val="32"/>
        </w:rPr>
      </w:pPr>
      <w:bookmarkStart w:id="196" w:name="_Toc29096"/>
      <w:r>
        <w:rPr>
          <w:rFonts w:hint="eastAsia"/>
          <w:sz w:val="32"/>
          <w:szCs w:val="32"/>
        </w:rPr>
        <w:t>抢险救灾</w:t>
      </w:r>
      <w:bookmarkEnd w:id="196"/>
    </w:p>
    <w:p w14:paraId="0C6E4733">
      <w:pPr>
        <w:ind w:firstLine="632"/>
      </w:pPr>
      <w:r>
        <w:rPr>
          <w:rFonts w:hint="eastAsia"/>
        </w:rPr>
        <w:t>在防御山洪灾害的过程中，组织好抢险救灾，对减灾和维护社会稳定有着十分重要的作用。各镇及相关部门必须以积极为主和高度负责的态度，想尽千方百计，统筹各方资源，全力以赴做好抢险救灾工作。</w:t>
      </w:r>
    </w:p>
    <w:p w14:paraId="70AB5F81">
      <w:pPr>
        <w:pStyle w:val="3"/>
      </w:pPr>
      <w:bookmarkStart w:id="197" w:name="_Toc18999"/>
      <w:r>
        <w:rPr>
          <w:rFonts w:hint="eastAsia"/>
        </w:rPr>
        <w:t>抢险救灾准备</w:t>
      </w:r>
      <w:bookmarkEnd w:id="197"/>
    </w:p>
    <w:p w14:paraId="584A0C63">
      <w:pPr>
        <w:numPr>
          <w:ilvl w:val="0"/>
          <w:numId w:val="12"/>
        </w:numPr>
        <w:ind w:firstLine="632"/>
      </w:pPr>
      <w:r>
        <w:rPr>
          <w:rFonts w:hint="eastAsia"/>
        </w:rPr>
        <w:t>普及山洪灾害防御的基本知识，增强群众的防患意识。水务局组织专业人员深入灾害威胁区社区组，召开防灾知识讲座，培训技术骨干，并制定出简单易懂的宣传材料发放至灾害威胁区每户群众。</w:t>
      </w:r>
    </w:p>
    <w:p w14:paraId="3A61EAE5">
      <w:pPr>
        <w:numPr>
          <w:ilvl w:val="0"/>
          <w:numId w:val="12"/>
        </w:numPr>
        <w:ind w:firstLine="632"/>
      </w:pPr>
      <w:r>
        <w:rPr>
          <w:rFonts w:hint="eastAsia"/>
        </w:rPr>
        <w:t>建立抢险救灾工作机制，确定抢险救灾方案。县上成立以民兵预备役为主的抢险队伍，县人民武装部部长为总指挥，乡镇、社区成立以社区、组精壮劳力为主的抢险队伍，乡镇、社区主任为总指挥。县、乡镇、社区要建立物料储备库，搞好物料储备，以便及时调配。乡镇、社区要把农用车辆及运输车辆，登记造册，编号分组；县交通运输局要做好抢险车辆准备工作，以便及时抢险；县医院及各镇卫生院做好救护的一切准备工作；县财政局及各镇必须留足抢险救灾资金，建立专账，不得挪用。</w:t>
      </w:r>
    </w:p>
    <w:p w14:paraId="55AFC82D">
      <w:pPr>
        <w:ind w:firstLine="632"/>
      </w:pPr>
      <w:r>
        <w:rPr>
          <w:rFonts w:hint="eastAsia"/>
        </w:rPr>
        <w:t xml:space="preserve">县防指统一指挥县镇社区山洪灾害的抢险救灾工作，人员组织、物资调拨、车辆调配由县防汛抗旱指挥部统一调配，任何单位和个人必须无条件执行。 </w:t>
      </w:r>
    </w:p>
    <w:p w14:paraId="1AC56F87">
      <w:pPr>
        <w:pStyle w:val="3"/>
      </w:pPr>
      <w:bookmarkStart w:id="198" w:name="_Toc32213"/>
      <w:r>
        <w:rPr>
          <w:rFonts w:hint="eastAsia"/>
        </w:rPr>
        <w:t>抢险、救灾</w:t>
      </w:r>
      <w:bookmarkEnd w:id="198"/>
      <w:r>
        <w:rPr>
          <w:rFonts w:hint="eastAsia"/>
        </w:rPr>
        <w:t xml:space="preserve"> </w:t>
      </w:r>
    </w:p>
    <w:p w14:paraId="05504C25">
      <w:pPr>
        <w:ind w:firstLine="632"/>
      </w:pPr>
      <w:r>
        <w:rPr>
          <w:rFonts w:hint="eastAsia"/>
        </w:rPr>
        <w:t>一旦发现险情，社区、组在向上级部门报告的同时，按预定方案组织群众积极搬迁。县防指接到险情后，立即组织县水务、自然资源及包联部门1小时内赶到现场，现场组织群众搬迁。险情一旦发生，县防汛抗旱指挥部立即调集防汛抢险队伍，抢险物料和抢险机具转入抢险，确保灾区人民群众生命安全的同时，尽量减少财产损失，紧急情况下可强制征用和调配车辆、设备、物资等，但必须做好登记工作，以便灾后做出补偿。</w:t>
      </w:r>
    </w:p>
    <w:p w14:paraId="4C5C13C5">
      <w:pPr>
        <w:pStyle w:val="4"/>
        <w:numPr>
          <w:ilvl w:val="2"/>
          <w:numId w:val="2"/>
        </w:numPr>
        <w:tabs>
          <w:tab w:val="left" w:pos="0"/>
        </w:tabs>
        <w:rPr>
          <w:rFonts w:ascii="仿宋_GB2312" w:hAnsi="仿宋_GB2312" w:eastAsia="仿宋_GB2312" w:cs="仿宋_GB2312"/>
        </w:rPr>
      </w:pPr>
      <w:r>
        <w:rPr>
          <w:rFonts w:hint="eastAsia" w:ascii="仿宋_GB2312" w:hAnsi="仿宋_GB2312" w:eastAsia="仿宋_GB2312" w:cs="仿宋_GB2312"/>
        </w:rPr>
        <w:t>灾情处置、人员解救</w:t>
      </w:r>
    </w:p>
    <w:p w14:paraId="06F9F370">
      <w:pPr>
        <w:ind w:firstLine="632"/>
      </w:pPr>
      <w:r>
        <w:rPr>
          <w:rFonts w:hint="eastAsia"/>
        </w:rPr>
        <w:t>一旦发生人员被困现象，现场指挥部要组织专业技术部门进行会商，做出切实可行的救困方案，各抢险分队应立即把被困人员迅速转移到安全地带。医护人员及时对受伤群众进行救助。</w:t>
      </w:r>
    </w:p>
    <w:p w14:paraId="1D2E98BA">
      <w:pPr>
        <w:ind w:firstLine="632"/>
      </w:pPr>
      <w:r>
        <w:rPr>
          <w:rFonts w:hint="eastAsia"/>
        </w:rPr>
        <w:t>对可能造成新的危害山体、建筑物要安排专人24小时监测，并尽最大能力、人力做好防御工程建设，尽量避免灾害的发生。</w:t>
      </w:r>
    </w:p>
    <w:p w14:paraId="5137F994">
      <w:pPr>
        <w:pStyle w:val="4"/>
        <w:numPr>
          <w:ilvl w:val="2"/>
          <w:numId w:val="2"/>
        </w:numPr>
        <w:tabs>
          <w:tab w:val="left" w:pos="0"/>
        </w:tabs>
        <w:rPr>
          <w:rFonts w:ascii="仿宋_GB2312" w:hAnsi="仿宋_GB2312" w:eastAsia="仿宋_GB2312" w:cs="仿宋_GB2312"/>
        </w:rPr>
      </w:pPr>
      <w:r>
        <w:rPr>
          <w:rFonts w:hint="eastAsia" w:ascii="仿宋_GB2312" w:hAnsi="仿宋_GB2312" w:eastAsia="仿宋_GB2312" w:cs="仿宋_GB2312"/>
        </w:rPr>
        <w:t>基础设施抢救</w:t>
      </w:r>
    </w:p>
    <w:p w14:paraId="1CC57ACA">
      <w:pPr>
        <w:ind w:firstLine="632"/>
      </w:pPr>
      <w:r>
        <w:rPr>
          <w:rFonts w:hint="eastAsia"/>
        </w:rPr>
        <w:t>县水务局、交通运输局、供电公司、各通信运营公司等部门要立即赶到现场，成立抢险分队，实施抢修水、电、路、通信等基础设施，以保障抢险救灾和灾后自救需要。</w:t>
      </w:r>
    </w:p>
    <w:p w14:paraId="1327CE6D">
      <w:pPr>
        <w:pStyle w:val="4"/>
        <w:numPr>
          <w:ilvl w:val="2"/>
          <w:numId w:val="2"/>
        </w:numPr>
        <w:tabs>
          <w:tab w:val="left" w:pos="0"/>
        </w:tabs>
        <w:rPr>
          <w:rFonts w:ascii="仿宋_GB2312" w:hAnsi="仿宋_GB2312" w:eastAsia="仿宋_GB2312" w:cs="仿宋_GB2312"/>
        </w:rPr>
      </w:pPr>
      <w:r>
        <w:rPr>
          <w:rFonts w:hint="eastAsia" w:ascii="仿宋_GB2312" w:hAnsi="仿宋_GB2312" w:eastAsia="仿宋_GB2312" w:cs="仿宋_GB2312"/>
        </w:rPr>
        <w:t>卫生防疫、灾后治安</w:t>
      </w:r>
    </w:p>
    <w:p w14:paraId="427C0668">
      <w:pPr>
        <w:ind w:firstLine="632"/>
      </w:pPr>
      <w:r>
        <w:rPr>
          <w:rFonts w:hint="eastAsia"/>
        </w:rPr>
        <w:t>一旦发生人畜伤亡，县卫健局要组织力量及时抢救受伤人员，清理和掩埋人畜尸体，并及时喷洒消毒药物，防止滋生和蔓延传染性疾病。</w:t>
      </w:r>
    </w:p>
    <w:p w14:paraId="6A3D2083">
      <w:pPr>
        <w:ind w:firstLine="632"/>
      </w:pPr>
      <w:r>
        <w:rPr>
          <w:rFonts w:hint="eastAsia"/>
        </w:rPr>
        <w:t>对紧急转移的人员，县应急局、民政局负责落实好救助措施，做好衣、食、住等基本生活必需品，呼吁社会各界募捐援助，县公安局要稳定撤离迁安人员情绪，维护好安置点的秩序与安全。</w:t>
      </w:r>
    </w:p>
    <w:p w14:paraId="558A3CDF">
      <w:pPr>
        <w:pStyle w:val="2"/>
        <w:numPr>
          <w:ilvl w:val="0"/>
          <w:numId w:val="2"/>
        </w:numPr>
        <w:tabs>
          <w:tab w:val="left" w:pos="0"/>
        </w:tabs>
        <w:rPr>
          <w:sz w:val="32"/>
          <w:szCs w:val="32"/>
        </w:rPr>
      </w:pPr>
      <w:bookmarkStart w:id="199" w:name="_Toc10571"/>
      <w:r>
        <w:rPr>
          <w:sz w:val="32"/>
          <w:szCs w:val="32"/>
        </w:rPr>
        <w:t>应急保障</w:t>
      </w:r>
      <w:bookmarkEnd w:id="199"/>
      <w:r>
        <w:rPr>
          <w:sz w:val="32"/>
          <w:szCs w:val="32"/>
        </w:rPr>
        <w:t xml:space="preserve"> </w:t>
      </w:r>
    </w:p>
    <w:p w14:paraId="0EE4FB8B">
      <w:pPr>
        <w:ind w:firstLine="632"/>
      </w:pPr>
      <w:r>
        <w:rPr>
          <w:rFonts w:hint="eastAsia"/>
        </w:rPr>
        <w:t>防御山洪灾害保障措施是防汛工作的基础，各乡镇办、各部门要密切配合，搞好山洪灾害防御的保障工作。</w:t>
      </w:r>
    </w:p>
    <w:p w14:paraId="60446C56">
      <w:pPr>
        <w:pStyle w:val="3"/>
      </w:pPr>
      <w:bookmarkStart w:id="200" w:name="_Toc6498"/>
      <w:r>
        <w:t>落实责任</w:t>
      </w:r>
      <w:bookmarkEnd w:id="200"/>
      <w:r>
        <w:t xml:space="preserve"> </w:t>
      </w:r>
    </w:p>
    <w:p w14:paraId="17ABF3F7">
      <w:pPr>
        <w:ind w:firstLine="632"/>
      </w:pPr>
      <w:r>
        <w:t>汛前，</w:t>
      </w:r>
      <w:r>
        <w:rPr>
          <w:rFonts w:hint="eastAsia"/>
        </w:rPr>
        <w:t>县、乡镇、社区</w:t>
      </w:r>
      <w:r>
        <w:t>三级分别对所管辖区进行全面普查，发现问题登记造册，及时处理。县水务局分别对山洪灾害区域进行全面普查，对危重区要制定搬迁方案，限时搬迁，对可能引发山洪灾害的工程区域等，各镇要安排1至2名监测人员，长期防守，业务部门对其进行业务培训，并搞好预警预报工作。</w:t>
      </w:r>
    </w:p>
    <w:p w14:paraId="5D26537A">
      <w:pPr>
        <w:pStyle w:val="3"/>
      </w:pPr>
      <w:bookmarkStart w:id="201" w:name="_Toc24935"/>
      <w:r>
        <w:t>汛前检查、落实措施</w:t>
      </w:r>
      <w:bookmarkEnd w:id="201"/>
    </w:p>
    <w:p w14:paraId="72BB0A9D">
      <w:pPr>
        <w:numPr>
          <w:ilvl w:val="0"/>
          <w:numId w:val="13"/>
        </w:numPr>
        <w:ind w:firstLineChars="0"/>
      </w:pPr>
      <w:r>
        <w:t>本预案下发至</w:t>
      </w:r>
      <w:r>
        <w:rPr>
          <w:rFonts w:hint="eastAsia"/>
        </w:rPr>
        <w:t>各乡镇办</w:t>
      </w:r>
      <w:r>
        <w:t>、各业务部门，明确夯实责任，扎实做好落实。</w:t>
      </w:r>
    </w:p>
    <w:p w14:paraId="25BD52C1">
      <w:pPr>
        <w:numPr>
          <w:ilvl w:val="0"/>
          <w:numId w:val="13"/>
        </w:numPr>
        <w:ind w:firstLineChars="0"/>
      </w:pPr>
      <w:r>
        <w:t>及时对各辖区内的预警设施进行一个全面检查，确保监测预警设施系统能够正常运行，确保安全度汛。</w:t>
      </w:r>
    </w:p>
    <w:p w14:paraId="42A736A3">
      <w:pPr>
        <w:numPr>
          <w:ilvl w:val="0"/>
          <w:numId w:val="13"/>
        </w:numPr>
        <w:ind w:firstLineChars="0"/>
      </w:pPr>
      <w:r>
        <w:t>对山洪灾害各危险区、水利工程、河道、地质灾害隐患点和各</w:t>
      </w:r>
      <w:r>
        <w:rPr>
          <w:rFonts w:hint="eastAsia"/>
        </w:rPr>
        <w:t>社区</w:t>
      </w:r>
      <w:r>
        <w:t>进行排查，及时落实度汛措施</w:t>
      </w:r>
      <w:r>
        <w:rPr>
          <w:rFonts w:hint="eastAsia"/>
        </w:rPr>
        <w:t>。</w:t>
      </w:r>
    </w:p>
    <w:p w14:paraId="69F67EDF">
      <w:pPr>
        <w:pStyle w:val="3"/>
      </w:pPr>
      <w:bookmarkStart w:id="202" w:name="_Toc12657"/>
      <w:r>
        <w:t>宣传教育</w:t>
      </w:r>
      <w:bookmarkEnd w:id="202"/>
    </w:p>
    <w:p w14:paraId="19E07430">
      <w:pPr>
        <w:numPr>
          <w:ilvl w:val="0"/>
          <w:numId w:val="14"/>
        </w:numPr>
        <w:ind w:firstLineChars="0"/>
      </w:pPr>
      <w:r>
        <w:rPr>
          <w:rFonts w:hint="eastAsia"/>
        </w:rPr>
        <w:t>各乡镇办</w:t>
      </w:r>
      <w:r>
        <w:t>要在辖区内，利用会议、广播、电视、墙报，标语和进</w:t>
      </w:r>
      <w:r>
        <w:rPr>
          <w:rFonts w:hint="eastAsia"/>
        </w:rPr>
        <w:t>社区</w:t>
      </w:r>
      <w:r>
        <w:t>入户等多种形式，向辖区内群众进行宣传，增强群众自动防灾避灾意识能力。各业务部门要做好抢险避灾技术宣传工作，培训技术骨干，使大家树立群防群守意识。</w:t>
      </w:r>
    </w:p>
    <w:p w14:paraId="0B8AB3E7">
      <w:pPr>
        <w:numPr>
          <w:ilvl w:val="0"/>
          <w:numId w:val="14"/>
        </w:numPr>
        <w:ind w:firstLineChars="0"/>
      </w:pPr>
      <w:r>
        <w:rPr>
          <w:rFonts w:hint="eastAsia"/>
        </w:rPr>
        <w:t>各乡镇办</w:t>
      </w:r>
      <w:r>
        <w:t>要组织山洪灾害威胁区群众熟悉转移路线和安置方案，并到对口的安置点熟悉环境。</w:t>
      </w:r>
    </w:p>
    <w:p w14:paraId="1C917887">
      <w:pPr>
        <w:pStyle w:val="3"/>
      </w:pPr>
      <w:bookmarkStart w:id="203" w:name="_Toc13879"/>
      <w:r>
        <w:t>发放明白卡</w:t>
      </w:r>
      <w:bookmarkEnd w:id="203"/>
    </w:p>
    <w:p w14:paraId="3007498D">
      <w:pPr>
        <w:ind w:firstLine="632"/>
      </w:pPr>
      <w:r>
        <w:rPr>
          <w:rFonts w:hint="eastAsia"/>
        </w:rPr>
        <w:t>各乡镇办</w:t>
      </w:r>
      <w:r>
        <w:t>负责在汛前发放明白卡，载明转移的路线、时机、安置地点、责任人等有关信息并发放到山洪灾害危险区所有住户，以便于在发生山洪灾害时，危险区的群众能够根据拟定的时机、路线等迅速撤离出危险区，转移到安全区得以妥善安置。</w:t>
      </w:r>
    </w:p>
    <w:p w14:paraId="5E5C7E33">
      <w:pPr>
        <w:pStyle w:val="3"/>
      </w:pPr>
      <w:bookmarkStart w:id="204" w:name="_Toc16811"/>
      <w:r>
        <w:t>制作警示牌</w:t>
      </w:r>
      <w:bookmarkEnd w:id="204"/>
    </w:p>
    <w:p w14:paraId="7570AADC">
      <w:pPr>
        <w:ind w:firstLine="632"/>
      </w:pPr>
      <w:r>
        <w:t>汛前应及时向</w:t>
      </w:r>
      <w:r>
        <w:rPr>
          <w:rFonts w:hint="eastAsia"/>
        </w:rPr>
        <w:t>各乡镇办</w:t>
      </w:r>
      <w:r>
        <w:t>、各</w:t>
      </w:r>
      <w:r>
        <w:rPr>
          <w:rFonts w:hint="eastAsia"/>
        </w:rPr>
        <w:t>社区</w:t>
      </w:r>
      <w:r>
        <w:t>的危险区，制作警示牌和宣传标语、标明危险区、转移路线和安置地点、并安放于醒目位置。以便于危险区的群众在撤离过程中根据标示迅速</w:t>
      </w:r>
      <w:r>
        <w:rPr>
          <w:rFonts w:hint="eastAsia"/>
        </w:rPr>
        <w:t>地</w:t>
      </w:r>
      <w:r>
        <w:t>进入安置地点，尽量减少在转移途中不必要的伤亡。</w:t>
      </w:r>
    </w:p>
    <w:p w14:paraId="445E40ED">
      <w:pPr>
        <w:pStyle w:val="3"/>
      </w:pPr>
      <w:bookmarkStart w:id="205" w:name="_Toc10413"/>
      <w:r>
        <w:rPr>
          <w:rFonts w:hint="eastAsia"/>
        </w:rPr>
        <w:t>物资保障</w:t>
      </w:r>
      <w:bookmarkEnd w:id="205"/>
    </w:p>
    <w:p w14:paraId="598AE512">
      <w:pPr>
        <w:numPr>
          <w:ilvl w:val="0"/>
          <w:numId w:val="15"/>
        </w:numPr>
        <w:ind w:firstLine="632"/>
      </w:pPr>
      <w:r>
        <w:rPr>
          <w:rFonts w:hint="eastAsia"/>
        </w:rPr>
        <w:t>防洪物资储备实行“分级储备、分级管理、统一调配、保障急需”的原则。市防指可以根据需要调配全市的防洪抢险救灾物资。</w:t>
      </w:r>
    </w:p>
    <w:p w14:paraId="40FCEE1E">
      <w:pPr>
        <w:numPr>
          <w:ilvl w:val="0"/>
          <w:numId w:val="15"/>
        </w:numPr>
        <w:ind w:firstLine="632"/>
      </w:pPr>
      <w:r>
        <w:rPr>
          <w:rFonts w:hint="eastAsia"/>
        </w:rPr>
        <w:t>县防指和各有关部门应当按照县防汛需要储备防汛物资；县防指要加强检查和督促。</w:t>
      </w:r>
    </w:p>
    <w:p w14:paraId="3E2B100E">
      <w:pPr>
        <w:ind w:firstLine="632"/>
      </w:pPr>
      <w:r>
        <w:rPr>
          <w:rFonts w:hint="eastAsia"/>
        </w:rPr>
        <w:t>（3）水库、水闸、堤防等防洪工程管理单位应当按照国家、省有关防汛物资储备定额标准进行储备。</w:t>
      </w:r>
    </w:p>
    <w:p w14:paraId="3E95CF0E">
      <w:pPr>
        <w:ind w:firstLine="632"/>
      </w:pPr>
      <w:r>
        <w:rPr>
          <w:rFonts w:hint="eastAsia"/>
        </w:rPr>
        <w:t>（4）乡镇、社区应按照相关的要求，储备必要的防汛抢险物资。</w:t>
      </w:r>
    </w:p>
    <w:p w14:paraId="225AEF64">
      <w:pPr>
        <w:ind w:firstLine="632"/>
      </w:pPr>
      <w:r>
        <w:rPr>
          <w:rFonts w:hint="eastAsia"/>
        </w:rPr>
        <w:t>（5）发生险情时，首先动用当地乡镇和有关单位自储的抢险物资储备，后动用各部门储备的防汛抢险物资；如县防指储备的抢险物资无法满足抢险需要，县防指要及时向市防指和省防指提出申请支援。</w:t>
      </w:r>
    </w:p>
    <w:p w14:paraId="77CD9474">
      <w:pPr>
        <w:ind w:firstLine="632"/>
      </w:pPr>
      <w:r>
        <w:rPr>
          <w:rFonts w:hint="eastAsia"/>
        </w:rPr>
        <w:t>（6）被列为山洪灾害防御对象的镇、社区需配备手摇报警器、铜锣、口哨等简易预警设备并按需增补。</w:t>
      </w:r>
    </w:p>
    <w:p w14:paraId="739B5FC7">
      <w:pPr>
        <w:pStyle w:val="3"/>
      </w:pPr>
      <w:bookmarkStart w:id="206" w:name="_Toc4987"/>
      <w:r>
        <w:rPr>
          <w:rFonts w:hint="eastAsia"/>
        </w:rPr>
        <w:t>抢险队伍保障</w:t>
      </w:r>
      <w:bookmarkEnd w:id="206"/>
    </w:p>
    <w:p w14:paraId="77B0190B">
      <w:pPr>
        <w:ind w:firstLine="632"/>
      </w:pPr>
      <w:r>
        <w:rPr>
          <w:rFonts w:hint="eastAsia"/>
        </w:rPr>
        <w:t>任何单位和个人都有依法参加抗洪抢险救灾的义务。民兵和预备役部队是抢险救灾的突击力量。全县防洪抢险队伍由三个层级构成。</w:t>
      </w:r>
    </w:p>
    <w:p w14:paraId="1ABABBDE">
      <w:pPr>
        <w:ind w:firstLine="632"/>
      </w:pPr>
      <w:r>
        <w:rPr>
          <w:rFonts w:hint="eastAsia"/>
        </w:rPr>
        <w:t>（1）县级</w:t>
      </w:r>
    </w:p>
    <w:p w14:paraId="1234086B">
      <w:pPr>
        <w:ind w:firstLine="632"/>
      </w:pPr>
      <w:r>
        <w:rPr>
          <w:rFonts w:hint="eastAsia"/>
        </w:rPr>
        <w:t>县防指成员单位按职责分工要求，建立健全防洪专业抢险队伍，明确人员、装备和保障措施，落实编组，确保能在规定要求内随时听令行动，执行相关专业抢险救援任务。县防指成员单位在每年4月15日前将抢险救援队伍基本情况报县防指。</w:t>
      </w:r>
    </w:p>
    <w:p w14:paraId="3FCE45F4">
      <w:pPr>
        <w:ind w:firstLine="632"/>
      </w:pPr>
      <w:r>
        <w:rPr>
          <w:rFonts w:hint="eastAsia"/>
        </w:rPr>
        <w:t>（2）乡镇</w:t>
      </w:r>
    </w:p>
    <w:p w14:paraId="4B3E2EA3">
      <w:pPr>
        <w:ind w:firstLine="632"/>
      </w:pPr>
      <w:r>
        <w:rPr>
          <w:rFonts w:hint="eastAsia"/>
        </w:rPr>
        <w:t>乡镇防指整合基层派出所、民兵预备役、专职消防队、森林消防队、治安巡逻队、企业应急小分队等人员，赋予防洪抢险任务，配备必要装备设施，形成基层防洪抢险救灾的骨干力量，具体承担乡镇境内防洪抢险任务。</w:t>
      </w:r>
    </w:p>
    <w:p w14:paraId="4BB87859">
      <w:pPr>
        <w:ind w:firstLine="632"/>
      </w:pPr>
      <w:r>
        <w:rPr>
          <w:rFonts w:hint="eastAsia"/>
        </w:rPr>
        <w:t>（3）社区级</w:t>
      </w:r>
    </w:p>
    <w:p w14:paraId="36687D48">
      <w:pPr>
        <w:ind w:firstLine="632"/>
      </w:pPr>
      <w:r>
        <w:rPr>
          <w:rFonts w:hint="eastAsia"/>
        </w:rPr>
        <w:t>选择青壮年组建防洪抢险小分队，具体承担社区级防洪抢险任务，并为邻近区域的专业化抢险提供劳动力。</w:t>
      </w:r>
    </w:p>
    <w:p w14:paraId="761E9097">
      <w:pPr>
        <w:pStyle w:val="3"/>
      </w:pPr>
      <w:bookmarkStart w:id="207" w:name="_Toc32705"/>
      <w:r>
        <w:rPr>
          <w:rFonts w:hint="eastAsia"/>
        </w:rPr>
        <w:t>避灾场所保障</w:t>
      </w:r>
      <w:bookmarkEnd w:id="207"/>
    </w:p>
    <w:p w14:paraId="59CD439A">
      <w:pPr>
        <w:ind w:firstLine="632"/>
      </w:pPr>
      <w:r>
        <w:rPr>
          <w:rFonts w:hint="eastAsia"/>
        </w:rPr>
        <w:t>县应急管理局负责组织乡镇推进应急避灾安置场所建设。避灾安置场所应当规范化建设，并经工程质量检验合格。</w:t>
      </w:r>
    </w:p>
    <w:p w14:paraId="33756E59">
      <w:pPr>
        <w:ind w:firstLine="632"/>
      </w:pPr>
      <w:r>
        <w:rPr>
          <w:rFonts w:hint="eastAsia"/>
        </w:rPr>
        <w:t>各类学校、会堂等公共建筑物在山洪灾害紧急状态下，应当根据指令无条件开放，作为临时避灾安置场所。避灾安置场所应当具备相应的避灾条件。公共建筑物因作为避灾安置场所受到损坏的，当地人民政府应当给予适当补偿。</w:t>
      </w:r>
    </w:p>
    <w:p w14:paraId="6B2E93C8">
      <w:pPr>
        <w:pStyle w:val="3"/>
      </w:pPr>
      <w:bookmarkStart w:id="208" w:name="_Toc20557"/>
      <w:r>
        <w:t>培训和演练</w:t>
      </w:r>
      <w:bookmarkEnd w:id="208"/>
      <w:r>
        <w:t xml:space="preserve"> </w:t>
      </w:r>
    </w:p>
    <w:p w14:paraId="71292BE9">
      <w:pPr>
        <w:pStyle w:val="4"/>
        <w:numPr>
          <w:ilvl w:val="2"/>
          <w:numId w:val="2"/>
        </w:numPr>
        <w:tabs>
          <w:tab w:val="left" w:pos="0"/>
        </w:tabs>
        <w:rPr>
          <w:rFonts w:ascii="仿宋_GB2312" w:hAnsi="仿宋_GB2312" w:eastAsia="仿宋_GB2312" w:cs="仿宋_GB2312"/>
        </w:rPr>
      </w:pPr>
      <w:r>
        <w:rPr>
          <w:rFonts w:hint="eastAsia" w:ascii="仿宋_GB2312" w:hAnsi="仿宋_GB2312" w:eastAsia="仿宋_GB2312" w:cs="仿宋_GB2312"/>
        </w:rPr>
        <w:t xml:space="preserve">培训 </w:t>
      </w:r>
    </w:p>
    <w:p w14:paraId="40D3ECFB">
      <w:pPr>
        <w:numPr>
          <w:ilvl w:val="0"/>
          <w:numId w:val="16"/>
        </w:numPr>
        <w:ind w:firstLineChars="0"/>
      </w:pPr>
      <w:r>
        <w:rPr>
          <w:rFonts w:hint="eastAsia"/>
        </w:rPr>
        <w:t>县水务局：举办山洪灾害防御知识宣传培训，提高基层山洪灾害防御责任人的防御意识和专业技能，了解掌握山洪预警及避险流程。</w:t>
      </w:r>
    </w:p>
    <w:p w14:paraId="2F8369D5">
      <w:pPr>
        <w:numPr>
          <w:ilvl w:val="0"/>
          <w:numId w:val="16"/>
        </w:numPr>
        <w:ind w:firstLineChars="0"/>
      </w:pPr>
      <w:r>
        <w:rPr>
          <w:rFonts w:hint="eastAsia"/>
        </w:rPr>
        <w:t>乡镇人民政府：组织（或参加）本级（或县级）山洪灾害防御知识宣传培训，组织危险区人员熟悉转移路线与安置方案，做到出险时驾轻就熟、迅速避险，保障群众生命财产安全，把损失降到最低。</w:t>
      </w:r>
    </w:p>
    <w:p w14:paraId="2BB86138">
      <w:pPr>
        <w:pStyle w:val="4"/>
        <w:numPr>
          <w:ilvl w:val="2"/>
          <w:numId w:val="2"/>
        </w:numPr>
        <w:tabs>
          <w:tab w:val="left" w:pos="0"/>
        </w:tabs>
        <w:rPr>
          <w:rFonts w:ascii="仿宋_GB2312" w:hAnsi="仿宋_GB2312" w:eastAsia="仿宋_GB2312" w:cs="仿宋_GB2312"/>
        </w:rPr>
      </w:pPr>
      <w:r>
        <w:rPr>
          <w:rFonts w:hint="eastAsia" w:ascii="仿宋_GB2312" w:hAnsi="仿宋_GB2312" w:eastAsia="仿宋_GB2312" w:cs="仿宋_GB2312"/>
        </w:rPr>
        <w:t>演练</w:t>
      </w:r>
    </w:p>
    <w:p w14:paraId="335B5957">
      <w:pPr>
        <w:numPr>
          <w:ilvl w:val="0"/>
          <w:numId w:val="17"/>
        </w:numPr>
        <w:ind w:firstLine="632"/>
      </w:pPr>
      <w:r>
        <w:rPr>
          <w:rFonts w:hint="eastAsia"/>
        </w:rPr>
        <w:t>汛前，各乡镇、各包社区部门组织所管辖区内群众开展实战训练，熟悉预警信号、转移路线和安置地点，稳定群众情绪，确保汛期迁安工作顺利进行。</w:t>
      </w:r>
    </w:p>
    <w:p w14:paraId="5A766A29">
      <w:pPr>
        <w:numPr>
          <w:ilvl w:val="0"/>
          <w:numId w:val="17"/>
        </w:numPr>
        <w:ind w:firstLine="632"/>
      </w:pPr>
      <w:r>
        <w:rPr>
          <w:rFonts w:hint="eastAsia"/>
        </w:rPr>
        <w:t>汛前，各乡镇办、各部门应组织一次防汛抢险救灾、山洪灾害抢险实战演练，让全民熟悉和掌握抢险救灾预案的全部过程和内容、灾害发生后转移的路线和安置地点等。</w:t>
      </w:r>
    </w:p>
    <w:p w14:paraId="329D761F">
      <w:pPr>
        <w:numPr>
          <w:ilvl w:val="0"/>
          <w:numId w:val="17"/>
        </w:numPr>
        <w:ind w:firstLine="632"/>
      </w:pPr>
      <w:r>
        <w:rPr>
          <w:rFonts w:hint="eastAsia"/>
        </w:rPr>
        <w:t>演练结束后要专门召开一次总结大会，总结出经验教训；对于在演练中暴露出来的问题和预案的各个环节中还存在的漏洞，要及时地予以纠正和补充，保证预案万无一失，确保灾害发生后预案的迅速启动和顺利实施。</w:t>
      </w:r>
    </w:p>
    <w:p w14:paraId="53E0C90D">
      <w:pPr>
        <w:pStyle w:val="4"/>
        <w:numPr>
          <w:ilvl w:val="2"/>
          <w:numId w:val="2"/>
        </w:numPr>
        <w:tabs>
          <w:tab w:val="left" w:pos="0"/>
        </w:tabs>
        <w:rPr>
          <w:rFonts w:ascii="仿宋_GB2312" w:hAnsi="仿宋_GB2312" w:eastAsia="仿宋_GB2312" w:cs="仿宋_GB2312"/>
        </w:rPr>
      </w:pPr>
      <w:r>
        <w:rPr>
          <w:rFonts w:hint="eastAsia" w:ascii="仿宋_GB2312" w:hAnsi="仿宋_GB2312" w:eastAsia="仿宋_GB2312" w:cs="仿宋_GB2312"/>
        </w:rPr>
        <w:t>纪律保障</w:t>
      </w:r>
    </w:p>
    <w:p w14:paraId="6DAE9428">
      <w:pPr>
        <w:ind w:firstLine="632"/>
      </w:pPr>
      <w:r>
        <w:rPr>
          <w:rFonts w:hint="eastAsia"/>
        </w:rPr>
        <w:t>为及时、有效地实施本预案，特制定相应的工作纪律，以确保各项工作落实到位，在汛期和山洪灾害防御工作中必须严格执行：</w:t>
      </w:r>
    </w:p>
    <w:p w14:paraId="640AFFE0">
      <w:pPr>
        <w:ind w:firstLine="632"/>
      </w:pPr>
      <w:r>
        <w:rPr>
          <w:rFonts w:hint="eastAsia"/>
        </w:rPr>
        <w:t>（1）严格执行防汛纪律。暴雨天气时防汛干部及主要领导未经批准不得离岗外出，对山洪灾害防御工作失职、渎职、脱岗离岗、不听指挥的要追究相应责任，情节严重的追究法律责任。</w:t>
      </w:r>
    </w:p>
    <w:p w14:paraId="3C7F3588">
      <w:pPr>
        <w:ind w:firstLine="632"/>
      </w:pPr>
      <w:r>
        <w:rPr>
          <w:rFonts w:hint="eastAsia"/>
        </w:rPr>
        <w:t>（2）严格遵守防汛值班制度。</w:t>
      </w:r>
    </w:p>
    <w:p w14:paraId="24D413B8">
      <w:pPr>
        <w:ind w:firstLine="632"/>
      </w:pPr>
      <w:r>
        <w:rPr>
          <w:rFonts w:hint="eastAsia"/>
        </w:rPr>
        <w:t>①汛期实行昼夜值班，值班室24小时不离人；</w:t>
      </w:r>
    </w:p>
    <w:p w14:paraId="68C18F7D">
      <w:pPr>
        <w:ind w:firstLine="632"/>
      </w:pPr>
      <w:r>
        <w:rPr>
          <w:rFonts w:hint="eastAsia"/>
        </w:rPr>
        <w:t>②值班人员必须坚守岗位，忠于职守，熟悉业务，及时处理日常事务。严格执行防汛领导带班制度，汛情紧急时，要及时向主要领导报告雨情、水情；</w:t>
      </w:r>
    </w:p>
    <w:p w14:paraId="199101F1">
      <w:pPr>
        <w:ind w:firstLine="632"/>
      </w:pPr>
      <w:r>
        <w:rPr>
          <w:rFonts w:hint="eastAsia"/>
        </w:rPr>
        <w:t>③积极主动抓好信息搜集和整理，认真做好值班记录，全方位掌握情况；</w:t>
      </w:r>
    </w:p>
    <w:p w14:paraId="3D359B9F">
      <w:pPr>
        <w:ind w:firstLine="632"/>
      </w:pPr>
      <w:r>
        <w:rPr>
          <w:rFonts w:hint="eastAsia"/>
        </w:rPr>
        <w:t>④重要情况要及时逐级报告，做到不延时、不误报、不漏报并随时落实和登记处理结果；</w:t>
      </w:r>
    </w:p>
    <w:p w14:paraId="2D0F4511">
      <w:pPr>
        <w:ind w:firstLine="632"/>
      </w:pPr>
      <w:r>
        <w:rPr>
          <w:rFonts w:hint="eastAsia"/>
        </w:rPr>
        <w:t>⑤凡上级指示及重要会议精神的贯彻落实必须在规定时间内按要求上报和下达。</w:t>
      </w:r>
    </w:p>
    <w:p w14:paraId="21D6DCA4">
      <w:pPr>
        <w:ind w:firstLine="632"/>
      </w:pPr>
      <w:r>
        <w:rPr>
          <w:rFonts w:hint="eastAsia"/>
        </w:rPr>
        <w:t>⑥社区干部收到“立即转移”预警信息后，要立即组织社区居民转移避险，转移人员转移要坚决、彻底，镇办要有效督促转移。</w:t>
      </w:r>
    </w:p>
    <w:p w14:paraId="1C354D3A">
      <w:pPr>
        <w:pStyle w:val="2"/>
        <w:numPr>
          <w:ilvl w:val="0"/>
          <w:numId w:val="2"/>
        </w:numPr>
        <w:tabs>
          <w:tab w:val="left" w:pos="0"/>
        </w:tabs>
        <w:rPr>
          <w:sz w:val="32"/>
          <w:szCs w:val="32"/>
        </w:rPr>
      </w:pPr>
      <w:bookmarkStart w:id="209" w:name="_Toc3131"/>
      <w:r>
        <w:rPr>
          <w:sz w:val="32"/>
          <w:szCs w:val="32"/>
        </w:rPr>
        <w:t>善后工作</w:t>
      </w:r>
      <w:bookmarkEnd w:id="209"/>
    </w:p>
    <w:p w14:paraId="46845F13">
      <w:pPr>
        <w:ind w:firstLine="632"/>
      </w:pPr>
      <w:r>
        <w:t>发生</w:t>
      </w:r>
      <w:r>
        <w:rPr>
          <w:rFonts w:hint="eastAsia"/>
        </w:rPr>
        <w:t>山洪灾害</w:t>
      </w:r>
      <w:r>
        <w:t>的地方政府应组织有关部门做好灾区生活供给、卫生防疫、救灾物资供应、治安管理、学校复课、水毁修复、恢复生产、重建家园等善后工作。</w:t>
      </w:r>
    </w:p>
    <w:p w14:paraId="38C45474">
      <w:pPr>
        <w:ind w:firstLine="632"/>
      </w:pPr>
      <w:r>
        <w:t>依照有关紧急防汛期规定，征用调用的物资、设备、交通运输工具和人力等，在应急处置结束后应当及时归还；造成损坏或者无法归还的，按照国务院有关规定给予适当补偿或者作其他处理。取土占地、砍伐林木的，在汛期结束后依法向有关部门补办手续；有关地方人民政府对取土后的土地组织复垦，对砍伐的林木组织补种。</w:t>
      </w:r>
    </w:p>
    <w:p w14:paraId="1CD412D1">
      <w:pPr>
        <w:pStyle w:val="3"/>
      </w:pPr>
      <w:bookmarkStart w:id="210" w:name="_Toc18095"/>
      <w:r>
        <w:t>救灾</w:t>
      </w:r>
      <w:bookmarkEnd w:id="210"/>
    </w:p>
    <w:p w14:paraId="5F0EABA7">
      <w:pPr>
        <w:numPr>
          <w:ilvl w:val="0"/>
          <w:numId w:val="18"/>
        </w:numPr>
        <w:ind w:firstLineChars="0"/>
      </w:pPr>
      <w:r>
        <w:rPr>
          <w:rFonts w:hint="eastAsia"/>
        </w:rPr>
        <w:t>发生重大灾情时，灾区人民政府负责灾害救助的组织、协调和指挥工作。</w:t>
      </w:r>
    </w:p>
    <w:p w14:paraId="1CA7BBB4">
      <w:pPr>
        <w:numPr>
          <w:ilvl w:val="0"/>
          <w:numId w:val="18"/>
        </w:numPr>
        <w:ind w:firstLineChars="0"/>
      </w:pPr>
      <w:r>
        <w:rPr>
          <w:rFonts w:hint="eastAsia"/>
        </w:rPr>
        <w:t>县应急管理局负责受灾群众基本生活救助，会同有关部门及时调拨救灾款物，组织安置受灾群众，保障受灾群众基本生活，组织开展救灾捐赠，保证受灾群众有饭吃、有衣穿、有干净水喝、有临时安全住处、有医疗服务。</w:t>
      </w:r>
    </w:p>
    <w:p w14:paraId="02D22B4D">
      <w:pPr>
        <w:numPr>
          <w:ilvl w:val="0"/>
          <w:numId w:val="18"/>
        </w:numPr>
        <w:ind w:firstLineChars="0"/>
      </w:pPr>
      <w:r>
        <w:rPr>
          <w:rFonts w:hint="eastAsia"/>
        </w:rPr>
        <w:t>县卫生健康局负责调配卫生应急力量，开展灾区伤病人员医疗救治，指导对污染源进行消毒处理，指导落实灾后各项卫生防疫措施，严防灾区传染病疫情发生。</w:t>
      </w:r>
    </w:p>
    <w:p w14:paraId="5044F57C">
      <w:pPr>
        <w:numPr>
          <w:ilvl w:val="0"/>
          <w:numId w:val="18"/>
        </w:numPr>
        <w:ind w:firstLineChars="0"/>
      </w:pPr>
      <w:r>
        <w:rPr>
          <w:rFonts w:hint="eastAsia"/>
        </w:rPr>
        <w:t>县住房和城乡建设局负责做好因灾倒损民房的恢复重建。</w:t>
      </w:r>
    </w:p>
    <w:p w14:paraId="4D62A998">
      <w:pPr>
        <w:numPr>
          <w:ilvl w:val="0"/>
          <w:numId w:val="18"/>
        </w:numPr>
        <w:ind w:firstLineChars="0"/>
      </w:pPr>
      <w:r>
        <w:rPr>
          <w:rFonts w:hint="eastAsia"/>
        </w:rPr>
        <w:t>当地人民政府应组织对可能造成环境污染的污染物进行清除。</w:t>
      </w:r>
    </w:p>
    <w:p w14:paraId="020AC882">
      <w:pPr>
        <w:pStyle w:val="3"/>
      </w:pPr>
      <w:bookmarkStart w:id="211" w:name="_Toc10186"/>
      <w:r>
        <w:t>防汛物资补充</w:t>
      </w:r>
      <w:bookmarkEnd w:id="211"/>
    </w:p>
    <w:p w14:paraId="76C2C161">
      <w:pPr>
        <w:numPr>
          <w:ilvl w:val="0"/>
          <w:numId w:val="19"/>
        </w:numPr>
        <w:ind w:firstLine="632"/>
      </w:pPr>
      <w:r>
        <w:rPr>
          <w:rFonts w:hint="eastAsia"/>
        </w:rPr>
        <w:t>各镇根据县防汛抗旱指挥部下达的防汛物资储备最低限额，参照相关内容及方式储备防汛物资，建立物资统计清单，并编号储备，确保“用时有、能找到”。</w:t>
      </w:r>
    </w:p>
    <w:p w14:paraId="12124152">
      <w:pPr>
        <w:numPr>
          <w:ilvl w:val="0"/>
          <w:numId w:val="19"/>
        </w:numPr>
        <w:ind w:firstLine="632"/>
      </w:pPr>
      <w:r>
        <w:rPr>
          <w:rFonts w:hint="eastAsia"/>
        </w:rPr>
        <w:t>汛期物资储备要保证最低保险储量。当因灾使用减少时，责任单位要随时补充，不得低于保险储量。</w:t>
      </w:r>
    </w:p>
    <w:p w14:paraId="584EF0C5">
      <w:pPr>
        <w:numPr>
          <w:ilvl w:val="0"/>
          <w:numId w:val="19"/>
        </w:numPr>
        <w:ind w:firstLine="632"/>
      </w:pPr>
      <w:r>
        <w:rPr>
          <w:rFonts w:hint="eastAsia"/>
        </w:rPr>
        <w:t>物资使用与管理。由县、乡镇防办会同责任单位签订物资储备合同，共同制定具体管理办法，并由专人负责管理。</w:t>
      </w:r>
    </w:p>
    <w:p w14:paraId="317FFA4C">
      <w:pPr>
        <w:pStyle w:val="3"/>
      </w:pPr>
      <w:bookmarkStart w:id="212" w:name="_Toc383"/>
      <w:r>
        <w:t>水毁工程修复</w:t>
      </w:r>
      <w:bookmarkEnd w:id="212"/>
    </w:p>
    <w:p w14:paraId="71F4325B">
      <w:pPr>
        <w:ind w:firstLine="632"/>
      </w:pPr>
      <w:r>
        <w:rPr>
          <w:rFonts w:hint="eastAsia"/>
        </w:rPr>
        <w:t>水毁水利设施的修复，按照轻重缓急，制定落实修复计划，确保在下次洪水来临前恢复防汛功能。</w:t>
      </w:r>
    </w:p>
    <w:p w14:paraId="73F529A5">
      <w:pPr>
        <w:pStyle w:val="3"/>
      </w:pPr>
      <w:bookmarkStart w:id="213" w:name="_Toc12800"/>
      <w:r>
        <w:t>灾后重建</w:t>
      </w:r>
      <w:bookmarkEnd w:id="213"/>
    </w:p>
    <w:p w14:paraId="37573370">
      <w:pPr>
        <w:numPr>
          <w:ilvl w:val="0"/>
          <w:numId w:val="20"/>
        </w:numPr>
        <w:ind w:firstLine="632"/>
      </w:pPr>
      <w:r>
        <w:rPr>
          <w:rFonts w:hint="eastAsia"/>
        </w:rPr>
        <w:t>电力设施抢修。由国网供电集贤分公司负责。受灾较轻的区域，原则上12小时内恢复供电；受灾较为严重、抢修任务较重的区域，确保48小时内全面恢复供电。</w:t>
      </w:r>
    </w:p>
    <w:p w14:paraId="1D42D7D4">
      <w:pPr>
        <w:numPr>
          <w:ilvl w:val="0"/>
          <w:numId w:val="20"/>
        </w:numPr>
        <w:ind w:firstLine="632"/>
      </w:pPr>
      <w:r>
        <w:rPr>
          <w:rFonts w:hint="eastAsia"/>
        </w:rPr>
        <w:t>供水设施抢修。由县水务局牵头，灾害发生镇配合。受灾较轻的区域，原则上12小时内恢复供水；受灾较为严重、抢修任务较重的区域，力争在24小时恢复供水。</w:t>
      </w:r>
    </w:p>
    <w:p w14:paraId="73E46328">
      <w:pPr>
        <w:numPr>
          <w:ilvl w:val="0"/>
          <w:numId w:val="20"/>
        </w:numPr>
        <w:ind w:firstLine="632"/>
      </w:pPr>
      <w:r>
        <w:rPr>
          <w:rFonts w:hint="eastAsia"/>
        </w:rPr>
        <w:t>通讯设施抢修。由各通信运营单位负责。受灾较轻的区域，原则上12小时内恢复通信；受灾较为严重、抢修任务较重的区域，力争在24小时内实现通讯畅通。</w:t>
      </w:r>
    </w:p>
    <w:p w14:paraId="50EAA00B">
      <w:pPr>
        <w:numPr>
          <w:ilvl w:val="0"/>
          <w:numId w:val="20"/>
        </w:numPr>
        <w:ind w:firstLine="632"/>
      </w:pPr>
      <w:r>
        <w:rPr>
          <w:rFonts w:hint="eastAsia"/>
        </w:rPr>
        <w:t>道路抢通。县、镇、社区三级道路由县交通运输局牵头，灾害发生乡镇配合。受灾较轻的区域，原则上12小时内恢复交通；受灾较为严重、抢修任务较重的区域，通社区便道力争在受灾当天抢通，主要道路力争在5天内全面恢复通车。</w:t>
      </w:r>
    </w:p>
    <w:p w14:paraId="6EB293DC">
      <w:pPr>
        <w:pStyle w:val="3"/>
      </w:pPr>
      <w:bookmarkStart w:id="214" w:name="_Toc2447"/>
      <w:r>
        <w:rPr>
          <w:rFonts w:hint="eastAsia"/>
        </w:rPr>
        <w:t>山洪灾害防御工作</w:t>
      </w:r>
      <w:r>
        <w:t>评价与灾害评估</w:t>
      </w:r>
      <w:bookmarkEnd w:id="214"/>
    </w:p>
    <w:p w14:paraId="1A59D281">
      <w:pPr>
        <w:ind w:firstLine="632"/>
        <w:rPr>
          <w:rFonts w:ascii="仿宋_GB2312" w:hAnsi="仿宋_GB2312" w:cs="仿宋_GB2312"/>
        </w:rPr>
      </w:pPr>
      <w:r>
        <w:rPr>
          <w:rFonts w:hint="eastAsia" w:ascii="仿宋_GB2312" w:hAnsi="仿宋_GB2312" w:cs="仿宋_GB2312"/>
        </w:rPr>
        <w:t>（1）重大灾害发生后，县防指组织有关单位和专家对灾害防御工作进行复盘评估，分析原因，总结经验。总结情况要及时报上一级防指。</w:t>
      </w:r>
    </w:p>
    <w:p w14:paraId="387CD2B9">
      <w:pPr>
        <w:ind w:firstLine="632"/>
        <w:rPr>
          <w:color w:val="FF0000"/>
          <w:highlight w:val="yellow"/>
        </w:rPr>
      </w:pPr>
      <w:r>
        <w:rPr>
          <w:rFonts w:hint="eastAsia" w:ascii="仿宋_GB2312" w:hAnsi="仿宋_GB2312" w:cs="仿宋_GB2312"/>
        </w:rPr>
        <w:t>（2）县应急管理部门按照有关规定组织开展一般山洪灾害调查评估工作。</w:t>
      </w:r>
    </w:p>
    <w:p w14:paraId="32D007D5">
      <w:pPr>
        <w:pStyle w:val="2"/>
        <w:numPr>
          <w:ilvl w:val="0"/>
          <w:numId w:val="2"/>
        </w:numPr>
        <w:tabs>
          <w:tab w:val="left" w:pos="0"/>
        </w:tabs>
        <w:rPr>
          <w:sz w:val="32"/>
          <w:szCs w:val="32"/>
        </w:rPr>
      </w:pPr>
      <w:bookmarkStart w:id="215" w:name="_Toc8671"/>
      <w:r>
        <w:rPr>
          <w:sz w:val="32"/>
          <w:szCs w:val="32"/>
        </w:rPr>
        <w:t>附则</w:t>
      </w:r>
      <w:bookmarkEnd w:id="215"/>
    </w:p>
    <w:p w14:paraId="3061FAB2">
      <w:pPr>
        <w:pStyle w:val="3"/>
      </w:pPr>
      <w:bookmarkStart w:id="216" w:name="_Toc11621"/>
      <w:r>
        <w:t>预案更新</w:t>
      </w:r>
      <w:bookmarkEnd w:id="216"/>
    </w:p>
    <w:p w14:paraId="5250B681">
      <w:pPr>
        <w:ind w:firstLine="632"/>
        <w:rPr>
          <w:rFonts w:ascii="仿宋_GB2312" w:hAnsi="仿宋_GB2312" w:cs="仿宋_GB2312"/>
        </w:rPr>
      </w:pPr>
      <w:r>
        <w:rPr>
          <w:rFonts w:hint="eastAsia" w:ascii="仿宋_GB2312" w:hAnsi="仿宋_GB2312" w:cs="仿宋_GB2312"/>
        </w:rPr>
        <w:t>县防指负责组织对预案进行评估，原则上每5年对本预案评审一次，并按程序进行修订。各乡镇防指可以根据本预案制定本地区和重点工程的防汛应急预案，不得与本预案相矛盾或抵触。县防指成员单位应在本应急预案印发90日内上报本单位配套的部门防汛应急预案（方案），每年汛期前更新后，及时上报县防办备案。</w:t>
      </w:r>
    </w:p>
    <w:p w14:paraId="53E09B43">
      <w:pPr>
        <w:ind w:firstLine="632"/>
        <w:rPr>
          <w:rFonts w:ascii="仿宋_GB2312" w:hAnsi="仿宋_GB2312" w:cs="仿宋_GB2312"/>
        </w:rPr>
      </w:pPr>
      <w:r>
        <w:rPr>
          <w:rFonts w:hint="eastAsia" w:ascii="仿宋_GB2312" w:hAnsi="仿宋_GB2312" w:cs="仿宋_GB2312"/>
        </w:rPr>
        <w:t>本预案有下列情形之一的，应当及时修订：</w:t>
      </w:r>
    </w:p>
    <w:p w14:paraId="15E511CE">
      <w:pPr>
        <w:numPr>
          <w:ilvl w:val="0"/>
          <w:numId w:val="21"/>
        </w:numPr>
        <w:ind w:firstLineChars="0"/>
        <w:rPr>
          <w:rFonts w:ascii="仿宋_GB2312" w:hAnsi="仿宋_GB2312" w:cs="仿宋_GB2312"/>
        </w:rPr>
      </w:pPr>
      <w:r>
        <w:rPr>
          <w:rFonts w:hint="eastAsia" w:ascii="仿宋_GB2312" w:hAnsi="仿宋_GB2312" w:cs="仿宋_GB2312"/>
        </w:rPr>
        <w:t>有关法律、行政法规、规章、标准、上位预案中的有关规定发生变化的。</w:t>
      </w:r>
    </w:p>
    <w:p w14:paraId="05983512">
      <w:pPr>
        <w:numPr>
          <w:ilvl w:val="0"/>
          <w:numId w:val="21"/>
        </w:numPr>
        <w:ind w:firstLineChars="0"/>
        <w:rPr>
          <w:rFonts w:ascii="仿宋_GB2312" w:hAnsi="仿宋_GB2312" w:cs="仿宋_GB2312"/>
        </w:rPr>
      </w:pPr>
      <w:r>
        <w:rPr>
          <w:rFonts w:hint="eastAsia" w:ascii="仿宋_GB2312" w:hAnsi="仿宋_GB2312" w:cs="仿宋_GB2312"/>
        </w:rPr>
        <w:t>应急指挥机构及其职责发生重大调整的。</w:t>
      </w:r>
    </w:p>
    <w:p w14:paraId="729C0102">
      <w:pPr>
        <w:numPr>
          <w:ilvl w:val="0"/>
          <w:numId w:val="21"/>
        </w:numPr>
        <w:ind w:firstLineChars="0"/>
        <w:rPr>
          <w:rFonts w:ascii="仿宋_GB2312" w:hAnsi="仿宋_GB2312" w:cs="仿宋_GB2312"/>
        </w:rPr>
      </w:pPr>
      <w:r>
        <w:rPr>
          <w:rFonts w:hint="eastAsia" w:ascii="仿宋_GB2312" w:hAnsi="仿宋_GB2312" w:cs="仿宋_GB2312"/>
        </w:rPr>
        <w:t>面临的风险发生重大变化的。</w:t>
      </w:r>
    </w:p>
    <w:p w14:paraId="6A778D44">
      <w:pPr>
        <w:numPr>
          <w:ilvl w:val="0"/>
          <w:numId w:val="21"/>
        </w:numPr>
        <w:ind w:firstLineChars="0"/>
        <w:rPr>
          <w:rFonts w:ascii="仿宋_GB2312" w:hAnsi="仿宋_GB2312" w:cs="仿宋_GB2312"/>
        </w:rPr>
      </w:pPr>
      <w:r>
        <w:rPr>
          <w:rFonts w:hint="eastAsia" w:ascii="仿宋_GB2312" w:hAnsi="仿宋_GB2312" w:cs="仿宋_GB2312"/>
        </w:rPr>
        <w:t>重要应急资源发生重大变化的。</w:t>
      </w:r>
    </w:p>
    <w:p w14:paraId="4492F64F">
      <w:pPr>
        <w:numPr>
          <w:ilvl w:val="0"/>
          <w:numId w:val="21"/>
        </w:numPr>
        <w:ind w:firstLineChars="0"/>
        <w:rPr>
          <w:rFonts w:ascii="仿宋_GB2312" w:hAnsi="仿宋_GB2312" w:cs="仿宋_GB2312"/>
        </w:rPr>
      </w:pPr>
      <w:r>
        <w:rPr>
          <w:rFonts w:hint="eastAsia" w:ascii="仿宋_GB2312" w:hAnsi="仿宋_GB2312" w:cs="仿宋_GB2312"/>
        </w:rPr>
        <w:t>预案中的其他重要信息发生变化的。</w:t>
      </w:r>
    </w:p>
    <w:p w14:paraId="04CF4AF2">
      <w:pPr>
        <w:numPr>
          <w:ilvl w:val="0"/>
          <w:numId w:val="21"/>
        </w:numPr>
        <w:ind w:firstLineChars="0"/>
        <w:rPr>
          <w:rFonts w:ascii="仿宋_GB2312" w:hAnsi="仿宋_GB2312" w:cs="仿宋_GB2312"/>
        </w:rPr>
      </w:pPr>
      <w:r>
        <w:rPr>
          <w:rFonts w:hint="eastAsia" w:ascii="仿宋_GB2312" w:hAnsi="仿宋_GB2312" w:cs="仿宋_GB2312"/>
        </w:rPr>
        <w:t>在突发事件实际应对和应急演练中发现问题需要做出重大调整的。</w:t>
      </w:r>
    </w:p>
    <w:p w14:paraId="17B8A096">
      <w:pPr>
        <w:numPr>
          <w:ilvl w:val="0"/>
          <w:numId w:val="21"/>
        </w:numPr>
        <w:ind w:firstLineChars="0"/>
      </w:pPr>
      <w:r>
        <w:rPr>
          <w:rFonts w:hint="eastAsia" w:ascii="仿宋_GB2312" w:hAnsi="仿宋_GB2312" w:cs="仿宋_GB2312"/>
        </w:rPr>
        <w:t>应急预案制定单位认为应当修订的其他情况。</w:t>
      </w:r>
    </w:p>
    <w:p w14:paraId="3FCEDCCF">
      <w:pPr>
        <w:pStyle w:val="3"/>
      </w:pPr>
      <w:bookmarkStart w:id="217" w:name="_Toc14622"/>
      <w:r>
        <w:t>奖励与责任追究</w:t>
      </w:r>
      <w:bookmarkEnd w:id="217"/>
    </w:p>
    <w:p w14:paraId="2A835795">
      <w:pPr>
        <w:ind w:firstLine="632"/>
      </w:pPr>
      <w:r>
        <w:t>对防汛抢险救灾工作作出突出贡献的先进集体和个人按规定给予表彰和奖励；对防汛抢险救灾工作中英勇献身的人员，按有关规定追认为烈士；对防汛抢险救灾工作中致伤致残的人员，按有关规定给予工作生活照顾。对危害防汛抢险救灾工作的，视情节和危害后果，依法追究当事人的责任，构成犯罪的，依法追究其刑事责任。</w:t>
      </w:r>
    </w:p>
    <w:p w14:paraId="3AE3A0EB">
      <w:pPr>
        <w:pStyle w:val="3"/>
        <w:tabs>
          <w:tab w:val="left" w:pos="0"/>
        </w:tabs>
        <w:rPr>
          <w:rFonts w:ascii="Times New Roman" w:hAnsi="Times New Roman"/>
          <w:szCs w:val="32"/>
        </w:rPr>
      </w:pPr>
      <w:bookmarkStart w:id="218" w:name="_Toc20642"/>
      <w:bookmarkStart w:id="219" w:name="_Toc18435"/>
      <w:r>
        <w:rPr>
          <w:rFonts w:hint="eastAsia" w:ascii="Times New Roman" w:hAnsi="Times New Roman"/>
          <w:szCs w:val="32"/>
        </w:rPr>
        <w:t>预案制定与</w:t>
      </w:r>
      <w:bookmarkEnd w:id="218"/>
      <w:r>
        <w:rPr>
          <w:rFonts w:hint="eastAsia" w:ascii="Times New Roman" w:hAnsi="Times New Roman"/>
          <w:szCs w:val="32"/>
        </w:rPr>
        <w:t>解释</w:t>
      </w:r>
      <w:bookmarkEnd w:id="219"/>
    </w:p>
    <w:p w14:paraId="2327839B">
      <w:pPr>
        <w:ind w:firstLine="632"/>
        <w:rPr>
          <w:rFonts w:ascii="Times New Roman" w:hAnsi="Times New Roman"/>
        </w:rPr>
      </w:pPr>
      <w:r>
        <w:rPr>
          <w:rFonts w:hint="eastAsia" w:ascii="Times New Roman" w:hAnsi="Times New Roman"/>
        </w:rPr>
        <w:t>本预案由集贤县人民政府负责制定，预案修订与解释工作由集贤县防汛抗旱指挥部办公室具体负责。</w:t>
      </w:r>
    </w:p>
    <w:p w14:paraId="345F2E73">
      <w:pPr>
        <w:pStyle w:val="3"/>
        <w:tabs>
          <w:tab w:val="left" w:pos="0"/>
        </w:tabs>
        <w:rPr>
          <w:rFonts w:ascii="Times New Roman" w:hAnsi="Times New Roman"/>
          <w:szCs w:val="32"/>
        </w:rPr>
      </w:pPr>
      <w:bookmarkStart w:id="220" w:name="_Toc12796"/>
      <w:bookmarkStart w:id="221" w:name="_Toc3668"/>
      <w:r>
        <w:rPr>
          <w:rFonts w:hint="eastAsia" w:ascii="Times New Roman" w:hAnsi="Times New Roman"/>
          <w:szCs w:val="32"/>
        </w:rPr>
        <w:t>预案中“以上”“以下”的含义</w:t>
      </w:r>
      <w:bookmarkEnd w:id="220"/>
      <w:bookmarkEnd w:id="221"/>
    </w:p>
    <w:p w14:paraId="4694801E">
      <w:pPr>
        <w:ind w:firstLine="632"/>
        <w:rPr>
          <w:rFonts w:ascii="Times New Roman" w:hAnsi="Times New Roman"/>
        </w:rPr>
      </w:pPr>
      <w:r>
        <w:rPr>
          <w:rFonts w:hint="eastAsia" w:ascii="Times New Roman" w:hAnsi="Times New Roman"/>
        </w:rPr>
        <w:t>本预案有关数量的表述中，“以上”包含本数，“以下”不包含本数。</w:t>
      </w:r>
    </w:p>
    <w:p w14:paraId="6689A694">
      <w:pPr>
        <w:pStyle w:val="3"/>
        <w:tabs>
          <w:tab w:val="left" w:pos="0"/>
        </w:tabs>
        <w:rPr>
          <w:rFonts w:ascii="Times New Roman" w:hAnsi="Times New Roman"/>
          <w:szCs w:val="32"/>
        </w:rPr>
      </w:pPr>
      <w:bookmarkStart w:id="222" w:name="_Toc1751"/>
      <w:bookmarkStart w:id="223" w:name="_Toc26890"/>
      <w:r>
        <w:rPr>
          <w:rFonts w:hint="eastAsia" w:ascii="Times New Roman" w:hAnsi="Times New Roman"/>
          <w:szCs w:val="32"/>
        </w:rPr>
        <w:t>预案的实施</w:t>
      </w:r>
      <w:bookmarkEnd w:id="222"/>
      <w:bookmarkEnd w:id="223"/>
    </w:p>
    <w:p w14:paraId="07BE55B5">
      <w:pPr>
        <w:ind w:firstLine="632"/>
      </w:pPr>
      <w:r>
        <w:rPr>
          <w:rFonts w:hint="eastAsia" w:ascii="Times New Roman" w:hAnsi="Times New Roman"/>
        </w:rPr>
        <w:t>本预案自发布之日起施行。</w:t>
      </w:r>
    </w:p>
    <w:p w14:paraId="5C2DE949">
      <w:pPr>
        <w:pStyle w:val="15"/>
        <w:ind w:left="0" w:leftChars="0" w:firstLine="0" w:firstLineChars="0"/>
        <w:rPr>
          <w:rFonts w:ascii="Times New Roman" w:hAnsi="Times New Roman" w:cs="Times New Roman"/>
        </w:rPr>
        <w:sectPr>
          <w:footerReference r:id="rId12" w:type="default"/>
          <w:pgSz w:w="11906" w:h="16838"/>
          <w:pgMar w:top="2098" w:right="1474" w:bottom="1984" w:left="1587" w:header="624" w:footer="1134" w:gutter="0"/>
          <w:cols w:space="720" w:num="1"/>
          <w:docGrid w:type="linesAndChars" w:linePitch="579" w:charSpace="-842"/>
        </w:sectPr>
      </w:pPr>
    </w:p>
    <w:p w14:paraId="2DE024BE">
      <w:pPr>
        <w:pStyle w:val="11"/>
        <w:ind w:firstLine="632"/>
      </w:pPr>
      <w:r>
        <w:rPr>
          <w:rFonts w:hint="eastAsia"/>
        </w:rPr>
        <w:t xml:space="preserve"> </w:t>
      </w:r>
    </w:p>
    <w:p w14:paraId="27F87667">
      <w:pPr>
        <w:ind w:firstLine="0" w:firstLineChars="0"/>
        <w:jc w:val="center"/>
        <w:rPr>
          <w:sz w:val="36"/>
          <w:szCs w:val="36"/>
        </w:rPr>
      </w:pPr>
    </w:p>
    <w:p w14:paraId="10419EE8">
      <w:pPr>
        <w:pStyle w:val="42"/>
      </w:pPr>
    </w:p>
    <w:p w14:paraId="02A6F9BA">
      <w:pPr>
        <w:autoSpaceDE w:val="0"/>
        <w:autoSpaceDN w:val="0"/>
        <w:adjustRightInd w:val="0"/>
        <w:spacing w:line="240" w:lineRule="atLeast"/>
        <w:ind w:firstLine="0" w:firstLineChars="0"/>
        <w:jc w:val="center"/>
        <w:rPr>
          <w:rFonts w:ascii="方正小标宋简体" w:hAnsi="方正小标宋简体" w:eastAsia="方正小标宋简体" w:cs="方正小标宋简体"/>
          <w:bCs/>
          <w:color w:val="000000"/>
          <w:spacing w:val="-6"/>
          <w:kern w:val="0"/>
          <w:sz w:val="52"/>
          <w:szCs w:val="52"/>
          <w:lang w:bidi="ar"/>
        </w:rPr>
      </w:pPr>
      <w:r>
        <w:rPr>
          <w:rFonts w:hint="eastAsia" w:ascii="方正小标宋简体" w:hAnsi="方正小标宋简体" w:eastAsia="方正小标宋简体" w:cs="方正小标宋简体"/>
          <w:bCs/>
          <w:color w:val="000000"/>
          <w:spacing w:val="-6"/>
          <w:kern w:val="0"/>
          <w:sz w:val="52"/>
          <w:szCs w:val="52"/>
          <w:lang w:bidi="ar"/>
        </w:rPr>
        <w:t>集贤县防汛应急预案</w:t>
      </w:r>
    </w:p>
    <w:p w14:paraId="45107FF6">
      <w:pPr>
        <w:pStyle w:val="11"/>
        <w:ind w:firstLine="0" w:firstLineChars="0"/>
        <w:jc w:val="center"/>
        <w:rPr>
          <w:rFonts w:ascii="Times New Roman" w:hAnsi="Times New Roman" w:eastAsia="楷体_GB2312" w:cs="Times New Roman"/>
          <w:b/>
          <w:sz w:val="52"/>
          <w:szCs w:val="52"/>
        </w:rPr>
      </w:pPr>
      <w:r>
        <w:rPr>
          <w:rFonts w:hint="eastAsia" w:ascii="仿宋_GB2312" w:hAnsi="仿宋_GB2312" w:cs="仿宋_GB2312"/>
          <w:bCs/>
          <w:sz w:val="48"/>
          <w:szCs w:val="48"/>
        </w:rPr>
        <w:t>（修订稿）</w:t>
      </w:r>
    </w:p>
    <w:p w14:paraId="7F4D2115">
      <w:pPr>
        <w:ind w:firstLine="632"/>
      </w:pPr>
    </w:p>
    <w:p w14:paraId="4531794E">
      <w:pPr>
        <w:ind w:firstLine="632"/>
      </w:pPr>
    </w:p>
    <w:p w14:paraId="06908A2C">
      <w:pPr>
        <w:ind w:firstLine="632"/>
      </w:pPr>
    </w:p>
    <w:p w14:paraId="25EEDC38">
      <w:pPr>
        <w:ind w:firstLine="632"/>
      </w:pPr>
    </w:p>
    <w:p w14:paraId="46209F8B">
      <w:pPr>
        <w:pStyle w:val="11"/>
        <w:ind w:firstLine="632"/>
      </w:pPr>
    </w:p>
    <w:p w14:paraId="05888C3E">
      <w:pPr>
        <w:pStyle w:val="11"/>
        <w:ind w:firstLine="632"/>
      </w:pPr>
    </w:p>
    <w:p w14:paraId="57765E9B">
      <w:pPr>
        <w:pStyle w:val="11"/>
        <w:ind w:firstLine="632"/>
      </w:pPr>
    </w:p>
    <w:p w14:paraId="0019C9C4">
      <w:pPr>
        <w:pStyle w:val="11"/>
        <w:ind w:firstLine="632"/>
      </w:pPr>
    </w:p>
    <w:p w14:paraId="3C29C7BB">
      <w:pPr>
        <w:ind w:firstLine="632"/>
      </w:pPr>
    </w:p>
    <w:p w14:paraId="7AC2C9AB">
      <w:pPr>
        <w:ind w:firstLine="632"/>
      </w:pPr>
    </w:p>
    <w:p w14:paraId="75FD35CE">
      <w:pPr>
        <w:pStyle w:val="42"/>
      </w:pPr>
    </w:p>
    <w:p w14:paraId="2E6C47B1">
      <w:pPr>
        <w:pStyle w:val="42"/>
      </w:pPr>
    </w:p>
    <w:p w14:paraId="09A5F306">
      <w:pPr>
        <w:ind w:firstLine="632"/>
      </w:pPr>
    </w:p>
    <w:p w14:paraId="4C9D7D6A">
      <w:pPr>
        <w:ind w:firstLine="0" w:firstLineChars="0"/>
        <w:jc w:val="center"/>
        <w:rPr>
          <w:rFonts w:eastAsia="仿宋"/>
          <w:bCs/>
          <w:spacing w:val="-6"/>
          <w:sz w:val="36"/>
          <w:szCs w:val="24"/>
          <w:lang w:bidi="ar"/>
        </w:rPr>
      </w:pPr>
      <w:r>
        <w:rPr>
          <w:rFonts w:hint="eastAsia"/>
          <w:bCs/>
          <w:spacing w:val="-6"/>
          <w:sz w:val="36"/>
          <w:szCs w:val="24"/>
          <w:lang w:bidi="ar"/>
        </w:rPr>
        <w:t>集贤县</w:t>
      </w:r>
      <w:r>
        <w:rPr>
          <w:rFonts w:hint="eastAsia" w:eastAsia="仿宋"/>
          <w:bCs/>
          <w:spacing w:val="-6"/>
          <w:sz w:val="36"/>
          <w:szCs w:val="24"/>
          <w:lang w:bidi="ar"/>
        </w:rPr>
        <w:t>人民政府</w:t>
      </w:r>
      <w:r>
        <w:rPr>
          <w:rFonts w:hint="eastAsia"/>
          <w:bCs/>
          <w:spacing w:val="-6"/>
          <w:sz w:val="36"/>
          <w:szCs w:val="24"/>
          <w:lang w:bidi="ar"/>
        </w:rPr>
        <w:t xml:space="preserve"> </w:t>
      </w:r>
      <w:r>
        <w:rPr>
          <w:rFonts w:hint="eastAsia" w:eastAsia="仿宋"/>
          <w:bCs/>
          <w:spacing w:val="-6"/>
          <w:sz w:val="36"/>
          <w:szCs w:val="24"/>
          <w:lang w:bidi="ar"/>
        </w:rPr>
        <w:t>编制</w:t>
      </w:r>
    </w:p>
    <w:p w14:paraId="1797E844">
      <w:pPr>
        <w:ind w:firstLine="0" w:firstLineChars="0"/>
        <w:jc w:val="center"/>
        <w:rPr>
          <w:rFonts w:eastAsia="仿宋"/>
          <w:bCs/>
          <w:spacing w:val="-6"/>
          <w:sz w:val="36"/>
          <w:szCs w:val="24"/>
          <w:lang w:bidi="ar"/>
        </w:rPr>
      </w:pPr>
      <w:r>
        <w:rPr>
          <w:rFonts w:hint="eastAsia" w:eastAsia="仿宋"/>
          <w:bCs/>
          <w:spacing w:val="-6"/>
          <w:sz w:val="36"/>
          <w:szCs w:val="24"/>
          <w:lang w:bidi="ar"/>
        </w:rPr>
        <w:t>202</w:t>
      </w:r>
      <w:r>
        <w:rPr>
          <w:bCs/>
          <w:spacing w:val="-6"/>
          <w:sz w:val="36"/>
          <w:szCs w:val="24"/>
          <w:lang w:bidi="ar"/>
        </w:rPr>
        <w:t>5</w:t>
      </w:r>
      <w:r>
        <w:rPr>
          <w:rFonts w:hint="eastAsia" w:eastAsia="仿宋"/>
          <w:bCs/>
          <w:spacing w:val="-6"/>
          <w:sz w:val="36"/>
          <w:szCs w:val="24"/>
          <w:lang w:bidi="ar"/>
        </w:rPr>
        <w:t>年</w:t>
      </w:r>
      <w:r>
        <w:rPr>
          <w:rFonts w:eastAsia="仿宋"/>
          <w:bCs/>
          <w:spacing w:val="-6"/>
          <w:sz w:val="36"/>
          <w:szCs w:val="24"/>
          <w:lang w:bidi="ar"/>
        </w:rPr>
        <w:t>5</w:t>
      </w:r>
      <w:r>
        <w:rPr>
          <w:rFonts w:hint="eastAsia" w:eastAsia="仿宋"/>
          <w:bCs/>
          <w:spacing w:val="-6"/>
          <w:sz w:val="36"/>
          <w:szCs w:val="24"/>
          <w:lang w:bidi="ar"/>
        </w:rPr>
        <w:t>月</w:t>
      </w:r>
    </w:p>
    <w:p w14:paraId="3730D149">
      <w:pPr>
        <w:ind w:firstLine="0" w:firstLineChars="0"/>
        <w:sectPr>
          <w:footerReference r:id="rId13" w:type="default"/>
          <w:pgSz w:w="11906" w:h="16838"/>
          <w:pgMar w:top="2098" w:right="1474" w:bottom="1984" w:left="1587" w:header="1814" w:footer="1587" w:gutter="0"/>
          <w:pgNumType w:fmt="numberInDash"/>
          <w:cols w:space="720" w:num="1"/>
          <w:docGrid w:type="linesAndChars" w:linePitch="579" w:charSpace="-842"/>
        </w:sectPr>
      </w:pPr>
      <w:r>
        <w:rPr>
          <w:rFonts w:hint="eastAsia"/>
        </w:rPr>
        <w:br w:type="page"/>
      </w:r>
    </w:p>
    <w:p w14:paraId="7451CB16">
      <w:pPr>
        <w:ind w:firstLine="0" w:firstLineChars="0"/>
        <w:jc w:val="center"/>
        <w:rPr>
          <w:rFonts w:ascii="微软雅黑" w:hAnsi="微软雅黑" w:eastAsia="微软雅黑" w:cs="微软雅黑"/>
          <w:b/>
          <w:bCs/>
          <w:sz w:val="36"/>
          <w:szCs w:val="36"/>
        </w:rPr>
      </w:pPr>
      <w:r>
        <w:rPr>
          <w:rFonts w:hint="eastAsia" w:ascii="微软雅黑" w:hAnsi="微软雅黑" w:eastAsia="微软雅黑" w:cs="微软雅黑"/>
          <w:b/>
          <w:bCs/>
          <w:sz w:val="36"/>
          <w:szCs w:val="36"/>
        </w:rPr>
        <w:t>目  录</w:t>
      </w:r>
    </w:p>
    <w:p w14:paraId="2027EB53">
      <w:pPr>
        <w:pStyle w:val="18"/>
      </w:pPr>
      <w:r>
        <w:rPr>
          <w:rFonts w:hint="eastAsia" w:ascii="黑体" w:hAnsi="黑体" w:eastAsia="黑体" w:cs="黑体"/>
          <w:sz w:val="44"/>
          <w:szCs w:val="44"/>
        </w:rPr>
        <w:fldChar w:fldCharType="begin"/>
      </w:r>
      <w:r>
        <w:rPr>
          <w:rFonts w:hint="eastAsia" w:ascii="黑体" w:hAnsi="黑体" w:eastAsia="黑体" w:cs="黑体"/>
          <w:sz w:val="44"/>
          <w:szCs w:val="44"/>
        </w:rPr>
        <w:instrText xml:space="preserve">TOC \o "1-2" \h \u </w:instrText>
      </w:r>
      <w:r>
        <w:rPr>
          <w:rFonts w:hint="eastAsia" w:ascii="黑体" w:hAnsi="黑体" w:eastAsia="黑体" w:cs="黑体"/>
          <w:sz w:val="44"/>
          <w:szCs w:val="44"/>
        </w:rPr>
        <w:fldChar w:fldCharType="separate"/>
      </w:r>
      <w:r>
        <w:fldChar w:fldCharType="begin"/>
      </w:r>
      <w:r>
        <w:instrText xml:space="preserve"> HYPERLINK \l "_Toc14275" </w:instrText>
      </w:r>
      <w:r>
        <w:fldChar w:fldCharType="separate"/>
      </w:r>
      <w:r>
        <w:rPr>
          <w:rFonts w:eastAsia="仿宋"/>
        </w:rPr>
        <w:t xml:space="preserve">1 </w:t>
      </w:r>
      <w:r>
        <w:rPr>
          <w:rFonts w:hint="eastAsia"/>
        </w:rPr>
        <w:t>总则</w:t>
      </w:r>
      <w:r>
        <w:tab/>
      </w:r>
      <w:r>
        <w:fldChar w:fldCharType="begin"/>
      </w:r>
      <w:r>
        <w:instrText xml:space="preserve"> PAGEREF _Toc14275 \h </w:instrText>
      </w:r>
      <w:r>
        <w:fldChar w:fldCharType="separate"/>
      </w:r>
      <w:r>
        <w:t>1</w:t>
      </w:r>
      <w:r>
        <w:fldChar w:fldCharType="end"/>
      </w:r>
      <w:r>
        <w:fldChar w:fldCharType="end"/>
      </w:r>
    </w:p>
    <w:p w14:paraId="2E7E8E9B">
      <w:pPr>
        <w:pStyle w:val="19"/>
        <w:tabs>
          <w:tab w:val="right" w:leader="dot" w:pos="8845"/>
        </w:tabs>
        <w:ind w:firstLine="632"/>
      </w:pPr>
      <w:r>
        <w:fldChar w:fldCharType="begin"/>
      </w:r>
      <w:r>
        <w:instrText xml:space="preserve"> HYPERLINK \l "_Toc27077" </w:instrText>
      </w:r>
      <w:r>
        <w:fldChar w:fldCharType="separate"/>
      </w:r>
      <w:r>
        <w:rPr>
          <w:rFonts w:eastAsia="仿宋"/>
          <w:bCs/>
          <w:szCs w:val="28"/>
        </w:rPr>
        <w:t xml:space="preserve">1.1 </w:t>
      </w:r>
      <w:r>
        <w:rPr>
          <w:rFonts w:hint="eastAsia"/>
        </w:rPr>
        <w:t>指导思想</w:t>
      </w:r>
      <w:r>
        <w:tab/>
      </w:r>
      <w:r>
        <w:fldChar w:fldCharType="begin"/>
      </w:r>
      <w:r>
        <w:instrText xml:space="preserve"> PAGEREF _Toc27077 \h </w:instrText>
      </w:r>
      <w:r>
        <w:fldChar w:fldCharType="separate"/>
      </w:r>
      <w:r>
        <w:t>1</w:t>
      </w:r>
      <w:r>
        <w:fldChar w:fldCharType="end"/>
      </w:r>
      <w:r>
        <w:fldChar w:fldCharType="end"/>
      </w:r>
    </w:p>
    <w:p w14:paraId="752B44D4">
      <w:pPr>
        <w:pStyle w:val="19"/>
        <w:tabs>
          <w:tab w:val="right" w:leader="dot" w:pos="8845"/>
        </w:tabs>
        <w:ind w:firstLine="632"/>
      </w:pPr>
      <w:r>
        <w:fldChar w:fldCharType="begin"/>
      </w:r>
      <w:r>
        <w:instrText xml:space="preserve"> HYPERLINK \l "_Toc27475" </w:instrText>
      </w:r>
      <w:r>
        <w:fldChar w:fldCharType="separate"/>
      </w:r>
      <w:r>
        <w:rPr>
          <w:rFonts w:eastAsia="仿宋"/>
          <w:bCs/>
          <w:szCs w:val="28"/>
        </w:rPr>
        <w:t xml:space="preserve">1.2 </w:t>
      </w:r>
      <w:r>
        <w:rPr>
          <w:rFonts w:hint="eastAsia"/>
        </w:rPr>
        <w:t>编制依据</w:t>
      </w:r>
      <w:r>
        <w:tab/>
      </w:r>
      <w:r>
        <w:fldChar w:fldCharType="begin"/>
      </w:r>
      <w:r>
        <w:instrText xml:space="preserve"> PAGEREF _Toc27475 \h </w:instrText>
      </w:r>
      <w:r>
        <w:fldChar w:fldCharType="separate"/>
      </w:r>
      <w:r>
        <w:t>1</w:t>
      </w:r>
      <w:r>
        <w:fldChar w:fldCharType="end"/>
      </w:r>
      <w:r>
        <w:fldChar w:fldCharType="end"/>
      </w:r>
    </w:p>
    <w:p w14:paraId="79C80A07">
      <w:pPr>
        <w:pStyle w:val="19"/>
        <w:tabs>
          <w:tab w:val="right" w:leader="dot" w:pos="8845"/>
        </w:tabs>
        <w:ind w:firstLine="632"/>
      </w:pPr>
      <w:r>
        <w:fldChar w:fldCharType="begin"/>
      </w:r>
      <w:r>
        <w:instrText xml:space="preserve"> HYPERLINK \l "_Toc5916" </w:instrText>
      </w:r>
      <w:r>
        <w:fldChar w:fldCharType="separate"/>
      </w:r>
      <w:r>
        <w:rPr>
          <w:rFonts w:eastAsia="仿宋"/>
          <w:bCs/>
          <w:szCs w:val="28"/>
        </w:rPr>
        <w:t xml:space="preserve">1.3 </w:t>
      </w:r>
      <w:r>
        <w:rPr>
          <w:rFonts w:hint="eastAsia"/>
        </w:rPr>
        <w:t>适用范围</w:t>
      </w:r>
      <w:r>
        <w:tab/>
      </w:r>
      <w:r>
        <w:fldChar w:fldCharType="begin"/>
      </w:r>
      <w:r>
        <w:instrText xml:space="preserve"> PAGEREF _Toc5916 \h </w:instrText>
      </w:r>
      <w:r>
        <w:fldChar w:fldCharType="separate"/>
      </w:r>
      <w:r>
        <w:t>1</w:t>
      </w:r>
      <w:r>
        <w:fldChar w:fldCharType="end"/>
      </w:r>
      <w:r>
        <w:fldChar w:fldCharType="end"/>
      </w:r>
    </w:p>
    <w:p w14:paraId="3C39427C">
      <w:pPr>
        <w:pStyle w:val="19"/>
        <w:tabs>
          <w:tab w:val="right" w:leader="dot" w:pos="8845"/>
        </w:tabs>
        <w:ind w:firstLine="632"/>
      </w:pPr>
      <w:r>
        <w:fldChar w:fldCharType="begin"/>
      </w:r>
      <w:r>
        <w:instrText xml:space="preserve"> HYPERLINK \l "_Toc23766" </w:instrText>
      </w:r>
      <w:r>
        <w:fldChar w:fldCharType="separate"/>
      </w:r>
      <w:r>
        <w:rPr>
          <w:rFonts w:eastAsia="仿宋"/>
          <w:bCs/>
          <w:szCs w:val="28"/>
        </w:rPr>
        <w:t xml:space="preserve">1.4 </w:t>
      </w:r>
      <w:r>
        <w:rPr>
          <w:rFonts w:hint="eastAsia"/>
        </w:rPr>
        <w:t>工作原则</w:t>
      </w:r>
      <w:r>
        <w:tab/>
      </w:r>
      <w:r>
        <w:fldChar w:fldCharType="begin"/>
      </w:r>
      <w:r>
        <w:instrText xml:space="preserve"> PAGEREF _Toc23766 \h </w:instrText>
      </w:r>
      <w:r>
        <w:fldChar w:fldCharType="separate"/>
      </w:r>
      <w:r>
        <w:t>2</w:t>
      </w:r>
      <w:r>
        <w:fldChar w:fldCharType="end"/>
      </w:r>
      <w:r>
        <w:fldChar w:fldCharType="end"/>
      </w:r>
    </w:p>
    <w:p w14:paraId="42C4120E">
      <w:pPr>
        <w:pStyle w:val="18"/>
      </w:pPr>
      <w:r>
        <w:fldChar w:fldCharType="begin"/>
      </w:r>
      <w:r>
        <w:instrText xml:space="preserve"> HYPERLINK \l "_Toc24857" </w:instrText>
      </w:r>
      <w:r>
        <w:fldChar w:fldCharType="separate"/>
      </w:r>
      <w:r>
        <w:rPr>
          <w:rFonts w:eastAsia="仿宋"/>
        </w:rPr>
        <w:t xml:space="preserve">2 </w:t>
      </w:r>
      <w:r>
        <w:rPr>
          <w:rFonts w:hint="eastAsia"/>
        </w:rPr>
        <w:t>基本概况</w:t>
      </w:r>
      <w:r>
        <w:tab/>
      </w:r>
      <w:r>
        <w:fldChar w:fldCharType="begin"/>
      </w:r>
      <w:r>
        <w:instrText xml:space="preserve"> PAGEREF _Toc24857 \h </w:instrText>
      </w:r>
      <w:r>
        <w:fldChar w:fldCharType="separate"/>
      </w:r>
      <w:r>
        <w:t>3</w:t>
      </w:r>
      <w:r>
        <w:fldChar w:fldCharType="end"/>
      </w:r>
      <w:r>
        <w:fldChar w:fldCharType="end"/>
      </w:r>
    </w:p>
    <w:p w14:paraId="2DDDAFDE">
      <w:pPr>
        <w:pStyle w:val="19"/>
        <w:tabs>
          <w:tab w:val="right" w:leader="dot" w:pos="8845"/>
        </w:tabs>
        <w:ind w:firstLine="632"/>
      </w:pPr>
      <w:r>
        <w:fldChar w:fldCharType="begin"/>
      </w:r>
      <w:r>
        <w:instrText xml:space="preserve"> HYPERLINK \l "_Toc490" </w:instrText>
      </w:r>
      <w:r>
        <w:fldChar w:fldCharType="separate"/>
      </w:r>
      <w:r>
        <w:rPr>
          <w:rFonts w:eastAsia="仿宋"/>
          <w:bCs/>
          <w:szCs w:val="28"/>
        </w:rPr>
        <w:t xml:space="preserve">2.1 </w:t>
      </w:r>
      <w:r>
        <w:rPr>
          <w:rFonts w:hint="eastAsia"/>
        </w:rPr>
        <w:t>自然地理和社会经济情况</w:t>
      </w:r>
      <w:r>
        <w:tab/>
      </w:r>
      <w:r>
        <w:fldChar w:fldCharType="begin"/>
      </w:r>
      <w:r>
        <w:instrText xml:space="preserve"> PAGEREF _Toc490 \h </w:instrText>
      </w:r>
      <w:r>
        <w:fldChar w:fldCharType="separate"/>
      </w:r>
      <w:r>
        <w:t>3</w:t>
      </w:r>
      <w:r>
        <w:fldChar w:fldCharType="end"/>
      </w:r>
      <w:r>
        <w:fldChar w:fldCharType="end"/>
      </w:r>
    </w:p>
    <w:p w14:paraId="1C2715DC">
      <w:pPr>
        <w:pStyle w:val="19"/>
        <w:tabs>
          <w:tab w:val="right" w:leader="dot" w:pos="8845"/>
        </w:tabs>
        <w:ind w:firstLine="632"/>
      </w:pPr>
      <w:r>
        <w:fldChar w:fldCharType="begin"/>
      </w:r>
      <w:r>
        <w:instrText xml:space="preserve"> HYPERLINK \l "_Toc19678" </w:instrText>
      </w:r>
      <w:r>
        <w:fldChar w:fldCharType="separate"/>
      </w:r>
      <w:r>
        <w:rPr>
          <w:rFonts w:eastAsia="仿宋"/>
          <w:bCs/>
          <w:szCs w:val="28"/>
        </w:rPr>
        <w:t xml:space="preserve">2.2 </w:t>
      </w:r>
      <w:r>
        <w:rPr>
          <w:rFonts w:hint="eastAsia"/>
        </w:rPr>
        <w:t>防洪工程情况</w:t>
      </w:r>
      <w:r>
        <w:tab/>
      </w:r>
      <w:r>
        <w:fldChar w:fldCharType="begin"/>
      </w:r>
      <w:r>
        <w:instrText xml:space="preserve"> PAGEREF _Toc19678 \h </w:instrText>
      </w:r>
      <w:r>
        <w:fldChar w:fldCharType="separate"/>
      </w:r>
      <w:r>
        <w:t>5</w:t>
      </w:r>
      <w:r>
        <w:fldChar w:fldCharType="end"/>
      </w:r>
      <w:r>
        <w:fldChar w:fldCharType="end"/>
      </w:r>
    </w:p>
    <w:p w14:paraId="062DF557">
      <w:pPr>
        <w:pStyle w:val="19"/>
        <w:tabs>
          <w:tab w:val="right" w:leader="dot" w:pos="8845"/>
        </w:tabs>
        <w:ind w:firstLine="632"/>
      </w:pPr>
      <w:r>
        <w:fldChar w:fldCharType="begin"/>
      </w:r>
      <w:r>
        <w:instrText xml:space="preserve"> HYPERLINK \l "_Toc313" </w:instrText>
      </w:r>
      <w:r>
        <w:fldChar w:fldCharType="separate"/>
      </w:r>
      <w:r>
        <w:rPr>
          <w:rFonts w:eastAsia="仿宋"/>
          <w:bCs/>
          <w:szCs w:val="28"/>
        </w:rPr>
        <w:t xml:space="preserve">2.3 </w:t>
      </w:r>
      <w:r>
        <w:rPr>
          <w:rFonts w:hint="eastAsia"/>
        </w:rPr>
        <w:t>历史洪水调查</w:t>
      </w:r>
      <w:r>
        <w:tab/>
      </w:r>
      <w:r>
        <w:fldChar w:fldCharType="begin"/>
      </w:r>
      <w:r>
        <w:instrText xml:space="preserve"> PAGEREF _Toc313 \h </w:instrText>
      </w:r>
      <w:r>
        <w:fldChar w:fldCharType="separate"/>
      </w:r>
      <w:r>
        <w:t>8</w:t>
      </w:r>
      <w:r>
        <w:fldChar w:fldCharType="end"/>
      </w:r>
      <w:r>
        <w:fldChar w:fldCharType="end"/>
      </w:r>
    </w:p>
    <w:p w14:paraId="24D889F5">
      <w:pPr>
        <w:pStyle w:val="19"/>
        <w:tabs>
          <w:tab w:val="right" w:leader="dot" w:pos="8845"/>
        </w:tabs>
        <w:ind w:firstLine="632"/>
      </w:pPr>
      <w:r>
        <w:fldChar w:fldCharType="begin"/>
      </w:r>
      <w:r>
        <w:instrText xml:space="preserve"> HYPERLINK \l "_Toc3125" </w:instrText>
      </w:r>
      <w:r>
        <w:fldChar w:fldCharType="separate"/>
      </w:r>
      <w:r>
        <w:rPr>
          <w:rFonts w:eastAsia="仿宋"/>
          <w:bCs/>
          <w:szCs w:val="28"/>
        </w:rPr>
        <w:t xml:space="preserve">2.4 </w:t>
      </w:r>
      <w:r>
        <w:rPr>
          <w:rFonts w:hint="eastAsia"/>
        </w:rPr>
        <w:t>存在主要问题</w:t>
      </w:r>
      <w:r>
        <w:tab/>
      </w:r>
      <w:r>
        <w:fldChar w:fldCharType="begin"/>
      </w:r>
      <w:r>
        <w:instrText xml:space="preserve"> PAGEREF _Toc3125 \h </w:instrText>
      </w:r>
      <w:r>
        <w:fldChar w:fldCharType="separate"/>
      </w:r>
      <w:r>
        <w:t>9</w:t>
      </w:r>
      <w:r>
        <w:fldChar w:fldCharType="end"/>
      </w:r>
      <w:r>
        <w:fldChar w:fldCharType="end"/>
      </w:r>
    </w:p>
    <w:p w14:paraId="3C6C8654">
      <w:pPr>
        <w:pStyle w:val="18"/>
      </w:pPr>
      <w:r>
        <w:fldChar w:fldCharType="begin"/>
      </w:r>
      <w:r>
        <w:instrText xml:space="preserve"> HYPERLINK \l "_Toc31753" </w:instrText>
      </w:r>
      <w:r>
        <w:fldChar w:fldCharType="separate"/>
      </w:r>
      <w:r>
        <w:rPr>
          <w:rFonts w:eastAsia="仿宋"/>
        </w:rPr>
        <w:t xml:space="preserve">3 </w:t>
      </w:r>
      <w:r>
        <w:rPr>
          <w:rFonts w:hint="eastAsia"/>
        </w:rPr>
        <w:t>组织指挥体系及职责</w:t>
      </w:r>
      <w:r>
        <w:tab/>
      </w:r>
      <w:r>
        <w:fldChar w:fldCharType="begin"/>
      </w:r>
      <w:r>
        <w:instrText xml:space="preserve"> PAGEREF _Toc31753 \h </w:instrText>
      </w:r>
      <w:r>
        <w:fldChar w:fldCharType="separate"/>
      </w:r>
      <w:r>
        <w:t>10</w:t>
      </w:r>
      <w:r>
        <w:fldChar w:fldCharType="end"/>
      </w:r>
      <w:r>
        <w:fldChar w:fldCharType="end"/>
      </w:r>
    </w:p>
    <w:p w14:paraId="74CA0D78">
      <w:pPr>
        <w:pStyle w:val="19"/>
        <w:tabs>
          <w:tab w:val="right" w:leader="dot" w:pos="8845"/>
        </w:tabs>
        <w:ind w:firstLine="632"/>
      </w:pPr>
      <w:r>
        <w:fldChar w:fldCharType="begin"/>
      </w:r>
      <w:r>
        <w:instrText xml:space="preserve"> HYPERLINK \l "_Toc8036" </w:instrText>
      </w:r>
      <w:r>
        <w:fldChar w:fldCharType="separate"/>
      </w:r>
      <w:r>
        <w:rPr>
          <w:rFonts w:eastAsia="仿宋"/>
          <w:bCs/>
          <w:szCs w:val="28"/>
        </w:rPr>
        <w:t xml:space="preserve">3.1 </w:t>
      </w:r>
      <w:r>
        <w:rPr>
          <w:rFonts w:hint="eastAsia"/>
        </w:rPr>
        <w:t>县防汛抗旱指挥部组成及职责</w:t>
      </w:r>
      <w:r>
        <w:tab/>
      </w:r>
      <w:r>
        <w:fldChar w:fldCharType="begin"/>
      </w:r>
      <w:r>
        <w:instrText xml:space="preserve"> PAGEREF _Toc8036 \h </w:instrText>
      </w:r>
      <w:r>
        <w:fldChar w:fldCharType="separate"/>
      </w:r>
      <w:r>
        <w:t>10</w:t>
      </w:r>
      <w:r>
        <w:fldChar w:fldCharType="end"/>
      </w:r>
      <w:r>
        <w:fldChar w:fldCharType="end"/>
      </w:r>
    </w:p>
    <w:p w14:paraId="50A32E4B">
      <w:pPr>
        <w:pStyle w:val="19"/>
        <w:tabs>
          <w:tab w:val="right" w:leader="dot" w:pos="8845"/>
        </w:tabs>
        <w:ind w:firstLine="632"/>
      </w:pPr>
      <w:r>
        <w:fldChar w:fldCharType="begin"/>
      </w:r>
      <w:r>
        <w:instrText xml:space="preserve"> HYPERLINK \l "_Toc11576" </w:instrText>
      </w:r>
      <w:r>
        <w:fldChar w:fldCharType="separate"/>
      </w:r>
      <w:r>
        <w:rPr>
          <w:rFonts w:eastAsia="仿宋"/>
          <w:bCs/>
          <w:szCs w:val="28"/>
        </w:rPr>
        <w:t xml:space="preserve">3.2 </w:t>
      </w:r>
      <w:r>
        <w:rPr>
          <w:rFonts w:hint="eastAsia" w:eastAsia="楷体_GB2312"/>
          <w:szCs w:val="28"/>
        </w:rPr>
        <w:t>乡镇防汛抗旱指挥部</w:t>
      </w:r>
      <w:r>
        <w:tab/>
      </w:r>
      <w:r>
        <w:fldChar w:fldCharType="begin"/>
      </w:r>
      <w:r>
        <w:instrText xml:space="preserve"> PAGEREF _Toc11576 \h </w:instrText>
      </w:r>
      <w:r>
        <w:fldChar w:fldCharType="separate"/>
      </w:r>
      <w:r>
        <w:t>20</w:t>
      </w:r>
      <w:r>
        <w:fldChar w:fldCharType="end"/>
      </w:r>
      <w:r>
        <w:fldChar w:fldCharType="end"/>
      </w:r>
    </w:p>
    <w:p w14:paraId="609B162E">
      <w:pPr>
        <w:pStyle w:val="19"/>
        <w:tabs>
          <w:tab w:val="right" w:leader="dot" w:pos="8845"/>
        </w:tabs>
        <w:ind w:firstLine="632"/>
      </w:pPr>
      <w:r>
        <w:fldChar w:fldCharType="begin"/>
      </w:r>
      <w:r>
        <w:instrText xml:space="preserve"> HYPERLINK \l "_Toc27330" </w:instrText>
      </w:r>
      <w:r>
        <w:fldChar w:fldCharType="separate"/>
      </w:r>
      <w:r>
        <w:rPr>
          <w:rFonts w:eastAsia="仿宋"/>
          <w:bCs/>
          <w:szCs w:val="28"/>
        </w:rPr>
        <w:t xml:space="preserve">3.3 </w:t>
      </w:r>
      <w:r>
        <w:rPr>
          <w:rFonts w:hint="eastAsia" w:eastAsia="楷体_GB2312"/>
          <w:szCs w:val="28"/>
        </w:rPr>
        <w:t>其他防汛指挥机构</w:t>
      </w:r>
      <w:r>
        <w:tab/>
      </w:r>
      <w:r>
        <w:fldChar w:fldCharType="begin"/>
      </w:r>
      <w:r>
        <w:instrText xml:space="preserve"> PAGEREF _Toc27330 \h </w:instrText>
      </w:r>
      <w:r>
        <w:fldChar w:fldCharType="separate"/>
      </w:r>
      <w:r>
        <w:t>21</w:t>
      </w:r>
      <w:r>
        <w:fldChar w:fldCharType="end"/>
      </w:r>
      <w:r>
        <w:fldChar w:fldCharType="end"/>
      </w:r>
    </w:p>
    <w:p w14:paraId="4405FCCC">
      <w:pPr>
        <w:pStyle w:val="19"/>
        <w:tabs>
          <w:tab w:val="right" w:leader="dot" w:pos="8845"/>
        </w:tabs>
        <w:ind w:firstLine="632"/>
      </w:pPr>
      <w:r>
        <w:fldChar w:fldCharType="begin"/>
      </w:r>
      <w:r>
        <w:instrText xml:space="preserve"> HYPERLINK \l "_Toc20741" </w:instrText>
      </w:r>
      <w:r>
        <w:fldChar w:fldCharType="separate"/>
      </w:r>
      <w:r>
        <w:rPr>
          <w:rFonts w:eastAsia="仿宋"/>
          <w:bCs/>
          <w:szCs w:val="28"/>
        </w:rPr>
        <w:t xml:space="preserve">3.4 </w:t>
      </w:r>
      <w:r>
        <w:rPr>
          <w:rFonts w:hint="eastAsia" w:eastAsia="楷体_GB2312"/>
          <w:szCs w:val="28"/>
        </w:rPr>
        <w:t>专家组组成及职责</w:t>
      </w:r>
      <w:r>
        <w:tab/>
      </w:r>
      <w:r>
        <w:fldChar w:fldCharType="begin"/>
      </w:r>
      <w:r>
        <w:instrText xml:space="preserve"> PAGEREF _Toc20741 \h </w:instrText>
      </w:r>
      <w:r>
        <w:fldChar w:fldCharType="separate"/>
      </w:r>
      <w:r>
        <w:t>21</w:t>
      </w:r>
      <w:r>
        <w:fldChar w:fldCharType="end"/>
      </w:r>
      <w:r>
        <w:fldChar w:fldCharType="end"/>
      </w:r>
    </w:p>
    <w:p w14:paraId="36FF39A5">
      <w:pPr>
        <w:pStyle w:val="19"/>
        <w:tabs>
          <w:tab w:val="right" w:leader="dot" w:pos="8845"/>
        </w:tabs>
        <w:ind w:firstLine="632"/>
      </w:pPr>
      <w:r>
        <w:fldChar w:fldCharType="begin"/>
      </w:r>
      <w:r>
        <w:instrText xml:space="preserve"> HYPERLINK \l "_Toc1475" </w:instrText>
      </w:r>
      <w:r>
        <w:fldChar w:fldCharType="separate"/>
      </w:r>
      <w:r>
        <w:rPr>
          <w:rFonts w:eastAsia="仿宋"/>
          <w:bCs/>
          <w:szCs w:val="28"/>
        </w:rPr>
        <w:t xml:space="preserve">3.5 </w:t>
      </w:r>
      <w:r>
        <w:rPr>
          <w:rFonts w:hint="eastAsia"/>
        </w:rPr>
        <w:t>应急工作组</w:t>
      </w:r>
      <w:r>
        <w:tab/>
      </w:r>
      <w:r>
        <w:fldChar w:fldCharType="begin"/>
      </w:r>
      <w:r>
        <w:instrText xml:space="preserve"> PAGEREF _Toc1475 \h </w:instrText>
      </w:r>
      <w:r>
        <w:fldChar w:fldCharType="separate"/>
      </w:r>
      <w:r>
        <w:t>21</w:t>
      </w:r>
      <w:r>
        <w:fldChar w:fldCharType="end"/>
      </w:r>
      <w:r>
        <w:fldChar w:fldCharType="end"/>
      </w:r>
    </w:p>
    <w:p w14:paraId="52F22D4D">
      <w:pPr>
        <w:pStyle w:val="18"/>
      </w:pPr>
      <w:r>
        <w:fldChar w:fldCharType="begin"/>
      </w:r>
      <w:r>
        <w:instrText xml:space="preserve"> HYPERLINK \l "_Toc9318" </w:instrText>
      </w:r>
      <w:r>
        <w:fldChar w:fldCharType="separate"/>
      </w:r>
      <w:r>
        <w:rPr>
          <w:rFonts w:eastAsia="仿宋"/>
        </w:rPr>
        <w:t xml:space="preserve">4 </w:t>
      </w:r>
      <w:r>
        <w:rPr>
          <w:rFonts w:hint="eastAsia"/>
        </w:rPr>
        <w:t>预防和预警机制</w:t>
      </w:r>
      <w:r>
        <w:tab/>
      </w:r>
      <w:r>
        <w:fldChar w:fldCharType="begin"/>
      </w:r>
      <w:r>
        <w:instrText xml:space="preserve"> PAGEREF _Toc9318 \h </w:instrText>
      </w:r>
      <w:r>
        <w:fldChar w:fldCharType="separate"/>
      </w:r>
      <w:r>
        <w:t>26</w:t>
      </w:r>
      <w:r>
        <w:fldChar w:fldCharType="end"/>
      </w:r>
      <w:r>
        <w:fldChar w:fldCharType="end"/>
      </w:r>
    </w:p>
    <w:p w14:paraId="20ECAD19">
      <w:pPr>
        <w:pStyle w:val="19"/>
        <w:tabs>
          <w:tab w:val="right" w:leader="dot" w:pos="8845"/>
        </w:tabs>
        <w:ind w:firstLine="632"/>
      </w:pPr>
      <w:r>
        <w:fldChar w:fldCharType="begin"/>
      </w:r>
      <w:r>
        <w:instrText xml:space="preserve"> HYPERLINK \l "_Toc30613" </w:instrText>
      </w:r>
      <w:r>
        <w:fldChar w:fldCharType="separate"/>
      </w:r>
      <w:r>
        <w:rPr>
          <w:rFonts w:eastAsia="仿宋"/>
          <w:bCs/>
          <w:szCs w:val="28"/>
        </w:rPr>
        <w:t xml:space="preserve">4.1 </w:t>
      </w:r>
      <w:r>
        <w:rPr>
          <w:rFonts w:hint="eastAsia"/>
        </w:rPr>
        <w:t>预防预警信息</w:t>
      </w:r>
      <w:r>
        <w:tab/>
      </w:r>
      <w:r>
        <w:fldChar w:fldCharType="begin"/>
      </w:r>
      <w:r>
        <w:instrText xml:space="preserve"> PAGEREF _Toc30613 \h </w:instrText>
      </w:r>
      <w:r>
        <w:fldChar w:fldCharType="separate"/>
      </w:r>
      <w:r>
        <w:t>26</w:t>
      </w:r>
      <w:r>
        <w:fldChar w:fldCharType="end"/>
      </w:r>
      <w:r>
        <w:fldChar w:fldCharType="end"/>
      </w:r>
    </w:p>
    <w:p w14:paraId="45415C66">
      <w:pPr>
        <w:pStyle w:val="19"/>
        <w:tabs>
          <w:tab w:val="right" w:leader="dot" w:pos="8845"/>
        </w:tabs>
        <w:ind w:firstLine="632"/>
      </w:pPr>
      <w:r>
        <w:fldChar w:fldCharType="begin"/>
      </w:r>
      <w:r>
        <w:instrText xml:space="preserve"> HYPERLINK \l "_Toc32690" </w:instrText>
      </w:r>
      <w:r>
        <w:fldChar w:fldCharType="separate"/>
      </w:r>
      <w:r>
        <w:rPr>
          <w:rFonts w:eastAsia="仿宋"/>
          <w:bCs/>
          <w:szCs w:val="28"/>
        </w:rPr>
        <w:t xml:space="preserve">4.2 </w:t>
      </w:r>
      <w:r>
        <w:rPr>
          <w:rFonts w:hint="eastAsia"/>
        </w:rPr>
        <w:t>预防预警行动</w:t>
      </w:r>
      <w:r>
        <w:tab/>
      </w:r>
      <w:r>
        <w:fldChar w:fldCharType="begin"/>
      </w:r>
      <w:r>
        <w:instrText xml:space="preserve"> PAGEREF _Toc32690 \h </w:instrText>
      </w:r>
      <w:r>
        <w:fldChar w:fldCharType="separate"/>
      </w:r>
      <w:r>
        <w:t>28</w:t>
      </w:r>
      <w:r>
        <w:fldChar w:fldCharType="end"/>
      </w:r>
      <w:r>
        <w:fldChar w:fldCharType="end"/>
      </w:r>
    </w:p>
    <w:p w14:paraId="44C12C56">
      <w:pPr>
        <w:pStyle w:val="19"/>
        <w:tabs>
          <w:tab w:val="right" w:leader="dot" w:pos="8845"/>
        </w:tabs>
        <w:ind w:firstLine="632"/>
      </w:pPr>
      <w:r>
        <w:fldChar w:fldCharType="begin"/>
      </w:r>
      <w:r>
        <w:instrText xml:space="preserve"> HYPERLINK \l "_Toc30091" </w:instrText>
      </w:r>
      <w:r>
        <w:fldChar w:fldCharType="separate"/>
      </w:r>
      <w:r>
        <w:rPr>
          <w:rFonts w:eastAsia="仿宋"/>
          <w:bCs/>
          <w:szCs w:val="28"/>
        </w:rPr>
        <w:t xml:space="preserve">4.3 </w:t>
      </w:r>
      <w:r>
        <w:rPr>
          <w:rFonts w:hint="eastAsia"/>
        </w:rPr>
        <w:t>预警支持体系</w:t>
      </w:r>
      <w:r>
        <w:tab/>
      </w:r>
      <w:r>
        <w:fldChar w:fldCharType="begin"/>
      </w:r>
      <w:r>
        <w:instrText xml:space="preserve"> PAGEREF _Toc30091 \h </w:instrText>
      </w:r>
      <w:r>
        <w:fldChar w:fldCharType="separate"/>
      </w:r>
      <w:r>
        <w:t>36</w:t>
      </w:r>
      <w:r>
        <w:fldChar w:fldCharType="end"/>
      </w:r>
      <w:r>
        <w:fldChar w:fldCharType="end"/>
      </w:r>
    </w:p>
    <w:p w14:paraId="0D4F0743">
      <w:pPr>
        <w:pStyle w:val="19"/>
        <w:tabs>
          <w:tab w:val="right" w:leader="dot" w:pos="8845"/>
        </w:tabs>
        <w:ind w:firstLine="632"/>
      </w:pPr>
      <w:r>
        <w:fldChar w:fldCharType="begin"/>
      </w:r>
      <w:r>
        <w:instrText xml:space="preserve"> HYPERLINK \l "_Toc28644" </w:instrText>
      </w:r>
      <w:r>
        <w:fldChar w:fldCharType="separate"/>
      </w:r>
      <w:r>
        <w:rPr>
          <w:rFonts w:eastAsia="仿宋"/>
          <w:bCs/>
          <w:szCs w:val="28"/>
        </w:rPr>
        <w:t xml:space="preserve">4.4 </w:t>
      </w:r>
      <w:r>
        <w:rPr>
          <w:rFonts w:hint="eastAsia"/>
        </w:rPr>
        <w:t>预警响应衔接</w:t>
      </w:r>
      <w:r>
        <w:tab/>
      </w:r>
      <w:r>
        <w:fldChar w:fldCharType="begin"/>
      </w:r>
      <w:r>
        <w:instrText xml:space="preserve"> PAGEREF _Toc28644 \h </w:instrText>
      </w:r>
      <w:r>
        <w:fldChar w:fldCharType="separate"/>
      </w:r>
      <w:r>
        <w:t>37</w:t>
      </w:r>
      <w:r>
        <w:fldChar w:fldCharType="end"/>
      </w:r>
      <w:r>
        <w:fldChar w:fldCharType="end"/>
      </w:r>
    </w:p>
    <w:p w14:paraId="533118C0">
      <w:pPr>
        <w:pStyle w:val="19"/>
        <w:tabs>
          <w:tab w:val="right" w:leader="dot" w:pos="8845"/>
        </w:tabs>
        <w:ind w:firstLine="632"/>
      </w:pPr>
      <w:r>
        <w:fldChar w:fldCharType="begin"/>
      </w:r>
      <w:r>
        <w:instrText xml:space="preserve"> HYPERLINK \l "_Toc6623" </w:instrText>
      </w:r>
      <w:r>
        <w:fldChar w:fldCharType="separate"/>
      </w:r>
      <w:r>
        <w:rPr>
          <w:rFonts w:eastAsia="仿宋"/>
          <w:bCs/>
          <w:szCs w:val="28"/>
        </w:rPr>
        <w:t xml:space="preserve">4.5 </w:t>
      </w:r>
      <w:r>
        <w:rPr>
          <w:rFonts w:hint="eastAsia"/>
        </w:rPr>
        <w:t>预警发布、变更及解除</w:t>
      </w:r>
      <w:r>
        <w:tab/>
      </w:r>
      <w:r>
        <w:fldChar w:fldCharType="begin"/>
      </w:r>
      <w:r>
        <w:instrText xml:space="preserve"> PAGEREF _Toc6623 \h </w:instrText>
      </w:r>
      <w:r>
        <w:fldChar w:fldCharType="separate"/>
      </w:r>
      <w:r>
        <w:t>38</w:t>
      </w:r>
      <w:r>
        <w:fldChar w:fldCharType="end"/>
      </w:r>
      <w:r>
        <w:fldChar w:fldCharType="end"/>
      </w:r>
    </w:p>
    <w:p w14:paraId="27E67502">
      <w:pPr>
        <w:pStyle w:val="18"/>
      </w:pPr>
      <w:r>
        <w:fldChar w:fldCharType="begin"/>
      </w:r>
      <w:r>
        <w:instrText xml:space="preserve"> HYPERLINK \l "_Toc2763" </w:instrText>
      </w:r>
      <w:r>
        <w:fldChar w:fldCharType="separate"/>
      </w:r>
      <w:r>
        <w:rPr>
          <w:rFonts w:eastAsia="仿宋"/>
        </w:rPr>
        <w:t xml:space="preserve">5 </w:t>
      </w:r>
      <w:r>
        <w:rPr>
          <w:rFonts w:hint="eastAsia"/>
        </w:rPr>
        <w:t>应急响应</w:t>
      </w:r>
      <w:r>
        <w:tab/>
      </w:r>
      <w:r>
        <w:fldChar w:fldCharType="begin"/>
      </w:r>
      <w:r>
        <w:instrText xml:space="preserve"> PAGEREF _Toc2763 \h </w:instrText>
      </w:r>
      <w:r>
        <w:fldChar w:fldCharType="separate"/>
      </w:r>
      <w:r>
        <w:t>38</w:t>
      </w:r>
      <w:r>
        <w:fldChar w:fldCharType="end"/>
      </w:r>
      <w:r>
        <w:fldChar w:fldCharType="end"/>
      </w:r>
    </w:p>
    <w:p w14:paraId="1B4EAC6F">
      <w:pPr>
        <w:pStyle w:val="19"/>
        <w:tabs>
          <w:tab w:val="right" w:leader="dot" w:pos="8845"/>
        </w:tabs>
        <w:ind w:firstLine="632"/>
      </w:pPr>
      <w:r>
        <w:fldChar w:fldCharType="begin"/>
      </w:r>
      <w:r>
        <w:instrText xml:space="preserve"> HYPERLINK \l "_Toc32155" </w:instrText>
      </w:r>
      <w:r>
        <w:fldChar w:fldCharType="separate"/>
      </w:r>
      <w:r>
        <w:rPr>
          <w:rFonts w:eastAsia="仿宋"/>
          <w:bCs/>
          <w:szCs w:val="28"/>
        </w:rPr>
        <w:t xml:space="preserve">5.1 </w:t>
      </w:r>
      <w:r>
        <w:t>应急响应分级</w:t>
      </w:r>
      <w:r>
        <w:tab/>
      </w:r>
      <w:r>
        <w:fldChar w:fldCharType="begin"/>
      </w:r>
      <w:r>
        <w:instrText xml:space="preserve"> PAGEREF _Toc32155 \h </w:instrText>
      </w:r>
      <w:r>
        <w:fldChar w:fldCharType="separate"/>
      </w:r>
      <w:r>
        <w:t>38</w:t>
      </w:r>
      <w:r>
        <w:fldChar w:fldCharType="end"/>
      </w:r>
      <w:r>
        <w:fldChar w:fldCharType="end"/>
      </w:r>
    </w:p>
    <w:p w14:paraId="67B33C42">
      <w:pPr>
        <w:pStyle w:val="19"/>
        <w:tabs>
          <w:tab w:val="right" w:leader="dot" w:pos="8845"/>
        </w:tabs>
        <w:ind w:firstLine="632"/>
      </w:pPr>
      <w:r>
        <w:fldChar w:fldCharType="begin"/>
      </w:r>
      <w:r>
        <w:instrText xml:space="preserve"> HYPERLINK \l "_Toc24031" </w:instrText>
      </w:r>
      <w:r>
        <w:fldChar w:fldCharType="separate"/>
      </w:r>
      <w:r>
        <w:rPr>
          <w:rFonts w:eastAsia="仿宋"/>
          <w:bCs/>
          <w:szCs w:val="28"/>
        </w:rPr>
        <w:t xml:space="preserve">5.2 </w:t>
      </w:r>
      <w:r>
        <w:t>应急响应启动程序</w:t>
      </w:r>
      <w:r>
        <w:tab/>
      </w:r>
      <w:r>
        <w:fldChar w:fldCharType="begin"/>
      </w:r>
      <w:r>
        <w:instrText xml:space="preserve"> PAGEREF _Toc24031 \h </w:instrText>
      </w:r>
      <w:r>
        <w:fldChar w:fldCharType="separate"/>
      </w:r>
      <w:r>
        <w:t>39</w:t>
      </w:r>
      <w:r>
        <w:fldChar w:fldCharType="end"/>
      </w:r>
      <w:r>
        <w:fldChar w:fldCharType="end"/>
      </w:r>
    </w:p>
    <w:p w14:paraId="03BCE080">
      <w:pPr>
        <w:pStyle w:val="19"/>
        <w:tabs>
          <w:tab w:val="right" w:leader="dot" w:pos="8845"/>
        </w:tabs>
        <w:ind w:firstLine="632"/>
      </w:pPr>
      <w:r>
        <w:fldChar w:fldCharType="begin"/>
      </w:r>
      <w:r>
        <w:instrText xml:space="preserve"> HYPERLINK \l "_Toc13988" </w:instrText>
      </w:r>
      <w:r>
        <w:fldChar w:fldCharType="separate"/>
      </w:r>
      <w:r>
        <w:rPr>
          <w:rFonts w:eastAsia="仿宋"/>
          <w:bCs/>
          <w:szCs w:val="28"/>
        </w:rPr>
        <w:t xml:space="preserve">5.3 </w:t>
      </w:r>
      <w:r>
        <w:t>应急响应总体要求</w:t>
      </w:r>
      <w:r>
        <w:tab/>
      </w:r>
      <w:r>
        <w:fldChar w:fldCharType="begin"/>
      </w:r>
      <w:r>
        <w:instrText xml:space="preserve"> PAGEREF _Toc13988 \h </w:instrText>
      </w:r>
      <w:r>
        <w:fldChar w:fldCharType="separate"/>
      </w:r>
      <w:r>
        <w:t>39</w:t>
      </w:r>
      <w:r>
        <w:fldChar w:fldCharType="end"/>
      </w:r>
      <w:r>
        <w:fldChar w:fldCharType="end"/>
      </w:r>
    </w:p>
    <w:p w14:paraId="062CF47C">
      <w:pPr>
        <w:pStyle w:val="19"/>
        <w:tabs>
          <w:tab w:val="right" w:leader="dot" w:pos="8845"/>
        </w:tabs>
        <w:ind w:firstLine="632"/>
      </w:pPr>
      <w:r>
        <w:fldChar w:fldCharType="begin"/>
      </w:r>
      <w:r>
        <w:instrText xml:space="preserve"> HYPERLINK \l "_Toc5268" </w:instrText>
      </w:r>
      <w:r>
        <w:fldChar w:fldCharType="separate"/>
      </w:r>
      <w:r>
        <w:rPr>
          <w:rFonts w:eastAsia="仿宋"/>
          <w:bCs/>
          <w:szCs w:val="28"/>
        </w:rPr>
        <w:t xml:space="preserve">5.4 </w:t>
      </w:r>
      <w:r>
        <w:rPr>
          <w:rFonts w:hint="eastAsia"/>
        </w:rPr>
        <w:t>Ⅳ</w:t>
      </w:r>
      <w:r>
        <w:t>级响应</w:t>
      </w:r>
      <w:r>
        <w:tab/>
      </w:r>
      <w:r>
        <w:fldChar w:fldCharType="begin"/>
      </w:r>
      <w:r>
        <w:instrText xml:space="preserve"> PAGEREF _Toc5268 \h </w:instrText>
      </w:r>
      <w:r>
        <w:fldChar w:fldCharType="separate"/>
      </w:r>
      <w:r>
        <w:t>41</w:t>
      </w:r>
      <w:r>
        <w:fldChar w:fldCharType="end"/>
      </w:r>
      <w:r>
        <w:fldChar w:fldCharType="end"/>
      </w:r>
    </w:p>
    <w:p w14:paraId="56619A90">
      <w:pPr>
        <w:pStyle w:val="19"/>
        <w:tabs>
          <w:tab w:val="right" w:leader="dot" w:pos="8845"/>
        </w:tabs>
        <w:ind w:firstLine="632"/>
      </w:pPr>
      <w:r>
        <w:fldChar w:fldCharType="begin"/>
      </w:r>
      <w:r>
        <w:instrText xml:space="preserve"> HYPERLINK \l "_Toc826" </w:instrText>
      </w:r>
      <w:r>
        <w:fldChar w:fldCharType="separate"/>
      </w:r>
      <w:r>
        <w:rPr>
          <w:rFonts w:eastAsia="仿宋"/>
          <w:bCs/>
          <w:szCs w:val="28"/>
        </w:rPr>
        <w:t xml:space="preserve">5.5 </w:t>
      </w:r>
      <w:r>
        <w:rPr>
          <w:rFonts w:hint="eastAsia"/>
        </w:rPr>
        <w:t>Ⅲ</w:t>
      </w:r>
      <w:r>
        <w:t>级响应</w:t>
      </w:r>
      <w:r>
        <w:tab/>
      </w:r>
      <w:r>
        <w:fldChar w:fldCharType="begin"/>
      </w:r>
      <w:r>
        <w:instrText xml:space="preserve"> PAGEREF _Toc826 \h </w:instrText>
      </w:r>
      <w:r>
        <w:fldChar w:fldCharType="separate"/>
      </w:r>
      <w:r>
        <w:t>46</w:t>
      </w:r>
      <w:r>
        <w:fldChar w:fldCharType="end"/>
      </w:r>
      <w:r>
        <w:fldChar w:fldCharType="end"/>
      </w:r>
    </w:p>
    <w:p w14:paraId="6E06AC0D">
      <w:pPr>
        <w:pStyle w:val="19"/>
        <w:tabs>
          <w:tab w:val="right" w:leader="dot" w:pos="8845"/>
        </w:tabs>
        <w:ind w:firstLine="632"/>
      </w:pPr>
      <w:r>
        <w:fldChar w:fldCharType="begin"/>
      </w:r>
      <w:r>
        <w:instrText xml:space="preserve"> HYPERLINK \l "_Toc6747" </w:instrText>
      </w:r>
      <w:r>
        <w:fldChar w:fldCharType="separate"/>
      </w:r>
      <w:r>
        <w:rPr>
          <w:rFonts w:eastAsia="仿宋"/>
          <w:bCs/>
          <w:szCs w:val="28"/>
        </w:rPr>
        <w:t xml:space="preserve">5.6 </w:t>
      </w:r>
      <w:r>
        <w:rPr>
          <w:rFonts w:hint="eastAsia"/>
        </w:rPr>
        <w:t>Ⅱ</w:t>
      </w:r>
      <w:r>
        <w:t>级响应</w:t>
      </w:r>
      <w:r>
        <w:tab/>
      </w:r>
      <w:r>
        <w:fldChar w:fldCharType="begin"/>
      </w:r>
      <w:r>
        <w:instrText xml:space="preserve"> PAGEREF _Toc6747 \h </w:instrText>
      </w:r>
      <w:r>
        <w:fldChar w:fldCharType="separate"/>
      </w:r>
      <w:r>
        <w:t>51</w:t>
      </w:r>
      <w:r>
        <w:fldChar w:fldCharType="end"/>
      </w:r>
      <w:r>
        <w:fldChar w:fldCharType="end"/>
      </w:r>
    </w:p>
    <w:p w14:paraId="1E22AB05">
      <w:pPr>
        <w:pStyle w:val="19"/>
        <w:tabs>
          <w:tab w:val="right" w:leader="dot" w:pos="8845"/>
        </w:tabs>
        <w:ind w:firstLine="632"/>
      </w:pPr>
      <w:r>
        <w:fldChar w:fldCharType="begin"/>
      </w:r>
      <w:r>
        <w:instrText xml:space="preserve"> HYPERLINK \l "_Toc30319" </w:instrText>
      </w:r>
      <w:r>
        <w:fldChar w:fldCharType="separate"/>
      </w:r>
      <w:r>
        <w:rPr>
          <w:rFonts w:eastAsia="仿宋"/>
          <w:bCs/>
          <w:szCs w:val="28"/>
        </w:rPr>
        <w:t xml:space="preserve">5.7 </w:t>
      </w:r>
      <w:r>
        <w:rPr>
          <w:rFonts w:hint="eastAsia"/>
        </w:rPr>
        <w:t>Ⅰ</w:t>
      </w:r>
      <w:r>
        <w:t>级响应</w:t>
      </w:r>
      <w:r>
        <w:tab/>
      </w:r>
      <w:r>
        <w:fldChar w:fldCharType="begin"/>
      </w:r>
      <w:r>
        <w:instrText xml:space="preserve"> PAGEREF _Toc30319 \h </w:instrText>
      </w:r>
      <w:r>
        <w:fldChar w:fldCharType="separate"/>
      </w:r>
      <w:r>
        <w:t>57</w:t>
      </w:r>
      <w:r>
        <w:fldChar w:fldCharType="end"/>
      </w:r>
      <w:r>
        <w:fldChar w:fldCharType="end"/>
      </w:r>
    </w:p>
    <w:p w14:paraId="1A2EB781">
      <w:pPr>
        <w:pStyle w:val="19"/>
        <w:tabs>
          <w:tab w:val="right" w:leader="dot" w:pos="8845"/>
        </w:tabs>
        <w:ind w:firstLine="632"/>
      </w:pPr>
      <w:r>
        <w:fldChar w:fldCharType="begin"/>
      </w:r>
      <w:r>
        <w:instrText xml:space="preserve"> HYPERLINK \l "_Toc23997" </w:instrText>
      </w:r>
      <w:r>
        <w:fldChar w:fldCharType="separate"/>
      </w:r>
      <w:r>
        <w:rPr>
          <w:rFonts w:eastAsia="仿宋"/>
          <w:bCs/>
          <w:szCs w:val="28"/>
        </w:rPr>
        <w:t xml:space="preserve">5.8 </w:t>
      </w:r>
      <w:r>
        <w:rPr>
          <w:rFonts w:hint="eastAsia"/>
        </w:rPr>
        <w:t>人员撤离路线、安置地点和灾民安置方案</w:t>
      </w:r>
      <w:r>
        <w:tab/>
      </w:r>
      <w:r>
        <w:fldChar w:fldCharType="begin"/>
      </w:r>
      <w:r>
        <w:instrText xml:space="preserve"> PAGEREF _Toc23997 \h </w:instrText>
      </w:r>
      <w:r>
        <w:fldChar w:fldCharType="separate"/>
      </w:r>
      <w:r>
        <w:t>61</w:t>
      </w:r>
      <w:r>
        <w:fldChar w:fldCharType="end"/>
      </w:r>
      <w:r>
        <w:fldChar w:fldCharType="end"/>
      </w:r>
    </w:p>
    <w:p w14:paraId="0296CC34">
      <w:pPr>
        <w:pStyle w:val="19"/>
        <w:tabs>
          <w:tab w:val="right" w:leader="dot" w:pos="8845"/>
        </w:tabs>
        <w:ind w:firstLine="632"/>
      </w:pPr>
      <w:r>
        <w:fldChar w:fldCharType="begin"/>
      </w:r>
      <w:r>
        <w:instrText xml:space="preserve"> HYPERLINK \l "_Toc21859" </w:instrText>
      </w:r>
      <w:r>
        <w:fldChar w:fldCharType="separate"/>
      </w:r>
      <w:r>
        <w:rPr>
          <w:rFonts w:eastAsia="仿宋"/>
          <w:bCs/>
          <w:szCs w:val="28"/>
        </w:rPr>
        <w:t xml:space="preserve">5.9 </w:t>
      </w:r>
      <w:r>
        <w:t>不同灾害的应急响应措施</w:t>
      </w:r>
      <w:r>
        <w:tab/>
      </w:r>
      <w:r>
        <w:fldChar w:fldCharType="begin"/>
      </w:r>
      <w:r>
        <w:instrText xml:space="preserve"> PAGEREF _Toc21859 \h </w:instrText>
      </w:r>
      <w:r>
        <w:fldChar w:fldCharType="separate"/>
      </w:r>
      <w:r>
        <w:t>62</w:t>
      </w:r>
      <w:r>
        <w:fldChar w:fldCharType="end"/>
      </w:r>
      <w:r>
        <w:fldChar w:fldCharType="end"/>
      </w:r>
    </w:p>
    <w:p w14:paraId="32E8330E">
      <w:pPr>
        <w:pStyle w:val="19"/>
        <w:tabs>
          <w:tab w:val="right" w:leader="dot" w:pos="8845"/>
        </w:tabs>
        <w:ind w:firstLine="632"/>
      </w:pPr>
      <w:r>
        <w:fldChar w:fldCharType="begin"/>
      </w:r>
      <w:r>
        <w:instrText xml:space="preserve"> HYPERLINK \l "_Toc17711" </w:instrText>
      </w:r>
      <w:r>
        <w:fldChar w:fldCharType="separate"/>
      </w:r>
      <w:r>
        <w:rPr>
          <w:rFonts w:eastAsia="仿宋"/>
          <w:bCs/>
          <w:szCs w:val="28"/>
        </w:rPr>
        <w:t xml:space="preserve">5.10 </w:t>
      </w:r>
      <w:r>
        <w:t>信息报送和处理</w:t>
      </w:r>
      <w:r>
        <w:tab/>
      </w:r>
      <w:r>
        <w:fldChar w:fldCharType="begin"/>
      </w:r>
      <w:r>
        <w:instrText xml:space="preserve"> PAGEREF _Toc17711 \h </w:instrText>
      </w:r>
      <w:r>
        <w:fldChar w:fldCharType="separate"/>
      </w:r>
      <w:r>
        <w:t>68</w:t>
      </w:r>
      <w:r>
        <w:fldChar w:fldCharType="end"/>
      </w:r>
      <w:r>
        <w:fldChar w:fldCharType="end"/>
      </w:r>
    </w:p>
    <w:p w14:paraId="6B99D288">
      <w:pPr>
        <w:pStyle w:val="19"/>
        <w:tabs>
          <w:tab w:val="right" w:leader="dot" w:pos="8845"/>
        </w:tabs>
        <w:ind w:firstLine="632"/>
      </w:pPr>
      <w:r>
        <w:fldChar w:fldCharType="begin"/>
      </w:r>
      <w:r>
        <w:instrText xml:space="preserve"> HYPERLINK \l "_Toc4931" </w:instrText>
      </w:r>
      <w:r>
        <w:fldChar w:fldCharType="separate"/>
      </w:r>
      <w:r>
        <w:rPr>
          <w:rFonts w:eastAsia="仿宋"/>
          <w:bCs/>
          <w:szCs w:val="28"/>
        </w:rPr>
        <w:t xml:space="preserve">5.11 </w:t>
      </w:r>
      <w:r>
        <w:t>指挥和调度</w:t>
      </w:r>
      <w:r>
        <w:tab/>
      </w:r>
      <w:r>
        <w:fldChar w:fldCharType="begin"/>
      </w:r>
      <w:r>
        <w:instrText xml:space="preserve"> PAGEREF _Toc4931 \h </w:instrText>
      </w:r>
      <w:r>
        <w:fldChar w:fldCharType="separate"/>
      </w:r>
      <w:r>
        <w:t>70</w:t>
      </w:r>
      <w:r>
        <w:fldChar w:fldCharType="end"/>
      </w:r>
      <w:r>
        <w:fldChar w:fldCharType="end"/>
      </w:r>
    </w:p>
    <w:p w14:paraId="749D20A5">
      <w:pPr>
        <w:pStyle w:val="19"/>
        <w:tabs>
          <w:tab w:val="right" w:leader="dot" w:pos="8845"/>
        </w:tabs>
        <w:ind w:firstLine="632"/>
      </w:pPr>
      <w:r>
        <w:fldChar w:fldCharType="begin"/>
      </w:r>
      <w:r>
        <w:instrText xml:space="preserve"> HYPERLINK \l "_Toc11146" </w:instrText>
      </w:r>
      <w:r>
        <w:fldChar w:fldCharType="separate"/>
      </w:r>
      <w:r>
        <w:rPr>
          <w:rFonts w:eastAsia="仿宋"/>
          <w:bCs/>
          <w:szCs w:val="28"/>
        </w:rPr>
        <w:t xml:space="preserve">5.12 </w:t>
      </w:r>
      <w:r>
        <w:t>抢险救灾</w:t>
      </w:r>
      <w:r>
        <w:tab/>
      </w:r>
      <w:r>
        <w:fldChar w:fldCharType="begin"/>
      </w:r>
      <w:r>
        <w:instrText xml:space="preserve"> PAGEREF _Toc11146 \h </w:instrText>
      </w:r>
      <w:r>
        <w:fldChar w:fldCharType="separate"/>
      </w:r>
      <w:r>
        <w:t>71</w:t>
      </w:r>
      <w:r>
        <w:fldChar w:fldCharType="end"/>
      </w:r>
      <w:r>
        <w:fldChar w:fldCharType="end"/>
      </w:r>
    </w:p>
    <w:p w14:paraId="26597C9E">
      <w:pPr>
        <w:pStyle w:val="19"/>
        <w:tabs>
          <w:tab w:val="right" w:leader="dot" w:pos="8845"/>
        </w:tabs>
        <w:ind w:firstLine="632"/>
      </w:pPr>
      <w:r>
        <w:fldChar w:fldCharType="begin"/>
      </w:r>
      <w:r>
        <w:instrText xml:space="preserve"> HYPERLINK \l "_Toc2655" </w:instrText>
      </w:r>
      <w:r>
        <w:fldChar w:fldCharType="separate"/>
      </w:r>
      <w:r>
        <w:rPr>
          <w:rFonts w:eastAsia="仿宋"/>
          <w:bCs/>
          <w:szCs w:val="28"/>
        </w:rPr>
        <w:t xml:space="preserve">5.13 </w:t>
      </w:r>
      <w:r>
        <w:t>安全防护和医疗救护</w:t>
      </w:r>
      <w:r>
        <w:tab/>
      </w:r>
      <w:r>
        <w:fldChar w:fldCharType="begin"/>
      </w:r>
      <w:r>
        <w:instrText xml:space="preserve"> PAGEREF _Toc2655 \h </w:instrText>
      </w:r>
      <w:r>
        <w:fldChar w:fldCharType="separate"/>
      </w:r>
      <w:r>
        <w:t>72</w:t>
      </w:r>
      <w:r>
        <w:fldChar w:fldCharType="end"/>
      </w:r>
      <w:r>
        <w:fldChar w:fldCharType="end"/>
      </w:r>
    </w:p>
    <w:p w14:paraId="5C476E79">
      <w:pPr>
        <w:pStyle w:val="19"/>
        <w:tabs>
          <w:tab w:val="right" w:leader="dot" w:pos="8845"/>
        </w:tabs>
        <w:ind w:firstLine="632"/>
      </w:pPr>
      <w:r>
        <w:fldChar w:fldCharType="begin"/>
      </w:r>
      <w:r>
        <w:instrText xml:space="preserve"> HYPERLINK \l "_Toc10577" </w:instrText>
      </w:r>
      <w:r>
        <w:fldChar w:fldCharType="separate"/>
      </w:r>
      <w:r>
        <w:rPr>
          <w:rFonts w:eastAsia="仿宋"/>
          <w:bCs/>
          <w:szCs w:val="28"/>
        </w:rPr>
        <w:t xml:space="preserve">5.14 </w:t>
      </w:r>
      <w:r>
        <w:t>社会力量动员与参与</w:t>
      </w:r>
      <w:r>
        <w:tab/>
      </w:r>
      <w:r>
        <w:fldChar w:fldCharType="begin"/>
      </w:r>
      <w:r>
        <w:instrText xml:space="preserve"> PAGEREF _Toc10577 \h </w:instrText>
      </w:r>
      <w:r>
        <w:fldChar w:fldCharType="separate"/>
      </w:r>
      <w:r>
        <w:t>73</w:t>
      </w:r>
      <w:r>
        <w:fldChar w:fldCharType="end"/>
      </w:r>
      <w:r>
        <w:fldChar w:fldCharType="end"/>
      </w:r>
    </w:p>
    <w:p w14:paraId="54DE6D73">
      <w:pPr>
        <w:pStyle w:val="19"/>
        <w:tabs>
          <w:tab w:val="right" w:leader="dot" w:pos="8845"/>
        </w:tabs>
        <w:ind w:firstLine="632"/>
      </w:pPr>
      <w:r>
        <w:fldChar w:fldCharType="begin"/>
      </w:r>
      <w:r>
        <w:instrText xml:space="preserve"> HYPERLINK \l "_Toc17108" </w:instrText>
      </w:r>
      <w:r>
        <w:fldChar w:fldCharType="separate"/>
      </w:r>
      <w:r>
        <w:rPr>
          <w:rFonts w:eastAsia="仿宋"/>
          <w:bCs/>
          <w:szCs w:val="28"/>
        </w:rPr>
        <w:t xml:space="preserve">5.15 </w:t>
      </w:r>
      <w:r>
        <w:t>信息发布</w:t>
      </w:r>
      <w:r>
        <w:tab/>
      </w:r>
      <w:r>
        <w:fldChar w:fldCharType="begin"/>
      </w:r>
      <w:r>
        <w:instrText xml:space="preserve"> PAGEREF _Toc17108 \h </w:instrText>
      </w:r>
      <w:r>
        <w:fldChar w:fldCharType="separate"/>
      </w:r>
      <w:r>
        <w:t>73</w:t>
      </w:r>
      <w:r>
        <w:fldChar w:fldCharType="end"/>
      </w:r>
      <w:r>
        <w:fldChar w:fldCharType="end"/>
      </w:r>
    </w:p>
    <w:p w14:paraId="71C7111C">
      <w:pPr>
        <w:pStyle w:val="19"/>
        <w:tabs>
          <w:tab w:val="right" w:leader="dot" w:pos="8845"/>
        </w:tabs>
        <w:ind w:firstLine="632"/>
      </w:pPr>
      <w:r>
        <w:fldChar w:fldCharType="begin"/>
      </w:r>
      <w:r>
        <w:instrText xml:space="preserve"> HYPERLINK \l "_Toc22833" </w:instrText>
      </w:r>
      <w:r>
        <w:fldChar w:fldCharType="separate"/>
      </w:r>
      <w:r>
        <w:rPr>
          <w:rFonts w:eastAsia="仿宋"/>
          <w:bCs/>
          <w:szCs w:val="28"/>
        </w:rPr>
        <w:t xml:space="preserve">5.16 </w:t>
      </w:r>
      <w:r>
        <w:t>应急响应终止</w:t>
      </w:r>
      <w:r>
        <w:tab/>
      </w:r>
      <w:r>
        <w:fldChar w:fldCharType="begin"/>
      </w:r>
      <w:r>
        <w:instrText xml:space="preserve"> PAGEREF _Toc22833 \h </w:instrText>
      </w:r>
      <w:r>
        <w:fldChar w:fldCharType="separate"/>
      </w:r>
      <w:r>
        <w:t>73</w:t>
      </w:r>
      <w:r>
        <w:fldChar w:fldCharType="end"/>
      </w:r>
      <w:r>
        <w:fldChar w:fldCharType="end"/>
      </w:r>
    </w:p>
    <w:p w14:paraId="556B0BB2">
      <w:pPr>
        <w:pStyle w:val="18"/>
      </w:pPr>
      <w:r>
        <w:fldChar w:fldCharType="begin"/>
      </w:r>
      <w:r>
        <w:instrText xml:space="preserve"> HYPERLINK \l "_Toc23450" </w:instrText>
      </w:r>
      <w:r>
        <w:fldChar w:fldCharType="separate"/>
      </w:r>
      <w:r>
        <w:rPr>
          <w:rFonts w:eastAsia="仿宋"/>
        </w:rPr>
        <w:t xml:space="preserve">6 </w:t>
      </w:r>
      <w:r>
        <w:t>应急保障</w:t>
      </w:r>
      <w:r>
        <w:tab/>
      </w:r>
      <w:r>
        <w:fldChar w:fldCharType="begin"/>
      </w:r>
      <w:r>
        <w:instrText xml:space="preserve"> PAGEREF _Toc23450 \h </w:instrText>
      </w:r>
      <w:r>
        <w:fldChar w:fldCharType="separate"/>
      </w:r>
      <w:r>
        <w:t>74</w:t>
      </w:r>
      <w:r>
        <w:fldChar w:fldCharType="end"/>
      </w:r>
      <w:r>
        <w:fldChar w:fldCharType="end"/>
      </w:r>
    </w:p>
    <w:p w14:paraId="792EEFD0">
      <w:pPr>
        <w:pStyle w:val="19"/>
        <w:tabs>
          <w:tab w:val="right" w:leader="dot" w:pos="8845"/>
        </w:tabs>
        <w:ind w:firstLine="632"/>
      </w:pPr>
      <w:r>
        <w:fldChar w:fldCharType="begin"/>
      </w:r>
      <w:r>
        <w:instrText xml:space="preserve"> HYPERLINK \l "_Toc31060" </w:instrText>
      </w:r>
      <w:r>
        <w:fldChar w:fldCharType="separate"/>
      </w:r>
      <w:r>
        <w:rPr>
          <w:rFonts w:eastAsia="仿宋"/>
          <w:bCs/>
          <w:szCs w:val="28"/>
        </w:rPr>
        <w:t xml:space="preserve">6.1 </w:t>
      </w:r>
      <w:r>
        <w:t>通信与信息保障</w:t>
      </w:r>
      <w:r>
        <w:tab/>
      </w:r>
      <w:r>
        <w:fldChar w:fldCharType="begin"/>
      </w:r>
      <w:r>
        <w:instrText xml:space="preserve"> PAGEREF _Toc31060 \h </w:instrText>
      </w:r>
      <w:r>
        <w:fldChar w:fldCharType="separate"/>
      </w:r>
      <w:r>
        <w:t>74</w:t>
      </w:r>
      <w:r>
        <w:fldChar w:fldCharType="end"/>
      </w:r>
      <w:r>
        <w:fldChar w:fldCharType="end"/>
      </w:r>
    </w:p>
    <w:p w14:paraId="2977B396">
      <w:pPr>
        <w:pStyle w:val="19"/>
        <w:tabs>
          <w:tab w:val="right" w:leader="dot" w:pos="8845"/>
        </w:tabs>
        <w:ind w:firstLine="632"/>
      </w:pPr>
      <w:r>
        <w:fldChar w:fldCharType="begin"/>
      </w:r>
      <w:r>
        <w:instrText xml:space="preserve"> HYPERLINK \l "_Toc4343" </w:instrText>
      </w:r>
      <w:r>
        <w:fldChar w:fldCharType="separate"/>
      </w:r>
      <w:r>
        <w:rPr>
          <w:rFonts w:eastAsia="仿宋"/>
          <w:bCs/>
          <w:szCs w:val="28"/>
        </w:rPr>
        <w:t xml:space="preserve">6.2 </w:t>
      </w:r>
      <w:r>
        <w:t>应急支援与装备保障</w:t>
      </w:r>
      <w:r>
        <w:tab/>
      </w:r>
      <w:r>
        <w:fldChar w:fldCharType="begin"/>
      </w:r>
      <w:r>
        <w:instrText xml:space="preserve"> PAGEREF _Toc4343 \h </w:instrText>
      </w:r>
      <w:r>
        <w:fldChar w:fldCharType="separate"/>
      </w:r>
      <w:r>
        <w:t>75</w:t>
      </w:r>
      <w:r>
        <w:fldChar w:fldCharType="end"/>
      </w:r>
      <w:r>
        <w:fldChar w:fldCharType="end"/>
      </w:r>
    </w:p>
    <w:p w14:paraId="37F19302">
      <w:pPr>
        <w:pStyle w:val="19"/>
        <w:tabs>
          <w:tab w:val="right" w:leader="dot" w:pos="8845"/>
        </w:tabs>
        <w:ind w:firstLine="632"/>
      </w:pPr>
      <w:r>
        <w:fldChar w:fldCharType="begin"/>
      </w:r>
      <w:r>
        <w:instrText xml:space="preserve"> HYPERLINK \l "_Toc6276" </w:instrText>
      </w:r>
      <w:r>
        <w:fldChar w:fldCharType="separate"/>
      </w:r>
      <w:r>
        <w:rPr>
          <w:rFonts w:eastAsia="仿宋"/>
          <w:bCs/>
          <w:szCs w:val="28"/>
        </w:rPr>
        <w:t xml:space="preserve">6.3 </w:t>
      </w:r>
      <w:r>
        <w:t>技术保障</w:t>
      </w:r>
      <w:r>
        <w:tab/>
      </w:r>
      <w:r>
        <w:fldChar w:fldCharType="begin"/>
      </w:r>
      <w:r>
        <w:instrText xml:space="preserve"> PAGEREF _Toc6276 \h </w:instrText>
      </w:r>
      <w:r>
        <w:fldChar w:fldCharType="separate"/>
      </w:r>
      <w:r>
        <w:t>79</w:t>
      </w:r>
      <w:r>
        <w:fldChar w:fldCharType="end"/>
      </w:r>
      <w:r>
        <w:fldChar w:fldCharType="end"/>
      </w:r>
    </w:p>
    <w:p w14:paraId="6E3E0573">
      <w:pPr>
        <w:pStyle w:val="19"/>
        <w:tabs>
          <w:tab w:val="right" w:leader="dot" w:pos="8845"/>
        </w:tabs>
        <w:ind w:firstLine="632"/>
      </w:pPr>
      <w:r>
        <w:fldChar w:fldCharType="begin"/>
      </w:r>
      <w:r>
        <w:instrText xml:space="preserve"> HYPERLINK \l "_Toc29615" </w:instrText>
      </w:r>
      <w:r>
        <w:fldChar w:fldCharType="separate"/>
      </w:r>
      <w:r>
        <w:rPr>
          <w:rFonts w:eastAsia="仿宋"/>
          <w:bCs/>
          <w:szCs w:val="28"/>
        </w:rPr>
        <w:t xml:space="preserve">6.4 </w:t>
      </w:r>
      <w:r>
        <w:t>宣传</w:t>
      </w:r>
      <w:r>
        <w:tab/>
      </w:r>
      <w:r>
        <w:fldChar w:fldCharType="begin"/>
      </w:r>
      <w:r>
        <w:instrText xml:space="preserve"> PAGEREF _Toc29615 \h </w:instrText>
      </w:r>
      <w:r>
        <w:fldChar w:fldCharType="separate"/>
      </w:r>
      <w:r>
        <w:t>79</w:t>
      </w:r>
      <w:r>
        <w:fldChar w:fldCharType="end"/>
      </w:r>
      <w:r>
        <w:fldChar w:fldCharType="end"/>
      </w:r>
    </w:p>
    <w:p w14:paraId="3441BFC3">
      <w:pPr>
        <w:pStyle w:val="19"/>
        <w:tabs>
          <w:tab w:val="right" w:leader="dot" w:pos="8845"/>
        </w:tabs>
        <w:ind w:firstLine="632"/>
      </w:pPr>
      <w:r>
        <w:fldChar w:fldCharType="begin"/>
      </w:r>
      <w:r>
        <w:instrText xml:space="preserve"> HYPERLINK \l "_Toc13615" </w:instrText>
      </w:r>
      <w:r>
        <w:fldChar w:fldCharType="separate"/>
      </w:r>
      <w:r>
        <w:rPr>
          <w:rFonts w:eastAsia="仿宋"/>
          <w:bCs/>
          <w:szCs w:val="28"/>
        </w:rPr>
        <w:t xml:space="preserve">6.5 </w:t>
      </w:r>
      <w:r>
        <w:t>培训和演练</w:t>
      </w:r>
      <w:r>
        <w:tab/>
      </w:r>
      <w:r>
        <w:fldChar w:fldCharType="begin"/>
      </w:r>
      <w:r>
        <w:instrText xml:space="preserve"> PAGEREF _Toc13615 \h </w:instrText>
      </w:r>
      <w:r>
        <w:fldChar w:fldCharType="separate"/>
      </w:r>
      <w:r>
        <w:t>80</w:t>
      </w:r>
      <w:r>
        <w:fldChar w:fldCharType="end"/>
      </w:r>
      <w:r>
        <w:fldChar w:fldCharType="end"/>
      </w:r>
    </w:p>
    <w:p w14:paraId="753AD13E">
      <w:pPr>
        <w:pStyle w:val="18"/>
      </w:pPr>
      <w:r>
        <w:fldChar w:fldCharType="begin"/>
      </w:r>
      <w:r>
        <w:instrText xml:space="preserve"> HYPERLINK \l "_Toc15960" </w:instrText>
      </w:r>
      <w:r>
        <w:fldChar w:fldCharType="separate"/>
      </w:r>
      <w:r>
        <w:rPr>
          <w:rFonts w:eastAsia="仿宋"/>
        </w:rPr>
        <w:t xml:space="preserve">7 </w:t>
      </w:r>
      <w:r>
        <w:t>善后工作</w:t>
      </w:r>
      <w:r>
        <w:tab/>
      </w:r>
      <w:r>
        <w:fldChar w:fldCharType="begin"/>
      </w:r>
      <w:r>
        <w:instrText xml:space="preserve"> PAGEREF _Toc15960 \h </w:instrText>
      </w:r>
      <w:r>
        <w:fldChar w:fldCharType="separate"/>
      </w:r>
      <w:r>
        <w:t>81</w:t>
      </w:r>
      <w:r>
        <w:fldChar w:fldCharType="end"/>
      </w:r>
      <w:r>
        <w:fldChar w:fldCharType="end"/>
      </w:r>
    </w:p>
    <w:p w14:paraId="011537A7">
      <w:pPr>
        <w:pStyle w:val="19"/>
        <w:tabs>
          <w:tab w:val="right" w:leader="dot" w:pos="8845"/>
        </w:tabs>
        <w:ind w:firstLine="632"/>
      </w:pPr>
      <w:r>
        <w:fldChar w:fldCharType="begin"/>
      </w:r>
      <w:r>
        <w:instrText xml:space="preserve"> HYPERLINK \l "_Toc9679" </w:instrText>
      </w:r>
      <w:r>
        <w:fldChar w:fldCharType="separate"/>
      </w:r>
      <w:r>
        <w:rPr>
          <w:rFonts w:eastAsia="仿宋"/>
          <w:bCs/>
          <w:szCs w:val="28"/>
        </w:rPr>
        <w:t xml:space="preserve">7.1 </w:t>
      </w:r>
      <w:r>
        <w:t>救灾</w:t>
      </w:r>
      <w:r>
        <w:tab/>
      </w:r>
      <w:r>
        <w:fldChar w:fldCharType="begin"/>
      </w:r>
      <w:r>
        <w:instrText xml:space="preserve"> PAGEREF _Toc9679 \h </w:instrText>
      </w:r>
      <w:r>
        <w:fldChar w:fldCharType="separate"/>
      </w:r>
      <w:r>
        <w:t>81</w:t>
      </w:r>
      <w:r>
        <w:fldChar w:fldCharType="end"/>
      </w:r>
      <w:r>
        <w:fldChar w:fldCharType="end"/>
      </w:r>
    </w:p>
    <w:p w14:paraId="595281C2">
      <w:pPr>
        <w:pStyle w:val="19"/>
        <w:tabs>
          <w:tab w:val="right" w:leader="dot" w:pos="8845"/>
        </w:tabs>
        <w:ind w:firstLine="632"/>
      </w:pPr>
      <w:r>
        <w:fldChar w:fldCharType="begin"/>
      </w:r>
      <w:r>
        <w:instrText xml:space="preserve"> HYPERLINK \l "_Toc25285" </w:instrText>
      </w:r>
      <w:r>
        <w:fldChar w:fldCharType="separate"/>
      </w:r>
      <w:r>
        <w:rPr>
          <w:rFonts w:eastAsia="仿宋"/>
          <w:bCs/>
          <w:szCs w:val="28"/>
        </w:rPr>
        <w:t xml:space="preserve">7.2 </w:t>
      </w:r>
      <w:r>
        <w:t>防汛物资补充</w:t>
      </w:r>
      <w:r>
        <w:tab/>
      </w:r>
      <w:r>
        <w:fldChar w:fldCharType="begin"/>
      </w:r>
      <w:r>
        <w:instrText xml:space="preserve"> PAGEREF _Toc25285 \h </w:instrText>
      </w:r>
      <w:r>
        <w:fldChar w:fldCharType="separate"/>
      </w:r>
      <w:r>
        <w:t>82</w:t>
      </w:r>
      <w:r>
        <w:fldChar w:fldCharType="end"/>
      </w:r>
      <w:r>
        <w:fldChar w:fldCharType="end"/>
      </w:r>
    </w:p>
    <w:p w14:paraId="656CDF2E">
      <w:pPr>
        <w:pStyle w:val="19"/>
        <w:tabs>
          <w:tab w:val="right" w:leader="dot" w:pos="8845"/>
        </w:tabs>
        <w:ind w:firstLine="632"/>
      </w:pPr>
      <w:r>
        <w:fldChar w:fldCharType="begin"/>
      </w:r>
      <w:r>
        <w:instrText xml:space="preserve"> HYPERLINK \l "_Toc7488" </w:instrText>
      </w:r>
      <w:r>
        <w:fldChar w:fldCharType="separate"/>
      </w:r>
      <w:r>
        <w:rPr>
          <w:rFonts w:eastAsia="仿宋"/>
          <w:bCs/>
          <w:szCs w:val="28"/>
        </w:rPr>
        <w:t xml:space="preserve">7.3 </w:t>
      </w:r>
      <w:r>
        <w:t>水毁工程修复</w:t>
      </w:r>
      <w:r>
        <w:tab/>
      </w:r>
      <w:r>
        <w:fldChar w:fldCharType="begin"/>
      </w:r>
      <w:r>
        <w:instrText xml:space="preserve"> PAGEREF _Toc7488 \h </w:instrText>
      </w:r>
      <w:r>
        <w:fldChar w:fldCharType="separate"/>
      </w:r>
      <w:r>
        <w:t>82</w:t>
      </w:r>
      <w:r>
        <w:fldChar w:fldCharType="end"/>
      </w:r>
      <w:r>
        <w:fldChar w:fldCharType="end"/>
      </w:r>
    </w:p>
    <w:p w14:paraId="32EBF465">
      <w:pPr>
        <w:pStyle w:val="19"/>
        <w:tabs>
          <w:tab w:val="right" w:leader="dot" w:pos="8845"/>
        </w:tabs>
        <w:ind w:firstLine="632"/>
      </w:pPr>
      <w:r>
        <w:fldChar w:fldCharType="begin"/>
      </w:r>
      <w:r>
        <w:instrText xml:space="preserve"> HYPERLINK \l "_Toc30571" </w:instrText>
      </w:r>
      <w:r>
        <w:fldChar w:fldCharType="separate"/>
      </w:r>
      <w:r>
        <w:rPr>
          <w:rFonts w:eastAsia="仿宋"/>
          <w:bCs/>
          <w:szCs w:val="28"/>
        </w:rPr>
        <w:t xml:space="preserve">7.4 </w:t>
      </w:r>
      <w:r>
        <w:t>灾后重建</w:t>
      </w:r>
      <w:r>
        <w:tab/>
      </w:r>
      <w:r>
        <w:fldChar w:fldCharType="begin"/>
      </w:r>
      <w:r>
        <w:instrText xml:space="preserve"> PAGEREF _Toc30571 \h </w:instrText>
      </w:r>
      <w:r>
        <w:fldChar w:fldCharType="separate"/>
      </w:r>
      <w:r>
        <w:t>82</w:t>
      </w:r>
      <w:r>
        <w:fldChar w:fldCharType="end"/>
      </w:r>
      <w:r>
        <w:fldChar w:fldCharType="end"/>
      </w:r>
    </w:p>
    <w:p w14:paraId="2FC4E98A">
      <w:pPr>
        <w:pStyle w:val="19"/>
        <w:tabs>
          <w:tab w:val="right" w:leader="dot" w:pos="8845"/>
        </w:tabs>
        <w:ind w:firstLine="632"/>
      </w:pPr>
      <w:r>
        <w:fldChar w:fldCharType="begin"/>
      </w:r>
      <w:r>
        <w:instrText xml:space="preserve"> HYPERLINK \l "_Toc29444" </w:instrText>
      </w:r>
      <w:r>
        <w:fldChar w:fldCharType="separate"/>
      </w:r>
      <w:r>
        <w:rPr>
          <w:rFonts w:eastAsia="仿宋"/>
          <w:bCs/>
          <w:szCs w:val="28"/>
        </w:rPr>
        <w:t xml:space="preserve">7.5 </w:t>
      </w:r>
      <w:r>
        <w:t>防汛工作评价与灾害评估</w:t>
      </w:r>
      <w:r>
        <w:tab/>
      </w:r>
      <w:r>
        <w:fldChar w:fldCharType="begin"/>
      </w:r>
      <w:r>
        <w:instrText xml:space="preserve"> PAGEREF _Toc29444 \h </w:instrText>
      </w:r>
      <w:r>
        <w:fldChar w:fldCharType="separate"/>
      </w:r>
      <w:r>
        <w:t>83</w:t>
      </w:r>
      <w:r>
        <w:fldChar w:fldCharType="end"/>
      </w:r>
      <w:r>
        <w:fldChar w:fldCharType="end"/>
      </w:r>
    </w:p>
    <w:p w14:paraId="7A52AAF5">
      <w:pPr>
        <w:pStyle w:val="18"/>
      </w:pPr>
      <w:r>
        <w:fldChar w:fldCharType="begin"/>
      </w:r>
      <w:r>
        <w:instrText xml:space="preserve"> HYPERLINK \l "_Toc11550" </w:instrText>
      </w:r>
      <w:r>
        <w:fldChar w:fldCharType="separate"/>
      </w:r>
      <w:r>
        <w:rPr>
          <w:rFonts w:eastAsia="仿宋"/>
        </w:rPr>
        <w:t xml:space="preserve">8 </w:t>
      </w:r>
      <w:r>
        <w:t>附则</w:t>
      </w:r>
      <w:r>
        <w:tab/>
      </w:r>
      <w:r>
        <w:fldChar w:fldCharType="begin"/>
      </w:r>
      <w:r>
        <w:instrText xml:space="preserve"> PAGEREF _Toc11550 \h </w:instrText>
      </w:r>
      <w:r>
        <w:fldChar w:fldCharType="separate"/>
      </w:r>
      <w:r>
        <w:t>83</w:t>
      </w:r>
      <w:r>
        <w:fldChar w:fldCharType="end"/>
      </w:r>
      <w:r>
        <w:fldChar w:fldCharType="end"/>
      </w:r>
    </w:p>
    <w:p w14:paraId="5B59085C">
      <w:pPr>
        <w:pStyle w:val="19"/>
        <w:tabs>
          <w:tab w:val="right" w:leader="dot" w:pos="8845"/>
        </w:tabs>
        <w:ind w:firstLine="632"/>
      </w:pPr>
      <w:r>
        <w:fldChar w:fldCharType="begin"/>
      </w:r>
      <w:r>
        <w:instrText xml:space="preserve"> HYPERLINK \l "_Toc22161" </w:instrText>
      </w:r>
      <w:r>
        <w:fldChar w:fldCharType="separate"/>
      </w:r>
      <w:r>
        <w:rPr>
          <w:rFonts w:eastAsia="仿宋"/>
          <w:bCs/>
          <w:szCs w:val="28"/>
        </w:rPr>
        <w:t xml:space="preserve">8.1 </w:t>
      </w:r>
      <w:r>
        <w:t>名词术语定义</w:t>
      </w:r>
      <w:r>
        <w:tab/>
      </w:r>
      <w:r>
        <w:fldChar w:fldCharType="begin"/>
      </w:r>
      <w:r>
        <w:instrText xml:space="preserve"> PAGEREF _Toc22161 \h </w:instrText>
      </w:r>
      <w:r>
        <w:fldChar w:fldCharType="separate"/>
      </w:r>
      <w:r>
        <w:t>83</w:t>
      </w:r>
      <w:r>
        <w:fldChar w:fldCharType="end"/>
      </w:r>
      <w:r>
        <w:fldChar w:fldCharType="end"/>
      </w:r>
    </w:p>
    <w:p w14:paraId="63811F9C">
      <w:pPr>
        <w:pStyle w:val="19"/>
        <w:tabs>
          <w:tab w:val="right" w:leader="dot" w:pos="8845"/>
        </w:tabs>
        <w:ind w:firstLine="632"/>
      </w:pPr>
      <w:r>
        <w:fldChar w:fldCharType="begin"/>
      </w:r>
      <w:r>
        <w:instrText xml:space="preserve"> HYPERLINK \l "_Toc30629" </w:instrText>
      </w:r>
      <w:r>
        <w:fldChar w:fldCharType="separate"/>
      </w:r>
      <w:r>
        <w:rPr>
          <w:rFonts w:eastAsia="仿宋"/>
          <w:bCs/>
          <w:szCs w:val="28"/>
        </w:rPr>
        <w:t xml:space="preserve">8.2 </w:t>
      </w:r>
      <w:r>
        <w:t>预案更新</w:t>
      </w:r>
      <w:r>
        <w:tab/>
      </w:r>
      <w:r>
        <w:fldChar w:fldCharType="begin"/>
      </w:r>
      <w:r>
        <w:instrText xml:space="preserve"> PAGEREF _Toc30629 \h </w:instrText>
      </w:r>
      <w:r>
        <w:fldChar w:fldCharType="separate"/>
      </w:r>
      <w:r>
        <w:t>87</w:t>
      </w:r>
      <w:r>
        <w:fldChar w:fldCharType="end"/>
      </w:r>
      <w:r>
        <w:fldChar w:fldCharType="end"/>
      </w:r>
    </w:p>
    <w:p w14:paraId="46344A50">
      <w:pPr>
        <w:pStyle w:val="19"/>
        <w:tabs>
          <w:tab w:val="right" w:leader="dot" w:pos="8845"/>
        </w:tabs>
        <w:ind w:firstLine="632"/>
      </w:pPr>
      <w:r>
        <w:fldChar w:fldCharType="begin"/>
      </w:r>
      <w:r>
        <w:instrText xml:space="preserve"> HYPERLINK \l "_Toc3605" </w:instrText>
      </w:r>
      <w:r>
        <w:fldChar w:fldCharType="separate"/>
      </w:r>
      <w:r>
        <w:rPr>
          <w:rFonts w:eastAsia="仿宋"/>
          <w:bCs/>
          <w:szCs w:val="28"/>
        </w:rPr>
        <w:t xml:space="preserve">8.3 </w:t>
      </w:r>
      <w:r>
        <w:t>奖励与责任追究</w:t>
      </w:r>
      <w:r>
        <w:tab/>
      </w:r>
      <w:r>
        <w:fldChar w:fldCharType="begin"/>
      </w:r>
      <w:r>
        <w:instrText xml:space="preserve"> PAGEREF _Toc3605 \h </w:instrText>
      </w:r>
      <w:r>
        <w:fldChar w:fldCharType="separate"/>
      </w:r>
      <w:r>
        <w:t>87</w:t>
      </w:r>
      <w:r>
        <w:fldChar w:fldCharType="end"/>
      </w:r>
      <w:r>
        <w:fldChar w:fldCharType="end"/>
      </w:r>
    </w:p>
    <w:p w14:paraId="5EAEAD32">
      <w:pPr>
        <w:pStyle w:val="19"/>
        <w:tabs>
          <w:tab w:val="right" w:leader="dot" w:pos="8845"/>
        </w:tabs>
        <w:ind w:firstLine="632"/>
      </w:pPr>
      <w:r>
        <w:fldChar w:fldCharType="begin"/>
      </w:r>
      <w:r>
        <w:instrText xml:space="preserve"> HYPERLINK \l "_Toc10221" </w:instrText>
      </w:r>
      <w:r>
        <w:fldChar w:fldCharType="separate"/>
      </w:r>
      <w:r>
        <w:rPr>
          <w:rFonts w:eastAsia="仿宋"/>
          <w:bCs/>
          <w:szCs w:val="28"/>
        </w:rPr>
        <w:t xml:space="preserve">8.4 </w:t>
      </w:r>
      <w:r>
        <w:rPr>
          <w:rFonts w:hint="eastAsia" w:ascii="Times New Roman" w:hAnsi="Times New Roman"/>
        </w:rPr>
        <w:t>预案制定与解释</w:t>
      </w:r>
      <w:r>
        <w:tab/>
      </w:r>
      <w:r>
        <w:fldChar w:fldCharType="begin"/>
      </w:r>
      <w:r>
        <w:instrText xml:space="preserve"> PAGEREF _Toc10221 \h </w:instrText>
      </w:r>
      <w:r>
        <w:fldChar w:fldCharType="separate"/>
      </w:r>
      <w:r>
        <w:t>88</w:t>
      </w:r>
      <w:r>
        <w:fldChar w:fldCharType="end"/>
      </w:r>
      <w:r>
        <w:fldChar w:fldCharType="end"/>
      </w:r>
    </w:p>
    <w:p w14:paraId="566F6030">
      <w:pPr>
        <w:pStyle w:val="19"/>
        <w:tabs>
          <w:tab w:val="right" w:leader="dot" w:pos="8845"/>
        </w:tabs>
        <w:ind w:firstLine="632"/>
      </w:pPr>
      <w:r>
        <w:fldChar w:fldCharType="begin"/>
      </w:r>
      <w:r>
        <w:instrText xml:space="preserve"> HYPERLINK \l "_Toc9305" </w:instrText>
      </w:r>
      <w:r>
        <w:fldChar w:fldCharType="separate"/>
      </w:r>
      <w:r>
        <w:rPr>
          <w:rFonts w:eastAsia="仿宋"/>
          <w:bCs/>
          <w:szCs w:val="28"/>
        </w:rPr>
        <w:t xml:space="preserve">8.5 </w:t>
      </w:r>
      <w:r>
        <w:rPr>
          <w:rFonts w:hint="eastAsia" w:ascii="Times New Roman" w:hAnsi="Times New Roman"/>
        </w:rPr>
        <w:t>预案中“以上”“以下”的含义</w:t>
      </w:r>
      <w:r>
        <w:tab/>
      </w:r>
      <w:r>
        <w:fldChar w:fldCharType="begin"/>
      </w:r>
      <w:r>
        <w:instrText xml:space="preserve"> PAGEREF _Toc9305 \h </w:instrText>
      </w:r>
      <w:r>
        <w:fldChar w:fldCharType="separate"/>
      </w:r>
      <w:r>
        <w:t>88</w:t>
      </w:r>
      <w:r>
        <w:fldChar w:fldCharType="end"/>
      </w:r>
      <w:r>
        <w:fldChar w:fldCharType="end"/>
      </w:r>
    </w:p>
    <w:p w14:paraId="62080B18">
      <w:pPr>
        <w:pStyle w:val="19"/>
        <w:tabs>
          <w:tab w:val="right" w:leader="dot" w:pos="8845"/>
        </w:tabs>
        <w:ind w:firstLine="632"/>
      </w:pPr>
      <w:r>
        <w:fldChar w:fldCharType="begin"/>
      </w:r>
      <w:r>
        <w:instrText xml:space="preserve"> HYPERLINK \l "_Toc27883" </w:instrText>
      </w:r>
      <w:r>
        <w:fldChar w:fldCharType="separate"/>
      </w:r>
      <w:r>
        <w:rPr>
          <w:rFonts w:eastAsia="仿宋"/>
          <w:bCs/>
          <w:szCs w:val="28"/>
        </w:rPr>
        <w:t xml:space="preserve">8.6 </w:t>
      </w:r>
      <w:r>
        <w:rPr>
          <w:rFonts w:hint="eastAsia" w:ascii="Times New Roman" w:hAnsi="Times New Roman"/>
        </w:rPr>
        <w:t>预案的实施</w:t>
      </w:r>
      <w:r>
        <w:tab/>
      </w:r>
      <w:r>
        <w:fldChar w:fldCharType="begin"/>
      </w:r>
      <w:r>
        <w:instrText xml:space="preserve"> PAGEREF _Toc27883 \h </w:instrText>
      </w:r>
      <w:r>
        <w:fldChar w:fldCharType="separate"/>
      </w:r>
      <w:r>
        <w:t>88</w:t>
      </w:r>
      <w:r>
        <w:fldChar w:fldCharType="end"/>
      </w:r>
      <w:r>
        <w:fldChar w:fldCharType="end"/>
      </w:r>
    </w:p>
    <w:p w14:paraId="25C1A027">
      <w:pPr>
        <w:ind w:firstLine="0" w:firstLineChars="0"/>
        <w:rPr>
          <w:rFonts w:ascii="黑体" w:hAnsi="黑体" w:eastAsia="黑体" w:cs="黑体"/>
          <w:szCs w:val="44"/>
        </w:rPr>
      </w:pPr>
      <w:r>
        <w:rPr>
          <w:rFonts w:hint="eastAsia" w:ascii="黑体" w:hAnsi="黑体" w:eastAsia="黑体" w:cs="黑体"/>
          <w:szCs w:val="44"/>
        </w:rPr>
        <w:fldChar w:fldCharType="end"/>
      </w:r>
      <w:r>
        <w:rPr>
          <w:rFonts w:hint="eastAsia" w:ascii="黑体" w:hAnsi="黑体" w:eastAsia="黑体" w:cs="黑体"/>
          <w:szCs w:val="44"/>
        </w:rPr>
        <w:t xml:space="preserve"> </w:t>
      </w:r>
    </w:p>
    <w:p w14:paraId="5D9B0640">
      <w:pPr>
        <w:pStyle w:val="2"/>
        <w:rPr>
          <w:sz w:val="32"/>
          <w:szCs w:val="32"/>
        </w:rPr>
        <w:sectPr>
          <w:footerReference r:id="rId14" w:type="default"/>
          <w:footerReference r:id="rId15" w:type="even"/>
          <w:pgSz w:w="11906" w:h="16838"/>
          <w:pgMar w:top="2098" w:right="1474" w:bottom="1984" w:left="1587" w:header="624" w:footer="1134" w:gutter="0"/>
          <w:pgNumType w:fmt="upperRoman" w:start="1"/>
          <w:cols w:space="720" w:num="1"/>
          <w:docGrid w:type="linesAndChars" w:linePitch="579" w:charSpace="-842"/>
        </w:sectPr>
      </w:pPr>
    </w:p>
    <w:p w14:paraId="7E616C7B">
      <w:pPr>
        <w:pStyle w:val="2"/>
        <w:numPr>
          <w:ilvl w:val="0"/>
          <w:numId w:val="22"/>
        </w:numPr>
        <w:tabs>
          <w:tab w:val="left" w:pos="0"/>
        </w:tabs>
        <w:rPr>
          <w:sz w:val="32"/>
          <w:szCs w:val="32"/>
        </w:rPr>
      </w:pPr>
      <w:bookmarkStart w:id="224" w:name="_Toc14275"/>
      <w:r>
        <w:rPr>
          <w:rFonts w:hint="eastAsia"/>
          <w:sz w:val="32"/>
          <w:szCs w:val="32"/>
        </w:rPr>
        <w:t>总则</w:t>
      </w:r>
      <w:bookmarkEnd w:id="224"/>
    </w:p>
    <w:p w14:paraId="11AD8F71">
      <w:pPr>
        <w:pStyle w:val="3"/>
      </w:pPr>
      <w:bookmarkStart w:id="225" w:name="_Toc27077"/>
      <w:r>
        <w:rPr>
          <w:rFonts w:hint="eastAsia"/>
        </w:rPr>
        <w:t>指导思想</w:t>
      </w:r>
      <w:bookmarkEnd w:id="225"/>
    </w:p>
    <w:p w14:paraId="769EC288">
      <w:pPr>
        <w:ind w:firstLine="632"/>
        <w:rPr>
          <w:rFonts w:ascii="仿宋_GB2312" w:hAnsi="仿宋_GB2312" w:cs="仿宋_GB2312"/>
        </w:rPr>
      </w:pPr>
      <w:r>
        <w:rPr>
          <w:rFonts w:hint="eastAsia" w:ascii="仿宋_GB2312" w:hAnsi="仿宋_GB2312" w:cs="仿宋_GB2312"/>
        </w:rPr>
        <w:t>以习近平新时代中国特色社会主义思想为指导，深入贯彻落实习近平总书记关于防汛救灾工作重要指示批示精神和防灾减灾救灾重要论述，按照党中央国务院、省委省政府、市委市政府、县委县政府的决策部署，全面贯彻新发展理念，构建新发展格局，坚持人民至上、生命至上，统筹发展和安全，进一步完善体制机制，依法高效有序做好洪水灾害突发事件防范与处置工作，最大限度减少人员伤亡和财产损失，为经济社会持续健康发展提供坚强保证。</w:t>
      </w:r>
    </w:p>
    <w:p w14:paraId="5B5662BF">
      <w:pPr>
        <w:pStyle w:val="3"/>
      </w:pPr>
      <w:bookmarkStart w:id="226" w:name="_Toc27475"/>
      <w:r>
        <w:rPr>
          <w:rFonts w:hint="eastAsia"/>
        </w:rPr>
        <w:t>编制依据</w:t>
      </w:r>
      <w:bookmarkEnd w:id="226"/>
    </w:p>
    <w:p w14:paraId="2CAC7D35">
      <w:pPr>
        <w:ind w:firstLine="632"/>
      </w:pPr>
      <w:r>
        <w:rPr>
          <w:rFonts w:hint="eastAsia"/>
        </w:rPr>
        <w:t>依据《中华人民共和国突发事件应对法》《中华人民共和国防洪法》《中华人民共和国水法》《中华人民共和国防汛条例》《水库大坝安全管理条例》《水情预警发布管理办法（试行）》《黑龙江省实施〈中华人民共和国防洪法〉条例》《黑龙江省河道管理条例》《双鸭山市防汛应急预案》《集贤县突发事件总体应急预案》等相关法律、法规和规定，结合我县实际，制定本预案。</w:t>
      </w:r>
    </w:p>
    <w:p w14:paraId="080608FD">
      <w:pPr>
        <w:pStyle w:val="3"/>
      </w:pPr>
      <w:bookmarkStart w:id="227" w:name="_Toc5916"/>
      <w:r>
        <w:rPr>
          <w:rFonts w:hint="eastAsia"/>
        </w:rPr>
        <w:t>适用范围</w:t>
      </w:r>
      <w:bookmarkEnd w:id="227"/>
    </w:p>
    <w:p w14:paraId="62F2E58C">
      <w:pPr>
        <w:ind w:firstLine="632"/>
      </w:pPr>
      <w:r>
        <w:rPr>
          <w:rFonts w:hint="eastAsia"/>
        </w:rPr>
        <w:t>本预案适用集贤县范围内洪涝灾害防御和应急处置工作。洪涝灾害包括江河洪水(含凌汛洪水)灾害、渍涝灾害以及由洪水、地震、恐怖活动等引发的水库垮坝、堤防决口、水闸倒塌等次生衍生灾害。</w:t>
      </w:r>
    </w:p>
    <w:p w14:paraId="2D03EB61">
      <w:pPr>
        <w:ind w:firstLine="632"/>
      </w:pPr>
    </w:p>
    <w:p w14:paraId="010E3311">
      <w:pPr>
        <w:pStyle w:val="3"/>
      </w:pPr>
      <w:bookmarkStart w:id="228" w:name="_Toc23766"/>
      <w:r>
        <w:rPr>
          <w:rFonts w:hint="eastAsia"/>
        </w:rPr>
        <w:t>工作原则</w:t>
      </w:r>
      <w:bookmarkEnd w:id="228"/>
    </w:p>
    <w:p w14:paraId="43134C3B">
      <w:pPr>
        <w:ind w:firstLine="632"/>
      </w:pPr>
      <w:r>
        <w:rPr>
          <w:rFonts w:hint="eastAsia"/>
        </w:rPr>
        <w:t>防汛抗旱工作实行各级政府行政首长负责制，坚持以下原则：</w:t>
      </w:r>
    </w:p>
    <w:p w14:paraId="79559CE3">
      <w:pPr>
        <w:numPr>
          <w:ilvl w:val="0"/>
          <w:numId w:val="23"/>
        </w:numPr>
        <w:ind w:firstLine="632"/>
      </w:pPr>
      <w:r>
        <w:rPr>
          <w:rFonts w:hint="eastAsia"/>
        </w:rPr>
        <w:t>坚持统一领导、协调联动，分级负责、属地为主。防汛抗旱工作在党的领导下，实行各级人民政府行政首长负责制。各级防汛抗旱指挥机构在同级党委和政府、上级防汛抗旱指挥机构领导下，组织指挥管辖范围内防汛抗旱工作，贯彻落实同级党委和政府、上级防汛抗旱指挥机构的部署要求。</w:t>
      </w:r>
    </w:p>
    <w:p w14:paraId="77D0C773">
      <w:pPr>
        <w:numPr>
          <w:ilvl w:val="0"/>
          <w:numId w:val="23"/>
        </w:numPr>
        <w:ind w:firstLine="632"/>
      </w:pPr>
      <w:r>
        <w:rPr>
          <w:rFonts w:hint="eastAsia"/>
        </w:rPr>
        <w:t>坚持安全第一、常备不懈，以防为主、防抗救相结合。防汛抗旱工作坚持依法防抗、科学防控，实行公众参与、专群结合、军民联防、平战结合，切实把确保人民生命安全放在第一位落到实处，保障防洪安全和城乡供水安全。</w:t>
      </w:r>
    </w:p>
    <w:p w14:paraId="6B646725">
      <w:pPr>
        <w:numPr>
          <w:ilvl w:val="0"/>
          <w:numId w:val="23"/>
        </w:numPr>
        <w:ind w:firstLine="632"/>
      </w:pPr>
      <w:r>
        <w:rPr>
          <w:rFonts w:hint="eastAsia"/>
        </w:rPr>
        <w:t>坚持因地制宜、城乡统筹，统一规划、局部利益服从全局利益。防汛抗旱工作要按照流域或区域统一规划，科学处理上下游左右岸之间、地区之间、部门之间、近期与长远之间等各项关系，突出重点，兼顾一般，做到服从大局、听从指挥。</w:t>
      </w:r>
    </w:p>
    <w:p w14:paraId="40F8698C">
      <w:pPr>
        <w:numPr>
          <w:ilvl w:val="0"/>
          <w:numId w:val="23"/>
        </w:numPr>
        <w:ind w:firstLine="632"/>
      </w:pPr>
      <w:r>
        <w:rPr>
          <w:rFonts w:hint="eastAsia"/>
        </w:rPr>
        <w:t>坚持科学调度、综合治理，除害兴利、防汛抗旱统筹。在确保防洪安全的前提下，尽可能利用洪水资源。抗旱用水以水资源承载能力为基础，实行先生活、后生产，先地表、后地下，先节水、后调水，科学调度，优化配置，最大限度满足城乡生活、生产、生态用水需求。</w:t>
      </w:r>
    </w:p>
    <w:p w14:paraId="7B8CE016">
      <w:pPr>
        <w:pStyle w:val="2"/>
        <w:numPr>
          <w:ilvl w:val="0"/>
          <w:numId w:val="22"/>
        </w:numPr>
        <w:tabs>
          <w:tab w:val="left" w:pos="0"/>
        </w:tabs>
        <w:rPr>
          <w:sz w:val="32"/>
          <w:szCs w:val="32"/>
        </w:rPr>
      </w:pPr>
      <w:bookmarkStart w:id="229" w:name="_Toc24857"/>
      <w:r>
        <w:rPr>
          <w:rFonts w:hint="eastAsia"/>
          <w:sz w:val="32"/>
          <w:szCs w:val="32"/>
        </w:rPr>
        <w:t>基本概况</w:t>
      </w:r>
      <w:bookmarkEnd w:id="229"/>
    </w:p>
    <w:p w14:paraId="1A990506">
      <w:pPr>
        <w:pStyle w:val="3"/>
      </w:pPr>
      <w:bookmarkStart w:id="230" w:name="_Toc490"/>
      <w:r>
        <w:rPr>
          <w:rFonts w:hint="eastAsia"/>
        </w:rPr>
        <w:t>自然地理和社会经济情况</w:t>
      </w:r>
      <w:bookmarkEnd w:id="230"/>
    </w:p>
    <w:p w14:paraId="4154B397">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概况</w:t>
      </w:r>
    </w:p>
    <w:p w14:paraId="7B8CA947">
      <w:pPr>
        <w:ind w:firstLine="632"/>
      </w:pPr>
      <w:r>
        <w:rPr>
          <w:rFonts w:hint="eastAsia"/>
        </w:rPr>
        <w:t>集贤县位于黑龙江省三江平原中部，完达山北麓，松花江南岸，东与友谊县相邻，南靠双鸭山市，西南与桦南县接壤；北部和西部与桦川县接壤。集贤县辖5镇3乡：福利镇、集贤镇、升昌镇、丰乐镇、太平镇、永安乡、兴安乡、腰屯乡。截至2017年末，户籍总人口32万人，区划面积2283.4平方公里，耕地面积177.42万亩，其中，水田32万亩。</w:t>
      </w:r>
    </w:p>
    <w:p w14:paraId="5AA95308">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地形地貌</w:t>
      </w:r>
    </w:p>
    <w:p w14:paraId="2E984AAB">
      <w:pPr>
        <w:ind w:firstLine="632"/>
      </w:pPr>
      <w:r>
        <w:rPr>
          <w:rFonts w:hint="eastAsia"/>
        </w:rPr>
        <w:t>集贤县地势为西南高、东北低，自西南向东北呈梯级下降，西南部为完达山余脉，群山连绵，海拔高程为200-400米，南部完达山余脉向东北延伸部分，丘陵广布，海拔高程为160-200米，中部是平原地区，地势平坦，略向北与东北倾斜，海拔高程为80-160米，大部分河流穿行其间。土地肥沃，人口密集。北部和东北部为低平原，有沼泽湿地，海拔高程为60-65米，形成了低山丘陵、山前慢岗、平原和地平原四种地貌类型。</w:t>
      </w:r>
    </w:p>
    <w:p w14:paraId="46C501D1">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水文气象</w:t>
      </w:r>
    </w:p>
    <w:p w14:paraId="305C7FB5">
      <w:pPr>
        <w:pStyle w:val="5"/>
        <w:numPr>
          <w:ilvl w:val="3"/>
          <w:numId w:val="22"/>
        </w:numPr>
      </w:pPr>
      <w:r>
        <w:rPr>
          <w:rFonts w:hint="eastAsia"/>
        </w:rPr>
        <w:t>基本情况</w:t>
      </w:r>
    </w:p>
    <w:p w14:paraId="0D205AE4">
      <w:pPr>
        <w:ind w:firstLine="632"/>
      </w:pPr>
      <w:r>
        <w:rPr>
          <w:rFonts w:hint="eastAsia"/>
        </w:rPr>
        <w:t>集贤县气候属中温带大陆性季风气候，受内蒙古和西伯利亚气候的影响，四季冷暖分明，春秋两季多风少雨，夏季高温多雨，冬季寒冷干燥。其特点是气温变化大，日照时间长，降雨时空分布不均，风多风大、频率高，土壤蒸发量大，春夏之交干旱频生。</w:t>
      </w:r>
    </w:p>
    <w:p w14:paraId="1E452474">
      <w:pPr>
        <w:ind w:firstLine="632"/>
      </w:pPr>
      <w:r>
        <w:rPr>
          <w:rFonts w:hint="eastAsia"/>
        </w:rPr>
        <w:t>集贤县多年平均气温4.0℃，一月最冷，平均气温-18℃，极端最低气温-35.6℃  七月最热，平均气温22.6℃，极端最高气温38.1℃ 。无霜期140天。多年平均降水量为534mm。总的分布趋势为山区、半山区大于平原，降水量主要集中在6-8月，占全年降水量的60%以上，降水年内分配不均，时空、地域分配，差异较大。</w:t>
      </w:r>
    </w:p>
    <w:p w14:paraId="2A84B53D">
      <w:pPr>
        <w:pStyle w:val="5"/>
        <w:numPr>
          <w:ilvl w:val="3"/>
          <w:numId w:val="22"/>
        </w:numPr>
      </w:pPr>
      <w:r>
        <w:rPr>
          <w:rFonts w:hint="eastAsia"/>
        </w:rPr>
        <w:t>极端降雨</w:t>
      </w:r>
    </w:p>
    <w:p w14:paraId="77ADB972">
      <w:pPr>
        <w:ind w:firstLine="632"/>
      </w:pPr>
      <w:r>
        <w:rPr>
          <w:rFonts w:hint="eastAsia"/>
        </w:rPr>
        <w:t>集贤县年降水量最大值为743.4mm（1983年太平镇），最小值为338.5mm（2001年福利镇）。</w:t>
      </w:r>
    </w:p>
    <w:p w14:paraId="3EBD15BB">
      <w:pPr>
        <w:ind w:firstLine="632"/>
      </w:pPr>
      <w:r>
        <w:rPr>
          <w:rFonts w:hint="eastAsia"/>
        </w:rPr>
        <w:t>全县月极端降雨量出现在1994年8月，先后两次出现大雨、暴雨过程，仅8月14日降雨量达61.8mm，发生山洪内涝，河流水位急剧上涨，泛滥成灾。全县一半耕地受灾，四分之一绝产，冲毁桥涵27座，闸1座，堤防48处（2.4km），拦河坝1处，公路5.05km。直接经济损失达8536万元。</w:t>
      </w:r>
    </w:p>
    <w:p w14:paraId="73DAD033">
      <w:pPr>
        <w:ind w:firstLine="632"/>
      </w:pPr>
      <w:r>
        <w:rPr>
          <w:rFonts w:hint="eastAsia"/>
        </w:rPr>
        <w:t>全县日极端降水量出现在1998年7月8-9日，全县降雨量达110mm，发生山洪内涝，堤防决口21处，冲毁堤防长278m，桥梁16座，全县农田受灾达6.8万亩，绝产2.2万亩。直接经济损失达1413万元。</w:t>
      </w:r>
    </w:p>
    <w:p w14:paraId="7F99DD74">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土壤</w:t>
      </w:r>
    </w:p>
    <w:p w14:paraId="493A3BB2">
      <w:pPr>
        <w:ind w:firstLine="632"/>
      </w:pPr>
      <w:r>
        <w:rPr>
          <w:rFonts w:hint="eastAsia"/>
        </w:rPr>
        <w:t>集贤县属松花江下游冲积平原，大部分为新生界第四纪形成，按土壤分为暗棕壤、白浆土、黑土、草甸土、沼泽土、泥浆土、水稻土7个土类。</w:t>
      </w:r>
    </w:p>
    <w:p w14:paraId="0ECF2C11">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水资源</w:t>
      </w:r>
    </w:p>
    <w:p w14:paraId="6E01C927">
      <w:pPr>
        <w:ind w:firstLine="632"/>
      </w:pPr>
      <w:r>
        <w:rPr>
          <w:rFonts w:hint="eastAsia"/>
        </w:rPr>
        <w:t>集贤县多年平均水资源总量为3.2亿m</w:t>
      </w:r>
      <w:r>
        <w:rPr>
          <w:rFonts w:hint="eastAsia"/>
          <w:vertAlign w:val="superscript"/>
        </w:rPr>
        <w:t>3</w:t>
      </w:r>
      <w:r>
        <w:rPr>
          <w:rFonts w:hint="eastAsia"/>
        </w:rPr>
        <w:t>，其中：地下水补给量为1.7亿m</w:t>
      </w:r>
      <w:r>
        <w:rPr>
          <w:rFonts w:hint="eastAsia"/>
          <w:vertAlign w:val="superscript"/>
        </w:rPr>
        <w:t>3</w:t>
      </w:r>
      <w:r>
        <w:rPr>
          <w:rFonts w:hint="eastAsia"/>
        </w:rPr>
        <w:t>，地下水可开采量为1.4亿m</w:t>
      </w:r>
      <w:r>
        <w:rPr>
          <w:rFonts w:hint="eastAsia"/>
          <w:vertAlign w:val="superscript"/>
        </w:rPr>
        <w:t>3</w:t>
      </w:r>
      <w:r>
        <w:rPr>
          <w:rFonts w:hint="eastAsia"/>
        </w:rPr>
        <w:t>，地表水资源量为1.8亿m</w:t>
      </w:r>
      <w:r>
        <w:rPr>
          <w:rFonts w:hint="eastAsia"/>
          <w:vertAlign w:val="superscript"/>
        </w:rPr>
        <w:t>3</w:t>
      </w:r>
      <w:r>
        <w:rPr>
          <w:rFonts w:hint="eastAsia"/>
        </w:rPr>
        <w:t>。</w:t>
      </w:r>
    </w:p>
    <w:p w14:paraId="5D700775">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河流水系</w:t>
      </w:r>
    </w:p>
    <w:p w14:paraId="3CD7E7FE">
      <w:pPr>
        <w:ind w:firstLine="632"/>
      </w:pPr>
      <w:r>
        <w:rPr>
          <w:rFonts w:hint="eastAsia"/>
        </w:rPr>
        <w:t>集贤县境内有小河流6条，堤防总长228.12公里，各河流流域面积均在50平方公里以上，属于乌苏里江水系和松花江水系。乌苏里江河水系：小黄河、二道河；松花江水系：安邦河、哈达密河、柳树河、太平河。境内主要河流为安邦河。除安邦河、二道河发源于双鸭山市外，其余河流均发源于本县。</w:t>
      </w:r>
    </w:p>
    <w:p w14:paraId="72200BA8">
      <w:pPr>
        <w:ind w:firstLine="632"/>
      </w:pPr>
      <w:r>
        <w:rPr>
          <w:rFonts w:hint="eastAsia"/>
        </w:rPr>
        <w:t>防汛重点河流为为本县最大河流安邦河，属松花江水系，发源于双鸭山市以南的十二道坝九里川，全长167km，境内河长31km，流域面积1168km</w:t>
      </w:r>
      <w:r>
        <w:rPr>
          <w:rFonts w:hint="eastAsia"/>
          <w:vertAlign w:val="superscript"/>
        </w:rPr>
        <w:t>2</w:t>
      </w:r>
      <w:r>
        <w:rPr>
          <w:rFonts w:hint="eastAsia"/>
        </w:rPr>
        <w:t>，是松花江下游右岸的一级支流，属于季节性河流，多年平均流量为3.11m</w:t>
      </w:r>
      <w:r>
        <w:rPr>
          <w:rFonts w:hint="eastAsia"/>
          <w:vertAlign w:val="superscript"/>
        </w:rPr>
        <w:t>3</w:t>
      </w:r>
      <w:r>
        <w:rPr>
          <w:rFonts w:hint="eastAsia"/>
        </w:rPr>
        <w:t>/s。安邦河途经县城及重要交通要道，其中合发桥、罗锅桥穿堤路口相对较低，汛期由相关乡（镇）村屯负责看护，河道运行中心加强河道巡查力度，紧急防汛期配备防汛沙袋防止洪水外流。</w:t>
      </w:r>
    </w:p>
    <w:p w14:paraId="555C9A3C">
      <w:pPr>
        <w:pStyle w:val="3"/>
      </w:pPr>
      <w:bookmarkStart w:id="231" w:name="_Toc19678"/>
      <w:r>
        <w:rPr>
          <w:rFonts w:hint="eastAsia"/>
        </w:rPr>
        <w:t>防洪工程情况</w:t>
      </w:r>
      <w:bookmarkEnd w:id="231"/>
    </w:p>
    <w:p w14:paraId="0A49DD5F">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堤防工程</w:t>
      </w:r>
    </w:p>
    <w:p w14:paraId="69BDE21B">
      <w:pPr>
        <w:pStyle w:val="5"/>
        <w:numPr>
          <w:ilvl w:val="3"/>
          <w:numId w:val="22"/>
        </w:numPr>
      </w:pPr>
      <w:r>
        <w:rPr>
          <w:rFonts w:hint="eastAsia"/>
        </w:rPr>
        <w:t>安邦河</w:t>
      </w:r>
    </w:p>
    <w:p w14:paraId="3904FD9A">
      <w:pPr>
        <w:ind w:firstLine="632"/>
      </w:pPr>
      <w:r>
        <w:rPr>
          <w:rFonts w:hint="eastAsia"/>
        </w:rPr>
        <w:t>境内堤防长度为61.7公里，有堤防4段，分别为安邦河右岸城区段堤防6公里；安邦河左岸城区段堤防6公里；安邦河右岸农堤段堤防25公里；安邦河左岸农堤段堤防24.7公里。安邦河堤防规划防洪标准，城区段为30年一遇、农堤段为20年一遇，堤防现状防洪标准，城区段为30年一遇、农堤段为10年一遇。保护效益县城1个、村屯8个、人口2.6万人、耕地8.9万亩。穿堤建筑物22处，其中，城区段右堤6处，小安邦河排水闸，安邦灌区进水闸，新城排水闸，沙岗排水闸，人工湖进水闸，人工湖退水闸；城区段左堤7处，水泥厂排水闸，福利排水闸，渲马沟排水闸，繁荣排水闸，胜利沟排水闸，人工湖进水闸，人工湖退水闸；农堤段右堤4处，大唐电长埋管，污水处理厂埋管，永发排干排水闸，芦苇进水闸；农堤段左堤1处，滨河路排水管线。险工弱段2处，合发桥、罗锅桥，穿堤路口相对较低，河道部门汛期加强巡查力度，准备好沙石料、编织袋，遇有险情及时恢复堤防标高。</w:t>
      </w:r>
    </w:p>
    <w:p w14:paraId="30F73AA2">
      <w:pPr>
        <w:pStyle w:val="5"/>
        <w:numPr>
          <w:ilvl w:val="3"/>
          <w:numId w:val="22"/>
        </w:numPr>
      </w:pPr>
      <w:r>
        <w:rPr>
          <w:rFonts w:hint="eastAsia"/>
        </w:rPr>
        <w:t>哈达密河</w:t>
      </w:r>
    </w:p>
    <w:p w14:paraId="6BB9276B">
      <w:pPr>
        <w:ind w:firstLine="632"/>
      </w:pPr>
      <w:r>
        <w:rPr>
          <w:rFonts w:hint="eastAsia"/>
        </w:rPr>
        <w:t>境内堤防长度为26.5公里，有堤防4段，分别为哈达密河右岸堤防12.9公里；哈达密河左岸堤防10公里；哈达密河右岸（笔架山段）堤防1公里；哈达密河左岸（笔架山段）堤防2.6公里。哈达密河堤防规划防洪标准为20年一遇，堤防现状防洪标准为10年一遇。保护效益村屯9个、人口1.9万人、耕地12.9万亩。穿堤建筑物2处，其中，右堤1处，长征排水涵；左堤2处，鲜兴灌区进水闸、盛园酒精厂暗管；笔架山段堤防无穿堤建筑物。险工弱段无。</w:t>
      </w:r>
    </w:p>
    <w:p w14:paraId="500048B2">
      <w:pPr>
        <w:pStyle w:val="5"/>
        <w:numPr>
          <w:ilvl w:val="3"/>
          <w:numId w:val="22"/>
        </w:numPr>
      </w:pPr>
      <w:r>
        <w:rPr>
          <w:rFonts w:hint="eastAsia"/>
        </w:rPr>
        <w:t>柳树河</w:t>
      </w:r>
    </w:p>
    <w:p w14:paraId="346CD0CA">
      <w:pPr>
        <w:ind w:firstLine="632"/>
      </w:pPr>
      <w:r>
        <w:rPr>
          <w:rFonts w:hint="eastAsia"/>
        </w:rPr>
        <w:t>境内堤防长度为42.48公里，有堤防4段，分别为柳树河右岸堤防12.2公里；柳树河左岸堤防2.1公里；柳树河右岸（笔架山段）堤防13.4公里；柳树河左岸（笔架山段）堤防14.78公里。柳树河堤防规划防洪标准为20年一遇，堤防现状防洪标准为20年一遇。保护效益村屯20个、人口1.2万人、耕地12.1万亩。穿堤建筑物3处，其中，集贤县段右堤1处，土地局排水站；笔架山段右堤2处，一分厂排水闸，三分场排水闸。险工弱段无。</w:t>
      </w:r>
    </w:p>
    <w:p w14:paraId="1E8380E9">
      <w:pPr>
        <w:pStyle w:val="5"/>
        <w:numPr>
          <w:ilvl w:val="3"/>
          <w:numId w:val="22"/>
        </w:numPr>
      </w:pPr>
      <w:r>
        <w:rPr>
          <w:rFonts w:hint="eastAsia"/>
        </w:rPr>
        <w:t>二道河</w:t>
      </w:r>
    </w:p>
    <w:p w14:paraId="2AE2358E">
      <w:pPr>
        <w:ind w:firstLine="632"/>
      </w:pPr>
      <w:r>
        <w:rPr>
          <w:rFonts w:hint="eastAsia"/>
        </w:rPr>
        <w:t>境内堤防长度为60.7公里，有堤防2段，分别为二道河右岸堤防29.2公里；二道河左岸堤防31.5公里。二道河堤防规划防洪标准为20年一遇，堤防现状防洪标准东荣二矿沉陷区段为10年一遇、其他为二十年一遇。保护效益村屯9个、人口0.96万人、耕地25.3万亩。穿堤建筑物2处，其中，右堤1处，东荣一矿排水管；左堤1处，东荣二矿排水管。险工弱段1处，二道河东荣二矿铁路桥上游为沉陷区，属东荣二矿采煤区，经过多年地下采煤掘进至二道河整体河道3公里沉陷（经与矿务局协调该段堤防防汛归矿务局负责），矿务局对河道堤防进行了加固填筑，加固设计标准仅10年一遇未达标，汛期如遇洪水发生危险的可能性比较大。汛期水务部门督促东荣二矿、相关乡（镇）负责看护，涝区管理站加强河道巡查力度，确保汛期安全度汛。</w:t>
      </w:r>
    </w:p>
    <w:p w14:paraId="65420E66">
      <w:pPr>
        <w:pStyle w:val="5"/>
        <w:numPr>
          <w:ilvl w:val="3"/>
          <w:numId w:val="22"/>
        </w:numPr>
      </w:pPr>
      <w:r>
        <w:rPr>
          <w:rFonts w:hint="eastAsia"/>
        </w:rPr>
        <w:t>小黄河</w:t>
      </w:r>
    </w:p>
    <w:p w14:paraId="775EEB11">
      <w:pPr>
        <w:ind w:firstLine="632"/>
      </w:pPr>
      <w:r>
        <w:rPr>
          <w:rFonts w:hint="eastAsia"/>
        </w:rPr>
        <w:t>境内堤防长度为27.136公里，有堤防2段，分别为小黄河右岸堤防3.1公里；小黄河左岸堤防24.036公里。小黄河堤防规划防洪标准为20年一遇，堤防现状防洪标准为20年一遇。保护效益村屯10个、人口0.82万人、耕地18.1万亩。穿堤建筑物无。险工弱段无。</w:t>
      </w:r>
    </w:p>
    <w:p w14:paraId="7971E1DB">
      <w:pPr>
        <w:pStyle w:val="5"/>
        <w:numPr>
          <w:ilvl w:val="3"/>
          <w:numId w:val="22"/>
        </w:numPr>
      </w:pPr>
      <w:r>
        <w:rPr>
          <w:rFonts w:hint="eastAsia"/>
        </w:rPr>
        <w:t>太平河</w:t>
      </w:r>
    </w:p>
    <w:p w14:paraId="056AF54D">
      <w:pPr>
        <w:ind w:firstLine="632"/>
      </w:pPr>
      <w:r>
        <w:rPr>
          <w:rFonts w:hint="eastAsia"/>
        </w:rPr>
        <w:t>境内堤防长度为9.6公里，有堤防2段，分别为太平河右岸堤防4.3公里；太平河左岸堤防5.3公里。太平河堤防规划防洪标准为20年一遇，堤防现状防洪标准为20年一遇。保护效益村屯2个、人口0.15万人、耕地5.8万亩。穿堤建筑物2处，其中，右堤1处，太恒排水闸；左堤1处，太平强排站。险工弱段无。</w:t>
      </w:r>
    </w:p>
    <w:p w14:paraId="032B72C4">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堤防防御现状</w:t>
      </w:r>
    </w:p>
    <w:p w14:paraId="69799CBA">
      <w:pPr>
        <w:ind w:firstLine="632"/>
      </w:pPr>
      <w:r>
        <w:rPr>
          <w:rFonts w:hint="eastAsia"/>
        </w:rPr>
        <w:t>6条中小型河流堤防、险工弱段等地，部分河道堤防穿堤路口相对较低，针对问题建立台账并落实了度汛措施消除安全隐患。堤防防洪抢险应急预案、应急度汛措施完备，各项规章制度健全,并落实了安全巡查人员。安邦河城区段堤防长6公里防洪标准30年一遇，农堤段10年以上防洪标准，经过多年陆续检查维修基本保证汛期安全；小黄河、太平河、柳树河防洪标准20年一遇，在标准洪水下满足防洪要求；二道河、哈达密河堤防进行详细排查，基本满足防汛要求。</w:t>
      </w:r>
    </w:p>
    <w:p w14:paraId="51301367">
      <w:pPr>
        <w:pStyle w:val="3"/>
      </w:pPr>
      <w:bookmarkStart w:id="232" w:name="_Toc313"/>
      <w:r>
        <w:rPr>
          <w:rFonts w:hint="eastAsia"/>
        </w:rPr>
        <w:t>历史洪水调查</w:t>
      </w:r>
      <w:bookmarkEnd w:id="232"/>
    </w:p>
    <w:p w14:paraId="6506F453">
      <w:pPr>
        <w:ind w:firstLine="632"/>
      </w:pPr>
      <w:r>
        <w:t>本县洪涝灾害类型为：流域内河流洪水、客水、局地强降雨、内涝等。</w:t>
      </w:r>
    </w:p>
    <w:p w14:paraId="1ABB6714">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洪水</w:t>
      </w:r>
    </w:p>
    <w:p w14:paraId="610B8626">
      <w:pPr>
        <w:ind w:firstLine="632"/>
      </w:pPr>
      <w:r>
        <w:rPr>
          <w:rFonts w:hint="eastAsia"/>
        </w:rPr>
        <w:t>1981年8月中旬，全县发生大洪水，109万亩耕地受淹，绝产42.8万亩，全县三分之一生产队绝产，农村受灾1860户，人口9400人，倒塌房屋352间，43个村屯进水，冲毁堤防12km，拦河坝1处，涵闸26座，机电井30眼，泵站3处，小塘坝4座。直接经济损失达1000万元。</w:t>
      </w:r>
    </w:p>
    <w:p w14:paraId="544BE6A9">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内涝</w:t>
      </w:r>
    </w:p>
    <w:p w14:paraId="3BB6CCF2">
      <w:pPr>
        <w:ind w:firstLine="632"/>
      </w:pPr>
      <w:r>
        <w:rPr>
          <w:rFonts w:hint="eastAsia"/>
        </w:rPr>
        <w:t>1998年7月8-9日，全县连降大雨和暴雨，降水量达99mm，加之上游林区降水110mm，大量洪水进入我县，发生内涝，堤防决口21处，冲毁堤防长278m，桥梁16座，全县农田受灾达6.8万亩，绝产2.2万亩。直接经济损失达1413万元。</w:t>
      </w:r>
    </w:p>
    <w:p w14:paraId="260258FF">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短时强降水</w:t>
      </w:r>
    </w:p>
    <w:p w14:paraId="11222495">
      <w:pPr>
        <w:ind w:firstLine="632"/>
      </w:pPr>
      <w:r>
        <w:rPr>
          <w:rFonts w:hint="eastAsia"/>
        </w:rPr>
        <w:t>2014年6月11日，太平镇境内发生短时强降水，降雨量达60毫米1小时，冲毁桥涵2座，受损4座，冲损路肩800米。</w:t>
      </w:r>
    </w:p>
    <w:p w14:paraId="15735FD5">
      <w:pPr>
        <w:pStyle w:val="3"/>
      </w:pPr>
      <w:bookmarkStart w:id="233" w:name="_Toc3125"/>
      <w:r>
        <w:rPr>
          <w:rFonts w:hint="eastAsia"/>
        </w:rPr>
        <w:t>存在主要问题</w:t>
      </w:r>
      <w:bookmarkEnd w:id="233"/>
    </w:p>
    <w:p w14:paraId="5FD9FECC">
      <w:pPr>
        <w:ind w:firstLine="632"/>
      </w:pPr>
      <w:r>
        <w:rPr>
          <w:rFonts w:hint="eastAsia"/>
        </w:rPr>
        <w:t>（1）部分河流堤防防洪标准低，抗御洪水能力相对较弱，部分堤防标准在10年一遇。</w:t>
      </w:r>
    </w:p>
    <w:p w14:paraId="3CF6C8F4">
      <w:pPr>
        <w:ind w:firstLine="632"/>
      </w:pPr>
      <w:r>
        <w:rPr>
          <w:rFonts w:hint="eastAsia"/>
        </w:rPr>
        <w:t>（2）山洪灾害防治非工程措施设施设备和指挥系统还不够完善。</w:t>
      </w:r>
    </w:p>
    <w:p w14:paraId="08C72553">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重点防护对象</w:t>
      </w:r>
    </w:p>
    <w:p w14:paraId="421FBFA8">
      <w:pPr>
        <w:ind w:firstLine="632"/>
      </w:pPr>
      <w:r>
        <w:rPr>
          <w:rFonts w:hint="eastAsia"/>
        </w:rPr>
        <w:t>城市重点防护对象为：城区内一切重要设施、机关部门、经济中心、电视电台等单位及各重点工程。具体对象如下：</w:t>
      </w:r>
    </w:p>
    <w:p w14:paraId="71B748A8">
      <w:pPr>
        <w:ind w:firstLine="632"/>
      </w:pPr>
      <w:r>
        <w:rPr>
          <w:rFonts w:hint="eastAsia"/>
        </w:rPr>
        <w:t>（1）县城区学校：县城区范围内幼儿园、小学、中学、高等院校等；</w:t>
      </w:r>
    </w:p>
    <w:p w14:paraId="5B56DD00">
      <w:pPr>
        <w:ind w:firstLine="632"/>
      </w:pPr>
      <w:r>
        <w:rPr>
          <w:rFonts w:hint="eastAsia"/>
        </w:rPr>
        <w:t>（2）县城区医疗卫生单位：县城区范围内大中型医院、疾控中心、血站等卫生场所；</w:t>
      </w:r>
    </w:p>
    <w:p w14:paraId="2E54A3F2">
      <w:pPr>
        <w:ind w:firstLine="632"/>
      </w:pPr>
      <w:r>
        <w:rPr>
          <w:rFonts w:hint="eastAsia"/>
        </w:rPr>
        <w:t>（3）政府要地、各级机关、县政府机关事业单位、武警中队、消防大队；</w:t>
      </w:r>
    </w:p>
    <w:p w14:paraId="3DCBF28C">
      <w:pPr>
        <w:ind w:firstLine="632"/>
      </w:pPr>
      <w:r>
        <w:rPr>
          <w:rFonts w:hint="eastAsia"/>
        </w:rPr>
        <w:t>（4）电视电台：县广播电视台；</w:t>
      </w:r>
    </w:p>
    <w:p w14:paraId="6788E147">
      <w:pPr>
        <w:ind w:firstLine="632"/>
      </w:pPr>
      <w:r>
        <w:rPr>
          <w:rFonts w:hint="eastAsia"/>
        </w:rPr>
        <w:t>（5）能源供应：县城区内供水、供电、供气、供热等城市生活基础设施；</w:t>
      </w:r>
    </w:p>
    <w:p w14:paraId="073D5AB3">
      <w:pPr>
        <w:ind w:firstLine="632"/>
      </w:pPr>
      <w:r>
        <w:rPr>
          <w:rFonts w:hint="eastAsia"/>
        </w:rPr>
        <w:t>（6）经济中心：县商业中心区；</w:t>
      </w:r>
    </w:p>
    <w:p w14:paraId="71CF0E6D">
      <w:pPr>
        <w:ind w:firstLine="632"/>
      </w:pPr>
      <w:r>
        <w:rPr>
          <w:rFonts w:hint="eastAsia"/>
        </w:rPr>
        <w:t>（7）重要企业：县城区范围内大中型企业，特别是油库等易造成水质污染的企业；</w:t>
      </w:r>
    </w:p>
    <w:p w14:paraId="6E0CAD50">
      <w:pPr>
        <w:ind w:firstLine="632"/>
      </w:pPr>
      <w:r>
        <w:rPr>
          <w:rFonts w:hint="eastAsia"/>
        </w:rPr>
        <w:t>（8）其他重点对象：人防工程、重要道路、地下商场、粮库、危房稠密居民区、居民区地下室等。</w:t>
      </w:r>
    </w:p>
    <w:p w14:paraId="6D0CEC0A">
      <w:pPr>
        <w:ind w:firstLine="632"/>
      </w:pPr>
      <w:r>
        <w:rPr>
          <w:rFonts w:hint="eastAsia"/>
        </w:rPr>
        <w:t>集贤县重点防洪对象为集贤县城区。</w:t>
      </w:r>
    </w:p>
    <w:p w14:paraId="7DC1BBA1">
      <w:pPr>
        <w:pStyle w:val="2"/>
        <w:numPr>
          <w:ilvl w:val="0"/>
          <w:numId w:val="22"/>
        </w:numPr>
        <w:tabs>
          <w:tab w:val="left" w:pos="0"/>
        </w:tabs>
        <w:rPr>
          <w:sz w:val="32"/>
          <w:szCs w:val="32"/>
        </w:rPr>
      </w:pPr>
      <w:bookmarkStart w:id="234" w:name="_Toc31753"/>
      <w:r>
        <w:rPr>
          <w:rFonts w:hint="eastAsia"/>
          <w:sz w:val="32"/>
          <w:szCs w:val="32"/>
        </w:rPr>
        <w:t>组织指挥体系及职责</w:t>
      </w:r>
      <w:bookmarkEnd w:id="234"/>
    </w:p>
    <w:p w14:paraId="23A9CDF4">
      <w:pPr>
        <w:ind w:firstLine="632"/>
      </w:pPr>
      <w:r>
        <w:rPr>
          <w:rFonts w:hint="eastAsia"/>
        </w:rPr>
        <w:t>集贤县人民政府（以下简称县政府）设立集贤县人民政府防汛抗旱指挥部（以下简称县防指）在负责组织、协调、指导全县防汛工作。</w:t>
      </w:r>
    </w:p>
    <w:p w14:paraId="304288D2">
      <w:pPr>
        <w:pStyle w:val="3"/>
      </w:pPr>
      <w:bookmarkStart w:id="235" w:name="_Toc8036"/>
      <w:r>
        <w:rPr>
          <w:rFonts w:hint="eastAsia"/>
        </w:rPr>
        <w:t>县防汛抗旱指挥部组成及职责</w:t>
      </w:r>
      <w:bookmarkEnd w:id="235"/>
    </w:p>
    <w:p w14:paraId="645910DF">
      <w:pPr>
        <w:pStyle w:val="4"/>
        <w:numPr>
          <w:ilvl w:val="2"/>
          <w:numId w:val="22"/>
        </w:numPr>
        <w:tabs>
          <w:tab w:val="left" w:pos="0"/>
        </w:tabs>
        <w:rPr>
          <w:rFonts w:ascii="仿宋_GB2312" w:hAnsi="仿宋_GB2312" w:eastAsia="仿宋_GB2312" w:cs="仿宋_GB2312"/>
        </w:rPr>
      </w:pPr>
      <w:bookmarkStart w:id="236" w:name="__RefHeading___Toc81175672"/>
      <w:bookmarkEnd w:id="236"/>
      <w:r>
        <w:rPr>
          <w:rFonts w:hint="eastAsia" w:ascii="仿宋_GB2312" w:hAnsi="仿宋_GB2312" w:eastAsia="仿宋_GB2312" w:cs="仿宋_GB2312"/>
        </w:rPr>
        <w:t>指挥部组成</w:t>
      </w:r>
    </w:p>
    <w:p w14:paraId="625BBFC4">
      <w:pPr>
        <w:ind w:firstLine="632"/>
        <w:rPr>
          <w:rFonts w:ascii="仿宋_GB2312"/>
        </w:rPr>
      </w:pPr>
      <w:r>
        <w:rPr>
          <w:rFonts w:hint="eastAsia" w:ascii="仿宋_GB2312"/>
        </w:rPr>
        <w:t>县防指总指挥长由县长担任，总指挥由县委常委、常务副县长担任，常务副总指挥由分管水务工作的副县长担任，副总指挥由县应急管理局、县水务局局长、县人武部部长和县消防救援大队、县森林消防大队主要负责同志担任。</w:t>
      </w:r>
    </w:p>
    <w:p w14:paraId="5FEC42F7">
      <w:pPr>
        <w:ind w:firstLine="632"/>
        <w:rPr>
          <w:rFonts w:ascii="仿宋_GB2312"/>
        </w:rPr>
      </w:pPr>
      <w:r>
        <w:rPr>
          <w:rFonts w:hint="eastAsia" w:ascii="仿宋_GB2312"/>
        </w:rPr>
        <w:t>成员单位：县政府办、县委宣传部、县发展和改革局、县教育和体育局、县工业信息科技局、县公安局、县财政局、县民政局、县自然资源局、双鸭山市集贤生态环境局、县住房和城乡建设局、县水务局、县文化广电和旅游局、县退役军人事务局、县市场监督管理局、县统计局、县林业和草原局、县农业农村局、县卫生健康管理局、县应急管理局、县城市管理局、县人民武装部、县消防救援大队、县森林消防大队、县气象局、集贤水文站、县法院、县检察院、县信访局、团县委、县总工会、县妇联、县红十字会、二九一农场、国网集贤分公司、县供排水公司、福利屯火车站、电信集贤分公司、移动集贤分公司、联通集贤分公司、铁塔集贤办事处、各乡镇人民政府等部门和单位。</w:t>
      </w:r>
    </w:p>
    <w:p w14:paraId="6410CF69">
      <w:pPr>
        <w:ind w:firstLine="632"/>
        <w:rPr>
          <w:rFonts w:ascii="仿宋_GB2312"/>
        </w:rPr>
      </w:pPr>
      <w:r>
        <w:rPr>
          <w:rFonts w:hint="eastAsia" w:ascii="仿宋_GB2312"/>
        </w:rPr>
        <w:t>县防指办公室（以下简称县防办）设在县应急管理局，承担省防指日常工作。办公室主任由县应急管理局局长、县水务局局长兼任。</w:t>
      </w:r>
    </w:p>
    <w:p w14:paraId="23AF9913">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指挥部工作职责</w:t>
      </w:r>
    </w:p>
    <w:p w14:paraId="46732E8C">
      <w:pPr>
        <w:ind w:firstLine="632"/>
      </w:pPr>
      <w:r>
        <w:rPr>
          <w:rFonts w:hint="eastAsia"/>
        </w:rPr>
        <w:t>县防指统一指挥、领导和组织全县洪水灾害应急处置工作。</w:t>
      </w:r>
    </w:p>
    <w:p w14:paraId="08656FC0">
      <w:pPr>
        <w:numPr>
          <w:ilvl w:val="0"/>
          <w:numId w:val="6"/>
        </w:numPr>
        <w:ind w:firstLine="632"/>
      </w:pPr>
      <w:r>
        <w:rPr>
          <w:rFonts w:hint="eastAsia"/>
        </w:rPr>
        <w:t>负责贯彻落实国家防汛抗旱总指挥部、省防汛抗旱指挥部和省委省政府、市防汛抗旱指挥部和市委市政府、县委县政府有关防汛工作的决策部署和政策、制度、指令；</w:t>
      </w:r>
    </w:p>
    <w:p w14:paraId="433209D8">
      <w:pPr>
        <w:numPr>
          <w:ilvl w:val="0"/>
          <w:numId w:val="6"/>
        </w:numPr>
        <w:ind w:firstLine="632"/>
      </w:pPr>
      <w:r>
        <w:rPr>
          <w:rFonts w:hint="eastAsia"/>
        </w:rPr>
        <w:t>组织制定县防汛应急预案，组织开展防汛检查指导，督促各乡镇党委和政府落实主体责任，监督落实重点地区和重要工程防汛责任人，组织协调、指挥决策和指导监督重大洪水灾害应急抢险救援救灾工作，指导监督防汛重大决策部署的贯彻落实；</w:t>
      </w:r>
    </w:p>
    <w:p w14:paraId="10D22E5E">
      <w:pPr>
        <w:numPr>
          <w:ilvl w:val="0"/>
          <w:numId w:val="6"/>
        </w:numPr>
        <w:ind w:firstLine="632"/>
      </w:pPr>
      <w:r>
        <w:rPr>
          <w:rFonts w:hint="eastAsia"/>
        </w:rPr>
        <w:t>建立健全与乡镇防汛抗旱指挥部的应急联动、信息共享、组织协调等工作机制；</w:t>
      </w:r>
    </w:p>
    <w:p w14:paraId="57C39FA6">
      <w:pPr>
        <w:numPr>
          <w:ilvl w:val="0"/>
          <w:numId w:val="6"/>
        </w:numPr>
        <w:ind w:firstLine="632"/>
      </w:pPr>
      <w:r>
        <w:rPr>
          <w:rFonts w:hint="eastAsia"/>
        </w:rPr>
        <w:t>及时掌握全县雨情、水情、工情、险情、灾情等信息，依法发布全县汛情通告，宣布进入或者结束紧急防汛期，做好洪水调度管理工作；</w:t>
      </w:r>
    </w:p>
    <w:p w14:paraId="1A7F043A">
      <w:pPr>
        <w:numPr>
          <w:ilvl w:val="0"/>
          <w:numId w:val="6"/>
        </w:numPr>
        <w:ind w:firstLine="632"/>
      </w:pPr>
      <w:r>
        <w:rPr>
          <w:rFonts w:hint="eastAsia"/>
        </w:rPr>
        <w:t>组织实施抗洪抢险救灾，协调综合性救援队伍、部队、社会救援力量承担急难险重的抢险救灾任务，调拨防汛抢险物资，组织灾后处置，做好有关协调工作；</w:t>
      </w:r>
    </w:p>
    <w:p w14:paraId="533B3AB5">
      <w:pPr>
        <w:numPr>
          <w:ilvl w:val="0"/>
          <w:numId w:val="6"/>
        </w:numPr>
        <w:ind w:firstLine="632"/>
      </w:pPr>
      <w:r>
        <w:rPr>
          <w:rFonts w:hint="eastAsia"/>
        </w:rPr>
        <w:t>建立完善预案体系，加强宣传培训演练，提升群众防灾减灾意识；</w:t>
      </w:r>
    </w:p>
    <w:p w14:paraId="0928142E">
      <w:pPr>
        <w:numPr>
          <w:ilvl w:val="0"/>
          <w:numId w:val="6"/>
        </w:numPr>
        <w:ind w:firstLine="632"/>
      </w:pPr>
      <w:r>
        <w:rPr>
          <w:rFonts w:hint="eastAsia"/>
        </w:rPr>
        <w:t>完成市防指，县委、县政府交办的其他工作。</w:t>
      </w:r>
    </w:p>
    <w:p w14:paraId="0DDB2A2F">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县防指领导职责</w:t>
      </w:r>
    </w:p>
    <w:p w14:paraId="65264EAC">
      <w:pPr>
        <w:ind w:firstLine="632"/>
      </w:pPr>
      <w:r>
        <w:rPr>
          <w:rFonts w:hint="eastAsia"/>
        </w:rPr>
        <w:t>总指挥长领导全省防汛抗旱工作。</w:t>
      </w:r>
    </w:p>
    <w:p w14:paraId="3CC61E88">
      <w:pPr>
        <w:ind w:firstLine="632"/>
      </w:pPr>
      <w:r>
        <w:rPr>
          <w:rFonts w:hint="eastAsia"/>
        </w:rPr>
        <w:t>总指挥负责省防指全面工作。</w:t>
      </w:r>
    </w:p>
    <w:p w14:paraId="562CCAFE">
      <w:pPr>
        <w:ind w:firstLine="632"/>
      </w:pPr>
      <w:r>
        <w:rPr>
          <w:rFonts w:hint="eastAsia"/>
        </w:rPr>
        <w:t>常务副总指挥协助总指挥负责县防指全面工作。</w:t>
      </w:r>
    </w:p>
    <w:p w14:paraId="71A3ABD8">
      <w:pPr>
        <w:ind w:firstLine="632"/>
      </w:pPr>
      <w:r>
        <w:rPr>
          <w:rFonts w:hint="eastAsia"/>
        </w:rPr>
        <w:t>副总指挥（县应急管理局局长）协助总指挥、常务副总指挥调度全县抗洪抢险救灾队伍和防汛物资进行抢险救援救灾工作，领导县防办开展防汛日常工作。</w:t>
      </w:r>
    </w:p>
    <w:p w14:paraId="3D1B0098">
      <w:pPr>
        <w:ind w:firstLine="632"/>
      </w:pPr>
      <w:r>
        <w:rPr>
          <w:rFonts w:hint="eastAsia"/>
        </w:rPr>
        <w:t>副总指挥（县水务局局长）协助总指挥、常务副总指挥调度全县防洪工程，组织开展洪水调度、雨情水情监测预报预警、防汛会商、抢险救灾技术方案制定工作。</w:t>
      </w:r>
    </w:p>
    <w:p w14:paraId="3369D04F">
      <w:pPr>
        <w:ind w:firstLine="632"/>
      </w:pPr>
      <w:r>
        <w:rPr>
          <w:rFonts w:hint="eastAsia"/>
        </w:rPr>
        <w:t>副总指挥（县人武部部长）协助总指挥、常务副总指挥协调部队，动员、组织指挥民兵参加防汛抢险抗旱救灾工作。</w:t>
      </w:r>
    </w:p>
    <w:p w14:paraId="5160A10A">
      <w:pPr>
        <w:ind w:firstLine="632"/>
      </w:pPr>
      <w:r>
        <w:rPr>
          <w:rFonts w:hint="eastAsia"/>
        </w:rPr>
        <w:t>副总指挥（县消防救援大队大队长）协助总指挥、常务副总指挥组织指挥消防救援队伍参加防汛抢险抗旱救灾工作。</w:t>
      </w:r>
    </w:p>
    <w:p w14:paraId="78C06D91">
      <w:pPr>
        <w:ind w:firstLine="632"/>
      </w:pPr>
      <w:r>
        <w:rPr>
          <w:rFonts w:hint="eastAsia"/>
        </w:rPr>
        <w:t>副总指挥（县森林消防大队大队长）协助总指挥、常务副总指挥组织指挥森林消防队伍参加防汛抢险抗旱救灾工作。</w:t>
      </w:r>
    </w:p>
    <w:p w14:paraId="3BEF7D6F">
      <w:pPr>
        <w:ind w:firstLine="632"/>
      </w:pPr>
      <w:r>
        <w:rPr>
          <w:rFonts w:hint="eastAsia"/>
        </w:rPr>
        <w:t>县防汛办主任（县水务局局长、县应急管理局局长）：协助总指挥、常务副总指挥、副总指挥抓好全县防汛日常工作，协调成员单位开展防汛工作，</w:t>
      </w:r>
      <w:r>
        <w:rPr>
          <w:rFonts w:hint="eastAsia" w:eastAsia="仿宋" w:cs="宋体"/>
        </w:rPr>
        <w:t>负责县防汛办日常工作</w:t>
      </w:r>
      <w:r>
        <w:rPr>
          <w:rFonts w:hint="eastAsia" w:eastAsia="仿宋"/>
        </w:rPr>
        <w:t>。</w:t>
      </w:r>
    </w:p>
    <w:p w14:paraId="044291B3">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县防汛办职责</w:t>
      </w:r>
    </w:p>
    <w:p w14:paraId="47379709">
      <w:pPr>
        <w:numPr>
          <w:ilvl w:val="0"/>
          <w:numId w:val="24"/>
        </w:numPr>
        <w:ind w:firstLine="632"/>
      </w:pPr>
      <w:r>
        <w:rPr>
          <w:rFonts w:hint="eastAsia"/>
        </w:rPr>
        <w:t>承担县防指日常工作，协调县防指成员单位工作；</w:t>
      </w:r>
    </w:p>
    <w:p w14:paraId="2B5C80AC">
      <w:pPr>
        <w:numPr>
          <w:ilvl w:val="0"/>
          <w:numId w:val="24"/>
        </w:numPr>
        <w:ind w:firstLine="632"/>
      </w:pPr>
      <w:r>
        <w:rPr>
          <w:rFonts w:hint="eastAsia"/>
        </w:rPr>
        <w:t>组织、指导、协调、督促全县防汛工作；</w:t>
      </w:r>
    </w:p>
    <w:p w14:paraId="4B6371AB">
      <w:pPr>
        <w:numPr>
          <w:ilvl w:val="0"/>
          <w:numId w:val="24"/>
        </w:numPr>
        <w:ind w:firstLine="632"/>
      </w:pPr>
      <w:r>
        <w:rPr>
          <w:rFonts w:hint="eastAsia"/>
        </w:rPr>
        <w:t xml:space="preserve">组织、指导全县防汛预案方案修编演练，负责有关防汛 预案和调度方案审查、审批工作； </w:t>
      </w:r>
    </w:p>
    <w:p w14:paraId="1CA63379">
      <w:pPr>
        <w:numPr>
          <w:ilvl w:val="0"/>
          <w:numId w:val="24"/>
        </w:numPr>
        <w:ind w:firstLine="632"/>
      </w:pPr>
      <w:r>
        <w:rPr>
          <w:rFonts w:hint="eastAsia"/>
        </w:rPr>
        <w:t xml:space="preserve">协调指导重要河流和重要水工程防御洪水、抗御洪水灾害调度以及应急水量调度工作； </w:t>
      </w:r>
    </w:p>
    <w:p w14:paraId="3567778B">
      <w:pPr>
        <w:numPr>
          <w:ilvl w:val="0"/>
          <w:numId w:val="24"/>
        </w:numPr>
        <w:ind w:firstLine="632"/>
      </w:pPr>
      <w:r>
        <w:rPr>
          <w:rFonts w:hint="eastAsia"/>
        </w:rPr>
        <w:t>负责全县汛情、灾情等统计、报告、发布；</w:t>
      </w:r>
    </w:p>
    <w:p w14:paraId="03F466D9">
      <w:pPr>
        <w:numPr>
          <w:ilvl w:val="0"/>
          <w:numId w:val="24"/>
        </w:numPr>
        <w:ind w:firstLine="632"/>
      </w:pPr>
      <w:r>
        <w:rPr>
          <w:rFonts w:hint="eastAsia"/>
        </w:rPr>
        <w:t>指导协调相关部门做好洪水灾害防治工作；</w:t>
      </w:r>
    </w:p>
    <w:p w14:paraId="034D32DC">
      <w:pPr>
        <w:numPr>
          <w:ilvl w:val="0"/>
          <w:numId w:val="24"/>
        </w:numPr>
        <w:ind w:firstLine="632"/>
      </w:pPr>
      <w:r>
        <w:rPr>
          <w:rFonts w:hint="eastAsia"/>
        </w:rPr>
        <w:t>协调指导洪水灾害应急抢险救援工作；</w:t>
      </w:r>
    </w:p>
    <w:p w14:paraId="1F0A2593">
      <w:pPr>
        <w:numPr>
          <w:ilvl w:val="0"/>
          <w:numId w:val="24"/>
        </w:numPr>
        <w:ind w:firstLine="632"/>
      </w:pPr>
      <w:r>
        <w:rPr>
          <w:rFonts w:hint="eastAsia"/>
        </w:rPr>
        <w:t>负责县级防汛抢险物资储备、更新、调配和资金管理，指导镇防汛抢险物资储备和防汛抢险队伍建设管理；</w:t>
      </w:r>
    </w:p>
    <w:p w14:paraId="46178279">
      <w:pPr>
        <w:numPr>
          <w:ilvl w:val="0"/>
          <w:numId w:val="24"/>
        </w:numPr>
        <w:ind w:firstLine="632"/>
      </w:pPr>
      <w:r>
        <w:rPr>
          <w:rFonts w:hint="eastAsia"/>
        </w:rPr>
        <w:t>组织开展防汛准备、检查和考核、表彰工作，组织指导重大洪水灾害调查评估工作；</w:t>
      </w:r>
    </w:p>
    <w:p w14:paraId="6E31268D">
      <w:pPr>
        <w:numPr>
          <w:ilvl w:val="0"/>
          <w:numId w:val="24"/>
        </w:numPr>
        <w:ind w:firstLine="632"/>
      </w:pPr>
      <w:r>
        <w:rPr>
          <w:rFonts w:hint="eastAsia"/>
        </w:rPr>
        <w:t>负责防汛专项资金计划管理和防汛应急工程建设管理工作；</w:t>
      </w:r>
    </w:p>
    <w:p w14:paraId="735094F7">
      <w:pPr>
        <w:numPr>
          <w:ilvl w:val="0"/>
          <w:numId w:val="24"/>
        </w:numPr>
        <w:ind w:firstLine="632"/>
      </w:pPr>
      <w:r>
        <w:rPr>
          <w:rFonts w:hint="eastAsia"/>
        </w:rPr>
        <w:t>负责县防指会议组织、文件起草、简报编印、档案管理等工作；</w:t>
      </w:r>
    </w:p>
    <w:p w14:paraId="3EACE1C9">
      <w:pPr>
        <w:numPr>
          <w:ilvl w:val="0"/>
          <w:numId w:val="24"/>
        </w:numPr>
        <w:ind w:firstLine="632"/>
      </w:pPr>
      <w:r>
        <w:rPr>
          <w:rFonts w:hint="eastAsia"/>
        </w:rPr>
        <w:t>完成县委、县政府和县防指交办的其他工作。</w:t>
      </w:r>
    </w:p>
    <w:p w14:paraId="5A05F938">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成员单位职责</w:t>
      </w:r>
    </w:p>
    <w:p w14:paraId="4AD9B995">
      <w:pPr>
        <w:ind w:firstLine="632"/>
        <w:rPr>
          <w:b/>
          <w:bCs/>
        </w:rPr>
      </w:pPr>
      <w:r>
        <w:rPr>
          <w:rFonts w:hint="eastAsia"/>
        </w:rPr>
        <w:t>县防指成员单位在县防指统一指挥下，负责组织、指导、督促本部门（系统）的安全度汛和抗旱救灾及防灾、减灾、救灾避险知识的宣传和培训工作，及时组织本行业（系统）开展险情、灾情、旱情的调查、统计、核实工作和防汛抢险抗旱救灾情况收集汇总，并将相关信息适时报送省防指。</w:t>
      </w:r>
    </w:p>
    <w:p w14:paraId="1C827036">
      <w:pPr>
        <w:ind w:firstLine="634"/>
      </w:pPr>
      <w:r>
        <w:rPr>
          <w:rFonts w:hint="eastAsia"/>
          <w:b/>
          <w:bCs/>
        </w:rPr>
        <w:t>县委宣传部：</w:t>
      </w:r>
      <w:r>
        <w:rPr>
          <w:rFonts w:hint="eastAsia"/>
        </w:rPr>
        <w:t>负责组织协调、监督和指导相关部门、单位开展防汛抗旱工作宣传报道、新闻发布和舆情管控，正确把握防汛抢险抗旱救灾工作的宣传导向，指导新闻宣传单位做好宣传报道及视情指导组织召开新闻发布会等工作。</w:t>
      </w:r>
    </w:p>
    <w:p w14:paraId="25808A88">
      <w:pPr>
        <w:ind w:firstLine="634"/>
      </w:pPr>
      <w:r>
        <w:rPr>
          <w:rFonts w:hint="eastAsia"/>
          <w:b/>
          <w:bCs/>
        </w:rPr>
        <w:t>县委网信办：</w:t>
      </w:r>
      <w:r>
        <w:rPr>
          <w:rFonts w:hint="eastAsia"/>
        </w:rPr>
        <w:t>负责组织全县网络媒体做好防汛抗旱宣传引导工作，指导各地各有关部门加强网络舆情监测、研判、报告和应急处置工作。</w:t>
      </w:r>
    </w:p>
    <w:p w14:paraId="3C07F6A3">
      <w:pPr>
        <w:ind w:firstLine="634"/>
      </w:pPr>
      <w:r>
        <w:rPr>
          <w:rFonts w:hint="eastAsia"/>
          <w:b/>
          <w:bCs/>
        </w:rPr>
        <w:t>县人民武装部：</w:t>
      </w:r>
      <w:r>
        <w:rPr>
          <w:rFonts w:hint="eastAsia"/>
        </w:rPr>
        <w:t>负责组织所属民兵执行抗洪抢险、营救群众、转移运送物资、稳定秩序及其他重大防汛抗旱任务。完成县防指交办的其他防灾减灾救灾任务。</w:t>
      </w:r>
    </w:p>
    <w:p w14:paraId="20A9E7E8">
      <w:pPr>
        <w:ind w:firstLine="634"/>
      </w:pPr>
      <w:r>
        <w:rPr>
          <w:rFonts w:hint="eastAsia"/>
          <w:b/>
          <w:bCs/>
        </w:rPr>
        <w:t>县发展和改革局：</w:t>
      </w:r>
      <w:r>
        <w:rPr>
          <w:rFonts w:hint="eastAsia"/>
        </w:rPr>
        <w:t>负责防汛减灾救灾工程、水毁工程修复、灾后恢复重建等重点项目规划、投资计划的协调和衔接工作；完成县防指交办的其他防灾减灾救灾任务。</w:t>
      </w:r>
    </w:p>
    <w:p w14:paraId="669AC7BC">
      <w:pPr>
        <w:ind w:firstLine="634"/>
      </w:pPr>
      <w:r>
        <w:rPr>
          <w:rFonts w:hint="eastAsia"/>
          <w:b/>
          <w:bCs/>
        </w:rPr>
        <w:t>县教育和体育局：</w:t>
      </w:r>
      <w:r>
        <w:rPr>
          <w:rFonts w:hint="eastAsia"/>
        </w:rPr>
        <w:t>负责教育系统的防汛工作，负责全县各类学校及学生防汛避险知识宣传教育普及，组织指导洪水灾害威胁区学校安全防范、灾后重建、危房改造和恢复教学秩序。完成县防指交办的其他防灾减灾救灾任务。</w:t>
      </w:r>
    </w:p>
    <w:p w14:paraId="23772DF2">
      <w:pPr>
        <w:ind w:firstLine="634"/>
      </w:pPr>
      <w:r>
        <w:rPr>
          <w:rFonts w:hint="eastAsia"/>
          <w:b/>
          <w:bCs/>
        </w:rPr>
        <w:t>县工业信息科技局：</w:t>
      </w:r>
      <w:r>
        <w:rPr>
          <w:rFonts w:hint="eastAsia"/>
        </w:rPr>
        <w:t>负责工业、企业系统防汛工作，协调重要防汛物资生产和紧急调运，做好灾后工业生产恢复工作；负责监测分析灾区生活必需品市场运行和供求形势状况；负责协调移动、联通、电信、铁塔集贤县办事处等单位，做好防汛通信设施抢修，保障防汛抗旱重要业务无线电频率正常使用，在需要时调用应急无线电频率。完成县防指交办的其他防灾减灾救灾任务。</w:t>
      </w:r>
    </w:p>
    <w:p w14:paraId="31FF1033">
      <w:pPr>
        <w:ind w:firstLine="634"/>
      </w:pPr>
      <w:r>
        <w:rPr>
          <w:rFonts w:hint="eastAsia"/>
          <w:b/>
          <w:bCs/>
        </w:rPr>
        <w:t>县公安局：</w:t>
      </w:r>
      <w:r>
        <w:rPr>
          <w:rFonts w:hint="eastAsia"/>
        </w:rPr>
        <w:t>负责维护防汛抢险秩序和灾区社会治安、交通管控和疏导、交通信息发布或预警，依法打击造谣惑众和盗窃、哄抢防汛物料、破坏防汛监测预警设施以及干扰防汛工作正常进行的违法犯罪活动；协助有关部门妥善处置因防汛引发的群体性事件；协助组织群众从危险地区安全撤离或转移。完成县防指交办的其他防灾减灾救灾任务。</w:t>
      </w:r>
    </w:p>
    <w:p w14:paraId="069ED5ED">
      <w:pPr>
        <w:ind w:firstLine="634"/>
        <w:rPr>
          <w:b/>
          <w:bCs/>
        </w:rPr>
      </w:pPr>
      <w:r>
        <w:rPr>
          <w:rFonts w:hint="eastAsia"/>
          <w:b/>
          <w:bCs/>
        </w:rPr>
        <w:t>县民政局：</w:t>
      </w:r>
      <w:r>
        <w:rPr>
          <w:rFonts w:hint="eastAsia"/>
        </w:rPr>
        <w:t>负责民政系统的防汛工作，指导受灾地区实施灾民生活救助与救灾捐赠工作。完成县防指交办的其他防灾减灾救灾任务。</w:t>
      </w:r>
    </w:p>
    <w:p w14:paraId="5C849F82">
      <w:pPr>
        <w:ind w:firstLine="634"/>
      </w:pPr>
      <w:r>
        <w:rPr>
          <w:rFonts w:hint="eastAsia"/>
          <w:b/>
          <w:bCs/>
        </w:rPr>
        <w:t>县财政局：</w:t>
      </w:r>
      <w:r>
        <w:rPr>
          <w:rFonts w:hint="eastAsia"/>
        </w:rPr>
        <w:t>负责防汛基础设施、应急度汛、水毁修复及抢险救援、防灾减灾救灾等相关资金，及时筹措下达，并会同相关部门做好资金监管工作。完成县防指交办的其他防灾减灾救灾任务。</w:t>
      </w:r>
    </w:p>
    <w:p w14:paraId="3F5E9118">
      <w:pPr>
        <w:ind w:firstLine="634"/>
      </w:pPr>
      <w:r>
        <w:rPr>
          <w:rFonts w:hint="eastAsia"/>
          <w:b/>
          <w:bCs/>
        </w:rPr>
        <w:t>县自然资源局：</w:t>
      </w:r>
      <w:r>
        <w:rPr>
          <w:rFonts w:hint="eastAsia"/>
        </w:rPr>
        <w:t>负责自然资源系统的防汛工作，指导地质灾害监测、预报、预警工作，组织开展隐患排查治理、灾情核查和应急抢险，协调防洪工程、应急避险、灾后恢复重建的用地保障。完成县防指交办的其他防灾减灾救灾任务。</w:t>
      </w:r>
    </w:p>
    <w:p w14:paraId="10B7A910">
      <w:pPr>
        <w:ind w:firstLine="634"/>
      </w:pPr>
      <w:r>
        <w:rPr>
          <w:rFonts w:hint="eastAsia"/>
          <w:b/>
          <w:bCs/>
        </w:rPr>
        <w:t>县住房和城乡建设局：</w:t>
      </w:r>
      <w:r>
        <w:rPr>
          <w:rFonts w:hint="eastAsia"/>
        </w:rPr>
        <w:t>负责住房城乡建设系统的防汛工作，组织、协调、指导和督促公路、水运交通设施的防洪安全和应急抢险救援救灾工作，负责城市市政设施的防涝安全，协助做好城市防涝规划制定和应急供水工作。完成县防指交办的其他防灾减灾救灾任务。</w:t>
      </w:r>
    </w:p>
    <w:p w14:paraId="571367F1">
      <w:pPr>
        <w:ind w:firstLine="634"/>
      </w:pPr>
      <w:r>
        <w:rPr>
          <w:rFonts w:hint="eastAsia"/>
          <w:b/>
          <w:bCs/>
        </w:rPr>
        <w:t>县交通运输局：</w:t>
      </w:r>
      <w:r>
        <w:rPr>
          <w:rFonts w:hint="eastAsia"/>
        </w:rPr>
        <w:t>负责交通运输系统防汛工作，组织、协调、指导和督促公路、水运交通设施的防汛安全和应急抢险救援救灾工作，及时组织修复水毁公路、桥梁，负责紧急情况下防汛、救援、防疫人员和防汛物资、用品运送。完成县防指交办的其他防灾减灾救灾任务。</w:t>
      </w:r>
    </w:p>
    <w:p w14:paraId="25D5291A">
      <w:pPr>
        <w:ind w:firstLine="634"/>
      </w:pPr>
      <w:r>
        <w:rPr>
          <w:rFonts w:hint="eastAsia"/>
          <w:b/>
          <w:bCs/>
        </w:rPr>
        <w:t>县水务局：</w:t>
      </w:r>
      <w:r>
        <w:rPr>
          <w:rFonts w:hint="eastAsia"/>
        </w:rPr>
        <w:t>负责洪水灾害防御工作，负责水情的监测、预报、预警和发布工作；组织编制重要河流和重要水工程的防御洪水方案、洪水调度方案，按程序报批并组织实施；组织开展洪水灾害风险评估，对风险隐患进行排查治理；承担防御洪水应急抢险的技术支撑工作，组织编制洪水灾害防治规划和防护标准并指导实施。完成县防指交办的其他防灾减灾救灾任务。</w:t>
      </w:r>
    </w:p>
    <w:p w14:paraId="3D846595">
      <w:pPr>
        <w:ind w:firstLine="634"/>
      </w:pPr>
      <w:r>
        <w:rPr>
          <w:rFonts w:hint="eastAsia"/>
          <w:b/>
          <w:bCs/>
        </w:rPr>
        <w:t>县农业农村局：</w:t>
      </w:r>
      <w:r>
        <w:rPr>
          <w:rFonts w:hint="eastAsia"/>
        </w:rPr>
        <w:t>负责农业系统的防汛工作，指导和督促农业洪水灾害防治工作，及时收集整理和反映农业灾情信息;指导乡镇做好农业减灾技术指导工作。完成县防指交办的其他防灾减灾救灾任务。</w:t>
      </w:r>
    </w:p>
    <w:p w14:paraId="3309C0CD">
      <w:pPr>
        <w:ind w:firstLine="634"/>
      </w:pPr>
      <w:r>
        <w:rPr>
          <w:rFonts w:hint="eastAsia"/>
          <w:b/>
          <w:bCs/>
        </w:rPr>
        <w:t>县文化广电和旅游局：</w:t>
      </w:r>
      <w:r>
        <w:rPr>
          <w:rFonts w:hint="eastAsia"/>
        </w:rPr>
        <w:t>负责文化和旅游、广电系统的防汛工作，组织、协调、指导和督促文化、A及旅游景区洪水灾害的防治工作，做好文化、旅游景区旅游防汛安全工作；负责县、镇、村三级应急广播系统建设并确保畅通；组织指导广播电台、电视台开展防汛抗洪、抢险救援、救灾减灾等重要信息。完成县防指交办的其他防灾减灾救灾任务。</w:t>
      </w:r>
    </w:p>
    <w:p w14:paraId="12E593BE">
      <w:pPr>
        <w:ind w:firstLine="634"/>
      </w:pPr>
      <w:r>
        <w:rPr>
          <w:rFonts w:hint="eastAsia"/>
          <w:b/>
          <w:bCs/>
        </w:rPr>
        <w:t>县卫生健康局：</w:t>
      </w:r>
      <w:r>
        <w:rPr>
          <w:rFonts w:hint="eastAsia"/>
        </w:rPr>
        <w:t xml:space="preserve">负责卫生健康系统的防汛工作，组织、协调、指导和督促洪涝灾区疾病预防控制和医疗救护工作，及时提供灾区疫情与防控信息，组织医护人员赴灾区开展防疫治病，预防和控制疫情的发生发展。完成县防指交办的其他防灾减灾救灾任务。 </w:t>
      </w:r>
    </w:p>
    <w:p w14:paraId="42717EC9">
      <w:pPr>
        <w:ind w:firstLine="634"/>
      </w:pPr>
      <w:r>
        <w:rPr>
          <w:rFonts w:hint="eastAsia"/>
          <w:b/>
          <w:bCs/>
        </w:rPr>
        <w:t>县应急管理局：</w:t>
      </w:r>
      <w:r>
        <w:rPr>
          <w:rFonts w:hint="eastAsia"/>
        </w:rPr>
        <w:t>负责组织编制县级防汛应急预案，组织开展县级防汛应急预案演练和宣传培训；协助县委、县政府指定的同志组织较大以上洪水灾害应急处置工作；开展洪水灾害综合风险评估工作，组织指导洪涝灾情核查、损失评估工作；承担防汛办日常工作，统筹全县防汛应急救援力量建设，指导各镇及社会应急救援力量建设；制定全县防汛应急物资保障和应急救援装备储备规划并组织实施，负责应急抢险救灾物资统一调度；督导检查辖区内突发事件应对和应急调查处置抢险等工作，负责洪水灾害统计上报工作。完成县防指交办的其他防灾减灾救灾任务。</w:t>
      </w:r>
    </w:p>
    <w:p w14:paraId="6B918756">
      <w:pPr>
        <w:ind w:firstLine="634"/>
      </w:pPr>
      <w:r>
        <w:rPr>
          <w:rFonts w:hint="eastAsia"/>
          <w:b/>
          <w:bCs/>
        </w:rPr>
        <w:t>县气象局：</w:t>
      </w:r>
      <w:r>
        <w:rPr>
          <w:rFonts w:hint="eastAsia"/>
        </w:rPr>
        <w:t>负责天气气候监测和预报预警工作及气象灾害形势分析和评估，及时向县防指及有关成员单位（部门）提供重要天气预报预警信息和雨情实况信息；参与洪水灾害会商。完成县防指交办的其他防灾减灾救灾任务。</w:t>
      </w:r>
    </w:p>
    <w:p w14:paraId="3D599628">
      <w:pPr>
        <w:ind w:firstLine="634"/>
        <w:rPr>
          <w:b/>
          <w:bCs/>
        </w:rPr>
      </w:pPr>
      <w:r>
        <w:rPr>
          <w:rFonts w:hint="eastAsia"/>
          <w:b/>
          <w:bCs/>
        </w:rPr>
        <w:t>县市场监管局：</w:t>
      </w:r>
      <w:r>
        <w:rPr>
          <w:rFonts w:hint="eastAsia"/>
        </w:rPr>
        <w:t>负责市场监管系统的防汛工作，负责受灾区域基本生活用品、药品等市场供应秩序监管维护，协助做好食品药品和医疗器械供应的协调及质量安全工作。完成县防指交办的其他防灾减灾救灾任务。</w:t>
      </w:r>
    </w:p>
    <w:p w14:paraId="7DE1A8CB">
      <w:pPr>
        <w:ind w:firstLine="634"/>
      </w:pPr>
      <w:r>
        <w:rPr>
          <w:rFonts w:hint="eastAsia"/>
          <w:b/>
          <w:bCs/>
        </w:rPr>
        <w:t>县林业和草原局：</w:t>
      </w:r>
      <w:r>
        <w:rPr>
          <w:rFonts w:hint="eastAsia"/>
        </w:rPr>
        <w:t>负责林业系统的防汛工作，负责收集整理和反映林业灾情信息，做好林业产业救灾减灾和生产恢复工作。完成县防指交办的其他防灾减灾救灾任务。</w:t>
      </w:r>
    </w:p>
    <w:p w14:paraId="4667CC70">
      <w:pPr>
        <w:ind w:firstLine="634"/>
        <w:rPr>
          <w:b/>
          <w:bCs/>
        </w:rPr>
      </w:pPr>
      <w:r>
        <w:rPr>
          <w:rFonts w:hint="eastAsia"/>
          <w:b/>
          <w:bCs/>
        </w:rPr>
        <w:t>双鸭山市集贤生态环境局：</w:t>
      </w:r>
      <w:r>
        <w:rPr>
          <w:rFonts w:hint="eastAsia"/>
        </w:rPr>
        <w:t>负责生态环境系统的防汛工作，负责因洪水灾害引发的环境污染监测，提出控制、消除环境污染的建议，配合有关部门开展防汛应急处置工作。完成县防指交办的其他防灾减灾救灾任务。</w:t>
      </w:r>
    </w:p>
    <w:p w14:paraId="53E84C1B">
      <w:pPr>
        <w:ind w:firstLine="634"/>
      </w:pPr>
      <w:r>
        <w:rPr>
          <w:rFonts w:hint="eastAsia"/>
          <w:b/>
          <w:bCs/>
        </w:rPr>
        <w:t>县国动办：</w:t>
      </w:r>
      <w:r>
        <w:rPr>
          <w:rFonts w:hint="eastAsia"/>
        </w:rPr>
        <w:t>负责已建人防工程的安全度汛工作。完成县防指交办的其他防灾减灾救灾任务。</w:t>
      </w:r>
    </w:p>
    <w:p w14:paraId="49BA2AD6">
      <w:pPr>
        <w:ind w:firstLine="634"/>
      </w:pPr>
      <w:r>
        <w:rPr>
          <w:rFonts w:hint="eastAsia"/>
          <w:b/>
          <w:bCs/>
        </w:rPr>
        <w:t>县城市管理局：</w:t>
      </w:r>
      <w:r>
        <w:rPr>
          <w:rFonts w:hint="eastAsia"/>
        </w:rPr>
        <w:t xml:space="preserve">负责全县防汛工程上城管基础设施的安全度汛，协助有关部门保证道路和防洪通道畅通。完成县防指交办的其他防灾减灾救灾任务。 </w:t>
      </w:r>
    </w:p>
    <w:p w14:paraId="21F18D3C">
      <w:pPr>
        <w:ind w:firstLine="634"/>
      </w:pPr>
      <w:r>
        <w:rPr>
          <w:rFonts w:hint="eastAsia"/>
          <w:b/>
          <w:bCs/>
        </w:rPr>
        <w:t>县消防救援大队、县森林消防大队：</w:t>
      </w:r>
      <w:r>
        <w:rPr>
          <w:rFonts w:hint="eastAsia"/>
        </w:rPr>
        <w:t>负责消防救援系统的防汛工作，组织和协调消防救援专业队伍执行抗洪抢险、营救群众、转移人员等重大抢险任务。完成县防指交办的其他防灾减灾救灾任务。</w:t>
      </w:r>
    </w:p>
    <w:p w14:paraId="419C270E">
      <w:pPr>
        <w:ind w:firstLine="634"/>
      </w:pPr>
      <w:r>
        <w:rPr>
          <w:rFonts w:hint="eastAsia"/>
          <w:b/>
          <w:bCs/>
        </w:rPr>
        <w:t>县红十字会：</w:t>
      </w:r>
      <w:r>
        <w:rPr>
          <w:rFonts w:hint="eastAsia"/>
        </w:rPr>
        <w:t>负责组织社会力量，筹措社会资金，配合协助洪水灾害抢险救援。完成县防指交办的其他防灾减灾救灾任务。</w:t>
      </w:r>
    </w:p>
    <w:p w14:paraId="7868C713">
      <w:pPr>
        <w:ind w:firstLine="634"/>
      </w:pPr>
      <w:r>
        <w:rPr>
          <w:rFonts w:hint="eastAsia"/>
          <w:b/>
          <w:bCs/>
        </w:rPr>
        <w:t>集贤水文站：</w:t>
      </w:r>
      <w:r>
        <w:rPr>
          <w:rFonts w:hint="eastAsia"/>
        </w:rPr>
        <w:t>负责提供水文信息服务，为防汛会商提供科学、准确、及时的水文信息。完成县防指交办的其他防灾减灾救灾任务。</w:t>
      </w:r>
    </w:p>
    <w:p w14:paraId="1F4AB771">
      <w:pPr>
        <w:ind w:firstLine="634"/>
      </w:pPr>
      <w:r>
        <w:rPr>
          <w:rFonts w:hint="eastAsia"/>
          <w:b/>
          <w:bCs/>
        </w:rPr>
        <w:t>县供水公司：</w:t>
      </w:r>
      <w:r>
        <w:rPr>
          <w:rFonts w:hint="eastAsia"/>
        </w:rPr>
        <w:t>负责所辖区域供水管路抢修，保证城区供水。</w:t>
      </w:r>
    </w:p>
    <w:p w14:paraId="7CC90B61">
      <w:pPr>
        <w:ind w:firstLine="634"/>
      </w:pPr>
      <w:r>
        <w:rPr>
          <w:rFonts w:hint="eastAsia"/>
          <w:b/>
          <w:bCs/>
        </w:rPr>
        <w:t>国网集贤分公司：</w:t>
      </w:r>
      <w:r>
        <w:rPr>
          <w:rFonts w:hint="eastAsia"/>
        </w:rPr>
        <w:t>负责防汛抢险抗旱救灾期间的供电保障，做好本系统水电工程的防洪调度和安全度汛工作。及时组织修复受损电力设施，保障所辖电网的安全运行。完成县防指交办的其他防灾减灾救灾任务。</w:t>
      </w:r>
    </w:p>
    <w:p w14:paraId="03FF1C36">
      <w:pPr>
        <w:ind w:firstLine="634"/>
      </w:pPr>
      <w:r>
        <w:rPr>
          <w:rFonts w:hint="eastAsia"/>
          <w:b/>
          <w:bCs/>
        </w:rPr>
        <w:t>二九一农场：</w:t>
      </w:r>
      <w:r>
        <w:rPr>
          <w:rFonts w:hint="eastAsia"/>
        </w:rPr>
        <w:t>负责本系统的度汛安全和防汛抢险抗旱救灾工作，与属地协调配合开展防汛抗旱工作。</w:t>
      </w:r>
    </w:p>
    <w:p w14:paraId="5CC4392F">
      <w:pPr>
        <w:ind w:firstLine="634"/>
      </w:pPr>
      <w:r>
        <w:rPr>
          <w:rFonts w:hint="eastAsia"/>
          <w:b/>
          <w:bCs/>
        </w:rPr>
        <w:t>福利屯火车站：</w:t>
      </w:r>
      <w:r>
        <w:rPr>
          <w:rFonts w:hint="eastAsia"/>
        </w:rPr>
        <w:t>负责系统内铁路工程设施的安全度汛工作，保障抗洪抢险救灾人员及物资设备的铁路运输工作。</w:t>
      </w:r>
    </w:p>
    <w:p w14:paraId="6C7DE92F">
      <w:pPr>
        <w:ind w:firstLine="634"/>
      </w:pPr>
      <w:r>
        <w:rPr>
          <w:rFonts w:hint="eastAsia"/>
          <w:b/>
          <w:bCs/>
        </w:rPr>
        <w:t>电信、移动、联通集贤分公司：</w:t>
      </w:r>
      <w:r>
        <w:rPr>
          <w:rFonts w:hint="eastAsia"/>
        </w:rPr>
        <w:t>负责做好本系统防汛和应急通信保障工作，及时组织恢复因灾害损坏的通信、广电设施，采取各种有效措施，保证抗洪抢险救灾通信的畅通。完成县防指交办的其他防灾减灾救灾任务。</w:t>
      </w:r>
    </w:p>
    <w:p w14:paraId="4F281AF6">
      <w:pPr>
        <w:ind w:firstLine="632"/>
      </w:pPr>
      <w:r>
        <w:rPr>
          <w:rFonts w:hint="eastAsia"/>
        </w:rPr>
        <w:t>非成员单位（部门）结合本行业实际，按照防汛安全“三管三必须”原则，做好防汛相关工作。完成县防指交办的其他任务。</w:t>
      </w:r>
    </w:p>
    <w:p w14:paraId="6357220F">
      <w:pPr>
        <w:pStyle w:val="3"/>
        <w:tabs>
          <w:tab w:val="left" w:pos="0"/>
        </w:tabs>
      </w:pPr>
      <w:bookmarkStart w:id="237" w:name="_Toc11576"/>
      <w:r>
        <w:rPr>
          <w:rFonts w:hint="eastAsia"/>
        </w:rPr>
        <w:t>乡镇防汛抗旱指挥部</w:t>
      </w:r>
      <w:bookmarkEnd w:id="237"/>
    </w:p>
    <w:p w14:paraId="7E4F0074">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组成及职责</w:t>
      </w:r>
    </w:p>
    <w:p w14:paraId="5B71CE0F">
      <w:pPr>
        <w:ind w:firstLine="632"/>
      </w:pPr>
      <w:r>
        <w:rPr>
          <w:rFonts w:hint="eastAsia"/>
        </w:rPr>
        <w:t>各乡镇防汛指挥部由乡镇党委和乡镇政府的主要领导分别任总指挥和副总指挥，各站、所、学校等所属单位及各村屯主要负责人为成员。具体职责如下：</w:t>
      </w:r>
    </w:p>
    <w:p w14:paraId="12728713">
      <w:pPr>
        <w:numPr>
          <w:ilvl w:val="0"/>
          <w:numId w:val="25"/>
        </w:numPr>
        <w:ind w:firstLine="632"/>
      </w:pPr>
      <w:r>
        <w:rPr>
          <w:rFonts w:hint="eastAsia"/>
        </w:rPr>
        <w:t>负责编制乡镇、村屯防汛应急预案，乡镇级预案报县防汛指挥部办公室备案；</w:t>
      </w:r>
    </w:p>
    <w:p w14:paraId="2EAD60A4">
      <w:pPr>
        <w:numPr>
          <w:ilvl w:val="0"/>
          <w:numId w:val="25"/>
        </w:numPr>
        <w:ind w:firstLine="632"/>
      </w:pPr>
      <w:r>
        <w:rPr>
          <w:rFonts w:hint="eastAsia"/>
        </w:rPr>
        <w:t>建立健全防汛组织机构，组建防汛应急抢险和疏散撤离队伍；</w:t>
      </w:r>
    </w:p>
    <w:p w14:paraId="638B94B0">
      <w:pPr>
        <w:numPr>
          <w:ilvl w:val="0"/>
          <w:numId w:val="25"/>
        </w:numPr>
        <w:ind w:firstLine="632"/>
      </w:pPr>
      <w:r>
        <w:rPr>
          <w:rFonts w:hint="eastAsia"/>
        </w:rPr>
        <w:t>排查防汛隐患，督促检查辖区内洪水灾害工作落实情况；</w:t>
      </w:r>
    </w:p>
    <w:p w14:paraId="358A180D">
      <w:pPr>
        <w:numPr>
          <w:ilvl w:val="0"/>
          <w:numId w:val="25"/>
        </w:numPr>
        <w:ind w:firstLine="632"/>
      </w:pPr>
      <w:r>
        <w:rPr>
          <w:rFonts w:hint="eastAsia"/>
        </w:rPr>
        <w:t>抓好本辖区防御洪水灾害日常工作，负责乡镇、村屯防御洪水灾害预案及防、抢、撤方案的宣传和实施；</w:t>
      </w:r>
    </w:p>
    <w:p w14:paraId="44E68C6A">
      <w:pPr>
        <w:numPr>
          <w:ilvl w:val="0"/>
          <w:numId w:val="25"/>
        </w:numPr>
        <w:ind w:firstLine="632"/>
      </w:pPr>
      <w:r>
        <w:rPr>
          <w:rFonts w:hint="eastAsia"/>
        </w:rPr>
        <w:t>按照防御洪水灾害工作要求，储备一定数量的防汛抢险物资；</w:t>
      </w:r>
    </w:p>
    <w:p w14:paraId="3D8782FC">
      <w:pPr>
        <w:numPr>
          <w:ilvl w:val="0"/>
          <w:numId w:val="25"/>
        </w:numPr>
        <w:ind w:firstLine="632"/>
      </w:pPr>
      <w:r>
        <w:rPr>
          <w:rFonts w:hint="eastAsia"/>
        </w:rPr>
        <w:t>准确掌握本辖区及相关区域的雨情、水情，并根据实际情况发布相关抢撤命令；</w:t>
      </w:r>
    </w:p>
    <w:p w14:paraId="04A780E3">
      <w:pPr>
        <w:numPr>
          <w:ilvl w:val="0"/>
          <w:numId w:val="25"/>
        </w:numPr>
        <w:ind w:firstLine="632"/>
      </w:pPr>
      <w:r>
        <w:rPr>
          <w:rFonts w:hint="eastAsia"/>
        </w:rPr>
        <w:t>组织撤离抢险和安置灾民、查报灾情；</w:t>
      </w:r>
    </w:p>
    <w:p w14:paraId="49F7CBFA">
      <w:pPr>
        <w:numPr>
          <w:ilvl w:val="0"/>
          <w:numId w:val="25"/>
        </w:numPr>
        <w:ind w:firstLine="632"/>
      </w:pPr>
      <w:r>
        <w:rPr>
          <w:rFonts w:hint="eastAsia"/>
        </w:rPr>
        <w:t>及时上报、传递各类防汛信息。</w:t>
      </w:r>
    </w:p>
    <w:p w14:paraId="71E269EA">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机构运作程序</w:t>
      </w:r>
    </w:p>
    <w:p w14:paraId="1CCAFFF3">
      <w:pPr>
        <w:ind w:firstLine="632"/>
      </w:pPr>
      <w:r>
        <w:rPr>
          <w:rFonts w:hint="eastAsia"/>
        </w:rPr>
        <w:t>接到县防汛办的各类灾害性天气预报预警后，应立即传达给村组及区域内有关单位，并通过村组干部、预警广播或其他途径立即传达到辖区全体群众及外来人员；做好各项防御洪水灾害准备工作，并及时做好上传下达和信息反馈；当辖区内出现区域性或局部强降雨时，应随时掌握时段降雨量、河道水位及各雨水情、地质灾害监测点、防汛重点部位相关情况，并及时上报；接到县防指的命令后，应及时按照命令要求执行，并上报命令执行情况；及时启动乡镇、村屯防汛应急响应，组织开展抢险救灾及人员撤离工作，并及时向县委、县政府和县防指报告工作动态。</w:t>
      </w:r>
    </w:p>
    <w:p w14:paraId="544C28E5">
      <w:pPr>
        <w:pStyle w:val="3"/>
        <w:tabs>
          <w:tab w:val="left" w:pos="0"/>
        </w:tabs>
      </w:pPr>
      <w:bookmarkStart w:id="238" w:name="_Toc27330"/>
      <w:r>
        <w:rPr>
          <w:rFonts w:hint="eastAsia"/>
        </w:rPr>
        <w:t>其他防汛指挥机构</w:t>
      </w:r>
      <w:bookmarkEnd w:id="238"/>
    </w:p>
    <w:p w14:paraId="438814BF">
      <w:pPr>
        <w:ind w:firstLine="632"/>
      </w:pPr>
      <w:r>
        <w:rPr>
          <w:rFonts w:hint="eastAsia"/>
        </w:rPr>
        <w:t>有关水利工程管理单位、在建涉水工程建设单位、有防汛任务的大中型企业，应组建专门机构，负责本单位的防汛抗旱工作。</w:t>
      </w:r>
    </w:p>
    <w:p w14:paraId="573C95BD">
      <w:pPr>
        <w:ind w:firstLine="632"/>
      </w:pPr>
      <w:r>
        <w:rPr>
          <w:rFonts w:hint="eastAsia"/>
        </w:rPr>
        <w:t>针对重大突发事件，可以组建临时指挥机构，具体负责应急处置工作。</w:t>
      </w:r>
    </w:p>
    <w:p w14:paraId="0C850090">
      <w:pPr>
        <w:pStyle w:val="3"/>
        <w:tabs>
          <w:tab w:val="left" w:pos="0"/>
        </w:tabs>
      </w:pPr>
      <w:bookmarkStart w:id="239" w:name="_Toc20741"/>
      <w:r>
        <w:rPr>
          <w:rFonts w:hint="eastAsia"/>
        </w:rPr>
        <w:t>专家组组成及职责</w:t>
      </w:r>
      <w:bookmarkEnd w:id="239"/>
    </w:p>
    <w:p w14:paraId="374FD036">
      <w:pPr>
        <w:ind w:firstLine="632"/>
      </w:pPr>
      <w:r>
        <w:rPr>
          <w:rFonts w:hint="eastAsia"/>
        </w:rPr>
        <w:t>县防指防汛专家库由水务、气象、住建、人防、城管等有关单位相关专业专家组成，负责为防汛抗洪、抢险救灾、指挥调度等重大决策提供技术支撑，负责提供防汛抢险救灾技术方案，对乡镇防汛工作进行技术指导，解决抢险救灾中出现的重大技术难题。发生重大汛情时赶赴现场协助地方制定切实可行的防汛抢险救灾方案，协助地方政府处理重大险情灾情。</w:t>
      </w:r>
    </w:p>
    <w:p w14:paraId="19B284FD">
      <w:pPr>
        <w:pStyle w:val="3"/>
      </w:pPr>
      <w:bookmarkStart w:id="240" w:name="_Toc1475"/>
      <w:r>
        <w:rPr>
          <w:rFonts w:hint="eastAsia"/>
        </w:rPr>
        <w:t>应急工作组</w:t>
      </w:r>
      <w:bookmarkEnd w:id="240"/>
    </w:p>
    <w:p w14:paraId="19A9347C">
      <w:pPr>
        <w:ind w:firstLine="632"/>
      </w:pPr>
      <w:r>
        <w:rPr>
          <w:rFonts w:hint="eastAsia"/>
        </w:rPr>
        <w:t>县防指根据应急响应等级成立应急工作组，应急工作组数量、成员单位和职责可根据实际需要进行调整。各应急工作组组长由牵头单位负责同志担任，负责协调工作组各成员单位共同做好应急处置工作，组内成员单位要加强分工合作、协调联动，形成应对合力。</w:t>
      </w:r>
    </w:p>
    <w:p w14:paraId="37FA1860">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综合协调和信息收集组</w:t>
      </w:r>
    </w:p>
    <w:p w14:paraId="706B1D70">
      <w:pPr>
        <w:ind w:firstLine="632"/>
      </w:pPr>
      <w:r>
        <w:rPr>
          <w:rFonts w:hint="eastAsia"/>
        </w:rPr>
        <w:t>牵头单位：县政府办公室</w:t>
      </w:r>
    </w:p>
    <w:p w14:paraId="6D692287">
      <w:pPr>
        <w:ind w:firstLine="632"/>
      </w:pPr>
      <w:r>
        <w:rPr>
          <w:rFonts w:hint="eastAsia"/>
        </w:rPr>
        <w:t>责任单位：县应急管理局、县水务局、县自然资源局、县气象局</w:t>
      </w:r>
    </w:p>
    <w:p w14:paraId="0523E6AE">
      <w:pPr>
        <w:ind w:firstLine="632"/>
      </w:pPr>
      <w:r>
        <w:rPr>
          <w:rFonts w:hint="eastAsia"/>
        </w:rPr>
        <w:t>成员单位：县发展和改革局、县公安局、县交通运输局等相关单位</w:t>
      </w:r>
    </w:p>
    <w:p w14:paraId="56E475B4">
      <w:pPr>
        <w:ind w:firstLine="632"/>
      </w:pPr>
      <w:r>
        <w:rPr>
          <w:rFonts w:hint="eastAsia"/>
        </w:rPr>
        <w:t>工作职责：传达贯彻党中央、国务院指示，传达执行市防指，县委、县政府指示、部署，做好防汛抗旱综合协调工作。汇总报送灾险情动态和应急工作进展情况等。完成县防指交办的其他任务。</w:t>
      </w:r>
    </w:p>
    <w:p w14:paraId="3728D4F3">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抢险救援组</w:t>
      </w:r>
    </w:p>
    <w:p w14:paraId="55576261">
      <w:pPr>
        <w:ind w:firstLine="632"/>
      </w:pPr>
      <w:r>
        <w:rPr>
          <w:rFonts w:hint="eastAsia"/>
        </w:rPr>
        <w:t>牵头单位：县应急管理局</w:t>
      </w:r>
    </w:p>
    <w:p w14:paraId="7110ED61">
      <w:pPr>
        <w:ind w:firstLine="632"/>
      </w:pPr>
      <w:r>
        <w:rPr>
          <w:rFonts w:hint="eastAsia"/>
        </w:rPr>
        <w:t>成员单位：县人民武装部、县公安局、县自然资源局、县住房和城乡建设局、县交通运输局、县水务局、县红十字会、县消防救援大队等相关单位</w:t>
      </w:r>
    </w:p>
    <w:p w14:paraId="3C61EC72">
      <w:pPr>
        <w:ind w:firstLine="632"/>
      </w:pPr>
      <w:r>
        <w:rPr>
          <w:rFonts w:hint="eastAsia"/>
        </w:rPr>
        <w:t>工作职责：负责组织指导救援救助受灾群众，统筹各相关力量实施抢险救援救灾工作。完成县防指交办的其他任务。</w:t>
      </w:r>
    </w:p>
    <w:p w14:paraId="7BC4A436">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技术保障组</w:t>
      </w:r>
    </w:p>
    <w:p w14:paraId="51FF896F">
      <w:pPr>
        <w:ind w:firstLine="632"/>
      </w:pPr>
      <w:r>
        <w:rPr>
          <w:rFonts w:hint="eastAsia"/>
        </w:rPr>
        <w:t>牵头单位：县水务局、县自然资源局</w:t>
      </w:r>
    </w:p>
    <w:p w14:paraId="3665BDD9">
      <w:pPr>
        <w:ind w:firstLine="632"/>
      </w:pPr>
      <w:r>
        <w:rPr>
          <w:rFonts w:hint="eastAsia"/>
        </w:rPr>
        <w:t>成员单位：县应急管理局、县气象局、县水文站等相关单位</w:t>
      </w:r>
    </w:p>
    <w:p w14:paraId="2D8A1FC7">
      <w:pPr>
        <w:ind w:firstLine="632"/>
      </w:pPr>
      <w:r>
        <w:rPr>
          <w:rFonts w:hint="eastAsia"/>
        </w:rPr>
        <w:t>工作职责：负责做好气象、水文、地质、测绘等信息保障。密切监视汛情、险情、灾情及次生衍生灾害发展态势，及时组织会商研判，为应急抢险救援提供决策咨询。完成县防指交办的其他任务。</w:t>
      </w:r>
    </w:p>
    <w:p w14:paraId="19F71F9A">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通信能源保障组</w:t>
      </w:r>
    </w:p>
    <w:p w14:paraId="4C5F4507">
      <w:pPr>
        <w:ind w:firstLine="632"/>
      </w:pPr>
      <w:r>
        <w:rPr>
          <w:rFonts w:hint="eastAsia"/>
        </w:rPr>
        <w:t>牵头单位：县工业信息科技局、县住房和城乡建设局</w:t>
      </w:r>
    </w:p>
    <w:p w14:paraId="74A5F789">
      <w:pPr>
        <w:ind w:firstLine="632"/>
      </w:pPr>
      <w:r>
        <w:rPr>
          <w:rFonts w:hint="eastAsia"/>
        </w:rPr>
        <w:t>成员单位：县发展和改革局、县文体广旅局、县水务局、国网集贤供电公司、县电信公司、县移动公司、县联通公司、县供排水公司等相关单位</w:t>
      </w:r>
    </w:p>
    <w:p w14:paraId="3C312D3B">
      <w:pPr>
        <w:ind w:firstLine="632"/>
      </w:pPr>
      <w:r>
        <w:rPr>
          <w:rFonts w:hint="eastAsia"/>
        </w:rPr>
        <w:t>工作职责：负责应急通信、电力、油料等保障工作；组织抢修供电、供气、供水、通信、广播等设施，完成县防指交办的其他任务。</w:t>
      </w:r>
    </w:p>
    <w:p w14:paraId="070E1473">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交通运输组</w:t>
      </w:r>
    </w:p>
    <w:p w14:paraId="6D30D160">
      <w:pPr>
        <w:ind w:firstLine="632"/>
      </w:pPr>
      <w:r>
        <w:rPr>
          <w:rFonts w:hint="eastAsia"/>
        </w:rPr>
        <w:t>牵头单位：县交通运输局</w:t>
      </w:r>
    </w:p>
    <w:p w14:paraId="17607F54">
      <w:pPr>
        <w:ind w:firstLine="632"/>
      </w:pPr>
      <w:r>
        <w:rPr>
          <w:rFonts w:hint="eastAsia"/>
        </w:rPr>
        <w:t>成员单位：县公安局等相关单位</w:t>
      </w:r>
    </w:p>
    <w:p w14:paraId="02F2765B">
      <w:pPr>
        <w:ind w:firstLine="632"/>
      </w:pPr>
      <w:r>
        <w:rPr>
          <w:rFonts w:hint="eastAsia"/>
        </w:rPr>
        <w:t>工作职责：负责做好交通疏导和管制，维护交通秩序；协调组织优先运送伤员和抢险救援救灾人员、物资、设备；及时抢通保畅。完成县防指交办的其他任务。</w:t>
      </w:r>
    </w:p>
    <w:p w14:paraId="4817BDEA">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灾情收集评估组</w:t>
      </w:r>
    </w:p>
    <w:p w14:paraId="000E65B7">
      <w:pPr>
        <w:ind w:firstLine="632"/>
      </w:pPr>
      <w:r>
        <w:rPr>
          <w:rFonts w:hint="eastAsia"/>
        </w:rPr>
        <w:t>牵头单位：县应急管理局</w:t>
      </w:r>
    </w:p>
    <w:p w14:paraId="68D7D4A3">
      <w:pPr>
        <w:ind w:firstLine="632"/>
      </w:pPr>
      <w:r>
        <w:rPr>
          <w:rFonts w:hint="eastAsia"/>
        </w:rPr>
        <w:t>成员单位：县自然资源局、县住房和城乡建设局、县交通运输局、县水务局、县农业农村局、县教育和体育局、县民政局、县文体广旅局、县林业和草原局、县卫生健康局、县工信科局等相关单位</w:t>
      </w:r>
    </w:p>
    <w:p w14:paraId="7784DD59">
      <w:pPr>
        <w:ind w:firstLine="632"/>
      </w:pPr>
      <w:r>
        <w:rPr>
          <w:rFonts w:hint="eastAsia"/>
        </w:rPr>
        <w:t>工作职责：负责洪水灾害事件灾情统计、核查和灾害损失评估、灾害调查评估。完成县防指交办的其他任务。</w:t>
      </w:r>
    </w:p>
    <w:p w14:paraId="64899728">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群众安置组</w:t>
      </w:r>
    </w:p>
    <w:p w14:paraId="7B558152">
      <w:pPr>
        <w:ind w:firstLine="632"/>
      </w:pPr>
      <w:r>
        <w:rPr>
          <w:rFonts w:hint="eastAsia"/>
        </w:rPr>
        <w:t>牵头单位：县应急管理局</w:t>
      </w:r>
    </w:p>
    <w:p w14:paraId="0A7252D4">
      <w:pPr>
        <w:ind w:firstLine="632"/>
      </w:pPr>
      <w:r>
        <w:rPr>
          <w:rFonts w:hint="eastAsia"/>
        </w:rPr>
        <w:t>成员单位：县公安局、县总工会、县妇联、县交通运输局、县教育和体育局、县财政局、县自然资源局、县住房和城乡建设局、县市场监管局、县水务局、县发展和改革局、县卫生健康局、县文体广旅局、团县委、县红十字会等相关单位</w:t>
      </w:r>
    </w:p>
    <w:p w14:paraId="42300293">
      <w:pPr>
        <w:ind w:firstLine="632"/>
      </w:pPr>
      <w:r>
        <w:rPr>
          <w:rFonts w:hint="eastAsia"/>
        </w:rPr>
        <w:t>工作职责：负责受灾群众（游客）转移安置和基本生活保障。对安置场所进行灾害风险评估；及时组织调拨救灾款物，开展救灾捐赠；组织、指导、动员全县社会组织和志愿者参加防汛抗旱志愿服务工作；做好受灾人员家属抚慰和因灾遇难人员遗体处置工作。完成县防指交办的其他任务。</w:t>
      </w:r>
    </w:p>
    <w:p w14:paraId="7E4AB6E5">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医疗救治组</w:t>
      </w:r>
    </w:p>
    <w:p w14:paraId="156D940A">
      <w:pPr>
        <w:ind w:firstLine="632"/>
      </w:pPr>
      <w:r>
        <w:rPr>
          <w:rFonts w:hint="eastAsia"/>
        </w:rPr>
        <w:t>牵头单位：县卫生健康局</w:t>
      </w:r>
    </w:p>
    <w:p w14:paraId="097D5189">
      <w:pPr>
        <w:ind w:firstLine="632"/>
      </w:pPr>
      <w:r>
        <w:rPr>
          <w:rFonts w:hint="eastAsia"/>
        </w:rPr>
        <w:t>成员单位：县发展和改革局、县交通运输局、县市场监管局、县红十字会等相关单位</w:t>
      </w:r>
    </w:p>
    <w:p w14:paraId="28FF6779">
      <w:pPr>
        <w:ind w:firstLine="632"/>
      </w:pPr>
      <w:r>
        <w:rPr>
          <w:rFonts w:hint="eastAsia"/>
        </w:rPr>
        <w:t>工作职责：负责医疗救（援）治和卫生防疫工作。加强医疗物资的组织调度，做好救援人员的医疗保障工作；做好洪灾及次生衍生灾害发生后疾病预防控制和卫生监督工作。完成县防指交办的其他任务。</w:t>
      </w:r>
    </w:p>
    <w:p w14:paraId="247443B8">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治安维稳组</w:t>
      </w:r>
    </w:p>
    <w:p w14:paraId="56093F41">
      <w:pPr>
        <w:ind w:firstLine="632"/>
      </w:pPr>
      <w:r>
        <w:rPr>
          <w:rFonts w:hint="eastAsia"/>
        </w:rPr>
        <w:t>牵头单位：县公安局</w:t>
      </w:r>
    </w:p>
    <w:p w14:paraId="5D8F056F">
      <w:pPr>
        <w:ind w:firstLine="632"/>
      </w:pPr>
      <w:r>
        <w:rPr>
          <w:rFonts w:hint="eastAsia"/>
        </w:rPr>
        <w:t>成员单位：县法院、县检察院、县人民武装部、县信访局等相关单位</w:t>
      </w:r>
    </w:p>
    <w:p w14:paraId="37F7790C">
      <w:pPr>
        <w:ind w:firstLine="632"/>
      </w:pPr>
      <w:r>
        <w:rPr>
          <w:rFonts w:hint="eastAsia"/>
        </w:rPr>
        <w:t>工作职责：负责灾区社会治安维稳工作。预防和打击各类犯罪活动，预防和处置群体事件；做好灾区重要目标安全保卫工作。完成县防指交办的其他任务。</w:t>
      </w:r>
    </w:p>
    <w:p w14:paraId="2E84AC7E">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宣传及舆情管控组</w:t>
      </w:r>
    </w:p>
    <w:p w14:paraId="5EF7D855">
      <w:pPr>
        <w:ind w:firstLine="632"/>
      </w:pPr>
      <w:r>
        <w:rPr>
          <w:rFonts w:hint="eastAsia"/>
        </w:rPr>
        <w:t>牵头单位：县委宣传部。</w:t>
      </w:r>
    </w:p>
    <w:p w14:paraId="536D7D63">
      <w:pPr>
        <w:ind w:firstLine="632"/>
      </w:pPr>
      <w:r>
        <w:rPr>
          <w:rFonts w:hint="eastAsia"/>
        </w:rPr>
        <w:t>成员单位：县公安局、县应急管理局、县水务局、县文化广电和旅游局等相关单位。</w:t>
      </w:r>
    </w:p>
    <w:p w14:paraId="708E26E3">
      <w:pPr>
        <w:ind w:firstLine="632"/>
      </w:pPr>
      <w:r>
        <w:rPr>
          <w:rFonts w:hint="eastAsia"/>
        </w:rPr>
        <w:t>工作职责：统筹新闻报道工作。指导做好现场发布会和新闻媒体服务管理；组织开展舆情监测研判，加强舆情管控。完成县防指交办的其他任务。</w:t>
      </w:r>
    </w:p>
    <w:p w14:paraId="34D464D2">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后勤保障组</w:t>
      </w:r>
    </w:p>
    <w:p w14:paraId="5D9D36D4">
      <w:pPr>
        <w:ind w:firstLine="632"/>
      </w:pPr>
      <w:r>
        <w:rPr>
          <w:rFonts w:hint="eastAsia"/>
        </w:rPr>
        <w:t>牵头单位：县发展和改革局。</w:t>
      </w:r>
    </w:p>
    <w:p w14:paraId="36864C2F">
      <w:pPr>
        <w:ind w:firstLine="632"/>
      </w:pPr>
      <w:r>
        <w:rPr>
          <w:rFonts w:hint="eastAsia"/>
        </w:rPr>
        <w:t>成员单位：县财政局、县人民武装部、县工信科局、县应急管理局、县交通运输局等相关单位。</w:t>
      </w:r>
    </w:p>
    <w:p w14:paraId="7FF7B61E">
      <w:pPr>
        <w:ind w:firstLine="632"/>
      </w:pPr>
      <w:r>
        <w:rPr>
          <w:rFonts w:hint="eastAsia"/>
        </w:rPr>
        <w:t>工作职责：统筹负责指挥部救援后勤保障工作，负责搭建前线指挥部。完成县防指交办的其他任务。</w:t>
      </w:r>
    </w:p>
    <w:p w14:paraId="3D002F61">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其他工作组</w:t>
      </w:r>
    </w:p>
    <w:p w14:paraId="29F01528">
      <w:pPr>
        <w:ind w:firstLine="632"/>
      </w:pPr>
      <w:r>
        <w:rPr>
          <w:rFonts w:hint="eastAsia"/>
        </w:rPr>
        <w:t>牵头单位、成员单位和工作职责等根据需要调整设置。</w:t>
      </w:r>
    </w:p>
    <w:p w14:paraId="15FA36CD">
      <w:pPr>
        <w:ind w:firstLine="632"/>
      </w:pPr>
    </w:p>
    <w:p w14:paraId="33652318">
      <w:pPr>
        <w:pStyle w:val="2"/>
        <w:numPr>
          <w:ilvl w:val="0"/>
          <w:numId w:val="22"/>
        </w:numPr>
        <w:tabs>
          <w:tab w:val="left" w:pos="0"/>
        </w:tabs>
        <w:rPr>
          <w:sz w:val="32"/>
          <w:szCs w:val="32"/>
        </w:rPr>
      </w:pPr>
      <w:bookmarkStart w:id="241" w:name="_Toc9318"/>
      <w:r>
        <w:rPr>
          <w:rFonts w:hint="eastAsia"/>
          <w:sz w:val="32"/>
          <w:szCs w:val="32"/>
        </w:rPr>
        <w:t>预防和预警机制</w:t>
      </w:r>
      <w:bookmarkEnd w:id="241"/>
    </w:p>
    <w:p w14:paraId="74EA92F3">
      <w:pPr>
        <w:ind w:firstLine="632"/>
      </w:pPr>
      <w:r>
        <w:rPr>
          <w:rFonts w:hint="eastAsia"/>
        </w:rPr>
        <w:t>各乡镇、县防指各成员单位要狠抓监测、预报、预警三个环节，密切监视天气变化，及时收集气象、水文等部门发布的预测预警 信息，严密监测雨水情变化，组织有关部门滚动会商研判，及时掌握汛情灾情发展趋势。要完善预警响应衔接机制，确保乡镇、村屯责任人和危险区人员及时接收到预报预警信息，为人员转移避险提供保障。</w:t>
      </w:r>
    </w:p>
    <w:p w14:paraId="71238CE8">
      <w:pPr>
        <w:pStyle w:val="3"/>
      </w:pPr>
      <w:bookmarkStart w:id="242" w:name="_Toc30613"/>
      <w:r>
        <w:rPr>
          <w:rFonts w:hint="eastAsia"/>
        </w:rPr>
        <w:t>预防预警信息</w:t>
      </w:r>
      <w:bookmarkEnd w:id="242"/>
      <w:r>
        <w:rPr>
          <w:rFonts w:hint="eastAsia"/>
        </w:rPr>
        <w:t xml:space="preserve"> </w:t>
      </w:r>
    </w:p>
    <w:p w14:paraId="22C96485">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雨情、水情监测信息</w:t>
      </w:r>
    </w:p>
    <w:p w14:paraId="5D90CAAF">
      <w:pPr>
        <w:ind w:firstLine="632"/>
      </w:pPr>
      <w:r>
        <w:rPr>
          <w:rFonts w:hint="eastAsia"/>
        </w:rPr>
        <w:t>县气象、水务部门应加强全县灾害性天气和洪水的监测预报预警，及时向县防汛指挥部及有关成员单位（部门）报送雨水情信息。当预报有重要天气过程时，气象部门应加密监测预报预警，做好区域性强降水和短时暴雨监测预报预警。主要河流发生洪水时，水务部门应加密雨情水情监测，做好中小河流洪水预报预警。</w:t>
      </w:r>
    </w:p>
    <w:p w14:paraId="4DDDF825">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 xml:space="preserve">防洪工程信息 </w:t>
      </w:r>
    </w:p>
    <w:p w14:paraId="4A5136A3">
      <w:pPr>
        <w:numPr>
          <w:ilvl w:val="0"/>
          <w:numId w:val="26"/>
        </w:numPr>
        <w:ind w:firstLineChars="0"/>
      </w:pPr>
      <w:r>
        <w:rPr>
          <w:rFonts w:hint="eastAsia"/>
        </w:rPr>
        <w:t xml:space="preserve">堤防工程信息 </w:t>
      </w:r>
    </w:p>
    <w:p w14:paraId="586F6240">
      <w:pPr>
        <w:ind w:firstLine="632"/>
      </w:pPr>
      <w:r>
        <w:rPr>
          <w:rFonts w:hint="eastAsia"/>
        </w:rPr>
        <w:t>当河流出现警戒流量（水位）以上洪水时，各级河道堤防管理单位应加强工程监测，并将堤防工程设施运行情况报告上级工程管理部门和同级防汛指挥机构。当堤防和穿堤建筑物出现险情或遭遇超标准洪水，或其他不可抗拒因素而可能缺口时，工程管理单位应迅速组织抢险并在第一时间向可能淹没的有关区域预警，同时向上级堤防管理部门和同级防汛指挥机构及时准确报告。</w:t>
      </w:r>
    </w:p>
    <w:p w14:paraId="01CB3B05">
      <w:pPr>
        <w:numPr>
          <w:ilvl w:val="0"/>
          <w:numId w:val="26"/>
        </w:numPr>
        <w:ind w:firstLineChars="0"/>
      </w:pPr>
      <w:r>
        <w:rPr>
          <w:rFonts w:hint="eastAsia"/>
        </w:rPr>
        <w:t xml:space="preserve">水库工程信息 </w:t>
      </w:r>
    </w:p>
    <w:p w14:paraId="70C31261">
      <w:pPr>
        <w:ind w:firstLine="632"/>
      </w:pPr>
      <w:r>
        <w:rPr>
          <w:rFonts w:hint="eastAsia"/>
        </w:rPr>
        <w:t xml:space="preserve">水库管理单位要严格执行防汛指挥机构下达的报汛任务和批准的汛期控制运用计划，向防汛指挥机构和水行政主管部门报告汛情和调度运行状况。当水库水位超过汛限水位时应加密报告段次；当水库出现险情时，水库管理单位必须第一时间向下游预警并迅速处置险情，同时向上级主管部门和同级防汛指挥机构报告。当水库遭遇超标准洪水或其他不可抗拒因素而可能溃坝时，应当提早向水库溃坝洪水风险图确定的淹没范围发出预警，为群众安全转移争取时间。 </w:t>
      </w:r>
    </w:p>
    <w:p w14:paraId="562149FC">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 xml:space="preserve">洪水灾情信息 </w:t>
      </w:r>
    </w:p>
    <w:p w14:paraId="5B07DD64">
      <w:pPr>
        <w:numPr>
          <w:ilvl w:val="0"/>
          <w:numId w:val="27"/>
        </w:numPr>
        <w:ind w:firstLineChars="0"/>
      </w:pPr>
      <w:r>
        <w:rPr>
          <w:rFonts w:hint="eastAsia"/>
        </w:rPr>
        <w:t xml:space="preserve">洪水灾情信息主要包括：洪水发生时间、地点、范围、受灾人口及群众财产、工农业基础设施等方面损失情况。 </w:t>
      </w:r>
    </w:p>
    <w:p w14:paraId="589B5CEE">
      <w:pPr>
        <w:numPr>
          <w:ilvl w:val="0"/>
          <w:numId w:val="27"/>
        </w:numPr>
        <w:ind w:firstLineChars="0"/>
      </w:pPr>
      <w:r>
        <w:rPr>
          <w:rFonts w:hint="eastAsia"/>
        </w:rPr>
        <w:t>洪水灾情发生后，有关部门和单位应及时向防汛指挥机构报告洪水灾害情况，防汛指挥机构应收集动态灾情，全面掌握受灾情况，及时向同级政府和上级防汛指挥机构报告。对人员伤亡和较大财产损失的灾情，应立即上报，并在30分钟内逐级上报到县防指。重大灾情在灾害发生1小时内，县防指应将初步情况报告县委、县政府和市防汛指挥部，并对实时灾情组织核实，为抗灾救灾提供准确依据。</w:t>
      </w:r>
    </w:p>
    <w:p w14:paraId="16E55856">
      <w:pPr>
        <w:numPr>
          <w:ilvl w:val="0"/>
          <w:numId w:val="27"/>
        </w:numPr>
        <w:ind w:firstLineChars="0"/>
      </w:pPr>
      <w:r>
        <w:rPr>
          <w:rFonts w:hint="eastAsia"/>
        </w:rPr>
        <w:t>各级政府、防汛指挥机构和有关部门单位应按照《自然灾害情况统计调查制度》《特别重大自然灾害损失统计调查制度》和国家防总印发的《洪涝突发险情灾情报告暂行规定》（国汛〔2020〕7号）上报灾情险情信息，做到及时准确全面。</w:t>
      </w:r>
    </w:p>
    <w:p w14:paraId="2A196294">
      <w:pPr>
        <w:pStyle w:val="3"/>
      </w:pPr>
      <w:bookmarkStart w:id="243" w:name="_Toc32690"/>
      <w:r>
        <w:rPr>
          <w:rFonts w:hint="eastAsia"/>
        </w:rPr>
        <w:t>预防预警行动</w:t>
      </w:r>
      <w:bookmarkEnd w:id="243"/>
    </w:p>
    <w:p w14:paraId="2C89355A">
      <w:pPr>
        <w:ind w:firstLine="632"/>
      </w:pPr>
      <w:r>
        <w:rPr>
          <w:rFonts w:hint="eastAsia"/>
        </w:rPr>
        <w:t xml:space="preserve">县气象、水务、自然资源、住建、农业农村、水文等部门加强监测、预报、预警，按职责和权限及时向社会发布暴雨、洪水、地质灾害、城镇内涝等有关信息，并同时报告县防指。汛期，监测预报预警人员要加强值班值守，保持在岗在位；防汛紧急期，实行24小时滚动监测预报预警。遭遇重大灾害性天气和洪水灾害时，要加强联合监测、会商和预报，尽可能延长预见期，对可能的发展趋势及影响作出评估，将评估结果报告县防指，并通报有关单位。 </w:t>
      </w:r>
    </w:p>
    <w:p w14:paraId="5DB5A7A0">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 xml:space="preserve">预防准备工作 </w:t>
      </w:r>
    </w:p>
    <w:p w14:paraId="3AC063E9">
      <w:pPr>
        <w:numPr>
          <w:ilvl w:val="0"/>
          <w:numId w:val="28"/>
        </w:numPr>
        <w:ind w:firstLine="632"/>
      </w:pPr>
      <w:r>
        <w:rPr>
          <w:rFonts w:hint="eastAsia"/>
        </w:rPr>
        <w:t>思想准备。扎实组织开展防汛减灾警示宣传教育活动，增强全民水患意识和防灾避险自救能力，全面做好防大汛、抗大洪、抢大险、救大灾的思想准备。</w:t>
      </w:r>
    </w:p>
    <w:p w14:paraId="3B3334D1">
      <w:pPr>
        <w:numPr>
          <w:ilvl w:val="0"/>
          <w:numId w:val="28"/>
        </w:numPr>
        <w:ind w:firstLine="632"/>
      </w:pPr>
      <w:r>
        <w:rPr>
          <w:rFonts w:hint="eastAsia"/>
        </w:rPr>
        <w:t>组织准备。健全指挥机构，落实工作责任，注重业务培训，加强监测预报预警等工作。</w:t>
      </w:r>
    </w:p>
    <w:p w14:paraId="3FF508E0">
      <w:pPr>
        <w:numPr>
          <w:ilvl w:val="0"/>
          <w:numId w:val="28"/>
        </w:numPr>
        <w:ind w:firstLine="632"/>
      </w:pPr>
      <w:r>
        <w:rPr>
          <w:rFonts w:hint="eastAsia"/>
        </w:rPr>
        <w:t>工程准备。有关部门按时完成应急度汛和水毁工程修复建设任务，对存在病险的堤防、水库等各类水利防洪工程设施实行应急除险加固，对跨汛期涉河施工的水利工程，落实安全度汛方案。</w:t>
      </w:r>
    </w:p>
    <w:p w14:paraId="506DC1C2">
      <w:pPr>
        <w:numPr>
          <w:ilvl w:val="0"/>
          <w:numId w:val="28"/>
        </w:numPr>
        <w:ind w:firstLine="632"/>
      </w:pPr>
      <w:r>
        <w:rPr>
          <w:rFonts w:hint="eastAsia"/>
        </w:rPr>
        <w:t>预案准备。制定江河防御洪水预案、城镇防洪排涝应急预案、水库汛期控制运用计划、山洪灾害防御预案和水文情报预报方案等。针对江河堤防险工险段，制定工程抢险方案。</w:t>
      </w:r>
    </w:p>
    <w:p w14:paraId="3532DC7F">
      <w:pPr>
        <w:numPr>
          <w:ilvl w:val="0"/>
          <w:numId w:val="28"/>
        </w:numPr>
        <w:ind w:firstLine="632"/>
      </w:pPr>
      <w:r>
        <w:rPr>
          <w:rFonts w:hint="eastAsia"/>
        </w:rPr>
        <w:t>物料准备。按照分级储备、分级管理、分级负责的原则，县、乡镇防汛指挥机构和有关堤防、水库工程管理单位必须储备必要的防汛物资。在防汛重点部位储备一定数量的抢险物料。</w:t>
      </w:r>
    </w:p>
    <w:p w14:paraId="231D951F">
      <w:pPr>
        <w:numPr>
          <w:ilvl w:val="0"/>
          <w:numId w:val="28"/>
        </w:numPr>
        <w:ind w:firstLine="632"/>
      </w:pPr>
      <w:r>
        <w:rPr>
          <w:rFonts w:hint="eastAsia"/>
        </w:rPr>
        <w:t>通信准备。充分利用社会通信公网，建设必要的防汛通信专网，保证洪水监测预警通信和信息网络系统畅通，确保雨情、水情、灾情和指挥调度指令及时传递。</w:t>
      </w:r>
    </w:p>
    <w:p w14:paraId="0D98D959">
      <w:pPr>
        <w:numPr>
          <w:ilvl w:val="0"/>
          <w:numId w:val="28"/>
        </w:numPr>
        <w:ind w:firstLine="632"/>
      </w:pPr>
      <w:r>
        <w:rPr>
          <w:rFonts w:hint="eastAsia"/>
        </w:rPr>
        <w:t>风险辨识管控。各乡镇各有关部门（单位）要结合本地本行业（系统）实际，组织开展洪水灾害风险辨识，列出风险清单，制定并落实相关管控措施。</w:t>
      </w:r>
    </w:p>
    <w:p w14:paraId="7CB650A1">
      <w:pPr>
        <w:numPr>
          <w:ilvl w:val="0"/>
          <w:numId w:val="28"/>
        </w:numPr>
        <w:ind w:firstLine="632"/>
      </w:pPr>
      <w:r>
        <w:rPr>
          <w:rFonts w:hint="eastAsia"/>
        </w:rPr>
        <w:t>隐患排查治理。要采取群专结合、人技结合、点面结合等方式，充分运用新技术新方法，聚焦洪水灾害易发的重点区域、重点部位和重要设施，全面开展辖区内洪水灾害风险隐患排查。坚持开展“雨前排查、雨中巡查、雨后核查”，健全乡镇、部门、基层干部群众联防联动和隐患动态监管机制。对发现的风险隐患登记、评估、整改和处置，及时消除隐患，不能及时处置的，要落实好责任人和针对性应急措施。</w:t>
      </w:r>
    </w:p>
    <w:p w14:paraId="5DC7AD3C">
      <w:pPr>
        <w:numPr>
          <w:ilvl w:val="0"/>
          <w:numId w:val="28"/>
        </w:numPr>
        <w:ind w:firstLine="632"/>
      </w:pPr>
      <w:r>
        <w:rPr>
          <w:rFonts w:hint="eastAsia"/>
        </w:rPr>
        <w:t>防汛安全检查。实行以查组织、查责任、查工程、查预案、查物料、查队伍、查通信、查监测、查预警为主要内容的分级防汛安全检查制度，发现问题和薄弱环节，明确责任，及时整改。</w:t>
      </w:r>
    </w:p>
    <w:p w14:paraId="7CD3A479">
      <w:pPr>
        <w:numPr>
          <w:ilvl w:val="0"/>
          <w:numId w:val="25"/>
        </w:numPr>
        <w:ind w:firstLine="632"/>
      </w:pPr>
      <w:r>
        <w:rPr>
          <w:rFonts w:hint="eastAsia"/>
        </w:rPr>
        <w:t>防汛管理工作。对在江河、水库、河道内建设的非防洪建设项目应编制洪水影响评价报告，对未经审批并严重影响防洪安全的项目，应依法强行拆除。</w:t>
      </w:r>
    </w:p>
    <w:p w14:paraId="03A567CF">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预警分类分级</w:t>
      </w:r>
    </w:p>
    <w:p w14:paraId="4413C7B1">
      <w:pPr>
        <w:ind w:firstLine="632"/>
      </w:pPr>
      <w:r>
        <w:rPr>
          <w:rFonts w:hint="eastAsia"/>
        </w:rPr>
        <w:t>按照气象、水文、地质灾害相关行业标准，结合集贤县汛情特点，分为暴雨、江河洪水、山洪灾害、地质灾害风险四类预警。暴雨、江河洪水、山洪灾害、地质灾害风险预警级别划分为四个等级，从高到低分为红色、橙色、黄色、蓝色。</w:t>
      </w:r>
    </w:p>
    <w:p w14:paraId="643C4E81">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雨情、水情监测及预警</w:t>
      </w:r>
    </w:p>
    <w:p w14:paraId="3256BE3C">
      <w:pPr>
        <w:ind w:firstLine="632"/>
      </w:pPr>
      <w:r>
        <w:rPr>
          <w:rFonts w:hint="eastAsia"/>
        </w:rPr>
        <w:t>全县暴雨山洪灾害临界预警主要依据城区和各镇雨量监测点实时雨量和主要河道水位作为预警依据，根据监测点降雨量和洪水位等情况，分别发布预警信号和警戒信号。由城区和镇防汛指挥部根据情况分别发布相关命令。</w:t>
      </w:r>
    </w:p>
    <w:p w14:paraId="42137AAA">
      <w:pPr>
        <w:ind w:firstLine="632"/>
      </w:pPr>
      <w:r>
        <w:rPr>
          <w:rFonts w:hint="eastAsia"/>
        </w:rPr>
        <w:t>（1）雨情监测及预警。各雨量监测点1小时降雨量分别超过20mm、30mm时，县、乡镇当日值班人员应通过短信或固定、移动电话通知相关防汛责任人，进行警示提醒，提高戒备；24小时累计降雨达到50mm后，县气象局继续发布暴雨蓝色预警信号，发布随时准备撤离指令；24小时累计降雨100mm以上，县气象局继续发布暴雨橙色预警信号，或县气象局发布暴雨红色预警信号，发布立即进行避险转移指令。</w:t>
      </w:r>
    </w:p>
    <w:p w14:paraId="59BF06B7">
      <w:pPr>
        <w:ind w:firstLine="632"/>
      </w:pPr>
      <w:r>
        <w:rPr>
          <w:rFonts w:hint="eastAsia"/>
        </w:rPr>
        <w:t>（2）水情监测及预警。在县城及各乡镇主要河流中、上游分别设立河道水位监控视频或人工水位监测点，当河道水位达到警戒水位（堤防可能发生险情，需要加强防守水位）和保证水位（堤防设计水位或历史上安全下泄最高水位），县水旱监测站向相关责任人分别发布预警信号（随时准备撤离指令）和警戒信号（立即进行避险转移指令）。各监测点任何一处发出预警或警戒信号，县、乡镇防汛指挥部根据情况适时向相关区域发布有关命令。</w:t>
      </w:r>
    </w:p>
    <w:p w14:paraId="1C4232DE">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河流洪水（含凌汛洪水）预警</w:t>
      </w:r>
    </w:p>
    <w:p w14:paraId="737619E9">
      <w:pPr>
        <w:numPr>
          <w:ilvl w:val="0"/>
          <w:numId w:val="29"/>
        </w:numPr>
        <w:ind w:firstLineChars="0"/>
      </w:pPr>
      <w:r>
        <w:rPr>
          <w:rFonts w:hint="eastAsia"/>
        </w:rPr>
        <w:t>当河流即将出现洪水时，县水务、水文部门应做好洪水监测预报和预警工作，及时向县防指报告水位、流量的实测情况和洪水趋势。县气象部门应做好天气监测预报工作，及时向县防指报告降雨实况、预报等。</w:t>
      </w:r>
    </w:p>
    <w:p w14:paraId="719F15AE">
      <w:pPr>
        <w:numPr>
          <w:ilvl w:val="0"/>
          <w:numId w:val="29"/>
        </w:numPr>
        <w:ind w:firstLineChars="0"/>
      </w:pPr>
      <w:r>
        <w:rPr>
          <w:rFonts w:hint="eastAsia"/>
        </w:rPr>
        <w:t>县水务局应按照分级负责原则，确定洪水预警区域、级别和洪水信息发布范围，按照权限向社会发布。</w:t>
      </w:r>
    </w:p>
    <w:p w14:paraId="2A3DA850">
      <w:pPr>
        <w:numPr>
          <w:ilvl w:val="0"/>
          <w:numId w:val="29"/>
        </w:numPr>
        <w:ind w:firstLineChars="0"/>
      </w:pPr>
      <w:r>
        <w:rPr>
          <w:rFonts w:hint="eastAsia"/>
        </w:rPr>
        <w:t>县水务局、水文局应跟踪分析河流洪水的发展趋势，及时滚动预报最新水情，为抗灾救灾提供基本依据和技术支撑。</w:t>
      </w:r>
    </w:p>
    <w:p w14:paraId="0C7AAF1C">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渍涝灾害预警</w:t>
      </w:r>
    </w:p>
    <w:p w14:paraId="39EDC082">
      <w:pPr>
        <w:numPr>
          <w:ilvl w:val="0"/>
          <w:numId w:val="30"/>
        </w:numPr>
        <w:ind w:firstLineChars="0"/>
      </w:pPr>
      <w:r>
        <w:rPr>
          <w:rFonts w:hint="eastAsia"/>
        </w:rPr>
        <w:t xml:space="preserve">城镇内涝预警。当气象预报将出现强降雨，并可能发生城镇内涝灾害时，县、乡镇防指应按照分级分部门负责原则，组织住建、水务、应急、气象等部门开展联合会商，研判形势，确定内涝预警区域、级别。县住建、水务、应急、气象等部门按任务分工及时发布有关预警信息，县防指按照预案启动相应级别的应急响应。属地人民政府视情及时组织做好人员转移、停工、停学、停业、停运和暂停户外活动等工作，对重点部位和灾害易发区提前预置抢险救援力量。必要时，通知低洼易涝地区居民及企事业单位提前果断转移人员和财产。 </w:t>
      </w:r>
    </w:p>
    <w:p w14:paraId="28C153DB">
      <w:pPr>
        <w:numPr>
          <w:ilvl w:val="0"/>
          <w:numId w:val="30"/>
        </w:numPr>
        <w:ind w:firstLineChars="0"/>
      </w:pPr>
      <w:r>
        <w:rPr>
          <w:rFonts w:hint="eastAsia"/>
        </w:rPr>
        <w:t>乡村渍涝预警。当气象预报将出现强降雨，村庄和农田可能发生渍涝灾害时，基层组织应及时会商，有关部门按职责及时发布预警，并按预案和分工提前采取措施减轻灾害损失。</w:t>
      </w:r>
    </w:p>
    <w:p w14:paraId="0BD6E942">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 xml:space="preserve">台风灾害预警 </w:t>
      </w:r>
    </w:p>
    <w:p w14:paraId="111690EA">
      <w:pPr>
        <w:numPr>
          <w:ilvl w:val="0"/>
          <w:numId w:val="31"/>
        </w:numPr>
        <w:ind w:firstLineChars="0"/>
      </w:pPr>
      <w:r>
        <w:rPr>
          <w:rFonts w:hint="eastAsia"/>
        </w:rPr>
        <w:t>县气象部门应密切监视台风动向，及时发布台风监测预警信息，做好未来趋势预报，并及时将台风中心位置、强度、移动方向、速度等信息报告县人民政府和县防指。</w:t>
      </w:r>
    </w:p>
    <w:p w14:paraId="4CD8EE30">
      <w:pPr>
        <w:numPr>
          <w:ilvl w:val="0"/>
          <w:numId w:val="31"/>
        </w:numPr>
        <w:ind w:firstLineChars="0"/>
      </w:pPr>
      <w:r>
        <w:rPr>
          <w:rFonts w:hint="eastAsia"/>
        </w:rPr>
        <w:t>可能遭遇台风袭击的地方，县、乡镇防指应加强值班，跟踪台风动向，并将有关信息及时向社会发布。</w:t>
      </w:r>
    </w:p>
    <w:p w14:paraId="633C3B38">
      <w:pPr>
        <w:numPr>
          <w:ilvl w:val="0"/>
          <w:numId w:val="31"/>
        </w:numPr>
        <w:ind w:firstLineChars="0"/>
      </w:pPr>
      <w:r>
        <w:rPr>
          <w:rFonts w:hint="eastAsia"/>
        </w:rPr>
        <w:t>县水务局应根据台风影响的范围，及时通知有关水库、主要河道堤防管理单位，做好防范工作。各工程管理单位应组织人员分析水情和台风带来的影响，加强工程检查，必要时实施预泄预排措施。</w:t>
      </w:r>
    </w:p>
    <w:p w14:paraId="1A8D615F">
      <w:pPr>
        <w:numPr>
          <w:ilvl w:val="0"/>
          <w:numId w:val="31"/>
        </w:numPr>
        <w:ind w:firstLineChars="0"/>
      </w:pPr>
      <w:r>
        <w:rPr>
          <w:rFonts w:hint="eastAsia"/>
        </w:rPr>
        <w:t>有关部门要加强对城镇危房、在建工地、仓库、交通运输、电信电缆、电力电线、户外广告牌等公用设施的检查，及时采取加固措施，组织河流水库上的船只回岸避风和生产作业人员撤离工作。当地人民政府视情及时做好人员转移、停工、停学、停业、停运和暂停户外活动等工作。</w:t>
      </w:r>
    </w:p>
    <w:p w14:paraId="4DD79299">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 xml:space="preserve">信息报告 </w:t>
      </w:r>
    </w:p>
    <w:p w14:paraId="5552468F">
      <w:pPr>
        <w:ind w:firstLine="632"/>
      </w:pPr>
      <w:r>
        <w:rPr>
          <w:rFonts w:hint="eastAsia"/>
        </w:rPr>
        <w:t>县防指应加强预警信息管理，建立预警信息共享发布机制，实现预警信息的权威统一发布，提高预警信息发布的时效性和覆盖面。</w:t>
      </w:r>
    </w:p>
    <w:p w14:paraId="32775A24">
      <w:pPr>
        <w:numPr>
          <w:ilvl w:val="0"/>
          <w:numId w:val="32"/>
        </w:numPr>
        <w:ind w:firstLine="632"/>
      </w:pPr>
      <w:r>
        <w:rPr>
          <w:rFonts w:hint="eastAsia"/>
        </w:rPr>
        <w:t>发布权限。气象、水文、水利、自然资源等机构负责确定预警区域、级别，报县防指，并按相应权限发布。气象部门负责发布暴雨预警，水利部门负责发布江河洪水、山洪灾害风险预警，自然资源部门负责发布地质灾害风险预警，县防办负责发布防汛预警。</w:t>
      </w:r>
    </w:p>
    <w:p w14:paraId="1A1A52D9">
      <w:pPr>
        <w:numPr>
          <w:ilvl w:val="0"/>
          <w:numId w:val="32"/>
        </w:numPr>
        <w:ind w:firstLine="632"/>
      </w:pPr>
      <w:r>
        <w:rPr>
          <w:rFonts w:hint="eastAsia"/>
        </w:rPr>
        <w:t>发布方式。抓紧畅通信息传递“最后一公里”，提高信息覆盖面和时效性。预警信息的发布和调整要及时通过办公平台、电话、微信群、广播、电视、手机短信、对讲机等方式进行传递。</w:t>
      </w:r>
    </w:p>
    <w:p w14:paraId="0F856ED1">
      <w:pPr>
        <w:ind w:firstLine="632"/>
      </w:pPr>
      <w:r>
        <w:rPr>
          <w:rFonts w:hint="eastAsia"/>
        </w:rPr>
        <w:t>（3）信息通道保障。县委宣传部、县文体广旅局、县工信科局、县电信公司、县移动公司、县联通公司、铁塔集贤办事处等单位要做好预警信息发县防指成员单位及时在本系统内转发相应汛情预警信息。县委宣传部、县工信科局、县应急管理局、县公安局交警大队等成员单位，根据县防指发布的预警，及时向社会发布预警信息。</w:t>
      </w:r>
    </w:p>
    <w:p w14:paraId="7F72784B">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预警行动</w:t>
      </w:r>
    </w:p>
    <w:p w14:paraId="5CEE4E1E">
      <w:pPr>
        <w:ind w:firstLine="632"/>
      </w:pPr>
      <w:r>
        <w:rPr>
          <w:rFonts w:hint="eastAsia"/>
        </w:rPr>
        <w:t>县级相关部门、各乡镇防汛指挥机构要做好预警与应急响应的衔接工作，综合考虑可能造成的危害和影响程度，强化联合会商，及时提出启动、调整应急响应的意见和建议。</w:t>
      </w:r>
    </w:p>
    <w:p w14:paraId="1D483297">
      <w:pPr>
        <w:ind w:firstLine="632"/>
      </w:pPr>
      <w:r>
        <w:rPr>
          <w:rFonts w:hint="eastAsia"/>
        </w:rPr>
        <w:t>当县气象局发布暴雨蓝色预警、黄色预警信号后，县防指、县级部门、乡镇和企事业单位及在建工程采取以下响应措施：</w:t>
      </w:r>
    </w:p>
    <w:p w14:paraId="6ABAB893">
      <w:pPr>
        <w:pStyle w:val="5"/>
        <w:numPr>
          <w:ilvl w:val="3"/>
          <w:numId w:val="22"/>
        </w:numPr>
      </w:pPr>
      <w:r>
        <w:rPr>
          <w:rFonts w:hint="eastAsia"/>
        </w:rPr>
        <w:t>县防指预警行动</w:t>
      </w:r>
    </w:p>
    <w:p w14:paraId="1D8E05C0">
      <w:pPr>
        <w:numPr>
          <w:ilvl w:val="0"/>
          <w:numId w:val="33"/>
        </w:numPr>
        <w:ind w:firstLine="632"/>
      </w:pPr>
      <w:r>
        <w:rPr>
          <w:rFonts w:hint="eastAsia"/>
        </w:rPr>
        <w:t>由当日值班领导坐镇指挥，并召集值班常务副总指挥或副总指挥以及水务、应急、自然资源、工科、气象、水文等成员单位30分钟内到县应急指挥中心参加调度会。调度会后参加调度会单位负责人在县应急指挥中心集中办公。</w:t>
      </w:r>
    </w:p>
    <w:p w14:paraId="3AA988AA">
      <w:pPr>
        <w:numPr>
          <w:ilvl w:val="0"/>
          <w:numId w:val="33"/>
        </w:numPr>
        <w:ind w:firstLine="632"/>
      </w:pPr>
      <w:r>
        <w:rPr>
          <w:rFonts w:hint="eastAsia"/>
        </w:rPr>
        <w:t>联系乡镇的调研员立即赶往预警乡镇，全面负责并驻扎所联系乡镇开展防汛抗旱救灾工作，督促指导做好转移避险、“关停限”、工程调度、排查巡查、值班值守、物资队伍准备等防范应对工作。</w:t>
      </w:r>
    </w:p>
    <w:p w14:paraId="6E9EB231">
      <w:pPr>
        <w:numPr>
          <w:ilvl w:val="0"/>
          <w:numId w:val="33"/>
        </w:numPr>
        <w:ind w:firstLine="632"/>
      </w:pPr>
      <w:r>
        <w:rPr>
          <w:rFonts w:hint="eastAsia"/>
        </w:rPr>
        <w:t>向相关乡镇和部门传达国家和省、市、县级领导相关指示批示精神，部署防范应对工作，提出工作要求，跟踪工作落实情况，并按要求及时报送情况。</w:t>
      </w:r>
    </w:p>
    <w:p w14:paraId="6DF70EA0">
      <w:pPr>
        <w:numPr>
          <w:ilvl w:val="0"/>
          <w:numId w:val="33"/>
        </w:numPr>
        <w:ind w:firstLine="632"/>
      </w:pPr>
      <w:r>
        <w:rPr>
          <w:rFonts w:hint="eastAsia"/>
        </w:rPr>
        <w:t>密切关注雨情、水情、工情，提高监测频次，滚动更新预报，及时发布传递预警信息。</w:t>
      </w:r>
    </w:p>
    <w:p w14:paraId="21E5B704">
      <w:pPr>
        <w:numPr>
          <w:ilvl w:val="0"/>
          <w:numId w:val="33"/>
        </w:numPr>
        <w:ind w:firstLine="632"/>
      </w:pPr>
      <w:r>
        <w:rPr>
          <w:rFonts w:hint="eastAsia"/>
        </w:rPr>
        <w:t>通知相关县级应急队伍和人员待命，检查救援救灾物资装备，并确保其处于良好状态，随时可以投入正常使用。</w:t>
      </w:r>
    </w:p>
    <w:p w14:paraId="50AB7578">
      <w:pPr>
        <w:numPr>
          <w:ilvl w:val="0"/>
          <w:numId w:val="33"/>
        </w:numPr>
        <w:ind w:firstLine="632"/>
      </w:pPr>
      <w:r>
        <w:rPr>
          <w:rFonts w:hint="eastAsia"/>
        </w:rPr>
        <w:t>县防指成员单位负责收集、核查、统计本行业（系统）灾情、人员转移情况等信息，各乡镇防汛指挥机构负责收集、核查、统计本行政区内灾情、人员转移情况，并加强数据核对，及时向县防办报告，并滚动续报；对于重大灾情，在灾害发生后第一时间将初步情况报告县防办。</w:t>
      </w:r>
    </w:p>
    <w:p w14:paraId="17B08C05">
      <w:pPr>
        <w:numPr>
          <w:ilvl w:val="0"/>
          <w:numId w:val="33"/>
        </w:numPr>
        <w:ind w:firstLine="632"/>
      </w:pPr>
      <w:r>
        <w:rPr>
          <w:rFonts w:hint="eastAsia"/>
        </w:rPr>
        <w:t>根据会商和灾、险情实际，提出启动响应建议，并及时报总指挥、总指挥，必要时由总指挥坐镇指挥。</w:t>
      </w:r>
    </w:p>
    <w:p w14:paraId="133FDF2F">
      <w:pPr>
        <w:numPr>
          <w:ilvl w:val="0"/>
          <w:numId w:val="33"/>
        </w:numPr>
        <w:ind w:firstLine="632"/>
      </w:pPr>
      <w:r>
        <w:rPr>
          <w:rFonts w:hint="eastAsia"/>
        </w:rPr>
        <w:t>县防指和相关成员单位要严格执行24小时值班值守制度，按职责分工做好本行业系统防汛减灾工作，并及时向县防指报告。</w:t>
      </w:r>
    </w:p>
    <w:p w14:paraId="40D797F2">
      <w:pPr>
        <w:pStyle w:val="5"/>
        <w:numPr>
          <w:ilvl w:val="3"/>
          <w:numId w:val="22"/>
        </w:numPr>
      </w:pPr>
      <w:r>
        <w:rPr>
          <w:rFonts w:hint="eastAsia"/>
        </w:rPr>
        <w:t>县级部门预警行动</w:t>
      </w:r>
    </w:p>
    <w:p w14:paraId="3F10BBA3">
      <w:pPr>
        <w:numPr>
          <w:ilvl w:val="0"/>
          <w:numId w:val="34"/>
        </w:numPr>
        <w:ind w:firstLine="632"/>
      </w:pPr>
      <w:r>
        <w:rPr>
          <w:rFonts w:hint="eastAsia"/>
        </w:rPr>
        <w:t>分析研判行业风险，排查行业风险隐患，视情采取“关停限”具体措施，跟踪指导行业监管单位、企业、在建工程项目有序转移避险，将结果及时共享并报送县防指。</w:t>
      </w:r>
    </w:p>
    <w:p w14:paraId="3046C8E4">
      <w:pPr>
        <w:numPr>
          <w:ilvl w:val="0"/>
          <w:numId w:val="34"/>
        </w:numPr>
        <w:ind w:firstLine="632"/>
      </w:pPr>
      <w:r>
        <w:rPr>
          <w:rFonts w:hint="eastAsia"/>
        </w:rPr>
        <w:t>负责将预警信号传递到本行业监管单位、企业、在建工程项目等责任人，建立预警信息接收确认机制。</w:t>
      </w:r>
    </w:p>
    <w:p w14:paraId="4187087B">
      <w:pPr>
        <w:numPr>
          <w:ilvl w:val="0"/>
          <w:numId w:val="34"/>
        </w:numPr>
        <w:ind w:firstLine="632"/>
      </w:pPr>
      <w:r>
        <w:rPr>
          <w:rFonts w:hint="eastAsia"/>
        </w:rPr>
        <w:t>组织本行业系统调度，收集、核查、统计本行业（系统）灾情、人员转移情况等信息，并及时报县防指。水利局和自然资源局直接调度到预警乡镇的山洪危险区和地质灾害隐患点。</w:t>
      </w:r>
    </w:p>
    <w:p w14:paraId="7E2F554B">
      <w:pPr>
        <w:numPr>
          <w:ilvl w:val="0"/>
          <w:numId w:val="34"/>
        </w:numPr>
        <w:ind w:firstLine="632"/>
      </w:pPr>
      <w:r>
        <w:rPr>
          <w:rFonts w:hint="eastAsia"/>
        </w:rPr>
        <w:t>承担防汛救援救灾任务的部门要提前做好队伍、装备和物资的准备工作，确保其处于良好状态，随时可以投入正常使用。</w:t>
      </w:r>
    </w:p>
    <w:p w14:paraId="551951C8">
      <w:pPr>
        <w:numPr>
          <w:ilvl w:val="0"/>
          <w:numId w:val="34"/>
        </w:numPr>
        <w:ind w:firstLine="632"/>
      </w:pPr>
      <w:r>
        <w:rPr>
          <w:rFonts w:hint="eastAsia"/>
        </w:rPr>
        <w:t>严格落实防汛24小时值班制度，按职责分工动态掌握行业相关信息，并及时向县防指报告。</w:t>
      </w:r>
    </w:p>
    <w:p w14:paraId="261BBCD0">
      <w:pPr>
        <w:numPr>
          <w:ilvl w:val="0"/>
          <w:numId w:val="34"/>
        </w:numPr>
        <w:ind w:firstLine="632"/>
      </w:pPr>
      <w:r>
        <w:rPr>
          <w:rFonts w:hint="eastAsia"/>
        </w:rPr>
        <w:t>根据县防指指令，做好县防指交办的其他任务。</w:t>
      </w:r>
    </w:p>
    <w:p w14:paraId="1378B2C5">
      <w:pPr>
        <w:pStyle w:val="5"/>
        <w:numPr>
          <w:ilvl w:val="3"/>
          <w:numId w:val="22"/>
        </w:numPr>
      </w:pPr>
      <w:r>
        <w:rPr>
          <w:rFonts w:hint="eastAsia"/>
        </w:rPr>
        <w:t>乡镇预警行动</w:t>
      </w:r>
    </w:p>
    <w:p w14:paraId="79C3CA23">
      <w:pPr>
        <w:numPr>
          <w:ilvl w:val="0"/>
          <w:numId w:val="35"/>
        </w:numPr>
        <w:ind w:firstLine="632"/>
      </w:pPr>
      <w:r>
        <w:rPr>
          <w:rFonts w:hint="eastAsia"/>
        </w:rPr>
        <w:t>密切关注气象预警监测信息，根据预警信息和辖区险情灾情，启动本辖区响应，同步报县防指。</w:t>
      </w:r>
    </w:p>
    <w:p w14:paraId="3E46E89A">
      <w:pPr>
        <w:numPr>
          <w:ilvl w:val="0"/>
          <w:numId w:val="35"/>
        </w:numPr>
        <w:ind w:firstLine="632"/>
      </w:pPr>
      <w:r>
        <w:rPr>
          <w:rFonts w:hint="eastAsia"/>
        </w:rPr>
        <w:t>收到预警信息后，立即将预警信息传达到最小单元，同时立即按照“三个避让”“三个紧急撤离”要求，坚决转移受威胁人员并做好安置和安全管理工作。</w:t>
      </w:r>
    </w:p>
    <w:p w14:paraId="1045B320">
      <w:pPr>
        <w:numPr>
          <w:ilvl w:val="0"/>
          <w:numId w:val="35"/>
        </w:numPr>
        <w:ind w:firstLine="632"/>
      </w:pPr>
      <w:r>
        <w:rPr>
          <w:rFonts w:hint="eastAsia"/>
        </w:rPr>
        <w:t>重点加强水库大坝、水电站、堤防、易涝区域、沿河两岸、边坡、危旧建筑、在建工地、移民安置点、场镇、山洪易发区、地质灾害隐患点等危险区域和人员密集区的巡查警戒，落实专人24小时巡查值守，及时报送相关信息。</w:t>
      </w:r>
    </w:p>
    <w:p w14:paraId="2DD42931">
      <w:pPr>
        <w:numPr>
          <w:ilvl w:val="0"/>
          <w:numId w:val="35"/>
        </w:numPr>
        <w:ind w:firstLine="632"/>
      </w:pPr>
      <w:r>
        <w:rPr>
          <w:rFonts w:hint="eastAsia"/>
        </w:rPr>
        <w:t>提前做好队伍、装备和物资的准备工作，确保其处于良好状态，随时可以投入正常使用；根据本辖区或毗邻乡镇灾情、险情实际，做好队伍、装备和物资前置准备。</w:t>
      </w:r>
    </w:p>
    <w:p w14:paraId="05A4D3B8">
      <w:pPr>
        <w:numPr>
          <w:ilvl w:val="0"/>
          <w:numId w:val="35"/>
        </w:numPr>
        <w:ind w:firstLine="632"/>
      </w:pPr>
      <w:r>
        <w:rPr>
          <w:rFonts w:hint="eastAsia"/>
        </w:rPr>
        <w:t>严格落实防汛24小时值班制度，及时收集本辖区灾情、人员转移情况等信息，并及时向县防指报告。</w:t>
      </w:r>
    </w:p>
    <w:p w14:paraId="4240BBCC">
      <w:pPr>
        <w:numPr>
          <w:ilvl w:val="0"/>
          <w:numId w:val="35"/>
        </w:numPr>
        <w:ind w:firstLine="632"/>
      </w:pPr>
      <w:r>
        <w:rPr>
          <w:rFonts w:hint="eastAsia"/>
        </w:rPr>
        <w:t>根据县防指指令，做好县防指交办的其他任务。</w:t>
      </w:r>
    </w:p>
    <w:p w14:paraId="5C821565">
      <w:pPr>
        <w:pStyle w:val="5"/>
        <w:numPr>
          <w:ilvl w:val="3"/>
          <w:numId w:val="22"/>
        </w:numPr>
      </w:pPr>
      <w:r>
        <w:rPr>
          <w:rFonts w:hint="eastAsia"/>
        </w:rPr>
        <w:t>企事业单位及在建工程预警行动</w:t>
      </w:r>
    </w:p>
    <w:p w14:paraId="48C9C2CF">
      <w:pPr>
        <w:numPr>
          <w:ilvl w:val="0"/>
          <w:numId w:val="36"/>
        </w:numPr>
        <w:ind w:firstLine="632"/>
      </w:pPr>
      <w:r>
        <w:rPr>
          <w:rFonts w:hint="eastAsia"/>
        </w:rPr>
        <w:t>负责将预警信息传递到各点位，建立预警信息接收确认机制。</w:t>
      </w:r>
    </w:p>
    <w:p w14:paraId="0B253672">
      <w:pPr>
        <w:numPr>
          <w:ilvl w:val="0"/>
          <w:numId w:val="36"/>
        </w:numPr>
        <w:ind w:firstLine="632"/>
      </w:pPr>
      <w:r>
        <w:rPr>
          <w:rFonts w:hint="eastAsia"/>
        </w:rPr>
        <w:t>排查本单位本区域风险隐患，划定风险区域，制定管控措施，按照属地政府及行业主管部门要求，执行停工停产、停运、停学等指令，有序组织人员转移避险安置，落实闭环管理，严禁私自返回危险区域。</w:t>
      </w:r>
    </w:p>
    <w:p w14:paraId="4A5BA9A7">
      <w:pPr>
        <w:numPr>
          <w:ilvl w:val="0"/>
          <w:numId w:val="36"/>
        </w:numPr>
        <w:ind w:firstLine="632"/>
      </w:pPr>
      <w:r>
        <w:rPr>
          <w:rFonts w:hint="eastAsia"/>
        </w:rPr>
        <w:t>检查防汛队伍、装备和物资准备情况，确保其处于良好状态，随时可以投入正常使用，及时对接周边救援力量，建立联防联动机制。</w:t>
      </w:r>
    </w:p>
    <w:p w14:paraId="2B8BEE26">
      <w:pPr>
        <w:numPr>
          <w:ilvl w:val="0"/>
          <w:numId w:val="36"/>
        </w:numPr>
        <w:ind w:firstLine="632"/>
      </w:pPr>
      <w:r>
        <w:rPr>
          <w:rFonts w:hint="eastAsia"/>
        </w:rPr>
        <w:t>落实专人24小时值班值守，及时向属地政府和行业监管部门报告突发情况。</w:t>
      </w:r>
    </w:p>
    <w:p w14:paraId="5778DB2D">
      <w:pPr>
        <w:numPr>
          <w:ilvl w:val="0"/>
          <w:numId w:val="36"/>
        </w:numPr>
        <w:ind w:firstLine="632"/>
      </w:pPr>
      <w:r>
        <w:rPr>
          <w:rFonts w:hint="eastAsia"/>
        </w:rPr>
        <w:t>根据县防指指令，做好县防指交办的其他任务。</w:t>
      </w:r>
    </w:p>
    <w:p w14:paraId="5A02EF37">
      <w:pPr>
        <w:pStyle w:val="3"/>
      </w:pPr>
      <w:bookmarkStart w:id="244" w:name="_Toc30091"/>
      <w:r>
        <w:rPr>
          <w:rFonts w:hint="eastAsia"/>
        </w:rPr>
        <w:t>预警支持体系</w:t>
      </w:r>
      <w:bookmarkEnd w:id="244"/>
      <w:r>
        <w:rPr>
          <w:rFonts w:hint="eastAsia"/>
        </w:rPr>
        <w:t xml:space="preserve"> </w:t>
      </w:r>
    </w:p>
    <w:p w14:paraId="0966D71C">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洪涝风险图</w:t>
      </w:r>
    </w:p>
    <w:p w14:paraId="30592477">
      <w:pPr>
        <w:ind w:firstLine="632"/>
      </w:pPr>
      <w:r>
        <w:rPr>
          <w:rFonts w:hint="eastAsia"/>
        </w:rPr>
        <w:t>各级防汛指挥机构应组织有关部门（单位），结合自然灾害风险普查成果，研究绘制本地区包含城市内涝、江河洪水、山洪灾害、水利工程等方面的风险图，以各类洪涝风险图作为抗洪抢险救灾、群众安全转移安置决策的技术依据。</w:t>
      </w:r>
    </w:p>
    <w:p w14:paraId="4672723D">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 xml:space="preserve">防御洪水方案 </w:t>
      </w:r>
    </w:p>
    <w:p w14:paraId="00E0CB6C">
      <w:pPr>
        <w:ind w:firstLine="632"/>
      </w:pPr>
      <w:r>
        <w:rPr>
          <w:rFonts w:hint="eastAsia"/>
        </w:rPr>
        <w:t>各级防汛指挥机构应根据需要，组织水利、住建等有关部门编制和修订防御江河洪水方案、应对城市内涝方案，主动应对江河洪水和城市渍涝。</w:t>
      </w:r>
    </w:p>
    <w:p w14:paraId="4AEF1ECA">
      <w:pPr>
        <w:pStyle w:val="3"/>
      </w:pPr>
      <w:bookmarkStart w:id="245" w:name="_Toc28644"/>
      <w:r>
        <w:rPr>
          <w:rFonts w:hint="eastAsia"/>
        </w:rPr>
        <w:t>预警响应衔接</w:t>
      </w:r>
      <w:bookmarkEnd w:id="245"/>
      <w:r>
        <w:rPr>
          <w:rFonts w:hint="eastAsia"/>
        </w:rPr>
        <w:t xml:space="preserve"> </w:t>
      </w:r>
    </w:p>
    <w:p w14:paraId="28B8B564">
      <w:pPr>
        <w:numPr>
          <w:ilvl w:val="0"/>
          <w:numId w:val="37"/>
        </w:numPr>
        <w:ind w:firstLineChars="0"/>
      </w:pPr>
      <w:r>
        <w:rPr>
          <w:rFonts w:hint="eastAsia"/>
        </w:rPr>
        <w:t>县自然资源、住建、交通运输、水务、应急、气象等部门按任务分工健全预警机制，规范预警发布内容、范围、程序等。</w:t>
      </w:r>
    </w:p>
    <w:p w14:paraId="1AB1CB62">
      <w:pPr>
        <w:numPr>
          <w:ilvl w:val="0"/>
          <w:numId w:val="37"/>
        </w:numPr>
        <w:ind w:firstLineChars="0"/>
      </w:pPr>
      <w:r>
        <w:rPr>
          <w:rFonts w:hint="eastAsia"/>
        </w:rPr>
        <w:t>有关部门应按专群有别、规范有序的原则，科学做好预警信息发布。</w:t>
      </w:r>
    </w:p>
    <w:p w14:paraId="359A3C4B">
      <w:pPr>
        <w:numPr>
          <w:ilvl w:val="0"/>
          <w:numId w:val="37"/>
        </w:numPr>
        <w:ind w:firstLineChars="0"/>
      </w:pPr>
      <w:r>
        <w:rPr>
          <w:rFonts w:hint="eastAsia"/>
        </w:rPr>
        <w:t>县自然资源、住建、交通运输、水务、应急、气象等部门要加强监测预报和信息共享。</w:t>
      </w:r>
    </w:p>
    <w:p w14:paraId="3915D6AD">
      <w:pPr>
        <w:numPr>
          <w:ilvl w:val="0"/>
          <w:numId w:val="37"/>
        </w:numPr>
        <w:ind w:firstLineChars="0"/>
      </w:pPr>
      <w:r>
        <w:rPr>
          <w:rFonts w:hint="eastAsia"/>
        </w:rPr>
        <w:t>县防指要健全多部门联合会商机制，预测可能出现致灾天气过程或有关部门发布预警时，防办要组织联合会商，分析研判灾害风险，综合考虑可能造成的危害和影响程度，及时提出启动、调整应急响应的意见和建议。</w:t>
      </w:r>
    </w:p>
    <w:p w14:paraId="3BF2B87F">
      <w:pPr>
        <w:numPr>
          <w:ilvl w:val="0"/>
          <w:numId w:val="37"/>
        </w:numPr>
        <w:ind w:firstLineChars="0"/>
      </w:pPr>
      <w:r>
        <w:rPr>
          <w:rFonts w:hint="eastAsia"/>
        </w:rPr>
        <w:t>县、乡镇防指应急响应原则上与预警挂钩，把预警纳入应急响应的启动条件。上级防指要指导督促下级防指做好相关预警与应急响应的衔接工作。</w:t>
      </w:r>
    </w:p>
    <w:p w14:paraId="48B5975B">
      <w:pPr>
        <w:numPr>
          <w:ilvl w:val="0"/>
          <w:numId w:val="37"/>
        </w:numPr>
        <w:ind w:firstLineChars="0"/>
      </w:pPr>
      <w:r>
        <w:rPr>
          <w:rFonts w:hint="eastAsia"/>
        </w:rPr>
        <w:t>预警发布部门发布预警后，要滚动预报预警，及时向本级防指报告。</w:t>
      </w:r>
    </w:p>
    <w:p w14:paraId="038B798E">
      <w:pPr>
        <w:numPr>
          <w:ilvl w:val="0"/>
          <w:numId w:val="37"/>
        </w:numPr>
        <w:ind w:firstLineChars="0"/>
      </w:pPr>
      <w:r>
        <w:rPr>
          <w:rFonts w:hint="eastAsia"/>
        </w:rPr>
        <w:t>有关部门要建立预报预警评估制度，每年汛后对预报预警精确性、有效性进行评估。</w:t>
      </w:r>
    </w:p>
    <w:p w14:paraId="612D4AD7">
      <w:pPr>
        <w:pStyle w:val="3"/>
      </w:pPr>
      <w:bookmarkStart w:id="246" w:name="_Toc6623"/>
      <w:bookmarkStart w:id="247" w:name="_Toc6944"/>
      <w:r>
        <w:rPr>
          <w:rFonts w:hint="eastAsia"/>
        </w:rPr>
        <w:t>预警发布、变更及解除</w:t>
      </w:r>
      <w:bookmarkEnd w:id="246"/>
      <w:bookmarkEnd w:id="247"/>
    </w:p>
    <w:p w14:paraId="5DCC1221">
      <w:pPr>
        <w:numPr>
          <w:ilvl w:val="0"/>
          <w:numId w:val="38"/>
        </w:numPr>
        <w:ind w:firstLineChars="0"/>
      </w:pPr>
      <w:r>
        <w:rPr>
          <w:rFonts w:hint="eastAsia"/>
        </w:rPr>
        <w:t>按照气象、水文、地质灾害相关行业标准，结合集贤县汛情特点，分为暴雨、江河洪水、山洪灾害、地质灾害风险四类预警。暴雨、江河洪水、山洪灾害、地质灾害风险预警级别划分为四个等级，从高到低分为红色、橙色、黄色、蓝色。</w:t>
      </w:r>
    </w:p>
    <w:p w14:paraId="353FFC16">
      <w:pPr>
        <w:numPr>
          <w:ilvl w:val="0"/>
          <w:numId w:val="38"/>
        </w:numPr>
        <w:ind w:firstLineChars="0"/>
      </w:pPr>
      <w:r>
        <w:rPr>
          <w:rFonts w:hint="eastAsia"/>
        </w:rPr>
        <w:t>预警等级依据气象综合监测指数确定，气象综合监测指数由市气象局负责监测与分析。</w:t>
      </w:r>
    </w:p>
    <w:p w14:paraId="7D3B7B28">
      <w:pPr>
        <w:numPr>
          <w:ilvl w:val="0"/>
          <w:numId w:val="38"/>
        </w:numPr>
        <w:ind w:firstLineChars="0"/>
      </w:pPr>
      <w:r>
        <w:rPr>
          <w:rFonts w:hint="eastAsia"/>
        </w:rPr>
        <w:t>预警等级经县气象局与县防汛抗旱指挥部办公室会商后联合确定并发布、变更及解除。</w:t>
      </w:r>
    </w:p>
    <w:p w14:paraId="2F7ACBC0">
      <w:pPr>
        <w:numPr>
          <w:ilvl w:val="0"/>
          <w:numId w:val="38"/>
        </w:numPr>
        <w:ind w:firstLineChars="0"/>
      </w:pPr>
      <w:r>
        <w:rPr>
          <w:rFonts w:hint="eastAsia"/>
        </w:rPr>
        <w:t>各乡镇根据全县性预警情况，结合本地区情况，可自主发布、变更及解除防汛预警，并报县应急办和县防办备案。</w:t>
      </w:r>
    </w:p>
    <w:p w14:paraId="51ECAA7F">
      <w:pPr>
        <w:pStyle w:val="2"/>
        <w:numPr>
          <w:ilvl w:val="0"/>
          <w:numId w:val="22"/>
        </w:numPr>
        <w:tabs>
          <w:tab w:val="left" w:pos="0"/>
        </w:tabs>
        <w:rPr>
          <w:sz w:val="32"/>
          <w:szCs w:val="32"/>
        </w:rPr>
      </w:pPr>
      <w:bookmarkStart w:id="248" w:name="_Toc2763"/>
      <w:r>
        <w:rPr>
          <w:rFonts w:hint="eastAsia"/>
          <w:sz w:val="32"/>
          <w:szCs w:val="32"/>
        </w:rPr>
        <w:t>应急响应</w:t>
      </w:r>
      <w:bookmarkEnd w:id="248"/>
    </w:p>
    <w:p w14:paraId="7EEC29AB">
      <w:pPr>
        <w:pStyle w:val="3"/>
      </w:pPr>
      <w:bookmarkStart w:id="249" w:name="_Toc32155"/>
      <w:r>
        <w:t>应急响应分级</w:t>
      </w:r>
      <w:bookmarkEnd w:id="249"/>
      <w:r>
        <w:t xml:space="preserve"> </w:t>
      </w:r>
    </w:p>
    <w:p w14:paraId="6FC869FE">
      <w:pPr>
        <w:ind w:firstLine="632"/>
      </w:pPr>
      <w:r>
        <w:rPr>
          <w:rFonts w:hint="eastAsia"/>
        </w:rPr>
        <w:t>按照预警行动、Ⅳ级响应、Ⅲ级响应、Ⅱ级响应、Ⅰ级响应顺序，各级响应下的响应行动应在前一级的响应行动下进一步强化响应措施。在启动响应后，应根据预警信息、灾情等实际，通过会商及时调整响应级别。</w:t>
      </w:r>
    </w:p>
    <w:p w14:paraId="19A34664">
      <w:pPr>
        <w:ind w:firstLine="632"/>
      </w:pPr>
      <w:r>
        <w:rPr>
          <w:rFonts w:hint="eastAsia"/>
        </w:rPr>
        <w:t>县</w:t>
      </w:r>
      <w:r>
        <w:t>级应急响应启动后，</w:t>
      </w:r>
      <w:r>
        <w:rPr>
          <w:rFonts w:hint="eastAsia"/>
        </w:rPr>
        <w:t>乡镇防指</w:t>
      </w:r>
      <w:r>
        <w:t>根据</w:t>
      </w:r>
      <w:r>
        <w:rPr>
          <w:rFonts w:hint="eastAsia"/>
        </w:rPr>
        <w:t>县</w:t>
      </w:r>
      <w:r>
        <w:t>级应急响应自动进入响应状态，在</w:t>
      </w:r>
      <w:r>
        <w:rPr>
          <w:rFonts w:hint="eastAsia"/>
        </w:rPr>
        <w:t>县</w:t>
      </w:r>
      <w:r>
        <w:t>级响应的基础上，可根据实际提级响应。</w:t>
      </w:r>
    </w:p>
    <w:p w14:paraId="273A952C">
      <w:pPr>
        <w:ind w:firstLine="632"/>
      </w:pPr>
      <w:r>
        <w:t>应急响应启动后，并同时伴有大风、雷电、冰雹等极端天气时，各有关部门和单位依据本预案和相应专项预案做好应急响应行动，统筹协调做好灾害应对工作。</w:t>
      </w:r>
    </w:p>
    <w:p w14:paraId="58103ABA">
      <w:pPr>
        <w:pStyle w:val="3"/>
      </w:pPr>
      <w:bookmarkStart w:id="250" w:name="_Toc24031"/>
      <w:r>
        <w:t>应急响应启动程序</w:t>
      </w:r>
      <w:bookmarkEnd w:id="250"/>
    </w:p>
    <w:p w14:paraId="1A4B5D0D">
      <w:pPr>
        <w:ind w:firstLine="632"/>
      </w:pPr>
      <w:r>
        <w:rPr>
          <w:rFonts w:hint="eastAsia"/>
        </w:rPr>
        <w:t>县</w:t>
      </w:r>
      <w:r>
        <w:t>防办根据气象、水文、水务、</w:t>
      </w:r>
      <w:r>
        <w:rPr>
          <w:rFonts w:hint="eastAsia"/>
        </w:rPr>
        <w:t>自然</w:t>
      </w:r>
      <w:r>
        <w:t>资源、住建等部门的预测预警信息，统筹考虑灾害影响程度、范围和防御能力等，综合会商研判后形成启动或调整应急响应建议。启动</w:t>
      </w:r>
      <w:r>
        <w:rPr>
          <w:rFonts w:hint="eastAsia"/>
        </w:rPr>
        <w:t>Ⅳ</w:t>
      </w:r>
      <w:r>
        <w:t>级、</w:t>
      </w:r>
      <w:r>
        <w:rPr>
          <w:rFonts w:hint="eastAsia"/>
        </w:rPr>
        <w:t>Ⅲ</w:t>
      </w:r>
      <w:r>
        <w:t>级应急响应，由</w:t>
      </w:r>
      <w:r>
        <w:rPr>
          <w:rFonts w:hint="eastAsia"/>
        </w:rPr>
        <w:t>县</w:t>
      </w:r>
      <w:r>
        <w:t>防办报请</w:t>
      </w:r>
      <w:r>
        <w:rPr>
          <w:rFonts w:hint="eastAsia"/>
        </w:rPr>
        <w:t>县</w:t>
      </w:r>
      <w:r>
        <w:t>防指</w:t>
      </w:r>
      <w:r>
        <w:rPr>
          <w:rFonts w:hint="eastAsia"/>
        </w:rPr>
        <w:t>常务</w:t>
      </w:r>
      <w:r>
        <w:t>副总指挥批准，以</w:t>
      </w:r>
      <w:r>
        <w:rPr>
          <w:rFonts w:hint="eastAsia"/>
        </w:rPr>
        <w:t>县</w:t>
      </w:r>
      <w:r>
        <w:t>防指名义发布；启动</w:t>
      </w:r>
      <w:r>
        <w:rPr>
          <w:rFonts w:hint="eastAsia"/>
        </w:rPr>
        <w:t>Ⅱ</w:t>
      </w:r>
      <w:r>
        <w:t>级、</w:t>
      </w:r>
      <w:r>
        <w:rPr>
          <w:rFonts w:hint="eastAsia"/>
        </w:rPr>
        <w:t>Ⅰ</w:t>
      </w:r>
      <w:r>
        <w:t>级应急响应，由</w:t>
      </w:r>
      <w:r>
        <w:rPr>
          <w:rFonts w:hint="eastAsia"/>
        </w:rPr>
        <w:t>县</w:t>
      </w:r>
      <w:r>
        <w:t>防办报请</w:t>
      </w:r>
      <w:r>
        <w:rPr>
          <w:rFonts w:hint="eastAsia"/>
        </w:rPr>
        <w:t>县</w:t>
      </w:r>
      <w:r>
        <w:t>防指总指挥批准，以</w:t>
      </w:r>
      <w:r>
        <w:rPr>
          <w:rFonts w:hint="eastAsia"/>
        </w:rPr>
        <w:t>县</w:t>
      </w:r>
      <w:r>
        <w:t>防指名义发布。</w:t>
      </w:r>
    </w:p>
    <w:p w14:paraId="38A36918">
      <w:pPr>
        <w:ind w:firstLine="632"/>
      </w:pPr>
      <w:r>
        <w:t>当应急响应条件发生变化时，县防指及时调整应急响应等级。当县防指未启动全县应急响应时，各相关防汛指挥部可根据所辖行业、区域情况自主启动和结束应急响应，并报县防指备案。</w:t>
      </w:r>
    </w:p>
    <w:p w14:paraId="1D3D2FCC">
      <w:pPr>
        <w:pStyle w:val="3"/>
      </w:pPr>
      <w:bookmarkStart w:id="251" w:name="_Toc13988"/>
      <w:r>
        <w:t>应急响应总体要求</w:t>
      </w:r>
      <w:bookmarkEnd w:id="251"/>
    </w:p>
    <w:p w14:paraId="32CAFA5D">
      <w:pPr>
        <w:numPr>
          <w:ilvl w:val="0"/>
          <w:numId w:val="39"/>
        </w:numPr>
        <w:ind w:firstLine="632"/>
      </w:pPr>
      <w:r>
        <w:rPr>
          <w:rFonts w:hint="eastAsia"/>
        </w:rPr>
        <w:t>组织指挥。建立健全统一指挥、有序高效的应急联动和快速反应机制。灾害发生后，县委、县政府应加强组织领导，县防指及时启动应急响应，成立现场指挥部，摸排掌握险情灾情，开展会商研判，在高风险区域采取“关停限”措施，迅速调集专业队伍，科学开展现场处置，组织干部群众开展自救互救工作，做好信息发布和舆情引导，按规定及时向上级防指报告。灾害应对关键阶段，党政负责同志应在防汛抗旱指挥机构坐镇指挥，相关负责同志根据预案和统一安排靠前指挥，确保防汛抢险救灾工作有序高效实施。</w:t>
      </w:r>
    </w:p>
    <w:p w14:paraId="06298CFD">
      <w:pPr>
        <w:numPr>
          <w:ilvl w:val="0"/>
          <w:numId w:val="39"/>
        </w:numPr>
        <w:ind w:firstLine="632"/>
      </w:pPr>
      <w:r>
        <w:rPr>
          <w:rFonts w:hint="eastAsia"/>
        </w:rPr>
        <w:t>转移避险。当气象、水利、自然资源等有关部门发出预警信息时，县应急委办公室发出应急提示，乡镇人民政府及时按预案（方案）组织受威胁人员安全撤离。堤防决口、水闸垮塌、水库（水电站）垮坝的应急处理，首先应迅速组织受影响群众转移。当出现城市内涝灾害时，乡镇人民政府及时按预案（方案）及时组织转移安置危险区域人员；对低洼积水等危险区域、路段，乡镇、部门要及时采取警戒、管控等措施，避免人员伤亡。乡镇人民政府负责妥善安置受灾群众，提供紧急避难场所，保证基本生活；要加强管理，防止转移群众擅自返回。</w:t>
      </w:r>
    </w:p>
    <w:p w14:paraId="72DEE11B">
      <w:pPr>
        <w:numPr>
          <w:ilvl w:val="0"/>
          <w:numId w:val="39"/>
        </w:numPr>
        <w:ind w:firstLine="632"/>
      </w:pPr>
      <w:r>
        <w:rPr>
          <w:rFonts w:hint="eastAsia"/>
        </w:rPr>
        <w:t>抢险救灾。出现水旱灾害或防洪工程发生重大险情后，有关乡镇、部门（单位）应根据事件的性质，迅速对事件进行监控、追踪，立即提出紧急处置措施，由县防指统一指挥，各部门（单位）要按照任务分工各司其职、团结协作、快速反应、高效处置，最大程度减少损失。电力、交通、通信等工程设施因暴雨、洪水、内涝发生险情时，工程管理单位应当立即采取抢护措施，并及时向其行业主管等有关部门报告；行业主管部门应当立即组织抢险，并将险情及抢险行动情况报告县防指。必要时提请市级层面提供帮助。</w:t>
      </w:r>
    </w:p>
    <w:p w14:paraId="1A00D264">
      <w:pPr>
        <w:numPr>
          <w:ilvl w:val="0"/>
          <w:numId w:val="39"/>
        </w:numPr>
        <w:ind w:firstLine="632"/>
      </w:pPr>
      <w:r>
        <w:rPr>
          <w:rFonts w:hint="eastAsia"/>
        </w:rPr>
        <w:t>安全防护。乡镇人民政府和防汛抗旱指挥机构应高度重视应急救援人员的安全，调集和储备必要的防护器材、消毒药品、备用电源和抢救伤员必备的器械等，以备随时应用。抢险人员进入和撤出现场由防汛抗旱指挥机构视情况作出决定，进入受威胁的现场前，应采取防护措施以保证自身安全。救援行动中，应急救援队伍应设置安全员，配备高音喇叭、警报器等示警装备。救援行动开始前，应进行安全提示；发现安全隐患时，应及时示警。</w:t>
      </w:r>
    </w:p>
    <w:p w14:paraId="13EB53D6">
      <w:pPr>
        <w:numPr>
          <w:ilvl w:val="0"/>
          <w:numId w:val="39"/>
        </w:numPr>
        <w:ind w:firstLine="632"/>
      </w:pPr>
      <w:r>
        <w:rPr>
          <w:rFonts w:hint="eastAsia"/>
        </w:rPr>
        <w:t>社会力量动员和参与。出现水旱灾害后，事发地乡镇可根据事件的性质和危害程度，报经县人民政府批准，对重点地区和重点部位实施紧急控制，防止事态及其危害进一步扩大。必要时可通过县人民政府广泛调动社会力量积极参与应急突发事件处置，紧急情况下可依法征用、调用交通工具、物资、人员等，全力投入抗洪抢险和抗灾救灾。</w:t>
      </w:r>
    </w:p>
    <w:p w14:paraId="18DA6848">
      <w:pPr>
        <w:pStyle w:val="3"/>
      </w:pPr>
      <w:bookmarkStart w:id="252" w:name="_Toc5268"/>
      <w:r>
        <w:rPr>
          <w:rFonts w:hint="eastAsia"/>
        </w:rPr>
        <w:t>Ⅳ</w:t>
      </w:r>
      <w:r>
        <w:t>级响应</w:t>
      </w:r>
      <w:bookmarkEnd w:id="252"/>
      <w:r>
        <w:t xml:space="preserve"> </w:t>
      </w:r>
    </w:p>
    <w:p w14:paraId="72EEA8AB">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启动条件</w:t>
      </w:r>
    </w:p>
    <w:p w14:paraId="036781F9">
      <w:pPr>
        <w:ind w:firstLine="632"/>
      </w:pPr>
      <w:r>
        <w:t>当发生或预计发生符合下列条件之一的，经会商研判后启动</w:t>
      </w:r>
      <w:r>
        <w:rPr>
          <w:rFonts w:hint="eastAsia"/>
        </w:rPr>
        <w:t>Ⅳ</w:t>
      </w:r>
      <w:r>
        <w:t xml:space="preserve">级响应： </w:t>
      </w:r>
    </w:p>
    <w:p w14:paraId="3552B4AF">
      <w:pPr>
        <w:numPr>
          <w:ilvl w:val="0"/>
          <w:numId w:val="40"/>
        </w:numPr>
        <w:ind w:firstLineChars="0"/>
      </w:pPr>
      <w:r>
        <w:rPr>
          <w:rFonts w:hint="eastAsia"/>
        </w:rPr>
        <w:t>暴雨预警：县气象局发布黄色预警、橙色预警信号、连续2天发布蓝色预警（满足其一），根据县防指会商结果启动；</w:t>
      </w:r>
    </w:p>
    <w:p w14:paraId="332D0924">
      <w:pPr>
        <w:numPr>
          <w:ilvl w:val="0"/>
          <w:numId w:val="40"/>
        </w:numPr>
        <w:ind w:firstLineChars="0"/>
      </w:pPr>
      <w:r>
        <w:rPr>
          <w:rFonts w:hint="eastAsia"/>
        </w:rPr>
        <w:t>江河洪水：蚂蚁河达到或超过警戒水位（以水务局实时监测数据为准）；</w:t>
      </w:r>
      <w:r>
        <w:t>预报河流可能发生接近保证水位的凌汛洪水，堤防、江岸可能发生漫堤（岸）</w:t>
      </w:r>
      <w:r>
        <w:rPr>
          <w:rFonts w:hint="eastAsia"/>
        </w:rPr>
        <w:t>；</w:t>
      </w:r>
    </w:p>
    <w:p w14:paraId="750DCEDB">
      <w:pPr>
        <w:numPr>
          <w:ilvl w:val="0"/>
          <w:numId w:val="40"/>
        </w:numPr>
        <w:ind w:firstLineChars="0"/>
      </w:pPr>
      <w:r>
        <w:rPr>
          <w:rFonts w:hint="eastAsia"/>
        </w:rPr>
        <w:t>城市内涝：县城或1个乡镇场镇道路大范围积水深度在0.3米以上、0.5米以下；县城部分区域停电停水停气、交通中断或瘫痪，县城或乡镇场镇运行受到影响；</w:t>
      </w:r>
    </w:p>
    <w:p w14:paraId="3648DDC4">
      <w:pPr>
        <w:numPr>
          <w:ilvl w:val="0"/>
          <w:numId w:val="40"/>
        </w:numPr>
        <w:ind w:firstLineChars="0"/>
      </w:pPr>
      <w:r>
        <w:rPr>
          <w:rFonts w:hint="eastAsia"/>
        </w:rPr>
        <w:t>堤防：集贤县一般堤防出现险情；</w:t>
      </w:r>
    </w:p>
    <w:p w14:paraId="01D81EB0">
      <w:pPr>
        <w:numPr>
          <w:ilvl w:val="0"/>
          <w:numId w:val="40"/>
        </w:numPr>
        <w:ind w:firstLineChars="0"/>
      </w:pPr>
      <w:r>
        <w:rPr>
          <w:rFonts w:hint="eastAsia"/>
        </w:rPr>
        <w:t>水库：一座及以上</w:t>
      </w:r>
      <w:r>
        <w:t>小型水库（含水电站，下同）出现危及水库安全的险情，可能发生垮坝</w:t>
      </w:r>
      <w:r>
        <w:rPr>
          <w:rFonts w:hint="eastAsia"/>
        </w:rPr>
        <w:t>；</w:t>
      </w:r>
    </w:p>
    <w:p w14:paraId="5A90AF58">
      <w:pPr>
        <w:numPr>
          <w:ilvl w:val="0"/>
          <w:numId w:val="40"/>
        </w:numPr>
        <w:ind w:firstLineChars="0"/>
      </w:pPr>
      <w:r>
        <w:rPr>
          <w:rFonts w:hint="eastAsia"/>
        </w:rPr>
        <w:t>其他：</w:t>
      </w:r>
      <w:r>
        <w:t>其他需要启动</w:t>
      </w:r>
      <w:r>
        <w:rPr>
          <w:rFonts w:hint="eastAsia"/>
        </w:rPr>
        <w:t>Ⅳ</w:t>
      </w:r>
      <w:r>
        <w:t>级响应的情况。</w:t>
      </w:r>
    </w:p>
    <w:p w14:paraId="4423951C">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 xml:space="preserve">响应行动 </w:t>
      </w:r>
    </w:p>
    <w:p w14:paraId="337A8672">
      <w:pPr>
        <w:numPr>
          <w:ilvl w:val="0"/>
          <w:numId w:val="41"/>
        </w:numPr>
        <w:ind w:firstLineChars="0"/>
      </w:pPr>
      <w:r>
        <w:rPr>
          <w:rFonts w:hint="eastAsia"/>
        </w:rPr>
        <w:t>安排部署。县防指副总指挥（分管水利的副县长）主持召开会商调度会，了解掌握汛情、险情、旱情、灾情及重要工情等信息，研判防汛形势，部署防汛救灾有关工作。</w:t>
      </w:r>
    </w:p>
    <w:p w14:paraId="0BF9873F">
      <w:pPr>
        <w:numPr>
          <w:ilvl w:val="0"/>
          <w:numId w:val="41"/>
        </w:numPr>
        <w:ind w:firstLineChars="0"/>
      </w:pPr>
      <w:r>
        <w:rPr>
          <w:rFonts w:hint="eastAsia"/>
        </w:rPr>
        <w:t>组织指挥。县防指根据需要及时派出工作组、专家组赴一线督促指导防汛抗旱救灾工作，县防指成员单位按职责分工加强应对工作。视情由县防指副总指挥坐镇县水务局指挥。</w:t>
      </w:r>
    </w:p>
    <w:p w14:paraId="7D9E3008">
      <w:pPr>
        <w:numPr>
          <w:ilvl w:val="0"/>
          <w:numId w:val="41"/>
        </w:numPr>
        <w:ind w:firstLineChars="0"/>
      </w:pPr>
      <w:r>
        <w:rPr>
          <w:rFonts w:hint="eastAsia"/>
        </w:rPr>
        <w:t>信息报送。县防指迅速将应急响应启动及防汛救灾等情况报告市防汛抗旱指挥部办公室、县委、县政府，并通报县防指各成员单位。县防指各成员单位及时向县防办报送本部门相关工作情况。</w:t>
      </w:r>
    </w:p>
    <w:p w14:paraId="0868F7AD">
      <w:pPr>
        <w:numPr>
          <w:ilvl w:val="0"/>
          <w:numId w:val="41"/>
        </w:numPr>
        <w:ind w:firstLineChars="0"/>
      </w:pPr>
      <w:r>
        <w:rPr>
          <w:rFonts w:hint="eastAsia"/>
        </w:rPr>
        <w:t>值班值守。县防指强化值班，加强协调、督导事关全局的防汛抗调度，并与相关区域加强视频会商，及时作出针对性安排布置。县防指各成员及联络员保持通信畅通，相关成员单位派员到县水务局值班，负责协调、处理、报告本单位相关工作。</w:t>
      </w:r>
    </w:p>
    <w:p w14:paraId="0FCA88FA">
      <w:pPr>
        <w:numPr>
          <w:ilvl w:val="0"/>
          <w:numId w:val="41"/>
        </w:numPr>
        <w:ind w:firstLineChars="0"/>
      </w:pPr>
      <w:r>
        <w:rPr>
          <w:rFonts w:hint="eastAsia"/>
        </w:rPr>
        <w:t>舆论宣传。县防指根据需要及时发布相关信息，相关成员单位协调指导媒体做好防汛救灾工作报道，加强舆论引导工作。</w:t>
      </w:r>
    </w:p>
    <w:p w14:paraId="1B560F96">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 xml:space="preserve">各成员单位响应行动 </w:t>
      </w:r>
    </w:p>
    <w:p w14:paraId="464DAD6A">
      <w:pPr>
        <w:numPr>
          <w:ilvl w:val="0"/>
          <w:numId w:val="42"/>
        </w:numPr>
        <w:ind w:firstLineChars="0"/>
      </w:pPr>
      <w:r>
        <w:rPr>
          <w:rFonts w:hint="eastAsia"/>
        </w:rPr>
        <w:t>县委宣传部</w:t>
      </w:r>
      <w:r>
        <w:t>：协调全</w:t>
      </w:r>
      <w:r>
        <w:rPr>
          <w:rFonts w:hint="eastAsia"/>
        </w:rPr>
        <w:t>县</w:t>
      </w:r>
      <w:r>
        <w:t xml:space="preserve">广播、电视、 互联网、报刊等媒体及时发布预警预报和抢险救灾信息，密切关注舆情信息，做好舆论引导。 </w:t>
      </w:r>
    </w:p>
    <w:p w14:paraId="373417CE">
      <w:pPr>
        <w:numPr>
          <w:ilvl w:val="0"/>
          <w:numId w:val="42"/>
        </w:numPr>
        <w:ind w:firstLineChars="0"/>
      </w:pPr>
      <w:r>
        <w:rPr>
          <w:rFonts w:hint="eastAsia"/>
        </w:rPr>
        <w:t>县气象局</w:t>
      </w:r>
      <w:r>
        <w:t>：</w:t>
      </w:r>
      <w:r>
        <w:rPr>
          <w:rFonts w:hint="eastAsia"/>
        </w:rPr>
        <w:t>加强气象监测预报，分析气象发展趋势，及时发布预警信息，动态更新预报预警，向社会发布气象防御指南及相关科普信息。</w:t>
      </w:r>
      <w:r>
        <w:t xml:space="preserve"> </w:t>
      </w:r>
    </w:p>
    <w:p w14:paraId="7B962989">
      <w:pPr>
        <w:numPr>
          <w:ilvl w:val="0"/>
          <w:numId w:val="42"/>
        </w:numPr>
        <w:ind w:firstLineChars="0"/>
      </w:pPr>
      <w:r>
        <w:rPr>
          <w:rFonts w:hint="eastAsia"/>
        </w:rPr>
        <w:t>集贤水文站</w:t>
      </w:r>
      <w:r>
        <w:t>：加强江河水情监测和分析会商，及时分析预测江河洪水发展趋势并报告</w:t>
      </w:r>
      <w:r>
        <w:rPr>
          <w:rFonts w:hint="eastAsia"/>
        </w:rPr>
        <w:t>县</w:t>
      </w:r>
      <w:r>
        <w:t xml:space="preserve">防指。 </w:t>
      </w:r>
    </w:p>
    <w:p w14:paraId="03B7695E">
      <w:pPr>
        <w:numPr>
          <w:ilvl w:val="0"/>
          <w:numId w:val="42"/>
        </w:numPr>
        <w:ind w:firstLineChars="0"/>
      </w:pPr>
      <w:r>
        <w:rPr>
          <w:rFonts w:hint="eastAsia"/>
        </w:rPr>
        <w:t>县水务局</w:t>
      </w:r>
      <w:r>
        <w:t>：加密会商研判，密切监测河道、水库和山洪沟道水情，按权限指导和实施水工程防洪调度，指导相关</w:t>
      </w:r>
      <w:r>
        <w:rPr>
          <w:rFonts w:hint="eastAsia"/>
        </w:rPr>
        <w:t>乡镇</w:t>
      </w:r>
      <w:r>
        <w:t xml:space="preserve">实施山洪易发区人员疏散转移工作，提前发布洪水预警、山洪灾害预警；组织指导开展水库、河道和堤防等重点部位巡查排险，视情派出防汛专家组，为抗洪抢险提供技术支撑。 </w:t>
      </w:r>
    </w:p>
    <w:p w14:paraId="42002A0C">
      <w:pPr>
        <w:numPr>
          <w:ilvl w:val="0"/>
          <w:numId w:val="42"/>
        </w:numPr>
        <w:ind w:firstLineChars="0"/>
      </w:pPr>
      <w:r>
        <w:rPr>
          <w:rFonts w:hint="eastAsia"/>
        </w:rPr>
        <w:t>县应急管理局</w:t>
      </w:r>
      <w:r>
        <w:t>：加强值班力量，密切关注气象、水文、地质灾害监测预警信息，掌握全</w:t>
      </w:r>
      <w:r>
        <w:rPr>
          <w:rFonts w:hint="eastAsia"/>
        </w:rPr>
        <w:t>县</w:t>
      </w:r>
      <w:r>
        <w:t>防汛工作动态和灾情信息，做好防汛工作统筹协调；督促和检查应急值守、监测预警、巡查防守、抢险救灾等措施落实情况；组织协调全</w:t>
      </w:r>
      <w:r>
        <w:rPr>
          <w:rFonts w:hint="eastAsia"/>
        </w:rPr>
        <w:t>县</w:t>
      </w:r>
      <w:r>
        <w:t>抢险救援力量，做好应急抢险救援队伍和抢险救灾物资调配，指导做好灾民安置；督促管辖范围内的危险化学品企业、非煤矿山等做好防汛安</w:t>
      </w:r>
      <w:r>
        <w:rPr>
          <w:rFonts w:hint="eastAsia"/>
        </w:rPr>
        <w:t>全</w:t>
      </w:r>
      <w:r>
        <w:t xml:space="preserve">检查，安排好值班和应急处置人员。 </w:t>
      </w:r>
    </w:p>
    <w:p w14:paraId="1726317F">
      <w:pPr>
        <w:numPr>
          <w:ilvl w:val="0"/>
          <w:numId w:val="42"/>
        </w:numPr>
        <w:ind w:firstLineChars="0"/>
      </w:pPr>
      <w:r>
        <w:rPr>
          <w:rFonts w:hint="eastAsia"/>
        </w:rPr>
        <w:t>县住房和城乡建设局</w:t>
      </w:r>
      <w:r>
        <w:t>：组织开展在建工地安全检查，视情暂停高空、 露天作业，加强施工区安全管理，加固或拆除有危险的建设施工设施等，疏散、撤离危险区域人员</w:t>
      </w:r>
      <w:r>
        <w:rPr>
          <w:rFonts w:hint="eastAsia"/>
        </w:rPr>
        <w:t>；</w:t>
      </w:r>
      <w:r>
        <w:t>组织检查内涝积水情况，开展城区防涝排涝工作</w:t>
      </w:r>
      <w:r>
        <w:rPr>
          <w:rFonts w:hint="eastAsia"/>
        </w:rPr>
        <w:t>，</w:t>
      </w:r>
      <w:r>
        <w:t>加派力量开展城区管辖范围内排水管网、泵站隐患排查，组织抢修受损设施，保障相关设施正常运行；提前在易积水区域安排人员、设备定点值守，及时排除积水；组织人员在积涝现场值守、警戒，疏通排水管网，做好应急处置工作；督促物业管理机构做好地下车库等易积水区域的防涝排涝措施，更新防汛提示、增加广播频次等</w:t>
      </w:r>
      <w:r>
        <w:rPr>
          <w:rFonts w:hint="eastAsia"/>
        </w:rPr>
        <w:t>；</w:t>
      </w:r>
      <w:r>
        <w:t xml:space="preserve">督促燃气行业做好抢险救援准备，加强巡检，及时整治隐患、处理险情。 </w:t>
      </w:r>
    </w:p>
    <w:p w14:paraId="1C26A6C2">
      <w:pPr>
        <w:numPr>
          <w:ilvl w:val="0"/>
          <w:numId w:val="42"/>
        </w:numPr>
        <w:ind w:firstLineChars="0"/>
      </w:pPr>
      <w:r>
        <w:rPr>
          <w:rFonts w:hint="eastAsia"/>
        </w:rPr>
        <w:t>县公安局</w:t>
      </w:r>
      <w:r>
        <w:t>：密切关注气象、水文信息和全</w:t>
      </w:r>
      <w:r>
        <w:rPr>
          <w:rFonts w:hint="eastAsia"/>
        </w:rPr>
        <w:t>县</w:t>
      </w:r>
      <w:r>
        <w:t>治安动态及交通路况信息，在灾害重点区域、受灾区或危险区实施治安管理，维护区域治安秩序；开展治安救助工作，协助组织受灾区或危险区群众的救助或安全转移；增派交通管理警力，维护道路交通秩序，开展交通引导，对涉水被困车辆及人员实行紧急救援；在重点区域和灾区增加布设人员，实现道路交通事故的快速处置，限 制道路车流和车速；视情对城区积水道路实行交通管制，在全</w:t>
      </w:r>
      <w:r>
        <w:rPr>
          <w:rFonts w:hint="eastAsia"/>
        </w:rPr>
        <w:t>县</w:t>
      </w:r>
      <w:r>
        <w:t xml:space="preserve">交通诱导屏上播出相应预警信息。 </w:t>
      </w:r>
    </w:p>
    <w:p w14:paraId="23C38216">
      <w:pPr>
        <w:numPr>
          <w:ilvl w:val="0"/>
          <w:numId w:val="42"/>
        </w:numPr>
        <w:ind w:firstLineChars="0"/>
      </w:pPr>
      <w:r>
        <w:rPr>
          <w:rFonts w:hint="eastAsia"/>
        </w:rPr>
        <w:t>县自然资源局</w:t>
      </w:r>
      <w:r>
        <w:t xml:space="preserve">：督促检查有关地区做好地质灾害隐患巡查、排查，落实防御措施，及时发布地质灾害气象风险预警，做好险情处置技术支撑。 </w:t>
      </w:r>
    </w:p>
    <w:p w14:paraId="2778EE1A">
      <w:pPr>
        <w:numPr>
          <w:ilvl w:val="0"/>
          <w:numId w:val="42"/>
        </w:numPr>
        <w:ind w:firstLineChars="0"/>
      </w:pPr>
      <w:r>
        <w:rPr>
          <w:rFonts w:hint="eastAsia"/>
        </w:rPr>
        <w:t>县交通局</w:t>
      </w:r>
      <w:r>
        <w:t>：及时向全</w:t>
      </w:r>
      <w:r>
        <w:rPr>
          <w:rFonts w:hint="eastAsia"/>
        </w:rPr>
        <w:t>县</w:t>
      </w:r>
      <w:r>
        <w:t xml:space="preserve">所辖交通建设工程和交通运输运营单位转发预警预报和防指指令；督促各单位加强隐患排查，按照预案落实防御措施，抢修水毁道路交通设施；督促道路交通等运输机构视情调整或取消车次，并妥善安置滞留人员；为防汛抢险应急物资、人员运送提供车辆保障。 </w:t>
      </w:r>
    </w:p>
    <w:p w14:paraId="6C5A05AB">
      <w:pPr>
        <w:numPr>
          <w:ilvl w:val="0"/>
          <w:numId w:val="42"/>
        </w:numPr>
        <w:ind w:firstLineChars="0"/>
      </w:pPr>
      <w:r>
        <w:rPr>
          <w:rFonts w:hint="eastAsia"/>
        </w:rPr>
        <w:t>县城市管理局</w:t>
      </w:r>
      <w:r>
        <w:t xml:space="preserve">：督促加强户外广告牌、路灯设施的检查和加固；视情组织切断路灯广告等室外用电设施电源，在危险区域设置警戒线或警示牌，安排专人守护；加强对所管辖区域树木、设施的排查，及时加固或清除影响安全的树木、设施等；督促环卫作业单位及时清理路边排水口，清除路面垃圾等杂物，保证排水顺畅。 </w:t>
      </w:r>
    </w:p>
    <w:p w14:paraId="1E3E4770">
      <w:pPr>
        <w:numPr>
          <w:ilvl w:val="0"/>
          <w:numId w:val="42"/>
        </w:numPr>
        <w:ind w:firstLineChars="0"/>
      </w:pPr>
      <w:r>
        <w:rPr>
          <w:rFonts w:hint="eastAsia"/>
        </w:rPr>
        <w:t>县工信科局</w:t>
      </w:r>
      <w:r>
        <w:t>：协调移动、联通、电信</w:t>
      </w:r>
      <w:r>
        <w:rPr>
          <w:rFonts w:hint="eastAsia"/>
        </w:rPr>
        <w:t>、铁塔集贤县办事处</w:t>
      </w:r>
      <w:r>
        <w:t xml:space="preserve">等单位，对相关通信线路、基站设施设备进行巡检，消除隐患，做好应急响应期间通信保障。 </w:t>
      </w:r>
    </w:p>
    <w:p w14:paraId="1D8F1098">
      <w:pPr>
        <w:numPr>
          <w:ilvl w:val="0"/>
          <w:numId w:val="42"/>
        </w:numPr>
        <w:ind w:firstLineChars="0"/>
      </w:pPr>
      <w:r>
        <w:rPr>
          <w:rFonts w:hint="eastAsia"/>
        </w:rPr>
        <w:t>县教育和体育局</w:t>
      </w:r>
      <w:r>
        <w:t xml:space="preserve">：根据气象预警信息，第一时间通知和督促相关地区中小学、幼儿园做好防御准备，检查安全隐患，暂停户外教学活动，做好在校师生的安全管理。 </w:t>
      </w:r>
    </w:p>
    <w:p w14:paraId="4E3515D8">
      <w:pPr>
        <w:numPr>
          <w:ilvl w:val="0"/>
          <w:numId w:val="42"/>
        </w:numPr>
        <w:ind w:firstLineChars="0"/>
      </w:pPr>
      <w:r>
        <w:rPr>
          <w:rFonts w:hint="eastAsia"/>
        </w:rPr>
        <w:t>县农业农村局</w:t>
      </w:r>
      <w:r>
        <w:t xml:space="preserve">：及时掌握农业受灾情况，做好农业救灾和灾区动物防疫工作。 </w:t>
      </w:r>
    </w:p>
    <w:p w14:paraId="40A89789">
      <w:pPr>
        <w:numPr>
          <w:ilvl w:val="0"/>
          <w:numId w:val="42"/>
        </w:numPr>
        <w:ind w:firstLineChars="0"/>
      </w:pPr>
      <w:r>
        <w:rPr>
          <w:rFonts w:hint="eastAsia"/>
        </w:rPr>
        <w:t>县国动办</w:t>
      </w:r>
      <w:r>
        <w:t xml:space="preserve">：做好已建人防工程防倒灌工作。 </w:t>
      </w:r>
    </w:p>
    <w:p w14:paraId="141AFF80">
      <w:pPr>
        <w:numPr>
          <w:ilvl w:val="0"/>
          <w:numId w:val="42"/>
        </w:numPr>
        <w:ind w:firstLineChars="0"/>
      </w:pPr>
      <w:r>
        <w:rPr>
          <w:rFonts w:hint="eastAsia"/>
        </w:rPr>
        <w:t>国网集贤供电公司</w:t>
      </w:r>
      <w:r>
        <w:t xml:space="preserve">：加强值班备勤，密切关注气象信息及电力系统运行情况，加强所辖电力设施设备隐患排查，及时开展供电抢险，保障相关设施正常运行，保障抢险救灾等方面的供电和应急救援现场的临时供电。 </w:t>
      </w:r>
    </w:p>
    <w:p w14:paraId="60A29BED">
      <w:pPr>
        <w:numPr>
          <w:ilvl w:val="0"/>
          <w:numId w:val="42"/>
        </w:numPr>
        <w:ind w:firstLineChars="0"/>
      </w:pPr>
      <w:r>
        <w:rPr>
          <w:rFonts w:hint="eastAsia"/>
        </w:rPr>
        <w:t>县</w:t>
      </w:r>
      <w:r>
        <w:t>消防救援</w:t>
      </w:r>
      <w:r>
        <w:rPr>
          <w:rFonts w:hint="eastAsia"/>
        </w:rPr>
        <w:t>大</w:t>
      </w:r>
      <w:r>
        <w:t>队、</w:t>
      </w:r>
      <w:r>
        <w:rPr>
          <w:rFonts w:hint="eastAsia"/>
        </w:rPr>
        <w:t>县</w:t>
      </w:r>
      <w:r>
        <w:t>森林消防</w:t>
      </w:r>
      <w:r>
        <w:rPr>
          <w:rFonts w:hint="eastAsia"/>
        </w:rPr>
        <w:t>大</w:t>
      </w:r>
      <w:r>
        <w:t>队：加强值班备勤，做好抢险救灾准备，根据需要在重点防护部位、险工险段前置驻防。</w:t>
      </w:r>
    </w:p>
    <w:p w14:paraId="79BA4656">
      <w:pPr>
        <w:numPr>
          <w:ilvl w:val="0"/>
          <w:numId w:val="42"/>
        </w:numPr>
        <w:ind w:firstLineChars="0"/>
      </w:pPr>
      <w:r>
        <w:t>其他各成员单位：加强值班，按职责开展相应工作。</w:t>
      </w:r>
    </w:p>
    <w:p w14:paraId="29E65579">
      <w:pPr>
        <w:numPr>
          <w:ilvl w:val="0"/>
          <w:numId w:val="42"/>
        </w:numPr>
        <w:ind w:firstLineChars="0"/>
      </w:pPr>
      <w:r>
        <w:rPr>
          <w:rFonts w:hint="eastAsia"/>
        </w:rPr>
        <w:t>各相关乡镇</w:t>
      </w:r>
      <w:r>
        <w:t>：防指负责同志主持会商，安排部署防汛抢险救灾工作；随时做好</w:t>
      </w:r>
      <w:r>
        <w:rPr>
          <w:rFonts w:hint="eastAsia"/>
        </w:rPr>
        <w:t>洪水灾害</w:t>
      </w:r>
      <w:r>
        <w:t>应急处突准备，对受威胁区域人员实施转移安置；每日将防汛抢险救灾情况报至</w:t>
      </w:r>
      <w:r>
        <w:rPr>
          <w:rFonts w:hint="eastAsia"/>
        </w:rPr>
        <w:t>县防办</w:t>
      </w:r>
      <w:r>
        <w:t>，如遇重大突发性险情灾情和重大防汛工作部署第一时间报告。</w:t>
      </w:r>
    </w:p>
    <w:p w14:paraId="0B28C2C3">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响应终止</w:t>
      </w:r>
    </w:p>
    <w:p w14:paraId="5EB9997B">
      <w:pPr>
        <w:ind w:firstLine="632"/>
      </w:pPr>
      <w:r>
        <w:rPr>
          <w:rFonts w:hint="eastAsia"/>
        </w:rPr>
        <w:t>当灾害已经或趋于结束时，由县防办提出响应终止建议，县防指第一副总指挥批准。响应结束后，有关部门和单位按职责分工，核实灾害损失和人员伤亡情况，并协助指导受灾地区做好灾后恢复重建工作。</w:t>
      </w:r>
    </w:p>
    <w:p w14:paraId="7BF5D358">
      <w:pPr>
        <w:pStyle w:val="3"/>
      </w:pPr>
      <w:bookmarkStart w:id="253" w:name="_Toc826"/>
      <w:r>
        <w:rPr>
          <w:rFonts w:hint="eastAsia"/>
        </w:rPr>
        <w:t>Ⅲ</w:t>
      </w:r>
      <w:r>
        <w:t>级响应</w:t>
      </w:r>
      <w:bookmarkEnd w:id="253"/>
      <w:r>
        <w:t xml:space="preserve"> </w:t>
      </w:r>
    </w:p>
    <w:p w14:paraId="79A698D9">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 xml:space="preserve">启动条件 </w:t>
      </w:r>
    </w:p>
    <w:p w14:paraId="3E7976FE">
      <w:pPr>
        <w:ind w:firstLine="632"/>
      </w:pPr>
      <w:r>
        <w:t>当发生或预计发生符合下列条件之一的，经会商研判后启动</w:t>
      </w:r>
      <w:r>
        <w:rPr>
          <w:rFonts w:hint="eastAsia"/>
        </w:rPr>
        <w:t>Ⅲ</w:t>
      </w:r>
      <w:r>
        <w:t xml:space="preserve">级响应： </w:t>
      </w:r>
    </w:p>
    <w:p w14:paraId="6550B778">
      <w:pPr>
        <w:numPr>
          <w:ilvl w:val="0"/>
          <w:numId w:val="43"/>
        </w:numPr>
        <w:ind w:firstLineChars="0"/>
      </w:pPr>
      <w:r>
        <w:rPr>
          <w:rFonts w:hint="eastAsia"/>
        </w:rPr>
        <w:t>暴雨预警：县气象局发布橙色预警、连续2天发布黄色预警、连续2次发布橙色预警信号（满足其一），根据县防指会商结果启动；</w:t>
      </w:r>
    </w:p>
    <w:p w14:paraId="44BDDA5E">
      <w:pPr>
        <w:numPr>
          <w:ilvl w:val="0"/>
          <w:numId w:val="43"/>
        </w:numPr>
        <w:ind w:firstLineChars="0"/>
      </w:pPr>
      <w:r>
        <w:rPr>
          <w:rFonts w:hint="eastAsia"/>
        </w:rPr>
        <w:t>江河洪水：蚂蚁河发生较大洪水；预报河流可能发生超过保证水位的凌汛洪水，堤防、江岸可能发生漫堤（岸）；</w:t>
      </w:r>
    </w:p>
    <w:p w14:paraId="10463920">
      <w:pPr>
        <w:numPr>
          <w:ilvl w:val="0"/>
          <w:numId w:val="43"/>
        </w:numPr>
        <w:ind w:firstLineChars="0"/>
      </w:pPr>
      <w:r>
        <w:rPr>
          <w:rFonts w:hint="eastAsia"/>
        </w:rPr>
        <w:t>城市内涝：县城或1个乡镇场镇道路大范围积水深度在0.5米以上、1米以下；县城大面积停电停水停气、交通中断或瘫痪，县城或乡镇场镇运行受到较大影响；</w:t>
      </w:r>
    </w:p>
    <w:p w14:paraId="038735B1">
      <w:pPr>
        <w:numPr>
          <w:ilvl w:val="0"/>
          <w:numId w:val="43"/>
        </w:numPr>
        <w:ind w:firstLineChars="0"/>
      </w:pPr>
      <w:r>
        <w:rPr>
          <w:rFonts w:hint="eastAsia"/>
        </w:rPr>
        <w:t>堤防：蚂蚁河干流堤防出现重大险情；</w:t>
      </w:r>
    </w:p>
    <w:p w14:paraId="01897596">
      <w:pPr>
        <w:numPr>
          <w:ilvl w:val="0"/>
          <w:numId w:val="43"/>
        </w:numPr>
        <w:ind w:firstLineChars="0"/>
      </w:pPr>
      <w:r>
        <w:rPr>
          <w:rFonts w:hint="eastAsia"/>
        </w:rPr>
        <w:t>水库：1座及以上一般小型水库发生垮坝或一般中型水库出现重大险情可能发生垮坝；</w:t>
      </w:r>
    </w:p>
    <w:p w14:paraId="1937FC25">
      <w:pPr>
        <w:numPr>
          <w:ilvl w:val="0"/>
          <w:numId w:val="43"/>
        </w:numPr>
        <w:ind w:firstLineChars="0"/>
      </w:pPr>
      <w:r>
        <w:rPr>
          <w:rFonts w:hint="eastAsia"/>
        </w:rPr>
        <w:t xml:space="preserve">其他：其他需要启动Ⅲ级响应的情况。 </w:t>
      </w:r>
    </w:p>
    <w:p w14:paraId="30C5F1C5">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 xml:space="preserve">响应行动 </w:t>
      </w:r>
    </w:p>
    <w:p w14:paraId="6F584034">
      <w:pPr>
        <w:numPr>
          <w:ilvl w:val="0"/>
          <w:numId w:val="44"/>
        </w:numPr>
        <w:ind w:firstLine="632"/>
      </w:pPr>
      <w:r>
        <w:rPr>
          <w:rFonts w:hint="eastAsia"/>
        </w:rPr>
        <w:t>安排部署。县防指副总指挥主持召开会商调度会，了解掌握汛情、险情、旱情、灾情及重要工情等信息，研判防汛抗旱形势部署防汛抗旱救灾有关工作。</w:t>
      </w:r>
    </w:p>
    <w:p w14:paraId="38DF1189">
      <w:pPr>
        <w:numPr>
          <w:ilvl w:val="0"/>
          <w:numId w:val="44"/>
        </w:numPr>
        <w:ind w:firstLine="632"/>
      </w:pPr>
      <w:r>
        <w:rPr>
          <w:rFonts w:hint="eastAsia"/>
        </w:rPr>
        <w:t>组织指挥。县防指及时派出工作组、专家组赴一线督促指导防汛抗旱救灾工作。县防指常务副总指挥（或县防指总指挥安排的其他副总指挥）坐镇县水务局指挥。</w:t>
      </w:r>
    </w:p>
    <w:p w14:paraId="50982E97">
      <w:pPr>
        <w:numPr>
          <w:ilvl w:val="0"/>
          <w:numId w:val="44"/>
        </w:numPr>
        <w:ind w:firstLine="632"/>
      </w:pPr>
      <w:r>
        <w:rPr>
          <w:rFonts w:hint="eastAsia"/>
        </w:rPr>
        <w:t>应急工作组。视情启动部分应急工作组。县防指成员单位各司其职，全力开展抗灾救灾工作。</w:t>
      </w:r>
    </w:p>
    <w:p w14:paraId="1DC44BCE">
      <w:pPr>
        <w:numPr>
          <w:ilvl w:val="0"/>
          <w:numId w:val="44"/>
        </w:numPr>
        <w:ind w:firstLine="632"/>
      </w:pPr>
      <w:r>
        <w:rPr>
          <w:rFonts w:hint="eastAsia"/>
        </w:rPr>
        <w:t>信息报送。县防办迅速将应急响应启动及防汛救灾等情况报告市防汛抗旱指挥部办公室、县委、县政府，并通报县防指各成员单位。县防指各成员单位及时向县防办报送本部门相关工作情况。</w:t>
      </w:r>
    </w:p>
    <w:p w14:paraId="5B506EA4">
      <w:pPr>
        <w:numPr>
          <w:ilvl w:val="0"/>
          <w:numId w:val="44"/>
        </w:numPr>
        <w:ind w:firstLine="632"/>
      </w:pPr>
      <w:r>
        <w:rPr>
          <w:rFonts w:hint="eastAsia"/>
        </w:rPr>
        <w:t>值班值守。县防指强化值班，加强协调、督导事关全局的防汛调度，并与相关区域加强视频会商，及时作出针对性安排布置。县防指各成员及联络员保持通信畅通，相关成员单位派员到县水务局值班，负责协调、处理、报告本单位相关工作舆论宣传。县防指根据需要及时发布相关信息，相关成员单位协调指导媒体做好防汛救灾工作报道，加强舆论引导工作。</w:t>
      </w:r>
    </w:p>
    <w:p w14:paraId="010B65BB">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 xml:space="preserve">各成员单位响应行动 </w:t>
      </w:r>
    </w:p>
    <w:p w14:paraId="3268425A">
      <w:pPr>
        <w:numPr>
          <w:ilvl w:val="0"/>
          <w:numId w:val="45"/>
        </w:numPr>
        <w:ind w:firstLineChars="0"/>
      </w:pPr>
      <w:r>
        <w:rPr>
          <w:rFonts w:hint="eastAsia"/>
        </w:rPr>
        <w:t>县委宣传部</w:t>
      </w:r>
      <w:r>
        <w:t>：协调全</w:t>
      </w:r>
      <w:r>
        <w:rPr>
          <w:rFonts w:hint="eastAsia"/>
        </w:rPr>
        <w:t>县</w:t>
      </w:r>
      <w:r>
        <w:t xml:space="preserve">广播、电视、互联网、报刊等媒体及时发布预警预报和抢险救灾信息，密切关注舆情信息，做好舆论引导。 </w:t>
      </w:r>
    </w:p>
    <w:p w14:paraId="304B81D0">
      <w:pPr>
        <w:numPr>
          <w:ilvl w:val="0"/>
          <w:numId w:val="45"/>
        </w:numPr>
        <w:ind w:firstLineChars="0"/>
      </w:pPr>
      <w:r>
        <w:rPr>
          <w:rFonts w:hint="eastAsia"/>
        </w:rPr>
        <w:t>县气象局</w:t>
      </w:r>
      <w:r>
        <w:t>：加强气象监测预报，分析气象发展趋势，动态更新预报预警，及时向社会公众、媒体以及其他预警信息发布平台滚动发布重要天气形势、</w:t>
      </w:r>
      <w:r>
        <w:rPr>
          <w:rFonts w:hint="eastAsia"/>
        </w:rPr>
        <w:t>防御指南</w:t>
      </w:r>
      <w:r>
        <w:t xml:space="preserve">及相关科普信息。 </w:t>
      </w:r>
    </w:p>
    <w:p w14:paraId="0F1B222C">
      <w:pPr>
        <w:numPr>
          <w:ilvl w:val="0"/>
          <w:numId w:val="45"/>
        </w:numPr>
        <w:ind w:firstLineChars="0"/>
      </w:pPr>
      <w:r>
        <w:rPr>
          <w:rFonts w:hint="eastAsia"/>
        </w:rPr>
        <w:t>集贤水文站</w:t>
      </w:r>
      <w:r>
        <w:t>：加强江河水情监测和分析会商，及时分析预测江河洪水发展趋势并报告</w:t>
      </w:r>
      <w:r>
        <w:rPr>
          <w:rFonts w:hint="eastAsia"/>
        </w:rPr>
        <w:t>县</w:t>
      </w:r>
      <w:r>
        <w:t xml:space="preserve">防指。 </w:t>
      </w:r>
    </w:p>
    <w:p w14:paraId="4182E212">
      <w:pPr>
        <w:numPr>
          <w:ilvl w:val="0"/>
          <w:numId w:val="45"/>
        </w:numPr>
        <w:ind w:firstLineChars="0"/>
      </w:pPr>
      <w:r>
        <w:rPr>
          <w:rFonts w:hint="eastAsia"/>
        </w:rPr>
        <w:t>县水务局</w:t>
      </w:r>
      <w:r>
        <w:t xml:space="preserve">：加密会商研判，开展水情、工情、险情监测预警，及时发布中小河流洪水、山洪灾害预警信息，提出受山洪和洪水威胁的群众转移范围，以及堤防险工险段力量、物资预置意见；根据江河洪水趋势，科学组织调度防洪工程，向重点地区派出防汛专家组，协助受灾地区开展水库、河道和堤防、在建水利工程等重点部位巡查排险。 </w:t>
      </w:r>
    </w:p>
    <w:p w14:paraId="6C541C97">
      <w:pPr>
        <w:numPr>
          <w:ilvl w:val="0"/>
          <w:numId w:val="45"/>
        </w:numPr>
        <w:ind w:firstLineChars="0"/>
      </w:pPr>
      <w:r>
        <w:rPr>
          <w:rFonts w:hint="eastAsia"/>
        </w:rPr>
        <w:t>县应急管理局</w:t>
      </w:r>
      <w:r>
        <w:t>：密切关注雨情、水情、工情信息，做好全</w:t>
      </w:r>
      <w:r>
        <w:rPr>
          <w:rFonts w:hint="eastAsia"/>
        </w:rPr>
        <w:t>县</w:t>
      </w:r>
      <w:r>
        <w:t>防汛工作统筹协调和灾情统计；督促检查应急值守、监测预警、巡查防守、抢险救灾等措施落实情况；组织协调全</w:t>
      </w:r>
      <w:r>
        <w:rPr>
          <w:rFonts w:hint="eastAsia"/>
        </w:rPr>
        <w:t>县</w:t>
      </w:r>
      <w:r>
        <w:t xml:space="preserve">抢险救援力量，做好应急抢险救援队伍和抢险救灾物资调配，指导做好灾民安置、救助；督促管辖范围内的非煤矿山做好重点部位巡查，发现险情及时排险，无法排险的要立即采取应对措施，同时按规定上报。 </w:t>
      </w:r>
    </w:p>
    <w:p w14:paraId="01DCAA52">
      <w:pPr>
        <w:numPr>
          <w:ilvl w:val="0"/>
          <w:numId w:val="45"/>
        </w:numPr>
        <w:ind w:firstLineChars="0"/>
      </w:pPr>
      <w:r>
        <w:rPr>
          <w:rFonts w:hint="eastAsia"/>
        </w:rPr>
        <w:t>县住房和城乡建设局</w:t>
      </w:r>
      <w:r>
        <w:t>：组织开展在建工地安全检查，视情暂停作业，加强施工区安全管理，加固或拆除有危险的建设施工设施等，疏散、撤离危险区域人员；督促检查开展低洼易涝区内涝积水抽排，开展城区防涝排涝工作</w:t>
      </w:r>
      <w:r>
        <w:rPr>
          <w:rFonts w:hint="eastAsia"/>
        </w:rPr>
        <w:t>；</w:t>
      </w:r>
      <w:r>
        <w:t>加派力量开展城区管辖范围内排水管网、泵站隐患排查，组织抢修受损设施，保障相关设施正常运行；加强应急排水力量，在易积水区域安排人员、设备定点值守，及时排除积水；组织人员在积涝现场值守、警戒，疏通排水管网，做好应急处置工作；对所辖供水管线、水源地、加压站等进行巡查，一旦发生险情，及时处置，保障</w:t>
      </w:r>
      <w:r>
        <w:rPr>
          <w:rFonts w:hint="eastAsia"/>
        </w:rPr>
        <w:t>城镇供水系统</w:t>
      </w:r>
      <w:r>
        <w:t xml:space="preserve">正常运行；组织老旧小区、重点区域的抽查排查，在危险区域设立警示标志，安排人员对隐患区域定点值守；督促物业管理机构加强巡查，落实地下车库等低洼易涝区域防洪排涝人员和物资设备；督促燃气行业加强巡检，及时投入抢险、抢修。 </w:t>
      </w:r>
    </w:p>
    <w:p w14:paraId="4A8C1C16">
      <w:pPr>
        <w:numPr>
          <w:ilvl w:val="0"/>
          <w:numId w:val="45"/>
        </w:numPr>
        <w:ind w:firstLineChars="0"/>
      </w:pPr>
      <w:r>
        <w:rPr>
          <w:rFonts w:hint="eastAsia"/>
        </w:rPr>
        <w:t>县公安局</w:t>
      </w:r>
      <w:r>
        <w:t xml:space="preserve">：随时准备投入抢险救灾，在灾害重点区域、受灾区或危险区实施交通治安警戒，协助组织受灾区或危险区群众救助或安全转移；依法打击破坏防汛救灾行动和工程设施安全行为，保证救灾工作顺利进行；加强道路巡查，维护交通秩序，开展交通引导，对涉水被困车辆及人员实行紧急救援；在重点区 域和灾区增加警力，实现道路交通事故快速处置，确保抢救现场和灾区交通通畅，保障运输抢险队伍和物资车辆优先快速通行。 </w:t>
      </w:r>
    </w:p>
    <w:p w14:paraId="6EF1415D">
      <w:pPr>
        <w:numPr>
          <w:ilvl w:val="0"/>
          <w:numId w:val="45"/>
        </w:numPr>
        <w:ind w:firstLineChars="0"/>
      </w:pPr>
      <w:r>
        <w:rPr>
          <w:rFonts w:hint="eastAsia"/>
        </w:rPr>
        <w:t>县自然资源局</w:t>
      </w:r>
      <w:r>
        <w:t xml:space="preserve">：加强地质灾害监测预警与信息报送，督促有关地区开展地质灾害隐患排查，落实防御措施，视降雨情况及时发布地质灾害气象风险预警，接到地质灾害险情、灾情报告后迅速组织专家赶赴现场调查，协助灾害地区开展群众撤离转移、抢险救灾等应急处置工作。 </w:t>
      </w:r>
    </w:p>
    <w:p w14:paraId="16ADD87C">
      <w:pPr>
        <w:numPr>
          <w:ilvl w:val="0"/>
          <w:numId w:val="45"/>
        </w:numPr>
        <w:ind w:firstLineChars="0"/>
      </w:pPr>
      <w:r>
        <w:rPr>
          <w:rFonts w:hint="eastAsia"/>
        </w:rPr>
        <w:t>县交通局</w:t>
      </w:r>
      <w:r>
        <w:t>：向全</w:t>
      </w:r>
      <w:r>
        <w:rPr>
          <w:rFonts w:hint="eastAsia"/>
        </w:rPr>
        <w:t>县</w:t>
      </w:r>
      <w:r>
        <w:t xml:space="preserve">所辖交通建设工程和交通运输运营单位转发预警预报和防指指令；督促各单位加强隐患排查，按照预案落实防御措施；组织抢修受灾中断的公路和有关交通设施，调 配运力运送受灾人员、救援人员、救援设备和物资等；督促道路交通等运输机构视情况调整或取消车次，将相关信息及时通过新闻媒体、电子显示屏等告知公众，并妥善安置滞留人员。 </w:t>
      </w:r>
    </w:p>
    <w:p w14:paraId="74FAAAF7">
      <w:pPr>
        <w:numPr>
          <w:ilvl w:val="0"/>
          <w:numId w:val="45"/>
        </w:numPr>
        <w:ind w:firstLineChars="0"/>
      </w:pPr>
      <w:r>
        <w:rPr>
          <w:rFonts w:hint="eastAsia"/>
        </w:rPr>
        <w:t>县城市管理局</w:t>
      </w:r>
      <w:r>
        <w:t xml:space="preserve">：督促加派力量开展路灯、户外广告牌等设施巡查，发现问题及时整治，必要时关闭水淹和低洼路段路灯电源，在危险区域设置警戒线或警示牌，安排专人守护；加固市政区域树木、设施，及时清除影响安全的树木、设施等；督促环卫作业单位及时清理路边排水口，清除路面垃圾等杂物等以便顺畅排水； </w:t>
      </w:r>
    </w:p>
    <w:p w14:paraId="7D6F88AB">
      <w:pPr>
        <w:numPr>
          <w:ilvl w:val="0"/>
          <w:numId w:val="45"/>
        </w:numPr>
        <w:ind w:firstLineChars="0"/>
      </w:pPr>
      <w:r>
        <w:rPr>
          <w:rFonts w:hint="eastAsia"/>
        </w:rPr>
        <w:t>县工信科局</w:t>
      </w:r>
      <w:r>
        <w:t>：协调移动、联通、电信</w:t>
      </w:r>
      <w:r>
        <w:rPr>
          <w:rFonts w:hint="eastAsia"/>
        </w:rPr>
        <w:t>、铁塔集贤县办事处</w:t>
      </w:r>
      <w:r>
        <w:t xml:space="preserve">等单位，对相关通信线路、基站设施设备进行巡检，消除隐患，做好应急响应期间通信保障。 </w:t>
      </w:r>
    </w:p>
    <w:p w14:paraId="47D3DF56">
      <w:pPr>
        <w:numPr>
          <w:ilvl w:val="0"/>
          <w:numId w:val="45"/>
        </w:numPr>
        <w:ind w:firstLineChars="0"/>
      </w:pPr>
      <w:r>
        <w:rPr>
          <w:rFonts w:hint="eastAsia"/>
        </w:rPr>
        <w:t>县教育和体育局</w:t>
      </w:r>
      <w:r>
        <w:t xml:space="preserve">：督促相关地区中小学、幼儿园加强安全隐患排查，视情落实停课措施，保障在校学生安全。 </w:t>
      </w:r>
    </w:p>
    <w:p w14:paraId="7799E4FC">
      <w:pPr>
        <w:numPr>
          <w:ilvl w:val="0"/>
          <w:numId w:val="45"/>
        </w:numPr>
        <w:ind w:firstLineChars="0"/>
      </w:pPr>
      <w:r>
        <w:rPr>
          <w:rFonts w:hint="eastAsia"/>
        </w:rPr>
        <w:t>县农业农村局</w:t>
      </w:r>
      <w:r>
        <w:t xml:space="preserve">：及时掌握农业受灾情况，做好农业救灾、恢复生产和灾区动物防疫工作。 </w:t>
      </w:r>
    </w:p>
    <w:p w14:paraId="33D48F83">
      <w:pPr>
        <w:numPr>
          <w:ilvl w:val="0"/>
          <w:numId w:val="45"/>
        </w:numPr>
        <w:ind w:firstLineChars="0"/>
      </w:pPr>
      <w:r>
        <w:rPr>
          <w:rFonts w:hint="eastAsia"/>
        </w:rPr>
        <w:t>县国动办</w:t>
      </w:r>
      <w:r>
        <w:t>：做好人防工程防倒灌工作，督促指导各</w:t>
      </w:r>
      <w:r>
        <w:rPr>
          <w:rFonts w:hint="eastAsia"/>
        </w:rPr>
        <w:t>乡镇</w:t>
      </w:r>
      <w:r>
        <w:t xml:space="preserve">做好人防工程防汛抗洪工作。 </w:t>
      </w:r>
    </w:p>
    <w:p w14:paraId="3D966A5F">
      <w:pPr>
        <w:numPr>
          <w:ilvl w:val="0"/>
          <w:numId w:val="45"/>
        </w:numPr>
        <w:ind w:firstLineChars="0"/>
      </w:pPr>
      <w:r>
        <w:rPr>
          <w:rFonts w:hint="eastAsia"/>
        </w:rPr>
        <w:t>国网集贤供电公司</w:t>
      </w:r>
      <w:r>
        <w:t xml:space="preserve">：加强所辖电力设施设备巡查检查，加派力量组织抢修受损毁的设施，在危险区域放置警示标志，保障相关设施正常运行，保障抢险救灾等方面的供电和应急救援现场的临时供电。 </w:t>
      </w:r>
    </w:p>
    <w:p w14:paraId="36F6356E">
      <w:pPr>
        <w:numPr>
          <w:ilvl w:val="0"/>
          <w:numId w:val="45"/>
        </w:numPr>
        <w:ind w:firstLineChars="0"/>
      </w:pPr>
      <w:r>
        <w:rPr>
          <w:rFonts w:hint="eastAsia"/>
        </w:rPr>
        <w:t>县</w:t>
      </w:r>
      <w:r>
        <w:t>消防救援支队、</w:t>
      </w:r>
      <w:r>
        <w:rPr>
          <w:rFonts w:hint="eastAsia"/>
        </w:rPr>
        <w:t>县森林消防大队</w:t>
      </w:r>
      <w:r>
        <w:t xml:space="preserve">：加强值班备勤，随时做好遂行任务准备。根据需要和指令靠前部署，依令协助灾害发生地区开展抢险救援、转移安置等应急工作。 </w:t>
      </w:r>
    </w:p>
    <w:p w14:paraId="203E3A54">
      <w:pPr>
        <w:numPr>
          <w:ilvl w:val="0"/>
          <w:numId w:val="45"/>
        </w:numPr>
        <w:ind w:firstLineChars="0"/>
      </w:pPr>
      <w:r>
        <w:t>其他成员单位：加强值班，按职责开展相应工作。</w:t>
      </w:r>
    </w:p>
    <w:p w14:paraId="5F7436E5">
      <w:pPr>
        <w:numPr>
          <w:ilvl w:val="0"/>
          <w:numId w:val="45"/>
        </w:numPr>
        <w:ind w:firstLineChars="0"/>
      </w:pPr>
      <w:r>
        <w:t>相关</w:t>
      </w:r>
      <w:r>
        <w:rPr>
          <w:rFonts w:hint="eastAsia"/>
        </w:rPr>
        <w:t>乡镇</w:t>
      </w:r>
      <w:r>
        <w:t>：防指负责同志主持会商，安排具体防汛抢险救灾工作，组织开展抗洪抢险，对受威胁区域人员实施转移安置；每日将防汛抢险救灾情况报至</w:t>
      </w:r>
      <w:r>
        <w:rPr>
          <w:rFonts w:hint="eastAsia"/>
        </w:rPr>
        <w:t>县防办</w:t>
      </w:r>
      <w:r>
        <w:t xml:space="preserve">，如遇重大突发性险情灾情和重大防汛工作部署第一时间报告。 </w:t>
      </w:r>
    </w:p>
    <w:p w14:paraId="0441B842">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响应终止</w:t>
      </w:r>
    </w:p>
    <w:p w14:paraId="4745B479">
      <w:pPr>
        <w:ind w:firstLine="632"/>
      </w:pPr>
      <w:r>
        <w:rPr>
          <w:rFonts w:hint="eastAsia"/>
        </w:rPr>
        <w:t>当灾害已经或趋于结束时，由县防办提出响应终止建议，县防指常务副总指挥批准。响应结束后，有关部门和单位按职责分工，核实灾害损失和人员伤亡情况，并协助指导受灾地区做好灾后恢复重建工作。</w:t>
      </w:r>
    </w:p>
    <w:p w14:paraId="7509D570">
      <w:pPr>
        <w:pStyle w:val="3"/>
      </w:pPr>
      <w:bookmarkStart w:id="254" w:name="_Toc6747"/>
      <w:r>
        <w:rPr>
          <w:rFonts w:hint="eastAsia"/>
        </w:rPr>
        <w:t>Ⅱ</w:t>
      </w:r>
      <w:r>
        <w:t>级响应</w:t>
      </w:r>
      <w:bookmarkEnd w:id="254"/>
      <w:r>
        <w:t xml:space="preserve"> </w:t>
      </w:r>
    </w:p>
    <w:p w14:paraId="0C104B6B">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 xml:space="preserve">启动条件 </w:t>
      </w:r>
    </w:p>
    <w:p w14:paraId="2A505904">
      <w:pPr>
        <w:ind w:firstLine="632"/>
      </w:pPr>
      <w:r>
        <w:t>当发生或预计发生符合下列条件之一的，经会商研判后启动</w:t>
      </w:r>
      <w:r>
        <w:rPr>
          <w:rFonts w:hint="eastAsia"/>
        </w:rPr>
        <w:t>Ⅱ</w:t>
      </w:r>
      <w:r>
        <w:t xml:space="preserve">级响应： </w:t>
      </w:r>
    </w:p>
    <w:p w14:paraId="7B8B77F2">
      <w:pPr>
        <w:numPr>
          <w:ilvl w:val="0"/>
          <w:numId w:val="46"/>
        </w:numPr>
        <w:ind w:firstLineChars="0"/>
      </w:pPr>
      <w:r>
        <w:rPr>
          <w:rFonts w:hint="eastAsia"/>
        </w:rPr>
        <w:t>暴雨预警：县气象局发布橙色预警、连续2天发布黄色预警、连续2次发布橙色预警信号（满足其一），根据县防指会商结果启动；</w:t>
      </w:r>
    </w:p>
    <w:p w14:paraId="06475136">
      <w:pPr>
        <w:numPr>
          <w:ilvl w:val="0"/>
          <w:numId w:val="46"/>
        </w:numPr>
        <w:ind w:firstLineChars="0"/>
      </w:pPr>
      <w:r>
        <w:rPr>
          <w:rFonts w:hint="eastAsia"/>
        </w:rPr>
        <w:t>江河洪水：蚂蚁河发生大洪水；预报河流可能发生超过保证水位的凌汛洪水，堤防、江岸可能发生漫堤（岸）；</w:t>
      </w:r>
    </w:p>
    <w:p w14:paraId="1EDCF382">
      <w:pPr>
        <w:numPr>
          <w:ilvl w:val="0"/>
          <w:numId w:val="46"/>
        </w:numPr>
        <w:ind w:firstLineChars="0"/>
      </w:pPr>
      <w:r>
        <w:rPr>
          <w:rFonts w:hint="eastAsia"/>
        </w:rPr>
        <w:t>城市内涝：县城或1个乡镇场镇道路部分积水深度在1米以上；县城大面积停电停水停气、交通中断或瘫痪，县城或乡镇场镇运行受到较严重影响；</w:t>
      </w:r>
    </w:p>
    <w:p w14:paraId="690DABA0">
      <w:pPr>
        <w:numPr>
          <w:ilvl w:val="0"/>
          <w:numId w:val="46"/>
        </w:numPr>
        <w:ind w:firstLineChars="0"/>
      </w:pPr>
      <w:r>
        <w:rPr>
          <w:rFonts w:hint="eastAsia"/>
        </w:rPr>
        <w:t>堤防：蚂蚁河干流集贤县城区河段发生决口；</w:t>
      </w:r>
    </w:p>
    <w:p w14:paraId="0169C787">
      <w:pPr>
        <w:numPr>
          <w:ilvl w:val="0"/>
          <w:numId w:val="46"/>
        </w:numPr>
        <w:ind w:firstLineChars="0"/>
      </w:pPr>
      <w:r>
        <w:rPr>
          <w:rFonts w:hint="eastAsia"/>
        </w:rPr>
        <w:t>水库：1座及以上一般中型水库、重点小型水库可能发生垮坝；</w:t>
      </w:r>
    </w:p>
    <w:p w14:paraId="394E7106">
      <w:pPr>
        <w:numPr>
          <w:ilvl w:val="0"/>
          <w:numId w:val="46"/>
        </w:numPr>
        <w:ind w:firstLineChars="0"/>
      </w:pPr>
      <w:r>
        <w:rPr>
          <w:rFonts w:hint="eastAsia"/>
        </w:rPr>
        <w:t>其他：其他需要启动Ⅱ级响应的情况。</w:t>
      </w:r>
    </w:p>
    <w:p w14:paraId="52EF0B1D">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响应行动</w:t>
      </w:r>
    </w:p>
    <w:p w14:paraId="2EF7F132">
      <w:pPr>
        <w:numPr>
          <w:ilvl w:val="0"/>
          <w:numId w:val="47"/>
        </w:numPr>
        <w:ind w:firstLineChars="0"/>
      </w:pPr>
      <w:r>
        <w:rPr>
          <w:rFonts w:hint="eastAsia"/>
        </w:rPr>
        <w:t>安排部署。县防指总指挥组织指挥全县洪水灾害应对处置工作。根据需要，主持召开会商调度会，了解掌握汛情、险情、旱情、灾情及重要工情等信息，研判防汛形势，部署各地及成员单位做好防汛救灾有关工作。</w:t>
      </w:r>
    </w:p>
    <w:p w14:paraId="41AAF4A0">
      <w:pPr>
        <w:numPr>
          <w:ilvl w:val="0"/>
          <w:numId w:val="47"/>
        </w:numPr>
        <w:ind w:firstLineChars="0"/>
      </w:pPr>
      <w:r>
        <w:rPr>
          <w:rFonts w:hint="eastAsia"/>
        </w:rPr>
        <w:t>组织指挥。按照县防指总指挥安排，常务副总指挥（或县防指总指挥安排的其他县领导）带领工作组赶赴灾害现场靠前指挥，视情与受灾乡镇、村屯组建前线指挥部。多地受灾特别严重时，成立前线分指挥部。明确一名副总指挥（或县防指总指挥安排的其他县领导）坐镇县应急管理局指挥中心指挥。</w:t>
      </w:r>
    </w:p>
    <w:p w14:paraId="360BA341">
      <w:pPr>
        <w:numPr>
          <w:ilvl w:val="0"/>
          <w:numId w:val="47"/>
        </w:numPr>
        <w:ind w:firstLineChars="0"/>
      </w:pPr>
      <w:r>
        <w:rPr>
          <w:rFonts w:hint="eastAsia"/>
        </w:rPr>
        <w:t>应急工作组。县防指启动全部应急工作组，按职责全力开展抢险救援、技术保障、通信电力交通保障、灾情评估、群众安置、医疗救治、社会治安等防汛抗旱抢险救灾工作。</w:t>
      </w:r>
    </w:p>
    <w:p w14:paraId="63AAF80E">
      <w:pPr>
        <w:numPr>
          <w:ilvl w:val="0"/>
          <w:numId w:val="47"/>
        </w:numPr>
        <w:ind w:firstLineChars="0"/>
      </w:pPr>
      <w:r>
        <w:rPr>
          <w:rFonts w:hint="eastAsia"/>
        </w:rPr>
        <w:t>信息报送。县防指迅速将应急响应启动及防汛救灾等情况报告市防汛抗旱指挥部、县委、县政府，并通报县防指各成员单位。</w:t>
      </w:r>
    </w:p>
    <w:p w14:paraId="0ECDE512">
      <w:pPr>
        <w:numPr>
          <w:ilvl w:val="0"/>
          <w:numId w:val="47"/>
        </w:numPr>
        <w:ind w:firstLineChars="0"/>
      </w:pPr>
      <w:r>
        <w:rPr>
          <w:rFonts w:hint="eastAsia"/>
        </w:rPr>
        <w:t>值班值守。县防指强化值班，加强协调、督导事关全局的防汛调度，并与相关区域加强视频会商，及时作出针对性安排布置。县防指各成员及联络员保持通信畅通，相关成员单位派员到县应急管理局值班，负责协调、处理、报告本单位相关工作。</w:t>
      </w:r>
    </w:p>
    <w:p w14:paraId="2939FBDA">
      <w:pPr>
        <w:numPr>
          <w:ilvl w:val="0"/>
          <w:numId w:val="47"/>
        </w:numPr>
        <w:ind w:firstLineChars="0"/>
      </w:pPr>
      <w:r>
        <w:rPr>
          <w:rFonts w:hint="eastAsia"/>
        </w:rPr>
        <w:t>舆论宣传。组织新闻媒体及时播报发布暴雨、洪水和指挥部公告等信息。视情组织协调新闻媒体赴灾区有序采访防汛抗旱救灾工作，并做好正面宣传报道，正向引导舆论。县防指收集舆情信息，适时召开新闻发布会，回应关切。</w:t>
      </w:r>
    </w:p>
    <w:p w14:paraId="52CD0342">
      <w:pPr>
        <w:numPr>
          <w:ilvl w:val="0"/>
          <w:numId w:val="47"/>
        </w:numPr>
        <w:ind w:firstLineChars="0"/>
      </w:pPr>
      <w:r>
        <w:rPr>
          <w:rFonts w:hint="eastAsia"/>
        </w:rPr>
        <w:t>社会动员。动员社会各方面力量参与防汛救灾，引导群众开展自救互救工作。建议市民尽量减少外出，及时采取避险防范措施。在紧急情况下，按照《中华人民共和国防洪法》《中华人民共和国防洪条例》等有关规定宣布进入紧急防汛期或紧急抗旱期，并行使相关权力、采取特殊措施，保障防汛抗旱工作顺利实施。</w:t>
      </w:r>
    </w:p>
    <w:p w14:paraId="7C5B2EB9">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 xml:space="preserve">各成员单位响应行动 </w:t>
      </w:r>
    </w:p>
    <w:p w14:paraId="3F2B0990">
      <w:pPr>
        <w:numPr>
          <w:ilvl w:val="0"/>
          <w:numId w:val="48"/>
        </w:numPr>
        <w:ind w:firstLineChars="0"/>
      </w:pPr>
      <w:r>
        <w:rPr>
          <w:rFonts w:hint="eastAsia"/>
        </w:rPr>
        <w:t>县委宣传部</w:t>
      </w:r>
      <w:r>
        <w:t>：协调全</w:t>
      </w:r>
      <w:r>
        <w:rPr>
          <w:rFonts w:hint="eastAsia"/>
        </w:rPr>
        <w:t>县</w:t>
      </w:r>
      <w:r>
        <w:t xml:space="preserve">广播、电视、互联网、报刊等媒体重点做好避难避险指引、预警预报、防汛动员、防御措施以及抢险救灾等方面的宣传报道；加密暴雨红色预警信号播报频次，做好舆论引导。 </w:t>
      </w:r>
    </w:p>
    <w:p w14:paraId="6FB8580B">
      <w:pPr>
        <w:numPr>
          <w:ilvl w:val="0"/>
          <w:numId w:val="48"/>
        </w:numPr>
        <w:ind w:firstLineChars="0"/>
      </w:pPr>
      <w:r>
        <w:rPr>
          <w:rFonts w:hint="eastAsia"/>
        </w:rPr>
        <w:t>县气象局</w:t>
      </w:r>
      <w:r>
        <w:t>：加密雨情监测预报，每小时向各级防指和</w:t>
      </w:r>
      <w:r>
        <w:rPr>
          <w:rFonts w:hint="eastAsia"/>
        </w:rPr>
        <w:t>县</w:t>
      </w:r>
      <w:r>
        <w:t xml:space="preserve">防指成员单位报送监测预报结果。 </w:t>
      </w:r>
    </w:p>
    <w:p w14:paraId="44FA20E8">
      <w:pPr>
        <w:numPr>
          <w:ilvl w:val="0"/>
          <w:numId w:val="48"/>
        </w:numPr>
        <w:ind w:firstLineChars="0"/>
      </w:pPr>
      <w:r>
        <w:rPr>
          <w:rFonts w:hint="eastAsia"/>
        </w:rPr>
        <w:t>集贤水文站</w:t>
      </w:r>
      <w:r>
        <w:t xml:space="preserve">：加密江河水情监测，每小时报告江河洪水监测结果，预测分析洪水发展趋势。 </w:t>
      </w:r>
    </w:p>
    <w:p w14:paraId="624B1824">
      <w:pPr>
        <w:numPr>
          <w:ilvl w:val="0"/>
          <w:numId w:val="48"/>
        </w:numPr>
        <w:ind w:firstLineChars="0"/>
      </w:pPr>
      <w:r>
        <w:rPr>
          <w:rFonts w:hint="eastAsia"/>
        </w:rPr>
        <w:t>县水务局</w:t>
      </w:r>
      <w:r>
        <w:t xml:space="preserve">：加密水库、河道、堤防等水利工程及山洪灾害监测，及时评估水库、河道来水风险，组织实施防洪调度；根据汛情发展及时调整发布洪水预警、山洪风险预警等级，指导属地政府科学调度洪水，加强重点防洪工程监控、防护和调度，掌握工程运行状况；指导重点防洪流域属地政府和相关单位开展水利工程巡堤查险及险情处置，提供防洪工程抢险技术指导。 </w:t>
      </w:r>
    </w:p>
    <w:p w14:paraId="0D7A6023">
      <w:pPr>
        <w:numPr>
          <w:ilvl w:val="0"/>
          <w:numId w:val="48"/>
        </w:numPr>
        <w:ind w:firstLineChars="0"/>
      </w:pPr>
      <w:r>
        <w:rPr>
          <w:rFonts w:hint="eastAsia"/>
        </w:rPr>
        <w:t>县应急管理局</w:t>
      </w:r>
      <w:r>
        <w:t>：协助</w:t>
      </w:r>
      <w:r>
        <w:rPr>
          <w:rFonts w:hint="eastAsia"/>
        </w:rPr>
        <w:t>县</w:t>
      </w:r>
      <w:r>
        <w:t>防指做好信息的上传下达，及时向有关</w:t>
      </w:r>
      <w:r>
        <w:rPr>
          <w:rFonts w:hint="eastAsia"/>
        </w:rPr>
        <w:t>单位</w:t>
      </w:r>
      <w:r>
        <w:t>传达省市领导防灾减灾指示、批示精神，收集、核实有关灾情，并及时向</w:t>
      </w:r>
      <w:r>
        <w:rPr>
          <w:rFonts w:hint="eastAsia"/>
        </w:rPr>
        <w:t>县</w:t>
      </w:r>
      <w:r>
        <w:t>防指汇报。组织协调全</w:t>
      </w:r>
      <w:r>
        <w:rPr>
          <w:rFonts w:hint="eastAsia"/>
        </w:rPr>
        <w:t>县</w:t>
      </w:r>
      <w:r>
        <w:t xml:space="preserve">抢险救援力量，协助地方政府开展抢险救援行动，调配应急抢险物资装备，指导受灾地区做好灾民安置和生活救助。做好暴雨引发的生产安全事故信息收集报告，组织协调生产安全事故应急处置工作。 </w:t>
      </w:r>
    </w:p>
    <w:p w14:paraId="1ECB3F89">
      <w:pPr>
        <w:numPr>
          <w:ilvl w:val="0"/>
          <w:numId w:val="48"/>
        </w:numPr>
        <w:ind w:firstLineChars="0"/>
      </w:pPr>
      <w:r>
        <w:rPr>
          <w:rFonts w:hint="eastAsia"/>
        </w:rPr>
        <w:t>县住房和城乡建设局</w:t>
      </w:r>
      <w:r>
        <w:t>：督促在建工程加强安全检查和加固工作，组织协调在建工地抢险救灾；做好</w:t>
      </w:r>
      <w:r>
        <w:rPr>
          <w:rFonts w:hint="eastAsia"/>
        </w:rPr>
        <w:t>城镇防洪防涝</w:t>
      </w:r>
      <w:r>
        <w:t>和抢险救灾工作</w:t>
      </w:r>
      <w:r>
        <w:rPr>
          <w:rFonts w:hint="eastAsia"/>
        </w:rPr>
        <w:t>，</w:t>
      </w:r>
      <w:r>
        <w:t>开展城区管辖范围内积涝区域抽排水，组织人员在积涝现场值守、警戒，疏通排水管网；加强所辖供水管线、水源地、加压站等巡查，及时处置突发险情，保障</w:t>
      </w:r>
      <w:r>
        <w:rPr>
          <w:rFonts w:hint="eastAsia"/>
        </w:rPr>
        <w:t>城镇供水系统</w:t>
      </w:r>
      <w:r>
        <w:t>正常运行</w:t>
      </w:r>
      <w:r>
        <w:rPr>
          <w:rFonts w:hint="eastAsia"/>
        </w:rPr>
        <w:t>；</w:t>
      </w:r>
      <w:r>
        <w:t xml:space="preserve">做好洪涝损毁住房的恢复重建工作；督促物业管理机构落实地下停车场等低洼易涝区域的防洪防涝措施；督促燃气行业加强巡检，及时投入抢险救援。 </w:t>
      </w:r>
    </w:p>
    <w:p w14:paraId="4A541B52">
      <w:pPr>
        <w:numPr>
          <w:ilvl w:val="0"/>
          <w:numId w:val="48"/>
        </w:numPr>
        <w:ind w:firstLineChars="0"/>
      </w:pPr>
      <w:r>
        <w:rPr>
          <w:rFonts w:hint="eastAsia"/>
        </w:rPr>
        <w:t>县公安局</w:t>
      </w:r>
      <w:r>
        <w:t>：在灾害重点区域、受灾区或危险区实施治安管理，维护区域治安秩序，协助开展抢险救灾工作；负责组织实施分洪爆破方案，做好防汛抢险、分洪爆破时的戒严、警卫工作；加强道路巡查，维护交通秩序，保障全</w:t>
      </w:r>
      <w:r>
        <w:rPr>
          <w:rFonts w:hint="eastAsia"/>
        </w:rPr>
        <w:t>县</w:t>
      </w:r>
      <w:r>
        <w:t xml:space="preserve">道路正常运行，确保抢救现场和灾区的交通通畅，保障运输抢险队伍和物资车辆优先快速通行。 </w:t>
      </w:r>
    </w:p>
    <w:p w14:paraId="13FE8902">
      <w:pPr>
        <w:numPr>
          <w:ilvl w:val="0"/>
          <w:numId w:val="48"/>
        </w:numPr>
        <w:ind w:firstLineChars="0"/>
      </w:pPr>
      <w:r>
        <w:rPr>
          <w:rFonts w:hint="eastAsia"/>
        </w:rPr>
        <w:t>县自然资源局</w:t>
      </w:r>
      <w:r>
        <w:t>：加密地质灾害监测预警与信息报送，督促有关</w:t>
      </w:r>
      <w:r>
        <w:rPr>
          <w:rFonts w:hint="eastAsia"/>
        </w:rPr>
        <w:t>乡镇</w:t>
      </w:r>
      <w:r>
        <w:t>开展地质灾害隐患排查，落实防御措施，视降雨情况及时发布地质灾害气象风险预警，接到地质灾害险情、灾情报告后迅速组织专家赶赴现场调查，提供技术支撑，协助灾害</w:t>
      </w:r>
      <w:r>
        <w:rPr>
          <w:rFonts w:hint="eastAsia"/>
        </w:rPr>
        <w:t>乡镇</w:t>
      </w:r>
      <w:r>
        <w:t xml:space="preserve">开展群众撤离转移、抢险救灾等应急处置工作。 </w:t>
      </w:r>
    </w:p>
    <w:p w14:paraId="4B34B9A2">
      <w:pPr>
        <w:numPr>
          <w:ilvl w:val="0"/>
          <w:numId w:val="48"/>
        </w:numPr>
        <w:ind w:firstLineChars="0"/>
      </w:pPr>
      <w:r>
        <w:rPr>
          <w:rFonts w:hint="eastAsia"/>
        </w:rPr>
        <w:t>县交通局</w:t>
      </w:r>
      <w:r>
        <w:t>：向全</w:t>
      </w:r>
      <w:r>
        <w:rPr>
          <w:rFonts w:hint="eastAsia"/>
        </w:rPr>
        <w:t>县</w:t>
      </w:r>
      <w:r>
        <w:t xml:space="preserve">所辖交通建设工程和交通运输运营单位转发预警预报和防指指令，保障交通设施防洪安全，保障抗洪抢险救灾人员和物资设备的紧急运输，保障交通干线和抢险救灾重要线路畅通。督促各单位加强隐患排查，落实防御措施，保护和疏导站台和交通工具滞留乘客，全力开展在建工地和交通场站防洪排涝工作，按照预案和指令关停交通服务。 </w:t>
      </w:r>
    </w:p>
    <w:p w14:paraId="0F3A7E04">
      <w:pPr>
        <w:numPr>
          <w:ilvl w:val="0"/>
          <w:numId w:val="48"/>
        </w:numPr>
        <w:ind w:firstLineChars="0"/>
      </w:pPr>
      <w:r>
        <w:rPr>
          <w:rFonts w:hint="eastAsia"/>
        </w:rPr>
        <w:t>县城市管理局</w:t>
      </w:r>
      <w:r>
        <w:t xml:space="preserve">：负责所辖区域城管防洪排涝设施安全运行。 </w:t>
      </w:r>
    </w:p>
    <w:p w14:paraId="38901A2E">
      <w:pPr>
        <w:numPr>
          <w:ilvl w:val="0"/>
          <w:numId w:val="48"/>
        </w:numPr>
        <w:ind w:firstLineChars="0"/>
      </w:pPr>
      <w:r>
        <w:rPr>
          <w:rFonts w:hint="eastAsia"/>
        </w:rPr>
        <w:t>县工信科局</w:t>
      </w:r>
      <w:r>
        <w:t>：协调移动、联通、电信</w:t>
      </w:r>
      <w:r>
        <w:rPr>
          <w:rFonts w:hint="eastAsia"/>
        </w:rPr>
        <w:t>、铁塔集贤县办事处</w:t>
      </w:r>
      <w:r>
        <w:t xml:space="preserve">等单位，做好防汛通信保障，及时抢修通信设施，保障公众通信网络和抢险救灾应急通信畅通。 </w:t>
      </w:r>
    </w:p>
    <w:p w14:paraId="0289A0C4">
      <w:pPr>
        <w:numPr>
          <w:ilvl w:val="0"/>
          <w:numId w:val="48"/>
        </w:numPr>
        <w:ind w:firstLineChars="0"/>
      </w:pPr>
      <w:r>
        <w:rPr>
          <w:rFonts w:hint="eastAsia"/>
        </w:rPr>
        <w:t>县教育和体育局</w:t>
      </w:r>
      <w:r>
        <w:t xml:space="preserve">：向师生发布预警信息，并做好在校师生的安全管理或安全转移工作。 </w:t>
      </w:r>
    </w:p>
    <w:p w14:paraId="11DBF91C">
      <w:pPr>
        <w:numPr>
          <w:ilvl w:val="0"/>
          <w:numId w:val="48"/>
        </w:numPr>
        <w:ind w:firstLineChars="0"/>
      </w:pPr>
      <w:r>
        <w:rPr>
          <w:rFonts w:hint="eastAsia"/>
        </w:rPr>
        <w:t>县农业农村局</w:t>
      </w:r>
      <w:r>
        <w:t>：掌握全</w:t>
      </w:r>
      <w:r>
        <w:rPr>
          <w:rFonts w:hint="eastAsia"/>
        </w:rPr>
        <w:t>县</w:t>
      </w:r>
      <w:r>
        <w:t xml:space="preserve">农业受灾情况，指导受灾地区做好农田排涝和灾后恢复生产工作。 </w:t>
      </w:r>
    </w:p>
    <w:p w14:paraId="42086C81">
      <w:pPr>
        <w:numPr>
          <w:ilvl w:val="0"/>
          <w:numId w:val="48"/>
        </w:numPr>
        <w:ind w:firstLineChars="0"/>
      </w:pPr>
      <w:r>
        <w:rPr>
          <w:rFonts w:hint="eastAsia"/>
        </w:rPr>
        <w:t>县</w:t>
      </w:r>
      <w:r>
        <w:t>文</w:t>
      </w:r>
      <w:r>
        <w:rPr>
          <w:rFonts w:hint="eastAsia"/>
        </w:rPr>
        <w:t>化</w:t>
      </w:r>
      <w:r>
        <w:t>广</w:t>
      </w:r>
      <w:r>
        <w:rPr>
          <w:rFonts w:hint="eastAsia"/>
        </w:rPr>
        <w:t>电和</w:t>
      </w:r>
      <w:r>
        <w:t xml:space="preserve">旅游局：督导落实山区景区及非山区景区中的普通涉山涉水类景区关闭、民宿和民俗户停业、游客疏导劝返，并做好受威胁游客疏散避险；暂停有组织的户外文旅活动和文化艺术类培训活动，做好相关信息滚动发布工作。 </w:t>
      </w:r>
    </w:p>
    <w:p w14:paraId="38D60D95">
      <w:pPr>
        <w:numPr>
          <w:ilvl w:val="0"/>
          <w:numId w:val="48"/>
        </w:numPr>
        <w:ind w:firstLineChars="0"/>
      </w:pPr>
      <w:r>
        <w:rPr>
          <w:rFonts w:hint="eastAsia"/>
        </w:rPr>
        <w:t>县卫生健康管理局</w:t>
      </w:r>
      <w:r>
        <w:t xml:space="preserve">：及时派出医疗队赶赴灾区，开展医疗救助、卫生防疫和疫情控制。 </w:t>
      </w:r>
    </w:p>
    <w:p w14:paraId="51199433">
      <w:pPr>
        <w:numPr>
          <w:ilvl w:val="0"/>
          <w:numId w:val="48"/>
        </w:numPr>
        <w:ind w:firstLineChars="0"/>
      </w:pPr>
      <w:r>
        <w:rPr>
          <w:rFonts w:hint="eastAsia"/>
        </w:rPr>
        <w:t>县国动办</w:t>
      </w:r>
      <w:r>
        <w:t xml:space="preserve">：组织指导相关单位及时关闭存在防汛隐患的人防工程，及时组织抢险队伍处置险情。 </w:t>
      </w:r>
    </w:p>
    <w:p w14:paraId="7AB3B58A">
      <w:pPr>
        <w:numPr>
          <w:ilvl w:val="0"/>
          <w:numId w:val="48"/>
        </w:numPr>
        <w:ind w:firstLineChars="0"/>
      </w:pPr>
      <w:r>
        <w:rPr>
          <w:rFonts w:hint="eastAsia"/>
        </w:rPr>
        <w:t>县林业和草原局</w:t>
      </w:r>
      <w:r>
        <w:t xml:space="preserve">：组织做好本系统内林区、林场防汛抗洪和危险区人员转移安置工作。 </w:t>
      </w:r>
    </w:p>
    <w:p w14:paraId="750A0683">
      <w:pPr>
        <w:numPr>
          <w:ilvl w:val="0"/>
          <w:numId w:val="48"/>
        </w:numPr>
        <w:ind w:firstLineChars="0"/>
      </w:pPr>
      <w:r>
        <w:rPr>
          <w:rFonts w:hint="eastAsia"/>
        </w:rPr>
        <w:t>县财政局</w:t>
      </w:r>
      <w:r>
        <w:t xml:space="preserve">：统筹安排和及时拨付救灾补助资金；协调争取上级资金支持。 </w:t>
      </w:r>
    </w:p>
    <w:p w14:paraId="63063E8F">
      <w:pPr>
        <w:numPr>
          <w:ilvl w:val="0"/>
          <w:numId w:val="48"/>
        </w:numPr>
        <w:ind w:firstLineChars="0"/>
      </w:pPr>
      <w:r>
        <w:rPr>
          <w:rFonts w:hint="eastAsia"/>
        </w:rPr>
        <w:t>国网集贤供电公司</w:t>
      </w:r>
      <w:r>
        <w:t xml:space="preserve">：做好重点防汛设施及重点部位外围电网供电保障工作；统筹调集抢险队伍、应急发电装备，做好抢险现场和受灾区域的电力保障。 </w:t>
      </w:r>
    </w:p>
    <w:p w14:paraId="3DBB9E15">
      <w:pPr>
        <w:numPr>
          <w:ilvl w:val="0"/>
          <w:numId w:val="48"/>
        </w:numPr>
        <w:ind w:firstLineChars="0"/>
      </w:pPr>
      <w:r>
        <w:rPr>
          <w:rFonts w:hint="eastAsia"/>
        </w:rPr>
        <w:t>县消防救援大队</w:t>
      </w:r>
      <w:r>
        <w:t>、</w:t>
      </w:r>
      <w:r>
        <w:rPr>
          <w:rFonts w:hint="eastAsia"/>
        </w:rPr>
        <w:t>县森林消防大队</w:t>
      </w:r>
      <w:r>
        <w:t>：根据防指指令组开展搜救被困、失联人员等抢险救援任务，协助</w:t>
      </w:r>
      <w:r>
        <w:rPr>
          <w:rFonts w:hint="eastAsia"/>
        </w:rPr>
        <w:t>乡镇</w:t>
      </w:r>
      <w:r>
        <w:t xml:space="preserve">政府开展人员转移安置工作；在专家指导下做好重点部位防护。 </w:t>
      </w:r>
    </w:p>
    <w:p w14:paraId="0B4A0774">
      <w:pPr>
        <w:numPr>
          <w:ilvl w:val="0"/>
          <w:numId w:val="48"/>
        </w:numPr>
        <w:ind w:firstLineChars="0"/>
      </w:pPr>
      <w:r>
        <w:rPr>
          <w:rFonts w:hint="eastAsia"/>
        </w:rPr>
        <w:t>县人民武装部</w:t>
      </w:r>
      <w:r>
        <w:t xml:space="preserve">：衔接驻哈部队，做好抢险力量预置前置，参与防汛抗洪抢险救灾行动。 </w:t>
      </w:r>
    </w:p>
    <w:p w14:paraId="35C5ED38">
      <w:pPr>
        <w:numPr>
          <w:ilvl w:val="0"/>
          <w:numId w:val="48"/>
        </w:numPr>
        <w:ind w:firstLineChars="0"/>
      </w:pPr>
      <w:r>
        <w:t xml:space="preserve">其他成员单位：加强值班，按职责开展抢险救灾工作。 </w:t>
      </w:r>
    </w:p>
    <w:p w14:paraId="78F122F9">
      <w:pPr>
        <w:numPr>
          <w:ilvl w:val="0"/>
          <w:numId w:val="48"/>
        </w:numPr>
        <w:ind w:firstLineChars="0"/>
      </w:pPr>
      <w:r>
        <w:t>相关</w:t>
      </w:r>
      <w:r>
        <w:rPr>
          <w:rFonts w:hint="eastAsia"/>
        </w:rPr>
        <w:t>乡镇</w:t>
      </w:r>
      <w:r>
        <w:t>：防指主要负责同志主持会商，部署开展防汛抢险救灾行动，转移安置危险区人员，及时处置报告辖区险情、灾情；重点加强小型水库、沿河两岸、低洼地带、危旧建筑、工地等危险区域巡查警戒；落实</w:t>
      </w:r>
      <w:r>
        <w:rPr>
          <w:rFonts w:hint="eastAsia"/>
        </w:rPr>
        <w:t>县</w:t>
      </w:r>
      <w:r>
        <w:t>防指各项指令，每日将防汛抢险救灾情况报至</w:t>
      </w:r>
      <w:r>
        <w:rPr>
          <w:rFonts w:hint="eastAsia"/>
        </w:rPr>
        <w:t>县防办</w:t>
      </w:r>
      <w:r>
        <w:t xml:space="preserve">，如遇重大突发性险情灾情和重大防汛工作部署第一时间报告。 </w:t>
      </w:r>
    </w:p>
    <w:p w14:paraId="1B26CE32">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响应终止</w:t>
      </w:r>
    </w:p>
    <w:p w14:paraId="3E64A67F">
      <w:pPr>
        <w:ind w:firstLine="632"/>
      </w:pPr>
      <w:r>
        <w:rPr>
          <w:rFonts w:hint="eastAsia"/>
        </w:rPr>
        <w:t>当灾害已经或趋于结束时，由县防办提出响应终止建议，县防指总指挥批准。响应结束后，有关部门和单位按职责分工，核实灾害损失和人员伤亡情况，并协助指导受灾地区做好灾后恢复重建工作。</w:t>
      </w:r>
    </w:p>
    <w:p w14:paraId="634F39A7">
      <w:pPr>
        <w:pStyle w:val="3"/>
      </w:pPr>
      <w:bookmarkStart w:id="255" w:name="_Toc30319"/>
      <w:r>
        <w:rPr>
          <w:rFonts w:hint="eastAsia"/>
        </w:rPr>
        <w:t>Ⅰ</w:t>
      </w:r>
      <w:r>
        <w:t>级响应</w:t>
      </w:r>
      <w:bookmarkEnd w:id="255"/>
      <w:r>
        <w:t xml:space="preserve"> </w:t>
      </w:r>
    </w:p>
    <w:p w14:paraId="242ABA06">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 xml:space="preserve">启动条件 </w:t>
      </w:r>
    </w:p>
    <w:p w14:paraId="74874FB5">
      <w:pPr>
        <w:ind w:firstLine="632"/>
      </w:pPr>
      <w:r>
        <w:t>当发生或预计发生符合下列条件之一的，经会商研判后启动</w:t>
      </w:r>
      <w:r>
        <w:rPr>
          <w:rFonts w:hint="eastAsia"/>
        </w:rPr>
        <w:t>Ⅰ</w:t>
      </w:r>
      <w:r>
        <w:t xml:space="preserve">级响应： </w:t>
      </w:r>
    </w:p>
    <w:p w14:paraId="16118A77">
      <w:pPr>
        <w:numPr>
          <w:ilvl w:val="0"/>
          <w:numId w:val="49"/>
        </w:numPr>
        <w:ind w:firstLineChars="0"/>
      </w:pPr>
      <w:r>
        <w:rPr>
          <w:rFonts w:hint="eastAsia"/>
        </w:rPr>
        <w:t xml:space="preserve">暴雨预警：县气象局连续2天发布红色预警或连续2次发布红色预警信号，根据县防指会商结果启动；  </w:t>
      </w:r>
    </w:p>
    <w:p w14:paraId="3928B476">
      <w:pPr>
        <w:numPr>
          <w:ilvl w:val="0"/>
          <w:numId w:val="49"/>
        </w:numPr>
        <w:ind w:firstLineChars="0"/>
      </w:pPr>
      <w:r>
        <w:rPr>
          <w:rFonts w:hint="eastAsia"/>
        </w:rPr>
        <w:t>江河洪水：蚂蚁河发生大洪水；预报河流可能发生超过保证水位的凌汛洪水，堤防、江岸可能发生漫堤（岸）；</w:t>
      </w:r>
    </w:p>
    <w:p w14:paraId="0FE78DA9">
      <w:pPr>
        <w:numPr>
          <w:ilvl w:val="0"/>
          <w:numId w:val="49"/>
        </w:numPr>
        <w:ind w:firstLineChars="0"/>
      </w:pPr>
      <w:r>
        <w:rPr>
          <w:rFonts w:hint="eastAsia"/>
        </w:rPr>
        <w:t>城市内涝：县城或2个乡镇场镇道路大范围积水深度在1米以上；县城大面积停电停水停气、交通中断或瘫痪，县城或乡镇场镇运行受到严重影响；</w:t>
      </w:r>
    </w:p>
    <w:p w14:paraId="25B23382">
      <w:pPr>
        <w:numPr>
          <w:ilvl w:val="0"/>
          <w:numId w:val="49"/>
        </w:numPr>
        <w:ind w:firstLineChars="0"/>
      </w:pPr>
      <w:r>
        <w:rPr>
          <w:rFonts w:hint="eastAsia"/>
        </w:rPr>
        <w:t>堤防：集贤县城区主要河段堤防出现决口；</w:t>
      </w:r>
    </w:p>
    <w:p w14:paraId="1BA0A49F">
      <w:pPr>
        <w:numPr>
          <w:ilvl w:val="0"/>
          <w:numId w:val="49"/>
        </w:numPr>
        <w:ind w:firstLineChars="0"/>
      </w:pPr>
      <w:r>
        <w:rPr>
          <w:rFonts w:hint="eastAsia"/>
        </w:rPr>
        <w:t xml:space="preserve">水库：中型水库可能发生垮坝； </w:t>
      </w:r>
    </w:p>
    <w:p w14:paraId="55EFAF83">
      <w:pPr>
        <w:numPr>
          <w:ilvl w:val="0"/>
          <w:numId w:val="49"/>
        </w:numPr>
        <w:ind w:firstLineChars="0"/>
      </w:pPr>
      <w:r>
        <w:rPr>
          <w:rFonts w:hint="eastAsia"/>
        </w:rPr>
        <w:t>其他：其他需要启动Ⅰ级响应的情况。</w:t>
      </w:r>
    </w:p>
    <w:p w14:paraId="2457CEC5">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 xml:space="preserve">响应行动 </w:t>
      </w:r>
    </w:p>
    <w:p w14:paraId="62EA2692">
      <w:pPr>
        <w:numPr>
          <w:ilvl w:val="0"/>
          <w:numId w:val="50"/>
        </w:numPr>
        <w:ind w:firstLineChars="0"/>
      </w:pPr>
      <w:r>
        <w:rPr>
          <w:rFonts w:hint="eastAsia"/>
        </w:rPr>
        <w:t>安排部署。县防指总指挥组织指挥全县洪水灾害应对工作根据需要，县防指总指挥组织召开全县紧急动员会，部署各地及成员单位做好防汛救灾有关工作；召开会商调度会，了解掌握汛情、险情、旱情、灾情及重要工情等信息，研判防汛抗旱形势。</w:t>
      </w:r>
    </w:p>
    <w:p w14:paraId="404B8261">
      <w:pPr>
        <w:numPr>
          <w:ilvl w:val="0"/>
          <w:numId w:val="50"/>
        </w:numPr>
        <w:ind w:firstLineChars="0"/>
      </w:pPr>
      <w:r>
        <w:rPr>
          <w:rFonts w:hint="eastAsia"/>
        </w:rPr>
        <w:t>组织指挥。县防指总指挥、常务副总指挥（或县防指总指挥安排的其他县领导）、副总指挥等梯次带领工作组、相应灾种的专家组赶赴灾害现场靠前指挥，与受灾乡镇、村屯组建前线指挥部。多地受灾特别严重时，成立前线分指挥部。明确一名副总指挥（或县防指总指挥安排的其他县领导）坐镇县应急管理局指挥中心指挥。</w:t>
      </w:r>
    </w:p>
    <w:p w14:paraId="7893470A">
      <w:pPr>
        <w:numPr>
          <w:ilvl w:val="0"/>
          <w:numId w:val="50"/>
        </w:numPr>
        <w:ind w:firstLineChars="0"/>
      </w:pPr>
      <w:r>
        <w:rPr>
          <w:rFonts w:hint="eastAsia"/>
        </w:rPr>
        <w:t>应急工作组。县防指启动全部应急工作组，按职责全力开展抢险救援、技术保障、通信电力交通保障、灾情评估、群众安置、医疗救治、社会治安等防汛抗旱抢险救灾工作。</w:t>
      </w:r>
    </w:p>
    <w:p w14:paraId="3C928D83">
      <w:pPr>
        <w:numPr>
          <w:ilvl w:val="0"/>
          <w:numId w:val="50"/>
        </w:numPr>
        <w:ind w:firstLineChars="0"/>
      </w:pPr>
      <w:r>
        <w:rPr>
          <w:rFonts w:hint="eastAsia"/>
        </w:rPr>
        <w:t>信息报送。县防指迅速将应急响应启动及防汛救灾等情况报告市防汛抗旱指挥部、县委、县政府，并通报县防指各成员单位。视情请求市级层面在专家、队伍、装备和物资等方面给予支援。</w:t>
      </w:r>
    </w:p>
    <w:p w14:paraId="34CB042C">
      <w:pPr>
        <w:numPr>
          <w:ilvl w:val="0"/>
          <w:numId w:val="50"/>
        </w:numPr>
        <w:ind w:firstLineChars="0"/>
      </w:pPr>
      <w:r>
        <w:rPr>
          <w:rFonts w:hint="eastAsia"/>
        </w:rPr>
        <w:t>值班值守。县防指成立联席值班室，加强协调、督导事关全局的防汛调度，并与相关区域加强视频会商，及时作出针对性安排布置。县防指各成员及联络员保持通信畅通，相关成员单位主要负责同志到县防汛办参与联合值守，并派驻联络员24小时驻守，负责协调、处理、报告本单位相关工作。</w:t>
      </w:r>
    </w:p>
    <w:p w14:paraId="20D53BE1">
      <w:pPr>
        <w:numPr>
          <w:ilvl w:val="0"/>
          <w:numId w:val="50"/>
        </w:numPr>
        <w:ind w:firstLineChars="0"/>
      </w:pPr>
      <w:r>
        <w:rPr>
          <w:rFonts w:hint="eastAsia"/>
        </w:rPr>
        <w:t>舆论宣传。组织新闻媒体和基础电信运营商及时播报发布暴雨、洪水和指挥部公告等信息。组织协调新闻媒体赴灾区有序采访防汛救灾工作，并做好正面宣传报道，正向引导舆论县防指收集舆情信息，适时召开新闻发布会，回应关切。</w:t>
      </w:r>
    </w:p>
    <w:p w14:paraId="5E384E11">
      <w:pPr>
        <w:numPr>
          <w:ilvl w:val="0"/>
          <w:numId w:val="50"/>
        </w:numPr>
        <w:ind w:firstLineChars="0"/>
      </w:pPr>
      <w:r>
        <w:rPr>
          <w:rFonts w:hint="eastAsia"/>
        </w:rPr>
        <w:t xml:space="preserve">社会动员。动员社会各方面力量全力做好防大汛、抢大险救大灾工作，发动群众开展自救互救工作。动员引导市民尽量减少外出，及时采取避险防范措施。在紧急情况下，按照《中华人民共和国防洪法》《中华人民共和国防洪条例》等有关规定宣布进入紧急防汛期，并行使相关权力、采取特殊措施，保障防汛工作顺利实施。 </w:t>
      </w:r>
    </w:p>
    <w:p w14:paraId="1C175C87">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 xml:space="preserve">各成员单位响应行动 </w:t>
      </w:r>
    </w:p>
    <w:p w14:paraId="2E5A9286">
      <w:pPr>
        <w:ind w:firstLine="632"/>
      </w:pPr>
      <w:r>
        <w:t>各成员单位按全</w:t>
      </w:r>
      <w:r>
        <w:rPr>
          <w:rFonts w:hint="eastAsia"/>
        </w:rPr>
        <w:t>县</w:t>
      </w:r>
      <w:r>
        <w:t xml:space="preserve">统一部署，各司其职、各负其责投入防汛抗洪抢险救灾工作。 </w:t>
      </w:r>
    </w:p>
    <w:p w14:paraId="1733EED7">
      <w:pPr>
        <w:numPr>
          <w:ilvl w:val="0"/>
          <w:numId w:val="51"/>
        </w:numPr>
        <w:ind w:firstLineChars="0"/>
      </w:pPr>
      <w:r>
        <w:rPr>
          <w:rFonts w:hint="eastAsia"/>
        </w:rPr>
        <w:t>县委宣传部</w:t>
      </w:r>
      <w:r>
        <w:t>：协调全</w:t>
      </w:r>
      <w:r>
        <w:rPr>
          <w:rFonts w:hint="eastAsia"/>
        </w:rPr>
        <w:t>县</w:t>
      </w:r>
      <w:r>
        <w:t xml:space="preserve">广播、电视、互联网、户外电子广告屏等媒体平台，及时发布预警预告和抢险救灾信息，开展防汛宣传，加强舆情监测引导。 </w:t>
      </w:r>
    </w:p>
    <w:p w14:paraId="24E9BBDB">
      <w:pPr>
        <w:numPr>
          <w:ilvl w:val="0"/>
          <w:numId w:val="51"/>
        </w:numPr>
        <w:ind w:firstLineChars="0"/>
      </w:pPr>
      <w:r>
        <w:rPr>
          <w:rFonts w:hint="eastAsia"/>
        </w:rPr>
        <w:t>县气象局</w:t>
      </w:r>
      <w:r>
        <w:t>：每半小时报告雨情监测</w:t>
      </w:r>
      <w:r>
        <w:rPr>
          <w:rFonts w:hint="eastAsia"/>
        </w:rPr>
        <w:t>，其间</w:t>
      </w:r>
      <w:r>
        <w:t xml:space="preserve">监测分析天气条件有较明显变化时，随时更新预报。 </w:t>
      </w:r>
    </w:p>
    <w:p w14:paraId="633BB1E9">
      <w:pPr>
        <w:numPr>
          <w:ilvl w:val="0"/>
          <w:numId w:val="51"/>
        </w:numPr>
        <w:ind w:firstLineChars="0"/>
      </w:pPr>
      <w:r>
        <w:rPr>
          <w:rFonts w:hint="eastAsia"/>
        </w:rPr>
        <w:t>集贤水文站</w:t>
      </w:r>
      <w:r>
        <w:t xml:space="preserve">：每小时报告江河洪水监测结果，预测分析洪水发展趋势。 </w:t>
      </w:r>
    </w:p>
    <w:p w14:paraId="1D5AC72B">
      <w:pPr>
        <w:numPr>
          <w:ilvl w:val="0"/>
          <w:numId w:val="51"/>
        </w:numPr>
        <w:ind w:firstLineChars="0"/>
      </w:pPr>
      <w:r>
        <w:rPr>
          <w:rFonts w:hint="eastAsia"/>
        </w:rPr>
        <w:t>县水务局</w:t>
      </w:r>
      <w:r>
        <w:t xml:space="preserve">：组织指导重点防洪工程加密巡查排险频次， 迅速制定水利工程设施抢险技术方案，对出险的水利工程设施进行抢修和加固，保障工程安全。 </w:t>
      </w:r>
    </w:p>
    <w:p w14:paraId="65C75EBC">
      <w:pPr>
        <w:numPr>
          <w:ilvl w:val="0"/>
          <w:numId w:val="51"/>
        </w:numPr>
        <w:ind w:firstLineChars="0"/>
      </w:pPr>
      <w:r>
        <w:rPr>
          <w:rFonts w:hint="eastAsia"/>
        </w:rPr>
        <w:t>县应急管理局</w:t>
      </w:r>
      <w:r>
        <w:t xml:space="preserve">：迅速协调抢险救援力量、调配抢险物资，协助受灾地区开展抢险救援行动，组织灾民安置，保障灾民基本生活。 </w:t>
      </w:r>
    </w:p>
    <w:p w14:paraId="46E74A1F">
      <w:pPr>
        <w:numPr>
          <w:ilvl w:val="0"/>
          <w:numId w:val="51"/>
        </w:numPr>
        <w:ind w:firstLineChars="0"/>
      </w:pPr>
      <w:r>
        <w:rPr>
          <w:rFonts w:hint="eastAsia"/>
        </w:rPr>
        <w:t>县住房和城乡建设局</w:t>
      </w:r>
      <w:r>
        <w:t xml:space="preserve">：督导落实在建工程停工及相应防汛措施，及时做好受威胁人员的转移安置；加强危旧房屋和低洼院落巡查除险，做好房屋渗漏、倒塌抢修队伍及物资的准备工作。 </w:t>
      </w:r>
    </w:p>
    <w:p w14:paraId="53D43A2B">
      <w:pPr>
        <w:numPr>
          <w:ilvl w:val="0"/>
          <w:numId w:val="51"/>
        </w:numPr>
        <w:ind w:firstLineChars="0"/>
      </w:pPr>
      <w:r>
        <w:rPr>
          <w:rFonts w:hint="eastAsia"/>
        </w:rPr>
        <w:t>县公安局</w:t>
      </w:r>
      <w:r>
        <w:t xml:space="preserve">：维持社会治安秩序，迅速组织灾民疏散、撤离及救生；维护交通秩序，确保抢救现场和灾区的交通通畅，保障运输抢险队伍和物资车辆优先快速通行。 </w:t>
      </w:r>
    </w:p>
    <w:p w14:paraId="18EDC7FC">
      <w:pPr>
        <w:numPr>
          <w:ilvl w:val="0"/>
          <w:numId w:val="51"/>
        </w:numPr>
        <w:ind w:firstLineChars="0"/>
      </w:pPr>
      <w:r>
        <w:rPr>
          <w:rFonts w:hint="eastAsia"/>
        </w:rPr>
        <w:t>县自然资源局</w:t>
      </w:r>
      <w:r>
        <w:t>：严密监测地质灾害风险隐患，及时发布地质灾害安全提示；根据地质灾害险情、灾情情况，指导</w:t>
      </w:r>
      <w:r>
        <w:rPr>
          <w:rFonts w:hint="eastAsia"/>
        </w:rPr>
        <w:t>乡镇</w:t>
      </w:r>
      <w:r>
        <w:t xml:space="preserve">政府开展应急响应、涉山道路封闭及群众避险转移工作。 </w:t>
      </w:r>
    </w:p>
    <w:p w14:paraId="1C4EC73C">
      <w:pPr>
        <w:numPr>
          <w:ilvl w:val="0"/>
          <w:numId w:val="51"/>
        </w:numPr>
        <w:ind w:firstLineChars="0"/>
      </w:pPr>
      <w:r>
        <w:rPr>
          <w:rFonts w:hint="eastAsia"/>
        </w:rPr>
        <w:t>县交通运输局</w:t>
      </w:r>
      <w:r>
        <w:t xml:space="preserve">：根据转移人、财、物所需运力情况，及时组织运力，保证人员和抢险救灾物资的运送。 </w:t>
      </w:r>
    </w:p>
    <w:p w14:paraId="69FC1CF8">
      <w:pPr>
        <w:numPr>
          <w:ilvl w:val="0"/>
          <w:numId w:val="51"/>
        </w:numPr>
        <w:ind w:firstLineChars="0"/>
      </w:pPr>
      <w:r>
        <w:rPr>
          <w:rFonts w:hint="eastAsia"/>
        </w:rPr>
        <w:t>县卫生健康管理局</w:t>
      </w:r>
      <w:r>
        <w:t xml:space="preserve">：迅速组织医疗急救队、卫生防疫队进入灾区，开展现场救护和卫生防疫，及时运送伤员并安排医院救治，调集救助药品和医疗器械供抢救现场和灾区使用。 </w:t>
      </w:r>
    </w:p>
    <w:p w14:paraId="79FC690E">
      <w:pPr>
        <w:numPr>
          <w:ilvl w:val="0"/>
          <w:numId w:val="51"/>
        </w:numPr>
        <w:ind w:firstLineChars="0"/>
      </w:pPr>
      <w:r>
        <w:rPr>
          <w:rFonts w:hint="eastAsia"/>
        </w:rPr>
        <w:t>县财政局</w:t>
      </w:r>
      <w:r>
        <w:t xml:space="preserve">：根据部门职责启动应急资金保障。 </w:t>
      </w:r>
    </w:p>
    <w:p w14:paraId="5E4FFEFA">
      <w:pPr>
        <w:numPr>
          <w:ilvl w:val="0"/>
          <w:numId w:val="51"/>
        </w:numPr>
        <w:ind w:firstLineChars="0"/>
      </w:pPr>
      <w:r>
        <w:rPr>
          <w:rFonts w:hint="eastAsia"/>
        </w:rPr>
        <w:t>县</w:t>
      </w:r>
      <w:r>
        <w:t xml:space="preserve">城管、供电、通信等部门：迅速启动应急机制，保证出险现场及灾区的应急通信和正常供电，组织专业抢险抢修队伍，及时修复损毁的城管基础设施及通信、供电等公共基础设施。 </w:t>
      </w:r>
    </w:p>
    <w:p w14:paraId="7C700C0B">
      <w:pPr>
        <w:numPr>
          <w:ilvl w:val="0"/>
          <w:numId w:val="51"/>
        </w:numPr>
        <w:ind w:firstLineChars="0"/>
      </w:pPr>
      <w:r>
        <w:rPr>
          <w:rFonts w:hint="eastAsia"/>
        </w:rPr>
        <w:t>县消防救援大队</w:t>
      </w:r>
      <w:r>
        <w:t>、</w:t>
      </w:r>
      <w:r>
        <w:rPr>
          <w:rFonts w:hint="eastAsia"/>
        </w:rPr>
        <w:t>县森林消防大队</w:t>
      </w:r>
      <w:r>
        <w:t>：及时处置涉汛报警信息，根据防指指令及时开展搜救被困人员等应急救援任务，协助</w:t>
      </w:r>
      <w:r>
        <w:rPr>
          <w:rFonts w:hint="eastAsia"/>
        </w:rPr>
        <w:t>乡镇</w:t>
      </w:r>
      <w:r>
        <w:t xml:space="preserve">政府开展人员转移等工作。 </w:t>
      </w:r>
    </w:p>
    <w:p w14:paraId="4EA212F9">
      <w:pPr>
        <w:numPr>
          <w:ilvl w:val="0"/>
          <w:numId w:val="51"/>
        </w:numPr>
        <w:ind w:firstLineChars="0"/>
      </w:pPr>
      <w:r>
        <w:rPr>
          <w:rFonts w:hint="eastAsia"/>
        </w:rPr>
        <w:t>县人民武装部</w:t>
      </w:r>
      <w:r>
        <w:t xml:space="preserve">：按照防指指令前置驻防重点防护部位，开展抗洪抢险救灾，针对重点河堤水库开展对口支援。 </w:t>
      </w:r>
    </w:p>
    <w:p w14:paraId="394953B1">
      <w:pPr>
        <w:numPr>
          <w:ilvl w:val="0"/>
          <w:numId w:val="51"/>
        </w:numPr>
        <w:ind w:firstLineChars="0"/>
      </w:pPr>
      <w:r>
        <w:t>相关</w:t>
      </w:r>
      <w:r>
        <w:rPr>
          <w:rFonts w:hint="eastAsia"/>
        </w:rPr>
        <w:t>乡镇</w:t>
      </w:r>
      <w:r>
        <w:t>：防指主要负责同志主持会商，动员部署防汛抢险救灾工作，及时组织、落实转移安置和各项关停措施。统筹安排县级领导率工作组深入一线指导防汛救灾工作，安排辖区内干部和应急队伍驻守一线，加强重点部位巡查防守，动员社会各方面力量支援防汛抢险救灾工作。利用各类媒介滚动发布汛情及安全提示，及时回应社会关切。每日将防汛抢险救灾情况报至</w:t>
      </w:r>
      <w:r>
        <w:rPr>
          <w:rFonts w:hint="eastAsia"/>
        </w:rPr>
        <w:t>县防办</w:t>
      </w:r>
      <w:r>
        <w:t>，如遇重大突发性险情灾情和重大防汛工作部署第一时间报告。</w:t>
      </w:r>
    </w:p>
    <w:p w14:paraId="1B61F4DC">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响应终止</w:t>
      </w:r>
    </w:p>
    <w:p w14:paraId="171801EF">
      <w:pPr>
        <w:ind w:firstLine="632"/>
      </w:pPr>
      <w:r>
        <w:rPr>
          <w:rFonts w:hint="eastAsia"/>
        </w:rPr>
        <w:t>当灾害已经或趋于结束时，由县防办提出响应终止建议，县防指总指挥报告县委主要领导同意后批准。响应结束后，有关部门和单位按职责分工，核实灾害损失和人员伤亡情况，并协助指导受灾地区做好灾后恢复重建工作。</w:t>
      </w:r>
    </w:p>
    <w:p w14:paraId="69B8F0C6">
      <w:pPr>
        <w:pStyle w:val="3"/>
      </w:pPr>
      <w:bookmarkStart w:id="256" w:name="_Toc23997"/>
      <w:r>
        <w:rPr>
          <w:rFonts w:hint="eastAsia"/>
        </w:rPr>
        <w:t>人员撤离路线、安置地点和灾民安置方案</w:t>
      </w:r>
      <w:bookmarkEnd w:id="256"/>
    </w:p>
    <w:p w14:paraId="02EC77BE">
      <w:pPr>
        <w:ind w:firstLine="632"/>
      </w:pPr>
      <w:r>
        <w:rPr>
          <w:rFonts w:hint="eastAsia"/>
        </w:rPr>
        <w:t>各乡镇、村屯、组的人员撤离路线、撤离地点、预警方式、救灾方案由乡镇、村屯制定防汛预案进行逐一明确，并负责组织实施。县城区域的人员撤离转移路线、安置地点和救灾方案依照应急预案实施，如遇特别情况时由指挥部临时确定。各乡镇应根据本辖区防汛撤离人员实际，合理确定防汛撤离后的灾民安置地点及人员安置方案。</w:t>
      </w:r>
    </w:p>
    <w:p w14:paraId="0B7FA68B">
      <w:pPr>
        <w:pStyle w:val="3"/>
      </w:pPr>
      <w:bookmarkStart w:id="257" w:name="_Toc21859"/>
      <w:r>
        <w:t>不同灾害的应急响应措施</w:t>
      </w:r>
      <w:bookmarkEnd w:id="257"/>
      <w:r>
        <w:t xml:space="preserve"> </w:t>
      </w:r>
    </w:p>
    <w:p w14:paraId="662ED104">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 xml:space="preserve">江河洪水 </w:t>
      </w:r>
    </w:p>
    <w:p w14:paraId="68A9A11D">
      <w:pPr>
        <w:pStyle w:val="5"/>
        <w:numPr>
          <w:ilvl w:val="3"/>
          <w:numId w:val="22"/>
        </w:numPr>
      </w:pPr>
      <w:r>
        <w:rPr>
          <w:rFonts w:hint="eastAsia"/>
        </w:rPr>
        <w:t>从进入汛期至水位达到警戒水位以前</w:t>
      </w:r>
    </w:p>
    <w:p w14:paraId="2A3ACB34">
      <w:pPr>
        <w:numPr>
          <w:ilvl w:val="0"/>
          <w:numId w:val="52"/>
        </w:numPr>
        <w:ind w:firstLineChars="0"/>
      </w:pPr>
      <w:r>
        <w:rPr>
          <w:rFonts w:hint="eastAsia"/>
        </w:rPr>
        <w:t>为减少防汛期土料工程量，堤防采取部分备用土料提前上堤，修筑土牛，每座土牛2立方米，中心间距3米，备用土料可在枯水期时就近取用滩地土（堤脚外200米）。</w:t>
      </w:r>
    </w:p>
    <w:p w14:paraId="58AE1937">
      <w:pPr>
        <w:numPr>
          <w:ilvl w:val="0"/>
          <w:numId w:val="52"/>
        </w:numPr>
        <w:ind w:firstLineChars="0"/>
      </w:pPr>
      <w:r>
        <w:rPr>
          <w:rFonts w:hint="eastAsia"/>
        </w:rPr>
        <w:t>县防汛部门按要求完成汛前堤防闸口的徒步检查，写出书面材料上报县防汛办；督促闸口单位和有关部门搞好堤防设施的维护与保养，按上级要求完成防汛备料，落实封堵闸口所需的闸板、闸柱、编织袋等物资，不足的要限时补齐。</w:t>
      </w:r>
    </w:p>
    <w:p w14:paraId="5DD20BC2">
      <w:pPr>
        <w:numPr>
          <w:ilvl w:val="0"/>
          <w:numId w:val="52"/>
        </w:numPr>
        <w:ind w:firstLineChars="0"/>
      </w:pPr>
      <w:r>
        <w:rPr>
          <w:rFonts w:hint="eastAsia"/>
        </w:rPr>
        <w:t>县防汛办要做好行洪区内村屯、河道内有生产点的各单位，做好人员及重要物资的安全转移的准备。</w:t>
      </w:r>
    </w:p>
    <w:p w14:paraId="7B49CE70">
      <w:pPr>
        <w:numPr>
          <w:ilvl w:val="0"/>
          <w:numId w:val="52"/>
        </w:numPr>
        <w:ind w:firstLineChars="0"/>
      </w:pPr>
      <w:r>
        <w:rPr>
          <w:rFonts w:hint="eastAsia"/>
        </w:rPr>
        <w:t>随时掌握在建防洪工程的进展情况，督促和支援各乡镇（区）做好在建防洪工程的抢险度汛工作。</w:t>
      </w:r>
    </w:p>
    <w:p w14:paraId="48255039">
      <w:pPr>
        <w:numPr>
          <w:ilvl w:val="0"/>
          <w:numId w:val="52"/>
        </w:numPr>
        <w:ind w:firstLineChars="0"/>
      </w:pPr>
      <w:r>
        <w:rPr>
          <w:rFonts w:hint="eastAsia"/>
        </w:rPr>
        <w:t>蚂蚁河水位接近堤坝脚，要严防河水对堤岸、堤脚、堤坡的冲刷，封堵好闸门，加强检查。各乡镇防汛部门和各闸口责任单位开始派专人实行24小时值班，各司其职。检修好通讯设备、电台和车辆，各闸口、堤段责任单位成立巡堤查险队伍和抢险梯队，并将组织机构、人员分布、联络方式、调用方案，报水务局防汛办，随时听从调用。</w:t>
      </w:r>
    </w:p>
    <w:p w14:paraId="78C58BDB">
      <w:pPr>
        <w:pStyle w:val="5"/>
        <w:numPr>
          <w:ilvl w:val="3"/>
          <w:numId w:val="22"/>
        </w:numPr>
      </w:pPr>
      <w:r>
        <w:t>当</w:t>
      </w:r>
      <w:r>
        <w:rPr>
          <w:rFonts w:hint="eastAsia"/>
        </w:rPr>
        <w:t>江河</w:t>
      </w:r>
      <w:r>
        <w:t>水位超过警戒水位时</w:t>
      </w:r>
    </w:p>
    <w:p w14:paraId="3F26F54E">
      <w:pPr>
        <w:numPr>
          <w:ilvl w:val="0"/>
          <w:numId w:val="53"/>
        </w:numPr>
        <w:ind w:firstLineChars="0"/>
      </w:pPr>
      <w:r>
        <w:rPr>
          <w:rFonts w:hint="eastAsia"/>
        </w:rPr>
        <w:t>当蚂蚁河洪水水位达到警戒水位，进入汛期，为常规防汛期。堤防开始戒严，防洪通道禁止非防汛车辆进入。县防汛部门和有关责任单位要坚守岗位、领导带班、专人值班，防汛设施24小时有专人负责，有关信息及时反馈，专职联络员机制及时启动。各级堤防管理部门要派人巡视和保护堤防、护岸、涵闸等工程，管护好水文观测和堤防管理设施。水文站和各级堤防管理部门每日向县防汛办报告一次水情和工情。同时，责任部门做好防御超现有堤防防洪标准的临时工程措施准备工作。</w:t>
      </w:r>
    </w:p>
    <w:p w14:paraId="0B230D87">
      <w:pPr>
        <w:numPr>
          <w:ilvl w:val="0"/>
          <w:numId w:val="53"/>
        </w:numPr>
        <w:ind w:firstLineChars="0"/>
      </w:pPr>
      <w:r>
        <w:rPr>
          <w:rFonts w:hint="eastAsia"/>
        </w:rPr>
        <w:t>事发地乡镇防指按照批准的防汛应急预案和防汛责任制要求，组织专业和民兵等群众防汛队伍巡堤查险，严密布防，综合性消防救援队伍做好抢险救援准备，必要时提请县防指协调解放军、武警部队参加重要堤段、重点工程的防守和突击抢险。</w:t>
      </w:r>
      <w:r>
        <w:t xml:space="preserve"> </w:t>
      </w:r>
    </w:p>
    <w:p w14:paraId="41ABF555">
      <w:pPr>
        <w:pStyle w:val="5"/>
        <w:numPr>
          <w:ilvl w:val="3"/>
          <w:numId w:val="22"/>
        </w:numPr>
      </w:pPr>
      <w:r>
        <w:rPr>
          <w:rFonts w:hint="eastAsia"/>
        </w:rPr>
        <w:t>当预报10～20年一遇较大洪水时</w:t>
      </w:r>
    </w:p>
    <w:p w14:paraId="66DF6B0B">
      <w:pPr>
        <w:numPr>
          <w:ilvl w:val="0"/>
          <w:numId w:val="54"/>
        </w:numPr>
        <w:ind w:firstLineChars="0"/>
      </w:pPr>
      <w:r>
        <w:rPr>
          <w:rFonts w:hint="eastAsia"/>
        </w:rPr>
        <w:t>当预报10～20年一遇较大洪水时，此时防汛工作进入非常时期，县人民政府向全县人民公告：成立现场应急指挥部，各部室在县防汛抗旱总指挥的直接领导下，按其职责范围积极投入抗洪抢险斗争中去。同时向社会公布县人民政府防汛抗旱指挥部指挥、成员名单，县、乡镇各级领导包堤包段名单，防洪抢险队伍负责人员组成名单。</w:t>
      </w:r>
    </w:p>
    <w:p w14:paraId="377DF588">
      <w:pPr>
        <w:numPr>
          <w:ilvl w:val="0"/>
          <w:numId w:val="54"/>
        </w:numPr>
        <w:ind w:firstLineChars="0"/>
      </w:pPr>
      <w:r>
        <w:rPr>
          <w:rFonts w:hint="eastAsia"/>
        </w:rPr>
        <w:t>强化各级防守责任制。紧急动员全民抗洪抢险。各责任单位党政一把手挂帅，分段负责。各种抢险物资及车辆应全部到位，随时准备对付突发险情。对重点险工弱段加强巡查，一旦出现意外险情，即由专家和工程技术人员提出抢险方案，采取紧急抢险措施处理。</w:t>
      </w:r>
    </w:p>
    <w:p w14:paraId="777FD2B0">
      <w:pPr>
        <w:pStyle w:val="5"/>
        <w:numPr>
          <w:ilvl w:val="3"/>
          <w:numId w:val="22"/>
        </w:numPr>
      </w:pPr>
      <w:r>
        <w:rPr>
          <w:rFonts w:hint="eastAsia"/>
        </w:rPr>
        <w:t>当预报20～50年一遇大洪水时</w:t>
      </w:r>
    </w:p>
    <w:p w14:paraId="7BCA2404">
      <w:pPr>
        <w:ind w:firstLine="632"/>
      </w:pPr>
      <w:r>
        <w:rPr>
          <w:rFonts w:hint="eastAsia"/>
        </w:rPr>
        <w:t>此时集贤县城区现状堤防设计标准均为50年一遇以上，考虑超高，可正常度汛。此时，标准10～20年一遇的堤防已分别采取抢筑子堤措施，防御能力为50年，要动员一切力量严防死守，同时县防汛抢险机动队做好随时投入抢险的准备。</w:t>
      </w:r>
    </w:p>
    <w:p w14:paraId="69ED2335">
      <w:pPr>
        <w:ind w:firstLine="632"/>
      </w:pPr>
      <w:r>
        <w:t>在紧急情况下，按照《中华人民共和国防洪法》和《中华人民共和国防汛条例》有关规定，</w:t>
      </w:r>
      <w:r>
        <w:rPr>
          <w:rFonts w:hint="eastAsia"/>
        </w:rPr>
        <w:t>县</w:t>
      </w:r>
      <w:r>
        <w:t xml:space="preserve">防指宣布进入紧急防汛期，行使相关权利，保障抗洪抢险救援顺利实施。 </w:t>
      </w:r>
    </w:p>
    <w:p w14:paraId="714BA1F8">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水库</w:t>
      </w:r>
    </w:p>
    <w:p w14:paraId="632AE765">
      <w:pPr>
        <w:ind w:firstLine="632"/>
      </w:pPr>
      <w:r>
        <w:t>（1）水库发生洪水时，工程管理单位应按照批准的水库</w:t>
      </w:r>
      <w:r>
        <w:rPr>
          <w:rFonts w:hint="eastAsia"/>
        </w:rPr>
        <w:t>（水电站）</w:t>
      </w:r>
      <w:r>
        <w:t xml:space="preserve">汛期调度运用计划实施防汛调度，及时向下游发布工程泄洪通报，同时报工程所在地防汛指挥机构。 </w:t>
      </w:r>
    </w:p>
    <w:p w14:paraId="2377CC6C">
      <w:pPr>
        <w:ind w:firstLine="632"/>
      </w:pPr>
      <w:r>
        <w:t xml:space="preserve">（2）水库工程管理单位应加强洪水期大坝安全监测，全面掌握工程运行状况，如发现工程险情。要第一时间组织抢险迅速排险，并将有关情况及时报所在地防汛指挥机构。 </w:t>
      </w:r>
    </w:p>
    <w:p w14:paraId="375C3502">
      <w:pPr>
        <w:ind w:firstLine="632"/>
      </w:pPr>
      <w:r>
        <w:t>（3）水库工程洪水期发生重大险情，工程管理单位在抢险过程中无法控制险情时，应及时报告所在地防汛指挥机构申请重点险情抢险应急响应。</w:t>
      </w:r>
    </w:p>
    <w:p w14:paraId="0787E875">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渍涝灾害</w:t>
      </w:r>
    </w:p>
    <w:p w14:paraId="52CDA82A">
      <w:pPr>
        <w:ind w:firstLine="632"/>
      </w:pPr>
      <w:r>
        <w:t>渍涝灾害应急处置工作由</w:t>
      </w:r>
      <w:r>
        <w:rPr>
          <w:rFonts w:hint="eastAsia"/>
        </w:rPr>
        <w:t>县</w:t>
      </w:r>
      <w:r>
        <w:t>防指组织实施。</w:t>
      </w:r>
      <w:r>
        <w:rPr>
          <w:rFonts w:hint="eastAsia"/>
        </w:rPr>
        <w:t>县</w:t>
      </w:r>
      <w:r>
        <w:t>防指要加强组织协调，督促指导有关部门做好排涝工作。</w:t>
      </w:r>
    </w:p>
    <w:p w14:paraId="4AA44FAA">
      <w:pPr>
        <w:numPr>
          <w:ilvl w:val="0"/>
          <w:numId w:val="55"/>
        </w:numPr>
        <w:ind w:firstLineChars="0"/>
      </w:pPr>
      <w:r>
        <w:rPr>
          <w:rFonts w:hint="eastAsia"/>
        </w:rPr>
        <w:t>城镇内涝</w:t>
      </w:r>
      <w:r>
        <w:t>。住建、城管、交通、水务等有关部门按任务分工全面排查城</w:t>
      </w:r>
      <w:r>
        <w:rPr>
          <w:rFonts w:hint="eastAsia"/>
        </w:rPr>
        <w:t>镇</w:t>
      </w:r>
      <w:r>
        <w:t>易涝风险点，要突出抓好市政道路、地下空间、下沉式建筑、在建工程基坑、老旧城区、城乡结合部等易涝积水点（区）隐患排查，并逐项整治消险。对主要易涝点要按照“一点一案”制定应急处置方案，明确责任人、队伍和物资，落实应急措施。当出现</w:t>
      </w:r>
      <w:r>
        <w:rPr>
          <w:rFonts w:hint="eastAsia"/>
        </w:rPr>
        <w:t>城镇内涝</w:t>
      </w:r>
      <w:r>
        <w:t xml:space="preserve">灾害时，当地防指应根据应急预案，及时组织有关部门和力量转移安置危险区域人员；对低洼积水等危险区域、路段，有关部门要及时采取引导、警戒、管控等措施，避免人员伤亡。要及时通过广播、电视、新媒体等对灾害信息进行滚动预警；情况危急时，停止有关生产和社会活动。 </w:t>
      </w:r>
    </w:p>
    <w:p w14:paraId="5862FB7A">
      <w:pPr>
        <w:ind w:firstLine="632"/>
      </w:pPr>
      <w:r>
        <w:rPr>
          <w:rFonts w:hint="eastAsia"/>
        </w:rPr>
        <w:t>县</w:t>
      </w:r>
      <w:r>
        <w:t>住建、水务等部门应加强协调和配合，科学调度防洪排涝工程、正确处理外洪内涝关系，确保防洪防涝安全。交通运输、电力、通信、燃气、供水等有关部门和单位应保障城市生命线工程和其他重要基础设施安全，保证城</w:t>
      </w:r>
      <w:r>
        <w:rPr>
          <w:rFonts w:hint="eastAsia"/>
        </w:rPr>
        <w:t>镇</w:t>
      </w:r>
      <w:r>
        <w:t xml:space="preserve">正常运行。 </w:t>
      </w:r>
    </w:p>
    <w:p w14:paraId="104DD566">
      <w:pPr>
        <w:numPr>
          <w:ilvl w:val="0"/>
          <w:numId w:val="55"/>
        </w:numPr>
        <w:ind w:firstLineChars="0"/>
      </w:pPr>
      <w:r>
        <w:t xml:space="preserve">当村庄和农田发生渍涝灾害时，有关部门要及时组织专业人员和设备抢排涝水，尽快恢复生产和生活，减少灾害损失。 </w:t>
      </w:r>
    </w:p>
    <w:p w14:paraId="700EFB33">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 xml:space="preserve">凌汛灾害 </w:t>
      </w:r>
    </w:p>
    <w:p w14:paraId="69B1A7B9">
      <w:pPr>
        <w:numPr>
          <w:ilvl w:val="0"/>
          <w:numId w:val="56"/>
        </w:numPr>
        <w:ind w:firstLineChars="0"/>
      </w:pPr>
      <w:r>
        <w:t>发生凌汛灾害或防洪工程发生重大险情后，</w:t>
      </w:r>
      <w:r>
        <w:rPr>
          <w:rFonts w:hint="eastAsia"/>
        </w:rPr>
        <w:t>县</w:t>
      </w:r>
      <w:r>
        <w:t>防指应根据事件性质，迅速对事件进行监控追踪，按照预案立即提出紧急处置措施，供当地</w:t>
      </w:r>
      <w:r>
        <w:rPr>
          <w:rFonts w:hint="eastAsia"/>
        </w:rPr>
        <w:t>乡镇</w:t>
      </w:r>
      <w:r>
        <w:t xml:space="preserve">政府或上级相关部门指挥决策。 </w:t>
      </w:r>
    </w:p>
    <w:p w14:paraId="62A5282C">
      <w:pPr>
        <w:numPr>
          <w:ilvl w:val="0"/>
          <w:numId w:val="56"/>
        </w:numPr>
        <w:ind w:firstLineChars="0"/>
      </w:pPr>
      <w:r>
        <w:rPr>
          <w:rFonts w:hint="eastAsia"/>
        </w:rPr>
        <w:t>县</w:t>
      </w:r>
      <w:r>
        <w:t xml:space="preserve">防指调集本辖区资源和力量，迅速开展受威胁群众转移安置、防护及救援等现场处置工作，组织专业队伍实施破冰除凌。江河干流堤防决口的堵复应按照抢险预案进行，由抗洪抢险专业队伍实施。 </w:t>
      </w:r>
    </w:p>
    <w:p w14:paraId="3FB779F4">
      <w:pPr>
        <w:numPr>
          <w:ilvl w:val="0"/>
          <w:numId w:val="56"/>
        </w:numPr>
        <w:ind w:firstLineChars="0"/>
      </w:pPr>
      <w:r>
        <w:t>处置凌汛灾害和工程重大险情时，按照职能分工，由</w:t>
      </w:r>
      <w:r>
        <w:rPr>
          <w:rFonts w:hint="eastAsia"/>
        </w:rPr>
        <w:t>县</w:t>
      </w:r>
      <w:r>
        <w:t xml:space="preserve">防指统一指挥，各部门各司其职，团结协作，快速反应，高效处置，最大程度地减少损失。 </w:t>
      </w:r>
    </w:p>
    <w:p w14:paraId="527A6B3E">
      <w:pPr>
        <w:numPr>
          <w:ilvl w:val="0"/>
          <w:numId w:val="56"/>
        </w:numPr>
        <w:ind w:firstLineChars="0"/>
      </w:pPr>
      <w:r>
        <w:t xml:space="preserve">凌汛灾害一旦形成，冰坝上游水位迅速升高，成灾急，抢险难度大，应第一时间迅速转移受威胁地区人员，做到应转尽转，不落一人，要加强转移安置人员管理，坚决避免人员擅自返回再次涉险。 </w:t>
      </w:r>
    </w:p>
    <w:p w14:paraId="18D707C5">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 xml:space="preserve">台风灾害 </w:t>
      </w:r>
    </w:p>
    <w:p w14:paraId="20C3C0CE">
      <w:pPr>
        <w:numPr>
          <w:ilvl w:val="0"/>
          <w:numId w:val="57"/>
        </w:numPr>
        <w:ind w:firstLineChars="0"/>
      </w:pPr>
      <w:r>
        <w:t xml:space="preserve">当预报有台风入境时，气象部门加强对台风动态变化的实时跟踪监测预报，及时发布预警。受台风影响的地区防指加强值班值守，组织会商研判，必要时召开紧急会议，提前全面部署各项防范应对措施。 </w:t>
      </w:r>
    </w:p>
    <w:p w14:paraId="51271232">
      <w:pPr>
        <w:numPr>
          <w:ilvl w:val="0"/>
          <w:numId w:val="57"/>
        </w:numPr>
        <w:ind w:firstLineChars="0"/>
      </w:pPr>
      <w:r>
        <w:t>当出现险情和灾情时，由</w:t>
      </w:r>
      <w:r>
        <w:rPr>
          <w:rFonts w:hint="eastAsia"/>
        </w:rPr>
        <w:t>县防指</w:t>
      </w:r>
      <w:r>
        <w:t xml:space="preserve">统一指挥，职能部门各司其职，团结合作，及时处置险情，把保证人员安全放在首位。 </w:t>
      </w:r>
    </w:p>
    <w:p w14:paraId="4389E244">
      <w:pPr>
        <w:numPr>
          <w:ilvl w:val="0"/>
          <w:numId w:val="57"/>
        </w:numPr>
        <w:ind w:firstLineChars="0"/>
      </w:pPr>
      <w:r>
        <w:t>采取多种方式加强全社会动员与</w:t>
      </w:r>
      <w:r>
        <w:rPr>
          <w:rFonts w:hint="eastAsia"/>
        </w:rPr>
        <w:t>乡镇</w:t>
      </w:r>
      <w:r>
        <w:t xml:space="preserve">间协调，按照群防联动机制，落实自保避险措施。可能受淹地区、山洪灾害易发地区要加强监测预报预警，提高警惕，做好人员财产转移准备，落实应急措施。 </w:t>
      </w:r>
    </w:p>
    <w:p w14:paraId="6315C752">
      <w:pPr>
        <w:numPr>
          <w:ilvl w:val="0"/>
          <w:numId w:val="57"/>
        </w:numPr>
        <w:ind w:firstLineChars="0"/>
      </w:pPr>
      <w:r>
        <w:rPr>
          <w:rFonts w:hint="eastAsia"/>
        </w:rPr>
        <w:t>县</w:t>
      </w:r>
      <w:r>
        <w:t>防指督促有关</w:t>
      </w:r>
      <w:r>
        <w:rPr>
          <w:rFonts w:hint="eastAsia"/>
        </w:rPr>
        <w:t>乡镇</w:t>
      </w:r>
      <w:r>
        <w:t>和部门组织力量加强巡查，督促对病险堤防、水库、涵闸进行抢护或采取必要的紧急处置措施。台风可能明显影响的地区，超汛限水位的水库应及时将水位降到汛限水位以下，平原河网水位高的应适当预排。</w:t>
      </w:r>
      <w:r>
        <w:rPr>
          <w:rFonts w:hint="eastAsia"/>
        </w:rPr>
        <w:t>集贤水文站</w:t>
      </w:r>
      <w:r>
        <w:t xml:space="preserve">做好洪水测报的各项准备。 </w:t>
      </w:r>
    </w:p>
    <w:p w14:paraId="611B34D9">
      <w:pPr>
        <w:numPr>
          <w:ilvl w:val="0"/>
          <w:numId w:val="57"/>
        </w:numPr>
        <w:ind w:firstLineChars="0"/>
      </w:pPr>
      <w:r>
        <w:t>加强宣传引导，新闻媒体及时播放台风预警信息和防指的防御部署情况，台风来临前加固各类危旧住房、厂房、工棚、临时建筑、在建工程、市政公用设施、施工设施、脚手架、电线杆、树木、广告牌、铁塔等，千万不要在以上地方躲风避雨。台风天气尽量减少出行，关好门窗，将室外的物品搬进室内。景区、公园、游乐场、企事业等适时采取停止营业、关闭危险区、组织人员避险、停止户外集体活动等措施。</w:t>
      </w:r>
    </w:p>
    <w:p w14:paraId="2EF79822">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 xml:space="preserve">堤防决口、水闸垮塌、水库（水电站）垮坝 </w:t>
      </w:r>
    </w:p>
    <w:p w14:paraId="26081867">
      <w:pPr>
        <w:numPr>
          <w:ilvl w:val="0"/>
          <w:numId w:val="58"/>
        </w:numPr>
        <w:ind w:firstLineChars="0"/>
      </w:pPr>
      <w:r>
        <w:t>当出现堤防决口、水闸垮塌、水库（水电站）垮坝征兆时，防汛责任单位要迅速调集人力、物力全力组织抢险，尽可能控制险情，第一时间向预计淹没区域的有关基层人民政府和基层 组织发出警报，并及时向</w:t>
      </w:r>
      <w:r>
        <w:rPr>
          <w:rFonts w:hint="eastAsia"/>
        </w:rPr>
        <w:t>县防指</w:t>
      </w:r>
      <w:r>
        <w:t>和上级主管部门报告。中河干流堤防决口、水闸垮塌和中型水库（水电站）垮坝等事件应立即报告</w:t>
      </w:r>
      <w:r>
        <w:rPr>
          <w:rFonts w:hint="eastAsia"/>
        </w:rPr>
        <w:t>县</w:t>
      </w:r>
      <w:r>
        <w:t xml:space="preserve">防办。 </w:t>
      </w:r>
    </w:p>
    <w:p w14:paraId="26B2A992">
      <w:pPr>
        <w:numPr>
          <w:ilvl w:val="0"/>
          <w:numId w:val="58"/>
        </w:numPr>
        <w:ind w:firstLineChars="0"/>
      </w:pPr>
      <w:r>
        <w:t>堤防决口、水闸垮塌、水库（水电站）垮坝的应急处理， 由</w:t>
      </w:r>
      <w:r>
        <w:rPr>
          <w:rFonts w:hint="eastAsia"/>
        </w:rPr>
        <w:t>事发地防指</w:t>
      </w:r>
      <w:r>
        <w:t>负责，</w:t>
      </w:r>
      <w:r>
        <w:rPr>
          <w:rFonts w:hint="eastAsia"/>
        </w:rPr>
        <w:t>县</w:t>
      </w:r>
      <w:r>
        <w:t>水务</w:t>
      </w:r>
      <w:r>
        <w:rPr>
          <w:rFonts w:hint="eastAsia"/>
        </w:rPr>
        <w:t>局</w:t>
      </w:r>
      <w:r>
        <w:t>提供技术支撑。首先应迅速组织受影响群众转移，并视情况抢</w:t>
      </w:r>
      <w:r>
        <w:rPr>
          <w:rFonts w:hint="eastAsia"/>
        </w:rPr>
        <w:t>筑两道</w:t>
      </w:r>
      <w:r>
        <w:t xml:space="preserve">防线，控制洪水影响范围，尽可能减少灾害损失。必要时，向上级防指提出援助请求。 </w:t>
      </w:r>
    </w:p>
    <w:p w14:paraId="68EEC30D">
      <w:pPr>
        <w:numPr>
          <w:ilvl w:val="0"/>
          <w:numId w:val="58"/>
        </w:numPr>
        <w:ind w:firstLineChars="0"/>
      </w:pPr>
      <w:r>
        <w:rPr>
          <w:rFonts w:hint="eastAsia"/>
        </w:rPr>
        <w:t>县防指</w:t>
      </w:r>
      <w:r>
        <w:t xml:space="preserve">视情况在适当时机组织实施堤防堵口，按照权限调度有关水利工程，为实施堤防堵口创造条件，并明确堵口、抢护的行政、技术责任人，启动堵口、抢护应急预案，及时调集人力、物力迅速实施堵口、抢护。上级防指负责同志应立即带领专家赶赴现场指导。 </w:t>
      </w:r>
    </w:p>
    <w:p w14:paraId="5F2C6082">
      <w:pPr>
        <w:pStyle w:val="3"/>
      </w:pPr>
      <w:bookmarkStart w:id="258" w:name="_Toc17711"/>
      <w:r>
        <w:t>信息报送和处理</w:t>
      </w:r>
      <w:bookmarkEnd w:id="258"/>
      <w:r>
        <w:t xml:space="preserve"> </w:t>
      </w:r>
    </w:p>
    <w:p w14:paraId="621FF653">
      <w:pPr>
        <w:numPr>
          <w:ilvl w:val="0"/>
          <w:numId w:val="59"/>
        </w:numPr>
        <w:ind w:firstLineChars="0"/>
      </w:pPr>
      <w:r>
        <w:rPr>
          <w:rFonts w:hint="eastAsia"/>
        </w:rPr>
        <w:t>雨情、汛情、工情、险情、灾情及抢险救援行动等防汛信息由县防指统一核准，实行分级上报，归口处理，同级防指成员单位信息共享。行业主管部门上报县防指和上级主管部门的信息和数据必须确保口径一致，要对数据的真实性、准确性、关联性全面负责。</w:t>
      </w:r>
    </w:p>
    <w:p w14:paraId="25589EA1">
      <w:pPr>
        <w:numPr>
          <w:ilvl w:val="0"/>
          <w:numId w:val="59"/>
        </w:numPr>
        <w:ind w:firstLineChars="0"/>
      </w:pPr>
      <w:r>
        <w:rPr>
          <w:rFonts w:hint="eastAsia"/>
        </w:rPr>
        <w:t xml:space="preserve">防汛信息的报送按“快报事实、慎报原因、续报详情”的原则上报，因客观原因一时难以准确掌握的信息，应及时报告基本情况，同时抓紧了解情况，后续根据突发险情灾情发展过程和应急处置情况，及时进行续报，直至险情排除、灾情稳定或结束。可能导致水库垮坝、堤防决口、人员伤亡的重大险情灾情要一事一报、及时报告，杜绝在其他信息中一并上报。紧急情况下，可以采用电话或其他方式直接报告县防指。防汛信息不得迟报、谎报、瞒报和漏报。 </w:t>
      </w:r>
    </w:p>
    <w:p w14:paraId="22AE4B96">
      <w:pPr>
        <w:numPr>
          <w:ilvl w:val="0"/>
          <w:numId w:val="59"/>
        </w:numPr>
        <w:ind w:firstLineChars="0"/>
      </w:pPr>
      <w:r>
        <w:rPr>
          <w:rFonts w:hint="eastAsia"/>
        </w:rPr>
        <w:t xml:space="preserve">当河流发生洪水时，集贤水文站应加密监测频次，雨情、水情信息应在2小时内报到县防办，重要站点的水情信息应在30分钟内报到县防办，为县、乡镇两级防指决策提供依据。当预测即将发生严重洪水灾害时，县防指应及早通知有关乡镇做好相关准备工作。属一般性汛情、工情、险情、灾情及抢险救援等信息，按照分管权限，报送本级防指负责处理。凡因险情、灾情较重，按照分管权限一时难以处理，需上级帮助、指导处理的，经本级防指负责人审批后，可向上级防指和水务、应急部门报告。 </w:t>
      </w:r>
    </w:p>
    <w:p w14:paraId="0719247E">
      <w:pPr>
        <w:numPr>
          <w:ilvl w:val="0"/>
          <w:numId w:val="59"/>
        </w:numPr>
        <w:ind w:firstLineChars="0"/>
      </w:pPr>
      <w:r>
        <w:rPr>
          <w:rFonts w:hint="eastAsia"/>
        </w:rPr>
        <w:t xml:space="preserve">蚂蚁河干流重要堤防、穿堤涵闸、穿堤泵站等发生重大险情，属地防指立即统一组织工程管理单位和抢险队伍启动应急预案组织抢险，并在第一时间向可能淹没的有关区域预警。在险情发生后30分钟内报告上级主管部门和县防指，县防指在险情发生后1小时内报告县委、县政府和市防指。 </w:t>
      </w:r>
    </w:p>
    <w:p w14:paraId="5ACAB8E6">
      <w:pPr>
        <w:numPr>
          <w:ilvl w:val="0"/>
          <w:numId w:val="59"/>
        </w:numPr>
        <w:ind w:firstLineChars="0"/>
      </w:pPr>
      <w:r>
        <w:rPr>
          <w:rFonts w:hint="eastAsia"/>
        </w:rPr>
        <w:t xml:space="preserve">水库出现险情时，属地水库管理单位在第一时间向下游预警，并迅速处置险情，同时向上级主管部门和同级防指报告。 </w:t>
      </w:r>
    </w:p>
    <w:p w14:paraId="722A7A7E">
      <w:pPr>
        <w:ind w:firstLine="632"/>
      </w:pPr>
      <w:r>
        <w:t>中型水库发生的重大险情应在险情发生后第一时间报</w:t>
      </w:r>
      <w:r>
        <w:rPr>
          <w:rFonts w:hint="eastAsia"/>
        </w:rPr>
        <w:t>县</w:t>
      </w:r>
      <w:r>
        <w:t>防</w:t>
      </w:r>
      <w:r>
        <w:rPr>
          <w:rFonts w:hint="eastAsia"/>
        </w:rPr>
        <w:t>指</w:t>
      </w:r>
      <w:r>
        <w:t>，</w:t>
      </w:r>
      <w:r>
        <w:rPr>
          <w:rFonts w:hint="eastAsia"/>
        </w:rPr>
        <w:t>县</w:t>
      </w:r>
      <w:r>
        <w:t>防指在中型水库重大险情发生后1小时内报告</w:t>
      </w:r>
      <w:r>
        <w:rPr>
          <w:rFonts w:hint="eastAsia"/>
        </w:rPr>
        <w:t>县委县政府</w:t>
      </w:r>
      <w:r>
        <w:t>和</w:t>
      </w:r>
      <w:r>
        <w:rPr>
          <w:rFonts w:hint="eastAsia"/>
        </w:rPr>
        <w:t>市</w:t>
      </w:r>
      <w:r>
        <w:t xml:space="preserve">防指。 </w:t>
      </w:r>
    </w:p>
    <w:p w14:paraId="32065AF2">
      <w:pPr>
        <w:ind w:firstLine="632"/>
      </w:pPr>
      <w:r>
        <w:t>洪水灾情发生后，有关部门及时向</w:t>
      </w:r>
      <w:r>
        <w:rPr>
          <w:rFonts w:hint="eastAsia"/>
        </w:rPr>
        <w:t>县防指</w:t>
      </w:r>
      <w:r>
        <w:t>报告洪水受灾情况，</w:t>
      </w:r>
      <w:r>
        <w:rPr>
          <w:rFonts w:hint="eastAsia"/>
        </w:rPr>
        <w:t>县防指</w:t>
      </w:r>
      <w:r>
        <w:t>应收集动态灾情，全面掌握受灾情况，及时向同级政府和上级防指报告。对有人员伤亡和较大财产损失的灾情，应立即上报，重大灾情在灾害发生后30分钟内将初步情况报告</w:t>
      </w:r>
      <w:r>
        <w:rPr>
          <w:rFonts w:hint="eastAsia"/>
        </w:rPr>
        <w:t>县</w:t>
      </w:r>
      <w:r>
        <w:t>防指；</w:t>
      </w:r>
      <w:r>
        <w:rPr>
          <w:rFonts w:hint="eastAsia"/>
        </w:rPr>
        <w:t>县</w:t>
      </w:r>
      <w:r>
        <w:t>防指在灾情发生后1小时内报告</w:t>
      </w:r>
      <w:r>
        <w:rPr>
          <w:rFonts w:hint="eastAsia"/>
        </w:rPr>
        <w:t>县委县政府</w:t>
      </w:r>
      <w:r>
        <w:t>和</w:t>
      </w:r>
      <w:r>
        <w:rPr>
          <w:rFonts w:hint="eastAsia"/>
        </w:rPr>
        <w:t>市</w:t>
      </w:r>
      <w:r>
        <w:t xml:space="preserve">防指，并对实时灾情组织核实，核实后及时补充上报，为抗灾救灾提供准确依据。 </w:t>
      </w:r>
    </w:p>
    <w:p w14:paraId="151610EF">
      <w:pPr>
        <w:numPr>
          <w:ilvl w:val="0"/>
          <w:numId w:val="59"/>
        </w:numPr>
        <w:ind w:firstLineChars="0"/>
      </w:pPr>
      <w:r>
        <w:t>凡经本级或上级防指采用和发布的洪水灾害、工程抢险等信息，</w:t>
      </w:r>
      <w:r>
        <w:rPr>
          <w:rFonts w:hint="eastAsia"/>
        </w:rPr>
        <w:t>县</w:t>
      </w:r>
      <w:r>
        <w:t>水务、应急管理等有关部门应立即核查，对存在的问题，及时采取措施，切实加以解决。洪水灾害人员伤亡、重大险情及影响范围、处置措施等关键信息，必须严格按照</w:t>
      </w:r>
      <w:r>
        <w:rPr>
          <w:rFonts w:hint="eastAsia"/>
        </w:rPr>
        <w:t>市</w:t>
      </w:r>
      <w:r>
        <w:t>防指、</w:t>
      </w:r>
      <w:r>
        <w:rPr>
          <w:rFonts w:hint="eastAsia"/>
        </w:rPr>
        <w:t>县</w:t>
      </w:r>
      <w:r>
        <w:t>委</w:t>
      </w:r>
      <w:r>
        <w:rPr>
          <w:rFonts w:hint="eastAsia"/>
        </w:rPr>
        <w:t>县</w:t>
      </w:r>
      <w:r>
        <w:t>政府和</w:t>
      </w:r>
      <w:r>
        <w:rPr>
          <w:rFonts w:hint="eastAsia"/>
        </w:rPr>
        <w:t>县</w:t>
      </w:r>
      <w:r>
        <w:t>防指相关规定和灾害统计报告制度报送，不得虚报、瞒报、漏报、迟报。发生特别严重的汛情、险情、灾情时，立即报告</w:t>
      </w:r>
      <w:r>
        <w:rPr>
          <w:rFonts w:hint="eastAsia"/>
        </w:rPr>
        <w:t>县</w:t>
      </w:r>
      <w:r>
        <w:t>防指。</w:t>
      </w:r>
      <w:r>
        <w:rPr>
          <w:rFonts w:hint="eastAsia"/>
        </w:rPr>
        <w:t>县</w:t>
      </w:r>
      <w:r>
        <w:t>防指核实后立即报告</w:t>
      </w:r>
      <w:r>
        <w:rPr>
          <w:rFonts w:hint="eastAsia"/>
        </w:rPr>
        <w:t>县</w:t>
      </w:r>
      <w:r>
        <w:t>委</w:t>
      </w:r>
      <w:r>
        <w:rPr>
          <w:rFonts w:hint="eastAsia"/>
        </w:rPr>
        <w:t>县</w:t>
      </w:r>
      <w:r>
        <w:t>政府和</w:t>
      </w:r>
      <w:r>
        <w:rPr>
          <w:rFonts w:hint="eastAsia"/>
        </w:rPr>
        <w:t>市</w:t>
      </w:r>
      <w:r>
        <w:t xml:space="preserve">防指，并及时续报。 </w:t>
      </w:r>
    </w:p>
    <w:p w14:paraId="3D05C49E">
      <w:pPr>
        <w:pStyle w:val="3"/>
      </w:pPr>
      <w:bookmarkStart w:id="259" w:name="_Toc4931"/>
      <w:r>
        <w:t>指挥和调度</w:t>
      </w:r>
      <w:bookmarkEnd w:id="259"/>
      <w:r>
        <w:t xml:space="preserve"> </w:t>
      </w:r>
    </w:p>
    <w:p w14:paraId="006C1ABB">
      <w:pPr>
        <w:ind w:firstLine="632"/>
      </w:pPr>
      <w:r>
        <w:t xml:space="preserve">防汛工作实行各级人民政府行政首长负责制，实行统一指挥、分级分部门负责，组织、动员、调度本地区各有关单位和个人参加防汛抢险救灾，按照权限调度防洪工程。 </w:t>
      </w:r>
    </w:p>
    <w:p w14:paraId="2B1D4949">
      <w:pPr>
        <w:numPr>
          <w:ilvl w:val="0"/>
          <w:numId w:val="60"/>
        </w:numPr>
        <w:ind w:firstLineChars="0"/>
      </w:pPr>
      <w:r>
        <w:t>出现洪水灾害后，</w:t>
      </w:r>
      <w:r>
        <w:rPr>
          <w:rFonts w:hint="eastAsia"/>
        </w:rPr>
        <w:t>县</w:t>
      </w:r>
      <w:r>
        <w:t>防指应立即启动应急预案，并根据需要成立现场指挥部。在采取紧急措施的同时，向</w:t>
      </w:r>
      <w:r>
        <w:rPr>
          <w:rFonts w:hint="eastAsia"/>
        </w:rPr>
        <w:t>上一级</w:t>
      </w:r>
      <w:r>
        <w:t xml:space="preserve">防指报告。根据现场情况，及时收集、掌握相关信息，判明事件性质和危害程度，并及时上报事态发展变化情况。 </w:t>
      </w:r>
    </w:p>
    <w:p w14:paraId="2CADB706">
      <w:pPr>
        <w:numPr>
          <w:ilvl w:val="0"/>
          <w:numId w:val="60"/>
        </w:numPr>
        <w:ind w:firstLineChars="0"/>
      </w:pPr>
      <w:r>
        <w:rPr>
          <w:rFonts w:hint="eastAsia"/>
        </w:rPr>
        <w:t>县</w:t>
      </w:r>
      <w:r>
        <w:t xml:space="preserve">防指负责人和防汛各类责任人应迅速上岗到位，分析事件的性质，预测事态发展趋势和可能造成的危害程度，并按规定的处置程序，组织指挥有关部门和单位按照任务分工，迅速采取处置措施，控制事态发展。 </w:t>
      </w:r>
    </w:p>
    <w:p w14:paraId="4084B021">
      <w:pPr>
        <w:numPr>
          <w:ilvl w:val="0"/>
          <w:numId w:val="60"/>
        </w:numPr>
        <w:ind w:firstLineChars="0"/>
      </w:pPr>
      <w:r>
        <w:t>发生重大洪水灾害后，</w:t>
      </w:r>
      <w:r>
        <w:rPr>
          <w:rFonts w:hint="eastAsia"/>
        </w:rPr>
        <w:t>上级</w:t>
      </w:r>
      <w:r>
        <w:t xml:space="preserve">防指应派出由有关负责同志带队的工作组赶赴现场，加强指导，必要时成立前线指挥部。 </w:t>
      </w:r>
    </w:p>
    <w:p w14:paraId="07AEB219">
      <w:pPr>
        <w:pStyle w:val="3"/>
      </w:pPr>
      <w:bookmarkStart w:id="260" w:name="_Toc11146"/>
      <w:r>
        <w:t>抢险救灾</w:t>
      </w:r>
      <w:bookmarkEnd w:id="260"/>
      <w:r>
        <w:t xml:space="preserve"> </w:t>
      </w:r>
    </w:p>
    <w:p w14:paraId="2092B9A8">
      <w:pPr>
        <w:numPr>
          <w:ilvl w:val="0"/>
          <w:numId w:val="61"/>
        </w:numPr>
        <w:ind w:firstLineChars="0"/>
      </w:pPr>
      <w:r>
        <w:t>出现洪水灾害或防洪工程发生重大险情后，</w:t>
      </w:r>
      <w:r>
        <w:rPr>
          <w:rFonts w:hint="eastAsia"/>
        </w:rPr>
        <w:t>县</w:t>
      </w:r>
      <w:r>
        <w:t xml:space="preserve">防指应根据事件的性质，迅速对事件进行监控、追踪，按照预案立即提出紧急处置措施，统一指挥各部门和单位按照任务分工，各司其职，团结协作，快速反应，高效处置，最大程度减少损失。 </w:t>
      </w:r>
    </w:p>
    <w:p w14:paraId="3D850E2E">
      <w:pPr>
        <w:numPr>
          <w:ilvl w:val="0"/>
          <w:numId w:val="61"/>
        </w:numPr>
        <w:ind w:firstLineChars="0"/>
      </w:pPr>
      <w:r>
        <w:t>在汛期，河道、水库、水电站、闸坝、供排水等水工程管理单位必须按照规定对水工程进行巡查，发现险情，必须立即采取抢护措施，第一时间向预计淹没区域的有关基层人民政府和基层组织发出预警，并及时向</w:t>
      </w:r>
      <w:r>
        <w:rPr>
          <w:rFonts w:hint="eastAsia"/>
        </w:rPr>
        <w:t>县</w:t>
      </w:r>
      <w:r>
        <w:t xml:space="preserve">防指和上级主管部门报告相关信息。 </w:t>
      </w:r>
    </w:p>
    <w:p w14:paraId="2536903B">
      <w:pPr>
        <w:ind w:firstLine="632"/>
      </w:pPr>
      <w:r>
        <w:rPr>
          <w:rFonts w:hint="eastAsia"/>
        </w:rPr>
        <w:t>县</w:t>
      </w:r>
      <w:r>
        <w:t xml:space="preserve">电力、交通、通信、房屋和市政等工程设施因暴雨、洪水、内涝和台风发生险情时，工程管理单位应当立即采取抢护措施，并及时向其行业主管等有关部门报告；行业主管部门应当立即组织抢险，并将险情及抢险行动情况报告同级防指。 </w:t>
      </w:r>
    </w:p>
    <w:p w14:paraId="6453B5F6">
      <w:pPr>
        <w:ind w:firstLine="632"/>
      </w:pPr>
      <w:r>
        <w:t>当</w:t>
      </w:r>
      <w:r>
        <w:rPr>
          <w:rFonts w:hint="eastAsia"/>
        </w:rPr>
        <w:t>蚂蚁</w:t>
      </w:r>
      <w:r>
        <w:t>河达到警戒水位并继续上涨时，</w:t>
      </w:r>
      <w:r>
        <w:rPr>
          <w:rFonts w:hint="eastAsia"/>
        </w:rPr>
        <w:t>县</w:t>
      </w:r>
      <w:r>
        <w:t>防指应组织应急、水务等部门指导有关</w:t>
      </w:r>
      <w:r>
        <w:rPr>
          <w:rFonts w:hint="eastAsia"/>
        </w:rPr>
        <w:t>乡镇</w:t>
      </w:r>
      <w:r>
        <w:t>提前落实抢险队伍、抢险物资，</w:t>
      </w:r>
      <w:r>
        <w:rPr>
          <w:rFonts w:hint="eastAsia"/>
        </w:rPr>
        <w:t>相关乡镇政府</w:t>
      </w:r>
      <w:r>
        <w:t xml:space="preserve">适时开展巡堤查险及巡查值守，做好应急抢险和人员转移准备。 </w:t>
      </w:r>
    </w:p>
    <w:p w14:paraId="64149528">
      <w:pPr>
        <w:ind w:firstLine="632"/>
      </w:pPr>
      <w:r>
        <w:t>洪水灾害发生后，</w:t>
      </w:r>
      <w:r>
        <w:rPr>
          <w:rFonts w:hint="eastAsia"/>
        </w:rPr>
        <w:t>县</w:t>
      </w:r>
      <w:r>
        <w:t>水务</w:t>
      </w:r>
      <w:r>
        <w:rPr>
          <w:rFonts w:hint="eastAsia"/>
        </w:rPr>
        <w:t>局</w:t>
      </w:r>
      <w:r>
        <w:t>按照防指部署，派出水利技术专家组，协助属地</w:t>
      </w:r>
      <w:r>
        <w:rPr>
          <w:rFonts w:hint="eastAsia"/>
        </w:rPr>
        <w:t>乡镇</w:t>
      </w:r>
      <w:r>
        <w:t xml:space="preserve">政府和应急管理等有关部门开展险情处置，提供技术支持。 </w:t>
      </w:r>
    </w:p>
    <w:p w14:paraId="2E1C253A">
      <w:pPr>
        <w:numPr>
          <w:ilvl w:val="0"/>
          <w:numId w:val="61"/>
        </w:numPr>
        <w:ind w:firstLineChars="0"/>
      </w:pPr>
      <w:r>
        <w:rPr>
          <w:rFonts w:hint="eastAsia"/>
        </w:rPr>
        <w:t>蚂蚁</w:t>
      </w:r>
      <w:r>
        <w:t xml:space="preserve">河干流堤防决口的堵复、水库（水电站）重大险情的抢护应按照相关预案方案进行。 </w:t>
      </w:r>
    </w:p>
    <w:p w14:paraId="7A9E9715">
      <w:pPr>
        <w:numPr>
          <w:ilvl w:val="0"/>
          <w:numId w:val="61"/>
        </w:numPr>
        <w:ind w:firstLineChars="0"/>
      </w:pPr>
      <w:r>
        <w:t>必要时</w:t>
      </w:r>
      <w:r>
        <w:rPr>
          <w:rFonts w:hint="eastAsia"/>
        </w:rPr>
        <w:t>提请市防指</w:t>
      </w:r>
      <w:r>
        <w:t>协调解放军和武警部队增援，提请</w:t>
      </w:r>
      <w:r>
        <w:rPr>
          <w:rFonts w:hint="eastAsia"/>
        </w:rPr>
        <w:t>市</w:t>
      </w:r>
      <w:r>
        <w:t>防指提供帮助。</w:t>
      </w:r>
    </w:p>
    <w:p w14:paraId="3B977A3E">
      <w:pPr>
        <w:pStyle w:val="3"/>
      </w:pPr>
      <w:bookmarkStart w:id="261" w:name="_Toc2655"/>
      <w:r>
        <w:t>安全防护和医疗救护</w:t>
      </w:r>
      <w:bookmarkEnd w:id="261"/>
      <w:r>
        <w:t xml:space="preserve"> </w:t>
      </w:r>
    </w:p>
    <w:p w14:paraId="752AC4BD">
      <w:pPr>
        <w:numPr>
          <w:ilvl w:val="0"/>
          <w:numId w:val="62"/>
        </w:numPr>
        <w:ind w:firstLineChars="0"/>
      </w:pPr>
      <w:r>
        <w:rPr>
          <w:rFonts w:hint="eastAsia"/>
        </w:rPr>
        <w:t>县、乡镇两级</w:t>
      </w:r>
      <w:r>
        <w:t xml:space="preserve">人民政府和防指应高度重视应急抢险救援救灾人员的安全，调集和储备必要的防护器材、消毒药品、备用电源和抢救伤员必备的器械等，以备随时应用。 </w:t>
      </w:r>
    </w:p>
    <w:p w14:paraId="7D64748A">
      <w:pPr>
        <w:numPr>
          <w:ilvl w:val="0"/>
          <w:numId w:val="62"/>
        </w:numPr>
        <w:ind w:firstLineChars="0"/>
      </w:pPr>
      <w:r>
        <w:t xml:space="preserve">抢险人员进入和撤出现场由防指视情况作出决定。抢险人员进入受安全威胁的现场前，应采取防护措施以保证自身安全。参加一线防汛抢险救灾的人员，必须携带必要的安全防护器具，参加一线抗洪抢险的人员必须穿救生衣。当现场受到污染时，应按要求为抢险人员配备防护设施，撤离时应进行消毒、去污处理。 </w:t>
      </w:r>
    </w:p>
    <w:p w14:paraId="4CC937E2">
      <w:pPr>
        <w:numPr>
          <w:ilvl w:val="0"/>
          <w:numId w:val="62"/>
        </w:numPr>
        <w:ind w:firstLineChars="0"/>
      </w:pPr>
      <w:r>
        <w:t xml:space="preserve">出现洪水灾害后，事发地防指应及时做好群众的救援、转移和疏散工作。 </w:t>
      </w:r>
    </w:p>
    <w:p w14:paraId="7B6E835A">
      <w:pPr>
        <w:numPr>
          <w:ilvl w:val="0"/>
          <w:numId w:val="62"/>
        </w:numPr>
        <w:ind w:firstLineChars="0"/>
      </w:pPr>
      <w:r>
        <w:t xml:space="preserve">事发地防指应按照当地人民政府和上级领导机构的指令，及时发布通告，防止人、畜进入危险区域或饮用被污染的水源。 </w:t>
      </w:r>
    </w:p>
    <w:p w14:paraId="4E4025EC">
      <w:pPr>
        <w:numPr>
          <w:ilvl w:val="0"/>
          <w:numId w:val="62"/>
        </w:numPr>
        <w:ind w:firstLineChars="0"/>
      </w:pPr>
      <w:r>
        <w:t xml:space="preserve">当地人民政府负责妥善安置受灾群众，提供紧急避难场所，保证基本生活。要加强管理，防止转移群众擅自返回。 </w:t>
      </w:r>
    </w:p>
    <w:p w14:paraId="2386EB1E">
      <w:pPr>
        <w:numPr>
          <w:ilvl w:val="0"/>
          <w:numId w:val="62"/>
        </w:numPr>
        <w:ind w:firstLineChars="0"/>
      </w:pPr>
      <w:r>
        <w:t>出现洪水灾害后，事发地人民政府和</w:t>
      </w:r>
      <w:r>
        <w:rPr>
          <w:rFonts w:hint="eastAsia"/>
        </w:rPr>
        <w:t>县</w:t>
      </w:r>
      <w:r>
        <w:t>防指应组织</w:t>
      </w:r>
      <w:r>
        <w:rPr>
          <w:rFonts w:hint="eastAsia"/>
        </w:rPr>
        <w:t>县卫生健康管理局</w:t>
      </w:r>
      <w:r>
        <w:t xml:space="preserve">加强受影响地区的传染病和突发公共卫生事件监测、报告工作，落实各项防控措施，必要时派出卫生应急小分队，设立现场医疗点，开展紧急医学救援、灾后卫生防疫和应急心理干预等工作。 </w:t>
      </w:r>
    </w:p>
    <w:p w14:paraId="17B5B802">
      <w:pPr>
        <w:pStyle w:val="3"/>
      </w:pPr>
      <w:bookmarkStart w:id="262" w:name="_Toc10577"/>
      <w:r>
        <w:t>社会力量动员与参与</w:t>
      </w:r>
      <w:bookmarkEnd w:id="262"/>
      <w:r>
        <w:t xml:space="preserve"> </w:t>
      </w:r>
    </w:p>
    <w:p w14:paraId="4C574F63">
      <w:pPr>
        <w:numPr>
          <w:ilvl w:val="0"/>
          <w:numId w:val="63"/>
        </w:numPr>
        <w:ind w:firstLineChars="0"/>
      </w:pPr>
      <w:r>
        <w:t>出现洪水灾害后，事发地防指可根据事件的性质和危害程度，报经</w:t>
      </w:r>
      <w:r>
        <w:rPr>
          <w:rFonts w:hint="eastAsia"/>
        </w:rPr>
        <w:t>县</w:t>
      </w:r>
      <w:r>
        <w:t xml:space="preserve">人民政府批准，对重点地区和重点部位实施紧急控制，防止事态及其危害进一步扩大。 </w:t>
      </w:r>
    </w:p>
    <w:p w14:paraId="653CE1CA">
      <w:pPr>
        <w:numPr>
          <w:ilvl w:val="0"/>
          <w:numId w:val="63"/>
        </w:numPr>
        <w:ind w:firstLineChars="0"/>
      </w:pPr>
      <w:r>
        <w:t>必要时可通过</w:t>
      </w:r>
      <w:r>
        <w:rPr>
          <w:rFonts w:hint="eastAsia"/>
        </w:rPr>
        <w:t>县</w:t>
      </w:r>
      <w:r>
        <w:t xml:space="preserve">人民政府广泛调动社会力量积极参与应急突发事件处置，紧急情况下可依法征用、调用交通工具、物资、人员等，全力投入防汛抗灾救灾。 </w:t>
      </w:r>
    </w:p>
    <w:p w14:paraId="6037F973">
      <w:pPr>
        <w:pStyle w:val="3"/>
      </w:pPr>
      <w:bookmarkStart w:id="263" w:name="_Toc17108"/>
      <w:r>
        <w:t>信息发布</w:t>
      </w:r>
      <w:bookmarkEnd w:id="263"/>
      <w:r>
        <w:t xml:space="preserve"> </w:t>
      </w:r>
    </w:p>
    <w:p w14:paraId="17B85C28">
      <w:pPr>
        <w:numPr>
          <w:ilvl w:val="0"/>
          <w:numId w:val="64"/>
        </w:numPr>
        <w:ind w:firstLineChars="0"/>
      </w:pPr>
      <w:r>
        <w:t>防汛信息发布应当及时、准确、客观、全面。对雨情、汛情、灾情描述要科学严谨，未经论证不得使用“千年一遇”“万年一遇”等用语，在防汛抢险救灾中也不得使用“战时状态”等表述。</w:t>
      </w:r>
    </w:p>
    <w:p w14:paraId="0F469ECD">
      <w:pPr>
        <w:numPr>
          <w:ilvl w:val="0"/>
          <w:numId w:val="64"/>
        </w:numPr>
        <w:ind w:firstLineChars="0"/>
      </w:pPr>
      <w:r>
        <w:t>防汛及抢险救灾等信息，由县防指审核和发布；涉及灾情的，由</w:t>
      </w:r>
      <w:r>
        <w:rPr>
          <w:rFonts w:hint="eastAsia"/>
        </w:rPr>
        <w:t>县应急管理局</w:t>
      </w:r>
      <w:r>
        <w:t>审核和发布；涉及军队的，由军队有关部门审核和发布。</w:t>
      </w:r>
    </w:p>
    <w:p w14:paraId="537EDAF3">
      <w:pPr>
        <w:numPr>
          <w:ilvl w:val="0"/>
          <w:numId w:val="64"/>
        </w:numPr>
        <w:ind w:firstLineChars="0"/>
      </w:pPr>
      <w:r>
        <w:t xml:space="preserve">信息发布形式主要包括授权发布、编发新闻稿、组织报道、接受记者采访、举行新闻发布会等。 </w:t>
      </w:r>
    </w:p>
    <w:p w14:paraId="21BF1F84">
      <w:pPr>
        <w:pStyle w:val="3"/>
      </w:pPr>
      <w:bookmarkStart w:id="264" w:name="_Toc22833"/>
      <w:r>
        <w:t>应急响应终止</w:t>
      </w:r>
      <w:bookmarkEnd w:id="264"/>
      <w:r>
        <w:t xml:space="preserve"> </w:t>
      </w:r>
    </w:p>
    <w:p w14:paraId="3F9ED2C1">
      <w:pPr>
        <w:numPr>
          <w:ilvl w:val="0"/>
          <w:numId w:val="65"/>
        </w:numPr>
        <w:ind w:firstLineChars="0"/>
      </w:pPr>
      <w:r>
        <w:t>当洪水灾害得到有效控制时，</w:t>
      </w:r>
      <w:r>
        <w:rPr>
          <w:rFonts w:hint="eastAsia"/>
        </w:rPr>
        <w:t>县</w:t>
      </w:r>
      <w:r>
        <w:t xml:space="preserve">防指可视汛情宣布终止紧急防汛期、终止应急响应。 </w:t>
      </w:r>
    </w:p>
    <w:p w14:paraId="43DD8F92">
      <w:pPr>
        <w:numPr>
          <w:ilvl w:val="0"/>
          <w:numId w:val="65"/>
        </w:numPr>
        <w:ind w:firstLineChars="0"/>
      </w:pPr>
      <w:r>
        <w:t>四级、三级应急响应的终止由</w:t>
      </w:r>
      <w:r>
        <w:rPr>
          <w:rFonts w:hint="eastAsia"/>
        </w:rPr>
        <w:t>县</w:t>
      </w:r>
      <w:r>
        <w:t>防办根据情况提出请示，报</w:t>
      </w:r>
      <w:r>
        <w:rPr>
          <w:rFonts w:hint="eastAsia"/>
        </w:rPr>
        <w:t>县</w:t>
      </w:r>
      <w:r>
        <w:t>防指</w:t>
      </w:r>
      <w:r>
        <w:rPr>
          <w:rFonts w:hint="eastAsia"/>
        </w:rPr>
        <w:t>常务</w:t>
      </w:r>
      <w:r>
        <w:t>副总指挥批准，以</w:t>
      </w:r>
      <w:r>
        <w:rPr>
          <w:rFonts w:hint="eastAsia"/>
        </w:rPr>
        <w:t>县</w:t>
      </w:r>
      <w:r>
        <w:t>防指名义发布；二级、一级应急响应的终止由</w:t>
      </w:r>
      <w:r>
        <w:rPr>
          <w:rFonts w:hint="eastAsia"/>
        </w:rPr>
        <w:t>县</w:t>
      </w:r>
      <w:r>
        <w:t>防办根据情况提出请示，报</w:t>
      </w:r>
      <w:r>
        <w:rPr>
          <w:rFonts w:hint="eastAsia"/>
        </w:rPr>
        <w:t>县</w:t>
      </w:r>
      <w:r>
        <w:t>防指总指挥批准，以</w:t>
      </w:r>
      <w:r>
        <w:rPr>
          <w:rFonts w:hint="eastAsia"/>
        </w:rPr>
        <w:t>县</w:t>
      </w:r>
      <w:r>
        <w:t xml:space="preserve">防指名义发布。 </w:t>
      </w:r>
    </w:p>
    <w:p w14:paraId="3C9BA441">
      <w:pPr>
        <w:numPr>
          <w:ilvl w:val="0"/>
          <w:numId w:val="65"/>
        </w:numPr>
        <w:ind w:firstLineChars="0"/>
      </w:pPr>
      <w:r>
        <w:t>紧急处置工作结束后，</w:t>
      </w:r>
      <w:r>
        <w:rPr>
          <w:rFonts w:hint="eastAsia"/>
        </w:rPr>
        <w:t>县</w:t>
      </w:r>
      <w:r>
        <w:t>防指应协助当地</w:t>
      </w:r>
      <w:r>
        <w:rPr>
          <w:rFonts w:hint="eastAsia"/>
        </w:rPr>
        <w:t>乡镇</w:t>
      </w:r>
      <w:r>
        <w:t xml:space="preserve">人民政府进一步恢复正常生产生活秩序，指导有关部门修复水毁基础设施，尽可能减少突发事件带来的损失和影响。 </w:t>
      </w:r>
    </w:p>
    <w:p w14:paraId="79740D5B">
      <w:pPr>
        <w:pStyle w:val="2"/>
        <w:numPr>
          <w:ilvl w:val="0"/>
          <w:numId w:val="22"/>
        </w:numPr>
        <w:tabs>
          <w:tab w:val="left" w:pos="0"/>
        </w:tabs>
        <w:rPr>
          <w:sz w:val="32"/>
          <w:szCs w:val="32"/>
        </w:rPr>
      </w:pPr>
      <w:bookmarkStart w:id="265" w:name="_Toc23450"/>
      <w:r>
        <w:rPr>
          <w:sz w:val="32"/>
          <w:szCs w:val="32"/>
        </w:rPr>
        <w:t>应急保障</w:t>
      </w:r>
      <w:bookmarkEnd w:id="265"/>
      <w:r>
        <w:rPr>
          <w:sz w:val="32"/>
          <w:szCs w:val="32"/>
        </w:rPr>
        <w:t xml:space="preserve"> </w:t>
      </w:r>
    </w:p>
    <w:p w14:paraId="7566E23D">
      <w:pPr>
        <w:pStyle w:val="3"/>
      </w:pPr>
      <w:bookmarkStart w:id="266" w:name="_Toc31060"/>
      <w:r>
        <w:t>通信与信息保障</w:t>
      </w:r>
      <w:bookmarkEnd w:id="266"/>
      <w:r>
        <w:t xml:space="preserve"> </w:t>
      </w:r>
    </w:p>
    <w:p w14:paraId="6B0379D0">
      <w:pPr>
        <w:numPr>
          <w:ilvl w:val="0"/>
          <w:numId w:val="66"/>
        </w:numPr>
        <w:ind w:firstLineChars="0"/>
      </w:pPr>
      <w:r>
        <w:t xml:space="preserve">任何通信运营单位都有依法保障防汛信息畅通的责任。 </w:t>
      </w:r>
    </w:p>
    <w:p w14:paraId="78E079F9">
      <w:pPr>
        <w:numPr>
          <w:ilvl w:val="0"/>
          <w:numId w:val="66"/>
        </w:numPr>
        <w:ind w:firstLineChars="0"/>
      </w:pPr>
      <w:r>
        <w:rPr>
          <w:rFonts w:hint="eastAsia"/>
        </w:rPr>
        <w:t>县</w:t>
      </w:r>
      <w:r>
        <w:t>防指应按照以公用通信网为主的原则，合理利用专用通信网络，防汛工程管理单位必须</w:t>
      </w:r>
      <w:r>
        <w:rPr>
          <w:rFonts w:hint="eastAsia"/>
        </w:rPr>
        <w:t>配备通信</w:t>
      </w:r>
      <w:r>
        <w:t xml:space="preserve">设施，确保信息畅通。 </w:t>
      </w:r>
    </w:p>
    <w:p w14:paraId="21369E1C">
      <w:pPr>
        <w:numPr>
          <w:ilvl w:val="0"/>
          <w:numId w:val="66"/>
        </w:numPr>
        <w:ind w:firstLineChars="0"/>
      </w:pPr>
      <w:r>
        <w:rPr>
          <w:rFonts w:hint="eastAsia"/>
        </w:rPr>
        <w:t>县</w:t>
      </w:r>
      <w:r>
        <w:t>防指应协调</w:t>
      </w:r>
      <w:r>
        <w:rPr>
          <w:rFonts w:hint="eastAsia"/>
        </w:rPr>
        <w:t>县工业信息科技局</w:t>
      </w:r>
      <w:r>
        <w:t xml:space="preserve">，按照防汛实际需要，将有关要求纳入通信保障应急预案。出现突发事件后，县工业信息科技局应根据通信保障应急预案，迅速调集力量抢修损坏的通信设施，努力保证防汛通信畅通。必要时，调度应急通信队伍、装备，为防汛抗洪和现场指挥提供通信保障， </w:t>
      </w:r>
    </w:p>
    <w:p w14:paraId="77BB95E2">
      <w:pPr>
        <w:numPr>
          <w:ilvl w:val="0"/>
          <w:numId w:val="66"/>
        </w:numPr>
        <w:ind w:firstLineChars="0"/>
      </w:pPr>
      <w:r>
        <w:t>在紧急情况下，应充分利用广播、电视和新媒体、微信以及手机短信等手段及时发布防汛防台风预报预警信息，通知群众快速撤离，确保人民生命安全。</w:t>
      </w:r>
      <w:r>
        <w:rPr>
          <w:rFonts w:hint="eastAsia"/>
        </w:rPr>
        <w:t>县</w:t>
      </w:r>
      <w:r>
        <w:t xml:space="preserve">公共广播、电视、有关政府网站等媒体以及基础电信企业应按主管部门要求发布防汛防台风预报预警等信息。 </w:t>
      </w:r>
    </w:p>
    <w:p w14:paraId="50AB99F6">
      <w:pPr>
        <w:pStyle w:val="3"/>
      </w:pPr>
      <w:bookmarkStart w:id="267" w:name="_Toc4343"/>
      <w:r>
        <w:t>应急支援与装备保障</w:t>
      </w:r>
      <w:bookmarkEnd w:id="267"/>
      <w:r>
        <w:t xml:space="preserve"> </w:t>
      </w:r>
    </w:p>
    <w:p w14:paraId="15978C16">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 xml:space="preserve">现场救援和工程抢险保障 </w:t>
      </w:r>
    </w:p>
    <w:p w14:paraId="176065E7">
      <w:pPr>
        <w:numPr>
          <w:ilvl w:val="0"/>
          <w:numId w:val="67"/>
        </w:numPr>
        <w:ind w:firstLineChars="0"/>
      </w:pPr>
      <w:r>
        <w:t>对重点险工险段或易出险的水利工程设施，</w:t>
      </w:r>
      <w:r>
        <w:rPr>
          <w:rFonts w:hint="eastAsia"/>
        </w:rPr>
        <w:t>县</w:t>
      </w:r>
      <w:r>
        <w:t>水务</w:t>
      </w:r>
      <w:r>
        <w:rPr>
          <w:rFonts w:hint="eastAsia"/>
        </w:rPr>
        <w:t>局</w:t>
      </w:r>
      <w:r>
        <w:t xml:space="preserve">应提前编制工程应急抢险方案，以备紧急情况下因险施策；当出现新的险情后，县水务局应派工程技术人员赶赴现场，研究优化除险方案，并由防汛行政首长负责组织实施。 </w:t>
      </w:r>
    </w:p>
    <w:p w14:paraId="7639824B">
      <w:pPr>
        <w:numPr>
          <w:ilvl w:val="0"/>
          <w:numId w:val="67"/>
        </w:numPr>
        <w:ind w:firstLineChars="0"/>
      </w:pPr>
      <w:r>
        <w:rPr>
          <w:rFonts w:hint="eastAsia"/>
        </w:rPr>
        <w:t>县、乡镇防指</w:t>
      </w:r>
      <w:r>
        <w:t xml:space="preserve">和防洪工程管理单位以及受洪水威胁的其他单位储备的常规抢险机械设备、物资和救生器材，应能满足抢险急需。 </w:t>
      </w:r>
    </w:p>
    <w:p w14:paraId="70575BF6">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 xml:space="preserve">应急队伍保障 </w:t>
      </w:r>
    </w:p>
    <w:p w14:paraId="427A6E26">
      <w:pPr>
        <w:numPr>
          <w:ilvl w:val="0"/>
          <w:numId w:val="68"/>
        </w:numPr>
        <w:ind w:firstLineChars="0"/>
      </w:pPr>
      <w:r>
        <w:t xml:space="preserve">任何单位和个人都有依法参加防汛抗洪的义务。 </w:t>
      </w:r>
    </w:p>
    <w:p w14:paraId="4FA47D0F">
      <w:pPr>
        <w:numPr>
          <w:ilvl w:val="0"/>
          <w:numId w:val="68"/>
        </w:numPr>
        <w:ind w:firstLineChars="0"/>
      </w:pPr>
      <w:r>
        <w:t>防汛抢险队伍分为专业抢险队伍和非专业抢险队伍。国家综合性消防救援队伍、解放军和武警部队抗洪抢险应急专业力量、民兵应急专业救援队伍、部门和地方以及</w:t>
      </w:r>
      <w:r>
        <w:rPr>
          <w:rFonts w:hint="eastAsia" w:eastAsia="仿宋" w:cs="宋体"/>
        </w:rPr>
        <w:t>各类规模企业（含国企、央企）</w:t>
      </w:r>
      <w:r>
        <w:t xml:space="preserve">组建的专业抢险队伍作为常备力量或突击力量，主要完成急、难、险、重的抢险任务；非专业抢险队伍主要为抢险提供劳动力，完成对抢险技术设备要求不高的抢险任务。 </w:t>
      </w:r>
    </w:p>
    <w:p w14:paraId="5A94F04B">
      <w:pPr>
        <w:numPr>
          <w:ilvl w:val="0"/>
          <w:numId w:val="68"/>
        </w:numPr>
        <w:ind w:firstLineChars="0"/>
      </w:pPr>
      <w:r>
        <w:t xml:space="preserve">调动防汛抢险队伍程序：一是本级防指管理的防汛抢险队伍，由本级防指负责调动。二是上级防指管理的防汛抢险队伍，由事发地防指向上级防指提出支援申请，由上级防指批准。三是同级其他区域防指管理的防汛抢险队伍，由本级防指向上级防指提出调动申请，上级防指协商调动。国家综合性消防救援队伍调动按应急部有关规定执行。 </w:t>
      </w:r>
    </w:p>
    <w:p w14:paraId="5D5D3908">
      <w:pPr>
        <w:numPr>
          <w:ilvl w:val="0"/>
          <w:numId w:val="68"/>
        </w:numPr>
        <w:ind w:firstLineChars="0"/>
      </w:pPr>
      <w:r>
        <w:rPr>
          <w:rFonts w:hint="eastAsia"/>
        </w:rPr>
        <w:t>县、乡镇</w:t>
      </w:r>
      <w:r>
        <w:t xml:space="preserve">防指、有关部门和单位应当为巡堤巡河巡库查险、应急抢险救援人员配备必要的防护装备和器材，购买人身意外伤害保险。相关专家应为抢险救援人员提供安全防护方面的专业技术指导。 </w:t>
      </w:r>
    </w:p>
    <w:p w14:paraId="72375AA2">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 xml:space="preserve">供电保障 </w:t>
      </w:r>
    </w:p>
    <w:p w14:paraId="71C2FBE3">
      <w:pPr>
        <w:ind w:firstLine="632"/>
      </w:pPr>
      <w:r>
        <w:t xml:space="preserve">电力管理部门主要负责抗洪抢险、抢排渍涝、生命线工程运行、防汛指挥机构、通信单位、安置点、应急避难场所等方面的供电保障和应急救援现场的临时供电。 </w:t>
      </w:r>
    </w:p>
    <w:p w14:paraId="5D278B77">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 xml:space="preserve">交通运输保障 </w:t>
      </w:r>
    </w:p>
    <w:p w14:paraId="766927D2">
      <w:pPr>
        <w:ind w:firstLine="632"/>
      </w:pPr>
      <w:r>
        <w:rPr>
          <w:rFonts w:hint="eastAsia"/>
        </w:rPr>
        <w:t>县</w:t>
      </w:r>
      <w:r>
        <w:t>交通运输</w:t>
      </w:r>
      <w:r>
        <w:rPr>
          <w:rFonts w:hint="eastAsia"/>
        </w:rPr>
        <w:t>局</w:t>
      </w:r>
      <w:r>
        <w:t xml:space="preserve">主要负责优先保证防汛抢险人员、防汛救灾物资运输；负责群众安全转移所需车辆的调配；负责大洪水时用于抢险、救灾车辆的及时调配。 </w:t>
      </w:r>
    </w:p>
    <w:p w14:paraId="163DA3B9">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 xml:space="preserve">医疗救援保障 </w:t>
      </w:r>
    </w:p>
    <w:p w14:paraId="7C18936A">
      <w:pPr>
        <w:ind w:firstLine="632"/>
      </w:pPr>
      <w:r>
        <w:rPr>
          <w:rFonts w:hint="eastAsia"/>
        </w:rPr>
        <w:t>县卫生健康管理局</w:t>
      </w:r>
      <w:r>
        <w:t xml:space="preserve">主要负责洪水灾区疾病防治的业务技术指导；组织卫生应急队伍或专家赴灾区，开展伤病人员救治，指导灾区开展卫生防疫和应急心理干预等工作。 </w:t>
      </w:r>
    </w:p>
    <w:p w14:paraId="26B857CD">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 xml:space="preserve">治安保障 </w:t>
      </w:r>
    </w:p>
    <w:p w14:paraId="127157D1">
      <w:pPr>
        <w:ind w:firstLine="632"/>
      </w:pPr>
      <w:r>
        <w:rPr>
          <w:rFonts w:hint="eastAsia"/>
        </w:rPr>
        <w:t>县</w:t>
      </w:r>
      <w:r>
        <w:t>公安</w:t>
      </w:r>
      <w:r>
        <w:rPr>
          <w:rFonts w:hint="eastAsia"/>
        </w:rPr>
        <w:t>局</w:t>
      </w:r>
      <w:r>
        <w:t xml:space="preserve">依法做好洪水区治安管理、交通秩序维护工作，依法严厉打击破坏抗洪抢险行动和工程设施安全的行为，维护灾区社会秩序，保证防汛抗洪抢险救灾顺利进行。 </w:t>
      </w:r>
    </w:p>
    <w:p w14:paraId="09A3A89C">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 xml:space="preserve">物资保障 </w:t>
      </w:r>
    </w:p>
    <w:p w14:paraId="404DFF21">
      <w:pPr>
        <w:ind w:firstLine="632"/>
        <w:rPr>
          <w:rFonts w:ascii="仿宋_GB2312" w:hAnsi="仿宋_GB2312" w:cs="仿宋_GB2312"/>
        </w:rPr>
      </w:pPr>
      <w:r>
        <w:rPr>
          <w:rFonts w:hint="eastAsia" w:ascii="仿宋_GB2312" w:hAnsi="仿宋_GB2312" w:cs="仿宋_GB2312"/>
        </w:rPr>
        <w:t xml:space="preserve">县财政、应急管理等部门应按国家有关规定依照各自职责，加强衔接配合，做好防汛物资规划计划、资金保障、储备管理、调拨使用等工作，优化收储轮换及日常管理，提高物资使用效率。 </w:t>
      </w:r>
    </w:p>
    <w:p w14:paraId="44A3CA86">
      <w:pPr>
        <w:pStyle w:val="5"/>
        <w:numPr>
          <w:ilvl w:val="3"/>
          <w:numId w:val="22"/>
        </w:numPr>
      </w:pPr>
      <w:r>
        <w:rPr>
          <w:rFonts w:hint="eastAsia"/>
        </w:rPr>
        <w:t xml:space="preserve">物资储备 </w:t>
      </w:r>
    </w:p>
    <w:p w14:paraId="00CDC8CC">
      <w:pPr>
        <w:numPr>
          <w:ilvl w:val="0"/>
          <w:numId w:val="69"/>
        </w:numPr>
        <w:ind w:firstLine="632"/>
        <w:rPr>
          <w:rFonts w:ascii="仿宋_GB2312" w:hAnsi="仿宋_GB2312" w:cs="仿宋_GB2312"/>
        </w:rPr>
      </w:pPr>
      <w:r>
        <w:rPr>
          <w:rFonts w:hint="eastAsia" w:ascii="仿宋_GB2312" w:hAnsi="仿宋_GB2312" w:cs="仿宋_GB2312"/>
        </w:rPr>
        <w:t xml:space="preserve">重点防洪工程管理单位以及受洪水威胁的其他单位应按规范储备防汛抢险物资。县、乡镇防指以及有关防指成员单位要做好应急抢险物资储备和保障有关工作，了解掌握新材料、新设备、新技术、新工艺的更新换代情况，及时调整储备物资品种，提高科技含量。 </w:t>
      </w:r>
    </w:p>
    <w:p w14:paraId="113F48E6">
      <w:pPr>
        <w:numPr>
          <w:ilvl w:val="0"/>
          <w:numId w:val="69"/>
        </w:numPr>
        <w:ind w:firstLine="632"/>
        <w:rPr>
          <w:rFonts w:ascii="仿宋_GB2312" w:hAnsi="仿宋_GB2312" w:cs="仿宋_GB2312"/>
        </w:rPr>
      </w:pPr>
      <w:r>
        <w:rPr>
          <w:rFonts w:hint="eastAsia" w:ascii="仿宋_GB2312" w:hAnsi="仿宋_GB2312" w:cs="仿宋_GB2312"/>
        </w:rPr>
        <w:t>县级防汛物资主要用于解决遭受重大及以上洪水灾害地区防汛抢险应急物资不足，保障蚂蚁河及其重要防洪设施抗洪抢险、防汛救灾需要。</w:t>
      </w:r>
    </w:p>
    <w:p w14:paraId="0A181609">
      <w:pPr>
        <w:numPr>
          <w:ilvl w:val="0"/>
          <w:numId w:val="69"/>
        </w:numPr>
        <w:ind w:firstLine="632"/>
        <w:rPr>
          <w:rFonts w:ascii="仿宋_GB2312" w:hAnsi="仿宋_GB2312" w:cs="仿宋_GB2312"/>
        </w:rPr>
      </w:pPr>
      <w:r>
        <w:rPr>
          <w:rFonts w:hint="eastAsia" w:ascii="仿宋_GB2312" w:hAnsi="仿宋_GB2312" w:cs="仿宋_GB2312"/>
        </w:rPr>
        <w:t>洪水灾害频繁发生地区可通过政府购买服务方式解决空中、水上应急抢险救援大型设备（装备）需求，承接主体应当具有国家相关专业资质。</w:t>
      </w:r>
    </w:p>
    <w:p w14:paraId="7AC27DFE">
      <w:pPr>
        <w:numPr>
          <w:ilvl w:val="0"/>
          <w:numId w:val="69"/>
        </w:numPr>
        <w:ind w:firstLine="632"/>
        <w:rPr>
          <w:rFonts w:ascii="仿宋_GB2312" w:hAnsi="仿宋_GB2312" w:cs="仿宋_GB2312"/>
        </w:rPr>
      </w:pPr>
      <w:r>
        <w:rPr>
          <w:rFonts w:hint="eastAsia" w:ascii="仿宋_GB2312" w:hAnsi="仿宋_GB2312" w:cs="仿宋_GB2312"/>
        </w:rPr>
        <w:t xml:space="preserve">县、乡镇防指根据规范储备的防汛抢险物资品种和数量，结合本地抗洪抢险具体情况确定。 </w:t>
      </w:r>
    </w:p>
    <w:p w14:paraId="323D236E">
      <w:pPr>
        <w:pStyle w:val="5"/>
        <w:numPr>
          <w:ilvl w:val="3"/>
          <w:numId w:val="22"/>
        </w:numPr>
      </w:pPr>
      <w:r>
        <w:rPr>
          <w:rFonts w:hint="eastAsia"/>
        </w:rPr>
        <w:t xml:space="preserve">物资调拨 </w:t>
      </w:r>
    </w:p>
    <w:p w14:paraId="0AD3A544">
      <w:pPr>
        <w:numPr>
          <w:ilvl w:val="0"/>
          <w:numId w:val="70"/>
        </w:numPr>
        <w:ind w:firstLine="632"/>
        <w:rPr>
          <w:rFonts w:ascii="仿宋_GB2312" w:hAnsi="仿宋_GB2312" w:cs="仿宋_GB2312"/>
        </w:rPr>
      </w:pPr>
      <w:r>
        <w:rPr>
          <w:rFonts w:hint="eastAsia" w:ascii="仿宋_GB2312" w:hAnsi="仿宋_GB2312" w:cs="仿宋_GB2312"/>
        </w:rPr>
        <w:t xml:space="preserve">县级防汛物资调拨在坚持就近调拨和保证抢险需求的同时，应优先调用周边仓库接近储备年限的物资，尽量避免或减少物资报废。当有多处申请调用县级防汛物资时，应优先保证重点地区的防汛抢险应急物资需求。 </w:t>
      </w:r>
    </w:p>
    <w:p w14:paraId="28BA7B00">
      <w:pPr>
        <w:numPr>
          <w:ilvl w:val="0"/>
          <w:numId w:val="70"/>
        </w:numPr>
        <w:ind w:firstLine="632"/>
        <w:rPr>
          <w:rFonts w:ascii="仿宋_GB2312" w:hAnsi="仿宋_GB2312" w:cs="仿宋_GB2312"/>
        </w:rPr>
      </w:pPr>
      <w:r>
        <w:rPr>
          <w:rFonts w:hint="eastAsia" w:ascii="仿宋_GB2312" w:hAnsi="仿宋_GB2312" w:cs="仿宋_GB2312"/>
        </w:rPr>
        <w:t xml:space="preserve">县级防汛物资调拨程序：由乡镇级防指向县防指提出申请，经批准后，由县防办下达调令。 </w:t>
      </w:r>
    </w:p>
    <w:p w14:paraId="64E73A07">
      <w:pPr>
        <w:numPr>
          <w:ilvl w:val="0"/>
          <w:numId w:val="70"/>
        </w:numPr>
        <w:ind w:firstLine="632"/>
        <w:rPr>
          <w:rFonts w:ascii="仿宋_GB2312" w:hAnsi="仿宋_GB2312" w:cs="仿宋_GB2312"/>
        </w:rPr>
      </w:pPr>
      <w:r>
        <w:rPr>
          <w:rFonts w:hint="eastAsia" w:ascii="仿宋_GB2312" w:hAnsi="仿宋_GB2312" w:cs="仿宋_GB2312"/>
        </w:rPr>
        <w:t xml:space="preserve">当储备物资消耗过多，不能满足抗洪抢险救灾需要时，应及时启动防汛物资生产流程和生产能力储备，紧急调运、生产所需物资，必要时可向社会公开征集。 </w:t>
      </w:r>
    </w:p>
    <w:p w14:paraId="66DFE7CD">
      <w:pPr>
        <w:numPr>
          <w:ilvl w:val="0"/>
          <w:numId w:val="70"/>
        </w:numPr>
        <w:ind w:firstLine="632"/>
        <w:rPr>
          <w:rFonts w:ascii="仿宋_GB2312" w:hAnsi="仿宋_GB2312" w:cs="仿宋_GB2312"/>
        </w:rPr>
      </w:pPr>
      <w:r>
        <w:rPr>
          <w:rFonts w:hint="eastAsia" w:ascii="仿宋_GB2312" w:hAnsi="仿宋_GB2312" w:cs="仿宋_GB2312"/>
        </w:rPr>
        <w:t xml:space="preserve">需要调用市级防汛物资支援时，由县防指提请市防指，按下达调令计划安排组织防汛物资调拨、使用、管理及返还。 </w:t>
      </w:r>
    </w:p>
    <w:p w14:paraId="79F54746">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 xml:space="preserve">资金保障 </w:t>
      </w:r>
    </w:p>
    <w:p w14:paraId="5E653E4D">
      <w:pPr>
        <w:ind w:firstLine="632"/>
      </w:pPr>
      <w:r>
        <w:t>县</w:t>
      </w:r>
      <w:r>
        <w:rPr>
          <w:rFonts w:hint="eastAsia"/>
        </w:rPr>
        <w:t>、乡镇</w:t>
      </w:r>
      <w:r>
        <w:t>人民政府应当在本级财政预算中对防汛资金统筹安排。</w:t>
      </w:r>
      <w:r>
        <w:rPr>
          <w:rFonts w:hint="eastAsia"/>
        </w:rPr>
        <w:t>用于</w:t>
      </w:r>
      <w:r>
        <w:t>支持洪水灾害地区开展防汛抗洪抢险救灾工作。</w:t>
      </w:r>
    </w:p>
    <w:p w14:paraId="40EE973B">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 xml:space="preserve">社会动员保障 </w:t>
      </w:r>
    </w:p>
    <w:p w14:paraId="24CB7888">
      <w:pPr>
        <w:numPr>
          <w:ilvl w:val="0"/>
          <w:numId w:val="71"/>
        </w:numPr>
        <w:ind w:firstLineChars="0"/>
      </w:pPr>
      <w:r>
        <w:t xml:space="preserve">防汛是社会公益性事业，任何单位和个人都有保护防汛工程设施和参加抗洪抢险的义务。 </w:t>
      </w:r>
    </w:p>
    <w:p w14:paraId="22696E8E">
      <w:pPr>
        <w:numPr>
          <w:ilvl w:val="0"/>
          <w:numId w:val="71"/>
        </w:numPr>
        <w:ind w:firstLineChars="0"/>
      </w:pPr>
      <w:r>
        <w:t>汛期，各级防指应根据</w:t>
      </w:r>
      <w:r>
        <w:rPr>
          <w:rFonts w:hint="eastAsia"/>
        </w:rPr>
        <w:t>洪水灾害</w:t>
      </w:r>
      <w:r>
        <w:t xml:space="preserve">的发展，做好动员工作，组织社会力量投入防汛抗洪抢险。 </w:t>
      </w:r>
    </w:p>
    <w:p w14:paraId="27F90B36">
      <w:pPr>
        <w:numPr>
          <w:ilvl w:val="0"/>
          <w:numId w:val="71"/>
        </w:numPr>
        <w:ind w:firstLineChars="0"/>
      </w:pPr>
      <w:r>
        <w:t>各级防指成员单位，在发生</w:t>
      </w:r>
      <w:r>
        <w:rPr>
          <w:rFonts w:hint="eastAsia"/>
        </w:rPr>
        <w:t>洪水灾害</w:t>
      </w:r>
      <w:r>
        <w:t xml:space="preserve">期间，应按照分工，特事特办，急事急办，解决防汛实际问题，同时充分调动本系统力量，全力支持抗灾救灾和灾后重建工作。 </w:t>
      </w:r>
    </w:p>
    <w:p w14:paraId="61E38D40">
      <w:pPr>
        <w:numPr>
          <w:ilvl w:val="0"/>
          <w:numId w:val="71"/>
        </w:numPr>
        <w:ind w:firstLineChars="0"/>
      </w:pPr>
      <w:r>
        <w:t xml:space="preserve">各级人民政府应加强对防汛工作的统一领导，组织有关部门和单位，动员全社会力量，做好防汛工作。在防汛关键时刻，各级防汛行政首长应靠前指挥，组织广大干部群众奋力抗灾减灾。 </w:t>
      </w:r>
    </w:p>
    <w:p w14:paraId="3C2689BA">
      <w:pPr>
        <w:numPr>
          <w:ilvl w:val="0"/>
          <w:numId w:val="71"/>
        </w:numPr>
        <w:ind w:firstLineChars="0"/>
      </w:pPr>
      <w:r>
        <w:t xml:space="preserve">各级人民政府应制定政策措施，鼓励社会专业队伍参与防汛抢险救灾工作。 </w:t>
      </w:r>
    </w:p>
    <w:p w14:paraId="0DA629BB">
      <w:pPr>
        <w:pStyle w:val="3"/>
      </w:pPr>
      <w:bookmarkStart w:id="268" w:name="_Toc6276"/>
      <w:r>
        <w:t>技术保障</w:t>
      </w:r>
      <w:bookmarkEnd w:id="268"/>
      <w:r>
        <w:t xml:space="preserve"> </w:t>
      </w:r>
    </w:p>
    <w:p w14:paraId="1071AA05">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 xml:space="preserve">信息技术支撑 </w:t>
      </w:r>
    </w:p>
    <w:p w14:paraId="6519AB6C">
      <w:pPr>
        <w:numPr>
          <w:ilvl w:val="0"/>
          <w:numId w:val="72"/>
        </w:numPr>
        <w:ind w:firstLineChars="0"/>
      </w:pPr>
      <w:r>
        <w:t xml:space="preserve">加强防汛信息化建设。在充分利用防指各成员单位既有成果的基础上，组织加强信息化建设，促进互联互通，建立信息共享机制。 </w:t>
      </w:r>
    </w:p>
    <w:p w14:paraId="02098974">
      <w:pPr>
        <w:numPr>
          <w:ilvl w:val="0"/>
          <w:numId w:val="72"/>
        </w:numPr>
        <w:ind w:firstLineChars="0"/>
      </w:pPr>
      <w:r>
        <w:t>完善协同配合和衔接机制。</w:t>
      </w:r>
      <w:r>
        <w:rPr>
          <w:rFonts w:hint="eastAsia"/>
        </w:rPr>
        <w:t>县</w:t>
      </w:r>
      <w:r>
        <w:t>防指会同</w:t>
      </w:r>
      <w:r>
        <w:rPr>
          <w:rFonts w:hint="eastAsia"/>
        </w:rPr>
        <w:t>县自然</w:t>
      </w:r>
      <w:r>
        <w:t xml:space="preserve">资源、住建、水务、气象、水文等有关部门建立统一的应急管理信息平台和定期会商与信息共享机制，共同分析研判雨情、汛情和险情、灾情，实时共享相关监测预报预警和重要调度信息。 </w:t>
      </w:r>
    </w:p>
    <w:p w14:paraId="19A4FD76">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 xml:space="preserve">专家支撑 </w:t>
      </w:r>
    </w:p>
    <w:p w14:paraId="6E6CBDFF">
      <w:pPr>
        <w:ind w:firstLine="632"/>
      </w:pPr>
      <w:r>
        <w:t>当发生</w:t>
      </w:r>
      <w:r>
        <w:rPr>
          <w:rFonts w:hint="eastAsia"/>
        </w:rPr>
        <w:t>洪水灾害</w:t>
      </w:r>
      <w:r>
        <w:t>时，</w:t>
      </w:r>
      <w:r>
        <w:rPr>
          <w:rFonts w:hint="eastAsia"/>
        </w:rPr>
        <w:t>专家组</w:t>
      </w:r>
      <w:r>
        <w:t>由</w:t>
      </w:r>
      <w:r>
        <w:rPr>
          <w:rFonts w:hint="eastAsia"/>
        </w:rPr>
        <w:t>县</w:t>
      </w:r>
      <w:r>
        <w:t xml:space="preserve">防指统一调度，派出专家组指导防汛抗洪抢险工作。水务等相关部门承担抢险救灾技术支撑工作。 </w:t>
      </w:r>
    </w:p>
    <w:p w14:paraId="7471BE8A">
      <w:pPr>
        <w:pStyle w:val="3"/>
      </w:pPr>
      <w:bookmarkStart w:id="269" w:name="_Toc29615"/>
      <w:r>
        <w:t>宣传</w:t>
      </w:r>
      <w:bookmarkEnd w:id="269"/>
      <w:r>
        <w:t xml:space="preserve"> </w:t>
      </w:r>
    </w:p>
    <w:p w14:paraId="45F99D8F">
      <w:pPr>
        <w:numPr>
          <w:ilvl w:val="0"/>
          <w:numId w:val="73"/>
        </w:numPr>
        <w:ind w:firstLineChars="0"/>
        <w:rPr>
          <w:rFonts w:ascii="仿宋_GB2312" w:hAnsi="仿宋_GB2312" w:cs="仿宋_GB2312"/>
        </w:rPr>
      </w:pPr>
      <w:r>
        <w:rPr>
          <w:rFonts w:hint="eastAsia" w:ascii="仿宋_GB2312" w:hAnsi="仿宋_GB2312" w:cs="仿宋_GB2312"/>
        </w:rPr>
        <w:t xml:space="preserve">县、乡镇防指要重视宣传舆论引导工作。各级防办要把防汛宣传工作纳入议事日程，建立宣传工作机制，指定专人负责，加强与有关宣传机构的协作配合。 </w:t>
      </w:r>
    </w:p>
    <w:p w14:paraId="1CB48091">
      <w:pPr>
        <w:numPr>
          <w:ilvl w:val="0"/>
          <w:numId w:val="73"/>
        </w:numPr>
        <w:ind w:firstLineChars="0"/>
        <w:rPr>
          <w:rFonts w:ascii="仿宋_GB2312" w:hAnsi="仿宋_GB2312" w:cs="仿宋_GB2312"/>
        </w:rPr>
      </w:pPr>
      <w:r>
        <w:rPr>
          <w:rFonts w:hint="eastAsia" w:ascii="仿宋_GB2312" w:hAnsi="仿宋_GB2312" w:cs="仿宋_GB2312"/>
        </w:rPr>
        <w:t xml:space="preserve">县、乡镇防指要及时准确向社会通报防汛工作情况及洪水灾害信息。汛情形势严峻时期要加大防汛宣传工作力度，建立舆情监测机制，加强舆情引导和正面宣传，及时澄清虚假信息，为防汛抗洪工作营造良好氛围。 </w:t>
      </w:r>
    </w:p>
    <w:p w14:paraId="59366662">
      <w:pPr>
        <w:numPr>
          <w:ilvl w:val="0"/>
          <w:numId w:val="73"/>
        </w:numPr>
        <w:ind w:firstLineChars="0"/>
      </w:pPr>
      <w:r>
        <w:t>发生重特大洪涝（台风）灾害时，</w:t>
      </w:r>
      <w:r>
        <w:rPr>
          <w:rFonts w:hint="eastAsia"/>
        </w:rPr>
        <w:t>县</w:t>
      </w:r>
      <w:r>
        <w:t xml:space="preserve">防指要按有关规定及时向社会和媒体通报情况，并根据事态发展及时召开新闻发布会，发布有关情况；对防汛形势、抢险救援、人员伤亡、经济损失、灾区秩序、群众生活等社会普遍关注的热点问题，要主动回应社会关切。对防汛救灾专业知识，要组织专家科学解读，有针对性解疑释惑。 </w:t>
      </w:r>
    </w:p>
    <w:p w14:paraId="7376E501">
      <w:pPr>
        <w:pStyle w:val="3"/>
      </w:pPr>
      <w:bookmarkStart w:id="270" w:name="_Toc13615"/>
      <w:r>
        <w:t>培训和演练</w:t>
      </w:r>
      <w:bookmarkEnd w:id="270"/>
      <w:r>
        <w:t xml:space="preserve"> </w:t>
      </w:r>
    </w:p>
    <w:p w14:paraId="2B964BDB">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 xml:space="preserve">培训 </w:t>
      </w:r>
    </w:p>
    <w:p w14:paraId="454B5F05">
      <w:pPr>
        <w:numPr>
          <w:ilvl w:val="0"/>
          <w:numId w:val="16"/>
        </w:numPr>
        <w:ind w:firstLineChars="0"/>
      </w:pPr>
      <w:r>
        <w:t>按照分级负责的原则，各级防指实施防汛业务知识与技能培训。</w:t>
      </w:r>
      <w:r>
        <w:rPr>
          <w:rFonts w:hint="eastAsia"/>
        </w:rPr>
        <w:t>县</w:t>
      </w:r>
      <w:r>
        <w:t>防指负责</w:t>
      </w:r>
      <w:r>
        <w:rPr>
          <w:rFonts w:hint="eastAsia"/>
        </w:rPr>
        <w:t>乡镇</w:t>
      </w:r>
      <w:r>
        <w:t>防指负责人及其办公室工作人员、防汛抢险专业队伍负责人和防汛抢险技术骨干的培训；</w:t>
      </w:r>
      <w:r>
        <w:rPr>
          <w:rFonts w:hint="eastAsia"/>
        </w:rPr>
        <w:t>乡镇</w:t>
      </w:r>
      <w:r>
        <w:t>防指负责</w:t>
      </w:r>
      <w:r>
        <w:rPr>
          <w:rFonts w:hint="eastAsia"/>
        </w:rPr>
        <w:t>村屯</w:t>
      </w:r>
      <w:r>
        <w:t>防汛负责人、防汛抢险技术人员的培训。</w:t>
      </w:r>
    </w:p>
    <w:p w14:paraId="6A82F1BA">
      <w:pPr>
        <w:numPr>
          <w:ilvl w:val="0"/>
          <w:numId w:val="16"/>
        </w:numPr>
        <w:ind w:firstLineChars="0"/>
      </w:pPr>
      <w:r>
        <w:t>培训工作应做到合理规范课程、严格考核、分类指导，保证培训工作质量。</w:t>
      </w:r>
    </w:p>
    <w:p w14:paraId="4EE68A0B">
      <w:pPr>
        <w:numPr>
          <w:ilvl w:val="0"/>
          <w:numId w:val="16"/>
        </w:numPr>
        <w:ind w:firstLineChars="0"/>
      </w:pPr>
      <w:r>
        <w:t xml:space="preserve">培训工作应结合实际，采取多种组织形式，定期与不定期相结合，每年汛前至少组织一次培训。 </w:t>
      </w:r>
    </w:p>
    <w:p w14:paraId="7CE79571">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演练</w:t>
      </w:r>
    </w:p>
    <w:p w14:paraId="32B04F59">
      <w:pPr>
        <w:numPr>
          <w:ilvl w:val="0"/>
          <w:numId w:val="74"/>
        </w:numPr>
        <w:ind w:firstLineChars="0"/>
      </w:pPr>
      <w:r>
        <w:rPr>
          <w:rFonts w:hint="eastAsia"/>
        </w:rPr>
        <w:t>县、乡镇</w:t>
      </w:r>
      <w:r>
        <w:t xml:space="preserve">防指应定期举行不同类型的应急演练，以检验、改善和强化应急准备和应急响应能力。 </w:t>
      </w:r>
    </w:p>
    <w:p w14:paraId="26F54373">
      <w:pPr>
        <w:numPr>
          <w:ilvl w:val="0"/>
          <w:numId w:val="74"/>
        </w:numPr>
        <w:ind w:firstLineChars="0"/>
      </w:pPr>
      <w:r>
        <w:t xml:space="preserve">专业抢险队伍、水工程运行管理单位必须针对当地和水工程易发生的各类险情有针对性地每年进行抗洪抢险演练。 </w:t>
      </w:r>
    </w:p>
    <w:p w14:paraId="60B6E86B">
      <w:pPr>
        <w:numPr>
          <w:ilvl w:val="0"/>
          <w:numId w:val="74"/>
        </w:numPr>
        <w:ind w:firstLineChars="0"/>
      </w:pPr>
      <w:r>
        <w:t>多个部门联合进行的专业演练，一般2～3年举行一次，由</w:t>
      </w:r>
      <w:r>
        <w:rPr>
          <w:rFonts w:hint="eastAsia"/>
        </w:rPr>
        <w:t>县</w:t>
      </w:r>
      <w:r>
        <w:t xml:space="preserve">防指负责组织。 </w:t>
      </w:r>
    </w:p>
    <w:p w14:paraId="76EFD220">
      <w:pPr>
        <w:pStyle w:val="2"/>
        <w:numPr>
          <w:ilvl w:val="0"/>
          <w:numId w:val="22"/>
        </w:numPr>
        <w:tabs>
          <w:tab w:val="left" w:pos="0"/>
        </w:tabs>
        <w:rPr>
          <w:sz w:val="32"/>
          <w:szCs w:val="32"/>
        </w:rPr>
      </w:pPr>
      <w:bookmarkStart w:id="271" w:name="_Toc15960"/>
      <w:r>
        <w:rPr>
          <w:sz w:val="32"/>
          <w:szCs w:val="32"/>
        </w:rPr>
        <w:t>善后工作</w:t>
      </w:r>
      <w:bookmarkEnd w:id="271"/>
      <w:r>
        <w:rPr>
          <w:sz w:val="32"/>
          <w:szCs w:val="32"/>
        </w:rPr>
        <w:t xml:space="preserve"> </w:t>
      </w:r>
    </w:p>
    <w:p w14:paraId="6C2C88E6">
      <w:pPr>
        <w:ind w:firstLine="632"/>
      </w:pPr>
      <w:r>
        <w:t>发生</w:t>
      </w:r>
      <w:r>
        <w:rPr>
          <w:rFonts w:hint="eastAsia"/>
        </w:rPr>
        <w:t>洪水灾害</w:t>
      </w:r>
      <w:r>
        <w:t xml:space="preserve">的地方政府应组织有关部门做好灾区生活供给、卫生防疫、救灾物资供应、治安管理、学校复课、水毁修复、恢复生产、重建家园等善后工作。 </w:t>
      </w:r>
    </w:p>
    <w:p w14:paraId="044E9BCF">
      <w:pPr>
        <w:ind w:firstLine="632"/>
      </w:pPr>
      <w:r>
        <w:t xml:space="preserve">依照有关紧急防汛期规定，征用调用的物资、设备、交通运输工具和人力等，在应急处置结束后应当及时归还；造成损坏或者无法归还的，按照国务院有关规定给予适当补偿或者作其他处理。取土占地、砍伐林木的，在汛期结束后依法向有关部门补办手续；有关地方人民政府对取土后的土地组织复垦，对砍伐的林木组织补种。 </w:t>
      </w:r>
    </w:p>
    <w:p w14:paraId="526183A9">
      <w:pPr>
        <w:pStyle w:val="3"/>
      </w:pPr>
      <w:bookmarkStart w:id="272" w:name="_Toc9679"/>
      <w:r>
        <w:t>救灾</w:t>
      </w:r>
      <w:bookmarkEnd w:id="272"/>
      <w:r>
        <w:t xml:space="preserve"> </w:t>
      </w:r>
    </w:p>
    <w:p w14:paraId="4D038D91">
      <w:pPr>
        <w:numPr>
          <w:ilvl w:val="0"/>
          <w:numId w:val="18"/>
        </w:numPr>
        <w:ind w:firstLineChars="0"/>
      </w:pPr>
      <w:r>
        <w:rPr>
          <w:rFonts w:hint="eastAsia"/>
        </w:rPr>
        <w:t xml:space="preserve">发生重大灾情时，灾区人民政府负责灾害救助的组织、协调和指挥工作。 </w:t>
      </w:r>
    </w:p>
    <w:p w14:paraId="00CB3776">
      <w:pPr>
        <w:numPr>
          <w:ilvl w:val="0"/>
          <w:numId w:val="18"/>
        </w:numPr>
        <w:ind w:firstLineChars="0"/>
      </w:pPr>
      <w:r>
        <w:rPr>
          <w:rFonts w:hint="eastAsia"/>
        </w:rPr>
        <w:t xml:space="preserve">县应急管理局负责受灾群众基本生活救助，会同有关部门及时调拨救灾款物，组织安置受灾群众，保障受灾群众基本生活，组织开展救灾捐赠，保证受灾群众有饭吃、有衣穿、有干净水喝、有临时安全住处、有医疗服务。 </w:t>
      </w:r>
    </w:p>
    <w:p w14:paraId="6A315651">
      <w:pPr>
        <w:numPr>
          <w:ilvl w:val="0"/>
          <w:numId w:val="18"/>
        </w:numPr>
        <w:ind w:firstLineChars="0"/>
      </w:pPr>
      <w:r>
        <w:rPr>
          <w:rFonts w:hint="eastAsia"/>
        </w:rPr>
        <w:t xml:space="preserve">县卫生健康局负责调配卫生应急力量，开展灾区伤病人员医疗救治，指导对污染源进行消毒处理，指导落实灾后各项卫生防疫措施，严防灾区传染病疫情发生。 </w:t>
      </w:r>
    </w:p>
    <w:p w14:paraId="46A2F0F8">
      <w:pPr>
        <w:numPr>
          <w:ilvl w:val="0"/>
          <w:numId w:val="18"/>
        </w:numPr>
        <w:ind w:firstLineChars="0"/>
      </w:pPr>
      <w:r>
        <w:rPr>
          <w:rFonts w:hint="eastAsia"/>
        </w:rPr>
        <w:t xml:space="preserve">县住房和城乡建设局负责做好因灾倒损民房的恢复重建。 </w:t>
      </w:r>
    </w:p>
    <w:p w14:paraId="25A9ACD4">
      <w:pPr>
        <w:numPr>
          <w:ilvl w:val="0"/>
          <w:numId w:val="18"/>
        </w:numPr>
        <w:ind w:firstLineChars="0"/>
      </w:pPr>
      <w:r>
        <w:rPr>
          <w:rFonts w:hint="eastAsia"/>
        </w:rPr>
        <w:t xml:space="preserve">当地人民政府应组织对可能造成环境污染的污染物进行清除。 </w:t>
      </w:r>
    </w:p>
    <w:p w14:paraId="21A35D0D">
      <w:pPr>
        <w:pStyle w:val="3"/>
      </w:pPr>
      <w:bookmarkStart w:id="273" w:name="_Toc25285"/>
      <w:r>
        <w:t>防汛物资补充</w:t>
      </w:r>
      <w:bookmarkEnd w:id="273"/>
      <w:r>
        <w:t xml:space="preserve"> </w:t>
      </w:r>
    </w:p>
    <w:p w14:paraId="3809A3EC">
      <w:pPr>
        <w:numPr>
          <w:ilvl w:val="0"/>
          <w:numId w:val="19"/>
        </w:numPr>
        <w:ind w:firstLine="632"/>
      </w:pPr>
      <w:r>
        <w:rPr>
          <w:rFonts w:hint="eastAsia"/>
        </w:rPr>
        <w:t>各镇根据县防汛指挥部下达的防汛物资储备最低限额，参照相关内容及方式储备防汛物资，建立物资统计清单，并编号储备，确保“用时有、能找到”。</w:t>
      </w:r>
    </w:p>
    <w:p w14:paraId="4EFB8DE8">
      <w:pPr>
        <w:numPr>
          <w:ilvl w:val="0"/>
          <w:numId w:val="19"/>
        </w:numPr>
        <w:ind w:firstLine="632"/>
      </w:pPr>
      <w:r>
        <w:rPr>
          <w:rFonts w:hint="eastAsia"/>
        </w:rPr>
        <w:t>汛期物资储备要保证最低保险储量。当因灾使用减少时，责任单位要随时补充，不得低于保险储量。</w:t>
      </w:r>
    </w:p>
    <w:p w14:paraId="50F6339A">
      <w:pPr>
        <w:numPr>
          <w:ilvl w:val="0"/>
          <w:numId w:val="19"/>
        </w:numPr>
        <w:ind w:firstLine="632"/>
      </w:pPr>
      <w:r>
        <w:rPr>
          <w:rFonts w:hint="eastAsia"/>
        </w:rPr>
        <w:t>物资使用与管理。由县、乡镇防汛办会同责任单位签订物资储备合同，共同制定具体管理办法，并由专人负责管理。</w:t>
      </w:r>
    </w:p>
    <w:p w14:paraId="0CE458B6">
      <w:pPr>
        <w:pStyle w:val="3"/>
      </w:pPr>
      <w:bookmarkStart w:id="274" w:name="_Toc7488"/>
      <w:r>
        <w:t>水毁工程修复</w:t>
      </w:r>
      <w:bookmarkEnd w:id="274"/>
      <w:r>
        <w:t xml:space="preserve"> </w:t>
      </w:r>
    </w:p>
    <w:p w14:paraId="20154853">
      <w:pPr>
        <w:ind w:firstLine="632"/>
      </w:pPr>
      <w:r>
        <w:rPr>
          <w:rFonts w:hint="eastAsia"/>
        </w:rPr>
        <w:t>水毁水利设施的修复，按照轻重缓急，制定落实修复计划，确保在下次洪水来临前恢复防汛功能。</w:t>
      </w:r>
    </w:p>
    <w:p w14:paraId="51215032">
      <w:pPr>
        <w:pStyle w:val="3"/>
      </w:pPr>
      <w:bookmarkStart w:id="275" w:name="_Toc30571"/>
      <w:r>
        <w:t>灾后重建</w:t>
      </w:r>
      <w:bookmarkEnd w:id="275"/>
      <w:r>
        <w:t xml:space="preserve"> </w:t>
      </w:r>
    </w:p>
    <w:p w14:paraId="395BB90D">
      <w:pPr>
        <w:numPr>
          <w:ilvl w:val="0"/>
          <w:numId w:val="20"/>
        </w:numPr>
        <w:ind w:firstLine="632"/>
      </w:pPr>
      <w:r>
        <w:rPr>
          <w:rFonts w:hint="eastAsia"/>
        </w:rPr>
        <w:t>电力设施抢修。由国网集贤供电公司负责。受灾较轻的区域，原则上12小时内恢复供电；受灾较为严重、抢修任务较重的区域，确保48小时内全面恢复供电。</w:t>
      </w:r>
    </w:p>
    <w:p w14:paraId="517ED3DC">
      <w:pPr>
        <w:numPr>
          <w:ilvl w:val="0"/>
          <w:numId w:val="20"/>
        </w:numPr>
        <w:ind w:firstLine="632"/>
      </w:pPr>
      <w:r>
        <w:rPr>
          <w:rFonts w:hint="eastAsia"/>
        </w:rPr>
        <w:t>供水设施抢修。由县水务局牵头，灾害发生镇配合。受灾较轻的区域，原则上12小时内恢复供水；受灾较为严重、抢修任务较重的区域，力争在24小时恢复供水。</w:t>
      </w:r>
    </w:p>
    <w:p w14:paraId="39D69389">
      <w:pPr>
        <w:numPr>
          <w:ilvl w:val="0"/>
          <w:numId w:val="20"/>
        </w:numPr>
        <w:ind w:firstLine="632"/>
      </w:pPr>
      <w:r>
        <w:rPr>
          <w:rFonts w:hint="eastAsia"/>
        </w:rPr>
        <w:t>通讯设施抢修。由电信、移动、联通集贤分公司负责。受灾较轻的区域，原则上12小时内恢复通信；受灾较为严重、抢修任务较重的区域，力争在24小时内实现通讯畅通。</w:t>
      </w:r>
    </w:p>
    <w:p w14:paraId="3BA09DDB">
      <w:pPr>
        <w:numPr>
          <w:ilvl w:val="0"/>
          <w:numId w:val="20"/>
        </w:numPr>
        <w:ind w:firstLine="632"/>
      </w:pPr>
      <w:r>
        <w:rPr>
          <w:rFonts w:hint="eastAsia"/>
        </w:rPr>
        <w:t>道路抢通。国道由县公路段牵头，县镇村三级道路由县交通局牵头，灾害发生镇配合。受灾较轻的区域，原则上12小时内恢复交通；受灾较为严重、抢修任务较重的区域，通村便道力争在受灾当天抢通，主要道路力争在5天内全面恢复通车。</w:t>
      </w:r>
    </w:p>
    <w:p w14:paraId="14C8B2D4">
      <w:pPr>
        <w:pStyle w:val="3"/>
      </w:pPr>
      <w:bookmarkStart w:id="276" w:name="_Toc29444"/>
      <w:r>
        <w:t>防汛工作评价与灾害评估</w:t>
      </w:r>
      <w:bookmarkEnd w:id="276"/>
      <w:r>
        <w:t xml:space="preserve"> </w:t>
      </w:r>
    </w:p>
    <w:p w14:paraId="0AB7CE11">
      <w:pPr>
        <w:ind w:firstLine="632"/>
        <w:rPr>
          <w:rFonts w:ascii="仿宋_GB2312" w:hAnsi="仿宋_GB2312" w:cs="仿宋_GB2312"/>
        </w:rPr>
      </w:pPr>
      <w:r>
        <w:rPr>
          <w:rFonts w:hint="eastAsia" w:ascii="仿宋_GB2312" w:hAnsi="仿宋_GB2312" w:cs="仿宋_GB2312"/>
        </w:rPr>
        <w:t xml:space="preserve">（1）重大灾害发生后，县防指组织有关单位和专家对灾害防御工作进行复盘评估，分析原因，总结经验。总结情况要及时报上一级防指。 </w:t>
      </w:r>
    </w:p>
    <w:p w14:paraId="4129E78B">
      <w:pPr>
        <w:ind w:firstLine="632"/>
        <w:rPr>
          <w:color w:val="FF0000"/>
          <w:highlight w:val="yellow"/>
        </w:rPr>
      </w:pPr>
      <w:r>
        <w:rPr>
          <w:rFonts w:hint="eastAsia" w:ascii="仿宋_GB2312" w:hAnsi="仿宋_GB2312" w:cs="仿宋_GB2312"/>
        </w:rPr>
        <w:t xml:space="preserve">（2）县应急管理部门按照有关规定组织开展一般洪水灾害调查评估工作。 </w:t>
      </w:r>
    </w:p>
    <w:p w14:paraId="5E5304A5">
      <w:pPr>
        <w:pStyle w:val="2"/>
        <w:numPr>
          <w:ilvl w:val="0"/>
          <w:numId w:val="22"/>
        </w:numPr>
        <w:tabs>
          <w:tab w:val="left" w:pos="0"/>
        </w:tabs>
        <w:rPr>
          <w:sz w:val="32"/>
          <w:szCs w:val="32"/>
        </w:rPr>
      </w:pPr>
      <w:bookmarkStart w:id="277" w:name="_Toc11550"/>
      <w:r>
        <w:rPr>
          <w:sz w:val="32"/>
          <w:szCs w:val="32"/>
        </w:rPr>
        <w:t>附则</w:t>
      </w:r>
      <w:bookmarkEnd w:id="277"/>
      <w:r>
        <w:rPr>
          <w:sz w:val="32"/>
          <w:szCs w:val="32"/>
        </w:rPr>
        <w:t xml:space="preserve"> </w:t>
      </w:r>
    </w:p>
    <w:p w14:paraId="25331BEC">
      <w:pPr>
        <w:pStyle w:val="3"/>
      </w:pPr>
      <w:bookmarkStart w:id="278" w:name="_Toc22161"/>
      <w:r>
        <w:t>名词术语定义</w:t>
      </w:r>
      <w:bookmarkEnd w:id="278"/>
      <w:r>
        <w:t xml:space="preserve"> </w:t>
      </w:r>
    </w:p>
    <w:p w14:paraId="4A47DBCB">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 xml:space="preserve">黑龙江省汛期 </w:t>
      </w:r>
    </w:p>
    <w:p w14:paraId="059B696C">
      <w:pPr>
        <w:ind w:firstLine="632"/>
      </w:pPr>
      <w:r>
        <w:t xml:space="preserve">我省汛期分为凌汛期和夏汛期，凌汛期为4月10日至5月15日，夏汛期为6月15日至9月20日。 </w:t>
      </w:r>
    </w:p>
    <w:p w14:paraId="74765D0F">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 xml:space="preserve">洪水级别 </w:t>
      </w:r>
    </w:p>
    <w:p w14:paraId="6973A250">
      <w:pPr>
        <w:ind w:firstLine="632"/>
      </w:pPr>
      <w:r>
        <w:t xml:space="preserve">小洪水：洪水要素重现期小于5年一遇的洪水。 </w:t>
      </w:r>
    </w:p>
    <w:p w14:paraId="37378077">
      <w:pPr>
        <w:ind w:firstLine="632"/>
      </w:pPr>
      <w:r>
        <w:t xml:space="preserve">中洪水：洪水要素重现期为5年～20年一遇的洪水。 </w:t>
      </w:r>
    </w:p>
    <w:p w14:paraId="4C98C229">
      <w:pPr>
        <w:ind w:firstLine="632"/>
      </w:pPr>
      <w:r>
        <w:t xml:space="preserve">大洪水：洪水要素重现期为20年～50年一遇的洪水。 </w:t>
      </w:r>
    </w:p>
    <w:p w14:paraId="170628C1">
      <w:pPr>
        <w:ind w:firstLine="632"/>
      </w:pPr>
      <w:r>
        <w:t xml:space="preserve">特大洪水：洪水要素重现期大于50年一遇的洪水。 </w:t>
      </w:r>
    </w:p>
    <w:p w14:paraId="224C18B9">
      <w:pPr>
        <w:pStyle w:val="4"/>
        <w:numPr>
          <w:ilvl w:val="2"/>
          <w:numId w:val="22"/>
        </w:numPr>
        <w:tabs>
          <w:tab w:val="left" w:pos="0"/>
        </w:tabs>
        <w:ind w:firstLine="417"/>
        <w:rPr>
          <w:rFonts w:ascii="仿宋_GB2312" w:hAnsi="仿宋_GB2312" w:eastAsia="仿宋_GB2312" w:cs="仿宋_GB2312"/>
          <w:szCs w:val="32"/>
        </w:rPr>
      </w:pPr>
      <w:r>
        <w:rPr>
          <w:rFonts w:hint="eastAsia" w:ascii="仿宋_GB2312" w:hAnsi="仿宋_GB2312" w:eastAsia="仿宋_GB2312" w:cs="仿宋_GB2312"/>
          <w:szCs w:val="32"/>
        </w:rPr>
        <w:t xml:space="preserve">堤防等级 </w:t>
      </w:r>
    </w:p>
    <w:p w14:paraId="309397C0">
      <w:pPr>
        <w:ind w:firstLine="632"/>
      </w:pPr>
      <w:r>
        <w:t xml:space="preserve">1级堤防：防洪标准重现期大于等于100年一遇的堤防。 </w:t>
      </w:r>
    </w:p>
    <w:p w14:paraId="490C66DE">
      <w:pPr>
        <w:ind w:firstLine="632"/>
      </w:pPr>
      <w:r>
        <w:t xml:space="preserve">2级堤防：防洪标准重现期大于等于50年一遇小于100年一遇的堤防。 </w:t>
      </w:r>
    </w:p>
    <w:p w14:paraId="7FAC13A1">
      <w:pPr>
        <w:ind w:firstLine="632"/>
      </w:pPr>
      <w:r>
        <w:t xml:space="preserve">3级堤防：防洪标准重现期大于等于30年一遇小于50年一遇的堤防。 </w:t>
      </w:r>
    </w:p>
    <w:p w14:paraId="67ED86BE">
      <w:pPr>
        <w:ind w:firstLine="632"/>
      </w:pPr>
      <w:r>
        <w:t xml:space="preserve">4级堤防：防洪标准重现期大于等于20年一遇小于30年一遇的堤防。 </w:t>
      </w:r>
    </w:p>
    <w:p w14:paraId="69BFE4F4">
      <w:pPr>
        <w:ind w:firstLine="632"/>
      </w:pPr>
      <w:r>
        <w:t xml:space="preserve">5级堤防：防洪标准重现期大于等于10年一遇小于20年一遇的堤防。 </w:t>
      </w:r>
    </w:p>
    <w:p w14:paraId="13BD201D">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 xml:space="preserve">凌汛 </w:t>
      </w:r>
    </w:p>
    <w:p w14:paraId="580389C8">
      <w:pPr>
        <w:ind w:firstLine="632"/>
      </w:pPr>
      <w:r>
        <w:t xml:space="preserve">凌汛指冰凌阻塞河道，对水流产生阻力而引起江河水位明显上涨的水文现象。在冬季，因河道封冻，河槽大量蓄水，在解冻开河时，往往形成凌水洪峰，并伴有大量冰凌下泄，很容易在弯曲狭窄河段卡冰阻水，壅高水位，威胁堤防安全。 </w:t>
      </w:r>
    </w:p>
    <w:p w14:paraId="43E8845C">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 xml:space="preserve">重大险情 </w:t>
      </w:r>
    </w:p>
    <w:p w14:paraId="46D7F716">
      <w:pPr>
        <w:ind w:firstLine="632"/>
      </w:pPr>
      <w:r>
        <w:t xml:space="preserve">指堤防、水库（水电站）遭受洪水灾害，堤防堤身、水库（水电站）坝体及泄洪设施遭受严重损毁，可能造成堤防决口和水库（水电站）坝体垮坝等险情。 </w:t>
      </w:r>
    </w:p>
    <w:p w14:paraId="3022FB53">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 xml:space="preserve">严重险情 </w:t>
      </w:r>
    </w:p>
    <w:p w14:paraId="3720E5EF">
      <w:pPr>
        <w:ind w:firstLine="632"/>
      </w:pPr>
      <w:r>
        <w:t xml:space="preserve">指堤防、水库（水电站）遭受洪水灾害，可能造成堤防堤身发生大范围垮塌和水库（水电站）坝体滑塌、泄洪设施堵塞或垮塌等，严重危及堤防和水库（水电站）安全等险情。 </w:t>
      </w:r>
    </w:p>
    <w:p w14:paraId="4E677975">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 xml:space="preserve">生命线工程 </w:t>
      </w:r>
    </w:p>
    <w:p w14:paraId="694BCCDA">
      <w:pPr>
        <w:ind w:firstLine="632"/>
      </w:pPr>
      <w:r>
        <w:t xml:space="preserve">根据《破坏性地震应急条例》，生命线工程是指对社会生活、生产有重大影响的交通、通信、供水、排水、供电、供气等工程系统。 </w:t>
      </w:r>
    </w:p>
    <w:p w14:paraId="47C59EA4">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 xml:space="preserve">紧急防汛期 </w:t>
      </w:r>
    </w:p>
    <w:p w14:paraId="07AF8C3E">
      <w:pPr>
        <w:ind w:firstLine="632"/>
      </w:pPr>
      <w:r>
        <w:t xml:space="preserve">根据《中华人民共和国防洪法》规定，当江河、湖泊的水情接近保证水位或者安全流量，水库水位接近设计洪水位，或者防洪工程设施发生重大险情时，有关县级以上人民政府防汛指挥机构可以宣布进入紧急防汛期。在紧急防汛期，国家防汛指挥机构或者其授权的流域、省、自治区、直辖市防汛指挥机构有权对壅水、阻水严重的桥梁、引道、码头和其他跨河工程设施作出紧急处置。防汛指挥机构根据防汛抗洪的需要，有权在其管辖范围内调用物资、设备、交通运输工具和人力，决定采取取土占地、砍伐林木、清除阻水障碍物和其他必要的紧急措施；必要时，公安、交通等有关部门按照防汛指挥机构的决定，依法实施交通管制。 </w:t>
      </w:r>
    </w:p>
    <w:p w14:paraId="51059626">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 xml:space="preserve">中河 </w:t>
      </w:r>
    </w:p>
    <w:p w14:paraId="5D7170F1">
      <w:pPr>
        <w:ind w:firstLine="632"/>
      </w:pPr>
      <w:r>
        <w:t>指流域面积在1万至5万平方公里之间的河流。我</w:t>
      </w:r>
      <w:r>
        <w:rPr>
          <w:rFonts w:hint="eastAsia"/>
        </w:rPr>
        <w:t>县</w:t>
      </w:r>
      <w:r>
        <w:t xml:space="preserve">有蚂蚁河。 </w:t>
      </w:r>
    </w:p>
    <w:p w14:paraId="06EB2AC7">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 xml:space="preserve">小河 </w:t>
      </w:r>
    </w:p>
    <w:p w14:paraId="7C8976A1">
      <w:pPr>
        <w:ind w:firstLine="632"/>
      </w:pPr>
      <w:r>
        <w:t xml:space="preserve">指流域面积小于1万平方公里的河流。 </w:t>
      </w:r>
    </w:p>
    <w:p w14:paraId="3E1B6869">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 xml:space="preserve">水库等级划分 </w:t>
      </w:r>
    </w:p>
    <w:p w14:paraId="005D63D9">
      <w:pPr>
        <w:ind w:firstLine="632"/>
      </w:pPr>
      <w:r>
        <w:t>水库总库容大于等于1.0亿立方米的水库为大型水库、总库容</w:t>
      </w:r>
      <w:r>
        <w:rPr>
          <w:rFonts w:hint="eastAsia"/>
        </w:rPr>
        <w:t>0.1亿至1.0亿</w:t>
      </w:r>
      <w:r>
        <w:t>立方米的水库为中型水库、总库容</w:t>
      </w:r>
      <w:r>
        <w:rPr>
          <w:rFonts w:hint="eastAsia"/>
        </w:rPr>
        <w:t>0.001亿至0.1亿</w:t>
      </w:r>
      <w:r>
        <w:t xml:space="preserve">立方米的水库为小型水库。 </w:t>
      </w:r>
    </w:p>
    <w:p w14:paraId="6664D270">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 xml:space="preserve">降水等级划分 </w:t>
      </w:r>
    </w:p>
    <w:p w14:paraId="0306D62F">
      <w:pPr>
        <w:ind w:firstLine="632"/>
      </w:pPr>
      <w:r>
        <w:t xml:space="preserve">24 小时降雨量小于10毫米为小雨、10～25毫米为中雨、25～50毫米为大雨、50～100毫米为暴雨、100～250毫米为大暴雨、250毫米以上为特大暴雨。 </w:t>
      </w:r>
    </w:p>
    <w:p w14:paraId="774ACDF5">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 xml:space="preserve">洪水风险图 </w:t>
      </w:r>
    </w:p>
    <w:p w14:paraId="55EFE30A">
      <w:pPr>
        <w:ind w:firstLine="632"/>
      </w:pPr>
      <w:r>
        <w:t>是融合地理、社会经济、洪水特征信息，通过资料调查、洪水计算和成果整理，以地图形式直观反映某一地区发生洪水后可能淹没的范围和水深，用以分析和预评估不同量级洪水可能造成的风险和危害的工具。</w:t>
      </w:r>
    </w:p>
    <w:p w14:paraId="0A0E617A">
      <w:pPr>
        <w:pStyle w:val="4"/>
        <w:numPr>
          <w:ilvl w:val="2"/>
          <w:numId w:val="22"/>
        </w:numPr>
        <w:tabs>
          <w:tab w:val="left" w:pos="0"/>
        </w:tabs>
        <w:rPr>
          <w:rFonts w:ascii="仿宋_GB2312" w:hAnsi="仿宋_GB2312" w:eastAsia="仿宋_GB2312" w:cs="仿宋_GB2312"/>
        </w:rPr>
      </w:pPr>
      <w:r>
        <w:rPr>
          <w:rFonts w:hint="eastAsia" w:ascii="仿宋_GB2312" w:hAnsi="仿宋_GB2312" w:eastAsia="仿宋_GB2312" w:cs="仿宋_GB2312"/>
        </w:rPr>
        <w:t xml:space="preserve">防御洪水方案 </w:t>
      </w:r>
    </w:p>
    <w:p w14:paraId="02148B63">
      <w:pPr>
        <w:ind w:firstLine="632"/>
      </w:pPr>
      <w:r>
        <w:t xml:space="preserve">是对有防汛抗洪任务的县级以上地方人民政府根据流域综合规划、防洪工程实际状况和国家规定的防洪标准，制定的防御江河洪水（包括特大洪水）、山洪灾害（指由降雨引发的山洪、泥石流灾害）、台风风暴潮灾害等方案的统称。 </w:t>
      </w:r>
    </w:p>
    <w:p w14:paraId="163CE374">
      <w:pPr>
        <w:pStyle w:val="4"/>
        <w:numPr>
          <w:ilvl w:val="2"/>
          <w:numId w:val="22"/>
        </w:numPr>
        <w:tabs>
          <w:tab w:val="left" w:pos="0"/>
        </w:tabs>
        <w:rPr>
          <w:rFonts w:ascii="仿宋_GB2312" w:hAnsi="仿宋_GB2312" w:eastAsia="仿宋_GB2312" w:cs="仿宋_GB2312"/>
          <w:szCs w:val="32"/>
        </w:rPr>
      </w:pPr>
      <w:r>
        <w:rPr>
          <w:rFonts w:hint="eastAsia" w:ascii="仿宋_GB2312" w:hAnsi="仿宋_GB2312" w:eastAsia="仿宋_GB2312" w:cs="仿宋_GB2312"/>
          <w:szCs w:val="32"/>
        </w:rPr>
        <w:t>三个避让</w:t>
      </w:r>
    </w:p>
    <w:p w14:paraId="703C2FD1">
      <w:pPr>
        <w:ind w:firstLine="632"/>
      </w:pPr>
      <w:r>
        <w:rPr>
          <w:rFonts w:hint="eastAsia"/>
        </w:rPr>
        <w:t>主动避让，提前避让，预防避让。</w:t>
      </w:r>
    </w:p>
    <w:p w14:paraId="1AB43E3B">
      <w:pPr>
        <w:pStyle w:val="4"/>
        <w:numPr>
          <w:ilvl w:val="2"/>
          <w:numId w:val="22"/>
        </w:numPr>
        <w:tabs>
          <w:tab w:val="left" w:pos="0"/>
        </w:tabs>
        <w:rPr>
          <w:rFonts w:ascii="仿宋_GB2312" w:hAnsi="仿宋_GB2312" w:eastAsia="仿宋_GB2312" w:cs="仿宋_GB2312"/>
          <w:szCs w:val="32"/>
        </w:rPr>
      </w:pPr>
      <w:r>
        <w:rPr>
          <w:rFonts w:hint="eastAsia" w:ascii="仿宋_GB2312" w:hAnsi="仿宋_GB2312" w:eastAsia="仿宋_GB2312" w:cs="仿宋_GB2312"/>
          <w:szCs w:val="32"/>
        </w:rPr>
        <w:t>三个紧急撤离</w:t>
      </w:r>
    </w:p>
    <w:p w14:paraId="2BF8294D">
      <w:pPr>
        <w:ind w:firstLine="632"/>
      </w:pPr>
      <w:r>
        <w:rPr>
          <w:rFonts w:hint="eastAsia"/>
        </w:rPr>
        <w:t>危险隐患点发生强降雨时要紧急撤离，接到暴雨蓝色及以上预警或预警信号要立即组织高风险区域群众紧急撤离，出现险情征兆或对险情不能准确研判时要紧急撤离</w:t>
      </w:r>
    </w:p>
    <w:p w14:paraId="3A09A75B">
      <w:pPr>
        <w:ind w:firstLine="632"/>
      </w:pPr>
    </w:p>
    <w:p w14:paraId="73BCD4BF">
      <w:pPr>
        <w:pStyle w:val="3"/>
      </w:pPr>
      <w:bookmarkStart w:id="279" w:name="_Toc30629"/>
      <w:r>
        <w:t>预案更新</w:t>
      </w:r>
      <w:bookmarkEnd w:id="279"/>
      <w:r>
        <w:t xml:space="preserve"> </w:t>
      </w:r>
    </w:p>
    <w:p w14:paraId="6E7F9431">
      <w:pPr>
        <w:ind w:firstLine="632"/>
        <w:rPr>
          <w:rFonts w:ascii="仿宋_GB2312" w:hAnsi="仿宋_GB2312" w:cs="仿宋_GB2312"/>
        </w:rPr>
      </w:pPr>
      <w:r>
        <w:rPr>
          <w:rFonts w:hint="eastAsia" w:ascii="仿宋_GB2312" w:hAnsi="仿宋_GB2312" w:cs="仿宋_GB2312"/>
        </w:rPr>
        <w:t xml:space="preserve">县防指负责组织对预案进行评估，原则上每3年对本预案评审一次，并按程序进行修订。各乡镇防指可以根据本预案制定本地区和重点工程的防汛应急预案，不得与本预案相矛盾或抵触。县防指成员单位应在本应急预案印发90日内上报本单位配套的部门防汛应急预案（方案），每年汛期前更新后，于5月25日前上报县防办备案。 </w:t>
      </w:r>
    </w:p>
    <w:p w14:paraId="21A3E8EB">
      <w:pPr>
        <w:ind w:firstLine="632"/>
        <w:rPr>
          <w:rFonts w:ascii="仿宋_GB2312" w:hAnsi="仿宋_GB2312" w:cs="仿宋_GB2312"/>
        </w:rPr>
      </w:pPr>
      <w:r>
        <w:rPr>
          <w:rFonts w:hint="eastAsia" w:ascii="仿宋_GB2312" w:hAnsi="仿宋_GB2312" w:cs="仿宋_GB2312"/>
        </w:rPr>
        <w:t xml:space="preserve">本预案有下列情形之一的，应当及时修订： </w:t>
      </w:r>
    </w:p>
    <w:p w14:paraId="78F93E17">
      <w:pPr>
        <w:numPr>
          <w:ilvl w:val="0"/>
          <w:numId w:val="21"/>
        </w:numPr>
        <w:ind w:firstLineChars="0"/>
        <w:rPr>
          <w:rFonts w:ascii="仿宋_GB2312" w:hAnsi="仿宋_GB2312" w:cs="仿宋_GB2312"/>
        </w:rPr>
      </w:pPr>
      <w:r>
        <w:rPr>
          <w:rFonts w:hint="eastAsia" w:ascii="仿宋_GB2312" w:hAnsi="仿宋_GB2312" w:cs="仿宋_GB2312"/>
        </w:rPr>
        <w:t xml:space="preserve">有关法律、行政法规、规章、标准、上位预案中的有关规定发生变化的。 </w:t>
      </w:r>
    </w:p>
    <w:p w14:paraId="01303282">
      <w:pPr>
        <w:numPr>
          <w:ilvl w:val="0"/>
          <w:numId w:val="21"/>
        </w:numPr>
        <w:ind w:firstLineChars="0"/>
        <w:rPr>
          <w:rFonts w:ascii="仿宋_GB2312" w:hAnsi="仿宋_GB2312" w:cs="仿宋_GB2312"/>
        </w:rPr>
      </w:pPr>
      <w:r>
        <w:rPr>
          <w:rFonts w:hint="eastAsia" w:ascii="仿宋_GB2312" w:hAnsi="仿宋_GB2312" w:cs="仿宋_GB2312"/>
        </w:rPr>
        <w:t xml:space="preserve">应急指挥机构及其职责发生重大调整的。 </w:t>
      </w:r>
    </w:p>
    <w:p w14:paraId="71F29DC6">
      <w:pPr>
        <w:numPr>
          <w:ilvl w:val="0"/>
          <w:numId w:val="21"/>
        </w:numPr>
        <w:ind w:firstLineChars="0"/>
        <w:rPr>
          <w:rFonts w:ascii="仿宋_GB2312" w:hAnsi="仿宋_GB2312" w:cs="仿宋_GB2312"/>
        </w:rPr>
      </w:pPr>
      <w:r>
        <w:rPr>
          <w:rFonts w:hint="eastAsia" w:ascii="仿宋_GB2312" w:hAnsi="仿宋_GB2312" w:cs="仿宋_GB2312"/>
        </w:rPr>
        <w:t xml:space="preserve">面临的风险发生重大变化的。 </w:t>
      </w:r>
    </w:p>
    <w:p w14:paraId="46CF3F43">
      <w:pPr>
        <w:numPr>
          <w:ilvl w:val="0"/>
          <w:numId w:val="21"/>
        </w:numPr>
        <w:ind w:firstLineChars="0"/>
        <w:rPr>
          <w:rFonts w:ascii="仿宋_GB2312" w:hAnsi="仿宋_GB2312" w:cs="仿宋_GB2312"/>
        </w:rPr>
      </w:pPr>
      <w:r>
        <w:rPr>
          <w:rFonts w:hint="eastAsia" w:ascii="仿宋_GB2312" w:hAnsi="仿宋_GB2312" w:cs="仿宋_GB2312"/>
        </w:rPr>
        <w:t xml:space="preserve">重要应急资源发生重大变化的。 </w:t>
      </w:r>
    </w:p>
    <w:p w14:paraId="15496D1C">
      <w:pPr>
        <w:numPr>
          <w:ilvl w:val="0"/>
          <w:numId w:val="21"/>
        </w:numPr>
        <w:ind w:firstLineChars="0"/>
        <w:rPr>
          <w:rFonts w:ascii="仿宋_GB2312" w:hAnsi="仿宋_GB2312" w:cs="仿宋_GB2312"/>
        </w:rPr>
      </w:pPr>
      <w:r>
        <w:rPr>
          <w:rFonts w:hint="eastAsia" w:ascii="仿宋_GB2312" w:hAnsi="仿宋_GB2312" w:cs="仿宋_GB2312"/>
        </w:rPr>
        <w:t xml:space="preserve">预案中的其他重要信息发生变化的。 </w:t>
      </w:r>
    </w:p>
    <w:p w14:paraId="63902C64">
      <w:pPr>
        <w:numPr>
          <w:ilvl w:val="0"/>
          <w:numId w:val="21"/>
        </w:numPr>
        <w:ind w:firstLineChars="0"/>
        <w:rPr>
          <w:rFonts w:ascii="仿宋_GB2312" w:hAnsi="仿宋_GB2312" w:cs="仿宋_GB2312"/>
        </w:rPr>
      </w:pPr>
      <w:r>
        <w:rPr>
          <w:rFonts w:hint="eastAsia" w:ascii="仿宋_GB2312" w:hAnsi="仿宋_GB2312" w:cs="仿宋_GB2312"/>
        </w:rPr>
        <w:t xml:space="preserve">在突发事件实际应对和应急演练中发现问题需要做出重大调整的。 </w:t>
      </w:r>
    </w:p>
    <w:p w14:paraId="499B19E7">
      <w:pPr>
        <w:numPr>
          <w:ilvl w:val="0"/>
          <w:numId w:val="21"/>
        </w:numPr>
        <w:ind w:firstLineChars="0"/>
      </w:pPr>
      <w:r>
        <w:rPr>
          <w:rFonts w:hint="eastAsia" w:ascii="仿宋_GB2312" w:hAnsi="仿宋_GB2312" w:cs="仿宋_GB2312"/>
        </w:rPr>
        <w:t xml:space="preserve">应急预案制定单位认为应当修订的其他情况。 </w:t>
      </w:r>
    </w:p>
    <w:p w14:paraId="7771746C">
      <w:pPr>
        <w:pStyle w:val="3"/>
      </w:pPr>
      <w:bookmarkStart w:id="280" w:name="_Toc3605"/>
      <w:r>
        <w:t>奖励与责任追究</w:t>
      </w:r>
      <w:bookmarkEnd w:id="280"/>
      <w:r>
        <w:t xml:space="preserve"> </w:t>
      </w:r>
    </w:p>
    <w:p w14:paraId="178D994F">
      <w:pPr>
        <w:ind w:firstLine="632"/>
      </w:pPr>
      <w:r>
        <w:t xml:space="preserve">对防汛抢险救灾工作作出突出贡献的先进集体和个人按规定给予表彰和奖励；对防汛抢险救灾工作中英勇献身的人员，按有关规定追认为烈士；对防汛抢险救灾工作中致伤致残的人员，按有关规定给予工作生活照顾。对危害防汛抢险救灾工作的，视情节和危害后果，依法追究当事人的责任，构成犯罪的，依法追究其刑事责任。 </w:t>
      </w:r>
    </w:p>
    <w:p w14:paraId="48493DD4">
      <w:pPr>
        <w:pStyle w:val="3"/>
        <w:tabs>
          <w:tab w:val="left" w:pos="0"/>
        </w:tabs>
        <w:rPr>
          <w:rFonts w:ascii="Times New Roman" w:hAnsi="Times New Roman"/>
          <w:szCs w:val="32"/>
        </w:rPr>
      </w:pPr>
      <w:bookmarkStart w:id="281" w:name="_Toc10221"/>
      <w:r>
        <w:rPr>
          <w:rFonts w:hint="eastAsia" w:ascii="Times New Roman" w:hAnsi="Times New Roman"/>
          <w:szCs w:val="32"/>
        </w:rPr>
        <w:t>预案制定与解释</w:t>
      </w:r>
      <w:bookmarkEnd w:id="281"/>
    </w:p>
    <w:p w14:paraId="6B4D8450">
      <w:pPr>
        <w:ind w:firstLine="632"/>
        <w:rPr>
          <w:rFonts w:ascii="Times New Roman" w:hAnsi="Times New Roman"/>
        </w:rPr>
      </w:pPr>
      <w:r>
        <w:rPr>
          <w:rFonts w:hint="eastAsia" w:ascii="Times New Roman" w:hAnsi="Times New Roman"/>
        </w:rPr>
        <w:t>本预案由集贤县人民政府负责制定，预案修订与解释工作由集贤县防汛抗旱指挥部办公室具体负责。</w:t>
      </w:r>
    </w:p>
    <w:p w14:paraId="1DDFFBF5">
      <w:pPr>
        <w:pStyle w:val="3"/>
        <w:tabs>
          <w:tab w:val="left" w:pos="0"/>
        </w:tabs>
        <w:rPr>
          <w:rFonts w:ascii="Times New Roman" w:hAnsi="Times New Roman"/>
          <w:szCs w:val="32"/>
        </w:rPr>
      </w:pPr>
      <w:bookmarkStart w:id="282" w:name="_Toc9305"/>
      <w:r>
        <w:rPr>
          <w:rFonts w:hint="eastAsia" w:ascii="Times New Roman" w:hAnsi="Times New Roman"/>
          <w:szCs w:val="32"/>
        </w:rPr>
        <w:t>预案中“以上”“以下”的含义</w:t>
      </w:r>
      <w:bookmarkEnd w:id="282"/>
    </w:p>
    <w:p w14:paraId="6859930C">
      <w:pPr>
        <w:ind w:firstLine="632"/>
        <w:rPr>
          <w:rFonts w:ascii="Times New Roman" w:hAnsi="Times New Roman"/>
        </w:rPr>
      </w:pPr>
      <w:r>
        <w:rPr>
          <w:rFonts w:hint="eastAsia" w:ascii="Times New Roman" w:hAnsi="Times New Roman"/>
        </w:rPr>
        <w:t>本预案有关数量的表述中，“以上”包含本数，“以下”不包含本数。</w:t>
      </w:r>
    </w:p>
    <w:p w14:paraId="783AAED4">
      <w:pPr>
        <w:pStyle w:val="3"/>
        <w:tabs>
          <w:tab w:val="left" w:pos="0"/>
        </w:tabs>
        <w:rPr>
          <w:rFonts w:ascii="Times New Roman" w:hAnsi="Times New Roman"/>
          <w:szCs w:val="32"/>
        </w:rPr>
      </w:pPr>
      <w:bookmarkStart w:id="283" w:name="_Toc27883"/>
      <w:r>
        <w:rPr>
          <w:rFonts w:hint="eastAsia" w:ascii="Times New Roman" w:hAnsi="Times New Roman"/>
          <w:szCs w:val="32"/>
        </w:rPr>
        <w:t>预案的实施</w:t>
      </w:r>
      <w:bookmarkEnd w:id="283"/>
    </w:p>
    <w:p w14:paraId="3EAD5FED">
      <w:pPr>
        <w:ind w:firstLine="632"/>
      </w:pPr>
      <w:r>
        <w:rPr>
          <w:rFonts w:hint="eastAsia" w:ascii="Times New Roman" w:hAnsi="Times New Roman"/>
        </w:rPr>
        <w:t>本预案自发布之日起施行。</w:t>
      </w:r>
    </w:p>
    <w:p w14:paraId="468BCC91">
      <w:pPr>
        <w:ind w:firstLine="0" w:firstLineChars="0"/>
        <w:jc w:val="center"/>
      </w:pPr>
    </w:p>
    <w:p w14:paraId="6442BC12">
      <w:pPr>
        <w:rPr>
          <w:rFonts w:ascii="Times New Roman" w:hAnsi="Times New Roman" w:cs="Times New Roman"/>
        </w:rPr>
      </w:pPr>
      <w:r>
        <w:rPr>
          <w:rFonts w:ascii="Times New Roman" w:hAnsi="Times New Roman" w:cs="Times New Roman"/>
        </w:rPr>
        <w:br w:type="page"/>
      </w:r>
    </w:p>
    <w:p w14:paraId="7ECD91EF">
      <w:pPr>
        <w:pStyle w:val="11"/>
        <w:ind w:firstLine="632"/>
      </w:pPr>
      <w:r>
        <w:rPr>
          <w:rFonts w:hint="eastAsia"/>
        </w:rPr>
        <w:t xml:space="preserve"> </w:t>
      </w:r>
    </w:p>
    <w:p w14:paraId="4453DDB9">
      <w:pPr>
        <w:ind w:firstLine="0" w:firstLineChars="0"/>
        <w:jc w:val="center"/>
        <w:rPr>
          <w:sz w:val="36"/>
          <w:szCs w:val="36"/>
        </w:rPr>
      </w:pPr>
    </w:p>
    <w:p w14:paraId="48E13C7D">
      <w:pPr>
        <w:pStyle w:val="42"/>
      </w:pPr>
    </w:p>
    <w:p w14:paraId="410B9EF5">
      <w:pPr>
        <w:autoSpaceDE w:val="0"/>
        <w:autoSpaceDN w:val="0"/>
        <w:adjustRightInd w:val="0"/>
        <w:spacing w:line="240" w:lineRule="atLeast"/>
        <w:ind w:firstLine="0" w:firstLineChars="0"/>
        <w:jc w:val="center"/>
        <w:rPr>
          <w:rFonts w:ascii="方正小标宋简体" w:hAnsi="方正小标宋简体" w:eastAsia="方正小标宋简体" w:cs="方正小标宋简体"/>
          <w:bCs/>
          <w:color w:val="000000"/>
          <w:spacing w:val="-6"/>
          <w:kern w:val="0"/>
          <w:sz w:val="52"/>
          <w:szCs w:val="52"/>
          <w:lang w:bidi="ar"/>
        </w:rPr>
      </w:pPr>
      <w:r>
        <w:rPr>
          <w:rFonts w:hint="eastAsia" w:ascii="方正小标宋简体" w:hAnsi="方正小标宋简体" w:eastAsia="方正小标宋简体" w:cs="方正小标宋简体"/>
          <w:bCs/>
          <w:color w:val="000000"/>
          <w:spacing w:val="-6"/>
          <w:kern w:val="0"/>
          <w:sz w:val="52"/>
          <w:szCs w:val="52"/>
          <w:lang w:bidi="ar"/>
        </w:rPr>
        <w:t>集贤县抗旱应急预案</w:t>
      </w:r>
    </w:p>
    <w:p w14:paraId="37666E47">
      <w:pPr>
        <w:pStyle w:val="11"/>
        <w:ind w:firstLine="0" w:firstLineChars="0"/>
        <w:jc w:val="center"/>
        <w:rPr>
          <w:rFonts w:ascii="Times New Roman" w:hAnsi="Times New Roman" w:eastAsia="楷体_GB2312" w:cs="Times New Roman"/>
          <w:b/>
          <w:sz w:val="52"/>
          <w:szCs w:val="52"/>
        </w:rPr>
      </w:pPr>
      <w:r>
        <w:rPr>
          <w:rFonts w:hint="eastAsia" w:ascii="仿宋_GB2312" w:hAnsi="仿宋_GB2312" w:cs="仿宋_GB2312"/>
          <w:bCs/>
          <w:sz w:val="48"/>
          <w:szCs w:val="48"/>
        </w:rPr>
        <w:t>（修订稿）</w:t>
      </w:r>
    </w:p>
    <w:p w14:paraId="1457DDCC">
      <w:pPr>
        <w:ind w:firstLine="632"/>
      </w:pPr>
    </w:p>
    <w:p w14:paraId="57FA981A">
      <w:pPr>
        <w:ind w:firstLine="632"/>
      </w:pPr>
    </w:p>
    <w:p w14:paraId="12BC774E">
      <w:pPr>
        <w:ind w:firstLine="632"/>
      </w:pPr>
    </w:p>
    <w:p w14:paraId="4DD1FBD0">
      <w:pPr>
        <w:pStyle w:val="11"/>
        <w:ind w:firstLine="632"/>
      </w:pPr>
    </w:p>
    <w:p w14:paraId="70171F3D">
      <w:pPr>
        <w:pStyle w:val="11"/>
        <w:ind w:firstLine="632"/>
      </w:pPr>
    </w:p>
    <w:p w14:paraId="17F209E5">
      <w:pPr>
        <w:pStyle w:val="11"/>
        <w:ind w:firstLine="632"/>
      </w:pPr>
    </w:p>
    <w:p w14:paraId="1249E663">
      <w:pPr>
        <w:pStyle w:val="11"/>
        <w:ind w:firstLine="632"/>
      </w:pPr>
    </w:p>
    <w:p w14:paraId="23353A59">
      <w:pPr>
        <w:pStyle w:val="11"/>
        <w:ind w:firstLine="632"/>
      </w:pPr>
    </w:p>
    <w:p w14:paraId="0ECCFE08">
      <w:pPr>
        <w:ind w:firstLine="632"/>
      </w:pPr>
    </w:p>
    <w:p w14:paraId="3049BDA0">
      <w:pPr>
        <w:ind w:firstLine="632"/>
      </w:pPr>
    </w:p>
    <w:p w14:paraId="53FC21B0">
      <w:pPr>
        <w:pStyle w:val="42"/>
      </w:pPr>
    </w:p>
    <w:p w14:paraId="234F504F">
      <w:pPr>
        <w:pStyle w:val="42"/>
      </w:pPr>
    </w:p>
    <w:p w14:paraId="3849B478">
      <w:pPr>
        <w:ind w:firstLine="632"/>
      </w:pPr>
    </w:p>
    <w:p w14:paraId="1B17840F">
      <w:pPr>
        <w:ind w:firstLine="0" w:firstLineChars="0"/>
        <w:jc w:val="center"/>
        <w:rPr>
          <w:rFonts w:eastAsia="仿宋"/>
          <w:bCs/>
          <w:spacing w:val="-6"/>
          <w:sz w:val="36"/>
          <w:szCs w:val="24"/>
          <w:lang w:bidi="ar"/>
        </w:rPr>
      </w:pPr>
      <w:r>
        <w:rPr>
          <w:rFonts w:hint="eastAsia"/>
          <w:bCs/>
          <w:spacing w:val="-6"/>
          <w:sz w:val="36"/>
          <w:szCs w:val="24"/>
          <w:lang w:bidi="ar"/>
        </w:rPr>
        <w:t>集贤县</w:t>
      </w:r>
      <w:r>
        <w:rPr>
          <w:rFonts w:hint="eastAsia" w:eastAsia="仿宋"/>
          <w:bCs/>
          <w:spacing w:val="-6"/>
          <w:sz w:val="36"/>
          <w:szCs w:val="24"/>
          <w:lang w:bidi="ar"/>
        </w:rPr>
        <w:t>人民政府</w:t>
      </w:r>
      <w:r>
        <w:rPr>
          <w:rFonts w:hint="eastAsia"/>
          <w:bCs/>
          <w:spacing w:val="-6"/>
          <w:sz w:val="36"/>
          <w:szCs w:val="24"/>
          <w:lang w:bidi="ar"/>
        </w:rPr>
        <w:t xml:space="preserve"> </w:t>
      </w:r>
      <w:r>
        <w:rPr>
          <w:rFonts w:hint="eastAsia" w:eastAsia="仿宋"/>
          <w:bCs/>
          <w:spacing w:val="-6"/>
          <w:sz w:val="36"/>
          <w:szCs w:val="24"/>
          <w:lang w:bidi="ar"/>
        </w:rPr>
        <w:t>编制</w:t>
      </w:r>
    </w:p>
    <w:p w14:paraId="7B0D4E3C">
      <w:pPr>
        <w:ind w:firstLine="0" w:firstLineChars="0"/>
        <w:jc w:val="center"/>
        <w:rPr>
          <w:rFonts w:eastAsia="仿宋"/>
          <w:bCs/>
          <w:spacing w:val="-6"/>
          <w:sz w:val="36"/>
          <w:szCs w:val="24"/>
          <w:lang w:bidi="ar"/>
        </w:rPr>
      </w:pPr>
      <w:r>
        <w:rPr>
          <w:rFonts w:hint="eastAsia" w:eastAsia="仿宋"/>
          <w:bCs/>
          <w:spacing w:val="-6"/>
          <w:sz w:val="36"/>
          <w:szCs w:val="24"/>
          <w:lang w:bidi="ar"/>
        </w:rPr>
        <w:t>202</w:t>
      </w:r>
      <w:r>
        <w:rPr>
          <w:bCs/>
          <w:spacing w:val="-6"/>
          <w:sz w:val="36"/>
          <w:szCs w:val="24"/>
          <w:lang w:bidi="ar"/>
        </w:rPr>
        <w:t>5</w:t>
      </w:r>
      <w:r>
        <w:rPr>
          <w:rFonts w:hint="eastAsia" w:eastAsia="仿宋"/>
          <w:bCs/>
          <w:spacing w:val="-6"/>
          <w:sz w:val="36"/>
          <w:szCs w:val="24"/>
          <w:lang w:bidi="ar"/>
        </w:rPr>
        <w:t>年</w:t>
      </w:r>
      <w:r>
        <w:rPr>
          <w:rFonts w:eastAsia="仿宋"/>
          <w:bCs/>
          <w:spacing w:val="-6"/>
          <w:sz w:val="36"/>
          <w:szCs w:val="24"/>
          <w:lang w:bidi="ar"/>
        </w:rPr>
        <w:t>5</w:t>
      </w:r>
      <w:r>
        <w:rPr>
          <w:rFonts w:hint="eastAsia" w:eastAsia="仿宋"/>
          <w:bCs/>
          <w:spacing w:val="-6"/>
          <w:sz w:val="36"/>
          <w:szCs w:val="24"/>
          <w:lang w:bidi="ar"/>
        </w:rPr>
        <w:t>月</w:t>
      </w:r>
    </w:p>
    <w:p w14:paraId="0D2850C4">
      <w:pPr>
        <w:ind w:firstLine="0" w:firstLineChars="0"/>
        <w:sectPr>
          <w:footerReference r:id="rId16" w:type="default"/>
          <w:pgSz w:w="11906" w:h="16838"/>
          <w:pgMar w:top="2098" w:right="1474" w:bottom="1984" w:left="1587" w:header="1814" w:footer="1587" w:gutter="0"/>
          <w:pgNumType w:fmt="numberInDash"/>
          <w:cols w:space="720" w:num="1"/>
          <w:docGrid w:type="linesAndChars" w:linePitch="579" w:charSpace="-842"/>
        </w:sectPr>
      </w:pPr>
      <w:r>
        <w:rPr>
          <w:rFonts w:hint="eastAsia"/>
        </w:rPr>
        <w:br w:type="page"/>
      </w:r>
    </w:p>
    <w:p w14:paraId="4FAF4C2E">
      <w:pPr>
        <w:ind w:firstLine="0" w:firstLineChars="0"/>
        <w:jc w:val="center"/>
        <w:rPr>
          <w:rFonts w:ascii="微软雅黑" w:hAnsi="微软雅黑" w:eastAsia="微软雅黑" w:cs="微软雅黑"/>
          <w:b/>
          <w:bCs/>
          <w:sz w:val="36"/>
          <w:szCs w:val="36"/>
        </w:rPr>
      </w:pPr>
      <w:r>
        <w:rPr>
          <w:rFonts w:hint="eastAsia" w:ascii="微软雅黑" w:hAnsi="微软雅黑" w:eastAsia="微软雅黑" w:cs="微软雅黑"/>
          <w:b/>
          <w:bCs/>
          <w:sz w:val="36"/>
          <w:szCs w:val="36"/>
        </w:rPr>
        <w:t>目  录</w:t>
      </w:r>
    </w:p>
    <w:p w14:paraId="45DD73C7">
      <w:pPr>
        <w:pStyle w:val="18"/>
      </w:pPr>
      <w:r>
        <w:rPr>
          <w:rFonts w:hint="eastAsia" w:ascii="黑体" w:hAnsi="黑体" w:eastAsia="黑体" w:cs="黑体"/>
          <w:sz w:val="44"/>
          <w:szCs w:val="44"/>
        </w:rPr>
        <w:fldChar w:fldCharType="begin"/>
      </w:r>
      <w:r>
        <w:rPr>
          <w:rFonts w:hint="eastAsia" w:ascii="黑体" w:hAnsi="黑体" w:eastAsia="黑体" w:cs="黑体"/>
          <w:sz w:val="44"/>
          <w:szCs w:val="44"/>
        </w:rPr>
        <w:instrText xml:space="preserve">TOC \o "1-2" \h \u </w:instrText>
      </w:r>
      <w:r>
        <w:rPr>
          <w:rFonts w:hint="eastAsia" w:ascii="黑体" w:hAnsi="黑体" w:eastAsia="黑体" w:cs="黑体"/>
          <w:sz w:val="44"/>
          <w:szCs w:val="44"/>
        </w:rPr>
        <w:fldChar w:fldCharType="separate"/>
      </w:r>
      <w:r>
        <w:fldChar w:fldCharType="begin"/>
      </w:r>
      <w:r>
        <w:instrText xml:space="preserve"> HYPERLINK \l "_Toc4827" </w:instrText>
      </w:r>
      <w:r>
        <w:fldChar w:fldCharType="separate"/>
      </w:r>
      <w:r>
        <w:rPr>
          <w:rFonts w:eastAsia="仿宋"/>
        </w:rPr>
        <w:t xml:space="preserve">1 </w:t>
      </w:r>
      <w:r>
        <w:rPr>
          <w:rFonts w:hint="eastAsia"/>
        </w:rPr>
        <w:t>总则</w:t>
      </w:r>
      <w:r>
        <w:tab/>
      </w:r>
      <w:r>
        <w:fldChar w:fldCharType="begin"/>
      </w:r>
      <w:r>
        <w:instrText xml:space="preserve"> PAGEREF _Toc4827 \h </w:instrText>
      </w:r>
      <w:r>
        <w:fldChar w:fldCharType="separate"/>
      </w:r>
      <w:r>
        <w:t>1</w:t>
      </w:r>
      <w:r>
        <w:fldChar w:fldCharType="end"/>
      </w:r>
      <w:r>
        <w:fldChar w:fldCharType="end"/>
      </w:r>
    </w:p>
    <w:p w14:paraId="5F1B6E23">
      <w:pPr>
        <w:pStyle w:val="19"/>
        <w:tabs>
          <w:tab w:val="right" w:leader="dot" w:pos="8845"/>
        </w:tabs>
        <w:ind w:firstLine="632"/>
      </w:pPr>
      <w:r>
        <w:fldChar w:fldCharType="begin"/>
      </w:r>
      <w:r>
        <w:instrText xml:space="preserve"> HYPERLINK \l "_Toc20468" </w:instrText>
      </w:r>
      <w:r>
        <w:fldChar w:fldCharType="separate"/>
      </w:r>
      <w:r>
        <w:rPr>
          <w:rFonts w:eastAsia="仿宋"/>
          <w:bCs/>
          <w:szCs w:val="28"/>
        </w:rPr>
        <w:t xml:space="preserve">1.1 </w:t>
      </w:r>
      <w:r>
        <w:rPr>
          <w:rFonts w:hint="eastAsia"/>
        </w:rPr>
        <w:t>指导思想</w:t>
      </w:r>
      <w:r>
        <w:tab/>
      </w:r>
      <w:r>
        <w:fldChar w:fldCharType="begin"/>
      </w:r>
      <w:r>
        <w:instrText xml:space="preserve"> PAGEREF _Toc20468 \h </w:instrText>
      </w:r>
      <w:r>
        <w:fldChar w:fldCharType="separate"/>
      </w:r>
      <w:r>
        <w:t>1</w:t>
      </w:r>
      <w:r>
        <w:fldChar w:fldCharType="end"/>
      </w:r>
      <w:r>
        <w:fldChar w:fldCharType="end"/>
      </w:r>
    </w:p>
    <w:p w14:paraId="7FF95274">
      <w:pPr>
        <w:pStyle w:val="19"/>
        <w:tabs>
          <w:tab w:val="right" w:leader="dot" w:pos="8845"/>
        </w:tabs>
        <w:ind w:firstLine="632"/>
      </w:pPr>
      <w:r>
        <w:fldChar w:fldCharType="begin"/>
      </w:r>
      <w:r>
        <w:instrText xml:space="preserve"> HYPERLINK \l "_Toc19580" </w:instrText>
      </w:r>
      <w:r>
        <w:fldChar w:fldCharType="separate"/>
      </w:r>
      <w:r>
        <w:rPr>
          <w:rFonts w:eastAsia="仿宋"/>
          <w:bCs/>
          <w:szCs w:val="28"/>
        </w:rPr>
        <w:t xml:space="preserve">1.2 </w:t>
      </w:r>
      <w:r>
        <w:rPr>
          <w:rFonts w:hint="eastAsia"/>
        </w:rPr>
        <w:t>编制依据</w:t>
      </w:r>
      <w:r>
        <w:tab/>
      </w:r>
      <w:r>
        <w:fldChar w:fldCharType="begin"/>
      </w:r>
      <w:r>
        <w:instrText xml:space="preserve"> PAGEREF _Toc19580 \h </w:instrText>
      </w:r>
      <w:r>
        <w:fldChar w:fldCharType="separate"/>
      </w:r>
      <w:r>
        <w:t>1</w:t>
      </w:r>
      <w:r>
        <w:fldChar w:fldCharType="end"/>
      </w:r>
      <w:r>
        <w:fldChar w:fldCharType="end"/>
      </w:r>
    </w:p>
    <w:p w14:paraId="4DE0ADBA">
      <w:pPr>
        <w:pStyle w:val="19"/>
        <w:tabs>
          <w:tab w:val="right" w:leader="dot" w:pos="8845"/>
        </w:tabs>
        <w:ind w:firstLine="632"/>
      </w:pPr>
      <w:r>
        <w:fldChar w:fldCharType="begin"/>
      </w:r>
      <w:r>
        <w:instrText xml:space="preserve"> HYPERLINK \l "_Toc18968" </w:instrText>
      </w:r>
      <w:r>
        <w:fldChar w:fldCharType="separate"/>
      </w:r>
      <w:r>
        <w:rPr>
          <w:rFonts w:eastAsia="仿宋"/>
          <w:bCs/>
          <w:szCs w:val="28"/>
        </w:rPr>
        <w:t xml:space="preserve">1.3 </w:t>
      </w:r>
      <w:r>
        <w:rPr>
          <w:rFonts w:hint="eastAsia"/>
        </w:rPr>
        <w:t>适用范围</w:t>
      </w:r>
      <w:r>
        <w:tab/>
      </w:r>
      <w:r>
        <w:fldChar w:fldCharType="begin"/>
      </w:r>
      <w:r>
        <w:instrText xml:space="preserve"> PAGEREF _Toc18968 \h </w:instrText>
      </w:r>
      <w:r>
        <w:fldChar w:fldCharType="separate"/>
      </w:r>
      <w:r>
        <w:t>1</w:t>
      </w:r>
      <w:r>
        <w:fldChar w:fldCharType="end"/>
      </w:r>
      <w:r>
        <w:fldChar w:fldCharType="end"/>
      </w:r>
    </w:p>
    <w:p w14:paraId="2F79A704">
      <w:pPr>
        <w:pStyle w:val="19"/>
        <w:tabs>
          <w:tab w:val="right" w:leader="dot" w:pos="8845"/>
        </w:tabs>
        <w:ind w:firstLine="632"/>
      </w:pPr>
      <w:r>
        <w:fldChar w:fldCharType="begin"/>
      </w:r>
      <w:r>
        <w:instrText xml:space="preserve"> HYPERLINK \l "_Toc2970" </w:instrText>
      </w:r>
      <w:r>
        <w:fldChar w:fldCharType="separate"/>
      </w:r>
      <w:r>
        <w:rPr>
          <w:rFonts w:eastAsia="仿宋"/>
          <w:bCs/>
          <w:szCs w:val="28"/>
        </w:rPr>
        <w:t xml:space="preserve">1.4 </w:t>
      </w:r>
      <w:r>
        <w:rPr>
          <w:rFonts w:hint="eastAsia"/>
        </w:rPr>
        <w:t>工作原则</w:t>
      </w:r>
      <w:r>
        <w:tab/>
      </w:r>
      <w:r>
        <w:fldChar w:fldCharType="begin"/>
      </w:r>
      <w:r>
        <w:instrText xml:space="preserve"> PAGEREF _Toc2970 \h </w:instrText>
      </w:r>
      <w:r>
        <w:fldChar w:fldCharType="separate"/>
      </w:r>
      <w:r>
        <w:t>2</w:t>
      </w:r>
      <w:r>
        <w:fldChar w:fldCharType="end"/>
      </w:r>
      <w:r>
        <w:fldChar w:fldCharType="end"/>
      </w:r>
    </w:p>
    <w:p w14:paraId="64723471">
      <w:pPr>
        <w:pStyle w:val="18"/>
      </w:pPr>
      <w:r>
        <w:fldChar w:fldCharType="begin"/>
      </w:r>
      <w:r>
        <w:instrText xml:space="preserve"> HYPERLINK \l "_Toc7241" </w:instrText>
      </w:r>
      <w:r>
        <w:fldChar w:fldCharType="separate"/>
      </w:r>
      <w:r>
        <w:rPr>
          <w:rFonts w:eastAsia="仿宋"/>
        </w:rPr>
        <w:t xml:space="preserve">2 </w:t>
      </w:r>
      <w:r>
        <w:rPr>
          <w:rFonts w:hint="eastAsia"/>
        </w:rPr>
        <w:t>城市概况</w:t>
      </w:r>
      <w:r>
        <w:tab/>
      </w:r>
      <w:r>
        <w:fldChar w:fldCharType="begin"/>
      </w:r>
      <w:r>
        <w:instrText xml:space="preserve"> PAGEREF _Toc7241 \h </w:instrText>
      </w:r>
      <w:r>
        <w:fldChar w:fldCharType="separate"/>
      </w:r>
      <w:r>
        <w:t>2</w:t>
      </w:r>
      <w:r>
        <w:fldChar w:fldCharType="end"/>
      </w:r>
      <w:r>
        <w:fldChar w:fldCharType="end"/>
      </w:r>
    </w:p>
    <w:p w14:paraId="354B8638">
      <w:pPr>
        <w:pStyle w:val="19"/>
        <w:tabs>
          <w:tab w:val="right" w:leader="dot" w:pos="8845"/>
        </w:tabs>
        <w:ind w:firstLine="632"/>
      </w:pPr>
      <w:r>
        <w:fldChar w:fldCharType="begin"/>
      </w:r>
      <w:r>
        <w:instrText xml:space="preserve"> HYPERLINK \l "_Toc7689" </w:instrText>
      </w:r>
      <w:r>
        <w:fldChar w:fldCharType="separate"/>
      </w:r>
      <w:r>
        <w:rPr>
          <w:rFonts w:eastAsia="仿宋"/>
          <w:bCs/>
          <w:szCs w:val="28"/>
        </w:rPr>
        <w:t xml:space="preserve">2.1 </w:t>
      </w:r>
      <w:r>
        <w:rPr>
          <w:rFonts w:hint="eastAsia"/>
        </w:rPr>
        <w:t>自然地理与水文气象</w:t>
      </w:r>
      <w:r>
        <w:tab/>
      </w:r>
      <w:r>
        <w:fldChar w:fldCharType="begin"/>
      </w:r>
      <w:r>
        <w:instrText xml:space="preserve"> PAGEREF _Toc7689 \h </w:instrText>
      </w:r>
      <w:r>
        <w:fldChar w:fldCharType="separate"/>
      </w:r>
      <w:r>
        <w:t>2</w:t>
      </w:r>
      <w:r>
        <w:fldChar w:fldCharType="end"/>
      </w:r>
      <w:r>
        <w:fldChar w:fldCharType="end"/>
      </w:r>
    </w:p>
    <w:p w14:paraId="24DFD9FE">
      <w:pPr>
        <w:pStyle w:val="19"/>
        <w:tabs>
          <w:tab w:val="right" w:leader="dot" w:pos="8845"/>
        </w:tabs>
        <w:ind w:firstLine="632"/>
      </w:pPr>
      <w:r>
        <w:fldChar w:fldCharType="begin"/>
      </w:r>
      <w:r>
        <w:instrText xml:space="preserve"> HYPERLINK \l "_Toc8977" </w:instrText>
      </w:r>
      <w:r>
        <w:fldChar w:fldCharType="separate"/>
      </w:r>
      <w:r>
        <w:rPr>
          <w:rFonts w:eastAsia="仿宋"/>
          <w:bCs/>
          <w:szCs w:val="28"/>
        </w:rPr>
        <w:t xml:space="preserve">2.2 </w:t>
      </w:r>
      <w:r>
        <w:t>水资源情况</w:t>
      </w:r>
      <w:r>
        <w:tab/>
      </w:r>
      <w:r>
        <w:fldChar w:fldCharType="begin"/>
      </w:r>
      <w:r>
        <w:instrText xml:space="preserve"> PAGEREF _Toc8977 \h </w:instrText>
      </w:r>
      <w:r>
        <w:fldChar w:fldCharType="separate"/>
      </w:r>
      <w:r>
        <w:t>3</w:t>
      </w:r>
      <w:r>
        <w:fldChar w:fldCharType="end"/>
      </w:r>
      <w:r>
        <w:fldChar w:fldCharType="end"/>
      </w:r>
    </w:p>
    <w:p w14:paraId="1A63F069">
      <w:pPr>
        <w:pStyle w:val="19"/>
        <w:tabs>
          <w:tab w:val="right" w:leader="dot" w:pos="8845"/>
        </w:tabs>
        <w:ind w:firstLine="632"/>
      </w:pPr>
      <w:r>
        <w:fldChar w:fldCharType="begin"/>
      </w:r>
      <w:r>
        <w:instrText xml:space="preserve"> HYPERLINK \l "_Toc17427" </w:instrText>
      </w:r>
      <w:r>
        <w:fldChar w:fldCharType="separate"/>
      </w:r>
      <w:r>
        <w:rPr>
          <w:rFonts w:eastAsia="仿宋"/>
          <w:bCs/>
          <w:szCs w:val="28"/>
        </w:rPr>
        <w:t xml:space="preserve">2.3 </w:t>
      </w:r>
      <w:r>
        <w:t>干旱影响分析</w:t>
      </w:r>
      <w:r>
        <w:tab/>
      </w:r>
      <w:r>
        <w:fldChar w:fldCharType="begin"/>
      </w:r>
      <w:r>
        <w:instrText xml:space="preserve"> PAGEREF _Toc17427 \h </w:instrText>
      </w:r>
      <w:r>
        <w:fldChar w:fldCharType="separate"/>
      </w:r>
      <w:r>
        <w:t>4</w:t>
      </w:r>
      <w:r>
        <w:fldChar w:fldCharType="end"/>
      </w:r>
      <w:r>
        <w:fldChar w:fldCharType="end"/>
      </w:r>
    </w:p>
    <w:p w14:paraId="6AF1C61A">
      <w:pPr>
        <w:pStyle w:val="19"/>
        <w:tabs>
          <w:tab w:val="right" w:leader="dot" w:pos="8845"/>
        </w:tabs>
        <w:ind w:firstLine="632"/>
      </w:pPr>
      <w:r>
        <w:fldChar w:fldCharType="begin"/>
      </w:r>
      <w:r>
        <w:instrText xml:space="preserve"> HYPERLINK \l "_Toc9196" </w:instrText>
      </w:r>
      <w:r>
        <w:fldChar w:fldCharType="separate"/>
      </w:r>
      <w:r>
        <w:rPr>
          <w:rFonts w:eastAsia="仿宋"/>
          <w:bCs/>
          <w:szCs w:val="28"/>
        </w:rPr>
        <w:t xml:space="preserve">2.4 </w:t>
      </w:r>
      <w:r>
        <w:t>抗旱能力</w:t>
      </w:r>
      <w:r>
        <w:tab/>
      </w:r>
      <w:r>
        <w:fldChar w:fldCharType="begin"/>
      </w:r>
      <w:r>
        <w:instrText xml:space="preserve"> PAGEREF _Toc9196 \h </w:instrText>
      </w:r>
      <w:r>
        <w:fldChar w:fldCharType="separate"/>
      </w:r>
      <w:r>
        <w:t>5</w:t>
      </w:r>
      <w:r>
        <w:fldChar w:fldCharType="end"/>
      </w:r>
      <w:r>
        <w:fldChar w:fldCharType="end"/>
      </w:r>
    </w:p>
    <w:p w14:paraId="0EC3179B">
      <w:pPr>
        <w:pStyle w:val="18"/>
      </w:pPr>
      <w:r>
        <w:fldChar w:fldCharType="begin"/>
      </w:r>
      <w:r>
        <w:instrText xml:space="preserve"> HYPERLINK \l "_Toc565" </w:instrText>
      </w:r>
      <w:r>
        <w:fldChar w:fldCharType="separate"/>
      </w:r>
      <w:r>
        <w:rPr>
          <w:rFonts w:eastAsia="仿宋"/>
        </w:rPr>
        <w:t xml:space="preserve">3 </w:t>
      </w:r>
      <w:r>
        <w:rPr>
          <w:rFonts w:hint="eastAsia"/>
        </w:rPr>
        <w:t>组织指挥体系及职责</w:t>
      </w:r>
      <w:r>
        <w:tab/>
      </w:r>
      <w:r>
        <w:fldChar w:fldCharType="begin"/>
      </w:r>
      <w:r>
        <w:instrText xml:space="preserve"> PAGEREF _Toc565 \h </w:instrText>
      </w:r>
      <w:r>
        <w:fldChar w:fldCharType="separate"/>
      </w:r>
      <w:r>
        <w:t>7</w:t>
      </w:r>
      <w:r>
        <w:fldChar w:fldCharType="end"/>
      </w:r>
      <w:r>
        <w:fldChar w:fldCharType="end"/>
      </w:r>
    </w:p>
    <w:p w14:paraId="09785F58">
      <w:pPr>
        <w:pStyle w:val="19"/>
        <w:tabs>
          <w:tab w:val="right" w:leader="dot" w:pos="8845"/>
        </w:tabs>
        <w:ind w:firstLine="632"/>
      </w:pPr>
      <w:r>
        <w:fldChar w:fldCharType="begin"/>
      </w:r>
      <w:r>
        <w:instrText xml:space="preserve"> HYPERLINK \l "_Toc23183" </w:instrText>
      </w:r>
      <w:r>
        <w:fldChar w:fldCharType="separate"/>
      </w:r>
      <w:r>
        <w:rPr>
          <w:rFonts w:eastAsia="仿宋"/>
          <w:bCs/>
          <w:szCs w:val="28"/>
        </w:rPr>
        <w:t xml:space="preserve">3.1 </w:t>
      </w:r>
      <w:r>
        <w:rPr>
          <w:rFonts w:hint="eastAsia"/>
        </w:rPr>
        <w:t>县防汛抗旱指挥部组成及职责</w:t>
      </w:r>
      <w:r>
        <w:tab/>
      </w:r>
      <w:r>
        <w:fldChar w:fldCharType="begin"/>
      </w:r>
      <w:r>
        <w:instrText xml:space="preserve"> PAGEREF _Toc23183 \h </w:instrText>
      </w:r>
      <w:r>
        <w:fldChar w:fldCharType="separate"/>
      </w:r>
      <w:r>
        <w:t>7</w:t>
      </w:r>
      <w:r>
        <w:fldChar w:fldCharType="end"/>
      </w:r>
      <w:r>
        <w:fldChar w:fldCharType="end"/>
      </w:r>
    </w:p>
    <w:p w14:paraId="7E8A41F8">
      <w:pPr>
        <w:pStyle w:val="19"/>
        <w:tabs>
          <w:tab w:val="right" w:leader="dot" w:pos="8845"/>
        </w:tabs>
        <w:ind w:firstLine="632"/>
      </w:pPr>
      <w:r>
        <w:fldChar w:fldCharType="begin"/>
      </w:r>
      <w:r>
        <w:instrText xml:space="preserve"> HYPERLINK \l "_Toc29137" </w:instrText>
      </w:r>
      <w:r>
        <w:fldChar w:fldCharType="separate"/>
      </w:r>
      <w:r>
        <w:rPr>
          <w:rFonts w:eastAsia="仿宋"/>
          <w:bCs/>
          <w:szCs w:val="28"/>
        </w:rPr>
        <w:t xml:space="preserve">3.2 </w:t>
      </w:r>
      <w:r>
        <w:rPr>
          <w:rFonts w:hint="eastAsia"/>
        </w:rPr>
        <w:t>专项工作组</w:t>
      </w:r>
      <w:r>
        <w:tab/>
      </w:r>
      <w:r>
        <w:fldChar w:fldCharType="begin"/>
      </w:r>
      <w:r>
        <w:instrText xml:space="preserve"> PAGEREF _Toc29137 \h </w:instrText>
      </w:r>
      <w:r>
        <w:fldChar w:fldCharType="separate"/>
      </w:r>
      <w:r>
        <w:t>13</w:t>
      </w:r>
      <w:r>
        <w:fldChar w:fldCharType="end"/>
      </w:r>
      <w:r>
        <w:fldChar w:fldCharType="end"/>
      </w:r>
    </w:p>
    <w:p w14:paraId="5CB3492E">
      <w:pPr>
        <w:pStyle w:val="19"/>
        <w:tabs>
          <w:tab w:val="right" w:leader="dot" w:pos="8845"/>
        </w:tabs>
        <w:ind w:firstLine="632"/>
      </w:pPr>
      <w:r>
        <w:fldChar w:fldCharType="begin"/>
      </w:r>
      <w:r>
        <w:instrText xml:space="preserve"> HYPERLINK \l "_Toc7500" </w:instrText>
      </w:r>
      <w:r>
        <w:fldChar w:fldCharType="separate"/>
      </w:r>
      <w:r>
        <w:rPr>
          <w:rFonts w:eastAsia="仿宋"/>
          <w:bCs/>
          <w:szCs w:val="28"/>
        </w:rPr>
        <w:t xml:space="preserve">3.3 </w:t>
      </w:r>
      <w:r>
        <w:rPr>
          <w:rFonts w:hint="eastAsia"/>
        </w:rPr>
        <w:t>乡镇防汛抗旱指挥部</w:t>
      </w:r>
      <w:r>
        <w:tab/>
      </w:r>
      <w:r>
        <w:fldChar w:fldCharType="begin"/>
      </w:r>
      <w:r>
        <w:instrText xml:space="preserve"> PAGEREF _Toc7500 \h </w:instrText>
      </w:r>
      <w:r>
        <w:fldChar w:fldCharType="separate"/>
      </w:r>
      <w:r>
        <w:t>14</w:t>
      </w:r>
      <w:r>
        <w:fldChar w:fldCharType="end"/>
      </w:r>
      <w:r>
        <w:fldChar w:fldCharType="end"/>
      </w:r>
    </w:p>
    <w:p w14:paraId="114BC628">
      <w:pPr>
        <w:pStyle w:val="19"/>
        <w:tabs>
          <w:tab w:val="right" w:leader="dot" w:pos="8845"/>
        </w:tabs>
        <w:ind w:firstLine="632"/>
      </w:pPr>
      <w:r>
        <w:fldChar w:fldCharType="begin"/>
      </w:r>
      <w:r>
        <w:instrText xml:space="preserve"> HYPERLINK \l "_Toc4225" </w:instrText>
      </w:r>
      <w:r>
        <w:fldChar w:fldCharType="separate"/>
      </w:r>
      <w:r>
        <w:rPr>
          <w:rFonts w:eastAsia="仿宋"/>
          <w:bCs/>
          <w:szCs w:val="28"/>
        </w:rPr>
        <w:t xml:space="preserve">3.4 </w:t>
      </w:r>
      <w:r>
        <w:rPr>
          <w:rFonts w:hint="eastAsia"/>
        </w:rPr>
        <w:t>专家组组成及职责</w:t>
      </w:r>
      <w:r>
        <w:tab/>
      </w:r>
      <w:r>
        <w:fldChar w:fldCharType="begin"/>
      </w:r>
      <w:r>
        <w:instrText xml:space="preserve"> PAGEREF _Toc4225 \h </w:instrText>
      </w:r>
      <w:r>
        <w:fldChar w:fldCharType="separate"/>
      </w:r>
      <w:r>
        <w:t>15</w:t>
      </w:r>
      <w:r>
        <w:fldChar w:fldCharType="end"/>
      </w:r>
      <w:r>
        <w:fldChar w:fldCharType="end"/>
      </w:r>
    </w:p>
    <w:p w14:paraId="16803AAA">
      <w:pPr>
        <w:pStyle w:val="18"/>
      </w:pPr>
      <w:r>
        <w:fldChar w:fldCharType="begin"/>
      </w:r>
      <w:r>
        <w:instrText xml:space="preserve"> HYPERLINK \l "_Toc14756" </w:instrText>
      </w:r>
      <w:r>
        <w:fldChar w:fldCharType="separate"/>
      </w:r>
      <w:r>
        <w:rPr>
          <w:rFonts w:eastAsia="仿宋"/>
        </w:rPr>
        <w:t xml:space="preserve">4 </w:t>
      </w:r>
      <w:r>
        <w:rPr>
          <w:rFonts w:hint="eastAsia"/>
        </w:rPr>
        <w:t>预防和预警机制</w:t>
      </w:r>
      <w:r>
        <w:tab/>
      </w:r>
      <w:r>
        <w:fldChar w:fldCharType="begin"/>
      </w:r>
      <w:r>
        <w:instrText xml:space="preserve"> PAGEREF _Toc14756 \h </w:instrText>
      </w:r>
      <w:r>
        <w:fldChar w:fldCharType="separate"/>
      </w:r>
      <w:r>
        <w:t>15</w:t>
      </w:r>
      <w:r>
        <w:fldChar w:fldCharType="end"/>
      </w:r>
      <w:r>
        <w:fldChar w:fldCharType="end"/>
      </w:r>
    </w:p>
    <w:p w14:paraId="1E2C74C0">
      <w:pPr>
        <w:pStyle w:val="19"/>
        <w:tabs>
          <w:tab w:val="right" w:leader="dot" w:pos="8845"/>
        </w:tabs>
        <w:ind w:firstLine="632"/>
      </w:pPr>
      <w:r>
        <w:fldChar w:fldCharType="begin"/>
      </w:r>
      <w:r>
        <w:instrText xml:space="preserve"> HYPERLINK \l "_Toc19176" </w:instrText>
      </w:r>
      <w:r>
        <w:fldChar w:fldCharType="separate"/>
      </w:r>
      <w:r>
        <w:rPr>
          <w:rFonts w:eastAsia="仿宋"/>
          <w:bCs/>
          <w:szCs w:val="28"/>
        </w:rPr>
        <w:t xml:space="preserve">4.1 </w:t>
      </w:r>
      <w:r>
        <w:rPr>
          <w:rFonts w:hint="eastAsia"/>
        </w:rPr>
        <w:t>预防预警信息</w:t>
      </w:r>
      <w:r>
        <w:tab/>
      </w:r>
      <w:r>
        <w:fldChar w:fldCharType="begin"/>
      </w:r>
      <w:r>
        <w:instrText xml:space="preserve"> PAGEREF _Toc19176 \h </w:instrText>
      </w:r>
      <w:r>
        <w:fldChar w:fldCharType="separate"/>
      </w:r>
      <w:r>
        <w:t>15</w:t>
      </w:r>
      <w:r>
        <w:fldChar w:fldCharType="end"/>
      </w:r>
      <w:r>
        <w:fldChar w:fldCharType="end"/>
      </w:r>
    </w:p>
    <w:p w14:paraId="12656B74">
      <w:pPr>
        <w:pStyle w:val="19"/>
        <w:tabs>
          <w:tab w:val="right" w:leader="dot" w:pos="8845"/>
        </w:tabs>
        <w:ind w:firstLine="632"/>
      </w:pPr>
      <w:r>
        <w:fldChar w:fldCharType="begin"/>
      </w:r>
      <w:r>
        <w:instrText xml:space="preserve"> HYPERLINK \l "_Toc29248" </w:instrText>
      </w:r>
      <w:r>
        <w:fldChar w:fldCharType="separate"/>
      </w:r>
      <w:r>
        <w:rPr>
          <w:rFonts w:eastAsia="仿宋"/>
          <w:bCs/>
          <w:szCs w:val="28"/>
        </w:rPr>
        <w:t xml:space="preserve">4.2 </w:t>
      </w:r>
      <w:r>
        <w:rPr>
          <w:rFonts w:hint="eastAsia"/>
        </w:rPr>
        <w:t>预防预警行动</w:t>
      </w:r>
      <w:r>
        <w:tab/>
      </w:r>
      <w:r>
        <w:fldChar w:fldCharType="begin"/>
      </w:r>
      <w:r>
        <w:instrText xml:space="preserve"> PAGEREF _Toc29248 \h </w:instrText>
      </w:r>
      <w:r>
        <w:fldChar w:fldCharType="separate"/>
      </w:r>
      <w:r>
        <w:t>17</w:t>
      </w:r>
      <w:r>
        <w:fldChar w:fldCharType="end"/>
      </w:r>
      <w:r>
        <w:fldChar w:fldCharType="end"/>
      </w:r>
    </w:p>
    <w:p w14:paraId="1241B7E2">
      <w:pPr>
        <w:pStyle w:val="19"/>
        <w:tabs>
          <w:tab w:val="right" w:leader="dot" w:pos="8845"/>
        </w:tabs>
        <w:ind w:firstLine="632"/>
      </w:pPr>
      <w:r>
        <w:fldChar w:fldCharType="begin"/>
      </w:r>
      <w:r>
        <w:instrText xml:space="preserve"> HYPERLINK \l "_Toc10045" </w:instrText>
      </w:r>
      <w:r>
        <w:fldChar w:fldCharType="separate"/>
      </w:r>
      <w:r>
        <w:rPr>
          <w:rFonts w:eastAsia="仿宋"/>
          <w:bCs/>
          <w:szCs w:val="28"/>
        </w:rPr>
        <w:t xml:space="preserve">4.3 </w:t>
      </w:r>
      <w:r>
        <w:rPr>
          <w:rFonts w:hint="eastAsia"/>
        </w:rPr>
        <w:t>预警发布、变更及解除</w:t>
      </w:r>
      <w:r>
        <w:tab/>
      </w:r>
      <w:r>
        <w:fldChar w:fldCharType="begin"/>
      </w:r>
      <w:r>
        <w:instrText xml:space="preserve"> PAGEREF _Toc10045 \h </w:instrText>
      </w:r>
      <w:r>
        <w:fldChar w:fldCharType="separate"/>
      </w:r>
      <w:r>
        <w:t>21</w:t>
      </w:r>
      <w:r>
        <w:fldChar w:fldCharType="end"/>
      </w:r>
      <w:r>
        <w:fldChar w:fldCharType="end"/>
      </w:r>
    </w:p>
    <w:p w14:paraId="7C42FB6A">
      <w:pPr>
        <w:pStyle w:val="18"/>
      </w:pPr>
      <w:r>
        <w:fldChar w:fldCharType="begin"/>
      </w:r>
      <w:r>
        <w:instrText xml:space="preserve"> HYPERLINK \l "_Toc4588" </w:instrText>
      </w:r>
      <w:r>
        <w:fldChar w:fldCharType="separate"/>
      </w:r>
      <w:r>
        <w:rPr>
          <w:rFonts w:eastAsia="仿宋"/>
        </w:rPr>
        <w:t xml:space="preserve">5 </w:t>
      </w:r>
      <w:r>
        <w:rPr>
          <w:rFonts w:hint="eastAsia"/>
        </w:rPr>
        <w:t>应急响应</w:t>
      </w:r>
      <w:r>
        <w:tab/>
      </w:r>
      <w:r>
        <w:fldChar w:fldCharType="begin"/>
      </w:r>
      <w:r>
        <w:instrText xml:space="preserve"> PAGEREF _Toc4588 \h </w:instrText>
      </w:r>
      <w:r>
        <w:fldChar w:fldCharType="separate"/>
      </w:r>
      <w:r>
        <w:t>21</w:t>
      </w:r>
      <w:r>
        <w:fldChar w:fldCharType="end"/>
      </w:r>
      <w:r>
        <w:fldChar w:fldCharType="end"/>
      </w:r>
    </w:p>
    <w:p w14:paraId="13C91662">
      <w:pPr>
        <w:pStyle w:val="19"/>
        <w:tabs>
          <w:tab w:val="right" w:leader="dot" w:pos="8845"/>
        </w:tabs>
        <w:ind w:firstLine="632"/>
      </w:pPr>
      <w:r>
        <w:fldChar w:fldCharType="begin"/>
      </w:r>
      <w:r>
        <w:instrText xml:space="preserve"> HYPERLINK \l "_Toc21721" </w:instrText>
      </w:r>
      <w:r>
        <w:fldChar w:fldCharType="separate"/>
      </w:r>
      <w:r>
        <w:rPr>
          <w:rFonts w:eastAsia="仿宋"/>
          <w:bCs/>
          <w:szCs w:val="28"/>
        </w:rPr>
        <w:t xml:space="preserve">5.1 </w:t>
      </w:r>
      <w:r>
        <w:t>应急响应分级</w:t>
      </w:r>
      <w:r>
        <w:rPr>
          <w:rFonts w:hint="eastAsia"/>
        </w:rPr>
        <w:t>与总体要求</w:t>
      </w:r>
      <w:r>
        <w:tab/>
      </w:r>
      <w:r>
        <w:fldChar w:fldCharType="begin"/>
      </w:r>
      <w:r>
        <w:instrText xml:space="preserve"> PAGEREF _Toc21721 \h </w:instrText>
      </w:r>
      <w:r>
        <w:fldChar w:fldCharType="separate"/>
      </w:r>
      <w:r>
        <w:t>21</w:t>
      </w:r>
      <w:r>
        <w:fldChar w:fldCharType="end"/>
      </w:r>
      <w:r>
        <w:fldChar w:fldCharType="end"/>
      </w:r>
    </w:p>
    <w:p w14:paraId="6DB4CD7C">
      <w:pPr>
        <w:pStyle w:val="19"/>
        <w:tabs>
          <w:tab w:val="right" w:leader="dot" w:pos="8845"/>
        </w:tabs>
        <w:ind w:firstLine="632"/>
      </w:pPr>
      <w:r>
        <w:fldChar w:fldCharType="begin"/>
      </w:r>
      <w:r>
        <w:instrText xml:space="preserve"> HYPERLINK \l "_Toc25427" </w:instrText>
      </w:r>
      <w:r>
        <w:fldChar w:fldCharType="separate"/>
      </w:r>
      <w:r>
        <w:rPr>
          <w:rFonts w:eastAsia="仿宋"/>
          <w:bCs/>
          <w:szCs w:val="28"/>
        </w:rPr>
        <w:t xml:space="preserve">5.2 </w:t>
      </w:r>
      <w:r>
        <w:rPr>
          <w:rFonts w:hint="eastAsia"/>
        </w:rPr>
        <w:t>应急响应启动程序</w:t>
      </w:r>
      <w:r>
        <w:tab/>
      </w:r>
      <w:r>
        <w:fldChar w:fldCharType="begin"/>
      </w:r>
      <w:r>
        <w:instrText xml:space="preserve"> PAGEREF _Toc25427 \h </w:instrText>
      </w:r>
      <w:r>
        <w:fldChar w:fldCharType="separate"/>
      </w:r>
      <w:r>
        <w:t>23</w:t>
      </w:r>
      <w:r>
        <w:fldChar w:fldCharType="end"/>
      </w:r>
      <w:r>
        <w:fldChar w:fldCharType="end"/>
      </w:r>
    </w:p>
    <w:p w14:paraId="3E6F6D8E">
      <w:pPr>
        <w:pStyle w:val="19"/>
        <w:tabs>
          <w:tab w:val="right" w:leader="dot" w:pos="8845"/>
        </w:tabs>
        <w:ind w:firstLine="632"/>
      </w:pPr>
      <w:r>
        <w:fldChar w:fldCharType="begin"/>
      </w:r>
      <w:r>
        <w:instrText xml:space="preserve"> HYPERLINK \l "_Toc20883" </w:instrText>
      </w:r>
      <w:r>
        <w:fldChar w:fldCharType="separate"/>
      </w:r>
      <w:r>
        <w:rPr>
          <w:rFonts w:eastAsia="仿宋"/>
          <w:bCs/>
          <w:szCs w:val="28"/>
        </w:rPr>
        <w:t xml:space="preserve">5.3 </w:t>
      </w:r>
      <w:r>
        <w:rPr>
          <w:rFonts w:hint="eastAsia"/>
        </w:rPr>
        <w:t>Ⅳ级响应</w:t>
      </w:r>
      <w:r>
        <w:tab/>
      </w:r>
      <w:r>
        <w:fldChar w:fldCharType="begin"/>
      </w:r>
      <w:r>
        <w:instrText xml:space="preserve"> PAGEREF _Toc20883 \h </w:instrText>
      </w:r>
      <w:r>
        <w:fldChar w:fldCharType="separate"/>
      </w:r>
      <w:r>
        <w:t>24</w:t>
      </w:r>
      <w:r>
        <w:fldChar w:fldCharType="end"/>
      </w:r>
      <w:r>
        <w:fldChar w:fldCharType="end"/>
      </w:r>
    </w:p>
    <w:p w14:paraId="7396F9CA">
      <w:pPr>
        <w:pStyle w:val="19"/>
        <w:tabs>
          <w:tab w:val="right" w:leader="dot" w:pos="8845"/>
        </w:tabs>
        <w:ind w:firstLine="632"/>
      </w:pPr>
      <w:r>
        <w:fldChar w:fldCharType="begin"/>
      </w:r>
      <w:r>
        <w:instrText xml:space="preserve"> HYPERLINK \l "_Toc7035" </w:instrText>
      </w:r>
      <w:r>
        <w:fldChar w:fldCharType="separate"/>
      </w:r>
      <w:r>
        <w:rPr>
          <w:rFonts w:eastAsia="仿宋"/>
          <w:bCs/>
          <w:szCs w:val="28"/>
        </w:rPr>
        <w:t xml:space="preserve">5.4 </w:t>
      </w:r>
      <w:r>
        <w:rPr>
          <w:rFonts w:hint="eastAsia"/>
        </w:rPr>
        <w:t>Ⅲ</w:t>
      </w:r>
      <w:r>
        <w:t>级响应</w:t>
      </w:r>
      <w:r>
        <w:tab/>
      </w:r>
      <w:r>
        <w:fldChar w:fldCharType="begin"/>
      </w:r>
      <w:r>
        <w:instrText xml:space="preserve"> PAGEREF _Toc7035 \h </w:instrText>
      </w:r>
      <w:r>
        <w:fldChar w:fldCharType="separate"/>
      </w:r>
      <w:r>
        <w:t>26</w:t>
      </w:r>
      <w:r>
        <w:fldChar w:fldCharType="end"/>
      </w:r>
      <w:r>
        <w:fldChar w:fldCharType="end"/>
      </w:r>
    </w:p>
    <w:p w14:paraId="7B7712DB">
      <w:pPr>
        <w:pStyle w:val="19"/>
        <w:tabs>
          <w:tab w:val="right" w:leader="dot" w:pos="8845"/>
        </w:tabs>
        <w:ind w:firstLine="632"/>
      </w:pPr>
      <w:r>
        <w:fldChar w:fldCharType="begin"/>
      </w:r>
      <w:r>
        <w:instrText xml:space="preserve"> HYPERLINK \l "_Toc6838" </w:instrText>
      </w:r>
      <w:r>
        <w:fldChar w:fldCharType="separate"/>
      </w:r>
      <w:r>
        <w:rPr>
          <w:rFonts w:eastAsia="仿宋"/>
          <w:bCs/>
          <w:szCs w:val="28"/>
        </w:rPr>
        <w:t xml:space="preserve">5.5 </w:t>
      </w:r>
      <w:r>
        <w:rPr>
          <w:rFonts w:hint="eastAsia"/>
        </w:rPr>
        <w:t>Ⅱ</w:t>
      </w:r>
      <w:r>
        <w:t>级响应</w:t>
      </w:r>
      <w:r>
        <w:tab/>
      </w:r>
      <w:r>
        <w:fldChar w:fldCharType="begin"/>
      </w:r>
      <w:r>
        <w:instrText xml:space="preserve"> PAGEREF _Toc6838 \h </w:instrText>
      </w:r>
      <w:r>
        <w:fldChar w:fldCharType="separate"/>
      </w:r>
      <w:r>
        <w:t>28</w:t>
      </w:r>
      <w:r>
        <w:fldChar w:fldCharType="end"/>
      </w:r>
      <w:r>
        <w:fldChar w:fldCharType="end"/>
      </w:r>
    </w:p>
    <w:p w14:paraId="65D32AF8">
      <w:pPr>
        <w:pStyle w:val="19"/>
        <w:tabs>
          <w:tab w:val="right" w:leader="dot" w:pos="8845"/>
        </w:tabs>
        <w:ind w:firstLine="632"/>
      </w:pPr>
      <w:r>
        <w:fldChar w:fldCharType="begin"/>
      </w:r>
      <w:r>
        <w:instrText xml:space="preserve"> HYPERLINK \l "_Toc30046" </w:instrText>
      </w:r>
      <w:r>
        <w:fldChar w:fldCharType="separate"/>
      </w:r>
      <w:r>
        <w:rPr>
          <w:rFonts w:eastAsia="仿宋"/>
          <w:bCs/>
          <w:szCs w:val="28"/>
        </w:rPr>
        <w:t xml:space="preserve">5.6 </w:t>
      </w:r>
      <w:r>
        <w:rPr>
          <w:rFonts w:hint="eastAsia"/>
        </w:rPr>
        <w:t>Ⅰ</w:t>
      </w:r>
      <w:r>
        <w:t>级响应</w:t>
      </w:r>
      <w:r>
        <w:tab/>
      </w:r>
      <w:r>
        <w:fldChar w:fldCharType="begin"/>
      </w:r>
      <w:r>
        <w:instrText xml:space="preserve"> PAGEREF _Toc30046 \h </w:instrText>
      </w:r>
      <w:r>
        <w:fldChar w:fldCharType="separate"/>
      </w:r>
      <w:r>
        <w:t>30</w:t>
      </w:r>
      <w:r>
        <w:fldChar w:fldCharType="end"/>
      </w:r>
      <w:r>
        <w:fldChar w:fldCharType="end"/>
      </w:r>
    </w:p>
    <w:p w14:paraId="37336164">
      <w:pPr>
        <w:pStyle w:val="19"/>
        <w:tabs>
          <w:tab w:val="right" w:leader="dot" w:pos="8845"/>
        </w:tabs>
        <w:ind w:firstLine="632"/>
      </w:pPr>
      <w:r>
        <w:fldChar w:fldCharType="begin"/>
      </w:r>
      <w:r>
        <w:instrText xml:space="preserve"> HYPERLINK \l "_Toc20168" </w:instrText>
      </w:r>
      <w:r>
        <w:fldChar w:fldCharType="separate"/>
      </w:r>
      <w:r>
        <w:rPr>
          <w:rFonts w:eastAsia="仿宋"/>
          <w:bCs/>
          <w:szCs w:val="28"/>
        </w:rPr>
        <w:t xml:space="preserve">5.7 </w:t>
      </w:r>
      <w:r>
        <w:t>应急处置</w:t>
      </w:r>
      <w:r>
        <w:tab/>
      </w:r>
      <w:r>
        <w:fldChar w:fldCharType="begin"/>
      </w:r>
      <w:r>
        <w:instrText xml:space="preserve"> PAGEREF _Toc20168 \h </w:instrText>
      </w:r>
      <w:r>
        <w:fldChar w:fldCharType="separate"/>
      </w:r>
      <w:r>
        <w:t>33</w:t>
      </w:r>
      <w:r>
        <w:fldChar w:fldCharType="end"/>
      </w:r>
      <w:r>
        <w:fldChar w:fldCharType="end"/>
      </w:r>
    </w:p>
    <w:p w14:paraId="297E9310">
      <w:pPr>
        <w:pStyle w:val="19"/>
        <w:tabs>
          <w:tab w:val="right" w:leader="dot" w:pos="8845"/>
        </w:tabs>
        <w:ind w:firstLine="632"/>
      </w:pPr>
      <w:r>
        <w:fldChar w:fldCharType="begin"/>
      </w:r>
      <w:r>
        <w:instrText xml:space="preserve"> HYPERLINK \l "_Toc28436" </w:instrText>
      </w:r>
      <w:r>
        <w:fldChar w:fldCharType="separate"/>
      </w:r>
      <w:r>
        <w:rPr>
          <w:rFonts w:eastAsia="仿宋"/>
          <w:bCs/>
          <w:szCs w:val="28"/>
        </w:rPr>
        <w:t xml:space="preserve">5.8 </w:t>
      </w:r>
      <w:r>
        <w:rPr>
          <w:rFonts w:hint="eastAsia"/>
        </w:rPr>
        <w:t>常规措施</w:t>
      </w:r>
      <w:r>
        <w:tab/>
      </w:r>
      <w:r>
        <w:fldChar w:fldCharType="begin"/>
      </w:r>
      <w:r>
        <w:instrText xml:space="preserve"> PAGEREF _Toc28436 \h </w:instrText>
      </w:r>
      <w:r>
        <w:fldChar w:fldCharType="separate"/>
      </w:r>
      <w:r>
        <w:t>35</w:t>
      </w:r>
      <w:r>
        <w:fldChar w:fldCharType="end"/>
      </w:r>
      <w:r>
        <w:fldChar w:fldCharType="end"/>
      </w:r>
    </w:p>
    <w:p w14:paraId="141A2089">
      <w:pPr>
        <w:pStyle w:val="19"/>
        <w:tabs>
          <w:tab w:val="right" w:leader="dot" w:pos="8845"/>
        </w:tabs>
        <w:ind w:firstLine="632"/>
      </w:pPr>
      <w:r>
        <w:fldChar w:fldCharType="begin"/>
      </w:r>
      <w:r>
        <w:instrText xml:space="preserve"> HYPERLINK \l "_Toc3719" </w:instrText>
      </w:r>
      <w:r>
        <w:fldChar w:fldCharType="separate"/>
      </w:r>
      <w:r>
        <w:rPr>
          <w:rFonts w:eastAsia="仿宋"/>
          <w:bCs/>
          <w:szCs w:val="28"/>
        </w:rPr>
        <w:t xml:space="preserve">5.9 </w:t>
      </w:r>
      <w:r>
        <w:rPr>
          <w:rFonts w:hint="eastAsia"/>
        </w:rPr>
        <w:t>调水措施</w:t>
      </w:r>
      <w:r>
        <w:tab/>
      </w:r>
      <w:r>
        <w:fldChar w:fldCharType="begin"/>
      </w:r>
      <w:r>
        <w:instrText xml:space="preserve"> PAGEREF _Toc3719 \h </w:instrText>
      </w:r>
      <w:r>
        <w:fldChar w:fldCharType="separate"/>
      </w:r>
      <w:r>
        <w:t>35</w:t>
      </w:r>
      <w:r>
        <w:fldChar w:fldCharType="end"/>
      </w:r>
      <w:r>
        <w:fldChar w:fldCharType="end"/>
      </w:r>
    </w:p>
    <w:p w14:paraId="66913C94">
      <w:pPr>
        <w:pStyle w:val="19"/>
        <w:tabs>
          <w:tab w:val="right" w:leader="dot" w:pos="8845"/>
        </w:tabs>
        <w:ind w:firstLine="632"/>
      </w:pPr>
      <w:r>
        <w:fldChar w:fldCharType="begin"/>
      </w:r>
      <w:r>
        <w:instrText xml:space="preserve"> HYPERLINK \l "_Toc23901" </w:instrText>
      </w:r>
      <w:r>
        <w:fldChar w:fldCharType="separate"/>
      </w:r>
      <w:r>
        <w:rPr>
          <w:rFonts w:eastAsia="仿宋"/>
          <w:bCs/>
          <w:szCs w:val="28"/>
        </w:rPr>
        <w:t xml:space="preserve">5.10 </w:t>
      </w:r>
      <w:r>
        <w:rPr>
          <w:rFonts w:hint="eastAsia"/>
        </w:rPr>
        <w:t>供水危机</w:t>
      </w:r>
      <w:r>
        <w:tab/>
      </w:r>
      <w:r>
        <w:fldChar w:fldCharType="begin"/>
      </w:r>
      <w:r>
        <w:instrText xml:space="preserve"> PAGEREF _Toc23901 \h </w:instrText>
      </w:r>
      <w:r>
        <w:fldChar w:fldCharType="separate"/>
      </w:r>
      <w:r>
        <w:t>37</w:t>
      </w:r>
      <w:r>
        <w:fldChar w:fldCharType="end"/>
      </w:r>
      <w:r>
        <w:fldChar w:fldCharType="end"/>
      </w:r>
    </w:p>
    <w:p w14:paraId="35499F70">
      <w:pPr>
        <w:pStyle w:val="19"/>
        <w:tabs>
          <w:tab w:val="right" w:leader="dot" w:pos="8845"/>
        </w:tabs>
        <w:ind w:firstLine="632"/>
      </w:pPr>
      <w:r>
        <w:fldChar w:fldCharType="begin"/>
      </w:r>
      <w:r>
        <w:instrText xml:space="preserve"> HYPERLINK \l "_Toc7871" </w:instrText>
      </w:r>
      <w:r>
        <w:fldChar w:fldCharType="separate"/>
      </w:r>
      <w:r>
        <w:rPr>
          <w:rFonts w:eastAsia="仿宋"/>
          <w:bCs/>
          <w:szCs w:val="28"/>
        </w:rPr>
        <w:t xml:space="preserve">5.11 </w:t>
      </w:r>
      <w:r>
        <w:t>信息报送和处理</w:t>
      </w:r>
      <w:r>
        <w:tab/>
      </w:r>
      <w:r>
        <w:fldChar w:fldCharType="begin"/>
      </w:r>
      <w:r>
        <w:instrText xml:space="preserve"> PAGEREF _Toc7871 \h </w:instrText>
      </w:r>
      <w:r>
        <w:fldChar w:fldCharType="separate"/>
      </w:r>
      <w:r>
        <w:t>37</w:t>
      </w:r>
      <w:r>
        <w:fldChar w:fldCharType="end"/>
      </w:r>
      <w:r>
        <w:fldChar w:fldCharType="end"/>
      </w:r>
    </w:p>
    <w:p w14:paraId="4E8D8109">
      <w:pPr>
        <w:pStyle w:val="19"/>
        <w:tabs>
          <w:tab w:val="right" w:leader="dot" w:pos="8845"/>
        </w:tabs>
        <w:ind w:firstLine="632"/>
      </w:pPr>
      <w:r>
        <w:fldChar w:fldCharType="begin"/>
      </w:r>
      <w:r>
        <w:instrText xml:space="preserve"> HYPERLINK \l "_Toc28827" </w:instrText>
      </w:r>
      <w:r>
        <w:fldChar w:fldCharType="separate"/>
      </w:r>
      <w:r>
        <w:rPr>
          <w:rFonts w:eastAsia="仿宋"/>
          <w:bCs/>
          <w:szCs w:val="28"/>
        </w:rPr>
        <w:t xml:space="preserve">5.12 </w:t>
      </w:r>
      <w:r>
        <w:t>指挥和调度</w:t>
      </w:r>
      <w:r>
        <w:tab/>
      </w:r>
      <w:r>
        <w:fldChar w:fldCharType="begin"/>
      </w:r>
      <w:r>
        <w:instrText xml:space="preserve"> PAGEREF _Toc28827 \h </w:instrText>
      </w:r>
      <w:r>
        <w:fldChar w:fldCharType="separate"/>
      </w:r>
      <w:r>
        <w:t>38</w:t>
      </w:r>
      <w:r>
        <w:fldChar w:fldCharType="end"/>
      </w:r>
      <w:r>
        <w:fldChar w:fldCharType="end"/>
      </w:r>
    </w:p>
    <w:p w14:paraId="165A50EE">
      <w:pPr>
        <w:pStyle w:val="19"/>
        <w:tabs>
          <w:tab w:val="right" w:leader="dot" w:pos="8845"/>
        </w:tabs>
        <w:ind w:firstLine="632"/>
      </w:pPr>
      <w:r>
        <w:fldChar w:fldCharType="begin"/>
      </w:r>
      <w:r>
        <w:instrText xml:space="preserve"> HYPERLINK \l "_Toc6635" </w:instrText>
      </w:r>
      <w:r>
        <w:fldChar w:fldCharType="separate"/>
      </w:r>
      <w:r>
        <w:rPr>
          <w:rFonts w:eastAsia="仿宋"/>
          <w:bCs/>
          <w:szCs w:val="28"/>
        </w:rPr>
        <w:t xml:space="preserve">5.13 </w:t>
      </w:r>
      <w:r>
        <w:t>社会力量动员与参与</w:t>
      </w:r>
      <w:r>
        <w:tab/>
      </w:r>
      <w:r>
        <w:fldChar w:fldCharType="begin"/>
      </w:r>
      <w:r>
        <w:instrText xml:space="preserve"> PAGEREF _Toc6635 \h </w:instrText>
      </w:r>
      <w:r>
        <w:fldChar w:fldCharType="separate"/>
      </w:r>
      <w:r>
        <w:t>38</w:t>
      </w:r>
      <w:r>
        <w:fldChar w:fldCharType="end"/>
      </w:r>
      <w:r>
        <w:fldChar w:fldCharType="end"/>
      </w:r>
    </w:p>
    <w:p w14:paraId="6638CA61">
      <w:pPr>
        <w:pStyle w:val="19"/>
        <w:tabs>
          <w:tab w:val="right" w:leader="dot" w:pos="8845"/>
        </w:tabs>
        <w:ind w:firstLine="632"/>
      </w:pPr>
      <w:r>
        <w:fldChar w:fldCharType="begin"/>
      </w:r>
      <w:r>
        <w:instrText xml:space="preserve"> HYPERLINK \l "_Toc24187" </w:instrText>
      </w:r>
      <w:r>
        <w:fldChar w:fldCharType="separate"/>
      </w:r>
      <w:r>
        <w:rPr>
          <w:rFonts w:eastAsia="仿宋"/>
          <w:bCs/>
          <w:szCs w:val="28"/>
        </w:rPr>
        <w:t xml:space="preserve">5.14 </w:t>
      </w:r>
      <w:r>
        <w:t>信息发布</w:t>
      </w:r>
      <w:r>
        <w:tab/>
      </w:r>
      <w:r>
        <w:fldChar w:fldCharType="begin"/>
      </w:r>
      <w:r>
        <w:instrText xml:space="preserve"> PAGEREF _Toc24187 \h </w:instrText>
      </w:r>
      <w:r>
        <w:fldChar w:fldCharType="separate"/>
      </w:r>
      <w:r>
        <w:t>39</w:t>
      </w:r>
      <w:r>
        <w:fldChar w:fldCharType="end"/>
      </w:r>
      <w:r>
        <w:fldChar w:fldCharType="end"/>
      </w:r>
    </w:p>
    <w:p w14:paraId="748342B5">
      <w:pPr>
        <w:pStyle w:val="18"/>
      </w:pPr>
      <w:r>
        <w:fldChar w:fldCharType="begin"/>
      </w:r>
      <w:r>
        <w:instrText xml:space="preserve"> HYPERLINK \l "_Toc14271" </w:instrText>
      </w:r>
      <w:r>
        <w:fldChar w:fldCharType="separate"/>
      </w:r>
      <w:r>
        <w:rPr>
          <w:rFonts w:eastAsia="仿宋"/>
        </w:rPr>
        <w:t xml:space="preserve">6 </w:t>
      </w:r>
      <w:r>
        <w:t>应急保障</w:t>
      </w:r>
      <w:r>
        <w:tab/>
      </w:r>
      <w:r>
        <w:fldChar w:fldCharType="begin"/>
      </w:r>
      <w:r>
        <w:instrText xml:space="preserve"> PAGEREF _Toc14271 \h </w:instrText>
      </w:r>
      <w:r>
        <w:fldChar w:fldCharType="separate"/>
      </w:r>
      <w:r>
        <w:t>39</w:t>
      </w:r>
      <w:r>
        <w:fldChar w:fldCharType="end"/>
      </w:r>
      <w:r>
        <w:fldChar w:fldCharType="end"/>
      </w:r>
    </w:p>
    <w:p w14:paraId="0E03DA97">
      <w:pPr>
        <w:pStyle w:val="19"/>
        <w:tabs>
          <w:tab w:val="right" w:leader="dot" w:pos="8845"/>
        </w:tabs>
        <w:ind w:firstLine="632"/>
      </w:pPr>
      <w:r>
        <w:fldChar w:fldCharType="begin"/>
      </w:r>
      <w:r>
        <w:instrText xml:space="preserve"> HYPERLINK \l "_Toc15821" </w:instrText>
      </w:r>
      <w:r>
        <w:fldChar w:fldCharType="separate"/>
      </w:r>
      <w:r>
        <w:rPr>
          <w:rFonts w:eastAsia="仿宋"/>
          <w:bCs/>
          <w:szCs w:val="28"/>
        </w:rPr>
        <w:t xml:space="preserve">6.1 </w:t>
      </w:r>
      <w:r>
        <w:t>通信与信息保障</w:t>
      </w:r>
      <w:r>
        <w:tab/>
      </w:r>
      <w:r>
        <w:fldChar w:fldCharType="begin"/>
      </w:r>
      <w:r>
        <w:instrText xml:space="preserve"> PAGEREF _Toc15821 \h </w:instrText>
      </w:r>
      <w:r>
        <w:fldChar w:fldCharType="separate"/>
      </w:r>
      <w:r>
        <w:t>39</w:t>
      </w:r>
      <w:r>
        <w:fldChar w:fldCharType="end"/>
      </w:r>
      <w:r>
        <w:fldChar w:fldCharType="end"/>
      </w:r>
    </w:p>
    <w:p w14:paraId="5106F25C">
      <w:pPr>
        <w:pStyle w:val="19"/>
        <w:tabs>
          <w:tab w:val="right" w:leader="dot" w:pos="8845"/>
        </w:tabs>
        <w:ind w:firstLine="632"/>
      </w:pPr>
      <w:r>
        <w:fldChar w:fldCharType="begin"/>
      </w:r>
      <w:r>
        <w:instrText xml:space="preserve"> HYPERLINK \l "_Toc8707" </w:instrText>
      </w:r>
      <w:r>
        <w:fldChar w:fldCharType="separate"/>
      </w:r>
      <w:r>
        <w:rPr>
          <w:rFonts w:eastAsia="仿宋"/>
          <w:bCs/>
          <w:szCs w:val="28"/>
        </w:rPr>
        <w:t xml:space="preserve">6.2 </w:t>
      </w:r>
      <w:r>
        <w:t>应急支援与装备保障</w:t>
      </w:r>
      <w:r>
        <w:tab/>
      </w:r>
      <w:r>
        <w:fldChar w:fldCharType="begin"/>
      </w:r>
      <w:r>
        <w:instrText xml:space="preserve"> PAGEREF _Toc8707 \h </w:instrText>
      </w:r>
      <w:r>
        <w:fldChar w:fldCharType="separate"/>
      </w:r>
      <w:r>
        <w:t>40</w:t>
      </w:r>
      <w:r>
        <w:fldChar w:fldCharType="end"/>
      </w:r>
      <w:r>
        <w:fldChar w:fldCharType="end"/>
      </w:r>
    </w:p>
    <w:p w14:paraId="0B50D6EF">
      <w:pPr>
        <w:pStyle w:val="19"/>
        <w:tabs>
          <w:tab w:val="right" w:leader="dot" w:pos="8845"/>
        </w:tabs>
        <w:ind w:firstLine="632"/>
      </w:pPr>
      <w:r>
        <w:fldChar w:fldCharType="begin"/>
      </w:r>
      <w:r>
        <w:instrText xml:space="preserve"> HYPERLINK \l "_Toc20079" </w:instrText>
      </w:r>
      <w:r>
        <w:fldChar w:fldCharType="separate"/>
      </w:r>
      <w:r>
        <w:rPr>
          <w:rFonts w:eastAsia="仿宋"/>
          <w:bCs/>
          <w:szCs w:val="28"/>
        </w:rPr>
        <w:t xml:space="preserve">6.3 </w:t>
      </w:r>
      <w:r>
        <w:t>技术保障</w:t>
      </w:r>
      <w:r>
        <w:tab/>
      </w:r>
      <w:r>
        <w:fldChar w:fldCharType="begin"/>
      </w:r>
      <w:r>
        <w:instrText xml:space="preserve"> PAGEREF _Toc20079 \h </w:instrText>
      </w:r>
      <w:r>
        <w:fldChar w:fldCharType="separate"/>
      </w:r>
      <w:r>
        <w:t>43</w:t>
      </w:r>
      <w:r>
        <w:fldChar w:fldCharType="end"/>
      </w:r>
      <w:r>
        <w:fldChar w:fldCharType="end"/>
      </w:r>
    </w:p>
    <w:p w14:paraId="048611E5">
      <w:pPr>
        <w:pStyle w:val="19"/>
        <w:tabs>
          <w:tab w:val="right" w:leader="dot" w:pos="8845"/>
        </w:tabs>
        <w:ind w:firstLine="632"/>
      </w:pPr>
      <w:r>
        <w:fldChar w:fldCharType="begin"/>
      </w:r>
      <w:r>
        <w:instrText xml:space="preserve"> HYPERLINK \l "_Toc18805" </w:instrText>
      </w:r>
      <w:r>
        <w:fldChar w:fldCharType="separate"/>
      </w:r>
      <w:r>
        <w:rPr>
          <w:rFonts w:eastAsia="仿宋"/>
          <w:bCs/>
          <w:szCs w:val="28"/>
        </w:rPr>
        <w:t xml:space="preserve">6.4 </w:t>
      </w:r>
      <w:r>
        <w:t>宣传</w:t>
      </w:r>
      <w:r>
        <w:tab/>
      </w:r>
      <w:r>
        <w:fldChar w:fldCharType="begin"/>
      </w:r>
      <w:r>
        <w:instrText xml:space="preserve"> PAGEREF _Toc18805 \h </w:instrText>
      </w:r>
      <w:r>
        <w:fldChar w:fldCharType="separate"/>
      </w:r>
      <w:r>
        <w:t>43</w:t>
      </w:r>
      <w:r>
        <w:fldChar w:fldCharType="end"/>
      </w:r>
      <w:r>
        <w:fldChar w:fldCharType="end"/>
      </w:r>
    </w:p>
    <w:p w14:paraId="5827B1E9">
      <w:pPr>
        <w:pStyle w:val="19"/>
        <w:tabs>
          <w:tab w:val="right" w:leader="dot" w:pos="8845"/>
        </w:tabs>
        <w:ind w:firstLine="632"/>
      </w:pPr>
      <w:r>
        <w:fldChar w:fldCharType="begin"/>
      </w:r>
      <w:r>
        <w:instrText xml:space="preserve"> HYPERLINK \l "_Toc29999" </w:instrText>
      </w:r>
      <w:r>
        <w:fldChar w:fldCharType="separate"/>
      </w:r>
      <w:r>
        <w:rPr>
          <w:rFonts w:eastAsia="仿宋"/>
          <w:bCs/>
          <w:szCs w:val="28"/>
        </w:rPr>
        <w:t xml:space="preserve">6.5 </w:t>
      </w:r>
      <w:r>
        <w:t>培训和演练</w:t>
      </w:r>
      <w:r>
        <w:tab/>
      </w:r>
      <w:r>
        <w:fldChar w:fldCharType="begin"/>
      </w:r>
      <w:r>
        <w:instrText xml:space="preserve"> PAGEREF _Toc29999 \h </w:instrText>
      </w:r>
      <w:r>
        <w:fldChar w:fldCharType="separate"/>
      </w:r>
      <w:r>
        <w:t>44</w:t>
      </w:r>
      <w:r>
        <w:fldChar w:fldCharType="end"/>
      </w:r>
      <w:r>
        <w:fldChar w:fldCharType="end"/>
      </w:r>
    </w:p>
    <w:p w14:paraId="3909D728">
      <w:pPr>
        <w:pStyle w:val="18"/>
      </w:pPr>
      <w:r>
        <w:fldChar w:fldCharType="begin"/>
      </w:r>
      <w:r>
        <w:instrText xml:space="preserve"> HYPERLINK \l "_Toc651" </w:instrText>
      </w:r>
      <w:r>
        <w:fldChar w:fldCharType="separate"/>
      </w:r>
      <w:r>
        <w:rPr>
          <w:rFonts w:eastAsia="仿宋"/>
        </w:rPr>
        <w:t xml:space="preserve">7 </w:t>
      </w:r>
      <w:r>
        <w:t>善后工作</w:t>
      </w:r>
      <w:r>
        <w:tab/>
      </w:r>
      <w:r>
        <w:fldChar w:fldCharType="begin"/>
      </w:r>
      <w:r>
        <w:instrText xml:space="preserve"> PAGEREF _Toc651 \h </w:instrText>
      </w:r>
      <w:r>
        <w:fldChar w:fldCharType="separate"/>
      </w:r>
      <w:r>
        <w:t>45</w:t>
      </w:r>
      <w:r>
        <w:fldChar w:fldCharType="end"/>
      </w:r>
      <w:r>
        <w:fldChar w:fldCharType="end"/>
      </w:r>
    </w:p>
    <w:p w14:paraId="60B03BF3">
      <w:pPr>
        <w:pStyle w:val="19"/>
        <w:tabs>
          <w:tab w:val="right" w:leader="dot" w:pos="8845"/>
        </w:tabs>
        <w:ind w:firstLine="632"/>
      </w:pPr>
      <w:r>
        <w:fldChar w:fldCharType="begin"/>
      </w:r>
      <w:r>
        <w:instrText xml:space="preserve"> HYPERLINK \l "_Toc13323" </w:instrText>
      </w:r>
      <w:r>
        <w:fldChar w:fldCharType="separate"/>
      </w:r>
      <w:r>
        <w:rPr>
          <w:rFonts w:eastAsia="仿宋"/>
          <w:bCs/>
          <w:szCs w:val="28"/>
        </w:rPr>
        <w:t xml:space="preserve">7.1 </w:t>
      </w:r>
      <w:r>
        <w:t>救灾</w:t>
      </w:r>
      <w:r>
        <w:tab/>
      </w:r>
      <w:r>
        <w:fldChar w:fldCharType="begin"/>
      </w:r>
      <w:r>
        <w:instrText xml:space="preserve"> PAGEREF _Toc13323 \h </w:instrText>
      </w:r>
      <w:r>
        <w:fldChar w:fldCharType="separate"/>
      </w:r>
      <w:r>
        <w:t>45</w:t>
      </w:r>
      <w:r>
        <w:fldChar w:fldCharType="end"/>
      </w:r>
      <w:r>
        <w:fldChar w:fldCharType="end"/>
      </w:r>
    </w:p>
    <w:p w14:paraId="186A0D6C">
      <w:pPr>
        <w:pStyle w:val="19"/>
        <w:tabs>
          <w:tab w:val="right" w:leader="dot" w:pos="8845"/>
        </w:tabs>
        <w:ind w:firstLine="632"/>
      </w:pPr>
      <w:r>
        <w:fldChar w:fldCharType="begin"/>
      </w:r>
      <w:r>
        <w:instrText xml:space="preserve"> HYPERLINK \l "_Toc12605" </w:instrText>
      </w:r>
      <w:r>
        <w:fldChar w:fldCharType="separate"/>
      </w:r>
      <w:r>
        <w:rPr>
          <w:rFonts w:eastAsia="仿宋"/>
          <w:bCs/>
          <w:szCs w:val="28"/>
        </w:rPr>
        <w:t xml:space="preserve">7.2 </w:t>
      </w:r>
      <w:r>
        <w:rPr>
          <w:rFonts w:hint="eastAsia"/>
        </w:rPr>
        <w:t>抗旱</w:t>
      </w:r>
      <w:r>
        <w:t>物资补充</w:t>
      </w:r>
      <w:r>
        <w:tab/>
      </w:r>
      <w:r>
        <w:fldChar w:fldCharType="begin"/>
      </w:r>
      <w:r>
        <w:instrText xml:space="preserve"> PAGEREF _Toc12605 \h </w:instrText>
      </w:r>
      <w:r>
        <w:fldChar w:fldCharType="separate"/>
      </w:r>
      <w:r>
        <w:t>45</w:t>
      </w:r>
      <w:r>
        <w:fldChar w:fldCharType="end"/>
      </w:r>
      <w:r>
        <w:fldChar w:fldCharType="end"/>
      </w:r>
    </w:p>
    <w:p w14:paraId="361508C9">
      <w:pPr>
        <w:pStyle w:val="19"/>
        <w:tabs>
          <w:tab w:val="right" w:leader="dot" w:pos="8845"/>
        </w:tabs>
        <w:ind w:firstLine="632"/>
      </w:pPr>
      <w:r>
        <w:fldChar w:fldCharType="begin"/>
      </w:r>
      <w:r>
        <w:instrText xml:space="preserve"> HYPERLINK \l "_Toc26948" </w:instrText>
      </w:r>
      <w:r>
        <w:fldChar w:fldCharType="separate"/>
      </w:r>
      <w:r>
        <w:rPr>
          <w:rFonts w:eastAsia="仿宋"/>
          <w:bCs/>
          <w:szCs w:val="28"/>
        </w:rPr>
        <w:t xml:space="preserve">7.3 </w:t>
      </w:r>
      <w:r>
        <w:rPr>
          <w:rFonts w:hint="eastAsia"/>
        </w:rPr>
        <w:t>抗旱</w:t>
      </w:r>
      <w:r>
        <w:t>工作评价与灾害评估</w:t>
      </w:r>
      <w:r>
        <w:tab/>
      </w:r>
      <w:r>
        <w:fldChar w:fldCharType="begin"/>
      </w:r>
      <w:r>
        <w:instrText xml:space="preserve"> PAGEREF _Toc26948 \h </w:instrText>
      </w:r>
      <w:r>
        <w:fldChar w:fldCharType="separate"/>
      </w:r>
      <w:r>
        <w:t>46</w:t>
      </w:r>
      <w:r>
        <w:fldChar w:fldCharType="end"/>
      </w:r>
      <w:r>
        <w:fldChar w:fldCharType="end"/>
      </w:r>
    </w:p>
    <w:p w14:paraId="1280FF67">
      <w:pPr>
        <w:pStyle w:val="18"/>
      </w:pPr>
      <w:r>
        <w:fldChar w:fldCharType="begin"/>
      </w:r>
      <w:r>
        <w:instrText xml:space="preserve"> HYPERLINK \l "_Toc17482" </w:instrText>
      </w:r>
      <w:r>
        <w:fldChar w:fldCharType="separate"/>
      </w:r>
      <w:r>
        <w:rPr>
          <w:rFonts w:eastAsia="仿宋"/>
        </w:rPr>
        <w:t xml:space="preserve">8 </w:t>
      </w:r>
      <w:r>
        <w:t>附则</w:t>
      </w:r>
      <w:r>
        <w:tab/>
      </w:r>
      <w:r>
        <w:fldChar w:fldCharType="begin"/>
      </w:r>
      <w:r>
        <w:instrText xml:space="preserve"> PAGEREF _Toc17482 \h </w:instrText>
      </w:r>
      <w:r>
        <w:fldChar w:fldCharType="separate"/>
      </w:r>
      <w:r>
        <w:t>46</w:t>
      </w:r>
      <w:r>
        <w:fldChar w:fldCharType="end"/>
      </w:r>
      <w:r>
        <w:fldChar w:fldCharType="end"/>
      </w:r>
    </w:p>
    <w:p w14:paraId="52079E6E">
      <w:pPr>
        <w:pStyle w:val="19"/>
        <w:tabs>
          <w:tab w:val="right" w:leader="dot" w:pos="8845"/>
        </w:tabs>
        <w:ind w:firstLine="632"/>
      </w:pPr>
      <w:r>
        <w:fldChar w:fldCharType="begin"/>
      </w:r>
      <w:r>
        <w:instrText xml:space="preserve"> HYPERLINK \l "_Toc13330" </w:instrText>
      </w:r>
      <w:r>
        <w:fldChar w:fldCharType="separate"/>
      </w:r>
      <w:r>
        <w:rPr>
          <w:rFonts w:eastAsia="仿宋"/>
          <w:bCs/>
          <w:szCs w:val="28"/>
        </w:rPr>
        <w:t xml:space="preserve">8.1 </w:t>
      </w:r>
      <w:r>
        <w:t>名词术语定义</w:t>
      </w:r>
      <w:r>
        <w:tab/>
      </w:r>
      <w:r>
        <w:fldChar w:fldCharType="begin"/>
      </w:r>
      <w:r>
        <w:instrText xml:space="preserve"> PAGEREF _Toc13330 \h </w:instrText>
      </w:r>
      <w:r>
        <w:fldChar w:fldCharType="separate"/>
      </w:r>
      <w:r>
        <w:t>46</w:t>
      </w:r>
      <w:r>
        <w:fldChar w:fldCharType="end"/>
      </w:r>
      <w:r>
        <w:fldChar w:fldCharType="end"/>
      </w:r>
    </w:p>
    <w:p w14:paraId="10AC8033">
      <w:pPr>
        <w:pStyle w:val="19"/>
        <w:tabs>
          <w:tab w:val="right" w:leader="dot" w:pos="8845"/>
        </w:tabs>
        <w:ind w:firstLine="632"/>
      </w:pPr>
      <w:r>
        <w:fldChar w:fldCharType="begin"/>
      </w:r>
      <w:r>
        <w:instrText xml:space="preserve"> HYPERLINK \l "_Toc925" </w:instrText>
      </w:r>
      <w:r>
        <w:fldChar w:fldCharType="separate"/>
      </w:r>
      <w:r>
        <w:rPr>
          <w:rFonts w:eastAsia="仿宋"/>
          <w:bCs/>
          <w:szCs w:val="28"/>
        </w:rPr>
        <w:t xml:space="preserve">8.2 </w:t>
      </w:r>
      <w:r>
        <w:t>预案更新</w:t>
      </w:r>
      <w:r>
        <w:tab/>
      </w:r>
      <w:r>
        <w:fldChar w:fldCharType="begin"/>
      </w:r>
      <w:r>
        <w:instrText xml:space="preserve"> PAGEREF _Toc925 \h </w:instrText>
      </w:r>
      <w:r>
        <w:fldChar w:fldCharType="separate"/>
      </w:r>
      <w:r>
        <w:t>48</w:t>
      </w:r>
      <w:r>
        <w:fldChar w:fldCharType="end"/>
      </w:r>
      <w:r>
        <w:fldChar w:fldCharType="end"/>
      </w:r>
    </w:p>
    <w:p w14:paraId="1542E9B7">
      <w:pPr>
        <w:pStyle w:val="19"/>
        <w:tabs>
          <w:tab w:val="right" w:leader="dot" w:pos="8845"/>
        </w:tabs>
        <w:ind w:firstLine="632"/>
      </w:pPr>
      <w:r>
        <w:fldChar w:fldCharType="begin"/>
      </w:r>
      <w:r>
        <w:instrText xml:space="preserve"> HYPERLINK \l "_Toc5123" </w:instrText>
      </w:r>
      <w:r>
        <w:fldChar w:fldCharType="separate"/>
      </w:r>
      <w:r>
        <w:rPr>
          <w:rFonts w:eastAsia="仿宋"/>
          <w:bCs/>
          <w:szCs w:val="28"/>
        </w:rPr>
        <w:t xml:space="preserve">8.3 </w:t>
      </w:r>
      <w:r>
        <w:t>奖励与责任追究</w:t>
      </w:r>
      <w:r>
        <w:tab/>
      </w:r>
      <w:r>
        <w:fldChar w:fldCharType="begin"/>
      </w:r>
      <w:r>
        <w:instrText xml:space="preserve"> PAGEREF _Toc5123 \h </w:instrText>
      </w:r>
      <w:r>
        <w:fldChar w:fldCharType="separate"/>
      </w:r>
      <w:r>
        <w:t>49</w:t>
      </w:r>
      <w:r>
        <w:fldChar w:fldCharType="end"/>
      </w:r>
      <w:r>
        <w:fldChar w:fldCharType="end"/>
      </w:r>
    </w:p>
    <w:p w14:paraId="51D30AAB">
      <w:pPr>
        <w:pStyle w:val="19"/>
        <w:tabs>
          <w:tab w:val="right" w:leader="dot" w:pos="8845"/>
        </w:tabs>
        <w:ind w:firstLine="632"/>
      </w:pPr>
      <w:r>
        <w:fldChar w:fldCharType="begin"/>
      </w:r>
      <w:r>
        <w:instrText xml:space="preserve"> HYPERLINK \l "_Toc4781" </w:instrText>
      </w:r>
      <w:r>
        <w:fldChar w:fldCharType="separate"/>
      </w:r>
      <w:r>
        <w:rPr>
          <w:rFonts w:eastAsia="仿宋"/>
          <w:bCs/>
          <w:szCs w:val="28"/>
        </w:rPr>
        <w:t xml:space="preserve">8.4 </w:t>
      </w:r>
      <w:r>
        <w:rPr>
          <w:rFonts w:hint="eastAsia"/>
        </w:rPr>
        <w:t>预案制定与解释</w:t>
      </w:r>
      <w:r>
        <w:tab/>
      </w:r>
      <w:r>
        <w:fldChar w:fldCharType="begin"/>
      </w:r>
      <w:r>
        <w:instrText xml:space="preserve"> PAGEREF _Toc4781 \h </w:instrText>
      </w:r>
      <w:r>
        <w:fldChar w:fldCharType="separate"/>
      </w:r>
      <w:r>
        <w:t>49</w:t>
      </w:r>
      <w:r>
        <w:fldChar w:fldCharType="end"/>
      </w:r>
      <w:r>
        <w:fldChar w:fldCharType="end"/>
      </w:r>
    </w:p>
    <w:p w14:paraId="0BB3F057">
      <w:pPr>
        <w:pStyle w:val="19"/>
        <w:tabs>
          <w:tab w:val="right" w:leader="dot" w:pos="8845"/>
        </w:tabs>
        <w:ind w:firstLine="632"/>
      </w:pPr>
      <w:r>
        <w:fldChar w:fldCharType="begin"/>
      </w:r>
      <w:r>
        <w:instrText xml:space="preserve"> HYPERLINK \l "_Toc16459" </w:instrText>
      </w:r>
      <w:r>
        <w:fldChar w:fldCharType="separate"/>
      </w:r>
      <w:r>
        <w:rPr>
          <w:rFonts w:eastAsia="仿宋"/>
          <w:bCs/>
          <w:szCs w:val="28"/>
        </w:rPr>
        <w:t xml:space="preserve">8.5 </w:t>
      </w:r>
      <w:r>
        <w:rPr>
          <w:rFonts w:hint="eastAsia"/>
        </w:rPr>
        <w:t>预案中“以上”“以下”的含义</w:t>
      </w:r>
      <w:r>
        <w:tab/>
      </w:r>
      <w:r>
        <w:fldChar w:fldCharType="begin"/>
      </w:r>
      <w:r>
        <w:instrText xml:space="preserve"> PAGEREF _Toc16459 \h </w:instrText>
      </w:r>
      <w:r>
        <w:fldChar w:fldCharType="separate"/>
      </w:r>
      <w:r>
        <w:t>49</w:t>
      </w:r>
      <w:r>
        <w:fldChar w:fldCharType="end"/>
      </w:r>
      <w:r>
        <w:fldChar w:fldCharType="end"/>
      </w:r>
    </w:p>
    <w:p w14:paraId="6F7A8097">
      <w:pPr>
        <w:pStyle w:val="19"/>
        <w:tabs>
          <w:tab w:val="right" w:leader="dot" w:pos="8845"/>
        </w:tabs>
        <w:ind w:firstLine="632"/>
      </w:pPr>
      <w:r>
        <w:fldChar w:fldCharType="begin"/>
      </w:r>
      <w:r>
        <w:instrText xml:space="preserve"> HYPERLINK \l "_Toc20242" </w:instrText>
      </w:r>
      <w:r>
        <w:fldChar w:fldCharType="separate"/>
      </w:r>
      <w:r>
        <w:rPr>
          <w:rFonts w:eastAsia="仿宋"/>
          <w:bCs/>
          <w:szCs w:val="28"/>
        </w:rPr>
        <w:t xml:space="preserve">8.6 </w:t>
      </w:r>
      <w:r>
        <w:rPr>
          <w:rFonts w:hint="eastAsia"/>
        </w:rPr>
        <w:t>预案的实施</w:t>
      </w:r>
      <w:r>
        <w:tab/>
      </w:r>
      <w:r>
        <w:fldChar w:fldCharType="begin"/>
      </w:r>
      <w:r>
        <w:instrText xml:space="preserve"> PAGEREF _Toc20242 \h </w:instrText>
      </w:r>
      <w:r>
        <w:fldChar w:fldCharType="separate"/>
      </w:r>
      <w:r>
        <w:t>49</w:t>
      </w:r>
      <w:r>
        <w:fldChar w:fldCharType="end"/>
      </w:r>
      <w:r>
        <w:fldChar w:fldCharType="end"/>
      </w:r>
    </w:p>
    <w:p w14:paraId="143E4962">
      <w:pPr>
        <w:ind w:firstLine="0" w:firstLineChars="0"/>
        <w:rPr>
          <w:rFonts w:ascii="黑体" w:hAnsi="黑体" w:eastAsia="黑体" w:cs="黑体"/>
          <w:szCs w:val="44"/>
        </w:rPr>
      </w:pPr>
      <w:r>
        <w:rPr>
          <w:rFonts w:hint="eastAsia" w:ascii="黑体" w:hAnsi="黑体" w:eastAsia="黑体" w:cs="黑体"/>
          <w:szCs w:val="44"/>
        </w:rPr>
        <w:fldChar w:fldCharType="end"/>
      </w:r>
      <w:r>
        <w:rPr>
          <w:rFonts w:hint="eastAsia" w:ascii="黑体" w:hAnsi="黑体" w:eastAsia="黑体" w:cs="黑体"/>
          <w:szCs w:val="44"/>
        </w:rPr>
        <w:t xml:space="preserve"> </w:t>
      </w:r>
    </w:p>
    <w:p w14:paraId="0DBA24E9">
      <w:pPr>
        <w:pStyle w:val="2"/>
        <w:rPr>
          <w:sz w:val="32"/>
          <w:szCs w:val="32"/>
        </w:rPr>
        <w:sectPr>
          <w:footerReference r:id="rId17" w:type="default"/>
          <w:footerReference r:id="rId18" w:type="even"/>
          <w:pgSz w:w="11906" w:h="16838"/>
          <w:pgMar w:top="2098" w:right="1474" w:bottom="1984" w:left="1587" w:header="624" w:footer="1134" w:gutter="0"/>
          <w:pgNumType w:fmt="upperRoman" w:start="1"/>
          <w:cols w:space="720" w:num="1"/>
          <w:docGrid w:type="linesAndChars" w:linePitch="579" w:charSpace="-842"/>
        </w:sectPr>
      </w:pPr>
    </w:p>
    <w:p w14:paraId="7AA9D63F">
      <w:pPr>
        <w:pStyle w:val="2"/>
        <w:numPr>
          <w:ilvl w:val="0"/>
          <w:numId w:val="75"/>
        </w:numPr>
        <w:tabs>
          <w:tab w:val="left" w:pos="0"/>
        </w:tabs>
        <w:rPr>
          <w:sz w:val="32"/>
          <w:szCs w:val="32"/>
        </w:rPr>
      </w:pPr>
      <w:bookmarkStart w:id="284" w:name="_Toc4827"/>
      <w:r>
        <w:rPr>
          <w:rFonts w:hint="eastAsia"/>
          <w:sz w:val="32"/>
          <w:szCs w:val="32"/>
        </w:rPr>
        <w:t>总则</w:t>
      </w:r>
      <w:bookmarkEnd w:id="284"/>
    </w:p>
    <w:p w14:paraId="55F40DF3">
      <w:pPr>
        <w:pStyle w:val="3"/>
      </w:pPr>
      <w:bookmarkStart w:id="285" w:name="_Toc20468"/>
      <w:r>
        <w:rPr>
          <w:rFonts w:hint="eastAsia"/>
        </w:rPr>
        <w:t>指导思想</w:t>
      </w:r>
      <w:bookmarkEnd w:id="285"/>
    </w:p>
    <w:p w14:paraId="11296B34">
      <w:pPr>
        <w:ind w:firstLine="632"/>
      </w:pPr>
      <w:r>
        <w:rPr>
          <w:rFonts w:hint="eastAsia"/>
        </w:rPr>
        <w:t>坚持以习近平新时代中国特色社会主义思想为指导，深入学习贯彻党的二十大精神和习近平总书记关于治水重要论述精神，全面落实习近平总书记关于防汛抗旱救灾工作的重要指示精神，按照党中央国务院、省委省政府、市委市政府、县委县政府的决策部署，全面贯彻新发展理念，构建新发展格局，坚持人民至上、生命至上，统筹发展和安全，进一步完善体制机制，依法高效有序做好干旱灾害突发事件防范与处置工作，最大限度地减轻旱灾损失，保障生活、生产、生态用水，为经济社会持续健康发展提供坚强保证。</w:t>
      </w:r>
    </w:p>
    <w:p w14:paraId="7E12F581">
      <w:pPr>
        <w:pStyle w:val="3"/>
      </w:pPr>
      <w:bookmarkStart w:id="286" w:name="_Toc19580"/>
      <w:r>
        <w:rPr>
          <w:rFonts w:hint="eastAsia"/>
        </w:rPr>
        <w:t>编制依据</w:t>
      </w:r>
      <w:bookmarkEnd w:id="286"/>
    </w:p>
    <w:p w14:paraId="6542DC0F">
      <w:pPr>
        <w:ind w:firstLine="632"/>
      </w:pPr>
      <w:r>
        <w:rPr>
          <w:rFonts w:hint="eastAsia"/>
        </w:rPr>
        <w:t>依据《中华人民共和国突发事件应对法》《中华人民共和国水法》《中华人民共和国水土保持法》《中华人民共和国抗旱条例》《国家防汛抗旱应急预案》《旱灾损失及抗旱效益计算办法》《黑龙江省突发事件应急预案管理实施办法》《抗旱预案编制导则》《黑龙江省突发事件应急预案管理实施办法》《双鸭山市抗旱应急预案》《集贤县突发事件总体应急预案》等相关法律、法规和规定，结合我县实际，制定本预案。</w:t>
      </w:r>
    </w:p>
    <w:p w14:paraId="240614A4">
      <w:pPr>
        <w:pStyle w:val="3"/>
      </w:pPr>
      <w:bookmarkStart w:id="287" w:name="_Toc18968"/>
      <w:r>
        <w:rPr>
          <w:rFonts w:hint="eastAsia"/>
        </w:rPr>
        <w:t>适用范围</w:t>
      </w:r>
      <w:bookmarkEnd w:id="287"/>
    </w:p>
    <w:p w14:paraId="62B5CC05">
      <w:pPr>
        <w:ind w:firstLine="632"/>
      </w:pPr>
      <w:r>
        <w:rPr>
          <w:rFonts w:hint="eastAsia"/>
        </w:rPr>
        <w:t>本预案适用于集贤县行政区域范围内抗旱应急管理工作，适用于因自然干旱灾害造成的供水水源短缺的应急处置。</w:t>
      </w:r>
    </w:p>
    <w:p w14:paraId="6ABD114B">
      <w:pPr>
        <w:pStyle w:val="3"/>
      </w:pPr>
      <w:bookmarkStart w:id="288" w:name="_Toc2970"/>
      <w:r>
        <w:rPr>
          <w:rFonts w:hint="eastAsia"/>
        </w:rPr>
        <w:t>工作原则</w:t>
      </w:r>
      <w:bookmarkEnd w:id="288"/>
    </w:p>
    <w:p w14:paraId="3DCB50DB">
      <w:pPr>
        <w:numPr>
          <w:ilvl w:val="0"/>
          <w:numId w:val="76"/>
        </w:numPr>
        <w:ind w:firstLine="632"/>
      </w:pPr>
      <w:r>
        <w:rPr>
          <w:rFonts w:hint="eastAsia"/>
        </w:rPr>
        <w:t>坚持统一领导、协调联动。坚持党委领导，实行各级人民政府行政首长负责制，落实地方党委政府抗旱减灾主体责任；</w:t>
      </w:r>
    </w:p>
    <w:p w14:paraId="0C660DB6">
      <w:pPr>
        <w:numPr>
          <w:ilvl w:val="0"/>
          <w:numId w:val="76"/>
        </w:numPr>
        <w:ind w:firstLine="632"/>
      </w:pPr>
      <w:r>
        <w:rPr>
          <w:rFonts w:hint="eastAsia"/>
        </w:rPr>
        <w:t>坚持预防为主、防抗结合。坚持工程与非工程措施并重，健全抗旱减灾体系，防抗有机结合，提高抗旱减灾工作的科学性和主动性。</w:t>
      </w:r>
    </w:p>
    <w:p w14:paraId="11133F9F">
      <w:pPr>
        <w:numPr>
          <w:ilvl w:val="0"/>
          <w:numId w:val="76"/>
        </w:numPr>
        <w:ind w:firstLine="632"/>
      </w:pPr>
      <w:r>
        <w:rPr>
          <w:rFonts w:hint="eastAsia"/>
        </w:rPr>
        <w:t>坚持因地制宜、统筹兼顾。结合区域旱灾时空分布，区分轻重缓急，重点考虑易旱地区，兼顾其他地区，因地制宜制定抗旱减灾措施。</w:t>
      </w:r>
    </w:p>
    <w:p w14:paraId="17831978">
      <w:pPr>
        <w:numPr>
          <w:ilvl w:val="0"/>
          <w:numId w:val="76"/>
        </w:numPr>
        <w:ind w:firstLine="632"/>
      </w:pPr>
      <w:r>
        <w:rPr>
          <w:rFonts w:hint="eastAsia"/>
        </w:rPr>
        <w:t>坚持科学调度、综合治理。抗旱用水以水资源承载能力为基础，实行先生活、后生产，先地表、后地下，先节水、后调水，科学调度，优化配置，最大限度满足城乡生活、生态、生产用水需求。</w:t>
      </w:r>
    </w:p>
    <w:p w14:paraId="1848B2FC">
      <w:pPr>
        <w:pStyle w:val="2"/>
        <w:numPr>
          <w:ilvl w:val="0"/>
          <w:numId w:val="75"/>
        </w:numPr>
        <w:tabs>
          <w:tab w:val="left" w:pos="0"/>
        </w:tabs>
        <w:rPr>
          <w:sz w:val="32"/>
          <w:szCs w:val="32"/>
        </w:rPr>
      </w:pPr>
      <w:bookmarkStart w:id="289" w:name="_Toc7241"/>
      <w:r>
        <w:rPr>
          <w:rFonts w:hint="eastAsia"/>
          <w:sz w:val="32"/>
          <w:szCs w:val="32"/>
        </w:rPr>
        <w:t>城市概况</w:t>
      </w:r>
      <w:bookmarkEnd w:id="289"/>
    </w:p>
    <w:p w14:paraId="23E52CE0">
      <w:pPr>
        <w:pStyle w:val="3"/>
      </w:pPr>
      <w:bookmarkStart w:id="290" w:name="_Toc7689"/>
      <w:r>
        <w:rPr>
          <w:rFonts w:hint="eastAsia"/>
        </w:rPr>
        <w:t>自然地理与水文气象</w:t>
      </w:r>
      <w:bookmarkEnd w:id="290"/>
    </w:p>
    <w:p w14:paraId="4AEC12AE">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自然地理</w:t>
      </w:r>
    </w:p>
    <w:p w14:paraId="0AE1D794">
      <w:pPr>
        <w:ind w:firstLine="632"/>
      </w:pPr>
      <w:r>
        <w:rPr>
          <w:rFonts w:hint="eastAsia"/>
        </w:rPr>
        <w:t>集贤县位于黑龙江省三江平原中部，完达山北麓，松花江南岸，东与友谊县相邻，南靠双鸭山市，西南与桦南县接壤；北部和西部与桦川县接壤。集贤县辖5镇3乡：福利镇、集贤镇、升昌镇、丰乐镇、太平镇、永安乡、兴安乡、腰屯乡。区划面积2227.5平方公里，行政区划内耕地面积232万亩，林地面积66.6万亩，总人口28.5万。</w:t>
      </w:r>
    </w:p>
    <w:p w14:paraId="6E558BF8">
      <w:pPr>
        <w:ind w:firstLine="632"/>
      </w:pPr>
      <w:r>
        <w:rPr>
          <w:rFonts w:hint="eastAsia"/>
        </w:rPr>
        <w:t>集贤县地势为西南高、东北低，自西南向东北呈梯级下降，西南部为完达山余脉，群山连绵，海拔高程为200—400米，南部完达山余脉向东北延伸部分，丘陵广布，海拔高程为160—200米，中部是平原地区，地势平坦，略向北与东北倾斜，海拔高程为80—160米，大部分河流穿行其间。土地肥沃，人口密集。北部和东北部为低平原，有沼泽湿地，海拔高程为60—65米，形成了低山丘陵、山前慢岗、平原和地平原四种地貌类型。</w:t>
      </w:r>
    </w:p>
    <w:p w14:paraId="0BEC7F30">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水文气象</w:t>
      </w:r>
    </w:p>
    <w:p w14:paraId="1241147A">
      <w:pPr>
        <w:ind w:firstLine="632"/>
      </w:pPr>
      <w:r>
        <w:rPr>
          <w:rFonts w:hint="eastAsia"/>
        </w:rPr>
        <w:t>集贤县气候属中温带大陆性季风气候，受内蒙古和西伯利亚气候的影响，四季冷暖分明，春秋两季多风少雨，夏季高温多雨，冬季寒冷干燥。其特点是气温变化大，日照时间长，降雨时空分布不均，风多风大、频率高，土壤蒸发量大，春夏之交干旱频频繁</w:t>
      </w:r>
    </w:p>
    <w:p w14:paraId="70A23629">
      <w:pPr>
        <w:ind w:firstLine="632"/>
        <w:rPr>
          <w:rFonts w:ascii="黑体" w:hAnsi="黑体" w:eastAsia="黑体" w:cs="黑体"/>
          <w:color w:val="000000"/>
          <w:sz w:val="24"/>
          <w:szCs w:val="24"/>
        </w:rPr>
      </w:pPr>
      <w:r>
        <w:rPr>
          <w:rFonts w:hint="eastAsia"/>
        </w:rPr>
        <w:t>集贤县多年平均气温4.0℃，一月最冷，平均气温-18℃，极端最低气温-35.6℃七月最热，平均气温22.6℃，极端最高气温38.1℃ 。无霜期140天。多年平均降水量为534mm。总的分布趋势为山区、半山区大于平原，降水量主要集中在6-8月，占全年降水量的60%以上，降水年内分配不均，时空、地域分配，差异较大。</w:t>
      </w:r>
    </w:p>
    <w:p w14:paraId="6EB8A01B">
      <w:pPr>
        <w:pStyle w:val="3"/>
      </w:pPr>
      <w:bookmarkStart w:id="291" w:name="_Toc8977"/>
      <w:r>
        <w:t>水资源情况</w:t>
      </w:r>
      <w:bookmarkEnd w:id="291"/>
    </w:p>
    <w:p w14:paraId="787BB55F">
      <w:pPr>
        <w:ind w:firstLine="632"/>
      </w:pPr>
      <w:r>
        <w:rPr>
          <w:rFonts w:hint="eastAsia"/>
        </w:rPr>
        <w:t>集贤县多年平均水资源总量为3.20亿立方米，其中：地下水资源量为1.80亿立方米，地表水资源量为1.40亿立方米。集贤县人均占有水量为1000立方米，是黑龙江省人均水量的50%，是全国人均水量的40%；集贤县耕地亩均水量为261立方米，是黑龙江省的57%，是全国的15%，是一个水资源比较缺乏的地区。强富水区主要分布在全县平原北部，兴安乡、永安乡和集贤镇北部；中等富水区主要分布在平原中部地带，腰屯乡、集贤镇大部；弱富水区主要分布在太平、丰乐、福利、升昌一带；极弱富水区主要分布载善区地带。</w:t>
      </w:r>
    </w:p>
    <w:p w14:paraId="0C0CCB46">
      <w:pPr>
        <w:pStyle w:val="3"/>
      </w:pPr>
      <w:bookmarkStart w:id="292" w:name="_Toc17427"/>
      <w:r>
        <w:t>干旱影响分析</w:t>
      </w:r>
      <w:bookmarkEnd w:id="292"/>
    </w:p>
    <w:p w14:paraId="5BEE859A">
      <w:pPr>
        <w:ind w:firstLine="632"/>
      </w:pPr>
      <w:r>
        <w:rPr>
          <w:rFonts w:hint="eastAsia"/>
        </w:rPr>
        <w:t>集贤县地势低平，条主要河流，程短，量少，为季节河，致农业水资源不足，于贫水县，贤县为中温带亚湿润大陆性季风气候特点，季分明，季长，燥而严寒，季短，热而多雨。春、秋两季气候变化大，季回暖快，大干燥，季短，温较快旱涝灾害是制约集贤县现代农业发展的主要问题。</w:t>
      </w:r>
    </w:p>
    <w:p w14:paraId="28C5C7F6">
      <w:pPr>
        <w:ind w:firstLine="632"/>
      </w:pPr>
      <w:r>
        <w:rPr>
          <w:rFonts w:hint="eastAsia"/>
        </w:rPr>
        <w:t>地下水严重超采形成以东荣矿区、集贤煤矿疏干排水和生产用水为代表的地下水沉降漏斗，以龙海、亿顺等小煤井为代表的周边地下水位下降，造成附近社区民用水困难，以福利镇、双鸭山市二、三水源为代表的漏斗区被省水利厅列为超采区。另外，水体污染也日益加重，形成以同意社区粮食加工园区超标排水和福利镇城镇生活污水直接排放为重点的安邦河污染带，长此以往势必污染地下水和后备水源地，观全县水资源状况，地表水控制工程少利用率低，地下水利用率高，可用水资源越来越少，随着全县经济和社会的快速发展，水资源日趋紧张的矛盾已初步显现，县城福利镇现有近10万人口，具自来水公司供水仅为3万人，其余7万人无水可供。水污染、水浪费和水资源短缺的矛盾日益突出。</w:t>
      </w:r>
    </w:p>
    <w:p w14:paraId="6378FC37">
      <w:pPr>
        <w:pStyle w:val="3"/>
      </w:pPr>
      <w:bookmarkStart w:id="293" w:name="_Toc9196"/>
      <w:r>
        <w:t>抗旱能力</w:t>
      </w:r>
      <w:bookmarkEnd w:id="293"/>
    </w:p>
    <w:p w14:paraId="71AB8472">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工程体系</w:t>
      </w:r>
    </w:p>
    <w:p w14:paraId="09DB5189">
      <w:pPr>
        <w:ind w:firstLine="632"/>
      </w:pPr>
      <w:r>
        <w:t>经过多年的建设，</w:t>
      </w:r>
      <w:r>
        <w:rPr>
          <w:rFonts w:hint="eastAsia"/>
        </w:rPr>
        <w:t>集贤县</w:t>
      </w:r>
      <w:r>
        <w:t>兴建了一系列</w:t>
      </w:r>
      <w:r>
        <w:rPr>
          <w:rFonts w:hint="eastAsia"/>
        </w:rPr>
        <w:t>水利工程</w:t>
      </w:r>
      <w:r>
        <w:t>，为抗旱工作奠定了坚实基础。</w:t>
      </w:r>
    </w:p>
    <w:p w14:paraId="6852148B">
      <w:pPr>
        <w:numPr>
          <w:ilvl w:val="0"/>
          <w:numId w:val="77"/>
        </w:numPr>
        <w:ind w:firstLine="632"/>
      </w:pPr>
      <w:r>
        <w:rPr>
          <w:rFonts w:hint="eastAsia"/>
        </w:rPr>
        <w:t>东风水库</w:t>
      </w:r>
    </w:p>
    <w:p w14:paraId="44B2BA9B">
      <w:pPr>
        <w:ind w:firstLine="632"/>
      </w:pPr>
      <w:r>
        <w:rPr>
          <w:rFonts w:hint="eastAsia"/>
        </w:rPr>
        <w:t>东风水库，集雨面积84.5平方公里，位于福利镇境内，安邦河一级支流柳树河的上游。2011年4月由佳木斯水利勘测设计研究院完成东风水库可行性研究报告。东风水库是一座以城市供水为主，结合防洪、水产养殖、旅游等综合利用的中型水库，总库容1562万立方米，兴利库容1235万立方米，本项目实施后，东风水库为福利镇年供水量为730万立方米。</w:t>
      </w:r>
    </w:p>
    <w:p w14:paraId="05504F10">
      <w:pPr>
        <w:numPr>
          <w:ilvl w:val="0"/>
          <w:numId w:val="77"/>
        </w:numPr>
        <w:ind w:firstLine="632"/>
      </w:pPr>
      <w:r>
        <w:rPr>
          <w:rFonts w:hint="eastAsia"/>
        </w:rPr>
        <w:t>利用煤矿疏干水</w:t>
      </w:r>
    </w:p>
    <w:p w14:paraId="3337E6A2">
      <w:pPr>
        <w:ind w:firstLine="632"/>
      </w:pPr>
      <w:r>
        <w:rPr>
          <w:rFonts w:hint="eastAsia"/>
        </w:rPr>
        <w:t>位于集贤镇国庆社区南的集贤矿，可利用煤矿疏干排水作为供水水源，设计日供水能力3.5万立方米。实际日供水能力为1万立方米，应急时可再增加1万立方米的日供水能力。</w:t>
      </w:r>
    </w:p>
    <w:p w14:paraId="79A4D2D0">
      <w:pPr>
        <w:numPr>
          <w:ilvl w:val="0"/>
          <w:numId w:val="77"/>
        </w:numPr>
        <w:ind w:firstLine="632"/>
      </w:pPr>
      <w:r>
        <w:rPr>
          <w:rFonts w:hint="eastAsia"/>
        </w:rPr>
        <w:t>笔架山水库</w:t>
      </w:r>
    </w:p>
    <w:p w14:paraId="3059F070">
      <w:pPr>
        <w:ind w:firstLine="632"/>
      </w:pPr>
      <w:r>
        <w:rPr>
          <w:rFonts w:hint="eastAsia"/>
        </w:rPr>
        <w:t>笔架山水库位于笔架山农场境内，是一座以灌溉为主，兼顾防洪、除涝、养鱼等综合利用多年调节的山丘区中型水库。总库容为3080万立方米；正常蓄水库容为2630万立方米；现有库容682万立方米；在应急情况下，可保证部分地区的供水。</w:t>
      </w:r>
    </w:p>
    <w:p w14:paraId="7CAF2C7B">
      <w:pPr>
        <w:numPr>
          <w:ilvl w:val="0"/>
          <w:numId w:val="77"/>
        </w:numPr>
        <w:ind w:firstLine="632"/>
      </w:pPr>
      <w:r>
        <w:rPr>
          <w:rFonts w:hint="eastAsia"/>
        </w:rPr>
        <w:t>红旗水库</w:t>
      </w:r>
    </w:p>
    <w:p w14:paraId="1A16F91B">
      <w:pPr>
        <w:ind w:firstLine="632"/>
      </w:pPr>
      <w:r>
        <w:rPr>
          <w:rFonts w:hint="eastAsia"/>
        </w:rPr>
        <w:t>红旗水库于永安乡境内，是一座以灌溉为主兼顾养鱼的综合利用平原水库。总库容为502万立方米；正常蓄水库容为395万立方米；现有库容68万立方米；在应急情况下，可保证部分地区的供水。</w:t>
      </w:r>
    </w:p>
    <w:p w14:paraId="054E3E35">
      <w:pPr>
        <w:numPr>
          <w:ilvl w:val="0"/>
          <w:numId w:val="77"/>
        </w:numPr>
        <w:ind w:firstLine="632"/>
      </w:pPr>
      <w:r>
        <w:rPr>
          <w:rFonts w:hint="eastAsia"/>
        </w:rPr>
        <w:t>三八水库</w:t>
      </w:r>
    </w:p>
    <w:p w14:paraId="6C7AACE2">
      <w:pPr>
        <w:ind w:firstLine="632"/>
      </w:pPr>
      <w:r>
        <w:rPr>
          <w:rFonts w:hint="eastAsia"/>
        </w:rPr>
        <w:t>三八水库位于集贤镇南，是一座以防洪为主，兼顾灌溉、养殖及旅游等综合利用的小（1）型平原水库。总库容为214万立方米；正常蓄水库容为44.9万立方米；现有库容43万立方米；在应急情况下，可保证部分地区的供水。</w:t>
      </w:r>
    </w:p>
    <w:p w14:paraId="7C3E083F">
      <w:pPr>
        <w:numPr>
          <w:ilvl w:val="0"/>
          <w:numId w:val="77"/>
        </w:numPr>
        <w:ind w:firstLine="632"/>
      </w:pPr>
      <w:r>
        <w:rPr>
          <w:rFonts w:hint="eastAsia"/>
        </w:rPr>
        <w:t>庆丰水库</w:t>
      </w:r>
    </w:p>
    <w:p w14:paraId="7D990678">
      <w:pPr>
        <w:ind w:firstLine="632"/>
      </w:pPr>
      <w:r>
        <w:rPr>
          <w:rFonts w:hint="eastAsia"/>
        </w:rPr>
        <w:t>庆丰水库位于丰乐镇庆丰社区东，柳树河支流永丰沟上游，是一座以防洪为主，兼顾灌溉、养殖的综合利用小（1）型山丘区水库。总库容为163万立方米；正常蓄水库容为78.1万立方米；现有库容72万立方米；在应急情况下，可保证部分地区的供水。</w:t>
      </w:r>
    </w:p>
    <w:p w14:paraId="103BC205">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非工程体系</w:t>
      </w:r>
    </w:p>
    <w:p w14:paraId="1EE43A2D">
      <w:pPr>
        <w:ind w:firstLine="632"/>
      </w:pPr>
      <w:r>
        <w:t>全</w:t>
      </w:r>
      <w:r>
        <w:rPr>
          <w:rFonts w:hint="eastAsia"/>
        </w:rPr>
        <w:t>县</w:t>
      </w:r>
      <w:r>
        <w:t>已形成以</w:t>
      </w:r>
      <w:r>
        <w:rPr>
          <w:rFonts w:hint="eastAsia"/>
        </w:rPr>
        <w:t>县</w:t>
      </w:r>
      <w:r>
        <w:t>为龙头，以</w:t>
      </w:r>
      <w:r>
        <w:rPr>
          <w:rFonts w:hint="eastAsia"/>
        </w:rPr>
        <w:t>乡镇</w:t>
      </w:r>
      <w:r>
        <w:t>为主体，带动</w:t>
      </w:r>
      <w:r>
        <w:rPr>
          <w:rFonts w:hint="eastAsia"/>
        </w:rPr>
        <w:t>社区</w:t>
      </w:r>
      <w:r>
        <w:t>的抗旱服务网络体系，各级抗旱队伍已成为全</w:t>
      </w:r>
      <w:r>
        <w:rPr>
          <w:rFonts w:hint="eastAsia"/>
        </w:rPr>
        <w:t>县</w:t>
      </w:r>
      <w:r>
        <w:t>抗旱减灾的重要力量。</w:t>
      </w:r>
    </w:p>
    <w:p w14:paraId="43AAF161">
      <w:pPr>
        <w:ind w:firstLine="632"/>
      </w:pPr>
      <w:r>
        <w:t>全</w:t>
      </w:r>
      <w:r>
        <w:rPr>
          <w:rFonts w:hint="eastAsia"/>
        </w:rPr>
        <w:t>县</w:t>
      </w:r>
      <w:r>
        <w:t>旱情监测信息系统建设也取得了一定成效。</w:t>
      </w:r>
      <w:r>
        <w:rPr>
          <w:rFonts w:hint="eastAsia"/>
        </w:rPr>
        <w:t>县</w:t>
      </w:r>
      <w:r>
        <w:t>气象和水文部门已基本建成了全</w:t>
      </w:r>
      <w:r>
        <w:rPr>
          <w:rFonts w:hint="eastAsia"/>
        </w:rPr>
        <w:t>县</w:t>
      </w:r>
      <w:r>
        <w:t>水雨情监测网络，并能将信息及时传送</w:t>
      </w:r>
      <w:r>
        <w:rPr>
          <w:rFonts w:hint="eastAsia"/>
        </w:rPr>
        <w:t>县防汛抗旱指挥部</w:t>
      </w:r>
      <w:r>
        <w:t>门，为全</w:t>
      </w:r>
      <w:r>
        <w:rPr>
          <w:rFonts w:hint="eastAsia"/>
        </w:rPr>
        <w:t>县</w:t>
      </w:r>
      <w:r>
        <w:t>的抗旱工作发挥了重要作用</w:t>
      </w:r>
      <w:r>
        <w:rPr>
          <w:rFonts w:hint="eastAsia"/>
        </w:rPr>
        <w:t>。</w:t>
      </w:r>
    </w:p>
    <w:p w14:paraId="458D9F68">
      <w:pPr>
        <w:pStyle w:val="2"/>
        <w:numPr>
          <w:ilvl w:val="0"/>
          <w:numId w:val="75"/>
        </w:numPr>
        <w:tabs>
          <w:tab w:val="left" w:pos="0"/>
        </w:tabs>
        <w:rPr>
          <w:sz w:val="32"/>
          <w:szCs w:val="32"/>
        </w:rPr>
      </w:pPr>
      <w:bookmarkStart w:id="294" w:name="_Toc565"/>
      <w:r>
        <w:rPr>
          <w:rFonts w:hint="eastAsia"/>
          <w:sz w:val="32"/>
          <w:szCs w:val="32"/>
        </w:rPr>
        <w:t>组织指挥体系及职责</w:t>
      </w:r>
      <w:bookmarkEnd w:id="294"/>
    </w:p>
    <w:p w14:paraId="78958451">
      <w:pPr>
        <w:ind w:firstLine="632"/>
      </w:pPr>
      <w:r>
        <w:rPr>
          <w:rFonts w:hint="eastAsia"/>
        </w:rPr>
        <w:t>集贤县人民政府（以下简称“县政府”）设立集贤县人民政府防汛抗旱指挥部（以下简称“县防指”），在县委、县政府和县应急委领导下负责组织、协调、指导全县抗旱工作。有抗旱任务的部门和单位可根据需要设立防汛抗旱指挥部，负责本部门和本单位抗旱工作。</w:t>
      </w:r>
    </w:p>
    <w:p w14:paraId="32A49961">
      <w:pPr>
        <w:pStyle w:val="3"/>
      </w:pPr>
      <w:bookmarkStart w:id="295" w:name="_Toc23183"/>
      <w:r>
        <w:rPr>
          <w:rFonts w:hint="eastAsia"/>
        </w:rPr>
        <w:t>县防汛抗旱指挥部组成及职责</w:t>
      </w:r>
      <w:bookmarkEnd w:id="295"/>
    </w:p>
    <w:p w14:paraId="4B437635">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指挥部组成</w:t>
      </w:r>
    </w:p>
    <w:p w14:paraId="5CB47C6C">
      <w:pPr>
        <w:ind w:firstLine="632"/>
        <w:rPr>
          <w:rFonts w:ascii="仿宋_GB2312"/>
        </w:rPr>
      </w:pPr>
      <w:r>
        <w:rPr>
          <w:rFonts w:hint="eastAsia" w:ascii="仿宋_GB2312"/>
        </w:rPr>
        <w:t>县防指总指挥长由县长担任，总指挥由县政府分管应急管理工作的副县长担任，常务副总指挥由分管水务工作的副县长担任，副总指挥由县应急管理局、县水务局主要负责同志和县人武部负责同志以及县消防救援大队主要负责同志担任。</w:t>
      </w:r>
    </w:p>
    <w:p w14:paraId="2EF0CB05">
      <w:pPr>
        <w:ind w:firstLine="632"/>
        <w:rPr>
          <w:rFonts w:ascii="仿宋_GB2312"/>
        </w:rPr>
      </w:pPr>
      <w:r>
        <w:rPr>
          <w:rFonts w:hint="eastAsia" w:ascii="仿宋_GB2312"/>
        </w:rPr>
        <w:t>成员单位包括：县政府办、县委宣传部、县发展和改革局、县教育和体育局、县工业信息科技局、县公安局、县财政局、县民政局、县自然资源局、县住房和城乡建设局、县交通局、县交警大队、县水务局、县农业农村局、县林业和草原局、县文化广电和旅游局、县卫生健康局、县应急管理局、县煤管局、县气象局、福利屯火车站、二九一农场、笔架山农场、国网集贤分公司、县农机总站、县消防救援大队、各通信运营单位及各乡镇人民政府等部门和单位。</w:t>
      </w:r>
    </w:p>
    <w:p w14:paraId="6AFD3C02">
      <w:pPr>
        <w:ind w:firstLine="632"/>
        <w:rPr>
          <w:rFonts w:ascii="仿宋_GB2312"/>
        </w:rPr>
      </w:pPr>
      <w:r>
        <w:rPr>
          <w:rFonts w:hint="eastAsia" w:ascii="仿宋_GB2312"/>
        </w:rPr>
        <w:t>县防汛抗旱指挥部办公室（以下简称“县防办”）设在县应急管理局，承担县防指日常工作。办公室主任由县应急管理局局长、县水务局局长兼任。</w:t>
      </w:r>
    </w:p>
    <w:p w14:paraId="1C080944">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指挥部工作职责</w:t>
      </w:r>
    </w:p>
    <w:p w14:paraId="20B527AD">
      <w:pPr>
        <w:ind w:firstLine="632"/>
      </w:pPr>
      <w:r>
        <w:rPr>
          <w:rFonts w:hint="eastAsia"/>
        </w:rPr>
        <w:t>县防指统一指挥、领导和组织全县干旱灾害应急处置工作。</w:t>
      </w:r>
    </w:p>
    <w:p w14:paraId="25B95B6C">
      <w:pPr>
        <w:numPr>
          <w:ilvl w:val="0"/>
          <w:numId w:val="6"/>
        </w:numPr>
        <w:ind w:firstLine="632"/>
      </w:pPr>
      <w:r>
        <w:rPr>
          <w:rFonts w:hint="eastAsia"/>
        </w:rPr>
        <w:t>负责贯彻落实国家防汛抗旱总指挥部、省防汛抗旱指挥部和省委省政府、市防汛抗旱指挥部和市委市政府、县委县政府有关抗旱工作的决策部署和政策、制度、指令；</w:t>
      </w:r>
    </w:p>
    <w:p w14:paraId="22D40596">
      <w:pPr>
        <w:numPr>
          <w:ilvl w:val="0"/>
          <w:numId w:val="6"/>
        </w:numPr>
        <w:ind w:firstLine="632"/>
      </w:pPr>
      <w:r>
        <w:rPr>
          <w:rFonts w:hint="eastAsia"/>
        </w:rPr>
        <w:t>负责组织本县抗旱应急预案的编制及修订工作，督促乡镇、社区、有关企事业单位编制落实抗旱预案；</w:t>
      </w:r>
    </w:p>
    <w:p w14:paraId="7518D065">
      <w:pPr>
        <w:numPr>
          <w:ilvl w:val="0"/>
          <w:numId w:val="6"/>
        </w:numPr>
        <w:ind w:firstLine="632"/>
      </w:pPr>
      <w:r>
        <w:rPr>
          <w:rFonts w:hint="eastAsia"/>
        </w:rPr>
        <w:t>会同有关部门做好旱情监测预警，及时启动所辖地区的抗旱应急响应，向本级政府提出抗旱应急处置建议，并按照指令组织实施抗旱救灾、物资调运、灾民救助、旱灾信息收集等工作，及时将有关情况上报市防汛抗旱指挥部；</w:t>
      </w:r>
    </w:p>
    <w:p w14:paraId="373630F1">
      <w:pPr>
        <w:numPr>
          <w:ilvl w:val="0"/>
          <w:numId w:val="6"/>
        </w:numPr>
        <w:ind w:firstLine="632"/>
      </w:pPr>
      <w:r>
        <w:rPr>
          <w:rFonts w:hint="eastAsia"/>
        </w:rPr>
        <w:t>做好抗旱减灾规划编制及水利工程建设管理工作；做好县级抗旱物资、设施设备的储备工作；</w:t>
      </w:r>
    </w:p>
    <w:p w14:paraId="1F82A03A">
      <w:pPr>
        <w:numPr>
          <w:ilvl w:val="0"/>
          <w:numId w:val="6"/>
        </w:numPr>
        <w:ind w:firstLine="632"/>
      </w:pPr>
      <w:r>
        <w:rPr>
          <w:rFonts w:hint="eastAsia"/>
        </w:rPr>
        <w:t>建立健全与乡镇防汛抗旱指挥部的应急联动、信息共享、组织协调等工作机制；</w:t>
      </w:r>
    </w:p>
    <w:p w14:paraId="177008D7">
      <w:pPr>
        <w:numPr>
          <w:ilvl w:val="0"/>
          <w:numId w:val="6"/>
        </w:numPr>
        <w:ind w:firstLine="632"/>
      </w:pPr>
      <w:r>
        <w:rPr>
          <w:rFonts w:hint="eastAsia"/>
        </w:rPr>
        <w:t>做好本县应急抗旱能力建设工作；</w:t>
      </w:r>
    </w:p>
    <w:p w14:paraId="2DB6DD6D">
      <w:pPr>
        <w:numPr>
          <w:ilvl w:val="0"/>
          <w:numId w:val="6"/>
        </w:numPr>
        <w:ind w:firstLine="632"/>
      </w:pPr>
      <w:r>
        <w:rPr>
          <w:rFonts w:hint="eastAsia"/>
        </w:rPr>
        <w:t>加强宣传培训演练，提升群众防灾减灾意识；</w:t>
      </w:r>
    </w:p>
    <w:p w14:paraId="6E8E9BB1">
      <w:pPr>
        <w:numPr>
          <w:ilvl w:val="0"/>
          <w:numId w:val="6"/>
        </w:numPr>
        <w:ind w:firstLine="632"/>
      </w:pPr>
      <w:r>
        <w:rPr>
          <w:rFonts w:hint="eastAsia"/>
        </w:rPr>
        <w:t>完成市防指，县委、县政府交办的其他工作。</w:t>
      </w:r>
    </w:p>
    <w:p w14:paraId="7101A88A">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 xml:space="preserve">成员单位工作职责 </w:t>
      </w:r>
    </w:p>
    <w:p w14:paraId="2514CF1A">
      <w:pPr>
        <w:ind w:firstLine="632"/>
        <w:rPr>
          <w:b/>
          <w:bCs/>
        </w:rPr>
      </w:pPr>
      <w:r>
        <w:rPr>
          <w:rFonts w:hint="eastAsia"/>
        </w:rPr>
        <w:t>县防指成员单位是县防汛抗旱组织领导体系的重要组成部分，应根据职责分工，各司其职、各负其责、密切协作，各成员单位及其下属企事业单位应按照“三管三必须”原则，管行业必须管抗旱工作，确保抗旱各项工作任务高质量完成。</w:t>
      </w:r>
    </w:p>
    <w:p w14:paraId="0E038774">
      <w:pPr>
        <w:ind w:firstLine="634"/>
        <w:rPr>
          <w:b/>
          <w:bCs/>
        </w:rPr>
      </w:pPr>
      <w:r>
        <w:rPr>
          <w:rFonts w:hint="eastAsia"/>
          <w:b/>
          <w:bCs/>
        </w:rPr>
        <w:t>县政府办公室：</w:t>
      </w:r>
      <w:r>
        <w:rPr>
          <w:rFonts w:hint="eastAsia"/>
        </w:rPr>
        <w:t>负责县政府、县防汛抗旱指挥部及成员单位上通下达工作，保证抗旱减灾工作能够正常、高效开展；完成县防指交办的其他工作。</w:t>
      </w:r>
    </w:p>
    <w:p w14:paraId="14F97CFE">
      <w:pPr>
        <w:ind w:firstLine="634"/>
      </w:pPr>
      <w:r>
        <w:rPr>
          <w:rFonts w:hint="eastAsia"/>
          <w:b/>
          <w:bCs/>
        </w:rPr>
        <w:t>县委宣传部：</w:t>
      </w:r>
      <w:r>
        <w:rPr>
          <w:rFonts w:hint="eastAsia"/>
        </w:rPr>
        <w:t>负责及时组织新闻媒体通过电视、电台、报刊发布旱情、灾情、抗旱救灾的新闻报道，动员全社会力量参与抗旱救灾。完成县防指交办的其他防灾减灾救灾任务；完成县防指交办的其他工作。</w:t>
      </w:r>
    </w:p>
    <w:p w14:paraId="669D0B8B">
      <w:pPr>
        <w:ind w:firstLine="634"/>
      </w:pPr>
      <w:r>
        <w:rPr>
          <w:rFonts w:hint="eastAsia"/>
          <w:b/>
          <w:bCs/>
        </w:rPr>
        <w:t>县人民武装部：</w:t>
      </w:r>
      <w:r>
        <w:rPr>
          <w:rFonts w:hint="eastAsia"/>
        </w:rPr>
        <w:t>负责组织预备役部队、民兵参加抗旱救灾工作，根据需要组织民兵担负临时应急水源的抢修抢建及运水工作；完成县防指交办的其他工作。</w:t>
      </w:r>
    </w:p>
    <w:p w14:paraId="0BB7B0FA">
      <w:pPr>
        <w:ind w:firstLine="634"/>
      </w:pPr>
      <w:r>
        <w:rPr>
          <w:rFonts w:hint="eastAsia"/>
          <w:b/>
          <w:bCs/>
        </w:rPr>
        <w:t>县发展和改革局：</w:t>
      </w:r>
      <w:r>
        <w:rPr>
          <w:rFonts w:hint="eastAsia"/>
        </w:rPr>
        <w:t>负责抗旱减灾救灾和灾后重建重点项目规划、投资计划、协调和衔接工作；完成县防指交办的其他工作。</w:t>
      </w:r>
    </w:p>
    <w:p w14:paraId="6B409994">
      <w:pPr>
        <w:ind w:firstLine="634"/>
      </w:pPr>
      <w:r>
        <w:rPr>
          <w:rFonts w:hint="eastAsia"/>
          <w:b/>
          <w:bCs/>
        </w:rPr>
        <w:t>县教育和体育局：</w:t>
      </w:r>
      <w:r>
        <w:rPr>
          <w:rFonts w:hint="eastAsia"/>
        </w:rPr>
        <w:t>负责转移受灾学校的学生，做好灾后学校教育、教学组织工作；完成县防指交办的其他工作。</w:t>
      </w:r>
    </w:p>
    <w:p w14:paraId="5DDDEF21">
      <w:pPr>
        <w:ind w:firstLine="634"/>
      </w:pPr>
      <w:r>
        <w:rPr>
          <w:rFonts w:hint="eastAsia"/>
          <w:b/>
          <w:bCs/>
        </w:rPr>
        <w:t>县工业信息科技局：</w:t>
      </w:r>
      <w:r>
        <w:rPr>
          <w:rFonts w:hint="eastAsia"/>
        </w:rPr>
        <w:t xml:space="preserve">负责调动各种通信资源，做好抗旱救灾应急指挥的通信保障工作；协调各通信运营商做好应急通信保障等工作；负责监测分析灾区生活必需品市场运行和供求形势状况，组织协调受灾地区生活必需品以及成品油的市场供应工作；完成县防指交办的其他工作。 </w:t>
      </w:r>
    </w:p>
    <w:p w14:paraId="4CA81618">
      <w:pPr>
        <w:ind w:firstLine="634"/>
      </w:pPr>
      <w:r>
        <w:rPr>
          <w:rFonts w:hint="eastAsia"/>
          <w:b/>
          <w:bCs/>
        </w:rPr>
        <w:t>县公安局：</w:t>
      </w:r>
      <w:r>
        <w:rPr>
          <w:rFonts w:hint="eastAsia"/>
        </w:rPr>
        <w:t xml:space="preserve">负责维护社会治安秩序，依法打击阻挠抗旱工作、造谣惑众和盗窃、哄抢抗旱物资以及破坏抗旱设施的违法犯罪活动；做好交通疏导和车辆分流，保障抢险救灾道路畅通；协助妥善处置因抗旱引发的群体性治安事件；完成县防指交办的其他工作。 </w:t>
      </w:r>
    </w:p>
    <w:p w14:paraId="47F9F14E">
      <w:pPr>
        <w:ind w:firstLine="634"/>
        <w:rPr>
          <w:b/>
          <w:bCs/>
        </w:rPr>
      </w:pPr>
      <w:r>
        <w:rPr>
          <w:rFonts w:hint="eastAsia"/>
          <w:b/>
          <w:bCs/>
        </w:rPr>
        <w:t>县民政局：</w:t>
      </w:r>
      <w:r>
        <w:rPr>
          <w:rFonts w:hint="eastAsia"/>
        </w:rPr>
        <w:t>负责民政系统的抗旱工作，受灾群众的基本生活救助和安置工作，指导和监督社会捐赠款物的募集和分配；完成县防指交办的其他工作。</w:t>
      </w:r>
    </w:p>
    <w:p w14:paraId="44A8440A">
      <w:pPr>
        <w:ind w:firstLine="634"/>
      </w:pPr>
      <w:r>
        <w:rPr>
          <w:rFonts w:hint="eastAsia"/>
          <w:b/>
          <w:bCs/>
        </w:rPr>
        <w:t>县财政局：</w:t>
      </w:r>
      <w:r>
        <w:rPr>
          <w:rFonts w:hint="eastAsia"/>
        </w:rPr>
        <w:t xml:space="preserve">负责统筹安排抗旱减灾应急物资和应急水源工程所需资金；完成县防指交办的其他工作。 </w:t>
      </w:r>
    </w:p>
    <w:p w14:paraId="4A7F1325">
      <w:pPr>
        <w:ind w:firstLine="634"/>
      </w:pPr>
      <w:r>
        <w:rPr>
          <w:rFonts w:hint="eastAsia"/>
          <w:b/>
          <w:bCs/>
        </w:rPr>
        <w:t>县自然资源局：</w:t>
      </w:r>
      <w:r>
        <w:rPr>
          <w:rFonts w:hint="eastAsia"/>
        </w:rPr>
        <w:t>负责配合各乡镇开展抗旱减灾工作。配合做好抗旱减灾工程审批等工作；及时向县防指报告有关工作情况；完成县防指交办的其他工作。</w:t>
      </w:r>
    </w:p>
    <w:p w14:paraId="47AA110A">
      <w:pPr>
        <w:ind w:firstLine="634"/>
      </w:pPr>
      <w:r>
        <w:rPr>
          <w:rFonts w:hint="eastAsia"/>
          <w:b/>
          <w:bCs/>
        </w:rPr>
        <w:t>县住房和城乡建设局：</w:t>
      </w:r>
      <w:r>
        <w:rPr>
          <w:rFonts w:hint="eastAsia"/>
        </w:rPr>
        <w:t xml:space="preserve">指导做好城市公共供水，协调落实城市应急供水，通过城镇建设解决城县居民生活抗旱问题，承担县防指安排的紧急抗旱应急任务；完成县防指交办的其他工作。 </w:t>
      </w:r>
    </w:p>
    <w:p w14:paraId="4AF8EBF5">
      <w:pPr>
        <w:ind w:firstLine="634"/>
      </w:pPr>
      <w:r>
        <w:rPr>
          <w:rFonts w:hint="eastAsia"/>
          <w:b/>
          <w:bCs/>
        </w:rPr>
        <w:t>县交通运输局：</w:t>
      </w:r>
      <w:r>
        <w:rPr>
          <w:rFonts w:hint="eastAsia"/>
        </w:rPr>
        <w:t xml:space="preserve">负责组织协调抗旱物资等调运交通工具，协助公安机关做好交通疏导和车辆分流，保障道路畅通。 </w:t>
      </w:r>
    </w:p>
    <w:p w14:paraId="1E742EBA">
      <w:pPr>
        <w:ind w:firstLine="634"/>
      </w:pPr>
      <w:r>
        <w:rPr>
          <w:rFonts w:hint="eastAsia"/>
          <w:b/>
          <w:bCs/>
        </w:rPr>
        <w:t>县水务局：</w:t>
      </w:r>
      <w:r>
        <w:rPr>
          <w:rFonts w:hint="eastAsia"/>
        </w:rPr>
        <w:t>负责组织全县干旱灾害防治体系建设，组织实施水利工程建设；承担水旱情监测预警及信息发布；统筹指导全县水利工程安全运行管理，负责水工程引调水工作；承担抗旱技术支撑工作；完成县防指交办的其他工作。</w:t>
      </w:r>
    </w:p>
    <w:p w14:paraId="69CEE905">
      <w:pPr>
        <w:ind w:firstLine="634"/>
      </w:pPr>
      <w:r>
        <w:rPr>
          <w:rFonts w:hint="eastAsia"/>
          <w:b/>
          <w:bCs/>
        </w:rPr>
        <w:t>县农业农村局：</w:t>
      </w:r>
      <w:r>
        <w:rPr>
          <w:rFonts w:hint="eastAsia"/>
        </w:rPr>
        <w:t>负责农业的防灾、减灾及生产恢复工作;承担土壤墒情监测预报;负责化肥、种子等农业恢复生产物资的供应和调配及所需农业机械的组织;组织指导旱区调整农业结构，推广应用农业节水技术;负责汇总农业灾害统计;完成县防指交办的其他工作。</w:t>
      </w:r>
    </w:p>
    <w:p w14:paraId="38CA9B7D">
      <w:pPr>
        <w:ind w:firstLine="634"/>
      </w:pPr>
      <w:r>
        <w:rPr>
          <w:rFonts w:hint="eastAsia"/>
          <w:b/>
          <w:bCs/>
        </w:rPr>
        <w:t>县文化广电和旅游局：</w:t>
      </w:r>
      <w:r>
        <w:rPr>
          <w:rFonts w:hint="eastAsia"/>
        </w:rPr>
        <w:t>负责在本县抗旱紧急期协调旅游团组事宜;完成县防汛指交办的其他工作。</w:t>
      </w:r>
    </w:p>
    <w:p w14:paraId="22634254">
      <w:pPr>
        <w:ind w:firstLine="634"/>
      </w:pPr>
      <w:r>
        <w:rPr>
          <w:rFonts w:hint="eastAsia"/>
          <w:b/>
          <w:bCs/>
        </w:rPr>
        <w:t>县卫生健康局：</w:t>
      </w:r>
      <w:r>
        <w:rPr>
          <w:rFonts w:hint="eastAsia"/>
        </w:rPr>
        <w:t>负责受旱地区医疗救治、卫生防疫和卫生监督，核查报送医疗卫生信息；完成县防指交办的其他工作；完成县防指交办的其他工作。</w:t>
      </w:r>
    </w:p>
    <w:p w14:paraId="7C1D87BA">
      <w:pPr>
        <w:ind w:firstLine="634"/>
      </w:pPr>
      <w:r>
        <w:rPr>
          <w:rFonts w:hint="eastAsia"/>
          <w:b/>
          <w:bCs/>
        </w:rPr>
        <w:t>县应急管理局：</w:t>
      </w:r>
      <w:r>
        <w:rPr>
          <w:rFonts w:hint="eastAsia"/>
        </w:rPr>
        <w:t>负责组织编制县级抗旱应急预案，组织开展县级抗旱应急预案演练和宣传培训；协助县委、县政府指定的同志组织较大以上干旱灾害应急处置工作；负责组织协调应急抗旱救灾力量；组织协调灾害救助，负责调拨县级救灾物资；承担灾情统计等；完成县防指交办的其他工作。</w:t>
      </w:r>
    </w:p>
    <w:p w14:paraId="5B5A04F7">
      <w:pPr>
        <w:ind w:firstLine="634"/>
        <w:rPr>
          <w:b/>
          <w:bCs/>
        </w:rPr>
      </w:pPr>
      <w:r>
        <w:rPr>
          <w:rFonts w:hint="eastAsia"/>
          <w:b/>
          <w:bCs/>
        </w:rPr>
        <w:t>县市场监督管理局：</w:t>
      </w:r>
      <w:r>
        <w:rPr>
          <w:rFonts w:hint="eastAsia"/>
        </w:rPr>
        <w:t>负责市场监管系统的抗旱工作，负责旱灾基本生活用品、药品等市场供应秩序监管维护，协助做好食品药品和医疗器械供应的协调及质量安全工作；完成县防指交办的其他工作。</w:t>
      </w:r>
    </w:p>
    <w:p w14:paraId="28BE1AE8">
      <w:pPr>
        <w:ind w:firstLine="634"/>
      </w:pPr>
      <w:r>
        <w:rPr>
          <w:rFonts w:hint="eastAsia"/>
          <w:b/>
          <w:bCs/>
        </w:rPr>
        <w:t>县林业和草原局：</w:t>
      </w:r>
      <w:r>
        <w:rPr>
          <w:rFonts w:hint="eastAsia"/>
        </w:rPr>
        <w:t>负责林业系统的抗旱工作，负责收集整理和反映林业灾情信息，做好林业产业救灾减灾和生产恢复工作；完成县防指交办的其他工作。</w:t>
      </w:r>
    </w:p>
    <w:p w14:paraId="14AFF986">
      <w:pPr>
        <w:ind w:firstLine="634"/>
      </w:pPr>
      <w:r>
        <w:rPr>
          <w:rFonts w:hint="eastAsia"/>
          <w:b/>
          <w:bCs/>
        </w:rPr>
        <w:t>双鸭山市集贤生态环境局：</w:t>
      </w:r>
      <w:r>
        <w:rPr>
          <w:rFonts w:hint="eastAsia"/>
        </w:rPr>
        <w:t>负责水环境质量监测，组织开展污染成因调查，牵头编制污染物处置方案；完成县防指交办的其他工作。</w:t>
      </w:r>
    </w:p>
    <w:p w14:paraId="0C1C9BED">
      <w:pPr>
        <w:ind w:firstLine="634"/>
      </w:pPr>
      <w:r>
        <w:rPr>
          <w:rFonts w:hint="eastAsia"/>
          <w:b/>
          <w:bCs/>
        </w:rPr>
        <w:t>县消防救援大队：</w:t>
      </w:r>
      <w:r>
        <w:rPr>
          <w:rFonts w:hint="eastAsia"/>
        </w:rPr>
        <w:t>负责组织和协调消防救援队伍和装备执行向旱区应急运送生活用水等抗旱任务；完成县防指交办的其他工作。</w:t>
      </w:r>
    </w:p>
    <w:p w14:paraId="610F76EA">
      <w:pPr>
        <w:ind w:firstLine="634"/>
      </w:pPr>
      <w:r>
        <w:rPr>
          <w:rFonts w:hint="eastAsia"/>
          <w:b/>
          <w:bCs/>
        </w:rPr>
        <w:t>县气象局：</w:t>
      </w:r>
      <w:r>
        <w:rPr>
          <w:rFonts w:hint="eastAsia"/>
        </w:rPr>
        <w:t xml:space="preserve">负责天气预报和实时气象信息，加强干旱天气监测预报，及时提供预报、预警信息服务。必要时采取人工增雨作业；完成县防指交办的其他工作。 </w:t>
      </w:r>
    </w:p>
    <w:p w14:paraId="1D4A6480">
      <w:pPr>
        <w:ind w:firstLine="634"/>
      </w:pPr>
      <w:r>
        <w:rPr>
          <w:rFonts w:hint="eastAsia"/>
          <w:b/>
          <w:bCs/>
        </w:rPr>
        <w:t>集贤水文站：</w:t>
      </w:r>
      <w:r>
        <w:rPr>
          <w:rFonts w:hint="eastAsia"/>
        </w:rPr>
        <w:t>负责做蚂蚁河及其支流的流量观测、分析和预报的传递工作，做好抗旱减灾水文服务；完成县防指交办的其他工作。</w:t>
      </w:r>
    </w:p>
    <w:p w14:paraId="153D5CD4">
      <w:pPr>
        <w:ind w:firstLine="634"/>
      </w:pPr>
      <w:r>
        <w:rPr>
          <w:rFonts w:hint="eastAsia"/>
          <w:b/>
          <w:bCs/>
        </w:rPr>
        <w:t>县供排水公司：</w:t>
      </w:r>
      <w:r>
        <w:rPr>
          <w:rFonts w:hint="eastAsia"/>
        </w:rPr>
        <w:t>负责本县供水管线、净水厂正常运行，确保居民日常和应急供水；负责干旱期间再生水具体调配实施工作；完成县防指交办的其他工作。</w:t>
      </w:r>
    </w:p>
    <w:p w14:paraId="734470DC">
      <w:pPr>
        <w:ind w:firstLine="634"/>
      </w:pPr>
      <w:r>
        <w:rPr>
          <w:rFonts w:hint="eastAsia"/>
          <w:b/>
          <w:bCs/>
        </w:rPr>
        <w:t>国网集贤分公司：</w:t>
      </w:r>
      <w:r>
        <w:rPr>
          <w:rFonts w:hint="eastAsia"/>
        </w:rPr>
        <w:t>负责所辖电网、营业区系统的抗旱工作，负责因灾损毁电力设施的抢修恢复，保障抗旱抢险救援救灾用电；完成县防指交办的其他工作。</w:t>
      </w:r>
    </w:p>
    <w:p w14:paraId="09E4EDE6">
      <w:pPr>
        <w:ind w:firstLine="634"/>
      </w:pPr>
      <w:r>
        <w:rPr>
          <w:rFonts w:hint="eastAsia"/>
          <w:b/>
          <w:bCs/>
        </w:rPr>
        <w:t>各通信运营单位：</w:t>
      </w:r>
      <w:r>
        <w:rPr>
          <w:rFonts w:hint="eastAsia"/>
        </w:rPr>
        <w:t>负责本系统抗旱工作；完成县防指交办的其他工作。</w:t>
      </w:r>
    </w:p>
    <w:p w14:paraId="4A1084CE">
      <w:pPr>
        <w:ind w:firstLine="632"/>
      </w:pPr>
      <w:r>
        <w:rPr>
          <w:rFonts w:hint="eastAsia"/>
        </w:rPr>
        <w:t>非成员单位（部门）结合本行业实际，按照“三管三必须”原则，根据抗旱救灾工作的需要，积极提供有利条件，通力合作，共同高效应对抗旱任务。</w:t>
      </w:r>
    </w:p>
    <w:p w14:paraId="2415AA3F">
      <w:pPr>
        <w:pStyle w:val="3"/>
      </w:pPr>
      <w:bookmarkStart w:id="296" w:name="_Toc29137"/>
      <w:r>
        <w:rPr>
          <w:rFonts w:hint="eastAsia"/>
        </w:rPr>
        <w:t>专项工作组</w:t>
      </w:r>
      <w:bookmarkEnd w:id="296"/>
    </w:p>
    <w:p w14:paraId="55CD1633">
      <w:pPr>
        <w:ind w:firstLine="632"/>
      </w:pPr>
      <w:r>
        <w:rPr>
          <w:rFonts w:hint="eastAsia"/>
        </w:rPr>
        <w:t>为确保抗旱应急工作顺利开展，将抗旱损失降低到最低程度，成立如下工作组：</w:t>
      </w:r>
    </w:p>
    <w:p w14:paraId="254C8CA9">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现场处置组</w:t>
      </w:r>
    </w:p>
    <w:p w14:paraId="592D2615">
      <w:pPr>
        <w:ind w:firstLine="632"/>
      </w:pPr>
      <w:r>
        <w:rPr>
          <w:rFonts w:hint="eastAsia"/>
        </w:rPr>
        <w:t>牵头单位：县水务局</w:t>
      </w:r>
    </w:p>
    <w:p w14:paraId="308CD01A">
      <w:pPr>
        <w:ind w:firstLine="632"/>
      </w:pPr>
      <w:r>
        <w:rPr>
          <w:rFonts w:hint="eastAsia"/>
        </w:rPr>
        <w:t>成员单位：县应急管理局、县气象局、县公安局、县农业农村局、县住房和城乡建设局、县人民武装部</w:t>
      </w:r>
    </w:p>
    <w:p w14:paraId="568545FF">
      <w:pPr>
        <w:ind w:firstLine="632"/>
      </w:pPr>
      <w:r>
        <w:rPr>
          <w:rFonts w:hint="eastAsia"/>
        </w:rPr>
        <w:t>工作职责：负责应急抗旱工作的指导，抗旱应急工程的建设管理，临时性缺水社区庄的人畜饮水安全，病虫害防治、救治，执行人工降雨等现场处置任务。</w:t>
      </w:r>
    </w:p>
    <w:p w14:paraId="7AB565A6">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后勤保障组</w:t>
      </w:r>
    </w:p>
    <w:p w14:paraId="0D378C37">
      <w:pPr>
        <w:ind w:firstLine="632"/>
      </w:pPr>
      <w:r>
        <w:rPr>
          <w:rFonts w:hint="eastAsia"/>
        </w:rPr>
        <w:t>牵头单位：县应急管理局</w:t>
      </w:r>
    </w:p>
    <w:p w14:paraId="281E6799">
      <w:pPr>
        <w:ind w:firstLine="632"/>
      </w:pPr>
      <w:r>
        <w:rPr>
          <w:rFonts w:hint="eastAsia"/>
        </w:rPr>
        <w:t>成员单位：县水务局、县民政局、县工业信息科技局、县财政局、县交通运输局、县住房和城乡建设局、县农业农村局、国网供电集贤分公司、各通信运营单位</w:t>
      </w:r>
    </w:p>
    <w:p w14:paraId="434DB3BE">
      <w:pPr>
        <w:ind w:firstLine="632"/>
      </w:pPr>
      <w:r>
        <w:rPr>
          <w:rFonts w:hint="eastAsia"/>
        </w:rPr>
        <w:t>工作职责：负责抗旱资金筹集、分配，物资的生产、调运、筹集、发放，抗旱用电、用油的调配，抗旱期间的通信畅通。</w:t>
      </w:r>
    </w:p>
    <w:p w14:paraId="4557A184">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卫生防疫组</w:t>
      </w:r>
    </w:p>
    <w:p w14:paraId="5B784DCA">
      <w:pPr>
        <w:ind w:firstLine="632"/>
      </w:pPr>
      <w:r>
        <w:rPr>
          <w:rFonts w:hint="eastAsia"/>
        </w:rPr>
        <w:t>牵头单位：县卫生健康局</w:t>
      </w:r>
    </w:p>
    <w:p w14:paraId="6D136BB8">
      <w:pPr>
        <w:ind w:firstLine="632"/>
      </w:pPr>
      <w:r>
        <w:rPr>
          <w:rFonts w:hint="eastAsia"/>
        </w:rPr>
        <w:t>成员单位：县农业农村局、县住房和城乡建设局</w:t>
      </w:r>
    </w:p>
    <w:p w14:paraId="097CE9C3">
      <w:pPr>
        <w:ind w:firstLine="632"/>
      </w:pPr>
      <w:r>
        <w:rPr>
          <w:rFonts w:hint="eastAsia"/>
        </w:rPr>
        <w:t>工作职责：负责组织灾区医疗卫生服务保障、饮用水卫生安全、人畜共患病和重大动物疫病防治等工作。</w:t>
      </w:r>
    </w:p>
    <w:p w14:paraId="0648724A">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宣传报道组</w:t>
      </w:r>
    </w:p>
    <w:p w14:paraId="687F4892">
      <w:pPr>
        <w:ind w:firstLine="632"/>
      </w:pPr>
      <w:r>
        <w:rPr>
          <w:rFonts w:hint="eastAsia"/>
        </w:rPr>
        <w:t>牵头单位：县委宣传部</w:t>
      </w:r>
    </w:p>
    <w:p w14:paraId="1E0A36A2">
      <w:pPr>
        <w:ind w:firstLine="632"/>
      </w:pPr>
      <w:r>
        <w:rPr>
          <w:rFonts w:hint="eastAsia"/>
        </w:rPr>
        <w:t>成员单位：县水务局、县应急管理局、县气象局</w:t>
      </w:r>
    </w:p>
    <w:p w14:paraId="633BA34C">
      <w:pPr>
        <w:ind w:firstLine="632"/>
      </w:pPr>
      <w:r>
        <w:rPr>
          <w:rFonts w:hint="eastAsia"/>
        </w:rPr>
        <w:t>工作职责：负责旱情及抗旱动态等情况的准确及时传递和发布，组织做好新闻信息发布和新闻记者的采访工作。</w:t>
      </w:r>
    </w:p>
    <w:p w14:paraId="5C20C849">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其他工作组</w:t>
      </w:r>
    </w:p>
    <w:p w14:paraId="6A2319CF">
      <w:pPr>
        <w:ind w:firstLine="632"/>
      </w:pPr>
      <w:r>
        <w:rPr>
          <w:rFonts w:hint="eastAsia"/>
        </w:rPr>
        <w:t>牵头单位、成员单位和工作职责等根据需要调整设置。</w:t>
      </w:r>
    </w:p>
    <w:p w14:paraId="7CC756B7">
      <w:pPr>
        <w:pStyle w:val="3"/>
      </w:pPr>
      <w:bookmarkStart w:id="297" w:name="_Toc7500"/>
      <w:r>
        <w:rPr>
          <w:rFonts w:hint="eastAsia"/>
        </w:rPr>
        <w:t>乡镇防汛抗旱指挥部</w:t>
      </w:r>
      <w:bookmarkEnd w:id="297"/>
    </w:p>
    <w:p w14:paraId="27BB5A82">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组成及职责</w:t>
      </w:r>
    </w:p>
    <w:p w14:paraId="1FA68580">
      <w:pPr>
        <w:ind w:firstLine="632"/>
        <w:rPr>
          <w:highlight w:val="yellow"/>
        </w:rPr>
      </w:pPr>
      <w:r>
        <w:rPr>
          <w:rFonts w:hint="eastAsia"/>
        </w:rPr>
        <w:t>各乡镇抗旱指挥部由乡镇党委和乡镇政府的主要领导分别任总指挥和副总指挥，在县防指和本级政府的领导下，负责组织和指挥本辖区的抗旱工作。具体职责如下：</w:t>
      </w:r>
    </w:p>
    <w:p w14:paraId="14DB2BB8">
      <w:pPr>
        <w:numPr>
          <w:ilvl w:val="0"/>
          <w:numId w:val="25"/>
        </w:numPr>
        <w:ind w:firstLine="632"/>
      </w:pPr>
      <w:r>
        <w:rPr>
          <w:rFonts w:hint="eastAsia"/>
        </w:rPr>
        <w:t>负责编制乡镇、社区抗旱应急预案，乡镇级预案报县抗旱指挥部办公室备案；</w:t>
      </w:r>
    </w:p>
    <w:p w14:paraId="4F51B65C">
      <w:pPr>
        <w:numPr>
          <w:ilvl w:val="0"/>
          <w:numId w:val="25"/>
        </w:numPr>
        <w:ind w:firstLine="632"/>
      </w:pPr>
      <w:r>
        <w:rPr>
          <w:rFonts w:hint="eastAsia"/>
        </w:rPr>
        <w:t>建立健全抗旱组织机构，组建抗旱应急抢险和疏散撤离队伍；</w:t>
      </w:r>
    </w:p>
    <w:p w14:paraId="3FE3672E">
      <w:pPr>
        <w:numPr>
          <w:ilvl w:val="0"/>
          <w:numId w:val="25"/>
        </w:numPr>
        <w:ind w:firstLine="632"/>
      </w:pPr>
      <w:r>
        <w:rPr>
          <w:rFonts w:hint="eastAsia"/>
        </w:rPr>
        <w:t>抓好本辖区防御干旱灾害日常工作，负责乡镇、社区防御干旱灾害预案及抗旱方案的宣传和实施；</w:t>
      </w:r>
    </w:p>
    <w:p w14:paraId="5506008C">
      <w:pPr>
        <w:numPr>
          <w:ilvl w:val="0"/>
          <w:numId w:val="25"/>
        </w:numPr>
        <w:ind w:firstLine="632"/>
      </w:pPr>
      <w:r>
        <w:rPr>
          <w:rFonts w:hint="eastAsia"/>
        </w:rPr>
        <w:t>按照防御干旱灾害工作要求，储备一定数量的抗旱抢险物资；</w:t>
      </w:r>
    </w:p>
    <w:p w14:paraId="265937BC">
      <w:pPr>
        <w:numPr>
          <w:ilvl w:val="0"/>
          <w:numId w:val="25"/>
        </w:numPr>
        <w:ind w:firstLine="632"/>
      </w:pPr>
      <w:r>
        <w:rPr>
          <w:rFonts w:hint="eastAsia"/>
        </w:rPr>
        <w:t>及时上报、传递各类抗旱信息。</w:t>
      </w:r>
    </w:p>
    <w:p w14:paraId="459205C5">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机构运作程序</w:t>
      </w:r>
    </w:p>
    <w:p w14:paraId="77A9D60C">
      <w:pPr>
        <w:ind w:firstLine="632"/>
      </w:pPr>
      <w:r>
        <w:rPr>
          <w:rFonts w:hint="eastAsia"/>
        </w:rPr>
        <w:t>接到县抗旱办的各类灾害性天气预报预警后，应立即传达给社区组及区域内有关单位；做好各项防御干旱灾害准备工作，并及时做好上传下达和信息反馈；接到县防指的命令后，应及时按照命令要求执行，并上报命令执行情况；及时启动乡镇、社区抗旱应急响应，并及时向县委、县政府和县防指报告工作动态。</w:t>
      </w:r>
    </w:p>
    <w:p w14:paraId="422A3814">
      <w:pPr>
        <w:pStyle w:val="3"/>
      </w:pPr>
      <w:bookmarkStart w:id="298" w:name="_Toc4225"/>
      <w:r>
        <w:rPr>
          <w:rFonts w:hint="eastAsia"/>
        </w:rPr>
        <w:t>专家组组成及职责</w:t>
      </w:r>
      <w:bookmarkEnd w:id="298"/>
    </w:p>
    <w:p w14:paraId="38DDA39F">
      <w:pPr>
        <w:ind w:firstLine="632"/>
      </w:pPr>
      <w:r>
        <w:rPr>
          <w:rFonts w:hint="eastAsia"/>
        </w:rPr>
        <w:t>县农业农村局、县水务局、县气象局和相关涉农科研院所等单位抽调专家组成专家组，解决抗旱救灾中出现的重大技术难题，在发生中度及以上旱情时赶赴现场协助有关乡镇、社区制定抗旱救灾方案，指导旱区开展抗旱救灾工作。</w:t>
      </w:r>
    </w:p>
    <w:p w14:paraId="3C893E18">
      <w:pPr>
        <w:pStyle w:val="2"/>
        <w:numPr>
          <w:ilvl w:val="0"/>
          <w:numId w:val="75"/>
        </w:numPr>
        <w:tabs>
          <w:tab w:val="left" w:pos="0"/>
        </w:tabs>
        <w:rPr>
          <w:sz w:val="32"/>
          <w:szCs w:val="32"/>
        </w:rPr>
      </w:pPr>
      <w:bookmarkStart w:id="299" w:name="_Toc14756"/>
      <w:r>
        <w:rPr>
          <w:rFonts w:hint="eastAsia"/>
          <w:sz w:val="32"/>
          <w:szCs w:val="32"/>
        </w:rPr>
        <w:t>预防和预警机制</w:t>
      </w:r>
      <w:bookmarkEnd w:id="299"/>
    </w:p>
    <w:p w14:paraId="2A6F7F41">
      <w:pPr>
        <w:ind w:firstLine="632"/>
      </w:pPr>
      <w:r>
        <w:rPr>
          <w:rFonts w:hint="eastAsia"/>
        </w:rPr>
        <w:t>各乡镇、县防指各成员单位要狠抓监测、预报、预警三个环节，密切监视天气变化，及时收集气象、水文等部门发布的预测预警信息，组织有关部门滚动会商研判，及时掌握旱情发展趋势。要完善预警响应衔接机制，确保乡镇、社区责任人和相关区域人员及时接收到预报预警信息，为抗旱救灾提供保障。</w:t>
      </w:r>
    </w:p>
    <w:p w14:paraId="16D58D5F">
      <w:pPr>
        <w:pStyle w:val="3"/>
      </w:pPr>
      <w:bookmarkStart w:id="300" w:name="_Toc19176"/>
      <w:r>
        <w:rPr>
          <w:rFonts w:hint="eastAsia"/>
        </w:rPr>
        <w:t>预防预警信息</w:t>
      </w:r>
      <w:bookmarkEnd w:id="300"/>
      <w:r>
        <w:rPr>
          <w:rFonts w:hint="eastAsia"/>
        </w:rPr>
        <w:t xml:space="preserve"> </w:t>
      </w:r>
    </w:p>
    <w:p w14:paraId="152D61CE">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气象、水文、农业信息</w:t>
      </w:r>
    </w:p>
    <w:p w14:paraId="3BBCB386">
      <w:pPr>
        <w:numPr>
          <w:ilvl w:val="0"/>
          <w:numId w:val="26"/>
        </w:numPr>
        <w:ind w:firstLineChars="0"/>
      </w:pPr>
      <w:r>
        <w:rPr>
          <w:rFonts w:hint="eastAsia"/>
        </w:rPr>
        <w:t>县气象局加强对干旱灾害性天气的监测和预测预报。集贤水文站加强雨情、水情、墒情的监测。县农业农村局针对不同季节，加强对当地的农情监测。气象、水文、农业部门及时将结果报送县防汛抗旱指挥部办公室和有关抗旱组织指挥机构。</w:t>
      </w:r>
    </w:p>
    <w:p w14:paraId="7EE2B8D2">
      <w:pPr>
        <w:numPr>
          <w:ilvl w:val="0"/>
          <w:numId w:val="26"/>
        </w:numPr>
        <w:ind w:firstLineChars="0"/>
      </w:pPr>
      <w:r>
        <w:rPr>
          <w:rFonts w:hint="eastAsia"/>
        </w:rPr>
        <w:t>当发生干旱性天气时，根据县防汛抗旱指挥部要求，气象、水文、农业部门进行联合会商和预报，对当前形势及发展趋势进行科学分析评估，及时报相关抗旱组织指挥机构，为抗旱组织指挥机构适时指挥决策提供依据。</w:t>
      </w:r>
    </w:p>
    <w:p w14:paraId="44D08E2A">
      <w:pPr>
        <w:numPr>
          <w:ilvl w:val="0"/>
          <w:numId w:val="26"/>
        </w:numPr>
        <w:ind w:firstLineChars="0"/>
      </w:pPr>
      <w:r>
        <w:rPr>
          <w:rFonts w:hint="eastAsia"/>
        </w:rPr>
        <w:t>当预测预报将可能发生轻度干旱灾害和损失时，县防汛抗旱指挥部应提早预警，通知有关乡镇和单位做好相关抗旱救灾准备。</w:t>
      </w:r>
    </w:p>
    <w:p w14:paraId="0A4B6D7F">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工程信息</w:t>
      </w:r>
    </w:p>
    <w:p w14:paraId="0E09A144">
      <w:pPr>
        <w:pStyle w:val="5"/>
        <w:numPr>
          <w:ilvl w:val="3"/>
          <w:numId w:val="75"/>
        </w:numPr>
      </w:pPr>
      <w:r>
        <w:rPr>
          <w:rFonts w:hint="eastAsia"/>
        </w:rPr>
        <w:t>灌溉工程信息</w:t>
      </w:r>
    </w:p>
    <w:p w14:paraId="239A1073">
      <w:pPr>
        <w:ind w:firstLine="632"/>
      </w:pPr>
      <w:r>
        <w:rPr>
          <w:rFonts w:hint="eastAsia"/>
        </w:rPr>
        <w:t>水管单位要加强灌溉工程管理，当发生轻度以上干旱时，千方百计扩大灌溉面积。按时向上一级和同级抗旱组织指挥机构报告灌溉、工程运行情况和存在的问题。</w:t>
      </w:r>
    </w:p>
    <w:p w14:paraId="2289FB9F">
      <w:pPr>
        <w:pStyle w:val="5"/>
        <w:numPr>
          <w:ilvl w:val="3"/>
          <w:numId w:val="75"/>
        </w:numPr>
      </w:pPr>
      <w:r>
        <w:rPr>
          <w:rFonts w:hint="eastAsia"/>
        </w:rPr>
        <w:t>旱情灾情信息</w:t>
      </w:r>
    </w:p>
    <w:p w14:paraId="4177B43E">
      <w:pPr>
        <w:numPr>
          <w:ilvl w:val="0"/>
          <w:numId w:val="78"/>
        </w:numPr>
        <w:ind w:firstLineChars="0"/>
      </w:pPr>
      <w:r>
        <w:rPr>
          <w:rFonts w:hint="eastAsia"/>
        </w:rPr>
        <w:t>旱情信息主要包括：干旱发生的时间、地点、程度、受旱面积、受旱范围、影响人口，以及对工农业生产、城乡生活、生态环境等方面造成的影响。</w:t>
      </w:r>
    </w:p>
    <w:p w14:paraId="3C899BA9">
      <w:pPr>
        <w:numPr>
          <w:ilvl w:val="0"/>
          <w:numId w:val="78"/>
        </w:numPr>
        <w:ind w:firstLineChars="0"/>
      </w:pPr>
      <w:r>
        <w:rPr>
          <w:rFonts w:hint="eastAsia"/>
        </w:rPr>
        <w:t>旱情发生后，各抗旱组织指挥机构要及时掌握旱情灾情动态，真实、准确、全面地向党政领导和有关部门反映我县旱情灾害发生的基本情况。加强对旱情、旱灾的评估和预测。</w:t>
      </w:r>
    </w:p>
    <w:p w14:paraId="31F6BB53">
      <w:pPr>
        <w:numPr>
          <w:ilvl w:val="0"/>
          <w:numId w:val="78"/>
        </w:numPr>
        <w:ind w:firstLineChars="0"/>
      </w:pPr>
      <w:r>
        <w:rPr>
          <w:rFonts w:hint="eastAsia"/>
        </w:rPr>
        <w:t>各级抗旱组织指挥机构要按照规定上报水情雨情变化、当地蓄水情况、农田土壤墒情和城乡供水情况，受旱情况。加强旱情监测，遇旱情急剧发展时应及时加报。</w:t>
      </w:r>
    </w:p>
    <w:p w14:paraId="518AC55D">
      <w:pPr>
        <w:pStyle w:val="3"/>
      </w:pPr>
      <w:bookmarkStart w:id="301" w:name="_Toc29248"/>
      <w:r>
        <w:rPr>
          <w:rFonts w:hint="eastAsia"/>
        </w:rPr>
        <w:t>预防预警行动</w:t>
      </w:r>
      <w:bookmarkEnd w:id="301"/>
    </w:p>
    <w:p w14:paraId="5E78D10C">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预防准备</w:t>
      </w:r>
    </w:p>
    <w:p w14:paraId="1CC6182E">
      <w:pPr>
        <w:ind w:firstLine="632"/>
      </w:pPr>
      <w:r>
        <w:rPr>
          <w:rFonts w:hint="eastAsia"/>
        </w:rPr>
        <w:t>（1）思想准备。利用各种新闻媒体，加强抗旱宣传工作，增强全民防抗干旱灾害的意识，做好防大旱、抗大灾的思想准备。</w:t>
      </w:r>
    </w:p>
    <w:p w14:paraId="643C68C1">
      <w:pPr>
        <w:ind w:firstLine="632"/>
      </w:pPr>
      <w:r>
        <w:rPr>
          <w:rFonts w:hint="eastAsia"/>
        </w:rPr>
        <w:t>（2）组织准备。建立健全各级防汛抗旱指挥机构，及时召开抗旱工作会议，部署任务，明确责任，落实措施，加强指挥能力建设，完善抗旱保障机制。</w:t>
      </w:r>
    </w:p>
    <w:p w14:paraId="2BA27737">
      <w:pPr>
        <w:ind w:firstLine="632"/>
      </w:pPr>
      <w:r>
        <w:rPr>
          <w:rFonts w:hint="eastAsia"/>
        </w:rPr>
        <w:t>（3）预案准备。修订完善各类抗旱预案及跨区域抗旱应急调水方案，切实抓好预案各环节应对措施落实。</w:t>
      </w:r>
    </w:p>
    <w:p w14:paraId="36F90DEA">
      <w:pPr>
        <w:ind w:firstLine="632"/>
      </w:pPr>
      <w:r>
        <w:rPr>
          <w:rFonts w:hint="eastAsia"/>
        </w:rPr>
        <w:t>（4）物资准备。各水文站应储备必需的抗旱物资和器材，合理进行调配使用，发挥抗旱物资机动灵活潜力。</w:t>
      </w:r>
    </w:p>
    <w:p w14:paraId="5DDDD4B2">
      <w:pPr>
        <w:ind w:firstLine="632"/>
      </w:pPr>
      <w:r>
        <w:rPr>
          <w:rFonts w:hint="eastAsia"/>
        </w:rPr>
        <w:t>（5）预警准备。充分利用社会通信公网，确保抗旱信息系统完好和畅通。健全旱情测报网，确保旱情、灾情信息和抗旱指挥调度指令的及时传递。</w:t>
      </w:r>
    </w:p>
    <w:p w14:paraId="6E00766C">
      <w:pPr>
        <w:ind w:firstLine="632"/>
      </w:pPr>
      <w:r>
        <w:rPr>
          <w:rFonts w:hint="eastAsia"/>
        </w:rPr>
        <w:t>（6）抗旱检查。实行以查旱情、查组织、查预案、查物资、查行动为主要内容的检查制度，提早发现薄弱环节，明确整改责任，及时落实整改措施。</w:t>
      </w:r>
    </w:p>
    <w:p w14:paraId="3815B41D">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干旱灾害预警</w:t>
      </w:r>
    </w:p>
    <w:p w14:paraId="601EEDF4">
      <w:pPr>
        <w:ind w:firstLine="632" w:firstLineChars="0"/>
      </w:pPr>
      <w:r>
        <w:rPr>
          <w:rFonts w:hint="eastAsia"/>
        </w:rPr>
        <w:t>（1）县防指应针对干旱灾害成因、特点和受旱对象不同，提出科学的抗旱减灾对策，因地制宜及时发布预警信息。</w:t>
      </w:r>
    </w:p>
    <w:p w14:paraId="4440F4CC">
      <w:pPr>
        <w:ind w:firstLine="632" w:firstLineChars="0"/>
      </w:pPr>
      <w:r>
        <w:rPr>
          <w:rFonts w:hint="eastAsia"/>
        </w:rPr>
        <w:t>（2）各级防汛抗旱指挥机构应建立健全旱情监测和干旱灾害统计系统，随时掌握实时旱情灾情动态，及早预测干旱发展趋势。</w:t>
      </w:r>
    </w:p>
    <w:p w14:paraId="52D1D43E">
      <w:pPr>
        <w:ind w:firstLine="632" w:firstLineChars="0"/>
      </w:pPr>
      <w:r>
        <w:rPr>
          <w:rFonts w:hint="eastAsia"/>
        </w:rPr>
        <w:t>（3）各级防汛抗旱指挥机构应加强抗旱服务队伍建设，鼓励和支持社会力量建立各种形式的抗旱服务组织体系，广泛提高防抗干旱灾害的机动能力。</w:t>
      </w:r>
    </w:p>
    <w:p w14:paraId="78EC575F">
      <w:pPr>
        <w:ind w:firstLine="632" w:firstLineChars="0"/>
      </w:pPr>
      <w:r>
        <w:rPr>
          <w:rFonts w:hint="eastAsia"/>
        </w:rPr>
        <w:t>（4）轻度、中度干旱预警信息由县、市防汛抗旱指挥机构发布，严重、特大干旱预警信息由省防总发布。</w:t>
      </w:r>
    </w:p>
    <w:p w14:paraId="00C5CDE9">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供水水源短缺预警</w:t>
      </w:r>
    </w:p>
    <w:p w14:paraId="42F70EA9">
      <w:pPr>
        <w:ind w:firstLine="632" w:firstLineChars="0"/>
      </w:pPr>
      <w:r>
        <w:rPr>
          <w:rFonts w:hint="eastAsia"/>
        </w:rPr>
        <w:t>因旱造成供水水源短缺而出现供水大面积困难时，由县防指会同供水部门和乡镇向社会发布预警，提示各有关部门和企事业单位、居民做好应急用水储备。</w:t>
      </w:r>
    </w:p>
    <w:p w14:paraId="30E381C6">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供水危机预警</w:t>
      </w:r>
    </w:p>
    <w:p w14:paraId="40AB1455">
      <w:pPr>
        <w:ind w:firstLine="632" w:firstLineChars="0"/>
      </w:pPr>
      <w:r>
        <w:rPr>
          <w:rFonts w:hint="eastAsia"/>
        </w:rPr>
        <w:t>当因供水水源被破坏、供水线路中断、供水水质被侵害等原因而出现人畜饮水危机时，由县防指会同供水部门和乡镇向社会发布预警，提示各有关部门和企事业单位、居民做好应急用水储备，有关部门做好启动应急供水、送水预案的准备。</w:t>
      </w:r>
    </w:p>
    <w:p w14:paraId="6DF14AF2">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农业生产危机预警</w:t>
      </w:r>
    </w:p>
    <w:p w14:paraId="7352B04E">
      <w:pPr>
        <w:ind w:firstLine="632" w:firstLineChars="0"/>
      </w:pPr>
      <w:r>
        <w:rPr>
          <w:rFonts w:hint="eastAsia"/>
        </w:rPr>
        <w:t>当出现连续多日无降雨，重要水利设施遭到毁坏，农作物出现干旱缺水迹象时，由县防指协同乡镇向群众公布预警信息，群众做好应急抽水、输水的准备，塘库做好放水保灌的准备，县防指办公室统一安排协调水利、农业农社区和应急部门向受旱区派遣技术人员和抽水设备的准备，各对口帮扶部门做好应急支援的准备。</w:t>
      </w:r>
    </w:p>
    <w:p w14:paraId="424F6DE4">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信息报告</w:t>
      </w:r>
    </w:p>
    <w:p w14:paraId="5BEBA846">
      <w:pPr>
        <w:ind w:firstLine="632"/>
      </w:pPr>
      <w:r>
        <w:rPr>
          <w:rFonts w:hint="eastAsia"/>
        </w:rPr>
        <w:t>各乡镇负责辖区旱灾信息监测，及时掌握和逐级报告雨情水情变化、当地蓄水情况、土壤墒情、受旱面积和城乡供水情况等信息，按照防汛抗旱指挥机构有关规定，向县防指报告旱灾信息，时限为：轻度干旱10日报告一次，中度干旱5日报告一次，严重干旱3日报告一次，特大干旱每日报告一次。</w:t>
      </w:r>
    </w:p>
    <w:p w14:paraId="3BCA9DF7">
      <w:pPr>
        <w:ind w:firstLine="632"/>
      </w:pPr>
      <w:r>
        <w:rPr>
          <w:rFonts w:hint="eastAsia"/>
        </w:rPr>
        <w:t>县防办依据旱情监测点，及时监测掌握了解本县土壤墒情、受旱面积和农社区供水情况等旱情信息并组织有关部门会商研判，进行综合分析，确定干旱灾害等级。当出现3个乡镇以上轻度、中度等级干旱时，由县防指书面向市防指和县委、县政府报告。达到严重、特大等级干旱时，由县防指书面向市防指报告的同时，由县政府专题向市政府报告。</w:t>
      </w:r>
    </w:p>
    <w:p w14:paraId="7E985456">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预警行动</w:t>
      </w:r>
    </w:p>
    <w:p w14:paraId="1F612C99">
      <w:pPr>
        <w:ind w:firstLine="632"/>
      </w:pPr>
      <w:r>
        <w:rPr>
          <w:rFonts w:hint="eastAsia"/>
        </w:rPr>
        <w:t>县防指</w:t>
      </w:r>
      <w:r>
        <w:t>要根据市防指和</w:t>
      </w:r>
      <w:r>
        <w:rPr>
          <w:rFonts w:hint="eastAsia"/>
        </w:rPr>
        <w:t>县委、县政府</w:t>
      </w:r>
      <w:r>
        <w:t>的安排部署，结合气象部门发布的预警信息，立即组织风险研判和决策调度，启动相应的应急预案，精准指挥并检查督促各项应对处置工作。</w:t>
      </w:r>
    </w:p>
    <w:p w14:paraId="7A2C4626">
      <w:pPr>
        <w:numPr>
          <w:ilvl w:val="0"/>
          <w:numId w:val="79"/>
        </w:numPr>
        <w:ind w:firstLine="632"/>
      </w:pPr>
      <w:r>
        <w:rPr>
          <w:rFonts w:hint="eastAsia"/>
        </w:rPr>
        <w:t>县</w:t>
      </w:r>
      <w:r>
        <w:t>气象局要加强气象监测、预报、预警和灾害影响评估，及时向</w:t>
      </w:r>
      <w:r>
        <w:rPr>
          <w:rFonts w:hint="eastAsia"/>
        </w:rPr>
        <w:t>县委、县政府</w:t>
      </w:r>
      <w:r>
        <w:t>和相关部门报告（通报）最新干旱监测预报预警和决策建议信息；通过各种手段向社会公布干旱灾害预警信息及相关防御指南，适时加大预报时段密度；及时启动部门气象灾害应急响应，适时组织开展人工影响天气作业，减轻干旱影响。</w:t>
      </w:r>
    </w:p>
    <w:p w14:paraId="152352DB">
      <w:pPr>
        <w:numPr>
          <w:ilvl w:val="0"/>
          <w:numId w:val="79"/>
        </w:numPr>
        <w:ind w:firstLine="632"/>
      </w:pPr>
      <w:r>
        <w:rPr>
          <w:rFonts w:hint="eastAsia"/>
        </w:rPr>
        <w:t>县</w:t>
      </w:r>
      <w:r>
        <w:t>应急管理局要根据干旱灾害预警信息综合研判风险，按照应急预案有关标准，及时启动部门相关应急预案，适时启动抗旱、灾害救助等专项应急预案，做好救灾人员和物资准备，并负责做好因旱缺水缺粮群众的基本生活救助。</w:t>
      </w:r>
    </w:p>
    <w:p w14:paraId="4C0AE7F8">
      <w:pPr>
        <w:numPr>
          <w:ilvl w:val="0"/>
          <w:numId w:val="79"/>
        </w:numPr>
        <w:ind w:firstLine="632"/>
      </w:pPr>
      <w:r>
        <w:rPr>
          <w:rFonts w:hint="eastAsia"/>
        </w:rPr>
        <w:t>县</w:t>
      </w:r>
      <w:r>
        <w:t>交通运输局负责协调组织本系统运力资源，及时运送抗旱救灾人员、物资及设备。</w:t>
      </w:r>
    </w:p>
    <w:p w14:paraId="00F67A6A">
      <w:pPr>
        <w:numPr>
          <w:ilvl w:val="0"/>
          <w:numId w:val="79"/>
        </w:numPr>
        <w:ind w:firstLine="632"/>
      </w:pPr>
      <w:r>
        <w:rPr>
          <w:rFonts w:hint="eastAsia"/>
        </w:rPr>
        <w:t>县水务局</w:t>
      </w:r>
      <w:r>
        <w:t>负责旱情监测预警工作，组织水利工程抗旱和城乡供水运行与水源调度，协调、指导抗旱工程和抗旱基础设施建设与管理。要根据干旱灾害预警信息加强组织水情、水量监测，加强江河灌区上下游、左右岸水情信息共享和风险研判，及时做好抗旱供水预报预警工作，科学实施水资源调度，提供抗旱抢险技术支撑。</w:t>
      </w:r>
    </w:p>
    <w:p w14:paraId="7250ADB2">
      <w:pPr>
        <w:numPr>
          <w:ilvl w:val="0"/>
          <w:numId w:val="79"/>
        </w:numPr>
        <w:ind w:firstLine="632"/>
      </w:pPr>
      <w:r>
        <w:rPr>
          <w:rFonts w:hint="eastAsia"/>
        </w:rPr>
        <w:t>县农业农村局</w:t>
      </w:r>
      <w:r>
        <w:t>要根据土壤墒情、农作物干旱等预警信息加强风险研判，指导紧急预防干旱对农</w:t>
      </w:r>
      <w:r>
        <w:rPr>
          <w:rFonts w:hint="eastAsia"/>
        </w:rPr>
        <w:t>社区</w:t>
      </w:r>
      <w:r>
        <w:t>和农业、畜牧业、渔业造成的影响，落实防御措施，组织抗旱保收工作。</w:t>
      </w:r>
    </w:p>
    <w:p w14:paraId="19E44693">
      <w:pPr>
        <w:numPr>
          <w:ilvl w:val="0"/>
          <w:numId w:val="79"/>
        </w:numPr>
        <w:ind w:firstLine="632"/>
      </w:pPr>
      <w:r>
        <w:rPr>
          <w:rFonts w:hint="eastAsia"/>
        </w:rPr>
        <w:t>县林业和草原局</w:t>
      </w:r>
      <w:r>
        <w:t>要指导林业生产单位采取管理和技术措施，减轻干旱影响，做好森林草原火灾预防等工作。</w:t>
      </w:r>
    </w:p>
    <w:p w14:paraId="0318CA06">
      <w:pPr>
        <w:numPr>
          <w:ilvl w:val="0"/>
          <w:numId w:val="79"/>
        </w:numPr>
        <w:ind w:firstLine="632"/>
      </w:pPr>
      <w:r>
        <w:rPr>
          <w:rFonts w:hint="eastAsia"/>
        </w:rPr>
        <w:t>县</w:t>
      </w:r>
      <w:r>
        <w:t>卫</w:t>
      </w:r>
      <w:r>
        <w:rPr>
          <w:rFonts w:hint="eastAsia"/>
        </w:rPr>
        <w:t>生</w:t>
      </w:r>
      <w:r>
        <w:t>健</w:t>
      </w:r>
      <w:r>
        <w:rPr>
          <w:rFonts w:hint="eastAsia"/>
        </w:rPr>
        <w:t>康</w:t>
      </w:r>
      <w:r>
        <w:t>局要采取措施，防范和应对旱灾导致的饮用水卫生安全问题所引发的突发公共卫生事件。</w:t>
      </w:r>
    </w:p>
    <w:p w14:paraId="5916BD53">
      <w:pPr>
        <w:numPr>
          <w:ilvl w:val="0"/>
          <w:numId w:val="79"/>
        </w:numPr>
        <w:ind w:firstLine="632"/>
      </w:pPr>
      <w:r>
        <w:t>供水和供气等单位要根据干旱灾害预警信息，做好供水、供气管网设施巡检和应急供水、供气准备等工作。</w:t>
      </w:r>
    </w:p>
    <w:p w14:paraId="769FF94F">
      <w:pPr>
        <w:numPr>
          <w:ilvl w:val="0"/>
          <w:numId w:val="79"/>
        </w:numPr>
        <w:ind w:firstLine="632"/>
      </w:pPr>
      <w:r>
        <w:t>消防救援</w:t>
      </w:r>
      <w:r>
        <w:rPr>
          <w:rFonts w:hint="eastAsia"/>
        </w:rPr>
        <w:t>大</w:t>
      </w:r>
      <w:r>
        <w:t>队</w:t>
      </w:r>
      <w:r>
        <w:rPr>
          <w:rFonts w:hint="eastAsia"/>
        </w:rPr>
        <w:t>、民兵、预备役部队</w:t>
      </w:r>
      <w:r>
        <w:t>要根据干旱灾害预警信息，做好高温期间抗旱救灾应急支援准备。</w:t>
      </w:r>
    </w:p>
    <w:p w14:paraId="6E7479A0">
      <w:pPr>
        <w:numPr>
          <w:ilvl w:val="0"/>
          <w:numId w:val="79"/>
        </w:numPr>
        <w:ind w:firstLine="632"/>
      </w:pPr>
      <w:r>
        <w:t>其他部门、单位等要按照职责做好相关领域的干旱灾害防御和应对处置工作。</w:t>
      </w:r>
    </w:p>
    <w:p w14:paraId="102C6D18">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预警支持体系</w:t>
      </w:r>
    </w:p>
    <w:p w14:paraId="790B67C8">
      <w:pPr>
        <w:ind w:firstLine="632"/>
      </w:pPr>
      <w:r>
        <w:rPr>
          <w:rFonts w:hint="eastAsia"/>
        </w:rPr>
        <w:t>县防指组织工程技术人员，研究编制本地区的干旱风险图和人畜饮水风险图，为抗旱减灾决策提供技术依据。</w:t>
      </w:r>
    </w:p>
    <w:p w14:paraId="18338CDE">
      <w:pPr>
        <w:pStyle w:val="3"/>
      </w:pPr>
      <w:bookmarkStart w:id="302" w:name="_Toc10045"/>
      <w:r>
        <w:rPr>
          <w:rFonts w:hint="eastAsia"/>
        </w:rPr>
        <w:t>预警发布、变更及解除</w:t>
      </w:r>
      <w:bookmarkEnd w:id="302"/>
    </w:p>
    <w:p w14:paraId="50B7EACC">
      <w:pPr>
        <w:numPr>
          <w:ilvl w:val="0"/>
          <w:numId w:val="38"/>
        </w:numPr>
        <w:ind w:firstLineChars="0"/>
      </w:pPr>
      <w:r>
        <w:rPr>
          <w:rFonts w:hint="eastAsia"/>
        </w:rPr>
        <w:t>干旱预警由低到高划分为轻度、中度、严重和特大四个预警级别，并依次采用蓝色、黄色、橙色、红色加以表示。</w:t>
      </w:r>
    </w:p>
    <w:p w14:paraId="5AA10006">
      <w:pPr>
        <w:numPr>
          <w:ilvl w:val="0"/>
          <w:numId w:val="38"/>
        </w:numPr>
        <w:ind w:firstLineChars="0"/>
      </w:pPr>
      <w:r>
        <w:rPr>
          <w:rFonts w:hint="eastAsia"/>
        </w:rPr>
        <w:t>干旱预警等级依据气象干旱综合监测指数确定，气象干旱综合监测指数由市气象局负责监测与分析。</w:t>
      </w:r>
    </w:p>
    <w:p w14:paraId="7E3D3AAF">
      <w:pPr>
        <w:numPr>
          <w:ilvl w:val="0"/>
          <w:numId w:val="38"/>
        </w:numPr>
        <w:ind w:firstLineChars="0"/>
      </w:pPr>
      <w:r>
        <w:rPr>
          <w:rFonts w:hint="eastAsia"/>
        </w:rPr>
        <w:t>干旱预警等级经县气象局与县防汛抗旱指挥部办公室会商后联合确定并发布、变更及解除。</w:t>
      </w:r>
    </w:p>
    <w:p w14:paraId="6F72972A">
      <w:pPr>
        <w:numPr>
          <w:ilvl w:val="0"/>
          <w:numId w:val="38"/>
        </w:numPr>
        <w:ind w:firstLineChars="0"/>
      </w:pPr>
      <w:r>
        <w:rPr>
          <w:rFonts w:hint="eastAsia"/>
        </w:rPr>
        <w:t>各乡镇根据全县性预警情况，结合本地区情况，可自主发布、变更及解除干旱预警，并报县应急办和县防办备案。</w:t>
      </w:r>
    </w:p>
    <w:p w14:paraId="41FA5F7F">
      <w:pPr>
        <w:pStyle w:val="2"/>
        <w:numPr>
          <w:ilvl w:val="0"/>
          <w:numId w:val="75"/>
        </w:numPr>
        <w:tabs>
          <w:tab w:val="left" w:pos="0"/>
        </w:tabs>
        <w:rPr>
          <w:sz w:val="32"/>
          <w:szCs w:val="32"/>
        </w:rPr>
      </w:pPr>
      <w:bookmarkStart w:id="303" w:name="_Toc4588"/>
      <w:r>
        <w:rPr>
          <w:rFonts w:hint="eastAsia"/>
          <w:sz w:val="32"/>
          <w:szCs w:val="32"/>
        </w:rPr>
        <w:t>应急响应</w:t>
      </w:r>
      <w:bookmarkEnd w:id="303"/>
    </w:p>
    <w:p w14:paraId="1EEACD93">
      <w:pPr>
        <w:pStyle w:val="3"/>
      </w:pPr>
      <w:bookmarkStart w:id="304" w:name="_Toc21721"/>
      <w:r>
        <w:t>应急响应分级</w:t>
      </w:r>
      <w:r>
        <w:rPr>
          <w:rFonts w:hint="eastAsia"/>
        </w:rPr>
        <w:t>与总体要求</w:t>
      </w:r>
      <w:bookmarkEnd w:id="304"/>
    </w:p>
    <w:p w14:paraId="759E1D24">
      <w:pPr>
        <w:numPr>
          <w:ilvl w:val="0"/>
          <w:numId w:val="80"/>
        </w:numPr>
        <w:ind w:firstLine="632"/>
      </w:pPr>
      <w:r>
        <w:rPr>
          <w:rFonts w:hint="eastAsia"/>
        </w:rPr>
        <w:t>旱情旱灾发展是一个渐变的过程，随着旱情的不断加重，需要采取相应的抗旱对策。应急响应从低到高分为Ⅳ级响应（轻度干旱）、Ⅲ级响应（中度干旱）、Ⅱ级响应（严重干旱）、Ⅰ级响应（特大干旱）四级，应急响应的启动应根据水雨情、干旱灾害的程度及影响范围等综合分析确定。</w:t>
      </w:r>
    </w:p>
    <w:p w14:paraId="1F9AA8B4">
      <w:pPr>
        <w:numPr>
          <w:ilvl w:val="0"/>
          <w:numId w:val="80"/>
        </w:numPr>
        <w:ind w:firstLine="632"/>
      </w:pPr>
      <w:r>
        <w:rPr>
          <w:rFonts w:hint="eastAsia"/>
        </w:rPr>
        <w:t>进入干旱期，县防指应全程跟踪雨情、水情、旱情、灾情，负责组织气象、水务、水文、农业农社区、城管等部门及时分析会商旱情，根据实时旱情变化和程度启动相关抗旱应急响应。</w:t>
      </w:r>
    </w:p>
    <w:p w14:paraId="5B3F7BB7">
      <w:pPr>
        <w:numPr>
          <w:ilvl w:val="0"/>
          <w:numId w:val="80"/>
        </w:numPr>
        <w:ind w:firstLine="632"/>
      </w:pPr>
      <w:r>
        <w:rPr>
          <w:rFonts w:hint="eastAsia"/>
        </w:rPr>
        <w:t>县防指要协调指导有关部门单位编制部门（行业）抗旱预案、重点工程抗旱预案、抗旱应急水量调度预案、生态抗旱预案，健全抗旱预案体系。</w:t>
      </w:r>
    </w:p>
    <w:p w14:paraId="204CFA2C">
      <w:pPr>
        <w:numPr>
          <w:ilvl w:val="0"/>
          <w:numId w:val="80"/>
        </w:numPr>
        <w:ind w:firstLine="632"/>
      </w:pPr>
      <w:r>
        <w:rPr>
          <w:rFonts w:hint="eastAsia"/>
        </w:rPr>
        <w:t>县防指成员单位按照县防指的统一部署和职责分工开展抗旱工作，加强值班，掌握防御工作动态，按规定及时向县防指报告相关情况。</w:t>
      </w:r>
    </w:p>
    <w:p w14:paraId="4B8C2B6B">
      <w:pPr>
        <w:numPr>
          <w:ilvl w:val="0"/>
          <w:numId w:val="80"/>
        </w:numPr>
        <w:ind w:firstLine="632"/>
      </w:pPr>
      <w:r>
        <w:rPr>
          <w:rFonts w:hint="eastAsia"/>
        </w:rPr>
        <w:t>县防指根据抗旱工作需要，向受旱灾区派出工作组或专家组，进行现场督促、指导、检查和提供技术服务。连续跨年干旱时，有关乡镇应采取调整种植结构措施。</w:t>
      </w:r>
    </w:p>
    <w:p w14:paraId="43D10C69">
      <w:pPr>
        <w:numPr>
          <w:ilvl w:val="0"/>
          <w:numId w:val="80"/>
        </w:numPr>
        <w:ind w:firstLine="632"/>
      </w:pPr>
      <w:r>
        <w:rPr>
          <w:rFonts w:hint="eastAsia"/>
        </w:rPr>
        <w:t>县气象、水文、水务等单位，应按职责加强雨情、水情、旱情、灾情监测，增加预报频次直至滚动预报，并及时发布预警。</w:t>
      </w:r>
    </w:p>
    <w:p w14:paraId="5697784E">
      <w:pPr>
        <w:numPr>
          <w:ilvl w:val="0"/>
          <w:numId w:val="80"/>
        </w:numPr>
        <w:ind w:firstLine="632"/>
      </w:pPr>
      <w:r>
        <w:rPr>
          <w:rFonts w:hint="eastAsia"/>
        </w:rPr>
        <w:t>县应急、发改、卫健、民政、财政、工信、交通等单位，应按职责做好组织、政策、规划、资金、物资、医疗防疫、运输、地图、通讯、电力、油料、治安等方面的保障工作。</w:t>
      </w:r>
    </w:p>
    <w:p w14:paraId="2F3207F4">
      <w:pPr>
        <w:numPr>
          <w:ilvl w:val="0"/>
          <w:numId w:val="80"/>
        </w:numPr>
        <w:ind w:firstLine="632"/>
      </w:pPr>
      <w:r>
        <w:rPr>
          <w:rFonts w:hint="eastAsia"/>
        </w:rPr>
        <w:t>县人武、消防、森防、公安等单位，应按照县防指命令执行抗旱支援任务；可根据灾情处置实际需要采取向有关区域前置抗旱支援队伍和装备措施；抗旱支援时，接受灾情发生地防汛抗旱指挥机构统一指挥，及时向县防指报告支援情况。</w:t>
      </w:r>
    </w:p>
    <w:p w14:paraId="312E1FAD">
      <w:pPr>
        <w:numPr>
          <w:ilvl w:val="0"/>
          <w:numId w:val="80"/>
        </w:numPr>
        <w:ind w:firstLine="632"/>
      </w:pPr>
      <w:r>
        <w:rPr>
          <w:rFonts w:hint="eastAsia"/>
        </w:rPr>
        <w:t>县农业、林草、工信等单位，应按职责组织、协调、监督和指导本部门、本行业干旱灾害防御和应急处置措施落实，保障本部门、本行业工作人员、重要设施安全，及时向县防指报送抗旱行动和灾情信息等。</w:t>
      </w:r>
    </w:p>
    <w:p w14:paraId="062B2CB6">
      <w:pPr>
        <w:numPr>
          <w:ilvl w:val="0"/>
          <w:numId w:val="80"/>
        </w:numPr>
        <w:ind w:firstLine="632"/>
      </w:pPr>
      <w:r>
        <w:rPr>
          <w:rFonts w:hint="eastAsia"/>
        </w:rPr>
        <w:t>县宣传、水务、应急、气象等单位，应组织、协调、监督和指导相关职能部门、单位开展宣传报道、新闻发布和舆情管控，通过电视、报纸、手机短信、互联网、微信平台等视听媒介向公众播发防御指引。</w:t>
      </w:r>
    </w:p>
    <w:p w14:paraId="5CD60099">
      <w:pPr>
        <w:numPr>
          <w:ilvl w:val="0"/>
          <w:numId w:val="80"/>
        </w:numPr>
        <w:ind w:firstLine="632"/>
      </w:pPr>
      <w:r>
        <w:rPr>
          <w:rFonts w:hint="eastAsia"/>
        </w:rPr>
        <w:t>县级水行政主管部门负责旱期全县重大水利、抗旱工程的调度工作，必要时县防指直接调度。其他水利、抗旱工程的调度由有调度权限的部门、单位负责，必要时由有关辖区的防指直接调度。</w:t>
      </w:r>
    </w:p>
    <w:p w14:paraId="21EB429D">
      <w:pPr>
        <w:numPr>
          <w:ilvl w:val="0"/>
          <w:numId w:val="80"/>
        </w:numPr>
        <w:ind w:firstLine="632"/>
      </w:pPr>
      <w:r>
        <w:rPr>
          <w:rFonts w:hint="eastAsia"/>
        </w:rPr>
        <w:t>涉及跨县的应急处置或事态发展超出县防指处置能力时，县防指应及时报告市防指协调处置；必要时，由市防指统一协调，县防指应服从市防指统一指挥。</w:t>
      </w:r>
    </w:p>
    <w:p w14:paraId="79E516A4">
      <w:pPr>
        <w:numPr>
          <w:ilvl w:val="0"/>
          <w:numId w:val="80"/>
        </w:numPr>
        <w:ind w:firstLine="632"/>
      </w:pPr>
      <w:r>
        <w:rPr>
          <w:rFonts w:hint="eastAsia"/>
        </w:rPr>
        <w:t>应急响应结束后，事发地镇政府应尽快恢复正常生活、生产、工作秩序，尽可能减少灾害带来的损失和影响。</w:t>
      </w:r>
    </w:p>
    <w:p w14:paraId="57956D23">
      <w:pPr>
        <w:pStyle w:val="3"/>
      </w:pPr>
      <w:bookmarkStart w:id="305" w:name="_Toc25427"/>
      <w:r>
        <w:rPr>
          <w:rFonts w:hint="eastAsia"/>
        </w:rPr>
        <w:t>应急响应启动程序</w:t>
      </w:r>
      <w:bookmarkEnd w:id="305"/>
    </w:p>
    <w:p w14:paraId="6F9F2078">
      <w:pPr>
        <w:ind w:firstLine="632"/>
      </w:pPr>
      <w:r>
        <w:rPr>
          <w:rFonts w:hint="eastAsia"/>
        </w:rPr>
        <w:t>县防办根据气象、水文、水务、住建等部门的预测预警信息，统筹考虑灾害影响程度、范围和防御能力等，综合会商研判后形成启动或调整应急响应建议。启动Ⅳ级、Ⅲ级应急响应，由县防办报请县防指常务副总指挥批准，以县防指名义发布；启动Ⅱ级、Ⅰ级应急响应，由县防办报请县防指总指挥批准，以县防指名义发布。</w:t>
      </w:r>
    </w:p>
    <w:p w14:paraId="03193897">
      <w:pPr>
        <w:ind w:firstLine="632"/>
      </w:pPr>
      <w:r>
        <w:rPr>
          <w:rFonts w:hint="eastAsia"/>
        </w:rPr>
        <w:t>当应急响应条件发生变化时，县防指及时调整应急响应等级。当县防指未启动全县应急响应时，各相关县防汛抗旱指挥部可根据所辖行业、区域情况自主启动和结束应急响应，并报县防指备案。</w:t>
      </w:r>
    </w:p>
    <w:p w14:paraId="55592FA0">
      <w:pPr>
        <w:pStyle w:val="3"/>
      </w:pPr>
      <w:bookmarkStart w:id="306" w:name="_Toc20883"/>
      <w:r>
        <w:rPr>
          <w:rFonts w:hint="eastAsia"/>
        </w:rPr>
        <w:t>Ⅳ级响应</w:t>
      </w:r>
      <w:bookmarkEnd w:id="306"/>
    </w:p>
    <w:p w14:paraId="5D751BA4">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启动条件</w:t>
      </w:r>
    </w:p>
    <w:p w14:paraId="5D4BA994">
      <w:pPr>
        <w:ind w:firstLine="632"/>
      </w:pPr>
      <w:r>
        <w:t>当发生或预计发生符合下列条件之一的，经会商研判后启动</w:t>
      </w:r>
      <w:r>
        <w:rPr>
          <w:rFonts w:hint="eastAsia"/>
        </w:rPr>
        <w:t>Ⅳ</w:t>
      </w:r>
      <w:r>
        <w:t>级响应：</w:t>
      </w:r>
    </w:p>
    <w:p w14:paraId="4353B1D0">
      <w:pPr>
        <w:numPr>
          <w:ilvl w:val="0"/>
          <w:numId w:val="40"/>
        </w:numPr>
        <w:ind w:firstLineChars="0"/>
      </w:pPr>
      <w:r>
        <w:rPr>
          <w:rFonts w:hint="eastAsia"/>
        </w:rPr>
        <w:t>预判春季受旱面积占全省播种面积的比例达到15%至25%，发生轻度春旱；</w:t>
      </w:r>
    </w:p>
    <w:p w14:paraId="071923E1">
      <w:pPr>
        <w:numPr>
          <w:ilvl w:val="0"/>
          <w:numId w:val="40"/>
        </w:numPr>
        <w:ind w:firstLineChars="0"/>
      </w:pPr>
      <w:r>
        <w:rPr>
          <w:rFonts w:hint="eastAsia"/>
        </w:rPr>
        <w:t>预判夏伏季受旱面积占全省播种面积的比例达到10%至20%，发生轻度夏伏旱；</w:t>
      </w:r>
    </w:p>
    <w:p w14:paraId="520C582A">
      <w:pPr>
        <w:numPr>
          <w:ilvl w:val="0"/>
          <w:numId w:val="40"/>
        </w:numPr>
        <w:ind w:firstLineChars="0"/>
      </w:pPr>
      <w:r>
        <w:rPr>
          <w:rFonts w:hint="eastAsia"/>
        </w:rPr>
        <w:t>1个县（市、区）因旱影响城镇正常供水；</w:t>
      </w:r>
    </w:p>
    <w:p w14:paraId="142C0080">
      <w:pPr>
        <w:numPr>
          <w:ilvl w:val="0"/>
          <w:numId w:val="40"/>
        </w:numPr>
        <w:ind w:firstLineChars="0"/>
      </w:pPr>
      <w:r>
        <w:t>其他需要启动</w:t>
      </w:r>
      <w:r>
        <w:rPr>
          <w:rFonts w:hint="eastAsia"/>
        </w:rPr>
        <w:t>Ⅳ</w:t>
      </w:r>
      <w:r>
        <w:t>级响应的情况。</w:t>
      </w:r>
    </w:p>
    <w:p w14:paraId="15B82071">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响应行动</w:t>
      </w:r>
    </w:p>
    <w:p w14:paraId="16BC7D90">
      <w:pPr>
        <w:numPr>
          <w:ilvl w:val="0"/>
          <w:numId w:val="41"/>
        </w:numPr>
        <w:ind w:firstLineChars="0"/>
      </w:pPr>
      <w:r>
        <w:rPr>
          <w:rFonts w:hint="eastAsia"/>
        </w:rPr>
        <w:t>安排部署。县防办主任主持召开会商调度会，县防指相关成员单位派员参加，了解掌握旱情信息，研判抗旱形势，部署抗旱有关工作。</w:t>
      </w:r>
    </w:p>
    <w:p w14:paraId="18E7AEA9">
      <w:pPr>
        <w:numPr>
          <w:ilvl w:val="0"/>
          <w:numId w:val="41"/>
        </w:numPr>
        <w:ind w:firstLineChars="0"/>
      </w:pPr>
      <w:r>
        <w:rPr>
          <w:rFonts w:hint="eastAsia"/>
        </w:rPr>
        <w:t>组织指挥。派出工作组检查旱情、抗旱准备和抗旱措施落实情况。</w:t>
      </w:r>
    </w:p>
    <w:p w14:paraId="6C529C02">
      <w:pPr>
        <w:numPr>
          <w:ilvl w:val="0"/>
          <w:numId w:val="41"/>
        </w:numPr>
        <w:ind w:firstLineChars="0"/>
      </w:pPr>
      <w:r>
        <w:rPr>
          <w:rFonts w:hint="eastAsia"/>
        </w:rPr>
        <w:t>信息报送。县防办及时分析了解社会各方面用水需求后将有关情况报告县防指总指挥或常务副总指挥，县防指迅速将应急响应启动及抗旱救灾等情况报告市防汛抗旱指挥部办公室、县委、县政府，并通报县防指各成员单位。县防指各成员单位及时向县防办报送本部门相关工作情况。</w:t>
      </w:r>
    </w:p>
    <w:p w14:paraId="6E802867">
      <w:pPr>
        <w:numPr>
          <w:ilvl w:val="0"/>
          <w:numId w:val="41"/>
        </w:numPr>
        <w:ind w:firstLineChars="0"/>
      </w:pPr>
      <w:r>
        <w:rPr>
          <w:rFonts w:hint="eastAsia"/>
        </w:rPr>
        <w:t>值班值守。县防指强化值班，加强协调、督导事关全局的抗旱调度，并与相关区域加强视频会商，及时作出针对性安排布置。县防指各成员及联络员保持通信畅通。</w:t>
      </w:r>
    </w:p>
    <w:p w14:paraId="1DE82AC3">
      <w:pPr>
        <w:numPr>
          <w:ilvl w:val="0"/>
          <w:numId w:val="41"/>
        </w:numPr>
        <w:ind w:firstLineChars="0"/>
      </w:pPr>
      <w:r>
        <w:rPr>
          <w:rFonts w:hint="eastAsia"/>
        </w:rPr>
        <w:t>舆论宣传。县防指根据需要及时发布相关信息，相关成员单位协调指导媒体做好抗旱救灾工作报道，加强舆论引导工作。</w:t>
      </w:r>
    </w:p>
    <w:p w14:paraId="13E82509">
      <w:pPr>
        <w:pStyle w:val="4"/>
        <w:numPr>
          <w:ilvl w:val="2"/>
          <w:numId w:val="75"/>
        </w:numPr>
        <w:tabs>
          <w:tab w:val="left" w:pos="0"/>
        </w:tabs>
        <w:rPr>
          <w:rFonts w:ascii="仿宋_GB2312" w:hAnsi="仿宋_GB2312" w:eastAsia="仿宋_GB2312" w:cs="仿宋_GB2312"/>
          <w:szCs w:val="32"/>
        </w:rPr>
      </w:pPr>
      <w:r>
        <w:rPr>
          <w:rFonts w:hint="eastAsia" w:ascii="仿宋_GB2312" w:hAnsi="仿宋_GB2312" w:eastAsia="仿宋_GB2312" w:cs="仿宋_GB2312"/>
          <w:szCs w:val="32"/>
        </w:rPr>
        <w:t>各成员单位响应行动</w:t>
      </w:r>
    </w:p>
    <w:p w14:paraId="24D6A605">
      <w:pPr>
        <w:ind w:firstLine="632"/>
      </w:pPr>
      <w:r>
        <w:rPr>
          <w:rFonts w:hint="eastAsia"/>
        </w:rPr>
        <w:t>县防指发出抗旱工作通知，各成员单位按全县统一部署，各司其职、各负其责投入抗旱救灾工作，采取如下应急行动：</w:t>
      </w:r>
    </w:p>
    <w:p w14:paraId="42CF1E6C">
      <w:pPr>
        <w:numPr>
          <w:ilvl w:val="0"/>
          <w:numId w:val="81"/>
        </w:numPr>
        <w:ind w:firstLine="632"/>
      </w:pPr>
      <w:r>
        <w:rPr>
          <w:rFonts w:hint="eastAsia"/>
        </w:rPr>
        <w:t>加强旱情灾情监测预报和对抗旱工作的领导；</w:t>
      </w:r>
    </w:p>
    <w:p w14:paraId="305F1A52">
      <w:pPr>
        <w:numPr>
          <w:ilvl w:val="0"/>
          <w:numId w:val="81"/>
        </w:numPr>
        <w:ind w:firstLine="632"/>
      </w:pPr>
      <w:r>
        <w:rPr>
          <w:rFonts w:hint="eastAsia"/>
        </w:rPr>
        <w:t>适时上报和发布旱情信息；</w:t>
      </w:r>
    </w:p>
    <w:p w14:paraId="00CCDDC2">
      <w:pPr>
        <w:numPr>
          <w:ilvl w:val="0"/>
          <w:numId w:val="81"/>
        </w:numPr>
        <w:ind w:firstLine="632"/>
      </w:pPr>
      <w:r>
        <w:rPr>
          <w:rFonts w:hint="eastAsia"/>
        </w:rPr>
        <w:t>及时按照预案组织实施抗旱措施；</w:t>
      </w:r>
    </w:p>
    <w:p w14:paraId="18773ED2">
      <w:pPr>
        <w:numPr>
          <w:ilvl w:val="0"/>
          <w:numId w:val="81"/>
        </w:numPr>
        <w:ind w:firstLine="632"/>
      </w:pPr>
      <w:r>
        <w:rPr>
          <w:rFonts w:hint="eastAsia"/>
        </w:rPr>
        <w:t>下达落实城镇供水及农田灌溉计划；</w:t>
      </w:r>
    </w:p>
    <w:p w14:paraId="67B94FA6">
      <w:pPr>
        <w:numPr>
          <w:ilvl w:val="0"/>
          <w:numId w:val="81"/>
        </w:numPr>
        <w:ind w:firstLine="632"/>
      </w:pPr>
      <w:r>
        <w:rPr>
          <w:rFonts w:hint="eastAsia"/>
        </w:rPr>
        <w:t>组织动员水利设施完成灌溉和供水任务；</w:t>
      </w:r>
    </w:p>
    <w:p w14:paraId="66C4C5C8">
      <w:pPr>
        <w:numPr>
          <w:ilvl w:val="0"/>
          <w:numId w:val="81"/>
        </w:numPr>
        <w:ind w:firstLine="632"/>
      </w:pPr>
      <w:r>
        <w:rPr>
          <w:rFonts w:hint="eastAsia"/>
        </w:rPr>
        <w:t>水库在保证防汛安全的前提下尽量多蓄水。</w:t>
      </w:r>
    </w:p>
    <w:p w14:paraId="1ED22E8F">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响应终止</w:t>
      </w:r>
    </w:p>
    <w:p w14:paraId="21FF27AD">
      <w:pPr>
        <w:ind w:firstLine="632"/>
      </w:pPr>
      <w:r>
        <w:rPr>
          <w:rFonts w:hint="eastAsia"/>
        </w:rPr>
        <w:t>当灾害已经或趋于结束时，由县防办提出响应终止建议，县防指常务副总指挥批准。响应结束后，有关部门和单位按职责分工，核实灾害损失和人员伤亡情况，并协助指导受灾地区做好灾后恢复重建工作。</w:t>
      </w:r>
    </w:p>
    <w:p w14:paraId="4559F88A">
      <w:pPr>
        <w:pStyle w:val="3"/>
      </w:pPr>
      <w:bookmarkStart w:id="307" w:name="_Toc7035"/>
      <w:r>
        <w:rPr>
          <w:rFonts w:hint="eastAsia"/>
        </w:rPr>
        <w:t>Ⅲ</w:t>
      </w:r>
      <w:r>
        <w:t>级响应</w:t>
      </w:r>
      <w:bookmarkEnd w:id="307"/>
    </w:p>
    <w:p w14:paraId="5E9780A3">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启动条件</w:t>
      </w:r>
    </w:p>
    <w:p w14:paraId="4EB7A770">
      <w:pPr>
        <w:ind w:firstLine="632"/>
      </w:pPr>
      <w:r>
        <w:t>当发生或预计发生符合下列条件之一的，经会商研判后启动</w:t>
      </w:r>
      <w:r>
        <w:rPr>
          <w:rFonts w:hint="eastAsia"/>
        </w:rPr>
        <w:t>Ⅲ</w:t>
      </w:r>
      <w:r>
        <w:t xml:space="preserve">级响应： </w:t>
      </w:r>
    </w:p>
    <w:p w14:paraId="74A6289B">
      <w:pPr>
        <w:numPr>
          <w:ilvl w:val="0"/>
          <w:numId w:val="43"/>
        </w:numPr>
        <w:ind w:firstLineChars="0"/>
      </w:pPr>
      <w:r>
        <w:rPr>
          <w:rFonts w:hint="eastAsia"/>
        </w:rPr>
        <w:t>预判春季受旱面积占全省播种面积的比例达到25%至35%，发生中度春旱；</w:t>
      </w:r>
    </w:p>
    <w:p w14:paraId="73F3A9BD">
      <w:pPr>
        <w:numPr>
          <w:ilvl w:val="0"/>
          <w:numId w:val="43"/>
        </w:numPr>
        <w:ind w:firstLineChars="0"/>
      </w:pPr>
      <w:r>
        <w:rPr>
          <w:rFonts w:hint="eastAsia"/>
        </w:rPr>
        <w:t>预判夏伏季受旱面积占全省播种面积的比例达到20%至30%，发生中度夏伏旱；</w:t>
      </w:r>
    </w:p>
    <w:p w14:paraId="77EF0810">
      <w:pPr>
        <w:numPr>
          <w:ilvl w:val="0"/>
          <w:numId w:val="43"/>
        </w:numPr>
        <w:ind w:firstLineChars="0"/>
      </w:pPr>
      <w:r>
        <w:rPr>
          <w:rFonts w:hint="eastAsia"/>
        </w:rPr>
        <w:t>2个及以上乡镇因旱影响城镇正常供水；</w:t>
      </w:r>
    </w:p>
    <w:p w14:paraId="67826CA4">
      <w:pPr>
        <w:numPr>
          <w:ilvl w:val="0"/>
          <w:numId w:val="43"/>
        </w:numPr>
        <w:ind w:firstLineChars="0"/>
      </w:pPr>
      <w:r>
        <w:rPr>
          <w:rFonts w:hint="eastAsia"/>
        </w:rPr>
        <w:t>其他需要启动Ⅲ级响应的情况。</w:t>
      </w:r>
    </w:p>
    <w:p w14:paraId="35C96CA1">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 xml:space="preserve">响应行动 </w:t>
      </w:r>
    </w:p>
    <w:p w14:paraId="60E51C4C">
      <w:pPr>
        <w:numPr>
          <w:ilvl w:val="0"/>
          <w:numId w:val="44"/>
        </w:numPr>
        <w:ind w:firstLine="632"/>
      </w:pPr>
      <w:r>
        <w:rPr>
          <w:rFonts w:hint="eastAsia"/>
        </w:rPr>
        <w:t>安排部署。县防指副总指挥（县应急管理局局长）主持召开会商调度会，了解掌握旱情、灾情及重要工情等信息，研判防汛抗旱形势部署防汛抗旱救灾有关工作。</w:t>
      </w:r>
    </w:p>
    <w:p w14:paraId="5975D724">
      <w:pPr>
        <w:numPr>
          <w:ilvl w:val="0"/>
          <w:numId w:val="44"/>
        </w:numPr>
        <w:ind w:firstLine="632"/>
      </w:pPr>
      <w:r>
        <w:rPr>
          <w:rFonts w:hint="eastAsia"/>
        </w:rPr>
        <w:t>组织指挥。县防指及时派出工作组、专家组到受旱地区指导抗旱工作，县防指成员单位按照职责对口开展抗旱工作。</w:t>
      </w:r>
    </w:p>
    <w:p w14:paraId="25B1E663">
      <w:pPr>
        <w:numPr>
          <w:ilvl w:val="0"/>
          <w:numId w:val="44"/>
        </w:numPr>
        <w:ind w:firstLine="632"/>
      </w:pPr>
      <w:r>
        <w:rPr>
          <w:rFonts w:hint="eastAsia"/>
        </w:rPr>
        <w:t>信息报送。县防办迅速将应急响应启动及抗旱救灾等情况报告市防汛抗旱指挥部办公室、县委、县政府，并通报县防指各成员单位。县防指各成员单位及时向县防办报送本部门相关工作情况。</w:t>
      </w:r>
    </w:p>
    <w:p w14:paraId="5FB5782D">
      <w:pPr>
        <w:numPr>
          <w:ilvl w:val="0"/>
          <w:numId w:val="44"/>
        </w:numPr>
        <w:ind w:firstLine="632"/>
      </w:pPr>
      <w:r>
        <w:rPr>
          <w:rFonts w:hint="eastAsia"/>
        </w:rPr>
        <w:t>值班值守。县防指强化值班，加强协调、督导事关全局的抗旱调度，并与相关区域加强视频会商，及时作出针对性安排布置。县防指各成员及联络员保持通信畅通，相关成员单位派员到县水务局值班，负责协调、处理、报告本单位相关工作舆论宣传。县防指根据需要及时发布相关信息，相关成员单位协调指导媒体做好抗旱救灾工作报道，加强舆论引导工作。</w:t>
      </w:r>
    </w:p>
    <w:p w14:paraId="3D008B80">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 xml:space="preserve">各成员单位响应行动 </w:t>
      </w:r>
    </w:p>
    <w:p w14:paraId="23C00391">
      <w:pPr>
        <w:ind w:firstLine="632"/>
      </w:pPr>
      <w:r>
        <w:rPr>
          <w:rFonts w:hint="eastAsia"/>
        </w:rPr>
        <w:t>县防指发出抗旱工作通知，各成员单位按全县统一部署，各司其职、各负其责投入抗旱救灾工作，采取如下应急行动：</w:t>
      </w:r>
    </w:p>
    <w:p w14:paraId="7660D16F">
      <w:pPr>
        <w:numPr>
          <w:ilvl w:val="0"/>
          <w:numId w:val="82"/>
        </w:numPr>
        <w:ind w:firstLine="632"/>
      </w:pPr>
      <w:r>
        <w:rPr>
          <w:rFonts w:hint="eastAsia"/>
        </w:rPr>
        <w:t>加强旱情灾情监测和趋势预报；</w:t>
      </w:r>
    </w:p>
    <w:p w14:paraId="5126823E">
      <w:pPr>
        <w:numPr>
          <w:ilvl w:val="0"/>
          <w:numId w:val="82"/>
        </w:numPr>
        <w:ind w:firstLine="632"/>
      </w:pPr>
      <w:r>
        <w:rPr>
          <w:rFonts w:hint="eastAsia"/>
        </w:rPr>
        <w:t>及时通报和公布旱情信息；</w:t>
      </w:r>
    </w:p>
    <w:p w14:paraId="618D9D81">
      <w:pPr>
        <w:numPr>
          <w:ilvl w:val="0"/>
          <w:numId w:val="82"/>
        </w:numPr>
        <w:ind w:firstLine="632"/>
      </w:pPr>
      <w:r>
        <w:rPr>
          <w:rFonts w:hint="eastAsia"/>
        </w:rPr>
        <w:t>按照抗旱预案及时落实各项保障措施；</w:t>
      </w:r>
    </w:p>
    <w:p w14:paraId="75160962">
      <w:pPr>
        <w:numPr>
          <w:ilvl w:val="0"/>
          <w:numId w:val="82"/>
        </w:numPr>
        <w:ind w:firstLine="632"/>
      </w:pPr>
      <w:r>
        <w:rPr>
          <w:rFonts w:hint="eastAsia"/>
        </w:rPr>
        <w:t>县防指派出工作组到一线检查督促抗旱工作；</w:t>
      </w:r>
    </w:p>
    <w:p w14:paraId="2BD815E9">
      <w:pPr>
        <w:numPr>
          <w:ilvl w:val="0"/>
          <w:numId w:val="82"/>
        </w:numPr>
        <w:ind w:firstLine="632"/>
      </w:pPr>
      <w:r>
        <w:rPr>
          <w:rFonts w:hint="eastAsia"/>
        </w:rPr>
        <w:t>加强抗旱水源管理和统一调度；</w:t>
      </w:r>
    </w:p>
    <w:p w14:paraId="51FEDE3B">
      <w:pPr>
        <w:numPr>
          <w:ilvl w:val="0"/>
          <w:numId w:val="82"/>
        </w:numPr>
        <w:ind w:firstLine="632"/>
      </w:pPr>
      <w:r>
        <w:rPr>
          <w:rFonts w:hint="eastAsia"/>
        </w:rPr>
        <w:t>开动所有水利设施灌溉供水；</w:t>
      </w:r>
    </w:p>
    <w:p w14:paraId="5184A31F">
      <w:pPr>
        <w:numPr>
          <w:ilvl w:val="0"/>
          <w:numId w:val="82"/>
        </w:numPr>
        <w:ind w:firstLine="632"/>
      </w:pPr>
      <w:r>
        <w:rPr>
          <w:rFonts w:hint="eastAsia"/>
        </w:rPr>
        <w:t>组织抗旱服务队和社会化抗旱组织向人畜饮水困难地区送水；</w:t>
      </w:r>
    </w:p>
    <w:p w14:paraId="10932495">
      <w:pPr>
        <w:numPr>
          <w:ilvl w:val="0"/>
          <w:numId w:val="82"/>
        </w:numPr>
        <w:ind w:firstLine="632"/>
      </w:pPr>
      <w:r>
        <w:rPr>
          <w:rFonts w:hint="eastAsia"/>
        </w:rPr>
        <w:t>使用再生水等非常规水源；</w:t>
      </w:r>
    </w:p>
    <w:p w14:paraId="7AE275B8">
      <w:pPr>
        <w:numPr>
          <w:ilvl w:val="0"/>
          <w:numId w:val="82"/>
        </w:numPr>
        <w:ind w:firstLine="632"/>
      </w:pPr>
      <w:r>
        <w:rPr>
          <w:rFonts w:hint="eastAsia"/>
        </w:rPr>
        <w:t>适时组织实施人工增雨作业。</w:t>
      </w:r>
    </w:p>
    <w:p w14:paraId="38E948B2">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响应终止</w:t>
      </w:r>
    </w:p>
    <w:p w14:paraId="74C6A2B8">
      <w:pPr>
        <w:ind w:firstLine="632"/>
      </w:pPr>
      <w:r>
        <w:rPr>
          <w:rFonts w:hint="eastAsia"/>
        </w:rPr>
        <w:t>当灾害已经或趋于结束时，由县防办提出响应终止建议，县防指常务副总指挥批准。响应结束后，有关部门和单位按职责分工，核实灾害损失和人员伤亡情况，并协助指导受灾地区做好灾后恢复重建工作。</w:t>
      </w:r>
    </w:p>
    <w:p w14:paraId="32103CB0">
      <w:pPr>
        <w:pStyle w:val="3"/>
      </w:pPr>
      <w:bookmarkStart w:id="308" w:name="_Toc6838"/>
      <w:r>
        <w:rPr>
          <w:rFonts w:hint="eastAsia"/>
        </w:rPr>
        <w:t>Ⅱ</w:t>
      </w:r>
      <w:r>
        <w:t>级响应</w:t>
      </w:r>
      <w:bookmarkEnd w:id="308"/>
    </w:p>
    <w:p w14:paraId="36271179">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启动条件</w:t>
      </w:r>
    </w:p>
    <w:p w14:paraId="41A3BE0D">
      <w:pPr>
        <w:ind w:firstLine="632"/>
      </w:pPr>
      <w:r>
        <w:t>当发生或预计发生符合下列条件之一的，经会商研判后启动</w:t>
      </w:r>
      <w:r>
        <w:rPr>
          <w:rFonts w:hint="eastAsia"/>
        </w:rPr>
        <w:t>Ⅱ</w:t>
      </w:r>
      <w:r>
        <w:t>级响应：</w:t>
      </w:r>
    </w:p>
    <w:p w14:paraId="429EBC5A">
      <w:pPr>
        <w:numPr>
          <w:ilvl w:val="0"/>
          <w:numId w:val="46"/>
        </w:numPr>
        <w:ind w:firstLineChars="0"/>
      </w:pPr>
      <w:r>
        <w:rPr>
          <w:rFonts w:hint="eastAsia"/>
        </w:rPr>
        <w:t>预判春季受旱面积占全省播种面积的比例达到35%至45%，发生中度春旱；</w:t>
      </w:r>
    </w:p>
    <w:p w14:paraId="7528D5A0">
      <w:pPr>
        <w:numPr>
          <w:ilvl w:val="0"/>
          <w:numId w:val="46"/>
        </w:numPr>
        <w:ind w:firstLineChars="0"/>
      </w:pPr>
      <w:r>
        <w:rPr>
          <w:rFonts w:hint="eastAsia"/>
        </w:rPr>
        <w:t>预判夏伏季受旱面积占全省播种面积的比例达到30%至40%，发生严重夏伏旱；</w:t>
      </w:r>
    </w:p>
    <w:p w14:paraId="11CD67F2">
      <w:pPr>
        <w:numPr>
          <w:ilvl w:val="0"/>
          <w:numId w:val="46"/>
        </w:numPr>
        <w:ind w:firstLineChars="0"/>
      </w:pPr>
      <w:r>
        <w:rPr>
          <w:rFonts w:hint="eastAsia"/>
        </w:rPr>
        <w:t>3个乡镇因旱影响城镇正常供水；</w:t>
      </w:r>
    </w:p>
    <w:p w14:paraId="11C6A8D0">
      <w:pPr>
        <w:numPr>
          <w:ilvl w:val="0"/>
          <w:numId w:val="46"/>
        </w:numPr>
        <w:ind w:firstLineChars="0"/>
      </w:pPr>
      <w:r>
        <w:rPr>
          <w:rFonts w:hint="eastAsia"/>
        </w:rPr>
        <w:t>其他需要启动Ⅱ级响应的情况。</w:t>
      </w:r>
    </w:p>
    <w:p w14:paraId="6B9B5801">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响应行动</w:t>
      </w:r>
    </w:p>
    <w:p w14:paraId="1C225B9B">
      <w:pPr>
        <w:numPr>
          <w:ilvl w:val="0"/>
          <w:numId w:val="47"/>
        </w:numPr>
        <w:ind w:firstLineChars="0"/>
      </w:pPr>
      <w:r>
        <w:rPr>
          <w:rFonts w:hint="eastAsia"/>
        </w:rPr>
        <w:t>安排部署。县防指总指挥组织指挥全县干旱灾害应对处置工作。根据需要，主持召开会商调度会，了解掌握旱情、灾情及重要工情等信息，研判抗旱形势，部署各地及成员单位加大对口支援抗旱工作力度。</w:t>
      </w:r>
    </w:p>
    <w:p w14:paraId="07C0CC8E">
      <w:pPr>
        <w:numPr>
          <w:ilvl w:val="0"/>
          <w:numId w:val="47"/>
        </w:numPr>
        <w:ind w:firstLineChars="0"/>
      </w:pPr>
      <w:r>
        <w:rPr>
          <w:rFonts w:hint="eastAsia"/>
        </w:rPr>
        <w:t>组织指挥。按照县防指总指挥安排，常务副总指挥（或县防指总指挥安排的其他县领导）带领工作组、专家组赶赴重旱区指导抗旱工作。</w:t>
      </w:r>
    </w:p>
    <w:p w14:paraId="155A5109">
      <w:pPr>
        <w:numPr>
          <w:ilvl w:val="0"/>
          <w:numId w:val="47"/>
        </w:numPr>
        <w:ind w:firstLineChars="0"/>
      </w:pPr>
      <w:r>
        <w:rPr>
          <w:rFonts w:hint="eastAsia"/>
        </w:rPr>
        <w:t>信息报送。县防指迅速将应急响应启动及抗旱救灾等情况报告市防汛抗旱指挥部、县委、县政府，并通报县防指各成员单位。</w:t>
      </w:r>
    </w:p>
    <w:p w14:paraId="1E850A80">
      <w:pPr>
        <w:numPr>
          <w:ilvl w:val="0"/>
          <w:numId w:val="47"/>
        </w:numPr>
        <w:ind w:firstLineChars="0"/>
      </w:pPr>
      <w:r>
        <w:rPr>
          <w:rFonts w:hint="eastAsia"/>
        </w:rPr>
        <w:t>值班值守。县防指强化值班，加强协调、督导事关全局的抗旱调度，并与相关区域加强视频会商，及时作出针对性安排布置。县防指各成员及联络员保持通信畅通，相关成员单位派员到县应急管理局值班，负责协调、处理、报告本单位相关工作。</w:t>
      </w:r>
    </w:p>
    <w:p w14:paraId="063A2F7B">
      <w:pPr>
        <w:numPr>
          <w:ilvl w:val="0"/>
          <w:numId w:val="47"/>
        </w:numPr>
        <w:ind w:firstLineChars="0"/>
      </w:pPr>
      <w:r>
        <w:rPr>
          <w:rFonts w:hint="eastAsia"/>
        </w:rPr>
        <w:t>舆论宣传。组织新闻媒体及时播报发布旱情灾情监测信息和指挥部公告等信息。视情组织协调新闻媒体赴灾区有序采访抗旱救灾工作，并做好正面宣传报道，正向引导舆论。县防指收集舆情信息，适时召开新闻发布会，回应关切。</w:t>
      </w:r>
    </w:p>
    <w:p w14:paraId="067D3E4B">
      <w:pPr>
        <w:numPr>
          <w:ilvl w:val="0"/>
          <w:numId w:val="47"/>
        </w:numPr>
        <w:ind w:firstLineChars="0"/>
      </w:pPr>
      <w:r>
        <w:rPr>
          <w:rFonts w:hint="eastAsia"/>
        </w:rPr>
        <w:t>社会动员。动员社会各方面力量参与抗旱救灾，引导群众开展自救互救工作。在紧急情况下，按照《中华人民共和国抗旱条例》等有关规定宣布进入紧急抗旱期，并行使相关权力、采取特殊措施，保障抗旱工作顺利实施。</w:t>
      </w:r>
    </w:p>
    <w:p w14:paraId="0EE6030D">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各成员单位响应行动</w:t>
      </w:r>
    </w:p>
    <w:p w14:paraId="7FFE41C1">
      <w:pPr>
        <w:ind w:firstLine="632"/>
      </w:pPr>
      <w:r>
        <w:rPr>
          <w:rFonts w:hint="eastAsia"/>
        </w:rPr>
        <w:t>县政府发出以启动全面抗旱措施为主的抗旱工作通知，各成员单位按全县统一部署，各司其职、各负其责投入抗旱救灾工作。</w:t>
      </w:r>
    </w:p>
    <w:p w14:paraId="37977F6C">
      <w:pPr>
        <w:numPr>
          <w:ilvl w:val="0"/>
          <w:numId w:val="83"/>
        </w:numPr>
        <w:ind w:firstLine="632"/>
      </w:pPr>
      <w:r>
        <w:rPr>
          <w:rFonts w:hint="eastAsia"/>
        </w:rPr>
        <w:t>加强行政首长对抗旱工作的组织领导；</w:t>
      </w:r>
    </w:p>
    <w:p w14:paraId="1CDE92EC">
      <w:pPr>
        <w:numPr>
          <w:ilvl w:val="0"/>
          <w:numId w:val="83"/>
        </w:numPr>
        <w:ind w:firstLine="632"/>
      </w:pPr>
      <w:r>
        <w:rPr>
          <w:rFonts w:hint="eastAsia"/>
        </w:rPr>
        <w:t>加密旱情灾情监测和趋势预报；</w:t>
      </w:r>
    </w:p>
    <w:p w14:paraId="22479C9E">
      <w:pPr>
        <w:numPr>
          <w:ilvl w:val="0"/>
          <w:numId w:val="83"/>
        </w:numPr>
        <w:ind w:firstLine="632"/>
      </w:pPr>
      <w:r>
        <w:rPr>
          <w:rFonts w:hint="eastAsia"/>
        </w:rPr>
        <w:t>及时按照抗旱预案组织实施抗旱措施；</w:t>
      </w:r>
    </w:p>
    <w:p w14:paraId="7266E533">
      <w:pPr>
        <w:numPr>
          <w:ilvl w:val="0"/>
          <w:numId w:val="83"/>
        </w:numPr>
        <w:ind w:firstLine="632"/>
      </w:pPr>
      <w:r>
        <w:rPr>
          <w:rFonts w:hint="eastAsia"/>
        </w:rPr>
        <w:t>实施受旱地方抗旱水源的统一管理和调度；</w:t>
      </w:r>
    </w:p>
    <w:p w14:paraId="320719E6">
      <w:pPr>
        <w:numPr>
          <w:ilvl w:val="0"/>
          <w:numId w:val="83"/>
        </w:numPr>
        <w:ind w:firstLine="632"/>
      </w:pPr>
      <w:r>
        <w:rPr>
          <w:rFonts w:hint="eastAsia"/>
        </w:rPr>
        <w:t>在确保人饮安全的前提下开动水利设施投入抗旱灌溉，大力推广应用节水灌溉新技术；</w:t>
      </w:r>
    </w:p>
    <w:p w14:paraId="290FA6BB">
      <w:pPr>
        <w:numPr>
          <w:ilvl w:val="0"/>
          <w:numId w:val="83"/>
        </w:numPr>
        <w:ind w:firstLine="632"/>
      </w:pPr>
      <w:r>
        <w:rPr>
          <w:rFonts w:hint="eastAsia"/>
        </w:rPr>
        <w:t>加强城乡节约用水管理和监督，压缩供水指标。限制高耗水行业用水；</w:t>
      </w:r>
    </w:p>
    <w:p w14:paraId="524023E7">
      <w:pPr>
        <w:numPr>
          <w:ilvl w:val="0"/>
          <w:numId w:val="83"/>
        </w:numPr>
        <w:ind w:firstLine="632"/>
      </w:pPr>
      <w:r>
        <w:rPr>
          <w:rFonts w:hint="eastAsia"/>
        </w:rPr>
        <w:t>抢修抗旱应急工程或增建临时抗旱设施，适时启动抗旱应急水源工程；</w:t>
      </w:r>
    </w:p>
    <w:p w14:paraId="600281D4">
      <w:pPr>
        <w:numPr>
          <w:ilvl w:val="0"/>
          <w:numId w:val="83"/>
        </w:numPr>
        <w:ind w:firstLine="632"/>
      </w:pPr>
      <w:r>
        <w:rPr>
          <w:rFonts w:hint="eastAsia"/>
        </w:rPr>
        <w:t>组织抗旱服务队和社会车辆为发生临时饮水困难的城乡居民送水解困；</w:t>
      </w:r>
    </w:p>
    <w:p w14:paraId="71DB8B22">
      <w:pPr>
        <w:numPr>
          <w:ilvl w:val="0"/>
          <w:numId w:val="83"/>
        </w:numPr>
        <w:ind w:firstLine="632"/>
      </w:pPr>
      <w:r>
        <w:rPr>
          <w:rFonts w:hint="eastAsia"/>
        </w:rPr>
        <w:t>随时掌握有利天气，适时实施人工增雨作业；⑩适时安排下拨抗旱应急资金。</w:t>
      </w:r>
    </w:p>
    <w:p w14:paraId="0C84039B">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响应终止</w:t>
      </w:r>
    </w:p>
    <w:p w14:paraId="48533155">
      <w:pPr>
        <w:ind w:firstLine="632"/>
      </w:pPr>
      <w:r>
        <w:rPr>
          <w:rFonts w:hint="eastAsia"/>
        </w:rPr>
        <w:t>当灾害已经或趋于结束时，由县防办提出响应终止建议，县防指总指挥批准。响应结束后，有关部门和单位按职责分工，核实灾害损失和人员伤亡情况，并协助指导受灾地区做好灾后恢复重建工作。</w:t>
      </w:r>
    </w:p>
    <w:p w14:paraId="7061E97F">
      <w:pPr>
        <w:pStyle w:val="3"/>
      </w:pPr>
      <w:bookmarkStart w:id="309" w:name="_Toc30046"/>
      <w:r>
        <w:rPr>
          <w:rFonts w:hint="eastAsia"/>
        </w:rPr>
        <w:t>Ⅰ</w:t>
      </w:r>
      <w:r>
        <w:t>级响应</w:t>
      </w:r>
      <w:bookmarkEnd w:id="309"/>
    </w:p>
    <w:p w14:paraId="498A6552">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启动条件</w:t>
      </w:r>
    </w:p>
    <w:p w14:paraId="4645694A">
      <w:pPr>
        <w:ind w:firstLine="632"/>
      </w:pPr>
      <w:r>
        <w:t>当发生或预计发生符合下列条件之一的，经会商研判后启动</w:t>
      </w:r>
      <w:r>
        <w:rPr>
          <w:rFonts w:hint="eastAsia"/>
        </w:rPr>
        <w:t>Ⅰ</w:t>
      </w:r>
      <w:r>
        <w:t>级响应：</w:t>
      </w:r>
    </w:p>
    <w:p w14:paraId="62729D1B">
      <w:pPr>
        <w:numPr>
          <w:ilvl w:val="0"/>
          <w:numId w:val="49"/>
        </w:numPr>
        <w:ind w:firstLineChars="0"/>
      </w:pPr>
      <w:r>
        <w:rPr>
          <w:rFonts w:hint="eastAsia"/>
        </w:rPr>
        <w:t>预判春季受旱面积占全省播种面积的比例达到45%，发生特大春旱；</w:t>
      </w:r>
    </w:p>
    <w:p w14:paraId="6EE373AA">
      <w:pPr>
        <w:numPr>
          <w:ilvl w:val="0"/>
          <w:numId w:val="49"/>
        </w:numPr>
        <w:ind w:firstLineChars="0"/>
      </w:pPr>
      <w:r>
        <w:rPr>
          <w:rFonts w:hint="eastAsia"/>
        </w:rPr>
        <w:t>预判夏伏季受旱面积占全省播种面积的比例达到40%，发生特大夏伏旱；</w:t>
      </w:r>
    </w:p>
    <w:p w14:paraId="40441F3A">
      <w:pPr>
        <w:numPr>
          <w:ilvl w:val="0"/>
          <w:numId w:val="49"/>
        </w:numPr>
        <w:ind w:firstLineChars="0"/>
      </w:pPr>
      <w:r>
        <w:rPr>
          <w:rFonts w:hint="eastAsia"/>
        </w:rPr>
        <w:t>全县因旱影响城镇正常供水；</w:t>
      </w:r>
    </w:p>
    <w:p w14:paraId="6EAA5820">
      <w:pPr>
        <w:numPr>
          <w:ilvl w:val="0"/>
          <w:numId w:val="49"/>
        </w:numPr>
        <w:ind w:firstLineChars="0"/>
      </w:pPr>
      <w:r>
        <w:rPr>
          <w:rFonts w:hint="eastAsia"/>
        </w:rPr>
        <w:t>其他需要启动Ⅰ级响应的情况。</w:t>
      </w:r>
    </w:p>
    <w:p w14:paraId="6F2C84A9">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响应行动</w:t>
      </w:r>
    </w:p>
    <w:p w14:paraId="1FE5CED6">
      <w:pPr>
        <w:numPr>
          <w:ilvl w:val="0"/>
          <w:numId w:val="50"/>
        </w:numPr>
        <w:ind w:firstLineChars="0"/>
      </w:pPr>
      <w:r>
        <w:rPr>
          <w:rFonts w:hint="eastAsia"/>
        </w:rPr>
        <w:t>安排部署。县防指总指挥组织指挥全县干旱灾害应对工作，根据需要，县防指总指挥组织召开全县紧急动员会，部署各地及成员单位做好抗旱救灾有关工作；召开会商调度会，了解掌握旱情、灾情及重要工情等信息，研判抗旱形势。</w:t>
      </w:r>
    </w:p>
    <w:p w14:paraId="5AB81CFA">
      <w:pPr>
        <w:numPr>
          <w:ilvl w:val="0"/>
          <w:numId w:val="50"/>
        </w:numPr>
        <w:ind w:firstLineChars="0"/>
      </w:pPr>
      <w:r>
        <w:rPr>
          <w:rFonts w:hint="eastAsia"/>
        </w:rPr>
        <w:t>组织指挥。县防指总指挥、常务副总指挥（或县防指总指挥安排的其他县领导）、副总指挥等梯次带领工作组、相应灾种的专家组赶赴重灾区检查指导和慰问受灾群众。</w:t>
      </w:r>
    </w:p>
    <w:p w14:paraId="180D5F5E">
      <w:pPr>
        <w:numPr>
          <w:ilvl w:val="0"/>
          <w:numId w:val="50"/>
        </w:numPr>
        <w:ind w:firstLineChars="0"/>
      </w:pPr>
      <w:r>
        <w:rPr>
          <w:rFonts w:hint="eastAsia"/>
        </w:rPr>
        <w:t>信息报送。县防指迅速将应急响应启动及抗旱救灾等情况报告市防汛抗旱指挥部、县委、县政府，并通报县防指各成员单位。视情请求市级层面在专家、队伍、装备和物资等方面给予支援。</w:t>
      </w:r>
    </w:p>
    <w:p w14:paraId="4E14244F">
      <w:pPr>
        <w:numPr>
          <w:ilvl w:val="0"/>
          <w:numId w:val="50"/>
        </w:numPr>
        <w:ind w:firstLineChars="0"/>
      </w:pPr>
      <w:r>
        <w:rPr>
          <w:rFonts w:hint="eastAsia"/>
        </w:rPr>
        <w:t>值班值守。县防指成立联席值班室，加强协调、督导事关全局的抗旱调度，并与相关区域加强视频会商，及时作出针对性安排布置。县防指各成员及联络员保持通信畅通，相关成员单位主要负责同志到县抗旱办参与联合值守，并派驻联络员24小时驻守，负责协调、处理、报告本单位相关工作。</w:t>
      </w:r>
    </w:p>
    <w:p w14:paraId="1B4C346F">
      <w:pPr>
        <w:numPr>
          <w:ilvl w:val="0"/>
          <w:numId w:val="50"/>
        </w:numPr>
        <w:ind w:firstLineChars="0"/>
      </w:pPr>
      <w:r>
        <w:rPr>
          <w:rFonts w:hint="eastAsia"/>
        </w:rPr>
        <w:t>舆论宣传。组织新闻媒体和基础电信运营商及时播报发布暴雨、洪水和指挥部公告等信息。组织协调新闻媒体赴灾区有序采访抗旱救灾工作，并做好正面宣传报道，正向引导舆论县防指收集舆情信息，适时召开新闻发布会，回应关切。</w:t>
      </w:r>
    </w:p>
    <w:p w14:paraId="4EA1B054">
      <w:pPr>
        <w:numPr>
          <w:ilvl w:val="0"/>
          <w:numId w:val="50"/>
        </w:numPr>
        <w:ind w:firstLineChars="0"/>
      </w:pPr>
      <w:r>
        <w:rPr>
          <w:rFonts w:hint="eastAsia"/>
        </w:rPr>
        <w:t>社会动员。动员社会各方面力量全力做好防大</w:t>
      </w:r>
      <w:r>
        <w:t>灾</w:t>
      </w:r>
      <w:r>
        <w:rPr>
          <w:rFonts w:hint="eastAsia"/>
        </w:rPr>
        <w:t>、救大灾工作，发动群众开展自救互救工作。在紧急情况下，《中华人民共和国</w:t>
      </w:r>
      <w:r>
        <w:t>抗旱</w:t>
      </w:r>
      <w:r>
        <w:rPr>
          <w:rFonts w:hint="eastAsia"/>
        </w:rPr>
        <w:t>条例》等有关规定宣布进入紧急抗旱期，并行使相关权力、采取特殊措施，保障抗旱工作顺利实施。</w:t>
      </w:r>
    </w:p>
    <w:p w14:paraId="2396C302">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各成员单位响应行动</w:t>
      </w:r>
    </w:p>
    <w:p w14:paraId="1B2E5C45">
      <w:pPr>
        <w:ind w:firstLine="632"/>
      </w:pPr>
      <w:r>
        <w:t>县委、县政府联合发出以启动防救结合措施为主的抗旱工作通知，县</w:t>
      </w:r>
      <w:r>
        <w:rPr>
          <w:rFonts w:hint="eastAsia"/>
        </w:rPr>
        <w:t>防指加强抗旱应急水源、抗旱物资调度，</w:t>
      </w:r>
      <w:r>
        <w:t>县</w:t>
      </w:r>
      <w:r>
        <w:rPr>
          <w:rFonts w:hint="eastAsia"/>
        </w:rPr>
        <w:t>财政局紧急下拨抗旱救灾资金，</w:t>
      </w:r>
      <w:r>
        <w:t>县</w:t>
      </w:r>
      <w:r>
        <w:rPr>
          <w:rFonts w:hint="eastAsia"/>
        </w:rPr>
        <w:t>民政局及时救助符合条件的受灾群众，</w:t>
      </w:r>
      <w:r>
        <w:t>县</w:t>
      </w:r>
      <w:r>
        <w:rPr>
          <w:rFonts w:hint="eastAsia"/>
        </w:rPr>
        <w:t>防指其他成员单位按照职责全力支援受旱灾区，做好抗旱工作</w:t>
      </w:r>
      <w:r>
        <w:t>：</w:t>
      </w:r>
    </w:p>
    <w:p w14:paraId="18735003">
      <w:pPr>
        <w:numPr>
          <w:ilvl w:val="0"/>
          <w:numId w:val="51"/>
        </w:numPr>
        <w:ind w:firstLineChars="0"/>
      </w:pPr>
      <w:r>
        <w:rPr>
          <w:rFonts w:hint="eastAsia"/>
        </w:rPr>
        <w:t>加强党委、政府对抗旱工作的组织领导；</w:t>
      </w:r>
    </w:p>
    <w:p w14:paraId="60D96575">
      <w:pPr>
        <w:numPr>
          <w:ilvl w:val="0"/>
          <w:numId w:val="51"/>
        </w:numPr>
        <w:ind w:firstLineChars="0"/>
      </w:pPr>
      <w:r>
        <w:rPr>
          <w:rFonts w:hint="eastAsia"/>
        </w:rPr>
        <w:t>加密监测旱情灾情，及时发布抗旱救灾信息；</w:t>
      </w:r>
    </w:p>
    <w:p w14:paraId="23A5CDCA">
      <w:pPr>
        <w:numPr>
          <w:ilvl w:val="0"/>
          <w:numId w:val="51"/>
        </w:numPr>
        <w:ind w:firstLineChars="0"/>
      </w:pPr>
      <w:r>
        <w:rPr>
          <w:rFonts w:hint="eastAsia"/>
        </w:rPr>
        <w:t>实施受旱地区抗旱水源科学调度和用水管理；</w:t>
      </w:r>
    </w:p>
    <w:p w14:paraId="18BA76CE">
      <w:pPr>
        <w:numPr>
          <w:ilvl w:val="0"/>
          <w:numId w:val="51"/>
        </w:numPr>
        <w:ind w:firstLineChars="0"/>
      </w:pPr>
      <w:r>
        <w:rPr>
          <w:rFonts w:hint="eastAsia"/>
        </w:rPr>
        <w:t>及时启动抗旱应急备用水源，减少农业供水范围或者减少农业供水量；</w:t>
      </w:r>
    </w:p>
    <w:p w14:paraId="7E6F80C2">
      <w:pPr>
        <w:numPr>
          <w:ilvl w:val="0"/>
          <w:numId w:val="51"/>
        </w:numPr>
        <w:ind w:firstLineChars="0"/>
      </w:pPr>
      <w:r>
        <w:rPr>
          <w:rFonts w:hint="eastAsia"/>
        </w:rPr>
        <w:t>按照抗旱预案规定，修建临时坝、堰、泵站、中浅井等小型应急水源工程设施挖掘水源潜力；</w:t>
      </w:r>
    </w:p>
    <w:p w14:paraId="7E034492">
      <w:pPr>
        <w:numPr>
          <w:ilvl w:val="0"/>
          <w:numId w:val="51"/>
        </w:numPr>
        <w:ind w:firstLineChars="0"/>
      </w:pPr>
      <w:r>
        <w:rPr>
          <w:rFonts w:hint="eastAsia"/>
        </w:rPr>
        <w:t>加强城乡节约用水管理和监督，暂停高耗水行业用水，限时或限量供应城镇居民生活用水；</w:t>
      </w:r>
    </w:p>
    <w:p w14:paraId="6BB4ED2A">
      <w:pPr>
        <w:numPr>
          <w:ilvl w:val="0"/>
          <w:numId w:val="51"/>
        </w:numPr>
        <w:ind w:firstLineChars="0"/>
      </w:pPr>
      <w:r>
        <w:rPr>
          <w:rFonts w:hint="eastAsia"/>
        </w:rPr>
        <w:t>全面组织动员抗旱服务队和社会力量为发生临时饮水困难的城乡居民送水解困；</w:t>
      </w:r>
    </w:p>
    <w:p w14:paraId="5F798384">
      <w:pPr>
        <w:numPr>
          <w:ilvl w:val="0"/>
          <w:numId w:val="51"/>
        </w:numPr>
        <w:ind w:firstLineChars="0"/>
      </w:pPr>
      <w:r>
        <w:rPr>
          <w:rFonts w:hint="eastAsia"/>
        </w:rPr>
        <w:t>随时掌握有利天气，适时实施人工增雨作业；</w:t>
      </w:r>
    </w:p>
    <w:p w14:paraId="09DDF182">
      <w:pPr>
        <w:numPr>
          <w:ilvl w:val="0"/>
          <w:numId w:val="51"/>
        </w:numPr>
        <w:ind w:firstLineChars="0"/>
      </w:pPr>
      <w:r>
        <w:rPr>
          <w:rFonts w:hint="eastAsia"/>
        </w:rPr>
        <w:t>紧急安排抗旱应急和救灾安置资金；</w:t>
      </w:r>
    </w:p>
    <w:p w14:paraId="689AAAE0">
      <w:pPr>
        <w:numPr>
          <w:ilvl w:val="0"/>
          <w:numId w:val="51"/>
        </w:numPr>
        <w:ind w:firstLineChars="0"/>
      </w:pPr>
      <w:r>
        <w:rPr>
          <w:rFonts w:hint="eastAsia"/>
        </w:rPr>
        <w:t>组织饮水困难、送水不便的灾区居民临时向供水有保障地区转移；</w:t>
      </w:r>
    </w:p>
    <w:p w14:paraId="70D170C2">
      <w:pPr>
        <w:numPr>
          <w:ilvl w:val="0"/>
          <w:numId w:val="51"/>
        </w:numPr>
        <w:ind w:firstLineChars="0"/>
      </w:pPr>
      <w:r>
        <w:rPr>
          <w:rFonts w:hint="eastAsia"/>
        </w:rPr>
        <w:t>加强防灾减灾宣传，强化居民节水意识，正确引导舆论导向，确保灾区社会稳定。</w:t>
      </w:r>
    </w:p>
    <w:p w14:paraId="08B37279">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响应终止</w:t>
      </w:r>
    </w:p>
    <w:p w14:paraId="530B65AD">
      <w:pPr>
        <w:ind w:firstLine="632"/>
      </w:pPr>
      <w:r>
        <w:rPr>
          <w:rFonts w:hint="eastAsia"/>
        </w:rPr>
        <w:t>当灾害已经或趋于结束时，由县防办提出响应终止建议，县防指总指挥报告县委主要领导同意后批准。响应结束后，有关部门和单位按职责分工，核实灾害损失和人员伤亡情况，并协助指导受灾地区做好灾后恢复重建工作。</w:t>
      </w:r>
    </w:p>
    <w:p w14:paraId="2184820D">
      <w:pPr>
        <w:pStyle w:val="3"/>
      </w:pPr>
      <w:bookmarkStart w:id="310" w:name="_Toc20168"/>
      <w:r>
        <w:t>应急处置</w:t>
      </w:r>
      <w:bookmarkEnd w:id="310"/>
    </w:p>
    <w:p w14:paraId="5F8F592F">
      <w:pPr>
        <w:ind w:firstLine="632"/>
      </w:pPr>
      <w:r>
        <w:rPr>
          <w:rFonts w:hint="eastAsia"/>
        </w:rPr>
        <w:t>县防指根据本县实际情况，按轻度、中度、严重、特大4个干旱灾害等级，制定相应的应急抗旱措施，并负责组织抗旱工作。</w:t>
      </w:r>
    </w:p>
    <w:p w14:paraId="675E0929">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轻度干旱</w:t>
      </w:r>
    </w:p>
    <w:p w14:paraId="77487641">
      <w:pPr>
        <w:numPr>
          <w:ilvl w:val="0"/>
          <w:numId w:val="84"/>
        </w:numPr>
        <w:ind w:firstLine="632"/>
      </w:pPr>
      <w:r>
        <w:rPr>
          <w:rFonts w:hint="eastAsia"/>
        </w:rPr>
        <w:t>有关部门及时做好旱情监测、预报工作。</w:t>
      </w:r>
    </w:p>
    <w:p w14:paraId="6C630A2A">
      <w:pPr>
        <w:numPr>
          <w:ilvl w:val="0"/>
          <w:numId w:val="84"/>
        </w:numPr>
        <w:ind w:firstLine="632"/>
      </w:pPr>
      <w:r>
        <w:rPr>
          <w:rFonts w:hint="eastAsia"/>
        </w:rPr>
        <w:t>及时掌握旱情变化情况，分析了解社会各方面的用水需求。</w:t>
      </w:r>
    </w:p>
    <w:p w14:paraId="6B9E2CD3">
      <w:pPr>
        <w:numPr>
          <w:ilvl w:val="0"/>
          <w:numId w:val="84"/>
        </w:numPr>
        <w:ind w:firstLine="632"/>
      </w:pPr>
      <w:r>
        <w:rPr>
          <w:rFonts w:hint="eastAsia"/>
        </w:rPr>
        <w:t>协调有关部门做好抗旱水源的管理调度工作。</w:t>
      </w:r>
    </w:p>
    <w:p w14:paraId="5D8E37C6">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中度干旱</w:t>
      </w:r>
    </w:p>
    <w:p w14:paraId="37BB60E0">
      <w:pPr>
        <w:numPr>
          <w:ilvl w:val="0"/>
          <w:numId w:val="85"/>
        </w:numPr>
        <w:ind w:firstLine="632"/>
      </w:pPr>
      <w:r>
        <w:rPr>
          <w:rFonts w:hint="eastAsia"/>
        </w:rPr>
        <w:t>有关部门加强旱情监测，密切注视旱情的发展情况，及时向防指报告旱情信息和抗旱情况。</w:t>
      </w:r>
    </w:p>
    <w:p w14:paraId="3311BDAE">
      <w:pPr>
        <w:numPr>
          <w:ilvl w:val="0"/>
          <w:numId w:val="85"/>
        </w:numPr>
        <w:ind w:firstLine="632"/>
      </w:pPr>
      <w:r>
        <w:rPr>
          <w:rFonts w:hint="eastAsia"/>
        </w:rPr>
        <w:t>防指加强会商，分析研判旱情发展变化趋势，及时分析预测水量供求变化形势。</w:t>
      </w:r>
    </w:p>
    <w:p w14:paraId="041F86E2">
      <w:pPr>
        <w:numPr>
          <w:ilvl w:val="0"/>
          <w:numId w:val="85"/>
        </w:numPr>
        <w:ind w:firstLine="632"/>
      </w:pPr>
      <w:r>
        <w:rPr>
          <w:rFonts w:hint="eastAsia"/>
        </w:rPr>
        <w:t>及时上报、通报旱情信息和抗旱情况。</w:t>
      </w:r>
    </w:p>
    <w:p w14:paraId="1DCFE05D">
      <w:pPr>
        <w:numPr>
          <w:ilvl w:val="0"/>
          <w:numId w:val="85"/>
        </w:numPr>
        <w:ind w:firstLine="632"/>
      </w:pPr>
      <w:r>
        <w:rPr>
          <w:rFonts w:hint="eastAsia"/>
        </w:rPr>
        <w:t>关注水量供求变化，组织做好抗旱调度。</w:t>
      </w:r>
    </w:p>
    <w:p w14:paraId="791E44C8">
      <w:pPr>
        <w:numPr>
          <w:ilvl w:val="0"/>
          <w:numId w:val="85"/>
        </w:numPr>
        <w:ind w:firstLine="632"/>
      </w:pPr>
      <w:r>
        <w:rPr>
          <w:rFonts w:hint="eastAsia"/>
        </w:rPr>
        <w:t>根据旱情发展趋势，动员部署抗旱工作。</w:t>
      </w:r>
    </w:p>
    <w:p w14:paraId="7F71046F">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严重干旱</w:t>
      </w:r>
    </w:p>
    <w:p w14:paraId="4D1CC855">
      <w:pPr>
        <w:numPr>
          <w:ilvl w:val="0"/>
          <w:numId w:val="86"/>
        </w:numPr>
        <w:ind w:firstLine="632"/>
      </w:pPr>
      <w:r>
        <w:rPr>
          <w:rFonts w:hint="eastAsia"/>
        </w:rPr>
        <w:t>有关部门加强旱情监测和分析预报工作，及时向防指报告旱情灾情及其发展变化趋势，及时通报旱情信息和抗旱情况。</w:t>
      </w:r>
    </w:p>
    <w:p w14:paraId="2F3BD3D8">
      <w:pPr>
        <w:numPr>
          <w:ilvl w:val="0"/>
          <w:numId w:val="86"/>
        </w:numPr>
        <w:ind w:firstLine="632"/>
      </w:pPr>
      <w:r>
        <w:rPr>
          <w:rFonts w:hint="eastAsia"/>
        </w:rPr>
        <w:t>防指及时组织抗旱会商，研究部署抗旱工作。</w:t>
      </w:r>
    </w:p>
    <w:p w14:paraId="54CBF4C8">
      <w:pPr>
        <w:numPr>
          <w:ilvl w:val="0"/>
          <w:numId w:val="86"/>
        </w:numPr>
        <w:ind w:firstLine="632"/>
      </w:pPr>
      <w:r>
        <w:rPr>
          <w:rFonts w:hint="eastAsia"/>
        </w:rPr>
        <w:t>相关部门适时启动配套抗旱预案，并报上级防指备案。</w:t>
      </w:r>
    </w:p>
    <w:p w14:paraId="5E8F5EEF">
      <w:pPr>
        <w:numPr>
          <w:ilvl w:val="0"/>
          <w:numId w:val="86"/>
        </w:numPr>
        <w:ind w:firstLine="632"/>
      </w:pPr>
      <w:r>
        <w:rPr>
          <w:rFonts w:hint="eastAsia"/>
        </w:rPr>
        <w:t>督促防指各成员单位落实抗旱职责，做好抗旱水源的统一管理和调度，落实应急抗旱资金和抗旱物资。</w:t>
      </w:r>
    </w:p>
    <w:p w14:paraId="46412D1E">
      <w:pPr>
        <w:numPr>
          <w:ilvl w:val="0"/>
          <w:numId w:val="86"/>
        </w:numPr>
        <w:ind w:firstLine="632"/>
      </w:pPr>
      <w:r>
        <w:rPr>
          <w:rFonts w:hint="eastAsia"/>
        </w:rPr>
        <w:t>做好抗旱工作的宣传。</w:t>
      </w:r>
    </w:p>
    <w:p w14:paraId="006845B3">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特大干旱</w:t>
      </w:r>
    </w:p>
    <w:p w14:paraId="714D67B2">
      <w:pPr>
        <w:numPr>
          <w:ilvl w:val="0"/>
          <w:numId w:val="87"/>
        </w:numPr>
        <w:ind w:firstLine="632"/>
      </w:pPr>
      <w:r>
        <w:rPr>
          <w:rFonts w:hint="eastAsia"/>
        </w:rPr>
        <w:t>强化地方行政首长抗旱责任制，确保城乡居民生活和重点企业用水安全，维护灾区社会稳定。</w:t>
      </w:r>
    </w:p>
    <w:p w14:paraId="5FE4514B">
      <w:pPr>
        <w:numPr>
          <w:ilvl w:val="0"/>
          <w:numId w:val="87"/>
        </w:numPr>
        <w:ind w:firstLine="632"/>
      </w:pPr>
      <w:r>
        <w:rPr>
          <w:rFonts w:hint="eastAsia"/>
        </w:rPr>
        <w:t>防指强化抗旱工作的统一指挥和组织协调，加强会商。水务部门强化抗旱水源的科学调度和用水管理。各有关部门按照防指的统一指挥部署，协调联动，全面做好抗旱工作。</w:t>
      </w:r>
    </w:p>
    <w:p w14:paraId="69F11A3E">
      <w:pPr>
        <w:numPr>
          <w:ilvl w:val="0"/>
          <w:numId w:val="87"/>
        </w:numPr>
        <w:ind w:firstLine="632"/>
      </w:pPr>
      <w:r>
        <w:rPr>
          <w:rFonts w:hint="eastAsia"/>
        </w:rPr>
        <w:t>必要时，经县级人民政府批准，县防指依法宣布进入紧急抗旱期，启动各项特殊应急抗旱措施，如应急开源、应急限水、应急调水、应急送水，条件允许实时开展人工增雨等。</w:t>
      </w:r>
    </w:p>
    <w:p w14:paraId="2D12DC21">
      <w:pPr>
        <w:numPr>
          <w:ilvl w:val="0"/>
          <w:numId w:val="87"/>
        </w:numPr>
        <w:ind w:firstLine="632"/>
      </w:pPr>
      <w:r>
        <w:rPr>
          <w:rFonts w:hint="eastAsia"/>
        </w:rPr>
        <w:t>水务、农业农社区等有关部门及时向防指和应急管理部门报告旱情、灾情及抗旱工作；防指加强会商，密切跟踪旱情灾情发展变化趋势及抗旱工作情况，及时分析旱情灾情对经济社会发展的影响，适时向社会发布旱灾信息。</w:t>
      </w:r>
    </w:p>
    <w:p w14:paraId="7092FFD7">
      <w:pPr>
        <w:numPr>
          <w:ilvl w:val="0"/>
          <w:numId w:val="87"/>
        </w:numPr>
        <w:ind w:firstLine="632"/>
      </w:pPr>
      <w:r>
        <w:rPr>
          <w:rFonts w:hint="eastAsia"/>
        </w:rPr>
        <w:t>及时动员社会各方面力量支援抗旱救灾工作。</w:t>
      </w:r>
    </w:p>
    <w:p w14:paraId="1CD1DC33">
      <w:pPr>
        <w:numPr>
          <w:ilvl w:val="0"/>
          <w:numId w:val="87"/>
        </w:numPr>
        <w:ind w:firstLine="632"/>
      </w:pPr>
      <w:r>
        <w:rPr>
          <w:rFonts w:hint="eastAsia"/>
        </w:rPr>
        <w:t>加强抗旱工作宣传。</w:t>
      </w:r>
    </w:p>
    <w:p w14:paraId="1EEE6B3E">
      <w:pPr>
        <w:pStyle w:val="3"/>
      </w:pPr>
      <w:bookmarkStart w:id="311" w:name="_Toc28436"/>
      <w:r>
        <w:rPr>
          <w:rFonts w:hint="eastAsia"/>
        </w:rPr>
        <w:t>常规措施</w:t>
      </w:r>
      <w:bookmarkEnd w:id="311"/>
    </w:p>
    <w:p w14:paraId="0F7AC490">
      <w:pPr>
        <w:ind w:firstLine="632"/>
      </w:pPr>
      <w:r>
        <w:rPr>
          <w:rFonts w:hint="eastAsia"/>
        </w:rPr>
        <w:t>利用工程增加抗旱水源。干旱期间，各地通过打抗旱井、修建二级提水泵站、架设临时提水泵站、修建临时截流工程、修建固定储水罐、依法启用企业备用井、动用城市备用水源等措施，努力增加抗旱水源。使用再生水、退水等非常规水源。适时组织实施人工增雨作业。</w:t>
      </w:r>
    </w:p>
    <w:p w14:paraId="1A9160DD">
      <w:pPr>
        <w:ind w:firstLine="632"/>
      </w:pPr>
      <w:r>
        <w:rPr>
          <w:rFonts w:hint="eastAsia"/>
        </w:rPr>
        <w:t>采取紧急时期限水。农业干旱采取压缩用水定额措施，缩小农业供水范围或者减少农业供水量，维持作物不死苗；必要时限制或者暂停洗浴、洗车等高耗水行业，限制或者暂停排放工业污水，限时或者限量供应城镇居民生活用水措施，渡过缺水难关。组织向人畜饮水困难地区运水送水。</w:t>
      </w:r>
    </w:p>
    <w:p w14:paraId="3907EDEE">
      <w:pPr>
        <w:ind w:firstLine="632"/>
      </w:pPr>
      <w:r>
        <w:rPr>
          <w:rFonts w:hint="eastAsia"/>
        </w:rPr>
        <w:t>全县发生较大以上级别干旱或部分乡镇、社区发生重大以上级别干旱时，县防指协调统一调度全县抗旱队伍，通过赴旱区打井、架设临时引提水设施、流动浇地、租赁设备等方式，支援干旱地区的抗旱工作。</w:t>
      </w:r>
    </w:p>
    <w:p w14:paraId="5F9FCC5A">
      <w:pPr>
        <w:pStyle w:val="3"/>
      </w:pPr>
      <w:bookmarkStart w:id="312" w:name="_Toc3719"/>
      <w:r>
        <w:rPr>
          <w:rFonts w:hint="eastAsia"/>
        </w:rPr>
        <w:t>调水措施</w:t>
      </w:r>
      <w:bookmarkEnd w:id="312"/>
    </w:p>
    <w:p w14:paraId="3C219008">
      <w:pPr>
        <w:ind w:firstLine="632"/>
      </w:pPr>
      <w:r>
        <w:rPr>
          <w:rFonts w:hint="eastAsia"/>
        </w:rPr>
        <w:t>抗旱应急调水工作由县水务局统一组织协调，县交通运输局、县住房和城乡建设局、县公安局、县电力公司等部门配合，水工程管理单位负责具体实施。其他需要抗旱应急调水的参照执行。</w:t>
      </w:r>
    </w:p>
    <w:p w14:paraId="13701D57">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调水设施</w:t>
      </w:r>
    </w:p>
    <w:p w14:paraId="4BB5968A">
      <w:pPr>
        <w:ind w:firstLine="632"/>
      </w:pPr>
      <w:r>
        <w:rPr>
          <w:rFonts w:hint="eastAsia"/>
        </w:rPr>
        <w:t>抗旱应急调水工作由县防指统一组织协调，县水务局负责具体实施。其他需要抗旱应急调水的，由受旱地县防指向县防指提出申请，县防指协调相关部门开展具体调水工作。</w:t>
      </w:r>
    </w:p>
    <w:p w14:paraId="2822266F">
      <w:pPr>
        <w:pStyle w:val="4"/>
        <w:numPr>
          <w:ilvl w:val="2"/>
          <w:numId w:val="75"/>
        </w:numPr>
        <w:tabs>
          <w:tab w:val="left" w:pos="0"/>
        </w:tabs>
        <w:rPr>
          <w:rFonts w:ascii="仿宋_GB2312" w:hAnsi="仿宋_GB2312" w:eastAsia="仿宋_GB2312" w:cs="仿宋_GB2312"/>
          <w:szCs w:val="32"/>
        </w:rPr>
      </w:pPr>
      <w:r>
        <w:rPr>
          <w:rFonts w:hint="eastAsia" w:ascii="仿宋_GB2312" w:hAnsi="仿宋_GB2312" w:eastAsia="仿宋_GB2312" w:cs="仿宋_GB2312"/>
          <w:szCs w:val="32"/>
        </w:rPr>
        <w:t>外部调水</w:t>
      </w:r>
    </w:p>
    <w:p w14:paraId="3E7BBA60">
      <w:pPr>
        <w:ind w:firstLine="632"/>
      </w:pPr>
      <w:r>
        <w:rPr>
          <w:rFonts w:hint="eastAsia"/>
        </w:rPr>
        <w:t>当启动Ⅱ级应急响应时，由集贤县向市防指提出调水申请，请市防指协调水库依据旱灾情况加大下泄流量缓解下游沿岸乡镇、社区的旱情。</w:t>
      </w:r>
    </w:p>
    <w:p w14:paraId="04FC3A76">
      <w:pPr>
        <w:ind w:firstLine="632"/>
      </w:pPr>
      <w:r>
        <w:rPr>
          <w:rFonts w:hint="eastAsia"/>
        </w:rPr>
        <w:t>当启动I级应急响应时，由集贤县向市防指提出调水申请，请市防指协调相关水库继续加大下泄流量，尽可能保证下游受旱地区的用水需求，减少经济损失。</w:t>
      </w:r>
    </w:p>
    <w:p w14:paraId="5E3B0A86">
      <w:pPr>
        <w:pStyle w:val="4"/>
        <w:numPr>
          <w:ilvl w:val="2"/>
          <w:numId w:val="75"/>
        </w:numPr>
        <w:tabs>
          <w:tab w:val="left" w:pos="0"/>
        </w:tabs>
        <w:rPr>
          <w:rFonts w:ascii="仿宋_GB2312" w:hAnsi="仿宋_GB2312" w:eastAsia="仿宋_GB2312" w:cs="仿宋_GB2312"/>
          <w:szCs w:val="32"/>
        </w:rPr>
      </w:pPr>
      <w:r>
        <w:rPr>
          <w:rFonts w:hint="eastAsia" w:ascii="仿宋_GB2312" w:hAnsi="仿宋_GB2312" w:eastAsia="仿宋_GB2312" w:cs="仿宋_GB2312"/>
          <w:szCs w:val="32"/>
        </w:rPr>
        <w:t>内部调水</w:t>
      </w:r>
    </w:p>
    <w:p w14:paraId="10E7C4B0">
      <w:pPr>
        <w:ind w:firstLine="632"/>
      </w:pPr>
      <w:r>
        <w:rPr>
          <w:rFonts w:hint="eastAsia"/>
        </w:rPr>
        <w:t>当集贤县干旱时，备用水库应根据《水库调度规程》在保证本水库最低预留库容的前提下立即联合向集贤县供水；如若水源充足，可向其他干旱地区供水。</w:t>
      </w:r>
    </w:p>
    <w:p w14:paraId="06A1C747">
      <w:pPr>
        <w:pStyle w:val="4"/>
        <w:numPr>
          <w:ilvl w:val="2"/>
          <w:numId w:val="75"/>
        </w:numPr>
        <w:tabs>
          <w:tab w:val="left" w:pos="0"/>
        </w:tabs>
        <w:rPr>
          <w:rFonts w:ascii="仿宋_GB2312" w:hAnsi="仿宋_GB2312" w:eastAsia="仿宋_GB2312" w:cs="仿宋_GB2312"/>
          <w:szCs w:val="32"/>
        </w:rPr>
      </w:pPr>
      <w:r>
        <w:rPr>
          <w:rFonts w:hint="eastAsia" w:ascii="仿宋_GB2312" w:hAnsi="仿宋_GB2312" w:eastAsia="仿宋_GB2312" w:cs="仿宋_GB2312"/>
          <w:szCs w:val="32"/>
        </w:rPr>
        <w:t>江河调水</w:t>
      </w:r>
    </w:p>
    <w:p w14:paraId="350611AE">
      <w:pPr>
        <w:ind w:firstLine="632"/>
      </w:pPr>
      <w:r>
        <w:rPr>
          <w:rFonts w:hint="eastAsia"/>
        </w:rPr>
        <w:t>当乡镇、社区发生重大旱情时，库坝蓄水严重不足，将严重影响集贤县今年的春耕生产，县防指集中调度全县抗旱服务队伍，通过架设临时提水设施、流动浇地、租赁设备等方式，服务机制上应实行跨河取水。</w:t>
      </w:r>
    </w:p>
    <w:p w14:paraId="74C2F3A0">
      <w:pPr>
        <w:pStyle w:val="3"/>
      </w:pPr>
      <w:bookmarkStart w:id="313" w:name="_Toc23901"/>
      <w:r>
        <w:rPr>
          <w:rFonts w:hint="eastAsia"/>
        </w:rPr>
        <w:t>供水危机</w:t>
      </w:r>
      <w:bookmarkEnd w:id="313"/>
    </w:p>
    <w:p w14:paraId="08BC7B21">
      <w:pPr>
        <w:numPr>
          <w:ilvl w:val="0"/>
          <w:numId w:val="88"/>
        </w:numPr>
        <w:ind w:firstLine="632"/>
      </w:pPr>
      <w:r>
        <w:rPr>
          <w:rFonts w:hint="eastAsia"/>
        </w:rPr>
        <w:t>当发生供水危机时，有关防指指导和督促有关部门采取有效措施，做好应急供水工作，最大程度保证城乡居民生活和重点单位用水安全。</w:t>
      </w:r>
    </w:p>
    <w:p w14:paraId="5C80E1DA">
      <w:pPr>
        <w:numPr>
          <w:ilvl w:val="0"/>
          <w:numId w:val="88"/>
        </w:numPr>
        <w:ind w:firstLine="632"/>
      </w:pPr>
      <w:r>
        <w:rPr>
          <w:rFonts w:hint="eastAsia"/>
        </w:rPr>
        <w:t>针对供水危机出现的原因，组织有关部门采取措施尽快恢复供水水源，保障供水量和水质正常。</w:t>
      </w:r>
    </w:p>
    <w:p w14:paraId="55D2E454">
      <w:pPr>
        <w:pStyle w:val="3"/>
      </w:pPr>
      <w:bookmarkStart w:id="314" w:name="_Toc7871"/>
      <w:r>
        <w:t>信息报送和处理</w:t>
      </w:r>
      <w:bookmarkEnd w:id="314"/>
    </w:p>
    <w:p w14:paraId="051DF746">
      <w:pPr>
        <w:numPr>
          <w:ilvl w:val="0"/>
          <w:numId w:val="59"/>
        </w:numPr>
        <w:ind w:firstLineChars="0"/>
      </w:pPr>
      <w:r>
        <w:rPr>
          <w:rFonts w:hint="eastAsia"/>
        </w:rPr>
        <w:t xml:space="preserve">旱情、灾情及抢险救援行动等抗旱信息由县防指统一核准，实行分级上报，归口处理，同级防指成员单位信息共享。行业主管部门上报县防指和上级主管部门的信息和数据必须确保口径一致，要对数据的真实性、准确性、关联性全面负责。 </w:t>
      </w:r>
    </w:p>
    <w:p w14:paraId="32C2B2F3">
      <w:pPr>
        <w:numPr>
          <w:ilvl w:val="0"/>
          <w:numId w:val="59"/>
        </w:numPr>
        <w:ind w:firstLineChars="0"/>
      </w:pPr>
      <w:r>
        <w:rPr>
          <w:rFonts w:hint="eastAsia"/>
        </w:rPr>
        <w:t xml:space="preserve">抗旱信息的报送按“快报事实、慎报原因、续报详情”的原则上报，因客观原因一时难以准确掌握的信息，应及时报告基本情况，同时抓紧了解情况，后续根据突发险情灾情发展过程和应急处置情况，及时进行续报，直至险情排除、灾情稳定或结束。紧急情况下，可以采用电话或其他方式直接报告县防指。抗旱信息不得迟报、谎报、瞒报和漏报。 </w:t>
      </w:r>
    </w:p>
    <w:p w14:paraId="0F3C97FD">
      <w:pPr>
        <w:numPr>
          <w:ilvl w:val="0"/>
          <w:numId w:val="59"/>
        </w:numPr>
        <w:ind w:firstLineChars="0"/>
      </w:pPr>
      <w:r>
        <w:rPr>
          <w:rFonts w:hint="eastAsia"/>
        </w:rPr>
        <w:t xml:space="preserve">属轻度旱情、灾情及抢险救援等信息，按照分管权限，报送本级防指负责处理。凡因险情、灾情较重，按照分管权限一时难以处理，需上级帮助、指导处理的，经本级防指负责人审批后，可向上级防指和水务、应急部门报告。 </w:t>
      </w:r>
    </w:p>
    <w:p w14:paraId="6272CE52">
      <w:pPr>
        <w:numPr>
          <w:ilvl w:val="0"/>
          <w:numId w:val="59"/>
        </w:numPr>
        <w:ind w:firstLineChars="0"/>
      </w:pPr>
      <w:r>
        <w:t>凡经本级或上级防指采用和发布的</w:t>
      </w:r>
      <w:r>
        <w:rPr>
          <w:rFonts w:hint="eastAsia"/>
        </w:rPr>
        <w:t>干旱灾害</w:t>
      </w:r>
      <w:r>
        <w:t>信息，</w:t>
      </w:r>
      <w:r>
        <w:rPr>
          <w:rFonts w:hint="eastAsia"/>
        </w:rPr>
        <w:t>县</w:t>
      </w:r>
      <w:r>
        <w:t>水务、应急管理等有关部门应立即核查，对存在的问题，及时采取措施，切实加以解决。重大</w:t>
      </w:r>
      <w:r>
        <w:rPr>
          <w:rFonts w:hint="eastAsia"/>
        </w:rPr>
        <w:t>灾</w:t>
      </w:r>
      <w:r>
        <w:t>情及影响范围、处置措施等关键信息，必须严格按照</w:t>
      </w:r>
      <w:r>
        <w:rPr>
          <w:rFonts w:hint="eastAsia"/>
        </w:rPr>
        <w:t>市</w:t>
      </w:r>
      <w:r>
        <w:t>防指、</w:t>
      </w:r>
      <w:r>
        <w:rPr>
          <w:rFonts w:hint="eastAsia"/>
        </w:rPr>
        <w:t>县</w:t>
      </w:r>
      <w:r>
        <w:t>委</w:t>
      </w:r>
      <w:r>
        <w:rPr>
          <w:rFonts w:hint="eastAsia"/>
        </w:rPr>
        <w:t>县</w:t>
      </w:r>
      <w:r>
        <w:t>政府和</w:t>
      </w:r>
      <w:r>
        <w:rPr>
          <w:rFonts w:hint="eastAsia"/>
        </w:rPr>
        <w:t>县</w:t>
      </w:r>
      <w:r>
        <w:t>防指相关规定和灾害统计报告制度报送，不得虚报、瞒报、漏报、迟报。发生特别严重的</w:t>
      </w:r>
      <w:r>
        <w:rPr>
          <w:rFonts w:hint="eastAsia"/>
        </w:rPr>
        <w:t>旱情</w:t>
      </w:r>
      <w:r>
        <w:t>时，立即报告</w:t>
      </w:r>
      <w:r>
        <w:rPr>
          <w:rFonts w:hint="eastAsia"/>
        </w:rPr>
        <w:t>县</w:t>
      </w:r>
      <w:r>
        <w:t>防指。</w:t>
      </w:r>
      <w:r>
        <w:rPr>
          <w:rFonts w:hint="eastAsia"/>
        </w:rPr>
        <w:t>县</w:t>
      </w:r>
      <w:r>
        <w:t>防指核实后立即报告</w:t>
      </w:r>
      <w:r>
        <w:rPr>
          <w:rFonts w:hint="eastAsia"/>
        </w:rPr>
        <w:t>县</w:t>
      </w:r>
      <w:r>
        <w:t>委</w:t>
      </w:r>
      <w:r>
        <w:rPr>
          <w:rFonts w:hint="eastAsia"/>
        </w:rPr>
        <w:t>县</w:t>
      </w:r>
      <w:r>
        <w:t>政府和</w:t>
      </w:r>
      <w:r>
        <w:rPr>
          <w:rFonts w:hint="eastAsia"/>
        </w:rPr>
        <w:t>市</w:t>
      </w:r>
      <w:r>
        <w:t>防指，并及时续报。</w:t>
      </w:r>
    </w:p>
    <w:p w14:paraId="3284DD8E">
      <w:pPr>
        <w:pStyle w:val="3"/>
      </w:pPr>
      <w:bookmarkStart w:id="315" w:name="_Toc28827"/>
      <w:r>
        <w:t>指挥和调度</w:t>
      </w:r>
      <w:bookmarkEnd w:id="315"/>
    </w:p>
    <w:p w14:paraId="2210748D">
      <w:pPr>
        <w:ind w:firstLine="632"/>
      </w:pPr>
      <w:r>
        <w:rPr>
          <w:rFonts w:hint="eastAsia"/>
        </w:rPr>
        <w:t>抗旱</w:t>
      </w:r>
      <w:r>
        <w:t>工作实行各级人民政府行政首长负责制，实行统一指挥、分级分部门负责，组织、动员、调度本地区各有关单位和个人参加</w:t>
      </w:r>
      <w:r>
        <w:rPr>
          <w:rFonts w:hint="eastAsia"/>
        </w:rPr>
        <w:t>抗旱救灾</w:t>
      </w:r>
      <w:r>
        <w:t>，按照权限调度</w:t>
      </w:r>
      <w:r>
        <w:rPr>
          <w:rFonts w:hint="eastAsia"/>
        </w:rPr>
        <w:t>水利</w:t>
      </w:r>
      <w:r>
        <w:t>工程。</w:t>
      </w:r>
    </w:p>
    <w:p w14:paraId="0967A986">
      <w:pPr>
        <w:numPr>
          <w:ilvl w:val="0"/>
          <w:numId w:val="60"/>
        </w:numPr>
        <w:ind w:firstLineChars="0"/>
      </w:pPr>
      <w:r>
        <w:t>出现</w:t>
      </w:r>
      <w:r>
        <w:rPr>
          <w:rFonts w:hint="eastAsia"/>
        </w:rPr>
        <w:t>干旱灾害</w:t>
      </w:r>
      <w:r>
        <w:t>后，</w:t>
      </w:r>
      <w:r>
        <w:rPr>
          <w:rFonts w:hint="eastAsia"/>
        </w:rPr>
        <w:t>受旱</w:t>
      </w:r>
      <w:r>
        <w:t>乡</w:t>
      </w:r>
      <w:r>
        <w:rPr>
          <w:rFonts w:hint="eastAsia"/>
        </w:rPr>
        <w:t>镇防汛抗旱指挥机构</w:t>
      </w:r>
      <w:r>
        <w:t>应立即启动应急预案。在采取紧急措施的同时，向</w:t>
      </w:r>
      <w:r>
        <w:rPr>
          <w:rFonts w:hint="eastAsia"/>
        </w:rPr>
        <w:t>上一级</w:t>
      </w:r>
      <w:r>
        <w:t>防指报告。根据现场情况，及时收集、掌握相关信息，判明事件性质和危害程度，并及时上报事态发展变化情况。</w:t>
      </w:r>
    </w:p>
    <w:p w14:paraId="2F4DA58E">
      <w:pPr>
        <w:numPr>
          <w:ilvl w:val="0"/>
          <w:numId w:val="60"/>
        </w:numPr>
        <w:ind w:firstLineChars="0"/>
      </w:pPr>
      <w:r>
        <w:rPr>
          <w:rFonts w:hint="eastAsia"/>
        </w:rPr>
        <w:t>受旱乡镇防汛抗旱指挥机构负责人</w:t>
      </w:r>
      <w:r>
        <w:t>应迅速上岗到位，分析事件的性质，预测事态发展趋势和可能造成的危害程度，并按规定的处置程序，组织指挥有关部门和单位按照任务分工，迅速采取处置措施，控制事态发展。</w:t>
      </w:r>
    </w:p>
    <w:p w14:paraId="74A36F98">
      <w:pPr>
        <w:numPr>
          <w:ilvl w:val="0"/>
          <w:numId w:val="60"/>
        </w:numPr>
        <w:ind w:firstLineChars="0"/>
      </w:pPr>
      <w:r>
        <w:t>发生中度</w:t>
      </w:r>
      <w:r>
        <w:rPr>
          <w:rFonts w:hint="eastAsia"/>
        </w:rPr>
        <w:t>及以上干旱灾害后</w:t>
      </w:r>
      <w:r>
        <w:t>，</w:t>
      </w:r>
      <w:r>
        <w:rPr>
          <w:rFonts w:hint="eastAsia"/>
        </w:rPr>
        <w:t>上级</w:t>
      </w:r>
      <w:r>
        <w:t>防指应派出由有关负责同志带队的工作组赶赴现场，加强指导。</w:t>
      </w:r>
    </w:p>
    <w:p w14:paraId="165F9E77">
      <w:pPr>
        <w:pStyle w:val="3"/>
      </w:pPr>
      <w:bookmarkStart w:id="316" w:name="_Toc6635"/>
      <w:r>
        <w:t>社会力量动员与参与</w:t>
      </w:r>
      <w:bookmarkEnd w:id="316"/>
    </w:p>
    <w:p w14:paraId="34A28AE3">
      <w:pPr>
        <w:numPr>
          <w:ilvl w:val="0"/>
          <w:numId w:val="63"/>
        </w:numPr>
        <w:ind w:firstLineChars="0"/>
      </w:pPr>
      <w:r>
        <w:t>出现</w:t>
      </w:r>
      <w:r>
        <w:rPr>
          <w:rFonts w:hint="eastAsia"/>
        </w:rPr>
        <w:t>干旱灾害</w:t>
      </w:r>
      <w:r>
        <w:t>后，事发地防指可根据事件的性质和危害程度，报经</w:t>
      </w:r>
      <w:r>
        <w:rPr>
          <w:rFonts w:hint="eastAsia"/>
        </w:rPr>
        <w:t>县</w:t>
      </w:r>
      <w:r>
        <w:t>人民政府批准，对重点地区和重点部位实施紧急控制，防止事态及其危害进一步扩大。</w:t>
      </w:r>
    </w:p>
    <w:p w14:paraId="666B23B2">
      <w:pPr>
        <w:numPr>
          <w:ilvl w:val="0"/>
          <w:numId w:val="63"/>
        </w:numPr>
        <w:ind w:firstLineChars="0"/>
      </w:pPr>
      <w:r>
        <w:t>必要时可通过</w:t>
      </w:r>
      <w:r>
        <w:rPr>
          <w:rFonts w:hint="eastAsia"/>
        </w:rPr>
        <w:t>县</w:t>
      </w:r>
      <w:r>
        <w:t>人民政府广泛调动社会力量积极参与应急突发事件处置，紧急情况下可依法征用、调用交通工具、物资、人员等，全力投入抗旱救灾。</w:t>
      </w:r>
    </w:p>
    <w:p w14:paraId="0BEEF24B">
      <w:pPr>
        <w:pStyle w:val="3"/>
      </w:pPr>
      <w:bookmarkStart w:id="317" w:name="_Toc24187"/>
      <w:r>
        <w:t>信息发布</w:t>
      </w:r>
      <w:bookmarkEnd w:id="317"/>
    </w:p>
    <w:p w14:paraId="0C68D530">
      <w:pPr>
        <w:numPr>
          <w:ilvl w:val="0"/>
          <w:numId w:val="64"/>
        </w:numPr>
        <w:ind w:firstLineChars="0"/>
      </w:pPr>
      <w:r>
        <w:rPr>
          <w:rFonts w:hint="eastAsia"/>
        </w:rPr>
        <w:t>抗旱</w:t>
      </w:r>
      <w:r>
        <w:t>信息发布应当及时、准确、客观、全面。对雨情、</w:t>
      </w:r>
      <w:r>
        <w:rPr>
          <w:rFonts w:hint="eastAsia"/>
        </w:rPr>
        <w:t>旱情</w:t>
      </w:r>
      <w:r>
        <w:t>、灾情描述要科学严谨，未经论证不得使用“千年一遇”“万年一遇”等用语，在</w:t>
      </w:r>
      <w:r>
        <w:rPr>
          <w:rFonts w:hint="eastAsia"/>
        </w:rPr>
        <w:t>抗旱救灾</w:t>
      </w:r>
      <w:r>
        <w:t>中也不得使用“战时状态”等表述。</w:t>
      </w:r>
    </w:p>
    <w:p w14:paraId="6C545229">
      <w:pPr>
        <w:numPr>
          <w:ilvl w:val="0"/>
          <w:numId w:val="64"/>
        </w:numPr>
        <w:ind w:firstLineChars="0"/>
      </w:pPr>
      <w:r>
        <w:rPr>
          <w:rFonts w:hint="eastAsia"/>
        </w:rPr>
        <w:t>抗旱</w:t>
      </w:r>
      <w:r>
        <w:t>及抢险救灾等信息，由县防指审核和发布；涉及灾情的，由</w:t>
      </w:r>
      <w:r>
        <w:rPr>
          <w:rFonts w:hint="eastAsia"/>
        </w:rPr>
        <w:t>县应急管理局</w:t>
      </w:r>
      <w:r>
        <w:t>审核和发布；涉及军队的，由军队有关部门审核和发布。</w:t>
      </w:r>
    </w:p>
    <w:p w14:paraId="32F80C88">
      <w:pPr>
        <w:numPr>
          <w:ilvl w:val="0"/>
          <w:numId w:val="64"/>
        </w:numPr>
        <w:ind w:firstLineChars="0"/>
      </w:pPr>
      <w:r>
        <w:t>信息发布形式主要包括授权发布、编发新闻稿、组织报道、接受记者采访、举行新闻发布会等。</w:t>
      </w:r>
    </w:p>
    <w:p w14:paraId="2D86F007">
      <w:pPr>
        <w:pStyle w:val="2"/>
        <w:numPr>
          <w:ilvl w:val="0"/>
          <w:numId w:val="75"/>
        </w:numPr>
        <w:tabs>
          <w:tab w:val="left" w:pos="0"/>
        </w:tabs>
        <w:rPr>
          <w:sz w:val="32"/>
          <w:szCs w:val="32"/>
        </w:rPr>
      </w:pPr>
      <w:bookmarkStart w:id="318" w:name="_Toc14271"/>
      <w:r>
        <w:rPr>
          <w:sz w:val="32"/>
          <w:szCs w:val="32"/>
        </w:rPr>
        <w:t>应急保障</w:t>
      </w:r>
      <w:bookmarkEnd w:id="318"/>
    </w:p>
    <w:p w14:paraId="36FBEA81">
      <w:pPr>
        <w:pStyle w:val="3"/>
      </w:pPr>
      <w:bookmarkStart w:id="319" w:name="_Toc15821"/>
      <w:r>
        <w:t>通信与信息保障</w:t>
      </w:r>
      <w:bookmarkEnd w:id="319"/>
    </w:p>
    <w:p w14:paraId="415A90D5">
      <w:pPr>
        <w:numPr>
          <w:ilvl w:val="0"/>
          <w:numId w:val="89"/>
        </w:numPr>
        <w:ind w:firstLine="632"/>
      </w:pPr>
      <w:r>
        <w:t>干旱灾害发生后，</w:t>
      </w:r>
      <w:r>
        <w:rPr>
          <w:rFonts w:hint="eastAsia"/>
        </w:rPr>
        <w:t>各级</w:t>
      </w:r>
      <w:r>
        <w:t>防汛抗旱指挥</w:t>
      </w:r>
      <w:r>
        <w:rPr>
          <w:rFonts w:hint="eastAsia"/>
        </w:rPr>
        <w:t>机构要</w:t>
      </w:r>
      <w:r>
        <w:t>立即恢复抗旱值班制度。</w:t>
      </w:r>
      <w:r>
        <w:rPr>
          <w:rFonts w:hint="eastAsia"/>
        </w:rPr>
        <w:t>启动Ⅰ级、Ⅱ级应急响应时，</w:t>
      </w:r>
      <w:r>
        <w:t>实行</w:t>
      </w:r>
      <w:r>
        <w:rPr>
          <w:rFonts w:hint="eastAsia"/>
        </w:rPr>
        <w:t>24小时</w:t>
      </w:r>
      <w:r>
        <w:t>值班。</w:t>
      </w:r>
    </w:p>
    <w:p w14:paraId="20610957">
      <w:pPr>
        <w:numPr>
          <w:ilvl w:val="0"/>
          <w:numId w:val="89"/>
        </w:numPr>
        <w:ind w:firstLine="632"/>
      </w:pPr>
      <w:r>
        <w:t>开通防汛</w:t>
      </w:r>
      <w:r>
        <w:rPr>
          <w:rFonts w:hint="eastAsia"/>
        </w:rPr>
        <w:t>抗旱通信</w:t>
      </w:r>
      <w:r>
        <w:t>和旱情监测网络，实现纵、横向联络畅通，及时、准确监测报告旱情信息及旱情动态。</w:t>
      </w:r>
    </w:p>
    <w:p w14:paraId="5F9D6887">
      <w:pPr>
        <w:numPr>
          <w:ilvl w:val="0"/>
          <w:numId w:val="89"/>
        </w:numPr>
        <w:ind w:firstLine="632"/>
      </w:pPr>
      <w:r>
        <w:rPr>
          <w:rFonts w:hint="eastAsia"/>
        </w:rPr>
        <w:t>水务</w:t>
      </w:r>
      <w:r>
        <w:t>、气象、</w:t>
      </w:r>
      <w:r>
        <w:rPr>
          <w:rFonts w:hint="eastAsia"/>
        </w:rPr>
        <w:t>水文、</w:t>
      </w:r>
      <w:r>
        <w:t>农业</w:t>
      </w:r>
      <w:r>
        <w:rPr>
          <w:rFonts w:hint="eastAsia"/>
        </w:rPr>
        <w:t>农社区</w:t>
      </w:r>
      <w:r>
        <w:t>等部门加强对雨</w:t>
      </w:r>
      <w:r>
        <w:rPr>
          <w:rFonts w:hint="eastAsia"/>
        </w:rPr>
        <w:t>情</w:t>
      </w:r>
      <w:r>
        <w:t>、水</w:t>
      </w:r>
      <w:r>
        <w:rPr>
          <w:rFonts w:hint="eastAsia"/>
        </w:rPr>
        <w:t>情</w:t>
      </w:r>
      <w:r>
        <w:t>、墒</w:t>
      </w:r>
      <w:r>
        <w:rPr>
          <w:rFonts w:hint="eastAsia"/>
        </w:rPr>
        <w:t>情</w:t>
      </w:r>
      <w:r>
        <w:t>、苗</w:t>
      </w:r>
      <w:r>
        <w:rPr>
          <w:rFonts w:hint="eastAsia"/>
        </w:rPr>
        <w:t>情</w:t>
      </w:r>
      <w:r>
        <w:t>、</w:t>
      </w:r>
      <w:r>
        <w:rPr>
          <w:rFonts w:hint="eastAsia"/>
        </w:rPr>
        <w:t>城市</w:t>
      </w:r>
      <w:r>
        <w:t>供水等旱情信息监测，</w:t>
      </w:r>
      <w:r>
        <w:rPr>
          <w:rFonts w:hint="eastAsia"/>
        </w:rPr>
        <w:t>县防指</w:t>
      </w:r>
      <w:r>
        <w:t>负责发布和上报。</w:t>
      </w:r>
    </w:p>
    <w:p w14:paraId="69C34E12">
      <w:pPr>
        <w:pStyle w:val="3"/>
      </w:pPr>
      <w:bookmarkStart w:id="320" w:name="_Toc8707"/>
      <w:r>
        <w:t>应急支援与装备保障</w:t>
      </w:r>
      <w:bookmarkEnd w:id="320"/>
    </w:p>
    <w:p w14:paraId="71A83EE6">
      <w:pPr>
        <w:numPr>
          <w:ilvl w:val="0"/>
          <w:numId w:val="67"/>
        </w:numPr>
        <w:ind w:firstLineChars="0"/>
      </w:pPr>
      <w:r>
        <w:rPr>
          <w:rFonts w:hint="eastAsia"/>
        </w:rPr>
        <w:t>县水务局负责开展全县范围抗旱救灾工作，各级抗旱组织主动开展本辖区范围内的抗旱救灾工作。</w:t>
      </w:r>
    </w:p>
    <w:p w14:paraId="1459A05A">
      <w:pPr>
        <w:numPr>
          <w:ilvl w:val="0"/>
          <w:numId w:val="67"/>
        </w:numPr>
        <w:ind w:firstLineChars="0"/>
      </w:pPr>
      <w:r>
        <w:rPr>
          <w:rFonts w:hint="eastAsia"/>
        </w:rPr>
        <w:t>救灾人员进入受威胁现场前，应采取防护措施以保证自身安全。当现场受到污染时，应按照要求为救灾人员配备防护设施，撤离时应进行消毒、去污处理。事发地防指应按照当地政府和上级防指的指令，及时发布通告，防止人、畜进入危险区域或饮用被污染的水源。出现旱灾后，事发地政府和防指应组织卫生健康部门加强对受影响地区的疾病和突发公共卫生事件的监测。</w:t>
      </w:r>
    </w:p>
    <w:p w14:paraId="7DEBD4BE">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供电保障</w:t>
      </w:r>
    </w:p>
    <w:p w14:paraId="06CA80FA">
      <w:pPr>
        <w:ind w:firstLine="632"/>
      </w:pPr>
      <w:r>
        <w:rPr>
          <w:rFonts w:hint="eastAsia"/>
        </w:rPr>
        <w:t>国网供电集贤分公司</w:t>
      </w:r>
      <w:r>
        <w:t>主要负责</w:t>
      </w:r>
      <w:r>
        <w:rPr>
          <w:rFonts w:hint="eastAsia"/>
        </w:rPr>
        <w:t>抗旱</w:t>
      </w:r>
      <w:r>
        <w:t>指挥机构、通信单位、安置点、应急避难场所等方面的供电保障和应急救援现场的临时供电。</w:t>
      </w:r>
    </w:p>
    <w:p w14:paraId="5C563FF7">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交通运输保障</w:t>
      </w:r>
    </w:p>
    <w:p w14:paraId="389D433A">
      <w:pPr>
        <w:ind w:firstLine="632"/>
      </w:pPr>
      <w:r>
        <w:rPr>
          <w:rFonts w:hint="eastAsia"/>
        </w:rPr>
        <w:t>县</w:t>
      </w:r>
      <w:r>
        <w:t>交通运输</w:t>
      </w:r>
      <w:r>
        <w:rPr>
          <w:rFonts w:hint="eastAsia"/>
        </w:rPr>
        <w:t>局</w:t>
      </w:r>
      <w:r>
        <w:t>主要负责优先保证</w:t>
      </w:r>
      <w:r>
        <w:rPr>
          <w:rFonts w:hint="eastAsia"/>
        </w:rPr>
        <w:t>抗旱</w:t>
      </w:r>
      <w:r>
        <w:t>抢险人员、</w:t>
      </w:r>
      <w:r>
        <w:rPr>
          <w:rFonts w:hint="eastAsia"/>
        </w:rPr>
        <w:t>抗旱</w:t>
      </w:r>
      <w:r>
        <w:t>救灾物资运输；负责群众安全转移所需车辆的调配；负责</w:t>
      </w:r>
      <w:r>
        <w:rPr>
          <w:rFonts w:hint="eastAsia"/>
        </w:rPr>
        <w:t>旱灾</w:t>
      </w:r>
      <w:r>
        <w:t>用于抢险、救灾车辆的及时调配。</w:t>
      </w:r>
    </w:p>
    <w:p w14:paraId="1EE33F7B">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治安保障</w:t>
      </w:r>
    </w:p>
    <w:p w14:paraId="1629733E">
      <w:pPr>
        <w:ind w:firstLine="632"/>
      </w:pPr>
      <w:r>
        <w:rPr>
          <w:rFonts w:hint="eastAsia"/>
        </w:rPr>
        <w:t>县</w:t>
      </w:r>
      <w:r>
        <w:t>公安</w:t>
      </w:r>
      <w:r>
        <w:rPr>
          <w:rFonts w:hint="eastAsia"/>
        </w:rPr>
        <w:t>局</w:t>
      </w:r>
      <w:r>
        <w:t>依法做好</w:t>
      </w:r>
      <w:r>
        <w:rPr>
          <w:rFonts w:hint="eastAsia"/>
        </w:rPr>
        <w:t>旱</w:t>
      </w:r>
      <w:r>
        <w:t>区治安管理、交通秩序维护工作，维护</w:t>
      </w:r>
      <w:r>
        <w:rPr>
          <w:rFonts w:hint="eastAsia"/>
        </w:rPr>
        <w:t>旱区</w:t>
      </w:r>
      <w:r>
        <w:t>社会秩序，保证</w:t>
      </w:r>
      <w:r>
        <w:rPr>
          <w:rFonts w:hint="eastAsia"/>
        </w:rPr>
        <w:t>抗旱</w:t>
      </w:r>
      <w:r>
        <w:t>救灾顺利进行。</w:t>
      </w:r>
    </w:p>
    <w:p w14:paraId="72A3453B">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物资保障</w:t>
      </w:r>
    </w:p>
    <w:p w14:paraId="703430E2">
      <w:pPr>
        <w:ind w:firstLine="632"/>
        <w:rPr>
          <w:rFonts w:ascii="仿宋_GB2312" w:hAnsi="仿宋_GB2312" w:cs="仿宋_GB2312"/>
        </w:rPr>
      </w:pPr>
      <w:r>
        <w:rPr>
          <w:rFonts w:hint="eastAsia" w:ascii="仿宋_GB2312" w:hAnsi="仿宋_GB2312" w:cs="仿宋_GB2312"/>
        </w:rPr>
        <w:t>县财政、应急等部门应按国家有关规定依照各自职责，加强衔接配合，做好抗旱物资规划计划、资金保障、储备管理、调拨使用等工作，优化收储轮换及日常管理，提高物资使用效率。</w:t>
      </w:r>
    </w:p>
    <w:p w14:paraId="5383D798">
      <w:pPr>
        <w:pStyle w:val="5"/>
        <w:numPr>
          <w:ilvl w:val="3"/>
          <w:numId w:val="75"/>
        </w:numPr>
      </w:pPr>
      <w:r>
        <w:rPr>
          <w:rFonts w:hint="eastAsia"/>
        </w:rPr>
        <w:t>物资储备</w:t>
      </w:r>
    </w:p>
    <w:p w14:paraId="4723F9A5">
      <w:pPr>
        <w:numPr>
          <w:ilvl w:val="0"/>
          <w:numId w:val="69"/>
        </w:numPr>
        <w:ind w:firstLine="632"/>
        <w:rPr>
          <w:rFonts w:ascii="仿宋_GB2312" w:hAnsi="仿宋_GB2312" w:cs="仿宋_GB2312"/>
        </w:rPr>
      </w:pPr>
      <w:r>
        <w:rPr>
          <w:rFonts w:hint="eastAsia" w:ascii="仿宋_GB2312" w:hAnsi="仿宋_GB2312" w:cs="仿宋_GB2312"/>
        </w:rPr>
        <w:t>重点水利工程管理单位以及受旱灾威胁的其他单位应按规范储备抗旱物资。县、乡镇防指以及有关防指成员单位要做好应急抢险物资储备和保障有关工作，了解掌握新材料、新设备、新技术、新工艺的更新换代情况，及时调整储备物资品种，提高科技含量。</w:t>
      </w:r>
    </w:p>
    <w:p w14:paraId="328346AF">
      <w:pPr>
        <w:numPr>
          <w:ilvl w:val="0"/>
          <w:numId w:val="69"/>
        </w:numPr>
        <w:ind w:firstLine="632"/>
        <w:rPr>
          <w:rFonts w:ascii="仿宋_GB2312" w:hAnsi="仿宋_GB2312" w:cs="仿宋_GB2312"/>
        </w:rPr>
      </w:pPr>
      <w:r>
        <w:rPr>
          <w:rFonts w:hint="eastAsia" w:ascii="仿宋_GB2312" w:hAnsi="仿宋_GB2312" w:cs="仿宋_GB2312"/>
        </w:rPr>
        <w:t>县级抗旱物资主要用于解决遭受重大及以上干旱灾害地区抗旱抢险应急物资不足，保障抗旱设施、抗旱救灾需要。</w:t>
      </w:r>
    </w:p>
    <w:p w14:paraId="3A7EF9C5">
      <w:pPr>
        <w:numPr>
          <w:ilvl w:val="0"/>
          <w:numId w:val="69"/>
        </w:numPr>
        <w:ind w:firstLine="632"/>
        <w:rPr>
          <w:rFonts w:ascii="仿宋_GB2312" w:hAnsi="仿宋_GB2312" w:cs="仿宋_GB2312"/>
        </w:rPr>
      </w:pPr>
      <w:r>
        <w:rPr>
          <w:rFonts w:hint="eastAsia" w:ascii="仿宋_GB2312" w:hAnsi="仿宋_GB2312" w:cs="仿宋_GB2312"/>
        </w:rPr>
        <w:t>干旱灾害频繁发生地区可通过政府购买服务方式解决空中、水上应急抢险救援大型设备（装备）需求，承接主体应当具有国家相关专业资质。</w:t>
      </w:r>
    </w:p>
    <w:p w14:paraId="140AAFF7">
      <w:pPr>
        <w:numPr>
          <w:ilvl w:val="0"/>
          <w:numId w:val="69"/>
        </w:numPr>
        <w:ind w:firstLine="632"/>
        <w:rPr>
          <w:rFonts w:ascii="仿宋_GB2312" w:hAnsi="仿宋_GB2312" w:cs="仿宋_GB2312"/>
        </w:rPr>
      </w:pPr>
      <w:r>
        <w:rPr>
          <w:rFonts w:hint="eastAsia" w:ascii="仿宋_GB2312" w:hAnsi="仿宋_GB2312" w:cs="仿宋_GB2312"/>
        </w:rPr>
        <w:t>县、乡镇防指根据规范储备的抗旱抢险物资品种和数量，结合本地抗旱救灾具体情况确定。</w:t>
      </w:r>
    </w:p>
    <w:p w14:paraId="648D4C67">
      <w:pPr>
        <w:pStyle w:val="5"/>
        <w:numPr>
          <w:ilvl w:val="3"/>
          <w:numId w:val="75"/>
        </w:numPr>
      </w:pPr>
      <w:r>
        <w:rPr>
          <w:rFonts w:hint="eastAsia"/>
        </w:rPr>
        <w:t>物资调拨</w:t>
      </w:r>
    </w:p>
    <w:p w14:paraId="08461096">
      <w:pPr>
        <w:numPr>
          <w:ilvl w:val="0"/>
          <w:numId w:val="70"/>
        </w:numPr>
        <w:ind w:firstLine="632"/>
        <w:rPr>
          <w:rFonts w:ascii="仿宋_GB2312" w:hAnsi="仿宋_GB2312" w:cs="仿宋_GB2312"/>
        </w:rPr>
      </w:pPr>
      <w:r>
        <w:rPr>
          <w:rFonts w:hint="eastAsia" w:ascii="仿宋_GB2312" w:hAnsi="仿宋_GB2312" w:cs="仿宋_GB2312"/>
        </w:rPr>
        <w:t>县级抗旱物资调拨在坚持就近调拨和保证抢险需求的同时，应优先调用周边仓库接近储备年限的物资，尽量避免或减少物资报废。当有多处申请调用县级抗旱物资时，应优先保证重点地区的抗旱应急物资需求。</w:t>
      </w:r>
    </w:p>
    <w:p w14:paraId="5A371E98">
      <w:pPr>
        <w:numPr>
          <w:ilvl w:val="0"/>
          <w:numId w:val="70"/>
        </w:numPr>
        <w:ind w:firstLine="632"/>
        <w:rPr>
          <w:rFonts w:ascii="仿宋_GB2312" w:hAnsi="仿宋_GB2312" w:cs="仿宋_GB2312"/>
        </w:rPr>
      </w:pPr>
      <w:r>
        <w:rPr>
          <w:rFonts w:hint="eastAsia" w:ascii="仿宋_GB2312" w:hAnsi="仿宋_GB2312" w:cs="仿宋_GB2312"/>
        </w:rPr>
        <w:t>县级抗旱物资调拨程序：由乡镇级防指向县防指提出申请，经批准后，由县防办下达调令。</w:t>
      </w:r>
    </w:p>
    <w:p w14:paraId="5E6D4774">
      <w:pPr>
        <w:numPr>
          <w:ilvl w:val="0"/>
          <w:numId w:val="70"/>
        </w:numPr>
        <w:ind w:firstLine="632"/>
        <w:rPr>
          <w:rFonts w:ascii="仿宋_GB2312" w:hAnsi="仿宋_GB2312" w:cs="仿宋_GB2312"/>
        </w:rPr>
      </w:pPr>
      <w:r>
        <w:rPr>
          <w:rFonts w:hint="eastAsia" w:ascii="仿宋_GB2312" w:hAnsi="仿宋_GB2312" w:cs="仿宋_GB2312"/>
        </w:rPr>
        <w:t>当储备物资消耗过多，不能满足抗旱救灾需要时，应及时启动抗旱物资生产流程和生产能力储备，紧急调运、生产所需物资，必要时可向社会公开征集。</w:t>
      </w:r>
    </w:p>
    <w:p w14:paraId="6A7903A5">
      <w:pPr>
        <w:numPr>
          <w:ilvl w:val="0"/>
          <w:numId w:val="70"/>
        </w:numPr>
        <w:ind w:firstLine="632"/>
        <w:rPr>
          <w:rFonts w:ascii="仿宋_GB2312" w:hAnsi="仿宋_GB2312" w:cs="仿宋_GB2312"/>
        </w:rPr>
      </w:pPr>
      <w:r>
        <w:rPr>
          <w:rFonts w:hint="eastAsia" w:ascii="仿宋_GB2312" w:hAnsi="仿宋_GB2312" w:cs="仿宋_GB2312"/>
        </w:rPr>
        <w:t>需要调用市级抗旱物资支援时，由县防指提请市防指，按下达调令计划安排组织抗旱物资调拨、使用、管理及返还。</w:t>
      </w:r>
    </w:p>
    <w:p w14:paraId="6CA1601D">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资金保障</w:t>
      </w:r>
    </w:p>
    <w:p w14:paraId="77E9628D">
      <w:pPr>
        <w:ind w:firstLine="632"/>
      </w:pPr>
      <w:r>
        <w:t>县</w:t>
      </w:r>
      <w:r>
        <w:rPr>
          <w:rFonts w:hint="eastAsia"/>
        </w:rPr>
        <w:t>、乡镇</w:t>
      </w:r>
      <w:r>
        <w:t>人民政府应当在本级财政预算中对</w:t>
      </w:r>
      <w:r>
        <w:rPr>
          <w:rFonts w:hint="eastAsia"/>
        </w:rPr>
        <w:t>抗旱</w:t>
      </w:r>
      <w:r>
        <w:t>资金统筹安排。</w:t>
      </w:r>
      <w:r>
        <w:rPr>
          <w:rFonts w:hint="eastAsia"/>
        </w:rPr>
        <w:t>用于</w:t>
      </w:r>
      <w:r>
        <w:t>支持</w:t>
      </w:r>
      <w:r>
        <w:rPr>
          <w:rFonts w:hint="eastAsia"/>
        </w:rPr>
        <w:t>旱</w:t>
      </w:r>
      <w:r>
        <w:t>区开展</w:t>
      </w:r>
      <w:r>
        <w:rPr>
          <w:rFonts w:hint="eastAsia"/>
        </w:rPr>
        <w:t>抗旱救灾</w:t>
      </w:r>
      <w:r>
        <w:t>工作。</w:t>
      </w:r>
    </w:p>
    <w:p w14:paraId="407D6412">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社会动员保障</w:t>
      </w:r>
    </w:p>
    <w:p w14:paraId="78008105">
      <w:pPr>
        <w:numPr>
          <w:ilvl w:val="0"/>
          <w:numId w:val="71"/>
        </w:numPr>
        <w:ind w:firstLineChars="0"/>
      </w:pPr>
      <w:r>
        <w:rPr>
          <w:rFonts w:hint="eastAsia"/>
        </w:rPr>
        <w:t>抗旱</w:t>
      </w:r>
      <w:r>
        <w:t>是社会公益性事业，任何单位和个人都有保护</w:t>
      </w:r>
      <w:r>
        <w:rPr>
          <w:rFonts w:hint="eastAsia"/>
        </w:rPr>
        <w:t>水利工程</w:t>
      </w:r>
      <w:r>
        <w:t>设施和参加</w:t>
      </w:r>
      <w:r>
        <w:rPr>
          <w:rFonts w:hint="eastAsia"/>
        </w:rPr>
        <w:t>抗旱救灾</w:t>
      </w:r>
      <w:r>
        <w:t>的义务。</w:t>
      </w:r>
    </w:p>
    <w:p w14:paraId="5B7FD9A4">
      <w:pPr>
        <w:numPr>
          <w:ilvl w:val="0"/>
          <w:numId w:val="71"/>
        </w:numPr>
        <w:ind w:firstLineChars="0"/>
      </w:pPr>
      <w:r>
        <w:t>各级防指应根据</w:t>
      </w:r>
      <w:r>
        <w:rPr>
          <w:rFonts w:hint="eastAsia"/>
        </w:rPr>
        <w:t>干旱灾害</w:t>
      </w:r>
      <w:r>
        <w:t>的发展，做好动员工作，组织社会力量投入</w:t>
      </w:r>
      <w:r>
        <w:rPr>
          <w:rFonts w:hint="eastAsia"/>
        </w:rPr>
        <w:t>抗旱</w:t>
      </w:r>
      <w:r>
        <w:t>抢险。</w:t>
      </w:r>
    </w:p>
    <w:p w14:paraId="345DAD38">
      <w:pPr>
        <w:numPr>
          <w:ilvl w:val="0"/>
          <w:numId w:val="71"/>
        </w:numPr>
        <w:ind w:firstLineChars="0"/>
      </w:pPr>
      <w:r>
        <w:t>各级防指成员单位，在发生</w:t>
      </w:r>
      <w:r>
        <w:rPr>
          <w:rFonts w:hint="eastAsia"/>
        </w:rPr>
        <w:t>干旱灾害</w:t>
      </w:r>
      <w:r>
        <w:t>期间，应按照分工，特事特办，急事急办，解决</w:t>
      </w:r>
      <w:r>
        <w:rPr>
          <w:rFonts w:hint="eastAsia"/>
        </w:rPr>
        <w:t>抗旱</w:t>
      </w:r>
      <w:r>
        <w:t>实际问题，同时充分调动本系统力量，全力支持抗灾救灾和灾后重建工作。</w:t>
      </w:r>
    </w:p>
    <w:p w14:paraId="5CDCD21D">
      <w:pPr>
        <w:numPr>
          <w:ilvl w:val="0"/>
          <w:numId w:val="71"/>
        </w:numPr>
        <w:ind w:firstLineChars="0"/>
      </w:pPr>
      <w:r>
        <w:t>各级人民政府应加强对</w:t>
      </w:r>
      <w:r>
        <w:rPr>
          <w:rFonts w:hint="eastAsia"/>
        </w:rPr>
        <w:t>抗旱</w:t>
      </w:r>
      <w:r>
        <w:t>工作的统一领导，组织有关部门和单位，动员全社会力量，做好</w:t>
      </w:r>
      <w:r>
        <w:rPr>
          <w:rFonts w:hint="eastAsia"/>
        </w:rPr>
        <w:t>抗旱</w:t>
      </w:r>
      <w:r>
        <w:t>工作。在</w:t>
      </w:r>
      <w:r>
        <w:rPr>
          <w:rFonts w:hint="eastAsia"/>
        </w:rPr>
        <w:t>抗旱</w:t>
      </w:r>
      <w:r>
        <w:t>关键时刻，各级</w:t>
      </w:r>
      <w:r>
        <w:rPr>
          <w:rFonts w:hint="eastAsia"/>
        </w:rPr>
        <w:t>抗旱</w:t>
      </w:r>
      <w:r>
        <w:t>行政首长应靠前指挥，组织广大干部群众奋力抗灾减灾。</w:t>
      </w:r>
    </w:p>
    <w:p w14:paraId="1DD78C9A">
      <w:pPr>
        <w:numPr>
          <w:ilvl w:val="0"/>
          <w:numId w:val="71"/>
        </w:numPr>
        <w:ind w:firstLineChars="0"/>
      </w:pPr>
      <w:r>
        <w:t>各级人民政府应制定政策措施，鼓励社会专业队伍参与</w:t>
      </w:r>
      <w:r>
        <w:rPr>
          <w:rFonts w:hint="eastAsia"/>
        </w:rPr>
        <w:t>抗旱救灾</w:t>
      </w:r>
      <w:r>
        <w:t>工作。</w:t>
      </w:r>
    </w:p>
    <w:p w14:paraId="7DA8EBFD">
      <w:pPr>
        <w:pStyle w:val="3"/>
      </w:pPr>
      <w:bookmarkStart w:id="321" w:name="_Toc20079"/>
      <w:r>
        <w:t>技术保障</w:t>
      </w:r>
      <w:bookmarkEnd w:id="321"/>
    </w:p>
    <w:p w14:paraId="5F2614FD">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信息技术支撑</w:t>
      </w:r>
    </w:p>
    <w:p w14:paraId="481B35A6">
      <w:pPr>
        <w:numPr>
          <w:ilvl w:val="0"/>
          <w:numId w:val="72"/>
        </w:numPr>
        <w:ind w:firstLineChars="0"/>
      </w:pPr>
      <w:r>
        <w:t>加强</w:t>
      </w:r>
      <w:r>
        <w:rPr>
          <w:rFonts w:hint="eastAsia"/>
        </w:rPr>
        <w:t>抗旱</w:t>
      </w:r>
      <w:r>
        <w:t>信息化建设。在充分利用防指各成员单位既有成果的基础上，组织加强信息化建设，促进互联互通，建立信息共享机制。</w:t>
      </w:r>
    </w:p>
    <w:p w14:paraId="497F4450">
      <w:pPr>
        <w:numPr>
          <w:ilvl w:val="0"/>
          <w:numId w:val="72"/>
        </w:numPr>
        <w:ind w:firstLineChars="0"/>
      </w:pPr>
      <w:r>
        <w:t>完善协同配合和衔接机制。</w:t>
      </w:r>
      <w:r>
        <w:rPr>
          <w:rFonts w:hint="eastAsia"/>
        </w:rPr>
        <w:t>县</w:t>
      </w:r>
      <w:r>
        <w:t>防指会同</w:t>
      </w:r>
      <w:r>
        <w:rPr>
          <w:rFonts w:hint="eastAsia"/>
        </w:rPr>
        <w:t>县农业农社区</w:t>
      </w:r>
      <w:r>
        <w:t>、水务、气象、水文等有关部门建立统一的应急管理信息平台和定期会商与信息共享机制，共同分析研判</w:t>
      </w:r>
      <w:r>
        <w:rPr>
          <w:rFonts w:hint="eastAsia"/>
        </w:rPr>
        <w:t>旱情</w:t>
      </w:r>
      <w:r>
        <w:t>、灾情，实时共享相关监测预报预警和重要调度信息。</w:t>
      </w:r>
    </w:p>
    <w:p w14:paraId="4E91D21C">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专家支撑</w:t>
      </w:r>
    </w:p>
    <w:p w14:paraId="7D9696F4">
      <w:pPr>
        <w:ind w:firstLine="632"/>
      </w:pPr>
      <w:r>
        <w:t>当发生</w:t>
      </w:r>
      <w:r>
        <w:rPr>
          <w:rFonts w:hint="eastAsia"/>
        </w:rPr>
        <w:t>干旱灾害</w:t>
      </w:r>
      <w:r>
        <w:t>时，</w:t>
      </w:r>
      <w:r>
        <w:rPr>
          <w:rFonts w:hint="eastAsia"/>
        </w:rPr>
        <w:t>专家组</w:t>
      </w:r>
      <w:r>
        <w:t>由</w:t>
      </w:r>
      <w:r>
        <w:rPr>
          <w:rFonts w:hint="eastAsia"/>
        </w:rPr>
        <w:t>县</w:t>
      </w:r>
      <w:r>
        <w:t>防指统一调度，派出专家组指导</w:t>
      </w:r>
      <w:r>
        <w:rPr>
          <w:rFonts w:hint="eastAsia"/>
        </w:rPr>
        <w:t>抗旱</w:t>
      </w:r>
      <w:r>
        <w:t>抢险工作。</w:t>
      </w:r>
      <w:r>
        <w:rPr>
          <w:rFonts w:hint="eastAsia"/>
        </w:rPr>
        <w:t>县水务等相关部门</w:t>
      </w:r>
      <w:r>
        <w:t>承担抢险救灾技术支撑工作。</w:t>
      </w:r>
    </w:p>
    <w:p w14:paraId="405FF655">
      <w:pPr>
        <w:pStyle w:val="3"/>
      </w:pPr>
      <w:bookmarkStart w:id="322" w:name="_Toc18805"/>
      <w:r>
        <w:t>宣传</w:t>
      </w:r>
      <w:bookmarkEnd w:id="322"/>
    </w:p>
    <w:p w14:paraId="06792832">
      <w:pPr>
        <w:numPr>
          <w:ilvl w:val="0"/>
          <w:numId w:val="73"/>
        </w:numPr>
        <w:ind w:firstLineChars="0"/>
        <w:rPr>
          <w:rFonts w:ascii="仿宋_GB2312" w:hAnsi="仿宋_GB2312" w:cs="仿宋_GB2312"/>
        </w:rPr>
      </w:pPr>
      <w:r>
        <w:rPr>
          <w:rFonts w:hint="eastAsia" w:ascii="仿宋_GB2312" w:hAnsi="仿宋_GB2312" w:cs="仿宋_GB2312"/>
        </w:rPr>
        <w:t>县、乡镇防指要重视宣传舆论引导工作。各级防办要把抗旱宣传工作纳入议事日程，建立宣传工作机制，指定专人负责，加强与有关宣传机构的协作配合。</w:t>
      </w:r>
    </w:p>
    <w:p w14:paraId="3ED69B58">
      <w:pPr>
        <w:numPr>
          <w:ilvl w:val="0"/>
          <w:numId w:val="73"/>
        </w:numPr>
        <w:ind w:firstLineChars="0"/>
        <w:rPr>
          <w:rFonts w:ascii="仿宋_GB2312" w:hAnsi="仿宋_GB2312" w:cs="仿宋_GB2312"/>
        </w:rPr>
      </w:pPr>
      <w:r>
        <w:rPr>
          <w:rFonts w:hint="eastAsia" w:ascii="仿宋_GB2312" w:hAnsi="仿宋_GB2312" w:cs="仿宋_GB2312"/>
        </w:rPr>
        <w:t>县、乡镇防指要及时准确向社会通报抗旱工作情况及干旱灾害信息。旱情形势严峻时期要加大抗旱宣传工作力度，建立舆情监测机制，加强舆情引导和正面宣传，及时澄清虚假信息，为抗旱工作营造良好氛围。</w:t>
      </w:r>
    </w:p>
    <w:p w14:paraId="09109D47">
      <w:pPr>
        <w:numPr>
          <w:ilvl w:val="0"/>
          <w:numId w:val="73"/>
        </w:numPr>
        <w:ind w:firstLineChars="0"/>
      </w:pPr>
      <w:r>
        <w:t>发生</w:t>
      </w:r>
      <w:r>
        <w:rPr>
          <w:rFonts w:hint="eastAsia"/>
        </w:rPr>
        <w:t>干旱</w:t>
      </w:r>
      <w:r>
        <w:t>灾害时，</w:t>
      </w:r>
      <w:r>
        <w:rPr>
          <w:rFonts w:hint="eastAsia"/>
        </w:rPr>
        <w:t>县</w:t>
      </w:r>
      <w:r>
        <w:t>防指要按有关规定及时向社会和媒体通报情况，并根据事态发展及时召开新闻发布会，发布有关情况；对</w:t>
      </w:r>
      <w:r>
        <w:rPr>
          <w:rFonts w:hint="eastAsia"/>
        </w:rPr>
        <w:t>抗旱</w:t>
      </w:r>
      <w:r>
        <w:t>形势、抢险救援、人员伤亡、经济损失、</w:t>
      </w:r>
      <w:r>
        <w:rPr>
          <w:rFonts w:hint="eastAsia"/>
        </w:rPr>
        <w:t>旱区</w:t>
      </w:r>
      <w:r>
        <w:t>秩序、群众生活等社会普遍关注的热点问题，要主动回应社会关切。对</w:t>
      </w:r>
      <w:r>
        <w:rPr>
          <w:rFonts w:hint="eastAsia"/>
        </w:rPr>
        <w:t>抗旱</w:t>
      </w:r>
      <w:r>
        <w:t>救灾专业知识，要组织专家科学解读，有针对性解疑释惑。</w:t>
      </w:r>
    </w:p>
    <w:p w14:paraId="6BABDD6C">
      <w:pPr>
        <w:pStyle w:val="3"/>
      </w:pPr>
      <w:bookmarkStart w:id="323" w:name="_Toc29999"/>
      <w:r>
        <w:t>培训和演练</w:t>
      </w:r>
      <w:bookmarkEnd w:id="323"/>
    </w:p>
    <w:p w14:paraId="3B2DAFDB">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培训</w:t>
      </w:r>
    </w:p>
    <w:p w14:paraId="398DEEFD">
      <w:pPr>
        <w:numPr>
          <w:ilvl w:val="0"/>
          <w:numId w:val="16"/>
        </w:numPr>
        <w:ind w:firstLineChars="0"/>
      </w:pPr>
      <w:r>
        <w:t>按照分级负责的原则，各级防指实施</w:t>
      </w:r>
      <w:r>
        <w:rPr>
          <w:rFonts w:hint="eastAsia"/>
        </w:rPr>
        <w:t>抗旱</w:t>
      </w:r>
      <w:r>
        <w:t>业务知识与技能培训。</w:t>
      </w:r>
      <w:r>
        <w:rPr>
          <w:rFonts w:hint="eastAsia"/>
        </w:rPr>
        <w:t>县</w:t>
      </w:r>
      <w:r>
        <w:t>防指负责</w:t>
      </w:r>
      <w:r>
        <w:rPr>
          <w:rFonts w:hint="eastAsia"/>
        </w:rPr>
        <w:t>乡镇</w:t>
      </w:r>
      <w:r>
        <w:t>防指负责人及其办公室工作人员、</w:t>
      </w:r>
      <w:r>
        <w:rPr>
          <w:rFonts w:hint="eastAsia"/>
        </w:rPr>
        <w:t>抗旱</w:t>
      </w:r>
      <w:r>
        <w:t>抢险专业队伍负责人和</w:t>
      </w:r>
      <w:r>
        <w:rPr>
          <w:rFonts w:hint="eastAsia"/>
        </w:rPr>
        <w:t>抗旱</w:t>
      </w:r>
      <w:r>
        <w:t>抢险技术骨干的培训；</w:t>
      </w:r>
      <w:r>
        <w:rPr>
          <w:rFonts w:hint="eastAsia"/>
        </w:rPr>
        <w:t>乡镇</w:t>
      </w:r>
      <w:r>
        <w:t>防指负责</w:t>
      </w:r>
      <w:r>
        <w:rPr>
          <w:rFonts w:hint="eastAsia"/>
        </w:rPr>
        <w:t>社区抗旱</w:t>
      </w:r>
      <w:r>
        <w:t>负责人、</w:t>
      </w:r>
      <w:r>
        <w:rPr>
          <w:rFonts w:hint="eastAsia"/>
        </w:rPr>
        <w:t>抗旱</w:t>
      </w:r>
      <w:r>
        <w:t>抢险技术人员的培训。</w:t>
      </w:r>
    </w:p>
    <w:p w14:paraId="4FD877B8">
      <w:pPr>
        <w:numPr>
          <w:ilvl w:val="0"/>
          <w:numId w:val="16"/>
        </w:numPr>
        <w:ind w:firstLineChars="0"/>
      </w:pPr>
      <w:r>
        <w:t>培训工作应做到合理规范课程、严格考核、分类指导，保证培训工作质量。</w:t>
      </w:r>
    </w:p>
    <w:p w14:paraId="5D04A10E">
      <w:pPr>
        <w:numPr>
          <w:ilvl w:val="0"/>
          <w:numId w:val="16"/>
        </w:numPr>
        <w:ind w:firstLineChars="0"/>
      </w:pPr>
      <w:r>
        <w:t>培训工作应结合实际，采取多种组织形式，定期与不定期相结合，每年至少组织一次培训。</w:t>
      </w:r>
    </w:p>
    <w:p w14:paraId="113065F5">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演练</w:t>
      </w:r>
    </w:p>
    <w:p w14:paraId="1CD7BF7A">
      <w:pPr>
        <w:numPr>
          <w:ilvl w:val="0"/>
          <w:numId w:val="74"/>
        </w:numPr>
        <w:ind w:firstLineChars="0"/>
      </w:pPr>
      <w:r>
        <w:rPr>
          <w:rFonts w:hint="eastAsia"/>
        </w:rPr>
        <w:t>县、乡镇</w:t>
      </w:r>
      <w:r>
        <w:t>防指应定期举行不同类型的应急演练，以检验、改善和强化应急准备和应急响应能力。</w:t>
      </w:r>
    </w:p>
    <w:p w14:paraId="35E58768">
      <w:pPr>
        <w:numPr>
          <w:ilvl w:val="0"/>
          <w:numId w:val="74"/>
        </w:numPr>
        <w:ind w:firstLineChars="0"/>
      </w:pPr>
      <w:r>
        <w:t>水</w:t>
      </w:r>
      <w:r>
        <w:rPr>
          <w:rFonts w:hint="eastAsia"/>
        </w:rPr>
        <w:t>利</w:t>
      </w:r>
      <w:r>
        <w:t>工程运行管理单位必须针对当地和</w:t>
      </w:r>
      <w:r>
        <w:rPr>
          <w:rFonts w:hint="eastAsia"/>
        </w:rPr>
        <w:t>水利</w:t>
      </w:r>
      <w:r>
        <w:t>工程易发生的各类险情有针对性地每年进行</w:t>
      </w:r>
      <w:r>
        <w:rPr>
          <w:rFonts w:hint="eastAsia"/>
        </w:rPr>
        <w:t>抗旱救灾</w:t>
      </w:r>
      <w:r>
        <w:t>演练。</w:t>
      </w:r>
    </w:p>
    <w:p w14:paraId="57272B11">
      <w:pPr>
        <w:numPr>
          <w:ilvl w:val="0"/>
          <w:numId w:val="74"/>
        </w:numPr>
        <w:ind w:firstLineChars="0"/>
      </w:pPr>
      <w:r>
        <w:t>多个部门联合进行的专业演练，一般2～3年举行一次，由</w:t>
      </w:r>
      <w:r>
        <w:rPr>
          <w:rFonts w:hint="eastAsia"/>
        </w:rPr>
        <w:t>县</w:t>
      </w:r>
      <w:r>
        <w:t>防指负责组织。</w:t>
      </w:r>
    </w:p>
    <w:p w14:paraId="64529731">
      <w:pPr>
        <w:pStyle w:val="2"/>
        <w:numPr>
          <w:ilvl w:val="0"/>
          <w:numId w:val="75"/>
        </w:numPr>
        <w:tabs>
          <w:tab w:val="left" w:pos="0"/>
        </w:tabs>
        <w:rPr>
          <w:sz w:val="32"/>
          <w:szCs w:val="32"/>
        </w:rPr>
      </w:pPr>
      <w:r>
        <w:rPr>
          <w:sz w:val="32"/>
          <w:szCs w:val="32"/>
        </w:rPr>
        <w:t>善后工作</w:t>
      </w:r>
    </w:p>
    <w:p w14:paraId="1224C695">
      <w:pPr>
        <w:ind w:firstLine="632"/>
      </w:pPr>
      <w:r>
        <w:t>发生</w:t>
      </w:r>
      <w:r>
        <w:rPr>
          <w:rFonts w:hint="eastAsia"/>
        </w:rPr>
        <w:t>干旱灾害</w:t>
      </w:r>
      <w:r>
        <w:t>的地方政府应组织有关部门做好</w:t>
      </w:r>
      <w:r>
        <w:rPr>
          <w:rFonts w:hint="eastAsia"/>
        </w:rPr>
        <w:t>旱区</w:t>
      </w:r>
      <w:r>
        <w:t>生活供给、卫生防疫、救灾物资供应、治安管理、学校复课、水毁修复、恢复生产、重建家园等善后工作。</w:t>
      </w:r>
    </w:p>
    <w:p w14:paraId="40D83A2E">
      <w:pPr>
        <w:ind w:firstLine="632"/>
      </w:pPr>
      <w:r>
        <w:t>依照有关紧急</w:t>
      </w:r>
      <w:r>
        <w:rPr>
          <w:rFonts w:hint="eastAsia"/>
        </w:rPr>
        <w:t>抗旱期的</w:t>
      </w:r>
      <w:r>
        <w:t>规定，征用调用的物资、设备、交通运输工具和人力等，在应急处置结束后应当及时归还；造成损坏或者无法归还的，按照国务院有关规定给予适当补偿或者作其他处理。取土占地、砍伐林木的，在汛期结束后依法向有关部门补办手续；有关地方人民政府对取土后的土地组织复垦，对砍伐的林木组织补种。</w:t>
      </w:r>
    </w:p>
    <w:p w14:paraId="17B0E470">
      <w:pPr>
        <w:pStyle w:val="3"/>
      </w:pPr>
      <w:bookmarkStart w:id="324" w:name="_Toc13323"/>
      <w:r>
        <w:t>救灾</w:t>
      </w:r>
      <w:bookmarkEnd w:id="324"/>
    </w:p>
    <w:p w14:paraId="5AA62FF4">
      <w:pPr>
        <w:numPr>
          <w:ilvl w:val="0"/>
          <w:numId w:val="18"/>
        </w:numPr>
        <w:ind w:firstLineChars="0"/>
      </w:pPr>
      <w:r>
        <w:rPr>
          <w:rFonts w:hint="eastAsia"/>
        </w:rPr>
        <w:t>发生重大灾情时，旱区人民政府负责灾害救助的组织、协调和指挥工作。</w:t>
      </w:r>
    </w:p>
    <w:p w14:paraId="761933A4">
      <w:pPr>
        <w:numPr>
          <w:ilvl w:val="0"/>
          <w:numId w:val="18"/>
        </w:numPr>
        <w:ind w:firstLineChars="0"/>
      </w:pPr>
      <w:r>
        <w:rPr>
          <w:rFonts w:hint="eastAsia"/>
        </w:rPr>
        <w:t>县应急管理局负责受灾群众基本生活救助，会同有关部门及时调拨救灾款物，组织安置受灾群众，保障受灾群众基本生活，组织开展救灾捐赠，保证受灾群众有饭吃、有衣穿、有干净水喝、有临时安全住处、有医疗服务。</w:t>
      </w:r>
    </w:p>
    <w:p w14:paraId="4DEBEE5F">
      <w:pPr>
        <w:numPr>
          <w:ilvl w:val="0"/>
          <w:numId w:val="18"/>
        </w:numPr>
        <w:ind w:firstLineChars="0"/>
      </w:pPr>
      <w:r>
        <w:rPr>
          <w:rFonts w:hint="eastAsia"/>
        </w:rPr>
        <w:t>县卫生健康局负责调配卫生应急力量，开展旱区伤病人员医疗救治，指导对污染源进行消毒处理，指导落实灾后各项卫生防疫措施，严防旱区传染病疫情发生。</w:t>
      </w:r>
    </w:p>
    <w:p w14:paraId="577C29AB">
      <w:pPr>
        <w:pStyle w:val="3"/>
      </w:pPr>
      <w:bookmarkStart w:id="325" w:name="_Toc12605"/>
      <w:r>
        <w:rPr>
          <w:rFonts w:hint="eastAsia"/>
        </w:rPr>
        <w:t>抗旱</w:t>
      </w:r>
      <w:r>
        <w:t>物资补充</w:t>
      </w:r>
      <w:bookmarkEnd w:id="325"/>
    </w:p>
    <w:p w14:paraId="76DD2D83">
      <w:pPr>
        <w:numPr>
          <w:ilvl w:val="0"/>
          <w:numId w:val="19"/>
        </w:numPr>
        <w:ind w:firstLine="632"/>
      </w:pPr>
      <w:r>
        <w:rPr>
          <w:rFonts w:hint="eastAsia"/>
        </w:rPr>
        <w:t>各乡镇根据县抗旱指挥部下达的抗旱物资储备最低限额，参照相关内容及方式储备抗旱物资，建立物资统计清单，并编号储备，确保“用时有、能找到”。</w:t>
      </w:r>
    </w:p>
    <w:p w14:paraId="7EC6CB6D">
      <w:pPr>
        <w:numPr>
          <w:ilvl w:val="0"/>
          <w:numId w:val="19"/>
        </w:numPr>
        <w:ind w:firstLine="632"/>
      </w:pPr>
      <w:r>
        <w:rPr>
          <w:rFonts w:hint="eastAsia"/>
        </w:rPr>
        <w:t>物资储备要保证最低保险储量。当因灾使用减少时，责任单位要随时补充，不得低于保险储量。</w:t>
      </w:r>
    </w:p>
    <w:p w14:paraId="63AE740A">
      <w:pPr>
        <w:numPr>
          <w:ilvl w:val="0"/>
          <w:numId w:val="19"/>
        </w:numPr>
        <w:ind w:firstLine="632"/>
      </w:pPr>
      <w:r>
        <w:rPr>
          <w:rFonts w:hint="eastAsia"/>
        </w:rPr>
        <w:t>物资使用与管理。由县、乡镇防指办会同责任单位签订物资储备合同，共同制定具体管理办法，并由专人负责管理。</w:t>
      </w:r>
    </w:p>
    <w:p w14:paraId="37420BE7">
      <w:pPr>
        <w:pStyle w:val="3"/>
      </w:pPr>
      <w:bookmarkStart w:id="326" w:name="_Toc26948"/>
      <w:r>
        <w:rPr>
          <w:rFonts w:hint="eastAsia"/>
        </w:rPr>
        <w:t>抗旱</w:t>
      </w:r>
      <w:r>
        <w:t>工作评价与灾害评估</w:t>
      </w:r>
      <w:bookmarkEnd w:id="326"/>
    </w:p>
    <w:p w14:paraId="554F5E5E">
      <w:pPr>
        <w:ind w:firstLine="632"/>
        <w:rPr>
          <w:rFonts w:ascii="仿宋_GB2312" w:hAnsi="仿宋_GB2312" w:cs="仿宋_GB2312"/>
        </w:rPr>
      </w:pPr>
      <w:r>
        <w:rPr>
          <w:rFonts w:hint="eastAsia" w:ascii="仿宋_GB2312" w:hAnsi="仿宋_GB2312" w:cs="仿宋_GB2312"/>
        </w:rPr>
        <w:t xml:space="preserve">（1）重大灾害发生后，县防指组织有关单位和专家对灾害防御工作进行复盘评估，分析原因，总结经验。总结情况要及时报上一级防指。 </w:t>
      </w:r>
    </w:p>
    <w:p w14:paraId="27D3D797">
      <w:pPr>
        <w:ind w:firstLine="632"/>
        <w:rPr>
          <w:color w:val="FF0000"/>
          <w:highlight w:val="yellow"/>
        </w:rPr>
      </w:pPr>
      <w:r>
        <w:rPr>
          <w:rFonts w:hint="eastAsia" w:ascii="仿宋_GB2312" w:hAnsi="仿宋_GB2312" w:cs="仿宋_GB2312"/>
        </w:rPr>
        <w:t>（2）县应急管理部门按照有关规定组织开展一般干旱灾害调查评估工作。</w:t>
      </w:r>
    </w:p>
    <w:p w14:paraId="3B95424F">
      <w:pPr>
        <w:pStyle w:val="2"/>
        <w:numPr>
          <w:ilvl w:val="0"/>
          <w:numId w:val="75"/>
        </w:numPr>
        <w:tabs>
          <w:tab w:val="left" w:pos="0"/>
        </w:tabs>
        <w:rPr>
          <w:sz w:val="32"/>
          <w:szCs w:val="32"/>
        </w:rPr>
      </w:pPr>
      <w:bookmarkStart w:id="327" w:name="_Toc17482"/>
      <w:r>
        <w:rPr>
          <w:sz w:val="32"/>
          <w:szCs w:val="32"/>
        </w:rPr>
        <w:t>附则</w:t>
      </w:r>
      <w:bookmarkEnd w:id="327"/>
    </w:p>
    <w:p w14:paraId="17240A47">
      <w:pPr>
        <w:pStyle w:val="3"/>
      </w:pPr>
      <w:bookmarkStart w:id="328" w:name="_Toc13330"/>
      <w:r>
        <w:t>名词术语定义</w:t>
      </w:r>
      <w:bookmarkEnd w:id="328"/>
    </w:p>
    <w:p w14:paraId="37C4D8EF">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防抗干旱灾害</w:t>
      </w:r>
    </w:p>
    <w:p w14:paraId="5D520166">
      <w:pPr>
        <w:ind w:firstLine="632"/>
      </w:pPr>
      <w:r>
        <w:t>指通过采取工程措施或非工程措施，预防和减轻旱灾对生活、生产和生态造成不利影响的各种活动。</w:t>
      </w:r>
    </w:p>
    <w:p w14:paraId="6891A01E">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墒情</w:t>
      </w:r>
    </w:p>
    <w:p w14:paraId="562E6AFE">
      <w:pPr>
        <w:ind w:firstLine="632"/>
      </w:pPr>
      <w:r>
        <w:t>土壤湿度情况。</w:t>
      </w:r>
      <w:r>
        <w:rPr>
          <w:rFonts w:hint="eastAsia"/>
        </w:rPr>
        <w:t>墒，</w:t>
      </w:r>
      <w:r>
        <w:t>土壤适合种子萌发和植物生长的湿度。</w:t>
      </w:r>
    </w:p>
    <w:p w14:paraId="2550CEF8">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干旱风险图</w:t>
      </w:r>
    </w:p>
    <w:p w14:paraId="7D16FC29">
      <w:pPr>
        <w:ind w:firstLine="632"/>
      </w:pPr>
      <w:r>
        <w:t>指融合地理、社会经济、水资源特征等信息，通过资料调查、水资源计算和成果整理，以地图形式直观反映某一地区发生干旱后可能影响的范围，用以分析和预评估不同干旱等级造成旱灾风险和危害的工具。</w:t>
      </w:r>
    </w:p>
    <w:p w14:paraId="5705E861">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抗旱应急预案</w:t>
      </w:r>
    </w:p>
    <w:p w14:paraId="10FD28B7">
      <w:pPr>
        <w:ind w:firstLine="632"/>
      </w:pPr>
      <w:r>
        <w:rPr>
          <w:rFonts w:hint="eastAsia"/>
        </w:rPr>
        <w:t>抗旱应急预案是指在现有工程设施条件和抗旱能力条件下，针对不同等级、程度的干旱，预先制定的对策和措施，是各级防指实施指挥决策的依据。</w:t>
      </w:r>
    </w:p>
    <w:p w14:paraId="4C00C493">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抗旱服务队</w:t>
      </w:r>
    </w:p>
    <w:p w14:paraId="0F44C401">
      <w:pPr>
        <w:ind w:firstLine="632"/>
      </w:pPr>
      <w:r>
        <w:t>指以抗旱减灾为宗旨，围绕群众饮水安全、粮食用水安全和生态环境用水安全开展抗旱服务的组织。</w:t>
      </w:r>
    </w:p>
    <w:p w14:paraId="439F7346">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紧急抗旱期</w:t>
      </w:r>
    </w:p>
    <w:p w14:paraId="3DCE7619">
      <w:pPr>
        <w:ind w:firstLine="632"/>
      </w:pPr>
      <w:r>
        <w:rPr>
          <w:rFonts w:hint="eastAsia"/>
        </w:rPr>
        <w:t>紧急抗旱期是指根据《中华人民共和国抗旱条例》规定，发生特大干旱，严重危及城乡居民生活、生产用水安全，可能影响社会稳定的，有关省、自治区、直辖市人民政府防汛抗旱指挥机构经本级人民政府批准，可以宣布本辖区内的相关行政区域进入紧急抗旱期，并及时报告国家防汛抗旱总指挥部。</w:t>
      </w:r>
    </w:p>
    <w:p w14:paraId="590FDDA8">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轻度干旱</w:t>
      </w:r>
    </w:p>
    <w:p w14:paraId="524EB856">
      <w:pPr>
        <w:ind w:firstLine="632"/>
      </w:pPr>
      <w:r>
        <w:rPr>
          <w:rFonts w:hint="eastAsia"/>
        </w:rPr>
        <w:t>受旱区域作物受旱面积占播种面积的比例在30%以下；以及因旱造成农（牧）区临时性饮水困难人口占所在地区人口比例在20%以下。</w:t>
      </w:r>
    </w:p>
    <w:p w14:paraId="4D0F0F9D">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中度干旱</w:t>
      </w:r>
    </w:p>
    <w:p w14:paraId="77D46B6D">
      <w:pPr>
        <w:ind w:firstLine="632"/>
      </w:pPr>
      <w:r>
        <w:rPr>
          <w:rFonts w:hint="eastAsia"/>
        </w:rPr>
        <w:t>受旱区域作物受旱面积占播种面积的比例达31%—50%；以及因旱造成农（牧）区临时性饮水困难人口占所在地区人口比例达21%—40%。</w:t>
      </w:r>
    </w:p>
    <w:p w14:paraId="2FFCE80E">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严重干旱</w:t>
      </w:r>
    </w:p>
    <w:p w14:paraId="2ADD43F7">
      <w:pPr>
        <w:ind w:firstLine="632"/>
      </w:pPr>
      <w:r>
        <w:rPr>
          <w:rFonts w:hint="eastAsia"/>
        </w:rPr>
        <w:t>受旱区域作物受旱面积占播种面积的比例达51%—80%；以及因旱造成农（牧）区临时性饮水困难人口占所在地区人口比例达41%—60%。</w:t>
      </w:r>
    </w:p>
    <w:p w14:paraId="762005EC">
      <w:pPr>
        <w:pStyle w:val="4"/>
        <w:numPr>
          <w:ilvl w:val="2"/>
          <w:numId w:val="75"/>
        </w:numPr>
        <w:tabs>
          <w:tab w:val="left" w:pos="0"/>
        </w:tabs>
        <w:rPr>
          <w:rFonts w:ascii="仿宋_GB2312" w:hAnsi="仿宋_GB2312" w:eastAsia="仿宋_GB2312" w:cs="仿宋_GB2312"/>
        </w:rPr>
      </w:pPr>
      <w:r>
        <w:rPr>
          <w:rFonts w:hint="eastAsia" w:ascii="仿宋_GB2312" w:hAnsi="仿宋_GB2312" w:eastAsia="仿宋_GB2312" w:cs="仿宋_GB2312"/>
        </w:rPr>
        <w:t>特大干旱</w:t>
      </w:r>
    </w:p>
    <w:p w14:paraId="17661F49">
      <w:pPr>
        <w:ind w:firstLine="632"/>
      </w:pPr>
      <w:r>
        <w:rPr>
          <w:rFonts w:hint="eastAsia"/>
        </w:rPr>
        <w:t>受旱区域作物受旱面积占播种面积的比例在80%以上；以及因旱造成农（牧）区临时性饮水困难人口占所在地区人口比例高于60%。</w:t>
      </w:r>
    </w:p>
    <w:p w14:paraId="3A3B93CD">
      <w:pPr>
        <w:pStyle w:val="3"/>
      </w:pPr>
      <w:bookmarkStart w:id="329" w:name="_Toc925"/>
      <w:r>
        <w:t>预案更新</w:t>
      </w:r>
      <w:bookmarkEnd w:id="329"/>
    </w:p>
    <w:p w14:paraId="78B10648">
      <w:pPr>
        <w:ind w:firstLine="632"/>
        <w:rPr>
          <w:rFonts w:ascii="仿宋_GB2312" w:hAnsi="仿宋_GB2312" w:cs="仿宋_GB2312"/>
        </w:rPr>
      </w:pPr>
      <w:r>
        <w:rPr>
          <w:rFonts w:hint="eastAsia" w:ascii="仿宋_GB2312" w:hAnsi="仿宋_GB2312" w:cs="仿宋_GB2312"/>
        </w:rPr>
        <w:t>县防指负责组织对预案进行评估，原则上每3年对本预案评审一次，并按程序进行修订。各乡镇防指可以根据本预案制定本地区和重点工程的抗旱应急预案，不得与本预案相矛盾或抵触。县防指成员单位应在本应急预案印发90日内上报本单位配套的部门抗旱应急预案（方案），并报县防办备案。</w:t>
      </w:r>
    </w:p>
    <w:p w14:paraId="48D50CE4">
      <w:pPr>
        <w:ind w:firstLine="632"/>
        <w:rPr>
          <w:rFonts w:ascii="仿宋_GB2312" w:hAnsi="仿宋_GB2312" w:cs="仿宋_GB2312"/>
        </w:rPr>
      </w:pPr>
      <w:r>
        <w:rPr>
          <w:rFonts w:hint="eastAsia" w:ascii="仿宋_GB2312" w:hAnsi="仿宋_GB2312" w:cs="仿宋_GB2312"/>
        </w:rPr>
        <w:t>本预案有下列情形之一的，应当及时修订：</w:t>
      </w:r>
    </w:p>
    <w:p w14:paraId="193E0FAA">
      <w:pPr>
        <w:numPr>
          <w:ilvl w:val="0"/>
          <w:numId w:val="21"/>
        </w:numPr>
        <w:ind w:firstLineChars="0"/>
        <w:rPr>
          <w:rFonts w:ascii="仿宋_GB2312" w:hAnsi="仿宋_GB2312" w:cs="仿宋_GB2312"/>
        </w:rPr>
      </w:pPr>
      <w:r>
        <w:rPr>
          <w:rFonts w:hint="eastAsia" w:ascii="仿宋_GB2312" w:hAnsi="仿宋_GB2312" w:cs="仿宋_GB2312"/>
        </w:rPr>
        <w:t xml:space="preserve">有关法律、行政法规、规章、标准、上位预案中的有关规定发生变化的。 </w:t>
      </w:r>
    </w:p>
    <w:p w14:paraId="2C1A6C38">
      <w:pPr>
        <w:numPr>
          <w:ilvl w:val="0"/>
          <w:numId w:val="21"/>
        </w:numPr>
        <w:ind w:firstLineChars="0"/>
        <w:rPr>
          <w:rFonts w:ascii="仿宋_GB2312" w:hAnsi="仿宋_GB2312" w:cs="仿宋_GB2312"/>
        </w:rPr>
      </w:pPr>
      <w:r>
        <w:rPr>
          <w:rFonts w:hint="eastAsia" w:ascii="仿宋_GB2312" w:hAnsi="仿宋_GB2312" w:cs="仿宋_GB2312"/>
        </w:rPr>
        <w:t>应急指挥机构及其职责发生重大调整的。</w:t>
      </w:r>
    </w:p>
    <w:p w14:paraId="0298C8D1">
      <w:pPr>
        <w:numPr>
          <w:ilvl w:val="0"/>
          <w:numId w:val="21"/>
        </w:numPr>
        <w:ind w:firstLineChars="0"/>
        <w:rPr>
          <w:rFonts w:ascii="仿宋_GB2312" w:hAnsi="仿宋_GB2312" w:cs="仿宋_GB2312"/>
        </w:rPr>
      </w:pPr>
      <w:r>
        <w:rPr>
          <w:rFonts w:hint="eastAsia" w:ascii="仿宋_GB2312" w:hAnsi="仿宋_GB2312" w:cs="仿宋_GB2312"/>
        </w:rPr>
        <w:t>面临的风险发生重大变化的。</w:t>
      </w:r>
    </w:p>
    <w:p w14:paraId="7C765EC2">
      <w:pPr>
        <w:numPr>
          <w:ilvl w:val="0"/>
          <w:numId w:val="21"/>
        </w:numPr>
        <w:ind w:firstLineChars="0"/>
        <w:rPr>
          <w:rFonts w:ascii="仿宋_GB2312" w:hAnsi="仿宋_GB2312" w:cs="仿宋_GB2312"/>
        </w:rPr>
      </w:pPr>
      <w:r>
        <w:rPr>
          <w:rFonts w:hint="eastAsia" w:ascii="仿宋_GB2312" w:hAnsi="仿宋_GB2312" w:cs="仿宋_GB2312"/>
        </w:rPr>
        <w:t>重要应急资源发生重大变化的。</w:t>
      </w:r>
    </w:p>
    <w:p w14:paraId="58ABC266">
      <w:pPr>
        <w:numPr>
          <w:ilvl w:val="0"/>
          <w:numId w:val="21"/>
        </w:numPr>
        <w:ind w:firstLineChars="0"/>
        <w:rPr>
          <w:rFonts w:ascii="仿宋_GB2312" w:hAnsi="仿宋_GB2312" w:cs="仿宋_GB2312"/>
        </w:rPr>
      </w:pPr>
      <w:r>
        <w:rPr>
          <w:rFonts w:hint="eastAsia" w:ascii="仿宋_GB2312" w:hAnsi="仿宋_GB2312" w:cs="仿宋_GB2312"/>
        </w:rPr>
        <w:t>预案中的其他重要信息发生变化的。</w:t>
      </w:r>
    </w:p>
    <w:p w14:paraId="0BFB0EAB">
      <w:pPr>
        <w:numPr>
          <w:ilvl w:val="0"/>
          <w:numId w:val="21"/>
        </w:numPr>
        <w:ind w:firstLineChars="0"/>
        <w:rPr>
          <w:rFonts w:ascii="仿宋_GB2312" w:hAnsi="仿宋_GB2312" w:cs="仿宋_GB2312"/>
        </w:rPr>
      </w:pPr>
      <w:r>
        <w:rPr>
          <w:rFonts w:hint="eastAsia" w:ascii="仿宋_GB2312" w:hAnsi="仿宋_GB2312" w:cs="仿宋_GB2312"/>
        </w:rPr>
        <w:t>在突发事件实际应对和应急演练中发现问题需要做出重大调整的。</w:t>
      </w:r>
    </w:p>
    <w:p w14:paraId="782AC92A">
      <w:pPr>
        <w:numPr>
          <w:ilvl w:val="0"/>
          <w:numId w:val="21"/>
        </w:numPr>
        <w:ind w:firstLineChars="0"/>
      </w:pPr>
      <w:r>
        <w:rPr>
          <w:rFonts w:hint="eastAsia" w:ascii="仿宋_GB2312" w:hAnsi="仿宋_GB2312" w:cs="仿宋_GB2312"/>
        </w:rPr>
        <w:t>应急预案制定单位认为应当修订的其他情况。</w:t>
      </w:r>
    </w:p>
    <w:p w14:paraId="0302E46B">
      <w:pPr>
        <w:pStyle w:val="3"/>
        <w:rPr>
          <w:szCs w:val="32"/>
        </w:rPr>
      </w:pPr>
      <w:bookmarkStart w:id="330" w:name="_Toc5123"/>
      <w:r>
        <w:rPr>
          <w:szCs w:val="32"/>
        </w:rPr>
        <w:t>奖励与责任追究</w:t>
      </w:r>
      <w:bookmarkEnd w:id="330"/>
    </w:p>
    <w:p w14:paraId="32138B86">
      <w:pPr>
        <w:ind w:firstLine="632"/>
      </w:pPr>
      <w:r>
        <w:t>对</w:t>
      </w:r>
      <w:r>
        <w:rPr>
          <w:rFonts w:hint="eastAsia"/>
        </w:rPr>
        <w:t>抗旱救灾</w:t>
      </w:r>
      <w:r>
        <w:t>工作</w:t>
      </w:r>
      <w:r>
        <w:rPr>
          <w:rFonts w:hint="eastAsia"/>
        </w:rPr>
        <w:t>作出</w:t>
      </w:r>
      <w:r>
        <w:t>突出贡献的先进集体和个人按规定给予表彰和奖励；对</w:t>
      </w:r>
      <w:r>
        <w:rPr>
          <w:rFonts w:hint="eastAsia"/>
        </w:rPr>
        <w:t>抗旱救灾</w:t>
      </w:r>
      <w:r>
        <w:t>工作中英勇献身的人员，按有关规定追认为烈士；对</w:t>
      </w:r>
      <w:r>
        <w:rPr>
          <w:rFonts w:hint="eastAsia"/>
        </w:rPr>
        <w:t>抗旱救灾</w:t>
      </w:r>
      <w:r>
        <w:t>工作中致伤致残的人员，按有关规定给予工作生活照顾。对危害</w:t>
      </w:r>
      <w:r>
        <w:rPr>
          <w:rFonts w:hint="eastAsia"/>
        </w:rPr>
        <w:t>抗旱救灾</w:t>
      </w:r>
      <w:r>
        <w:t>工作的，视情节和危害后果，依法追究当事人的责任，构成犯罪的，依法追究其刑事责任。</w:t>
      </w:r>
    </w:p>
    <w:p w14:paraId="3E353143">
      <w:pPr>
        <w:pStyle w:val="3"/>
        <w:rPr>
          <w:szCs w:val="32"/>
        </w:rPr>
      </w:pPr>
      <w:bookmarkStart w:id="331" w:name="_Toc31486"/>
      <w:bookmarkStart w:id="332" w:name="_Toc4896"/>
      <w:bookmarkStart w:id="333" w:name="_Toc4781"/>
      <w:r>
        <w:rPr>
          <w:rFonts w:hint="eastAsia"/>
          <w:szCs w:val="32"/>
        </w:rPr>
        <w:t>预案制定与</w:t>
      </w:r>
      <w:bookmarkEnd w:id="331"/>
      <w:bookmarkEnd w:id="332"/>
      <w:r>
        <w:rPr>
          <w:rFonts w:hint="eastAsia"/>
          <w:szCs w:val="32"/>
        </w:rPr>
        <w:t>解释</w:t>
      </w:r>
      <w:bookmarkEnd w:id="333"/>
    </w:p>
    <w:p w14:paraId="408356A1">
      <w:pPr>
        <w:ind w:firstLine="632"/>
      </w:pPr>
      <w:r>
        <w:rPr>
          <w:rFonts w:hint="eastAsia"/>
        </w:rPr>
        <w:t>本预案由集贤县人民政府负责制定，预案修订与解释工作由集贤县防汛抗旱指挥部办公室具体负责。</w:t>
      </w:r>
    </w:p>
    <w:p w14:paraId="750422E2">
      <w:pPr>
        <w:pStyle w:val="3"/>
        <w:rPr>
          <w:szCs w:val="32"/>
        </w:rPr>
      </w:pPr>
      <w:bookmarkStart w:id="334" w:name="_Toc24678"/>
      <w:bookmarkStart w:id="335" w:name="_Toc16459"/>
      <w:r>
        <w:rPr>
          <w:rFonts w:hint="eastAsia"/>
          <w:szCs w:val="32"/>
        </w:rPr>
        <w:t>预案中“以上”“以下”的含义</w:t>
      </w:r>
      <w:bookmarkEnd w:id="334"/>
      <w:bookmarkEnd w:id="335"/>
    </w:p>
    <w:p w14:paraId="05B48503">
      <w:pPr>
        <w:ind w:firstLine="632"/>
      </w:pPr>
      <w:r>
        <w:rPr>
          <w:rFonts w:hint="eastAsia"/>
        </w:rPr>
        <w:t>本预案有关数量的表述中，“以上”包含本数，“以下”不包含本数。</w:t>
      </w:r>
    </w:p>
    <w:p w14:paraId="1BB4D7BE">
      <w:pPr>
        <w:pStyle w:val="3"/>
        <w:rPr>
          <w:szCs w:val="32"/>
        </w:rPr>
      </w:pPr>
      <w:bookmarkStart w:id="336" w:name="_Toc20242"/>
      <w:bookmarkStart w:id="337" w:name="_Toc1033"/>
      <w:r>
        <w:rPr>
          <w:rFonts w:hint="eastAsia"/>
          <w:szCs w:val="32"/>
        </w:rPr>
        <w:t>预案的实施</w:t>
      </w:r>
      <w:bookmarkEnd w:id="336"/>
      <w:bookmarkEnd w:id="337"/>
    </w:p>
    <w:p w14:paraId="5F3AC188">
      <w:pPr>
        <w:ind w:firstLine="632"/>
      </w:pPr>
      <w:r>
        <w:rPr>
          <w:rFonts w:hint="eastAsia"/>
        </w:rPr>
        <w:t>本预案自发布之日起施行。</w:t>
      </w:r>
    </w:p>
    <w:p w14:paraId="03948399">
      <w:pPr>
        <w:ind w:firstLine="632"/>
      </w:pPr>
    </w:p>
    <w:p w14:paraId="40BA4736">
      <w:pPr>
        <w:ind w:firstLine="0" w:firstLineChars="0"/>
        <w:jc w:val="center"/>
      </w:pPr>
    </w:p>
    <w:p w14:paraId="647FA3DE">
      <w:pPr>
        <w:pStyle w:val="11"/>
        <w:ind w:firstLine="632"/>
      </w:pPr>
      <w:r>
        <w:rPr>
          <w:rFonts w:hint="eastAsia"/>
        </w:rPr>
        <w:t xml:space="preserve"> </w:t>
      </w:r>
    </w:p>
    <w:p w14:paraId="196DE981">
      <w:pPr>
        <w:ind w:firstLine="0" w:firstLineChars="0"/>
        <w:jc w:val="center"/>
        <w:rPr>
          <w:sz w:val="36"/>
          <w:szCs w:val="36"/>
        </w:rPr>
      </w:pPr>
    </w:p>
    <w:p w14:paraId="38F93C1F">
      <w:pPr>
        <w:pStyle w:val="42"/>
      </w:pPr>
    </w:p>
    <w:p w14:paraId="4A382632">
      <w:pPr>
        <w:autoSpaceDE w:val="0"/>
        <w:autoSpaceDN w:val="0"/>
        <w:adjustRightInd w:val="0"/>
        <w:spacing w:line="240" w:lineRule="atLeast"/>
        <w:ind w:firstLine="0" w:firstLineChars="0"/>
        <w:jc w:val="center"/>
        <w:rPr>
          <w:rFonts w:ascii="方正小标宋简体" w:hAnsi="方正小标宋简体" w:eastAsia="方正小标宋简体" w:cs="方正小标宋简体"/>
          <w:bCs/>
          <w:color w:val="000000"/>
          <w:spacing w:val="-6"/>
          <w:kern w:val="0"/>
          <w:sz w:val="52"/>
          <w:szCs w:val="52"/>
          <w:lang w:bidi="ar"/>
        </w:rPr>
      </w:pPr>
      <w:r>
        <w:rPr>
          <w:rFonts w:hint="eastAsia" w:ascii="方正小标宋简体" w:hAnsi="方正小标宋简体" w:eastAsia="方正小标宋简体" w:cs="方正小标宋简体"/>
          <w:bCs/>
          <w:color w:val="000000"/>
          <w:spacing w:val="-6"/>
          <w:kern w:val="0"/>
          <w:sz w:val="52"/>
          <w:szCs w:val="52"/>
          <w:lang w:bidi="ar"/>
        </w:rPr>
        <w:t>集贤县气象灾害应急预案</w:t>
      </w:r>
    </w:p>
    <w:p w14:paraId="687BAABE">
      <w:pPr>
        <w:pStyle w:val="11"/>
        <w:ind w:firstLine="0" w:firstLineChars="0"/>
        <w:jc w:val="center"/>
        <w:rPr>
          <w:rFonts w:ascii="Times New Roman" w:hAnsi="Times New Roman" w:eastAsia="楷体_GB2312" w:cs="Times New Roman"/>
          <w:b/>
          <w:sz w:val="52"/>
          <w:szCs w:val="52"/>
        </w:rPr>
      </w:pPr>
      <w:r>
        <w:rPr>
          <w:rFonts w:hint="eastAsia" w:ascii="仿宋_GB2312" w:hAnsi="仿宋_GB2312" w:cs="仿宋_GB2312"/>
          <w:bCs/>
          <w:sz w:val="48"/>
          <w:szCs w:val="48"/>
        </w:rPr>
        <w:t>（修订稿）</w:t>
      </w:r>
    </w:p>
    <w:p w14:paraId="472101FB">
      <w:pPr>
        <w:ind w:firstLine="632"/>
      </w:pPr>
    </w:p>
    <w:p w14:paraId="33A7D402">
      <w:pPr>
        <w:ind w:firstLine="632"/>
      </w:pPr>
    </w:p>
    <w:p w14:paraId="2E917C4C">
      <w:pPr>
        <w:ind w:firstLine="632"/>
      </w:pPr>
    </w:p>
    <w:p w14:paraId="163AEB86">
      <w:pPr>
        <w:pStyle w:val="11"/>
        <w:ind w:firstLine="632"/>
      </w:pPr>
    </w:p>
    <w:p w14:paraId="2804181F">
      <w:pPr>
        <w:pStyle w:val="11"/>
        <w:ind w:firstLine="632"/>
      </w:pPr>
    </w:p>
    <w:p w14:paraId="1F39A810">
      <w:pPr>
        <w:pStyle w:val="11"/>
        <w:ind w:firstLine="632"/>
      </w:pPr>
    </w:p>
    <w:p w14:paraId="1BCF1913">
      <w:pPr>
        <w:pStyle w:val="11"/>
        <w:ind w:firstLine="632"/>
      </w:pPr>
    </w:p>
    <w:p w14:paraId="037BB248">
      <w:pPr>
        <w:pStyle w:val="11"/>
        <w:ind w:firstLine="632"/>
      </w:pPr>
    </w:p>
    <w:p w14:paraId="0EAEBC64">
      <w:pPr>
        <w:ind w:firstLine="632"/>
      </w:pPr>
    </w:p>
    <w:p w14:paraId="5684F5A6">
      <w:pPr>
        <w:ind w:firstLine="632"/>
      </w:pPr>
    </w:p>
    <w:p w14:paraId="33F66BCB">
      <w:pPr>
        <w:pStyle w:val="42"/>
      </w:pPr>
    </w:p>
    <w:p w14:paraId="2655FF80">
      <w:pPr>
        <w:pStyle w:val="42"/>
      </w:pPr>
    </w:p>
    <w:p w14:paraId="000386F6">
      <w:pPr>
        <w:ind w:firstLine="632"/>
      </w:pPr>
    </w:p>
    <w:p w14:paraId="277594EA">
      <w:pPr>
        <w:ind w:firstLine="0" w:firstLineChars="0"/>
        <w:jc w:val="center"/>
        <w:rPr>
          <w:rFonts w:eastAsia="仿宋"/>
          <w:bCs/>
          <w:spacing w:val="-6"/>
          <w:sz w:val="36"/>
          <w:szCs w:val="24"/>
          <w:lang w:bidi="ar"/>
        </w:rPr>
      </w:pPr>
      <w:r>
        <w:rPr>
          <w:rFonts w:hint="eastAsia"/>
          <w:bCs/>
          <w:spacing w:val="-6"/>
          <w:sz w:val="36"/>
          <w:szCs w:val="24"/>
          <w:lang w:bidi="ar"/>
        </w:rPr>
        <w:t>集贤县</w:t>
      </w:r>
      <w:r>
        <w:rPr>
          <w:rFonts w:hint="eastAsia" w:eastAsia="仿宋"/>
          <w:bCs/>
          <w:spacing w:val="-6"/>
          <w:sz w:val="36"/>
          <w:szCs w:val="24"/>
          <w:lang w:bidi="ar"/>
        </w:rPr>
        <w:t>人民政府</w:t>
      </w:r>
      <w:r>
        <w:rPr>
          <w:rFonts w:hint="eastAsia"/>
          <w:bCs/>
          <w:spacing w:val="-6"/>
          <w:sz w:val="36"/>
          <w:szCs w:val="24"/>
          <w:lang w:bidi="ar"/>
        </w:rPr>
        <w:t xml:space="preserve"> </w:t>
      </w:r>
      <w:r>
        <w:rPr>
          <w:rFonts w:hint="eastAsia" w:eastAsia="仿宋"/>
          <w:bCs/>
          <w:spacing w:val="-6"/>
          <w:sz w:val="36"/>
          <w:szCs w:val="24"/>
          <w:lang w:bidi="ar"/>
        </w:rPr>
        <w:t>编制</w:t>
      </w:r>
    </w:p>
    <w:p w14:paraId="0B24610F">
      <w:pPr>
        <w:ind w:firstLine="0" w:firstLineChars="0"/>
        <w:jc w:val="center"/>
        <w:rPr>
          <w:rFonts w:eastAsia="仿宋"/>
          <w:bCs/>
          <w:spacing w:val="-6"/>
          <w:sz w:val="36"/>
          <w:szCs w:val="24"/>
          <w:lang w:bidi="ar"/>
        </w:rPr>
      </w:pPr>
      <w:r>
        <w:rPr>
          <w:rFonts w:hint="eastAsia" w:eastAsia="仿宋"/>
          <w:bCs/>
          <w:spacing w:val="-6"/>
          <w:sz w:val="36"/>
          <w:szCs w:val="24"/>
          <w:lang w:bidi="ar"/>
        </w:rPr>
        <w:t>202</w:t>
      </w:r>
      <w:r>
        <w:rPr>
          <w:bCs/>
          <w:spacing w:val="-6"/>
          <w:sz w:val="36"/>
          <w:szCs w:val="24"/>
          <w:lang w:bidi="ar"/>
        </w:rPr>
        <w:t>5</w:t>
      </w:r>
      <w:r>
        <w:rPr>
          <w:rFonts w:hint="eastAsia" w:eastAsia="仿宋"/>
          <w:bCs/>
          <w:spacing w:val="-6"/>
          <w:sz w:val="36"/>
          <w:szCs w:val="24"/>
          <w:lang w:bidi="ar"/>
        </w:rPr>
        <w:t>年</w:t>
      </w:r>
      <w:r>
        <w:rPr>
          <w:rFonts w:eastAsia="仿宋"/>
          <w:bCs/>
          <w:spacing w:val="-6"/>
          <w:sz w:val="36"/>
          <w:szCs w:val="24"/>
          <w:lang w:bidi="ar"/>
        </w:rPr>
        <w:t>5</w:t>
      </w:r>
      <w:r>
        <w:rPr>
          <w:rFonts w:hint="eastAsia" w:eastAsia="仿宋"/>
          <w:bCs/>
          <w:spacing w:val="-6"/>
          <w:sz w:val="36"/>
          <w:szCs w:val="24"/>
          <w:lang w:bidi="ar"/>
        </w:rPr>
        <w:t>月</w:t>
      </w:r>
    </w:p>
    <w:p w14:paraId="586889D4">
      <w:pPr>
        <w:ind w:firstLine="0" w:firstLineChars="0"/>
        <w:sectPr>
          <w:footerReference r:id="rId19" w:type="default"/>
          <w:pgSz w:w="11906" w:h="16838"/>
          <w:pgMar w:top="2098" w:right="1474" w:bottom="1984" w:left="1587" w:header="1814" w:footer="1587" w:gutter="0"/>
          <w:pgNumType w:fmt="numberInDash"/>
          <w:cols w:space="720" w:num="1"/>
          <w:docGrid w:type="linesAndChars" w:linePitch="579" w:charSpace="-842"/>
        </w:sectPr>
      </w:pPr>
      <w:r>
        <w:rPr>
          <w:rFonts w:hint="eastAsia"/>
        </w:rPr>
        <w:br w:type="page"/>
      </w:r>
    </w:p>
    <w:p w14:paraId="073783C8">
      <w:pPr>
        <w:ind w:firstLine="0" w:firstLineChars="0"/>
        <w:jc w:val="center"/>
        <w:rPr>
          <w:rFonts w:ascii="微软雅黑" w:hAnsi="微软雅黑" w:eastAsia="微软雅黑" w:cs="微软雅黑"/>
          <w:b/>
          <w:bCs/>
          <w:sz w:val="36"/>
          <w:szCs w:val="36"/>
        </w:rPr>
      </w:pPr>
      <w:r>
        <w:rPr>
          <w:rFonts w:hint="eastAsia" w:ascii="微软雅黑" w:hAnsi="微软雅黑" w:eastAsia="微软雅黑" w:cs="微软雅黑"/>
          <w:b/>
          <w:bCs/>
          <w:sz w:val="36"/>
          <w:szCs w:val="36"/>
        </w:rPr>
        <w:t>目  录</w:t>
      </w:r>
    </w:p>
    <w:p w14:paraId="1CECB4E0">
      <w:pPr>
        <w:pStyle w:val="18"/>
      </w:pPr>
      <w:r>
        <w:rPr>
          <w:rFonts w:hint="eastAsia" w:ascii="黑体" w:hAnsi="黑体" w:eastAsia="黑体" w:cs="黑体"/>
          <w:sz w:val="44"/>
          <w:szCs w:val="44"/>
        </w:rPr>
        <w:fldChar w:fldCharType="begin"/>
      </w:r>
      <w:r>
        <w:rPr>
          <w:rFonts w:hint="eastAsia" w:ascii="黑体" w:hAnsi="黑体" w:eastAsia="黑体" w:cs="黑体"/>
          <w:sz w:val="44"/>
          <w:szCs w:val="44"/>
        </w:rPr>
        <w:instrText xml:space="preserve">TOC \o "1-2" \h \u </w:instrText>
      </w:r>
      <w:r>
        <w:rPr>
          <w:rFonts w:hint="eastAsia" w:ascii="黑体" w:hAnsi="黑体" w:eastAsia="黑体" w:cs="黑体"/>
          <w:sz w:val="44"/>
          <w:szCs w:val="44"/>
        </w:rPr>
        <w:fldChar w:fldCharType="separate"/>
      </w:r>
      <w:r>
        <w:fldChar w:fldCharType="begin"/>
      </w:r>
      <w:r>
        <w:instrText xml:space="preserve"> HYPERLINK \l "_Toc12836" </w:instrText>
      </w:r>
      <w:r>
        <w:fldChar w:fldCharType="separate"/>
      </w:r>
      <w:r>
        <w:rPr>
          <w:rFonts w:eastAsia="仿宋"/>
        </w:rPr>
        <w:t xml:space="preserve">1 </w:t>
      </w:r>
      <w:r>
        <w:rPr>
          <w:rFonts w:hint="eastAsia"/>
        </w:rPr>
        <w:t>总则</w:t>
      </w:r>
      <w:r>
        <w:tab/>
      </w:r>
      <w:r>
        <w:fldChar w:fldCharType="begin"/>
      </w:r>
      <w:r>
        <w:instrText xml:space="preserve"> PAGEREF _Toc12836 \h </w:instrText>
      </w:r>
      <w:r>
        <w:fldChar w:fldCharType="separate"/>
      </w:r>
      <w:r>
        <w:t>1</w:t>
      </w:r>
      <w:r>
        <w:fldChar w:fldCharType="end"/>
      </w:r>
      <w:r>
        <w:fldChar w:fldCharType="end"/>
      </w:r>
    </w:p>
    <w:p w14:paraId="0A400485">
      <w:pPr>
        <w:pStyle w:val="19"/>
        <w:tabs>
          <w:tab w:val="right" w:leader="dot" w:pos="8845"/>
        </w:tabs>
        <w:ind w:firstLine="632"/>
      </w:pPr>
      <w:r>
        <w:fldChar w:fldCharType="begin"/>
      </w:r>
      <w:r>
        <w:instrText xml:space="preserve"> HYPERLINK \l "_Toc4595" </w:instrText>
      </w:r>
      <w:r>
        <w:fldChar w:fldCharType="separate"/>
      </w:r>
      <w:r>
        <w:rPr>
          <w:rFonts w:eastAsia="仿宋"/>
          <w:bCs/>
          <w:szCs w:val="28"/>
        </w:rPr>
        <w:t xml:space="preserve">1.1 </w:t>
      </w:r>
      <w:r>
        <w:rPr>
          <w:rFonts w:hint="eastAsia"/>
        </w:rPr>
        <w:t>指导思想</w:t>
      </w:r>
      <w:r>
        <w:tab/>
      </w:r>
      <w:r>
        <w:fldChar w:fldCharType="begin"/>
      </w:r>
      <w:r>
        <w:instrText xml:space="preserve"> PAGEREF _Toc4595 \h </w:instrText>
      </w:r>
      <w:r>
        <w:fldChar w:fldCharType="separate"/>
      </w:r>
      <w:r>
        <w:rPr>
          <w:b/>
        </w:rPr>
        <w:t>错误！未定义书签。</w:t>
      </w:r>
      <w:r>
        <w:fldChar w:fldCharType="end"/>
      </w:r>
      <w:r>
        <w:fldChar w:fldCharType="end"/>
      </w:r>
    </w:p>
    <w:p w14:paraId="2AA40F12">
      <w:pPr>
        <w:pStyle w:val="19"/>
        <w:tabs>
          <w:tab w:val="right" w:leader="dot" w:pos="8845"/>
        </w:tabs>
        <w:ind w:firstLine="632"/>
      </w:pPr>
      <w:r>
        <w:fldChar w:fldCharType="begin"/>
      </w:r>
      <w:r>
        <w:instrText xml:space="preserve"> HYPERLINK \l "_Toc5168" </w:instrText>
      </w:r>
      <w:r>
        <w:fldChar w:fldCharType="separate"/>
      </w:r>
      <w:r>
        <w:rPr>
          <w:rFonts w:eastAsia="仿宋"/>
          <w:bCs/>
          <w:szCs w:val="28"/>
        </w:rPr>
        <w:t xml:space="preserve">1.2 </w:t>
      </w:r>
      <w:r>
        <w:rPr>
          <w:rFonts w:hint="eastAsia"/>
        </w:rPr>
        <w:t>编制依据</w:t>
      </w:r>
      <w:r>
        <w:tab/>
      </w:r>
      <w:r>
        <w:fldChar w:fldCharType="begin"/>
      </w:r>
      <w:r>
        <w:instrText xml:space="preserve"> PAGEREF _Toc5168 \h </w:instrText>
      </w:r>
      <w:r>
        <w:fldChar w:fldCharType="separate"/>
      </w:r>
      <w:r>
        <w:t>1</w:t>
      </w:r>
      <w:r>
        <w:fldChar w:fldCharType="end"/>
      </w:r>
      <w:r>
        <w:fldChar w:fldCharType="end"/>
      </w:r>
    </w:p>
    <w:p w14:paraId="2AFC9FC0">
      <w:pPr>
        <w:pStyle w:val="19"/>
        <w:tabs>
          <w:tab w:val="right" w:leader="dot" w:pos="8845"/>
        </w:tabs>
        <w:ind w:firstLine="632"/>
      </w:pPr>
      <w:r>
        <w:fldChar w:fldCharType="begin"/>
      </w:r>
      <w:r>
        <w:instrText xml:space="preserve"> HYPERLINK \l "_Toc553" </w:instrText>
      </w:r>
      <w:r>
        <w:fldChar w:fldCharType="separate"/>
      </w:r>
      <w:r>
        <w:rPr>
          <w:rFonts w:eastAsia="仿宋"/>
          <w:bCs/>
          <w:szCs w:val="28"/>
        </w:rPr>
        <w:t xml:space="preserve">1.3 </w:t>
      </w:r>
      <w:r>
        <w:rPr>
          <w:rFonts w:hint="eastAsia"/>
        </w:rPr>
        <w:t>适用范围</w:t>
      </w:r>
      <w:r>
        <w:tab/>
      </w:r>
      <w:r>
        <w:fldChar w:fldCharType="begin"/>
      </w:r>
      <w:r>
        <w:instrText xml:space="preserve"> PAGEREF _Toc553 \h </w:instrText>
      </w:r>
      <w:r>
        <w:fldChar w:fldCharType="separate"/>
      </w:r>
      <w:r>
        <w:t>1</w:t>
      </w:r>
      <w:r>
        <w:fldChar w:fldCharType="end"/>
      </w:r>
      <w:r>
        <w:fldChar w:fldCharType="end"/>
      </w:r>
    </w:p>
    <w:p w14:paraId="2B610E32">
      <w:pPr>
        <w:pStyle w:val="19"/>
        <w:tabs>
          <w:tab w:val="right" w:leader="dot" w:pos="8845"/>
        </w:tabs>
        <w:ind w:firstLine="632"/>
      </w:pPr>
      <w:r>
        <w:fldChar w:fldCharType="begin"/>
      </w:r>
      <w:r>
        <w:instrText xml:space="preserve"> HYPERLINK \l "_Toc3359" </w:instrText>
      </w:r>
      <w:r>
        <w:fldChar w:fldCharType="separate"/>
      </w:r>
      <w:r>
        <w:rPr>
          <w:rFonts w:eastAsia="仿宋"/>
          <w:bCs/>
          <w:szCs w:val="28"/>
        </w:rPr>
        <w:t xml:space="preserve">1.4 </w:t>
      </w:r>
      <w:r>
        <w:rPr>
          <w:rFonts w:hint="eastAsia"/>
        </w:rPr>
        <w:t>工作原则</w:t>
      </w:r>
      <w:r>
        <w:tab/>
      </w:r>
      <w:r>
        <w:fldChar w:fldCharType="begin"/>
      </w:r>
      <w:r>
        <w:instrText xml:space="preserve"> PAGEREF _Toc3359 \h </w:instrText>
      </w:r>
      <w:r>
        <w:fldChar w:fldCharType="separate"/>
      </w:r>
      <w:r>
        <w:t>2</w:t>
      </w:r>
      <w:r>
        <w:fldChar w:fldCharType="end"/>
      </w:r>
      <w:r>
        <w:fldChar w:fldCharType="end"/>
      </w:r>
    </w:p>
    <w:p w14:paraId="62AED372">
      <w:pPr>
        <w:pStyle w:val="18"/>
      </w:pPr>
      <w:r>
        <w:fldChar w:fldCharType="begin"/>
      </w:r>
      <w:r>
        <w:instrText xml:space="preserve"> HYPERLINK \l "_Toc5325" </w:instrText>
      </w:r>
      <w:r>
        <w:fldChar w:fldCharType="separate"/>
      </w:r>
      <w:r>
        <w:rPr>
          <w:rFonts w:eastAsia="仿宋"/>
        </w:rPr>
        <w:t xml:space="preserve">2 </w:t>
      </w:r>
      <w:r>
        <w:rPr>
          <w:rFonts w:hint="eastAsia"/>
        </w:rPr>
        <w:t>组织指挥体系及职责</w:t>
      </w:r>
      <w:r>
        <w:tab/>
      </w:r>
      <w:r>
        <w:fldChar w:fldCharType="begin"/>
      </w:r>
      <w:r>
        <w:instrText xml:space="preserve"> PAGEREF _Toc5325 \h </w:instrText>
      </w:r>
      <w:r>
        <w:fldChar w:fldCharType="separate"/>
      </w:r>
      <w:r>
        <w:t>2</w:t>
      </w:r>
      <w:r>
        <w:fldChar w:fldCharType="end"/>
      </w:r>
      <w:r>
        <w:fldChar w:fldCharType="end"/>
      </w:r>
    </w:p>
    <w:p w14:paraId="0FF7CDBC">
      <w:pPr>
        <w:pStyle w:val="19"/>
        <w:tabs>
          <w:tab w:val="right" w:leader="dot" w:pos="8845"/>
        </w:tabs>
        <w:ind w:firstLine="632"/>
      </w:pPr>
      <w:r>
        <w:fldChar w:fldCharType="begin"/>
      </w:r>
      <w:r>
        <w:instrText xml:space="preserve"> HYPERLINK \l "_Toc20098" </w:instrText>
      </w:r>
      <w:r>
        <w:fldChar w:fldCharType="separate"/>
      </w:r>
      <w:r>
        <w:rPr>
          <w:rFonts w:eastAsia="仿宋"/>
          <w:bCs/>
          <w:szCs w:val="28"/>
        </w:rPr>
        <w:t xml:space="preserve">2.1 </w:t>
      </w:r>
      <w:r>
        <w:rPr>
          <w:rFonts w:hint="eastAsia"/>
        </w:rPr>
        <w:t>县气象灾害应急指挥部</w:t>
      </w:r>
      <w:r>
        <w:tab/>
      </w:r>
      <w:r>
        <w:fldChar w:fldCharType="begin"/>
      </w:r>
      <w:r>
        <w:instrText xml:space="preserve"> PAGEREF _Toc20098 \h </w:instrText>
      </w:r>
      <w:r>
        <w:fldChar w:fldCharType="separate"/>
      </w:r>
      <w:r>
        <w:t>2</w:t>
      </w:r>
      <w:r>
        <w:fldChar w:fldCharType="end"/>
      </w:r>
      <w:r>
        <w:fldChar w:fldCharType="end"/>
      </w:r>
    </w:p>
    <w:p w14:paraId="21D8BA74">
      <w:pPr>
        <w:pStyle w:val="19"/>
        <w:tabs>
          <w:tab w:val="right" w:leader="dot" w:pos="8845"/>
        </w:tabs>
        <w:ind w:firstLine="632"/>
      </w:pPr>
      <w:r>
        <w:fldChar w:fldCharType="begin"/>
      </w:r>
      <w:r>
        <w:instrText xml:space="preserve"> HYPERLINK \l "_Toc4050" </w:instrText>
      </w:r>
      <w:r>
        <w:fldChar w:fldCharType="separate"/>
      </w:r>
      <w:r>
        <w:rPr>
          <w:rFonts w:eastAsia="仿宋"/>
          <w:bCs/>
          <w:szCs w:val="28"/>
        </w:rPr>
        <w:t xml:space="preserve">2.2 </w:t>
      </w:r>
      <w:r>
        <w:rPr>
          <w:rFonts w:hint="eastAsia"/>
        </w:rPr>
        <w:t>应急指挥协调联动机制</w:t>
      </w:r>
      <w:r>
        <w:tab/>
      </w:r>
      <w:r>
        <w:fldChar w:fldCharType="begin"/>
      </w:r>
      <w:r>
        <w:instrText xml:space="preserve"> PAGEREF _Toc4050 \h </w:instrText>
      </w:r>
      <w:r>
        <w:fldChar w:fldCharType="separate"/>
      </w:r>
      <w:r>
        <w:t>9</w:t>
      </w:r>
      <w:r>
        <w:fldChar w:fldCharType="end"/>
      </w:r>
      <w:r>
        <w:fldChar w:fldCharType="end"/>
      </w:r>
    </w:p>
    <w:p w14:paraId="7C5EFEF0">
      <w:pPr>
        <w:pStyle w:val="19"/>
        <w:tabs>
          <w:tab w:val="right" w:leader="dot" w:pos="8845"/>
        </w:tabs>
        <w:ind w:firstLine="632"/>
      </w:pPr>
      <w:r>
        <w:fldChar w:fldCharType="begin"/>
      </w:r>
      <w:r>
        <w:instrText xml:space="preserve"> HYPERLINK \l "_Toc7814" </w:instrText>
      </w:r>
      <w:r>
        <w:fldChar w:fldCharType="separate"/>
      </w:r>
      <w:r>
        <w:rPr>
          <w:rFonts w:eastAsia="仿宋"/>
          <w:bCs/>
          <w:szCs w:val="28"/>
        </w:rPr>
        <w:t xml:space="preserve">2.3 </w:t>
      </w:r>
      <w:r>
        <w:rPr>
          <w:rFonts w:hint="eastAsia"/>
        </w:rPr>
        <w:t>气象灾害应急专家组</w:t>
      </w:r>
      <w:r>
        <w:tab/>
      </w:r>
      <w:r>
        <w:fldChar w:fldCharType="begin"/>
      </w:r>
      <w:r>
        <w:instrText xml:space="preserve"> PAGEREF _Toc7814 \h </w:instrText>
      </w:r>
      <w:r>
        <w:fldChar w:fldCharType="separate"/>
      </w:r>
      <w:r>
        <w:t>10</w:t>
      </w:r>
      <w:r>
        <w:fldChar w:fldCharType="end"/>
      </w:r>
      <w:r>
        <w:fldChar w:fldCharType="end"/>
      </w:r>
    </w:p>
    <w:p w14:paraId="43FED93F">
      <w:pPr>
        <w:pStyle w:val="19"/>
        <w:tabs>
          <w:tab w:val="right" w:leader="dot" w:pos="8845"/>
        </w:tabs>
        <w:ind w:firstLine="632"/>
      </w:pPr>
      <w:r>
        <w:fldChar w:fldCharType="begin"/>
      </w:r>
      <w:r>
        <w:instrText xml:space="preserve"> HYPERLINK \l "_Toc24750" </w:instrText>
      </w:r>
      <w:r>
        <w:fldChar w:fldCharType="separate"/>
      </w:r>
      <w:r>
        <w:rPr>
          <w:rFonts w:eastAsia="仿宋"/>
          <w:bCs/>
          <w:szCs w:val="28"/>
        </w:rPr>
        <w:t xml:space="preserve">2.4 </w:t>
      </w:r>
      <w:r>
        <w:rPr>
          <w:rFonts w:hint="eastAsia"/>
        </w:rPr>
        <w:t>县气象灾害应急责任人</w:t>
      </w:r>
      <w:r>
        <w:tab/>
      </w:r>
      <w:r>
        <w:fldChar w:fldCharType="begin"/>
      </w:r>
      <w:r>
        <w:instrText xml:space="preserve"> PAGEREF _Toc24750 \h </w:instrText>
      </w:r>
      <w:r>
        <w:fldChar w:fldCharType="separate"/>
      </w:r>
      <w:r>
        <w:t>10</w:t>
      </w:r>
      <w:r>
        <w:fldChar w:fldCharType="end"/>
      </w:r>
      <w:r>
        <w:fldChar w:fldCharType="end"/>
      </w:r>
    </w:p>
    <w:p w14:paraId="401EF17E">
      <w:pPr>
        <w:pStyle w:val="19"/>
        <w:tabs>
          <w:tab w:val="right" w:leader="dot" w:pos="8845"/>
        </w:tabs>
        <w:ind w:firstLine="632"/>
      </w:pPr>
      <w:r>
        <w:fldChar w:fldCharType="begin"/>
      </w:r>
      <w:r>
        <w:instrText xml:space="preserve"> HYPERLINK \l "_Toc23768" </w:instrText>
      </w:r>
      <w:r>
        <w:fldChar w:fldCharType="separate"/>
      </w:r>
      <w:r>
        <w:rPr>
          <w:rFonts w:eastAsia="仿宋"/>
          <w:bCs/>
          <w:szCs w:val="28"/>
        </w:rPr>
        <w:t xml:space="preserve">2.5 </w:t>
      </w:r>
      <w:r>
        <w:rPr>
          <w:rFonts w:hint="eastAsia"/>
        </w:rPr>
        <w:t>县气象灾害应急工作组及职责</w:t>
      </w:r>
      <w:r>
        <w:tab/>
      </w:r>
      <w:r>
        <w:fldChar w:fldCharType="begin"/>
      </w:r>
      <w:r>
        <w:instrText xml:space="preserve"> PAGEREF _Toc23768 \h </w:instrText>
      </w:r>
      <w:r>
        <w:fldChar w:fldCharType="separate"/>
      </w:r>
      <w:r>
        <w:t>11</w:t>
      </w:r>
      <w:r>
        <w:fldChar w:fldCharType="end"/>
      </w:r>
      <w:r>
        <w:fldChar w:fldCharType="end"/>
      </w:r>
    </w:p>
    <w:p w14:paraId="66E75B45">
      <w:pPr>
        <w:pStyle w:val="18"/>
      </w:pPr>
      <w:r>
        <w:fldChar w:fldCharType="begin"/>
      </w:r>
      <w:r>
        <w:instrText xml:space="preserve"> HYPERLINK \l "_Toc14372" </w:instrText>
      </w:r>
      <w:r>
        <w:fldChar w:fldCharType="separate"/>
      </w:r>
      <w:r>
        <w:rPr>
          <w:rFonts w:eastAsia="仿宋"/>
        </w:rPr>
        <w:t xml:space="preserve">3 </w:t>
      </w:r>
      <w:r>
        <w:rPr>
          <w:rFonts w:hint="eastAsia"/>
        </w:rPr>
        <w:t>应急准备</w:t>
      </w:r>
      <w:r>
        <w:tab/>
      </w:r>
      <w:r>
        <w:fldChar w:fldCharType="begin"/>
      </w:r>
      <w:r>
        <w:instrText xml:space="preserve"> PAGEREF _Toc14372 \h </w:instrText>
      </w:r>
      <w:r>
        <w:fldChar w:fldCharType="separate"/>
      </w:r>
      <w:r>
        <w:t>15</w:t>
      </w:r>
      <w:r>
        <w:fldChar w:fldCharType="end"/>
      </w:r>
      <w:r>
        <w:fldChar w:fldCharType="end"/>
      </w:r>
    </w:p>
    <w:p w14:paraId="4CF4AF95">
      <w:pPr>
        <w:pStyle w:val="19"/>
        <w:tabs>
          <w:tab w:val="right" w:leader="dot" w:pos="8845"/>
        </w:tabs>
        <w:ind w:firstLine="632"/>
      </w:pPr>
      <w:r>
        <w:fldChar w:fldCharType="begin"/>
      </w:r>
      <w:r>
        <w:instrText xml:space="preserve"> HYPERLINK \l "_Toc12245" </w:instrText>
      </w:r>
      <w:r>
        <w:fldChar w:fldCharType="separate"/>
      </w:r>
      <w:r>
        <w:rPr>
          <w:rFonts w:eastAsia="仿宋"/>
          <w:bCs/>
          <w:szCs w:val="28"/>
        </w:rPr>
        <w:t xml:space="preserve">3.1 </w:t>
      </w:r>
      <w:r>
        <w:rPr>
          <w:rFonts w:hint="eastAsia"/>
        </w:rPr>
        <w:t>开展气象灾害风险隐患排查</w:t>
      </w:r>
      <w:r>
        <w:tab/>
      </w:r>
      <w:r>
        <w:fldChar w:fldCharType="begin"/>
      </w:r>
      <w:r>
        <w:instrText xml:space="preserve"> PAGEREF _Toc12245 \h </w:instrText>
      </w:r>
      <w:r>
        <w:fldChar w:fldCharType="separate"/>
      </w:r>
      <w:r>
        <w:t>15</w:t>
      </w:r>
      <w:r>
        <w:fldChar w:fldCharType="end"/>
      </w:r>
      <w:r>
        <w:fldChar w:fldCharType="end"/>
      </w:r>
    </w:p>
    <w:p w14:paraId="319461B7">
      <w:pPr>
        <w:pStyle w:val="19"/>
        <w:tabs>
          <w:tab w:val="right" w:leader="dot" w:pos="8845"/>
        </w:tabs>
        <w:ind w:firstLine="632"/>
      </w:pPr>
      <w:r>
        <w:fldChar w:fldCharType="begin"/>
      </w:r>
      <w:r>
        <w:instrText xml:space="preserve"> HYPERLINK \l "_Toc310" </w:instrText>
      </w:r>
      <w:r>
        <w:fldChar w:fldCharType="separate"/>
      </w:r>
      <w:r>
        <w:rPr>
          <w:rFonts w:eastAsia="仿宋"/>
          <w:bCs/>
          <w:szCs w:val="28"/>
        </w:rPr>
        <w:t xml:space="preserve">3.2 </w:t>
      </w:r>
      <w:r>
        <w:rPr>
          <w:rFonts w:hint="eastAsia"/>
        </w:rPr>
        <w:t>开展气象灾害风险隐患整治</w:t>
      </w:r>
      <w:r>
        <w:tab/>
      </w:r>
      <w:r>
        <w:fldChar w:fldCharType="begin"/>
      </w:r>
      <w:r>
        <w:instrText xml:space="preserve"> PAGEREF _Toc310 \h </w:instrText>
      </w:r>
      <w:r>
        <w:fldChar w:fldCharType="separate"/>
      </w:r>
      <w:r>
        <w:t>15</w:t>
      </w:r>
      <w:r>
        <w:fldChar w:fldCharType="end"/>
      </w:r>
      <w:r>
        <w:fldChar w:fldCharType="end"/>
      </w:r>
    </w:p>
    <w:p w14:paraId="1752F78E">
      <w:pPr>
        <w:pStyle w:val="19"/>
        <w:tabs>
          <w:tab w:val="right" w:leader="dot" w:pos="8845"/>
        </w:tabs>
        <w:ind w:firstLine="632"/>
      </w:pPr>
      <w:r>
        <w:fldChar w:fldCharType="begin"/>
      </w:r>
      <w:r>
        <w:instrText xml:space="preserve"> HYPERLINK \l "_Toc9252" </w:instrText>
      </w:r>
      <w:r>
        <w:fldChar w:fldCharType="separate"/>
      </w:r>
      <w:r>
        <w:rPr>
          <w:rFonts w:eastAsia="仿宋"/>
          <w:bCs/>
          <w:szCs w:val="28"/>
        </w:rPr>
        <w:t xml:space="preserve">3.3 </w:t>
      </w:r>
      <w:r>
        <w:rPr>
          <w:rFonts w:hint="eastAsia"/>
        </w:rPr>
        <w:t>制订防御气象灾害的具体措施</w:t>
      </w:r>
      <w:r>
        <w:tab/>
      </w:r>
      <w:r>
        <w:fldChar w:fldCharType="begin"/>
      </w:r>
      <w:r>
        <w:instrText xml:space="preserve"> PAGEREF _Toc9252 \h </w:instrText>
      </w:r>
      <w:r>
        <w:fldChar w:fldCharType="separate"/>
      </w:r>
      <w:r>
        <w:t>15</w:t>
      </w:r>
      <w:r>
        <w:fldChar w:fldCharType="end"/>
      </w:r>
      <w:r>
        <w:fldChar w:fldCharType="end"/>
      </w:r>
    </w:p>
    <w:p w14:paraId="42F1BEBB">
      <w:pPr>
        <w:pStyle w:val="19"/>
        <w:tabs>
          <w:tab w:val="right" w:leader="dot" w:pos="8845"/>
        </w:tabs>
        <w:ind w:firstLine="632"/>
      </w:pPr>
      <w:r>
        <w:fldChar w:fldCharType="begin"/>
      </w:r>
      <w:r>
        <w:instrText xml:space="preserve"> HYPERLINK \l "_Toc29915" </w:instrText>
      </w:r>
      <w:r>
        <w:fldChar w:fldCharType="separate"/>
      </w:r>
      <w:r>
        <w:rPr>
          <w:rFonts w:eastAsia="仿宋"/>
          <w:bCs/>
          <w:szCs w:val="28"/>
        </w:rPr>
        <w:t xml:space="preserve">3.4 </w:t>
      </w:r>
      <w:r>
        <w:rPr>
          <w:rFonts w:hint="eastAsia"/>
        </w:rPr>
        <w:t>推进重要信息实时共享</w:t>
      </w:r>
      <w:r>
        <w:tab/>
      </w:r>
      <w:r>
        <w:fldChar w:fldCharType="begin"/>
      </w:r>
      <w:r>
        <w:instrText xml:space="preserve"> PAGEREF _Toc29915 \h </w:instrText>
      </w:r>
      <w:r>
        <w:fldChar w:fldCharType="separate"/>
      </w:r>
      <w:r>
        <w:t>16</w:t>
      </w:r>
      <w:r>
        <w:fldChar w:fldCharType="end"/>
      </w:r>
      <w:r>
        <w:fldChar w:fldCharType="end"/>
      </w:r>
    </w:p>
    <w:p w14:paraId="4B1FADDB">
      <w:pPr>
        <w:pStyle w:val="18"/>
      </w:pPr>
      <w:r>
        <w:fldChar w:fldCharType="begin"/>
      </w:r>
      <w:r>
        <w:instrText xml:space="preserve"> HYPERLINK \l "_Toc6692" </w:instrText>
      </w:r>
      <w:r>
        <w:fldChar w:fldCharType="separate"/>
      </w:r>
      <w:r>
        <w:rPr>
          <w:rFonts w:eastAsia="仿宋"/>
        </w:rPr>
        <w:t xml:space="preserve">4 </w:t>
      </w:r>
      <w:r>
        <w:rPr>
          <w:rFonts w:hint="eastAsia"/>
        </w:rPr>
        <w:t>监测预警</w:t>
      </w:r>
      <w:r>
        <w:tab/>
      </w:r>
      <w:r>
        <w:fldChar w:fldCharType="begin"/>
      </w:r>
      <w:r>
        <w:instrText xml:space="preserve"> PAGEREF _Toc6692 \h </w:instrText>
      </w:r>
      <w:r>
        <w:fldChar w:fldCharType="separate"/>
      </w:r>
      <w:r>
        <w:t>16</w:t>
      </w:r>
      <w:r>
        <w:fldChar w:fldCharType="end"/>
      </w:r>
      <w:r>
        <w:fldChar w:fldCharType="end"/>
      </w:r>
    </w:p>
    <w:p w14:paraId="69400CE5">
      <w:pPr>
        <w:pStyle w:val="19"/>
        <w:tabs>
          <w:tab w:val="right" w:leader="dot" w:pos="8845"/>
        </w:tabs>
        <w:ind w:firstLine="632"/>
      </w:pPr>
      <w:r>
        <w:fldChar w:fldCharType="begin"/>
      </w:r>
      <w:r>
        <w:instrText xml:space="preserve"> HYPERLINK \l "_Toc22572" </w:instrText>
      </w:r>
      <w:r>
        <w:fldChar w:fldCharType="separate"/>
      </w:r>
      <w:r>
        <w:rPr>
          <w:rFonts w:eastAsia="仿宋"/>
          <w:bCs/>
          <w:szCs w:val="28"/>
        </w:rPr>
        <w:t xml:space="preserve">4.1 </w:t>
      </w:r>
      <w:r>
        <w:rPr>
          <w:rFonts w:hint="eastAsia"/>
        </w:rPr>
        <w:t>监测预报</w:t>
      </w:r>
      <w:r>
        <w:tab/>
      </w:r>
      <w:r>
        <w:fldChar w:fldCharType="begin"/>
      </w:r>
      <w:r>
        <w:instrText xml:space="preserve"> PAGEREF _Toc22572 \h </w:instrText>
      </w:r>
      <w:r>
        <w:fldChar w:fldCharType="separate"/>
      </w:r>
      <w:r>
        <w:t>16</w:t>
      </w:r>
      <w:r>
        <w:fldChar w:fldCharType="end"/>
      </w:r>
      <w:r>
        <w:fldChar w:fldCharType="end"/>
      </w:r>
    </w:p>
    <w:p w14:paraId="23C23694">
      <w:pPr>
        <w:pStyle w:val="19"/>
        <w:tabs>
          <w:tab w:val="right" w:leader="dot" w:pos="8845"/>
        </w:tabs>
        <w:ind w:firstLine="632"/>
      </w:pPr>
      <w:r>
        <w:fldChar w:fldCharType="begin"/>
      </w:r>
      <w:r>
        <w:instrText xml:space="preserve"> HYPERLINK \l "_Toc30684" </w:instrText>
      </w:r>
      <w:r>
        <w:fldChar w:fldCharType="separate"/>
      </w:r>
      <w:r>
        <w:rPr>
          <w:rFonts w:eastAsia="仿宋"/>
          <w:bCs/>
          <w:szCs w:val="28"/>
        </w:rPr>
        <w:t xml:space="preserve">4.2 </w:t>
      </w:r>
      <w:r>
        <w:rPr>
          <w:rFonts w:hint="eastAsia"/>
        </w:rPr>
        <w:t>预警信息制作</w:t>
      </w:r>
      <w:r>
        <w:tab/>
      </w:r>
      <w:r>
        <w:fldChar w:fldCharType="begin"/>
      </w:r>
      <w:r>
        <w:instrText xml:space="preserve"> PAGEREF _Toc30684 \h </w:instrText>
      </w:r>
      <w:r>
        <w:fldChar w:fldCharType="separate"/>
      </w:r>
      <w:r>
        <w:t>17</w:t>
      </w:r>
      <w:r>
        <w:fldChar w:fldCharType="end"/>
      </w:r>
      <w:r>
        <w:fldChar w:fldCharType="end"/>
      </w:r>
    </w:p>
    <w:p w14:paraId="73E24553">
      <w:pPr>
        <w:pStyle w:val="19"/>
        <w:tabs>
          <w:tab w:val="right" w:leader="dot" w:pos="8845"/>
        </w:tabs>
        <w:ind w:firstLine="632"/>
      </w:pPr>
      <w:r>
        <w:fldChar w:fldCharType="begin"/>
      </w:r>
      <w:r>
        <w:instrText xml:space="preserve"> HYPERLINK \l "_Toc8480" </w:instrText>
      </w:r>
      <w:r>
        <w:fldChar w:fldCharType="separate"/>
      </w:r>
      <w:r>
        <w:rPr>
          <w:rFonts w:eastAsia="仿宋"/>
          <w:bCs/>
          <w:szCs w:val="28"/>
        </w:rPr>
        <w:t xml:space="preserve">4.3 </w:t>
      </w:r>
      <w:r>
        <w:rPr>
          <w:rFonts w:hint="eastAsia"/>
        </w:rPr>
        <w:t>预警信息发布</w:t>
      </w:r>
      <w:r>
        <w:tab/>
      </w:r>
      <w:r>
        <w:fldChar w:fldCharType="begin"/>
      </w:r>
      <w:r>
        <w:instrText xml:space="preserve"> PAGEREF _Toc8480 \h </w:instrText>
      </w:r>
      <w:r>
        <w:fldChar w:fldCharType="separate"/>
      </w:r>
      <w:r>
        <w:t>17</w:t>
      </w:r>
      <w:r>
        <w:fldChar w:fldCharType="end"/>
      </w:r>
      <w:r>
        <w:fldChar w:fldCharType="end"/>
      </w:r>
    </w:p>
    <w:p w14:paraId="21C7CF02">
      <w:pPr>
        <w:pStyle w:val="19"/>
        <w:tabs>
          <w:tab w:val="right" w:leader="dot" w:pos="8845"/>
        </w:tabs>
        <w:ind w:firstLine="632"/>
      </w:pPr>
      <w:r>
        <w:fldChar w:fldCharType="begin"/>
      </w:r>
      <w:r>
        <w:instrText xml:space="preserve"> HYPERLINK \l "_Toc2891" </w:instrText>
      </w:r>
      <w:r>
        <w:fldChar w:fldCharType="separate"/>
      </w:r>
      <w:r>
        <w:rPr>
          <w:rFonts w:eastAsia="仿宋"/>
          <w:bCs/>
          <w:szCs w:val="28"/>
        </w:rPr>
        <w:t xml:space="preserve">4.4 </w:t>
      </w:r>
      <w:r>
        <w:rPr>
          <w:rFonts w:hint="eastAsia"/>
        </w:rPr>
        <w:t>预警行动</w:t>
      </w:r>
      <w:r>
        <w:tab/>
      </w:r>
      <w:r>
        <w:fldChar w:fldCharType="begin"/>
      </w:r>
      <w:r>
        <w:instrText xml:space="preserve"> PAGEREF _Toc2891 \h </w:instrText>
      </w:r>
      <w:r>
        <w:fldChar w:fldCharType="separate"/>
      </w:r>
      <w:r>
        <w:t>19</w:t>
      </w:r>
      <w:r>
        <w:fldChar w:fldCharType="end"/>
      </w:r>
      <w:r>
        <w:fldChar w:fldCharType="end"/>
      </w:r>
    </w:p>
    <w:p w14:paraId="674DE050">
      <w:pPr>
        <w:pStyle w:val="19"/>
        <w:tabs>
          <w:tab w:val="right" w:leader="dot" w:pos="8845"/>
        </w:tabs>
        <w:ind w:firstLine="632"/>
      </w:pPr>
      <w:r>
        <w:fldChar w:fldCharType="begin"/>
      </w:r>
      <w:r>
        <w:instrText xml:space="preserve"> HYPERLINK \l "_Toc24085" </w:instrText>
      </w:r>
      <w:r>
        <w:fldChar w:fldCharType="separate"/>
      </w:r>
      <w:r>
        <w:rPr>
          <w:rFonts w:eastAsia="仿宋"/>
          <w:bCs/>
          <w:szCs w:val="28"/>
        </w:rPr>
        <w:t xml:space="preserve">4.5 </w:t>
      </w:r>
      <w:r>
        <w:rPr>
          <w:rFonts w:hint="eastAsia"/>
        </w:rPr>
        <w:t>预警解除</w:t>
      </w:r>
      <w:r>
        <w:tab/>
      </w:r>
      <w:r>
        <w:fldChar w:fldCharType="begin"/>
      </w:r>
      <w:r>
        <w:instrText xml:space="preserve"> PAGEREF _Toc24085 \h </w:instrText>
      </w:r>
      <w:r>
        <w:fldChar w:fldCharType="separate"/>
      </w:r>
      <w:r>
        <w:t>19</w:t>
      </w:r>
      <w:r>
        <w:fldChar w:fldCharType="end"/>
      </w:r>
      <w:r>
        <w:fldChar w:fldCharType="end"/>
      </w:r>
    </w:p>
    <w:p w14:paraId="3B1EDC5D">
      <w:pPr>
        <w:pStyle w:val="18"/>
      </w:pPr>
      <w:r>
        <w:fldChar w:fldCharType="begin"/>
      </w:r>
      <w:r>
        <w:instrText xml:space="preserve"> HYPERLINK \l "_Toc10309" </w:instrText>
      </w:r>
      <w:r>
        <w:fldChar w:fldCharType="separate"/>
      </w:r>
      <w:r>
        <w:rPr>
          <w:rFonts w:eastAsia="仿宋"/>
        </w:rPr>
        <w:t xml:space="preserve">5 </w:t>
      </w:r>
      <w:r>
        <w:rPr>
          <w:rFonts w:hint="eastAsia"/>
        </w:rPr>
        <w:t>应急响应</w:t>
      </w:r>
      <w:r>
        <w:tab/>
      </w:r>
      <w:r>
        <w:fldChar w:fldCharType="begin"/>
      </w:r>
      <w:r>
        <w:instrText xml:space="preserve"> PAGEREF _Toc10309 \h </w:instrText>
      </w:r>
      <w:r>
        <w:fldChar w:fldCharType="separate"/>
      </w:r>
      <w:r>
        <w:t>19</w:t>
      </w:r>
      <w:r>
        <w:fldChar w:fldCharType="end"/>
      </w:r>
      <w:r>
        <w:fldChar w:fldCharType="end"/>
      </w:r>
    </w:p>
    <w:p w14:paraId="62146A38">
      <w:pPr>
        <w:pStyle w:val="19"/>
        <w:tabs>
          <w:tab w:val="right" w:leader="dot" w:pos="8845"/>
        </w:tabs>
        <w:ind w:firstLine="632"/>
      </w:pPr>
      <w:r>
        <w:fldChar w:fldCharType="begin"/>
      </w:r>
      <w:r>
        <w:instrText xml:space="preserve"> HYPERLINK \l "_Toc24248" </w:instrText>
      </w:r>
      <w:r>
        <w:fldChar w:fldCharType="separate"/>
      </w:r>
      <w:r>
        <w:rPr>
          <w:rFonts w:eastAsia="仿宋"/>
          <w:bCs/>
          <w:szCs w:val="28"/>
        </w:rPr>
        <w:t xml:space="preserve">5.1 </w:t>
      </w:r>
      <w:r>
        <w:rPr>
          <w:rFonts w:hint="eastAsia"/>
        </w:rPr>
        <w:t>分级应急响应</w:t>
      </w:r>
      <w:r>
        <w:tab/>
      </w:r>
      <w:r>
        <w:fldChar w:fldCharType="begin"/>
      </w:r>
      <w:r>
        <w:instrText xml:space="preserve"> PAGEREF _Toc24248 \h </w:instrText>
      </w:r>
      <w:r>
        <w:fldChar w:fldCharType="separate"/>
      </w:r>
      <w:r>
        <w:t>19</w:t>
      </w:r>
      <w:r>
        <w:fldChar w:fldCharType="end"/>
      </w:r>
      <w:r>
        <w:fldChar w:fldCharType="end"/>
      </w:r>
    </w:p>
    <w:p w14:paraId="6D9A9E25">
      <w:pPr>
        <w:pStyle w:val="19"/>
        <w:tabs>
          <w:tab w:val="right" w:leader="dot" w:pos="8845"/>
        </w:tabs>
        <w:ind w:firstLine="632"/>
      </w:pPr>
      <w:r>
        <w:fldChar w:fldCharType="begin"/>
      </w:r>
      <w:r>
        <w:instrText xml:space="preserve"> HYPERLINK \l "_Toc9801" </w:instrText>
      </w:r>
      <w:r>
        <w:fldChar w:fldCharType="separate"/>
      </w:r>
      <w:r>
        <w:rPr>
          <w:rFonts w:eastAsia="仿宋"/>
          <w:bCs/>
          <w:szCs w:val="28"/>
        </w:rPr>
        <w:t xml:space="preserve">5.2 </w:t>
      </w:r>
      <w:r>
        <w:rPr>
          <w:rFonts w:hint="eastAsia"/>
        </w:rPr>
        <w:t>先期处置</w:t>
      </w:r>
      <w:r>
        <w:tab/>
      </w:r>
      <w:r>
        <w:fldChar w:fldCharType="begin"/>
      </w:r>
      <w:r>
        <w:instrText xml:space="preserve"> PAGEREF _Toc9801 \h </w:instrText>
      </w:r>
      <w:r>
        <w:fldChar w:fldCharType="separate"/>
      </w:r>
      <w:r>
        <w:t>20</w:t>
      </w:r>
      <w:r>
        <w:fldChar w:fldCharType="end"/>
      </w:r>
      <w:r>
        <w:fldChar w:fldCharType="end"/>
      </w:r>
    </w:p>
    <w:p w14:paraId="11FF5127">
      <w:pPr>
        <w:pStyle w:val="19"/>
        <w:tabs>
          <w:tab w:val="right" w:leader="dot" w:pos="8845"/>
        </w:tabs>
        <w:ind w:firstLine="632"/>
      </w:pPr>
      <w:r>
        <w:fldChar w:fldCharType="begin"/>
      </w:r>
      <w:r>
        <w:instrText xml:space="preserve"> HYPERLINK \l "_Toc20742" </w:instrText>
      </w:r>
      <w:r>
        <w:fldChar w:fldCharType="separate"/>
      </w:r>
      <w:r>
        <w:rPr>
          <w:rFonts w:eastAsia="仿宋"/>
          <w:bCs/>
          <w:szCs w:val="28"/>
        </w:rPr>
        <w:t xml:space="preserve">5.3 </w:t>
      </w:r>
      <w:r>
        <w:rPr>
          <w:rFonts w:hint="eastAsia"/>
        </w:rPr>
        <w:t>会商研判</w:t>
      </w:r>
      <w:r>
        <w:tab/>
      </w:r>
      <w:r>
        <w:fldChar w:fldCharType="begin"/>
      </w:r>
      <w:r>
        <w:instrText xml:space="preserve"> PAGEREF _Toc20742 \h </w:instrText>
      </w:r>
      <w:r>
        <w:fldChar w:fldCharType="separate"/>
      </w:r>
      <w:r>
        <w:t>20</w:t>
      </w:r>
      <w:r>
        <w:fldChar w:fldCharType="end"/>
      </w:r>
      <w:r>
        <w:fldChar w:fldCharType="end"/>
      </w:r>
    </w:p>
    <w:p w14:paraId="3261E288">
      <w:pPr>
        <w:pStyle w:val="19"/>
        <w:tabs>
          <w:tab w:val="right" w:leader="dot" w:pos="8845"/>
        </w:tabs>
        <w:ind w:firstLine="632"/>
      </w:pPr>
      <w:r>
        <w:fldChar w:fldCharType="begin"/>
      </w:r>
      <w:r>
        <w:instrText xml:space="preserve"> HYPERLINK \l "_Toc17905" </w:instrText>
      </w:r>
      <w:r>
        <w:fldChar w:fldCharType="separate"/>
      </w:r>
      <w:r>
        <w:rPr>
          <w:rFonts w:eastAsia="仿宋"/>
          <w:bCs/>
          <w:szCs w:val="28"/>
        </w:rPr>
        <w:t xml:space="preserve">5.4 </w:t>
      </w:r>
      <w:r>
        <w:rPr>
          <w:rFonts w:hint="eastAsia"/>
        </w:rPr>
        <w:t>启动应急响应</w:t>
      </w:r>
      <w:r>
        <w:tab/>
      </w:r>
      <w:r>
        <w:fldChar w:fldCharType="begin"/>
      </w:r>
      <w:r>
        <w:instrText xml:space="preserve"> PAGEREF _Toc17905 \h </w:instrText>
      </w:r>
      <w:r>
        <w:fldChar w:fldCharType="separate"/>
      </w:r>
      <w:r>
        <w:t>26</w:t>
      </w:r>
      <w:r>
        <w:fldChar w:fldCharType="end"/>
      </w:r>
      <w:r>
        <w:fldChar w:fldCharType="end"/>
      </w:r>
    </w:p>
    <w:p w14:paraId="2E7CB8AC">
      <w:pPr>
        <w:pStyle w:val="19"/>
        <w:tabs>
          <w:tab w:val="right" w:leader="dot" w:pos="8845"/>
        </w:tabs>
        <w:ind w:firstLine="632"/>
      </w:pPr>
      <w:r>
        <w:fldChar w:fldCharType="begin"/>
      </w:r>
      <w:r>
        <w:instrText xml:space="preserve"> HYPERLINK \l "_Toc23420" </w:instrText>
      </w:r>
      <w:r>
        <w:fldChar w:fldCharType="separate"/>
      </w:r>
      <w:r>
        <w:rPr>
          <w:rFonts w:eastAsia="仿宋"/>
          <w:bCs/>
          <w:szCs w:val="28"/>
        </w:rPr>
        <w:t xml:space="preserve">5.5 </w:t>
      </w:r>
      <w:r>
        <w:rPr>
          <w:rFonts w:hint="eastAsia"/>
        </w:rPr>
        <w:t>分级应急响应措施</w:t>
      </w:r>
      <w:r>
        <w:tab/>
      </w:r>
      <w:r>
        <w:fldChar w:fldCharType="begin"/>
      </w:r>
      <w:r>
        <w:instrText xml:space="preserve"> PAGEREF _Toc23420 \h </w:instrText>
      </w:r>
      <w:r>
        <w:fldChar w:fldCharType="separate"/>
      </w:r>
      <w:r>
        <w:t>27</w:t>
      </w:r>
      <w:r>
        <w:fldChar w:fldCharType="end"/>
      </w:r>
      <w:r>
        <w:fldChar w:fldCharType="end"/>
      </w:r>
    </w:p>
    <w:p w14:paraId="0047693C">
      <w:pPr>
        <w:pStyle w:val="19"/>
        <w:tabs>
          <w:tab w:val="right" w:leader="dot" w:pos="8845"/>
        </w:tabs>
        <w:ind w:firstLine="632"/>
      </w:pPr>
      <w:r>
        <w:fldChar w:fldCharType="begin"/>
      </w:r>
      <w:r>
        <w:instrText xml:space="preserve"> HYPERLINK \l "_Toc743" </w:instrText>
      </w:r>
      <w:r>
        <w:fldChar w:fldCharType="separate"/>
      </w:r>
      <w:r>
        <w:rPr>
          <w:rFonts w:eastAsia="仿宋"/>
          <w:bCs/>
          <w:szCs w:val="28"/>
        </w:rPr>
        <w:t xml:space="preserve">5.6 </w:t>
      </w:r>
      <w:r>
        <w:rPr>
          <w:rFonts w:hint="eastAsia"/>
        </w:rPr>
        <w:t>分部门应急响应策略</w:t>
      </w:r>
      <w:r>
        <w:tab/>
      </w:r>
      <w:r>
        <w:fldChar w:fldCharType="begin"/>
      </w:r>
      <w:r>
        <w:instrText xml:space="preserve"> PAGEREF _Toc743 \h </w:instrText>
      </w:r>
      <w:r>
        <w:fldChar w:fldCharType="separate"/>
      </w:r>
      <w:r>
        <w:t>32</w:t>
      </w:r>
      <w:r>
        <w:fldChar w:fldCharType="end"/>
      </w:r>
      <w:r>
        <w:fldChar w:fldCharType="end"/>
      </w:r>
    </w:p>
    <w:p w14:paraId="26492518">
      <w:pPr>
        <w:pStyle w:val="19"/>
        <w:tabs>
          <w:tab w:val="right" w:leader="dot" w:pos="8845"/>
        </w:tabs>
        <w:ind w:firstLine="632"/>
      </w:pPr>
      <w:r>
        <w:fldChar w:fldCharType="begin"/>
      </w:r>
      <w:r>
        <w:instrText xml:space="preserve"> HYPERLINK \l "_Toc17846" </w:instrText>
      </w:r>
      <w:r>
        <w:fldChar w:fldCharType="separate"/>
      </w:r>
      <w:r>
        <w:rPr>
          <w:rFonts w:eastAsia="仿宋"/>
          <w:bCs/>
          <w:szCs w:val="28"/>
        </w:rPr>
        <w:t xml:space="preserve">5.7 </w:t>
      </w:r>
      <w:r>
        <w:rPr>
          <w:rFonts w:hint="eastAsia"/>
        </w:rPr>
        <w:t>分灾种响应策略</w:t>
      </w:r>
      <w:r>
        <w:tab/>
      </w:r>
      <w:r>
        <w:fldChar w:fldCharType="begin"/>
      </w:r>
      <w:r>
        <w:instrText xml:space="preserve"> PAGEREF _Toc17846 \h </w:instrText>
      </w:r>
      <w:r>
        <w:fldChar w:fldCharType="separate"/>
      </w:r>
      <w:r>
        <w:t>33</w:t>
      </w:r>
      <w:r>
        <w:fldChar w:fldCharType="end"/>
      </w:r>
      <w:r>
        <w:fldChar w:fldCharType="end"/>
      </w:r>
    </w:p>
    <w:p w14:paraId="67F9325E">
      <w:pPr>
        <w:pStyle w:val="19"/>
        <w:tabs>
          <w:tab w:val="right" w:leader="dot" w:pos="8845"/>
        </w:tabs>
        <w:ind w:firstLine="632"/>
      </w:pPr>
      <w:r>
        <w:fldChar w:fldCharType="begin"/>
      </w:r>
      <w:r>
        <w:instrText xml:space="preserve"> HYPERLINK \l "_Toc16006" </w:instrText>
      </w:r>
      <w:r>
        <w:fldChar w:fldCharType="separate"/>
      </w:r>
      <w:r>
        <w:rPr>
          <w:rFonts w:eastAsia="仿宋"/>
          <w:bCs/>
          <w:szCs w:val="28"/>
        </w:rPr>
        <w:t xml:space="preserve">5.8 </w:t>
      </w:r>
      <w:r>
        <w:rPr>
          <w:rFonts w:hint="eastAsia"/>
        </w:rPr>
        <w:t>现场处置</w:t>
      </w:r>
      <w:r>
        <w:tab/>
      </w:r>
      <w:r>
        <w:fldChar w:fldCharType="begin"/>
      </w:r>
      <w:r>
        <w:instrText xml:space="preserve"> PAGEREF _Toc16006 \h </w:instrText>
      </w:r>
      <w:r>
        <w:fldChar w:fldCharType="separate"/>
      </w:r>
      <w:r>
        <w:t>50</w:t>
      </w:r>
      <w:r>
        <w:fldChar w:fldCharType="end"/>
      </w:r>
      <w:r>
        <w:fldChar w:fldCharType="end"/>
      </w:r>
    </w:p>
    <w:p w14:paraId="284F9842">
      <w:pPr>
        <w:pStyle w:val="19"/>
        <w:tabs>
          <w:tab w:val="right" w:leader="dot" w:pos="8845"/>
        </w:tabs>
        <w:ind w:firstLine="632"/>
      </w:pPr>
      <w:r>
        <w:fldChar w:fldCharType="begin"/>
      </w:r>
      <w:r>
        <w:instrText xml:space="preserve"> HYPERLINK \l "_Toc2825" </w:instrText>
      </w:r>
      <w:r>
        <w:fldChar w:fldCharType="separate"/>
      </w:r>
      <w:r>
        <w:rPr>
          <w:rFonts w:eastAsia="仿宋"/>
          <w:bCs/>
          <w:szCs w:val="28"/>
        </w:rPr>
        <w:t xml:space="preserve">5.9 </w:t>
      </w:r>
      <w:r>
        <w:rPr>
          <w:rFonts w:hint="eastAsia"/>
        </w:rPr>
        <w:t>信息发布和报告</w:t>
      </w:r>
      <w:r>
        <w:tab/>
      </w:r>
      <w:r>
        <w:fldChar w:fldCharType="begin"/>
      </w:r>
      <w:r>
        <w:instrText xml:space="preserve"> PAGEREF _Toc2825 \h </w:instrText>
      </w:r>
      <w:r>
        <w:fldChar w:fldCharType="separate"/>
      </w:r>
      <w:r>
        <w:t>50</w:t>
      </w:r>
      <w:r>
        <w:fldChar w:fldCharType="end"/>
      </w:r>
      <w:r>
        <w:fldChar w:fldCharType="end"/>
      </w:r>
    </w:p>
    <w:p w14:paraId="79A527A1">
      <w:pPr>
        <w:pStyle w:val="19"/>
        <w:tabs>
          <w:tab w:val="right" w:leader="dot" w:pos="8845"/>
        </w:tabs>
        <w:ind w:firstLine="632"/>
      </w:pPr>
      <w:r>
        <w:fldChar w:fldCharType="begin"/>
      </w:r>
      <w:r>
        <w:instrText xml:space="preserve"> HYPERLINK \l "_Toc20632" </w:instrText>
      </w:r>
      <w:r>
        <w:fldChar w:fldCharType="separate"/>
      </w:r>
      <w:r>
        <w:rPr>
          <w:rFonts w:eastAsia="仿宋"/>
          <w:bCs/>
          <w:szCs w:val="28"/>
        </w:rPr>
        <w:t xml:space="preserve">5.10 </w:t>
      </w:r>
      <w:r>
        <w:rPr>
          <w:rFonts w:hint="eastAsia"/>
        </w:rPr>
        <w:t>社会动员</w:t>
      </w:r>
      <w:r>
        <w:tab/>
      </w:r>
      <w:r>
        <w:fldChar w:fldCharType="begin"/>
      </w:r>
      <w:r>
        <w:instrText xml:space="preserve"> PAGEREF _Toc20632 \h </w:instrText>
      </w:r>
      <w:r>
        <w:fldChar w:fldCharType="separate"/>
      </w:r>
      <w:r>
        <w:t>52</w:t>
      </w:r>
      <w:r>
        <w:fldChar w:fldCharType="end"/>
      </w:r>
      <w:r>
        <w:fldChar w:fldCharType="end"/>
      </w:r>
    </w:p>
    <w:p w14:paraId="77690345">
      <w:pPr>
        <w:pStyle w:val="19"/>
        <w:tabs>
          <w:tab w:val="right" w:leader="dot" w:pos="8845"/>
        </w:tabs>
        <w:ind w:firstLine="632"/>
      </w:pPr>
      <w:r>
        <w:fldChar w:fldCharType="begin"/>
      </w:r>
      <w:r>
        <w:instrText xml:space="preserve"> HYPERLINK \l "_Toc20183" </w:instrText>
      </w:r>
      <w:r>
        <w:fldChar w:fldCharType="separate"/>
      </w:r>
      <w:r>
        <w:rPr>
          <w:rFonts w:eastAsia="仿宋"/>
          <w:bCs/>
          <w:szCs w:val="28"/>
        </w:rPr>
        <w:t xml:space="preserve">5.11 </w:t>
      </w:r>
      <w:r>
        <w:rPr>
          <w:rFonts w:hint="eastAsia"/>
        </w:rPr>
        <w:t>响应变更与终止</w:t>
      </w:r>
      <w:r>
        <w:tab/>
      </w:r>
      <w:r>
        <w:fldChar w:fldCharType="begin"/>
      </w:r>
      <w:r>
        <w:instrText xml:space="preserve"> PAGEREF _Toc20183 \h </w:instrText>
      </w:r>
      <w:r>
        <w:fldChar w:fldCharType="separate"/>
      </w:r>
      <w:r>
        <w:t>52</w:t>
      </w:r>
      <w:r>
        <w:fldChar w:fldCharType="end"/>
      </w:r>
      <w:r>
        <w:fldChar w:fldCharType="end"/>
      </w:r>
    </w:p>
    <w:p w14:paraId="1C56F222">
      <w:pPr>
        <w:pStyle w:val="18"/>
      </w:pPr>
      <w:r>
        <w:fldChar w:fldCharType="begin"/>
      </w:r>
      <w:r>
        <w:instrText xml:space="preserve"> HYPERLINK \l "_Toc14018" </w:instrText>
      </w:r>
      <w:r>
        <w:fldChar w:fldCharType="separate"/>
      </w:r>
      <w:r>
        <w:rPr>
          <w:rFonts w:eastAsia="仿宋"/>
        </w:rPr>
        <w:t xml:space="preserve">6 </w:t>
      </w:r>
      <w:r>
        <w:rPr>
          <w:rFonts w:hint="eastAsia"/>
        </w:rPr>
        <w:t>恢复与重建</w:t>
      </w:r>
      <w:r>
        <w:tab/>
      </w:r>
      <w:r>
        <w:fldChar w:fldCharType="begin"/>
      </w:r>
      <w:r>
        <w:instrText xml:space="preserve"> PAGEREF _Toc14018 \h </w:instrText>
      </w:r>
      <w:r>
        <w:fldChar w:fldCharType="separate"/>
      </w:r>
      <w:r>
        <w:t>52</w:t>
      </w:r>
      <w:r>
        <w:fldChar w:fldCharType="end"/>
      </w:r>
      <w:r>
        <w:fldChar w:fldCharType="end"/>
      </w:r>
    </w:p>
    <w:p w14:paraId="5AECFEB0">
      <w:pPr>
        <w:pStyle w:val="19"/>
        <w:tabs>
          <w:tab w:val="right" w:leader="dot" w:pos="8845"/>
        </w:tabs>
        <w:ind w:firstLine="632"/>
      </w:pPr>
      <w:r>
        <w:fldChar w:fldCharType="begin"/>
      </w:r>
      <w:r>
        <w:instrText xml:space="preserve"> HYPERLINK \l "_Toc10424" </w:instrText>
      </w:r>
      <w:r>
        <w:fldChar w:fldCharType="separate"/>
      </w:r>
      <w:r>
        <w:rPr>
          <w:rFonts w:eastAsia="仿宋"/>
          <w:bCs/>
          <w:szCs w:val="28"/>
        </w:rPr>
        <w:t xml:space="preserve">6.1 </w:t>
      </w:r>
      <w:r>
        <w:rPr>
          <w:rFonts w:hint="eastAsia"/>
        </w:rPr>
        <w:t>善后处置</w:t>
      </w:r>
      <w:r>
        <w:tab/>
      </w:r>
      <w:r>
        <w:fldChar w:fldCharType="begin"/>
      </w:r>
      <w:r>
        <w:instrText xml:space="preserve"> PAGEREF _Toc10424 \h </w:instrText>
      </w:r>
      <w:r>
        <w:fldChar w:fldCharType="separate"/>
      </w:r>
      <w:r>
        <w:t>52</w:t>
      </w:r>
      <w:r>
        <w:fldChar w:fldCharType="end"/>
      </w:r>
      <w:r>
        <w:fldChar w:fldCharType="end"/>
      </w:r>
    </w:p>
    <w:p w14:paraId="425509E8">
      <w:pPr>
        <w:pStyle w:val="19"/>
        <w:tabs>
          <w:tab w:val="right" w:leader="dot" w:pos="8845"/>
        </w:tabs>
        <w:ind w:firstLine="632"/>
      </w:pPr>
      <w:r>
        <w:fldChar w:fldCharType="begin"/>
      </w:r>
      <w:r>
        <w:instrText xml:space="preserve"> HYPERLINK \l "_Toc8356" </w:instrText>
      </w:r>
      <w:r>
        <w:fldChar w:fldCharType="separate"/>
      </w:r>
      <w:r>
        <w:rPr>
          <w:rFonts w:eastAsia="仿宋"/>
          <w:bCs/>
          <w:szCs w:val="28"/>
        </w:rPr>
        <w:t xml:space="preserve">6.2 </w:t>
      </w:r>
      <w:r>
        <w:rPr>
          <w:rFonts w:hint="eastAsia"/>
        </w:rPr>
        <w:t>恢复重建</w:t>
      </w:r>
      <w:r>
        <w:tab/>
      </w:r>
      <w:r>
        <w:fldChar w:fldCharType="begin"/>
      </w:r>
      <w:r>
        <w:instrText xml:space="preserve"> PAGEREF _Toc8356 \h </w:instrText>
      </w:r>
      <w:r>
        <w:fldChar w:fldCharType="separate"/>
      </w:r>
      <w:r>
        <w:t>53</w:t>
      </w:r>
      <w:r>
        <w:fldChar w:fldCharType="end"/>
      </w:r>
      <w:r>
        <w:fldChar w:fldCharType="end"/>
      </w:r>
    </w:p>
    <w:p w14:paraId="3B736DFA">
      <w:pPr>
        <w:pStyle w:val="19"/>
        <w:tabs>
          <w:tab w:val="right" w:leader="dot" w:pos="8845"/>
        </w:tabs>
        <w:ind w:firstLine="632"/>
      </w:pPr>
      <w:r>
        <w:fldChar w:fldCharType="begin"/>
      </w:r>
      <w:r>
        <w:instrText xml:space="preserve"> HYPERLINK \l "_Toc11943" </w:instrText>
      </w:r>
      <w:r>
        <w:fldChar w:fldCharType="separate"/>
      </w:r>
      <w:r>
        <w:rPr>
          <w:rFonts w:eastAsia="仿宋"/>
          <w:bCs/>
          <w:szCs w:val="28"/>
        </w:rPr>
        <w:t xml:space="preserve">6.3 </w:t>
      </w:r>
      <w:r>
        <w:rPr>
          <w:rFonts w:hint="eastAsia"/>
        </w:rPr>
        <w:t>调查评估</w:t>
      </w:r>
      <w:r>
        <w:tab/>
      </w:r>
      <w:r>
        <w:fldChar w:fldCharType="begin"/>
      </w:r>
      <w:r>
        <w:instrText xml:space="preserve"> PAGEREF _Toc11943 \h </w:instrText>
      </w:r>
      <w:r>
        <w:fldChar w:fldCharType="separate"/>
      </w:r>
      <w:r>
        <w:t>53</w:t>
      </w:r>
      <w:r>
        <w:fldChar w:fldCharType="end"/>
      </w:r>
      <w:r>
        <w:fldChar w:fldCharType="end"/>
      </w:r>
    </w:p>
    <w:p w14:paraId="0AA45930">
      <w:pPr>
        <w:pStyle w:val="18"/>
      </w:pPr>
      <w:r>
        <w:fldChar w:fldCharType="begin"/>
      </w:r>
      <w:r>
        <w:instrText xml:space="preserve"> HYPERLINK \l "_Toc17852" </w:instrText>
      </w:r>
      <w:r>
        <w:fldChar w:fldCharType="separate"/>
      </w:r>
      <w:r>
        <w:rPr>
          <w:rFonts w:eastAsia="仿宋"/>
        </w:rPr>
        <w:t xml:space="preserve">7 </w:t>
      </w:r>
      <w:r>
        <w:rPr>
          <w:rFonts w:hint="eastAsia"/>
        </w:rPr>
        <w:t>应急保障</w:t>
      </w:r>
      <w:r>
        <w:tab/>
      </w:r>
      <w:r>
        <w:fldChar w:fldCharType="begin"/>
      </w:r>
      <w:r>
        <w:instrText xml:space="preserve"> PAGEREF _Toc17852 \h </w:instrText>
      </w:r>
      <w:r>
        <w:fldChar w:fldCharType="separate"/>
      </w:r>
      <w:r>
        <w:t>54</w:t>
      </w:r>
      <w:r>
        <w:fldChar w:fldCharType="end"/>
      </w:r>
      <w:r>
        <w:fldChar w:fldCharType="end"/>
      </w:r>
    </w:p>
    <w:p w14:paraId="0228116B">
      <w:pPr>
        <w:pStyle w:val="19"/>
        <w:tabs>
          <w:tab w:val="right" w:leader="dot" w:pos="8845"/>
        </w:tabs>
        <w:ind w:firstLine="632"/>
      </w:pPr>
      <w:r>
        <w:fldChar w:fldCharType="begin"/>
      </w:r>
      <w:r>
        <w:instrText xml:space="preserve"> HYPERLINK \l "_Toc5585" </w:instrText>
      </w:r>
      <w:r>
        <w:fldChar w:fldCharType="separate"/>
      </w:r>
      <w:r>
        <w:rPr>
          <w:rFonts w:eastAsia="仿宋"/>
          <w:bCs/>
          <w:szCs w:val="28"/>
        </w:rPr>
        <w:t xml:space="preserve">7.1 </w:t>
      </w:r>
      <w:r>
        <w:rPr>
          <w:rFonts w:hint="eastAsia"/>
        </w:rPr>
        <w:t>队伍保障</w:t>
      </w:r>
      <w:r>
        <w:tab/>
      </w:r>
      <w:r>
        <w:fldChar w:fldCharType="begin"/>
      </w:r>
      <w:r>
        <w:instrText xml:space="preserve"> PAGEREF _Toc5585 \h </w:instrText>
      </w:r>
      <w:r>
        <w:fldChar w:fldCharType="separate"/>
      </w:r>
      <w:r>
        <w:t>54</w:t>
      </w:r>
      <w:r>
        <w:fldChar w:fldCharType="end"/>
      </w:r>
      <w:r>
        <w:fldChar w:fldCharType="end"/>
      </w:r>
    </w:p>
    <w:p w14:paraId="505F9726">
      <w:pPr>
        <w:pStyle w:val="19"/>
        <w:tabs>
          <w:tab w:val="right" w:leader="dot" w:pos="8845"/>
        </w:tabs>
        <w:ind w:firstLine="632"/>
      </w:pPr>
      <w:r>
        <w:fldChar w:fldCharType="begin"/>
      </w:r>
      <w:r>
        <w:instrText xml:space="preserve"> HYPERLINK \l "_Toc7045" </w:instrText>
      </w:r>
      <w:r>
        <w:fldChar w:fldCharType="separate"/>
      </w:r>
      <w:r>
        <w:rPr>
          <w:rFonts w:eastAsia="仿宋"/>
          <w:bCs/>
          <w:szCs w:val="28"/>
        </w:rPr>
        <w:t xml:space="preserve">7.2 </w:t>
      </w:r>
      <w:r>
        <w:rPr>
          <w:rFonts w:hint="eastAsia"/>
        </w:rPr>
        <w:t>通信保障</w:t>
      </w:r>
      <w:r>
        <w:tab/>
      </w:r>
      <w:r>
        <w:fldChar w:fldCharType="begin"/>
      </w:r>
      <w:r>
        <w:instrText xml:space="preserve"> PAGEREF _Toc7045 \h </w:instrText>
      </w:r>
      <w:r>
        <w:fldChar w:fldCharType="separate"/>
      </w:r>
      <w:r>
        <w:t>54</w:t>
      </w:r>
      <w:r>
        <w:fldChar w:fldCharType="end"/>
      </w:r>
      <w:r>
        <w:fldChar w:fldCharType="end"/>
      </w:r>
    </w:p>
    <w:p w14:paraId="46BC90A8">
      <w:pPr>
        <w:pStyle w:val="19"/>
        <w:tabs>
          <w:tab w:val="right" w:leader="dot" w:pos="8845"/>
        </w:tabs>
        <w:ind w:firstLine="632"/>
      </w:pPr>
      <w:r>
        <w:fldChar w:fldCharType="begin"/>
      </w:r>
      <w:r>
        <w:instrText xml:space="preserve"> HYPERLINK \l "_Toc18114" </w:instrText>
      </w:r>
      <w:r>
        <w:fldChar w:fldCharType="separate"/>
      </w:r>
      <w:r>
        <w:rPr>
          <w:rFonts w:eastAsia="仿宋"/>
          <w:bCs/>
          <w:szCs w:val="28"/>
        </w:rPr>
        <w:t xml:space="preserve">7.3 </w:t>
      </w:r>
      <w:r>
        <w:rPr>
          <w:rFonts w:hint="eastAsia"/>
        </w:rPr>
        <w:t>交通保障</w:t>
      </w:r>
      <w:r>
        <w:tab/>
      </w:r>
      <w:r>
        <w:fldChar w:fldCharType="begin"/>
      </w:r>
      <w:r>
        <w:instrText xml:space="preserve"> PAGEREF _Toc18114 \h </w:instrText>
      </w:r>
      <w:r>
        <w:fldChar w:fldCharType="separate"/>
      </w:r>
      <w:r>
        <w:t>54</w:t>
      </w:r>
      <w:r>
        <w:fldChar w:fldCharType="end"/>
      </w:r>
      <w:r>
        <w:fldChar w:fldCharType="end"/>
      </w:r>
    </w:p>
    <w:p w14:paraId="60022E99">
      <w:pPr>
        <w:pStyle w:val="19"/>
        <w:tabs>
          <w:tab w:val="right" w:leader="dot" w:pos="8845"/>
        </w:tabs>
        <w:ind w:firstLine="632"/>
      </w:pPr>
      <w:r>
        <w:fldChar w:fldCharType="begin"/>
      </w:r>
      <w:r>
        <w:instrText xml:space="preserve"> HYPERLINK \l "_Toc30061" </w:instrText>
      </w:r>
      <w:r>
        <w:fldChar w:fldCharType="separate"/>
      </w:r>
      <w:r>
        <w:rPr>
          <w:rFonts w:eastAsia="仿宋"/>
          <w:bCs/>
          <w:szCs w:val="28"/>
        </w:rPr>
        <w:t xml:space="preserve">7.4 </w:t>
      </w:r>
      <w:r>
        <w:rPr>
          <w:rFonts w:hint="eastAsia"/>
        </w:rPr>
        <w:t>物资保障</w:t>
      </w:r>
      <w:r>
        <w:tab/>
      </w:r>
      <w:r>
        <w:fldChar w:fldCharType="begin"/>
      </w:r>
      <w:r>
        <w:instrText xml:space="preserve"> PAGEREF _Toc30061 \h </w:instrText>
      </w:r>
      <w:r>
        <w:fldChar w:fldCharType="separate"/>
      </w:r>
      <w:r>
        <w:t>54</w:t>
      </w:r>
      <w:r>
        <w:fldChar w:fldCharType="end"/>
      </w:r>
      <w:r>
        <w:fldChar w:fldCharType="end"/>
      </w:r>
    </w:p>
    <w:p w14:paraId="77A75106">
      <w:pPr>
        <w:pStyle w:val="19"/>
        <w:tabs>
          <w:tab w:val="right" w:leader="dot" w:pos="8845"/>
        </w:tabs>
        <w:ind w:firstLine="632"/>
      </w:pPr>
      <w:r>
        <w:fldChar w:fldCharType="begin"/>
      </w:r>
      <w:r>
        <w:instrText xml:space="preserve"> HYPERLINK \l "_Toc26619" </w:instrText>
      </w:r>
      <w:r>
        <w:fldChar w:fldCharType="separate"/>
      </w:r>
      <w:r>
        <w:rPr>
          <w:rFonts w:eastAsia="仿宋"/>
          <w:bCs/>
          <w:szCs w:val="28"/>
        </w:rPr>
        <w:t xml:space="preserve">7.5 </w:t>
      </w:r>
      <w:r>
        <w:rPr>
          <w:rFonts w:hint="eastAsia"/>
        </w:rPr>
        <w:t>资金保障</w:t>
      </w:r>
      <w:r>
        <w:tab/>
      </w:r>
      <w:r>
        <w:fldChar w:fldCharType="begin"/>
      </w:r>
      <w:r>
        <w:instrText xml:space="preserve"> PAGEREF _Toc26619 \h </w:instrText>
      </w:r>
      <w:r>
        <w:fldChar w:fldCharType="separate"/>
      </w:r>
      <w:r>
        <w:t>54</w:t>
      </w:r>
      <w:r>
        <w:fldChar w:fldCharType="end"/>
      </w:r>
      <w:r>
        <w:fldChar w:fldCharType="end"/>
      </w:r>
    </w:p>
    <w:p w14:paraId="7DED5843">
      <w:pPr>
        <w:pStyle w:val="19"/>
        <w:tabs>
          <w:tab w:val="right" w:leader="dot" w:pos="8845"/>
        </w:tabs>
        <w:ind w:firstLine="632"/>
      </w:pPr>
      <w:r>
        <w:fldChar w:fldCharType="begin"/>
      </w:r>
      <w:r>
        <w:instrText xml:space="preserve"> HYPERLINK \l "_Toc9617" </w:instrText>
      </w:r>
      <w:r>
        <w:fldChar w:fldCharType="separate"/>
      </w:r>
      <w:r>
        <w:rPr>
          <w:rFonts w:eastAsia="仿宋"/>
          <w:bCs/>
          <w:szCs w:val="28"/>
        </w:rPr>
        <w:t xml:space="preserve">7.6 </w:t>
      </w:r>
      <w:r>
        <w:rPr>
          <w:rFonts w:hint="eastAsia"/>
        </w:rPr>
        <w:t>治安保障</w:t>
      </w:r>
      <w:r>
        <w:tab/>
      </w:r>
      <w:r>
        <w:fldChar w:fldCharType="begin"/>
      </w:r>
      <w:r>
        <w:instrText xml:space="preserve"> PAGEREF _Toc9617 \h </w:instrText>
      </w:r>
      <w:r>
        <w:fldChar w:fldCharType="separate"/>
      </w:r>
      <w:r>
        <w:t>55</w:t>
      </w:r>
      <w:r>
        <w:fldChar w:fldCharType="end"/>
      </w:r>
      <w:r>
        <w:fldChar w:fldCharType="end"/>
      </w:r>
    </w:p>
    <w:p w14:paraId="3280E435">
      <w:pPr>
        <w:pStyle w:val="19"/>
        <w:tabs>
          <w:tab w:val="right" w:leader="dot" w:pos="8845"/>
        </w:tabs>
        <w:ind w:firstLine="632"/>
      </w:pPr>
      <w:r>
        <w:fldChar w:fldCharType="begin"/>
      </w:r>
      <w:r>
        <w:instrText xml:space="preserve"> HYPERLINK \l "_Toc14906" </w:instrText>
      </w:r>
      <w:r>
        <w:fldChar w:fldCharType="separate"/>
      </w:r>
      <w:r>
        <w:rPr>
          <w:rFonts w:eastAsia="仿宋"/>
          <w:bCs/>
          <w:szCs w:val="28"/>
        </w:rPr>
        <w:t xml:space="preserve">7.7 </w:t>
      </w:r>
      <w:r>
        <w:rPr>
          <w:rFonts w:hint="eastAsia"/>
        </w:rPr>
        <w:t>医疗保障</w:t>
      </w:r>
      <w:r>
        <w:tab/>
      </w:r>
      <w:r>
        <w:fldChar w:fldCharType="begin"/>
      </w:r>
      <w:r>
        <w:instrText xml:space="preserve"> PAGEREF _Toc14906 \h </w:instrText>
      </w:r>
      <w:r>
        <w:fldChar w:fldCharType="separate"/>
      </w:r>
      <w:r>
        <w:t>55</w:t>
      </w:r>
      <w:r>
        <w:fldChar w:fldCharType="end"/>
      </w:r>
      <w:r>
        <w:fldChar w:fldCharType="end"/>
      </w:r>
    </w:p>
    <w:p w14:paraId="28BFD514">
      <w:pPr>
        <w:pStyle w:val="19"/>
        <w:tabs>
          <w:tab w:val="right" w:leader="dot" w:pos="8845"/>
        </w:tabs>
        <w:ind w:firstLine="632"/>
      </w:pPr>
      <w:r>
        <w:fldChar w:fldCharType="begin"/>
      </w:r>
      <w:r>
        <w:instrText xml:space="preserve"> HYPERLINK \l "_Toc11374" </w:instrText>
      </w:r>
      <w:r>
        <w:fldChar w:fldCharType="separate"/>
      </w:r>
      <w:r>
        <w:rPr>
          <w:rFonts w:eastAsia="仿宋"/>
          <w:bCs/>
          <w:szCs w:val="28"/>
        </w:rPr>
        <w:t xml:space="preserve">7.8 </w:t>
      </w:r>
      <w:r>
        <w:rPr>
          <w:rFonts w:hint="eastAsia"/>
        </w:rPr>
        <w:t>技术保障</w:t>
      </w:r>
      <w:r>
        <w:tab/>
      </w:r>
      <w:r>
        <w:fldChar w:fldCharType="begin"/>
      </w:r>
      <w:r>
        <w:instrText xml:space="preserve"> PAGEREF _Toc11374 \h </w:instrText>
      </w:r>
      <w:r>
        <w:fldChar w:fldCharType="separate"/>
      </w:r>
      <w:r>
        <w:t>55</w:t>
      </w:r>
      <w:r>
        <w:fldChar w:fldCharType="end"/>
      </w:r>
      <w:r>
        <w:fldChar w:fldCharType="end"/>
      </w:r>
    </w:p>
    <w:p w14:paraId="11588509">
      <w:pPr>
        <w:pStyle w:val="18"/>
      </w:pPr>
      <w:r>
        <w:fldChar w:fldCharType="begin"/>
      </w:r>
      <w:r>
        <w:instrText xml:space="preserve"> HYPERLINK \l "_Toc15351" </w:instrText>
      </w:r>
      <w:r>
        <w:fldChar w:fldCharType="separate"/>
      </w:r>
      <w:r>
        <w:rPr>
          <w:rFonts w:eastAsia="仿宋"/>
        </w:rPr>
        <w:t xml:space="preserve">8 </w:t>
      </w:r>
      <w:r>
        <w:rPr>
          <w:rFonts w:hint="eastAsia"/>
        </w:rPr>
        <w:t>预案管理</w:t>
      </w:r>
      <w:r>
        <w:tab/>
      </w:r>
      <w:r>
        <w:fldChar w:fldCharType="begin"/>
      </w:r>
      <w:r>
        <w:instrText xml:space="preserve"> PAGEREF _Toc15351 \h </w:instrText>
      </w:r>
      <w:r>
        <w:fldChar w:fldCharType="separate"/>
      </w:r>
      <w:r>
        <w:t>55</w:t>
      </w:r>
      <w:r>
        <w:fldChar w:fldCharType="end"/>
      </w:r>
      <w:r>
        <w:fldChar w:fldCharType="end"/>
      </w:r>
    </w:p>
    <w:p w14:paraId="2CE8060E">
      <w:pPr>
        <w:pStyle w:val="19"/>
        <w:tabs>
          <w:tab w:val="right" w:leader="dot" w:pos="8845"/>
        </w:tabs>
        <w:ind w:firstLine="632"/>
      </w:pPr>
      <w:r>
        <w:fldChar w:fldCharType="begin"/>
      </w:r>
      <w:r>
        <w:instrText xml:space="preserve"> HYPERLINK \l "_Toc14042" </w:instrText>
      </w:r>
      <w:r>
        <w:fldChar w:fldCharType="separate"/>
      </w:r>
      <w:r>
        <w:rPr>
          <w:rFonts w:eastAsia="仿宋"/>
          <w:bCs/>
          <w:szCs w:val="28"/>
        </w:rPr>
        <w:t xml:space="preserve">8.1 </w:t>
      </w:r>
      <w:r>
        <w:rPr>
          <w:rFonts w:hint="eastAsia"/>
        </w:rPr>
        <w:t>编制与修订</w:t>
      </w:r>
      <w:r>
        <w:tab/>
      </w:r>
      <w:r>
        <w:fldChar w:fldCharType="begin"/>
      </w:r>
      <w:r>
        <w:instrText xml:space="preserve"> PAGEREF _Toc14042 \h </w:instrText>
      </w:r>
      <w:r>
        <w:fldChar w:fldCharType="separate"/>
      </w:r>
      <w:r>
        <w:t>55</w:t>
      </w:r>
      <w:r>
        <w:fldChar w:fldCharType="end"/>
      </w:r>
      <w:r>
        <w:fldChar w:fldCharType="end"/>
      </w:r>
    </w:p>
    <w:p w14:paraId="5F74C408">
      <w:pPr>
        <w:pStyle w:val="19"/>
        <w:tabs>
          <w:tab w:val="right" w:leader="dot" w:pos="8845"/>
        </w:tabs>
        <w:ind w:firstLine="632"/>
      </w:pPr>
      <w:r>
        <w:fldChar w:fldCharType="begin"/>
      </w:r>
      <w:r>
        <w:instrText xml:space="preserve"> HYPERLINK \l "_Toc30185" </w:instrText>
      </w:r>
      <w:r>
        <w:fldChar w:fldCharType="separate"/>
      </w:r>
      <w:r>
        <w:rPr>
          <w:rFonts w:eastAsia="仿宋"/>
          <w:bCs/>
          <w:szCs w:val="28"/>
        </w:rPr>
        <w:t xml:space="preserve">8.2 </w:t>
      </w:r>
      <w:r>
        <w:rPr>
          <w:rFonts w:hint="eastAsia"/>
        </w:rPr>
        <w:t>宣传和培训</w:t>
      </w:r>
      <w:r>
        <w:tab/>
      </w:r>
      <w:r>
        <w:fldChar w:fldCharType="begin"/>
      </w:r>
      <w:r>
        <w:instrText xml:space="preserve"> PAGEREF _Toc30185 \h </w:instrText>
      </w:r>
      <w:r>
        <w:fldChar w:fldCharType="separate"/>
      </w:r>
      <w:r>
        <w:t>55</w:t>
      </w:r>
      <w:r>
        <w:fldChar w:fldCharType="end"/>
      </w:r>
      <w:r>
        <w:fldChar w:fldCharType="end"/>
      </w:r>
    </w:p>
    <w:p w14:paraId="51A87A5C">
      <w:pPr>
        <w:pStyle w:val="19"/>
        <w:tabs>
          <w:tab w:val="right" w:leader="dot" w:pos="8845"/>
        </w:tabs>
        <w:ind w:firstLine="632"/>
      </w:pPr>
      <w:r>
        <w:fldChar w:fldCharType="begin"/>
      </w:r>
      <w:r>
        <w:instrText xml:space="preserve"> HYPERLINK \l "_Toc25859" </w:instrText>
      </w:r>
      <w:r>
        <w:fldChar w:fldCharType="separate"/>
      </w:r>
      <w:r>
        <w:rPr>
          <w:rFonts w:eastAsia="仿宋"/>
          <w:bCs/>
          <w:szCs w:val="28"/>
        </w:rPr>
        <w:t xml:space="preserve">8.3 </w:t>
      </w:r>
      <w:r>
        <w:rPr>
          <w:rFonts w:hint="eastAsia"/>
        </w:rPr>
        <w:t>预案演练</w:t>
      </w:r>
      <w:r>
        <w:tab/>
      </w:r>
      <w:r>
        <w:fldChar w:fldCharType="begin"/>
      </w:r>
      <w:r>
        <w:instrText xml:space="preserve"> PAGEREF _Toc25859 \h </w:instrText>
      </w:r>
      <w:r>
        <w:fldChar w:fldCharType="separate"/>
      </w:r>
      <w:r>
        <w:t>56</w:t>
      </w:r>
      <w:r>
        <w:fldChar w:fldCharType="end"/>
      </w:r>
      <w:r>
        <w:fldChar w:fldCharType="end"/>
      </w:r>
    </w:p>
    <w:p w14:paraId="0125939F">
      <w:pPr>
        <w:pStyle w:val="18"/>
      </w:pPr>
      <w:r>
        <w:fldChar w:fldCharType="begin"/>
      </w:r>
      <w:r>
        <w:instrText xml:space="preserve"> HYPERLINK \l "_Toc8334" </w:instrText>
      </w:r>
      <w:r>
        <w:fldChar w:fldCharType="separate"/>
      </w:r>
      <w:r>
        <w:rPr>
          <w:rFonts w:eastAsia="仿宋"/>
        </w:rPr>
        <w:t xml:space="preserve">9 </w:t>
      </w:r>
      <w:r>
        <w:rPr>
          <w:rFonts w:hint="eastAsia"/>
        </w:rPr>
        <w:t>责任与奖惩</w:t>
      </w:r>
      <w:r>
        <w:tab/>
      </w:r>
      <w:r>
        <w:fldChar w:fldCharType="begin"/>
      </w:r>
      <w:r>
        <w:instrText xml:space="preserve"> PAGEREF _Toc8334 \h </w:instrText>
      </w:r>
      <w:r>
        <w:fldChar w:fldCharType="separate"/>
      </w:r>
      <w:r>
        <w:t>56</w:t>
      </w:r>
      <w:r>
        <w:fldChar w:fldCharType="end"/>
      </w:r>
      <w:r>
        <w:fldChar w:fldCharType="end"/>
      </w:r>
    </w:p>
    <w:p w14:paraId="0427D03A">
      <w:pPr>
        <w:pStyle w:val="18"/>
      </w:pPr>
      <w:r>
        <w:fldChar w:fldCharType="begin"/>
      </w:r>
      <w:r>
        <w:instrText xml:space="preserve"> HYPERLINK \l "_Toc27219" </w:instrText>
      </w:r>
      <w:r>
        <w:fldChar w:fldCharType="separate"/>
      </w:r>
      <w:r>
        <w:rPr>
          <w:rFonts w:eastAsia="仿宋"/>
        </w:rPr>
        <w:t xml:space="preserve">10 </w:t>
      </w:r>
      <w:r>
        <w:rPr>
          <w:rFonts w:hint="eastAsia"/>
        </w:rPr>
        <w:t>附则</w:t>
      </w:r>
      <w:r>
        <w:tab/>
      </w:r>
      <w:r>
        <w:fldChar w:fldCharType="begin"/>
      </w:r>
      <w:r>
        <w:instrText xml:space="preserve"> PAGEREF _Toc27219 \h </w:instrText>
      </w:r>
      <w:r>
        <w:fldChar w:fldCharType="separate"/>
      </w:r>
      <w:r>
        <w:t>56</w:t>
      </w:r>
      <w:r>
        <w:fldChar w:fldCharType="end"/>
      </w:r>
      <w:r>
        <w:fldChar w:fldCharType="end"/>
      </w:r>
    </w:p>
    <w:p w14:paraId="214F2C44">
      <w:pPr>
        <w:pStyle w:val="19"/>
        <w:tabs>
          <w:tab w:val="right" w:leader="dot" w:pos="8845"/>
        </w:tabs>
        <w:ind w:firstLine="632"/>
      </w:pPr>
      <w:r>
        <w:fldChar w:fldCharType="begin"/>
      </w:r>
      <w:r>
        <w:instrText xml:space="preserve"> HYPERLINK \l "_Toc4870" </w:instrText>
      </w:r>
      <w:r>
        <w:fldChar w:fldCharType="separate"/>
      </w:r>
      <w:r>
        <w:rPr>
          <w:rFonts w:eastAsia="仿宋"/>
          <w:bCs/>
          <w:szCs w:val="28"/>
        </w:rPr>
        <w:t xml:space="preserve">10.1 </w:t>
      </w:r>
      <w:r>
        <w:rPr>
          <w:rFonts w:hint="eastAsia"/>
        </w:rPr>
        <w:t>名词术语</w:t>
      </w:r>
      <w:r>
        <w:tab/>
      </w:r>
      <w:r>
        <w:fldChar w:fldCharType="begin"/>
      </w:r>
      <w:r>
        <w:instrText xml:space="preserve"> PAGEREF _Toc4870 \h </w:instrText>
      </w:r>
      <w:r>
        <w:fldChar w:fldCharType="separate"/>
      </w:r>
      <w:r>
        <w:t>56</w:t>
      </w:r>
      <w:r>
        <w:fldChar w:fldCharType="end"/>
      </w:r>
      <w:r>
        <w:fldChar w:fldCharType="end"/>
      </w:r>
    </w:p>
    <w:p w14:paraId="7EDD0DA1">
      <w:pPr>
        <w:pStyle w:val="19"/>
        <w:tabs>
          <w:tab w:val="right" w:leader="dot" w:pos="8845"/>
        </w:tabs>
        <w:ind w:firstLine="632"/>
      </w:pPr>
      <w:r>
        <w:fldChar w:fldCharType="begin"/>
      </w:r>
      <w:r>
        <w:instrText xml:space="preserve"> HYPERLINK \l "_Toc21849" </w:instrText>
      </w:r>
      <w:r>
        <w:fldChar w:fldCharType="separate"/>
      </w:r>
      <w:r>
        <w:rPr>
          <w:rFonts w:eastAsia="仿宋"/>
          <w:bCs/>
          <w:szCs w:val="28"/>
        </w:rPr>
        <w:t xml:space="preserve">10.2 </w:t>
      </w:r>
      <w:r>
        <w:rPr>
          <w:rFonts w:hint="eastAsia"/>
        </w:rPr>
        <w:t>标准说明</w:t>
      </w:r>
      <w:r>
        <w:tab/>
      </w:r>
      <w:r>
        <w:fldChar w:fldCharType="begin"/>
      </w:r>
      <w:r>
        <w:instrText xml:space="preserve"> PAGEREF _Toc21849 \h </w:instrText>
      </w:r>
      <w:r>
        <w:fldChar w:fldCharType="separate"/>
      </w:r>
      <w:r>
        <w:t>64</w:t>
      </w:r>
      <w:r>
        <w:fldChar w:fldCharType="end"/>
      </w:r>
      <w:r>
        <w:fldChar w:fldCharType="end"/>
      </w:r>
    </w:p>
    <w:p w14:paraId="3D015761">
      <w:pPr>
        <w:pStyle w:val="19"/>
        <w:tabs>
          <w:tab w:val="right" w:leader="dot" w:pos="8845"/>
        </w:tabs>
        <w:ind w:firstLine="632"/>
      </w:pPr>
      <w:r>
        <w:fldChar w:fldCharType="begin"/>
      </w:r>
      <w:r>
        <w:instrText xml:space="preserve"> HYPERLINK \l "_Toc11720" </w:instrText>
      </w:r>
      <w:r>
        <w:fldChar w:fldCharType="separate"/>
      </w:r>
      <w:r>
        <w:rPr>
          <w:rFonts w:eastAsia="仿宋"/>
          <w:bCs/>
          <w:szCs w:val="28"/>
        </w:rPr>
        <w:t xml:space="preserve">10.3 </w:t>
      </w:r>
      <w:r>
        <w:rPr>
          <w:rFonts w:hint="eastAsia"/>
        </w:rPr>
        <w:t>预案解释</w:t>
      </w:r>
      <w:r>
        <w:tab/>
      </w:r>
      <w:r>
        <w:fldChar w:fldCharType="begin"/>
      </w:r>
      <w:r>
        <w:instrText xml:space="preserve"> PAGEREF _Toc11720 \h </w:instrText>
      </w:r>
      <w:r>
        <w:fldChar w:fldCharType="separate"/>
      </w:r>
      <w:r>
        <w:t>64</w:t>
      </w:r>
      <w:r>
        <w:fldChar w:fldCharType="end"/>
      </w:r>
      <w:r>
        <w:fldChar w:fldCharType="end"/>
      </w:r>
    </w:p>
    <w:p w14:paraId="79888671">
      <w:pPr>
        <w:pStyle w:val="19"/>
        <w:tabs>
          <w:tab w:val="right" w:leader="dot" w:pos="8845"/>
        </w:tabs>
        <w:ind w:firstLine="632"/>
      </w:pPr>
      <w:r>
        <w:fldChar w:fldCharType="begin"/>
      </w:r>
      <w:r>
        <w:instrText xml:space="preserve"> HYPERLINK \l "_Toc2100" </w:instrText>
      </w:r>
      <w:r>
        <w:fldChar w:fldCharType="separate"/>
      </w:r>
      <w:r>
        <w:rPr>
          <w:rFonts w:eastAsia="仿宋"/>
          <w:bCs/>
          <w:szCs w:val="28"/>
        </w:rPr>
        <w:t xml:space="preserve">10.4 </w:t>
      </w:r>
      <w:r>
        <w:rPr>
          <w:rFonts w:hint="eastAsia"/>
        </w:rPr>
        <w:t>预案的实施</w:t>
      </w:r>
      <w:r>
        <w:tab/>
      </w:r>
      <w:r>
        <w:fldChar w:fldCharType="begin"/>
      </w:r>
      <w:r>
        <w:instrText xml:space="preserve"> PAGEREF _Toc2100 \h </w:instrText>
      </w:r>
      <w:r>
        <w:fldChar w:fldCharType="separate"/>
      </w:r>
      <w:r>
        <w:t>64</w:t>
      </w:r>
      <w:r>
        <w:fldChar w:fldCharType="end"/>
      </w:r>
      <w:r>
        <w:fldChar w:fldCharType="end"/>
      </w:r>
    </w:p>
    <w:p w14:paraId="04D5D08A">
      <w:pPr>
        <w:ind w:firstLine="0" w:firstLineChars="0"/>
        <w:rPr>
          <w:rFonts w:ascii="黑体" w:hAnsi="黑体" w:eastAsia="黑体" w:cs="黑体"/>
          <w:szCs w:val="44"/>
        </w:rPr>
      </w:pPr>
      <w:r>
        <w:rPr>
          <w:rFonts w:hint="eastAsia" w:ascii="黑体" w:hAnsi="黑体" w:eastAsia="黑体" w:cs="黑体"/>
          <w:szCs w:val="44"/>
        </w:rPr>
        <w:fldChar w:fldCharType="end"/>
      </w:r>
      <w:r>
        <w:rPr>
          <w:rFonts w:hint="eastAsia" w:ascii="黑体" w:hAnsi="黑体" w:eastAsia="黑体" w:cs="黑体"/>
          <w:szCs w:val="44"/>
        </w:rPr>
        <w:t xml:space="preserve"> </w:t>
      </w:r>
    </w:p>
    <w:p w14:paraId="6C316ABE">
      <w:pPr>
        <w:pStyle w:val="2"/>
        <w:rPr>
          <w:sz w:val="32"/>
          <w:szCs w:val="32"/>
        </w:rPr>
        <w:sectPr>
          <w:footerReference r:id="rId20" w:type="default"/>
          <w:footerReference r:id="rId21" w:type="even"/>
          <w:pgSz w:w="11906" w:h="16838"/>
          <w:pgMar w:top="2098" w:right="1474" w:bottom="1984" w:left="1587" w:header="624" w:footer="1134" w:gutter="0"/>
          <w:pgNumType w:fmt="upperRoman" w:start="1"/>
          <w:cols w:space="720" w:num="1"/>
          <w:docGrid w:type="linesAndChars" w:linePitch="579" w:charSpace="-842"/>
        </w:sectPr>
      </w:pPr>
    </w:p>
    <w:p w14:paraId="1D6524AC">
      <w:pPr>
        <w:pStyle w:val="2"/>
        <w:numPr>
          <w:ilvl w:val="0"/>
          <w:numId w:val="90"/>
        </w:numPr>
        <w:tabs>
          <w:tab w:val="left" w:pos="0"/>
        </w:tabs>
        <w:rPr>
          <w:sz w:val="32"/>
          <w:szCs w:val="32"/>
        </w:rPr>
      </w:pPr>
      <w:bookmarkStart w:id="338" w:name="_Toc12836"/>
      <w:r>
        <w:rPr>
          <w:rFonts w:hint="eastAsia"/>
          <w:sz w:val="32"/>
          <w:szCs w:val="32"/>
        </w:rPr>
        <w:t>总则</w:t>
      </w:r>
      <w:bookmarkEnd w:id="338"/>
    </w:p>
    <w:p w14:paraId="41382167">
      <w:pPr>
        <w:pStyle w:val="3"/>
      </w:pPr>
      <w:r>
        <w:rPr>
          <w:rFonts w:hint="eastAsia"/>
        </w:rPr>
        <w:t>编制目的</w:t>
      </w:r>
    </w:p>
    <w:p w14:paraId="7C22D915">
      <w:pPr>
        <w:ind w:firstLine="632"/>
        <w:rPr>
          <w:rFonts w:ascii="仿宋_GB2312" w:hAnsi="仿宋_GB2312" w:cs="仿宋_GB2312"/>
        </w:rPr>
      </w:pPr>
      <w:r>
        <w:rPr>
          <w:rFonts w:hint="eastAsia" w:ascii="仿宋_GB2312" w:hAnsi="仿宋_GB2312" w:cs="仿宋_GB2312"/>
        </w:rPr>
        <w:t>以习近平新时代中国特色社会主义思想为指导，深入贯彻落实习近平总书记关于防灾减灾救灾的重要论述和气象工作的重要指示，进一步建立健全气象灾害防御组织体系，规范气象灾害应急响应机制，提高气象灾害防范和处置能力，最大限度地减少或者避免气象灾害造成的人员伤亡和财产损失，为全县经济社会高质量发展提供坚实保障。</w:t>
      </w:r>
    </w:p>
    <w:p w14:paraId="24A944C1">
      <w:pPr>
        <w:pStyle w:val="3"/>
      </w:pPr>
      <w:bookmarkStart w:id="339" w:name="_Toc5168"/>
      <w:r>
        <w:rPr>
          <w:rFonts w:hint="eastAsia"/>
        </w:rPr>
        <w:t>编制依据</w:t>
      </w:r>
      <w:bookmarkEnd w:id="339"/>
    </w:p>
    <w:p w14:paraId="4D1E1624">
      <w:pPr>
        <w:ind w:firstLine="632"/>
      </w:pPr>
      <w:r>
        <w:rPr>
          <w:rFonts w:hint="eastAsia"/>
        </w:rPr>
        <w:t>依据《中华人民共和国突发事件应对法》《中华人民共和国气象法》《中华人民共和国防洪法》《中华人民共和国防汛条例》《自然灾害救助条例》《地质灾害防治条例》《中华人民共和国抗旱条例》《气象灾害防御条例》《人工影响天气管理条例》《黑龙江省实施〈中华人民共和国防洪法〉办法》《黑龙江省气象灾害防御条例》，以及《国家气象灾害应急预案》《黑龙江省气象灾害应急预案》《双鸭山市突发事件总体应急预案》《集贤县突发事件总体应急预案》《集贤县自然灾害救助应急预案》《集贤县防汛应急预案》《集贤县抗旱应急预案》等相关法律、法规和规定，结合我县实际，制定本预案。</w:t>
      </w:r>
    </w:p>
    <w:p w14:paraId="14E4AB50">
      <w:pPr>
        <w:pStyle w:val="3"/>
      </w:pPr>
      <w:bookmarkStart w:id="340" w:name="_Toc553"/>
      <w:r>
        <w:rPr>
          <w:rFonts w:hint="eastAsia"/>
        </w:rPr>
        <w:t>适用范围</w:t>
      </w:r>
      <w:bookmarkEnd w:id="340"/>
    </w:p>
    <w:p w14:paraId="32B4C3C2">
      <w:pPr>
        <w:ind w:firstLine="632"/>
      </w:pPr>
      <w:r>
        <w:rPr>
          <w:rFonts w:hint="eastAsia"/>
        </w:rPr>
        <w:t>本预案适用于我县范围内台风、暴雨、暴雪、干旱、大风、寒冷天气、高温天气、大雾等气象灾害事件的防范和应对。</w:t>
      </w:r>
    </w:p>
    <w:p w14:paraId="0B89720E">
      <w:pPr>
        <w:ind w:firstLine="632"/>
      </w:pPr>
      <w:r>
        <w:rPr>
          <w:rFonts w:hint="eastAsia"/>
        </w:rPr>
        <w:t>因气象因素引发水旱灾害、地质灾害、森林草原火灾等其他灾害的处置，适用有关应急预案的规定。</w:t>
      </w:r>
    </w:p>
    <w:p w14:paraId="5F2B0B4C">
      <w:pPr>
        <w:pStyle w:val="3"/>
      </w:pPr>
      <w:bookmarkStart w:id="341" w:name="_Toc3359"/>
      <w:r>
        <w:rPr>
          <w:rFonts w:hint="eastAsia"/>
        </w:rPr>
        <w:t>工作原则</w:t>
      </w:r>
      <w:bookmarkEnd w:id="341"/>
    </w:p>
    <w:p w14:paraId="7781E767">
      <w:pPr>
        <w:numPr>
          <w:ilvl w:val="0"/>
          <w:numId w:val="23"/>
        </w:numPr>
        <w:ind w:firstLine="632"/>
      </w:pPr>
      <w:r>
        <w:rPr>
          <w:rFonts w:hint="eastAsia"/>
        </w:rPr>
        <w:t>以人为本、减少危害。把保障人民群众的生命财产安全作为首要任务和应急处置工作的出发点，全面加强应对气象灾害的体系建设，最大程度减少灾害损失。</w:t>
      </w:r>
    </w:p>
    <w:p w14:paraId="6128AC04">
      <w:pPr>
        <w:numPr>
          <w:ilvl w:val="0"/>
          <w:numId w:val="23"/>
        </w:numPr>
        <w:ind w:firstLine="632"/>
      </w:pPr>
      <w:r>
        <w:rPr>
          <w:rFonts w:hint="eastAsia"/>
        </w:rPr>
        <w:t>预防为主、科学高效。实行工程性措施和非工程性措施相结合，提高气象灾害监测预警能力和防御标准。充分利用现代科技手段，做好各项应急准备，提高应急处置能力。</w:t>
      </w:r>
    </w:p>
    <w:p w14:paraId="355CFE42">
      <w:pPr>
        <w:numPr>
          <w:ilvl w:val="0"/>
          <w:numId w:val="23"/>
        </w:numPr>
        <w:ind w:firstLine="632"/>
      </w:pPr>
      <w:r>
        <w:rPr>
          <w:rFonts w:hint="eastAsia"/>
        </w:rPr>
        <w:t>依法规范、协调有序。依照法律法规和相关职责，做好气象灾害的防范应对工作。加强各部门的信息沟通，做到资源共享，并建立协调配合机制，使气象灾害应对工作更加规范有序、运转协调。</w:t>
      </w:r>
    </w:p>
    <w:p w14:paraId="31A68FAB">
      <w:pPr>
        <w:numPr>
          <w:ilvl w:val="0"/>
          <w:numId w:val="23"/>
        </w:numPr>
        <w:ind w:firstLine="632"/>
      </w:pPr>
      <w:r>
        <w:rPr>
          <w:rFonts w:hint="eastAsia"/>
        </w:rPr>
        <w:t>分级管理、属地为主。根据灾害造成或可能造成的危害和影响，对气象灾害实施分级管理。灾害发生地政府负责本地气象灾害的应急处置工作。</w:t>
      </w:r>
    </w:p>
    <w:p w14:paraId="63562B68">
      <w:pPr>
        <w:pStyle w:val="2"/>
        <w:numPr>
          <w:ilvl w:val="0"/>
          <w:numId w:val="90"/>
        </w:numPr>
        <w:tabs>
          <w:tab w:val="left" w:pos="0"/>
        </w:tabs>
        <w:rPr>
          <w:sz w:val="32"/>
          <w:szCs w:val="32"/>
        </w:rPr>
      </w:pPr>
      <w:bookmarkStart w:id="342" w:name="_Toc5325"/>
      <w:r>
        <w:rPr>
          <w:rFonts w:hint="eastAsia"/>
          <w:sz w:val="32"/>
          <w:szCs w:val="32"/>
        </w:rPr>
        <w:t>组织指挥体系及职责</w:t>
      </w:r>
      <w:bookmarkEnd w:id="342"/>
    </w:p>
    <w:p w14:paraId="6F252098">
      <w:pPr>
        <w:ind w:firstLine="632"/>
      </w:pPr>
      <w:r>
        <w:rPr>
          <w:rFonts w:hint="eastAsia"/>
        </w:rPr>
        <w:t>集贤县人民政府成立集贤县气象灾害防御指挥部（以下简称县指挥部），在县委、县政府和县应急委领导下负责组织、协调、指导全县气象灾害应对工作。</w:t>
      </w:r>
    </w:p>
    <w:p w14:paraId="24527202">
      <w:pPr>
        <w:pStyle w:val="3"/>
      </w:pPr>
      <w:bookmarkStart w:id="343" w:name="_Toc20098"/>
      <w:r>
        <w:rPr>
          <w:rFonts w:hint="eastAsia"/>
        </w:rPr>
        <w:t>县气象灾害应急指挥部</w:t>
      </w:r>
      <w:bookmarkEnd w:id="343"/>
    </w:p>
    <w:p w14:paraId="47BE7B66">
      <w:pPr>
        <w:ind w:firstLine="632"/>
        <w:rPr>
          <w:rFonts w:ascii="仿宋_GB2312"/>
        </w:rPr>
      </w:pPr>
      <w:r>
        <w:rPr>
          <w:rFonts w:hint="eastAsia" w:ascii="仿宋_GB2312"/>
        </w:rPr>
        <w:t>县气象灾害应急指挥部由分管应急副县长和成员单位负责人组成。分管应急副县长任指挥长，县应急管理局局长和县气象局局长任副指挥长。</w:t>
      </w:r>
    </w:p>
    <w:p w14:paraId="4E26156F">
      <w:pPr>
        <w:ind w:firstLine="632"/>
        <w:rPr>
          <w:rFonts w:ascii="仿宋_GB2312"/>
        </w:rPr>
      </w:pPr>
      <w:r>
        <w:rPr>
          <w:rFonts w:hint="eastAsia" w:ascii="仿宋_GB2312"/>
        </w:rPr>
        <w:t>气象灾害发生后，县气象灾害应急指挥部可以根据需要，在事发地设立气象灾害现场应急指挥部。</w:t>
      </w:r>
    </w:p>
    <w:p w14:paraId="0076223D">
      <w:pPr>
        <w:ind w:firstLine="632"/>
        <w:rPr>
          <w:rFonts w:ascii="仿宋_GB2312"/>
        </w:rPr>
      </w:pPr>
      <w:r>
        <w:rPr>
          <w:rFonts w:hint="eastAsia" w:ascii="仿宋_GB2312"/>
        </w:rPr>
        <w:t>发生大范围的气象灾害，并造成重大危害时，由县政府决定启动相应的应急指挥机制，统一领导和指挥气象灾害及其次生、衍生灾害的应急处置工作：</w:t>
      </w:r>
    </w:p>
    <w:p w14:paraId="1A6D079E">
      <w:pPr>
        <w:ind w:firstLine="632"/>
        <w:rPr>
          <w:rFonts w:ascii="仿宋_GB2312"/>
        </w:rPr>
      </w:pPr>
      <w:r>
        <w:rPr>
          <w:rFonts w:hint="eastAsia" w:ascii="仿宋_GB2312"/>
        </w:rPr>
        <w:t>——台风、暴雨、干旱引发江河洪水、山洪灾害、渍涝灾害、干旱灾害等水旱灾害，由县防汛抗旱部门指挥应对工作。</w:t>
      </w:r>
    </w:p>
    <w:p w14:paraId="63B3A601">
      <w:pPr>
        <w:ind w:firstLine="632"/>
        <w:rPr>
          <w:rFonts w:ascii="仿宋_GB2312"/>
        </w:rPr>
      </w:pPr>
      <w:r>
        <w:rPr>
          <w:rFonts w:hint="eastAsia" w:ascii="仿宋_GB2312"/>
        </w:rPr>
        <w:t>——暴雪、寒冷天气、大雾严重影响交通、电力、能源、通信、重要工业品保障、农牧业生产、城市运行等方面，由相关职能部门负责协调处置工作。</w:t>
      </w:r>
    </w:p>
    <w:p w14:paraId="233282A4">
      <w:pPr>
        <w:ind w:firstLine="632"/>
        <w:rPr>
          <w:rFonts w:ascii="仿宋_GB2312"/>
        </w:rPr>
      </w:pPr>
      <w:r>
        <w:rPr>
          <w:rFonts w:hint="eastAsia" w:ascii="仿宋_GB2312"/>
        </w:rPr>
        <w:t>——气象灾害受灾群众生活救助工作，由县应急管理局组织实施。</w:t>
      </w:r>
    </w:p>
    <w:p w14:paraId="296F6D3E">
      <w:pPr>
        <w:ind w:firstLine="632"/>
        <w:rPr>
          <w:rFonts w:ascii="仿宋_GB2312"/>
        </w:rPr>
      </w:pPr>
      <w:r>
        <w:rPr>
          <w:rFonts w:hint="eastAsia" w:ascii="仿宋_GB2312"/>
        </w:rPr>
        <w:t>县气象灾害应急指挥部主要工作职责：在县委县政府领导下，负责组织领导全县气象灾害防范应对工作，研究制定全县气象灾害防御工作重大政策，协调解决气象灾害防御工作重大问题。</w:t>
      </w:r>
    </w:p>
    <w:p w14:paraId="6AEB276B">
      <w:pPr>
        <w:pStyle w:val="4"/>
        <w:numPr>
          <w:ilvl w:val="2"/>
          <w:numId w:val="90"/>
        </w:numPr>
        <w:tabs>
          <w:tab w:val="left" w:pos="0"/>
        </w:tabs>
        <w:rPr>
          <w:rFonts w:ascii="仿宋_GB2312" w:hAnsi="仿宋_GB2312" w:eastAsia="仿宋_GB2312" w:cs="仿宋_GB2312"/>
        </w:rPr>
      </w:pPr>
      <w:r>
        <w:rPr>
          <w:rFonts w:hint="eastAsia" w:ascii="仿宋_GB2312" w:hAnsi="仿宋_GB2312" w:eastAsia="仿宋_GB2312" w:cs="仿宋_GB2312"/>
        </w:rPr>
        <w:t>县气象灾害应急指挥部办公室</w:t>
      </w:r>
    </w:p>
    <w:p w14:paraId="25AF3537">
      <w:pPr>
        <w:ind w:firstLine="632"/>
        <w:rPr>
          <w:rFonts w:ascii="仿宋_GB2312"/>
        </w:rPr>
      </w:pPr>
      <w:r>
        <w:rPr>
          <w:rFonts w:hint="eastAsia" w:ascii="仿宋_GB2312"/>
        </w:rPr>
        <w:t>县气象灾害指挥部办公室设在县气象局，承担县气象灾害应急指挥部日常工作。办公室主任由县气象局分管副局长担任。</w:t>
      </w:r>
    </w:p>
    <w:p w14:paraId="2F79B78C">
      <w:pPr>
        <w:ind w:firstLine="632"/>
      </w:pPr>
      <w:r>
        <w:rPr>
          <w:rFonts w:hint="eastAsia"/>
        </w:rPr>
        <w:t>办公室主要工作职责：负责执行县气象灾害应急指挥部调度指令，贯彻落实县气象灾害应急指挥部工作部署；承担气象灾害应急响应日常管理工作；组织气象灾害监测、预报和预警工作，组织气象灾害趋势会商，分析研判气象灾害影响程度和范围，为县政府和县气象灾害应急指挥部及时提供重要气象服务信息；提出启动（终止）本预案及开展气象灾害防范应对建议，根据指挥部的决定，启动、变更或终止气象灾害应急响应；组织开展气象灾害风险调查和重点隐患排查，督促检查气象灾害防范应对工作的组织和实施情况；组织建立完善相关制度，协调成员单位间信息共享；开展气象灾害信息收集、分析、评估、审核和上报及气象灾害防御评估和总结上报工作；组织实施人工影响天气作业工作；承担气象灾害应急预案的修订；协调成员单位联络员、工作人员培训，参加、筹划、组织和评估有关气象灾害事件应急演练。</w:t>
      </w:r>
    </w:p>
    <w:p w14:paraId="1D5EEFCE">
      <w:pPr>
        <w:pStyle w:val="4"/>
        <w:numPr>
          <w:ilvl w:val="2"/>
          <w:numId w:val="90"/>
        </w:numPr>
        <w:tabs>
          <w:tab w:val="left" w:pos="0"/>
        </w:tabs>
        <w:rPr>
          <w:rFonts w:ascii="仿宋_GB2312" w:hAnsi="仿宋_GB2312" w:eastAsia="仿宋_GB2312" w:cs="仿宋_GB2312"/>
        </w:rPr>
      </w:pPr>
      <w:r>
        <w:rPr>
          <w:rFonts w:hint="eastAsia" w:ascii="仿宋_GB2312" w:hAnsi="仿宋_GB2312" w:eastAsia="仿宋_GB2312" w:cs="仿宋_GB2312"/>
        </w:rPr>
        <w:t>县气象灾害应急指挥部成员单位</w:t>
      </w:r>
    </w:p>
    <w:p w14:paraId="78635057">
      <w:pPr>
        <w:ind w:firstLine="632"/>
        <w:rPr>
          <w:rFonts w:ascii="仿宋_GB2312"/>
        </w:rPr>
      </w:pPr>
      <w:r>
        <w:rPr>
          <w:rFonts w:hint="eastAsia" w:ascii="仿宋_GB2312"/>
        </w:rPr>
        <w:t>县气象灾害应急指挥部由下列单位组成：县政府办公室、县委宣传部、县气象局、县发展和改革局、县教育和体育局、县公安局、县交警大队、县民政局、县财政局、县自然资源局、县住房和城乡建设局、县交通运输局、县水务局、县工业信息科技局、县农业农村局、县林业和草原局、县应急管理局、县卫生健康局、双鸭山市集贤生态环境局、县文化广电和旅游局、国网供电集贤分公司、福利屯火车站、县消防救援大队、各通信运营单位。</w:t>
      </w:r>
    </w:p>
    <w:p w14:paraId="710B438E">
      <w:pPr>
        <w:ind w:firstLine="632"/>
      </w:pPr>
      <w:r>
        <w:rPr>
          <w:rFonts w:hint="eastAsia"/>
        </w:rPr>
        <w:t>主要工作职责：</w:t>
      </w:r>
    </w:p>
    <w:p w14:paraId="79C6005F">
      <w:pPr>
        <w:ind w:firstLine="634"/>
      </w:pPr>
      <w:r>
        <w:rPr>
          <w:rFonts w:hint="eastAsia"/>
          <w:b/>
          <w:bCs/>
        </w:rPr>
        <w:t>县委宣传部：</w:t>
      </w:r>
      <w:r>
        <w:rPr>
          <w:rFonts w:hint="eastAsia"/>
        </w:rPr>
        <w:t>负责组织协调、监督和指导相关部门、单位开展气象灾害防御工作宣传报道、新闻发布和舆情管控，正确把握气象灾害防御工作的宣传导向，指导新闻宣传单位做好宣传报道及视情指导组织召开新闻发布会等工作。</w:t>
      </w:r>
    </w:p>
    <w:p w14:paraId="749CBC75">
      <w:pPr>
        <w:ind w:firstLine="634"/>
      </w:pPr>
      <w:r>
        <w:rPr>
          <w:rFonts w:hint="eastAsia"/>
          <w:b/>
          <w:bCs/>
        </w:rPr>
        <w:t>县人民武装部：</w:t>
      </w:r>
      <w:r>
        <w:rPr>
          <w:rFonts w:hint="eastAsia"/>
        </w:rPr>
        <w:t>组织指挥民兵预备役部队参加抢险救灾；办理县政府提出的军队支援抢险救灾行动协调、报批事项；协助做好参加县内抢险救灾任务部队的相关保障工作；会同宣传、新闻主管部门统一组织实施军队支援抢险救灾行动的宣传报道工作。</w:t>
      </w:r>
    </w:p>
    <w:p w14:paraId="09A81985">
      <w:pPr>
        <w:ind w:firstLine="634"/>
      </w:pPr>
      <w:r>
        <w:rPr>
          <w:rFonts w:hint="eastAsia"/>
          <w:b/>
          <w:bCs/>
        </w:rPr>
        <w:t>县发展和改革局：</w:t>
      </w:r>
      <w:r>
        <w:rPr>
          <w:rFonts w:hint="eastAsia"/>
        </w:rPr>
        <w:t>负责居民生活必需品市场价格等监测，必要时采取价格干预措施，稳定商品价格，维护社会稳定。</w:t>
      </w:r>
    </w:p>
    <w:p w14:paraId="0A69E659">
      <w:pPr>
        <w:ind w:firstLine="634"/>
      </w:pPr>
      <w:r>
        <w:rPr>
          <w:rFonts w:hint="eastAsia"/>
          <w:b/>
          <w:bCs/>
        </w:rPr>
        <w:t>县教育和体育局：</w:t>
      </w:r>
      <w:r>
        <w:rPr>
          <w:rFonts w:hint="eastAsia"/>
        </w:rPr>
        <w:t>负责全县各学校防御气象灾害工作的监督管理，根据灾害等级适时安排学校停课或调整上（放）学时间；指导学校开展防灾减灾知识教育，提高师生防灾减灾意识和自救能力。</w:t>
      </w:r>
    </w:p>
    <w:p w14:paraId="4E0094B8">
      <w:pPr>
        <w:ind w:firstLine="634"/>
      </w:pPr>
      <w:r>
        <w:rPr>
          <w:rFonts w:hint="eastAsia"/>
          <w:b/>
          <w:bCs/>
        </w:rPr>
        <w:t>县工业信息科技局：</w:t>
      </w:r>
      <w:r>
        <w:rPr>
          <w:rFonts w:hint="eastAsia"/>
        </w:rPr>
        <w:t>负责指导、协调和督促各基础电信运营企业做好防御气象灾害通信保障和相关应急信息发布传递工作；及时指挥、协调相关电信运营企业调配应急机动通信设施，保障应急指挥通信的畅通；负责监测分析灾区生活必需品市场运行和供求形势状况，组织协调受灾地区生活必需品以及成品油的市场供应工作。</w:t>
      </w:r>
    </w:p>
    <w:p w14:paraId="3A8F87F3">
      <w:pPr>
        <w:ind w:firstLine="634"/>
      </w:pPr>
      <w:r>
        <w:rPr>
          <w:rFonts w:hint="eastAsia"/>
          <w:b/>
          <w:bCs/>
        </w:rPr>
        <w:t>县公安局：</w:t>
      </w:r>
      <w:r>
        <w:rPr>
          <w:rFonts w:hint="eastAsia"/>
        </w:rPr>
        <w:t>维护社会治安秩序，依法打击盗窃、哄抢防御气象灾害物资和破坏防灾救灾工程设施的违法犯罪行为；协助有关部门妥善处置因气象灾害引发的群体性治安事件；</w:t>
      </w:r>
    </w:p>
    <w:p w14:paraId="788023C8">
      <w:pPr>
        <w:ind w:firstLine="634"/>
      </w:pPr>
      <w:r>
        <w:rPr>
          <w:rFonts w:hint="eastAsia"/>
          <w:b/>
          <w:bCs/>
        </w:rPr>
        <w:t>县交通大队：</w:t>
      </w:r>
      <w:r>
        <w:rPr>
          <w:rFonts w:hint="eastAsia"/>
        </w:rPr>
        <w:t>负责保障道路交通安全与秩序；防御气象灾害紧急期间，适时对部分路段实施交通管制，协助组织群众撤离和转移。</w:t>
      </w:r>
    </w:p>
    <w:p w14:paraId="1BD16A56">
      <w:pPr>
        <w:ind w:firstLine="634"/>
      </w:pPr>
      <w:r>
        <w:rPr>
          <w:rFonts w:hint="eastAsia"/>
          <w:b/>
          <w:bCs/>
        </w:rPr>
        <w:t>县民政局：</w:t>
      </w:r>
      <w:r>
        <w:rPr>
          <w:rFonts w:hint="eastAsia"/>
        </w:rPr>
        <w:t>组织指导和开展救灾捐赠工作；组织核实灾情，并按有关规定发布气象灾害灾情和救助工作情况；指导灾区做好群众的基本生活保障。</w:t>
      </w:r>
    </w:p>
    <w:p w14:paraId="29A57AB1">
      <w:pPr>
        <w:ind w:firstLine="634"/>
      </w:pPr>
      <w:r>
        <w:rPr>
          <w:rFonts w:hint="eastAsia"/>
          <w:b/>
          <w:bCs/>
        </w:rPr>
        <w:t>县财政局：</w:t>
      </w:r>
      <w:r>
        <w:rPr>
          <w:rFonts w:hint="eastAsia"/>
        </w:rPr>
        <w:t>按照县政府下达的救助计划拨付防御气象灾害和救灾资金，并监督主管部门使用。</w:t>
      </w:r>
    </w:p>
    <w:p w14:paraId="5AF5D4CB">
      <w:pPr>
        <w:ind w:firstLine="634"/>
      </w:pPr>
      <w:r>
        <w:rPr>
          <w:rFonts w:hint="eastAsia"/>
          <w:b/>
          <w:bCs/>
        </w:rPr>
        <w:t>县自然资源局：</w:t>
      </w:r>
      <w:r>
        <w:rPr>
          <w:rFonts w:hint="eastAsia"/>
        </w:rPr>
        <w:t>负责因气象灾害可能引发滑坡、山体崩塌、地面塌陷、泥石流等地质灾害的监测、应急调查和灾害评估。</w:t>
      </w:r>
    </w:p>
    <w:p w14:paraId="0441A5D5">
      <w:pPr>
        <w:ind w:firstLine="634"/>
      </w:pPr>
      <w:r>
        <w:rPr>
          <w:rFonts w:hint="eastAsia"/>
          <w:b/>
          <w:bCs/>
        </w:rPr>
        <w:t>双鸭山市集贤生态环境局：</w:t>
      </w:r>
      <w:r>
        <w:rPr>
          <w:rFonts w:hint="eastAsia"/>
        </w:rPr>
        <w:t>对重点行业企业特别是重大环境风险企业的各类涉水、涉气、固废等污染防治设施、环境应急设施设备等重点环节、重要部位进行全面排查，完善环境污染事件应急预案，强化环境污染预警机制，落实应急装备和监测仪器，防止次生、衍生事故发生。</w:t>
      </w:r>
    </w:p>
    <w:p w14:paraId="18DFEA1E">
      <w:pPr>
        <w:ind w:firstLine="634"/>
      </w:pPr>
      <w:r>
        <w:rPr>
          <w:rFonts w:hint="eastAsia"/>
          <w:b/>
          <w:bCs/>
        </w:rPr>
        <w:t>县住房和城乡建设局：</w:t>
      </w:r>
      <w:r>
        <w:rPr>
          <w:rFonts w:hint="eastAsia"/>
        </w:rPr>
        <w:t>负责城市市政公用基础设施、城市房屋、建筑工地、物业小区、园林绿化和风景区的防御气象灾害监督管理；负责对受损供水、供气管网进行抢修；负责督促各物业小区进行灾后恢复；负责对城区各主次干道枯枝断树进行及时清除。</w:t>
      </w:r>
    </w:p>
    <w:p w14:paraId="4E497823">
      <w:pPr>
        <w:ind w:firstLine="634"/>
        <w:rPr>
          <w:b/>
          <w:bCs/>
        </w:rPr>
      </w:pPr>
      <w:r>
        <w:rPr>
          <w:rFonts w:hint="eastAsia"/>
          <w:b/>
          <w:bCs/>
        </w:rPr>
        <w:t>县城市管理局：</w:t>
      </w:r>
      <w:r>
        <w:rPr>
          <w:rFonts w:hint="eastAsia"/>
        </w:rPr>
        <w:t>负责做好城市环境秩序管控工作，做好主次干道扫雪除冰工作，保障城区交通畅通；负责组织、协调清扫冰雪各项具体工作，指挥、调度环卫力量和清扫冰雪机械作业；负责城区环境卫生整治、户外广告、隔离护栏的修复和管理；负责各公益性场馆和所辖公园广场积雪的清扫工作。</w:t>
      </w:r>
    </w:p>
    <w:p w14:paraId="7016D467">
      <w:pPr>
        <w:ind w:firstLine="634"/>
      </w:pPr>
      <w:r>
        <w:rPr>
          <w:rFonts w:hint="eastAsia"/>
          <w:b/>
          <w:bCs/>
        </w:rPr>
        <w:t>县交通运输局：</w:t>
      </w:r>
      <w:r>
        <w:rPr>
          <w:rFonts w:hint="eastAsia"/>
        </w:rPr>
        <w:t>负责职责范围内公路、水路运输秩序，协调和组织运力，做好人员和物资的疏运和安全；配合受灾镇人民政府（街道办事处）和有关部门，做好公路、水路滞留人员的安置和基本生活保障；组织公路、水路抢险抢修保畅通，配合做好抢险救灾车辆、船舶的通行工作；配合有关部门做好公路交通安全管理；督促相关单位做好在建交通工程安全管理工作。</w:t>
      </w:r>
    </w:p>
    <w:p w14:paraId="3375D22F">
      <w:pPr>
        <w:ind w:firstLine="634"/>
      </w:pPr>
      <w:r>
        <w:rPr>
          <w:rFonts w:hint="eastAsia"/>
          <w:b/>
          <w:bCs/>
        </w:rPr>
        <w:t>县水务局：</w:t>
      </w:r>
      <w:r>
        <w:rPr>
          <w:rFonts w:hint="eastAsia"/>
        </w:rPr>
        <w:t>负责提前做好气象灾害灾情预测，加强对水利工程设施的监控，做好内河沟渠加固，积水排放；加强安全巡查，防止次生、衍生事故发生。</w:t>
      </w:r>
    </w:p>
    <w:p w14:paraId="015B15FB">
      <w:pPr>
        <w:ind w:firstLine="634"/>
      </w:pPr>
      <w:r>
        <w:rPr>
          <w:rFonts w:hint="eastAsia"/>
          <w:b/>
          <w:bCs/>
        </w:rPr>
        <w:t>县农业农村局：</w:t>
      </w:r>
      <w:r>
        <w:rPr>
          <w:rFonts w:hint="eastAsia"/>
        </w:rPr>
        <w:t>负责全县由气象灾害引起的农业、畜牧业生产突发事件的处置;提前采取措施，防止塑料大棚等因积雪造成垮塌或人员伤亡事件发生。</w:t>
      </w:r>
    </w:p>
    <w:p w14:paraId="706A7674">
      <w:pPr>
        <w:ind w:firstLine="634"/>
      </w:pPr>
      <w:r>
        <w:rPr>
          <w:rFonts w:hint="eastAsia"/>
          <w:b/>
          <w:bCs/>
        </w:rPr>
        <w:t>县市场监督管理局：</w:t>
      </w:r>
      <w:r>
        <w:rPr>
          <w:rFonts w:hint="eastAsia"/>
        </w:rPr>
        <w:t>加强特种设备、食品、药品的安全监管，防止次生、衍生事故发生。</w:t>
      </w:r>
    </w:p>
    <w:p w14:paraId="5BB534B7">
      <w:pPr>
        <w:ind w:firstLine="634"/>
      </w:pPr>
      <w:r>
        <w:rPr>
          <w:rFonts w:hint="eastAsia"/>
          <w:b/>
          <w:bCs/>
        </w:rPr>
        <w:t>县文化广电和旅游局：</w:t>
      </w:r>
      <w:r>
        <w:rPr>
          <w:rFonts w:hint="eastAsia"/>
        </w:rPr>
        <w:t>负责A级旅游景区的安全监督管理，配合乡镇人民政府和有关部门组织协调旅游企业做好游客和旅游从业人员疏散工作。</w:t>
      </w:r>
    </w:p>
    <w:p w14:paraId="4ABD0640">
      <w:pPr>
        <w:ind w:firstLine="634"/>
      </w:pPr>
      <w:r>
        <w:rPr>
          <w:rFonts w:hint="eastAsia"/>
          <w:b/>
          <w:bCs/>
        </w:rPr>
        <w:t>县卫生健康局：</w:t>
      </w:r>
      <w:r>
        <w:rPr>
          <w:rFonts w:hint="eastAsia"/>
        </w:rPr>
        <w:t>负责灾区疾病预防控制、卫生监督和医疗救护工作；及时提供气象灾区疫情和防治意见，组织卫生部门和医疗人员赶赴灾区开展防病治病；预防、控制疫情的发生和流行。</w:t>
      </w:r>
    </w:p>
    <w:p w14:paraId="1F0FCFD7">
      <w:pPr>
        <w:ind w:firstLine="634"/>
      </w:pPr>
      <w:r>
        <w:rPr>
          <w:rFonts w:hint="eastAsia"/>
          <w:b/>
          <w:bCs/>
        </w:rPr>
        <w:t>县应急管理局：</w:t>
      </w:r>
      <w:r>
        <w:rPr>
          <w:rFonts w:hint="eastAsia"/>
        </w:rPr>
        <w:t>负责在应急体系、综合防灾减灾规划中统筹考虑气象灾害防御建设项目。与气象部门建立完善气象灾害应急联动机制，协同做好气象灾害防御检查。负责提供森林火险、火灾等自然灾害信息。支持配合有关部门将气象灾害防御知识纳入应急管理教育培训考核。按照有关规定参与气象灾情综合调查、评估工作。负责将气象灾害防御纳入综合防灾减灾社区建设内容。发生气象灾害时，指导当地按规定设置应急避难场所和生活物资供应点，会同有关部门组织协调紧急转移安置受灾群众和受灾群众生活救助。</w:t>
      </w:r>
    </w:p>
    <w:p w14:paraId="309D3C60">
      <w:pPr>
        <w:ind w:firstLine="634"/>
      </w:pPr>
      <w:r>
        <w:rPr>
          <w:rFonts w:hint="eastAsia"/>
          <w:b/>
          <w:bCs/>
        </w:rPr>
        <w:t>县煤管局：</w:t>
      </w:r>
      <w:r>
        <w:rPr>
          <w:rFonts w:hint="eastAsia"/>
        </w:rPr>
        <w:t>负责煤矿安全监管及县直煤炭企业做好煤矿气象灾害防御工作。负责所辖矿区气象灾害的预防和处理工作。</w:t>
      </w:r>
    </w:p>
    <w:p w14:paraId="30B6E70A">
      <w:pPr>
        <w:ind w:firstLine="634"/>
      </w:pPr>
      <w:r>
        <w:rPr>
          <w:rFonts w:hint="eastAsia"/>
          <w:b/>
          <w:bCs/>
        </w:rPr>
        <w:t>县气象局：</w:t>
      </w:r>
      <w:r>
        <w:rPr>
          <w:rFonts w:hint="eastAsia"/>
        </w:rPr>
        <w:t>负责气象灾害的监测、预报，及时发布气象灾害预警信息；负责气象灾害信息的收集、分析和评估工作，为县指挥部启动和终止气象灾害应急预案、组织抢险救灾提供决策依据和建议。</w:t>
      </w:r>
    </w:p>
    <w:p w14:paraId="751A7866">
      <w:pPr>
        <w:ind w:firstLine="634"/>
        <w:rPr>
          <w:b/>
          <w:bCs/>
        </w:rPr>
      </w:pPr>
      <w:r>
        <w:rPr>
          <w:rFonts w:hint="eastAsia"/>
          <w:b/>
          <w:bCs/>
        </w:rPr>
        <w:t>县农机总站：</w:t>
      </w:r>
      <w:r>
        <w:rPr>
          <w:rFonts w:hint="eastAsia"/>
        </w:rPr>
        <w:t>负责抗灾救灾农机具及农用油料调拨供应。遇到气象灾害时，负责组织、调配急需的机械设备投入抗灾工作；组织抗灾机械所需配件的调配和供应工作。</w:t>
      </w:r>
    </w:p>
    <w:p w14:paraId="4F4D076A">
      <w:pPr>
        <w:ind w:firstLine="634"/>
      </w:pPr>
      <w:r>
        <w:rPr>
          <w:rFonts w:hint="eastAsia"/>
          <w:b/>
          <w:bCs/>
        </w:rPr>
        <w:t>县林业和草原局：</w:t>
      </w:r>
      <w:r>
        <w:rPr>
          <w:rFonts w:hint="eastAsia"/>
        </w:rPr>
        <w:t>负责统计上报有关林业和草原受灾情况，协助指导各乡镇做好防灾减灾工作。</w:t>
      </w:r>
    </w:p>
    <w:p w14:paraId="1324318F">
      <w:pPr>
        <w:ind w:firstLine="634"/>
        <w:rPr>
          <w:b/>
          <w:bCs/>
        </w:rPr>
      </w:pPr>
      <w:r>
        <w:rPr>
          <w:rFonts w:hint="eastAsia"/>
          <w:b/>
          <w:bCs/>
        </w:rPr>
        <w:t>福利屯火车站：</w:t>
      </w:r>
      <w:r>
        <w:rPr>
          <w:rFonts w:hint="eastAsia"/>
        </w:rPr>
        <w:t>负责本系统铁路工程设施的安全度汛工作，保障因气象灾害受阻旅客的人身财产安全以及救灾人员、物资设备的铁路运输工作，及时组织修复水毁铁路设施，保障交通运输畅通。</w:t>
      </w:r>
    </w:p>
    <w:p w14:paraId="119A19CD">
      <w:pPr>
        <w:ind w:firstLine="634"/>
        <w:rPr>
          <w:b/>
          <w:bCs/>
        </w:rPr>
      </w:pPr>
      <w:r>
        <w:rPr>
          <w:rFonts w:hint="eastAsia"/>
          <w:b/>
          <w:bCs/>
        </w:rPr>
        <w:t>国网集贤分公司：</w:t>
      </w:r>
      <w:r>
        <w:rPr>
          <w:rFonts w:hint="eastAsia"/>
        </w:rPr>
        <w:t>负责电网系统和电力设施运行监测，做好电力设施抢修，保障城乡居民及生产安全有序用电，及时报告受灾影响和恢复情况。</w:t>
      </w:r>
    </w:p>
    <w:p w14:paraId="3C521DA9">
      <w:pPr>
        <w:ind w:firstLine="634"/>
      </w:pPr>
      <w:r>
        <w:rPr>
          <w:rFonts w:hint="eastAsia"/>
          <w:b/>
          <w:bCs/>
        </w:rPr>
        <w:t>县消防救援大队：</w:t>
      </w:r>
      <w:r>
        <w:rPr>
          <w:rFonts w:hint="eastAsia"/>
        </w:rPr>
        <w:t>组织参加重要设施和重大险情的抢险工作；协助当地公安部门维护抢险救灾秩序和灾区社会治安，协助当地政府转移危险地区的群众。</w:t>
      </w:r>
    </w:p>
    <w:p w14:paraId="7601EF21">
      <w:pPr>
        <w:ind w:firstLine="634"/>
      </w:pPr>
      <w:r>
        <w:rPr>
          <w:rFonts w:hint="eastAsia"/>
          <w:b/>
          <w:bCs/>
        </w:rPr>
        <w:t>二九一农场、笔架山农场：</w:t>
      </w:r>
      <w:r>
        <w:rPr>
          <w:rFonts w:hint="eastAsia"/>
        </w:rPr>
        <w:t>在上级指挥机构的领导下，负责组织、指挥、协调本农场内防御气象灾害和抢险救灾等应急工作。</w:t>
      </w:r>
    </w:p>
    <w:p w14:paraId="2F45FA5B">
      <w:pPr>
        <w:ind w:firstLine="634"/>
      </w:pPr>
      <w:r>
        <w:rPr>
          <w:rFonts w:hint="eastAsia"/>
          <w:b/>
          <w:bCs/>
        </w:rPr>
        <w:t>各通信运营单位：</w:t>
      </w:r>
      <w:r>
        <w:rPr>
          <w:rFonts w:hint="eastAsia"/>
        </w:rPr>
        <w:t>负责协助县政府及相关部门按信息发布机制及时发送预警短信，做好抗灾救灾期间应急通信保障工作，及时抢修灾区受损通信设施并恢复正常通信。</w:t>
      </w:r>
    </w:p>
    <w:p w14:paraId="203CB365">
      <w:pPr>
        <w:ind w:firstLine="634"/>
      </w:pPr>
      <w:r>
        <w:rPr>
          <w:rFonts w:hint="eastAsia"/>
          <w:b/>
          <w:bCs/>
        </w:rPr>
        <w:t>各乡镇人民政府：</w:t>
      </w:r>
      <w:r>
        <w:rPr>
          <w:rFonts w:hint="eastAsia"/>
        </w:rPr>
        <w:t>各镇人民政府在上级指挥机构和本级政府的领导下，负责组织、指挥、协调本地区防御气象灾害和抢险救灾等应急工作。</w:t>
      </w:r>
    </w:p>
    <w:p w14:paraId="1340C2A9">
      <w:pPr>
        <w:pStyle w:val="3"/>
      </w:pPr>
      <w:bookmarkStart w:id="344" w:name="_Toc4050"/>
      <w:r>
        <w:rPr>
          <w:rFonts w:hint="eastAsia"/>
        </w:rPr>
        <w:t>应急指挥协调联动机制</w:t>
      </w:r>
      <w:bookmarkEnd w:id="344"/>
    </w:p>
    <w:p w14:paraId="32C4CCE0">
      <w:pPr>
        <w:ind w:firstLine="632"/>
      </w:pPr>
      <w:r>
        <w:rPr>
          <w:rFonts w:hint="eastAsia"/>
        </w:rPr>
        <w:t>在县委、县政府的统一指挥下，县气象灾害应急指挥部与县各专项指挥部之间、县气象灾害应急指挥部与市气象灾害应急指挥部建立自动承接、协调一致的应急指挥衔接机制，县气象灾害应急指挥部成员单位间建立信息共享和应急联动机制，在应急响应状态下，各成员单位根据应急响应级别，按照县气象灾害应急指挥部的统一部署和各自职责，积极参与气象灾害防范应对、落实做好气象灾害应急处置工作。</w:t>
      </w:r>
    </w:p>
    <w:p w14:paraId="2B1E3ECF">
      <w:pPr>
        <w:ind w:firstLine="632"/>
      </w:pPr>
      <w:r>
        <w:rPr>
          <w:rFonts w:hint="eastAsia"/>
        </w:rPr>
        <w:t>因气象因素引发水旱灾害、地质灾害、森林草原火灾、重污染天气、低温雨雪冰冻等次生衍生灾害，且有相关专项指挥体系组织应对时，气象灾害应急指挥体系不再单独启动，指挥部各有关成员单位按其他专项应急预案要求开展工作。</w:t>
      </w:r>
    </w:p>
    <w:p w14:paraId="542623F8">
      <w:pPr>
        <w:ind w:firstLine="632"/>
      </w:pPr>
      <w:r>
        <w:rPr>
          <w:rFonts w:hint="eastAsia"/>
        </w:rPr>
        <w:t>应对暴雨、干旱气象灾害时，当县防汛抗旱指挥部按照相关专项应急预案已启动应急指挥机制时，由县防汛抗旱指挥部统一指挥，指挥部各相关成员单位按照相关专项应急预案开展防御工作。应对暴雪、寒潮气象灾害时，当县低温雨雪冰冻灾害应急指挥部按照相关专项应急预案已启动应急指挥机制时，由县低温雨雪冰冻灾害应急指挥部统一指挥，指挥部各相关成员单位按照相关专项应急预案开展防御工作。</w:t>
      </w:r>
    </w:p>
    <w:p w14:paraId="581B5886">
      <w:pPr>
        <w:ind w:firstLine="632"/>
      </w:pPr>
      <w:r>
        <w:rPr>
          <w:rFonts w:hint="eastAsia"/>
        </w:rPr>
        <w:t>气象因素引发的突发地质灾害，按照县地质灾害应急指挥部组织防范应对策略处置；气象因素引发的森林草原火灾事件，按照县森林草原防灭火指挥部组织防范应对策略处置。沙尘（浮尘、扬沙、沙尘暴）造成重污染天气事件，按照县生态环境保护委员会组织防范应对策略处置。</w:t>
      </w:r>
    </w:p>
    <w:p w14:paraId="36A1716E">
      <w:pPr>
        <w:pStyle w:val="3"/>
      </w:pPr>
      <w:bookmarkStart w:id="345" w:name="_Toc7814"/>
      <w:r>
        <w:rPr>
          <w:rFonts w:hint="eastAsia"/>
        </w:rPr>
        <w:t>气象灾害应急专家组</w:t>
      </w:r>
      <w:bookmarkEnd w:id="345"/>
    </w:p>
    <w:p w14:paraId="1C2DC4E0">
      <w:pPr>
        <w:ind w:firstLine="632"/>
      </w:pPr>
      <w:r>
        <w:rPr>
          <w:rFonts w:hint="eastAsia"/>
        </w:rPr>
        <w:t>县气象灾害应急指挥部成立气象灾害应急专家组，由相关成员单位专业技术专家组成，为气象灾害应急处置工作提供决策咨询和技术支持。</w:t>
      </w:r>
    </w:p>
    <w:p w14:paraId="41F081FB">
      <w:pPr>
        <w:ind w:firstLine="632"/>
      </w:pPr>
      <w:r>
        <w:rPr>
          <w:rFonts w:hint="eastAsia"/>
        </w:rPr>
        <w:t>组长单位：县气象局</w:t>
      </w:r>
    </w:p>
    <w:p w14:paraId="12AA93AF">
      <w:pPr>
        <w:ind w:firstLine="632"/>
      </w:pPr>
      <w:r>
        <w:rPr>
          <w:rFonts w:hint="eastAsia"/>
        </w:rPr>
        <w:t>成员：应急管理、自然资源、生态环境、住建、交通运输、水务、农业农村、卫健、林草和应急救援等方面的专家。</w:t>
      </w:r>
    </w:p>
    <w:p w14:paraId="54430323">
      <w:pPr>
        <w:ind w:firstLine="632"/>
      </w:pPr>
      <w:r>
        <w:rPr>
          <w:rFonts w:hint="eastAsia"/>
        </w:rPr>
        <w:t>主要职责：按照指挥部的要求，研究分析气象灾害预报预警、风险影响、灾情和发展趋势，为指挥部提供防灾减灾救灾咨询建议和技术支持，指导科学开展减灾避灾工作。</w:t>
      </w:r>
    </w:p>
    <w:p w14:paraId="310BA842">
      <w:pPr>
        <w:pStyle w:val="3"/>
      </w:pPr>
      <w:bookmarkStart w:id="346" w:name="_Toc24750"/>
      <w:r>
        <w:rPr>
          <w:rFonts w:hint="eastAsia"/>
        </w:rPr>
        <w:t>县气象灾害应急责任人</w:t>
      </w:r>
      <w:bookmarkEnd w:id="346"/>
    </w:p>
    <w:p w14:paraId="160DEFF6">
      <w:pPr>
        <w:ind w:firstLine="632"/>
      </w:pPr>
      <w:r>
        <w:rPr>
          <w:rFonts w:hint="eastAsia"/>
        </w:rPr>
        <w:t>各成员单位要明确至少一名气象灾害应急责任人，同时作为本单位联络员，定期向指挥部办公室报送，责任人如有变动需及时更新。应急责任人要及时获取气象灾害预警信息及其他相关信息，协调调动本部门（单位）按照本预案规定的职责开展应急工作，及时向指挥部办公室报送应急工作开展情况和灾情，共同开展灾后调查，接受相关培训等。</w:t>
      </w:r>
    </w:p>
    <w:p w14:paraId="4EF17D7F">
      <w:pPr>
        <w:ind w:firstLine="632"/>
      </w:pPr>
      <w:r>
        <w:rPr>
          <w:rFonts w:hint="eastAsia"/>
        </w:rPr>
        <w:t>各乡镇人民政府应建立相应的应急责任人制度，并做好管理和培训。应急责任人为直接管辖的县区街道、乡镇及其所辖的社区指定气象信息员或应急信息员。信息员协助开展本区域气象灾害防范应对、气象预警信息传播、气象灾害调查上报、气象科普宣传等工作。</w:t>
      </w:r>
    </w:p>
    <w:p w14:paraId="6C5F0423">
      <w:pPr>
        <w:pStyle w:val="3"/>
      </w:pPr>
      <w:bookmarkStart w:id="347" w:name="_Toc23768"/>
      <w:r>
        <w:rPr>
          <w:rFonts w:hint="eastAsia"/>
        </w:rPr>
        <w:t>县气象灾害应急工作组及职责</w:t>
      </w:r>
      <w:bookmarkEnd w:id="347"/>
    </w:p>
    <w:p w14:paraId="693BA437">
      <w:pPr>
        <w:ind w:firstLine="632"/>
      </w:pPr>
      <w:r>
        <w:rPr>
          <w:rFonts w:hint="eastAsia"/>
        </w:rPr>
        <w:t>启动气象灾害Ⅰ、Ⅱ级应急响应后，根据防灾救灾需要，启动成立以下气象灾害应急工作组：</w:t>
      </w:r>
    </w:p>
    <w:p w14:paraId="07B0D1D8">
      <w:pPr>
        <w:pStyle w:val="4"/>
        <w:numPr>
          <w:ilvl w:val="2"/>
          <w:numId w:val="90"/>
        </w:numPr>
        <w:tabs>
          <w:tab w:val="left" w:pos="0"/>
        </w:tabs>
        <w:rPr>
          <w:rFonts w:ascii="仿宋_GB2312" w:hAnsi="仿宋_GB2312" w:eastAsia="仿宋_GB2312" w:cs="仿宋_GB2312"/>
        </w:rPr>
      </w:pPr>
      <w:r>
        <w:rPr>
          <w:rFonts w:hint="eastAsia" w:ascii="仿宋_GB2312" w:hAnsi="仿宋_GB2312" w:eastAsia="仿宋_GB2312" w:cs="仿宋_GB2312"/>
        </w:rPr>
        <w:t>综合协调组</w:t>
      </w:r>
    </w:p>
    <w:p w14:paraId="4E68874A">
      <w:pPr>
        <w:ind w:firstLine="632"/>
      </w:pPr>
      <w:r>
        <w:rPr>
          <w:rFonts w:hint="eastAsia"/>
        </w:rPr>
        <w:t>牵头单位：县应急管理局</w:t>
      </w:r>
    </w:p>
    <w:p w14:paraId="7E8AF634">
      <w:pPr>
        <w:ind w:firstLine="632"/>
      </w:pPr>
      <w:r>
        <w:rPr>
          <w:rFonts w:hint="eastAsia"/>
        </w:rPr>
        <w:t>参加单位：县政府办、县教育局、县工信局、县公安局、县自然资源局、集贤生态环境分局、县住建局、县交通运输局、县水务局、县农业农村局、县文旅局、县卫健局、县林草局、县气象局、灾害影响区乡镇政府</w:t>
      </w:r>
    </w:p>
    <w:p w14:paraId="4CF8D754">
      <w:pPr>
        <w:ind w:firstLine="632"/>
      </w:pPr>
      <w:r>
        <w:rPr>
          <w:rFonts w:hint="eastAsia"/>
        </w:rPr>
        <w:t>主要职责：做好灾害防范应对处置综合协调工作，建立信息共享机制，收集汇总险情、灾情等信息和应对处置工作进展情况；承办会商协调和应对处置会议、活动等。</w:t>
      </w:r>
    </w:p>
    <w:p w14:paraId="6FC6097B">
      <w:pPr>
        <w:pStyle w:val="4"/>
        <w:numPr>
          <w:ilvl w:val="2"/>
          <w:numId w:val="90"/>
        </w:numPr>
        <w:tabs>
          <w:tab w:val="left" w:pos="0"/>
        </w:tabs>
        <w:rPr>
          <w:rFonts w:ascii="仿宋_GB2312" w:hAnsi="仿宋_GB2312" w:eastAsia="仿宋_GB2312" w:cs="仿宋_GB2312"/>
        </w:rPr>
      </w:pPr>
      <w:r>
        <w:rPr>
          <w:rFonts w:hint="eastAsia" w:ascii="仿宋_GB2312" w:hAnsi="仿宋_GB2312" w:eastAsia="仿宋_GB2312" w:cs="仿宋_GB2312"/>
        </w:rPr>
        <w:t>应急信息组</w:t>
      </w:r>
    </w:p>
    <w:p w14:paraId="2A8AAAF0">
      <w:pPr>
        <w:ind w:firstLine="632"/>
      </w:pPr>
      <w:r>
        <w:rPr>
          <w:rFonts w:hint="eastAsia"/>
        </w:rPr>
        <w:t>牵头单位：县气象局</w:t>
      </w:r>
    </w:p>
    <w:p w14:paraId="742E66D6">
      <w:pPr>
        <w:ind w:firstLine="632"/>
      </w:pPr>
      <w:r>
        <w:rPr>
          <w:rFonts w:hint="eastAsia"/>
        </w:rPr>
        <w:t>参加单位：县自然资源局、集贤生态环境分局、县住建局、县交通运输局、县水务局、县农业农村局、县文旅局、县应急管理局、县林草局、灾害影响区乡镇政府、</w:t>
      </w:r>
    </w:p>
    <w:p w14:paraId="64D797E0">
      <w:pPr>
        <w:ind w:firstLine="632"/>
      </w:pPr>
      <w:r>
        <w:rPr>
          <w:rFonts w:hint="eastAsia"/>
        </w:rPr>
        <w:t>主要职责：开展灾害性天气监测、预报、预警，为应急行动提供气象分析信息支持；开展气象和水情、汛情、旱情、地质灾害险情、病虫害发展监测，及时发布风险预警；开展生态环境和火险监测，及时提供环境和火源点监测信息；制定应急减灾方案，开展灾害影响会商研判，提供决策咨询。</w:t>
      </w:r>
    </w:p>
    <w:p w14:paraId="7916B747">
      <w:pPr>
        <w:pStyle w:val="4"/>
        <w:numPr>
          <w:ilvl w:val="2"/>
          <w:numId w:val="90"/>
        </w:numPr>
        <w:tabs>
          <w:tab w:val="left" w:pos="0"/>
        </w:tabs>
        <w:rPr>
          <w:rFonts w:ascii="仿宋_GB2312" w:hAnsi="仿宋_GB2312" w:eastAsia="仿宋_GB2312" w:cs="仿宋_GB2312"/>
        </w:rPr>
      </w:pPr>
      <w:r>
        <w:rPr>
          <w:rFonts w:hint="eastAsia" w:ascii="仿宋_GB2312" w:hAnsi="仿宋_GB2312" w:eastAsia="仿宋_GB2312" w:cs="仿宋_GB2312"/>
        </w:rPr>
        <w:t>专业减灾组</w:t>
      </w:r>
    </w:p>
    <w:p w14:paraId="3CA5CD29">
      <w:pPr>
        <w:ind w:firstLine="632"/>
      </w:pPr>
      <w:r>
        <w:rPr>
          <w:rFonts w:hint="eastAsia"/>
        </w:rPr>
        <w:t>牵头单位：县应急管理局</w:t>
      </w:r>
    </w:p>
    <w:p w14:paraId="301220CD">
      <w:pPr>
        <w:ind w:firstLine="632"/>
      </w:pPr>
      <w:r>
        <w:rPr>
          <w:rFonts w:hint="eastAsia"/>
        </w:rPr>
        <w:t>参加单位：县自然资源局、双鸭山市集贤生态环境局、县住建局、县交通运输局、县水务局、县农业农村局、县文旅局、县卫健局、县林草局、县气象局、县消防救援大队、武警集贤中队、灾害影响区乡镇政府</w:t>
      </w:r>
    </w:p>
    <w:p w14:paraId="572E61C4">
      <w:pPr>
        <w:ind w:firstLine="632"/>
      </w:pPr>
      <w:r>
        <w:rPr>
          <w:rFonts w:hint="eastAsia"/>
        </w:rPr>
        <w:t>主要职责：制定灾害防范应对处置行动方案；组织开展灾害影响人员疏散转移避险和营救、临时安置、救济救助、物资保障等工作；组织调用、征用防灾救灾装备、设备和物资，做好应急救援力量的后勤保障工作；动员协调应急救援队伍、社会力量参与应急减灾。</w:t>
      </w:r>
    </w:p>
    <w:p w14:paraId="24CDD2D5">
      <w:pPr>
        <w:pStyle w:val="4"/>
        <w:numPr>
          <w:ilvl w:val="2"/>
          <w:numId w:val="90"/>
        </w:numPr>
        <w:tabs>
          <w:tab w:val="left" w:pos="0"/>
        </w:tabs>
        <w:rPr>
          <w:rFonts w:ascii="仿宋_GB2312" w:hAnsi="仿宋_GB2312" w:eastAsia="仿宋_GB2312" w:cs="仿宋_GB2312"/>
        </w:rPr>
      </w:pPr>
      <w:r>
        <w:rPr>
          <w:rFonts w:hint="eastAsia" w:ascii="仿宋_GB2312" w:hAnsi="仿宋_GB2312" w:eastAsia="仿宋_GB2312" w:cs="仿宋_GB2312"/>
        </w:rPr>
        <w:t>群众安置组</w:t>
      </w:r>
    </w:p>
    <w:p w14:paraId="4EF47A4D">
      <w:pPr>
        <w:ind w:firstLine="632"/>
      </w:pPr>
      <w:r>
        <w:rPr>
          <w:rFonts w:hint="eastAsia"/>
        </w:rPr>
        <w:t>牵头单位：县应急管理局</w:t>
      </w:r>
    </w:p>
    <w:p w14:paraId="581778EF">
      <w:pPr>
        <w:ind w:firstLine="632"/>
      </w:pPr>
      <w:r>
        <w:rPr>
          <w:rFonts w:hint="eastAsia"/>
        </w:rPr>
        <w:t>参加单位：县发改局、县公安局、县民政局、县财政局、县工信局、县自然资源局、县水务局、县农业农村局、县卫健局</w:t>
      </w:r>
    </w:p>
    <w:p w14:paraId="3F2CDF69">
      <w:pPr>
        <w:ind w:firstLine="632"/>
      </w:pPr>
      <w:r>
        <w:rPr>
          <w:rFonts w:hint="eastAsia"/>
        </w:rPr>
        <w:t>主要职责：制定实施受灾群众救助工作方案及相关资金、物资保障措施，指导灾害影响地区做好受灾群众紧急转移安置和基本生活保障工作；组织协调生产、调集、转运应急救灾物资，保障受灾地区群众基本生活和市场供应；统筹安排社会组织和志愿者队伍参与受灾群众救助等工作。</w:t>
      </w:r>
    </w:p>
    <w:p w14:paraId="65635EFE">
      <w:pPr>
        <w:pStyle w:val="4"/>
        <w:numPr>
          <w:ilvl w:val="2"/>
          <w:numId w:val="90"/>
        </w:numPr>
        <w:tabs>
          <w:tab w:val="left" w:pos="0"/>
        </w:tabs>
        <w:rPr>
          <w:rFonts w:ascii="仿宋_GB2312" w:hAnsi="仿宋_GB2312" w:eastAsia="仿宋_GB2312" w:cs="仿宋_GB2312"/>
        </w:rPr>
      </w:pPr>
      <w:r>
        <w:rPr>
          <w:rFonts w:hint="eastAsia" w:ascii="仿宋_GB2312" w:hAnsi="仿宋_GB2312" w:eastAsia="仿宋_GB2312" w:cs="仿宋_GB2312"/>
        </w:rPr>
        <w:t>医疗救护组</w:t>
      </w:r>
    </w:p>
    <w:p w14:paraId="36BD1212">
      <w:pPr>
        <w:ind w:firstLine="632"/>
      </w:pPr>
      <w:r>
        <w:rPr>
          <w:rFonts w:hint="eastAsia"/>
        </w:rPr>
        <w:t>牵头单位：县卫健局</w:t>
      </w:r>
    </w:p>
    <w:p w14:paraId="7831046A">
      <w:pPr>
        <w:ind w:firstLine="632"/>
      </w:pPr>
      <w:r>
        <w:rPr>
          <w:rFonts w:hint="eastAsia"/>
        </w:rPr>
        <w:t>参加单位：县人武部、灾害影响区乡镇政府</w:t>
      </w:r>
    </w:p>
    <w:p w14:paraId="2D316CDF">
      <w:pPr>
        <w:ind w:firstLine="632"/>
      </w:pPr>
      <w:r>
        <w:rPr>
          <w:rFonts w:hint="eastAsia"/>
        </w:rPr>
        <w:t>主要职责：组派医疗卫生救援队伍，调集医疗器械、药品等物资，救治、转移受伤人员，检查、监测灾害影响地区饮用水源、食品等，做好卫生防疫工作。</w:t>
      </w:r>
    </w:p>
    <w:p w14:paraId="2DEEB7AA">
      <w:pPr>
        <w:pStyle w:val="4"/>
        <w:numPr>
          <w:ilvl w:val="2"/>
          <w:numId w:val="90"/>
        </w:numPr>
        <w:tabs>
          <w:tab w:val="left" w:pos="0"/>
        </w:tabs>
        <w:rPr>
          <w:rFonts w:ascii="仿宋_GB2312" w:hAnsi="仿宋_GB2312" w:eastAsia="仿宋_GB2312" w:cs="仿宋_GB2312"/>
        </w:rPr>
      </w:pPr>
      <w:r>
        <w:rPr>
          <w:rFonts w:hint="eastAsia" w:ascii="仿宋_GB2312" w:hAnsi="仿宋_GB2312" w:eastAsia="仿宋_GB2312" w:cs="仿宋_GB2312"/>
        </w:rPr>
        <w:t>交通运输组</w:t>
      </w:r>
    </w:p>
    <w:p w14:paraId="5D051552">
      <w:pPr>
        <w:ind w:firstLine="632"/>
      </w:pPr>
      <w:r>
        <w:rPr>
          <w:rFonts w:hint="eastAsia"/>
        </w:rPr>
        <w:t>牵头单位：县交通运输局</w:t>
      </w:r>
    </w:p>
    <w:p w14:paraId="62FEB452">
      <w:pPr>
        <w:ind w:firstLine="632"/>
      </w:pPr>
      <w:r>
        <w:rPr>
          <w:rFonts w:hint="eastAsia"/>
        </w:rPr>
        <w:t>参加单位：县公安局、灾害影响区乡镇政府</w:t>
      </w:r>
    </w:p>
    <w:p w14:paraId="0825D91C">
      <w:pPr>
        <w:ind w:firstLine="632"/>
      </w:pPr>
      <w:r>
        <w:rPr>
          <w:rFonts w:hint="eastAsia"/>
        </w:rPr>
        <w:t>主要职责：组织抢修维护铁路、公路等交通运输设施；制定应急减灾队伍、设备、物资运送方案，协调运力，优先保障应急减灾人员、物资、基本生活物资的运输需要，配合开展灾害影响群众和伤病人员的应急转移；实施必要的交通管制，维护交通秩序；组织协调县内外有关交通设施、救援队伍、交通运输队伍参加抢险救援。</w:t>
      </w:r>
    </w:p>
    <w:p w14:paraId="7943BD05">
      <w:pPr>
        <w:pStyle w:val="4"/>
        <w:numPr>
          <w:ilvl w:val="2"/>
          <w:numId w:val="90"/>
        </w:numPr>
        <w:tabs>
          <w:tab w:val="left" w:pos="0"/>
        </w:tabs>
        <w:rPr>
          <w:rFonts w:ascii="仿宋_GB2312" w:hAnsi="仿宋_GB2312" w:eastAsia="仿宋_GB2312" w:cs="仿宋_GB2312"/>
        </w:rPr>
      </w:pPr>
      <w:r>
        <w:rPr>
          <w:rFonts w:hint="eastAsia" w:ascii="仿宋_GB2312" w:hAnsi="仿宋_GB2312" w:eastAsia="仿宋_GB2312" w:cs="仿宋_GB2312"/>
        </w:rPr>
        <w:t>治安维护组</w:t>
      </w:r>
    </w:p>
    <w:p w14:paraId="3A498A2C">
      <w:pPr>
        <w:ind w:firstLine="632"/>
      </w:pPr>
      <w:r>
        <w:rPr>
          <w:rFonts w:hint="eastAsia"/>
        </w:rPr>
        <w:t>责任单位：县公安局</w:t>
      </w:r>
    </w:p>
    <w:p w14:paraId="56F71E2F">
      <w:pPr>
        <w:ind w:firstLine="632"/>
      </w:pPr>
      <w:r>
        <w:rPr>
          <w:rFonts w:hint="eastAsia"/>
        </w:rPr>
        <w:t>参加单位：武警集贤中队</w:t>
      </w:r>
    </w:p>
    <w:p w14:paraId="64A703AD">
      <w:pPr>
        <w:ind w:firstLine="632"/>
      </w:pPr>
      <w:r>
        <w:rPr>
          <w:rFonts w:hint="eastAsia"/>
        </w:rPr>
        <w:t>主要职责：组织指导灾害影响地区加强治安管理工作，严密防范、严厉打击乘机盗窃、抢劫、哄抢减灾救灾物资，以赈灾募捐名义诈骗、制造恐慌等违法犯罪活动；加强重点单位、重要部位的安全警戒；做好涉灾矛盾纠纷化解工作，维护社会秩序稳定。</w:t>
      </w:r>
    </w:p>
    <w:p w14:paraId="4B9B27F6">
      <w:pPr>
        <w:pStyle w:val="4"/>
        <w:numPr>
          <w:ilvl w:val="2"/>
          <w:numId w:val="90"/>
        </w:numPr>
        <w:tabs>
          <w:tab w:val="left" w:pos="0"/>
        </w:tabs>
        <w:rPr>
          <w:rFonts w:ascii="仿宋_GB2312" w:hAnsi="仿宋_GB2312" w:eastAsia="仿宋_GB2312" w:cs="仿宋_GB2312"/>
        </w:rPr>
      </w:pPr>
      <w:r>
        <w:rPr>
          <w:rFonts w:hint="eastAsia" w:ascii="仿宋_GB2312" w:hAnsi="仿宋_GB2312" w:eastAsia="仿宋_GB2312" w:cs="仿宋_GB2312"/>
        </w:rPr>
        <w:t>新闻宣传组</w:t>
      </w:r>
    </w:p>
    <w:p w14:paraId="55F78302">
      <w:pPr>
        <w:ind w:firstLine="632"/>
      </w:pPr>
      <w:r>
        <w:rPr>
          <w:rFonts w:hint="eastAsia"/>
        </w:rPr>
        <w:t>牵头单位：县委宣传部</w:t>
      </w:r>
    </w:p>
    <w:p w14:paraId="70F99450">
      <w:pPr>
        <w:ind w:firstLine="632"/>
      </w:pPr>
      <w:r>
        <w:rPr>
          <w:rFonts w:hint="eastAsia"/>
        </w:rPr>
        <w:t>参加单位：县网信中心、县教育局、县工信局、县自然资源局、集贤生态环境分局、县住建局、县交通运输局、县水务局、县农业农村局、县文旅局、县卫健局、县应急管理局、县林草局、县气象局、县融媒体中心、灾害影响区乡镇政府</w:t>
      </w:r>
    </w:p>
    <w:p w14:paraId="4D27DFDC">
      <w:pPr>
        <w:ind w:firstLine="632"/>
      </w:pPr>
      <w:r>
        <w:rPr>
          <w:rFonts w:hint="eastAsia"/>
        </w:rPr>
        <w:t>主要职责：及时、规范发布和传播气象监测预报预警信息，开展气象及次生、衍生灾害防范应对知识科普宣传，提高社会气象防灾减灾认知度和参与力；组织对灾害防范应对处置情况进行宣传报道，加强舆论引导等工作。</w:t>
      </w:r>
    </w:p>
    <w:p w14:paraId="43EED227">
      <w:pPr>
        <w:pStyle w:val="4"/>
        <w:numPr>
          <w:ilvl w:val="2"/>
          <w:numId w:val="90"/>
        </w:numPr>
        <w:tabs>
          <w:tab w:val="left" w:pos="0"/>
        </w:tabs>
        <w:rPr>
          <w:rFonts w:ascii="仿宋_GB2312" w:hAnsi="仿宋_GB2312" w:eastAsia="仿宋_GB2312" w:cs="仿宋_GB2312"/>
        </w:rPr>
      </w:pPr>
      <w:r>
        <w:rPr>
          <w:rFonts w:hint="eastAsia" w:ascii="仿宋_GB2312" w:hAnsi="仿宋_GB2312" w:eastAsia="仿宋_GB2312" w:cs="仿宋_GB2312"/>
        </w:rPr>
        <w:t>基础保障组</w:t>
      </w:r>
    </w:p>
    <w:p w14:paraId="305C53ED">
      <w:pPr>
        <w:ind w:firstLine="632"/>
      </w:pPr>
      <w:r>
        <w:rPr>
          <w:rFonts w:hint="eastAsia"/>
        </w:rPr>
        <w:t>牵头单位：县发改局</w:t>
      </w:r>
    </w:p>
    <w:p w14:paraId="3FCC9253">
      <w:pPr>
        <w:ind w:firstLine="632"/>
      </w:pPr>
      <w:r>
        <w:rPr>
          <w:rFonts w:hint="eastAsia"/>
        </w:rPr>
        <w:t>参加单位：县工信局、县财政局、县住建局、县水务局、县文旅局、县市场监管局、县气象局、国网集贤供电公司、灾害影响区乡镇政府</w:t>
      </w:r>
    </w:p>
    <w:p w14:paraId="015FB381">
      <w:pPr>
        <w:ind w:firstLine="632"/>
      </w:pPr>
      <w:r>
        <w:rPr>
          <w:rFonts w:hint="eastAsia"/>
        </w:rPr>
        <w:t>主要职责：协调指导相关单位和企业抢修维护供电、供（排）水、供气、供热、通信、广播、气象监测等设施设备，做好有关应急保障；调度应急通信、供电设备保障应急救灾现场通信畅通、电力供应正常；调配重要生活物资和防灾救灾物资，保障受灾地区重要生活必需品的市场供应和价格稳定。</w:t>
      </w:r>
    </w:p>
    <w:p w14:paraId="77738273">
      <w:pPr>
        <w:pStyle w:val="2"/>
        <w:numPr>
          <w:ilvl w:val="0"/>
          <w:numId w:val="90"/>
        </w:numPr>
        <w:tabs>
          <w:tab w:val="left" w:pos="0"/>
        </w:tabs>
        <w:rPr>
          <w:sz w:val="32"/>
          <w:szCs w:val="32"/>
        </w:rPr>
      </w:pPr>
      <w:bookmarkStart w:id="348" w:name="_Toc14372"/>
      <w:r>
        <w:rPr>
          <w:rFonts w:hint="eastAsia"/>
          <w:sz w:val="32"/>
          <w:szCs w:val="32"/>
        </w:rPr>
        <w:t>应急准备</w:t>
      </w:r>
      <w:bookmarkEnd w:id="348"/>
    </w:p>
    <w:p w14:paraId="274EF623">
      <w:pPr>
        <w:pStyle w:val="3"/>
      </w:pPr>
      <w:bookmarkStart w:id="349" w:name="_Toc12245"/>
      <w:r>
        <w:rPr>
          <w:rFonts w:hint="eastAsia"/>
        </w:rPr>
        <w:t>开展气象灾害风险隐患排查</w:t>
      </w:r>
      <w:bookmarkEnd w:id="349"/>
    </w:p>
    <w:p w14:paraId="4022C351">
      <w:pPr>
        <w:ind w:firstLine="632"/>
      </w:pPr>
      <w:r>
        <w:rPr>
          <w:rFonts w:hint="eastAsia"/>
        </w:rPr>
        <w:t>县应急管理局、县气象局会同有关行业部门建立健全气象灾害风险隐患排查评估机制，开展气象灾害风险普查和隐患排查，掌握灾害风险隐患底数，基此开展气象灾害综合风险评估与区划，识别各类气象灾害高风险区域，编制精细化气象灾害风险地图，建立精细可用的基层气象防灾减灾数据库。</w:t>
      </w:r>
    </w:p>
    <w:p w14:paraId="730B5263">
      <w:pPr>
        <w:pStyle w:val="3"/>
      </w:pPr>
      <w:bookmarkStart w:id="350" w:name="_Toc310"/>
      <w:r>
        <w:rPr>
          <w:rFonts w:hint="eastAsia"/>
        </w:rPr>
        <w:t>开展气象灾害风险隐患整治</w:t>
      </w:r>
      <w:bookmarkEnd w:id="350"/>
    </w:p>
    <w:p w14:paraId="2A4D9FD7">
      <w:pPr>
        <w:ind w:firstLine="632"/>
      </w:pPr>
      <w:r>
        <w:rPr>
          <w:rFonts w:hint="eastAsia"/>
        </w:rPr>
        <w:t>县应急管理局、县气象局、县教体局、县工信科局、县自然资源局、县住建局、县交通运输局、县水务局、县农业农村局、县文旅局、县卫健局等应当开展气象灾害风险隐患的分析研判，做好对行业内气象灾害防御重点单位的督查，对排查出来的气象灾害风险隐患做好管控和整治。</w:t>
      </w:r>
    </w:p>
    <w:p w14:paraId="1000C7AE">
      <w:pPr>
        <w:pStyle w:val="3"/>
      </w:pPr>
      <w:bookmarkStart w:id="351" w:name="_Toc9252"/>
      <w:r>
        <w:rPr>
          <w:rFonts w:hint="eastAsia"/>
        </w:rPr>
        <w:t>制订防御气象灾害的具体措施</w:t>
      </w:r>
      <w:bookmarkEnd w:id="351"/>
    </w:p>
    <w:p w14:paraId="53C29B28">
      <w:pPr>
        <w:ind w:firstLine="632"/>
      </w:pPr>
      <w:r>
        <w:rPr>
          <w:rFonts w:hint="eastAsia"/>
        </w:rPr>
        <w:t>各乡镇人民政府应当结合当地情况，制定气象灾害应急预案或具体计划措施，主动防范化解气象灾害风险。气象灾害应急预案应按照有关规定报县人民政府、县气象局备案。</w:t>
      </w:r>
    </w:p>
    <w:p w14:paraId="3A855966">
      <w:pPr>
        <w:ind w:firstLine="632"/>
      </w:pPr>
      <w:r>
        <w:rPr>
          <w:rFonts w:hint="eastAsia"/>
        </w:rPr>
        <w:t>县应急管理、发改、教育、工信、公安、民政、财政、人社、自然资源、生态环境、住建、交通运输、水务、农业农村、文旅、卫健、电力、通信等部门和单位应当针对不同种类、不同级别的预警（预警信号），细化制订本部门应对策略或防范措施，建立基于气象灾害高级别预警信息为先导，高风险区域、高敏感行业、高危人群的自动停工、停课、停产、停运、停业等重要应急联动工作机制，指导行业做好防范工作。</w:t>
      </w:r>
    </w:p>
    <w:p w14:paraId="22846DA2">
      <w:pPr>
        <w:pStyle w:val="3"/>
      </w:pPr>
      <w:bookmarkStart w:id="352" w:name="_Toc29915"/>
      <w:r>
        <w:rPr>
          <w:rFonts w:hint="eastAsia"/>
        </w:rPr>
        <w:t>推进重要信息实时共享</w:t>
      </w:r>
      <w:bookmarkEnd w:id="352"/>
    </w:p>
    <w:p w14:paraId="2D3C4D3F">
      <w:pPr>
        <w:ind w:firstLine="632"/>
      </w:pPr>
      <w:r>
        <w:rPr>
          <w:rFonts w:hint="eastAsia"/>
        </w:rPr>
        <w:t>各相关成员单位应当建立相应的气象及气象次生、衍生灾害监测预报预警联动机制，及时提供水情、旱情、森林草原火情、地质险情、植物病虫害、环境污染、流行疾病疫情等与气象灾害有关的灾情监测信息，实现资源信息共享。开展部门间信息化互联互通建设，推进气象防灾减灾基础数据、风险信息等的实时融合应用。</w:t>
      </w:r>
    </w:p>
    <w:p w14:paraId="0ED7FF74">
      <w:pPr>
        <w:pStyle w:val="2"/>
        <w:numPr>
          <w:ilvl w:val="0"/>
          <w:numId w:val="90"/>
        </w:numPr>
        <w:tabs>
          <w:tab w:val="left" w:pos="0"/>
        </w:tabs>
        <w:rPr>
          <w:sz w:val="32"/>
          <w:szCs w:val="32"/>
        </w:rPr>
      </w:pPr>
      <w:bookmarkStart w:id="353" w:name="_Toc6692"/>
      <w:r>
        <w:rPr>
          <w:rFonts w:hint="eastAsia"/>
          <w:sz w:val="32"/>
          <w:szCs w:val="32"/>
        </w:rPr>
        <w:t>监测预警</w:t>
      </w:r>
      <w:bookmarkEnd w:id="353"/>
    </w:p>
    <w:p w14:paraId="45F216FB">
      <w:pPr>
        <w:pStyle w:val="3"/>
      </w:pPr>
      <w:bookmarkStart w:id="354" w:name="_Toc22572"/>
      <w:r>
        <w:rPr>
          <w:rFonts w:hint="eastAsia"/>
        </w:rPr>
        <w:t>监测预报</w:t>
      </w:r>
      <w:bookmarkEnd w:id="354"/>
    </w:p>
    <w:p w14:paraId="3C2A18E1">
      <w:pPr>
        <w:ind w:firstLine="632"/>
      </w:pPr>
      <w:r>
        <w:rPr>
          <w:rFonts w:hint="eastAsia"/>
        </w:rPr>
        <w:t>县气象局负责全县范围内的气象灾害监测、预报、信息收集和评估工作，其所属气象台站具体承担责任区日常气象灾害监测预报预警任务。统筹负责决策气象服务、公众气象服务、灾害性天气预报预警，按职责统一发布重大天气专报、气象信息专报、气象灾害预警信号等，开展递进式气象服务，及时向县委、县政府报告，通报指挥部相关成员单位，发挥气象监测预报预警信息先导作用。</w:t>
      </w:r>
    </w:p>
    <w:p w14:paraId="363205DA">
      <w:pPr>
        <w:ind w:firstLine="632"/>
      </w:pPr>
      <w:r>
        <w:rPr>
          <w:rFonts w:hint="eastAsia"/>
        </w:rPr>
        <w:t>各相关成员单位应当按照职责分工，建立和完善气象灾害及其次生、衍生灾害的综合监测预测预报体系，优化加密监测站网布局，增强区域气象及其次生、衍生灾害监测能力和预报研判支撑。各级政府和县自然资源局、县住建局、县气象局要严格把控落实气象台站迁建审批规程，按照职责从严做好气象设施和气象探测环境保护日常管理；县气象局会同通信、电力部门加强气象监测基础应急保障准备，及时报告、修复因灾损毁气象设施、通信网络及电力设施，确保气象监测资料及时性、准确性、代表性。</w:t>
      </w:r>
    </w:p>
    <w:p w14:paraId="6D5429CE">
      <w:pPr>
        <w:pStyle w:val="3"/>
      </w:pPr>
      <w:bookmarkStart w:id="355" w:name="_Toc30684"/>
      <w:r>
        <w:rPr>
          <w:rFonts w:hint="eastAsia"/>
        </w:rPr>
        <w:t>预警信息制作</w:t>
      </w:r>
      <w:bookmarkEnd w:id="355"/>
    </w:p>
    <w:p w14:paraId="5F7A462E">
      <w:pPr>
        <w:ind w:firstLine="632"/>
      </w:pPr>
      <w:r>
        <w:rPr>
          <w:rFonts w:hint="eastAsia"/>
        </w:rPr>
        <w:t>县气象部门及时制作发布气象灾害预警信号。县气象局和县应急管理局、县自然资源局、县农业农村局、双鸭山市集贤生态环境局、县水务局、县林草局等部门建立完善部门间预警会商机制，联合发布地质灾害、山洪、中小河流洪水、农业气象灾害、森林草原火险等气象风险预警信息。</w:t>
      </w:r>
    </w:p>
    <w:p w14:paraId="711317A1">
      <w:pPr>
        <w:pStyle w:val="3"/>
      </w:pPr>
      <w:bookmarkStart w:id="356" w:name="_Toc8480"/>
      <w:r>
        <w:rPr>
          <w:rFonts w:hint="eastAsia"/>
        </w:rPr>
        <w:t>预警信息发布</w:t>
      </w:r>
      <w:bookmarkEnd w:id="356"/>
    </w:p>
    <w:p w14:paraId="09F834CB">
      <w:pPr>
        <w:pStyle w:val="4"/>
        <w:numPr>
          <w:ilvl w:val="2"/>
          <w:numId w:val="90"/>
        </w:numPr>
        <w:tabs>
          <w:tab w:val="left" w:pos="0"/>
        </w:tabs>
        <w:rPr>
          <w:rFonts w:ascii="仿宋_GB2312" w:hAnsi="仿宋_GB2312" w:eastAsia="仿宋_GB2312" w:cs="仿宋_GB2312"/>
        </w:rPr>
      </w:pPr>
      <w:r>
        <w:rPr>
          <w:rFonts w:hint="eastAsia" w:ascii="仿宋_GB2312" w:hAnsi="仿宋_GB2312" w:eastAsia="仿宋_GB2312" w:cs="仿宋_GB2312"/>
        </w:rPr>
        <w:t>发布制度</w:t>
      </w:r>
    </w:p>
    <w:p w14:paraId="52A5A23C">
      <w:pPr>
        <w:ind w:firstLine="632"/>
      </w:pPr>
      <w:r>
        <w:rPr>
          <w:rFonts w:hint="eastAsia"/>
        </w:rPr>
        <w:t>气象灾害及其次生、衍生灾害预警信息发布遵循“归口管理、统一发布、快速传播”的原则。气象灾害预警信息由县气象局负责制作并按规定程序和预警级别分级发布，其他任何组织、个人不得制作和向社会发布气象灾害预警信息。</w:t>
      </w:r>
    </w:p>
    <w:p w14:paraId="4E21ECA2">
      <w:pPr>
        <w:ind w:firstLine="632"/>
      </w:pPr>
      <w:r>
        <w:rPr>
          <w:rFonts w:hint="eastAsia"/>
        </w:rPr>
        <w:t>气象风险预警信息由相关单位联合制作并按规定程序报批后，按预警级别分级发布，其他组织和个人不得自行向社会发布。</w:t>
      </w:r>
    </w:p>
    <w:p w14:paraId="25C51B2B">
      <w:pPr>
        <w:ind w:firstLine="632"/>
      </w:pPr>
      <w:r>
        <w:rPr>
          <w:rFonts w:hint="eastAsia"/>
        </w:rPr>
        <w:t>鼓励社会公众、企事业单位规范传播预警信息（应原文转发，不得冠名和更改内容），并对发布传播情况进行监督管理。</w:t>
      </w:r>
    </w:p>
    <w:p w14:paraId="7AF17766">
      <w:pPr>
        <w:ind w:firstLine="632"/>
      </w:pPr>
      <w:r>
        <w:rPr>
          <w:rFonts w:hint="eastAsia"/>
        </w:rPr>
        <w:t>县委宣传部建立各级广播电视台在播出信号中挂角播出预警信号图标、高级别预警即时图文或语音插播、文字游播机制，实现应急广播系统与突发事件预警信息发布系统对接，指导、协调、监督广播电台、电视台、网络视听节目性网站等媒体及时向公众发布气象灾害预警预报信息、防灾避灾科普知识。</w:t>
      </w:r>
    </w:p>
    <w:p w14:paraId="3A1E970D">
      <w:pPr>
        <w:pStyle w:val="4"/>
        <w:numPr>
          <w:ilvl w:val="2"/>
          <w:numId w:val="90"/>
        </w:numPr>
        <w:tabs>
          <w:tab w:val="left" w:pos="0"/>
        </w:tabs>
        <w:rPr>
          <w:rFonts w:ascii="仿宋_GB2312" w:hAnsi="仿宋_GB2312" w:eastAsia="仿宋_GB2312" w:cs="仿宋_GB2312"/>
        </w:rPr>
      </w:pPr>
      <w:r>
        <w:rPr>
          <w:rFonts w:hint="eastAsia" w:ascii="仿宋_GB2312" w:hAnsi="仿宋_GB2312" w:eastAsia="仿宋_GB2312" w:cs="仿宋_GB2312"/>
        </w:rPr>
        <w:t>发布内容</w:t>
      </w:r>
    </w:p>
    <w:p w14:paraId="1A3D5A58">
      <w:pPr>
        <w:ind w:firstLine="632"/>
      </w:pPr>
      <w:r>
        <w:rPr>
          <w:rFonts w:hint="eastAsia"/>
        </w:rPr>
        <w:t>气象灾害预警信息内容包括气象灾害的类别、预警级别、发布时间、天气信息、出现时段、持续时长、可能影响范围、防御指南和应采取的措施及发布单位等。</w:t>
      </w:r>
    </w:p>
    <w:p w14:paraId="191611C2">
      <w:pPr>
        <w:pStyle w:val="4"/>
        <w:numPr>
          <w:ilvl w:val="2"/>
          <w:numId w:val="90"/>
        </w:numPr>
        <w:tabs>
          <w:tab w:val="left" w:pos="0"/>
        </w:tabs>
        <w:rPr>
          <w:rFonts w:ascii="仿宋_GB2312" w:hAnsi="仿宋_GB2312" w:eastAsia="仿宋_GB2312" w:cs="仿宋_GB2312"/>
        </w:rPr>
      </w:pPr>
      <w:r>
        <w:rPr>
          <w:rFonts w:hint="eastAsia" w:ascii="仿宋_GB2312" w:hAnsi="仿宋_GB2312" w:eastAsia="仿宋_GB2312" w:cs="仿宋_GB2312"/>
        </w:rPr>
        <w:t>发布途径</w:t>
      </w:r>
    </w:p>
    <w:p w14:paraId="4321C843">
      <w:pPr>
        <w:ind w:firstLine="632"/>
      </w:pPr>
      <w:r>
        <w:rPr>
          <w:rFonts w:hint="eastAsia"/>
        </w:rPr>
        <w:t>气象灾害预警信息发布主要包括：手机短信、新媒体、网站、突发事件预警信息发布系统、广播、电视、电子显示装置、大喇叭等途径。</w:t>
      </w:r>
    </w:p>
    <w:p w14:paraId="1906DC83">
      <w:pPr>
        <w:ind w:firstLine="632"/>
      </w:pPr>
      <w:r>
        <w:rPr>
          <w:rFonts w:hint="eastAsia"/>
        </w:rPr>
        <w:t>县气象局建立和完善预警信息制作发布系统；新闻媒体、电信运营企业应按有关要求及时播报和转发气象部门发布的气象灾害预警信息。</w:t>
      </w:r>
    </w:p>
    <w:p w14:paraId="4D4339D3">
      <w:pPr>
        <w:ind w:firstLine="632"/>
      </w:pPr>
      <w:r>
        <w:rPr>
          <w:rFonts w:hint="eastAsia"/>
        </w:rPr>
        <w:t>各乡镇人民政府根据气象灾害防御的需要，在交通枢纽、公共活动场所等人口密集区域和气象灾害易发区域建立气象灾害预警信息接收和播发设施，并保证设施的正常运转。</w:t>
      </w:r>
    </w:p>
    <w:p w14:paraId="313F5F8A">
      <w:pPr>
        <w:ind w:firstLine="632"/>
      </w:pPr>
      <w:r>
        <w:rPr>
          <w:rFonts w:hint="eastAsia"/>
        </w:rPr>
        <w:t>各乡镇人民政府、各行业主管部门指导本辖区机关、事业单位，企业及社会团体向其成员和社会公众进行预警信息再传播，鼓励引导社会公众通过各种途径主动获取、有效利用预警信息。</w:t>
      </w:r>
    </w:p>
    <w:p w14:paraId="355401E2">
      <w:pPr>
        <w:pStyle w:val="3"/>
      </w:pPr>
      <w:bookmarkStart w:id="357" w:name="_Toc2891"/>
      <w:r>
        <w:rPr>
          <w:rFonts w:hint="eastAsia"/>
        </w:rPr>
        <w:t>预警行动</w:t>
      </w:r>
      <w:bookmarkEnd w:id="357"/>
    </w:p>
    <w:p w14:paraId="12CB46A2">
      <w:pPr>
        <w:ind w:firstLine="632"/>
      </w:pPr>
      <w:r>
        <w:rPr>
          <w:rFonts w:hint="eastAsia"/>
        </w:rPr>
        <w:t>县有关部门要加强气象灾害预警信息研究，密切关注天气变化及灾害发展趋势，根据预警级别，有关责任人要及时叫醒叫应相关岗位人员立即上岗到位，组织力量深入分析、评估可能造成的影响和危害，尤其是对本地区、本部门风险隐患的影响情况，有针对性地提出预防和控制措施，落实应急救援队伍和物资，做好启动应急响应的各项准备工作。</w:t>
      </w:r>
    </w:p>
    <w:p w14:paraId="1C897082">
      <w:pPr>
        <w:pStyle w:val="3"/>
      </w:pPr>
      <w:bookmarkStart w:id="358" w:name="_Toc24085"/>
      <w:r>
        <w:rPr>
          <w:rFonts w:hint="eastAsia"/>
        </w:rPr>
        <w:t>预警解除</w:t>
      </w:r>
      <w:bookmarkEnd w:id="358"/>
    </w:p>
    <w:p w14:paraId="48D672BF">
      <w:pPr>
        <w:ind w:firstLine="632"/>
      </w:pPr>
      <w:r>
        <w:rPr>
          <w:rFonts w:hint="eastAsia"/>
        </w:rPr>
        <w:t>经综合分析研判，气象条件不再造成灾害或灾害风险影响时，按照“谁发布、谁解除”的原则，由预警信息发布单位宣布解除预警，适时终止相关措施。</w:t>
      </w:r>
    </w:p>
    <w:p w14:paraId="3F71754A">
      <w:pPr>
        <w:pStyle w:val="2"/>
        <w:numPr>
          <w:ilvl w:val="0"/>
          <w:numId w:val="90"/>
        </w:numPr>
        <w:tabs>
          <w:tab w:val="left" w:pos="0"/>
        </w:tabs>
        <w:rPr>
          <w:sz w:val="32"/>
          <w:szCs w:val="32"/>
        </w:rPr>
      </w:pPr>
      <w:bookmarkStart w:id="359" w:name="_Toc10309"/>
      <w:r>
        <w:rPr>
          <w:rFonts w:hint="eastAsia"/>
          <w:sz w:val="32"/>
          <w:szCs w:val="32"/>
        </w:rPr>
        <w:t>应急响应</w:t>
      </w:r>
      <w:bookmarkEnd w:id="359"/>
    </w:p>
    <w:p w14:paraId="451E60E3">
      <w:pPr>
        <w:pStyle w:val="3"/>
      </w:pPr>
      <w:bookmarkStart w:id="360" w:name="_Toc24248"/>
      <w:r>
        <w:rPr>
          <w:rFonts w:hint="eastAsia"/>
        </w:rPr>
        <w:t>分级应急响应</w:t>
      </w:r>
      <w:bookmarkEnd w:id="360"/>
    </w:p>
    <w:p w14:paraId="0078811B">
      <w:pPr>
        <w:ind w:firstLine="632"/>
      </w:pPr>
      <w:r>
        <w:rPr>
          <w:rFonts w:hint="eastAsia"/>
        </w:rPr>
        <w:t>按照气象灾害及其引发的次生、衍生灾害的程度、范围和发展趋势，气象灾害应急响应级别由轻到重分为Ⅳ级（一般）、Ⅲ级（较大）、Ⅱ级（重大）、Ⅰ级（特别重大）四个等级。按照气象灾害种类和应急响应分级，集贤县气象灾害应急响应分类分级对应如下（“√”表示有相应级别和灾种应急响应）：</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723"/>
        <w:gridCol w:w="723"/>
        <w:gridCol w:w="723"/>
        <w:gridCol w:w="723"/>
        <w:gridCol w:w="723"/>
        <w:gridCol w:w="723"/>
        <w:gridCol w:w="723"/>
        <w:gridCol w:w="728"/>
        <w:gridCol w:w="887"/>
        <w:gridCol w:w="875"/>
        <w:gridCol w:w="756"/>
      </w:tblGrid>
      <w:tr w14:paraId="5183C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2" w:type="dxa"/>
            <w:vAlign w:val="center"/>
          </w:tcPr>
          <w:p w14:paraId="55939B3C">
            <w:pPr>
              <w:snapToGrid w:val="0"/>
              <w:spacing w:line="240" w:lineRule="atLeast"/>
              <w:ind w:firstLine="0" w:firstLineChars="0"/>
              <w:jc w:val="center"/>
              <w:rPr>
                <w:rFonts w:ascii="黑体" w:hAnsi="黑体" w:eastAsia="黑体" w:cs="黑体"/>
                <w:sz w:val="24"/>
                <w:szCs w:val="24"/>
              </w:rPr>
            </w:pPr>
            <w:r>
              <w:rPr>
                <w:rFonts w:hint="eastAsia" w:ascii="黑体" w:hAnsi="黑体" w:eastAsia="黑体" w:cs="黑体"/>
                <w:sz w:val="24"/>
                <w:szCs w:val="24"/>
              </w:rPr>
              <w:t>灾种级别</w:t>
            </w:r>
          </w:p>
        </w:tc>
        <w:tc>
          <w:tcPr>
            <w:tcW w:w="757" w:type="dxa"/>
            <w:vAlign w:val="center"/>
          </w:tcPr>
          <w:p w14:paraId="7E723C10">
            <w:pPr>
              <w:snapToGrid w:val="0"/>
              <w:spacing w:line="240" w:lineRule="atLeast"/>
              <w:ind w:firstLine="0" w:firstLineChars="0"/>
              <w:jc w:val="center"/>
              <w:rPr>
                <w:rFonts w:ascii="黑体" w:hAnsi="黑体" w:eastAsia="黑体" w:cs="黑体"/>
                <w:sz w:val="24"/>
                <w:szCs w:val="24"/>
              </w:rPr>
            </w:pPr>
            <w:r>
              <w:rPr>
                <w:rFonts w:hint="eastAsia" w:ascii="黑体" w:hAnsi="黑体" w:eastAsia="黑体" w:cs="黑体"/>
                <w:sz w:val="24"/>
                <w:szCs w:val="24"/>
              </w:rPr>
              <w:t>暴雨</w:t>
            </w:r>
          </w:p>
        </w:tc>
        <w:tc>
          <w:tcPr>
            <w:tcW w:w="757" w:type="dxa"/>
            <w:vAlign w:val="center"/>
          </w:tcPr>
          <w:p w14:paraId="51F0895D">
            <w:pPr>
              <w:snapToGrid w:val="0"/>
              <w:spacing w:line="240" w:lineRule="atLeast"/>
              <w:ind w:firstLine="0" w:firstLineChars="0"/>
              <w:jc w:val="center"/>
              <w:rPr>
                <w:rFonts w:ascii="黑体" w:hAnsi="黑体" w:eastAsia="黑体" w:cs="黑体"/>
                <w:sz w:val="24"/>
                <w:szCs w:val="24"/>
              </w:rPr>
            </w:pPr>
            <w:r>
              <w:rPr>
                <w:rFonts w:hint="eastAsia" w:ascii="黑体" w:hAnsi="黑体" w:eastAsia="黑体" w:cs="黑体"/>
                <w:sz w:val="24"/>
                <w:szCs w:val="24"/>
              </w:rPr>
              <w:t>暴雪</w:t>
            </w:r>
          </w:p>
        </w:tc>
        <w:tc>
          <w:tcPr>
            <w:tcW w:w="757" w:type="dxa"/>
            <w:vAlign w:val="center"/>
          </w:tcPr>
          <w:p w14:paraId="5FA40CF6">
            <w:pPr>
              <w:snapToGrid w:val="0"/>
              <w:spacing w:line="240" w:lineRule="atLeast"/>
              <w:ind w:firstLine="0" w:firstLineChars="0"/>
              <w:jc w:val="center"/>
              <w:rPr>
                <w:rFonts w:ascii="黑体" w:hAnsi="黑体" w:eastAsia="黑体" w:cs="黑体"/>
                <w:sz w:val="24"/>
                <w:szCs w:val="24"/>
              </w:rPr>
            </w:pPr>
            <w:r>
              <w:rPr>
                <w:rFonts w:hint="eastAsia" w:ascii="黑体" w:hAnsi="黑体" w:eastAsia="黑体" w:cs="黑体"/>
                <w:sz w:val="24"/>
                <w:szCs w:val="24"/>
              </w:rPr>
              <w:t>干旱</w:t>
            </w:r>
          </w:p>
        </w:tc>
        <w:tc>
          <w:tcPr>
            <w:tcW w:w="757" w:type="dxa"/>
            <w:vAlign w:val="center"/>
          </w:tcPr>
          <w:p w14:paraId="622A42D1">
            <w:pPr>
              <w:snapToGrid w:val="0"/>
              <w:spacing w:line="240" w:lineRule="atLeast"/>
              <w:ind w:firstLine="0" w:firstLineChars="0"/>
              <w:jc w:val="center"/>
              <w:rPr>
                <w:rFonts w:ascii="黑体" w:hAnsi="黑体" w:eastAsia="黑体" w:cs="黑体"/>
                <w:sz w:val="24"/>
                <w:szCs w:val="24"/>
              </w:rPr>
            </w:pPr>
            <w:r>
              <w:rPr>
                <w:rFonts w:hint="eastAsia" w:ascii="黑体" w:hAnsi="黑体" w:eastAsia="黑体" w:cs="黑体"/>
                <w:sz w:val="24"/>
                <w:szCs w:val="24"/>
              </w:rPr>
              <w:t>寒潮</w:t>
            </w:r>
          </w:p>
        </w:tc>
        <w:tc>
          <w:tcPr>
            <w:tcW w:w="757" w:type="dxa"/>
            <w:vAlign w:val="center"/>
          </w:tcPr>
          <w:p w14:paraId="185D04E0">
            <w:pPr>
              <w:snapToGrid w:val="0"/>
              <w:spacing w:line="240" w:lineRule="atLeast"/>
              <w:ind w:firstLine="0" w:firstLineChars="0"/>
              <w:jc w:val="center"/>
              <w:rPr>
                <w:rFonts w:ascii="黑体" w:hAnsi="黑体" w:eastAsia="黑体" w:cs="黑体"/>
                <w:sz w:val="24"/>
                <w:szCs w:val="24"/>
              </w:rPr>
            </w:pPr>
            <w:r>
              <w:rPr>
                <w:rFonts w:hint="eastAsia" w:ascii="黑体" w:hAnsi="黑体" w:eastAsia="黑体" w:cs="黑体"/>
                <w:sz w:val="24"/>
                <w:szCs w:val="24"/>
              </w:rPr>
              <w:t>霜冻</w:t>
            </w:r>
          </w:p>
        </w:tc>
        <w:tc>
          <w:tcPr>
            <w:tcW w:w="757" w:type="dxa"/>
            <w:vAlign w:val="center"/>
          </w:tcPr>
          <w:p w14:paraId="6C4534DE">
            <w:pPr>
              <w:snapToGrid w:val="0"/>
              <w:spacing w:line="240" w:lineRule="atLeast"/>
              <w:ind w:firstLine="0" w:firstLineChars="0"/>
              <w:jc w:val="center"/>
              <w:rPr>
                <w:rFonts w:ascii="黑体" w:hAnsi="黑体" w:eastAsia="黑体" w:cs="黑体"/>
                <w:sz w:val="24"/>
                <w:szCs w:val="24"/>
              </w:rPr>
            </w:pPr>
            <w:r>
              <w:rPr>
                <w:rFonts w:hint="eastAsia" w:ascii="黑体" w:hAnsi="黑体" w:eastAsia="黑体" w:cs="黑体"/>
                <w:sz w:val="24"/>
                <w:szCs w:val="24"/>
              </w:rPr>
              <w:t>大风</w:t>
            </w:r>
          </w:p>
        </w:tc>
        <w:tc>
          <w:tcPr>
            <w:tcW w:w="757" w:type="dxa"/>
            <w:vAlign w:val="center"/>
          </w:tcPr>
          <w:p w14:paraId="6401A250">
            <w:pPr>
              <w:snapToGrid w:val="0"/>
              <w:spacing w:line="240" w:lineRule="atLeast"/>
              <w:ind w:firstLine="0" w:firstLineChars="0"/>
              <w:jc w:val="center"/>
              <w:rPr>
                <w:rFonts w:ascii="黑体" w:hAnsi="黑体" w:eastAsia="黑体" w:cs="黑体"/>
                <w:sz w:val="24"/>
                <w:szCs w:val="24"/>
              </w:rPr>
            </w:pPr>
            <w:r>
              <w:rPr>
                <w:rFonts w:hint="eastAsia" w:ascii="黑体" w:hAnsi="黑体" w:eastAsia="黑体" w:cs="黑体"/>
                <w:sz w:val="24"/>
                <w:szCs w:val="24"/>
              </w:rPr>
              <w:t>高温</w:t>
            </w:r>
          </w:p>
        </w:tc>
        <w:tc>
          <w:tcPr>
            <w:tcW w:w="763" w:type="dxa"/>
            <w:vAlign w:val="center"/>
          </w:tcPr>
          <w:p w14:paraId="08611FE8">
            <w:pPr>
              <w:snapToGrid w:val="0"/>
              <w:spacing w:line="240" w:lineRule="atLeast"/>
              <w:ind w:firstLine="0" w:firstLineChars="0"/>
              <w:jc w:val="center"/>
              <w:rPr>
                <w:rFonts w:ascii="黑体" w:hAnsi="黑体" w:eastAsia="黑体" w:cs="黑体"/>
                <w:sz w:val="24"/>
                <w:szCs w:val="24"/>
              </w:rPr>
            </w:pPr>
            <w:r>
              <w:rPr>
                <w:rFonts w:hint="eastAsia" w:ascii="黑体" w:hAnsi="黑体" w:eastAsia="黑体" w:cs="黑体"/>
                <w:sz w:val="24"/>
                <w:szCs w:val="24"/>
              </w:rPr>
              <w:t>大雾</w:t>
            </w:r>
          </w:p>
        </w:tc>
        <w:tc>
          <w:tcPr>
            <w:tcW w:w="941" w:type="dxa"/>
            <w:vAlign w:val="center"/>
          </w:tcPr>
          <w:p w14:paraId="34DD48D3">
            <w:pPr>
              <w:snapToGrid w:val="0"/>
              <w:spacing w:line="240" w:lineRule="atLeast"/>
              <w:ind w:firstLine="0" w:firstLineChars="0"/>
              <w:jc w:val="center"/>
              <w:rPr>
                <w:rFonts w:ascii="黑体" w:hAnsi="黑体" w:eastAsia="黑体" w:cs="黑体"/>
                <w:sz w:val="24"/>
                <w:szCs w:val="24"/>
              </w:rPr>
            </w:pPr>
            <w:r>
              <w:rPr>
                <w:rFonts w:hint="eastAsia" w:ascii="黑体" w:hAnsi="黑体" w:eastAsia="黑体" w:cs="黑体"/>
                <w:sz w:val="24"/>
                <w:szCs w:val="24"/>
              </w:rPr>
              <w:t>沙尘暴</w:t>
            </w:r>
          </w:p>
        </w:tc>
        <w:tc>
          <w:tcPr>
            <w:tcW w:w="927" w:type="dxa"/>
            <w:vAlign w:val="center"/>
          </w:tcPr>
          <w:p w14:paraId="269EC3D9">
            <w:pPr>
              <w:snapToGrid w:val="0"/>
              <w:spacing w:line="240" w:lineRule="atLeast"/>
              <w:ind w:firstLine="0" w:firstLineChars="0"/>
              <w:jc w:val="center"/>
              <w:rPr>
                <w:rFonts w:ascii="黑体" w:hAnsi="黑体" w:eastAsia="黑体" w:cs="黑体"/>
                <w:sz w:val="24"/>
                <w:szCs w:val="24"/>
              </w:rPr>
            </w:pPr>
            <w:r>
              <w:rPr>
                <w:rFonts w:hint="eastAsia" w:ascii="黑体" w:hAnsi="黑体" w:eastAsia="黑体" w:cs="黑体"/>
                <w:sz w:val="24"/>
                <w:szCs w:val="24"/>
              </w:rPr>
              <w:t>强对流</w:t>
            </w:r>
          </w:p>
        </w:tc>
        <w:tc>
          <w:tcPr>
            <w:tcW w:w="793" w:type="dxa"/>
            <w:vAlign w:val="center"/>
          </w:tcPr>
          <w:p w14:paraId="2CA23826">
            <w:pPr>
              <w:snapToGrid w:val="0"/>
              <w:spacing w:line="240" w:lineRule="atLeast"/>
              <w:ind w:firstLine="0" w:firstLineChars="0"/>
              <w:jc w:val="center"/>
              <w:rPr>
                <w:rFonts w:ascii="黑体" w:hAnsi="黑体" w:eastAsia="黑体" w:cs="黑体"/>
                <w:sz w:val="24"/>
                <w:szCs w:val="24"/>
              </w:rPr>
            </w:pPr>
            <w:r>
              <w:rPr>
                <w:rFonts w:hint="eastAsia" w:ascii="黑体" w:hAnsi="黑体" w:eastAsia="黑体" w:cs="黑体"/>
                <w:sz w:val="24"/>
                <w:szCs w:val="24"/>
              </w:rPr>
              <w:t>道路结冰</w:t>
            </w:r>
          </w:p>
        </w:tc>
      </w:tr>
      <w:tr w14:paraId="53E83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2" w:type="dxa"/>
            <w:vAlign w:val="center"/>
          </w:tcPr>
          <w:p w14:paraId="4150FF5E">
            <w:pPr>
              <w:snapToGrid w:val="0"/>
              <w:spacing w:line="240" w:lineRule="atLeast"/>
              <w:ind w:firstLine="0" w:firstLineChars="0"/>
              <w:jc w:val="center"/>
              <w:rPr>
                <w:rFonts w:ascii="黑体" w:hAnsi="黑体" w:eastAsia="黑体" w:cs="黑体"/>
                <w:sz w:val="24"/>
                <w:szCs w:val="24"/>
              </w:rPr>
            </w:pPr>
            <w:r>
              <w:rPr>
                <w:rFonts w:hint="eastAsia" w:ascii="黑体" w:hAnsi="黑体" w:eastAsia="黑体" w:cs="黑体"/>
                <w:sz w:val="24"/>
                <w:szCs w:val="24"/>
              </w:rPr>
              <w:t>Ⅳ级</w:t>
            </w:r>
          </w:p>
        </w:tc>
        <w:tc>
          <w:tcPr>
            <w:tcW w:w="757" w:type="dxa"/>
            <w:vAlign w:val="center"/>
          </w:tcPr>
          <w:p w14:paraId="28950868">
            <w:pPr>
              <w:snapToGrid w:val="0"/>
              <w:spacing w:line="240" w:lineRule="atLeast"/>
              <w:ind w:firstLine="0" w:firstLineChars="0"/>
              <w:jc w:val="center"/>
              <w:rPr>
                <w:sz w:val="24"/>
                <w:szCs w:val="24"/>
              </w:rPr>
            </w:pPr>
            <w:r>
              <w:rPr>
                <w:rFonts w:hint="eastAsia"/>
                <w:sz w:val="24"/>
                <w:szCs w:val="24"/>
              </w:rPr>
              <w:t>√</w:t>
            </w:r>
          </w:p>
        </w:tc>
        <w:tc>
          <w:tcPr>
            <w:tcW w:w="757" w:type="dxa"/>
            <w:vAlign w:val="center"/>
          </w:tcPr>
          <w:p w14:paraId="5DC0583E">
            <w:pPr>
              <w:snapToGrid w:val="0"/>
              <w:spacing w:line="240" w:lineRule="atLeast"/>
              <w:ind w:firstLine="0" w:firstLineChars="0"/>
              <w:jc w:val="center"/>
              <w:rPr>
                <w:sz w:val="24"/>
                <w:szCs w:val="24"/>
              </w:rPr>
            </w:pPr>
            <w:r>
              <w:rPr>
                <w:rFonts w:hint="eastAsia"/>
                <w:sz w:val="24"/>
                <w:szCs w:val="24"/>
              </w:rPr>
              <w:t>√</w:t>
            </w:r>
          </w:p>
        </w:tc>
        <w:tc>
          <w:tcPr>
            <w:tcW w:w="757" w:type="dxa"/>
            <w:vAlign w:val="center"/>
          </w:tcPr>
          <w:p w14:paraId="5FF7335E">
            <w:pPr>
              <w:snapToGrid w:val="0"/>
              <w:spacing w:line="240" w:lineRule="atLeast"/>
              <w:ind w:firstLine="0" w:firstLineChars="0"/>
              <w:jc w:val="center"/>
              <w:rPr>
                <w:sz w:val="24"/>
                <w:szCs w:val="24"/>
              </w:rPr>
            </w:pPr>
            <w:r>
              <w:rPr>
                <w:rFonts w:hint="eastAsia"/>
                <w:sz w:val="24"/>
                <w:szCs w:val="24"/>
              </w:rPr>
              <w:t>√</w:t>
            </w:r>
          </w:p>
        </w:tc>
        <w:tc>
          <w:tcPr>
            <w:tcW w:w="757" w:type="dxa"/>
            <w:vAlign w:val="center"/>
          </w:tcPr>
          <w:p w14:paraId="439B9CD5">
            <w:pPr>
              <w:snapToGrid w:val="0"/>
              <w:spacing w:line="240" w:lineRule="atLeast"/>
              <w:ind w:firstLine="0" w:firstLineChars="0"/>
              <w:jc w:val="center"/>
              <w:rPr>
                <w:sz w:val="24"/>
                <w:szCs w:val="24"/>
              </w:rPr>
            </w:pPr>
            <w:r>
              <w:rPr>
                <w:rFonts w:hint="eastAsia"/>
                <w:sz w:val="24"/>
                <w:szCs w:val="24"/>
              </w:rPr>
              <w:t>√</w:t>
            </w:r>
          </w:p>
        </w:tc>
        <w:tc>
          <w:tcPr>
            <w:tcW w:w="757" w:type="dxa"/>
            <w:vAlign w:val="center"/>
          </w:tcPr>
          <w:p w14:paraId="7F6D4CD8">
            <w:pPr>
              <w:snapToGrid w:val="0"/>
              <w:spacing w:line="240" w:lineRule="atLeast"/>
              <w:ind w:firstLine="0" w:firstLineChars="0"/>
              <w:jc w:val="center"/>
              <w:rPr>
                <w:sz w:val="24"/>
                <w:szCs w:val="24"/>
              </w:rPr>
            </w:pPr>
            <w:r>
              <w:rPr>
                <w:rFonts w:hint="eastAsia"/>
                <w:sz w:val="24"/>
                <w:szCs w:val="24"/>
              </w:rPr>
              <w:t>√</w:t>
            </w:r>
          </w:p>
        </w:tc>
        <w:tc>
          <w:tcPr>
            <w:tcW w:w="757" w:type="dxa"/>
            <w:vAlign w:val="center"/>
          </w:tcPr>
          <w:p w14:paraId="2ED06645">
            <w:pPr>
              <w:snapToGrid w:val="0"/>
              <w:spacing w:line="240" w:lineRule="atLeast"/>
              <w:ind w:firstLine="0" w:firstLineChars="0"/>
              <w:jc w:val="center"/>
              <w:rPr>
                <w:sz w:val="24"/>
                <w:szCs w:val="24"/>
              </w:rPr>
            </w:pPr>
            <w:r>
              <w:rPr>
                <w:rFonts w:hint="eastAsia"/>
                <w:sz w:val="24"/>
                <w:szCs w:val="24"/>
              </w:rPr>
              <w:t>√</w:t>
            </w:r>
          </w:p>
        </w:tc>
        <w:tc>
          <w:tcPr>
            <w:tcW w:w="757" w:type="dxa"/>
            <w:vAlign w:val="center"/>
          </w:tcPr>
          <w:p w14:paraId="743FE98D">
            <w:pPr>
              <w:snapToGrid w:val="0"/>
              <w:spacing w:line="240" w:lineRule="atLeast"/>
              <w:ind w:firstLine="0" w:firstLineChars="0"/>
              <w:jc w:val="center"/>
              <w:rPr>
                <w:sz w:val="24"/>
                <w:szCs w:val="24"/>
              </w:rPr>
            </w:pPr>
            <w:r>
              <w:rPr>
                <w:rFonts w:hint="eastAsia"/>
                <w:sz w:val="24"/>
                <w:szCs w:val="24"/>
              </w:rPr>
              <w:t>√</w:t>
            </w:r>
          </w:p>
        </w:tc>
        <w:tc>
          <w:tcPr>
            <w:tcW w:w="763" w:type="dxa"/>
            <w:vAlign w:val="center"/>
          </w:tcPr>
          <w:p w14:paraId="51B51BB2">
            <w:pPr>
              <w:snapToGrid w:val="0"/>
              <w:spacing w:line="240" w:lineRule="atLeast"/>
              <w:ind w:firstLine="0" w:firstLineChars="0"/>
              <w:jc w:val="center"/>
              <w:rPr>
                <w:sz w:val="24"/>
                <w:szCs w:val="24"/>
              </w:rPr>
            </w:pPr>
            <w:r>
              <w:rPr>
                <w:rFonts w:hint="eastAsia"/>
                <w:sz w:val="24"/>
                <w:szCs w:val="24"/>
              </w:rPr>
              <w:t>√</w:t>
            </w:r>
          </w:p>
        </w:tc>
        <w:tc>
          <w:tcPr>
            <w:tcW w:w="941" w:type="dxa"/>
            <w:vAlign w:val="center"/>
          </w:tcPr>
          <w:p w14:paraId="3C3F883F">
            <w:pPr>
              <w:snapToGrid w:val="0"/>
              <w:spacing w:line="240" w:lineRule="atLeast"/>
              <w:ind w:firstLine="0" w:firstLineChars="0"/>
              <w:jc w:val="center"/>
              <w:rPr>
                <w:sz w:val="24"/>
                <w:szCs w:val="24"/>
              </w:rPr>
            </w:pPr>
            <w:r>
              <w:rPr>
                <w:rFonts w:hint="eastAsia"/>
                <w:sz w:val="24"/>
                <w:szCs w:val="24"/>
              </w:rPr>
              <w:t>√</w:t>
            </w:r>
          </w:p>
        </w:tc>
        <w:tc>
          <w:tcPr>
            <w:tcW w:w="927" w:type="dxa"/>
            <w:vAlign w:val="center"/>
          </w:tcPr>
          <w:p w14:paraId="6B1B1FDF">
            <w:pPr>
              <w:snapToGrid w:val="0"/>
              <w:spacing w:line="240" w:lineRule="atLeast"/>
              <w:ind w:firstLine="0" w:firstLineChars="0"/>
              <w:jc w:val="center"/>
              <w:rPr>
                <w:sz w:val="24"/>
                <w:szCs w:val="24"/>
              </w:rPr>
            </w:pPr>
            <w:r>
              <w:rPr>
                <w:rFonts w:hint="eastAsia"/>
                <w:sz w:val="24"/>
                <w:szCs w:val="24"/>
              </w:rPr>
              <w:t>√</w:t>
            </w:r>
          </w:p>
        </w:tc>
        <w:tc>
          <w:tcPr>
            <w:tcW w:w="793" w:type="dxa"/>
            <w:vAlign w:val="center"/>
          </w:tcPr>
          <w:p w14:paraId="5EC2BA8E">
            <w:pPr>
              <w:snapToGrid w:val="0"/>
              <w:spacing w:line="240" w:lineRule="atLeast"/>
              <w:ind w:firstLine="0" w:firstLineChars="0"/>
              <w:jc w:val="center"/>
              <w:rPr>
                <w:sz w:val="24"/>
                <w:szCs w:val="24"/>
              </w:rPr>
            </w:pPr>
            <w:r>
              <w:rPr>
                <w:rFonts w:hint="eastAsia"/>
                <w:sz w:val="24"/>
                <w:szCs w:val="24"/>
              </w:rPr>
              <w:t>√</w:t>
            </w:r>
          </w:p>
        </w:tc>
      </w:tr>
      <w:tr w14:paraId="729C1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2" w:type="dxa"/>
            <w:vAlign w:val="center"/>
          </w:tcPr>
          <w:p w14:paraId="1CD98AE2">
            <w:pPr>
              <w:snapToGrid w:val="0"/>
              <w:spacing w:line="240" w:lineRule="atLeast"/>
              <w:ind w:firstLine="0" w:firstLineChars="0"/>
              <w:jc w:val="center"/>
              <w:rPr>
                <w:rFonts w:ascii="黑体" w:hAnsi="黑体" w:eastAsia="黑体" w:cs="黑体"/>
                <w:sz w:val="24"/>
                <w:szCs w:val="24"/>
              </w:rPr>
            </w:pPr>
            <w:r>
              <w:rPr>
                <w:rFonts w:hint="eastAsia" w:ascii="黑体" w:hAnsi="黑体" w:eastAsia="黑体" w:cs="黑体"/>
                <w:sz w:val="24"/>
                <w:szCs w:val="24"/>
              </w:rPr>
              <w:t>Ⅲ级</w:t>
            </w:r>
          </w:p>
        </w:tc>
        <w:tc>
          <w:tcPr>
            <w:tcW w:w="757" w:type="dxa"/>
            <w:vAlign w:val="center"/>
          </w:tcPr>
          <w:p w14:paraId="7520BA3D">
            <w:pPr>
              <w:snapToGrid w:val="0"/>
              <w:spacing w:line="240" w:lineRule="atLeast"/>
              <w:ind w:firstLine="0" w:firstLineChars="0"/>
              <w:jc w:val="center"/>
              <w:rPr>
                <w:sz w:val="24"/>
                <w:szCs w:val="24"/>
              </w:rPr>
            </w:pPr>
            <w:r>
              <w:rPr>
                <w:rFonts w:hint="eastAsia"/>
                <w:sz w:val="24"/>
                <w:szCs w:val="24"/>
              </w:rPr>
              <w:t>√</w:t>
            </w:r>
          </w:p>
        </w:tc>
        <w:tc>
          <w:tcPr>
            <w:tcW w:w="757" w:type="dxa"/>
            <w:vAlign w:val="center"/>
          </w:tcPr>
          <w:p w14:paraId="6D93F2C6">
            <w:pPr>
              <w:snapToGrid w:val="0"/>
              <w:spacing w:line="240" w:lineRule="atLeast"/>
              <w:ind w:firstLine="0" w:firstLineChars="0"/>
              <w:jc w:val="center"/>
              <w:rPr>
                <w:sz w:val="24"/>
                <w:szCs w:val="24"/>
              </w:rPr>
            </w:pPr>
            <w:r>
              <w:rPr>
                <w:rFonts w:hint="eastAsia"/>
                <w:sz w:val="24"/>
                <w:szCs w:val="24"/>
              </w:rPr>
              <w:t>√</w:t>
            </w:r>
          </w:p>
        </w:tc>
        <w:tc>
          <w:tcPr>
            <w:tcW w:w="757" w:type="dxa"/>
            <w:vAlign w:val="center"/>
          </w:tcPr>
          <w:p w14:paraId="78CD7214">
            <w:pPr>
              <w:snapToGrid w:val="0"/>
              <w:spacing w:line="240" w:lineRule="atLeast"/>
              <w:ind w:firstLine="0" w:firstLineChars="0"/>
              <w:jc w:val="center"/>
              <w:rPr>
                <w:sz w:val="24"/>
                <w:szCs w:val="24"/>
              </w:rPr>
            </w:pPr>
            <w:r>
              <w:rPr>
                <w:rFonts w:hint="eastAsia"/>
                <w:sz w:val="24"/>
                <w:szCs w:val="24"/>
              </w:rPr>
              <w:t>√</w:t>
            </w:r>
          </w:p>
        </w:tc>
        <w:tc>
          <w:tcPr>
            <w:tcW w:w="757" w:type="dxa"/>
            <w:vAlign w:val="center"/>
          </w:tcPr>
          <w:p w14:paraId="5D2248A7">
            <w:pPr>
              <w:snapToGrid w:val="0"/>
              <w:spacing w:line="240" w:lineRule="atLeast"/>
              <w:ind w:firstLine="0" w:firstLineChars="0"/>
              <w:jc w:val="center"/>
              <w:rPr>
                <w:sz w:val="24"/>
                <w:szCs w:val="24"/>
              </w:rPr>
            </w:pPr>
            <w:r>
              <w:rPr>
                <w:rFonts w:hint="eastAsia"/>
                <w:sz w:val="24"/>
                <w:szCs w:val="24"/>
              </w:rPr>
              <w:t>√</w:t>
            </w:r>
          </w:p>
        </w:tc>
        <w:tc>
          <w:tcPr>
            <w:tcW w:w="757" w:type="dxa"/>
            <w:vAlign w:val="center"/>
          </w:tcPr>
          <w:p w14:paraId="60ADE979">
            <w:pPr>
              <w:snapToGrid w:val="0"/>
              <w:spacing w:line="240" w:lineRule="atLeast"/>
              <w:ind w:firstLine="0" w:firstLineChars="0"/>
              <w:jc w:val="center"/>
              <w:rPr>
                <w:sz w:val="24"/>
                <w:szCs w:val="24"/>
              </w:rPr>
            </w:pPr>
            <w:r>
              <w:rPr>
                <w:rFonts w:hint="eastAsia"/>
                <w:sz w:val="24"/>
                <w:szCs w:val="24"/>
              </w:rPr>
              <w:t>√</w:t>
            </w:r>
          </w:p>
        </w:tc>
        <w:tc>
          <w:tcPr>
            <w:tcW w:w="757" w:type="dxa"/>
            <w:vAlign w:val="center"/>
          </w:tcPr>
          <w:p w14:paraId="461BF255">
            <w:pPr>
              <w:snapToGrid w:val="0"/>
              <w:spacing w:line="240" w:lineRule="atLeast"/>
              <w:ind w:firstLine="0" w:firstLineChars="0"/>
              <w:jc w:val="center"/>
              <w:rPr>
                <w:sz w:val="24"/>
                <w:szCs w:val="24"/>
              </w:rPr>
            </w:pPr>
            <w:r>
              <w:rPr>
                <w:rFonts w:hint="eastAsia"/>
                <w:sz w:val="24"/>
                <w:szCs w:val="24"/>
              </w:rPr>
              <w:t>√</w:t>
            </w:r>
          </w:p>
        </w:tc>
        <w:tc>
          <w:tcPr>
            <w:tcW w:w="757" w:type="dxa"/>
            <w:vAlign w:val="center"/>
          </w:tcPr>
          <w:p w14:paraId="14D6199F">
            <w:pPr>
              <w:snapToGrid w:val="0"/>
              <w:spacing w:line="240" w:lineRule="atLeast"/>
              <w:ind w:firstLine="0" w:firstLineChars="0"/>
              <w:jc w:val="center"/>
              <w:rPr>
                <w:sz w:val="24"/>
                <w:szCs w:val="24"/>
              </w:rPr>
            </w:pPr>
            <w:r>
              <w:rPr>
                <w:rFonts w:hint="eastAsia"/>
                <w:sz w:val="24"/>
                <w:szCs w:val="24"/>
              </w:rPr>
              <w:t>√</w:t>
            </w:r>
          </w:p>
        </w:tc>
        <w:tc>
          <w:tcPr>
            <w:tcW w:w="763" w:type="dxa"/>
            <w:vAlign w:val="center"/>
          </w:tcPr>
          <w:p w14:paraId="2B38728E">
            <w:pPr>
              <w:snapToGrid w:val="0"/>
              <w:spacing w:line="240" w:lineRule="atLeast"/>
              <w:ind w:firstLine="0" w:firstLineChars="0"/>
              <w:jc w:val="center"/>
              <w:rPr>
                <w:sz w:val="24"/>
                <w:szCs w:val="24"/>
              </w:rPr>
            </w:pPr>
            <w:r>
              <w:rPr>
                <w:rFonts w:hint="eastAsia"/>
                <w:sz w:val="24"/>
                <w:szCs w:val="24"/>
              </w:rPr>
              <w:t>√</w:t>
            </w:r>
          </w:p>
        </w:tc>
        <w:tc>
          <w:tcPr>
            <w:tcW w:w="941" w:type="dxa"/>
            <w:vAlign w:val="center"/>
          </w:tcPr>
          <w:p w14:paraId="1399F2BD">
            <w:pPr>
              <w:snapToGrid w:val="0"/>
              <w:spacing w:line="240" w:lineRule="atLeast"/>
              <w:ind w:firstLine="0" w:firstLineChars="0"/>
              <w:jc w:val="center"/>
              <w:rPr>
                <w:sz w:val="24"/>
                <w:szCs w:val="24"/>
              </w:rPr>
            </w:pPr>
            <w:r>
              <w:rPr>
                <w:rFonts w:hint="eastAsia"/>
                <w:sz w:val="24"/>
                <w:szCs w:val="24"/>
              </w:rPr>
              <w:t>√</w:t>
            </w:r>
          </w:p>
        </w:tc>
        <w:tc>
          <w:tcPr>
            <w:tcW w:w="927" w:type="dxa"/>
            <w:vAlign w:val="center"/>
          </w:tcPr>
          <w:p w14:paraId="340284B8">
            <w:pPr>
              <w:snapToGrid w:val="0"/>
              <w:spacing w:line="240" w:lineRule="atLeast"/>
              <w:ind w:firstLine="0" w:firstLineChars="0"/>
              <w:jc w:val="center"/>
              <w:rPr>
                <w:sz w:val="24"/>
                <w:szCs w:val="24"/>
              </w:rPr>
            </w:pPr>
            <w:r>
              <w:rPr>
                <w:rFonts w:hint="eastAsia"/>
                <w:sz w:val="24"/>
                <w:szCs w:val="24"/>
              </w:rPr>
              <w:t>√</w:t>
            </w:r>
          </w:p>
        </w:tc>
        <w:tc>
          <w:tcPr>
            <w:tcW w:w="793" w:type="dxa"/>
            <w:vAlign w:val="center"/>
          </w:tcPr>
          <w:p w14:paraId="0304BCC8">
            <w:pPr>
              <w:snapToGrid w:val="0"/>
              <w:spacing w:line="240" w:lineRule="atLeast"/>
              <w:ind w:firstLine="0" w:firstLineChars="0"/>
              <w:jc w:val="center"/>
              <w:rPr>
                <w:sz w:val="24"/>
                <w:szCs w:val="24"/>
              </w:rPr>
            </w:pPr>
            <w:r>
              <w:rPr>
                <w:rFonts w:hint="eastAsia"/>
                <w:sz w:val="24"/>
                <w:szCs w:val="24"/>
              </w:rPr>
              <w:t>√</w:t>
            </w:r>
          </w:p>
        </w:tc>
      </w:tr>
      <w:tr w14:paraId="3DF65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2" w:type="dxa"/>
            <w:vAlign w:val="center"/>
          </w:tcPr>
          <w:p w14:paraId="37D3200F">
            <w:pPr>
              <w:snapToGrid w:val="0"/>
              <w:spacing w:line="240" w:lineRule="atLeast"/>
              <w:ind w:firstLine="0" w:firstLineChars="0"/>
              <w:jc w:val="center"/>
              <w:rPr>
                <w:rFonts w:ascii="黑体" w:hAnsi="黑体" w:eastAsia="黑体" w:cs="黑体"/>
                <w:sz w:val="24"/>
                <w:szCs w:val="24"/>
              </w:rPr>
            </w:pPr>
            <w:r>
              <w:rPr>
                <w:rFonts w:hint="eastAsia" w:ascii="黑体" w:hAnsi="黑体" w:eastAsia="黑体" w:cs="黑体"/>
                <w:sz w:val="24"/>
                <w:szCs w:val="24"/>
              </w:rPr>
              <w:t>Ⅱ级</w:t>
            </w:r>
          </w:p>
        </w:tc>
        <w:tc>
          <w:tcPr>
            <w:tcW w:w="757" w:type="dxa"/>
            <w:vAlign w:val="center"/>
          </w:tcPr>
          <w:p w14:paraId="46A2E5EF">
            <w:pPr>
              <w:snapToGrid w:val="0"/>
              <w:spacing w:line="240" w:lineRule="atLeast"/>
              <w:ind w:firstLine="0" w:firstLineChars="0"/>
              <w:jc w:val="center"/>
              <w:rPr>
                <w:sz w:val="24"/>
                <w:szCs w:val="24"/>
              </w:rPr>
            </w:pPr>
            <w:r>
              <w:rPr>
                <w:rFonts w:hint="eastAsia"/>
                <w:sz w:val="24"/>
                <w:szCs w:val="24"/>
              </w:rPr>
              <w:t>√</w:t>
            </w:r>
          </w:p>
        </w:tc>
        <w:tc>
          <w:tcPr>
            <w:tcW w:w="757" w:type="dxa"/>
            <w:vAlign w:val="center"/>
          </w:tcPr>
          <w:p w14:paraId="51909087">
            <w:pPr>
              <w:snapToGrid w:val="0"/>
              <w:spacing w:line="240" w:lineRule="atLeast"/>
              <w:ind w:firstLine="0" w:firstLineChars="0"/>
              <w:jc w:val="center"/>
              <w:rPr>
                <w:sz w:val="24"/>
                <w:szCs w:val="24"/>
              </w:rPr>
            </w:pPr>
            <w:r>
              <w:rPr>
                <w:rFonts w:hint="eastAsia"/>
                <w:sz w:val="24"/>
                <w:szCs w:val="24"/>
              </w:rPr>
              <w:t>√</w:t>
            </w:r>
          </w:p>
        </w:tc>
        <w:tc>
          <w:tcPr>
            <w:tcW w:w="757" w:type="dxa"/>
            <w:vAlign w:val="center"/>
          </w:tcPr>
          <w:p w14:paraId="60206EEC">
            <w:pPr>
              <w:snapToGrid w:val="0"/>
              <w:spacing w:line="240" w:lineRule="atLeast"/>
              <w:ind w:firstLine="0" w:firstLineChars="0"/>
              <w:jc w:val="center"/>
              <w:rPr>
                <w:sz w:val="24"/>
                <w:szCs w:val="24"/>
              </w:rPr>
            </w:pPr>
            <w:r>
              <w:rPr>
                <w:rFonts w:hint="eastAsia"/>
                <w:sz w:val="24"/>
                <w:szCs w:val="24"/>
              </w:rPr>
              <w:t>√</w:t>
            </w:r>
          </w:p>
        </w:tc>
        <w:tc>
          <w:tcPr>
            <w:tcW w:w="757" w:type="dxa"/>
            <w:vAlign w:val="center"/>
          </w:tcPr>
          <w:p w14:paraId="02B204A0">
            <w:pPr>
              <w:snapToGrid w:val="0"/>
              <w:spacing w:line="240" w:lineRule="atLeast"/>
              <w:ind w:firstLine="0" w:firstLineChars="0"/>
              <w:jc w:val="center"/>
              <w:rPr>
                <w:sz w:val="24"/>
                <w:szCs w:val="24"/>
              </w:rPr>
            </w:pPr>
            <w:r>
              <w:rPr>
                <w:rFonts w:hint="eastAsia"/>
                <w:sz w:val="24"/>
                <w:szCs w:val="24"/>
              </w:rPr>
              <w:t>√</w:t>
            </w:r>
          </w:p>
        </w:tc>
        <w:tc>
          <w:tcPr>
            <w:tcW w:w="757" w:type="dxa"/>
            <w:vAlign w:val="center"/>
          </w:tcPr>
          <w:p w14:paraId="4D530E57">
            <w:pPr>
              <w:snapToGrid w:val="0"/>
              <w:spacing w:line="240" w:lineRule="atLeast"/>
              <w:ind w:firstLine="0" w:firstLineChars="0"/>
              <w:jc w:val="center"/>
              <w:rPr>
                <w:sz w:val="24"/>
                <w:szCs w:val="24"/>
              </w:rPr>
            </w:pPr>
            <w:r>
              <w:rPr>
                <w:rFonts w:hint="eastAsia"/>
                <w:sz w:val="24"/>
                <w:szCs w:val="24"/>
              </w:rPr>
              <w:t>√</w:t>
            </w:r>
          </w:p>
        </w:tc>
        <w:tc>
          <w:tcPr>
            <w:tcW w:w="757" w:type="dxa"/>
            <w:vAlign w:val="center"/>
          </w:tcPr>
          <w:p w14:paraId="472AA1B9">
            <w:pPr>
              <w:snapToGrid w:val="0"/>
              <w:spacing w:line="240" w:lineRule="atLeast"/>
              <w:ind w:firstLine="0" w:firstLineChars="0"/>
              <w:jc w:val="center"/>
              <w:rPr>
                <w:sz w:val="24"/>
                <w:szCs w:val="24"/>
              </w:rPr>
            </w:pPr>
            <w:r>
              <w:rPr>
                <w:rFonts w:hint="eastAsia"/>
                <w:sz w:val="24"/>
                <w:szCs w:val="24"/>
              </w:rPr>
              <w:t>√</w:t>
            </w:r>
          </w:p>
        </w:tc>
        <w:tc>
          <w:tcPr>
            <w:tcW w:w="757" w:type="dxa"/>
            <w:vAlign w:val="center"/>
          </w:tcPr>
          <w:p w14:paraId="0B83E718">
            <w:pPr>
              <w:snapToGrid w:val="0"/>
              <w:spacing w:line="240" w:lineRule="atLeast"/>
              <w:ind w:firstLine="0" w:firstLineChars="0"/>
              <w:jc w:val="center"/>
              <w:rPr>
                <w:sz w:val="24"/>
                <w:szCs w:val="24"/>
              </w:rPr>
            </w:pPr>
          </w:p>
        </w:tc>
        <w:tc>
          <w:tcPr>
            <w:tcW w:w="763" w:type="dxa"/>
            <w:vAlign w:val="center"/>
          </w:tcPr>
          <w:p w14:paraId="78BD313C">
            <w:pPr>
              <w:snapToGrid w:val="0"/>
              <w:spacing w:line="240" w:lineRule="atLeast"/>
              <w:ind w:firstLine="0" w:firstLineChars="0"/>
              <w:jc w:val="center"/>
              <w:rPr>
                <w:sz w:val="24"/>
                <w:szCs w:val="24"/>
              </w:rPr>
            </w:pPr>
          </w:p>
        </w:tc>
        <w:tc>
          <w:tcPr>
            <w:tcW w:w="941" w:type="dxa"/>
            <w:vAlign w:val="center"/>
          </w:tcPr>
          <w:p w14:paraId="36633EFD">
            <w:pPr>
              <w:snapToGrid w:val="0"/>
              <w:spacing w:line="240" w:lineRule="atLeast"/>
              <w:ind w:firstLine="0" w:firstLineChars="0"/>
              <w:jc w:val="center"/>
              <w:rPr>
                <w:sz w:val="24"/>
                <w:szCs w:val="24"/>
              </w:rPr>
            </w:pPr>
          </w:p>
        </w:tc>
        <w:tc>
          <w:tcPr>
            <w:tcW w:w="927" w:type="dxa"/>
            <w:vAlign w:val="center"/>
          </w:tcPr>
          <w:p w14:paraId="3F60A78D">
            <w:pPr>
              <w:snapToGrid w:val="0"/>
              <w:spacing w:line="240" w:lineRule="atLeast"/>
              <w:ind w:firstLine="0" w:firstLineChars="0"/>
              <w:jc w:val="center"/>
              <w:rPr>
                <w:sz w:val="24"/>
                <w:szCs w:val="24"/>
              </w:rPr>
            </w:pPr>
          </w:p>
        </w:tc>
        <w:tc>
          <w:tcPr>
            <w:tcW w:w="793" w:type="dxa"/>
            <w:vAlign w:val="center"/>
          </w:tcPr>
          <w:p w14:paraId="6DE219FC">
            <w:pPr>
              <w:snapToGrid w:val="0"/>
              <w:spacing w:line="240" w:lineRule="atLeast"/>
              <w:ind w:firstLine="0" w:firstLineChars="0"/>
              <w:jc w:val="center"/>
              <w:rPr>
                <w:sz w:val="24"/>
                <w:szCs w:val="24"/>
              </w:rPr>
            </w:pPr>
            <w:r>
              <w:rPr>
                <w:rFonts w:hint="eastAsia"/>
                <w:sz w:val="24"/>
                <w:szCs w:val="24"/>
              </w:rPr>
              <w:t>√</w:t>
            </w:r>
          </w:p>
        </w:tc>
      </w:tr>
      <w:tr w14:paraId="42A44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2" w:type="dxa"/>
            <w:vAlign w:val="center"/>
          </w:tcPr>
          <w:p w14:paraId="0E87E2A4">
            <w:pPr>
              <w:snapToGrid w:val="0"/>
              <w:spacing w:line="240" w:lineRule="atLeast"/>
              <w:ind w:firstLine="0" w:firstLineChars="0"/>
              <w:jc w:val="center"/>
              <w:rPr>
                <w:rFonts w:ascii="黑体" w:hAnsi="黑体" w:eastAsia="黑体" w:cs="黑体"/>
                <w:sz w:val="24"/>
                <w:szCs w:val="24"/>
              </w:rPr>
            </w:pPr>
            <w:r>
              <w:rPr>
                <w:rFonts w:hint="eastAsia" w:ascii="黑体" w:hAnsi="黑体" w:eastAsia="黑体" w:cs="黑体"/>
                <w:sz w:val="24"/>
                <w:szCs w:val="24"/>
              </w:rPr>
              <w:t>Ⅰ级</w:t>
            </w:r>
          </w:p>
        </w:tc>
        <w:tc>
          <w:tcPr>
            <w:tcW w:w="757" w:type="dxa"/>
            <w:vAlign w:val="center"/>
          </w:tcPr>
          <w:p w14:paraId="7369553E">
            <w:pPr>
              <w:snapToGrid w:val="0"/>
              <w:spacing w:line="240" w:lineRule="atLeast"/>
              <w:ind w:firstLine="0" w:firstLineChars="0"/>
              <w:jc w:val="center"/>
              <w:rPr>
                <w:sz w:val="24"/>
                <w:szCs w:val="24"/>
              </w:rPr>
            </w:pPr>
            <w:r>
              <w:rPr>
                <w:rFonts w:hint="eastAsia"/>
                <w:sz w:val="24"/>
                <w:szCs w:val="24"/>
              </w:rPr>
              <w:t>√</w:t>
            </w:r>
          </w:p>
        </w:tc>
        <w:tc>
          <w:tcPr>
            <w:tcW w:w="757" w:type="dxa"/>
            <w:vAlign w:val="center"/>
          </w:tcPr>
          <w:p w14:paraId="23C291C1">
            <w:pPr>
              <w:snapToGrid w:val="0"/>
              <w:spacing w:line="240" w:lineRule="atLeast"/>
              <w:ind w:firstLine="0" w:firstLineChars="0"/>
              <w:jc w:val="center"/>
              <w:rPr>
                <w:sz w:val="24"/>
                <w:szCs w:val="24"/>
              </w:rPr>
            </w:pPr>
            <w:r>
              <w:rPr>
                <w:rFonts w:hint="eastAsia"/>
                <w:sz w:val="24"/>
                <w:szCs w:val="24"/>
              </w:rPr>
              <w:t>√</w:t>
            </w:r>
          </w:p>
        </w:tc>
        <w:tc>
          <w:tcPr>
            <w:tcW w:w="757" w:type="dxa"/>
            <w:vAlign w:val="center"/>
          </w:tcPr>
          <w:p w14:paraId="1B44442C">
            <w:pPr>
              <w:snapToGrid w:val="0"/>
              <w:spacing w:line="240" w:lineRule="atLeast"/>
              <w:ind w:firstLine="0" w:firstLineChars="0"/>
              <w:jc w:val="center"/>
              <w:rPr>
                <w:sz w:val="24"/>
                <w:szCs w:val="24"/>
              </w:rPr>
            </w:pPr>
            <w:r>
              <w:rPr>
                <w:rFonts w:hint="eastAsia"/>
                <w:sz w:val="24"/>
                <w:szCs w:val="24"/>
              </w:rPr>
              <w:t>√</w:t>
            </w:r>
          </w:p>
        </w:tc>
        <w:tc>
          <w:tcPr>
            <w:tcW w:w="757" w:type="dxa"/>
            <w:vAlign w:val="center"/>
          </w:tcPr>
          <w:p w14:paraId="66D2D2AB">
            <w:pPr>
              <w:snapToGrid w:val="0"/>
              <w:spacing w:line="240" w:lineRule="atLeast"/>
              <w:ind w:firstLine="0" w:firstLineChars="0"/>
              <w:jc w:val="center"/>
              <w:rPr>
                <w:sz w:val="24"/>
                <w:szCs w:val="24"/>
              </w:rPr>
            </w:pPr>
          </w:p>
        </w:tc>
        <w:tc>
          <w:tcPr>
            <w:tcW w:w="757" w:type="dxa"/>
            <w:vAlign w:val="center"/>
          </w:tcPr>
          <w:p w14:paraId="7C700366">
            <w:pPr>
              <w:snapToGrid w:val="0"/>
              <w:spacing w:line="240" w:lineRule="atLeast"/>
              <w:ind w:firstLine="0" w:firstLineChars="0"/>
              <w:jc w:val="center"/>
              <w:rPr>
                <w:sz w:val="24"/>
                <w:szCs w:val="24"/>
              </w:rPr>
            </w:pPr>
          </w:p>
        </w:tc>
        <w:tc>
          <w:tcPr>
            <w:tcW w:w="757" w:type="dxa"/>
            <w:vAlign w:val="center"/>
          </w:tcPr>
          <w:p w14:paraId="2244E5C0">
            <w:pPr>
              <w:snapToGrid w:val="0"/>
              <w:spacing w:line="240" w:lineRule="atLeast"/>
              <w:ind w:firstLine="0" w:firstLineChars="0"/>
              <w:jc w:val="center"/>
              <w:rPr>
                <w:sz w:val="24"/>
                <w:szCs w:val="24"/>
              </w:rPr>
            </w:pPr>
          </w:p>
        </w:tc>
        <w:tc>
          <w:tcPr>
            <w:tcW w:w="757" w:type="dxa"/>
            <w:vAlign w:val="center"/>
          </w:tcPr>
          <w:p w14:paraId="18DED1EE">
            <w:pPr>
              <w:snapToGrid w:val="0"/>
              <w:spacing w:line="240" w:lineRule="atLeast"/>
              <w:ind w:firstLine="0" w:firstLineChars="0"/>
              <w:jc w:val="center"/>
              <w:rPr>
                <w:sz w:val="24"/>
                <w:szCs w:val="24"/>
              </w:rPr>
            </w:pPr>
          </w:p>
        </w:tc>
        <w:tc>
          <w:tcPr>
            <w:tcW w:w="763" w:type="dxa"/>
            <w:vAlign w:val="center"/>
          </w:tcPr>
          <w:p w14:paraId="13308FD8">
            <w:pPr>
              <w:snapToGrid w:val="0"/>
              <w:spacing w:line="240" w:lineRule="atLeast"/>
              <w:ind w:firstLine="0" w:firstLineChars="0"/>
              <w:jc w:val="center"/>
              <w:rPr>
                <w:sz w:val="24"/>
                <w:szCs w:val="24"/>
              </w:rPr>
            </w:pPr>
          </w:p>
        </w:tc>
        <w:tc>
          <w:tcPr>
            <w:tcW w:w="941" w:type="dxa"/>
            <w:vAlign w:val="center"/>
          </w:tcPr>
          <w:p w14:paraId="00335932">
            <w:pPr>
              <w:snapToGrid w:val="0"/>
              <w:spacing w:line="240" w:lineRule="atLeast"/>
              <w:ind w:firstLine="0" w:firstLineChars="0"/>
              <w:jc w:val="center"/>
              <w:rPr>
                <w:sz w:val="24"/>
                <w:szCs w:val="24"/>
              </w:rPr>
            </w:pPr>
          </w:p>
        </w:tc>
        <w:tc>
          <w:tcPr>
            <w:tcW w:w="927" w:type="dxa"/>
            <w:vAlign w:val="center"/>
          </w:tcPr>
          <w:p w14:paraId="3BE9D4F6">
            <w:pPr>
              <w:snapToGrid w:val="0"/>
              <w:spacing w:line="240" w:lineRule="atLeast"/>
              <w:ind w:firstLine="0" w:firstLineChars="0"/>
              <w:jc w:val="center"/>
              <w:rPr>
                <w:sz w:val="24"/>
                <w:szCs w:val="24"/>
              </w:rPr>
            </w:pPr>
          </w:p>
        </w:tc>
        <w:tc>
          <w:tcPr>
            <w:tcW w:w="793" w:type="dxa"/>
            <w:vAlign w:val="center"/>
          </w:tcPr>
          <w:p w14:paraId="0DD54088">
            <w:pPr>
              <w:snapToGrid w:val="0"/>
              <w:spacing w:line="240" w:lineRule="atLeast"/>
              <w:ind w:firstLine="0" w:firstLineChars="0"/>
              <w:jc w:val="center"/>
              <w:rPr>
                <w:sz w:val="24"/>
                <w:szCs w:val="24"/>
              </w:rPr>
            </w:pPr>
          </w:p>
        </w:tc>
      </w:tr>
    </w:tbl>
    <w:p w14:paraId="2B783BFF">
      <w:pPr>
        <w:pStyle w:val="3"/>
      </w:pPr>
      <w:bookmarkStart w:id="361" w:name="_Toc9801"/>
      <w:r>
        <w:rPr>
          <w:rFonts w:hint="eastAsia"/>
        </w:rPr>
        <w:t>先期处置</w:t>
      </w:r>
      <w:bookmarkEnd w:id="361"/>
    </w:p>
    <w:p w14:paraId="2AA35C65">
      <w:pPr>
        <w:ind w:firstLine="632"/>
      </w:pPr>
      <w:r>
        <w:rPr>
          <w:rFonts w:hint="eastAsia"/>
        </w:rPr>
        <w:t>当接收到气象预报预警服务信息，结合本行业、本区域特殊形势分析，预计责任区可能发生较大气象灾害影响时，相关重点企业或区域单位可按照应急联动机制主动启动应急响应，及时采取高风险区域、高敏感行业、高危人群停工、停课、停运等措施。必要时，由相关行业主管部门按照部门间应急联动机制协调处置，或报请本级乃至上一级人民政府气象灾害应急指挥机构综合协调解决。</w:t>
      </w:r>
    </w:p>
    <w:p w14:paraId="5D174F15">
      <w:pPr>
        <w:ind w:firstLine="632"/>
      </w:pPr>
      <w:r>
        <w:rPr>
          <w:rFonts w:hint="eastAsia"/>
        </w:rPr>
        <w:t>当突发气象灾害时，发生地乡镇政府、社区居委会及其有关责任单位应立即组织开展人员营救、伤员救治、转移安置、重点设施抢修维护等先期处置工作，并及时向县政府及县气象灾害应急指挥部办公室报告。</w:t>
      </w:r>
    </w:p>
    <w:p w14:paraId="1E0A5E64">
      <w:pPr>
        <w:pStyle w:val="3"/>
      </w:pPr>
      <w:bookmarkStart w:id="362" w:name="_Toc20742"/>
      <w:r>
        <w:rPr>
          <w:rFonts w:hint="eastAsia"/>
        </w:rPr>
        <w:t>会商研判</w:t>
      </w:r>
      <w:bookmarkEnd w:id="362"/>
    </w:p>
    <w:p w14:paraId="3F5C1E24">
      <w:pPr>
        <w:ind w:firstLine="632"/>
      </w:pPr>
      <w:r>
        <w:rPr>
          <w:rFonts w:hint="eastAsia"/>
        </w:rPr>
        <w:t>当县气象台预报将出现重大灾害性天气过程并对县域有明显不利影响，或重大灾害性天气过程已经影响县域并将造成持续影响时，县气象局应当组织部门内部会商、对标发布相应气象灾害预警。县气象灾害应急指挥部办公室综合预警种类、级别、时长、范围等内容信息以及灾情信息，适时组织有关成员单位、专家组召开气象灾害应对防范会商会议，分析研判灾害性天气影响，议定应急响应建议计划，制定可行性应对措施，为指挥部开展防范应对工作提供决策依据。</w:t>
      </w:r>
    </w:p>
    <w:p w14:paraId="6E55B7E4">
      <w:pPr>
        <w:pStyle w:val="4"/>
        <w:numPr>
          <w:ilvl w:val="2"/>
          <w:numId w:val="90"/>
        </w:numPr>
        <w:tabs>
          <w:tab w:val="left" w:pos="0"/>
        </w:tabs>
        <w:rPr>
          <w:rFonts w:ascii="仿宋_GB2312" w:hAnsi="仿宋_GB2312" w:eastAsia="仿宋_GB2312" w:cs="仿宋_GB2312"/>
        </w:rPr>
      </w:pPr>
      <w:r>
        <w:rPr>
          <w:rFonts w:hint="eastAsia" w:ascii="仿宋_GB2312" w:hAnsi="仿宋_GB2312" w:eastAsia="仿宋_GB2312" w:cs="仿宋_GB2312"/>
        </w:rPr>
        <w:t>启动Ⅳ级应急响应研判参考标准</w:t>
      </w:r>
    </w:p>
    <w:p w14:paraId="67F83781">
      <w:pPr>
        <w:ind w:firstLine="632"/>
      </w:pPr>
      <w:r>
        <w:rPr>
          <w:rFonts w:hint="eastAsia"/>
        </w:rPr>
        <w:t>暴雨：双鸭山市气象台发布天气预报预警信息，提及我县范围可能出现达橙色预警标准的暴雨；或县气象台发布暴雨红色预警信号。</w:t>
      </w:r>
    </w:p>
    <w:p w14:paraId="5D23CA0A">
      <w:pPr>
        <w:ind w:firstLine="632"/>
      </w:pPr>
      <w:r>
        <w:rPr>
          <w:rFonts w:hint="eastAsia"/>
        </w:rPr>
        <w:t>暴雪：双鸭山市气象台发布天气预报预警信息，提及我县范围可能出现达橙色预警标准的暴雪；或县气象台发布暴雪红色预警信号。</w:t>
      </w:r>
    </w:p>
    <w:p w14:paraId="3D591349">
      <w:pPr>
        <w:ind w:firstLine="632"/>
      </w:pPr>
      <w:r>
        <w:rPr>
          <w:rFonts w:hint="eastAsia"/>
        </w:rPr>
        <w:t>干旱：双鸭山市气象台发布天气预报预警信息，提及我县范围可能出现达黄色预警标准的干旱；或县气象台发布干旱橙色预警信号。</w:t>
      </w:r>
    </w:p>
    <w:p w14:paraId="7A1EF2B9">
      <w:pPr>
        <w:ind w:firstLine="632"/>
      </w:pPr>
      <w:r>
        <w:rPr>
          <w:rFonts w:hint="eastAsia"/>
        </w:rPr>
        <w:t>寒潮：双鸭山市气象台发布天气预报预警信息，提及我县范围可能出现达橙色预警标准的寒潮；或县气象台发布寒潮橙色预警信号。</w:t>
      </w:r>
    </w:p>
    <w:p w14:paraId="7D24B2AD">
      <w:pPr>
        <w:ind w:firstLine="632"/>
      </w:pPr>
      <w:r>
        <w:rPr>
          <w:rFonts w:hint="eastAsia"/>
        </w:rPr>
        <w:t>霜冻：双鸭山市气象台发布天气预报预警信息，提及我县范围可能出现达黄色预警标准的霜冻；或县气象台发布霜冻橙色预警信号。</w:t>
      </w:r>
    </w:p>
    <w:p w14:paraId="35FA20B0">
      <w:pPr>
        <w:ind w:firstLine="632"/>
      </w:pPr>
      <w:r>
        <w:rPr>
          <w:rFonts w:hint="eastAsia"/>
        </w:rPr>
        <w:t>大风：双鸭山市气象台发布天气预报预警信息，提及我县范围可能出现达橙色预警标准的大风；或县气象台发布大风橙色预警信号。</w:t>
      </w:r>
    </w:p>
    <w:p w14:paraId="19D05C44">
      <w:pPr>
        <w:ind w:firstLine="632"/>
      </w:pPr>
      <w:r>
        <w:rPr>
          <w:rFonts w:hint="eastAsia"/>
        </w:rPr>
        <w:t>高温：双鸭山市气象台发布天气预报预警信息，提及我县范围可能出现达橙色预警标准的高温；或县气象台发布高温橙色预警信号，预测预报分析我县行政区域橙色预警高温持续将达3天。</w:t>
      </w:r>
    </w:p>
    <w:p w14:paraId="5C3548BE">
      <w:pPr>
        <w:ind w:firstLine="632"/>
      </w:pPr>
      <w:r>
        <w:rPr>
          <w:rFonts w:hint="eastAsia"/>
        </w:rPr>
        <w:t>大雾：双鸭山市气象台发布天气预报预警信息，提及我县范围可能出现达红色预警标准的大雾；或县气象台发布大雾红色预警信号，预测预报分析我县行政区域橙色预警大雾将达3天。</w:t>
      </w:r>
    </w:p>
    <w:p w14:paraId="5644BE5A">
      <w:pPr>
        <w:ind w:firstLine="632"/>
      </w:pPr>
      <w:r>
        <w:rPr>
          <w:rFonts w:hint="eastAsia"/>
        </w:rPr>
        <w:t>沙尘暴：双鸭山市气象台发布天气预报预警信息，提及我县范围可能出现达橙色预警标准的沙尘暴；或县气象台发布沙尘暴橙色预警信号。</w:t>
      </w:r>
    </w:p>
    <w:p w14:paraId="2D487AFE">
      <w:pPr>
        <w:ind w:firstLine="632"/>
      </w:pPr>
      <w:r>
        <w:rPr>
          <w:rFonts w:hint="eastAsia"/>
        </w:rPr>
        <w:t>强对流：双鸭山市气象台发布天气预报预警信息，提及我县范围可能出现达橙色预警标准的雷雨大风或冰雹；或县气象台发布雷雨大风或冰雹红色预警信号。</w:t>
      </w:r>
    </w:p>
    <w:p w14:paraId="136CDB0D">
      <w:pPr>
        <w:ind w:firstLine="632"/>
      </w:pPr>
      <w:r>
        <w:rPr>
          <w:rFonts w:hint="eastAsia"/>
        </w:rPr>
        <w:t>道路结冰：县气象台发布道路结冰橙色预警信号，预测预报分析我县行政区橙色预警道路结冰将达3天。</w:t>
      </w:r>
    </w:p>
    <w:p w14:paraId="1D094B67">
      <w:pPr>
        <w:ind w:firstLine="632"/>
      </w:pPr>
      <w:r>
        <w:rPr>
          <w:rFonts w:hint="eastAsia"/>
        </w:rPr>
        <w:t>灾害影响：同时发生两种以上气象灾害，已经造成或者预计造成直接经济损失0.1亿～0.5亿元；或因灾死亡与失踪1～3人；或倒塌房屋100间以下，损坏房屋500间以下。</w:t>
      </w:r>
    </w:p>
    <w:p w14:paraId="5130FB30">
      <w:pPr>
        <w:pStyle w:val="4"/>
        <w:numPr>
          <w:ilvl w:val="2"/>
          <w:numId w:val="90"/>
        </w:numPr>
        <w:tabs>
          <w:tab w:val="left" w:pos="0"/>
        </w:tabs>
        <w:rPr>
          <w:rFonts w:ascii="仿宋_GB2312" w:hAnsi="仿宋_GB2312" w:eastAsia="仿宋_GB2312" w:cs="仿宋_GB2312"/>
        </w:rPr>
      </w:pPr>
      <w:r>
        <w:rPr>
          <w:rFonts w:hint="eastAsia" w:ascii="仿宋_GB2312" w:hAnsi="仿宋_GB2312" w:eastAsia="仿宋_GB2312" w:cs="仿宋_GB2312"/>
        </w:rPr>
        <w:t>启动Ⅲ级应急响应研判参考标准</w:t>
      </w:r>
    </w:p>
    <w:p w14:paraId="1197E11C">
      <w:pPr>
        <w:ind w:firstLine="632"/>
      </w:pPr>
      <w:r>
        <w:rPr>
          <w:rFonts w:hint="eastAsia"/>
        </w:rPr>
        <w:t>暴雨：双鸭山市气象台发布天气预报预警信息，提及我县范围可能出现达红色预警标准的暴雨，明确影响范围涵盖我县行政区域；或县气象台发布暴雨红色预警信号。</w:t>
      </w:r>
    </w:p>
    <w:p w14:paraId="78422750">
      <w:pPr>
        <w:ind w:firstLine="632"/>
      </w:pPr>
      <w:r>
        <w:rPr>
          <w:rFonts w:hint="eastAsia"/>
        </w:rPr>
        <w:t>暴雪：双鸭山市气象台发布天气预报预警信息，提及我县范围可能出现达橙色预警标准的暴雪；或县气象台发布暴雪红色预警信号。</w:t>
      </w:r>
    </w:p>
    <w:p w14:paraId="428AA0E4">
      <w:pPr>
        <w:ind w:firstLine="632"/>
      </w:pPr>
      <w:r>
        <w:rPr>
          <w:rFonts w:hint="eastAsia"/>
        </w:rPr>
        <w:t>干旱：双鸭山市气象台发布天气预报预警信息，提及我县范围可能出现达橙色预警标准的干旱；或县气象台发布干旱红色预警信号。</w:t>
      </w:r>
    </w:p>
    <w:p w14:paraId="40AAD655">
      <w:pPr>
        <w:ind w:firstLine="632"/>
      </w:pPr>
      <w:r>
        <w:rPr>
          <w:rFonts w:hint="eastAsia"/>
        </w:rPr>
        <w:t>寒潮：双鸭山市气象台发布天气预报预警信息，提及我县范围可能出现达红色预警标准的寒潮；或县气象台发布寒潮红色预警信号。</w:t>
      </w:r>
    </w:p>
    <w:p w14:paraId="745D0971">
      <w:pPr>
        <w:ind w:firstLine="632"/>
      </w:pPr>
      <w:r>
        <w:rPr>
          <w:rFonts w:hint="eastAsia"/>
        </w:rPr>
        <w:t>霜冻：双鸭山市气象台发布天气预报预警信息，提及我县范围可能出现达黄色预警标准的霜冻；或县气象台发布霜冻橙色预警信号。</w:t>
      </w:r>
    </w:p>
    <w:p w14:paraId="7E1A20B0">
      <w:pPr>
        <w:ind w:firstLine="632"/>
      </w:pPr>
      <w:r>
        <w:rPr>
          <w:rFonts w:hint="eastAsia"/>
        </w:rPr>
        <w:t>大风：双鸭山市气象台发布天气预报预警信息，提及我县范围可能出现达橙色预警标准的大风；或县气象台发布大风红色预警信号。</w:t>
      </w:r>
    </w:p>
    <w:p w14:paraId="06809AB3">
      <w:pPr>
        <w:ind w:firstLine="632"/>
      </w:pPr>
      <w:r>
        <w:rPr>
          <w:rFonts w:hint="eastAsia"/>
        </w:rPr>
        <w:t>高温：县气象台发布高温红色预警信号，预测预报分析我县行政区红色预警高温持续将达7天。</w:t>
      </w:r>
    </w:p>
    <w:p w14:paraId="0916DBA0">
      <w:pPr>
        <w:ind w:firstLine="632"/>
      </w:pPr>
      <w:r>
        <w:rPr>
          <w:rFonts w:hint="eastAsia"/>
        </w:rPr>
        <w:t>大雾：双鸭山市气象台发布天气预报预警信息，提及我县范围可能出现达红色预警标准的大雾；或县气象台发布大雾红色预警信号，预测预报分析我县行政区域红色预警大雾持续将达7天。</w:t>
      </w:r>
    </w:p>
    <w:p w14:paraId="3ABF844D">
      <w:pPr>
        <w:ind w:firstLine="632"/>
      </w:pPr>
      <w:r>
        <w:rPr>
          <w:rFonts w:hint="eastAsia"/>
        </w:rPr>
        <w:t>沙尘暴：双鸭山市气象局发布天气预报预警信息，提及我县范围可能出现达红色预警标准的沙尘暴；或县气象台发布沙尘暴红色预警信号。</w:t>
      </w:r>
    </w:p>
    <w:p w14:paraId="4A3C2B1D">
      <w:pPr>
        <w:ind w:firstLine="632"/>
      </w:pPr>
      <w:r>
        <w:rPr>
          <w:rFonts w:hint="eastAsia"/>
        </w:rPr>
        <w:t>强对流：双鸭山市气象台发布天气预报预警信息，提及我县范围可能出现达红色预警标准的雷雨大风或冰雹；或县气象台发布雷雨大风或冰雹红色预警信号。</w:t>
      </w:r>
    </w:p>
    <w:p w14:paraId="1303F22B">
      <w:pPr>
        <w:ind w:firstLine="632"/>
      </w:pPr>
      <w:r>
        <w:rPr>
          <w:rFonts w:hint="eastAsia"/>
        </w:rPr>
        <w:t>道路结冰：县气象台发布道路结冰橙色预警信号，预测预报分析我县行政区橙色预警道路结冰将达7天。</w:t>
      </w:r>
    </w:p>
    <w:p w14:paraId="44E12AC5">
      <w:pPr>
        <w:ind w:firstLine="632"/>
      </w:pPr>
      <w:r>
        <w:rPr>
          <w:rFonts w:hint="eastAsia"/>
        </w:rPr>
        <w:t>灾害影响：发生以上气象灾害，已经造成或者预计造成直接经济损失0.5亿～1亿元；或因灾死亡与失踪4～9人；或倒塌房屋100间～500间，损坏房屋500～1000间。</w:t>
      </w:r>
    </w:p>
    <w:p w14:paraId="675A3EE2">
      <w:pPr>
        <w:pStyle w:val="4"/>
        <w:numPr>
          <w:ilvl w:val="2"/>
          <w:numId w:val="90"/>
        </w:numPr>
        <w:tabs>
          <w:tab w:val="left" w:pos="0"/>
        </w:tabs>
        <w:rPr>
          <w:rFonts w:ascii="仿宋_GB2312" w:hAnsi="仿宋_GB2312" w:eastAsia="仿宋_GB2312" w:cs="仿宋_GB2312"/>
        </w:rPr>
      </w:pPr>
      <w:r>
        <w:rPr>
          <w:rFonts w:hint="eastAsia" w:ascii="仿宋_GB2312" w:hAnsi="仿宋_GB2312" w:eastAsia="仿宋_GB2312" w:cs="仿宋_GB2312"/>
        </w:rPr>
        <w:t>启动Ⅱ级应急响应研判参考标准</w:t>
      </w:r>
    </w:p>
    <w:p w14:paraId="359F4AF5">
      <w:pPr>
        <w:ind w:firstLine="632"/>
      </w:pPr>
      <w:r>
        <w:rPr>
          <w:rFonts w:hint="eastAsia"/>
        </w:rPr>
        <w:t>暴雨：双鸭山市气象台发布天气预报预警信息，提及我县范围可能出现达红色预警标准的暴雨；或县气象台连续2次发布暴雨红色预警信号。</w:t>
      </w:r>
    </w:p>
    <w:p w14:paraId="3868E1D1">
      <w:pPr>
        <w:ind w:firstLine="632"/>
      </w:pPr>
      <w:r>
        <w:rPr>
          <w:rFonts w:hint="eastAsia"/>
        </w:rPr>
        <w:t>暴雪：双鸭山市气象台发布天气预报预警信息，提及我县范围可能出现达红色预警标准的暴雪；县气象台连续2次发布暴雪红色预警信号。</w:t>
      </w:r>
    </w:p>
    <w:p w14:paraId="245801A6">
      <w:pPr>
        <w:ind w:firstLine="632"/>
      </w:pPr>
      <w:r>
        <w:rPr>
          <w:rFonts w:hint="eastAsia"/>
        </w:rPr>
        <w:t>干旱：双鸭山市气象台发布天气预报预警信息，提及我县范围可能出现达红色预警标准的干旱；或县气象台发布干旱红色预警信号。</w:t>
      </w:r>
    </w:p>
    <w:p w14:paraId="75A92B81">
      <w:pPr>
        <w:ind w:firstLine="632"/>
      </w:pPr>
      <w:r>
        <w:rPr>
          <w:rFonts w:hint="eastAsia"/>
        </w:rPr>
        <w:t>寒潮：双鸭山市气象台发布天气预报预警信息，提及我县范围可能出现达红色预警标准的寒潮；或县气象台发布寒潮红色预警信号。</w:t>
      </w:r>
    </w:p>
    <w:p w14:paraId="61555643">
      <w:pPr>
        <w:ind w:firstLine="632"/>
      </w:pPr>
      <w:r>
        <w:rPr>
          <w:rFonts w:hint="eastAsia"/>
        </w:rPr>
        <w:t>霜冻：双鸭山市气象台发布天气预报预警信息，提及我县范围可能出现达橙色预警标准的霜冻；或县气象台发布霜冻橙色预警信号。</w:t>
      </w:r>
    </w:p>
    <w:p w14:paraId="5F9AFDF8">
      <w:pPr>
        <w:ind w:firstLine="632"/>
      </w:pPr>
      <w:r>
        <w:rPr>
          <w:rFonts w:hint="eastAsia"/>
        </w:rPr>
        <w:t>大风：双鸭山市气象台发布天气预报预警信息，提及我县范围可能出现达红色预警标准的大风；或县气象台发布大风红色预警信号。</w:t>
      </w:r>
    </w:p>
    <w:p w14:paraId="20428B86">
      <w:pPr>
        <w:ind w:firstLine="632"/>
      </w:pPr>
      <w:r>
        <w:rPr>
          <w:rFonts w:hint="eastAsia"/>
        </w:rPr>
        <w:t>道路结冰：县气象台发布道路结冰橙色预警信号，预测预报分析我县行政区橙色预警道路结冰将达15天。</w:t>
      </w:r>
    </w:p>
    <w:p w14:paraId="6D8674DD">
      <w:pPr>
        <w:ind w:firstLine="632"/>
      </w:pPr>
    </w:p>
    <w:p w14:paraId="05A6227F">
      <w:pPr>
        <w:ind w:firstLine="632"/>
      </w:pPr>
      <w:r>
        <w:rPr>
          <w:rFonts w:hint="eastAsia"/>
        </w:rPr>
        <w:t>灾害影响：发生以上气象灾害，已经造成或者预计造成直接经济损失1亿～10亿元；或因灾死亡与失踪10～29人；或倒塌房屋500间～1000间，损坏房屋1000～3000间。</w:t>
      </w:r>
    </w:p>
    <w:p w14:paraId="0003C783">
      <w:pPr>
        <w:pStyle w:val="4"/>
        <w:numPr>
          <w:ilvl w:val="2"/>
          <w:numId w:val="90"/>
        </w:numPr>
        <w:tabs>
          <w:tab w:val="left" w:pos="0"/>
        </w:tabs>
        <w:rPr>
          <w:rFonts w:ascii="仿宋_GB2312" w:hAnsi="仿宋_GB2312" w:eastAsia="仿宋_GB2312" w:cs="仿宋_GB2312"/>
        </w:rPr>
      </w:pPr>
      <w:r>
        <w:rPr>
          <w:rFonts w:hint="eastAsia" w:ascii="仿宋_GB2312" w:hAnsi="仿宋_GB2312" w:eastAsia="仿宋_GB2312" w:cs="仿宋_GB2312"/>
        </w:rPr>
        <w:t>启动I级应急响应研判参考标准</w:t>
      </w:r>
    </w:p>
    <w:p w14:paraId="5A2269E3">
      <w:pPr>
        <w:ind w:firstLine="632"/>
      </w:pPr>
      <w:r>
        <w:rPr>
          <w:rFonts w:hint="eastAsia"/>
        </w:rPr>
        <w:t>暴雨：双鸭山市气象台发布天气预报预警信息，明确提及我县位于暴雨中心或分中心，可达暴雨红色预警标准；或县气象台连续2次发布暴雨红色预警信号。</w:t>
      </w:r>
    </w:p>
    <w:p w14:paraId="3FC5D58C">
      <w:pPr>
        <w:ind w:firstLine="632"/>
      </w:pPr>
      <w:r>
        <w:rPr>
          <w:rFonts w:hint="eastAsia"/>
        </w:rPr>
        <w:t>暴雪：双鸭山市气象台发布天气预报预警信息，明确提及我县位于暴雪中心或分中心，可达暴雪红色预警标准；或县气象台连续2次发布暴雪红色预警信号。</w:t>
      </w:r>
    </w:p>
    <w:p w14:paraId="4F7F5E77">
      <w:pPr>
        <w:ind w:firstLine="632"/>
      </w:pPr>
      <w:r>
        <w:rPr>
          <w:rFonts w:hint="eastAsia"/>
        </w:rPr>
        <w:t>干旱：双鸭山市气象台发布天气预报预警信息，提及我县范围可能出现达红色预警标准的干旱；或县气象台发布干旱红色预警信号。</w:t>
      </w:r>
    </w:p>
    <w:p w14:paraId="76DE72D0">
      <w:pPr>
        <w:ind w:firstLine="632"/>
      </w:pPr>
      <w:r>
        <w:rPr>
          <w:rFonts w:hint="eastAsia"/>
        </w:rPr>
        <w:t>灾害影响：发生以上气象灾害，已经造成或者预计造成直接经济损失10亿元以上；或因灾死亡30人以上；或倒塌房屋1000间以上，损坏房屋3000间以上。</w:t>
      </w:r>
    </w:p>
    <w:p w14:paraId="34CADA4D">
      <w:pPr>
        <w:pStyle w:val="3"/>
      </w:pPr>
      <w:bookmarkStart w:id="363" w:name="_Toc17905"/>
      <w:r>
        <w:rPr>
          <w:rFonts w:hint="eastAsia"/>
        </w:rPr>
        <w:t>启动应急响应</w:t>
      </w:r>
      <w:bookmarkEnd w:id="363"/>
    </w:p>
    <w:p w14:paraId="15293403">
      <w:pPr>
        <w:ind w:firstLine="632"/>
      </w:pPr>
      <w:r>
        <w:rPr>
          <w:rFonts w:hint="eastAsia"/>
        </w:rPr>
        <w:t>指挥部在跨部门、跨行业联合专家组分析研判并提出专业意见基础上，综合评估气象灾害影响，启动应急响应。指挥部各成员单位应当将“人民至上、生命至上”理念贯穿应急响应工作全流程、全链条，坚持预防为主，充分发挥气象灾害预警在应急响应联动处置工作中的先导作用，努力做到“防在未发之前、抗在第一时间、救在关键环节”。</w:t>
      </w:r>
    </w:p>
    <w:p w14:paraId="556934D0">
      <w:pPr>
        <w:ind w:firstLine="632"/>
      </w:pPr>
      <w:r>
        <w:rPr>
          <w:rFonts w:hint="eastAsia"/>
        </w:rPr>
        <w:t>本着高效减灾避灾的原则，在应对部分突发性气象灾害时，指挥部综合评估气象灾害紧急程度、危害程度和发展态势，参照“应急响应研判参考标准”直接定级启动应急响应。</w:t>
      </w:r>
    </w:p>
    <w:p w14:paraId="19D9DCAB">
      <w:pPr>
        <w:ind w:firstLine="632"/>
      </w:pPr>
      <w:r>
        <w:rPr>
          <w:rFonts w:hint="eastAsia"/>
        </w:rPr>
        <w:t>同时发生两种以上气象灾害且分别达到不同应急响应启动级别，按照相应灾种、相应响应级别分别启动应急响应，也可按照主要灾种提级响应应对。</w:t>
      </w:r>
    </w:p>
    <w:p w14:paraId="67F505EF">
      <w:pPr>
        <w:ind w:firstLine="632"/>
      </w:pPr>
      <w:r>
        <w:rPr>
          <w:rFonts w:hint="eastAsia"/>
        </w:rPr>
        <w:t>发生气象灾害未达到应急响应标准，或达到应急响应标准，但灾害天气影响时段、区域、群体等存在一定特殊性或综合风险影响难以精准预判时，在专家组综合评估基础上经指挥部批准，可启动相应级别应急响应或提级启动应急响应。</w:t>
      </w:r>
    </w:p>
    <w:p w14:paraId="58F57F69">
      <w:pPr>
        <w:ind w:firstLine="632"/>
      </w:pPr>
      <w:r>
        <w:rPr>
          <w:rFonts w:hint="eastAsia"/>
        </w:rPr>
        <w:t>当市政府启动涉及本县域内的气象灾害响应命令后，在县气象灾害应急指挥部的统一指挥下，各成员单位按照响应级别直接进入应急响应。</w:t>
      </w:r>
    </w:p>
    <w:p w14:paraId="22906203">
      <w:pPr>
        <w:pStyle w:val="4"/>
        <w:numPr>
          <w:ilvl w:val="2"/>
          <w:numId w:val="90"/>
        </w:numPr>
        <w:tabs>
          <w:tab w:val="left" w:pos="0"/>
        </w:tabs>
        <w:rPr>
          <w:rFonts w:ascii="仿宋_GB2312" w:hAnsi="仿宋_GB2312" w:eastAsia="仿宋_GB2312" w:cs="仿宋_GB2312"/>
        </w:rPr>
      </w:pPr>
      <w:r>
        <w:rPr>
          <w:rFonts w:hint="eastAsia" w:ascii="仿宋_GB2312" w:hAnsi="仿宋_GB2312" w:eastAsia="仿宋_GB2312" w:cs="仿宋_GB2312"/>
        </w:rPr>
        <w:t>Ⅳ级响应</w:t>
      </w:r>
    </w:p>
    <w:p w14:paraId="55B7ADBA">
      <w:pPr>
        <w:ind w:firstLine="632"/>
      </w:pPr>
      <w:r>
        <w:rPr>
          <w:rFonts w:hint="eastAsia"/>
        </w:rPr>
        <w:t>初判达到Ⅳ级应急响应（一般）研判参考标准，由县气象灾害应急指挥部办公室立即组织专家分析研判，提出启动县级Ⅳ级应急响应的建议，由县气象灾害应急指挥部办公室决定启动县级Ⅳ级应急响应，必要时向县气象灾害应急指挥部报告。</w:t>
      </w:r>
    </w:p>
    <w:p w14:paraId="54CA97A9">
      <w:pPr>
        <w:pStyle w:val="4"/>
        <w:numPr>
          <w:ilvl w:val="2"/>
          <w:numId w:val="90"/>
        </w:numPr>
        <w:tabs>
          <w:tab w:val="left" w:pos="0"/>
        </w:tabs>
        <w:rPr>
          <w:rFonts w:ascii="仿宋_GB2312" w:hAnsi="仿宋_GB2312" w:eastAsia="仿宋_GB2312" w:cs="仿宋_GB2312"/>
        </w:rPr>
      </w:pPr>
      <w:r>
        <w:rPr>
          <w:rFonts w:hint="eastAsia" w:ascii="仿宋_GB2312" w:hAnsi="仿宋_GB2312" w:eastAsia="仿宋_GB2312" w:cs="仿宋_GB2312"/>
        </w:rPr>
        <w:t>Ⅲ级响应</w:t>
      </w:r>
    </w:p>
    <w:p w14:paraId="588F0DCD">
      <w:pPr>
        <w:ind w:firstLine="632"/>
      </w:pPr>
      <w:r>
        <w:rPr>
          <w:rFonts w:hint="eastAsia"/>
        </w:rPr>
        <w:t>初判达到Ⅲ级应急响应（较大）研判参考标准，由县气象灾害应急指挥部办公室立即组织专家分析研判，提出启动县级Ⅲ级应急响应的建议，由县气象灾害应急指挥部决定启动县级Ⅲ级应急响应，必要时向县政府报告。</w:t>
      </w:r>
    </w:p>
    <w:p w14:paraId="6A6743D2">
      <w:pPr>
        <w:pStyle w:val="4"/>
        <w:numPr>
          <w:ilvl w:val="2"/>
          <w:numId w:val="90"/>
        </w:numPr>
        <w:tabs>
          <w:tab w:val="left" w:pos="0"/>
        </w:tabs>
        <w:rPr>
          <w:rFonts w:ascii="仿宋_GB2312" w:hAnsi="仿宋_GB2312" w:eastAsia="仿宋_GB2312" w:cs="仿宋_GB2312"/>
        </w:rPr>
      </w:pPr>
      <w:r>
        <w:rPr>
          <w:rFonts w:hint="eastAsia" w:ascii="仿宋_GB2312" w:hAnsi="仿宋_GB2312" w:eastAsia="仿宋_GB2312" w:cs="仿宋_GB2312"/>
        </w:rPr>
        <w:t>Ⅱ级响应</w:t>
      </w:r>
    </w:p>
    <w:p w14:paraId="04F03CC2">
      <w:pPr>
        <w:ind w:firstLine="632"/>
      </w:pPr>
      <w:r>
        <w:rPr>
          <w:rFonts w:hint="eastAsia"/>
        </w:rPr>
        <w:t>初判达到Ⅱ级应急响应（重大）研判参考标准，由县气象灾害应急指挥部立即组织指挥部成员和专家分析研判，提出启动县级Ⅱ级应急响应的建议向县政府报告，由县政府决定启动县级Ⅱ级应急响应，必要时向县委报告。</w:t>
      </w:r>
    </w:p>
    <w:p w14:paraId="681C804B">
      <w:pPr>
        <w:pStyle w:val="4"/>
        <w:numPr>
          <w:ilvl w:val="2"/>
          <w:numId w:val="90"/>
        </w:numPr>
        <w:tabs>
          <w:tab w:val="left" w:pos="0"/>
        </w:tabs>
        <w:rPr>
          <w:rFonts w:ascii="仿宋_GB2312" w:hAnsi="仿宋_GB2312" w:eastAsia="仿宋_GB2312" w:cs="仿宋_GB2312"/>
        </w:rPr>
      </w:pPr>
      <w:r>
        <w:rPr>
          <w:rFonts w:hint="eastAsia" w:ascii="仿宋_GB2312" w:hAnsi="仿宋_GB2312" w:eastAsia="仿宋_GB2312" w:cs="仿宋_GB2312"/>
        </w:rPr>
        <w:t>Ⅰ级响应</w:t>
      </w:r>
    </w:p>
    <w:p w14:paraId="26806F58">
      <w:pPr>
        <w:ind w:firstLine="632"/>
      </w:pPr>
      <w:r>
        <w:rPr>
          <w:rFonts w:hint="eastAsia"/>
        </w:rPr>
        <w:t>初判达到Ⅰ级应急响应（特别重大）研判参考标准，县气象灾害应急指挥部应立即组织指挥部成员和专家分析研判，提出启动县级Ⅰ级应急响应的建议向县委、县政府报告，由县委、县政府决定启动县级Ⅰ级应急响应。</w:t>
      </w:r>
    </w:p>
    <w:p w14:paraId="31CCFE3A">
      <w:pPr>
        <w:pStyle w:val="3"/>
      </w:pPr>
      <w:bookmarkStart w:id="364" w:name="_Toc23420"/>
      <w:r>
        <w:rPr>
          <w:rFonts w:hint="eastAsia"/>
        </w:rPr>
        <w:t>分级应急响应措施</w:t>
      </w:r>
      <w:bookmarkEnd w:id="364"/>
    </w:p>
    <w:p w14:paraId="4815069A">
      <w:pPr>
        <w:pStyle w:val="4"/>
        <w:numPr>
          <w:ilvl w:val="2"/>
          <w:numId w:val="90"/>
        </w:numPr>
        <w:tabs>
          <w:tab w:val="left" w:pos="0"/>
        </w:tabs>
        <w:rPr>
          <w:rFonts w:ascii="仿宋_GB2312" w:hAnsi="仿宋_GB2312" w:eastAsia="仿宋_GB2312" w:cs="仿宋_GB2312"/>
        </w:rPr>
      </w:pPr>
      <w:r>
        <w:rPr>
          <w:rFonts w:hint="eastAsia" w:ascii="仿宋_GB2312" w:hAnsi="仿宋_GB2312" w:eastAsia="仿宋_GB2312" w:cs="仿宋_GB2312"/>
        </w:rPr>
        <w:t>Ⅳ级响应措施</w:t>
      </w:r>
    </w:p>
    <w:p w14:paraId="62D0B904">
      <w:pPr>
        <w:ind w:firstLine="632"/>
      </w:pPr>
      <w:r>
        <w:rPr>
          <w:rFonts w:hint="eastAsia"/>
        </w:rPr>
        <w:t>（1）县气象灾害应急指挥部办公室发布启动Ⅳ级气象灾害应急响应命令，及时向县气象灾害应急指挥部和市气象灾害应急指挥部办公室报告气象灾害应急响应情况。</w:t>
      </w:r>
    </w:p>
    <w:p w14:paraId="1FDEF896">
      <w:pPr>
        <w:ind w:firstLine="632"/>
      </w:pPr>
      <w:r>
        <w:rPr>
          <w:rFonts w:hint="eastAsia"/>
        </w:rPr>
        <w:t>（2）县气象灾害应急指挥部办公室适时主持召开会议，综合听取相关单位工作汇报，安排部署气象灾害防范应对工作。</w:t>
      </w:r>
    </w:p>
    <w:p w14:paraId="57B178AC">
      <w:pPr>
        <w:ind w:firstLine="632"/>
      </w:pPr>
      <w:r>
        <w:rPr>
          <w:rFonts w:hint="eastAsia"/>
        </w:rPr>
        <w:t>（3）县气象灾害应急指挥部办公室组建专家组赴一线进行气象防灾减灾技术指导，视必要前置工作组协助地方应急行动。</w:t>
      </w:r>
    </w:p>
    <w:p w14:paraId="066D7E05">
      <w:pPr>
        <w:ind w:firstLine="632"/>
      </w:pPr>
      <w:r>
        <w:rPr>
          <w:rFonts w:hint="eastAsia"/>
        </w:rPr>
        <w:t>（4）应急管理、气象等参与气象灾害应急工作的相关部门实行24小时值班，密切关注气象灾害发展态势，及时向有关部门和单位通报相关信息。</w:t>
      </w:r>
    </w:p>
    <w:p w14:paraId="511E0825">
      <w:pPr>
        <w:ind w:firstLine="632"/>
      </w:pPr>
      <w:r>
        <w:rPr>
          <w:rFonts w:hint="eastAsia"/>
        </w:rPr>
        <w:t>（5）县气象灾害应急指挥部各成员单位保持通信联络畅通，按照职责和对应灾种应急响应策略做好防灾巡查、风险研判及防范等工作，适时启动气象次生、衍生灾害专项应急预案和部门专项应急预案，组织做好防范应对工作。</w:t>
      </w:r>
    </w:p>
    <w:p w14:paraId="740B0A3C">
      <w:pPr>
        <w:ind w:firstLine="632"/>
      </w:pPr>
      <w:r>
        <w:rPr>
          <w:rFonts w:hint="eastAsia"/>
        </w:rPr>
        <w:t>（6）相关乡镇区域启动相应气象灾害应急预案，落实具体防范应对策略，一线处置防范控制事态发展。</w:t>
      </w:r>
    </w:p>
    <w:p w14:paraId="6367A2D0">
      <w:pPr>
        <w:ind w:firstLine="632"/>
      </w:pPr>
      <w:r>
        <w:rPr>
          <w:rFonts w:hint="eastAsia"/>
        </w:rPr>
        <w:t>（7）严格信息综合收集、处理、传递、发布和应用管理，按照规定及时上报重大突发事件和重大事项信息。</w:t>
      </w:r>
    </w:p>
    <w:p w14:paraId="5D16D24D">
      <w:pPr>
        <w:ind w:firstLine="632"/>
      </w:pPr>
      <w:r>
        <w:rPr>
          <w:rFonts w:hint="eastAsia"/>
        </w:rPr>
        <w:t>（8）县气象灾害应急指挥部办公室结合受灾地乡镇政府请求，组织加密监测站点或临时新增观测任务，给予更为充分的气象服务支持，必要时协调县内应急资源参与应急行动。</w:t>
      </w:r>
    </w:p>
    <w:p w14:paraId="3C59CB08">
      <w:pPr>
        <w:ind w:firstLine="632"/>
      </w:pPr>
      <w:r>
        <w:rPr>
          <w:rFonts w:hint="eastAsia"/>
        </w:rPr>
        <w:t>（9）其他必要的措施。</w:t>
      </w:r>
    </w:p>
    <w:p w14:paraId="525152A3">
      <w:pPr>
        <w:pStyle w:val="4"/>
        <w:numPr>
          <w:ilvl w:val="2"/>
          <w:numId w:val="90"/>
        </w:numPr>
        <w:tabs>
          <w:tab w:val="left" w:pos="0"/>
        </w:tabs>
        <w:rPr>
          <w:rFonts w:ascii="仿宋_GB2312" w:hAnsi="仿宋_GB2312" w:eastAsia="仿宋_GB2312" w:cs="仿宋_GB2312"/>
        </w:rPr>
      </w:pPr>
      <w:r>
        <w:rPr>
          <w:rFonts w:hint="eastAsia" w:ascii="仿宋_GB2312" w:hAnsi="仿宋_GB2312" w:eastAsia="仿宋_GB2312" w:cs="仿宋_GB2312"/>
        </w:rPr>
        <w:t>Ⅲ级响应措施</w:t>
      </w:r>
    </w:p>
    <w:p w14:paraId="1189FE1C">
      <w:pPr>
        <w:ind w:firstLine="632"/>
      </w:pPr>
      <w:r>
        <w:rPr>
          <w:rFonts w:hint="eastAsia"/>
        </w:rPr>
        <w:t>（1）县气象灾害应急指挥部发布启动Ⅲ级气象灾害应急响应命令，及时向县政府和市气象灾害应急指挥部办公室报告气象灾害应急响应情况。</w:t>
      </w:r>
    </w:p>
    <w:p w14:paraId="05197589">
      <w:pPr>
        <w:ind w:firstLine="632"/>
      </w:pPr>
      <w:r>
        <w:rPr>
          <w:rFonts w:hint="eastAsia"/>
        </w:rPr>
        <w:t>（2）县气象灾害应急指挥部适时主持召开会议，综合听取相关单位工作汇报，安排部署气象灾害防范应对工作。</w:t>
      </w:r>
    </w:p>
    <w:p w14:paraId="7DC63B72">
      <w:pPr>
        <w:ind w:firstLine="632"/>
      </w:pPr>
      <w:r>
        <w:rPr>
          <w:rFonts w:hint="eastAsia"/>
        </w:rPr>
        <w:t>（3）视必要报请启动县级应急指挥部，结合应急处置需要启动成立相关应急工作组，各应急工作组按职责分工做好应急处置工作。</w:t>
      </w:r>
    </w:p>
    <w:p w14:paraId="648DBD15">
      <w:pPr>
        <w:ind w:firstLine="632"/>
      </w:pPr>
      <w:r>
        <w:rPr>
          <w:rFonts w:hint="eastAsia"/>
        </w:rPr>
        <w:t>（4）县气象灾害应急指挥部组建专家组和工作组赴一线进行气象防灾减灾技术指导，协助地方应急行动。</w:t>
      </w:r>
    </w:p>
    <w:p w14:paraId="3FDBE1AB">
      <w:pPr>
        <w:ind w:firstLine="632"/>
      </w:pPr>
      <w:r>
        <w:rPr>
          <w:rFonts w:hint="eastAsia"/>
        </w:rPr>
        <w:t>（5）应急管理、气象等参与气象灾害应急工作的相关部门实行24小时值班和负责人带班，密切监视气象灾害发展态势，及时向有关部门和单位通报相关信息；</w:t>
      </w:r>
    </w:p>
    <w:p w14:paraId="46CEAE50">
      <w:pPr>
        <w:ind w:firstLine="632"/>
      </w:pPr>
      <w:r>
        <w:rPr>
          <w:rFonts w:hint="eastAsia"/>
        </w:rPr>
        <w:t>（6）县气象灾害应急指挥部各成员单位实行负责人带班，确保通信联络畅通，遇有特殊情况利用辅助通讯方式第一时间报告县气象灾害应急指挥部办公室；按照职责和对应灾种应急响应策略落实防灾巡查、风险研判及防范等工作，对标启动气象次生、衍生灾害专项应急预案和部门专项应急预案，组织做好防范应对各项工作。</w:t>
      </w:r>
    </w:p>
    <w:p w14:paraId="49B076E0">
      <w:pPr>
        <w:ind w:firstLine="632"/>
      </w:pPr>
      <w:r>
        <w:rPr>
          <w:rFonts w:hint="eastAsia"/>
        </w:rPr>
        <w:t>（7）相关乡镇区域启动相应气象灾害应急预案，落实具体防范应对策略，一线处置防范控制事态发展。</w:t>
      </w:r>
    </w:p>
    <w:p w14:paraId="756A8788">
      <w:pPr>
        <w:ind w:firstLine="632"/>
      </w:pPr>
      <w:r>
        <w:rPr>
          <w:rFonts w:hint="eastAsia"/>
        </w:rPr>
        <w:t>（8）严格信息综合收集、处理、传递、发布和应用管理，应急相关信息逐级报送，重大突发事件和重大事项信息第一时间直报。</w:t>
      </w:r>
    </w:p>
    <w:p w14:paraId="2DCCF5A4">
      <w:pPr>
        <w:ind w:firstLine="632"/>
      </w:pPr>
      <w:r>
        <w:rPr>
          <w:rFonts w:hint="eastAsia"/>
        </w:rPr>
        <w:t>（9）县气象灾害应急指挥部结合受灾区域乡镇政府请求，调动县域内应急资源参与应急行动。</w:t>
      </w:r>
    </w:p>
    <w:p w14:paraId="3937D786">
      <w:pPr>
        <w:ind w:firstLine="632"/>
      </w:pPr>
      <w:r>
        <w:rPr>
          <w:rFonts w:hint="eastAsia"/>
        </w:rPr>
        <w:t>（10）其他必要的措施。</w:t>
      </w:r>
    </w:p>
    <w:p w14:paraId="73719401">
      <w:pPr>
        <w:pStyle w:val="4"/>
        <w:numPr>
          <w:ilvl w:val="2"/>
          <w:numId w:val="90"/>
        </w:numPr>
        <w:tabs>
          <w:tab w:val="left" w:pos="0"/>
        </w:tabs>
        <w:rPr>
          <w:rFonts w:ascii="仿宋_GB2312" w:hAnsi="仿宋_GB2312" w:eastAsia="仿宋_GB2312" w:cs="仿宋_GB2312"/>
        </w:rPr>
      </w:pPr>
      <w:r>
        <w:rPr>
          <w:rFonts w:hint="eastAsia" w:ascii="仿宋_GB2312" w:hAnsi="仿宋_GB2312" w:eastAsia="仿宋_GB2312" w:cs="仿宋_GB2312"/>
        </w:rPr>
        <w:t>Ⅱ级响应措施</w:t>
      </w:r>
    </w:p>
    <w:p w14:paraId="6E47BA73">
      <w:pPr>
        <w:ind w:firstLine="632"/>
      </w:pPr>
      <w:r>
        <w:rPr>
          <w:rFonts w:hint="eastAsia"/>
        </w:rPr>
        <w:t>（1）县政府发布启动Ⅱ级气象灾害应急响应命令，及时向市政府和县委报告气象灾害应急响应情况。</w:t>
      </w:r>
    </w:p>
    <w:p w14:paraId="6E56AE30">
      <w:pPr>
        <w:ind w:firstLine="632"/>
      </w:pPr>
      <w:r>
        <w:rPr>
          <w:rFonts w:hint="eastAsia"/>
        </w:rPr>
        <w:t>（2）县政府适时主持召开会议，综合听取相关单位工作汇报，安排部署气象灾害防范应对工作。</w:t>
      </w:r>
    </w:p>
    <w:p w14:paraId="1A1F1099">
      <w:pPr>
        <w:ind w:firstLine="632"/>
      </w:pPr>
      <w:r>
        <w:rPr>
          <w:rFonts w:hint="eastAsia"/>
        </w:rPr>
        <w:t>（3）县级应急指挥部适时启动介入，指挥人员全部就位，各气象灾害应急工作组对应成立，按职责分工做好应急处置工作。</w:t>
      </w:r>
    </w:p>
    <w:p w14:paraId="26465D56">
      <w:pPr>
        <w:ind w:firstLine="632"/>
      </w:pPr>
      <w:r>
        <w:rPr>
          <w:rFonts w:hint="eastAsia"/>
        </w:rPr>
        <w:t>（4）视情况成立前线指挥部，前置指挥人员和专家组人员。</w:t>
      </w:r>
    </w:p>
    <w:p w14:paraId="6BBD9708">
      <w:pPr>
        <w:ind w:firstLine="632"/>
      </w:pPr>
      <w:r>
        <w:rPr>
          <w:rFonts w:hint="eastAsia"/>
        </w:rPr>
        <w:t>（5）参与气象灾害应急工作的相关部门实行24小时值班和负责人带班，密切监视气象灾害发展态势，及时通报相关信息，按照职责和对应灾种应急响应策略落实防灾巡查、风险研判及防范等工作，对标启动气象次生、衍生灾害专项应急预案和部门专项应急预案，组织做好防范应对各项工作。</w:t>
      </w:r>
    </w:p>
    <w:p w14:paraId="24F93573">
      <w:pPr>
        <w:ind w:firstLine="632"/>
      </w:pPr>
      <w:r>
        <w:rPr>
          <w:rFonts w:hint="eastAsia"/>
        </w:rPr>
        <w:t>（6）全县或部分区域进入应急状态，相关乡镇区域启动响应气象灾害应急预案，按属地原则落实具体防范应对策略，一线处置防范控制事态发展。</w:t>
      </w:r>
    </w:p>
    <w:p w14:paraId="1FC7B026">
      <w:pPr>
        <w:ind w:firstLine="632"/>
      </w:pPr>
      <w:r>
        <w:rPr>
          <w:rFonts w:hint="eastAsia"/>
        </w:rPr>
        <w:t>（7）严格信息综合收集、处理、传递、发布和应用管理，应急相关信息加密报送频次，重大突发事件和重大事项信息第一时间直报。</w:t>
      </w:r>
    </w:p>
    <w:p w14:paraId="7EA50B93">
      <w:pPr>
        <w:ind w:firstLine="632"/>
      </w:pPr>
      <w:r>
        <w:rPr>
          <w:rFonts w:hint="eastAsia"/>
        </w:rPr>
        <w:t>（8）县政府结合受灾地区乡镇政府请求，调动县域内应急资源参与应急行动，必要时协调申请市内及其他县区应急资源。</w:t>
      </w:r>
    </w:p>
    <w:p w14:paraId="039AC6A9">
      <w:pPr>
        <w:ind w:firstLine="632"/>
      </w:pPr>
      <w:r>
        <w:rPr>
          <w:rFonts w:hint="eastAsia"/>
        </w:rPr>
        <w:t>（9）其他必要的措施。</w:t>
      </w:r>
    </w:p>
    <w:p w14:paraId="70A3D630">
      <w:pPr>
        <w:pStyle w:val="4"/>
        <w:numPr>
          <w:ilvl w:val="2"/>
          <w:numId w:val="90"/>
        </w:numPr>
        <w:tabs>
          <w:tab w:val="left" w:pos="0"/>
        </w:tabs>
        <w:rPr>
          <w:rFonts w:ascii="仿宋_GB2312" w:hAnsi="仿宋_GB2312" w:eastAsia="仿宋_GB2312" w:cs="仿宋_GB2312"/>
        </w:rPr>
      </w:pPr>
      <w:r>
        <w:rPr>
          <w:rFonts w:hint="eastAsia" w:ascii="仿宋_GB2312" w:hAnsi="仿宋_GB2312" w:eastAsia="仿宋_GB2312" w:cs="仿宋_GB2312"/>
        </w:rPr>
        <w:t>Ⅰ级响应措施</w:t>
      </w:r>
    </w:p>
    <w:p w14:paraId="26D150B5">
      <w:pPr>
        <w:ind w:firstLine="632"/>
      </w:pPr>
      <w:r>
        <w:rPr>
          <w:rFonts w:hint="eastAsia"/>
        </w:rPr>
        <w:t>（1）县委县政府发布启动Ⅰ级气象灾害应急响应命令，及时向市委市政府报告气象灾害应急响应情况。</w:t>
      </w:r>
    </w:p>
    <w:p w14:paraId="6B4D856A">
      <w:pPr>
        <w:ind w:firstLine="632"/>
      </w:pPr>
      <w:r>
        <w:rPr>
          <w:rFonts w:hint="eastAsia"/>
        </w:rPr>
        <w:t>（2）县委县政府适时主持召开会议，综合听取相关单位工作汇报，安排部署气象灾害防范应对工作。</w:t>
      </w:r>
    </w:p>
    <w:p w14:paraId="5487E22E">
      <w:pPr>
        <w:ind w:firstLine="632"/>
      </w:pPr>
      <w:r>
        <w:rPr>
          <w:rFonts w:hint="eastAsia"/>
        </w:rPr>
        <w:t>（3）县级应急指挥部介入指挥，指挥人员全部就位，各气象灾害应急工作组按职责分工做好应急处置工作。</w:t>
      </w:r>
    </w:p>
    <w:p w14:paraId="009AE8A0">
      <w:pPr>
        <w:ind w:firstLine="632"/>
      </w:pPr>
      <w:r>
        <w:rPr>
          <w:rFonts w:hint="eastAsia"/>
        </w:rPr>
        <w:t>（4）成立前线指挥部，指挥人员和专家组人员前置参与地方应急行动。</w:t>
      </w:r>
    </w:p>
    <w:p w14:paraId="3EACE682">
      <w:pPr>
        <w:ind w:firstLine="632"/>
      </w:pPr>
      <w:r>
        <w:rPr>
          <w:rFonts w:hint="eastAsia"/>
        </w:rPr>
        <w:t>（5）参与气象灾害应急工作的相关部门全员动员，严格实行24小时值班和负责人带班，密切监视气象灾害发展态势，及时通报相关信息，按照职责和对应灾种应急响应策略落实防灾巡查、风险研判及防范等工作，对标启动气象次生、衍生灾害专项应急预案和部门专项应急预案，组织做好防范应对各项工作。</w:t>
      </w:r>
    </w:p>
    <w:p w14:paraId="555D1378">
      <w:pPr>
        <w:ind w:firstLine="632"/>
      </w:pPr>
      <w:r>
        <w:rPr>
          <w:rFonts w:hint="eastAsia"/>
        </w:rPr>
        <w:t>（6）全县进入应急状态，相关乡镇区域启动响应气象灾害应急预案，按属地原则落实具体防范应对策略，一线处置防范控制事态发展。</w:t>
      </w:r>
    </w:p>
    <w:p w14:paraId="0046AC07">
      <w:pPr>
        <w:ind w:firstLine="632"/>
      </w:pPr>
      <w:r>
        <w:rPr>
          <w:rFonts w:hint="eastAsia"/>
        </w:rPr>
        <w:t>（7）严格信息综合收集、处理、传递、发布和应用管理，应急相关信息加密报送频次，重大突发事件和重大事项信息第一时间直报。</w:t>
      </w:r>
    </w:p>
    <w:p w14:paraId="171172B2">
      <w:pPr>
        <w:ind w:firstLine="632"/>
      </w:pPr>
      <w:r>
        <w:rPr>
          <w:rFonts w:hint="eastAsia"/>
        </w:rPr>
        <w:t>（8）县委县政府结合受灾地区乡镇政府请求，调动县内应急资源参与应急行动，请求市级力量支持。</w:t>
      </w:r>
    </w:p>
    <w:p w14:paraId="3A515331">
      <w:pPr>
        <w:ind w:firstLine="632"/>
      </w:pPr>
      <w:r>
        <w:rPr>
          <w:rFonts w:hint="eastAsia"/>
        </w:rPr>
        <w:t>（9）其他必要的措施。</w:t>
      </w:r>
    </w:p>
    <w:p w14:paraId="3CFB601B">
      <w:pPr>
        <w:pStyle w:val="3"/>
      </w:pPr>
      <w:bookmarkStart w:id="365" w:name="_Toc743"/>
      <w:r>
        <w:rPr>
          <w:rFonts w:hint="eastAsia"/>
        </w:rPr>
        <w:t>分部门应急响应策略</w:t>
      </w:r>
      <w:bookmarkEnd w:id="365"/>
    </w:p>
    <w:p w14:paraId="59EDC019">
      <w:pPr>
        <w:ind w:firstLine="632"/>
      </w:pPr>
      <w:r>
        <w:rPr>
          <w:rFonts w:hint="eastAsia"/>
        </w:rPr>
        <w:t>当气象灾害造成群体性人员伤亡或可能导致突发公共卫生事件时，由卫生健康部门启动《集贤县突发事件医疗卫生救援应急预案》。当气象灾害造成地质灾害时，由自然资源部门启动《集贤县地质灾害应急预案》。当气象灾害造成突发环境事件时，由生态环境部门启动相关应急预案。当气象灾害引发水旱灾害时，由防汛抗旱指挥部启动《集贤县防汛应急预案》和《集贤县干旱灾害应急预案》。当气象灾害引发城市洪涝时，由住建部门启动相关应急预案。当气象灾害引发农作物发生大面积病虫害时，由农业农村部门启动《集贤县农作物生物灾害应急预案》。当气象灾害引发森林草原火灾时，由市森林草原防灭火指挥部启动《集贤县森林草原防火应急预案》。当气象灾害引发生产安全事故时，由应急管理部门启动《集贤县安全生产事故应急预案》。当气象灾害造成煤、电、油、气、运保障工作出现重大突发问题时，由发改部门启动煤、电、油、气、运保障工作部门协调机制。当气象灾害造成严重损失，需进行紧急生活救助时，应急管理部门启动《集贤县自然灾害救助应急保障预案》。</w:t>
      </w:r>
    </w:p>
    <w:p w14:paraId="2D601BE8">
      <w:pPr>
        <w:ind w:firstLine="632"/>
      </w:pPr>
      <w:r>
        <w:rPr>
          <w:rFonts w:hint="eastAsia"/>
        </w:rPr>
        <w:t>公安、应急管理、工信、交通运输、铁路、电力等有关部门按照相关预案，做好气象灾害应急防御和保障工作。宣传、外事、教育、科技、文化旅游等部门做好相关行业领域协调、配合工作。消防救援队伍及民兵预备役、地方群众抢险队伍等，要协助县政府做好抢险救援工作。应急管理、发改、军民融合、国资、财政、住建、商务、农业农村、水利、自然资源、银保监等部门按职责分工组织对受灾工矿商贸、水利和农业毁损情况进行调查、核实，按照分级负担原则落实扶持资金和物资，指导保险公司做好保险理赔和给付，帮助灾区恢复生产和经营。</w:t>
      </w:r>
    </w:p>
    <w:p w14:paraId="711D6853">
      <w:pPr>
        <w:ind w:firstLine="632"/>
      </w:pPr>
      <w:r>
        <w:rPr>
          <w:rFonts w:hint="eastAsia"/>
        </w:rPr>
        <w:t>气象部门进入应急响应状态，加强天气监测、组织专题会商，根据灾害性天气发生发展情况随时更新预报预警信息并及时通报相关单位，依据各乡镇、各部门的需求，提供专门气象应急保障服务及相关气象信息报送。</w:t>
      </w:r>
    </w:p>
    <w:p w14:paraId="5C891E86">
      <w:pPr>
        <w:pStyle w:val="3"/>
      </w:pPr>
      <w:bookmarkStart w:id="366" w:name="_Toc17846"/>
      <w:r>
        <w:rPr>
          <w:rFonts w:hint="eastAsia"/>
        </w:rPr>
        <w:t>分灾种响应策略</w:t>
      </w:r>
      <w:bookmarkEnd w:id="366"/>
    </w:p>
    <w:p w14:paraId="3B0E2605">
      <w:pPr>
        <w:pStyle w:val="4"/>
        <w:numPr>
          <w:ilvl w:val="2"/>
          <w:numId w:val="90"/>
        </w:numPr>
        <w:tabs>
          <w:tab w:val="left" w:pos="0"/>
        </w:tabs>
        <w:rPr>
          <w:rFonts w:ascii="仿宋_GB2312" w:hAnsi="仿宋_GB2312" w:eastAsia="仿宋_GB2312" w:cs="仿宋_GB2312"/>
        </w:rPr>
      </w:pPr>
      <w:r>
        <w:rPr>
          <w:rFonts w:hint="eastAsia" w:ascii="仿宋_GB2312" w:hAnsi="仿宋_GB2312" w:eastAsia="仿宋_GB2312" w:cs="仿宋_GB2312"/>
        </w:rPr>
        <w:t>暴雨</w:t>
      </w:r>
    </w:p>
    <w:p w14:paraId="6A002559">
      <w:pPr>
        <w:pStyle w:val="5"/>
        <w:numPr>
          <w:ilvl w:val="3"/>
          <w:numId w:val="90"/>
        </w:numPr>
      </w:pPr>
      <w:r>
        <w:rPr>
          <w:rFonts w:hint="eastAsia"/>
        </w:rPr>
        <w:t>暴雨灾害情景</w:t>
      </w:r>
    </w:p>
    <w:p w14:paraId="0295FAA0">
      <w:pPr>
        <w:ind w:firstLine="632"/>
      </w:pPr>
      <w:r>
        <w:rPr>
          <w:rFonts w:hint="eastAsia"/>
        </w:rPr>
        <w:t>基础设施：电力、通信等设施设备或传输线路、管道损毁造成电力、通信等传输中断；地下车库、下沉式通道等被水淹浸，造成车辆损失，威胁生命安全。</w:t>
      </w:r>
    </w:p>
    <w:p w14:paraId="1E66A754">
      <w:pPr>
        <w:ind w:firstLine="632"/>
      </w:pPr>
      <w:r>
        <w:rPr>
          <w:rFonts w:hint="eastAsia"/>
        </w:rPr>
        <w:t>交通：城市道路、公路、铁路等交通受阻，大量乘客滞留，应急救灾物资运输受阻。</w:t>
      </w:r>
    </w:p>
    <w:p w14:paraId="4A7DDA77">
      <w:pPr>
        <w:ind w:firstLine="632"/>
      </w:pPr>
      <w:r>
        <w:rPr>
          <w:rFonts w:hint="eastAsia"/>
        </w:rPr>
        <w:t>洪涝地质灾害：强降水可能造成河流洪水、城乡内涝、山洪暴发，引发泥石流、山体滑坡等地质灾害。</w:t>
      </w:r>
    </w:p>
    <w:p w14:paraId="4EC4815F">
      <w:pPr>
        <w:ind w:firstLine="632"/>
      </w:pPr>
      <w:r>
        <w:rPr>
          <w:rFonts w:hint="eastAsia"/>
        </w:rPr>
        <w:t>生产安全：企业厂房、围墙倒塌，发电厂、变电站、塔吊、龙门吊及其他大型设备等损毁可能引发生产安全事故及次生、衍生灾害。</w:t>
      </w:r>
    </w:p>
    <w:p w14:paraId="35B23617">
      <w:pPr>
        <w:ind w:firstLine="632"/>
      </w:pPr>
      <w:r>
        <w:rPr>
          <w:rFonts w:hint="eastAsia"/>
        </w:rPr>
        <w:t>农林业：农作物倒伏减产甚至绝收，养殖业遭受损失。</w:t>
      </w:r>
    </w:p>
    <w:p w14:paraId="09BE8924">
      <w:pPr>
        <w:ind w:firstLine="632"/>
      </w:pPr>
      <w:r>
        <w:rPr>
          <w:rFonts w:hint="eastAsia"/>
        </w:rPr>
        <w:t>教育：在校或路途师生安全受到威胁；学校停课，可能影响重要考试。</w:t>
      </w:r>
    </w:p>
    <w:p w14:paraId="2699A8C2">
      <w:pPr>
        <w:ind w:firstLine="632"/>
      </w:pPr>
      <w:r>
        <w:rPr>
          <w:rFonts w:hint="eastAsia"/>
        </w:rPr>
        <w:t>旅游：旅游景观、游乐设施损毁，旅游景区人员安全受到威胁，造成游客滞留。</w:t>
      </w:r>
    </w:p>
    <w:p w14:paraId="61ED4EC1">
      <w:pPr>
        <w:pStyle w:val="5"/>
        <w:numPr>
          <w:ilvl w:val="3"/>
          <w:numId w:val="90"/>
        </w:numPr>
      </w:pPr>
      <w:r>
        <w:rPr>
          <w:rFonts w:hint="eastAsia"/>
        </w:rPr>
        <w:t>暴雨灾害应对防范任务分解</w:t>
      </w:r>
    </w:p>
    <w:p w14:paraId="1D0A1ED1">
      <w:pPr>
        <w:ind w:firstLine="632"/>
      </w:pPr>
      <w:r>
        <w:rPr>
          <w:rFonts w:hint="eastAsia"/>
        </w:rPr>
        <w:t>电力：国网集贤供电公司、发电企业、电力用户等按照职责分工加强电力设施检查和电网运营监控，及时排除危险、排查故障。</w:t>
      </w:r>
    </w:p>
    <w:p w14:paraId="1D247251">
      <w:pPr>
        <w:ind w:firstLine="632"/>
      </w:pPr>
      <w:r>
        <w:rPr>
          <w:rFonts w:hint="eastAsia"/>
        </w:rPr>
        <w:t>通信：各电信运营企业为应急处置提供应急通信保障。</w:t>
      </w:r>
    </w:p>
    <w:p w14:paraId="2FE11C90">
      <w:pPr>
        <w:ind w:firstLine="632"/>
      </w:pPr>
      <w:r>
        <w:rPr>
          <w:rFonts w:hint="eastAsia"/>
        </w:rPr>
        <w:t>交通：公安部门负责道路交通管制、疏导，协助维护交通秩序，引导应急救援车辆通行。交通运输部门负责协调地面交通运力疏散乘客，保障交通干线和抢险救灾重要线路的畅通，危险路段设立醒目的警示标志，会同公安部门规划应急交通管制线路，组织、指挥、协调抢修因灾害损坏的公路交通设施。铁路部门负责疏导、运输火车站滞留旅客，保障应急救灾物资交通运输。</w:t>
      </w:r>
    </w:p>
    <w:p w14:paraId="0584C506">
      <w:pPr>
        <w:ind w:firstLine="632"/>
      </w:pPr>
      <w:r>
        <w:rPr>
          <w:rFonts w:hint="eastAsia"/>
        </w:rPr>
        <w:t>洪涝地质灾害：应急管理部门负责跟踪研判汛情发展情况，对标相关应急行动规则和行动程序，协调及时启动洪涝、地质灾害应急响应。水务部门负责因气象因素可能引发山洪灾害的预测，与气象部门联合发布山洪灾害气象风险预警；组织水利工程防洪安全检查；组织开展水利工程调度运行、监测和维护管理工作，指导各地做好因灾损毁水利工程和农村饮水工程的恢复重建。自然资源部门负责地质灾害的监测预警和工程防治等工作；排查地质灾害隐患和险情，开展群测群防，组织落实防范措施；协调解决地质灾害应急处置用地；做好突发地质灾害应急调查与处置工作的技术支撑服务。</w:t>
      </w:r>
    </w:p>
    <w:p w14:paraId="13B66C9E">
      <w:pPr>
        <w:ind w:firstLine="632"/>
      </w:pPr>
      <w:r>
        <w:rPr>
          <w:rFonts w:hint="eastAsia"/>
        </w:rPr>
        <w:t>生产安全：各行业主管部门根据暴雨预警信号级别，提醒用人单位和劳动者做好特殊天气的劳动与安全保护。应急管理部门督促、指导行业主管部门加强建筑施工工地、塔吊、龙门吊、生产厂房、职工宿舍、临建设施、仓库等建筑和重点部位，以及危险化学品仓库、油库、气库、石化等易燃易爆危险品生产设施或装置的安全隐患排查工作。住建、执法部门采取措施，做好排水防涝，巡查、加固城市公共服务设施，督促有关单位加固门窗、围板、棚架、临时建筑物等，指导、督促企业开展气象灾害防范应对工作。武警部队、消防救援队伍和民兵预备役人员进入紧急抢险救援状态，对灾害现场实施救援。</w:t>
      </w:r>
    </w:p>
    <w:p w14:paraId="44D667D8">
      <w:pPr>
        <w:ind w:firstLine="632"/>
      </w:pPr>
      <w:r>
        <w:rPr>
          <w:rFonts w:hint="eastAsia"/>
        </w:rPr>
        <w:t>农林业：农业农村、林草和畜牧兽医部门科学调度机具及人力，指导农户、果农、林农、养殖专业户或有关单位采取有效防灾措施，研判开展农业、林业病虫害和疫病防治工作指导及评估，减少灾害损失。</w:t>
      </w:r>
    </w:p>
    <w:p w14:paraId="64297F6E">
      <w:pPr>
        <w:ind w:firstLine="632"/>
      </w:pPr>
      <w:r>
        <w:rPr>
          <w:rFonts w:hint="eastAsia"/>
        </w:rPr>
        <w:t>教育：教育部门根据暴雨预警信号级别，组织督促托幼机构、学校停课或做好停课准备工作。</w:t>
      </w:r>
    </w:p>
    <w:p w14:paraId="12764E3D">
      <w:pPr>
        <w:ind w:firstLine="632"/>
      </w:pPr>
      <w:r>
        <w:rPr>
          <w:rFonts w:hint="eastAsia"/>
        </w:rPr>
        <w:t>旅游：文旅部门指导各旅行社科学安排路线，督导灾区旅游景点、游乐设施关停。</w:t>
      </w:r>
    </w:p>
    <w:p w14:paraId="03E4AE69">
      <w:pPr>
        <w:ind w:firstLine="632"/>
      </w:pPr>
      <w:r>
        <w:rPr>
          <w:rFonts w:hint="eastAsia"/>
        </w:rPr>
        <w:t>临时转移安置：公安部门负责维护临时安置点秩序，做好消防、交通导引等工作。应急管理部门组织指导灾情核查和上报、损失评估、救灾捐赠工作，管理、分配救灾款物并监督使用，做好物资储备，综合协调抢险、受灾群众转移安置和应急救援；会同有关方面组织协调紧急转移安置受灾群众、因灾毁损房屋恢复重建补助和受灾群众生活救助。民政部门开放救助管理机构等避难场所，做好对特殊人群的救助。粮食和物资储备部门做好灾区基本生活所需的粮油的储运、调配等保障工作。</w:t>
      </w:r>
    </w:p>
    <w:p w14:paraId="2DEFA725">
      <w:pPr>
        <w:pStyle w:val="4"/>
        <w:numPr>
          <w:ilvl w:val="2"/>
          <w:numId w:val="90"/>
        </w:numPr>
        <w:tabs>
          <w:tab w:val="left" w:pos="0"/>
        </w:tabs>
        <w:rPr>
          <w:rFonts w:ascii="仿宋_GB2312" w:hAnsi="仿宋_GB2312" w:eastAsia="仿宋_GB2312" w:cs="仿宋_GB2312"/>
        </w:rPr>
      </w:pPr>
      <w:r>
        <w:rPr>
          <w:rFonts w:hint="eastAsia" w:ascii="仿宋_GB2312" w:hAnsi="仿宋_GB2312" w:eastAsia="仿宋_GB2312" w:cs="仿宋_GB2312"/>
        </w:rPr>
        <w:t>暴雪</w:t>
      </w:r>
    </w:p>
    <w:p w14:paraId="182F4C49">
      <w:pPr>
        <w:pStyle w:val="5"/>
        <w:numPr>
          <w:ilvl w:val="3"/>
          <w:numId w:val="90"/>
        </w:numPr>
      </w:pPr>
      <w:r>
        <w:rPr>
          <w:rFonts w:hint="eastAsia"/>
        </w:rPr>
        <w:t>暴雪灾害情景</w:t>
      </w:r>
    </w:p>
    <w:p w14:paraId="12A7D130">
      <w:pPr>
        <w:ind w:firstLine="632"/>
      </w:pPr>
      <w:r>
        <w:rPr>
          <w:rFonts w:hint="eastAsia"/>
        </w:rPr>
        <w:t>基础设施：电力、通信等设施设备或传输线路、管道损毁造成电力、通信等传输中断。</w:t>
      </w:r>
    </w:p>
    <w:p w14:paraId="5980B606">
      <w:pPr>
        <w:ind w:firstLine="632"/>
      </w:pPr>
      <w:r>
        <w:rPr>
          <w:rFonts w:hint="eastAsia"/>
        </w:rPr>
        <w:t>交通：城市道路、公路、铁路等交通受阻，大量乘客滞留，应急救灾物资运输受阻。</w:t>
      </w:r>
    </w:p>
    <w:p w14:paraId="04A8B37E">
      <w:pPr>
        <w:ind w:firstLine="632"/>
      </w:pPr>
      <w:r>
        <w:rPr>
          <w:rFonts w:hint="eastAsia"/>
        </w:rPr>
        <w:t>生产安全：危房、企业厂房倒塌，发电厂、变电站、塔吊、龙门吊及其他大型设备等损毁可能引发生产安全事故及次生、衍生灾害，可能造成人员伤亡事故。</w:t>
      </w:r>
    </w:p>
    <w:p w14:paraId="4CBCB0F4">
      <w:pPr>
        <w:ind w:firstLine="632"/>
      </w:pPr>
      <w:r>
        <w:rPr>
          <w:rFonts w:hint="eastAsia"/>
        </w:rPr>
        <w:t>农林业：设施农业受损，导致减产甚至绝收；养殖业因低温或饲料供给不足受灾减产。</w:t>
      </w:r>
    </w:p>
    <w:p w14:paraId="16440D23">
      <w:pPr>
        <w:ind w:firstLine="632"/>
      </w:pPr>
      <w:r>
        <w:rPr>
          <w:rFonts w:hint="eastAsia"/>
        </w:rPr>
        <w:t>教育：在校或路途师生安全受到威胁；学校停课，可能影响重要考试。</w:t>
      </w:r>
    </w:p>
    <w:p w14:paraId="6F4A4DCB">
      <w:pPr>
        <w:ind w:firstLine="632"/>
      </w:pPr>
      <w:r>
        <w:rPr>
          <w:rFonts w:hint="eastAsia"/>
        </w:rPr>
        <w:t>旅游：旅游景观、旅游设施损毁，旅游景区人员安全受到威胁，造成游客滞留。</w:t>
      </w:r>
    </w:p>
    <w:p w14:paraId="7707C8C7">
      <w:pPr>
        <w:pStyle w:val="5"/>
        <w:numPr>
          <w:ilvl w:val="3"/>
          <w:numId w:val="90"/>
        </w:numPr>
      </w:pPr>
      <w:r>
        <w:rPr>
          <w:rFonts w:hint="eastAsia"/>
        </w:rPr>
        <w:t>暴雪灾害防范应对任务分解</w:t>
      </w:r>
    </w:p>
    <w:p w14:paraId="56F7D3B9">
      <w:pPr>
        <w:ind w:firstLine="632"/>
      </w:pPr>
      <w:r>
        <w:rPr>
          <w:rFonts w:hint="eastAsia"/>
        </w:rPr>
        <w:t>电力：国网集贤供电公司、发电企业、电力用户等按照职责分工做好电力调度及相关应急措施落实，加强电力设施巡查、维护，及时排查消除隐患和故障；做好电力设施设备覆冰应急处置工作。</w:t>
      </w:r>
    </w:p>
    <w:p w14:paraId="5221F2A9">
      <w:pPr>
        <w:ind w:firstLine="632"/>
      </w:pPr>
      <w:r>
        <w:rPr>
          <w:rFonts w:hint="eastAsia"/>
        </w:rPr>
        <w:t>通信：各电信运营企业为应急处置提供应急通信保障。</w:t>
      </w:r>
    </w:p>
    <w:p w14:paraId="27DD0F28">
      <w:pPr>
        <w:ind w:firstLine="632"/>
      </w:pPr>
      <w:r>
        <w:rPr>
          <w:rFonts w:hint="eastAsia"/>
        </w:rPr>
        <w:t>交通：公安部门启动恶劣天气交通应急指挥机制，加强交通秩序维护，指挥、疏导行驶车辆；必要时，关闭易发生交通事故的结冰路段。交通运输部门在危险路段设立醒目的警示标志，提示车辆防冻、积雪路段减速慢行，会同交警部门规划应急交通管制线路，根据积雪情况，及时组织力量或采取措施做好道路除雪保通工作。住建部门及时组织力量对降雪造成的城区干道下垂、折落树枝进行修剪清理，保障道路行车安全。</w:t>
      </w:r>
    </w:p>
    <w:p w14:paraId="5F42174B">
      <w:pPr>
        <w:ind w:firstLine="632"/>
      </w:pPr>
      <w:r>
        <w:rPr>
          <w:rFonts w:hint="eastAsia"/>
        </w:rPr>
        <w:t>生产安全：各行业主管部门、各工业园区（集中区）管委会根据暴雪预警信号级别，提醒用人单位和劳动者做好特殊天气的劳动与安全保护。应急管理部门督促、指导行业主管部门加强建筑施工工地、塔吊、龙门吊、生产厂房、职工宿舍、临建设施、仓库等建筑和重点部位，以及危险化学品仓库、油库、气库、石化等易燃易爆危险品生产设施或装置的安全隐患排查工作。住建、执法部门采取措施，巡查、加固城市公共服务设施，督促企业开展气象灾害应急管理工作；加强危房检查，协助有关部门及时动员或组织撤离可能因雪压倒塌的房屋内的人员。武警部队、消防救援队伍和民兵预备役人员进入紧急抢险救援状态，对灾害现场实施救援。</w:t>
      </w:r>
    </w:p>
    <w:p w14:paraId="5D53A472">
      <w:pPr>
        <w:ind w:firstLine="632"/>
      </w:pPr>
      <w:r>
        <w:rPr>
          <w:rFonts w:hint="eastAsia"/>
        </w:rPr>
        <w:t>农林业：农业农村、林草和畜牧兽医部门组织对农作物、林果业、畜牧业和水产养殖业采取必要的防御措施，减少灾害损失。</w:t>
      </w:r>
    </w:p>
    <w:p w14:paraId="3B3D266B">
      <w:pPr>
        <w:ind w:firstLine="632"/>
      </w:pPr>
      <w:r>
        <w:rPr>
          <w:rFonts w:hint="eastAsia"/>
        </w:rPr>
        <w:t>教育：教育部门根据暴雪预警信号级别，组织督促托幼机构、学校停课或做好停课准备工作。</w:t>
      </w:r>
    </w:p>
    <w:p w14:paraId="54958693">
      <w:pPr>
        <w:ind w:firstLine="632"/>
      </w:pPr>
      <w:r>
        <w:rPr>
          <w:rFonts w:hint="eastAsia"/>
        </w:rPr>
        <w:t>旅游：文旅部门指导各旅行社科学安排路线，督导灾区旅游景点关停。</w:t>
      </w:r>
    </w:p>
    <w:p w14:paraId="470E102B">
      <w:pPr>
        <w:ind w:firstLine="632"/>
      </w:pPr>
      <w:r>
        <w:rPr>
          <w:rFonts w:hint="eastAsia"/>
        </w:rPr>
        <w:t>临时安置：公安部门负责维持临时安置点秩序，做好消防、交通导引等工作。应急管理部门组织指导灾情核查和上报、损失评估、救灾捐赠工作，管理、分配救灾款物并监督使用，做好物资储备，会同有关方面组织协调紧急转移安置受灾群众、因灾毁损房屋恢复重建补助和受灾群众生活救助。民政部门开放救助管理机构等避寒场所，做好对特殊人群的救助。粮食和物资储备部门做好灾区基本生活所需的粮油的储运、调配等保障工作。</w:t>
      </w:r>
    </w:p>
    <w:p w14:paraId="64F83D6D">
      <w:pPr>
        <w:pStyle w:val="4"/>
        <w:numPr>
          <w:ilvl w:val="2"/>
          <w:numId w:val="90"/>
        </w:numPr>
        <w:tabs>
          <w:tab w:val="left" w:pos="0"/>
        </w:tabs>
        <w:rPr>
          <w:rFonts w:ascii="仿宋_GB2312" w:hAnsi="仿宋_GB2312" w:eastAsia="仿宋_GB2312" w:cs="仿宋_GB2312"/>
        </w:rPr>
      </w:pPr>
      <w:r>
        <w:rPr>
          <w:rFonts w:hint="eastAsia" w:ascii="仿宋_GB2312" w:hAnsi="仿宋_GB2312" w:eastAsia="仿宋_GB2312" w:cs="仿宋_GB2312"/>
        </w:rPr>
        <w:t>干旱</w:t>
      </w:r>
    </w:p>
    <w:p w14:paraId="3AF7AF4E">
      <w:pPr>
        <w:pStyle w:val="5"/>
        <w:numPr>
          <w:ilvl w:val="3"/>
          <w:numId w:val="90"/>
        </w:numPr>
      </w:pPr>
      <w:r>
        <w:rPr>
          <w:rFonts w:hint="eastAsia"/>
        </w:rPr>
        <w:t>干旱灾害情景</w:t>
      </w:r>
    </w:p>
    <w:p w14:paraId="6B9DF80E">
      <w:pPr>
        <w:ind w:firstLine="632"/>
      </w:pPr>
      <w:r>
        <w:rPr>
          <w:rFonts w:hint="eastAsia"/>
        </w:rPr>
        <w:t>供水：水资源严重不足，影响城乡供水。</w:t>
      </w:r>
    </w:p>
    <w:p w14:paraId="32C389DC">
      <w:pPr>
        <w:ind w:firstLine="632"/>
      </w:pPr>
      <w:r>
        <w:rPr>
          <w:rFonts w:hint="eastAsia"/>
        </w:rPr>
        <w:t>农林业：河流、水库、井窖等缺水，甚至干枯。农作物、林木等因缺水长势差，甚至干枯绝收。林地、草地植被退化，引发森林草原火灾、牲畜和渔业损失等。</w:t>
      </w:r>
    </w:p>
    <w:p w14:paraId="5B44D9FB">
      <w:pPr>
        <w:ind w:firstLine="632"/>
      </w:pPr>
      <w:r>
        <w:rPr>
          <w:rFonts w:hint="eastAsia"/>
        </w:rPr>
        <w:t>卫生健康：因旱灾导致的食品和饮用水卫生安全问题引发公共卫生事件。</w:t>
      </w:r>
    </w:p>
    <w:p w14:paraId="0C417964">
      <w:pPr>
        <w:pStyle w:val="5"/>
        <w:numPr>
          <w:ilvl w:val="3"/>
          <w:numId w:val="90"/>
        </w:numPr>
      </w:pPr>
      <w:r>
        <w:rPr>
          <w:rFonts w:hint="eastAsia"/>
        </w:rPr>
        <w:t>干旱灾害防范应对任务分解</w:t>
      </w:r>
    </w:p>
    <w:p w14:paraId="10B70F80">
      <w:pPr>
        <w:ind w:firstLine="632"/>
      </w:pPr>
      <w:r>
        <w:rPr>
          <w:rFonts w:hint="eastAsia"/>
        </w:rPr>
        <w:t>供水：应急管理部门跟踪研判旱情发展情况，对标相关应急行动规则和行动程序，协调及时启动抗旱应急响应。水务部门按照“先生活、后生产”原则，确保群众生活用水安全，利用集中式供水点，及时拉水送水，保障应急供水；综合研判用水形势，科学调度各水利工程，采取综合措施做好蓄水、补水、调水、引水。气象部门加强监测，适时组织人工影响天气作业，减轻干旱影响。</w:t>
      </w:r>
    </w:p>
    <w:p w14:paraId="1B62502B">
      <w:pPr>
        <w:ind w:firstLine="632"/>
      </w:pPr>
      <w:r>
        <w:rPr>
          <w:rFonts w:hint="eastAsia"/>
        </w:rPr>
        <w:t>农林业：农业农村部门指导抓好田间管理、病虫害防控，及时开展改种补种，做好饲草供应。畜牧兽医部门组织监督动物防疫检疫，并扑灭动物疫情；指导水产健康养殖，组织水生动植物病害防控。林草部门加强监控，做好森林火灾预防和扑救准备工作。气象部门综合应用卫星遥感、地面监测等手段做好土壤墒情监测分析和旱情发展气象条件影响评估。</w:t>
      </w:r>
    </w:p>
    <w:p w14:paraId="660029C4">
      <w:pPr>
        <w:ind w:firstLine="632"/>
      </w:pPr>
      <w:r>
        <w:rPr>
          <w:rFonts w:hint="eastAsia"/>
        </w:rPr>
        <w:t>临时救助：应急管理部门会同有关方面组织协调紧急转移安置受灾群众和生活救助；民政部门对旱情导致基本生活陷入困境的农户，经灾后应急救助后基本生活仍有严重困难的，及时给予社会救助。</w:t>
      </w:r>
    </w:p>
    <w:p w14:paraId="35CC0DEC">
      <w:pPr>
        <w:ind w:firstLine="632"/>
      </w:pPr>
      <w:r>
        <w:rPr>
          <w:rFonts w:hint="eastAsia"/>
        </w:rPr>
        <w:t>卫生健康：卫健部门会同有关单位采取措施，防范和应对旱灾导致的食品和饮用水卫生安全问题所引发的突发公共卫生事件。</w:t>
      </w:r>
    </w:p>
    <w:p w14:paraId="5D9D8DAD">
      <w:pPr>
        <w:pStyle w:val="4"/>
        <w:numPr>
          <w:ilvl w:val="2"/>
          <w:numId w:val="90"/>
        </w:numPr>
        <w:tabs>
          <w:tab w:val="left" w:pos="0"/>
        </w:tabs>
        <w:rPr>
          <w:rFonts w:ascii="仿宋_GB2312" w:hAnsi="仿宋_GB2312" w:eastAsia="仿宋_GB2312" w:cs="仿宋_GB2312"/>
        </w:rPr>
      </w:pPr>
      <w:r>
        <w:rPr>
          <w:rFonts w:hint="eastAsia" w:ascii="仿宋_GB2312" w:hAnsi="仿宋_GB2312" w:eastAsia="仿宋_GB2312" w:cs="仿宋_GB2312"/>
        </w:rPr>
        <w:t>寒潮</w:t>
      </w:r>
    </w:p>
    <w:p w14:paraId="12411C81">
      <w:pPr>
        <w:pStyle w:val="5"/>
        <w:numPr>
          <w:ilvl w:val="3"/>
          <w:numId w:val="90"/>
        </w:numPr>
      </w:pPr>
      <w:r>
        <w:rPr>
          <w:rFonts w:hint="eastAsia"/>
        </w:rPr>
        <w:t>寒潮灾害情景</w:t>
      </w:r>
    </w:p>
    <w:p w14:paraId="4059D682">
      <w:pPr>
        <w:ind w:firstLine="632"/>
      </w:pPr>
      <w:r>
        <w:rPr>
          <w:rFonts w:hint="eastAsia"/>
        </w:rPr>
        <w:t>能源：天然气、电力设施设备及传输线路、管线因低温损坏，电煤供应紧张，造成电网垮塌，甚至引发大面积停电事件。持续低温，导致企业、居民用电、用气压力剧增。</w:t>
      </w:r>
    </w:p>
    <w:p w14:paraId="355EDC7D">
      <w:pPr>
        <w:ind w:firstLine="632"/>
      </w:pPr>
      <w:r>
        <w:rPr>
          <w:rFonts w:hint="eastAsia"/>
        </w:rPr>
        <w:t>市政：供水、供暖管道爆裂。</w:t>
      </w:r>
    </w:p>
    <w:p w14:paraId="0D9AC669">
      <w:pPr>
        <w:ind w:firstLine="632"/>
      </w:pPr>
      <w:r>
        <w:rPr>
          <w:rFonts w:hint="eastAsia"/>
        </w:rPr>
        <w:t>通信：通信设施设备及传输线路因低温损坏，重要通信枢纽供电中断。</w:t>
      </w:r>
    </w:p>
    <w:p w14:paraId="3D8A9F24">
      <w:pPr>
        <w:ind w:firstLine="632"/>
      </w:pPr>
      <w:r>
        <w:rPr>
          <w:rFonts w:hint="eastAsia"/>
        </w:rPr>
        <w:t>农林业：设施农业、林木、水果和苗木被冻死；家禽、牲畜及水产品被冻死或患病。</w:t>
      </w:r>
    </w:p>
    <w:p w14:paraId="5C707782">
      <w:pPr>
        <w:ind w:firstLine="632"/>
      </w:pPr>
      <w:r>
        <w:rPr>
          <w:rFonts w:hint="eastAsia"/>
        </w:rPr>
        <w:t>水利：剧烈降温可能导致主干河流流凌、封河，水库土壤层出现凸起和塌陷，危及水库、堤坝安全。</w:t>
      </w:r>
    </w:p>
    <w:p w14:paraId="53423BA2">
      <w:pPr>
        <w:ind w:firstLine="632"/>
      </w:pPr>
      <w:r>
        <w:rPr>
          <w:rFonts w:hint="eastAsia"/>
        </w:rPr>
        <w:t>卫生健康：因燃气使用不当导致一氧化碳中毒的风险增加，寒潮引发天气显著变化时医院就诊量增加。</w:t>
      </w:r>
    </w:p>
    <w:p w14:paraId="2B1459E7">
      <w:pPr>
        <w:pStyle w:val="5"/>
        <w:numPr>
          <w:ilvl w:val="3"/>
          <w:numId w:val="90"/>
        </w:numPr>
      </w:pPr>
      <w:r>
        <w:rPr>
          <w:rFonts w:hint="eastAsia"/>
        </w:rPr>
        <w:t>寒潮灾害防范应对任务分解</w:t>
      </w:r>
    </w:p>
    <w:p w14:paraId="6D064149">
      <w:pPr>
        <w:ind w:firstLine="632"/>
      </w:pPr>
      <w:r>
        <w:rPr>
          <w:rFonts w:hint="eastAsia"/>
        </w:rPr>
        <w:t>电力：国网集贤供电公司、发电企业、电力用户等按照职责分工加强电力设施检查和电网运营监控，及时排除危险、排查故障。</w:t>
      </w:r>
    </w:p>
    <w:p w14:paraId="1CDF873B">
      <w:pPr>
        <w:ind w:firstLine="632"/>
      </w:pPr>
      <w:r>
        <w:rPr>
          <w:rFonts w:hint="eastAsia"/>
        </w:rPr>
        <w:t>市政：加强巡查并及时组织抢修供水、供暖爆裂管道。</w:t>
      </w:r>
    </w:p>
    <w:p w14:paraId="2629228E">
      <w:pPr>
        <w:ind w:firstLine="632"/>
      </w:pPr>
      <w:r>
        <w:rPr>
          <w:rFonts w:hint="eastAsia"/>
        </w:rPr>
        <w:t>通信：各电信运营企业为应急处置提供应急通信保障。</w:t>
      </w:r>
    </w:p>
    <w:p w14:paraId="4F042128">
      <w:pPr>
        <w:ind w:firstLine="632"/>
      </w:pPr>
      <w:r>
        <w:rPr>
          <w:rFonts w:hint="eastAsia"/>
        </w:rPr>
        <w:t>农林业：农业农村、林草和畜牧兽医部门按职责指导果农、菜农、林农及养殖户采取防寒和防风措施，做好牲畜、家禽、苗木和水生动物的防寒保暖工作。住建、林草、文旅等部门组织实施国有树木、花卉等防寒措施。</w:t>
      </w:r>
    </w:p>
    <w:p w14:paraId="386D3DEB">
      <w:pPr>
        <w:ind w:firstLine="632"/>
      </w:pPr>
      <w:r>
        <w:rPr>
          <w:rFonts w:hint="eastAsia"/>
        </w:rPr>
        <w:t>水利：水务部门开展水利工程险情排查，水利工程调度，协助开展险情应急处置。</w:t>
      </w:r>
    </w:p>
    <w:p w14:paraId="6016D2B0">
      <w:pPr>
        <w:ind w:firstLine="632"/>
      </w:pPr>
      <w:r>
        <w:rPr>
          <w:rFonts w:hint="eastAsia"/>
        </w:rPr>
        <w:t>卫生健康：卫健部门组织做好极端情况应对和医疗救治工作。</w:t>
      </w:r>
    </w:p>
    <w:p w14:paraId="13B4A002">
      <w:pPr>
        <w:ind w:firstLine="632"/>
      </w:pPr>
      <w:r>
        <w:rPr>
          <w:rFonts w:hint="eastAsia"/>
        </w:rPr>
        <w:t>临时安置：应急管理部门组织指导灾情核查和上报、损失评估、救灾捐赠工作，管理、分配救灾款物并监督使用；组织协调重要物资的储备、调拨和紧急配送。民政部门开放救助管理机构等避寒场所，做好对特殊人群的救助。</w:t>
      </w:r>
    </w:p>
    <w:p w14:paraId="7703922B">
      <w:pPr>
        <w:pStyle w:val="4"/>
        <w:numPr>
          <w:ilvl w:val="2"/>
          <w:numId w:val="90"/>
        </w:numPr>
        <w:tabs>
          <w:tab w:val="left" w:pos="0"/>
        </w:tabs>
        <w:rPr>
          <w:rFonts w:ascii="仿宋_GB2312" w:hAnsi="仿宋_GB2312" w:eastAsia="仿宋_GB2312" w:cs="仿宋_GB2312"/>
        </w:rPr>
      </w:pPr>
      <w:r>
        <w:rPr>
          <w:rFonts w:hint="eastAsia" w:ascii="仿宋_GB2312" w:hAnsi="仿宋_GB2312" w:eastAsia="仿宋_GB2312" w:cs="仿宋_GB2312"/>
        </w:rPr>
        <w:t>霜冻</w:t>
      </w:r>
    </w:p>
    <w:p w14:paraId="62F73071">
      <w:pPr>
        <w:pStyle w:val="5"/>
        <w:numPr>
          <w:ilvl w:val="3"/>
          <w:numId w:val="90"/>
        </w:numPr>
      </w:pPr>
      <w:r>
        <w:rPr>
          <w:rFonts w:hint="eastAsia"/>
        </w:rPr>
        <w:t>霜冻灾害情景</w:t>
      </w:r>
    </w:p>
    <w:p w14:paraId="19020244">
      <w:pPr>
        <w:ind w:firstLine="632"/>
      </w:pPr>
      <w:r>
        <w:rPr>
          <w:rFonts w:hint="eastAsia"/>
        </w:rPr>
        <w:t>经济林果：春季晚霜冻会影响苹果、核桃、杏、桃、李子等特色经济林果开花、降低坐果率。</w:t>
      </w:r>
    </w:p>
    <w:p w14:paraId="5F3AC688">
      <w:pPr>
        <w:ind w:firstLine="632"/>
      </w:pPr>
      <w:r>
        <w:rPr>
          <w:rFonts w:hint="eastAsia"/>
        </w:rPr>
        <w:t>粮食和蔬菜作物：春季晚霜冻会影响玉米和蔬菜苗期生长。</w:t>
      </w:r>
    </w:p>
    <w:p w14:paraId="663CBEC2">
      <w:pPr>
        <w:ind w:firstLine="632"/>
      </w:pPr>
      <w:r>
        <w:rPr>
          <w:rFonts w:hint="eastAsia"/>
        </w:rPr>
        <w:t>设施农业：霜冻会影响设施农业作物苗期生长。</w:t>
      </w:r>
    </w:p>
    <w:p w14:paraId="52DC41C9">
      <w:pPr>
        <w:pStyle w:val="5"/>
        <w:numPr>
          <w:ilvl w:val="3"/>
          <w:numId w:val="90"/>
        </w:numPr>
      </w:pPr>
      <w:r>
        <w:rPr>
          <w:rFonts w:hint="eastAsia"/>
        </w:rPr>
        <w:t>霜冻灾害防范应对任务分解</w:t>
      </w:r>
    </w:p>
    <w:p w14:paraId="11080E59">
      <w:pPr>
        <w:ind w:firstLine="632"/>
      </w:pPr>
      <w:r>
        <w:rPr>
          <w:rFonts w:hint="eastAsia"/>
        </w:rPr>
        <w:t>经济林果：林草部门指导经济林果种植基地、企业、果农、林农提前做好防霜物资准备，注意收听（看）气象部门发布的霜冻预警信息，及时采取有效防御措施。对于辐射型霜冻，主要采用熏烟、灌水等方式防御；对于平流型和混合型霜冻，主要采用加热、灌水、覆盖等方式防御；在霜冻过后，通过喷施营养液、植物生长调节剂等促进霜后恢复。</w:t>
      </w:r>
    </w:p>
    <w:p w14:paraId="3B2DCCA6">
      <w:pPr>
        <w:ind w:firstLine="632"/>
      </w:pPr>
      <w:r>
        <w:rPr>
          <w:rFonts w:hint="eastAsia"/>
        </w:rPr>
        <w:t>粮食和蔬菜作物：农业农村部门及时关注评估霜冻影响，指导粮农、菜农提前采取灌水、熏烟等措施防御霜冻灾害。在霜冻过后，如受损较重，应及时组织喷施营养液、植物生长调节剂等促进霜后恢复。</w:t>
      </w:r>
    </w:p>
    <w:p w14:paraId="52796A00">
      <w:pPr>
        <w:ind w:firstLine="632"/>
      </w:pPr>
      <w:r>
        <w:rPr>
          <w:rFonts w:hint="eastAsia"/>
        </w:rPr>
        <w:t>设施农业：农业农村部门及时关注评估霜冻影响，指导种植养殖大户、基地、农户提前采取措施防御霜冻灾害。</w:t>
      </w:r>
    </w:p>
    <w:p w14:paraId="79C0399F">
      <w:pPr>
        <w:pStyle w:val="4"/>
        <w:numPr>
          <w:ilvl w:val="2"/>
          <w:numId w:val="90"/>
        </w:numPr>
        <w:tabs>
          <w:tab w:val="left" w:pos="0"/>
        </w:tabs>
        <w:rPr>
          <w:rFonts w:ascii="仿宋_GB2312" w:hAnsi="仿宋_GB2312" w:eastAsia="仿宋_GB2312" w:cs="仿宋_GB2312"/>
        </w:rPr>
      </w:pPr>
      <w:r>
        <w:rPr>
          <w:rFonts w:hint="eastAsia" w:ascii="仿宋_GB2312" w:hAnsi="仿宋_GB2312" w:eastAsia="仿宋_GB2312" w:cs="仿宋_GB2312"/>
        </w:rPr>
        <w:t>大风</w:t>
      </w:r>
    </w:p>
    <w:p w14:paraId="149C4B90">
      <w:pPr>
        <w:pStyle w:val="5"/>
        <w:numPr>
          <w:ilvl w:val="3"/>
          <w:numId w:val="90"/>
        </w:numPr>
      </w:pPr>
      <w:r>
        <w:rPr>
          <w:rFonts w:hint="eastAsia"/>
        </w:rPr>
        <w:t>大风灾害情景</w:t>
      </w:r>
    </w:p>
    <w:p w14:paraId="1F2EC0A6">
      <w:pPr>
        <w:ind w:firstLine="632"/>
      </w:pPr>
      <w:r>
        <w:rPr>
          <w:rFonts w:hint="eastAsia"/>
        </w:rPr>
        <w:t>基础设施：电力、通信设施设备及传输线路因大风损坏。</w:t>
      </w:r>
    </w:p>
    <w:p w14:paraId="408BCD8B">
      <w:pPr>
        <w:ind w:firstLine="632"/>
      </w:pPr>
      <w:r>
        <w:rPr>
          <w:rFonts w:hint="eastAsia"/>
        </w:rPr>
        <w:t>农林业：设施农业、林木和养殖业因风受损。森林、草原发生火灾风险增大。</w:t>
      </w:r>
    </w:p>
    <w:p w14:paraId="79C0605E">
      <w:pPr>
        <w:ind w:firstLine="632"/>
      </w:pPr>
      <w:r>
        <w:rPr>
          <w:rFonts w:hint="eastAsia"/>
        </w:rPr>
        <w:t>交通：大风导致交通设施受损，水上船舶安全受影响，甚至引发安全事故。</w:t>
      </w:r>
    </w:p>
    <w:p w14:paraId="42FA7CC5">
      <w:pPr>
        <w:ind w:firstLine="632"/>
      </w:pPr>
      <w:r>
        <w:rPr>
          <w:rFonts w:hint="eastAsia"/>
        </w:rPr>
        <w:t>教育：在校或路途师生安全受到威胁。</w:t>
      </w:r>
    </w:p>
    <w:p w14:paraId="3CC95B48">
      <w:pPr>
        <w:ind w:firstLine="632"/>
      </w:pPr>
      <w:r>
        <w:rPr>
          <w:rFonts w:hint="eastAsia"/>
        </w:rPr>
        <w:t>生产安全：危房、企业厂房倒塌，发电厂、变电站、塔吊、龙门吊及其他大型设备等损毁可能引发生产安全事故及次生、衍生灾害，可能造成人员伤亡事故。</w:t>
      </w:r>
    </w:p>
    <w:p w14:paraId="509D9EF2">
      <w:pPr>
        <w:pStyle w:val="5"/>
        <w:numPr>
          <w:ilvl w:val="3"/>
          <w:numId w:val="90"/>
        </w:numPr>
      </w:pPr>
      <w:r>
        <w:rPr>
          <w:rFonts w:hint="eastAsia"/>
        </w:rPr>
        <w:t>大风灾害防范应对任务分解</w:t>
      </w:r>
    </w:p>
    <w:p w14:paraId="6D51C1B5">
      <w:pPr>
        <w:ind w:firstLine="632"/>
      </w:pPr>
      <w:r>
        <w:rPr>
          <w:rFonts w:hint="eastAsia"/>
        </w:rPr>
        <w:t>电力、通信：国网集贤供电公司、通信部门、发电企业、电力用户等按照职责分工加强电力设施检查和电网运营监控，加强对架空的电力和通信线路的监控，及时排除危险，排查故障，确保安全。</w:t>
      </w:r>
    </w:p>
    <w:p w14:paraId="191AC141">
      <w:pPr>
        <w:ind w:firstLine="632"/>
      </w:pPr>
      <w:r>
        <w:rPr>
          <w:rFonts w:hint="eastAsia"/>
        </w:rPr>
        <w:t>生产安全：应急管理部门督促、指导行业主管部门加强建筑施工工地、塔吊、龙门吊、生产厂房、职工宿舍、临建设施、仓库等建筑和重点部位的安全隐患排查工作。住建、执法部门采取措施，巡查、加固城市公共服务设施，督促有关单位加固门窗、围板、棚架、临时建筑物等，必要时可强行拆除存在安全隐患的露天广告牌等设施；通知高空户外作业单位做好防风工作，必要时采取停止作业措施，保障安全。尽量避免或停止露天集体活动；居民委员会、村镇、小区、物业等部门及时通知居民妥善安置易受大风影响的室外物品。</w:t>
      </w:r>
    </w:p>
    <w:p w14:paraId="61033131">
      <w:pPr>
        <w:ind w:firstLine="632"/>
      </w:pPr>
      <w:r>
        <w:rPr>
          <w:rFonts w:hint="eastAsia"/>
        </w:rPr>
        <w:t>交通：公安、交通运输、铁路部门采取应急措施，保障交通运输安全；督促指导水库、河流码头加固有关设施，加强水上交通、游船安全监管，督促所有水上船舶科学防风、避风，督促运营单位暂停运营，妥善安置滞留旅客。</w:t>
      </w:r>
    </w:p>
    <w:p w14:paraId="738CBEE6">
      <w:pPr>
        <w:ind w:firstLine="632"/>
      </w:pPr>
      <w:r>
        <w:rPr>
          <w:rFonts w:hint="eastAsia"/>
        </w:rPr>
        <w:t>农林业：农业农村、林草和畜牧兽医部门组织做好农牧业、林业和养殖业大风灾害防御，指导生产单位和农户、养殖户采取防风防寒措施，减轻灾害损失。加强森林草原火险监测。</w:t>
      </w:r>
    </w:p>
    <w:p w14:paraId="73BAC918">
      <w:pPr>
        <w:ind w:firstLine="632"/>
      </w:pPr>
      <w:r>
        <w:rPr>
          <w:rFonts w:hint="eastAsia"/>
        </w:rPr>
        <w:t>教育：教育部门加强督促指导，学校、幼儿园根据气象灾害预警信号级别采取停止户外活动、停课、推迟上学或放学等措施，避免在突发大风时段上学放学。</w:t>
      </w:r>
    </w:p>
    <w:p w14:paraId="0A159DD0">
      <w:pPr>
        <w:pStyle w:val="4"/>
        <w:numPr>
          <w:ilvl w:val="2"/>
          <w:numId w:val="90"/>
        </w:numPr>
        <w:tabs>
          <w:tab w:val="left" w:pos="0"/>
        </w:tabs>
        <w:rPr>
          <w:rFonts w:ascii="仿宋_GB2312" w:hAnsi="仿宋_GB2312" w:eastAsia="仿宋_GB2312" w:cs="仿宋_GB2312"/>
        </w:rPr>
      </w:pPr>
      <w:r>
        <w:rPr>
          <w:rFonts w:hint="eastAsia" w:ascii="仿宋_GB2312" w:hAnsi="仿宋_GB2312" w:eastAsia="仿宋_GB2312" w:cs="仿宋_GB2312"/>
        </w:rPr>
        <w:t>高温</w:t>
      </w:r>
    </w:p>
    <w:p w14:paraId="5827FBCD">
      <w:pPr>
        <w:pStyle w:val="5"/>
        <w:numPr>
          <w:ilvl w:val="3"/>
          <w:numId w:val="90"/>
        </w:numPr>
      </w:pPr>
      <w:r>
        <w:rPr>
          <w:rFonts w:hint="eastAsia"/>
        </w:rPr>
        <w:t>高温灾害情景</w:t>
      </w:r>
    </w:p>
    <w:p w14:paraId="35DBD915">
      <w:pPr>
        <w:ind w:firstLine="632"/>
      </w:pPr>
      <w:r>
        <w:rPr>
          <w:rFonts w:hint="eastAsia"/>
        </w:rPr>
        <w:t>供电：电网负荷增大，供电紧张，可能引发区域性停电事件或电器火灾事故。</w:t>
      </w:r>
    </w:p>
    <w:p w14:paraId="692EBB72">
      <w:pPr>
        <w:ind w:firstLine="632"/>
      </w:pPr>
      <w:r>
        <w:rPr>
          <w:rFonts w:hint="eastAsia"/>
        </w:rPr>
        <w:t>卫生健康：户外、露天工作者、年老体弱者健康受到威胁，热射病、中暑、心脏病、高血压、痢疾等患者增加。</w:t>
      </w:r>
    </w:p>
    <w:p w14:paraId="38BE32D2">
      <w:pPr>
        <w:ind w:firstLine="632"/>
      </w:pPr>
      <w:r>
        <w:rPr>
          <w:rFonts w:hint="eastAsia"/>
        </w:rPr>
        <w:t>交通：高温可能导致汽车驾驶员疲劳驾驶以及汽车爆胎、自燃等交通事故。</w:t>
      </w:r>
    </w:p>
    <w:p w14:paraId="08DC9301">
      <w:pPr>
        <w:ind w:firstLine="632"/>
      </w:pPr>
      <w:r>
        <w:rPr>
          <w:rFonts w:hint="eastAsia"/>
        </w:rPr>
        <w:t>生产安全：高温环境作业导致安全生产事故风险增加。易燃易爆危险品运输或存放不当可能引发安全生产事故。</w:t>
      </w:r>
    </w:p>
    <w:p w14:paraId="5B374DD5">
      <w:pPr>
        <w:ind w:firstLine="632"/>
      </w:pPr>
      <w:r>
        <w:rPr>
          <w:rFonts w:hint="eastAsia"/>
        </w:rPr>
        <w:t>农林业：影响农作物产量、林草生长、畜牧业以及水产养殖业。可能引发森林草原火灾。</w:t>
      </w:r>
    </w:p>
    <w:p w14:paraId="18AD15A9">
      <w:pPr>
        <w:ind w:firstLine="632"/>
      </w:pPr>
      <w:r>
        <w:rPr>
          <w:rFonts w:hint="eastAsia"/>
        </w:rPr>
        <w:t>生态环境：高温天气易加剧臭氧污染，对人体健康威胁增加。</w:t>
      </w:r>
    </w:p>
    <w:p w14:paraId="10C50F7E">
      <w:pPr>
        <w:pStyle w:val="5"/>
        <w:numPr>
          <w:ilvl w:val="3"/>
          <w:numId w:val="90"/>
        </w:numPr>
      </w:pPr>
      <w:r>
        <w:rPr>
          <w:rFonts w:hint="eastAsia"/>
        </w:rPr>
        <w:t>高温灾害防范应对任务分解</w:t>
      </w:r>
    </w:p>
    <w:p w14:paraId="6B6A4566">
      <w:pPr>
        <w:ind w:firstLine="632"/>
      </w:pPr>
      <w:r>
        <w:rPr>
          <w:rFonts w:hint="eastAsia"/>
        </w:rPr>
        <w:t>供电：国网集贤供电公司、发电企业、电力用户等要按照职责分工，注意高温期间的电力调配及相关措施落实，保证居民和重要电力用户用电，根据高温期间电力安全生产情况和电力供需情况，制定拉闸限电方案，必要时依据方案执行拉闸限电措施；加强电力设备巡查、养护，及时排查电力故障。</w:t>
      </w:r>
    </w:p>
    <w:p w14:paraId="5CB8EBAC">
      <w:pPr>
        <w:ind w:firstLine="632"/>
      </w:pPr>
      <w:r>
        <w:rPr>
          <w:rFonts w:hint="eastAsia"/>
        </w:rPr>
        <w:t>卫生健康：卫健部门采取积极应对措施，应对可能出现的高温中暑以及相关疾病。</w:t>
      </w:r>
    </w:p>
    <w:p w14:paraId="5D2892D5">
      <w:pPr>
        <w:ind w:firstLine="632"/>
      </w:pPr>
      <w:r>
        <w:rPr>
          <w:rFonts w:hint="eastAsia"/>
        </w:rPr>
        <w:t>交通：公安、交通运输部门做好交通安全管理，提醒车辆减速，防止因高温产生爆胎等事故。</w:t>
      </w:r>
    </w:p>
    <w:p w14:paraId="4F3B4A93">
      <w:pPr>
        <w:ind w:firstLine="632"/>
      </w:pPr>
      <w:r>
        <w:rPr>
          <w:rFonts w:hint="eastAsia"/>
        </w:rPr>
        <w:t>生产安全：应急管理部门督促、指导行业主管部门开展以易燃易爆、危险化学品、民用爆炸物品为重点的隐患排查工作，及时消除安全隐患。住建、水务等部门做好用水安排，协调上游水源和地下水开采，保证群众生活生产用水。建筑、户外施工单位做好户外和高温作业人员的防暑工作，必要时调整作息时间，或采取停止作业措施。</w:t>
      </w:r>
    </w:p>
    <w:p w14:paraId="088093B7">
      <w:pPr>
        <w:ind w:firstLine="632"/>
      </w:pPr>
      <w:r>
        <w:rPr>
          <w:rFonts w:hint="eastAsia"/>
        </w:rPr>
        <w:t>农林业：农业农村、林草和畜牧兽医部门指导紧急预防高温对农业、林草、畜牧、水产养殖业的影响。</w:t>
      </w:r>
    </w:p>
    <w:p w14:paraId="1CA89558">
      <w:pPr>
        <w:pStyle w:val="4"/>
        <w:numPr>
          <w:ilvl w:val="2"/>
          <w:numId w:val="90"/>
        </w:numPr>
        <w:tabs>
          <w:tab w:val="left" w:pos="0"/>
        </w:tabs>
        <w:rPr>
          <w:rFonts w:ascii="仿宋_GB2312" w:hAnsi="仿宋_GB2312" w:eastAsia="仿宋_GB2312" w:cs="仿宋_GB2312"/>
        </w:rPr>
      </w:pPr>
      <w:r>
        <w:rPr>
          <w:rFonts w:hint="eastAsia" w:ascii="仿宋_GB2312" w:hAnsi="仿宋_GB2312" w:eastAsia="仿宋_GB2312" w:cs="仿宋_GB2312"/>
        </w:rPr>
        <w:t>大雾</w:t>
      </w:r>
    </w:p>
    <w:p w14:paraId="1C07556A">
      <w:pPr>
        <w:pStyle w:val="5"/>
        <w:numPr>
          <w:ilvl w:val="3"/>
          <w:numId w:val="90"/>
        </w:numPr>
      </w:pPr>
      <w:r>
        <w:rPr>
          <w:rFonts w:hint="eastAsia"/>
        </w:rPr>
        <w:t>大雾灾害情景</w:t>
      </w:r>
    </w:p>
    <w:p w14:paraId="7DB42A1E">
      <w:pPr>
        <w:ind w:firstLine="632"/>
      </w:pPr>
      <w:r>
        <w:rPr>
          <w:rFonts w:hint="eastAsia"/>
        </w:rPr>
        <w:t>交通：能见度低可能引发道路、水上交通安全事故，大量乘客滞留；交通运输因大雾运行受阻，大量车辆、人员、货物无法通行，物流受阻。</w:t>
      </w:r>
    </w:p>
    <w:p w14:paraId="04142D92">
      <w:pPr>
        <w:ind w:firstLine="632"/>
      </w:pPr>
      <w:r>
        <w:rPr>
          <w:rFonts w:hint="eastAsia"/>
        </w:rPr>
        <w:t>供电：电网发生“污闪”故障。</w:t>
      </w:r>
    </w:p>
    <w:p w14:paraId="0EDC5EDD">
      <w:pPr>
        <w:ind w:firstLine="632"/>
      </w:pPr>
      <w:r>
        <w:rPr>
          <w:rFonts w:hint="eastAsia"/>
        </w:rPr>
        <w:t>卫生健康：易诱发呼吸系统疾病，医院就诊量增加。</w:t>
      </w:r>
    </w:p>
    <w:p w14:paraId="4E91665C">
      <w:pPr>
        <w:pStyle w:val="5"/>
        <w:numPr>
          <w:ilvl w:val="3"/>
          <w:numId w:val="90"/>
        </w:numPr>
      </w:pPr>
      <w:r>
        <w:rPr>
          <w:rFonts w:hint="eastAsia"/>
        </w:rPr>
        <w:t>大雾灾害防范应对任务分解</w:t>
      </w:r>
    </w:p>
    <w:p w14:paraId="7AEB2B15">
      <w:pPr>
        <w:ind w:firstLine="632"/>
      </w:pPr>
      <w:r>
        <w:rPr>
          <w:rFonts w:hint="eastAsia"/>
        </w:rPr>
        <w:t>交通：公安部门启动恶劣天气交通应急指挥机制，加强对车辆的指挥和疏导，维持道路交通秩序，必要时，对重点路段实行交通管制。交通运输部门做好公路安全监管，必要时督促运营单位暂停运营，妥善安置滞留旅客。采取应急措施，保证交通运输安全。</w:t>
      </w:r>
    </w:p>
    <w:p w14:paraId="345DE48A">
      <w:pPr>
        <w:ind w:firstLine="632"/>
      </w:pPr>
      <w:r>
        <w:rPr>
          <w:rFonts w:hint="eastAsia"/>
        </w:rPr>
        <w:t>供电：国网集贤供电公司、发电企业、电力用户等要按照职责分工，加强电网运营监控，采取措施尽量避免发生设备污闪故障，及时消除和减轻因设备污闪造成的影响，保障电力供应。</w:t>
      </w:r>
    </w:p>
    <w:p w14:paraId="43E2A308">
      <w:pPr>
        <w:ind w:firstLine="632"/>
      </w:pPr>
      <w:r>
        <w:rPr>
          <w:rFonts w:hint="eastAsia"/>
        </w:rPr>
        <w:t>卫生健康：卫健部门采取积极措施，及时应对可能出现的相关疾病，为滞留旅客提供临时医疗救助。</w:t>
      </w:r>
    </w:p>
    <w:p w14:paraId="1996EE1C">
      <w:pPr>
        <w:pStyle w:val="4"/>
        <w:numPr>
          <w:ilvl w:val="2"/>
          <w:numId w:val="90"/>
        </w:numPr>
        <w:tabs>
          <w:tab w:val="left" w:pos="0"/>
        </w:tabs>
        <w:rPr>
          <w:rFonts w:ascii="仿宋_GB2312" w:hAnsi="仿宋_GB2312" w:eastAsia="仿宋_GB2312" w:cs="仿宋_GB2312"/>
        </w:rPr>
      </w:pPr>
      <w:r>
        <w:rPr>
          <w:rFonts w:hint="eastAsia" w:ascii="仿宋_GB2312" w:hAnsi="仿宋_GB2312" w:eastAsia="仿宋_GB2312" w:cs="仿宋_GB2312"/>
        </w:rPr>
        <w:t>沙尘暴</w:t>
      </w:r>
    </w:p>
    <w:p w14:paraId="525A01C4">
      <w:pPr>
        <w:pStyle w:val="5"/>
        <w:numPr>
          <w:ilvl w:val="3"/>
          <w:numId w:val="90"/>
        </w:numPr>
      </w:pPr>
      <w:r>
        <w:rPr>
          <w:rFonts w:hint="eastAsia"/>
        </w:rPr>
        <w:t>沙尘暴灾害情景</w:t>
      </w:r>
    </w:p>
    <w:p w14:paraId="08D24569">
      <w:pPr>
        <w:ind w:firstLine="632"/>
      </w:pPr>
      <w:r>
        <w:rPr>
          <w:rFonts w:hint="eastAsia"/>
        </w:rPr>
        <w:t>基础设施：电力、通信设施设备及传输线路因大风、沙尘损坏。风力、光伏发电设备受损，发电效率降低。</w:t>
      </w:r>
    </w:p>
    <w:p w14:paraId="32D2D4D9">
      <w:pPr>
        <w:ind w:firstLine="632"/>
      </w:pPr>
      <w:r>
        <w:rPr>
          <w:rFonts w:hint="eastAsia"/>
        </w:rPr>
        <w:t>农林业：设施农业、林木和养殖业因大风受损。森林草原发生火灾风险增大。</w:t>
      </w:r>
    </w:p>
    <w:p w14:paraId="1E6DF7CE">
      <w:pPr>
        <w:ind w:firstLine="632"/>
      </w:pPr>
      <w:r>
        <w:rPr>
          <w:rFonts w:hint="eastAsia"/>
        </w:rPr>
        <w:t>交通：能见度降低、大风导致交通安全事故发生。</w:t>
      </w:r>
    </w:p>
    <w:p w14:paraId="5BEA79C0">
      <w:pPr>
        <w:ind w:firstLine="632"/>
      </w:pPr>
      <w:r>
        <w:rPr>
          <w:rFonts w:hint="eastAsia"/>
        </w:rPr>
        <w:t>教育：在校师生正常学习及往返学校安全受到威胁。</w:t>
      </w:r>
    </w:p>
    <w:p w14:paraId="2F84AF34">
      <w:pPr>
        <w:ind w:firstLine="632"/>
      </w:pPr>
      <w:r>
        <w:rPr>
          <w:rFonts w:hint="eastAsia"/>
        </w:rPr>
        <w:t>卫生健康：易诱发鼻炎、支气管炎或呼吸系统疾病，医院就诊量增加。</w:t>
      </w:r>
    </w:p>
    <w:p w14:paraId="605D01D6">
      <w:pPr>
        <w:ind w:firstLine="632"/>
      </w:pPr>
      <w:r>
        <w:rPr>
          <w:rFonts w:hint="eastAsia"/>
        </w:rPr>
        <w:t>生产安全：危房、企业厂房倒塌，发电厂、变电站、塔吊、龙门吊及其他大型设备等损毁可能引发生产安全事故及次生、衍生灾害，可能造成人员伤亡事故。</w:t>
      </w:r>
    </w:p>
    <w:p w14:paraId="63972B07">
      <w:pPr>
        <w:pStyle w:val="5"/>
        <w:numPr>
          <w:ilvl w:val="3"/>
          <w:numId w:val="90"/>
        </w:numPr>
      </w:pPr>
      <w:r>
        <w:rPr>
          <w:rFonts w:hint="eastAsia"/>
        </w:rPr>
        <w:t>沙尘暴灾害防范应对任务分解</w:t>
      </w:r>
    </w:p>
    <w:p w14:paraId="715987EA">
      <w:pPr>
        <w:ind w:firstLine="632"/>
      </w:pPr>
      <w:r>
        <w:rPr>
          <w:rFonts w:hint="eastAsia"/>
        </w:rPr>
        <w:t>基础设施：通信部门以及国网集贤供电公司、发电企业、电力用户等要按照职责分工，加强电力设施检查和电网运营监控，加强对架空的电力和通信线路的监控，及时排除危险，排查故障，确保安全。</w:t>
      </w:r>
    </w:p>
    <w:p w14:paraId="5B32003D">
      <w:pPr>
        <w:ind w:firstLine="632"/>
      </w:pPr>
      <w:r>
        <w:rPr>
          <w:rFonts w:hint="eastAsia"/>
        </w:rPr>
        <w:t>交通：公安、交通运输、铁路部门采取应急措施，根据沙尘暴对能见度的影响情况，发布警示预告，当能见度显著降低，影响交通安全时，规划应急交通管制线路，保障沙尘暴天气状况下的交通运输安全和人员安全。</w:t>
      </w:r>
    </w:p>
    <w:p w14:paraId="5FCFE304">
      <w:pPr>
        <w:ind w:firstLine="632"/>
      </w:pPr>
      <w:r>
        <w:rPr>
          <w:rFonts w:hint="eastAsia"/>
        </w:rPr>
        <w:t>生产安全：各行业主管部门、各工业园区（集中区）管委会根据沙尘暴预警信号级别，提醒用人单位和劳动者做好特殊天气的劳动与安全保护。应急管理部门督促、指导行业主管部门加强建筑施工工地、塔吊、龙门吊、生产厂房、职工宿舍、临建设施、仓库等建筑和重点部位的安全隐患排查工作。住建、执法部门采取措施，巡查、加固城市市政公共服务设施，督促有关单位加固门窗、围板、棚架、临时建筑物等，必要时可强行拆除存在安全隐患的城市露天广告牌等设施；通知建筑工地高空作业做好防风工作，必要时采取停止作业措施，保障安全。</w:t>
      </w:r>
    </w:p>
    <w:p w14:paraId="336581E0">
      <w:pPr>
        <w:ind w:firstLine="632"/>
      </w:pPr>
      <w:r>
        <w:rPr>
          <w:rFonts w:hint="eastAsia"/>
        </w:rPr>
        <w:t>教育：教育部门加强督促指导，学校、幼儿园根据气象灾害预警信号级别采取停止户外活动、停课、推迟上学或者放学等措施，直至沙尘暴天气结束。</w:t>
      </w:r>
    </w:p>
    <w:p w14:paraId="67213573">
      <w:pPr>
        <w:ind w:firstLine="632"/>
      </w:pPr>
      <w:r>
        <w:rPr>
          <w:rFonts w:hint="eastAsia"/>
        </w:rPr>
        <w:t>农林业：农业农村和林草部门指导做好农牧业、林业沙尘暴灾害防御，开展生产自救，帮助恢复生产；加强森林草原火险等级预报和森林草原火灾监测。畜牧兽医部门组织做好养殖业大风及沙尘灾害防御。</w:t>
      </w:r>
    </w:p>
    <w:p w14:paraId="78C9F024">
      <w:pPr>
        <w:ind w:firstLine="632"/>
      </w:pPr>
      <w:r>
        <w:rPr>
          <w:rFonts w:hint="eastAsia"/>
        </w:rPr>
        <w:t>生态环境：生态环境部门加强对沙尘暴发生时大气环境质量状况的监测，为灾害应急提供服务；相关部门对标落实重污染天气有关管控措施，督促企业落实各自的重污染天气应急预案任务。</w:t>
      </w:r>
    </w:p>
    <w:p w14:paraId="709B18DA">
      <w:pPr>
        <w:pStyle w:val="4"/>
        <w:numPr>
          <w:ilvl w:val="2"/>
          <w:numId w:val="90"/>
        </w:numPr>
        <w:tabs>
          <w:tab w:val="left" w:pos="0"/>
        </w:tabs>
        <w:rPr>
          <w:rFonts w:ascii="仿宋_GB2312" w:hAnsi="仿宋_GB2312" w:eastAsia="仿宋_GB2312" w:cs="仿宋_GB2312"/>
        </w:rPr>
      </w:pPr>
      <w:r>
        <w:rPr>
          <w:rFonts w:hint="eastAsia" w:ascii="仿宋_GB2312" w:hAnsi="仿宋_GB2312" w:eastAsia="仿宋_GB2312" w:cs="仿宋_GB2312"/>
        </w:rPr>
        <w:t>强对流天气</w:t>
      </w:r>
    </w:p>
    <w:p w14:paraId="6E3DFA2C">
      <w:pPr>
        <w:pStyle w:val="5"/>
        <w:numPr>
          <w:ilvl w:val="3"/>
          <w:numId w:val="90"/>
        </w:numPr>
      </w:pPr>
      <w:r>
        <w:rPr>
          <w:rFonts w:hint="eastAsia"/>
        </w:rPr>
        <w:t>强对流天气灾害情景</w:t>
      </w:r>
    </w:p>
    <w:p w14:paraId="170DEB14">
      <w:pPr>
        <w:ind w:firstLine="632"/>
      </w:pPr>
      <w:r>
        <w:rPr>
          <w:rFonts w:hint="eastAsia"/>
        </w:rPr>
        <w:t>基础设施：关键区域的电力、通信等设施设备或传输线路、管道损毁造成电力、通信等传输中断。</w:t>
      </w:r>
    </w:p>
    <w:p w14:paraId="63C4FF2F">
      <w:pPr>
        <w:ind w:firstLine="632"/>
      </w:pPr>
      <w:r>
        <w:rPr>
          <w:rFonts w:hint="eastAsia"/>
        </w:rPr>
        <w:t>交通：高峰繁忙时段道路交通受阻，公众上班上学延误；铁路因被风卷入轨道内的异物或滑坡受阻。</w:t>
      </w:r>
    </w:p>
    <w:p w14:paraId="046E5B86">
      <w:pPr>
        <w:ind w:firstLine="632"/>
      </w:pPr>
      <w:r>
        <w:rPr>
          <w:rFonts w:hint="eastAsia"/>
        </w:rPr>
        <w:t>生产安全：企业厂房、围墙倒塌，发电厂、变电站、塔吊、龙门吊及其他大型设备等损毁可能引发生产安全事故及次生、衍生灾害；大型广告牌、电线塔（杆）等被风吹倒，可能造成人员伤亡事故。</w:t>
      </w:r>
    </w:p>
    <w:p w14:paraId="41724C2B">
      <w:pPr>
        <w:ind w:firstLine="632"/>
      </w:pPr>
      <w:r>
        <w:rPr>
          <w:rFonts w:hint="eastAsia"/>
        </w:rPr>
        <w:t>农林业：农作物因强风、冰雹而受损减产甚至绝产，牲畜因强风、雷电、冰雹受损。</w:t>
      </w:r>
    </w:p>
    <w:p w14:paraId="20417932">
      <w:pPr>
        <w:ind w:firstLine="632"/>
      </w:pPr>
      <w:r>
        <w:rPr>
          <w:rFonts w:hint="eastAsia"/>
        </w:rPr>
        <w:t>旅游：旅游景观、旅游设施损毁，旅游景区人员安全受到威胁，造成游客滞留。</w:t>
      </w:r>
    </w:p>
    <w:p w14:paraId="184E9F8C">
      <w:pPr>
        <w:pStyle w:val="5"/>
        <w:numPr>
          <w:ilvl w:val="3"/>
          <w:numId w:val="90"/>
        </w:numPr>
      </w:pPr>
      <w:r>
        <w:rPr>
          <w:rFonts w:hint="eastAsia"/>
        </w:rPr>
        <w:t>强对流天气灾害防范应对任务分解</w:t>
      </w:r>
    </w:p>
    <w:p w14:paraId="7F48B36F">
      <w:pPr>
        <w:ind w:firstLine="632"/>
      </w:pPr>
      <w:r>
        <w:rPr>
          <w:rFonts w:hint="eastAsia"/>
        </w:rPr>
        <w:t>供电：国网集贤供电公司、发电企业、电力用户等按照职责分工加强电力设施检查和电网运营监控，及时排除危险、排查故障。</w:t>
      </w:r>
    </w:p>
    <w:p w14:paraId="15B99180">
      <w:pPr>
        <w:ind w:firstLine="632"/>
      </w:pPr>
      <w:r>
        <w:rPr>
          <w:rFonts w:hint="eastAsia"/>
        </w:rPr>
        <w:t>交通：公安、交通运输部门按各自职责分工强化道路的交通管控，加强下沉式通道的巡查，加强水上交通安全监管，科学及时避风。铁路部门强化车辆运行监控，科学及时避险。</w:t>
      </w:r>
    </w:p>
    <w:p w14:paraId="25679C5B">
      <w:pPr>
        <w:ind w:firstLine="632"/>
      </w:pPr>
      <w:r>
        <w:rPr>
          <w:rFonts w:hint="eastAsia"/>
        </w:rPr>
        <w:t>生产安全：应急管理、住建部门按照各自职责适时督促、指导企业开展塔吊、简易厂房、棚架、临时建筑物、易燃易爆、危险化学品、民用爆炸物品等隐患排查工作，及时消除安全隐患，及时开展人员转移，做好安全防护措施，提醒、督促施工单位必要时暂停户外作业。停止集体露天活动，居民委员会、村镇、小区、物业等部门提醒居民尽量减少户外活动和采取适当防护措施，减少使用电器。</w:t>
      </w:r>
    </w:p>
    <w:p w14:paraId="2A28D807">
      <w:pPr>
        <w:ind w:firstLine="632"/>
      </w:pPr>
      <w:r>
        <w:rPr>
          <w:rFonts w:hint="eastAsia"/>
        </w:rPr>
        <w:t>农林业：农业农村、林草和畜牧兽医部门指导农业、林业、畜牧业等生产企业做好雷电、大风、冰雹灾害防护，人员暂停户外作业、及时避险。</w:t>
      </w:r>
    </w:p>
    <w:p w14:paraId="28631ABC">
      <w:pPr>
        <w:ind w:firstLine="632"/>
      </w:pPr>
      <w:r>
        <w:rPr>
          <w:rFonts w:hint="eastAsia"/>
        </w:rPr>
        <w:t>教育：教育部门加强督促指导，学校、幼儿园根据气象灾害预警信号级别采取停止户外活动、停课、推迟上学或放学等措施，直至强对流天气结束。</w:t>
      </w:r>
    </w:p>
    <w:p w14:paraId="4E970B4D">
      <w:pPr>
        <w:ind w:firstLine="632"/>
      </w:pPr>
      <w:r>
        <w:rPr>
          <w:rFonts w:hint="eastAsia"/>
        </w:rPr>
        <w:t>旅游：文旅部门指导、督导A级旅游景区、旅游度假区等户外场所应当及时发出警示信息，适时关闭相关区域，停止营业，组织游客避险。</w:t>
      </w:r>
    </w:p>
    <w:p w14:paraId="6AF616B7">
      <w:pPr>
        <w:pStyle w:val="4"/>
        <w:numPr>
          <w:ilvl w:val="2"/>
          <w:numId w:val="90"/>
        </w:numPr>
        <w:tabs>
          <w:tab w:val="left" w:pos="0"/>
        </w:tabs>
        <w:rPr>
          <w:rFonts w:ascii="仿宋_GB2312" w:hAnsi="仿宋_GB2312" w:eastAsia="仿宋_GB2312" w:cs="仿宋_GB2312"/>
        </w:rPr>
      </w:pPr>
      <w:r>
        <w:rPr>
          <w:rFonts w:hint="eastAsia" w:ascii="仿宋_GB2312" w:hAnsi="仿宋_GB2312" w:eastAsia="仿宋_GB2312" w:cs="仿宋_GB2312"/>
        </w:rPr>
        <w:t>道路结冰</w:t>
      </w:r>
    </w:p>
    <w:p w14:paraId="2FFFD790">
      <w:pPr>
        <w:pStyle w:val="5"/>
        <w:numPr>
          <w:ilvl w:val="3"/>
          <w:numId w:val="90"/>
        </w:numPr>
      </w:pPr>
      <w:r>
        <w:rPr>
          <w:rFonts w:hint="eastAsia"/>
        </w:rPr>
        <w:t>道路结冰灾害情景</w:t>
      </w:r>
    </w:p>
    <w:p w14:paraId="3F0D8BD5">
      <w:pPr>
        <w:ind w:firstLine="632"/>
      </w:pPr>
      <w:r>
        <w:rPr>
          <w:rFonts w:hint="eastAsia"/>
        </w:rPr>
        <w:t>基础设施：电力、通信等设施设备或传输线路、管道因冰冻损坏造成电力、通信等传输中断。低温冰冻造成供水、供暖系统管道、设备冻裂，供水、供暖受阻。</w:t>
      </w:r>
    </w:p>
    <w:p w14:paraId="68E24FD0">
      <w:pPr>
        <w:ind w:firstLine="632"/>
      </w:pPr>
      <w:r>
        <w:rPr>
          <w:rFonts w:hint="eastAsia"/>
        </w:rPr>
        <w:t>交通：路面结冰导致道路交通受阻，易引发道路交通安全事故，铁路列车晚点或停运，应急救灾物资运输受阻。</w:t>
      </w:r>
    </w:p>
    <w:p w14:paraId="41A47D03">
      <w:pPr>
        <w:pStyle w:val="5"/>
        <w:numPr>
          <w:ilvl w:val="3"/>
          <w:numId w:val="90"/>
        </w:numPr>
      </w:pPr>
      <w:r>
        <w:rPr>
          <w:rFonts w:hint="eastAsia"/>
        </w:rPr>
        <w:t>道路结冰灾害防范应对任务分解</w:t>
      </w:r>
    </w:p>
    <w:p w14:paraId="10764687">
      <w:pPr>
        <w:ind w:firstLine="632"/>
      </w:pPr>
      <w:r>
        <w:rPr>
          <w:rFonts w:hint="eastAsia"/>
        </w:rPr>
        <w:t>电力：国网集贤供电公司、发电企业、电力用户、电力监管部门按照职责分工做好电力调度及相关应急措施落实，加强电力设施巡查、维护，及时排查消除隐患和故障；做好电力设施设备覆冰应急处置工作。</w:t>
      </w:r>
    </w:p>
    <w:p w14:paraId="25E7D321">
      <w:pPr>
        <w:ind w:firstLine="632"/>
      </w:pPr>
      <w:r>
        <w:rPr>
          <w:rFonts w:hint="eastAsia"/>
        </w:rPr>
        <w:t>通信：各电信运营企业为应急处置提供应急通信保障。</w:t>
      </w:r>
    </w:p>
    <w:p w14:paraId="1C844952">
      <w:pPr>
        <w:ind w:firstLine="632"/>
      </w:pPr>
      <w:r>
        <w:rPr>
          <w:rFonts w:hint="eastAsia"/>
        </w:rPr>
        <w:t>交通：公安部门启动恶劣天气交通应急指挥机制，加强交通秩序维护，注意指挥、疏导行驶车辆；必要时，关闭易发生交通事故的结冰路段。交通运输部门提醒做好车辆防冻措施，提醒高速公路、高架道路车辆减速；会同有关单位及时组织力量做好道路除冰工作。</w:t>
      </w:r>
    </w:p>
    <w:p w14:paraId="5D577214">
      <w:pPr>
        <w:ind w:firstLine="632"/>
      </w:pPr>
      <w:r>
        <w:rPr>
          <w:rFonts w:hint="eastAsia"/>
        </w:rPr>
        <w:t>市政：住建、水务等部门组织做好供水、供暖系统等防冻措施。</w:t>
      </w:r>
    </w:p>
    <w:p w14:paraId="4C05EAA6">
      <w:pPr>
        <w:ind w:firstLine="632"/>
      </w:pPr>
      <w:r>
        <w:rPr>
          <w:rFonts w:hint="eastAsia"/>
        </w:rPr>
        <w:t>教育：教育部门组织督促托幼机构、学校做好校车安全措施。</w:t>
      </w:r>
    </w:p>
    <w:p w14:paraId="577A15AE">
      <w:pPr>
        <w:ind w:firstLine="632"/>
      </w:pPr>
      <w:r>
        <w:rPr>
          <w:rFonts w:hint="eastAsia"/>
        </w:rPr>
        <w:t>临时安置：应急管理部门组织进行灾情核查评估及上报，及时调拨救灾物资，为受灾群众提供生活救助。</w:t>
      </w:r>
    </w:p>
    <w:p w14:paraId="2C84546D">
      <w:pPr>
        <w:pStyle w:val="3"/>
      </w:pPr>
      <w:bookmarkStart w:id="367" w:name="_Toc16006"/>
      <w:r>
        <w:rPr>
          <w:rFonts w:hint="eastAsia"/>
        </w:rPr>
        <w:t>现场处置</w:t>
      </w:r>
      <w:bookmarkEnd w:id="367"/>
    </w:p>
    <w:p w14:paraId="2C8A6F45">
      <w:pPr>
        <w:ind w:firstLine="632"/>
      </w:pPr>
      <w:r>
        <w:rPr>
          <w:rFonts w:hint="eastAsia"/>
        </w:rPr>
        <w:t>气象灾害现场应急处置由灾害发生地乡镇政府或相应应急指挥机构统一组织，各有关部门按照职责参与应急处置工作，包括组织营救、伤员救治、疏散撤离和妥善安置受到灾害威胁的人员，及时上报灾情和人员伤亡情况，分配救援任务，协调各级各类救援队伍，查明并及时组织力量消除次生灾害，组织抢修公共设施，接收与分配援助物资等。必要时，县气象灾害应急指挥部派出工作组赶赴事件现场，指导应急处置工作。</w:t>
      </w:r>
    </w:p>
    <w:p w14:paraId="099339B9">
      <w:pPr>
        <w:pStyle w:val="3"/>
      </w:pPr>
      <w:bookmarkStart w:id="368" w:name="_Toc2825"/>
      <w:r>
        <w:rPr>
          <w:rFonts w:hint="eastAsia"/>
        </w:rPr>
        <w:t>信息发布和报告</w:t>
      </w:r>
      <w:bookmarkEnd w:id="368"/>
    </w:p>
    <w:p w14:paraId="29C5563A">
      <w:pPr>
        <w:pStyle w:val="4"/>
        <w:numPr>
          <w:ilvl w:val="2"/>
          <w:numId w:val="90"/>
        </w:numPr>
        <w:tabs>
          <w:tab w:val="left" w:pos="0"/>
        </w:tabs>
        <w:rPr>
          <w:rFonts w:ascii="仿宋_GB2312" w:hAnsi="仿宋_GB2312" w:eastAsia="仿宋_GB2312" w:cs="仿宋_GB2312"/>
        </w:rPr>
      </w:pPr>
      <w:r>
        <w:rPr>
          <w:rFonts w:hint="eastAsia" w:ascii="仿宋_GB2312" w:hAnsi="仿宋_GB2312" w:eastAsia="仿宋_GB2312" w:cs="仿宋_GB2312"/>
        </w:rPr>
        <w:t>统一信息发布</w:t>
      </w:r>
    </w:p>
    <w:p w14:paraId="389D3BB3">
      <w:pPr>
        <w:ind w:firstLine="632"/>
      </w:pPr>
      <w:r>
        <w:rPr>
          <w:rFonts w:hint="eastAsia"/>
        </w:rPr>
        <w:t>按照分级响应原则，事发地乡镇政府、气象灾害应急指挥机构分别负责相应级别应急处置的信息发布工作。要统一信息发布口径，必要时，报相关地方各级人民政府批准。未经县气象灾害应急指挥部批准，参与气象灾害应急处置工作的任何单位和个人不得擅自对外发布伤亡人数、责任追究等有关气象灾害处置工作的情况，任何单位和个人不得编造、传播有关气象灾害事态发展或者应急处置的虚假信息。</w:t>
      </w:r>
    </w:p>
    <w:p w14:paraId="109B932B">
      <w:pPr>
        <w:ind w:firstLine="632"/>
      </w:pPr>
      <w:r>
        <w:rPr>
          <w:rFonts w:hint="eastAsia"/>
        </w:rPr>
        <w:t>加强信息发布和舆论引导，及时向社会发布气象灾害相关信息和应对工作情况。必要时，组织召开新闻发布会，统一向社会公众发布相关信息。加强舆情收集分析，及时回应社会关切，澄清不实信息，正确引导社会舆论，稳定公众情绪。</w:t>
      </w:r>
    </w:p>
    <w:p w14:paraId="5825A38B">
      <w:pPr>
        <w:pStyle w:val="4"/>
        <w:numPr>
          <w:ilvl w:val="2"/>
          <w:numId w:val="90"/>
        </w:numPr>
        <w:tabs>
          <w:tab w:val="left" w:pos="0"/>
        </w:tabs>
        <w:rPr>
          <w:rFonts w:ascii="仿宋_GB2312" w:hAnsi="仿宋_GB2312" w:eastAsia="仿宋_GB2312" w:cs="仿宋_GB2312"/>
        </w:rPr>
      </w:pPr>
      <w:r>
        <w:rPr>
          <w:rFonts w:hint="eastAsia" w:ascii="仿宋_GB2312" w:hAnsi="仿宋_GB2312" w:eastAsia="仿宋_GB2312" w:cs="仿宋_GB2312"/>
        </w:rPr>
        <w:t>网格化信息报送和传递</w:t>
      </w:r>
    </w:p>
    <w:p w14:paraId="20ED9312">
      <w:pPr>
        <w:ind w:firstLine="632"/>
      </w:pPr>
      <w:r>
        <w:rPr>
          <w:rFonts w:hint="eastAsia"/>
        </w:rPr>
        <w:t>发生气象灾害时，气象部门应立即向县政府及有关部门和单位通报气象实况和预报预警信息，并报告市气象局。各有关单位按照职责收集和提供气象灾害发生、发展、造成损失以及采取的应对措施等情况，及时向县政府及县气象灾害应急指挥部报告，并按行业部门有关规定逐级向上报告。特别重大、重大气象灾害信息可由县政府按照规定直接向国务院及其有关部门报告，同时报告市政府及其有关部门。</w:t>
      </w:r>
    </w:p>
    <w:p w14:paraId="4B42CA15">
      <w:pPr>
        <w:ind w:firstLine="632"/>
      </w:pPr>
      <w:r>
        <w:rPr>
          <w:rFonts w:hint="eastAsia"/>
        </w:rPr>
        <w:t>应急管理、公安、卫健、气象等有关部门应当推进安全风险网格化管理，统筹应急信息员、群测群防员、网格员、气象信息员等资源，做到突发事件第一时间报告、防范应对信息第一时间传递，为科学及时高效应对突发事件提供信息保障。</w:t>
      </w:r>
    </w:p>
    <w:p w14:paraId="2E9A1798">
      <w:pPr>
        <w:ind w:firstLine="632"/>
      </w:pPr>
      <w:r>
        <w:rPr>
          <w:rFonts w:hint="eastAsia"/>
        </w:rPr>
        <w:t>乡镇人民政府要切实落实好基层信息接收和传递工作，督促学校、医院、社区、工矿企业、建筑工地、监狱等落实专人负责信息接收传递工作，重点健全向基层社区传递机制，加强农村偏远地区信息接收终端建设。</w:t>
      </w:r>
    </w:p>
    <w:p w14:paraId="15923772">
      <w:pPr>
        <w:pStyle w:val="3"/>
      </w:pPr>
      <w:bookmarkStart w:id="369" w:name="_Toc20632"/>
      <w:r>
        <w:rPr>
          <w:rFonts w:hint="eastAsia"/>
        </w:rPr>
        <w:t>社会动员</w:t>
      </w:r>
      <w:bookmarkEnd w:id="369"/>
    </w:p>
    <w:p w14:paraId="12B80A18">
      <w:pPr>
        <w:ind w:firstLine="632"/>
      </w:pPr>
      <w:r>
        <w:rPr>
          <w:rFonts w:hint="eastAsia"/>
        </w:rPr>
        <w:t>气象灾害事发地的各乡镇政府可根据气象灾害的性质、危害程度和范围，广泛调动社会力量参与气象灾害处置，紧急情况下可依法征用、调用车辆、物资、人员等。</w:t>
      </w:r>
    </w:p>
    <w:p w14:paraId="256DE2CC">
      <w:pPr>
        <w:ind w:firstLine="632"/>
      </w:pPr>
      <w:r>
        <w:rPr>
          <w:rFonts w:hint="eastAsia"/>
        </w:rPr>
        <w:t>气象灾害发生后，灾区的各乡镇政府组织各方面力量抢救人员，组织相关单位和人员开展自救、互救。</w:t>
      </w:r>
    </w:p>
    <w:p w14:paraId="03AF63D9">
      <w:pPr>
        <w:ind w:firstLine="632"/>
      </w:pPr>
      <w:r>
        <w:rPr>
          <w:rFonts w:hint="eastAsia"/>
        </w:rPr>
        <w:t>鼓励公民、法人和其他组织按照《中华人民共和国公益事业捐赠法》等有关法律法规的规定进行捐赠和援助。审计、监察部门对捐赠资金和物资的使用情况进行审计和监督。</w:t>
      </w:r>
    </w:p>
    <w:p w14:paraId="1876BD38">
      <w:pPr>
        <w:pStyle w:val="3"/>
      </w:pPr>
      <w:bookmarkStart w:id="370" w:name="_Toc20183"/>
      <w:r>
        <w:rPr>
          <w:rFonts w:hint="eastAsia"/>
        </w:rPr>
        <w:t>响应变更与终止</w:t>
      </w:r>
      <w:bookmarkEnd w:id="370"/>
    </w:p>
    <w:p w14:paraId="3CD5B77C">
      <w:pPr>
        <w:ind w:firstLine="632"/>
      </w:pPr>
      <w:r>
        <w:rPr>
          <w:rFonts w:hint="eastAsia"/>
        </w:rPr>
        <w:t>当气象灾害得到有效控制或灾害应急处置工作结束，受灾群众得到妥善安置，受灾地区群众生活基本得到保障，受灾地区社会秩序恢复正常时，按照“应急响应启动与解除主体相一致”的原则，由应急响应启动机构研究决定终止应急响应。</w:t>
      </w:r>
    </w:p>
    <w:p w14:paraId="4E438268">
      <w:pPr>
        <w:pStyle w:val="2"/>
        <w:numPr>
          <w:ilvl w:val="0"/>
          <w:numId w:val="90"/>
        </w:numPr>
        <w:tabs>
          <w:tab w:val="left" w:pos="0"/>
        </w:tabs>
        <w:rPr>
          <w:sz w:val="32"/>
          <w:szCs w:val="32"/>
        </w:rPr>
      </w:pPr>
      <w:bookmarkStart w:id="371" w:name="_Toc14018"/>
      <w:r>
        <w:rPr>
          <w:rFonts w:hint="eastAsia"/>
          <w:sz w:val="32"/>
          <w:szCs w:val="32"/>
        </w:rPr>
        <w:t>恢复与重建</w:t>
      </w:r>
      <w:bookmarkEnd w:id="371"/>
    </w:p>
    <w:p w14:paraId="0AD0FD65">
      <w:pPr>
        <w:pStyle w:val="3"/>
      </w:pPr>
      <w:bookmarkStart w:id="372" w:name="_Toc10424"/>
      <w:r>
        <w:rPr>
          <w:rFonts w:hint="eastAsia"/>
        </w:rPr>
        <w:t>善后处置</w:t>
      </w:r>
      <w:bookmarkEnd w:id="372"/>
    </w:p>
    <w:p w14:paraId="3264486E">
      <w:pPr>
        <w:ind w:firstLine="632"/>
      </w:pPr>
      <w:r>
        <w:rPr>
          <w:rFonts w:hint="eastAsia"/>
        </w:rPr>
        <w:t>气象灾害应急处置工作结束后，事发地乡镇政府及有关单位根据各自职责，开展善后处置工作，包括人员安置、抚恤补偿、保险理赔、征用补偿、救援物资供应、环境污染消除、灾后重建、危险源监控和治理等措施，防止气象灾害造成次生、衍生危害，尽快恢复正常秩序，确保社会稳定。事发地保险监管机构要组织、督促有关保险机构及时开展查勘和理赔工作。</w:t>
      </w:r>
    </w:p>
    <w:p w14:paraId="19DFD68C">
      <w:pPr>
        <w:pStyle w:val="3"/>
      </w:pPr>
      <w:bookmarkStart w:id="373" w:name="_Toc8356"/>
      <w:r>
        <w:rPr>
          <w:rFonts w:hint="eastAsia"/>
        </w:rPr>
        <w:t>恢复重建</w:t>
      </w:r>
      <w:bookmarkEnd w:id="373"/>
    </w:p>
    <w:p w14:paraId="55A24F69">
      <w:pPr>
        <w:ind w:firstLine="632"/>
      </w:pPr>
      <w:r>
        <w:rPr>
          <w:rFonts w:hint="eastAsia"/>
        </w:rPr>
        <w:t>应急处置工作结束后，事发地乡镇政府要迅速组织制定恢复重建计划，并向县政府报告。按照乡镇政府作为主体、灾区群众广泛参与的原则，健全灾后恢复重建机制，加大资金、政策支持，促进资源融合、效能提升。强化地方重建主体责任，尊重群众首创精神，引导开展自力更生、生产自救活动。</w:t>
      </w:r>
    </w:p>
    <w:p w14:paraId="354893EB">
      <w:pPr>
        <w:ind w:firstLine="632"/>
      </w:pPr>
      <w:r>
        <w:rPr>
          <w:rFonts w:hint="eastAsia"/>
        </w:rPr>
        <w:t>县人民政府根据实际情况对需要支持的乡镇人民政府提供资金、物资支持和技术指导。需要中央、省、市援助的，由县政府向市政府提出请求。</w:t>
      </w:r>
    </w:p>
    <w:p w14:paraId="12AE1CB6">
      <w:pPr>
        <w:pStyle w:val="3"/>
      </w:pPr>
      <w:bookmarkStart w:id="374" w:name="_Toc11943"/>
      <w:r>
        <w:rPr>
          <w:rFonts w:hint="eastAsia"/>
        </w:rPr>
        <w:t>调查评估</w:t>
      </w:r>
      <w:bookmarkEnd w:id="374"/>
    </w:p>
    <w:p w14:paraId="76CC7738">
      <w:pPr>
        <w:ind w:firstLine="632"/>
      </w:pPr>
      <w:r>
        <w:rPr>
          <w:rFonts w:hint="eastAsia"/>
        </w:rPr>
        <w:t>灾害发生地乡镇政府或气象灾害应急指挥机构应当组织有关单位和专家对气象灾害造成的损失及气象灾害的起因、性质、影响等问题进行调查、评估与总结，分析气象灾害应对处置工作经验教训，提出改进措施，向县政府和气象灾害应急指挥机构报送调查评估结果与应急工作情况。较大以上气象灾害处置结束后，县级有关部门和中央、省市驻泾有关单位要会同事发地人民政府进行调查评估，并向县政府报告。对于影响特别大、灾情特别重、原因特别复杂的灾害，可邀请国家级专业部门、业内知名专家参与调查评估，调查评估结果与应急工作情况应逐级报至国务院。</w:t>
      </w:r>
    </w:p>
    <w:p w14:paraId="0C389069">
      <w:pPr>
        <w:pStyle w:val="2"/>
        <w:numPr>
          <w:ilvl w:val="0"/>
          <w:numId w:val="90"/>
        </w:numPr>
        <w:tabs>
          <w:tab w:val="left" w:pos="0"/>
        </w:tabs>
        <w:rPr>
          <w:sz w:val="32"/>
          <w:szCs w:val="32"/>
        </w:rPr>
      </w:pPr>
      <w:bookmarkStart w:id="375" w:name="_Toc17852"/>
      <w:r>
        <w:rPr>
          <w:rFonts w:hint="eastAsia"/>
          <w:sz w:val="32"/>
          <w:szCs w:val="32"/>
        </w:rPr>
        <w:t>应急保障</w:t>
      </w:r>
      <w:bookmarkEnd w:id="375"/>
    </w:p>
    <w:p w14:paraId="4DD0E604">
      <w:pPr>
        <w:pStyle w:val="3"/>
      </w:pPr>
      <w:bookmarkStart w:id="376" w:name="_Toc5585"/>
      <w:r>
        <w:rPr>
          <w:rFonts w:hint="eastAsia"/>
        </w:rPr>
        <w:t>队伍保障</w:t>
      </w:r>
      <w:bookmarkEnd w:id="376"/>
    </w:p>
    <w:p w14:paraId="6F125FC2">
      <w:pPr>
        <w:ind w:firstLine="632"/>
      </w:pPr>
      <w:r>
        <w:rPr>
          <w:rFonts w:hint="eastAsia"/>
        </w:rPr>
        <w:t>各乡镇政府要组织引导民兵、大中型企事业单位、乡镇气象工作站、应急信息员、气象协理员、气象信息员以及志愿者等社会资源，组建各类群众性应急救援队伍。</w:t>
      </w:r>
    </w:p>
    <w:p w14:paraId="464BF621">
      <w:pPr>
        <w:ind w:firstLine="632"/>
      </w:pPr>
      <w:r>
        <w:rPr>
          <w:rFonts w:hint="eastAsia"/>
        </w:rPr>
        <w:t>公安、卫健、应急管理等部门应急救援队伍按照县气象灾害应急指挥部的指令，开展气象灾害现场应急救援工作。</w:t>
      </w:r>
    </w:p>
    <w:p w14:paraId="1FABDBF4">
      <w:pPr>
        <w:pStyle w:val="3"/>
      </w:pPr>
      <w:bookmarkStart w:id="377" w:name="_Toc7045"/>
      <w:r>
        <w:rPr>
          <w:rFonts w:hint="eastAsia"/>
        </w:rPr>
        <w:t>通信保障</w:t>
      </w:r>
      <w:bookmarkEnd w:id="377"/>
    </w:p>
    <w:p w14:paraId="1C5F61E2">
      <w:pPr>
        <w:ind w:firstLine="632"/>
      </w:pPr>
    </w:p>
    <w:p w14:paraId="64E58DF9">
      <w:pPr>
        <w:ind w:firstLine="632"/>
      </w:pPr>
      <w:r>
        <w:rPr>
          <w:rFonts w:hint="eastAsia"/>
        </w:rPr>
        <w:t>县通信管理部门以公用通信网为主体，建立跨部门、跨区域气象灾害应急信息通信保障系统。灾区通信管理部门应及时采取措施恢复遭破坏的通信线路和设施，确保灾区通信畅通。</w:t>
      </w:r>
    </w:p>
    <w:p w14:paraId="2E0E442A">
      <w:pPr>
        <w:pStyle w:val="3"/>
      </w:pPr>
      <w:bookmarkStart w:id="378" w:name="_Toc18114"/>
      <w:r>
        <w:rPr>
          <w:rFonts w:hint="eastAsia"/>
        </w:rPr>
        <w:t>交通保障</w:t>
      </w:r>
      <w:bookmarkEnd w:id="378"/>
    </w:p>
    <w:p w14:paraId="0025C907">
      <w:pPr>
        <w:ind w:firstLine="632"/>
      </w:pPr>
      <w:r>
        <w:rPr>
          <w:rFonts w:hint="eastAsia"/>
        </w:rPr>
        <w:t>县交通运输、公安等部门和单位要加强交通管制，优先保障抢险救灾车辆通行，保障抢险救灾道路畅通。</w:t>
      </w:r>
    </w:p>
    <w:p w14:paraId="45E453C4">
      <w:pPr>
        <w:pStyle w:val="3"/>
      </w:pPr>
      <w:bookmarkStart w:id="379" w:name="_Toc30061"/>
      <w:r>
        <w:rPr>
          <w:rFonts w:hint="eastAsia"/>
        </w:rPr>
        <w:t>物资保障</w:t>
      </w:r>
      <w:bookmarkEnd w:id="379"/>
    </w:p>
    <w:p w14:paraId="3341C86C">
      <w:pPr>
        <w:ind w:firstLine="632"/>
      </w:pPr>
      <w:r>
        <w:rPr>
          <w:rFonts w:hint="eastAsia"/>
        </w:rPr>
        <w:t>县政府应根据本行政区域气象灾害特点、分布情况、人口数量和行业危险源等，制定抢险救灾应急物资采购、储备、保养、更新和补充等工作计划，完善物资调运机制。</w:t>
      </w:r>
    </w:p>
    <w:p w14:paraId="183F5675">
      <w:pPr>
        <w:pStyle w:val="3"/>
      </w:pPr>
      <w:bookmarkStart w:id="380" w:name="_Toc26619"/>
      <w:r>
        <w:rPr>
          <w:rFonts w:hint="eastAsia"/>
        </w:rPr>
        <w:t>资金保障</w:t>
      </w:r>
      <w:bookmarkEnd w:id="380"/>
    </w:p>
    <w:p w14:paraId="16DE513B">
      <w:pPr>
        <w:ind w:firstLine="632"/>
      </w:pPr>
      <w:r>
        <w:rPr>
          <w:rFonts w:hint="eastAsia"/>
        </w:rPr>
        <w:t>县政府应根据气象灾害应急工作需要，为气象灾害应急处置提供经费保障，必要时向上申请财政补助。</w:t>
      </w:r>
    </w:p>
    <w:p w14:paraId="323A7AC9">
      <w:pPr>
        <w:pStyle w:val="3"/>
      </w:pPr>
      <w:bookmarkStart w:id="381" w:name="_Toc9617"/>
      <w:r>
        <w:rPr>
          <w:rFonts w:hint="eastAsia"/>
        </w:rPr>
        <w:t>治安保障</w:t>
      </w:r>
      <w:bookmarkEnd w:id="381"/>
    </w:p>
    <w:p w14:paraId="096BBF86">
      <w:pPr>
        <w:ind w:firstLine="632"/>
      </w:pPr>
      <w:r>
        <w:rPr>
          <w:rFonts w:hint="eastAsia"/>
        </w:rPr>
        <w:t>县公安部门要加强受灾地区的治安管理，及时查处故意编造和传播虚假信息、干扰破坏救灾工作、扰乱社会秩序、偷盗等违法行为，维持群众撤离和队伍转移秩序、保障安置点社会秩序，维护社会安全稳定。</w:t>
      </w:r>
    </w:p>
    <w:p w14:paraId="7CF274CA">
      <w:pPr>
        <w:pStyle w:val="3"/>
      </w:pPr>
      <w:bookmarkStart w:id="382" w:name="_Toc14906"/>
      <w:r>
        <w:rPr>
          <w:rFonts w:hint="eastAsia"/>
        </w:rPr>
        <w:t>医疗保障</w:t>
      </w:r>
      <w:bookmarkEnd w:id="382"/>
    </w:p>
    <w:p w14:paraId="42B6C88E">
      <w:pPr>
        <w:ind w:firstLine="632"/>
      </w:pPr>
      <w:r>
        <w:rPr>
          <w:rFonts w:hint="eastAsia"/>
        </w:rPr>
        <w:t>县卫健局根据抢险救灾需要，及时组织医疗救治力量赴现场开展医疗救治工作。各级医疗卫生机构要提高应对气象灾害的救治能力。</w:t>
      </w:r>
    </w:p>
    <w:p w14:paraId="03CE835E">
      <w:pPr>
        <w:pStyle w:val="3"/>
      </w:pPr>
      <w:bookmarkStart w:id="383" w:name="_Toc11374"/>
      <w:r>
        <w:rPr>
          <w:rFonts w:hint="eastAsia"/>
        </w:rPr>
        <w:t>技术保障</w:t>
      </w:r>
      <w:bookmarkEnd w:id="383"/>
    </w:p>
    <w:p w14:paraId="2EF432AE">
      <w:pPr>
        <w:ind w:firstLine="632"/>
      </w:pPr>
      <w:r>
        <w:rPr>
          <w:rFonts w:hint="eastAsia"/>
        </w:rPr>
        <w:t>鼓励各有关部门联合开展气象灾害应急领域的科学研究，积累基础资料，促进科技成果交流共享。推进气象灾害防御相关数据资源共享和开放，统筹相关数据资源的采集、分类、管理、分析和应用。整合工程性和非工程性措施，提高气象灾害监测预警能力。充分利用现代科技手段，提升隐患排查、风险识别、情景模拟、风险评估、应急处置等技术支撑能力，综合降低气象灾害风险。</w:t>
      </w:r>
    </w:p>
    <w:p w14:paraId="5F65D73F">
      <w:pPr>
        <w:pStyle w:val="2"/>
        <w:numPr>
          <w:ilvl w:val="0"/>
          <w:numId w:val="90"/>
        </w:numPr>
        <w:tabs>
          <w:tab w:val="left" w:pos="0"/>
        </w:tabs>
        <w:rPr>
          <w:sz w:val="32"/>
          <w:szCs w:val="32"/>
        </w:rPr>
      </w:pPr>
      <w:bookmarkStart w:id="384" w:name="_Toc15351"/>
      <w:r>
        <w:rPr>
          <w:rFonts w:hint="eastAsia"/>
          <w:sz w:val="32"/>
          <w:szCs w:val="32"/>
        </w:rPr>
        <w:t>预案管理</w:t>
      </w:r>
      <w:bookmarkEnd w:id="384"/>
    </w:p>
    <w:p w14:paraId="2E0F1557">
      <w:pPr>
        <w:pStyle w:val="3"/>
      </w:pPr>
      <w:bookmarkStart w:id="385" w:name="_Toc14042"/>
      <w:r>
        <w:rPr>
          <w:rFonts w:hint="eastAsia"/>
        </w:rPr>
        <w:t>编制与修订</w:t>
      </w:r>
      <w:bookmarkEnd w:id="385"/>
    </w:p>
    <w:p w14:paraId="78B32353">
      <w:pPr>
        <w:ind w:firstLine="632"/>
      </w:pPr>
      <w:r>
        <w:rPr>
          <w:rFonts w:hint="eastAsia"/>
        </w:rPr>
        <w:t>县气象灾害应急指挥部办公室负责本预案的编制和日常管理，根据需要及时组织修订完善，报县政府印发实施，并报市气象灾害应急指挥部办公室备案。</w:t>
      </w:r>
    </w:p>
    <w:p w14:paraId="75193D68">
      <w:pPr>
        <w:pStyle w:val="3"/>
      </w:pPr>
      <w:bookmarkStart w:id="386" w:name="_Toc30185"/>
      <w:r>
        <w:rPr>
          <w:rFonts w:hint="eastAsia"/>
        </w:rPr>
        <w:t>宣传和培训</w:t>
      </w:r>
      <w:bookmarkEnd w:id="386"/>
    </w:p>
    <w:p w14:paraId="63F87518">
      <w:pPr>
        <w:ind w:firstLine="632"/>
      </w:pPr>
      <w:r>
        <w:rPr>
          <w:rFonts w:hint="eastAsia"/>
        </w:rPr>
        <w:t>县人民政府及其有关部门要加强气象灾害防御法律法规和气象灾害预防、避险、自救、互救常识的宣传和培训，提高公众主动获取气象灾害预警信号的意识，增强公众的防灾避险意识和自救互救能力。</w:t>
      </w:r>
    </w:p>
    <w:p w14:paraId="60702206">
      <w:pPr>
        <w:pStyle w:val="3"/>
      </w:pPr>
      <w:bookmarkStart w:id="387" w:name="_Toc25859"/>
      <w:r>
        <w:rPr>
          <w:rFonts w:hint="eastAsia"/>
        </w:rPr>
        <w:t>预案演练</w:t>
      </w:r>
      <w:bookmarkEnd w:id="387"/>
    </w:p>
    <w:p w14:paraId="1103A6FD">
      <w:pPr>
        <w:ind w:firstLine="632"/>
      </w:pPr>
      <w:r>
        <w:rPr>
          <w:rFonts w:hint="eastAsia"/>
        </w:rPr>
        <w:t>县人民政府及有关部门应当根据预案规定和实际情况，组织开展贴近实际、形式多样、广泛参与的应急演练。</w:t>
      </w:r>
    </w:p>
    <w:p w14:paraId="0F6A2302">
      <w:pPr>
        <w:ind w:firstLine="632"/>
      </w:pPr>
      <w:r>
        <w:rPr>
          <w:rFonts w:hint="eastAsia"/>
        </w:rPr>
        <w:t>县直各部门应按照预案有关要求，每两年至少组织１次应急演练。如预案发生重大调整，需及时按照新的应急预案开展演练。</w:t>
      </w:r>
    </w:p>
    <w:p w14:paraId="08CAB3CD">
      <w:pPr>
        <w:pStyle w:val="2"/>
        <w:numPr>
          <w:ilvl w:val="0"/>
          <w:numId w:val="90"/>
        </w:numPr>
        <w:tabs>
          <w:tab w:val="left" w:pos="0"/>
        </w:tabs>
        <w:rPr>
          <w:sz w:val="32"/>
          <w:szCs w:val="32"/>
        </w:rPr>
      </w:pPr>
      <w:bookmarkStart w:id="388" w:name="_Toc8334"/>
      <w:r>
        <w:rPr>
          <w:rFonts w:hint="eastAsia"/>
          <w:sz w:val="32"/>
          <w:szCs w:val="32"/>
        </w:rPr>
        <w:t>责任与奖惩</w:t>
      </w:r>
      <w:bookmarkEnd w:id="388"/>
    </w:p>
    <w:p w14:paraId="1CCA1172">
      <w:pPr>
        <w:ind w:firstLine="632"/>
      </w:pPr>
      <w:r>
        <w:rPr>
          <w:rFonts w:hint="eastAsia"/>
        </w:rPr>
        <w:t>根据有关法律法规，对在气象灾害抢险救灾工作中贡献突出的先进集体和个人应给予表扬和奖励，对工作不力或玩忽职守等造成严重后果或影响的单位和个人，依法依规追究责任。</w:t>
      </w:r>
    </w:p>
    <w:p w14:paraId="5E895895">
      <w:pPr>
        <w:pStyle w:val="2"/>
        <w:numPr>
          <w:ilvl w:val="0"/>
          <w:numId w:val="90"/>
        </w:numPr>
        <w:tabs>
          <w:tab w:val="left" w:pos="0"/>
        </w:tabs>
        <w:rPr>
          <w:sz w:val="32"/>
          <w:szCs w:val="32"/>
        </w:rPr>
      </w:pPr>
      <w:bookmarkStart w:id="389" w:name="_Toc27219"/>
      <w:r>
        <w:rPr>
          <w:rFonts w:hint="eastAsia"/>
          <w:sz w:val="32"/>
          <w:szCs w:val="32"/>
        </w:rPr>
        <w:t>附则</w:t>
      </w:r>
      <w:bookmarkEnd w:id="389"/>
    </w:p>
    <w:p w14:paraId="4ED24D58">
      <w:pPr>
        <w:pStyle w:val="3"/>
      </w:pPr>
      <w:bookmarkStart w:id="390" w:name="_Toc4870"/>
      <w:r>
        <w:rPr>
          <w:rFonts w:hint="eastAsia"/>
        </w:rPr>
        <w:t>名词术语</w:t>
      </w:r>
      <w:bookmarkEnd w:id="390"/>
    </w:p>
    <w:p w14:paraId="4ECE6228">
      <w:pPr>
        <w:numPr>
          <w:ilvl w:val="0"/>
          <w:numId w:val="91"/>
        </w:numPr>
        <w:ind w:firstLine="632"/>
      </w:pPr>
      <w:r>
        <w:rPr>
          <w:rFonts w:hint="eastAsia"/>
        </w:rPr>
        <w:t>本预案所称“以上”包括本数，“以下”不包括本数。</w:t>
      </w:r>
    </w:p>
    <w:p w14:paraId="6C604A48">
      <w:pPr>
        <w:numPr>
          <w:ilvl w:val="0"/>
          <w:numId w:val="91"/>
        </w:numPr>
        <w:ind w:firstLine="632"/>
      </w:pPr>
      <w:r>
        <w:rPr>
          <w:rFonts w:hint="eastAsia"/>
        </w:rPr>
        <w:t>暴雨：是指24小时内降水量50.0毫米以上的降水，可能引发洪涝、滑坡、泥石流等灾害。</w:t>
      </w:r>
    </w:p>
    <w:p w14:paraId="0B8D5E25">
      <w:pPr>
        <w:numPr>
          <w:ilvl w:val="0"/>
          <w:numId w:val="91"/>
        </w:numPr>
        <w:ind w:firstLine="632"/>
      </w:pPr>
      <w:r>
        <w:rPr>
          <w:rFonts w:hint="eastAsia"/>
        </w:rPr>
        <w:t>暴雪：是指24小时内降雪量10.0毫米以上的降雪。</w:t>
      </w:r>
    </w:p>
    <w:p w14:paraId="14FBEA74">
      <w:pPr>
        <w:numPr>
          <w:ilvl w:val="0"/>
          <w:numId w:val="91"/>
        </w:numPr>
        <w:ind w:firstLine="632"/>
      </w:pPr>
      <w:r>
        <w:rPr>
          <w:rFonts w:hint="eastAsia"/>
        </w:rPr>
        <w:t>寒潮：是指日最低气温24小时内降温幅度达8℃以上，或48小时内降温幅度达10℃以上，或72小时内降温幅度达12℃以上，且最低气温低于4℃的降温过程。</w:t>
      </w:r>
    </w:p>
    <w:p w14:paraId="5C11C015">
      <w:pPr>
        <w:numPr>
          <w:ilvl w:val="0"/>
          <w:numId w:val="91"/>
        </w:numPr>
        <w:ind w:firstLine="632"/>
      </w:pPr>
      <w:r>
        <w:rPr>
          <w:rFonts w:hint="eastAsia"/>
        </w:rPr>
        <w:t>霜冻：是指空气温度突然下降，地表温度骤降到0℃以下，使农作物受到损害，甚至死亡的农业气象灾害。</w:t>
      </w:r>
    </w:p>
    <w:p w14:paraId="27D8AFC1">
      <w:pPr>
        <w:numPr>
          <w:ilvl w:val="0"/>
          <w:numId w:val="91"/>
        </w:numPr>
        <w:ind w:firstLine="632"/>
      </w:pPr>
      <w:r>
        <w:rPr>
          <w:rFonts w:hint="eastAsia"/>
        </w:rPr>
        <w:t>沙尘暴：是指强风将地面沙粒和尘土吹起使空气很浑浊，水平能见度小于1千米的天气现象。</w:t>
      </w:r>
    </w:p>
    <w:p w14:paraId="54EEBE86">
      <w:pPr>
        <w:numPr>
          <w:ilvl w:val="0"/>
          <w:numId w:val="91"/>
        </w:numPr>
        <w:ind w:firstLine="632"/>
      </w:pPr>
      <w:r>
        <w:rPr>
          <w:rFonts w:hint="eastAsia"/>
        </w:rPr>
        <w:t>高温：是指日最高气温在35℃以上的天气现象，可能对农业、电力、人体健康等造成危害。</w:t>
      </w:r>
    </w:p>
    <w:p w14:paraId="0B5089C2">
      <w:pPr>
        <w:numPr>
          <w:ilvl w:val="0"/>
          <w:numId w:val="91"/>
        </w:numPr>
        <w:ind w:firstLine="632"/>
      </w:pPr>
      <w:r>
        <w:rPr>
          <w:rFonts w:hint="eastAsia"/>
        </w:rPr>
        <w:t>干旱：是指长期无雨或少雨导致土壤和空气干燥的天气现象，可能对农牧业、林业、水利以及人畜饮水等造成危害。</w:t>
      </w:r>
    </w:p>
    <w:p w14:paraId="2BDD5F29">
      <w:pPr>
        <w:numPr>
          <w:ilvl w:val="0"/>
          <w:numId w:val="91"/>
        </w:numPr>
        <w:ind w:firstLine="632"/>
      </w:pPr>
      <w:r>
        <w:rPr>
          <w:rFonts w:hint="eastAsia"/>
        </w:rPr>
        <w:t>强对流：是指发生突然、移动迅速、天气剧烈、破坏力极强的灾害性天气，主要有雷雨大风、冰雹、短时强降水等。</w:t>
      </w:r>
    </w:p>
    <w:p w14:paraId="7F48F73E">
      <w:pPr>
        <w:numPr>
          <w:ilvl w:val="0"/>
          <w:numId w:val="91"/>
        </w:numPr>
        <w:ind w:firstLine="632"/>
      </w:pPr>
      <w:r>
        <w:rPr>
          <w:rFonts w:hint="eastAsia"/>
        </w:rPr>
        <w:t>气象灾害预警信号：是指通过媒体传播给社会公众防御气象灾害的符号、语言、文字。通常由符号、颜色和对应的防御指南组成，符号表示气象灾害种类，颜色表示气象灾害的强度级别，对应的防御指南明确有关部门、单位和公众应采取的防范措施。</w:t>
      </w:r>
    </w:p>
    <w:p w14:paraId="757BD9AE">
      <w:pPr>
        <w:numPr>
          <w:ilvl w:val="0"/>
          <w:numId w:val="91"/>
        </w:numPr>
        <w:ind w:firstLine="632"/>
      </w:pPr>
      <w:r>
        <w:rPr>
          <w:rFonts w:hint="eastAsia"/>
        </w:rPr>
        <w:t>气象灾害预警信号标准</w:t>
      </w:r>
    </w:p>
    <w:p w14:paraId="7842B3D3">
      <w:pPr>
        <w:ind w:firstLine="634"/>
      </w:pPr>
      <w:r>
        <w:rPr>
          <w:rFonts w:hint="eastAsia"/>
          <w:b/>
          <w:bCs/>
        </w:rPr>
        <w:t>一、暴雨预警信号</w:t>
      </w:r>
    </w:p>
    <w:p w14:paraId="48BBD823">
      <w:pPr>
        <w:ind w:firstLine="632"/>
      </w:pPr>
      <w:r>
        <w:rPr>
          <w:rFonts w:hint="eastAsia"/>
        </w:rPr>
        <w:t>1.暴雨蓝色预警信号</w:t>
      </w:r>
    </w:p>
    <w:p w14:paraId="2BA5F4DC">
      <w:pPr>
        <w:ind w:firstLine="632"/>
      </w:pPr>
      <w:r>
        <w:rPr>
          <w:rFonts w:hint="eastAsia"/>
        </w:rPr>
        <w:t>标准：12小时内降雨量将达50毫米以上，或者已达50毫米以上且降雨可能持续。</w:t>
      </w:r>
    </w:p>
    <w:p w14:paraId="5BC9C436">
      <w:pPr>
        <w:ind w:firstLine="632"/>
      </w:pPr>
      <w:r>
        <w:rPr>
          <w:rFonts w:hint="eastAsia"/>
        </w:rPr>
        <w:t>2.暴雨黄色预警信号</w:t>
      </w:r>
    </w:p>
    <w:p w14:paraId="7453DD74">
      <w:pPr>
        <w:ind w:firstLine="632"/>
      </w:pPr>
      <w:r>
        <w:rPr>
          <w:rFonts w:hint="eastAsia"/>
        </w:rPr>
        <w:t>标准：6小时降雨量将达50毫米以上，或者已达50毫米以上且降雨可能持续；或者1小时降水量将达或已达30毫米并将持续。</w:t>
      </w:r>
    </w:p>
    <w:p w14:paraId="3684C9DB">
      <w:pPr>
        <w:ind w:firstLine="632"/>
      </w:pPr>
      <w:r>
        <w:rPr>
          <w:rFonts w:hint="eastAsia"/>
        </w:rPr>
        <w:t>3.暴雨橙色预警信号</w:t>
      </w:r>
    </w:p>
    <w:p w14:paraId="0B6B8D35">
      <w:pPr>
        <w:ind w:firstLine="632"/>
      </w:pPr>
      <w:r>
        <w:rPr>
          <w:rFonts w:hint="eastAsia"/>
        </w:rPr>
        <w:t>标准：3小时降雨量将达70毫米以上，或者已达70毫米以上且降雨可能持续；或者1小时降水量将达或已达50毫米并将持续。</w:t>
      </w:r>
    </w:p>
    <w:p w14:paraId="69D6001C">
      <w:pPr>
        <w:ind w:firstLine="632"/>
      </w:pPr>
      <w:r>
        <w:rPr>
          <w:rFonts w:hint="eastAsia"/>
        </w:rPr>
        <w:t>4.暴雨红色预警信号</w:t>
      </w:r>
    </w:p>
    <w:p w14:paraId="47432EF8">
      <w:pPr>
        <w:ind w:firstLine="632"/>
      </w:pPr>
      <w:r>
        <w:rPr>
          <w:rFonts w:hint="eastAsia"/>
        </w:rPr>
        <w:t>标准：3小时降雨量将达100毫米以上，或者已达100毫米以上且降雨可能持续；或者1小时降水量将达或已达70毫米并将持续。</w:t>
      </w:r>
    </w:p>
    <w:p w14:paraId="77CF6896">
      <w:pPr>
        <w:ind w:firstLine="634"/>
      </w:pPr>
      <w:r>
        <w:rPr>
          <w:rFonts w:hint="eastAsia"/>
          <w:b/>
          <w:bCs/>
        </w:rPr>
        <w:t>二、暴雪预警信号</w:t>
      </w:r>
    </w:p>
    <w:p w14:paraId="2FB4D9B2">
      <w:pPr>
        <w:ind w:firstLine="632"/>
      </w:pPr>
      <w:r>
        <w:rPr>
          <w:rFonts w:hint="eastAsia"/>
        </w:rPr>
        <w:t>1.暴雪蓝色预警信号</w:t>
      </w:r>
    </w:p>
    <w:p w14:paraId="03BECD9D">
      <w:pPr>
        <w:ind w:firstLine="632"/>
      </w:pPr>
      <w:r>
        <w:rPr>
          <w:rFonts w:hint="eastAsia"/>
        </w:rPr>
        <w:t>标准：24小时内降雪量将达10毫米以上，或者已达10毫米以上且降雪持续，并有一定积雪，可能对交通或者农牧业有影响。</w:t>
      </w:r>
    </w:p>
    <w:p w14:paraId="74D01119">
      <w:pPr>
        <w:ind w:firstLine="632"/>
      </w:pPr>
      <w:r>
        <w:rPr>
          <w:rFonts w:hint="eastAsia"/>
        </w:rPr>
        <w:t>2.暴雪黄色预警信号</w:t>
      </w:r>
    </w:p>
    <w:p w14:paraId="75635A85">
      <w:pPr>
        <w:ind w:firstLine="632"/>
      </w:pPr>
      <w:r>
        <w:rPr>
          <w:rFonts w:hint="eastAsia"/>
        </w:rPr>
        <w:t>标准：12小时内降雪量将达10毫米以上，或者已达10毫米以上且降雪持续，并有明显积雪，可能对交通或者农牧业有影响。</w:t>
      </w:r>
    </w:p>
    <w:p w14:paraId="7244A164">
      <w:pPr>
        <w:ind w:firstLine="632"/>
      </w:pPr>
      <w:r>
        <w:rPr>
          <w:rFonts w:hint="eastAsia"/>
        </w:rPr>
        <w:t>3.暴雪橙色预警信号</w:t>
      </w:r>
    </w:p>
    <w:p w14:paraId="780B7545">
      <w:pPr>
        <w:ind w:firstLine="632"/>
      </w:pPr>
      <w:r>
        <w:rPr>
          <w:rFonts w:hint="eastAsia"/>
        </w:rPr>
        <w:t>标准：6小时内降雪量将达10毫米以上，或者已达10毫米以上且降雪持续，并有较重积雪，对交通或者农牧业有影响。</w:t>
      </w:r>
    </w:p>
    <w:p w14:paraId="605CF225">
      <w:pPr>
        <w:ind w:firstLine="632"/>
      </w:pPr>
      <w:r>
        <w:rPr>
          <w:rFonts w:hint="eastAsia"/>
        </w:rPr>
        <w:t>4.暴雪红色预警信号</w:t>
      </w:r>
    </w:p>
    <w:p w14:paraId="25A991DA">
      <w:pPr>
        <w:ind w:firstLine="632"/>
      </w:pPr>
      <w:r>
        <w:rPr>
          <w:rFonts w:hint="eastAsia"/>
        </w:rPr>
        <w:t>标准：6小时内降雪量将达15毫米以上，或者已达15毫米以上且降雪持续，并有严重积雪，对交通或者农牧业有较大影响。</w:t>
      </w:r>
    </w:p>
    <w:p w14:paraId="49A6683A">
      <w:pPr>
        <w:ind w:firstLine="634"/>
      </w:pPr>
      <w:r>
        <w:rPr>
          <w:rFonts w:hint="eastAsia"/>
          <w:b/>
          <w:bCs/>
        </w:rPr>
        <w:t>三、寒潮预警信号</w:t>
      </w:r>
    </w:p>
    <w:p w14:paraId="37729739">
      <w:pPr>
        <w:ind w:firstLine="632"/>
      </w:pPr>
      <w:r>
        <w:rPr>
          <w:rFonts w:hint="eastAsia"/>
        </w:rPr>
        <w:t>1.寒潮蓝色预警信号</w:t>
      </w:r>
    </w:p>
    <w:p w14:paraId="33B8763C">
      <w:pPr>
        <w:ind w:firstLine="632"/>
      </w:pPr>
      <w:r>
        <w:rPr>
          <w:rFonts w:hint="eastAsia"/>
        </w:rPr>
        <w:t>标准：48小时内日平均气温或最低气温将要下降8℃以上，最低气温小于等于4℃；或者已经下降8℃以上，最低气温小于等于4℃，并可能持续。</w:t>
      </w:r>
    </w:p>
    <w:p w14:paraId="050B2B79">
      <w:pPr>
        <w:ind w:firstLine="632"/>
      </w:pPr>
      <w:r>
        <w:rPr>
          <w:rFonts w:hint="eastAsia"/>
        </w:rPr>
        <w:t>2.寒潮黄色预警信号</w:t>
      </w:r>
    </w:p>
    <w:p w14:paraId="579C8234">
      <w:pPr>
        <w:ind w:firstLine="632"/>
      </w:pPr>
      <w:r>
        <w:rPr>
          <w:rFonts w:hint="eastAsia"/>
        </w:rPr>
        <w:t>标准：24小时内日平均气温或最低气温将要下降10℃以上，最低气温小于等于4℃；或者已经下降10℃以上，最低气温小于等于4℃，并可能持续。</w:t>
      </w:r>
    </w:p>
    <w:p w14:paraId="212DD4D3">
      <w:pPr>
        <w:ind w:firstLine="632"/>
      </w:pPr>
      <w:r>
        <w:rPr>
          <w:rFonts w:hint="eastAsia"/>
        </w:rPr>
        <w:t>3.寒潮橙色预警信号</w:t>
      </w:r>
    </w:p>
    <w:p w14:paraId="5E4C6B16">
      <w:pPr>
        <w:ind w:firstLine="632"/>
      </w:pPr>
      <w:r>
        <w:rPr>
          <w:rFonts w:hint="eastAsia"/>
        </w:rPr>
        <w:t>标准：24小时内日平均气温或最低气温将要下降12℃以上，最低气温小于等于0℃；或者已经下降12℃以上，最低气温小于等于0℃，并可能持续。</w:t>
      </w:r>
    </w:p>
    <w:p w14:paraId="61C908E8">
      <w:pPr>
        <w:ind w:firstLine="632"/>
      </w:pPr>
      <w:r>
        <w:rPr>
          <w:rFonts w:hint="eastAsia"/>
        </w:rPr>
        <w:t>4.寒潮红色预警信号</w:t>
      </w:r>
    </w:p>
    <w:p w14:paraId="23380B64">
      <w:pPr>
        <w:ind w:firstLine="632"/>
      </w:pPr>
      <w:r>
        <w:rPr>
          <w:rFonts w:hint="eastAsia"/>
        </w:rPr>
        <w:t>标准：24小时内日平均气温或最低气温将要下降16℃以上，最低气温小于等于0℃；或者已经下降16℃以上，最低气温小于等于0℃，并可能持续。</w:t>
      </w:r>
    </w:p>
    <w:p w14:paraId="3C8D4E25">
      <w:pPr>
        <w:ind w:firstLine="634"/>
      </w:pPr>
      <w:r>
        <w:rPr>
          <w:rFonts w:hint="eastAsia"/>
          <w:b/>
          <w:bCs/>
        </w:rPr>
        <w:t>四、大风预警信号</w:t>
      </w:r>
    </w:p>
    <w:p w14:paraId="54B18034">
      <w:pPr>
        <w:ind w:firstLine="632"/>
      </w:pPr>
      <w:r>
        <w:rPr>
          <w:rFonts w:hint="eastAsia"/>
        </w:rPr>
        <w:t>1.大风蓝色预警信号</w:t>
      </w:r>
    </w:p>
    <w:p w14:paraId="6742E3CC">
      <w:pPr>
        <w:ind w:firstLine="632"/>
      </w:pPr>
      <w:r>
        <w:rPr>
          <w:rFonts w:hint="eastAsia"/>
        </w:rPr>
        <w:t>标准：24小时内可能受大风影响，平均风力可达6级以上，或者阵风8级以上；或者已经受大风影响，平均风力为6～7级，或者阵风8～9级并可能持续。</w:t>
      </w:r>
    </w:p>
    <w:p w14:paraId="038AD839">
      <w:pPr>
        <w:ind w:firstLine="632"/>
      </w:pPr>
      <w:r>
        <w:rPr>
          <w:rFonts w:hint="eastAsia"/>
        </w:rPr>
        <w:t>2.大风黄色预警信号</w:t>
      </w:r>
    </w:p>
    <w:p w14:paraId="693A6B53">
      <w:pPr>
        <w:ind w:firstLine="632"/>
      </w:pPr>
      <w:r>
        <w:rPr>
          <w:rFonts w:hint="eastAsia"/>
        </w:rPr>
        <w:t>标准：12小时内可能受大风影响，平均风力可达8级以上，或者阵风9级以上；或者已经受大风影响，平均风力为8～9级，或者阵风9～10级并可能持续。</w:t>
      </w:r>
    </w:p>
    <w:p w14:paraId="29758EF2">
      <w:pPr>
        <w:ind w:firstLine="632"/>
      </w:pPr>
      <w:r>
        <w:rPr>
          <w:rFonts w:hint="eastAsia"/>
        </w:rPr>
        <w:t>3.大风橙色预警信号</w:t>
      </w:r>
    </w:p>
    <w:p w14:paraId="76C17622">
      <w:pPr>
        <w:ind w:firstLine="632"/>
      </w:pPr>
      <w:r>
        <w:rPr>
          <w:rFonts w:hint="eastAsia"/>
        </w:rPr>
        <w:t>标准：6小时内可能受大风影响，平均风力可达10级以上，或者阵风11级以上；或者已经受大风影响，平均风力为10～11级，或者阵风11～12级并可能持续。</w:t>
      </w:r>
    </w:p>
    <w:p w14:paraId="0BE9910A">
      <w:pPr>
        <w:ind w:firstLine="632"/>
      </w:pPr>
      <w:r>
        <w:rPr>
          <w:rFonts w:hint="eastAsia"/>
        </w:rPr>
        <w:t>4.大风红色预警信号</w:t>
      </w:r>
    </w:p>
    <w:p w14:paraId="5B8E9C25">
      <w:pPr>
        <w:ind w:firstLine="632"/>
      </w:pPr>
      <w:r>
        <w:rPr>
          <w:rFonts w:hint="eastAsia"/>
        </w:rPr>
        <w:t>标准：6小时内可能受大风影响，平均风力可达12级以上，或者阵风13级以上；或者已经受大风影响，平均风力为12级以上，或者阵风13级以上并可能持续。</w:t>
      </w:r>
    </w:p>
    <w:p w14:paraId="2B3BEB55">
      <w:pPr>
        <w:ind w:firstLine="634"/>
      </w:pPr>
      <w:r>
        <w:rPr>
          <w:rFonts w:hint="eastAsia"/>
          <w:b/>
          <w:bCs/>
        </w:rPr>
        <w:t>五、沙尘暴预警信号</w:t>
      </w:r>
    </w:p>
    <w:p w14:paraId="4AC3C41C">
      <w:pPr>
        <w:ind w:firstLine="632"/>
      </w:pPr>
      <w:r>
        <w:rPr>
          <w:rFonts w:hint="eastAsia"/>
        </w:rPr>
        <w:t>1.沙尘蓝色预警信号</w:t>
      </w:r>
    </w:p>
    <w:p w14:paraId="156BA96F">
      <w:pPr>
        <w:ind w:firstLine="632"/>
      </w:pPr>
      <w:r>
        <w:rPr>
          <w:rFonts w:hint="eastAsia"/>
        </w:rPr>
        <w:t>标准：12小时内可能出现能见度小于3000米的扬沙或浮尘天气，或者已经出现扬沙或浮尘天气并可能持续。</w:t>
      </w:r>
    </w:p>
    <w:p w14:paraId="4B8C8DD8">
      <w:pPr>
        <w:ind w:firstLine="632"/>
      </w:pPr>
      <w:r>
        <w:rPr>
          <w:rFonts w:hint="eastAsia"/>
        </w:rPr>
        <w:t>2.沙尘暴黄色预警信号</w:t>
      </w:r>
    </w:p>
    <w:p w14:paraId="7E209891">
      <w:pPr>
        <w:ind w:firstLine="632"/>
      </w:pPr>
      <w:r>
        <w:rPr>
          <w:rFonts w:hint="eastAsia"/>
        </w:rPr>
        <w:t>标准：12小时内可能出现沙尘暴天气（能见度小于1000米），或者已经出现沙尘暴天气并可能持续。</w:t>
      </w:r>
    </w:p>
    <w:p w14:paraId="457A1D41">
      <w:pPr>
        <w:ind w:firstLine="632"/>
      </w:pPr>
      <w:r>
        <w:rPr>
          <w:rFonts w:hint="eastAsia"/>
        </w:rPr>
        <w:t>3.沙尘暴橙色预警信号</w:t>
      </w:r>
    </w:p>
    <w:p w14:paraId="45D0F860">
      <w:pPr>
        <w:ind w:firstLine="632"/>
      </w:pPr>
      <w:r>
        <w:rPr>
          <w:rFonts w:hint="eastAsia"/>
        </w:rPr>
        <w:t>标准：6小时内可能出现强沙尘暴天气（能见度小于500米），或者已经出现强沙尘暴天气并可能持续。</w:t>
      </w:r>
    </w:p>
    <w:p w14:paraId="2245053F">
      <w:pPr>
        <w:ind w:firstLine="632"/>
      </w:pPr>
      <w:r>
        <w:rPr>
          <w:rFonts w:hint="eastAsia"/>
        </w:rPr>
        <w:t>4.沙尘暴红色预警信号</w:t>
      </w:r>
    </w:p>
    <w:p w14:paraId="3630922C">
      <w:pPr>
        <w:ind w:firstLine="632"/>
      </w:pPr>
      <w:r>
        <w:rPr>
          <w:rFonts w:hint="eastAsia"/>
        </w:rPr>
        <w:t>标准：6小时内可能出现特强沙尘暴天气（能见度小于50米），或者已经出现特强沙尘暴天气并可能持续。</w:t>
      </w:r>
    </w:p>
    <w:p w14:paraId="51C78781">
      <w:pPr>
        <w:ind w:firstLine="634"/>
      </w:pPr>
      <w:r>
        <w:rPr>
          <w:rFonts w:hint="eastAsia"/>
          <w:b/>
          <w:bCs/>
        </w:rPr>
        <w:t>六、高温预警信号</w:t>
      </w:r>
    </w:p>
    <w:p w14:paraId="7EA78746">
      <w:pPr>
        <w:ind w:firstLine="632"/>
      </w:pPr>
      <w:r>
        <w:rPr>
          <w:rFonts w:hint="eastAsia"/>
        </w:rPr>
        <w:t>1.高温橙色预警信号</w:t>
      </w:r>
    </w:p>
    <w:p w14:paraId="786975A2">
      <w:pPr>
        <w:ind w:firstLine="632"/>
      </w:pPr>
      <w:r>
        <w:rPr>
          <w:rFonts w:hint="eastAsia"/>
        </w:rPr>
        <w:t>标准：24小时内最高气温将升至37℃以上，或连续三天日最高气温将在37℃以上。</w:t>
      </w:r>
    </w:p>
    <w:p w14:paraId="3FF5A768">
      <w:pPr>
        <w:ind w:firstLine="632"/>
      </w:pPr>
      <w:r>
        <w:rPr>
          <w:rFonts w:hint="eastAsia"/>
        </w:rPr>
        <w:t>2.高温红色预警信号</w:t>
      </w:r>
    </w:p>
    <w:p w14:paraId="6BC53561">
      <w:pPr>
        <w:ind w:firstLine="632"/>
      </w:pPr>
      <w:r>
        <w:rPr>
          <w:rFonts w:hint="eastAsia"/>
        </w:rPr>
        <w:t>标准：24小时内最高气温将升至40℃以上。</w:t>
      </w:r>
    </w:p>
    <w:p w14:paraId="569A70E9">
      <w:pPr>
        <w:ind w:firstLine="634"/>
      </w:pPr>
      <w:r>
        <w:rPr>
          <w:rFonts w:hint="eastAsia"/>
          <w:b/>
          <w:bCs/>
        </w:rPr>
        <w:t>七、干旱预警信号</w:t>
      </w:r>
    </w:p>
    <w:p w14:paraId="1ADDF8AA">
      <w:pPr>
        <w:ind w:firstLine="632"/>
      </w:pPr>
      <w:r>
        <w:rPr>
          <w:rFonts w:hint="eastAsia"/>
        </w:rPr>
        <w:t>1.干旱橙色预警信号</w:t>
      </w:r>
    </w:p>
    <w:p w14:paraId="14146044">
      <w:pPr>
        <w:ind w:firstLine="632"/>
      </w:pPr>
      <w:r>
        <w:rPr>
          <w:rFonts w:hint="eastAsia"/>
        </w:rPr>
        <w:t>标准：预计未来一周综合气象干旱指数达到重旱（气象干旱为25～50年一遇），或者某一县（县、区）有40%以上的农作物受旱。</w:t>
      </w:r>
    </w:p>
    <w:p w14:paraId="320780F3">
      <w:pPr>
        <w:ind w:firstLine="632"/>
      </w:pPr>
      <w:r>
        <w:rPr>
          <w:rFonts w:hint="eastAsia"/>
        </w:rPr>
        <w:t>2.干旱红色预警信号</w:t>
      </w:r>
    </w:p>
    <w:p w14:paraId="293A3293">
      <w:pPr>
        <w:ind w:firstLine="632"/>
      </w:pPr>
      <w:r>
        <w:rPr>
          <w:rFonts w:hint="eastAsia"/>
        </w:rPr>
        <w:t>标准：预计未来一周综合气象干旱指数达到特旱（气象干旱为50年以上一遇），或者某一县（县、区）有60%以上的农作物受旱。</w:t>
      </w:r>
    </w:p>
    <w:p w14:paraId="34D73C48">
      <w:pPr>
        <w:ind w:firstLine="634"/>
      </w:pPr>
      <w:r>
        <w:rPr>
          <w:rFonts w:hint="eastAsia"/>
          <w:b/>
          <w:bCs/>
        </w:rPr>
        <w:t>八、雷电预警信号</w:t>
      </w:r>
    </w:p>
    <w:p w14:paraId="64166693">
      <w:pPr>
        <w:ind w:firstLine="632"/>
      </w:pPr>
      <w:r>
        <w:rPr>
          <w:rFonts w:hint="eastAsia"/>
        </w:rPr>
        <w:t>1.雷电黄色预警信号</w:t>
      </w:r>
    </w:p>
    <w:p w14:paraId="35FC5C46">
      <w:pPr>
        <w:ind w:firstLine="632"/>
      </w:pPr>
      <w:r>
        <w:rPr>
          <w:rFonts w:hint="eastAsia"/>
        </w:rPr>
        <w:t>标准：6小时内可能发生雷电活动，可能会造成雷电灾害事故。</w:t>
      </w:r>
    </w:p>
    <w:p w14:paraId="70F0341C">
      <w:pPr>
        <w:ind w:firstLine="632"/>
      </w:pPr>
      <w:r>
        <w:rPr>
          <w:rFonts w:hint="eastAsia"/>
        </w:rPr>
        <w:t>2.雷电橙色预警信号</w:t>
      </w:r>
    </w:p>
    <w:p w14:paraId="56BDD35D">
      <w:pPr>
        <w:ind w:firstLine="632"/>
      </w:pPr>
      <w:r>
        <w:rPr>
          <w:rFonts w:hint="eastAsia"/>
        </w:rPr>
        <w:t>标准：2小时内发生雷电活动的可能性很大，或者已经受雷电活动影响，且可能持续，出现雷电灾害事故的可能性比较大。</w:t>
      </w:r>
    </w:p>
    <w:p w14:paraId="28C45E8D">
      <w:pPr>
        <w:ind w:firstLine="634"/>
      </w:pPr>
      <w:r>
        <w:rPr>
          <w:rFonts w:hint="eastAsia"/>
          <w:b/>
          <w:bCs/>
        </w:rPr>
        <w:t>九、雷雨大风预警信号</w:t>
      </w:r>
    </w:p>
    <w:p w14:paraId="0A699694">
      <w:pPr>
        <w:ind w:firstLine="632"/>
      </w:pPr>
      <w:r>
        <w:rPr>
          <w:rFonts w:hint="eastAsia"/>
        </w:rPr>
        <w:t>1.雷雨大风黄色预警信号</w:t>
      </w:r>
    </w:p>
    <w:p w14:paraId="6154E150">
      <w:pPr>
        <w:ind w:firstLine="632"/>
      </w:pPr>
      <w:r>
        <w:rPr>
          <w:rFonts w:hint="eastAsia"/>
        </w:rPr>
        <w:t>标准：6小时内可能受雷雨大风影响，平均风力可达6级以上，或阵风8级以上并伴有强雷电；或者已经受雷雨大风影响，平均风力达6～7级，或阵风7～8级并伴有强雷电，且可能持续。</w:t>
      </w:r>
    </w:p>
    <w:p w14:paraId="0BD9A46C">
      <w:pPr>
        <w:ind w:firstLine="632"/>
      </w:pPr>
      <w:r>
        <w:rPr>
          <w:rFonts w:hint="eastAsia"/>
        </w:rPr>
        <w:t>2.雷雨大风橙色预警信号</w:t>
      </w:r>
    </w:p>
    <w:p w14:paraId="1D0767EA">
      <w:pPr>
        <w:ind w:firstLine="632"/>
      </w:pPr>
      <w:r>
        <w:rPr>
          <w:rFonts w:hint="eastAsia"/>
        </w:rPr>
        <w:t>标准：2小时内可能受雷雨大风影响，平均风力可达8级以上，或阵风10级以上，并伴有强雷电；或者已经受雷雨大风影响，平均风力为8～9级，或阵风9～10级并伴有强雷电，且可能持续。</w:t>
      </w:r>
    </w:p>
    <w:p w14:paraId="7C7A8740">
      <w:pPr>
        <w:ind w:firstLine="632"/>
      </w:pPr>
      <w:r>
        <w:rPr>
          <w:rFonts w:hint="eastAsia"/>
        </w:rPr>
        <w:t>3.雷雨大风红色预警信号</w:t>
      </w:r>
    </w:p>
    <w:p w14:paraId="4255A21D">
      <w:pPr>
        <w:ind w:firstLine="632"/>
      </w:pPr>
      <w:r>
        <w:rPr>
          <w:rFonts w:hint="eastAsia"/>
        </w:rPr>
        <w:t>标准：2小时内可能受雷雨大风影响，平均风力可达10级以上，或阵风12级以上，并伴有强雷电；或者已经受雷雨大风影响， 平均风力为10～11级，或阵风11～12级，并伴有强雷电，且可能持续。</w:t>
      </w:r>
    </w:p>
    <w:p w14:paraId="41972172">
      <w:pPr>
        <w:ind w:firstLine="634"/>
      </w:pPr>
      <w:r>
        <w:rPr>
          <w:rFonts w:hint="eastAsia"/>
          <w:b/>
          <w:bCs/>
        </w:rPr>
        <w:t>十、冰雹预警信号</w:t>
      </w:r>
    </w:p>
    <w:p w14:paraId="1A3101F0">
      <w:pPr>
        <w:ind w:firstLine="632"/>
      </w:pPr>
      <w:r>
        <w:rPr>
          <w:rFonts w:hint="eastAsia"/>
        </w:rPr>
        <w:t>1.冰雹橙色预警信号</w:t>
      </w:r>
    </w:p>
    <w:p w14:paraId="473AB6D2">
      <w:pPr>
        <w:ind w:firstLine="632"/>
      </w:pPr>
      <w:r>
        <w:rPr>
          <w:rFonts w:hint="eastAsia"/>
        </w:rPr>
        <w:t>标准：6小时内可能出现冰雹天气，或者已出现冰雹，并可能造成雹灾。</w:t>
      </w:r>
    </w:p>
    <w:p w14:paraId="4E309F55">
      <w:pPr>
        <w:ind w:firstLine="632"/>
      </w:pPr>
      <w:r>
        <w:rPr>
          <w:rFonts w:hint="eastAsia"/>
        </w:rPr>
        <w:t>2.冰雹红色预警信号</w:t>
      </w:r>
    </w:p>
    <w:p w14:paraId="2BC12EBE">
      <w:pPr>
        <w:ind w:firstLine="632"/>
      </w:pPr>
      <w:r>
        <w:rPr>
          <w:rFonts w:hint="eastAsia"/>
        </w:rPr>
        <w:t>标准：2小时内出现冰雹可能性极大，或者已出现冰雹，并可能造成重雹灾。</w:t>
      </w:r>
    </w:p>
    <w:p w14:paraId="005F7263">
      <w:pPr>
        <w:ind w:firstLine="634"/>
      </w:pPr>
      <w:r>
        <w:rPr>
          <w:rFonts w:hint="eastAsia"/>
          <w:b/>
          <w:bCs/>
        </w:rPr>
        <w:t>十一、霜冻预警信号</w:t>
      </w:r>
    </w:p>
    <w:p w14:paraId="28FE4671">
      <w:pPr>
        <w:ind w:firstLine="632"/>
      </w:pPr>
      <w:r>
        <w:rPr>
          <w:rFonts w:hint="eastAsia"/>
        </w:rPr>
        <w:t>1.霜冻蓝色预警信号</w:t>
      </w:r>
    </w:p>
    <w:p w14:paraId="7D1EF694">
      <w:pPr>
        <w:ind w:firstLine="632"/>
      </w:pPr>
      <w:r>
        <w:rPr>
          <w:rFonts w:hint="eastAsia"/>
        </w:rPr>
        <w:t>标准：24小时内地面最低温度将下降到0℃～－3℃，对农业将产生影响，或者已经降到0℃～－3℃，对农业已经产生影响，并可能持续。</w:t>
      </w:r>
    </w:p>
    <w:p w14:paraId="28C351B0">
      <w:pPr>
        <w:ind w:firstLine="632"/>
      </w:pPr>
      <w:r>
        <w:rPr>
          <w:rFonts w:hint="eastAsia"/>
        </w:rPr>
        <w:t>2.霜冻黄色预警信号</w:t>
      </w:r>
    </w:p>
    <w:p w14:paraId="7C8EF8E4">
      <w:pPr>
        <w:ind w:firstLine="632"/>
      </w:pPr>
      <w:r>
        <w:rPr>
          <w:rFonts w:hint="eastAsia"/>
        </w:rPr>
        <w:t>标准：24小时内地面最低温度将要下降到－3℃～－5℃，对农业将产生较重影响，或者已经降到－3℃～－5℃，对农业已经产生较重影响。</w:t>
      </w:r>
    </w:p>
    <w:p w14:paraId="0DAA100D">
      <w:pPr>
        <w:ind w:firstLine="632"/>
      </w:pPr>
      <w:r>
        <w:rPr>
          <w:rFonts w:hint="eastAsia"/>
        </w:rPr>
        <w:t>3.霜冻橙色预警信号</w:t>
      </w:r>
    </w:p>
    <w:p w14:paraId="74925C17">
      <w:pPr>
        <w:ind w:firstLine="632"/>
      </w:pPr>
      <w:r>
        <w:rPr>
          <w:rFonts w:hint="eastAsia"/>
        </w:rPr>
        <w:t>标准：24小时内地面最低温度将下降到－5℃以下，对农业将产生严重影响，或者已经降到－5℃以下，对农业已经产生严重影响，并将持续。</w:t>
      </w:r>
    </w:p>
    <w:p w14:paraId="1FAEAD6D">
      <w:pPr>
        <w:ind w:firstLine="634"/>
      </w:pPr>
      <w:r>
        <w:rPr>
          <w:rFonts w:hint="eastAsia"/>
          <w:b/>
          <w:bCs/>
        </w:rPr>
        <w:t>十二、大雾预警信号</w:t>
      </w:r>
    </w:p>
    <w:p w14:paraId="2FB8A973">
      <w:pPr>
        <w:ind w:firstLine="632"/>
      </w:pPr>
      <w:r>
        <w:rPr>
          <w:rFonts w:hint="eastAsia"/>
        </w:rPr>
        <w:t>1.大雾黄色预警信号</w:t>
      </w:r>
    </w:p>
    <w:p w14:paraId="0A66810E">
      <w:pPr>
        <w:ind w:firstLine="632"/>
      </w:pPr>
      <w:r>
        <w:rPr>
          <w:rFonts w:hint="eastAsia"/>
        </w:rPr>
        <w:t>标准：12小时内可能出现能见度小于500米的雾，或者已经出现能见度小于500米、大于等于200米的雾并将持续。</w:t>
      </w:r>
    </w:p>
    <w:p w14:paraId="737DA369">
      <w:pPr>
        <w:ind w:firstLine="632"/>
      </w:pPr>
      <w:r>
        <w:rPr>
          <w:rFonts w:hint="eastAsia"/>
        </w:rPr>
        <w:t>2.大雾橙色预警信号</w:t>
      </w:r>
    </w:p>
    <w:p w14:paraId="0158CBCB">
      <w:pPr>
        <w:ind w:firstLine="632"/>
      </w:pPr>
      <w:r>
        <w:rPr>
          <w:rFonts w:hint="eastAsia"/>
        </w:rPr>
        <w:t>标准：6小时内可能出现能见度小于200米的雾，或者已经出现能见度小于200米、大于等于50米的雾并将持续。</w:t>
      </w:r>
    </w:p>
    <w:p w14:paraId="60E9416B">
      <w:pPr>
        <w:ind w:firstLine="632"/>
      </w:pPr>
      <w:r>
        <w:rPr>
          <w:rFonts w:hint="eastAsia"/>
        </w:rPr>
        <w:t>3.大雾红色预警信号</w:t>
      </w:r>
    </w:p>
    <w:p w14:paraId="0D20CBF0">
      <w:pPr>
        <w:ind w:firstLine="632"/>
      </w:pPr>
      <w:r>
        <w:rPr>
          <w:rFonts w:hint="eastAsia"/>
        </w:rPr>
        <w:t>标准：2小时内可能出现能见度小于50米的雾，或者已经出现能见度小于50米的雾并将持续。</w:t>
      </w:r>
    </w:p>
    <w:p w14:paraId="5749540E">
      <w:pPr>
        <w:ind w:firstLine="634"/>
      </w:pPr>
      <w:r>
        <w:rPr>
          <w:rFonts w:hint="eastAsia"/>
          <w:b/>
          <w:bCs/>
        </w:rPr>
        <w:t>十三、道路结冰预警信号</w:t>
      </w:r>
    </w:p>
    <w:p w14:paraId="4C6239A3">
      <w:pPr>
        <w:ind w:firstLine="632"/>
      </w:pPr>
      <w:r>
        <w:rPr>
          <w:rFonts w:hint="eastAsia"/>
        </w:rPr>
        <w:t>1.道路结冰黄色预警信号</w:t>
      </w:r>
    </w:p>
    <w:p w14:paraId="1F68871F">
      <w:pPr>
        <w:ind w:firstLine="632"/>
      </w:pPr>
      <w:r>
        <w:rPr>
          <w:rFonts w:hint="eastAsia"/>
        </w:rPr>
        <w:t>标准：受降水天气影响，预计未来24小时或连续三天将有道路结冰现象，可能对交通有影响。</w:t>
      </w:r>
    </w:p>
    <w:p w14:paraId="51D739EB">
      <w:pPr>
        <w:ind w:firstLine="632"/>
      </w:pPr>
      <w:r>
        <w:rPr>
          <w:rFonts w:hint="eastAsia"/>
        </w:rPr>
        <w:t>2.道路结冰橙色预警信号</w:t>
      </w:r>
    </w:p>
    <w:p w14:paraId="365EB027">
      <w:pPr>
        <w:ind w:firstLine="632"/>
      </w:pPr>
      <w:r>
        <w:rPr>
          <w:rFonts w:hint="eastAsia"/>
        </w:rPr>
        <w:t>标准：受降水天气影响，预计未来12小时将有道路结冰现象，可能对交通有较大影响。</w:t>
      </w:r>
    </w:p>
    <w:p w14:paraId="346A8EBD">
      <w:pPr>
        <w:pStyle w:val="3"/>
      </w:pPr>
      <w:bookmarkStart w:id="391" w:name="_Toc21849"/>
      <w:r>
        <w:rPr>
          <w:rFonts w:hint="eastAsia"/>
        </w:rPr>
        <w:t>标准说明</w:t>
      </w:r>
      <w:bookmarkEnd w:id="391"/>
    </w:p>
    <w:p w14:paraId="200132D3">
      <w:pPr>
        <w:ind w:firstLine="632"/>
      </w:pPr>
      <w:r>
        <w:rPr>
          <w:rFonts w:hint="eastAsia"/>
        </w:rPr>
        <w:t>本预案中有关标准按现行标准执行，国家有关法律法规、技术标准调整后，按新标准执行。</w:t>
      </w:r>
    </w:p>
    <w:p w14:paraId="2734F994">
      <w:pPr>
        <w:pStyle w:val="3"/>
      </w:pPr>
      <w:bookmarkStart w:id="392" w:name="_Toc11720"/>
      <w:r>
        <w:rPr>
          <w:rFonts w:hint="eastAsia"/>
        </w:rPr>
        <w:t>预案解释</w:t>
      </w:r>
      <w:bookmarkEnd w:id="392"/>
    </w:p>
    <w:p w14:paraId="2E914C7C">
      <w:pPr>
        <w:ind w:firstLine="632"/>
      </w:pPr>
      <w:r>
        <w:rPr>
          <w:rFonts w:hint="eastAsia"/>
        </w:rPr>
        <w:t>本预案由集贤县气象灾害防御指挥部办公室负责解释。</w:t>
      </w:r>
    </w:p>
    <w:p w14:paraId="48F3BF2B">
      <w:pPr>
        <w:pStyle w:val="3"/>
      </w:pPr>
      <w:bookmarkStart w:id="393" w:name="_Toc2100"/>
      <w:r>
        <w:rPr>
          <w:rFonts w:hint="eastAsia"/>
        </w:rPr>
        <w:t>预案的实施</w:t>
      </w:r>
      <w:bookmarkEnd w:id="393"/>
    </w:p>
    <w:p w14:paraId="587F30AA">
      <w:pPr>
        <w:ind w:firstLine="632"/>
      </w:pPr>
      <w:r>
        <w:rPr>
          <w:rFonts w:hint="eastAsia" w:ascii="Times New Roman" w:hAnsi="Times New Roman"/>
        </w:rPr>
        <w:t>本预案自发布之日起施行。</w:t>
      </w:r>
    </w:p>
    <w:p w14:paraId="5A0C5A68">
      <w:pPr>
        <w:rPr>
          <w:rFonts w:ascii="Times New Roman" w:hAnsi="Times New Roman" w:cs="Times New Roman"/>
        </w:rPr>
      </w:pPr>
      <w:r>
        <w:rPr>
          <w:rFonts w:ascii="Times New Roman" w:hAnsi="Times New Roman" w:cs="Times New Roman"/>
        </w:rPr>
        <w:br w:type="page"/>
      </w:r>
    </w:p>
    <w:p w14:paraId="219600C1">
      <w:pPr>
        <w:pStyle w:val="11"/>
        <w:ind w:firstLine="632"/>
      </w:pPr>
      <w:r>
        <w:rPr>
          <w:rFonts w:hint="eastAsia"/>
        </w:rPr>
        <w:t xml:space="preserve"> </w:t>
      </w:r>
    </w:p>
    <w:p w14:paraId="48BBAAA8">
      <w:pPr>
        <w:ind w:firstLine="0" w:firstLineChars="0"/>
        <w:jc w:val="center"/>
        <w:rPr>
          <w:sz w:val="36"/>
          <w:szCs w:val="36"/>
        </w:rPr>
      </w:pPr>
    </w:p>
    <w:p w14:paraId="2B49511A">
      <w:pPr>
        <w:pStyle w:val="42"/>
      </w:pPr>
    </w:p>
    <w:p w14:paraId="7A8118BC">
      <w:pPr>
        <w:autoSpaceDE w:val="0"/>
        <w:autoSpaceDN w:val="0"/>
        <w:adjustRightInd w:val="0"/>
        <w:spacing w:line="240" w:lineRule="atLeast"/>
        <w:ind w:firstLine="0" w:firstLineChars="0"/>
        <w:jc w:val="center"/>
        <w:rPr>
          <w:rFonts w:ascii="方正小标宋简体" w:hAnsi="方正小标宋简体" w:eastAsia="方正小标宋简体" w:cs="方正小标宋简体"/>
          <w:bCs/>
          <w:color w:val="000000"/>
          <w:spacing w:val="-6"/>
          <w:kern w:val="0"/>
          <w:sz w:val="52"/>
          <w:szCs w:val="52"/>
          <w:lang w:bidi="ar"/>
        </w:rPr>
      </w:pPr>
      <w:r>
        <w:rPr>
          <w:rFonts w:hint="eastAsia" w:ascii="方正小标宋简体" w:hAnsi="方正小标宋简体" w:eastAsia="方正小标宋简体" w:cs="方正小标宋简体"/>
          <w:bCs/>
          <w:color w:val="000000"/>
          <w:spacing w:val="-6"/>
          <w:kern w:val="0"/>
          <w:sz w:val="52"/>
          <w:szCs w:val="52"/>
          <w:lang w:bidi="ar"/>
        </w:rPr>
        <w:t>集贤县林业和草原生物灾害应急预案</w:t>
      </w:r>
    </w:p>
    <w:p w14:paraId="0B839121">
      <w:pPr>
        <w:pStyle w:val="11"/>
        <w:ind w:firstLine="0" w:firstLineChars="0"/>
        <w:jc w:val="center"/>
        <w:rPr>
          <w:rFonts w:ascii="Times New Roman" w:hAnsi="Times New Roman" w:eastAsia="楷体_GB2312" w:cs="Times New Roman"/>
          <w:b/>
          <w:sz w:val="52"/>
          <w:szCs w:val="52"/>
        </w:rPr>
      </w:pPr>
      <w:r>
        <w:rPr>
          <w:rFonts w:hint="eastAsia" w:ascii="仿宋_GB2312" w:hAnsi="仿宋_GB2312" w:cs="仿宋_GB2312"/>
          <w:bCs/>
          <w:sz w:val="48"/>
          <w:szCs w:val="48"/>
        </w:rPr>
        <w:t>（修订稿）</w:t>
      </w:r>
    </w:p>
    <w:p w14:paraId="0837BC5B">
      <w:pPr>
        <w:ind w:firstLine="632"/>
      </w:pPr>
    </w:p>
    <w:p w14:paraId="7E837A5A">
      <w:pPr>
        <w:ind w:firstLine="632"/>
      </w:pPr>
    </w:p>
    <w:p w14:paraId="5EF481F7">
      <w:pPr>
        <w:ind w:firstLine="632"/>
      </w:pPr>
    </w:p>
    <w:p w14:paraId="2DAD5546">
      <w:pPr>
        <w:pStyle w:val="11"/>
        <w:ind w:firstLine="632"/>
      </w:pPr>
    </w:p>
    <w:p w14:paraId="734E9FD1">
      <w:pPr>
        <w:pStyle w:val="11"/>
        <w:ind w:firstLine="632"/>
      </w:pPr>
    </w:p>
    <w:p w14:paraId="26A72A6E">
      <w:pPr>
        <w:pStyle w:val="11"/>
        <w:ind w:firstLine="632"/>
      </w:pPr>
    </w:p>
    <w:p w14:paraId="2B4681D0">
      <w:pPr>
        <w:pStyle w:val="11"/>
        <w:ind w:firstLine="632"/>
      </w:pPr>
    </w:p>
    <w:p w14:paraId="0A8C71A1">
      <w:pPr>
        <w:pStyle w:val="11"/>
        <w:ind w:firstLine="632"/>
      </w:pPr>
    </w:p>
    <w:p w14:paraId="460F2BA4">
      <w:pPr>
        <w:ind w:firstLine="632"/>
      </w:pPr>
    </w:p>
    <w:p w14:paraId="0E5632CF">
      <w:pPr>
        <w:ind w:firstLine="632"/>
      </w:pPr>
    </w:p>
    <w:p w14:paraId="723AC149">
      <w:pPr>
        <w:pStyle w:val="42"/>
      </w:pPr>
    </w:p>
    <w:p w14:paraId="6FE65DE3">
      <w:pPr>
        <w:pStyle w:val="42"/>
      </w:pPr>
    </w:p>
    <w:p w14:paraId="0C87BA3A">
      <w:pPr>
        <w:ind w:firstLine="632"/>
      </w:pPr>
    </w:p>
    <w:p w14:paraId="2967D63D">
      <w:pPr>
        <w:ind w:firstLine="0" w:firstLineChars="0"/>
        <w:jc w:val="center"/>
        <w:rPr>
          <w:rFonts w:eastAsia="仿宋"/>
          <w:bCs/>
          <w:spacing w:val="-6"/>
          <w:sz w:val="36"/>
          <w:szCs w:val="24"/>
          <w:lang w:bidi="ar"/>
        </w:rPr>
      </w:pPr>
      <w:r>
        <w:rPr>
          <w:rFonts w:hint="eastAsia"/>
          <w:bCs/>
          <w:spacing w:val="-6"/>
          <w:sz w:val="36"/>
          <w:szCs w:val="24"/>
          <w:lang w:bidi="ar"/>
        </w:rPr>
        <w:t>集贤县</w:t>
      </w:r>
      <w:r>
        <w:rPr>
          <w:rFonts w:hint="eastAsia" w:eastAsia="仿宋"/>
          <w:bCs/>
          <w:spacing w:val="-6"/>
          <w:sz w:val="36"/>
          <w:szCs w:val="24"/>
          <w:lang w:bidi="ar"/>
        </w:rPr>
        <w:t>人民政府</w:t>
      </w:r>
      <w:r>
        <w:rPr>
          <w:rFonts w:hint="eastAsia"/>
          <w:bCs/>
          <w:spacing w:val="-6"/>
          <w:sz w:val="36"/>
          <w:szCs w:val="24"/>
          <w:lang w:bidi="ar"/>
        </w:rPr>
        <w:t xml:space="preserve"> </w:t>
      </w:r>
      <w:r>
        <w:rPr>
          <w:rFonts w:hint="eastAsia" w:eastAsia="仿宋"/>
          <w:bCs/>
          <w:spacing w:val="-6"/>
          <w:sz w:val="36"/>
          <w:szCs w:val="24"/>
          <w:lang w:bidi="ar"/>
        </w:rPr>
        <w:t>编制</w:t>
      </w:r>
    </w:p>
    <w:p w14:paraId="44343472">
      <w:pPr>
        <w:ind w:firstLine="0" w:firstLineChars="0"/>
        <w:jc w:val="center"/>
        <w:rPr>
          <w:rFonts w:eastAsia="仿宋"/>
          <w:bCs/>
          <w:spacing w:val="-6"/>
          <w:sz w:val="36"/>
          <w:szCs w:val="24"/>
          <w:lang w:bidi="ar"/>
        </w:rPr>
      </w:pPr>
      <w:r>
        <w:rPr>
          <w:rFonts w:hint="eastAsia" w:eastAsia="仿宋"/>
          <w:bCs/>
          <w:spacing w:val="-6"/>
          <w:sz w:val="36"/>
          <w:szCs w:val="24"/>
          <w:lang w:bidi="ar"/>
        </w:rPr>
        <w:t>202</w:t>
      </w:r>
      <w:r>
        <w:rPr>
          <w:bCs/>
          <w:spacing w:val="-6"/>
          <w:sz w:val="36"/>
          <w:szCs w:val="24"/>
          <w:lang w:bidi="ar"/>
        </w:rPr>
        <w:t>5</w:t>
      </w:r>
      <w:r>
        <w:rPr>
          <w:rFonts w:hint="eastAsia" w:eastAsia="仿宋"/>
          <w:bCs/>
          <w:spacing w:val="-6"/>
          <w:sz w:val="36"/>
          <w:szCs w:val="24"/>
          <w:lang w:bidi="ar"/>
        </w:rPr>
        <w:t>年</w:t>
      </w:r>
      <w:r>
        <w:rPr>
          <w:rFonts w:eastAsia="仿宋"/>
          <w:bCs/>
          <w:spacing w:val="-6"/>
          <w:sz w:val="36"/>
          <w:szCs w:val="24"/>
          <w:lang w:bidi="ar"/>
        </w:rPr>
        <w:t>5</w:t>
      </w:r>
      <w:r>
        <w:rPr>
          <w:rFonts w:hint="eastAsia" w:eastAsia="仿宋"/>
          <w:bCs/>
          <w:spacing w:val="-6"/>
          <w:sz w:val="36"/>
          <w:szCs w:val="24"/>
          <w:lang w:bidi="ar"/>
        </w:rPr>
        <w:t>月</w:t>
      </w:r>
    </w:p>
    <w:p w14:paraId="026F406A">
      <w:pPr>
        <w:ind w:firstLine="0" w:firstLineChars="0"/>
        <w:sectPr>
          <w:footerReference r:id="rId22" w:type="default"/>
          <w:pgSz w:w="11906" w:h="16838"/>
          <w:pgMar w:top="2098" w:right="1474" w:bottom="1984" w:left="1587" w:header="1814" w:footer="1587" w:gutter="0"/>
          <w:pgNumType w:fmt="numberInDash"/>
          <w:cols w:space="720" w:num="1"/>
          <w:docGrid w:type="linesAndChars" w:linePitch="579" w:charSpace="-842"/>
        </w:sectPr>
      </w:pPr>
      <w:r>
        <w:rPr>
          <w:rFonts w:hint="eastAsia"/>
        </w:rPr>
        <w:br w:type="page"/>
      </w:r>
    </w:p>
    <w:p w14:paraId="759B24D2">
      <w:pPr>
        <w:ind w:firstLine="0" w:firstLineChars="0"/>
        <w:jc w:val="center"/>
        <w:rPr>
          <w:rFonts w:ascii="微软雅黑" w:hAnsi="微软雅黑" w:eastAsia="微软雅黑" w:cs="微软雅黑"/>
          <w:b/>
          <w:bCs/>
          <w:sz w:val="36"/>
          <w:szCs w:val="36"/>
        </w:rPr>
      </w:pPr>
      <w:r>
        <w:rPr>
          <w:rFonts w:hint="eastAsia" w:ascii="微软雅黑" w:hAnsi="微软雅黑" w:eastAsia="微软雅黑" w:cs="微软雅黑"/>
          <w:b/>
          <w:bCs/>
          <w:sz w:val="36"/>
          <w:szCs w:val="36"/>
        </w:rPr>
        <w:t>目  录</w:t>
      </w:r>
    </w:p>
    <w:p w14:paraId="027B967B">
      <w:pPr>
        <w:pStyle w:val="18"/>
      </w:pPr>
      <w:r>
        <w:rPr>
          <w:rFonts w:hint="eastAsia" w:ascii="黑体" w:hAnsi="黑体" w:eastAsia="黑体" w:cs="黑体"/>
          <w:sz w:val="44"/>
          <w:szCs w:val="44"/>
        </w:rPr>
        <w:fldChar w:fldCharType="begin"/>
      </w:r>
      <w:r>
        <w:rPr>
          <w:rFonts w:hint="eastAsia" w:ascii="黑体" w:hAnsi="黑体" w:eastAsia="黑体" w:cs="黑体"/>
          <w:sz w:val="44"/>
          <w:szCs w:val="44"/>
        </w:rPr>
        <w:instrText xml:space="preserve">TOC \o "1-2" \h \u </w:instrText>
      </w:r>
      <w:r>
        <w:rPr>
          <w:rFonts w:hint="eastAsia" w:ascii="黑体" w:hAnsi="黑体" w:eastAsia="黑体" w:cs="黑体"/>
          <w:sz w:val="44"/>
          <w:szCs w:val="44"/>
        </w:rPr>
        <w:fldChar w:fldCharType="separate"/>
      </w:r>
      <w:r>
        <w:fldChar w:fldCharType="begin"/>
      </w:r>
      <w:r>
        <w:instrText xml:space="preserve"> HYPERLINK \l "_Toc27530" </w:instrText>
      </w:r>
      <w:r>
        <w:fldChar w:fldCharType="separate"/>
      </w:r>
      <w:r>
        <w:rPr>
          <w:rFonts w:eastAsia="仿宋"/>
        </w:rPr>
        <w:t xml:space="preserve">1 </w:t>
      </w:r>
      <w:r>
        <w:rPr>
          <w:rFonts w:hint="eastAsia"/>
        </w:rPr>
        <w:t>总则</w:t>
      </w:r>
      <w:r>
        <w:tab/>
      </w:r>
      <w:r>
        <w:fldChar w:fldCharType="begin"/>
      </w:r>
      <w:r>
        <w:instrText xml:space="preserve"> PAGEREF _Toc27530 \h </w:instrText>
      </w:r>
      <w:r>
        <w:fldChar w:fldCharType="separate"/>
      </w:r>
      <w:r>
        <w:t>1</w:t>
      </w:r>
      <w:r>
        <w:fldChar w:fldCharType="end"/>
      </w:r>
      <w:r>
        <w:fldChar w:fldCharType="end"/>
      </w:r>
    </w:p>
    <w:p w14:paraId="1B3A9090">
      <w:pPr>
        <w:pStyle w:val="19"/>
        <w:tabs>
          <w:tab w:val="right" w:leader="dot" w:pos="8845"/>
        </w:tabs>
        <w:ind w:firstLine="632"/>
      </w:pPr>
      <w:r>
        <w:fldChar w:fldCharType="begin"/>
      </w:r>
      <w:r>
        <w:instrText xml:space="preserve"> HYPERLINK \l "_Toc10448" </w:instrText>
      </w:r>
      <w:r>
        <w:fldChar w:fldCharType="separate"/>
      </w:r>
      <w:r>
        <w:rPr>
          <w:rFonts w:eastAsia="仿宋"/>
          <w:bCs/>
          <w:szCs w:val="28"/>
        </w:rPr>
        <w:t xml:space="preserve">1.1 </w:t>
      </w:r>
      <w:r>
        <w:rPr>
          <w:rFonts w:hint="eastAsia"/>
        </w:rPr>
        <w:t>编制目的</w:t>
      </w:r>
      <w:r>
        <w:tab/>
      </w:r>
      <w:r>
        <w:fldChar w:fldCharType="begin"/>
      </w:r>
      <w:r>
        <w:instrText xml:space="preserve"> PAGEREF _Toc10448 \h </w:instrText>
      </w:r>
      <w:r>
        <w:fldChar w:fldCharType="separate"/>
      </w:r>
      <w:r>
        <w:t>1</w:t>
      </w:r>
      <w:r>
        <w:fldChar w:fldCharType="end"/>
      </w:r>
      <w:r>
        <w:fldChar w:fldCharType="end"/>
      </w:r>
    </w:p>
    <w:p w14:paraId="614999ED">
      <w:pPr>
        <w:pStyle w:val="19"/>
        <w:tabs>
          <w:tab w:val="right" w:leader="dot" w:pos="8845"/>
        </w:tabs>
        <w:ind w:firstLine="632"/>
      </w:pPr>
      <w:r>
        <w:fldChar w:fldCharType="begin"/>
      </w:r>
      <w:r>
        <w:instrText xml:space="preserve"> HYPERLINK \l "_Toc26688" </w:instrText>
      </w:r>
      <w:r>
        <w:fldChar w:fldCharType="separate"/>
      </w:r>
      <w:r>
        <w:rPr>
          <w:rFonts w:eastAsia="仿宋"/>
          <w:bCs/>
          <w:szCs w:val="28"/>
        </w:rPr>
        <w:t xml:space="preserve">1.2 </w:t>
      </w:r>
      <w:r>
        <w:rPr>
          <w:rFonts w:hint="eastAsia"/>
        </w:rPr>
        <w:t>编制依据</w:t>
      </w:r>
      <w:r>
        <w:tab/>
      </w:r>
      <w:r>
        <w:fldChar w:fldCharType="begin"/>
      </w:r>
      <w:r>
        <w:instrText xml:space="preserve"> PAGEREF _Toc26688 \h </w:instrText>
      </w:r>
      <w:r>
        <w:fldChar w:fldCharType="separate"/>
      </w:r>
      <w:r>
        <w:t>1</w:t>
      </w:r>
      <w:r>
        <w:fldChar w:fldCharType="end"/>
      </w:r>
      <w:r>
        <w:fldChar w:fldCharType="end"/>
      </w:r>
    </w:p>
    <w:p w14:paraId="4970E829">
      <w:pPr>
        <w:pStyle w:val="19"/>
        <w:tabs>
          <w:tab w:val="right" w:leader="dot" w:pos="8845"/>
        </w:tabs>
        <w:ind w:firstLine="632"/>
      </w:pPr>
      <w:r>
        <w:fldChar w:fldCharType="begin"/>
      </w:r>
      <w:r>
        <w:instrText xml:space="preserve"> HYPERLINK \l "_Toc22169" </w:instrText>
      </w:r>
      <w:r>
        <w:fldChar w:fldCharType="separate"/>
      </w:r>
      <w:r>
        <w:rPr>
          <w:rFonts w:eastAsia="仿宋"/>
          <w:bCs/>
          <w:szCs w:val="28"/>
        </w:rPr>
        <w:t xml:space="preserve">1.3 </w:t>
      </w:r>
      <w:r>
        <w:rPr>
          <w:rFonts w:hint="eastAsia"/>
        </w:rPr>
        <w:t>适用范围</w:t>
      </w:r>
      <w:r>
        <w:tab/>
      </w:r>
      <w:r>
        <w:fldChar w:fldCharType="begin"/>
      </w:r>
      <w:r>
        <w:instrText xml:space="preserve"> PAGEREF _Toc22169 \h </w:instrText>
      </w:r>
      <w:r>
        <w:fldChar w:fldCharType="separate"/>
      </w:r>
      <w:r>
        <w:t>1</w:t>
      </w:r>
      <w:r>
        <w:fldChar w:fldCharType="end"/>
      </w:r>
      <w:r>
        <w:fldChar w:fldCharType="end"/>
      </w:r>
    </w:p>
    <w:p w14:paraId="66A01D03">
      <w:pPr>
        <w:pStyle w:val="19"/>
        <w:tabs>
          <w:tab w:val="right" w:leader="dot" w:pos="8845"/>
        </w:tabs>
        <w:ind w:firstLine="632"/>
      </w:pPr>
      <w:r>
        <w:fldChar w:fldCharType="begin"/>
      </w:r>
      <w:r>
        <w:instrText xml:space="preserve"> HYPERLINK \l "_Toc3647" </w:instrText>
      </w:r>
      <w:r>
        <w:fldChar w:fldCharType="separate"/>
      </w:r>
      <w:r>
        <w:rPr>
          <w:rFonts w:eastAsia="仿宋"/>
          <w:bCs/>
          <w:szCs w:val="28"/>
        </w:rPr>
        <w:t xml:space="preserve">1.4 </w:t>
      </w:r>
      <w:r>
        <w:rPr>
          <w:rFonts w:hint="eastAsia"/>
        </w:rPr>
        <w:t>工作原则</w:t>
      </w:r>
      <w:r>
        <w:tab/>
      </w:r>
      <w:r>
        <w:fldChar w:fldCharType="begin"/>
      </w:r>
      <w:r>
        <w:instrText xml:space="preserve"> PAGEREF _Toc3647 \h </w:instrText>
      </w:r>
      <w:r>
        <w:fldChar w:fldCharType="separate"/>
      </w:r>
      <w:r>
        <w:t>1</w:t>
      </w:r>
      <w:r>
        <w:fldChar w:fldCharType="end"/>
      </w:r>
      <w:r>
        <w:fldChar w:fldCharType="end"/>
      </w:r>
    </w:p>
    <w:p w14:paraId="47028055">
      <w:pPr>
        <w:pStyle w:val="19"/>
        <w:tabs>
          <w:tab w:val="right" w:leader="dot" w:pos="8845"/>
        </w:tabs>
        <w:ind w:firstLine="632"/>
      </w:pPr>
      <w:r>
        <w:fldChar w:fldCharType="begin"/>
      </w:r>
      <w:r>
        <w:instrText xml:space="preserve"> HYPERLINK \l "_Toc1324" </w:instrText>
      </w:r>
      <w:r>
        <w:fldChar w:fldCharType="separate"/>
      </w:r>
      <w:r>
        <w:rPr>
          <w:rFonts w:eastAsia="仿宋"/>
          <w:bCs/>
          <w:szCs w:val="28"/>
        </w:rPr>
        <w:t xml:space="preserve">1.5 </w:t>
      </w:r>
      <w:r>
        <w:rPr>
          <w:rFonts w:hint="eastAsia"/>
        </w:rPr>
        <w:t>灾害分级</w:t>
      </w:r>
      <w:r>
        <w:tab/>
      </w:r>
      <w:r>
        <w:fldChar w:fldCharType="begin"/>
      </w:r>
      <w:r>
        <w:instrText xml:space="preserve"> PAGEREF _Toc1324 \h </w:instrText>
      </w:r>
      <w:r>
        <w:fldChar w:fldCharType="separate"/>
      </w:r>
      <w:r>
        <w:t>1</w:t>
      </w:r>
      <w:r>
        <w:fldChar w:fldCharType="end"/>
      </w:r>
      <w:r>
        <w:fldChar w:fldCharType="end"/>
      </w:r>
    </w:p>
    <w:p w14:paraId="74FD878D">
      <w:pPr>
        <w:pStyle w:val="18"/>
      </w:pPr>
      <w:r>
        <w:fldChar w:fldCharType="begin"/>
      </w:r>
      <w:r>
        <w:instrText xml:space="preserve"> HYPERLINK \l "_Toc5370" </w:instrText>
      </w:r>
      <w:r>
        <w:fldChar w:fldCharType="separate"/>
      </w:r>
      <w:r>
        <w:rPr>
          <w:rFonts w:eastAsia="仿宋"/>
        </w:rPr>
        <w:t xml:space="preserve">2 </w:t>
      </w:r>
      <w:r>
        <w:rPr>
          <w:rFonts w:hint="eastAsia"/>
        </w:rPr>
        <w:t>组织指挥体系及职责</w:t>
      </w:r>
      <w:r>
        <w:tab/>
      </w:r>
      <w:r>
        <w:fldChar w:fldCharType="begin"/>
      </w:r>
      <w:r>
        <w:instrText xml:space="preserve"> PAGEREF _Toc5370 \h </w:instrText>
      </w:r>
      <w:r>
        <w:fldChar w:fldCharType="separate"/>
      </w:r>
      <w:r>
        <w:t>2</w:t>
      </w:r>
      <w:r>
        <w:fldChar w:fldCharType="end"/>
      </w:r>
      <w:r>
        <w:fldChar w:fldCharType="end"/>
      </w:r>
    </w:p>
    <w:p w14:paraId="316908A2">
      <w:pPr>
        <w:pStyle w:val="19"/>
        <w:tabs>
          <w:tab w:val="right" w:leader="dot" w:pos="8845"/>
        </w:tabs>
        <w:ind w:firstLine="632"/>
      </w:pPr>
      <w:r>
        <w:fldChar w:fldCharType="begin"/>
      </w:r>
      <w:r>
        <w:instrText xml:space="preserve"> HYPERLINK \l "_Toc23869" </w:instrText>
      </w:r>
      <w:r>
        <w:fldChar w:fldCharType="separate"/>
      </w:r>
      <w:r>
        <w:rPr>
          <w:rFonts w:eastAsia="仿宋"/>
          <w:bCs/>
          <w:szCs w:val="28"/>
        </w:rPr>
        <w:t xml:space="preserve">2.1 </w:t>
      </w:r>
      <w:r>
        <w:rPr>
          <w:rFonts w:hint="eastAsia"/>
        </w:rPr>
        <w:t>县指挥部组成及职责</w:t>
      </w:r>
      <w:r>
        <w:tab/>
      </w:r>
      <w:r>
        <w:fldChar w:fldCharType="begin"/>
      </w:r>
      <w:r>
        <w:instrText xml:space="preserve"> PAGEREF _Toc23869 \h </w:instrText>
      </w:r>
      <w:r>
        <w:fldChar w:fldCharType="separate"/>
      </w:r>
      <w:r>
        <w:t>2</w:t>
      </w:r>
      <w:r>
        <w:fldChar w:fldCharType="end"/>
      </w:r>
      <w:r>
        <w:fldChar w:fldCharType="end"/>
      </w:r>
    </w:p>
    <w:p w14:paraId="12076194">
      <w:pPr>
        <w:pStyle w:val="19"/>
        <w:tabs>
          <w:tab w:val="right" w:leader="dot" w:pos="8845"/>
        </w:tabs>
        <w:ind w:firstLine="632"/>
      </w:pPr>
      <w:r>
        <w:fldChar w:fldCharType="begin"/>
      </w:r>
      <w:r>
        <w:instrText xml:space="preserve"> HYPERLINK \l "_Toc23840" </w:instrText>
      </w:r>
      <w:r>
        <w:fldChar w:fldCharType="separate"/>
      </w:r>
      <w:r>
        <w:rPr>
          <w:rFonts w:eastAsia="仿宋"/>
          <w:bCs/>
          <w:szCs w:val="28"/>
        </w:rPr>
        <w:t xml:space="preserve">2.2 </w:t>
      </w:r>
      <w:r>
        <w:rPr>
          <w:rFonts w:hint="eastAsia"/>
        </w:rPr>
        <w:t>现场指挥部</w:t>
      </w:r>
      <w:r>
        <w:tab/>
      </w:r>
      <w:r>
        <w:fldChar w:fldCharType="begin"/>
      </w:r>
      <w:r>
        <w:instrText xml:space="preserve"> PAGEREF _Toc23840 \h </w:instrText>
      </w:r>
      <w:r>
        <w:fldChar w:fldCharType="separate"/>
      </w:r>
      <w:r>
        <w:t>5</w:t>
      </w:r>
      <w:r>
        <w:fldChar w:fldCharType="end"/>
      </w:r>
      <w:r>
        <w:fldChar w:fldCharType="end"/>
      </w:r>
    </w:p>
    <w:p w14:paraId="5D4F54EE">
      <w:pPr>
        <w:pStyle w:val="18"/>
      </w:pPr>
      <w:r>
        <w:fldChar w:fldCharType="begin"/>
      </w:r>
      <w:r>
        <w:instrText xml:space="preserve"> HYPERLINK \l "_Toc21605" </w:instrText>
      </w:r>
      <w:r>
        <w:fldChar w:fldCharType="separate"/>
      </w:r>
      <w:r>
        <w:rPr>
          <w:rFonts w:eastAsia="仿宋"/>
        </w:rPr>
        <w:t xml:space="preserve">3 </w:t>
      </w:r>
      <w:r>
        <w:rPr>
          <w:rFonts w:hint="eastAsia"/>
        </w:rPr>
        <w:t>预防和预警机制</w:t>
      </w:r>
      <w:r>
        <w:tab/>
      </w:r>
      <w:r>
        <w:fldChar w:fldCharType="begin"/>
      </w:r>
      <w:r>
        <w:instrText xml:space="preserve"> PAGEREF _Toc21605 \h </w:instrText>
      </w:r>
      <w:r>
        <w:fldChar w:fldCharType="separate"/>
      </w:r>
      <w:r>
        <w:t>6</w:t>
      </w:r>
      <w:r>
        <w:fldChar w:fldCharType="end"/>
      </w:r>
      <w:r>
        <w:fldChar w:fldCharType="end"/>
      </w:r>
    </w:p>
    <w:p w14:paraId="747158B2">
      <w:pPr>
        <w:pStyle w:val="19"/>
        <w:tabs>
          <w:tab w:val="right" w:leader="dot" w:pos="8845"/>
        </w:tabs>
        <w:ind w:firstLine="632"/>
      </w:pPr>
      <w:r>
        <w:fldChar w:fldCharType="begin"/>
      </w:r>
      <w:r>
        <w:instrText xml:space="preserve"> HYPERLINK \l "_Toc18173" </w:instrText>
      </w:r>
      <w:r>
        <w:fldChar w:fldCharType="separate"/>
      </w:r>
      <w:r>
        <w:rPr>
          <w:rFonts w:eastAsia="仿宋"/>
          <w:bCs/>
          <w:szCs w:val="28"/>
        </w:rPr>
        <w:t xml:space="preserve">3.1 </w:t>
      </w:r>
      <w:r>
        <w:rPr>
          <w:rFonts w:hint="eastAsia"/>
        </w:rPr>
        <w:t>预防体系</w:t>
      </w:r>
      <w:r>
        <w:tab/>
      </w:r>
      <w:r>
        <w:fldChar w:fldCharType="begin"/>
      </w:r>
      <w:r>
        <w:instrText xml:space="preserve"> PAGEREF _Toc18173 \h </w:instrText>
      </w:r>
      <w:r>
        <w:fldChar w:fldCharType="separate"/>
      </w:r>
      <w:r>
        <w:t>6</w:t>
      </w:r>
      <w:r>
        <w:fldChar w:fldCharType="end"/>
      </w:r>
      <w:r>
        <w:fldChar w:fldCharType="end"/>
      </w:r>
    </w:p>
    <w:p w14:paraId="4F4A8024">
      <w:pPr>
        <w:pStyle w:val="19"/>
        <w:tabs>
          <w:tab w:val="right" w:leader="dot" w:pos="8845"/>
        </w:tabs>
        <w:ind w:firstLine="632"/>
      </w:pPr>
      <w:r>
        <w:fldChar w:fldCharType="begin"/>
      </w:r>
      <w:r>
        <w:instrText xml:space="preserve"> HYPERLINK \l "_Toc28269" </w:instrText>
      </w:r>
      <w:r>
        <w:fldChar w:fldCharType="separate"/>
      </w:r>
      <w:r>
        <w:rPr>
          <w:rFonts w:eastAsia="仿宋"/>
          <w:bCs/>
          <w:szCs w:val="28"/>
        </w:rPr>
        <w:t xml:space="preserve">3.2 </w:t>
      </w:r>
      <w:r>
        <w:rPr>
          <w:rFonts w:hint="eastAsia"/>
        </w:rPr>
        <w:t>监测机构</w:t>
      </w:r>
      <w:r>
        <w:tab/>
      </w:r>
      <w:r>
        <w:fldChar w:fldCharType="begin"/>
      </w:r>
      <w:r>
        <w:instrText xml:space="preserve"> PAGEREF _Toc28269 \h </w:instrText>
      </w:r>
      <w:r>
        <w:fldChar w:fldCharType="separate"/>
      </w:r>
      <w:r>
        <w:t>7</w:t>
      </w:r>
      <w:r>
        <w:fldChar w:fldCharType="end"/>
      </w:r>
      <w:r>
        <w:fldChar w:fldCharType="end"/>
      </w:r>
    </w:p>
    <w:p w14:paraId="2EAD3358">
      <w:pPr>
        <w:pStyle w:val="19"/>
        <w:tabs>
          <w:tab w:val="right" w:leader="dot" w:pos="8845"/>
        </w:tabs>
        <w:ind w:firstLine="632"/>
      </w:pPr>
      <w:r>
        <w:fldChar w:fldCharType="begin"/>
      </w:r>
      <w:r>
        <w:instrText xml:space="preserve"> HYPERLINK \l "_Toc8481" </w:instrText>
      </w:r>
      <w:r>
        <w:fldChar w:fldCharType="separate"/>
      </w:r>
      <w:r>
        <w:rPr>
          <w:rFonts w:eastAsia="仿宋"/>
          <w:bCs/>
          <w:szCs w:val="28"/>
        </w:rPr>
        <w:t xml:space="preserve">3.3 </w:t>
      </w:r>
      <w:r>
        <w:rPr>
          <w:rFonts w:hint="eastAsia"/>
        </w:rPr>
        <w:t>信息交流和科技支撑</w:t>
      </w:r>
      <w:r>
        <w:tab/>
      </w:r>
      <w:r>
        <w:fldChar w:fldCharType="begin"/>
      </w:r>
      <w:r>
        <w:instrText xml:space="preserve"> PAGEREF _Toc8481 \h </w:instrText>
      </w:r>
      <w:r>
        <w:fldChar w:fldCharType="separate"/>
      </w:r>
      <w:r>
        <w:t>7</w:t>
      </w:r>
      <w:r>
        <w:fldChar w:fldCharType="end"/>
      </w:r>
      <w:r>
        <w:fldChar w:fldCharType="end"/>
      </w:r>
    </w:p>
    <w:p w14:paraId="781DC157">
      <w:pPr>
        <w:pStyle w:val="19"/>
        <w:tabs>
          <w:tab w:val="right" w:leader="dot" w:pos="8845"/>
        </w:tabs>
        <w:ind w:firstLine="632"/>
      </w:pPr>
      <w:r>
        <w:fldChar w:fldCharType="begin"/>
      </w:r>
      <w:r>
        <w:instrText xml:space="preserve"> HYPERLINK \l "_Toc23023" </w:instrText>
      </w:r>
      <w:r>
        <w:fldChar w:fldCharType="separate"/>
      </w:r>
      <w:r>
        <w:rPr>
          <w:rFonts w:eastAsia="仿宋"/>
          <w:bCs/>
          <w:szCs w:val="28"/>
        </w:rPr>
        <w:t xml:space="preserve">3.4 </w:t>
      </w:r>
      <w:r>
        <w:rPr>
          <w:rFonts w:hint="eastAsia"/>
        </w:rPr>
        <w:t>检疫管理</w:t>
      </w:r>
      <w:r>
        <w:tab/>
      </w:r>
      <w:r>
        <w:fldChar w:fldCharType="begin"/>
      </w:r>
      <w:r>
        <w:instrText xml:space="preserve"> PAGEREF _Toc23023 \h </w:instrText>
      </w:r>
      <w:r>
        <w:fldChar w:fldCharType="separate"/>
      </w:r>
      <w:r>
        <w:t>8</w:t>
      </w:r>
      <w:r>
        <w:fldChar w:fldCharType="end"/>
      </w:r>
      <w:r>
        <w:fldChar w:fldCharType="end"/>
      </w:r>
    </w:p>
    <w:p w14:paraId="218DBC1F">
      <w:pPr>
        <w:pStyle w:val="18"/>
      </w:pPr>
      <w:r>
        <w:fldChar w:fldCharType="begin"/>
      </w:r>
      <w:r>
        <w:instrText xml:space="preserve"> HYPERLINK \l "_Toc6392" </w:instrText>
      </w:r>
      <w:r>
        <w:fldChar w:fldCharType="separate"/>
      </w:r>
      <w:r>
        <w:rPr>
          <w:rFonts w:eastAsia="仿宋"/>
        </w:rPr>
        <w:t xml:space="preserve">4 </w:t>
      </w:r>
      <w:r>
        <w:rPr>
          <w:rFonts w:hint="eastAsia"/>
        </w:rPr>
        <w:t>应急响应</w:t>
      </w:r>
      <w:r>
        <w:tab/>
      </w:r>
      <w:r>
        <w:fldChar w:fldCharType="begin"/>
      </w:r>
      <w:r>
        <w:instrText xml:space="preserve"> PAGEREF _Toc6392 \h </w:instrText>
      </w:r>
      <w:r>
        <w:fldChar w:fldCharType="separate"/>
      </w:r>
      <w:r>
        <w:t>8</w:t>
      </w:r>
      <w:r>
        <w:fldChar w:fldCharType="end"/>
      </w:r>
      <w:r>
        <w:fldChar w:fldCharType="end"/>
      </w:r>
    </w:p>
    <w:p w14:paraId="3B39D2F9">
      <w:pPr>
        <w:pStyle w:val="19"/>
        <w:tabs>
          <w:tab w:val="right" w:leader="dot" w:pos="8845"/>
        </w:tabs>
        <w:ind w:firstLine="632"/>
      </w:pPr>
      <w:r>
        <w:fldChar w:fldCharType="begin"/>
      </w:r>
      <w:r>
        <w:instrText xml:space="preserve"> HYPERLINK \l "_Toc19184" </w:instrText>
      </w:r>
      <w:r>
        <w:fldChar w:fldCharType="separate"/>
      </w:r>
      <w:r>
        <w:rPr>
          <w:rFonts w:eastAsia="仿宋"/>
          <w:bCs/>
          <w:szCs w:val="28"/>
        </w:rPr>
        <w:t xml:space="preserve">4.1 </w:t>
      </w:r>
      <w:r>
        <w:rPr>
          <w:rFonts w:hint="eastAsia"/>
        </w:rPr>
        <w:t>信息接报</w:t>
      </w:r>
      <w:r>
        <w:tab/>
      </w:r>
      <w:r>
        <w:fldChar w:fldCharType="begin"/>
      </w:r>
      <w:r>
        <w:instrText xml:space="preserve"> PAGEREF _Toc19184 \h </w:instrText>
      </w:r>
      <w:r>
        <w:fldChar w:fldCharType="separate"/>
      </w:r>
      <w:r>
        <w:t>8</w:t>
      </w:r>
      <w:r>
        <w:fldChar w:fldCharType="end"/>
      </w:r>
      <w:r>
        <w:fldChar w:fldCharType="end"/>
      </w:r>
    </w:p>
    <w:p w14:paraId="6DC3E985">
      <w:pPr>
        <w:pStyle w:val="19"/>
        <w:tabs>
          <w:tab w:val="right" w:leader="dot" w:pos="8845"/>
        </w:tabs>
        <w:ind w:firstLine="632"/>
      </w:pPr>
      <w:r>
        <w:fldChar w:fldCharType="begin"/>
      </w:r>
      <w:r>
        <w:instrText xml:space="preserve"> HYPERLINK \l "_Toc9599" </w:instrText>
      </w:r>
      <w:r>
        <w:fldChar w:fldCharType="separate"/>
      </w:r>
      <w:r>
        <w:rPr>
          <w:rFonts w:eastAsia="仿宋"/>
          <w:bCs/>
          <w:szCs w:val="28"/>
        </w:rPr>
        <w:t xml:space="preserve">4.2 </w:t>
      </w:r>
      <w:r>
        <w:rPr>
          <w:rFonts w:hint="eastAsia"/>
        </w:rPr>
        <w:t>核查及报送</w:t>
      </w:r>
      <w:r>
        <w:tab/>
      </w:r>
      <w:r>
        <w:fldChar w:fldCharType="begin"/>
      </w:r>
      <w:r>
        <w:instrText xml:space="preserve"> PAGEREF _Toc9599 \h </w:instrText>
      </w:r>
      <w:r>
        <w:fldChar w:fldCharType="separate"/>
      </w:r>
      <w:r>
        <w:t>8</w:t>
      </w:r>
      <w:r>
        <w:fldChar w:fldCharType="end"/>
      </w:r>
      <w:r>
        <w:fldChar w:fldCharType="end"/>
      </w:r>
    </w:p>
    <w:p w14:paraId="093FD831">
      <w:pPr>
        <w:pStyle w:val="19"/>
        <w:tabs>
          <w:tab w:val="right" w:leader="dot" w:pos="8845"/>
        </w:tabs>
        <w:ind w:firstLine="632"/>
      </w:pPr>
      <w:r>
        <w:fldChar w:fldCharType="begin"/>
      </w:r>
      <w:r>
        <w:instrText xml:space="preserve"> HYPERLINK \l "_Toc19298" </w:instrText>
      </w:r>
      <w:r>
        <w:fldChar w:fldCharType="separate"/>
      </w:r>
      <w:r>
        <w:rPr>
          <w:rFonts w:eastAsia="仿宋"/>
          <w:bCs/>
          <w:szCs w:val="28"/>
        </w:rPr>
        <w:t xml:space="preserve">4.3 </w:t>
      </w:r>
      <w:r>
        <w:rPr>
          <w:rFonts w:hint="eastAsia"/>
        </w:rPr>
        <w:t>先期处置</w:t>
      </w:r>
      <w:r>
        <w:tab/>
      </w:r>
      <w:r>
        <w:fldChar w:fldCharType="begin"/>
      </w:r>
      <w:r>
        <w:instrText xml:space="preserve"> PAGEREF _Toc19298 \h </w:instrText>
      </w:r>
      <w:r>
        <w:fldChar w:fldCharType="separate"/>
      </w:r>
      <w:r>
        <w:t>9</w:t>
      </w:r>
      <w:r>
        <w:fldChar w:fldCharType="end"/>
      </w:r>
      <w:r>
        <w:fldChar w:fldCharType="end"/>
      </w:r>
    </w:p>
    <w:p w14:paraId="4A6CFD25">
      <w:pPr>
        <w:pStyle w:val="19"/>
        <w:tabs>
          <w:tab w:val="right" w:leader="dot" w:pos="8845"/>
        </w:tabs>
        <w:ind w:firstLine="632"/>
      </w:pPr>
      <w:r>
        <w:fldChar w:fldCharType="begin"/>
      </w:r>
      <w:r>
        <w:instrText xml:space="preserve"> HYPERLINK \l "_Toc25653" </w:instrText>
      </w:r>
      <w:r>
        <w:fldChar w:fldCharType="separate"/>
      </w:r>
      <w:r>
        <w:rPr>
          <w:rFonts w:eastAsia="仿宋"/>
          <w:bCs/>
          <w:szCs w:val="28"/>
        </w:rPr>
        <w:t xml:space="preserve">4.4 </w:t>
      </w:r>
      <w:r>
        <w:rPr>
          <w:rFonts w:hint="eastAsia"/>
        </w:rPr>
        <w:t>应急响应</w:t>
      </w:r>
      <w:r>
        <w:tab/>
      </w:r>
      <w:r>
        <w:fldChar w:fldCharType="begin"/>
      </w:r>
      <w:r>
        <w:instrText xml:space="preserve"> PAGEREF _Toc25653 \h </w:instrText>
      </w:r>
      <w:r>
        <w:fldChar w:fldCharType="separate"/>
      </w:r>
      <w:r>
        <w:t>9</w:t>
      </w:r>
      <w:r>
        <w:fldChar w:fldCharType="end"/>
      </w:r>
      <w:r>
        <w:fldChar w:fldCharType="end"/>
      </w:r>
    </w:p>
    <w:p w14:paraId="48AEB75C">
      <w:pPr>
        <w:pStyle w:val="19"/>
        <w:tabs>
          <w:tab w:val="right" w:leader="dot" w:pos="8845"/>
        </w:tabs>
        <w:ind w:firstLine="632"/>
      </w:pPr>
      <w:r>
        <w:fldChar w:fldCharType="begin"/>
      </w:r>
      <w:r>
        <w:instrText xml:space="preserve"> HYPERLINK \l "_Toc14518" </w:instrText>
      </w:r>
      <w:r>
        <w:fldChar w:fldCharType="separate"/>
      </w:r>
      <w:r>
        <w:rPr>
          <w:rFonts w:eastAsia="仿宋"/>
          <w:bCs/>
          <w:szCs w:val="28"/>
        </w:rPr>
        <w:t xml:space="preserve">4.5 </w:t>
      </w:r>
      <w:r>
        <w:rPr>
          <w:rFonts w:hint="eastAsia"/>
        </w:rPr>
        <w:t>应急值守</w:t>
      </w:r>
      <w:r>
        <w:tab/>
      </w:r>
      <w:r>
        <w:fldChar w:fldCharType="begin"/>
      </w:r>
      <w:r>
        <w:instrText xml:space="preserve"> PAGEREF _Toc14518 \h </w:instrText>
      </w:r>
      <w:r>
        <w:fldChar w:fldCharType="separate"/>
      </w:r>
      <w:r>
        <w:t>12</w:t>
      </w:r>
      <w:r>
        <w:fldChar w:fldCharType="end"/>
      </w:r>
      <w:r>
        <w:fldChar w:fldCharType="end"/>
      </w:r>
    </w:p>
    <w:p w14:paraId="6FCF3B45">
      <w:pPr>
        <w:pStyle w:val="19"/>
        <w:tabs>
          <w:tab w:val="right" w:leader="dot" w:pos="8845"/>
        </w:tabs>
        <w:ind w:firstLine="632"/>
      </w:pPr>
      <w:r>
        <w:fldChar w:fldCharType="begin"/>
      </w:r>
      <w:r>
        <w:instrText xml:space="preserve"> HYPERLINK \l "_Toc25334" </w:instrText>
      </w:r>
      <w:r>
        <w:fldChar w:fldCharType="separate"/>
      </w:r>
      <w:r>
        <w:rPr>
          <w:rFonts w:eastAsia="仿宋"/>
          <w:bCs/>
          <w:szCs w:val="28"/>
        </w:rPr>
        <w:t xml:space="preserve">4.6 </w:t>
      </w:r>
      <w:r>
        <w:rPr>
          <w:rFonts w:hint="eastAsia"/>
        </w:rPr>
        <w:t>扩大应急</w:t>
      </w:r>
      <w:r>
        <w:tab/>
      </w:r>
      <w:r>
        <w:fldChar w:fldCharType="begin"/>
      </w:r>
      <w:r>
        <w:instrText xml:space="preserve"> PAGEREF _Toc25334 \h </w:instrText>
      </w:r>
      <w:r>
        <w:fldChar w:fldCharType="separate"/>
      </w:r>
      <w:r>
        <w:t>12</w:t>
      </w:r>
      <w:r>
        <w:fldChar w:fldCharType="end"/>
      </w:r>
      <w:r>
        <w:fldChar w:fldCharType="end"/>
      </w:r>
    </w:p>
    <w:p w14:paraId="3638C7A2">
      <w:pPr>
        <w:pStyle w:val="19"/>
        <w:tabs>
          <w:tab w:val="right" w:leader="dot" w:pos="8845"/>
        </w:tabs>
        <w:ind w:firstLine="632"/>
      </w:pPr>
      <w:r>
        <w:fldChar w:fldCharType="begin"/>
      </w:r>
      <w:r>
        <w:instrText xml:space="preserve"> HYPERLINK \l "_Toc7899" </w:instrText>
      </w:r>
      <w:r>
        <w:fldChar w:fldCharType="separate"/>
      </w:r>
      <w:r>
        <w:rPr>
          <w:rFonts w:eastAsia="仿宋"/>
          <w:bCs/>
          <w:szCs w:val="28"/>
        </w:rPr>
        <w:t xml:space="preserve">4.7 </w:t>
      </w:r>
      <w:r>
        <w:rPr>
          <w:rFonts w:hint="eastAsia"/>
        </w:rPr>
        <w:t>信息发布</w:t>
      </w:r>
      <w:r>
        <w:tab/>
      </w:r>
      <w:r>
        <w:fldChar w:fldCharType="begin"/>
      </w:r>
      <w:r>
        <w:instrText xml:space="preserve"> PAGEREF _Toc7899 \h </w:instrText>
      </w:r>
      <w:r>
        <w:fldChar w:fldCharType="separate"/>
      </w:r>
      <w:r>
        <w:t>13</w:t>
      </w:r>
      <w:r>
        <w:fldChar w:fldCharType="end"/>
      </w:r>
      <w:r>
        <w:fldChar w:fldCharType="end"/>
      </w:r>
    </w:p>
    <w:p w14:paraId="2B3EDA61">
      <w:pPr>
        <w:pStyle w:val="19"/>
        <w:tabs>
          <w:tab w:val="right" w:leader="dot" w:pos="8845"/>
        </w:tabs>
        <w:ind w:firstLine="632"/>
      </w:pPr>
      <w:r>
        <w:fldChar w:fldCharType="begin"/>
      </w:r>
      <w:r>
        <w:instrText xml:space="preserve"> HYPERLINK \l "_Toc25966" </w:instrText>
      </w:r>
      <w:r>
        <w:fldChar w:fldCharType="separate"/>
      </w:r>
      <w:r>
        <w:rPr>
          <w:rFonts w:eastAsia="仿宋"/>
          <w:bCs/>
          <w:szCs w:val="28"/>
        </w:rPr>
        <w:t xml:space="preserve">4.8 </w:t>
      </w:r>
      <w:r>
        <w:rPr>
          <w:rFonts w:hint="eastAsia"/>
        </w:rPr>
        <w:t>响应终止</w:t>
      </w:r>
      <w:r>
        <w:tab/>
      </w:r>
      <w:r>
        <w:fldChar w:fldCharType="begin"/>
      </w:r>
      <w:r>
        <w:instrText xml:space="preserve"> PAGEREF _Toc25966 \h </w:instrText>
      </w:r>
      <w:r>
        <w:fldChar w:fldCharType="separate"/>
      </w:r>
      <w:r>
        <w:t>13</w:t>
      </w:r>
      <w:r>
        <w:fldChar w:fldCharType="end"/>
      </w:r>
      <w:r>
        <w:fldChar w:fldCharType="end"/>
      </w:r>
    </w:p>
    <w:p w14:paraId="775AA5B8">
      <w:pPr>
        <w:pStyle w:val="18"/>
      </w:pPr>
      <w:r>
        <w:fldChar w:fldCharType="begin"/>
      </w:r>
      <w:r>
        <w:instrText xml:space="preserve"> HYPERLINK \l "_Toc25697" </w:instrText>
      </w:r>
      <w:r>
        <w:fldChar w:fldCharType="separate"/>
      </w:r>
      <w:r>
        <w:rPr>
          <w:rFonts w:eastAsia="仿宋"/>
        </w:rPr>
        <w:t xml:space="preserve">5 </w:t>
      </w:r>
      <w:r>
        <w:rPr>
          <w:rFonts w:hint="eastAsia"/>
        </w:rPr>
        <w:t>后期处置</w:t>
      </w:r>
      <w:r>
        <w:tab/>
      </w:r>
      <w:r>
        <w:fldChar w:fldCharType="begin"/>
      </w:r>
      <w:r>
        <w:instrText xml:space="preserve"> PAGEREF _Toc25697 \h </w:instrText>
      </w:r>
      <w:r>
        <w:fldChar w:fldCharType="separate"/>
      </w:r>
      <w:r>
        <w:t>13</w:t>
      </w:r>
      <w:r>
        <w:fldChar w:fldCharType="end"/>
      </w:r>
      <w:r>
        <w:fldChar w:fldCharType="end"/>
      </w:r>
    </w:p>
    <w:p w14:paraId="28DC6709">
      <w:pPr>
        <w:pStyle w:val="19"/>
        <w:tabs>
          <w:tab w:val="right" w:leader="dot" w:pos="8845"/>
        </w:tabs>
        <w:ind w:firstLine="632"/>
      </w:pPr>
      <w:r>
        <w:fldChar w:fldCharType="begin"/>
      </w:r>
      <w:r>
        <w:instrText xml:space="preserve"> HYPERLINK \l "_Toc27445" </w:instrText>
      </w:r>
      <w:r>
        <w:fldChar w:fldCharType="separate"/>
      </w:r>
      <w:r>
        <w:rPr>
          <w:rFonts w:eastAsia="仿宋"/>
          <w:bCs/>
          <w:szCs w:val="28"/>
        </w:rPr>
        <w:t xml:space="preserve">5.1 </w:t>
      </w:r>
      <w:r>
        <w:rPr>
          <w:rFonts w:hint="eastAsia"/>
        </w:rPr>
        <w:t>灾后处置</w:t>
      </w:r>
      <w:r>
        <w:tab/>
      </w:r>
      <w:r>
        <w:fldChar w:fldCharType="begin"/>
      </w:r>
      <w:r>
        <w:instrText xml:space="preserve"> PAGEREF _Toc27445 \h </w:instrText>
      </w:r>
      <w:r>
        <w:fldChar w:fldCharType="separate"/>
      </w:r>
      <w:r>
        <w:t>13</w:t>
      </w:r>
      <w:r>
        <w:fldChar w:fldCharType="end"/>
      </w:r>
      <w:r>
        <w:fldChar w:fldCharType="end"/>
      </w:r>
    </w:p>
    <w:p w14:paraId="5AC75952">
      <w:pPr>
        <w:pStyle w:val="19"/>
        <w:tabs>
          <w:tab w:val="right" w:leader="dot" w:pos="8845"/>
        </w:tabs>
        <w:ind w:firstLine="632"/>
      </w:pPr>
      <w:r>
        <w:fldChar w:fldCharType="begin"/>
      </w:r>
      <w:r>
        <w:instrText xml:space="preserve"> HYPERLINK \l "_Toc6303" </w:instrText>
      </w:r>
      <w:r>
        <w:fldChar w:fldCharType="separate"/>
      </w:r>
      <w:r>
        <w:rPr>
          <w:rFonts w:eastAsia="仿宋"/>
          <w:bCs/>
          <w:szCs w:val="28"/>
        </w:rPr>
        <w:t xml:space="preserve">5.2 </w:t>
      </w:r>
      <w:r>
        <w:rPr>
          <w:rFonts w:hint="eastAsia"/>
        </w:rPr>
        <w:t>评估总结</w:t>
      </w:r>
      <w:r>
        <w:tab/>
      </w:r>
      <w:r>
        <w:fldChar w:fldCharType="begin"/>
      </w:r>
      <w:r>
        <w:instrText xml:space="preserve"> PAGEREF _Toc6303 \h </w:instrText>
      </w:r>
      <w:r>
        <w:fldChar w:fldCharType="separate"/>
      </w:r>
      <w:r>
        <w:t>13</w:t>
      </w:r>
      <w:r>
        <w:fldChar w:fldCharType="end"/>
      </w:r>
      <w:r>
        <w:fldChar w:fldCharType="end"/>
      </w:r>
    </w:p>
    <w:p w14:paraId="14550D07">
      <w:pPr>
        <w:pStyle w:val="18"/>
      </w:pPr>
      <w:r>
        <w:fldChar w:fldCharType="begin"/>
      </w:r>
      <w:r>
        <w:instrText xml:space="preserve"> HYPERLINK \l "_Toc9185" </w:instrText>
      </w:r>
      <w:r>
        <w:fldChar w:fldCharType="separate"/>
      </w:r>
      <w:r>
        <w:rPr>
          <w:rFonts w:eastAsia="仿宋"/>
        </w:rPr>
        <w:t xml:space="preserve">6 </w:t>
      </w:r>
      <w:r>
        <w:rPr>
          <w:rFonts w:hint="eastAsia"/>
        </w:rPr>
        <w:t>保障措施</w:t>
      </w:r>
      <w:r>
        <w:tab/>
      </w:r>
      <w:r>
        <w:fldChar w:fldCharType="begin"/>
      </w:r>
      <w:r>
        <w:instrText xml:space="preserve"> PAGEREF _Toc9185 \h </w:instrText>
      </w:r>
      <w:r>
        <w:fldChar w:fldCharType="separate"/>
      </w:r>
      <w:r>
        <w:t>14</w:t>
      </w:r>
      <w:r>
        <w:fldChar w:fldCharType="end"/>
      </w:r>
      <w:r>
        <w:fldChar w:fldCharType="end"/>
      </w:r>
    </w:p>
    <w:p w14:paraId="56F7A61E">
      <w:pPr>
        <w:pStyle w:val="19"/>
        <w:tabs>
          <w:tab w:val="right" w:leader="dot" w:pos="8845"/>
        </w:tabs>
        <w:ind w:firstLine="632"/>
      </w:pPr>
      <w:r>
        <w:fldChar w:fldCharType="begin"/>
      </w:r>
      <w:r>
        <w:instrText xml:space="preserve"> HYPERLINK \l "_Toc31749" </w:instrText>
      </w:r>
      <w:r>
        <w:fldChar w:fldCharType="separate"/>
      </w:r>
      <w:r>
        <w:rPr>
          <w:rFonts w:eastAsia="仿宋"/>
          <w:bCs/>
          <w:szCs w:val="28"/>
        </w:rPr>
        <w:t xml:space="preserve">6.1 </w:t>
      </w:r>
      <w:r>
        <w:rPr>
          <w:rFonts w:hint="eastAsia"/>
        </w:rPr>
        <w:t>物资保障</w:t>
      </w:r>
      <w:r>
        <w:tab/>
      </w:r>
      <w:r>
        <w:fldChar w:fldCharType="begin"/>
      </w:r>
      <w:r>
        <w:instrText xml:space="preserve"> PAGEREF _Toc31749 \h </w:instrText>
      </w:r>
      <w:r>
        <w:fldChar w:fldCharType="separate"/>
      </w:r>
      <w:r>
        <w:t>14</w:t>
      </w:r>
      <w:r>
        <w:fldChar w:fldCharType="end"/>
      </w:r>
      <w:r>
        <w:fldChar w:fldCharType="end"/>
      </w:r>
    </w:p>
    <w:p w14:paraId="344D3C03">
      <w:pPr>
        <w:pStyle w:val="19"/>
        <w:tabs>
          <w:tab w:val="right" w:leader="dot" w:pos="8845"/>
        </w:tabs>
        <w:ind w:firstLine="632"/>
      </w:pPr>
      <w:r>
        <w:fldChar w:fldCharType="begin"/>
      </w:r>
      <w:r>
        <w:instrText xml:space="preserve"> HYPERLINK \l "_Toc10383" </w:instrText>
      </w:r>
      <w:r>
        <w:fldChar w:fldCharType="separate"/>
      </w:r>
      <w:r>
        <w:rPr>
          <w:rFonts w:eastAsia="仿宋"/>
          <w:bCs/>
          <w:szCs w:val="28"/>
        </w:rPr>
        <w:t xml:space="preserve">6.2 </w:t>
      </w:r>
      <w:r>
        <w:rPr>
          <w:rFonts w:hint="eastAsia"/>
        </w:rPr>
        <w:t>经费保障</w:t>
      </w:r>
      <w:r>
        <w:tab/>
      </w:r>
      <w:r>
        <w:fldChar w:fldCharType="begin"/>
      </w:r>
      <w:r>
        <w:instrText xml:space="preserve"> PAGEREF _Toc10383 \h </w:instrText>
      </w:r>
      <w:r>
        <w:fldChar w:fldCharType="separate"/>
      </w:r>
      <w:r>
        <w:t>14</w:t>
      </w:r>
      <w:r>
        <w:fldChar w:fldCharType="end"/>
      </w:r>
      <w:r>
        <w:fldChar w:fldCharType="end"/>
      </w:r>
    </w:p>
    <w:p w14:paraId="30AD154A">
      <w:pPr>
        <w:pStyle w:val="19"/>
        <w:tabs>
          <w:tab w:val="right" w:leader="dot" w:pos="8845"/>
        </w:tabs>
        <w:ind w:firstLine="632"/>
      </w:pPr>
      <w:r>
        <w:fldChar w:fldCharType="begin"/>
      </w:r>
      <w:r>
        <w:instrText xml:space="preserve"> HYPERLINK \l "_Toc23554" </w:instrText>
      </w:r>
      <w:r>
        <w:fldChar w:fldCharType="separate"/>
      </w:r>
      <w:r>
        <w:rPr>
          <w:rFonts w:eastAsia="仿宋"/>
          <w:bCs/>
          <w:szCs w:val="28"/>
        </w:rPr>
        <w:t xml:space="preserve">6.3 </w:t>
      </w:r>
      <w:r>
        <w:rPr>
          <w:rFonts w:hint="eastAsia"/>
        </w:rPr>
        <w:t>技术保障</w:t>
      </w:r>
      <w:r>
        <w:tab/>
      </w:r>
      <w:r>
        <w:fldChar w:fldCharType="begin"/>
      </w:r>
      <w:r>
        <w:instrText xml:space="preserve"> PAGEREF _Toc23554 \h </w:instrText>
      </w:r>
      <w:r>
        <w:fldChar w:fldCharType="separate"/>
      </w:r>
      <w:r>
        <w:t>14</w:t>
      </w:r>
      <w:r>
        <w:fldChar w:fldCharType="end"/>
      </w:r>
      <w:r>
        <w:fldChar w:fldCharType="end"/>
      </w:r>
    </w:p>
    <w:p w14:paraId="1F21C1A9">
      <w:pPr>
        <w:pStyle w:val="19"/>
        <w:tabs>
          <w:tab w:val="right" w:leader="dot" w:pos="8845"/>
        </w:tabs>
        <w:ind w:firstLine="632"/>
      </w:pPr>
      <w:r>
        <w:fldChar w:fldCharType="begin"/>
      </w:r>
      <w:r>
        <w:instrText xml:space="preserve"> HYPERLINK \l "_Toc20134" </w:instrText>
      </w:r>
      <w:r>
        <w:fldChar w:fldCharType="separate"/>
      </w:r>
      <w:r>
        <w:rPr>
          <w:rFonts w:eastAsia="仿宋"/>
          <w:bCs/>
          <w:szCs w:val="28"/>
        </w:rPr>
        <w:t xml:space="preserve">6.4 </w:t>
      </w:r>
      <w:r>
        <w:rPr>
          <w:rFonts w:hint="eastAsia"/>
        </w:rPr>
        <w:t>队伍保障</w:t>
      </w:r>
      <w:r>
        <w:tab/>
      </w:r>
      <w:r>
        <w:fldChar w:fldCharType="begin"/>
      </w:r>
      <w:r>
        <w:instrText xml:space="preserve"> PAGEREF _Toc20134 \h </w:instrText>
      </w:r>
      <w:r>
        <w:fldChar w:fldCharType="separate"/>
      </w:r>
      <w:r>
        <w:t>14</w:t>
      </w:r>
      <w:r>
        <w:fldChar w:fldCharType="end"/>
      </w:r>
      <w:r>
        <w:fldChar w:fldCharType="end"/>
      </w:r>
    </w:p>
    <w:p w14:paraId="701CE9FB">
      <w:pPr>
        <w:pStyle w:val="19"/>
        <w:tabs>
          <w:tab w:val="right" w:leader="dot" w:pos="8845"/>
        </w:tabs>
        <w:ind w:firstLine="632"/>
      </w:pPr>
      <w:r>
        <w:fldChar w:fldCharType="begin"/>
      </w:r>
      <w:r>
        <w:instrText xml:space="preserve"> HYPERLINK \l "_Toc26412" </w:instrText>
      </w:r>
      <w:r>
        <w:fldChar w:fldCharType="separate"/>
      </w:r>
      <w:r>
        <w:rPr>
          <w:rFonts w:eastAsia="仿宋"/>
          <w:bCs/>
          <w:szCs w:val="28"/>
        </w:rPr>
        <w:t xml:space="preserve">6.5 </w:t>
      </w:r>
      <w:r>
        <w:rPr>
          <w:rFonts w:hint="eastAsia"/>
        </w:rPr>
        <w:t>宣传培训保障</w:t>
      </w:r>
      <w:r>
        <w:tab/>
      </w:r>
      <w:r>
        <w:fldChar w:fldCharType="begin"/>
      </w:r>
      <w:r>
        <w:instrText xml:space="preserve"> PAGEREF _Toc26412 \h </w:instrText>
      </w:r>
      <w:r>
        <w:fldChar w:fldCharType="separate"/>
      </w:r>
      <w:r>
        <w:t>15</w:t>
      </w:r>
      <w:r>
        <w:fldChar w:fldCharType="end"/>
      </w:r>
      <w:r>
        <w:fldChar w:fldCharType="end"/>
      </w:r>
    </w:p>
    <w:p w14:paraId="3DCFDBAF">
      <w:pPr>
        <w:pStyle w:val="18"/>
      </w:pPr>
      <w:r>
        <w:fldChar w:fldCharType="begin"/>
      </w:r>
      <w:r>
        <w:instrText xml:space="preserve"> HYPERLINK \l "_Toc17907" </w:instrText>
      </w:r>
      <w:r>
        <w:fldChar w:fldCharType="separate"/>
      </w:r>
      <w:r>
        <w:rPr>
          <w:rFonts w:eastAsia="仿宋"/>
        </w:rPr>
        <w:t xml:space="preserve">7 </w:t>
      </w:r>
      <w:r>
        <w:rPr>
          <w:rFonts w:hint="eastAsia"/>
        </w:rPr>
        <w:t>附则</w:t>
      </w:r>
      <w:r>
        <w:tab/>
      </w:r>
      <w:r>
        <w:fldChar w:fldCharType="begin"/>
      </w:r>
      <w:r>
        <w:instrText xml:space="preserve"> PAGEREF _Toc17907 \h </w:instrText>
      </w:r>
      <w:r>
        <w:fldChar w:fldCharType="separate"/>
      </w:r>
      <w:r>
        <w:t>15</w:t>
      </w:r>
      <w:r>
        <w:fldChar w:fldCharType="end"/>
      </w:r>
      <w:r>
        <w:fldChar w:fldCharType="end"/>
      </w:r>
    </w:p>
    <w:p w14:paraId="494C97AF">
      <w:pPr>
        <w:pStyle w:val="19"/>
        <w:tabs>
          <w:tab w:val="right" w:leader="dot" w:pos="8845"/>
        </w:tabs>
        <w:ind w:firstLine="632"/>
      </w:pPr>
      <w:r>
        <w:fldChar w:fldCharType="begin"/>
      </w:r>
      <w:r>
        <w:instrText xml:space="preserve"> HYPERLINK \l "_Toc904" </w:instrText>
      </w:r>
      <w:r>
        <w:fldChar w:fldCharType="separate"/>
      </w:r>
      <w:r>
        <w:rPr>
          <w:rFonts w:eastAsia="仿宋"/>
          <w:bCs/>
          <w:szCs w:val="28"/>
        </w:rPr>
        <w:t xml:space="preserve">7.1 </w:t>
      </w:r>
      <w:r>
        <w:rPr>
          <w:rFonts w:hint="eastAsia"/>
        </w:rPr>
        <w:t>名词术语</w:t>
      </w:r>
      <w:r>
        <w:tab/>
      </w:r>
      <w:r>
        <w:fldChar w:fldCharType="begin"/>
      </w:r>
      <w:r>
        <w:instrText xml:space="preserve"> PAGEREF _Toc904 \h </w:instrText>
      </w:r>
      <w:r>
        <w:fldChar w:fldCharType="separate"/>
      </w:r>
      <w:r>
        <w:t>15</w:t>
      </w:r>
      <w:r>
        <w:fldChar w:fldCharType="end"/>
      </w:r>
      <w:r>
        <w:fldChar w:fldCharType="end"/>
      </w:r>
    </w:p>
    <w:p w14:paraId="787E5E72">
      <w:pPr>
        <w:pStyle w:val="19"/>
        <w:tabs>
          <w:tab w:val="right" w:leader="dot" w:pos="8845"/>
        </w:tabs>
        <w:ind w:firstLine="632"/>
      </w:pPr>
      <w:r>
        <w:fldChar w:fldCharType="begin"/>
      </w:r>
      <w:r>
        <w:instrText xml:space="preserve"> HYPERLINK \l "_Toc1089" </w:instrText>
      </w:r>
      <w:r>
        <w:fldChar w:fldCharType="separate"/>
      </w:r>
      <w:r>
        <w:rPr>
          <w:rFonts w:eastAsia="仿宋"/>
          <w:bCs/>
          <w:szCs w:val="28"/>
        </w:rPr>
        <w:t xml:space="preserve">7.2 </w:t>
      </w:r>
      <w:r>
        <w:rPr>
          <w:rFonts w:hint="eastAsia" w:ascii="Times New Roman" w:hAnsi="Times New Roman"/>
        </w:rPr>
        <w:t>预案管理与更新</w:t>
      </w:r>
      <w:r>
        <w:tab/>
      </w:r>
      <w:r>
        <w:fldChar w:fldCharType="begin"/>
      </w:r>
      <w:r>
        <w:instrText xml:space="preserve"> PAGEREF _Toc1089 \h </w:instrText>
      </w:r>
      <w:r>
        <w:fldChar w:fldCharType="separate"/>
      </w:r>
      <w:r>
        <w:t>16</w:t>
      </w:r>
      <w:r>
        <w:fldChar w:fldCharType="end"/>
      </w:r>
      <w:r>
        <w:fldChar w:fldCharType="end"/>
      </w:r>
    </w:p>
    <w:p w14:paraId="53E67B49">
      <w:pPr>
        <w:pStyle w:val="19"/>
        <w:tabs>
          <w:tab w:val="right" w:leader="dot" w:pos="8845"/>
        </w:tabs>
        <w:ind w:firstLine="632"/>
      </w:pPr>
      <w:r>
        <w:fldChar w:fldCharType="begin"/>
      </w:r>
      <w:r>
        <w:instrText xml:space="preserve"> HYPERLINK \l "_Toc16414" </w:instrText>
      </w:r>
      <w:r>
        <w:fldChar w:fldCharType="separate"/>
      </w:r>
      <w:r>
        <w:rPr>
          <w:rFonts w:eastAsia="仿宋"/>
          <w:bCs/>
          <w:szCs w:val="28"/>
        </w:rPr>
        <w:t xml:space="preserve">7.3 </w:t>
      </w:r>
      <w:r>
        <w:rPr>
          <w:rFonts w:hint="eastAsia" w:ascii="Times New Roman" w:hAnsi="Times New Roman"/>
        </w:rPr>
        <w:t>预案制定与解释</w:t>
      </w:r>
      <w:r>
        <w:tab/>
      </w:r>
      <w:r>
        <w:fldChar w:fldCharType="begin"/>
      </w:r>
      <w:r>
        <w:instrText xml:space="preserve"> PAGEREF _Toc16414 \h </w:instrText>
      </w:r>
      <w:r>
        <w:fldChar w:fldCharType="separate"/>
      </w:r>
      <w:r>
        <w:t>16</w:t>
      </w:r>
      <w:r>
        <w:fldChar w:fldCharType="end"/>
      </w:r>
      <w:r>
        <w:fldChar w:fldCharType="end"/>
      </w:r>
    </w:p>
    <w:p w14:paraId="65680182">
      <w:pPr>
        <w:pStyle w:val="19"/>
        <w:tabs>
          <w:tab w:val="right" w:leader="dot" w:pos="8845"/>
        </w:tabs>
        <w:ind w:firstLine="632"/>
      </w:pPr>
      <w:r>
        <w:fldChar w:fldCharType="begin"/>
      </w:r>
      <w:r>
        <w:instrText xml:space="preserve"> HYPERLINK \l "_Toc21278" </w:instrText>
      </w:r>
      <w:r>
        <w:fldChar w:fldCharType="separate"/>
      </w:r>
      <w:r>
        <w:rPr>
          <w:rFonts w:eastAsia="仿宋"/>
          <w:bCs/>
          <w:szCs w:val="28"/>
        </w:rPr>
        <w:t xml:space="preserve">7.4 </w:t>
      </w:r>
      <w:r>
        <w:rPr>
          <w:rFonts w:hint="eastAsia" w:ascii="Times New Roman" w:hAnsi="Times New Roman"/>
        </w:rPr>
        <w:t>预案中“以上”“以下”的含义</w:t>
      </w:r>
      <w:r>
        <w:tab/>
      </w:r>
      <w:r>
        <w:fldChar w:fldCharType="begin"/>
      </w:r>
      <w:r>
        <w:instrText xml:space="preserve"> PAGEREF _Toc21278 \h </w:instrText>
      </w:r>
      <w:r>
        <w:fldChar w:fldCharType="separate"/>
      </w:r>
      <w:r>
        <w:t>16</w:t>
      </w:r>
      <w:r>
        <w:fldChar w:fldCharType="end"/>
      </w:r>
      <w:r>
        <w:fldChar w:fldCharType="end"/>
      </w:r>
    </w:p>
    <w:p w14:paraId="70F1D154">
      <w:pPr>
        <w:pStyle w:val="19"/>
        <w:tabs>
          <w:tab w:val="right" w:leader="dot" w:pos="8845"/>
        </w:tabs>
        <w:ind w:firstLine="632"/>
      </w:pPr>
      <w:r>
        <w:fldChar w:fldCharType="begin"/>
      </w:r>
      <w:r>
        <w:instrText xml:space="preserve"> HYPERLINK \l "_Toc1097" </w:instrText>
      </w:r>
      <w:r>
        <w:fldChar w:fldCharType="separate"/>
      </w:r>
      <w:r>
        <w:rPr>
          <w:rFonts w:eastAsia="仿宋"/>
          <w:bCs/>
          <w:szCs w:val="28"/>
        </w:rPr>
        <w:t xml:space="preserve">7.5 </w:t>
      </w:r>
      <w:r>
        <w:rPr>
          <w:rFonts w:hint="eastAsia" w:ascii="Times New Roman" w:hAnsi="Times New Roman"/>
        </w:rPr>
        <w:t>预案的实施</w:t>
      </w:r>
      <w:r>
        <w:tab/>
      </w:r>
      <w:r>
        <w:fldChar w:fldCharType="begin"/>
      </w:r>
      <w:r>
        <w:instrText xml:space="preserve"> PAGEREF _Toc1097 \h </w:instrText>
      </w:r>
      <w:r>
        <w:fldChar w:fldCharType="separate"/>
      </w:r>
      <w:r>
        <w:t>16</w:t>
      </w:r>
      <w:r>
        <w:fldChar w:fldCharType="end"/>
      </w:r>
      <w:r>
        <w:fldChar w:fldCharType="end"/>
      </w:r>
    </w:p>
    <w:p w14:paraId="70AC16E0">
      <w:pPr>
        <w:pStyle w:val="18"/>
      </w:pPr>
      <w:r>
        <w:fldChar w:fldCharType="begin"/>
      </w:r>
      <w:r>
        <w:instrText xml:space="preserve"> HYPERLINK \l "_Toc14452" </w:instrText>
      </w:r>
      <w:r>
        <w:fldChar w:fldCharType="separate"/>
      </w:r>
      <w:r>
        <w:rPr>
          <w:rFonts w:eastAsia="仿宋"/>
        </w:rPr>
        <w:t xml:space="preserve">8 </w:t>
      </w:r>
      <w:r>
        <w:t>附件</w:t>
      </w:r>
      <w:r>
        <w:tab/>
      </w:r>
      <w:r>
        <w:fldChar w:fldCharType="begin"/>
      </w:r>
      <w:r>
        <w:instrText xml:space="preserve"> PAGEREF _Toc14452 \h </w:instrText>
      </w:r>
      <w:r>
        <w:fldChar w:fldCharType="separate"/>
      </w:r>
      <w:r>
        <w:t>16</w:t>
      </w:r>
      <w:r>
        <w:fldChar w:fldCharType="end"/>
      </w:r>
      <w:r>
        <w:fldChar w:fldCharType="end"/>
      </w:r>
    </w:p>
    <w:p w14:paraId="02A8546A">
      <w:pPr>
        <w:pStyle w:val="18"/>
      </w:pPr>
      <w:r>
        <w:fldChar w:fldCharType="begin"/>
      </w:r>
      <w:r>
        <w:instrText xml:space="preserve"> HYPERLINK \l "_Toc29279" </w:instrText>
      </w:r>
      <w:r>
        <w:fldChar w:fldCharType="separate"/>
      </w:r>
      <w:r>
        <w:rPr>
          <w:rFonts w:hint="eastAsia" w:ascii="黑体" w:hAnsi="黑体" w:eastAsia="黑体" w:cs="黑体"/>
        </w:rPr>
        <w:t>附件1</w:t>
      </w:r>
      <w:r>
        <w:rPr>
          <w:rFonts w:hint="eastAsia" w:ascii="黑体" w:hAnsi="黑体" w:cs="黑体"/>
        </w:rPr>
        <w:t xml:space="preserve"> </w:t>
      </w:r>
      <w:r>
        <w:rPr>
          <w:rFonts w:hint="eastAsia" w:ascii="黑体" w:hAnsi="黑体" w:eastAsia="黑体" w:cs="黑体"/>
        </w:rPr>
        <w:t>集贤县林业和草原有害生物灾害应急处置工作流程图</w:t>
      </w:r>
      <w:r>
        <w:tab/>
      </w:r>
      <w:r>
        <w:fldChar w:fldCharType="begin"/>
      </w:r>
      <w:r>
        <w:instrText xml:space="preserve"> PAGEREF _Toc29279 \h </w:instrText>
      </w:r>
      <w:r>
        <w:fldChar w:fldCharType="separate"/>
      </w:r>
      <w:r>
        <w:t>1</w:t>
      </w:r>
      <w:r>
        <w:fldChar w:fldCharType="end"/>
      </w:r>
      <w:r>
        <w:fldChar w:fldCharType="end"/>
      </w:r>
    </w:p>
    <w:p w14:paraId="4646C091">
      <w:pPr>
        <w:pStyle w:val="18"/>
      </w:pPr>
      <w:r>
        <w:fldChar w:fldCharType="begin"/>
      </w:r>
      <w:r>
        <w:instrText xml:space="preserve"> HYPERLINK \l "_Toc30991" </w:instrText>
      </w:r>
      <w:r>
        <w:fldChar w:fldCharType="separate"/>
      </w:r>
      <w:r>
        <w:rPr>
          <w:rFonts w:hint="eastAsia" w:ascii="黑体" w:hAnsi="黑体" w:eastAsia="黑体" w:cs="黑体"/>
        </w:rPr>
        <w:t>附件2</w:t>
      </w:r>
      <w:r>
        <w:rPr>
          <w:rFonts w:hint="eastAsia" w:ascii="黑体" w:hAnsi="黑体" w:cs="黑体"/>
        </w:rPr>
        <w:t xml:space="preserve"> </w:t>
      </w:r>
      <w:r>
        <w:rPr>
          <w:rFonts w:hint="eastAsia" w:ascii="黑体" w:hAnsi="黑体" w:eastAsia="黑体" w:cs="黑体"/>
        </w:rPr>
        <w:t>集贤县林业和草原有害生物灾害分级标准</w:t>
      </w:r>
      <w:r>
        <w:tab/>
      </w:r>
      <w:r>
        <w:fldChar w:fldCharType="begin"/>
      </w:r>
      <w:r>
        <w:instrText xml:space="preserve"> PAGEREF _Toc30991 \h </w:instrText>
      </w:r>
      <w:r>
        <w:fldChar w:fldCharType="separate"/>
      </w:r>
      <w:r>
        <w:t>1</w:t>
      </w:r>
      <w:r>
        <w:fldChar w:fldCharType="end"/>
      </w:r>
      <w:r>
        <w:fldChar w:fldCharType="end"/>
      </w:r>
    </w:p>
    <w:p w14:paraId="75AFCB58">
      <w:pPr>
        <w:ind w:firstLine="0" w:firstLineChars="0"/>
        <w:rPr>
          <w:rFonts w:ascii="黑体" w:hAnsi="黑体" w:eastAsia="黑体" w:cs="黑体"/>
          <w:szCs w:val="44"/>
        </w:rPr>
      </w:pPr>
      <w:r>
        <w:rPr>
          <w:rFonts w:hint="eastAsia" w:ascii="黑体" w:hAnsi="黑体" w:eastAsia="黑体" w:cs="黑体"/>
          <w:szCs w:val="44"/>
        </w:rPr>
        <w:fldChar w:fldCharType="end"/>
      </w:r>
      <w:r>
        <w:rPr>
          <w:rFonts w:hint="eastAsia" w:ascii="黑体" w:hAnsi="黑体" w:eastAsia="黑体" w:cs="黑体"/>
          <w:szCs w:val="44"/>
        </w:rPr>
        <w:t xml:space="preserve"> </w:t>
      </w:r>
    </w:p>
    <w:p w14:paraId="13AC0246">
      <w:pPr>
        <w:pStyle w:val="2"/>
        <w:rPr>
          <w:sz w:val="32"/>
          <w:szCs w:val="32"/>
        </w:rPr>
        <w:sectPr>
          <w:footerReference r:id="rId23" w:type="default"/>
          <w:footerReference r:id="rId24" w:type="even"/>
          <w:pgSz w:w="11906" w:h="16838"/>
          <w:pgMar w:top="2098" w:right="1474" w:bottom="1984" w:left="1587" w:header="624" w:footer="1134" w:gutter="0"/>
          <w:pgNumType w:fmt="upperRoman" w:start="1"/>
          <w:cols w:space="720" w:num="1"/>
          <w:docGrid w:type="linesAndChars" w:linePitch="579" w:charSpace="-842"/>
        </w:sectPr>
      </w:pPr>
    </w:p>
    <w:p w14:paraId="467D0812">
      <w:pPr>
        <w:pStyle w:val="2"/>
        <w:numPr>
          <w:ilvl w:val="0"/>
          <w:numId w:val="92"/>
        </w:numPr>
        <w:tabs>
          <w:tab w:val="left" w:pos="0"/>
        </w:tabs>
        <w:rPr>
          <w:sz w:val="32"/>
          <w:szCs w:val="32"/>
        </w:rPr>
      </w:pPr>
      <w:bookmarkStart w:id="394" w:name="_Toc27530"/>
      <w:r>
        <w:rPr>
          <w:rFonts w:hint="eastAsia"/>
          <w:sz w:val="32"/>
          <w:szCs w:val="32"/>
        </w:rPr>
        <w:t>总则</w:t>
      </w:r>
      <w:bookmarkEnd w:id="394"/>
    </w:p>
    <w:p w14:paraId="6E473EFA">
      <w:pPr>
        <w:pStyle w:val="3"/>
      </w:pPr>
      <w:bookmarkStart w:id="395" w:name="_Toc10448"/>
      <w:r>
        <w:rPr>
          <w:rFonts w:hint="eastAsia"/>
        </w:rPr>
        <w:t>编制目的</w:t>
      </w:r>
      <w:bookmarkEnd w:id="395"/>
    </w:p>
    <w:p w14:paraId="4AA59CB1">
      <w:pPr>
        <w:ind w:firstLine="632"/>
        <w:rPr>
          <w:rFonts w:ascii="仿宋_GB2312" w:hAnsi="仿宋_GB2312" w:cs="仿宋_GB2312"/>
        </w:rPr>
      </w:pPr>
      <w:r>
        <w:rPr>
          <w:rFonts w:hint="eastAsia" w:ascii="仿宋_GB2312" w:hAnsi="仿宋_GB2312" w:cs="仿宋_GB2312"/>
        </w:rPr>
        <w:t>为有效防范和应对林业和草原生物灾害，最大程度减少灾害发生及其造成的损失，保护森林、环境和旅游资源，维护生态安全。</w:t>
      </w:r>
    </w:p>
    <w:p w14:paraId="4F573A8D">
      <w:pPr>
        <w:pStyle w:val="3"/>
      </w:pPr>
      <w:bookmarkStart w:id="396" w:name="_Toc26688"/>
      <w:r>
        <w:rPr>
          <w:rFonts w:hint="eastAsia"/>
        </w:rPr>
        <w:t>编制依据</w:t>
      </w:r>
      <w:bookmarkEnd w:id="396"/>
    </w:p>
    <w:p w14:paraId="14EC6624">
      <w:pPr>
        <w:ind w:firstLine="632"/>
      </w:pPr>
      <w:r>
        <w:rPr>
          <w:rFonts w:hint="eastAsia"/>
        </w:rPr>
        <w:t>依据《中华人民共和国突发事件应对法》《中华人民共和国森林法》《中华人民共和国草原法》《中华人民共和国进出境动植物检疫法》《森林病虫害防治条例》《植物检疫条例》《国家林业局重大外来有害生物灾害应急预案》《全国草原虫灾应急防治预案》《集贤县突发事件总体应急预案》等相关法律、法规和规定，结合我县实际，制定本预案。</w:t>
      </w:r>
    </w:p>
    <w:p w14:paraId="0BC2C1A7">
      <w:pPr>
        <w:pStyle w:val="3"/>
      </w:pPr>
      <w:bookmarkStart w:id="397" w:name="_Toc22169"/>
      <w:r>
        <w:rPr>
          <w:rFonts w:hint="eastAsia"/>
        </w:rPr>
        <w:t>适用范围</w:t>
      </w:r>
      <w:bookmarkEnd w:id="397"/>
    </w:p>
    <w:p w14:paraId="5D27317A">
      <w:pPr>
        <w:ind w:firstLine="632"/>
      </w:pPr>
      <w:r>
        <w:rPr>
          <w:rFonts w:hint="eastAsia"/>
        </w:rPr>
        <w:t>本预案适用于集贤县行政区域内发生的林业和草原有害生物灾害的应急救助工作。</w:t>
      </w:r>
    </w:p>
    <w:p w14:paraId="77066EAF">
      <w:pPr>
        <w:pStyle w:val="3"/>
      </w:pPr>
      <w:bookmarkStart w:id="398" w:name="_Toc3647"/>
      <w:r>
        <w:rPr>
          <w:rFonts w:hint="eastAsia"/>
        </w:rPr>
        <w:t>工作原则</w:t>
      </w:r>
      <w:bookmarkEnd w:id="398"/>
    </w:p>
    <w:p w14:paraId="6126503D">
      <w:pPr>
        <w:ind w:firstLine="632"/>
      </w:pPr>
      <w:r>
        <w:rPr>
          <w:rFonts w:hint="eastAsia"/>
        </w:rPr>
        <w:t>林业和草原生物灾害应对工作在县人民政府统一领导下，坚持预防为主、防控结合，实行分级响应、属地管理；有关部门（单位）积极履职，联防联治，快速反应，有效控制灾害扩散蔓延；加强对未成灾区域的监测预警，实施营林、生物、化学和物理等综合治理；依法行政，严格疫情除治和信息报告。</w:t>
      </w:r>
    </w:p>
    <w:p w14:paraId="4874018C">
      <w:pPr>
        <w:pStyle w:val="3"/>
      </w:pPr>
      <w:bookmarkStart w:id="399" w:name="_Toc1324"/>
      <w:r>
        <w:rPr>
          <w:rFonts w:hint="eastAsia"/>
        </w:rPr>
        <w:t>灾害分级</w:t>
      </w:r>
      <w:bookmarkEnd w:id="399"/>
    </w:p>
    <w:p w14:paraId="41F11492">
      <w:pPr>
        <w:ind w:firstLine="632"/>
        <w:rPr>
          <w:highlight w:val="yellow"/>
        </w:rPr>
      </w:pPr>
      <w:r>
        <w:rPr>
          <w:rFonts w:hint="eastAsia"/>
        </w:rPr>
        <w:t>根据林业和草原有害生物的种类性质和发生特点，以及灾害的严重性和危害程度，将林业、草原有害生物灾害分别分为特别重大、重大、较大、一般4个等级。</w:t>
      </w:r>
    </w:p>
    <w:p w14:paraId="0558A714">
      <w:pPr>
        <w:pStyle w:val="2"/>
        <w:numPr>
          <w:ilvl w:val="0"/>
          <w:numId w:val="92"/>
        </w:numPr>
        <w:tabs>
          <w:tab w:val="left" w:pos="0"/>
        </w:tabs>
        <w:rPr>
          <w:sz w:val="32"/>
          <w:szCs w:val="32"/>
        </w:rPr>
      </w:pPr>
      <w:bookmarkStart w:id="400" w:name="_Toc5370"/>
      <w:r>
        <w:rPr>
          <w:rFonts w:hint="eastAsia"/>
          <w:sz w:val="32"/>
          <w:szCs w:val="32"/>
        </w:rPr>
        <w:t>组织指挥体系及职责</w:t>
      </w:r>
      <w:bookmarkEnd w:id="400"/>
    </w:p>
    <w:p w14:paraId="00617563">
      <w:pPr>
        <w:ind w:firstLine="632"/>
      </w:pPr>
      <w:r>
        <w:rPr>
          <w:rFonts w:hint="eastAsia"/>
        </w:rPr>
        <w:t>成立集贤县人民政府林业和草原有害生物灾害应急指挥部（以下简称县指挥部）组织、指导、协调本县内的林业和草原生物灾害应对工作。</w:t>
      </w:r>
    </w:p>
    <w:p w14:paraId="60B245CB">
      <w:pPr>
        <w:pStyle w:val="3"/>
      </w:pPr>
      <w:bookmarkStart w:id="401" w:name="_Toc23869"/>
      <w:r>
        <w:rPr>
          <w:rFonts w:hint="eastAsia"/>
        </w:rPr>
        <w:t>县指挥部组成及职责</w:t>
      </w:r>
      <w:bookmarkEnd w:id="401"/>
    </w:p>
    <w:p w14:paraId="52AD69B4">
      <w:pPr>
        <w:pStyle w:val="4"/>
        <w:numPr>
          <w:ilvl w:val="2"/>
          <w:numId w:val="92"/>
        </w:numPr>
        <w:tabs>
          <w:tab w:val="left" w:pos="0"/>
        </w:tabs>
        <w:rPr>
          <w:rFonts w:ascii="仿宋_GB2312" w:hAnsi="仿宋_GB2312" w:eastAsia="仿宋_GB2312" w:cs="仿宋_GB2312"/>
        </w:rPr>
      </w:pPr>
      <w:r>
        <w:rPr>
          <w:rFonts w:hint="eastAsia" w:ascii="仿宋_GB2312" w:hAnsi="仿宋_GB2312" w:eastAsia="仿宋_GB2312" w:cs="仿宋_GB2312"/>
        </w:rPr>
        <w:t>县指挥部组成</w:t>
      </w:r>
    </w:p>
    <w:p w14:paraId="2D24C1D1">
      <w:pPr>
        <w:ind w:firstLine="632"/>
        <w:rPr>
          <w:rFonts w:ascii="仿宋_GB2312"/>
        </w:rPr>
      </w:pPr>
      <w:r>
        <w:rPr>
          <w:rFonts w:hint="eastAsia" w:ascii="仿宋_GB2312"/>
        </w:rPr>
        <w:t>县指挥部总指挥由县政府分管林业工作的副县长担任，副总指挥由县林业和草原局、县应急管理局主要领导担任。</w:t>
      </w:r>
    </w:p>
    <w:p w14:paraId="6E85951C">
      <w:pPr>
        <w:ind w:firstLine="632"/>
        <w:rPr>
          <w:rFonts w:ascii="仿宋_GB2312"/>
        </w:rPr>
      </w:pPr>
      <w:r>
        <w:rPr>
          <w:rFonts w:hint="eastAsia" w:ascii="仿宋_GB2312"/>
        </w:rPr>
        <w:t>成员单位：县委宣传部、县林业和草原局、县应急管理局、县发展和改革局、县工业信息科技局、县自然资源局、县财政局、县住房和城乡建设局、县水务局、县农业农村局、县气象局、县交通运输局、县市场监督管理局、县公安局、中国邮政集团公司集贤县分公司、福利镇人民政府、集贤镇人民政府、升昌镇人民政府、永安乡人民政府、腰屯乡人民政府、兴安乡人民政府、丰乐镇人民政府、太平镇人民政府等单位。</w:t>
      </w:r>
    </w:p>
    <w:p w14:paraId="7B62792B">
      <w:pPr>
        <w:ind w:firstLine="632"/>
        <w:rPr>
          <w:rFonts w:ascii="仿宋_GB2312"/>
        </w:rPr>
      </w:pPr>
      <w:r>
        <w:rPr>
          <w:rFonts w:hint="eastAsia" w:ascii="仿宋_GB2312"/>
        </w:rPr>
        <w:t>县指挥部办公室（以下简称县防办）设在县林业和草原局，承担县指挥部日常工作。办公室主任由县林业和草原局局长担任。</w:t>
      </w:r>
    </w:p>
    <w:p w14:paraId="572212A5">
      <w:pPr>
        <w:pStyle w:val="4"/>
        <w:numPr>
          <w:ilvl w:val="2"/>
          <w:numId w:val="92"/>
        </w:numPr>
        <w:tabs>
          <w:tab w:val="left" w:pos="0"/>
        </w:tabs>
        <w:rPr>
          <w:rFonts w:ascii="仿宋_GB2312" w:hAnsi="仿宋_GB2312" w:eastAsia="仿宋_GB2312" w:cs="仿宋_GB2312"/>
        </w:rPr>
      </w:pPr>
      <w:r>
        <w:rPr>
          <w:rFonts w:hint="eastAsia" w:ascii="仿宋_GB2312" w:hAnsi="仿宋_GB2312" w:eastAsia="仿宋_GB2312" w:cs="仿宋_GB2312"/>
        </w:rPr>
        <w:t>县指挥部工作职责</w:t>
      </w:r>
    </w:p>
    <w:p w14:paraId="0EEE2F61">
      <w:pPr>
        <w:ind w:firstLine="632"/>
      </w:pPr>
      <w:r>
        <w:rPr>
          <w:rFonts w:hint="eastAsia"/>
        </w:rPr>
        <w:t>贯彻落实党中央、国务院及省委、省政府、市委、市政府、县委、县政府关于林业和草原有害生物灾害防控的决策部署。统筹协调全县林业和草原有害生物灾害重大事项的决策，部署防控应急工作；制定林业和草原有害生物灾害防控总体规划，指导协调灾情监测预警、调查评估和善后工作，组织领导林业和草原有害生物灾害的防控工作，组织协调林业和草原有害生物灾害的预防、封锁和应急处置工作。</w:t>
      </w:r>
    </w:p>
    <w:p w14:paraId="26669EC5">
      <w:pPr>
        <w:pStyle w:val="4"/>
        <w:numPr>
          <w:ilvl w:val="2"/>
          <w:numId w:val="92"/>
        </w:numPr>
        <w:tabs>
          <w:tab w:val="left" w:pos="0"/>
        </w:tabs>
        <w:rPr>
          <w:rFonts w:ascii="仿宋_GB2312" w:hAnsi="仿宋_GB2312" w:eastAsia="仿宋_GB2312" w:cs="仿宋_GB2312"/>
        </w:rPr>
      </w:pPr>
      <w:r>
        <w:rPr>
          <w:rFonts w:hint="eastAsia" w:ascii="仿宋_GB2312" w:hAnsi="仿宋_GB2312" w:eastAsia="仿宋_GB2312" w:cs="仿宋_GB2312"/>
        </w:rPr>
        <w:t>县防办工作职责</w:t>
      </w:r>
    </w:p>
    <w:p w14:paraId="62E3FFE9">
      <w:pPr>
        <w:ind w:firstLine="632"/>
      </w:pPr>
      <w:r>
        <w:rPr>
          <w:rFonts w:hint="eastAsia"/>
        </w:rPr>
        <w:t>县防办承担县指挥部的日常工作；制(（)订林业和草原有害生物灾害应急预案；开展林业和草原有害生物灾害的监测预警，负责警示通报、预警信息的制定以及林业和草原有害生物灾害信息的报告和发布；经指挥长批准宣布启动和结束应急响应；组织开展调查评估和协调推进善后处置工作;建立林业和草原有害生物防治专家信息库，为灾害处置工作提供技术保障。</w:t>
      </w:r>
    </w:p>
    <w:p w14:paraId="561A4BF6">
      <w:pPr>
        <w:pStyle w:val="4"/>
        <w:numPr>
          <w:ilvl w:val="2"/>
          <w:numId w:val="92"/>
        </w:numPr>
        <w:tabs>
          <w:tab w:val="left" w:pos="0"/>
        </w:tabs>
        <w:rPr>
          <w:rFonts w:ascii="仿宋_GB2312" w:hAnsi="仿宋_GB2312" w:eastAsia="仿宋_GB2312" w:cs="仿宋_GB2312"/>
        </w:rPr>
      </w:pPr>
      <w:r>
        <w:rPr>
          <w:rFonts w:hint="eastAsia" w:ascii="仿宋_GB2312" w:hAnsi="仿宋_GB2312" w:eastAsia="仿宋_GB2312" w:cs="仿宋_GB2312"/>
        </w:rPr>
        <w:t>成员单位工作职责</w:t>
      </w:r>
    </w:p>
    <w:p w14:paraId="3ACB24DD">
      <w:pPr>
        <w:ind w:firstLine="634"/>
      </w:pPr>
      <w:r>
        <w:rPr>
          <w:rFonts w:hint="eastAsia"/>
          <w:b/>
          <w:bCs/>
        </w:rPr>
        <w:t>县林业和草原局：</w:t>
      </w:r>
      <w:r>
        <w:rPr>
          <w:rFonts w:hint="eastAsia"/>
        </w:rPr>
        <w:t>负责全县重大林草有害生物灾害的监测预警、预防和除治等工作的监督管理和技术指导，承担指挥部办公室工作。</w:t>
      </w:r>
    </w:p>
    <w:p w14:paraId="54BAF263">
      <w:pPr>
        <w:ind w:firstLine="634"/>
        <w:rPr>
          <w:b/>
          <w:bCs/>
        </w:rPr>
      </w:pPr>
      <w:r>
        <w:rPr>
          <w:rFonts w:hint="eastAsia"/>
          <w:b/>
          <w:bCs/>
        </w:rPr>
        <w:t>县应急管理局：</w:t>
      </w:r>
      <w:r>
        <w:rPr>
          <w:rFonts w:hint="eastAsia"/>
        </w:rPr>
        <w:t>指导协调相关部门开展林业和草原有害生物灾害应急处置工作和评估总结。</w:t>
      </w:r>
    </w:p>
    <w:p w14:paraId="3367B1D3">
      <w:pPr>
        <w:ind w:firstLine="634"/>
      </w:pPr>
      <w:r>
        <w:rPr>
          <w:rFonts w:hint="eastAsia"/>
          <w:b/>
          <w:bCs/>
        </w:rPr>
        <w:t>县委宣传部：</w:t>
      </w:r>
      <w:r>
        <w:rPr>
          <w:rFonts w:hint="eastAsia"/>
        </w:rPr>
        <w:t>在县指挥部统一领导下，负责林业和草原有害生物灾害信息发布、新闻报道和宣传预防工作。</w:t>
      </w:r>
    </w:p>
    <w:p w14:paraId="516EC423">
      <w:pPr>
        <w:ind w:firstLine="634"/>
      </w:pPr>
      <w:r>
        <w:rPr>
          <w:rFonts w:hint="eastAsia"/>
          <w:b/>
          <w:bCs/>
        </w:rPr>
        <w:t>县发展和改革局：</w:t>
      </w:r>
      <w:r>
        <w:rPr>
          <w:rFonts w:hint="eastAsia"/>
        </w:rPr>
        <w:t>负责争取监测、检疫和除治林业和草原有害生物基础设施建设中央预算内投资，并推进项目建设。</w:t>
      </w:r>
    </w:p>
    <w:p w14:paraId="4C774F80">
      <w:pPr>
        <w:ind w:firstLine="634"/>
      </w:pPr>
      <w:r>
        <w:rPr>
          <w:rFonts w:hint="eastAsia"/>
          <w:b/>
          <w:bCs/>
        </w:rPr>
        <w:t>县财政局：</w:t>
      </w:r>
      <w:r>
        <w:rPr>
          <w:rFonts w:hint="eastAsia"/>
        </w:rPr>
        <w:t>按照事权与支出责任相适应的原则，负责组织协调应急行动所需资金筹集、下达。同时，进行资金使用的监督和管理。</w:t>
      </w:r>
    </w:p>
    <w:p w14:paraId="5103DFD0">
      <w:pPr>
        <w:ind w:firstLine="634"/>
      </w:pPr>
      <w:r>
        <w:rPr>
          <w:rFonts w:hint="eastAsia"/>
          <w:b/>
          <w:bCs/>
        </w:rPr>
        <w:t>县公安局：</w:t>
      </w:r>
      <w:r>
        <w:rPr>
          <w:rFonts w:hint="eastAsia"/>
        </w:rPr>
        <w:t>协助林业部门依法查处森林植物调运检疫案件；负责维护林业和草原有害生物灾害应急处置中的治安秩序维护与交通管制。</w:t>
      </w:r>
    </w:p>
    <w:p w14:paraId="5FBA1C51">
      <w:pPr>
        <w:ind w:firstLine="634"/>
      </w:pPr>
      <w:r>
        <w:rPr>
          <w:rFonts w:hint="eastAsia"/>
          <w:b/>
          <w:bCs/>
        </w:rPr>
        <w:t>县自然资源局：</w:t>
      </w:r>
      <w:r>
        <w:rPr>
          <w:rFonts w:hint="eastAsia"/>
        </w:rPr>
        <w:t>负责全县重大林业有害生物灾害的监测预警、预防和除治等工作的监督管理和技术指导。</w:t>
      </w:r>
    </w:p>
    <w:p w14:paraId="09217335">
      <w:pPr>
        <w:ind w:firstLine="634"/>
      </w:pPr>
      <w:r>
        <w:rPr>
          <w:rFonts w:hint="eastAsia"/>
          <w:b/>
          <w:bCs/>
        </w:rPr>
        <w:t>县住房和城乡建设局：</w:t>
      </w:r>
      <w:r>
        <w:rPr>
          <w:rFonts w:hint="eastAsia"/>
        </w:rPr>
        <w:t>负责监督指导建筑行业在使用木质建筑材料时主动申报检疫，配合林业部门开展对城乡建设中使用木质材料的检疫检查及查处违规调入、使用疫木及其制品的行为。</w:t>
      </w:r>
    </w:p>
    <w:p w14:paraId="0E585934">
      <w:pPr>
        <w:ind w:firstLine="634"/>
      </w:pPr>
      <w:r>
        <w:rPr>
          <w:rFonts w:hint="eastAsia"/>
          <w:b/>
          <w:bCs/>
        </w:rPr>
        <w:t>县交通运输局：</w:t>
      </w:r>
      <w:r>
        <w:rPr>
          <w:rFonts w:hint="eastAsia"/>
        </w:rPr>
        <w:t>协助林业主管部门做好承运森林、草原植物及其产品的检疫复查工作;负责管辖范围内的林业和草原有害生物应急处置工作;保障应急物资运输畅通。</w:t>
      </w:r>
    </w:p>
    <w:p w14:paraId="50701C00">
      <w:pPr>
        <w:ind w:firstLine="634"/>
      </w:pPr>
      <w:r>
        <w:rPr>
          <w:rFonts w:hint="eastAsia"/>
          <w:b/>
          <w:bCs/>
        </w:rPr>
        <w:t>县水务局：</w:t>
      </w:r>
      <w:r>
        <w:rPr>
          <w:rFonts w:hint="eastAsia"/>
        </w:rPr>
        <w:t>配合做好本系统管辖范围内所营造的水源林、水保林地等的林业和草原有害生物灾害应急处置工作。</w:t>
      </w:r>
    </w:p>
    <w:p w14:paraId="4B8E103D">
      <w:pPr>
        <w:ind w:firstLine="634"/>
      </w:pPr>
      <w:r>
        <w:rPr>
          <w:rFonts w:hint="eastAsia"/>
          <w:b/>
          <w:bCs/>
        </w:rPr>
        <w:t>县农业农村局：</w:t>
      </w:r>
      <w:r>
        <w:rPr>
          <w:rFonts w:hint="eastAsia"/>
        </w:rPr>
        <w:t>配合做好本系统管辖范围内所营造的经济林、苗国地等林业和草原有害生物灾害应急处置工作。</w:t>
      </w:r>
    </w:p>
    <w:p w14:paraId="05439F46">
      <w:pPr>
        <w:ind w:firstLine="634"/>
      </w:pPr>
      <w:r>
        <w:rPr>
          <w:rFonts w:hint="eastAsia"/>
          <w:b/>
          <w:bCs/>
        </w:rPr>
        <w:t>县市场监督管理局：</w:t>
      </w:r>
      <w:r>
        <w:rPr>
          <w:rFonts w:hint="eastAsia"/>
        </w:rPr>
        <w:t>负责重大林业生物灾害的市场监管工作，配合林业部门加强对木材及制品经营、加工企业的检疫检查。</w:t>
      </w:r>
    </w:p>
    <w:p w14:paraId="2AD03F51">
      <w:pPr>
        <w:ind w:firstLine="634"/>
      </w:pPr>
      <w:r>
        <w:rPr>
          <w:rFonts w:hint="eastAsia"/>
          <w:b/>
          <w:bCs/>
        </w:rPr>
        <w:t>县气象局：</w:t>
      </w:r>
      <w:r>
        <w:rPr>
          <w:rFonts w:hint="eastAsia"/>
        </w:rPr>
        <w:t>负责我县主要林业和草原有害生物发生发展气象监测、预报服务工作;发生林业和草原有害生物灾害后,及时提供我县林业和草原有害生物发生地气象资料。</w:t>
      </w:r>
    </w:p>
    <w:p w14:paraId="20392F29">
      <w:pPr>
        <w:ind w:firstLine="634"/>
      </w:pPr>
      <w:r>
        <w:rPr>
          <w:rFonts w:hint="eastAsia"/>
          <w:b/>
          <w:bCs/>
        </w:rPr>
        <w:t>中国邮政集团公司集贤县分公司</w:t>
      </w:r>
      <w:r>
        <w:rPr>
          <w:rFonts w:hint="eastAsia"/>
        </w:rPr>
        <w:t>：负责监督管理寄递企业执行国内邮寄森林、草原植物及其产品实施检疫的有关规定，协助查处违禁调运进境寄主植物的相关工作、</w:t>
      </w:r>
    </w:p>
    <w:p w14:paraId="11831D0D">
      <w:pPr>
        <w:ind w:firstLine="634"/>
      </w:pPr>
      <w:r>
        <w:rPr>
          <w:rFonts w:hint="eastAsia"/>
          <w:b/>
          <w:bCs/>
        </w:rPr>
        <w:t>县国有林场：</w:t>
      </w:r>
      <w:r>
        <w:rPr>
          <w:rFonts w:hint="eastAsia"/>
        </w:rPr>
        <w:t>负责各管辖范围内所有林木的林业和草原有害生物灾害的监测、检疫和防治工作。</w:t>
      </w:r>
    </w:p>
    <w:p w14:paraId="12532CA8">
      <w:pPr>
        <w:pStyle w:val="3"/>
      </w:pPr>
      <w:bookmarkStart w:id="402" w:name="_Toc23840"/>
      <w:r>
        <w:rPr>
          <w:rFonts w:hint="eastAsia"/>
        </w:rPr>
        <w:t>现场指挥部</w:t>
      </w:r>
      <w:bookmarkEnd w:id="402"/>
    </w:p>
    <w:p w14:paraId="3A3B26DD">
      <w:pPr>
        <w:ind w:firstLine="632"/>
      </w:pPr>
      <w:r>
        <w:rPr>
          <w:rFonts w:hint="eastAsia"/>
        </w:rPr>
        <w:t>县指挥部根据灾害的发生情况和发展趋势，成立现场指挥部，负责灾害发生地现场处置工作。现场指挥部下设现场处置组、检疫封锁组、综合保障组、新闻报道组和专家咨询组。各组的设立、组成单位及人员可根据灾害处置需要进行及时调整。</w:t>
      </w:r>
    </w:p>
    <w:p w14:paraId="37AF064E">
      <w:pPr>
        <w:pStyle w:val="4"/>
        <w:numPr>
          <w:ilvl w:val="2"/>
          <w:numId w:val="92"/>
        </w:numPr>
        <w:tabs>
          <w:tab w:val="left" w:pos="0"/>
        </w:tabs>
        <w:rPr>
          <w:rFonts w:ascii="仿宋_GB2312" w:hAnsi="仿宋_GB2312" w:eastAsia="仿宋_GB2312" w:cs="仿宋_GB2312"/>
        </w:rPr>
      </w:pPr>
      <w:r>
        <w:rPr>
          <w:rFonts w:hint="eastAsia" w:ascii="仿宋_GB2312" w:hAnsi="仿宋_GB2312" w:eastAsia="仿宋_GB2312" w:cs="仿宋_GB2312"/>
        </w:rPr>
        <w:t>现场处置组</w:t>
      </w:r>
    </w:p>
    <w:p w14:paraId="1298F1D0">
      <w:pPr>
        <w:ind w:firstLine="632"/>
      </w:pPr>
      <w:r>
        <w:rPr>
          <w:rFonts w:hint="eastAsia"/>
        </w:rPr>
        <w:t>牵头单位：县林草局</w:t>
      </w:r>
    </w:p>
    <w:p w14:paraId="2615F6A8">
      <w:pPr>
        <w:ind w:firstLine="632"/>
      </w:pPr>
      <w:r>
        <w:rPr>
          <w:rFonts w:hint="eastAsia"/>
        </w:rPr>
        <w:t>成员单位：县应急管理局、县自然资源局、县水务局、县农业农村局、县住建局、县市场监督管理局</w:t>
      </w:r>
    </w:p>
    <w:p w14:paraId="3D0A575D">
      <w:pPr>
        <w:ind w:firstLine="632"/>
      </w:pPr>
      <w:r>
        <w:rPr>
          <w:rFonts w:hint="eastAsia"/>
        </w:rPr>
        <w:t>工作职责：负责灾害发生地灾害应急处置工作，协助现场应急指挥部做好分析和除治工作，向县指挥部报告灾情发展和现场处置情况，落实县指挥部有关决定。</w:t>
      </w:r>
    </w:p>
    <w:p w14:paraId="1FBDB4AA">
      <w:pPr>
        <w:pStyle w:val="4"/>
        <w:numPr>
          <w:ilvl w:val="2"/>
          <w:numId w:val="92"/>
        </w:numPr>
        <w:tabs>
          <w:tab w:val="left" w:pos="0"/>
        </w:tabs>
        <w:rPr>
          <w:rFonts w:ascii="仿宋_GB2312" w:hAnsi="仿宋_GB2312" w:eastAsia="仿宋_GB2312" w:cs="仿宋_GB2312"/>
        </w:rPr>
      </w:pPr>
      <w:r>
        <w:rPr>
          <w:rFonts w:hint="eastAsia" w:ascii="仿宋_GB2312" w:hAnsi="仿宋_GB2312" w:eastAsia="仿宋_GB2312" w:cs="仿宋_GB2312"/>
        </w:rPr>
        <w:t>检疫封锁组</w:t>
      </w:r>
    </w:p>
    <w:p w14:paraId="7E06388A">
      <w:pPr>
        <w:ind w:firstLine="632"/>
      </w:pPr>
      <w:r>
        <w:rPr>
          <w:rFonts w:hint="eastAsia"/>
        </w:rPr>
        <w:t>牵头单位：县公安局</w:t>
      </w:r>
    </w:p>
    <w:p w14:paraId="2BC4B23D">
      <w:pPr>
        <w:ind w:firstLine="632"/>
      </w:pPr>
      <w:r>
        <w:rPr>
          <w:rFonts w:hint="eastAsia"/>
        </w:rPr>
        <w:t>成员单位：县交通运输局、中国邮政集团公司集贤县分公司</w:t>
      </w:r>
    </w:p>
    <w:p w14:paraId="546AD519">
      <w:pPr>
        <w:ind w:firstLine="632"/>
      </w:pPr>
      <w:r>
        <w:rPr>
          <w:rFonts w:hint="eastAsia"/>
        </w:rPr>
        <w:t>工作职责：根据灾情情况，必要时对外来林业和草原有害生物发生区域实行警戒，严格控制公路以及物流流通，禁止从发生地调出可能染疫的寄主植物及其制品，强化检疫封锁措施，防止外来林业和草原有害生物随物流从发生地向外扩散传播。</w:t>
      </w:r>
    </w:p>
    <w:p w14:paraId="037B89A4">
      <w:pPr>
        <w:pStyle w:val="4"/>
        <w:numPr>
          <w:ilvl w:val="2"/>
          <w:numId w:val="92"/>
        </w:numPr>
        <w:tabs>
          <w:tab w:val="left" w:pos="0"/>
        </w:tabs>
        <w:rPr>
          <w:rFonts w:ascii="仿宋_GB2312" w:hAnsi="仿宋_GB2312" w:eastAsia="仿宋_GB2312" w:cs="仿宋_GB2312"/>
        </w:rPr>
      </w:pPr>
      <w:r>
        <w:rPr>
          <w:rFonts w:hint="eastAsia" w:ascii="仿宋_GB2312" w:hAnsi="仿宋_GB2312" w:eastAsia="仿宋_GB2312" w:cs="仿宋_GB2312"/>
        </w:rPr>
        <w:t>综合保障组</w:t>
      </w:r>
    </w:p>
    <w:p w14:paraId="63C370EB">
      <w:pPr>
        <w:ind w:firstLine="632"/>
      </w:pPr>
      <w:r>
        <w:rPr>
          <w:rFonts w:hint="eastAsia"/>
        </w:rPr>
        <w:t>牵头单位：县财政局</w:t>
      </w:r>
    </w:p>
    <w:p w14:paraId="0E3604F3">
      <w:pPr>
        <w:ind w:firstLine="632"/>
      </w:pPr>
      <w:r>
        <w:rPr>
          <w:rFonts w:hint="eastAsia"/>
        </w:rPr>
        <w:t>成员单位：县发改局、县交通运输局、县气象局</w:t>
      </w:r>
    </w:p>
    <w:p w14:paraId="7E992FA8">
      <w:pPr>
        <w:ind w:firstLine="632"/>
      </w:pPr>
      <w:r>
        <w:rPr>
          <w:rFonts w:hint="eastAsia"/>
        </w:rPr>
        <w:t>工作职责：负责应急处置经费、防治药剂、器械物资的保障，提供气象信息保障，协调各项应急处置措施的有序进行。</w:t>
      </w:r>
    </w:p>
    <w:p w14:paraId="2451B6C3">
      <w:pPr>
        <w:pStyle w:val="4"/>
        <w:numPr>
          <w:ilvl w:val="2"/>
          <w:numId w:val="92"/>
        </w:numPr>
        <w:tabs>
          <w:tab w:val="left" w:pos="0"/>
        </w:tabs>
        <w:rPr>
          <w:rFonts w:ascii="仿宋_GB2312" w:hAnsi="仿宋_GB2312" w:eastAsia="仿宋_GB2312" w:cs="仿宋_GB2312"/>
        </w:rPr>
      </w:pPr>
      <w:r>
        <w:rPr>
          <w:rFonts w:hint="eastAsia" w:ascii="仿宋_GB2312" w:hAnsi="仿宋_GB2312" w:eastAsia="仿宋_GB2312" w:cs="仿宋_GB2312"/>
        </w:rPr>
        <w:t>新闻报道组</w:t>
      </w:r>
    </w:p>
    <w:p w14:paraId="65CCF58D">
      <w:pPr>
        <w:ind w:firstLine="632"/>
      </w:pPr>
      <w:r>
        <w:rPr>
          <w:rFonts w:hint="eastAsia"/>
        </w:rPr>
        <w:t>牵头单位：县委宣传部</w:t>
      </w:r>
    </w:p>
    <w:p w14:paraId="339B8A06">
      <w:pPr>
        <w:ind w:firstLine="632"/>
      </w:pPr>
      <w:r>
        <w:rPr>
          <w:rFonts w:hint="eastAsia"/>
        </w:rPr>
        <w:t>成员单位：县应急管理局、县自然资源局</w:t>
      </w:r>
    </w:p>
    <w:p w14:paraId="3FB6F968">
      <w:pPr>
        <w:ind w:firstLine="632"/>
      </w:pPr>
      <w:r>
        <w:rPr>
          <w:rFonts w:hint="eastAsia"/>
        </w:rPr>
        <w:t>工作职责：根据县指挥部的决定，组织协调新闻媒体开展应急新闻报道。</w:t>
      </w:r>
    </w:p>
    <w:p w14:paraId="0C91D7D8">
      <w:pPr>
        <w:pStyle w:val="4"/>
        <w:numPr>
          <w:ilvl w:val="2"/>
          <w:numId w:val="92"/>
        </w:numPr>
        <w:tabs>
          <w:tab w:val="left" w:pos="0"/>
        </w:tabs>
        <w:rPr>
          <w:rFonts w:ascii="仿宋_GB2312" w:hAnsi="仿宋_GB2312" w:eastAsia="仿宋_GB2312" w:cs="仿宋_GB2312"/>
        </w:rPr>
      </w:pPr>
      <w:r>
        <w:rPr>
          <w:rFonts w:hint="eastAsia" w:ascii="仿宋_GB2312" w:hAnsi="仿宋_GB2312" w:eastAsia="仿宋_GB2312" w:cs="仿宋_GB2312"/>
        </w:rPr>
        <w:t>专家咨询组</w:t>
      </w:r>
    </w:p>
    <w:p w14:paraId="0AE2342E">
      <w:pPr>
        <w:ind w:firstLine="632"/>
      </w:pPr>
      <w:r>
        <w:rPr>
          <w:rFonts w:hint="eastAsia"/>
        </w:rPr>
        <w:t>为县指挥部的咨询机构，由县林草局、县自然资源局、县农业农村局等单位从事林业和草原有害生物防治检疫管理的专家组成</w:t>
      </w:r>
    </w:p>
    <w:p w14:paraId="5047F1A5">
      <w:pPr>
        <w:ind w:firstLine="632"/>
      </w:pPr>
      <w:r>
        <w:rPr>
          <w:rFonts w:hint="eastAsia"/>
        </w:rPr>
        <w:t>工作职责：负责灾害的调查、评估和分析，制定林业和草原有害生物灾害防治技术方案，对应急处置工作中的重大决策进行论证和咨询，提出应对建议，总结应急处置技术经验。</w:t>
      </w:r>
    </w:p>
    <w:p w14:paraId="656BA270">
      <w:pPr>
        <w:pStyle w:val="2"/>
        <w:numPr>
          <w:ilvl w:val="0"/>
          <w:numId w:val="92"/>
        </w:numPr>
        <w:tabs>
          <w:tab w:val="left" w:pos="0"/>
        </w:tabs>
        <w:rPr>
          <w:sz w:val="32"/>
          <w:szCs w:val="32"/>
        </w:rPr>
      </w:pPr>
      <w:bookmarkStart w:id="403" w:name="_Toc21605"/>
      <w:r>
        <w:rPr>
          <w:rFonts w:hint="eastAsia"/>
          <w:sz w:val="32"/>
          <w:szCs w:val="32"/>
        </w:rPr>
        <w:t>预防和预警机制</w:t>
      </w:r>
      <w:bookmarkEnd w:id="403"/>
    </w:p>
    <w:p w14:paraId="7901DE10">
      <w:pPr>
        <w:pStyle w:val="3"/>
      </w:pPr>
      <w:bookmarkStart w:id="404" w:name="_Toc18173"/>
      <w:r>
        <w:rPr>
          <w:rFonts w:hint="eastAsia"/>
        </w:rPr>
        <w:t>预防体系</w:t>
      </w:r>
      <w:bookmarkEnd w:id="404"/>
    </w:p>
    <w:p w14:paraId="02008C59">
      <w:pPr>
        <w:numPr>
          <w:ilvl w:val="0"/>
          <w:numId w:val="93"/>
        </w:numPr>
        <w:ind w:firstLine="632"/>
      </w:pPr>
      <w:r>
        <w:rPr>
          <w:rFonts w:hint="eastAsia"/>
        </w:rPr>
        <w:t>根据我县的森林资源分布，在全县建立健全林业和草原有害生物灾害的监测预警体系和应急指挥系统，划定一般预防区和重点预防区。我县国有林场重点生态保护区是林业和草原有害生物灾害重点预防区，其他森林植物分布区为一般预防区。</w:t>
      </w:r>
    </w:p>
    <w:p w14:paraId="78593A8E">
      <w:pPr>
        <w:numPr>
          <w:ilvl w:val="0"/>
          <w:numId w:val="93"/>
        </w:numPr>
        <w:ind w:firstLine="632"/>
      </w:pPr>
      <w:r>
        <w:rPr>
          <w:rFonts w:hint="eastAsia"/>
        </w:rPr>
        <w:t>各乡镇人民政府和林业站要切实加强、高度重视森林病虫害防治检疫工作，加强林业和草原有害生物灾害监测预警体系、检疫御灾体系和防治减灾体系建设，充分发挥国家级中心测报点、乡镇林业站和基层护林队伍的作用，加强应急指挥系统和监测预警、专业队伍和基础设施建设，全面提升监测预警能力。县政府要将林业和草原有害生物灾害预防、除治和体系基础设施建设经费纳入整个国民经济计划和地方财政预算。</w:t>
      </w:r>
    </w:p>
    <w:p w14:paraId="5DECC573">
      <w:pPr>
        <w:pStyle w:val="3"/>
      </w:pPr>
      <w:bookmarkStart w:id="405" w:name="_Toc28269"/>
      <w:r>
        <w:rPr>
          <w:rFonts w:hint="eastAsia"/>
        </w:rPr>
        <w:t>监测机构</w:t>
      </w:r>
      <w:bookmarkEnd w:id="405"/>
    </w:p>
    <w:p w14:paraId="4D1D99DA">
      <w:pPr>
        <w:ind w:firstLine="632"/>
      </w:pPr>
      <w:r>
        <w:rPr>
          <w:rFonts w:hint="eastAsia"/>
        </w:rPr>
        <w:t>县林草局要按照上级林业部门和森林病虫害防治检疫机构的工作安排，要设立固定监测点，组织专业队伍，开展疫情监测和定期普查。尤其对风景旅游区、交通沿线、木材集散地等人为活动频繁、容易传入林业和草原有害生物灾害的地区单位，要长期监测，反复检查。发现枯死树木和其他异常现象，要及时调查取样，专人管护发生现场，实时监控。对于所发现的林业和草原有害生物，县级林业主管部门无法确认和鉴定的，送省林业有害生物检验鉴定中心鉴定。</w:t>
      </w:r>
    </w:p>
    <w:p w14:paraId="79FC49DD">
      <w:pPr>
        <w:pStyle w:val="3"/>
      </w:pPr>
      <w:bookmarkStart w:id="406" w:name="_Toc8481"/>
      <w:r>
        <w:rPr>
          <w:rFonts w:hint="eastAsia"/>
        </w:rPr>
        <w:t>信息交流和科技支撑</w:t>
      </w:r>
      <w:bookmarkEnd w:id="406"/>
    </w:p>
    <w:p w14:paraId="0AC20231">
      <w:pPr>
        <w:ind w:firstLine="632"/>
      </w:pPr>
      <w:r>
        <w:rPr>
          <w:rFonts w:hint="eastAsia"/>
        </w:rPr>
        <w:t>县林草局要加强地域间和部门间的交流与合作，及时掌握有关重大林业有害生物的信息。积极听取专家意见和建议，定期组织有关专家对可能入侵的重大林业有害生物进行风险分析，评定风险等级，提出预防措施与控制技术。对已入侵但未形成重大灾害的林业和草原有害生物灾害，要根据其危害、分布、蔓延和流行特点，提出监测、控制与除治措施，防止灾情扩大。</w:t>
      </w:r>
    </w:p>
    <w:p w14:paraId="64F13698">
      <w:pPr>
        <w:pStyle w:val="3"/>
      </w:pPr>
      <w:bookmarkStart w:id="407" w:name="_Toc23023"/>
      <w:r>
        <w:rPr>
          <w:rFonts w:hint="eastAsia"/>
        </w:rPr>
        <w:t>检疫管理</w:t>
      </w:r>
      <w:bookmarkEnd w:id="407"/>
    </w:p>
    <w:p w14:paraId="1ED687B3">
      <w:pPr>
        <w:ind w:firstLine="632"/>
      </w:pPr>
      <w:r>
        <w:rPr>
          <w:rFonts w:hint="eastAsia"/>
        </w:rPr>
        <w:t>县林草局要严格执行国家、省有关检疫法规，制订相应的办法措施，根据疫情需要经报请市政府同意设立临时植物检疫检查站，同时要充分发挥木材检查站的作用，严密封锁疫情，防止疫情扩散传播。</w:t>
      </w:r>
    </w:p>
    <w:p w14:paraId="3843981F">
      <w:pPr>
        <w:pStyle w:val="2"/>
        <w:numPr>
          <w:ilvl w:val="0"/>
          <w:numId w:val="92"/>
        </w:numPr>
        <w:tabs>
          <w:tab w:val="left" w:pos="0"/>
        </w:tabs>
        <w:rPr>
          <w:sz w:val="32"/>
          <w:szCs w:val="32"/>
        </w:rPr>
      </w:pPr>
      <w:bookmarkStart w:id="408" w:name="_Toc6392"/>
      <w:r>
        <w:rPr>
          <w:rFonts w:hint="eastAsia"/>
          <w:sz w:val="32"/>
          <w:szCs w:val="32"/>
        </w:rPr>
        <w:t>应急响应</w:t>
      </w:r>
      <w:bookmarkEnd w:id="408"/>
    </w:p>
    <w:p w14:paraId="5E8F8DCE">
      <w:pPr>
        <w:pStyle w:val="3"/>
      </w:pPr>
      <w:bookmarkStart w:id="409" w:name="_Toc19184"/>
      <w:r>
        <w:rPr>
          <w:rFonts w:hint="eastAsia"/>
        </w:rPr>
        <w:t>信息接报</w:t>
      </w:r>
      <w:bookmarkEnd w:id="409"/>
    </w:p>
    <w:p w14:paraId="4981A0F9">
      <w:pPr>
        <w:ind w:firstLine="632"/>
      </w:pPr>
      <w:r>
        <w:rPr>
          <w:rFonts w:hint="eastAsia"/>
        </w:rPr>
        <w:t>各乡镇人民政府、县直各有关单位是林业和草原有害生物灾害的责任报告单位。有关单位和个人发现病死树、高密度或大面积林业和草原有害生物灾情，以及疑似外来有害生物疫情、外迁型草原鼠虫灾害等情况，应及时向县林业部门报告。</w:t>
      </w:r>
    </w:p>
    <w:p w14:paraId="3FB3EAEA">
      <w:pPr>
        <w:pStyle w:val="3"/>
      </w:pPr>
      <w:bookmarkStart w:id="410" w:name="_Toc9599"/>
      <w:r>
        <w:rPr>
          <w:rFonts w:hint="eastAsia"/>
        </w:rPr>
        <w:t>核查及报送</w:t>
      </w:r>
      <w:bookmarkEnd w:id="410"/>
    </w:p>
    <w:p w14:paraId="616B73FB">
      <w:pPr>
        <w:ind w:firstLine="632"/>
      </w:pPr>
      <w:r>
        <w:rPr>
          <w:rFonts w:hint="eastAsia"/>
        </w:rPr>
        <w:t>灾害发生地林业部门接到灾情或疑似情况报告后，要认真做好记录（包括发生的时间、地点、灾害种类、发生面积、受害情况、报警人员、联系方式），并迅速派专人进行调查取样和核实鉴定，县防检机构无法鉴定的，送请市林业和草原主管部门鉴定。市林业和草原主管部门无法鉴定的，送请省级林业和草原主管部门或指定的检验中心进行鉴定。</w:t>
      </w:r>
    </w:p>
    <w:p w14:paraId="34CD36F4">
      <w:pPr>
        <w:ind w:firstLine="632"/>
      </w:pPr>
      <w:r>
        <w:rPr>
          <w:rFonts w:hint="eastAsia"/>
        </w:rPr>
        <w:t>经鉴定确认松材线虫病等外来有害生物的发生其他林业和草原有害生物灾害的，县林业主管部门应当在2小时内向县指挥部、县政府、市级规划和自然资源局和市指挥部办公室报告。</w:t>
      </w:r>
    </w:p>
    <w:p w14:paraId="5914B520">
      <w:pPr>
        <w:pStyle w:val="3"/>
      </w:pPr>
      <w:bookmarkStart w:id="411" w:name="_Toc19298"/>
      <w:r>
        <w:rPr>
          <w:rFonts w:hint="eastAsia"/>
        </w:rPr>
        <w:t>先期处置</w:t>
      </w:r>
      <w:bookmarkEnd w:id="411"/>
    </w:p>
    <w:p w14:paraId="77511178">
      <w:pPr>
        <w:ind w:firstLine="632"/>
      </w:pPr>
      <w:r>
        <w:rPr>
          <w:rFonts w:hint="eastAsia"/>
        </w:rPr>
        <w:t>林业和草原有害生物灾害发生后，县指挥部应立即对灾情进行综合评估，对其类型、性质、影响面及严重程度作出初步判断，采取措施进行先期处置，并将灾情发展趋势、处置情况、突出问题和建议上报市指挥部。</w:t>
      </w:r>
    </w:p>
    <w:p w14:paraId="7199983E">
      <w:pPr>
        <w:pStyle w:val="3"/>
      </w:pPr>
      <w:bookmarkStart w:id="412" w:name="_Toc25653"/>
      <w:r>
        <w:rPr>
          <w:rFonts w:hint="eastAsia"/>
        </w:rPr>
        <w:t>应急响应</w:t>
      </w:r>
      <w:bookmarkEnd w:id="412"/>
    </w:p>
    <w:p w14:paraId="26612910">
      <w:pPr>
        <w:ind w:firstLine="632"/>
      </w:pPr>
      <w:r>
        <w:rPr>
          <w:rFonts w:hint="eastAsia"/>
        </w:rPr>
        <w:t>县级响应由低到高设定Ⅲ级响应、Ⅱ级响应、Ⅰ级3个响应等级。林业和草原有害生物灾害发生后，依据各级响应条件，启动相应县级响应。</w:t>
      </w:r>
    </w:p>
    <w:p w14:paraId="12AAD541">
      <w:pPr>
        <w:pStyle w:val="4"/>
        <w:numPr>
          <w:ilvl w:val="2"/>
          <w:numId w:val="92"/>
        </w:numPr>
        <w:tabs>
          <w:tab w:val="left" w:pos="0"/>
        </w:tabs>
        <w:rPr>
          <w:rFonts w:ascii="仿宋_GB2312" w:hAnsi="仿宋_GB2312" w:eastAsia="仿宋_GB2312" w:cs="仿宋_GB2312"/>
        </w:rPr>
      </w:pPr>
      <w:r>
        <w:rPr>
          <w:rFonts w:hint="eastAsia" w:ascii="仿宋_GB2312" w:hAnsi="仿宋_GB2312" w:eastAsia="仿宋_GB2312" w:cs="仿宋_GB2312"/>
        </w:rPr>
        <w:t>Ⅲ级应急响应</w:t>
      </w:r>
    </w:p>
    <w:p w14:paraId="60F0179A">
      <w:pPr>
        <w:pStyle w:val="5"/>
        <w:numPr>
          <w:ilvl w:val="3"/>
          <w:numId w:val="92"/>
        </w:numPr>
      </w:pPr>
      <w:r>
        <w:rPr>
          <w:rFonts w:hint="eastAsia"/>
        </w:rPr>
        <w:t>启动条件</w:t>
      </w:r>
    </w:p>
    <w:p w14:paraId="2FBCAF4F">
      <w:pPr>
        <w:ind w:firstLine="632"/>
      </w:pPr>
      <w:r>
        <w:rPr>
          <w:rFonts w:hint="eastAsia"/>
        </w:rPr>
        <w:t>当发生或预计发生符合下列条件之一的，经会商研判后启动Ⅲ级响应：</w:t>
      </w:r>
    </w:p>
    <w:p w14:paraId="336FAD4C">
      <w:pPr>
        <w:numPr>
          <w:ilvl w:val="0"/>
          <w:numId w:val="94"/>
        </w:numPr>
        <w:ind w:firstLine="632"/>
      </w:pPr>
      <w:r>
        <w:rPr>
          <w:rFonts w:hint="eastAsia"/>
        </w:rPr>
        <w:t>发生一般林业和草原有害生物灾害；</w:t>
      </w:r>
    </w:p>
    <w:p w14:paraId="654F57F8">
      <w:pPr>
        <w:numPr>
          <w:ilvl w:val="0"/>
          <w:numId w:val="94"/>
        </w:numPr>
        <w:ind w:firstLine="632"/>
      </w:pPr>
      <w:r>
        <w:rPr>
          <w:rFonts w:hint="eastAsia"/>
        </w:rPr>
        <w:t>在本县行政区范围内集中发生的非检疫性有害生物导致叶部受害连片成灾面积1万亩以上，5万亩以下，成枝于受害连片成灾面积0.1万亩以上、0.5万亩以下的；</w:t>
      </w:r>
    </w:p>
    <w:p w14:paraId="7E20F491">
      <w:pPr>
        <w:numPr>
          <w:ilvl w:val="0"/>
          <w:numId w:val="94"/>
        </w:numPr>
        <w:ind w:firstLine="632"/>
      </w:pPr>
      <w:r>
        <w:rPr>
          <w:rFonts w:hint="eastAsia"/>
        </w:rPr>
        <w:t>在县行政区域内，草原有害生物灾害；</w:t>
      </w:r>
    </w:p>
    <w:p w14:paraId="16CAFF4F">
      <w:pPr>
        <w:numPr>
          <w:ilvl w:val="0"/>
          <w:numId w:val="94"/>
        </w:numPr>
        <w:ind w:firstLine="632"/>
      </w:pPr>
      <w:r>
        <w:rPr>
          <w:rFonts w:hint="eastAsia"/>
        </w:rPr>
        <w:t>生物的成灾面积达5万亩以上，10万亩以上5万亩以下的。</w:t>
      </w:r>
    </w:p>
    <w:p w14:paraId="4929E637">
      <w:pPr>
        <w:pStyle w:val="5"/>
        <w:numPr>
          <w:ilvl w:val="3"/>
          <w:numId w:val="92"/>
        </w:numPr>
      </w:pPr>
      <w:r>
        <w:rPr>
          <w:rFonts w:hint="eastAsia"/>
        </w:rPr>
        <w:t>响应行动</w:t>
      </w:r>
    </w:p>
    <w:p w14:paraId="20A2C2D6">
      <w:pPr>
        <w:ind w:firstLine="632"/>
      </w:pPr>
      <w:r>
        <w:rPr>
          <w:rFonts w:hint="eastAsia"/>
        </w:rPr>
        <w:t>符合Ⅲ级响应条件时，县级指挥部办公室启动Ⅲ级响应，做好以下工作：</w:t>
      </w:r>
    </w:p>
    <w:p w14:paraId="1379A1B4">
      <w:pPr>
        <w:numPr>
          <w:ilvl w:val="0"/>
          <w:numId w:val="95"/>
        </w:numPr>
        <w:ind w:firstLine="632"/>
      </w:pPr>
      <w:r>
        <w:rPr>
          <w:rFonts w:hint="eastAsia"/>
        </w:rPr>
        <w:t>派出工作组，加强对灾害发生地防治工作的指导，根据灾害处置需要调配防治药剂和器械用于灾害防治。</w:t>
      </w:r>
    </w:p>
    <w:p w14:paraId="77164A52">
      <w:pPr>
        <w:numPr>
          <w:ilvl w:val="0"/>
          <w:numId w:val="95"/>
        </w:numPr>
        <w:ind w:firstLine="632"/>
      </w:pPr>
      <w:r>
        <w:rPr>
          <w:rFonts w:hint="eastAsia"/>
        </w:rPr>
        <w:t>指导、协调灾害发生地开展除治工作，相邻乡镇开展统一的联防联治工作。密切关注灾情发展趋势，调查了解发生地防治进展情况。</w:t>
      </w:r>
    </w:p>
    <w:p w14:paraId="0AA7CBA2">
      <w:pPr>
        <w:numPr>
          <w:ilvl w:val="0"/>
          <w:numId w:val="95"/>
        </w:numPr>
        <w:ind w:firstLine="632"/>
      </w:pPr>
      <w:r>
        <w:rPr>
          <w:rFonts w:hint="eastAsia"/>
        </w:rPr>
        <w:t>需进一步鉴定确认的，邀请专家现场调查、指导，确认有害生物种类。</w:t>
      </w:r>
    </w:p>
    <w:p w14:paraId="0921A758">
      <w:pPr>
        <w:numPr>
          <w:ilvl w:val="0"/>
          <w:numId w:val="95"/>
        </w:numPr>
        <w:ind w:firstLine="632"/>
      </w:pPr>
      <w:r>
        <w:rPr>
          <w:rFonts w:hint="eastAsia"/>
        </w:rPr>
        <w:t>组织在全县范围内对发生的有害生物灾害种类开展专项调查，防范危害。</w:t>
      </w:r>
    </w:p>
    <w:p w14:paraId="6A5FB8A3">
      <w:pPr>
        <w:pStyle w:val="4"/>
        <w:numPr>
          <w:ilvl w:val="2"/>
          <w:numId w:val="92"/>
        </w:numPr>
        <w:tabs>
          <w:tab w:val="left" w:pos="0"/>
        </w:tabs>
        <w:rPr>
          <w:rFonts w:ascii="仿宋_GB2312" w:hAnsi="仿宋_GB2312" w:eastAsia="仿宋_GB2312" w:cs="仿宋_GB2312"/>
        </w:rPr>
      </w:pPr>
      <w:r>
        <w:rPr>
          <w:rFonts w:hint="eastAsia" w:ascii="仿宋_GB2312" w:hAnsi="仿宋_GB2312" w:eastAsia="仿宋_GB2312" w:cs="仿宋_GB2312"/>
        </w:rPr>
        <w:t>Ⅱ级应急响应</w:t>
      </w:r>
    </w:p>
    <w:p w14:paraId="75A173D4">
      <w:pPr>
        <w:pStyle w:val="5"/>
        <w:numPr>
          <w:ilvl w:val="3"/>
          <w:numId w:val="92"/>
        </w:numPr>
      </w:pPr>
      <w:r>
        <w:rPr>
          <w:rFonts w:hint="eastAsia"/>
        </w:rPr>
        <w:t>启动条件</w:t>
      </w:r>
    </w:p>
    <w:p w14:paraId="55A4041E">
      <w:pPr>
        <w:ind w:firstLine="632"/>
      </w:pPr>
      <w:r>
        <w:rPr>
          <w:rFonts w:hint="eastAsia"/>
        </w:rPr>
        <w:t>当发生或预计发生符合下列条件之一的，经会商研判后启动Ⅱ级响应：</w:t>
      </w:r>
    </w:p>
    <w:p w14:paraId="14F41082">
      <w:pPr>
        <w:numPr>
          <w:ilvl w:val="0"/>
          <w:numId w:val="96"/>
        </w:numPr>
        <w:ind w:firstLine="632"/>
      </w:pPr>
      <w:r>
        <w:rPr>
          <w:rFonts w:hint="eastAsia"/>
        </w:rPr>
        <w:t>发生较大林业和草原有害生物灾害；</w:t>
      </w:r>
    </w:p>
    <w:p w14:paraId="0D9004BB">
      <w:pPr>
        <w:numPr>
          <w:ilvl w:val="0"/>
          <w:numId w:val="96"/>
        </w:numPr>
        <w:ind w:firstLine="632"/>
      </w:pPr>
      <w:r>
        <w:rPr>
          <w:rFonts w:hint="eastAsia"/>
        </w:rPr>
        <w:t>蔓延速度快，2个月尚未得到有效控制的一般林业和草原有害生物灾害；</w:t>
      </w:r>
    </w:p>
    <w:p w14:paraId="07FFE924">
      <w:pPr>
        <w:numPr>
          <w:ilvl w:val="0"/>
          <w:numId w:val="96"/>
        </w:numPr>
        <w:ind w:firstLine="632"/>
      </w:pPr>
      <w:r>
        <w:rPr>
          <w:rFonts w:hint="eastAsia"/>
        </w:rPr>
        <w:t>发生在敏感地区、县与县交界区发生的一般林业有害；</w:t>
      </w:r>
    </w:p>
    <w:p w14:paraId="3502B633">
      <w:pPr>
        <w:numPr>
          <w:ilvl w:val="0"/>
          <w:numId w:val="96"/>
        </w:numPr>
        <w:ind w:firstLine="632"/>
      </w:pPr>
      <w:r>
        <w:rPr>
          <w:rFonts w:hint="eastAsia"/>
        </w:rPr>
        <w:t>首次发现疑似国（境）外新传入的有下，或在一定区域内连片成灾面积达3万亩有害生物入侵，需进一步确定的；</w:t>
      </w:r>
    </w:p>
    <w:p w14:paraId="7C17CE1A">
      <w:pPr>
        <w:numPr>
          <w:ilvl w:val="0"/>
          <w:numId w:val="96"/>
        </w:numPr>
        <w:ind w:firstLine="632"/>
      </w:pPr>
      <w:r>
        <w:rPr>
          <w:rFonts w:hint="eastAsia"/>
        </w:rPr>
        <w:t>首次发现外来检疫性有害生物入侵初判无林木、草地受害，未造成扩散危害。</w:t>
      </w:r>
    </w:p>
    <w:p w14:paraId="35F72CF1">
      <w:pPr>
        <w:pStyle w:val="5"/>
        <w:numPr>
          <w:ilvl w:val="3"/>
          <w:numId w:val="92"/>
        </w:numPr>
      </w:pPr>
      <w:r>
        <w:rPr>
          <w:rFonts w:hint="eastAsia"/>
        </w:rPr>
        <w:t>响应行动</w:t>
      </w:r>
    </w:p>
    <w:p w14:paraId="7A78ADC6">
      <w:pPr>
        <w:ind w:firstLine="632"/>
      </w:pPr>
      <w:r>
        <w:rPr>
          <w:rFonts w:hint="eastAsia"/>
        </w:rPr>
        <w:t>符合Ⅱ级响应条件时，县指挥部启动Ⅱ级响应，做好以下工作：</w:t>
      </w:r>
    </w:p>
    <w:p w14:paraId="1E97C260">
      <w:pPr>
        <w:numPr>
          <w:ilvl w:val="0"/>
          <w:numId w:val="97"/>
        </w:numPr>
        <w:ind w:firstLine="632"/>
      </w:pPr>
      <w:r>
        <w:rPr>
          <w:rFonts w:hint="eastAsia"/>
        </w:rPr>
        <w:t>迅速组织成员单位和有关专家赶赴现场，了解灾情发生情况，确定灾情严重程度。</w:t>
      </w:r>
    </w:p>
    <w:p w14:paraId="0CBF6B0C">
      <w:pPr>
        <w:numPr>
          <w:ilvl w:val="0"/>
          <w:numId w:val="97"/>
        </w:numPr>
        <w:ind w:firstLine="632"/>
      </w:pPr>
      <w:r>
        <w:rPr>
          <w:rFonts w:hint="eastAsia"/>
        </w:rPr>
        <w:t>全面了解当地先期处置情况，根据灾情严重程度，成立现场指挥部，召开会议决策有关重大事项，并按照职责分工，投入灾害应急处置工作。</w:t>
      </w:r>
    </w:p>
    <w:p w14:paraId="47E02BA6">
      <w:pPr>
        <w:numPr>
          <w:ilvl w:val="0"/>
          <w:numId w:val="97"/>
        </w:numPr>
        <w:ind w:firstLine="632"/>
      </w:pPr>
      <w:r>
        <w:rPr>
          <w:rFonts w:hint="eastAsia"/>
        </w:rPr>
        <w:t>调集应急灾害处置需要的防治药剂和器械等应急储备物资以及专业技术人员参与灾害处理。</w:t>
      </w:r>
    </w:p>
    <w:p w14:paraId="6E0A79FD">
      <w:pPr>
        <w:numPr>
          <w:ilvl w:val="0"/>
          <w:numId w:val="97"/>
        </w:numPr>
        <w:ind w:firstLine="632"/>
      </w:pPr>
      <w:r>
        <w:rPr>
          <w:rFonts w:hint="eastAsia"/>
        </w:rPr>
        <w:t>向县政府、市林业和草原主管部门报告应急处置进展情况，分析研判灾情发展趋势。</w:t>
      </w:r>
    </w:p>
    <w:p w14:paraId="0BCA7E16">
      <w:pPr>
        <w:numPr>
          <w:ilvl w:val="0"/>
          <w:numId w:val="97"/>
        </w:numPr>
        <w:ind w:firstLine="632"/>
      </w:pPr>
      <w:r>
        <w:rPr>
          <w:rFonts w:hint="eastAsia"/>
        </w:rPr>
        <w:t>组织专家咨询组开展跟踪指导。</w:t>
      </w:r>
    </w:p>
    <w:p w14:paraId="32F487D5">
      <w:pPr>
        <w:pStyle w:val="4"/>
        <w:numPr>
          <w:ilvl w:val="2"/>
          <w:numId w:val="92"/>
        </w:numPr>
        <w:tabs>
          <w:tab w:val="left" w:pos="0"/>
        </w:tabs>
        <w:rPr>
          <w:rFonts w:ascii="仿宋_GB2312" w:hAnsi="仿宋_GB2312" w:eastAsia="仿宋_GB2312" w:cs="仿宋_GB2312"/>
        </w:rPr>
      </w:pPr>
      <w:r>
        <w:rPr>
          <w:rFonts w:hint="eastAsia" w:ascii="仿宋_GB2312" w:hAnsi="仿宋_GB2312" w:eastAsia="仿宋_GB2312" w:cs="仿宋_GB2312"/>
        </w:rPr>
        <w:t>Ⅰ级应急响应</w:t>
      </w:r>
    </w:p>
    <w:p w14:paraId="50DA9982">
      <w:pPr>
        <w:pStyle w:val="5"/>
        <w:numPr>
          <w:ilvl w:val="3"/>
          <w:numId w:val="92"/>
        </w:numPr>
      </w:pPr>
      <w:r>
        <w:rPr>
          <w:rFonts w:hint="eastAsia"/>
        </w:rPr>
        <w:t>启动条件</w:t>
      </w:r>
    </w:p>
    <w:p w14:paraId="3A007D64">
      <w:pPr>
        <w:numPr>
          <w:ilvl w:val="0"/>
          <w:numId w:val="98"/>
        </w:numPr>
        <w:ind w:firstLine="632"/>
      </w:pPr>
      <w:r>
        <w:rPr>
          <w:rFonts w:hint="eastAsia"/>
        </w:rPr>
        <w:t>发生重大及以上林业和草原有害生物灾害；</w:t>
      </w:r>
    </w:p>
    <w:p w14:paraId="259B91B8">
      <w:pPr>
        <w:numPr>
          <w:ilvl w:val="0"/>
          <w:numId w:val="98"/>
        </w:numPr>
        <w:ind w:firstLine="632"/>
      </w:pPr>
      <w:r>
        <w:rPr>
          <w:rFonts w:hint="eastAsia"/>
        </w:rPr>
        <w:t>发生在省与省交界区2个月未得到有效控制的较大林业有害生物灾害；</w:t>
      </w:r>
    </w:p>
    <w:p w14:paraId="7F1AFC1A">
      <w:pPr>
        <w:numPr>
          <w:ilvl w:val="0"/>
          <w:numId w:val="98"/>
        </w:numPr>
        <w:ind w:firstLine="632"/>
      </w:pPr>
      <w:r>
        <w:rPr>
          <w:rFonts w:hint="eastAsia"/>
        </w:rPr>
        <w:t>首次发现国（境）外新传入的林业、草原有害生物，蔓延速度快，受害面积持续增加；</w:t>
      </w:r>
    </w:p>
    <w:p w14:paraId="3CF8156F">
      <w:pPr>
        <w:numPr>
          <w:ilvl w:val="0"/>
          <w:numId w:val="98"/>
        </w:numPr>
        <w:ind w:firstLine="632"/>
      </w:pPr>
      <w:r>
        <w:rPr>
          <w:rFonts w:hint="eastAsia"/>
        </w:rPr>
        <w:t>首次发现可直接造成林木死亡，且受害面积大于1亩，且持续增加；</w:t>
      </w:r>
    </w:p>
    <w:p w14:paraId="7A1AA98B">
      <w:pPr>
        <w:numPr>
          <w:ilvl w:val="0"/>
          <w:numId w:val="98"/>
        </w:numPr>
        <w:ind w:firstLine="632"/>
      </w:pPr>
      <w:r>
        <w:rPr>
          <w:rFonts w:hint="eastAsia"/>
        </w:rPr>
        <w:t>发生对人类健康构成威胁，可引起人类疾病的林业有害生物。</w:t>
      </w:r>
    </w:p>
    <w:p w14:paraId="36074E89">
      <w:pPr>
        <w:pStyle w:val="5"/>
        <w:numPr>
          <w:ilvl w:val="3"/>
          <w:numId w:val="92"/>
        </w:numPr>
      </w:pPr>
      <w:r>
        <w:rPr>
          <w:rFonts w:hint="eastAsia"/>
        </w:rPr>
        <w:t>响应行动</w:t>
      </w:r>
    </w:p>
    <w:p w14:paraId="0F73AE09">
      <w:pPr>
        <w:ind w:firstLine="632"/>
      </w:pPr>
      <w:r>
        <w:rPr>
          <w:rFonts w:hint="eastAsia"/>
        </w:rPr>
        <w:t>符合Ⅰ级响应时，县指挥部启动Ⅰ级响应，在Ⅱ级响应的基础上做好以下工作：</w:t>
      </w:r>
    </w:p>
    <w:p w14:paraId="5350F4E0">
      <w:pPr>
        <w:numPr>
          <w:ilvl w:val="0"/>
          <w:numId w:val="99"/>
        </w:numPr>
        <w:ind w:firstLine="632"/>
      </w:pPr>
      <w:r>
        <w:rPr>
          <w:rFonts w:hint="eastAsia"/>
        </w:rPr>
        <w:t>根据处置工作需要，报请县政府，逐级上报至省政府派出工作组指导，配合做好相关工作。</w:t>
      </w:r>
    </w:p>
    <w:p w14:paraId="2D3AC358">
      <w:pPr>
        <w:numPr>
          <w:ilvl w:val="0"/>
          <w:numId w:val="99"/>
        </w:numPr>
        <w:ind w:firstLine="632"/>
      </w:pPr>
      <w:r>
        <w:rPr>
          <w:rFonts w:hint="eastAsia"/>
        </w:rPr>
        <w:t>根据灾情的发生情况，在道路上增设检疫检查点开展检疫检查工作。必要时报请县政府设立临时植物检疫检查站，严密封锁疫情，防止疫情扩散传播。一旦发现违规调运，立即严肃处理。</w:t>
      </w:r>
    </w:p>
    <w:p w14:paraId="66F0BA1C">
      <w:pPr>
        <w:numPr>
          <w:ilvl w:val="0"/>
          <w:numId w:val="99"/>
        </w:numPr>
        <w:ind w:firstLine="632"/>
      </w:pPr>
      <w:r>
        <w:rPr>
          <w:rFonts w:hint="eastAsia"/>
        </w:rPr>
        <w:t>协调统一发布灾情信息，收集分析灾情，做好灾情防治宣传报道及舆论引导工作。</w:t>
      </w:r>
    </w:p>
    <w:p w14:paraId="4CA5F666">
      <w:pPr>
        <w:pStyle w:val="3"/>
      </w:pPr>
      <w:bookmarkStart w:id="413" w:name="_Toc14518"/>
      <w:r>
        <w:rPr>
          <w:rFonts w:hint="eastAsia"/>
        </w:rPr>
        <w:t>应急值守</w:t>
      </w:r>
      <w:bookmarkEnd w:id="413"/>
    </w:p>
    <w:p w14:paraId="7B488B36">
      <w:pPr>
        <w:ind w:firstLine="632"/>
      </w:pPr>
      <w:r>
        <w:rPr>
          <w:rFonts w:hint="eastAsia"/>
        </w:rPr>
        <w:t>县级应急响应启动后，参与应急响应工作的指挥部成员单位实行24小时值班制度，及时向县指挥部办公室报送相关信息。</w:t>
      </w:r>
    </w:p>
    <w:p w14:paraId="2B9BF44E">
      <w:pPr>
        <w:pStyle w:val="3"/>
      </w:pPr>
      <w:bookmarkStart w:id="414" w:name="_Toc25334"/>
      <w:r>
        <w:rPr>
          <w:rFonts w:hint="eastAsia"/>
        </w:rPr>
        <w:t>扩大应急</w:t>
      </w:r>
      <w:bookmarkEnd w:id="414"/>
    </w:p>
    <w:p w14:paraId="6368E4C8">
      <w:pPr>
        <w:ind w:firstLine="632"/>
      </w:pPr>
      <w:r>
        <w:rPr>
          <w:rFonts w:hint="eastAsia"/>
        </w:rPr>
        <w:t>应急响应过程中，县指挥部在认定林业和草原有害生物灾害难以控制或有扩大、发展趋势，需要采取进一步应急处置措施时，经报请县人民政府同意应当在全县范围内进行广泛动员，调集相关后备力量开展应急防控。需要市或其他县提供援助的，报请县政府向市政府请求支援。</w:t>
      </w:r>
    </w:p>
    <w:p w14:paraId="218B2C72">
      <w:pPr>
        <w:pStyle w:val="3"/>
      </w:pPr>
      <w:bookmarkStart w:id="415" w:name="_Toc7899"/>
      <w:r>
        <w:rPr>
          <w:rFonts w:hint="eastAsia"/>
        </w:rPr>
        <w:t>信息发布</w:t>
      </w:r>
      <w:bookmarkEnd w:id="415"/>
    </w:p>
    <w:p w14:paraId="18C727AC">
      <w:pPr>
        <w:ind w:firstLine="632"/>
      </w:pPr>
      <w:r>
        <w:rPr>
          <w:rFonts w:hint="eastAsia"/>
        </w:rPr>
        <w:t>县指挥部收集、核实、汇总灾害发生情况和处置相关信息，统一公开向社会发布。</w:t>
      </w:r>
    </w:p>
    <w:p w14:paraId="260BD6D1">
      <w:pPr>
        <w:ind w:firstLine="632"/>
      </w:pPr>
      <w:r>
        <w:rPr>
          <w:rFonts w:hint="eastAsia"/>
        </w:rPr>
        <w:t>对于涉密的重要信息，负责收集数据的部门、单位和人员应遵守相关管理规定，做好保密工作。属于国家保密管理的外来林业和草原有害生物疫情，逐级报请至省林草局按规定发布。任何单位或个人不得向社会、媒体公开。</w:t>
      </w:r>
    </w:p>
    <w:p w14:paraId="57790FED">
      <w:pPr>
        <w:pStyle w:val="3"/>
      </w:pPr>
      <w:bookmarkStart w:id="416" w:name="_Toc25966"/>
      <w:r>
        <w:rPr>
          <w:rFonts w:hint="eastAsia"/>
        </w:rPr>
        <w:t>响应终止</w:t>
      </w:r>
      <w:bookmarkEnd w:id="416"/>
    </w:p>
    <w:p w14:paraId="19391EB6">
      <w:pPr>
        <w:ind w:firstLine="632"/>
      </w:pPr>
      <w:r>
        <w:rPr>
          <w:rFonts w:hint="eastAsia"/>
        </w:rPr>
        <w:t>县指挥部或县指挥部办公室组织有关专家对灾害处置效果进行综合评估，确认灾情已经扑灭或得到有效控制，危险已经消除后，由启动响应的机构宣布响应终止。必要时，通过新闻媒体向社会发布响应终止消息。</w:t>
      </w:r>
    </w:p>
    <w:p w14:paraId="5D322961">
      <w:pPr>
        <w:pStyle w:val="2"/>
        <w:numPr>
          <w:ilvl w:val="0"/>
          <w:numId w:val="92"/>
        </w:numPr>
        <w:tabs>
          <w:tab w:val="left" w:pos="0"/>
        </w:tabs>
        <w:rPr>
          <w:sz w:val="32"/>
          <w:szCs w:val="32"/>
        </w:rPr>
      </w:pPr>
      <w:bookmarkStart w:id="417" w:name="_Toc25697"/>
      <w:r>
        <w:rPr>
          <w:rFonts w:hint="eastAsia"/>
          <w:sz w:val="32"/>
          <w:szCs w:val="32"/>
        </w:rPr>
        <w:t>后期处置</w:t>
      </w:r>
      <w:bookmarkEnd w:id="417"/>
    </w:p>
    <w:p w14:paraId="58BDF158">
      <w:pPr>
        <w:pStyle w:val="3"/>
      </w:pPr>
      <w:bookmarkStart w:id="418" w:name="_Toc27445"/>
      <w:r>
        <w:rPr>
          <w:rFonts w:hint="eastAsia"/>
        </w:rPr>
        <w:t>灾后处置</w:t>
      </w:r>
      <w:bookmarkEnd w:id="418"/>
    </w:p>
    <w:p w14:paraId="19FC5DF5">
      <w:pPr>
        <w:ind w:firstLine="632"/>
      </w:pPr>
      <w:r>
        <w:rPr>
          <w:rFonts w:hint="eastAsia"/>
        </w:rPr>
        <w:t>县级应急响应结束后，县指挥部要加强对除治现场的监督检查，确定技术责任人，做好后续防治工作，保证除治质量。继续对发生地及其周围进行监测，防止灾情再度发生。</w:t>
      </w:r>
    </w:p>
    <w:p w14:paraId="66A4642F">
      <w:pPr>
        <w:pStyle w:val="3"/>
      </w:pPr>
      <w:bookmarkStart w:id="419" w:name="_Toc6303"/>
      <w:r>
        <w:rPr>
          <w:rFonts w:hint="eastAsia"/>
        </w:rPr>
        <w:t>评估总结</w:t>
      </w:r>
      <w:bookmarkEnd w:id="419"/>
    </w:p>
    <w:p w14:paraId="7F7DDC8C">
      <w:pPr>
        <w:ind w:firstLine="632"/>
      </w:pPr>
      <w:r>
        <w:rPr>
          <w:rFonts w:hint="eastAsia"/>
        </w:rPr>
        <w:t>应急响应结束后，县指挥部办公室要组织有关人员对灾害应急处置工作的过程、人员物资使用、损失、波及范围等进行评估，总结经验教训，提出改进意见，形成书面材料，报县政府和市指挥部。</w:t>
      </w:r>
    </w:p>
    <w:p w14:paraId="3BC2C263">
      <w:pPr>
        <w:pStyle w:val="2"/>
        <w:numPr>
          <w:ilvl w:val="0"/>
          <w:numId w:val="92"/>
        </w:numPr>
        <w:tabs>
          <w:tab w:val="left" w:pos="0"/>
        </w:tabs>
        <w:rPr>
          <w:sz w:val="32"/>
          <w:szCs w:val="32"/>
        </w:rPr>
      </w:pPr>
      <w:bookmarkStart w:id="420" w:name="_Toc9185"/>
      <w:r>
        <w:rPr>
          <w:rFonts w:hint="eastAsia"/>
          <w:sz w:val="32"/>
          <w:szCs w:val="32"/>
        </w:rPr>
        <w:t>保障措施</w:t>
      </w:r>
      <w:bookmarkEnd w:id="420"/>
    </w:p>
    <w:p w14:paraId="583532C1">
      <w:pPr>
        <w:pStyle w:val="3"/>
      </w:pPr>
      <w:bookmarkStart w:id="421" w:name="_Toc31749"/>
      <w:r>
        <w:rPr>
          <w:rFonts w:hint="eastAsia"/>
        </w:rPr>
        <w:t>物资保障</w:t>
      </w:r>
      <w:bookmarkEnd w:id="421"/>
    </w:p>
    <w:p w14:paraId="42603BCD">
      <w:pPr>
        <w:ind w:firstLine="632"/>
      </w:pPr>
      <w:r>
        <w:rPr>
          <w:rFonts w:hint="eastAsia"/>
        </w:rPr>
        <w:t>县指挥部根据本辖区内自身情况，建立相应的应急物资储备库，储备药剂、药械、油料、封锁除害设施、交通运输车辆及其他物资。储备物资应存放在具备贮存条件、交通方便和安全的区域。县指挥部在一些重点地区建立应急物资储备库，就近调集使用。</w:t>
      </w:r>
    </w:p>
    <w:p w14:paraId="26B3C763">
      <w:pPr>
        <w:pStyle w:val="3"/>
      </w:pPr>
      <w:bookmarkStart w:id="422" w:name="_Toc10383"/>
      <w:r>
        <w:rPr>
          <w:rFonts w:hint="eastAsia"/>
        </w:rPr>
        <w:t>经费保障</w:t>
      </w:r>
      <w:bookmarkEnd w:id="422"/>
    </w:p>
    <w:p w14:paraId="59078278">
      <w:pPr>
        <w:ind w:firstLine="632"/>
      </w:pPr>
      <w:r>
        <w:rPr>
          <w:rFonts w:hint="eastAsia"/>
        </w:rPr>
        <w:t>林业和草原有害生物灾害应急处置所需物资和应急经费各级财政部门按照事权与支出责任相适应的原则，负责组织协调应急行动所需资金筹集、下达工作。同时，进行资金使用的监督和管理。</w:t>
      </w:r>
    </w:p>
    <w:p w14:paraId="381C49EF">
      <w:pPr>
        <w:pStyle w:val="3"/>
      </w:pPr>
      <w:bookmarkStart w:id="423" w:name="_Toc23554"/>
      <w:r>
        <w:rPr>
          <w:rFonts w:hint="eastAsia"/>
        </w:rPr>
        <w:t>技术保障</w:t>
      </w:r>
      <w:bookmarkEnd w:id="423"/>
    </w:p>
    <w:p w14:paraId="6F475ED5">
      <w:pPr>
        <w:ind w:firstLine="632"/>
      </w:pPr>
      <w:r>
        <w:rPr>
          <w:rFonts w:hint="eastAsia"/>
        </w:rPr>
        <w:t>县林草局和各乡镇要建立监测、预警、检疫、预报等应急信息系统，通过计算机网络及时传输各地灾情监测数据和有关图片，实时掌握灾情发生动态和发生趋势，为科学决策提供有力依据。及时了解和掌握国内外林业和草原有害生物灾害的发生、防治信息，对潜在的危险要进行超前研究，制定防治技术方案。</w:t>
      </w:r>
    </w:p>
    <w:p w14:paraId="534B6ED5">
      <w:pPr>
        <w:pStyle w:val="3"/>
      </w:pPr>
      <w:bookmarkStart w:id="424" w:name="_Toc20134"/>
      <w:r>
        <w:rPr>
          <w:rFonts w:hint="eastAsia"/>
        </w:rPr>
        <w:t>队伍保障</w:t>
      </w:r>
      <w:bookmarkEnd w:id="424"/>
    </w:p>
    <w:p w14:paraId="2252F0B8">
      <w:pPr>
        <w:ind w:firstLine="632"/>
      </w:pPr>
      <w:r>
        <w:rPr>
          <w:rFonts w:hint="eastAsia"/>
        </w:rPr>
        <w:t>各乡镇人民政府、县直各有关单位要加强林业和草原有害生物防治检疫机构队伍建设，落实人员和工作经费，组建快速、高效、机动性强的除治专业队，使他们能够有效执行领导组的指令，并按照有关规定和技术方案，全面开展预防和应急处置工作。</w:t>
      </w:r>
    </w:p>
    <w:p w14:paraId="47183BAD">
      <w:pPr>
        <w:pStyle w:val="3"/>
      </w:pPr>
      <w:bookmarkStart w:id="425" w:name="_Toc26412"/>
      <w:r>
        <w:rPr>
          <w:rFonts w:hint="eastAsia"/>
        </w:rPr>
        <w:t>宣传培训保障</w:t>
      </w:r>
      <w:bookmarkEnd w:id="425"/>
    </w:p>
    <w:p w14:paraId="2A0ECF67">
      <w:pPr>
        <w:ind w:firstLine="632"/>
      </w:pPr>
      <w:r>
        <w:rPr>
          <w:rFonts w:hint="eastAsia"/>
        </w:rPr>
        <w:t>林草部门要协调组织有关部门制定应对林业和草原有害生物灾害的宣传教育方案，充分利用广播、电视、报纸、互联网等新闻媒体，开展宣传工作，增强全民防治林业和草原有害生物意识，提高预防和处置林业和草原有害生物灾害基本知识和技能。同时，每年对有关领导、应急管理及技术人员和除治专业队员进行技术培训，不断提高林业和草原有害生物灾害的防治技术水平和处置能力。</w:t>
      </w:r>
    </w:p>
    <w:p w14:paraId="1FEE5CA6">
      <w:pPr>
        <w:pStyle w:val="2"/>
        <w:numPr>
          <w:ilvl w:val="0"/>
          <w:numId w:val="92"/>
        </w:numPr>
        <w:tabs>
          <w:tab w:val="left" w:pos="0"/>
        </w:tabs>
        <w:rPr>
          <w:sz w:val="32"/>
          <w:szCs w:val="32"/>
        </w:rPr>
      </w:pPr>
      <w:bookmarkStart w:id="426" w:name="_Toc17907"/>
      <w:r>
        <w:rPr>
          <w:rFonts w:hint="eastAsia"/>
          <w:sz w:val="32"/>
          <w:szCs w:val="32"/>
        </w:rPr>
        <w:t>附则</w:t>
      </w:r>
      <w:bookmarkEnd w:id="426"/>
    </w:p>
    <w:p w14:paraId="36E930C2">
      <w:pPr>
        <w:pStyle w:val="3"/>
      </w:pPr>
      <w:bookmarkStart w:id="427" w:name="_Toc904"/>
      <w:r>
        <w:rPr>
          <w:rFonts w:hint="eastAsia"/>
        </w:rPr>
        <w:t>名词术语</w:t>
      </w:r>
      <w:bookmarkEnd w:id="427"/>
    </w:p>
    <w:p w14:paraId="1544B4A8">
      <w:pPr>
        <w:numPr>
          <w:ilvl w:val="0"/>
          <w:numId w:val="100"/>
        </w:numPr>
        <w:ind w:firstLine="632"/>
      </w:pPr>
      <w:r>
        <w:rPr>
          <w:rFonts w:hint="eastAsia"/>
        </w:rPr>
        <w:t>林业有害生物：指对林业植物及其产品、森林生态系统等构成危害或威胁的动物、植物和病原微生物。林业植物及其产品包括林木种子、苗木及其他繁殖材料，乔木、灌木、竹类植物、荒漠植物、林下植物、花卉和其他林业植物，木（竹）材及其制品，药材、果品盆景和其他林产品。</w:t>
      </w:r>
    </w:p>
    <w:p w14:paraId="05ED67ED">
      <w:pPr>
        <w:numPr>
          <w:ilvl w:val="0"/>
          <w:numId w:val="100"/>
        </w:numPr>
        <w:ind w:firstLine="632"/>
      </w:pPr>
      <w:r>
        <w:rPr>
          <w:rFonts w:hint="eastAsia"/>
        </w:rPr>
        <w:t>草原有害生物：指危害草原和牧草并造成经济损失的有害生物，包括啮齿类动物（如鼢鼠）、昆虫（如蝗虫）、植物病原微生物、寄生性种子植物和杂草等。</w:t>
      </w:r>
    </w:p>
    <w:p w14:paraId="7E61F761">
      <w:pPr>
        <w:numPr>
          <w:ilvl w:val="0"/>
          <w:numId w:val="100"/>
        </w:numPr>
        <w:ind w:firstLine="632"/>
      </w:pPr>
      <w:r>
        <w:rPr>
          <w:rFonts w:hint="eastAsia"/>
        </w:rPr>
        <w:t>外来林业有害生物：是指原产于国（境）外，传入我国后已经影响森林、林木、林木种子等正常生长发育并造成严重损失的林业病、虫、杂草以及其他有害生物。</w:t>
      </w:r>
    </w:p>
    <w:p w14:paraId="3619126D">
      <w:pPr>
        <w:numPr>
          <w:ilvl w:val="0"/>
          <w:numId w:val="100"/>
        </w:numPr>
        <w:ind w:firstLine="632"/>
      </w:pPr>
      <w:r>
        <w:rPr>
          <w:rFonts w:hint="eastAsia"/>
        </w:rPr>
        <w:t>林业检疫性有害生物：是指在我国境内局部地区发生，危险性大，能随植物及其产品传播，经国家林业和草原局或省级林业部门发布禁止传播的林业有害生物。</w:t>
      </w:r>
    </w:p>
    <w:p w14:paraId="4822A3E2">
      <w:pPr>
        <w:pStyle w:val="3"/>
        <w:tabs>
          <w:tab w:val="left" w:pos="0"/>
        </w:tabs>
        <w:rPr>
          <w:rFonts w:ascii="Times New Roman" w:hAnsi="Times New Roman"/>
          <w:szCs w:val="32"/>
        </w:rPr>
      </w:pPr>
      <w:bookmarkStart w:id="428" w:name="_Toc1089"/>
      <w:r>
        <w:rPr>
          <w:rFonts w:hint="eastAsia" w:ascii="Times New Roman" w:hAnsi="Times New Roman"/>
          <w:szCs w:val="32"/>
        </w:rPr>
        <w:t>预案管理与更新</w:t>
      </w:r>
      <w:bookmarkEnd w:id="428"/>
    </w:p>
    <w:p w14:paraId="49BBD1BD">
      <w:pPr>
        <w:ind w:firstLine="632"/>
      </w:pPr>
      <w:r>
        <w:rPr>
          <w:rFonts w:hint="eastAsia"/>
        </w:rPr>
        <w:t>县指挥部每三年组织开展一次实战演练，提高应对林业和草原有害生物灾害的快速反应、协调配合和现场处置能力。本预案由县林业和草原有害生物灾害应急指挥部办公室依据国家和省、市的相关要求制定，可根据需要及时对应急预案进行修订。</w:t>
      </w:r>
    </w:p>
    <w:p w14:paraId="7AC914E5">
      <w:pPr>
        <w:pStyle w:val="3"/>
        <w:tabs>
          <w:tab w:val="left" w:pos="0"/>
        </w:tabs>
        <w:rPr>
          <w:rFonts w:ascii="Times New Roman" w:hAnsi="Times New Roman"/>
          <w:szCs w:val="32"/>
        </w:rPr>
      </w:pPr>
      <w:bookmarkStart w:id="429" w:name="_Toc16414"/>
      <w:r>
        <w:rPr>
          <w:rFonts w:hint="eastAsia" w:ascii="Times New Roman" w:hAnsi="Times New Roman"/>
          <w:szCs w:val="32"/>
        </w:rPr>
        <w:t>预案制定与解释</w:t>
      </w:r>
      <w:bookmarkEnd w:id="429"/>
    </w:p>
    <w:p w14:paraId="144A5BBE">
      <w:pPr>
        <w:ind w:firstLine="632"/>
        <w:rPr>
          <w:rFonts w:ascii="Times New Roman" w:hAnsi="Times New Roman"/>
        </w:rPr>
      </w:pPr>
      <w:r>
        <w:rPr>
          <w:rFonts w:hint="eastAsia" w:ascii="Times New Roman" w:hAnsi="Times New Roman"/>
        </w:rPr>
        <w:t>本预案由集贤县林业和草原有害生物灾害应急指挥部办公室负责解释。</w:t>
      </w:r>
    </w:p>
    <w:p w14:paraId="029858E8">
      <w:pPr>
        <w:pStyle w:val="3"/>
        <w:tabs>
          <w:tab w:val="left" w:pos="0"/>
        </w:tabs>
        <w:rPr>
          <w:rFonts w:ascii="Times New Roman" w:hAnsi="Times New Roman"/>
          <w:szCs w:val="32"/>
        </w:rPr>
      </w:pPr>
      <w:bookmarkStart w:id="430" w:name="_Toc21278"/>
      <w:r>
        <w:rPr>
          <w:rFonts w:hint="eastAsia" w:ascii="Times New Roman" w:hAnsi="Times New Roman"/>
          <w:szCs w:val="32"/>
        </w:rPr>
        <w:t>预案中“以上”“以下”的含义</w:t>
      </w:r>
      <w:bookmarkEnd w:id="430"/>
    </w:p>
    <w:p w14:paraId="466953AD">
      <w:pPr>
        <w:ind w:firstLine="632"/>
        <w:rPr>
          <w:rFonts w:ascii="Times New Roman" w:hAnsi="Times New Roman"/>
        </w:rPr>
      </w:pPr>
      <w:r>
        <w:rPr>
          <w:rFonts w:hint="eastAsia" w:ascii="Times New Roman" w:hAnsi="Times New Roman"/>
        </w:rPr>
        <w:t>本预案有关数量的表述中，“以上”包含本数，“以下”不包含本数。</w:t>
      </w:r>
    </w:p>
    <w:p w14:paraId="1E66744E">
      <w:pPr>
        <w:pStyle w:val="3"/>
        <w:tabs>
          <w:tab w:val="left" w:pos="0"/>
        </w:tabs>
        <w:rPr>
          <w:rFonts w:ascii="Times New Roman" w:hAnsi="Times New Roman"/>
          <w:szCs w:val="32"/>
        </w:rPr>
      </w:pPr>
      <w:bookmarkStart w:id="431" w:name="_Toc1097"/>
      <w:r>
        <w:rPr>
          <w:rFonts w:hint="eastAsia" w:ascii="Times New Roman" w:hAnsi="Times New Roman"/>
          <w:szCs w:val="32"/>
        </w:rPr>
        <w:t>预案的实施</w:t>
      </w:r>
      <w:bookmarkEnd w:id="431"/>
    </w:p>
    <w:p w14:paraId="313D1A30">
      <w:pPr>
        <w:ind w:firstLine="632"/>
      </w:pPr>
      <w:r>
        <w:rPr>
          <w:rFonts w:hint="eastAsia" w:ascii="Times New Roman" w:hAnsi="Times New Roman"/>
        </w:rPr>
        <w:t>本预案自发布之日起施行</w:t>
      </w:r>
      <w:r>
        <w:rPr>
          <w:rFonts w:hint="eastAsia"/>
        </w:rPr>
        <w:t>。</w:t>
      </w:r>
    </w:p>
    <w:p w14:paraId="40781287">
      <w:pPr>
        <w:pStyle w:val="2"/>
        <w:numPr>
          <w:ilvl w:val="0"/>
          <w:numId w:val="92"/>
        </w:numPr>
        <w:tabs>
          <w:tab w:val="left" w:pos="0"/>
        </w:tabs>
        <w:rPr>
          <w:sz w:val="32"/>
          <w:szCs w:val="32"/>
        </w:rPr>
      </w:pPr>
      <w:bookmarkStart w:id="432" w:name="_Toc14452"/>
      <w:bookmarkStart w:id="433" w:name="_Toc4674"/>
      <w:r>
        <w:rPr>
          <w:sz w:val="32"/>
          <w:szCs w:val="32"/>
        </w:rPr>
        <w:t>附件</w:t>
      </w:r>
      <w:bookmarkEnd w:id="432"/>
      <w:bookmarkEnd w:id="433"/>
    </w:p>
    <w:p w14:paraId="18008D30">
      <w:pPr>
        <w:ind w:firstLine="632"/>
        <w:rPr>
          <w:rFonts w:ascii="Times New Roman" w:hAnsi="Times New Roman"/>
        </w:rPr>
      </w:pPr>
      <w:r>
        <w:rPr>
          <w:rFonts w:hint="eastAsia" w:ascii="Times New Roman" w:hAnsi="Times New Roman"/>
        </w:rPr>
        <w:t>8</w:t>
      </w:r>
      <w:r>
        <w:rPr>
          <w:rFonts w:ascii="Times New Roman" w:hAnsi="Times New Roman"/>
        </w:rPr>
        <w:t>.1 集贤县林业和草原有害生物灾害应急处置工作流程图</w:t>
      </w:r>
    </w:p>
    <w:p w14:paraId="4BCE7C53">
      <w:pPr>
        <w:ind w:firstLine="632"/>
        <w:rPr>
          <w:rFonts w:ascii="Times New Roman" w:hAnsi="Times New Roman"/>
        </w:rPr>
      </w:pPr>
      <w:r>
        <w:rPr>
          <w:rFonts w:hint="eastAsia" w:ascii="Times New Roman" w:hAnsi="Times New Roman"/>
        </w:rPr>
        <w:t>8</w:t>
      </w:r>
      <w:r>
        <w:rPr>
          <w:rFonts w:ascii="Times New Roman" w:hAnsi="Times New Roman"/>
        </w:rPr>
        <w:t>.2 集贤县林业和草原有害生物灾害分级标准</w:t>
      </w:r>
    </w:p>
    <w:p w14:paraId="4E37E803">
      <w:pPr>
        <w:ind w:firstLine="632"/>
        <w:rPr>
          <w:rFonts w:ascii="Times New Roman" w:hAnsi="Times New Roman"/>
        </w:rPr>
      </w:pPr>
    </w:p>
    <w:p w14:paraId="39371083">
      <w:pPr>
        <w:pStyle w:val="61"/>
        <w:ind w:firstLine="412"/>
        <w:sectPr>
          <w:headerReference r:id="rId25" w:type="default"/>
          <w:footerReference r:id="rId27" w:type="default"/>
          <w:headerReference r:id="rId26" w:type="even"/>
          <w:footerReference r:id="rId28" w:type="even"/>
          <w:pgSz w:w="11906" w:h="16838"/>
          <w:pgMar w:top="2154" w:right="1020" w:bottom="1984" w:left="1587" w:header="624" w:footer="850" w:gutter="0"/>
          <w:pgNumType w:start="1"/>
          <w:cols w:space="720" w:num="1"/>
          <w:docGrid w:type="linesAndChars" w:linePitch="579" w:charSpace="-842"/>
        </w:sectPr>
      </w:pPr>
    </w:p>
    <w:p w14:paraId="24E1A9BE">
      <w:pPr>
        <w:pStyle w:val="2"/>
        <w:numPr>
          <w:ilvl w:val="0"/>
          <w:numId w:val="0"/>
        </w:numPr>
        <w:rPr>
          <w:rFonts w:ascii="黑体" w:hAnsi="黑体" w:cs="黑体"/>
          <w:sz w:val="36"/>
          <w:szCs w:val="36"/>
        </w:rPr>
      </w:pPr>
      <w:bookmarkStart w:id="434" w:name="_Toc29279"/>
      <w:r>
        <w:rPr>
          <w:rFonts w:hint="eastAsia" w:ascii="黑体" w:hAnsi="黑体" w:cs="黑体"/>
          <w:sz w:val="36"/>
          <w:szCs w:val="36"/>
        </w:rPr>
        <w:t>附件1 集贤县林业和草原有害生物灾害应急处置工作流程图</w:t>
      </w:r>
      <w:bookmarkEnd w:id="434"/>
    </w:p>
    <w:p w14:paraId="16836FA1">
      <w:pPr>
        <w:pStyle w:val="61"/>
        <w:ind w:firstLine="0" w:firstLineChars="0"/>
        <w:rPr>
          <w:rFonts w:ascii="黑体" w:hAnsi="黑体" w:eastAsia="黑体" w:cs="黑体"/>
          <w:sz w:val="32"/>
          <w:szCs w:val="32"/>
        </w:rPr>
        <w:sectPr>
          <w:pgSz w:w="11906" w:h="16838"/>
          <w:pgMar w:top="1080" w:right="1440" w:bottom="1080" w:left="1440" w:header="851" w:footer="992" w:gutter="0"/>
          <w:pgNumType w:start="1"/>
          <w:cols w:space="720" w:num="1"/>
          <w:docGrid w:type="lines" w:linePitch="312" w:charSpace="-842"/>
        </w:sectPr>
      </w:pPr>
      <w:r>
        <w:rPr>
          <w:rFonts w:hint="eastAsia" w:ascii="黑体" w:hAnsi="黑体" w:eastAsia="黑体" w:cs="黑体"/>
          <w:sz w:val="32"/>
          <w:szCs w:val="32"/>
        </w:rPr>
        <w:drawing>
          <wp:inline distT="0" distB="0" distL="114300" distR="114300">
            <wp:extent cx="6162040" cy="5864225"/>
            <wp:effectExtent l="0" t="0" r="0" b="0"/>
            <wp:docPr id="138" name="图片 138" descr="C:/Users/THINK/AppData/Local/Temp/wps.ApneLZ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C:/Users/THINK/AppData/Local/Temp/wps.ApneLZwps"/>
                    <pic:cNvPicPr>
                      <a:picLocks noChangeAspect="1"/>
                    </pic:cNvPicPr>
                  </pic:nvPicPr>
                  <pic:blipFill>
                    <a:blip r:embed="rId193"/>
                    <a:stretch>
                      <a:fillRect/>
                    </a:stretch>
                  </pic:blipFill>
                  <pic:spPr>
                    <a:xfrm>
                      <a:off x="0" y="0"/>
                      <a:ext cx="6162040" cy="5864225"/>
                    </a:xfrm>
                    <a:prstGeom prst="rect">
                      <a:avLst/>
                    </a:prstGeom>
                    <a:noFill/>
                    <a:ln>
                      <a:noFill/>
                    </a:ln>
                  </pic:spPr>
                </pic:pic>
              </a:graphicData>
            </a:graphic>
          </wp:inline>
        </w:drawing>
      </w:r>
    </w:p>
    <w:p w14:paraId="7A590BE1">
      <w:pPr>
        <w:pStyle w:val="2"/>
        <w:numPr>
          <w:ilvl w:val="0"/>
          <w:numId w:val="0"/>
        </w:numPr>
        <w:rPr>
          <w:rFonts w:ascii="黑体" w:hAnsi="黑体" w:cs="黑体"/>
          <w:sz w:val="36"/>
          <w:szCs w:val="36"/>
        </w:rPr>
      </w:pPr>
      <w:bookmarkStart w:id="435" w:name="_Toc30991"/>
      <w:r>
        <w:rPr>
          <w:rFonts w:hint="eastAsia" w:ascii="黑体" w:hAnsi="黑体" w:cs="黑体"/>
          <w:sz w:val="36"/>
          <w:szCs w:val="36"/>
        </w:rPr>
        <w:t>附件2 集贤县林业和草原有害生物灾害分级标准</w:t>
      </w:r>
      <w:bookmarkEnd w:id="435"/>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2"/>
        <w:gridCol w:w="2022"/>
        <w:gridCol w:w="2825"/>
        <w:gridCol w:w="2434"/>
        <w:gridCol w:w="1632"/>
      </w:tblGrid>
      <w:tr w14:paraId="2C8AA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715" w:type="dxa"/>
            <w:vMerge w:val="restart"/>
            <w:tcBorders>
              <w:top w:val="single" w:color="auto" w:sz="4" w:space="0"/>
              <w:left w:val="single" w:color="auto" w:sz="4" w:space="0"/>
              <w:bottom w:val="single" w:color="auto" w:sz="4" w:space="0"/>
              <w:right w:val="single" w:color="auto" w:sz="4" w:space="0"/>
              <w:tl2br w:val="nil"/>
              <w:tr2bl w:val="nil"/>
            </w:tcBorders>
            <w:vAlign w:val="center"/>
          </w:tcPr>
          <w:p w14:paraId="65158D05">
            <w:pPr>
              <w:snapToGrid w:val="0"/>
              <w:spacing w:line="240" w:lineRule="atLeast"/>
              <w:ind w:firstLine="0" w:firstLineChars="0"/>
              <w:rPr>
                <w:rFonts w:ascii="仿宋_GB2312" w:hAnsi="仿宋_GB2312" w:cs="仿宋_GB2312"/>
                <w:sz w:val="24"/>
                <w:szCs w:val="24"/>
              </w:rPr>
            </w:pPr>
            <w:r>
              <w:rPr>
                <w:rFonts w:hint="eastAsia" w:ascii="仿宋_GB2312" w:hAnsi="仿宋_GB2312" w:cs="仿宋_GB2312"/>
                <w:b/>
                <w:sz w:val="24"/>
                <w:szCs w:val="24"/>
              </w:rPr>
              <w:t>林业有害生物灾害分级</w:t>
            </w:r>
          </w:p>
        </w:tc>
        <w:tc>
          <w:tcPr>
            <w:tcW w:w="3080" w:type="dxa"/>
            <w:tcBorders>
              <w:top w:val="single" w:color="auto" w:sz="4" w:space="0"/>
              <w:left w:val="single" w:color="auto" w:sz="4" w:space="0"/>
              <w:bottom w:val="single" w:color="auto" w:sz="4" w:space="0"/>
              <w:right w:val="single" w:color="auto" w:sz="4" w:space="0"/>
              <w:tl2br w:val="nil"/>
              <w:tr2bl w:val="nil"/>
            </w:tcBorders>
            <w:vAlign w:val="center"/>
          </w:tcPr>
          <w:p w14:paraId="2F0D13BB">
            <w:pPr>
              <w:snapToGrid w:val="0"/>
              <w:spacing w:line="240" w:lineRule="atLeast"/>
              <w:ind w:firstLine="0" w:firstLineChars="0"/>
              <w:jc w:val="center"/>
              <w:rPr>
                <w:rFonts w:ascii="仿宋_GB2312" w:hAnsi="仿宋_GB2312" w:cs="仿宋_GB2312"/>
                <w:b/>
                <w:sz w:val="24"/>
                <w:szCs w:val="24"/>
              </w:rPr>
            </w:pPr>
            <w:r>
              <w:rPr>
                <w:rFonts w:hint="eastAsia" w:ascii="仿宋_GB2312" w:hAnsi="仿宋_GB2312" w:cs="仿宋_GB2312"/>
                <w:b/>
                <w:sz w:val="24"/>
                <w:szCs w:val="24"/>
              </w:rPr>
              <w:t>特别重大林业</w:t>
            </w:r>
          </w:p>
          <w:p w14:paraId="6378390D">
            <w:pPr>
              <w:snapToGrid w:val="0"/>
              <w:spacing w:line="240" w:lineRule="atLeast"/>
              <w:ind w:firstLine="0" w:firstLineChars="0"/>
              <w:jc w:val="center"/>
              <w:rPr>
                <w:rFonts w:ascii="仿宋_GB2312" w:hAnsi="仿宋_GB2312" w:cs="仿宋_GB2312"/>
                <w:sz w:val="24"/>
                <w:szCs w:val="24"/>
              </w:rPr>
            </w:pPr>
            <w:r>
              <w:rPr>
                <w:rFonts w:hint="eastAsia" w:ascii="仿宋_GB2312" w:hAnsi="仿宋_GB2312" w:cs="仿宋_GB2312"/>
                <w:b/>
                <w:sz w:val="24"/>
                <w:szCs w:val="24"/>
              </w:rPr>
              <w:t>有害生物灾害(一级)</w:t>
            </w:r>
          </w:p>
        </w:tc>
        <w:tc>
          <w:tcPr>
            <w:tcW w:w="4337" w:type="dxa"/>
            <w:tcBorders>
              <w:top w:val="single" w:color="auto" w:sz="4" w:space="0"/>
              <w:left w:val="single" w:color="auto" w:sz="4" w:space="0"/>
              <w:bottom w:val="single" w:color="auto" w:sz="4" w:space="0"/>
              <w:right w:val="single" w:color="auto" w:sz="4" w:space="0"/>
              <w:tl2br w:val="nil"/>
              <w:tr2bl w:val="nil"/>
            </w:tcBorders>
            <w:vAlign w:val="center"/>
          </w:tcPr>
          <w:p w14:paraId="4B619343">
            <w:pPr>
              <w:snapToGrid w:val="0"/>
              <w:spacing w:line="240" w:lineRule="atLeast"/>
              <w:ind w:firstLine="0" w:firstLineChars="0"/>
              <w:jc w:val="center"/>
              <w:rPr>
                <w:rFonts w:ascii="仿宋_GB2312" w:hAnsi="仿宋_GB2312" w:cs="仿宋_GB2312"/>
                <w:b/>
                <w:sz w:val="24"/>
                <w:szCs w:val="24"/>
              </w:rPr>
            </w:pPr>
            <w:r>
              <w:rPr>
                <w:rFonts w:hint="eastAsia" w:ascii="仿宋_GB2312" w:hAnsi="仿宋_GB2312" w:cs="仿宋_GB2312"/>
                <w:b/>
                <w:sz w:val="24"/>
                <w:szCs w:val="24"/>
              </w:rPr>
              <w:t>重大林业</w:t>
            </w:r>
          </w:p>
          <w:p w14:paraId="7477C049">
            <w:pPr>
              <w:snapToGrid w:val="0"/>
              <w:spacing w:line="240" w:lineRule="atLeast"/>
              <w:ind w:firstLine="0" w:firstLineChars="0"/>
              <w:jc w:val="center"/>
              <w:rPr>
                <w:rFonts w:ascii="仿宋_GB2312" w:hAnsi="仿宋_GB2312" w:cs="仿宋_GB2312"/>
                <w:sz w:val="24"/>
                <w:szCs w:val="24"/>
              </w:rPr>
            </w:pPr>
            <w:r>
              <w:rPr>
                <w:rFonts w:hint="eastAsia" w:ascii="仿宋_GB2312" w:hAnsi="仿宋_GB2312" w:cs="仿宋_GB2312"/>
                <w:b/>
                <w:sz w:val="24"/>
                <w:szCs w:val="24"/>
              </w:rPr>
              <w:t>有害生物灾害(二级)</w:t>
            </w:r>
          </w:p>
        </w:tc>
        <w:tc>
          <w:tcPr>
            <w:tcW w:w="3648" w:type="dxa"/>
            <w:tcBorders>
              <w:top w:val="single" w:color="auto" w:sz="4" w:space="0"/>
              <w:left w:val="single" w:color="auto" w:sz="4" w:space="0"/>
              <w:bottom w:val="single" w:color="auto" w:sz="4" w:space="0"/>
              <w:right w:val="single" w:color="auto" w:sz="4" w:space="0"/>
              <w:tl2br w:val="nil"/>
              <w:tr2bl w:val="nil"/>
            </w:tcBorders>
            <w:vAlign w:val="center"/>
          </w:tcPr>
          <w:p w14:paraId="2E1913C8">
            <w:pPr>
              <w:snapToGrid w:val="0"/>
              <w:spacing w:line="240" w:lineRule="atLeast"/>
              <w:ind w:firstLine="0" w:firstLineChars="0"/>
              <w:jc w:val="center"/>
              <w:rPr>
                <w:rFonts w:ascii="仿宋_GB2312" w:hAnsi="仿宋_GB2312" w:cs="仿宋_GB2312"/>
                <w:b/>
                <w:sz w:val="24"/>
                <w:szCs w:val="24"/>
              </w:rPr>
            </w:pPr>
            <w:r>
              <w:rPr>
                <w:rFonts w:hint="eastAsia" w:ascii="仿宋_GB2312" w:hAnsi="仿宋_GB2312" w:cs="仿宋_GB2312"/>
                <w:b/>
                <w:sz w:val="24"/>
                <w:szCs w:val="24"/>
              </w:rPr>
              <w:t>较大林业</w:t>
            </w:r>
          </w:p>
          <w:p w14:paraId="674C4AD0">
            <w:pPr>
              <w:snapToGrid w:val="0"/>
              <w:spacing w:line="240" w:lineRule="atLeast"/>
              <w:ind w:firstLine="0" w:firstLineChars="0"/>
              <w:jc w:val="center"/>
              <w:rPr>
                <w:rFonts w:ascii="仿宋_GB2312" w:hAnsi="仿宋_GB2312" w:cs="仿宋_GB2312"/>
                <w:sz w:val="24"/>
                <w:szCs w:val="24"/>
              </w:rPr>
            </w:pPr>
            <w:r>
              <w:rPr>
                <w:rFonts w:hint="eastAsia" w:ascii="仿宋_GB2312" w:hAnsi="仿宋_GB2312" w:cs="仿宋_GB2312"/>
                <w:b/>
                <w:sz w:val="24"/>
                <w:szCs w:val="24"/>
              </w:rPr>
              <w:t>有害生物灾害(三级)</w:t>
            </w:r>
          </w:p>
        </w:tc>
        <w:tc>
          <w:tcPr>
            <w:tcW w:w="2394" w:type="dxa"/>
            <w:tcBorders>
              <w:top w:val="single" w:color="auto" w:sz="4" w:space="0"/>
              <w:left w:val="single" w:color="auto" w:sz="4" w:space="0"/>
              <w:bottom w:val="single" w:color="auto" w:sz="4" w:space="0"/>
              <w:right w:val="single" w:color="auto" w:sz="4" w:space="0"/>
              <w:tl2br w:val="nil"/>
              <w:tr2bl w:val="nil"/>
            </w:tcBorders>
            <w:vAlign w:val="center"/>
          </w:tcPr>
          <w:p w14:paraId="75DD5DBE">
            <w:pPr>
              <w:snapToGrid w:val="0"/>
              <w:spacing w:line="240" w:lineRule="atLeast"/>
              <w:ind w:firstLine="0" w:firstLineChars="0"/>
              <w:jc w:val="center"/>
              <w:rPr>
                <w:rFonts w:ascii="仿宋_GB2312" w:hAnsi="仿宋_GB2312" w:cs="仿宋_GB2312"/>
                <w:b/>
                <w:sz w:val="24"/>
                <w:szCs w:val="24"/>
              </w:rPr>
            </w:pPr>
            <w:r>
              <w:rPr>
                <w:rFonts w:hint="eastAsia" w:ascii="仿宋_GB2312" w:hAnsi="仿宋_GB2312" w:cs="仿宋_GB2312"/>
                <w:b/>
                <w:sz w:val="24"/>
                <w:szCs w:val="24"/>
              </w:rPr>
              <w:t>一般林业</w:t>
            </w:r>
          </w:p>
          <w:p w14:paraId="1AD9C29F">
            <w:pPr>
              <w:snapToGrid w:val="0"/>
              <w:spacing w:line="240" w:lineRule="atLeast"/>
              <w:ind w:firstLine="0" w:firstLineChars="0"/>
              <w:jc w:val="center"/>
              <w:rPr>
                <w:rFonts w:ascii="仿宋_GB2312" w:hAnsi="仿宋_GB2312" w:cs="仿宋_GB2312"/>
                <w:sz w:val="24"/>
                <w:szCs w:val="24"/>
              </w:rPr>
            </w:pPr>
            <w:r>
              <w:rPr>
                <w:rFonts w:hint="eastAsia" w:ascii="仿宋_GB2312" w:hAnsi="仿宋_GB2312" w:cs="仿宋_GB2312"/>
                <w:b/>
                <w:sz w:val="24"/>
                <w:szCs w:val="24"/>
              </w:rPr>
              <w:t>有害生物灾害(四级)</w:t>
            </w:r>
          </w:p>
        </w:tc>
      </w:tr>
      <w:tr w14:paraId="3F132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1" w:hRule="atLeast"/>
        </w:trPr>
        <w:tc>
          <w:tcPr>
            <w:tcW w:w="715"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6432DFD7">
            <w:pPr>
              <w:snapToGrid w:val="0"/>
              <w:spacing w:line="240" w:lineRule="atLeast"/>
              <w:ind w:firstLine="480"/>
              <w:jc w:val="center"/>
              <w:rPr>
                <w:rFonts w:ascii="仿宋_GB2312" w:hAnsi="仿宋_GB2312" w:cs="仿宋_GB2312"/>
                <w:sz w:val="24"/>
                <w:szCs w:val="24"/>
              </w:rPr>
            </w:pPr>
          </w:p>
        </w:tc>
        <w:tc>
          <w:tcPr>
            <w:tcW w:w="3080" w:type="dxa"/>
            <w:tcBorders>
              <w:top w:val="single" w:color="auto" w:sz="4" w:space="0"/>
              <w:left w:val="single" w:color="auto" w:sz="4" w:space="0"/>
              <w:bottom w:val="single" w:color="auto" w:sz="4" w:space="0"/>
              <w:right w:val="single" w:color="auto" w:sz="4" w:space="0"/>
              <w:tl2br w:val="nil"/>
              <w:tr2bl w:val="nil"/>
            </w:tcBorders>
          </w:tcPr>
          <w:p w14:paraId="4819EDEB">
            <w:pPr>
              <w:snapToGrid w:val="0"/>
              <w:spacing w:line="240" w:lineRule="atLeast"/>
              <w:ind w:firstLine="0" w:firstLineChars="0"/>
              <w:jc w:val="left"/>
              <w:rPr>
                <w:rFonts w:ascii="仿宋_GB2312" w:hAnsi="仿宋_GB2312" w:cs="仿宋_GB2312"/>
                <w:sz w:val="21"/>
                <w:szCs w:val="21"/>
              </w:rPr>
            </w:pPr>
            <w:r>
              <w:rPr>
                <w:rFonts w:hint="eastAsia" w:ascii="仿宋_GB2312" w:hAnsi="仿宋_GB2312" w:cs="仿宋_GB2312"/>
                <w:sz w:val="21"/>
                <w:szCs w:val="21"/>
              </w:rPr>
              <w:t>1.发生对人类健康构成威胁、可引起人类疾病的林业有害生物的;</w:t>
            </w:r>
          </w:p>
          <w:p w14:paraId="1389AA48">
            <w:pPr>
              <w:snapToGrid w:val="0"/>
              <w:spacing w:line="240" w:lineRule="atLeast"/>
              <w:ind w:firstLine="0" w:firstLineChars="0"/>
              <w:jc w:val="left"/>
              <w:rPr>
                <w:rFonts w:ascii="仿宋_GB2312" w:hAnsi="仿宋_GB2312" w:cs="仿宋_GB2312"/>
                <w:sz w:val="21"/>
                <w:szCs w:val="21"/>
              </w:rPr>
            </w:pPr>
            <w:r>
              <w:rPr>
                <w:rFonts w:hint="eastAsia" w:ascii="仿宋_GB2312" w:hAnsi="仿宋_GB2312" w:cs="仿宋_GB2312"/>
                <w:sz w:val="21"/>
                <w:szCs w:val="21"/>
              </w:rPr>
              <w:t>2.首次发现国(境)外新传入的林业有害生物的;</w:t>
            </w:r>
          </w:p>
          <w:p w14:paraId="438477AB">
            <w:pPr>
              <w:snapToGrid w:val="0"/>
              <w:spacing w:line="240" w:lineRule="atLeast"/>
              <w:ind w:firstLine="0" w:firstLineChars="0"/>
              <w:jc w:val="left"/>
              <w:rPr>
                <w:rFonts w:ascii="仿宋_GB2312" w:hAnsi="仿宋_GB2312" w:cs="仿宋_GB2312"/>
                <w:sz w:val="21"/>
                <w:szCs w:val="21"/>
              </w:rPr>
            </w:pPr>
            <w:r>
              <w:rPr>
                <w:rFonts w:hint="eastAsia" w:ascii="仿宋_GB2312" w:hAnsi="仿宋_GB2312" w:cs="仿宋_GB2312"/>
                <w:sz w:val="21"/>
                <w:szCs w:val="21"/>
              </w:rPr>
              <w:t>3.首次发生国家级林业检疫性有害生物疫情的;</w:t>
            </w:r>
          </w:p>
          <w:p w14:paraId="6AF9D329">
            <w:pPr>
              <w:snapToGrid w:val="0"/>
              <w:spacing w:line="240" w:lineRule="atLeast"/>
              <w:ind w:firstLine="0" w:firstLineChars="0"/>
              <w:jc w:val="left"/>
              <w:rPr>
                <w:rFonts w:ascii="仿宋_GB2312" w:hAnsi="仿宋_GB2312" w:cs="仿宋_GB2312"/>
                <w:sz w:val="21"/>
                <w:szCs w:val="21"/>
              </w:rPr>
            </w:pPr>
            <w:r>
              <w:rPr>
                <w:rFonts w:hint="eastAsia" w:ascii="仿宋_GB2312" w:hAnsi="仿宋_GB2312" w:cs="仿宋_GB2312"/>
                <w:sz w:val="21"/>
                <w:szCs w:val="21"/>
              </w:rPr>
              <w:t>4.首次发现可直接造成林木死亡的林业有害生物且林木受害面积大于1亩的；</w:t>
            </w:r>
          </w:p>
          <w:p w14:paraId="5F134678">
            <w:pPr>
              <w:snapToGrid w:val="0"/>
              <w:spacing w:line="240" w:lineRule="atLeast"/>
              <w:ind w:firstLine="0" w:firstLineChars="0"/>
              <w:jc w:val="left"/>
              <w:rPr>
                <w:rFonts w:ascii="仿宋_GB2312" w:hAnsi="仿宋_GB2312" w:cs="仿宋_GB2312"/>
                <w:sz w:val="21"/>
                <w:szCs w:val="21"/>
              </w:rPr>
            </w:pPr>
            <w:r>
              <w:rPr>
                <w:rFonts w:hint="eastAsia" w:ascii="仿宋_GB2312" w:hAnsi="仿宋_GB2312" w:cs="仿宋_GB2312"/>
                <w:sz w:val="21"/>
                <w:szCs w:val="21"/>
              </w:rPr>
              <w:t>5.国家和省林业和草原局认定的其他情形。</w:t>
            </w:r>
          </w:p>
        </w:tc>
        <w:tc>
          <w:tcPr>
            <w:tcW w:w="4337" w:type="dxa"/>
            <w:tcBorders>
              <w:top w:val="single" w:color="auto" w:sz="4" w:space="0"/>
              <w:left w:val="single" w:color="auto" w:sz="4" w:space="0"/>
              <w:bottom w:val="single" w:color="auto" w:sz="4" w:space="0"/>
              <w:right w:val="single" w:color="auto" w:sz="4" w:space="0"/>
              <w:tl2br w:val="nil"/>
              <w:tr2bl w:val="nil"/>
            </w:tcBorders>
          </w:tcPr>
          <w:p w14:paraId="3CD5F19B">
            <w:pPr>
              <w:snapToGrid w:val="0"/>
              <w:spacing w:line="240" w:lineRule="atLeast"/>
              <w:ind w:firstLine="0" w:firstLineChars="0"/>
              <w:jc w:val="left"/>
              <w:rPr>
                <w:rFonts w:ascii="仿宋_GB2312" w:hAnsi="仿宋_GB2312" w:cs="仿宋_GB2312"/>
                <w:sz w:val="21"/>
                <w:szCs w:val="21"/>
              </w:rPr>
            </w:pPr>
            <w:r>
              <w:rPr>
                <w:rFonts w:hint="eastAsia" w:ascii="仿宋_GB2312" w:hAnsi="仿宋_GB2312" w:cs="仿宋_GB2312"/>
                <w:sz w:val="21"/>
                <w:szCs w:val="21"/>
              </w:rPr>
              <w:t>1.市内分布的国家级林业检疫性有害生物聚发,新增疫区连片成灾面积1000亩以上,树木死亡严重,危及风景名胜区和自然保护区生态安全的;</w:t>
            </w:r>
          </w:p>
          <w:p w14:paraId="033E4467">
            <w:pPr>
              <w:snapToGrid w:val="0"/>
              <w:spacing w:line="240" w:lineRule="atLeast"/>
              <w:ind w:firstLine="0" w:firstLineChars="0"/>
              <w:jc w:val="left"/>
              <w:rPr>
                <w:rFonts w:ascii="仿宋_GB2312" w:hAnsi="仿宋_GB2312" w:cs="仿宋_GB2312"/>
                <w:sz w:val="21"/>
                <w:szCs w:val="21"/>
              </w:rPr>
            </w:pPr>
            <w:r>
              <w:rPr>
                <w:rFonts w:hint="eastAsia" w:ascii="仿宋_GB2312" w:hAnsi="仿宋_GB2312" w:cs="仿宋_GB2312"/>
                <w:sz w:val="21"/>
                <w:szCs w:val="21"/>
              </w:rPr>
              <w:t>2.我省补充林业检疫性有害生物暴发,新增疫区连片成灾面积5000亩以上,树木死亡严重,危及风量名胜区和自然保护区生态安全的;</w:t>
            </w:r>
          </w:p>
          <w:p w14:paraId="5028D668">
            <w:pPr>
              <w:snapToGrid w:val="0"/>
              <w:spacing w:line="240" w:lineRule="atLeast"/>
              <w:ind w:firstLine="0" w:firstLineChars="0"/>
              <w:jc w:val="left"/>
              <w:rPr>
                <w:rFonts w:ascii="仿宋_GB2312" w:hAnsi="仿宋_GB2312" w:cs="仿宋_GB2312"/>
                <w:sz w:val="21"/>
                <w:szCs w:val="21"/>
              </w:rPr>
            </w:pPr>
            <w:r>
              <w:rPr>
                <w:rFonts w:hint="eastAsia" w:ascii="仿宋_GB2312" w:hAnsi="仿宋_GB2312" w:cs="仿宋_GB2312"/>
                <w:sz w:val="21"/>
                <w:szCs w:val="21"/>
              </w:rPr>
              <w:t>3.非检疫性有害生物跨市级行政区发生,导致叶部受害连片成灾面积15万亩以上或枝于受害连片成灾面积1.5万亩以上的;</w:t>
            </w:r>
          </w:p>
          <w:p w14:paraId="5CECE57B">
            <w:pPr>
              <w:snapToGrid w:val="0"/>
              <w:spacing w:line="240" w:lineRule="atLeast"/>
              <w:ind w:firstLine="0" w:firstLineChars="0"/>
              <w:jc w:val="left"/>
              <w:rPr>
                <w:rFonts w:ascii="仿宋_GB2312" w:hAnsi="仿宋_GB2312" w:cs="仿宋_GB2312"/>
                <w:sz w:val="21"/>
                <w:szCs w:val="21"/>
              </w:rPr>
            </w:pPr>
            <w:r>
              <w:rPr>
                <w:rFonts w:hint="eastAsia" w:ascii="仿宋_GB2312" w:hAnsi="仿宋_GB2312" w:cs="仿宋_GB2312"/>
                <w:sz w:val="21"/>
                <w:szCs w:val="21"/>
              </w:rPr>
              <w:t>4.经专家评估确认为重大林业有害生物灾害的。</w:t>
            </w:r>
          </w:p>
        </w:tc>
        <w:tc>
          <w:tcPr>
            <w:tcW w:w="3648" w:type="dxa"/>
            <w:tcBorders>
              <w:top w:val="single" w:color="auto" w:sz="4" w:space="0"/>
              <w:left w:val="single" w:color="auto" w:sz="4" w:space="0"/>
              <w:bottom w:val="single" w:color="auto" w:sz="4" w:space="0"/>
              <w:right w:val="single" w:color="auto" w:sz="4" w:space="0"/>
              <w:tl2br w:val="nil"/>
              <w:tr2bl w:val="nil"/>
            </w:tcBorders>
          </w:tcPr>
          <w:p w14:paraId="3FFEBCE5">
            <w:pPr>
              <w:numPr>
                <w:ilvl w:val="0"/>
                <w:numId w:val="101"/>
              </w:numPr>
              <w:snapToGrid w:val="0"/>
              <w:spacing w:line="240" w:lineRule="atLeast"/>
              <w:ind w:firstLine="0" w:firstLineChars="0"/>
              <w:jc w:val="left"/>
              <w:rPr>
                <w:rFonts w:ascii="仿宋_GB2312" w:hAnsi="仿宋_GB2312" w:cs="仿宋_GB2312"/>
                <w:sz w:val="21"/>
                <w:szCs w:val="21"/>
              </w:rPr>
            </w:pPr>
            <w:r>
              <w:rPr>
                <w:rFonts w:hint="eastAsia" w:ascii="仿宋_GB2312" w:hAnsi="仿宋_GB2312" w:cs="仿宋_GB2312"/>
                <w:sz w:val="21"/>
                <w:szCs w:val="21"/>
              </w:rPr>
              <w:t>在市行政区域内集中发生的非检疫性有害生物导致叶部受害连片成灾面积5万亩以上15万亩以下,或枝干受害连片成灾面积0.5万亩以上,1.5万亩以下的;</w:t>
            </w:r>
          </w:p>
          <w:p w14:paraId="023422E9">
            <w:pPr>
              <w:snapToGrid w:val="0"/>
              <w:spacing w:line="240" w:lineRule="atLeast"/>
              <w:ind w:firstLine="0" w:firstLineChars="0"/>
              <w:jc w:val="left"/>
              <w:rPr>
                <w:rFonts w:ascii="仿宋_GB2312" w:hAnsi="仿宋_GB2312" w:cs="仿宋_GB2312"/>
                <w:sz w:val="21"/>
                <w:szCs w:val="21"/>
              </w:rPr>
            </w:pPr>
            <w:r>
              <w:rPr>
                <w:rFonts w:hint="eastAsia" w:ascii="仿宋_GB2312" w:hAnsi="仿宋_GB2312" w:cs="仿宋_GB2312"/>
                <w:sz w:val="21"/>
                <w:szCs w:val="21"/>
              </w:rPr>
              <w:t>2.经专家评估确认为较大林业有害生物灾害的。</w:t>
            </w:r>
          </w:p>
        </w:tc>
        <w:tc>
          <w:tcPr>
            <w:tcW w:w="2394" w:type="dxa"/>
            <w:tcBorders>
              <w:top w:val="single" w:color="auto" w:sz="4" w:space="0"/>
              <w:left w:val="single" w:color="auto" w:sz="4" w:space="0"/>
              <w:bottom w:val="single" w:color="auto" w:sz="4" w:space="0"/>
              <w:right w:val="single" w:color="auto" w:sz="4" w:space="0"/>
              <w:tl2br w:val="nil"/>
              <w:tr2bl w:val="nil"/>
            </w:tcBorders>
          </w:tcPr>
          <w:p w14:paraId="0A34B083">
            <w:pPr>
              <w:snapToGrid w:val="0"/>
              <w:spacing w:line="240" w:lineRule="atLeast"/>
              <w:ind w:firstLine="0" w:firstLineChars="0"/>
              <w:jc w:val="left"/>
              <w:rPr>
                <w:rFonts w:ascii="仿宋_GB2312" w:hAnsi="仿宋_GB2312" w:cs="仿宋_GB2312"/>
                <w:sz w:val="21"/>
                <w:szCs w:val="21"/>
              </w:rPr>
            </w:pPr>
            <w:r>
              <w:rPr>
                <w:rFonts w:hint="eastAsia" w:ascii="仿宋_GB2312" w:hAnsi="仿宋_GB2312" w:cs="仿宋_GB2312"/>
                <w:sz w:val="21"/>
                <w:szCs w:val="21"/>
              </w:rPr>
              <w:t>在县级行政区范围内集中发生的非检疫性有害生物导致叶部受害连片成灾面积1万亩以上、5万亩以下,或枝干受害连片成灾面积 0.1万亩以上、0.5万亩以下的。</w:t>
            </w:r>
          </w:p>
        </w:tc>
      </w:tr>
      <w:tr w14:paraId="250DD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715" w:type="dxa"/>
            <w:vMerge w:val="restart"/>
            <w:tcBorders>
              <w:top w:val="single" w:color="auto" w:sz="4" w:space="0"/>
              <w:left w:val="single" w:color="auto" w:sz="4" w:space="0"/>
              <w:bottom w:val="single" w:color="auto" w:sz="4" w:space="0"/>
              <w:right w:val="single" w:color="auto" w:sz="4" w:space="0"/>
              <w:tl2br w:val="nil"/>
              <w:tr2bl w:val="nil"/>
            </w:tcBorders>
            <w:vAlign w:val="center"/>
          </w:tcPr>
          <w:p w14:paraId="32FC9BB3">
            <w:pPr>
              <w:snapToGrid w:val="0"/>
              <w:spacing w:line="240" w:lineRule="atLeast"/>
              <w:ind w:firstLine="0" w:firstLineChars="0"/>
              <w:rPr>
                <w:rFonts w:ascii="仿宋_GB2312" w:hAnsi="仿宋_GB2312" w:cs="仿宋_GB2312"/>
                <w:sz w:val="24"/>
                <w:szCs w:val="24"/>
              </w:rPr>
            </w:pPr>
            <w:r>
              <w:rPr>
                <w:rFonts w:hint="eastAsia" w:ascii="仿宋_GB2312" w:hAnsi="仿宋_GB2312" w:cs="仿宋_GB2312"/>
                <w:b/>
                <w:sz w:val="24"/>
                <w:szCs w:val="24"/>
              </w:rPr>
              <w:t>草原有害生物灾害分级</w:t>
            </w:r>
          </w:p>
        </w:tc>
        <w:tc>
          <w:tcPr>
            <w:tcW w:w="3080" w:type="dxa"/>
            <w:tcBorders>
              <w:top w:val="single" w:color="auto" w:sz="4" w:space="0"/>
              <w:left w:val="single" w:color="auto" w:sz="4" w:space="0"/>
              <w:bottom w:val="single" w:color="auto" w:sz="4" w:space="0"/>
              <w:right w:val="single" w:color="auto" w:sz="4" w:space="0"/>
              <w:tl2br w:val="nil"/>
              <w:tr2bl w:val="nil"/>
            </w:tcBorders>
          </w:tcPr>
          <w:p w14:paraId="09ED18B8">
            <w:pPr>
              <w:snapToGrid w:val="0"/>
              <w:spacing w:line="240" w:lineRule="atLeast"/>
              <w:ind w:firstLine="0" w:firstLineChars="0"/>
              <w:jc w:val="center"/>
              <w:rPr>
                <w:rFonts w:ascii="仿宋_GB2312" w:hAnsi="仿宋_GB2312" w:cs="仿宋_GB2312"/>
                <w:b/>
                <w:sz w:val="24"/>
                <w:szCs w:val="24"/>
              </w:rPr>
            </w:pPr>
            <w:r>
              <w:rPr>
                <w:rFonts w:hint="eastAsia" w:ascii="仿宋_GB2312" w:hAnsi="仿宋_GB2312" w:cs="仿宋_GB2312"/>
                <w:b/>
                <w:sz w:val="24"/>
                <w:szCs w:val="24"/>
              </w:rPr>
              <w:t>特别重大草原</w:t>
            </w:r>
          </w:p>
          <w:p w14:paraId="37F71E48">
            <w:pPr>
              <w:snapToGrid w:val="0"/>
              <w:spacing w:line="240" w:lineRule="atLeast"/>
              <w:ind w:firstLine="0" w:firstLineChars="0"/>
              <w:jc w:val="center"/>
              <w:rPr>
                <w:rFonts w:ascii="仿宋_GB2312" w:hAnsi="仿宋_GB2312" w:cs="仿宋_GB2312"/>
                <w:b/>
                <w:sz w:val="24"/>
                <w:szCs w:val="24"/>
              </w:rPr>
            </w:pPr>
            <w:r>
              <w:rPr>
                <w:rFonts w:hint="eastAsia" w:ascii="仿宋_GB2312" w:hAnsi="仿宋_GB2312" w:cs="仿宋_GB2312"/>
                <w:b/>
                <w:sz w:val="24"/>
                <w:szCs w:val="24"/>
              </w:rPr>
              <w:t>有害生物灾害(一级)</w:t>
            </w:r>
          </w:p>
        </w:tc>
        <w:tc>
          <w:tcPr>
            <w:tcW w:w="4337" w:type="dxa"/>
            <w:tcBorders>
              <w:top w:val="single" w:color="auto" w:sz="4" w:space="0"/>
              <w:left w:val="single" w:color="auto" w:sz="4" w:space="0"/>
              <w:bottom w:val="single" w:color="auto" w:sz="4" w:space="0"/>
              <w:right w:val="single" w:color="auto" w:sz="4" w:space="0"/>
              <w:tl2br w:val="nil"/>
              <w:tr2bl w:val="nil"/>
            </w:tcBorders>
          </w:tcPr>
          <w:p w14:paraId="2533210A">
            <w:pPr>
              <w:snapToGrid w:val="0"/>
              <w:spacing w:line="240" w:lineRule="atLeast"/>
              <w:ind w:firstLine="0" w:firstLineChars="0"/>
              <w:jc w:val="center"/>
              <w:rPr>
                <w:rFonts w:ascii="仿宋_GB2312" w:hAnsi="仿宋_GB2312" w:cs="仿宋_GB2312"/>
                <w:b/>
                <w:sz w:val="24"/>
                <w:szCs w:val="24"/>
              </w:rPr>
            </w:pPr>
            <w:r>
              <w:rPr>
                <w:rFonts w:hint="eastAsia" w:ascii="仿宋_GB2312" w:hAnsi="仿宋_GB2312" w:cs="仿宋_GB2312"/>
                <w:b/>
                <w:sz w:val="24"/>
                <w:szCs w:val="24"/>
              </w:rPr>
              <w:t>重大草原</w:t>
            </w:r>
          </w:p>
          <w:p w14:paraId="7B7AE690">
            <w:pPr>
              <w:snapToGrid w:val="0"/>
              <w:spacing w:line="240" w:lineRule="atLeast"/>
              <w:ind w:firstLine="0" w:firstLineChars="0"/>
              <w:jc w:val="center"/>
              <w:rPr>
                <w:rFonts w:ascii="仿宋_GB2312" w:hAnsi="仿宋_GB2312" w:cs="仿宋_GB2312"/>
                <w:b/>
                <w:sz w:val="24"/>
                <w:szCs w:val="24"/>
              </w:rPr>
            </w:pPr>
            <w:r>
              <w:rPr>
                <w:rFonts w:hint="eastAsia" w:ascii="仿宋_GB2312" w:hAnsi="仿宋_GB2312" w:cs="仿宋_GB2312"/>
                <w:b/>
                <w:sz w:val="24"/>
                <w:szCs w:val="24"/>
              </w:rPr>
              <w:t>有害生物灾害(二级)</w:t>
            </w:r>
          </w:p>
        </w:tc>
        <w:tc>
          <w:tcPr>
            <w:tcW w:w="3648" w:type="dxa"/>
            <w:tcBorders>
              <w:top w:val="single" w:color="auto" w:sz="4" w:space="0"/>
              <w:left w:val="single" w:color="auto" w:sz="4" w:space="0"/>
              <w:bottom w:val="single" w:color="auto" w:sz="4" w:space="0"/>
              <w:right w:val="single" w:color="auto" w:sz="4" w:space="0"/>
              <w:tl2br w:val="nil"/>
              <w:tr2bl w:val="nil"/>
            </w:tcBorders>
          </w:tcPr>
          <w:p w14:paraId="2EEC75EB">
            <w:pPr>
              <w:snapToGrid w:val="0"/>
              <w:spacing w:line="240" w:lineRule="atLeast"/>
              <w:ind w:firstLine="0" w:firstLineChars="0"/>
              <w:jc w:val="center"/>
              <w:rPr>
                <w:rFonts w:ascii="仿宋_GB2312" w:hAnsi="仿宋_GB2312" w:cs="仿宋_GB2312"/>
                <w:b/>
                <w:sz w:val="24"/>
                <w:szCs w:val="24"/>
              </w:rPr>
            </w:pPr>
            <w:r>
              <w:rPr>
                <w:rFonts w:hint="eastAsia" w:ascii="仿宋_GB2312" w:hAnsi="仿宋_GB2312" w:cs="仿宋_GB2312"/>
                <w:b/>
                <w:sz w:val="24"/>
                <w:szCs w:val="24"/>
              </w:rPr>
              <w:t>较大草原</w:t>
            </w:r>
          </w:p>
          <w:p w14:paraId="0AB5C630">
            <w:pPr>
              <w:snapToGrid w:val="0"/>
              <w:spacing w:line="240" w:lineRule="atLeast"/>
              <w:ind w:firstLine="0" w:firstLineChars="0"/>
              <w:jc w:val="center"/>
              <w:rPr>
                <w:rFonts w:ascii="仿宋_GB2312" w:hAnsi="仿宋_GB2312" w:cs="仿宋_GB2312"/>
                <w:b/>
                <w:sz w:val="24"/>
                <w:szCs w:val="24"/>
              </w:rPr>
            </w:pPr>
            <w:r>
              <w:rPr>
                <w:rFonts w:hint="eastAsia" w:ascii="仿宋_GB2312" w:hAnsi="仿宋_GB2312" w:cs="仿宋_GB2312"/>
                <w:b/>
                <w:sz w:val="24"/>
                <w:szCs w:val="24"/>
              </w:rPr>
              <w:t>有害生物灾害(三级)</w:t>
            </w:r>
          </w:p>
        </w:tc>
        <w:tc>
          <w:tcPr>
            <w:tcW w:w="2394" w:type="dxa"/>
            <w:tcBorders>
              <w:top w:val="single" w:color="auto" w:sz="4" w:space="0"/>
              <w:left w:val="single" w:color="auto" w:sz="4" w:space="0"/>
              <w:bottom w:val="single" w:color="auto" w:sz="4" w:space="0"/>
              <w:right w:val="single" w:color="auto" w:sz="4" w:space="0"/>
              <w:tl2br w:val="nil"/>
              <w:tr2bl w:val="nil"/>
            </w:tcBorders>
          </w:tcPr>
          <w:p w14:paraId="5A024ADF">
            <w:pPr>
              <w:snapToGrid w:val="0"/>
              <w:spacing w:line="240" w:lineRule="atLeast"/>
              <w:ind w:firstLine="0" w:firstLineChars="0"/>
              <w:jc w:val="center"/>
              <w:rPr>
                <w:rFonts w:ascii="仿宋_GB2312" w:hAnsi="仿宋_GB2312" w:cs="仿宋_GB2312"/>
                <w:b/>
                <w:sz w:val="24"/>
                <w:szCs w:val="24"/>
              </w:rPr>
            </w:pPr>
            <w:r>
              <w:rPr>
                <w:rFonts w:hint="eastAsia" w:ascii="仿宋_GB2312" w:hAnsi="仿宋_GB2312" w:cs="仿宋_GB2312"/>
                <w:b/>
                <w:sz w:val="24"/>
                <w:szCs w:val="24"/>
              </w:rPr>
              <w:t>一般草原</w:t>
            </w:r>
          </w:p>
          <w:p w14:paraId="015A92A2">
            <w:pPr>
              <w:snapToGrid w:val="0"/>
              <w:spacing w:line="240" w:lineRule="atLeast"/>
              <w:ind w:firstLine="0" w:firstLineChars="0"/>
              <w:jc w:val="center"/>
              <w:rPr>
                <w:rFonts w:ascii="仿宋_GB2312" w:hAnsi="仿宋_GB2312" w:cs="仿宋_GB2312"/>
                <w:b/>
                <w:sz w:val="24"/>
                <w:szCs w:val="24"/>
              </w:rPr>
            </w:pPr>
            <w:r>
              <w:rPr>
                <w:rFonts w:hint="eastAsia" w:ascii="仿宋_GB2312" w:hAnsi="仿宋_GB2312" w:cs="仿宋_GB2312"/>
                <w:b/>
                <w:sz w:val="24"/>
                <w:szCs w:val="24"/>
              </w:rPr>
              <w:t>有害生物灾害(四级)</w:t>
            </w:r>
          </w:p>
        </w:tc>
      </w:tr>
      <w:tr w14:paraId="58E7A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trPr>
        <w:tc>
          <w:tcPr>
            <w:tcW w:w="715" w:type="dxa"/>
            <w:vMerge w:val="continue"/>
            <w:tcBorders>
              <w:top w:val="single" w:color="auto" w:sz="4" w:space="0"/>
              <w:left w:val="single" w:color="auto" w:sz="4" w:space="0"/>
              <w:bottom w:val="single" w:color="auto" w:sz="4" w:space="0"/>
              <w:right w:val="single" w:color="auto" w:sz="4" w:space="0"/>
              <w:tl2br w:val="nil"/>
              <w:tr2bl w:val="nil"/>
            </w:tcBorders>
          </w:tcPr>
          <w:p w14:paraId="43EAB859">
            <w:pPr>
              <w:snapToGrid w:val="0"/>
              <w:spacing w:line="240" w:lineRule="atLeast"/>
              <w:ind w:firstLine="480"/>
              <w:jc w:val="center"/>
              <w:rPr>
                <w:rFonts w:ascii="仿宋_GB2312" w:hAnsi="仿宋_GB2312" w:cs="仿宋_GB2312"/>
                <w:sz w:val="24"/>
                <w:szCs w:val="24"/>
              </w:rPr>
            </w:pPr>
          </w:p>
        </w:tc>
        <w:tc>
          <w:tcPr>
            <w:tcW w:w="3080" w:type="dxa"/>
            <w:tcBorders>
              <w:top w:val="single" w:color="auto" w:sz="4" w:space="0"/>
              <w:left w:val="single" w:color="auto" w:sz="4" w:space="0"/>
              <w:bottom w:val="single" w:color="auto" w:sz="4" w:space="0"/>
              <w:right w:val="single" w:color="auto" w:sz="4" w:space="0"/>
              <w:tl2br w:val="nil"/>
              <w:tr2bl w:val="nil"/>
            </w:tcBorders>
          </w:tcPr>
          <w:p w14:paraId="62A2D716">
            <w:pPr>
              <w:snapToGrid w:val="0"/>
              <w:spacing w:line="240" w:lineRule="atLeast"/>
              <w:ind w:firstLine="0" w:firstLineChars="0"/>
              <w:jc w:val="left"/>
              <w:rPr>
                <w:rFonts w:ascii="仿宋_GB2312" w:hAnsi="仿宋_GB2312" w:cs="仿宋_GB2312"/>
                <w:sz w:val="21"/>
                <w:szCs w:val="21"/>
              </w:rPr>
            </w:pPr>
            <w:r>
              <w:rPr>
                <w:rFonts w:hint="eastAsia" w:ascii="仿宋_GB2312" w:hAnsi="仿宋_GB2312" w:cs="仿宋_GB2312"/>
                <w:sz w:val="21"/>
                <w:szCs w:val="21"/>
              </w:rPr>
              <w:t>1.国(境)外新传入迁移性较强、密度较高的有害生物的;</w:t>
            </w:r>
          </w:p>
          <w:p w14:paraId="2AAE029D">
            <w:pPr>
              <w:snapToGrid w:val="0"/>
              <w:spacing w:line="240" w:lineRule="atLeast"/>
              <w:ind w:firstLine="0" w:firstLineChars="0"/>
              <w:jc w:val="left"/>
              <w:rPr>
                <w:rFonts w:ascii="仿宋_GB2312" w:hAnsi="仿宋_GB2312" w:cs="仿宋_GB2312"/>
                <w:sz w:val="21"/>
                <w:szCs w:val="21"/>
              </w:rPr>
            </w:pPr>
            <w:r>
              <w:rPr>
                <w:rFonts w:hint="eastAsia" w:ascii="仿宋_GB2312" w:hAnsi="仿宋_GB2312" w:cs="仿宋_GB2312"/>
                <w:sz w:val="21"/>
                <w:szCs w:val="21"/>
              </w:rPr>
              <w:t>2.全市草原有害生物成灾总面积达200万亩以上,或在一定区域内连片成灾面积达100万亩以上;</w:t>
            </w:r>
          </w:p>
          <w:p w14:paraId="2EF0C98C">
            <w:pPr>
              <w:snapToGrid w:val="0"/>
              <w:spacing w:line="240" w:lineRule="atLeast"/>
              <w:ind w:firstLine="0" w:firstLineChars="0"/>
              <w:jc w:val="left"/>
              <w:rPr>
                <w:rFonts w:ascii="仿宋_GB2312" w:hAnsi="仿宋_GB2312" w:cs="仿宋_GB2312"/>
                <w:sz w:val="21"/>
                <w:szCs w:val="21"/>
              </w:rPr>
            </w:pPr>
            <w:r>
              <w:rPr>
                <w:rFonts w:hint="eastAsia" w:ascii="仿宋_GB2312" w:hAnsi="仿宋_GB2312" w:cs="仿宋_GB2312"/>
                <w:sz w:val="21"/>
                <w:szCs w:val="21"/>
              </w:rPr>
              <w:t>3.国家、省林业和草原局认定的其他情形。</w:t>
            </w:r>
          </w:p>
        </w:tc>
        <w:tc>
          <w:tcPr>
            <w:tcW w:w="4337" w:type="dxa"/>
            <w:tcBorders>
              <w:top w:val="single" w:color="auto" w:sz="4" w:space="0"/>
              <w:left w:val="single" w:color="auto" w:sz="4" w:space="0"/>
              <w:bottom w:val="single" w:color="auto" w:sz="4" w:space="0"/>
              <w:right w:val="single" w:color="auto" w:sz="4" w:space="0"/>
              <w:tl2br w:val="nil"/>
              <w:tr2bl w:val="nil"/>
            </w:tcBorders>
          </w:tcPr>
          <w:p w14:paraId="4332298D">
            <w:pPr>
              <w:snapToGrid w:val="0"/>
              <w:spacing w:line="240" w:lineRule="atLeast"/>
              <w:ind w:firstLine="0" w:firstLineChars="0"/>
              <w:jc w:val="left"/>
              <w:rPr>
                <w:rFonts w:ascii="仿宋_GB2312" w:hAnsi="仿宋_GB2312" w:cs="仿宋_GB2312"/>
                <w:sz w:val="21"/>
                <w:szCs w:val="21"/>
              </w:rPr>
            </w:pPr>
            <w:r>
              <w:rPr>
                <w:rFonts w:hint="eastAsia" w:ascii="仿宋_GB2312" w:hAnsi="仿宋_GB2312" w:cs="仿宋_GB2312"/>
                <w:sz w:val="21"/>
                <w:szCs w:val="21"/>
              </w:rPr>
              <w:t>1.全市草原有害生物的成灾面积达50万亩以上,200万亩以下;或在一定区城内连片成灾面积15万亩以上,100 万亩以下;</w:t>
            </w:r>
          </w:p>
          <w:p w14:paraId="47B2A7A0">
            <w:pPr>
              <w:snapToGrid w:val="0"/>
              <w:spacing w:line="240" w:lineRule="atLeast"/>
              <w:ind w:firstLine="0" w:firstLineChars="0"/>
              <w:jc w:val="left"/>
              <w:rPr>
                <w:rFonts w:ascii="仿宋_GB2312" w:hAnsi="仿宋_GB2312" w:cs="仿宋_GB2312"/>
                <w:sz w:val="21"/>
                <w:szCs w:val="21"/>
              </w:rPr>
            </w:pPr>
            <w:r>
              <w:rPr>
                <w:rFonts w:hint="eastAsia" w:ascii="仿宋_GB2312" w:hAnsi="仿宋_GB2312" w:cs="仿宋_GB2312"/>
                <w:sz w:val="21"/>
                <w:szCs w:val="21"/>
              </w:rPr>
              <w:t>2.国家和省林业和草原局认定的其他情形;</w:t>
            </w:r>
          </w:p>
          <w:p w14:paraId="7CA25B05">
            <w:pPr>
              <w:snapToGrid w:val="0"/>
              <w:spacing w:line="240" w:lineRule="atLeast"/>
              <w:ind w:firstLine="0" w:firstLineChars="0"/>
              <w:jc w:val="left"/>
              <w:rPr>
                <w:rFonts w:ascii="仿宋_GB2312" w:hAnsi="仿宋_GB2312" w:cs="仿宋_GB2312"/>
                <w:sz w:val="21"/>
                <w:szCs w:val="21"/>
              </w:rPr>
            </w:pPr>
            <w:r>
              <w:rPr>
                <w:rFonts w:hint="eastAsia" w:ascii="仿宋_GB2312" w:hAnsi="仿宋_GB2312" w:cs="仿宋_GB2312"/>
                <w:sz w:val="21"/>
                <w:szCs w:val="21"/>
              </w:rPr>
              <w:t>3.经专家评估确认为重大草原有害生物灾害的。</w:t>
            </w:r>
          </w:p>
        </w:tc>
        <w:tc>
          <w:tcPr>
            <w:tcW w:w="3648" w:type="dxa"/>
            <w:tcBorders>
              <w:top w:val="single" w:color="auto" w:sz="4" w:space="0"/>
              <w:left w:val="single" w:color="auto" w:sz="4" w:space="0"/>
              <w:bottom w:val="single" w:color="auto" w:sz="4" w:space="0"/>
              <w:right w:val="single" w:color="auto" w:sz="4" w:space="0"/>
              <w:tl2br w:val="nil"/>
              <w:tr2bl w:val="nil"/>
            </w:tcBorders>
          </w:tcPr>
          <w:p w14:paraId="4D247518">
            <w:pPr>
              <w:snapToGrid w:val="0"/>
              <w:spacing w:line="240" w:lineRule="atLeast"/>
              <w:ind w:firstLine="0" w:firstLineChars="0"/>
              <w:jc w:val="left"/>
              <w:rPr>
                <w:rFonts w:ascii="仿宋_GB2312" w:hAnsi="仿宋_GB2312" w:cs="仿宋_GB2312"/>
                <w:sz w:val="21"/>
                <w:szCs w:val="21"/>
              </w:rPr>
            </w:pPr>
            <w:r>
              <w:rPr>
                <w:rFonts w:hint="eastAsia" w:ascii="仿宋_GB2312" w:hAnsi="仿宋_GB2312" w:cs="仿宋_GB2312"/>
                <w:sz w:val="21"/>
                <w:szCs w:val="21"/>
              </w:rPr>
              <w:t>1.在市行政区域内草原有害生物成灾面积达20万亩以上、50万亩以下的;或在县圾行政区城内成灾面积达10万亩以上,20万亩以下的,或在一定区域内连片成灾面积达5万亩以上,15万亩以下的；</w:t>
            </w:r>
          </w:p>
          <w:p w14:paraId="79FB34BD">
            <w:pPr>
              <w:snapToGrid w:val="0"/>
              <w:spacing w:line="240" w:lineRule="atLeast"/>
              <w:ind w:firstLine="0" w:firstLineChars="0"/>
              <w:jc w:val="left"/>
              <w:rPr>
                <w:rFonts w:ascii="仿宋_GB2312" w:hAnsi="仿宋_GB2312" w:cs="仿宋_GB2312"/>
                <w:sz w:val="21"/>
                <w:szCs w:val="21"/>
              </w:rPr>
            </w:pPr>
            <w:r>
              <w:rPr>
                <w:rFonts w:hint="eastAsia" w:ascii="仿宋_GB2312" w:hAnsi="仿宋_GB2312" w:cs="仿宋_GB2312"/>
                <w:sz w:val="21"/>
                <w:szCs w:val="21"/>
              </w:rPr>
              <w:t>2.国家和省林草局认定的其他情形;</w:t>
            </w:r>
          </w:p>
          <w:p w14:paraId="1DD54DCF">
            <w:pPr>
              <w:snapToGrid w:val="0"/>
              <w:spacing w:line="240" w:lineRule="atLeast"/>
              <w:ind w:firstLine="0" w:firstLineChars="0"/>
              <w:jc w:val="left"/>
              <w:rPr>
                <w:rFonts w:ascii="仿宋_GB2312" w:hAnsi="仿宋_GB2312" w:cs="仿宋_GB2312"/>
                <w:sz w:val="21"/>
                <w:szCs w:val="21"/>
              </w:rPr>
            </w:pPr>
            <w:r>
              <w:rPr>
                <w:rFonts w:hint="eastAsia" w:ascii="仿宋_GB2312" w:hAnsi="仿宋_GB2312" w:cs="仿宋_GB2312"/>
                <w:sz w:val="21"/>
                <w:szCs w:val="21"/>
              </w:rPr>
              <w:t>3.经专家评估确认为较大草原有害生物灾害的。</w:t>
            </w:r>
          </w:p>
        </w:tc>
        <w:tc>
          <w:tcPr>
            <w:tcW w:w="2394" w:type="dxa"/>
            <w:tcBorders>
              <w:top w:val="single" w:color="auto" w:sz="4" w:space="0"/>
              <w:left w:val="single" w:color="auto" w:sz="4" w:space="0"/>
              <w:bottom w:val="single" w:color="auto" w:sz="4" w:space="0"/>
              <w:right w:val="single" w:color="auto" w:sz="4" w:space="0"/>
              <w:tl2br w:val="nil"/>
              <w:tr2bl w:val="nil"/>
            </w:tcBorders>
          </w:tcPr>
          <w:p w14:paraId="78D1536B">
            <w:pPr>
              <w:snapToGrid w:val="0"/>
              <w:spacing w:line="240" w:lineRule="atLeast"/>
              <w:ind w:firstLine="0" w:firstLineChars="0"/>
              <w:jc w:val="left"/>
              <w:rPr>
                <w:rFonts w:ascii="仿宋_GB2312" w:hAnsi="仿宋_GB2312" w:cs="仿宋_GB2312"/>
                <w:sz w:val="21"/>
                <w:szCs w:val="21"/>
              </w:rPr>
            </w:pPr>
            <w:r>
              <w:rPr>
                <w:rFonts w:hint="eastAsia" w:ascii="仿宋_GB2312" w:hAnsi="仿宋_GB2312" w:cs="仿宋_GB2312"/>
                <w:sz w:val="21"/>
                <w:szCs w:val="21"/>
              </w:rPr>
              <w:t>指在县级行政区城内,草原有害生物的成灾面积达5万亩以上10万亩以下,或在一定区域内连片成灾面积达3万亩以上5万亩以下的。</w:t>
            </w:r>
          </w:p>
        </w:tc>
      </w:tr>
    </w:tbl>
    <w:p w14:paraId="1BBB8B58">
      <w:pPr>
        <w:ind w:firstLine="0" w:firstLineChars="0"/>
      </w:pPr>
    </w:p>
    <w:p w14:paraId="44F822DE">
      <w:pPr>
        <w:pStyle w:val="15"/>
        <w:ind w:left="0" w:leftChars="0" w:firstLine="0" w:firstLineChars="0"/>
        <w:rPr>
          <w:rFonts w:ascii="Times New Roman" w:hAnsi="Times New Roman" w:cs="Times New Roman"/>
        </w:rPr>
        <w:sectPr>
          <w:headerReference r:id="rId29" w:type="default"/>
          <w:footerReference r:id="rId31" w:type="default"/>
          <w:headerReference r:id="rId30" w:type="even"/>
          <w:footerReference r:id="rId32" w:type="even"/>
          <w:pgSz w:w="11906" w:h="16838"/>
          <w:pgMar w:top="2154" w:right="1020" w:bottom="1984" w:left="1587" w:header="624" w:footer="850" w:gutter="0"/>
          <w:pgNumType w:start="1"/>
          <w:cols w:space="720" w:num="1"/>
          <w:docGrid w:type="linesAndChars" w:linePitch="579" w:charSpace="-842"/>
        </w:sectPr>
      </w:pPr>
    </w:p>
    <w:p w14:paraId="0BD2D97F">
      <w:pPr>
        <w:pStyle w:val="11"/>
        <w:ind w:firstLine="632"/>
      </w:pPr>
      <w:r>
        <w:rPr>
          <w:rFonts w:hint="eastAsia"/>
        </w:rPr>
        <w:t xml:space="preserve"> </w:t>
      </w:r>
    </w:p>
    <w:p w14:paraId="37FBE3CD">
      <w:pPr>
        <w:ind w:firstLine="0" w:firstLineChars="0"/>
        <w:jc w:val="center"/>
        <w:rPr>
          <w:sz w:val="36"/>
          <w:szCs w:val="36"/>
        </w:rPr>
      </w:pPr>
    </w:p>
    <w:p w14:paraId="306798A3">
      <w:pPr>
        <w:pStyle w:val="42"/>
      </w:pPr>
    </w:p>
    <w:p w14:paraId="3F69973F">
      <w:pPr>
        <w:autoSpaceDE w:val="0"/>
        <w:autoSpaceDN w:val="0"/>
        <w:adjustRightInd w:val="0"/>
        <w:spacing w:line="240" w:lineRule="atLeast"/>
        <w:ind w:firstLine="0" w:firstLineChars="0"/>
        <w:jc w:val="center"/>
        <w:rPr>
          <w:rFonts w:ascii="方正小标宋简体" w:hAnsi="方正小标宋简体" w:eastAsia="方正小标宋简体" w:cs="方正小标宋简体"/>
          <w:bCs/>
          <w:color w:val="000000"/>
          <w:spacing w:val="-6"/>
          <w:kern w:val="0"/>
          <w:sz w:val="52"/>
          <w:szCs w:val="52"/>
          <w:lang w:bidi="ar"/>
        </w:rPr>
      </w:pPr>
      <w:r>
        <w:rPr>
          <w:rFonts w:hint="eastAsia" w:ascii="方正小标宋简体" w:hAnsi="方正小标宋简体" w:eastAsia="方正小标宋简体" w:cs="方正小标宋简体"/>
          <w:bCs/>
          <w:color w:val="000000"/>
          <w:spacing w:val="-6"/>
          <w:kern w:val="0"/>
          <w:sz w:val="52"/>
          <w:szCs w:val="52"/>
          <w:lang w:bidi="ar"/>
        </w:rPr>
        <w:t>集贤县地质灾害应急预案</w:t>
      </w:r>
    </w:p>
    <w:p w14:paraId="278A8913">
      <w:pPr>
        <w:pStyle w:val="11"/>
        <w:ind w:firstLine="0" w:firstLineChars="0"/>
        <w:jc w:val="center"/>
        <w:rPr>
          <w:rFonts w:ascii="Times New Roman" w:hAnsi="Times New Roman" w:eastAsia="楷体_GB2312" w:cs="Times New Roman"/>
          <w:b/>
          <w:sz w:val="52"/>
          <w:szCs w:val="52"/>
        </w:rPr>
      </w:pPr>
      <w:r>
        <w:rPr>
          <w:rFonts w:hint="eastAsia" w:ascii="仿宋_GB2312" w:hAnsi="仿宋_GB2312" w:cs="仿宋_GB2312"/>
          <w:bCs/>
          <w:sz w:val="48"/>
          <w:szCs w:val="48"/>
        </w:rPr>
        <w:t>（修订稿）</w:t>
      </w:r>
    </w:p>
    <w:p w14:paraId="2B131999">
      <w:pPr>
        <w:ind w:firstLine="0" w:firstLineChars="0"/>
        <w:jc w:val="center"/>
      </w:pPr>
    </w:p>
    <w:p w14:paraId="0EF4CBB5">
      <w:pPr>
        <w:ind w:firstLine="632"/>
      </w:pPr>
    </w:p>
    <w:p w14:paraId="0BB8E74C">
      <w:pPr>
        <w:ind w:firstLine="632"/>
      </w:pPr>
    </w:p>
    <w:p w14:paraId="09251147">
      <w:pPr>
        <w:ind w:firstLine="632"/>
      </w:pPr>
    </w:p>
    <w:p w14:paraId="23191F9A">
      <w:pPr>
        <w:pStyle w:val="11"/>
        <w:ind w:firstLine="632"/>
      </w:pPr>
    </w:p>
    <w:p w14:paraId="019AEFF3">
      <w:pPr>
        <w:pStyle w:val="11"/>
        <w:ind w:firstLine="632"/>
      </w:pPr>
    </w:p>
    <w:p w14:paraId="100EC686">
      <w:pPr>
        <w:pStyle w:val="11"/>
        <w:ind w:firstLine="632"/>
      </w:pPr>
    </w:p>
    <w:p w14:paraId="45CAC41C">
      <w:pPr>
        <w:pStyle w:val="11"/>
        <w:ind w:firstLine="632"/>
      </w:pPr>
    </w:p>
    <w:p w14:paraId="55276EAD">
      <w:pPr>
        <w:ind w:firstLine="632"/>
      </w:pPr>
    </w:p>
    <w:p w14:paraId="69DACE20">
      <w:pPr>
        <w:ind w:firstLine="632"/>
      </w:pPr>
    </w:p>
    <w:p w14:paraId="4B183E34">
      <w:pPr>
        <w:pStyle w:val="42"/>
      </w:pPr>
    </w:p>
    <w:p w14:paraId="351C1E82">
      <w:pPr>
        <w:pStyle w:val="42"/>
      </w:pPr>
    </w:p>
    <w:p w14:paraId="7C3DC756">
      <w:pPr>
        <w:ind w:firstLine="632"/>
      </w:pPr>
    </w:p>
    <w:p w14:paraId="3401714C">
      <w:pPr>
        <w:ind w:firstLine="0" w:firstLineChars="0"/>
        <w:jc w:val="center"/>
        <w:rPr>
          <w:rFonts w:eastAsia="仿宋"/>
          <w:bCs/>
          <w:spacing w:val="-6"/>
          <w:sz w:val="36"/>
          <w:szCs w:val="24"/>
          <w:lang w:bidi="ar"/>
        </w:rPr>
      </w:pPr>
      <w:r>
        <w:rPr>
          <w:rFonts w:hint="eastAsia"/>
          <w:bCs/>
          <w:spacing w:val="-6"/>
          <w:sz w:val="36"/>
          <w:szCs w:val="24"/>
          <w:lang w:bidi="ar"/>
        </w:rPr>
        <w:t>集贤县</w:t>
      </w:r>
      <w:r>
        <w:rPr>
          <w:rFonts w:hint="eastAsia" w:eastAsia="仿宋"/>
          <w:bCs/>
          <w:spacing w:val="-6"/>
          <w:sz w:val="36"/>
          <w:szCs w:val="24"/>
          <w:lang w:bidi="ar"/>
        </w:rPr>
        <w:t>人民政府</w:t>
      </w:r>
      <w:r>
        <w:rPr>
          <w:rFonts w:hint="eastAsia"/>
          <w:bCs/>
          <w:spacing w:val="-6"/>
          <w:sz w:val="36"/>
          <w:szCs w:val="24"/>
          <w:lang w:bidi="ar"/>
        </w:rPr>
        <w:t xml:space="preserve"> </w:t>
      </w:r>
      <w:r>
        <w:rPr>
          <w:rFonts w:hint="eastAsia" w:eastAsia="仿宋"/>
          <w:bCs/>
          <w:spacing w:val="-6"/>
          <w:sz w:val="36"/>
          <w:szCs w:val="24"/>
          <w:lang w:bidi="ar"/>
        </w:rPr>
        <w:t>编制</w:t>
      </w:r>
    </w:p>
    <w:p w14:paraId="7CBA5C8B">
      <w:pPr>
        <w:ind w:firstLine="0" w:firstLineChars="0"/>
        <w:jc w:val="center"/>
        <w:rPr>
          <w:rFonts w:eastAsia="仿宋"/>
          <w:bCs/>
          <w:spacing w:val="-6"/>
          <w:sz w:val="36"/>
          <w:szCs w:val="24"/>
          <w:lang w:bidi="ar"/>
        </w:rPr>
      </w:pPr>
      <w:r>
        <w:rPr>
          <w:rFonts w:hint="eastAsia" w:eastAsia="仿宋"/>
          <w:bCs/>
          <w:spacing w:val="-6"/>
          <w:sz w:val="36"/>
          <w:szCs w:val="24"/>
          <w:lang w:bidi="ar"/>
        </w:rPr>
        <w:t>202</w:t>
      </w:r>
      <w:r>
        <w:rPr>
          <w:bCs/>
          <w:spacing w:val="-6"/>
          <w:sz w:val="36"/>
          <w:szCs w:val="24"/>
          <w:lang w:bidi="ar"/>
        </w:rPr>
        <w:t>5</w:t>
      </w:r>
      <w:r>
        <w:rPr>
          <w:rFonts w:hint="eastAsia" w:eastAsia="仿宋"/>
          <w:bCs/>
          <w:spacing w:val="-6"/>
          <w:sz w:val="36"/>
          <w:szCs w:val="24"/>
          <w:lang w:bidi="ar"/>
        </w:rPr>
        <w:t>年</w:t>
      </w:r>
      <w:r>
        <w:rPr>
          <w:rFonts w:eastAsia="仿宋"/>
          <w:bCs/>
          <w:spacing w:val="-6"/>
          <w:sz w:val="36"/>
          <w:szCs w:val="24"/>
          <w:lang w:bidi="ar"/>
        </w:rPr>
        <w:t>5</w:t>
      </w:r>
      <w:r>
        <w:rPr>
          <w:rFonts w:hint="eastAsia" w:eastAsia="仿宋"/>
          <w:bCs/>
          <w:spacing w:val="-6"/>
          <w:sz w:val="36"/>
          <w:szCs w:val="24"/>
          <w:lang w:bidi="ar"/>
        </w:rPr>
        <w:t>月</w:t>
      </w:r>
    </w:p>
    <w:p w14:paraId="550C8876">
      <w:pPr>
        <w:ind w:firstLine="0" w:firstLineChars="0"/>
        <w:sectPr>
          <w:footerReference r:id="rId33" w:type="default"/>
          <w:pgSz w:w="11906" w:h="16838"/>
          <w:pgMar w:top="2098" w:right="1474" w:bottom="1984" w:left="1587" w:header="1814" w:footer="1587" w:gutter="0"/>
          <w:pgNumType w:fmt="numberInDash"/>
          <w:cols w:space="720" w:num="1"/>
          <w:docGrid w:type="linesAndChars" w:linePitch="579" w:charSpace="-842"/>
        </w:sectPr>
      </w:pPr>
      <w:r>
        <w:rPr>
          <w:rFonts w:hint="eastAsia"/>
        </w:rPr>
        <w:br w:type="page"/>
      </w:r>
    </w:p>
    <w:p w14:paraId="4CFA093E">
      <w:pPr>
        <w:ind w:firstLine="0" w:firstLineChars="0"/>
        <w:jc w:val="center"/>
        <w:rPr>
          <w:rFonts w:ascii="微软雅黑" w:hAnsi="微软雅黑" w:eastAsia="微软雅黑" w:cs="微软雅黑"/>
          <w:b/>
          <w:bCs/>
          <w:sz w:val="36"/>
          <w:szCs w:val="36"/>
        </w:rPr>
      </w:pPr>
      <w:r>
        <w:rPr>
          <w:rFonts w:hint="eastAsia" w:ascii="微软雅黑" w:hAnsi="微软雅黑" w:eastAsia="微软雅黑" w:cs="微软雅黑"/>
          <w:b/>
          <w:bCs/>
          <w:sz w:val="36"/>
          <w:szCs w:val="36"/>
        </w:rPr>
        <w:t>目  录</w:t>
      </w:r>
    </w:p>
    <w:p w14:paraId="4D2D98F4">
      <w:pPr>
        <w:pStyle w:val="18"/>
      </w:pPr>
      <w:r>
        <w:rPr>
          <w:rFonts w:hint="eastAsia" w:ascii="黑体" w:hAnsi="黑体" w:eastAsia="黑体" w:cs="黑体"/>
          <w:sz w:val="44"/>
          <w:szCs w:val="44"/>
        </w:rPr>
        <w:fldChar w:fldCharType="begin"/>
      </w:r>
      <w:r>
        <w:rPr>
          <w:rFonts w:hint="eastAsia" w:ascii="黑体" w:hAnsi="黑体" w:eastAsia="黑体" w:cs="黑体"/>
          <w:sz w:val="44"/>
          <w:szCs w:val="44"/>
        </w:rPr>
        <w:instrText xml:space="preserve">TOC \o "1-2" \h \u </w:instrText>
      </w:r>
      <w:r>
        <w:rPr>
          <w:rFonts w:hint="eastAsia" w:ascii="黑体" w:hAnsi="黑体" w:eastAsia="黑体" w:cs="黑体"/>
          <w:sz w:val="44"/>
          <w:szCs w:val="44"/>
        </w:rPr>
        <w:fldChar w:fldCharType="separate"/>
      </w:r>
      <w:r>
        <w:fldChar w:fldCharType="begin"/>
      </w:r>
      <w:r>
        <w:instrText xml:space="preserve"> HYPERLINK \l "_Toc8986" </w:instrText>
      </w:r>
      <w:r>
        <w:fldChar w:fldCharType="separate"/>
      </w:r>
      <w:r>
        <w:rPr>
          <w:rFonts w:eastAsia="仿宋"/>
        </w:rPr>
        <w:t xml:space="preserve">1 </w:t>
      </w:r>
      <w:r>
        <w:rPr>
          <w:rFonts w:hint="eastAsia"/>
        </w:rPr>
        <w:t>总则</w:t>
      </w:r>
      <w:r>
        <w:tab/>
      </w:r>
      <w:r>
        <w:fldChar w:fldCharType="begin"/>
      </w:r>
      <w:r>
        <w:instrText xml:space="preserve"> PAGEREF _Toc8986 \h </w:instrText>
      </w:r>
      <w:r>
        <w:fldChar w:fldCharType="separate"/>
      </w:r>
      <w:r>
        <w:t>1</w:t>
      </w:r>
      <w:r>
        <w:fldChar w:fldCharType="end"/>
      </w:r>
      <w:r>
        <w:fldChar w:fldCharType="end"/>
      </w:r>
    </w:p>
    <w:p w14:paraId="165FFF6B">
      <w:pPr>
        <w:pStyle w:val="19"/>
        <w:tabs>
          <w:tab w:val="right" w:leader="dot" w:pos="8845"/>
        </w:tabs>
        <w:ind w:firstLine="632"/>
      </w:pPr>
      <w:r>
        <w:fldChar w:fldCharType="begin"/>
      </w:r>
      <w:r>
        <w:instrText xml:space="preserve"> HYPERLINK \l "_Toc19456" </w:instrText>
      </w:r>
      <w:r>
        <w:fldChar w:fldCharType="separate"/>
      </w:r>
      <w:r>
        <w:rPr>
          <w:rFonts w:eastAsia="仿宋"/>
          <w:bCs/>
          <w:szCs w:val="28"/>
        </w:rPr>
        <w:t xml:space="preserve">1.1 </w:t>
      </w:r>
      <w:r>
        <w:rPr>
          <w:rFonts w:hint="eastAsia"/>
        </w:rPr>
        <w:t>指导思想</w:t>
      </w:r>
      <w:r>
        <w:tab/>
      </w:r>
      <w:r>
        <w:fldChar w:fldCharType="begin"/>
      </w:r>
      <w:r>
        <w:instrText xml:space="preserve"> PAGEREF _Toc19456 \h </w:instrText>
      </w:r>
      <w:r>
        <w:fldChar w:fldCharType="separate"/>
      </w:r>
      <w:r>
        <w:rPr>
          <w:b/>
        </w:rPr>
        <w:t>错误！未定义书签。</w:t>
      </w:r>
      <w:r>
        <w:fldChar w:fldCharType="end"/>
      </w:r>
      <w:r>
        <w:fldChar w:fldCharType="end"/>
      </w:r>
    </w:p>
    <w:p w14:paraId="0D48957E">
      <w:pPr>
        <w:pStyle w:val="19"/>
        <w:tabs>
          <w:tab w:val="right" w:leader="dot" w:pos="8845"/>
        </w:tabs>
        <w:ind w:firstLine="632"/>
      </w:pPr>
      <w:r>
        <w:fldChar w:fldCharType="begin"/>
      </w:r>
      <w:r>
        <w:instrText xml:space="preserve"> HYPERLINK \l "_Toc17850" </w:instrText>
      </w:r>
      <w:r>
        <w:fldChar w:fldCharType="separate"/>
      </w:r>
      <w:r>
        <w:rPr>
          <w:rFonts w:eastAsia="仿宋"/>
          <w:bCs/>
          <w:szCs w:val="28"/>
        </w:rPr>
        <w:t xml:space="preserve">1.2 </w:t>
      </w:r>
      <w:r>
        <w:rPr>
          <w:rFonts w:hint="eastAsia"/>
        </w:rPr>
        <w:t>编制依据</w:t>
      </w:r>
      <w:r>
        <w:tab/>
      </w:r>
      <w:r>
        <w:fldChar w:fldCharType="begin"/>
      </w:r>
      <w:r>
        <w:instrText xml:space="preserve"> PAGEREF _Toc17850 \h </w:instrText>
      </w:r>
      <w:r>
        <w:fldChar w:fldCharType="separate"/>
      </w:r>
      <w:r>
        <w:t>1</w:t>
      </w:r>
      <w:r>
        <w:fldChar w:fldCharType="end"/>
      </w:r>
      <w:r>
        <w:fldChar w:fldCharType="end"/>
      </w:r>
    </w:p>
    <w:p w14:paraId="6DC74B66">
      <w:pPr>
        <w:pStyle w:val="19"/>
        <w:tabs>
          <w:tab w:val="right" w:leader="dot" w:pos="8845"/>
        </w:tabs>
        <w:ind w:firstLine="632"/>
      </w:pPr>
      <w:r>
        <w:fldChar w:fldCharType="begin"/>
      </w:r>
      <w:r>
        <w:instrText xml:space="preserve"> HYPERLINK \l "_Toc15095" </w:instrText>
      </w:r>
      <w:r>
        <w:fldChar w:fldCharType="separate"/>
      </w:r>
      <w:r>
        <w:rPr>
          <w:rFonts w:eastAsia="仿宋"/>
          <w:bCs/>
          <w:szCs w:val="28"/>
        </w:rPr>
        <w:t xml:space="preserve">1.3 </w:t>
      </w:r>
      <w:r>
        <w:rPr>
          <w:rFonts w:hint="eastAsia"/>
        </w:rPr>
        <w:t>适用范围</w:t>
      </w:r>
      <w:r>
        <w:tab/>
      </w:r>
      <w:r>
        <w:fldChar w:fldCharType="begin"/>
      </w:r>
      <w:r>
        <w:instrText xml:space="preserve"> PAGEREF _Toc15095 \h </w:instrText>
      </w:r>
      <w:r>
        <w:fldChar w:fldCharType="separate"/>
      </w:r>
      <w:r>
        <w:t>1</w:t>
      </w:r>
      <w:r>
        <w:fldChar w:fldCharType="end"/>
      </w:r>
      <w:r>
        <w:fldChar w:fldCharType="end"/>
      </w:r>
    </w:p>
    <w:p w14:paraId="4216AA1A">
      <w:pPr>
        <w:pStyle w:val="19"/>
        <w:tabs>
          <w:tab w:val="right" w:leader="dot" w:pos="8845"/>
        </w:tabs>
        <w:ind w:firstLine="632"/>
      </w:pPr>
      <w:r>
        <w:fldChar w:fldCharType="begin"/>
      </w:r>
      <w:r>
        <w:instrText xml:space="preserve"> HYPERLINK \l "_Toc13551" </w:instrText>
      </w:r>
      <w:r>
        <w:fldChar w:fldCharType="separate"/>
      </w:r>
      <w:r>
        <w:rPr>
          <w:rFonts w:eastAsia="仿宋"/>
          <w:bCs/>
          <w:szCs w:val="28"/>
        </w:rPr>
        <w:t xml:space="preserve">1.4 </w:t>
      </w:r>
      <w:r>
        <w:rPr>
          <w:rFonts w:hint="eastAsia"/>
        </w:rPr>
        <w:t>工作原则</w:t>
      </w:r>
      <w:r>
        <w:tab/>
      </w:r>
      <w:r>
        <w:fldChar w:fldCharType="begin"/>
      </w:r>
      <w:r>
        <w:instrText xml:space="preserve"> PAGEREF _Toc13551 \h </w:instrText>
      </w:r>
      <w:r>
        <w:fldChar w:fldCharType="separate"/>
      </w:r>
      <w:r>
        <w:t>2</w:t>
      </w:r>
      <w:r>
        <w:fldChar w:fldCharType="end"/>
      </w:r>
      <w:r>
        <w:fldChar w:fldCharType="end"/>
      </w:r>
    </w:p>
    <w:p w14:paraId="379A0D15">
      <w:pPr>
        <w:pStyle w:val="19"/>
        <w:tabs>
          <w:tab w:val="right" w:leader="dot" w:pos="8845"/>
        </w:tabs>
        <w:ind w:firstLine="632"/>
      </w:pPr>
      <w:r>
        <w:fldChar w:fldCharType="begin"/>
      </w:r>
      <w:r>
        <w:instrText xml:space="preserve"> HYPERLINK \l "_Toc30511" </w:instrText>
      </w:r>
      <w:r>
        <w:fldChar w:fldCharType="separate"/>
      </w:r>
      <w:r>
        <w:rPr>
          <w:rFonts w:eastAsia="仿宋"/>
          <w:bCs/>
          <w:szCs w:val="28"/>
        </w:rPr>
        <w:t xml:space="preserve">1.5 </w:t>
      </w:r>
      <w:r>
        <w:t>地质灾害事件分类分级</w:t>
      </w:r>
      <w:r>
        <w:tab/>
      </w:r>
      <w:r>
        <w:fldChar w:fldCharType="begin"/>
      </w:r>
      <w:r>
        <w:instrText xml:space="preserve"> PAGEREF _Toc30511 \h </w:instrText>
      </w:r>
      <w:r>
        <w:fldChar w:fldCharType="separate"/>
      </w:r>
      <w:r>
        <w:t>3</w:t>
      </w:r>
      <w:r>
        <w:fldChar w:fldCharType="end"/>
      </w:r>
      <w:r>
        <w:fldChar w:fldCharType="end"/>
      </w:r>
    </w:p>
    <w:p w14:paraId="19679E25">
      <w:pPr>
        <w:pStyle w:val="19"/>
        <w:tabs>
          <w:tab w:val="right" w:leader="dot" w:pos="8845"/>
        </w:tabs>
        <w:ind w:firstLine="632"/>
      </w:pPr>
      <w:r>
        <w:fldChar w:fldCharType="begin"/>
      </w:r>
      <w:r>
        <w:instrText xml:space="preserve"> HYPERLINK \l "_Toc10345" </w:instrText>
      </w:r>
      <w:r>
        <w:fldChar w:fldCharType="separate"/>
      </w:r>
      <w:r>
        <w:rPr>
          <w:rFonts w:eastAsia="仿宋"/>
          <w:bCs/>
          <w:szCs w:val="28"/>
        </w:rPr>
        <w:t xml:space="preserve">1.6 </w:t>
      </w:r>
      <w:r>
        <w:t>分级应对</w:t>
      </w:r>
      <w:r>
        <w:tab/>
      </w:r>
      <w:r>
        <w:fldChar w:fldCharType="begin"/>
      </w:r>
      <w:r>
        <w:instrText xml:space="preserve"> PAGEREF _Toc10345 \h </w:instrText>
      </w:r>
      <w:r>
        <w:fldChar w:fldCharType="separate"/>
      </w:r>
      <w:r>
        <w:t>4</w:t>
      </w:r>
      <w:r>
        <w:fldChar w:fldCharType="end"/>
      </w:r>
      <w:r>
        <w:fldChar w:fldCharType="end"/>
      </w:r>
    </w:p>
    <w:p w14:paraId="6689F6A5">
      <w:pPr>
        <w:pStyle w:val="19"/>
        <w:tabs>
          <w:tab w:val="right" w:leader="dot" w:pos="8845"/>
        </w:tabs>
        <w:ind w:firstLine="632"/>
      </w:pPr>
      <w:r>
        <w:fldChar w:fldCharType="begin"/>
      </w:r>
      <w:r>
        <w:instrText xml:space="preserve"> HYPERLINK \l "_Toc21373" </w:instrText>
      </w:r>
      <w:r>
        <w:fldChar w:fldCharType="separate"/>
      </w:r>
      <w:r>
        <w:rPr>
          <w:rFonts w:eastAsia="仿宋"/>
          <w:bCs/>
          <w:szCs w:val="28"/>
        </w:rPr>
        <w:t xml:space="preserve">1.7 </w:t>
      </w:r>
      <w:r>
        <w:t>应急预案体系</w:t>
      </w:r>
      <w:r>
        <w:tab/>
      </w:r>
      <w:r>
        <w:fldChar w:fldCharType="begin"/>
      </w:r>
      <w:r>
        <w:instrText xml:space="preserve"> PAGEREF _Toc21373 \h </w:instrText>
      </w:r>
      <w:r>
        <w:fldChar w:fldCharType="separate"/>
      </w:r>
      <w:r>
        <w:t>4</w:t>
      </w:r>
      <w:r>
        <w:fldChar w:fldCharType="end"/>
      </w:r>
      <w:r>
        <w:fldChar w:fldCharType="end"/>
      </w:r>
    </w:p>
    <w:p w14:paraId="589AED74">
      <w:pPr>
        <w:pStyle w:val="18"/>
      </w:pPr>
      <w:r>
        <w:fldChar w:fldCharType="begin"/>
      </w:r>
      <w:r>
        <w:instrText xml:space="preserve"> HYPERLINK \l "_Toc25065" </w:instrText>
      </w:r>
      <w:r>
        <w:fldChar w:fldCharType="separate"/>
      </w:r>
      <w:r>
        <w:rPr>
          <w:rFonts w:eastAsia="仿宋"/>
        </w:rPr>
        <w:t xml:space="preserve">2 </w:t>
      </w:r>
      <w:r>
        <w:rPr>
          <w:rFonts w:hint="eastAsia"/>
        </w:rPr>
        <w:t>组织指挥体系及职责</w:t>
      </w:r>
      <w:r>
        <w:tab/>
      </w:r>
      <w:r>
        <w:fldChar w:fldCharType="begin"/>
      </w:r>
      <w:r>
        <w:instrText xml:space="preserve"> PAGEREF _Toc25065 \h </w:instrText>
      </w:r>
      <w:r>
        <w:fldChar w:fldCharType="separate"/>
      </w:r>
      <w:r>
        <w:t>5</w:t>
      </w:r>
      <w:r>
        <w:fldChar w:fldCharType="end"/>
      </w:r>
      <w:r>
        <w:fldChar w:fldCharType="end"/>
      </w:r>
    </w:p>
    <w:p w14:paraId="00910678">
      <w:pPr>
        <w:pStyle w:val="19"/>
        <w:tabs>
          <w:tab w:val="right" w:leader="dot" w:pos="8845"/>
        </w:tabs>
        <w:ind w:firstLine="632"/>
      </w:pPr>
      <w:r>
        <w:fldChar w:fldCharType="begin"/>
      </w:r>
      <w:r>
        <w:instrText xml:space="preserve"> HYPERLINK \l "_Toc25561" </w:instrText>
      </w:r>
      <w:r>
        <w:fldChar w:fldCharType="separate"/>
      </w:r>
      <w:r>
        <w:rPr>
          <w:rFonts w:eastAsia="仿宋"/>
          <w:bCs/>
          <w:szCs w:val="28"/>
        </w:rPr>
        <w:t xml:space="preserve">2.1 </w:t>
      </w:r>
      <w:r>
        <w:rPr>
          <w:rFonts w:hint="eastAsia"/>
        </w:rPr>
        <w:t>县地质灾害指挥部组成及职责</w:t>
      </w:r>
      <w:r>
        <w:tab/>
      </w:r>
      <w:r>
        <w:fldChar w:fldCharType="begin"/>
      </w:r>
      <w:r>
        <w:instrText xml:space="preserve"> PAGEREF _Toc25561 \h </w:instrText>
      </w:r>
      <w:r>
        <w:fldChar w:fldCharType="separate"/>
      </w:r>
      <w:r>
        <w:t>5</w:t>
      </w:r>
      <w:r>
        <w:fldChar w:fldCharType="end"/>
      </w:r>
      <w:r>
        <w:fldChar w:fldCharType="end"/>
      </w:r>
    </w:p>
    <w:p w14:paraId="4330DFE5">
      <w:pPr>
        <w:pStyle w:val="19"/>
        <w:tabs>
          <w:tab w:val="right" w:leader="dot" w:pos="8845"/>
        </w:tabs>
        <w:ind w:firstLine="632"/>
      </w:pPr>
      <w:r>
        <w:fldChar w:fldCharType="begin"/>
      </w:r>
      <w:r>
        <w:instrText xml:space="preserve"> HYPERLINK \l "_Toc478" </w:instrText>
      </w:r>
      <w:r>
        <w:fldChar w:fldCharType="separate"/>
      </w:r>
      <w:r>
        <w:rPr>
          <w:rFonts w:eastAsia="仿宋"/>
          <w:bCs/>
          <w:szCs w:val="28"/>
        </w:rPr>
        <w:t xml:space="preserve">2.2 </w:t>
      </w:r>
      <w:r>
        <w:rPr>
          <w:rFonts w:hint="eastAsia"/>
        </w:rPr>
        <w:t>县地质灾害指挥部下设专项工作组</w:t>
      </w:r>
      <w:r>
        <w:tab/>
      </w:r>
      <w:r>
        <w:fldChar w:fldCharType="begin"/>
      </w:r>
      <w:r>
        <w:instrText xml:space="preserve"> PAGEREF _Toc478 \h </w:instrText>
      </w:r>
      <w:r>
        <w:fldChar w:fldCharType="separate"/>
      </w:r>
      <w:r>
        <w:t>6</w:t>
      </w:r>
      <w:r>
        <w:fldChar w:fldCharType="end"/>
      </w:r>
      <w:r>
        <w:fldChar w:fldCharType="end"/>
      </w:r>
    </w:p>
    <w:p w14:paraId="2BD85160">
      <w:pPr>
        <w:pStyle w:val="19"/>
        <w:tabs>
          <w:tab w:val="right" w:leader="dot" w:pos="8845"/>
        </w:tabs>
        <w:ind w:firstLine="632"/>
      </w:pPr>
      <w:r>
        <w:fldChar w:fldCharType="begin"/>
      </w:r>
      <w:r>
        <w:instrText xml:space="preserve"> HYPERLINK \l "_Toc31237" </w:instrText>
      </w:r>
      <w:r>
        <w:fldChar w:fldCharType="separate"/>
      </w:r>
      <w:r>
        <w:rPr>
          <w:rFonts w:eastAsia="仿宋"/>
          <w:bCs/>
          <w:szCs w:val="28"/>
        </w:rPr>
        <w:t xml:space="preserve">2.3 </w:t>
      </w:r>
      <w:r>
        <w:rPr>
          <w:rFonts w:hint="eastAsia"/>
        </w:rPr>
        <w:t>成员单位工作职责</w:t>
      </w:r>
      <w:r>
        <w:tab/>
      </w:r>
      <w:r>
        <w:fldChar w:fldCharType="begin"/>
      </w:r>
      <w:r>
        <w:instrText xml:space="preserve"> PAGEREF _Toc31237 \h </w:instrText>
      </w:r>
      <w:r>
        <w:fldChar w:fldCharType="separate"/>
      </w:r>
      <w:r>
        <w:t>12</w:t>
      </w:r>
      <w:r>
        <w:fldChar w:fldCharType="end"/>
      </w:r>
      <w:r>
        <w:fldChar w:fldCharType="end"/>
      </w:r>
    </w:p>
    <w:p w14:paraId="353A1CF6">
      <w:pPr>
        <w:pStyle w:val="19"/>
        <w:tabs>
          <w:tab w:val="right" w:leader="dot" w:pos="8845"/>
        </w:tabs>
        <w:ind w:firstLine="632"/>
      </w:pPr>
      <w:r>
        <w:fldChar w:fldCharType="begin"/>
      </w:r>
      <w:r>
        <w:instrText xml:space="preserve"> HYPERLINK \l "_Toc8673" </w:instrText>
      </w:r>
      <w:r>
        <w:fldChar w:fldCharType="separate"/>
      </w:r>
      <w:r>
        <w:rPr>
          <w:rFonts w:eastAsia="仿宋"/>
          <w:bCs/>
          <w:szCs w:val="28"/>
        </w:rPr>
        <w:t xml:space="preserve">2.4 </w:t>
      </w:r>
      <w:r>
        <w:rPr>
          <w:rFonts w:hint="eastAsia"/>
        </w:rPr>
        <w:t>其他应急指挥机构</w:t>
      </w:r>
      <w:r>
        <w:tab/>
      </w:r>
      <w:r>
        <w:fldChar w:fldCharType="begin"/>
      </w:r>
      <w:r>
        <w:instrText xml:space="preserve"> PAGEREF _Toc8673 \h </w:instrText>
      </w:r>
      <w:r>
        <w:fldChar w:fldCharType="separate"/>
      </w:r>
      <w:r>
        <w:t>17</w:t>
      </w:r>
      <w:r>
        <w:fldChar w:fldCharType="end"/>
      </w:r>
      <w:r>
        <w:fldChar w:fldCharType="end"/>
      </w:r>
    </w:p>
    <w:p w14:paraId="2E2E0FD9">
      <w:pPr>
        <w:pStyle w:val="18"/>
      </w:pPr>
      <w:r>
        <w:fldChar w:fldCharType="begin"/>
      </w:r>
      <w:r>
        <w:instrText xml:space="preserve"> HYPERLINK \l "_Toc9353" </w:instrText>
      </w:r>
      <w:r>
        <w:fldChar w:fldCharType="separate"/>
      </w:r>
      <w:r>
        <w:rPr>
          <w:rFonts w:eastAsia="仿宋"/>
        </w:rPr>
        <w:t xml:space="preserve">3 </w:t>
      </w:r>
      <w:r>
        <w:rPr>
          <w:rFonts w:hint="eastAsia"/>
        </w:rPr>
        <w:t>预防和预警机制</w:t>
      </w:r>
      <w:r>
        <w:tab/>
      </w:r>
      <w:r>
        <w:fldChar w:fldCharType="begin"/>
      </w:r>
      <w:r>
        <w:instrText xml:space="preserve"> PAGEREF _Toc9353 \h </w:instrText>
      </w:r>
      <w:r>
        <w:fldChar w:fldCharType="separate"/>
      </w:r>
      <w:r>
        <w:t>17</w:t>
      </w:r>
      <w:r>
        <w:fldChar w:fldCharType="end"/>
      </w:r>
      <w:r>
        <w:fldChar w:fldCharType="end"/>
      </w:r>
    </w:p>
    <w:p w14:paraId="5C893A13">
      <w:pPr>
        <w:pStyle w:val="19"/>
        <w:tabs>
          <w:tab w:val="right" w:leader="dot" w:pos="8845"/>
        </w:tabs>
        <w:ind w:firstLine="632"/>
      </w:pPr>
      <w:r>
        <w:fldChar w:fldCharType="begin"/>
      </w:r>
      <w:r>
        <w:instrText xml:space="preserve"> HYPERLINK \l "_Toc27723" </w:instrText>
      </w:r>
      <w:r>
        <w:fldChar w:fldCharType="separate"/>
      </w:r>
      <w:r>
        <w:rPr>
          <w:rFonts w:eastAsia="仿宋"/>
          <w:bCs/>
          <w:szCs w:val="28"/>
        </w:rPr>
        <w:t xml:space="preserve">3.1 </w:t>
      </w:r>
      <w:r>
        <w:rPr>
          <w:rFonts w:hint="eastAsia"/>
        </w:rPr>
        <w:t>预报预警信息</w:t>
      </w:r>
      <w:r>
        <w:tab/>
      </w:r>
      <w:r>
        <w:fldChar w:fldCharType="begin"/>
      </w:r>
      <w:r>
        <w:instrText xml:space="preserve"> PAGEREF _Toc27723 \h </w:instrText>
      </w:r>
      <w:r>
        <w:fldChar w:fldCharType="separate"/>
      </w:r>
      <w:r>
        <w:t>17</w:t>
      </w:r>
      <w:r>
        <w:fldChar w:fldCharType="end"/>
      </w:r>
      <w:r>
        <w:fldChar w:fldCharType="end"/>
      </w:r>
    </w:p>
    <w:p w14:paraId="2BF23C86">
      <w:pPr>
        <w:pStyle w:val="19"/>
        <w:tabs>
          <w:tab w:val="right" w:leader="dot" w:pos="8845"/>
        </w:tabs>
        <w:ind w:firstLine="632"/>
      </w:pPr>
      <w:r>
        <w:fldChar w:fldCharType="begin"/>
      </w:r>
      <w:r>
        <w:instrText xml:space="preserve"> HYPERLINK \l "_Toc10889" </w:instrText>
      </w:r>
      <w:r>
        <w:fldChar w:fldCharType="separate"/>
      </w:r>
      <w:r>
        <w:rPr>
          <w:rFonts w:eastAsia="仿宋"/>
          <w:bCs/>
          <w:szCs w:val="28"/>
        </w:rPr>
        <w:t xml:space="preserve">3.2 </w:t>
      </w:r>
      <w:r>
        <w:rPr>
          <w:rFonts w:hint="eastAsia"/>
        </w:rPr>
        <w:t>预警机制</w:t>
      </w:r>
      <w:r>
        <w:tab/>
      </w:r>
      <w:r>
        <w:fldChar w:fldCharType="begin"/>
      </w:r>
      <w:r>
        <w:instrText xml:space="preserve"> PAGEREF _Toc10889 \h </w:instrText>
      </w:r>
      <w:r>
        <w:fldChar w:fldCharType="separate"/>
      </w:r>
      <w:r>
        <w:t>19</w:t>
      </w:r>
      <w:r>
        <w:fldChar w:fldCharType="end"/>
      </w:r>
      <w:r>
        <w:fldChar w:fldCharType="end"/>
      </w:r>
    </w:p>
    <w:p w14:paraId="57985AD6">
      <w:pPr>
        <w:pStyle w:val="18"/>
      </w:pPr>
      <w:r>
        <w:fldChar w:fldCharType="begin"/>
      </w:r>
      <w:r>
        <w:instrText xml:space="preserve"> HYPERLINK \l "_Toc24882" </w:instrText>
      </w:r>
      <w:r>
        <w:fldChar w:fldCharType="separate"/>
      </w:r>
      <w:r>
        <w:rPr>
          <w:rFonts w:eastAsia="仿宋"/>
        </w:rPr>
        <w:t xml:space="preserve">4 </w:t>
      </w:r>
      <w:r>
        <w:rPr>
          <w:rFonts w:hint="eastAsia"/>
        </w:rPr>
        <w:t>突发地质灾害报告</w:t>
      </w:r>
      <w:r>
        <w:tab/>
      </w:r>
      <w:r>
        <w:fldChar w:fldCharType="begin"/>
      </w:r>
      <w:r>
        <w:instrText xml:space="preserve"> PAGEREF _Toc24882 \h </w:instrText>
      </w:r>
      <w:r>
        <w:fldChar w:fldCharType="separate"/>
      </w:r>
      <w:r>
        <w:t>21</w:t>
      </w:r>
      <w:r>
        <w:fldChar w:fldCharType="end"/>
      </w:r>
      <w:r>
        <w:fldChar w:fldCharType="end"/>
      </w:r>
    </w:p>
    <w:p w14:paraId="03CB6503">
      <w:pPr>
        <w:pStyle w:val="19"/>
        <w:tabs>
          <w:tab w:val="right" w:leader="dot" w:pos="8845"/>
        </w:tabs>
        <w:ind w:firstLine="632"/>
      </w:pPr>
      <w:r>
        <w:fldChar w:fldCharType="begin"/>
      </w:r>
      <w:r>
        <w:instrText xml:space="preserve"> HYPERLINK \l "_Toc4921" </w:instrText>
      </w:r>
      <w:r>
        <w:fldChar w:fldCharType="separate"/>
      </w:r>
      <w:r>
        <w:rPr>
          <w:rFonts w:eastAsia="仿宋"/>
          <w:bCs/>
          <w:szCs w:val="28"/>
        </w:rPr>
        <w:t xml:space="preserve">4.1 </w:t>
      </w:r>
      <w:r>
        <w:rPr>
          <w:rFonts w:hint="eastAsia"/>
        </w:rPr>
        <w:t>信息报告</w:t>
      </w:r>
      <w:r>
        <w:tab/>
      </w:r>
      <w:r>
        <w:fldChar w:fldCharType="begin"/>
      </w:r>
      <w:r>
        <w:instrText xml:space="preserve"> PAGEREF _Toc4921 \h </w:instrText>
      </w:r>
      <w:r>
        <w:fldChar w:fldCharType="separate"/>
      </w:r>
      <w:r>
        <w:t>21</w:t>
      </w:r>
      <w:r>
        <w:fldChar w:fldCharType="end"/>
      </w:r>
      <w:r>
        <w:fldChar w:fldCharType="end"/>
      </w:r>
    </w:p>
    <w:p w14:paraId="2FBE8D94">
      <w:pPr>
        <w:pStyle w:val="19"/>
        <w:tabs>
          <w:tab w:val="right" w:leader="dot" w:pos="8845"/>
        </w:tabs>
        <w:ind w:firstLine="632"/>
      </w:pPr>
      <w:r>
        <w:fldChar w:fldCharType="begin"/>
      </w:r>
      <w:r>
        <w:instrText xml:space="preserve"> HYPERLINK \l "_Toc15504" </w:instrText>
      </w:r>
      <w:r>
        <w:fldChar w:fldCharType="separate"/>
      </w:r>
      <w:r>
        <w:rPr>
          <w:rFonts w:eastAsia="仿宋"/>
          <w:bCs/>
          <w:szCs w:val="28"/>
        </w:rPr>
        <w:t xml:space="preserve">4.2 </w:t>
      </w:r>
      <w:r>
        <w:rPr>
          <w:rFonts w:hint="eastAsia"/>
        </w:rPr>
        <w:t>速报时限</w:t>
      </w:r>
      <w:r>
        <w:tab/>
      </w:r>
      <w:r>
        <w:fldChar w:fldCharType="begin"/>
      </w:r>
      <w:r>
        <w:instrText xml:space="preserve"> PAGEREF _Toc15504 \h </w:instrText>
      </w:r>
      <w:r>
        <w:fldChar w:fldCharType="separate"/>
      </w:r>
      <w:r>
        <w:t>22</w:t>
      </w:r>
      <w:r>
        <w:fldChar w:fldCharType="end"/>
      </w:r>
      <w:r>
        <w:fldChar w:fldCharType="end"/>
      </w:r>
    </w:p>
    <w:p w14:paraId="014EA630">
      <w:pPr>
        <w:pStyle w:val="19"/>
        <w:tabs>
          <w:tab w:val="right" w:leader="dot" w:pos="8845"/>
        </w:tabs>
        <w:ind w:firstLine="632"/>
      </w:pPr>
      <w:r>
        <w:fldChar w:fldCharType="begin"/>
      </w:r>
      <w:r>
        <w:instrText xml:space="preserve"> HYPERLINK \l "_Toc32249" </w:instrText>
      </w:r>
      <w:r>
        <w:fldChar w:fldCharType="separate"/>
      </w:r>
      <w:r>
        <w:rPr>
          <w:rFonts w:eastAsia="仿宋"/>
          <w:bCs/>
          <w:szCs w:val="28"/>
        </w:rPr>
        <w:t xml:space="preserve">4.3 </w:t>
      </w:r>
      <w:r>
        <w:rPr>
          <w:rFonts w:hint="eastAsia"/>
        </w:rPr>
        <w:t>报告内容</w:t>
      </w:r>
      <w:r>
        <w:tab/>
      </w:r>
      <w:r>
        <w:fldChar w:fldCharType="begin"/>
      </w:r>
      <w:r>
        <w:instrText xml:space="preserve"> PAGEREF _Toc32249 \h </w:instrText>
      </w:r>
      <w:r>
        <w:fldChar w:fldCharType="separate"/>
      </w:r>
      <w:r>
        <w:t>23</w:t>
      </w:r>
      <w:r>
        <w:fldChar w:fldCharType="end"/>
      </w:r>
      <w:r>
        <w:fldChar w:fldCharType="end"/>
      </w:r>
    </w:p>
    <w:p w14:paraId="12B1B82A">
      <w:pPr>
        <w:pStyle w:val="19"/>
        <w:tabs>
          <w:tab w:val="right" w:leader="dot" w:pos="8845"/>
        </w:tabs>
        <w:ind w:firstLine="632"/>
      </w:pPr>
      <w:r>
        <w:fldChar w:fldCharType="begin"/>
      </w:r>
      <w:r>
        <w:instrText xml:space="preserve"> HYPERLINK \l "_Toc20067" </w:instrText>
      </w:r>
      <w:r>
        <w:fldChar w:fldCharType="separate"/>
      </w:r>
      <w:r>
        <w:rPr>
          <w:rFonts w:eastAsia="仿宋"/>
          <w:bCs/>
          <w:szCs w:val="28"/>
        </w:rPr>
        <w:t xml:space="preserve">4.4 </w:t>
      </w:r>
      <w:r>
        <w:rPr>
          <w:rFonts w:hint="eastAsia"/>
        </w:rPr>
        <w:t>信息通报</w:t>
      </w:r>
      <w:r>
        <w:tab/>
      </w:r>
      <w:r>
        <w:fldChar w:fldCharType="begin"/>
      </w:r>
      <w:r>
        <w:instrText xml:space="preserve"> PAGEREF _Toc20067 \h </w:instrText>
      </w:r>
      <w:r>
        <w:fldChar w:fldCharType="separate"/>
      </w:r>
      <w:r>
        <w:t>23</w:t>
      </w:r>
      <w:r>
        <w:fldChar w:fldCharType="end"/>
      </w:r>
      <w:r>
        <w:fldChar w:fldCharType="end"/>
      </w:r>
    </w:p>
    <w:p w14:paraId="140E50EB">
      <w:pPr>
        <w:pStyle w:val="18"/>
      </w:pPr>
      <w:r>
        <w:fldChar w:fldCharType="begin"/>
      </w:r>
      <w:r>
        <w:instrText xml:space="preserve"> HYPERLINK \l "_Toc30824" </w:instrText>
      </w:r>
      <w:r>
        <w:fldChar w:fldCharType="separate"/>
      </w:r>
      <w:r>
        <w:rPr>
          <w:rFonts w:eastAsia="仿宋"/>
        </w:rPr>
        <w:t xml:space="preserve">5 </w:t>
      </w:r>
      <w:r>
        <w:rPr>
          <w:rFonts w:hint="eastAsia"/>
        </w:rPr>
        <w:t>应急响应</w:t>
      </w:r>
      <w:r>
        <w:tab/>
      </w:r>
      <w:r>
        <w:fldChar w:fldCharType="begin"/>
      </w:r>
      <w:r>
        <w:instrText xml:space="preserve"> PAGEREF _Toc30824 \h </w:instrText>
      </w:r>
      <w:r>
        <w:fldChar w:fldCharType="separate"/>
      </w:r>
      <w:r>
        <w:t>23</w:t>
      </w:r>
      <w:r>
        <w:fldChar w:fldCharType="end"/>
      </w:r>
      <w:r>
        <w:fldChar w:fldCharType="end"/>
      </w:r>
    </w:p>
    <w:p w14:paraId="2298A6AA">
      <w:pPr>
        <w:pStyle w:val="19"/>
        <w:tabs>
          <w:tab w:val="right" w:leader="dot" w:pos="8845"/>
        </w:tabs>
        <w:ind w:firstLine="632"/>
      </w:pPr>
      <w:r>
        <w:fldChar w:fldCharType="begin"/>
      </w:r>
      <w:r>
        <w:instrText xml:space="preserve"> HYPERLINK \l "_Toc23810" </w:instrText>
      </w:r>
      <w:r>
        <w:fldChar w:fldCharType="separate"/>
      </w:r>
      <w:r>
        <w:rPr>
          <w:rFonts w:eastAsia="仿宋"/>
          <w:bCs/>
          <w:szCs w:val="28"/>
        </w:rPr>
        <w:t xml:space="preserve">5.1 </w:t>
      </w:r>
      <w:r>
        <w:rPr>
          <w:rFonts w:hint="eastAsia"/>
        </w:rPr>
        <w:t>先期处置</w:t>
      </w:r>
      <w:r>
        <w:tab/>
      </w:r>
      <w:r>
        <w:fldChar w:fldCharType="begin"/>
      </w:r>
      <w:r>
        <w:instrText xml:space="preserve"> PAGEREF _Toc23810 \h </w:instrText>
      </w:r>
      <w:r>
        <w:fldChar w:fldCharType="separate"/>
      </w:r>
      <w:r>
        <w:t>23</w:t>
      </w:r>
      <w:r>
        <w:fldChar w:fldCharType="end"/>
      </w:r>
      <w:r>
        <w:fldChar w:fldCharType="end"/>
      </w:r>
    </w:p>
    <w:p w14:paraId="14FE9295">
      <w:pPr>
        <w:pStyle w:val="19"/>
        <w:tabs>
          <w:tab w:val="right" w:leader="dot" w:pos="8845"/>
        </w:tabs>
        <w:ind w:firstLine="632"/>
      </w:pPr>
      <w:r>
        <w:fldChar w:fldCharType="begin"/>
      </w:r>
      <w:r>
        <w:instrText xml:space="preserve"> HYPERLINK \l "_Toc10728" </w:instrText>
      </w:r>
      <w:r>
        <w:fldChar w:fldCharType="separate"/>
      </w:r>
      <w:r>
        <w:rPr>
          <w:rFonts w:eastAsia="仿宋"/>
          <w:bCs/>
          <w:szCs w:val="28"/>
        </w:rPr>
        <w:t xml:space="preserve">5.2 </w:t>
      </w:r>
      <w:r>
        <w:rPr>
          <w:rFonts w:hint="eastAsia"/>
        </w:rPr>
        <w:t>应急响应启动</w:t>
      </w:r>
      <w:r>
        <w:tab/>
      </w:r>
      <w:r>
        <w:fldChar w:fldCharType="begin"/>
      </w:r>
      <w:r>
        <w:instrText xml:space="preserve"> PAGEREF _Toc10728 \h </w:instrText>
      </w:r>
      <w:r>
        <w:fldChar w:fldCharType="separate"/>
      </w:r>
      <w:r>
        <w:t>24</w:t>
      </w:r>
      <w:r>
        <w:fldChar w:fldCharType="end"/>
      </w:r>
      <w:r>
        <w:fldChar w:fldCharType="end"/>
      </w:r>
    </w:p>
    <w:p w14:paraId="59E66DD2">
      <w:pPr>
        <w:pStyle w:val="19"/>
        <w:tabs>
          <w:tab w:val="right" w:leader="dot" w:pos="8845"/>
        </w:tabs>
        <w:ind w:firstLine="632"/>
      </w:pPr>
      <w:r>
        <w:fldChar w:fldCharType="begin"/>
      </w:r>
      <w:r>
        <w:instrText xml:space="preserve"> HYPERLINK \l "_Toc11014" </w:instrText>
      </w:r>
      <w:r>
        <w:fldChar w:fldCharType="separate"/>
      </w:r>
      <w:r>
        <w:rPr>
          <w:rFonts w:eastAsia="仿宋"/>
          <w:bCs/>
          <w:szCs w:val="28"/>
        </w:rPr>
        <w:t xml:space="preserve">5.3 </w:t>
      </w:r>
      <w:r>
        <w:rPr>
          <w:rFonts w:hint="eastAsia"/>
        </w:rPr>
        <w:t>信息发布</w:t>
      </w:r>
      <w:r>
        <w:tab/>
      </w:r>
      <w:r>
        <w:fldChar w:fldCharType="begin"/>
      </w:r>
      <w:r>
        <w:instrText xml:space="preserve"> PAGEREF _Toc11014 \h </w:instrText>
      </w:r>
      <w:r>
        <w:fldChar w:fldCharType="separate"/>
      </w:r>
      <w:r>
        <w:t>31</w:t>
      </w:r>
      <w:r>
        <w:fldChar w:fldCharType="end"/>
      </w:r>
      <w:r>
        <w:fldChar w:fldCharType="end"/>
      </w:r>
    </w:p>
    <w:p w14:paraId="00A6EB2F">
      <w:pPr>
        <w:pStyle w:val="19"/>
        <w:tabs>
          <w:tab w:val="right" w:leader="dot" w:pos="8845"/>
        </w:tabs>
        <w:ind w:firstLine="632"/>
      </w:pPr>
      <w:r>
        <w:fldChar w:fldCharType="begin"/>
      </w:r>
      <w:r>
        <w:instrText xml:space="preserve"> HYPERLINK \l "_Toc10348" </w:instrText>
      </w:r>
      <w:r>
        <w:fldChar w:fldCharType="separate"/>
      </w:r>
      <w:r>
        <w:rPr>
          <w:rFonts w:eastAsia="仿宋"/>
          <w:bCs/>
          <w:szCs w:val="28"/>
        </w:rPr>
        <w:t xml:space="preserve">5.4 </w:t>
      </w:r>
      <w:r>
        <w:rPr>
          <w:rFonts w:hint="eastAsia"/>
        </w:rPr>
        <w:t>应急结束</w:t>
      </w:r>
      <w:r>
        <w:tab/>
      </w:r>
      <w:r>
        <w:fldChar w:fldCharType="begin"/>
      </w:r>
      <w:r>
        <w:instrText xml:space="preserve"> PAGEREF _Toc10348 \h </w:instrText>
      </w:r>
      <w:r>
        <w:fldChar w:fldCharType="separate"/>
      </w:r>
      <w:r>
        <w:t>32</w:t>
      </w:r>
      <w:r>
        <w:fldChar w:fldCharType="end"/>
      </w:r>
      <w:r>
        <w:fldChar w:fldCharType="end"/>
      </w:r>
    </w:p>
    <w:p w14:paraId="5611C7C3">
      <w:pPr>
        <w:pStyle w:val="18"/>
      </w:pPr>
      <w:r>
        <w:fldChar w:fldCharType="begin"/>
      </w:r>
      <w:r>
        <w:instrText xml:space="preserve"> HYPERLINK \l "_Toc17771" </w:instrText>
      </w:r>
      <w:r>
        <w:fldChar w:fldCharType="separate"/>
      </w:r>
      <w:r>
        <w:rPr>
          <w:rFonts w:eastAsia="仿宋"/>
        </w:rPr>
        <w:t xml:space="preserve">6 </w:t>
      </w:r>
      <w:r>
        <w:rPr>
          <w:rFonts w:hint="eastAsia"/>
        </w:rPr>
        <w:t>后期处置</w:t>
      </w:r>
      <w:r>
        <w:tab/>
      </w:r>
      <w:r>
        <w:fldChar w:fldCharType="begin"/>
      </w:r>
      <w:r>
        <w:instrText xml:space="preserve"> PAGEREF _Toc17771 \h </w:instrText>
      </w:r>
      <w:r>
        <w:fldChar w:fldCharType="separate"/>
      </w:r>
      <w:r>
        <w:t>32</w:t>
      </w:r>
      <w:r>
        <w:fldChar w:fldCharType="end"/>
      </w:r>
      <w:r>
        <w:fldChar w:fldCharType="end"/>
      </w:r>
    </w:p>
    <w:p w14:paraId="3C683277">
      <w:pPr>
        <w:pStyle w:val="19"/>
        <w:tabs>
          <w:tab w:val="right" w:leader="dot" w:pos="8845"/>
        </w:tabs>
        <w:ind w:firstLine="632"/>
      </w:pPr>
      <w:r>
        <w:fldChar w:fldCharType="begin"/>
      </w:r>
      <w:r>
        <w:instrText xml:space="preserve"> HYPERLINK \l "_Toc10374" </w:instrText>
      </w:r>
      <w:r>
        <w:fldChar w:fldCharType="separate"/>
      </w:r>
      <w:r>
        <w:rPr>
          <w:rFonts w:eastAsia="仿宋"/>
          <w:bCs/>
          <w:szCs w:val="28"/>
        </w:rPr>
        <w:t xml:space="preserve">6.1 </w:t>
      </w:r>
      <w:r>
        <w:rPr>
          <w:rFonts w:hint="eastAsia"/>
        </w:rPr>
        <w:t>灾情评估</w:t>
      </w:r>
      <w:r>
        <w:tab/>
      </w:r>
      <w:r>
        <w:fldChar w:fldCharType="begin"/>
      </w:r>
      <w:r>
        <w:instrText xml:space="preserve"> PAGEREF _Toc10374 \h </w:instrText>
      </w:r>
      <w:r>
        <w:fldChar w:fldCharType="separate"/>
      </w:r>
      <w:r>
        <w:t>32</w:t>
      </w:r>
      <w:r>
        <w:fldChar w:fldCharType="end"/>
      </w:r>
      <w:r>
        <w:fldChar w:fldCharType="end"/>
      </w:r>
    </w:p>
    <w:p w14:paraId="1BC46BCC">
      <w:pPr>
        <w:pStyle w:val="19"/>
        <w:tabs>
          <w:tab w:val="right" w:leader="dot" w:pos="8845"/>
        </w:tabs>
        <w:ind w:firstLine="632"/>
      </w:pPr>
      <w:r>
        <w:fldChar w:fldCharType="begin"/>
      </w:r>
      <w:r>
        <w:instrText xml:space="preserve"> HYPERLINK \l "_Toc9183" </w:instrText>
      </w:r>
      <w:r>
        <w:fldChar w:fldCharType="separate"/>
      </w:r>
      <w:r>
        <w:rPr>
          <w:rFonts w:eastAsia="仿宋"/>
          <w:bCs/>
          <w:szCs w:val="28"/>
        </w:rPr>
        <w:t xml:space="preserve">6.2 </w:t>
      </w:r>
      <w:r>
        <w:rPr>
          <w:rFonts w:hint="eastAsia"/>
        </w:rPr>
        <w:t>恢复重建</w:t>
      </w:r>
      <w:r>
        <w:tab/>
      </w:r>
      <w:r>
        <w:fldChar w:fldCharType="begin"/>
      </w:r>
      <w:r>
        <w:instrText xml:space="preserve"> PAGEREF _Toc9183 \h </w:instrText>
      </w:r>
      <w:r>
        <w:fldChar w:fldCharType="separate"/>
      </w:r>
      <w:r>
        <w:t>32</w:t>
      </w:r>
      <w:r>
        <w:fldChar w:fldCharType="end"/>
      </w:r>
      <w:r>
        <w:fldChar w:fldCharType="end"/>
      </w:r>
    </w:p>
    <w:p w14:paraId="770CBD20">
      <w:pPr>
        <w:pStyle w:val="18"/>
      </w:pPr>
      <w:r>
        <w:fldChar w:fldCharType="begin"/>
      </w:r>
      <w:r>
        <w:instrText xml:space="preserve"> HYPERLINK \l "_Toc2826" </w:instrText>
      </w:r>
      <w:r>
        <w:fldChar w:fldCharType="separate"/>
      </w:r>
      <w:r>
        <w:rPr>
          <w:rFonts w:eastAsia="仿宋"/>
        </w:rPr>
        <w:t xml:space="preserve">7 </w:t>
      </w:r>
      <w:r>
        <w:rPr>
          <w:rFonts w:hint="eastAsia"/>
        </w:rPr>
        <w:t>应急保障</w:t>
      </w:r>
      <w:r>
        <w:tab/>
      </w:r>
      <w:r>
        <w:fldChar w:fldCharType="begin"/>
      </w:r>
      <w:r>
        <w:instrText xml:space="preserve"> PAGEREF _Toc2826 \h </w:instrText>
      </w:r>
      <w:r>
        <w:fldChar w:fldCharType="separate"/>
      </w:r>
      <w:r>
        <w:t>32</w:t>
      </w:r>
      <w:r>
        <w:fldChar w:fldCharType="end"/>
      </w:r>
      <w:r>
        <w:fldChar w:fldCharType="end"/>
      </w:r>
    </w:p>
    <w:p w14:paraId="5FA43AF7">
      <w:pPr>
        <w:pStyle w:val="19"/>
        <w:tabs>
          <w:tab w:val="right" w:leader="dot" w:pos="8845"/>
        </w:tabs>
        <w:ind w:firstLine="632"/>
      </w:pPr>
      <w:r>
        <w:fldChar w:fldCharType="begin"/>
      </w:r>
      <w:r>
        <w:instrText xml:space="preserve"> HYPERLINK \l "_Toc13395" </w:instrText>
      </w:r>
      <w:r>
        <w:fldChar w:fldCharType="separate"/>
      </w:r>
      <w:r>
        <w:rPr>
          <w:rFonts w:eastAsia="仿宋"/>
          <w:bCs/>
          <w:szCs w:val="28"/>
        </w:rPr>
        <w:t xml:space="preserve">7.1 </w:t>
      </w:r>
      <w:r>
        <w:rPr>
          <w:rFonts w:hint="eastAsia"/>
        </w:rPr>
        <w:t>应急队伍、资金、物资、装备保障</w:t>
      </w:r>
      <w:r>
        <w:tab/>
      </w:r>
      <w:r>
        <w:fldChar w:fldCharType="begin"/>
      </w:r>
      <w:r>
        <w:instrText xml:space="preserve"> PAGEREF _Toc13395 \h </w:instrText>
      </w:r>
      <w:r>
        <w:fldChar w:fldCharType="separate"/>
      </w:r>
      <w:r>
        <w:t>32</w:t>
      </w:r>
      <w:r>
        <w:fldChar w:fldCharType="end"/>
      </w:r>
      <w:r>
        <w:fldChar w:fldCharType="end"/>
      </w:r>
    </w:p>
    <w:p w14:paraId="06DFB64F">
      <w:pPr>
        <w:pStyle w:val="19"/>
        <w:tabs>
          <w:tab w:val="right" w:leader="dot" w:pos="8845"/>
        </w:tabs>
        <w:ind w:firstLine="632"/>
      </w:pPr>
      <w:r>
        <w:fldChar w:fldCharType="begin"/>
      </w:r>
      <w:r>
        <w:instrText xml:space="preserve"> HYPERLINK \l "_Toc7374" </w:instrText>
      </w:r>
      <w:r>
        <w:fldChar w:fldCharType="separate"/>
      </w:r>
      <w:r>
        <w:rPr>
          <w:rFonts w:eastAsia="仿宋"/>
          <w:bCs/>
          <w:szCs w:val="28"/>
        </w:rPr>
        <w:t xml:space="preserve">7.2 </w:t>
      </w:r>
      <w:r>
        <w:rPr>
          <w:rFonts w:hint="eastAsia"/>
        </w:rPr>
        <w:t>通信与信息传递</w:t>
      </w:r>
      <w:r>
        <w:tab/>
      </w:r>
      <w:r>
        <w:fldChar w:fldCharType="begin"/>
      </w:r>
      <w:r>
        <w:instrText xml:space="preserve"> PAGEREF _Toc7374 \h </w:instrText>
      </w:r>
      <w:r>
        <w:fldChar w:fldCharType="separate"/>
      </w:r>
      <w:r>
        <w:t>33</w:t>
      </w:r>
      <w:r>
        <w:fldChar w:fldCharType="end"/>
      </w:r>
      <w:r>
        <w:fldChar w:fldCharType="end"/>
      </w:r>
    </w:p>
    <w:p w14:paraId="2C13903C">
      <w:pPr>
        <w:pStyle w:val="19"/>
        <w:tabs>
          <w:tab w:val="right" w:leader="dot" w:pos="8845"/>
        </w:tabs>
        <w:ind w:firstLine="632"/>
      </w:pPr>
      <w:r>
        <w:fldChar w:fldCharType="begin"/>
      </w:r>
      <w:r>
        <w:instrText xml:space="preserve"> HYPERLINK \l "_Toc29769" </w:instrText>
      </w:r>
      <w:r>
        <w:fldChar w:fldCharType="separate"/>
      </w:r>
      <w:r>
        <w:rPr>
          <w:rFonts w:eastAsia="仿宋"/>
          <w:bCs/>
          <w:szCs w:val="28"/>
        </w:rPr>
        <w:t xml:space="preserve">7.3 </w:t>
      </w:r>
      <w:r>
        <w:rPr>
          <w:rFonts w:hint="eastAsia"/>
        </w:rPr>
        <w:t>应急技术保障</w:t>
      </w:r>
      <w:r>
        <w:tab/>
      </w:r>
      <w:r>
        <w:fldChar w:fldCharType="begin"/>
      </w:r>
      <w:r>
        <w:instrText xml:space="preserve"> PAGEREF _Toc29769 \h </w:instrText>
      </w:r>
      <w:r>
        <w:fldChar w:fldCharType="separate"/>
      </w:r>
      <w:r>
        <w:t>33</w:t>
      </w:r>
      <w:r>
        <w:fldChar w:fldCharType="end"/>
      </w:r>
      <w:r>
        <w:fldChar w:fldCharType="end"/>
      </w:r>
    </w:p>
    <w:p w14:paraId="5C1BC26A">
      <w:pPr>
        <w:pStyle w:val="19"/>
        <w:tabs>
          <w:tab w:val="right" w:leader="dot" w:pos="8845"/>
        </w:tabs>
        <w:ind w:firstLine="632"/>
      </w:pPr>
      <w:r>
        <w:fldChar w:fldCharType="begin"/>
      </w:r>
      <w:r>
        <w:instrText xml:space="preserve"> HYPERLINK \l "_Toc16708" </w:instrText>
      </w:r>
      <w:r>
        <w:fldChar w:fldCharType="separate"/>
      </w:r>
      <w:r>
        <w:rPr>
          <w:rFonts w:eastAsia="仿宋"/>
          <w:bCs/>
          <w:szCs w:val="28"/>
        </w:rPr>
        <w:t xml:space="preserve">7.4 </w:t>
      </w:r>
      <w:r>
        <w:t>宣传、培训与演练</w:t>
      </w:r>
      <w:r>
        <w:tab/>
      </w:r>
      <w:r>
        <w:fldChar w:fldCharType="begin"/>
      </w:r>
      <w:r>
        <w:instrText xml:space="preserve"> PAGEREF _Toc16708 \h </w:instrText>
      </w:r>
      <w:r>
        <w:fldChar w:fldCharType="separate"/>
      </w:r>
      <w:r>
        <w:t>33</w:t>
      </w:r>
      <w:r>
        <w:fldChar w:fldCharType="end"/>
      </w:r>
      <w:r>
        <w:fldChar w:fldCharType="end"/>
      </w:r>
    </w:p>
    <w:p w14:paraId="71CE0D37">
      <w:pPr>
        <w:pStyle w:val="18"/>
      </w:pPr>
      <w:r>
        <w:fldChar w:fldCharType="begin"/>
      </w:r>
      <w:r>
        <w:instrText xml:space="preserve"> HYPERLINK \l "_Toc3454" </w:instrText>
      </w:r>
      <w:r>
        <w:fldChar w:fldCharType="separate"/>
      </w:r>
      <w:r>
        <w:rPr>
          <w:rFonts w:eastAsia="仿宋"/>
        </w:rPr>
        <w:t xml:space="preserve">8 </w:t>
      </w:r>
      <w:r>
        <w:t>预案管理与更新</w:t>
      </w:r>
      <w:r>
        <w:tab/>
      </w:r>
      <w:r>
        <w:fldChar w:fldCharType="begin"/>
      </w:r>
      <w:r>
        <w:instrText xml:space="preserve"> PAGEREF _Toc3454 \h </w:instrText>
      </w:r>
      <w:r>
        <w:fldChar w:fldCharType="separate"/>
      </w:r>
      <w:r>
        <w:t>34</w:t>
      </w:r>
      <w:r>
        <w:fldChar w:fldCharType="end"/>
      </w:r>
      <w:r>
        <w:fldChar w:fldCharType="end"/>
      </w:r>
    </w:p>
    <w:p w14:paraId="7F9FC8C3">
      <w:pPr>
        <w:pStyle w:val="19"/>
        <w:tabs>
          <w:tab w:val="right" w:leader="dot" w:pos="8845"/>
        </w:tabs>
        <w:ind w:firstLine="632"/>
      </w:pPr>
      <w:r>
        <w:fldChar w:fldCharType="begin"/>
      </w:r>
      <w:r>
        <w:instrText xml:space="preserve"> HYPERLINK \l "_Toc18176" </w:instrText>
      </w:r>
      <w:r>
        <w:fldChar w:fldCharType="separate"/>
      </w:r>
      <w:r>
        <w:rPr>
          <w:rFonts w:eastAsia="仿宋"/>
          <w:bCs/>
          <w:szCs w:val="28"/>
        </w:rPr>
        <w:t xml:space="preserve">8.1 </w:t>
      </w:r>
      <w:r>
        <w:t>预案编制</w:t>
      </w:r>
      <w:r>
        <w:tab/>
      </w:r>
      <w:r>
        <w:fldChar w:fldCharType="begin"/>
      </w:r>
      <w:r>
        <w:instrText xml:space="preserve"> PAGEREF _Toc18176 \h </w:instrText>
      </w:r>
      <w:r>
        <w:fldChar w:fldCharType="separate"/>
      </w:r>
      <w:r>
        <w:t>34</w:t>
      </w:r>
      <w:r>
        <w:fldChar w:fldCharType="end"/>
      </w:r>
      <w:r>
        <w:fldChar w:fldCharType="end"/>
      </w:r>
    </w:p>
    <w:p w14:paraId="452BE474">
      <w:pPr>
        <w:pStyle w:val="19"/>
        <w:tabs>
          <w:tab w:val="right" w:leader="dot" w:pos="8845"/>
        </w:tabs>
        <w:ind w:firstLine="632"/>
      </w:pPr>
      <w:r>
        <w:fldChar w:fldCharType="begin"/>
      </w:r>
      <w:r>
        <w:instrText xml:space="preserve"> HYPERLINK \l "_Toc22742" </w:instrText>
      </w:r>
      <w:r>
        <w:fldChar w:fldCharType="separate"/>
      </w:r>
      <w:r>
        <w:rPr>
          <w:rFonts w:eastAsia="仿宋"/>
          <w:bCs/>
          <w:szCs w:val="28"/>
        </w:rPr>
        <w:t xml:space="preserve">8.2 </w:t>
      </w:r>
      <w:r>
        <w:t>预案更新</w:t>
      </w:r>
      <w:r>
        <w:tab/>
      </w:r>
      <w:r>
        <w:fldChar w:fldCharType="begin"/>
      </w:r>
      <w:r>
        <w:instrText xml:space="preserve"> PAGEREF _Toc22742 \h </w:instrText>
      </w:r>
      <w:r>
        <w:fldChar w:fldCharType="separate"/>
      </w:r>
      <w:r>
        <w:t>34</w:t>
      </w:r>
      <w:r>
        <w:fldChar w:fldCharType="end"/>
      </w:r>
      <w:r>
        <w:fldChar w:fldCharType="end"/>
      </w:r>
    </w:p>
    <w:p w14:paraId="72B354E2">
      <w:pPr>
        <w:pStyle w:val="18"/>
      </w:pPr>
      <w:r>
        <w:fldChar w:fldCharType="begin"/>
      </w:r>
      <w:r>
        <w:instrText xml:space="preserve"> HYPERLINK \l "_Toc23922" </w:instrText>
      </w:r>
      <w:r>
        <w:fldChar w:fldCharType="separate"/>
      </w:r>
      <w:r>
        <w:rPr>
          <w:rFonts w:eastAsia="仿宋"/>
        </w:rPr>
        <w:t xml:space="preserve">9 </w:t>
      </w:r>
      <w:r>
        <w:t>责任与奖惩</w:t>
      </w:r>
      <w:r>
        <w:tab/>
      </w:r>
      <w:r>
        <w:fldChar w:fldCharType="begin"/>
      </w:r>
      <w:r>
        <w:instrText xml:space="preserve"> PAGEREF _Toc23922 \h </w:instrText>
      </w:r>
      <w:r>
        <w:fldChar w:fldCharType="separate"/>
      </w:r>
      <w:r>
        <w:t>34</w:t>
      </w:r>
      <w:r>
        <w:fldChar w:fldCharType="end"/>
      </w:r>
      <w:r>
        <w:fldChar w:fldCharType="end"/>
      </w:r>
    </w:p>
    <w:p w14:paraId="672F5FEF">
      <w:pPr>
        <w:pStyle w:val="19"/>
        <w:tabs>
          <w:tab w:val="right" w:leader="dot" w:pos="8845"/>
        </w:tabs>
        <w:ind w:firstLine="632"/>
      </w:pPr>
      <w:r>
        <w:fldChar w:fldCharType="begin"/>
      </w:r>
      <w:r>
        <w:instrText xml:space="preserve"> HYPERLINK \l "_Toc438" </w:instrText>
      </w:r>
      <w:r>
        <w:fldChar w:fldCharType="separate"/>
      </w:r>
      <w:r>
        <w:rPr>
          <w:rFonts w:eastAsia="仿宋"/>
          <w:bCs/>
          <w:szCs w:val="28"/>
        </w:rPr>
        <w:t xml:space="preserve">9.1 </w:t>
      </w:r>
      <w:r>
        <w:t>奖励</w:t>
      </w:r>
      <w:r>
        <w:tab/>
      </w:r>
      <w:r>
        <w:fldChar w:fldCharType="begin"/>
      </w:r>
      <w:r>
        <w:instrText xml:space="preserve"> PAGEREF _Toc438 \h </w:instrText>
      </w:r>
      <w:r>
        <w:fldChar w:fldCharType="separate"/>
      </w:r>
      <w:r>
        <w:t>34</w:t>
      </w:r>
      <w:r>
        <w:fldChar w:fldCharType="end"/>
      </w:r>
      <w:r>
        <w:fldChar w:fldCharType="end"/>
      </w:r>
    </w:p>
    <w:p w14:paraId="5441C526">
      <w:pPr>
        <w:pStyle w:val="19"/>
        <w:tabs>
          <w:tab w:val="right" w:leader="dot" w:pos="8845"/>
        </w:tabs>
        <w:ind w:firstLine="632"/>
      </w:pPr>
      <w:r>
        <w:fldChar w:fldCharType="begin"/>
      </w:r>
      <w:r>
        <w:instrText xml:space="preserve"> HYPERLINK \l "_Toc7506" </w:instrText>
      </w:r>
      <w:r>
        <w:fldChar w:fldCharType="separate"/>
      </w:r>
      <w:r>
        <w:rPr>
          <w:rFonts w:eastAsia="仿宋"/>
          <w:bCs/>
          <w:szCs w:val="28"/>
        </w:rPr>
        <w:t xml:space="preserve">9.2 </w:t>
      </w:r>
      <w:r>
        <w:t>责任追究</w:t>
      </w:r>
      <w:r>
        <w:tab/>
      </w:r>
      <w:r>
        <w:fldChar w:fldCharType="begin"/>
      </w:r>
      <w:r>
        <w:instrText xml:space="preserve"> PAGEREF _Toc7506 \h </w:instrText>
      </w:r>
      <w:r>
        <w:fldChar w:fldCharType="separate"/>
      </w:r>
      <w:r>
        <w:t>34</w:t>
      </w:r>
      <w:r>
        <w:fldChar w:fldCharType="end"/>
      </w:r>
      <w:r>
        <w:fldChar w:fldCharType="end"/>
      </w:r>
    </w:p>
    <w:p w14:paraId="173788DC">
      <w:pPr>
        <w:pStyle w:val="18"/>
      </w:pPr>
      <w:r>
        <w:fldChar w:fldCharType="begin"/>
      </w:r>
      <w:r>
        <w:instrText xml:space="preserve"> HYPERLINK \l "_Toc5430" </w:instrText>
      </w:r>
      <w:r>
        <w:fldChar w:fldCharType="separate"/>
      </w:r>
      <w:r>
        <w:rPr>
          <w:rFonts w:eastAsia="仿宋"/>
        </w:rPr>
        <w:t xml:space="preserve">10 </w:t>
      </w:r>
      <w:r>
        <w:t>附则</w:t>
      </w:r>
      <w:r>
        <w:tab/>
      </w:r>
      <w:r>
        <w:fldChar w:fldCharType="begin"/>
      </w:r>
      <w:r>
        <w:instrText xml:space="preserve"> PAGEREF _Toc5430 \h </w:instrText>
      </w:r>
      <w:r>
        <w:fldChar w:fldCharType="separate"/>
      </w:r>
      <w:r>
        <w:t>35</w:t>
      </w:r>
      <w:r>
        <w:fldChar w:fldCharType="end"/>
      </w:r>
      <w:r>
        <w:fldChar w:fldCharType="end"/>
      </w:r>
    </w:p>
    <w:p w14:paraId="330EEC6E">
      <w:pPr>
        <w:pStyle w:val="19"/>
        <w:tabs>
          <w:tab w:val="right" w:leader="dot" w:pos="8845"/>
        </w:tabs>
        <w:ind w:firstLine="632"/>
      </w:pPr>
      <w:r>
        <w:fldChar w:fldCharType="begin"/>
      </w:r>
      <w:r>
        <w:instrText xml:space="preserve"> HYPERLINK \l "_Toc24980" </w:instrText>
      </w:r>
      <w:r>
        <w:fldChar w:fldCharType="separate"/>
      </w:r>
      <w:r>
        <w:rPr>
          <w:rFonts w:eastAsia="仿宋"/>
          <w:bCs/>
          <w:szCs w:val="28"/>
        </w:rPr>
        <w:t xml:space="preserve">10.1 </w:t>
      </w:r>
      <w:r>
        <w:t>名词解释</w:t>
      </w:r>
      <w:r>
        <w:tab/>
      </w:r>
      <w:r>
        <w:fldChar w:fldCharType="begin"/>
      </w:r>
      <w:r>
        <w:instrText xml:space="preserve"> PAGEREF _Toc24980 \h </w:instrText>
      </w:r>
      <w:r>
        <w:fldChar w:fldCharType="separate"/>
      </w:r>
      <w:r>
        <w:t>35</w:t>
      </w:r>
      <w:r>
        <w:fldChar w:fldCharType="end"/>
      </w:r>
      <w:r>
        <w:fldChar w:fldCharType="end"/>
      </w:r>
    </w:p>
    <w:p w14:paraId="4F32EB8D">
      <w:pPr>
        <w:pStyle w:val="19"/>
        <w:tabs>
          <w:tab w:val="right" w:leader="dot" w:pos="8845"/>
        </w:tabs>
        <w:ind w:firstLine="632"/>
      </w:pPr>
      <w:r>
        <w:fldChar w:fldCharType="begin"/>
      </w:r>
      <w:r>
        <w:instrText xml:space="preserve"> HYPERLINK \l "_Toc25547" </w:instrText>
      </w:r>
      <w:r>
        <w:fldChar w:fldCharType="separate"/>
      </w:r>
      <w:r>
        <w:rPr>
          <w:rFonts w:eastAsia="仿宋"/>
          <w:bCs/>
          <w:szCs w:val="28"/>
        </w:rPr>
        <w:t xml:space="preserve">10.2 </w:t>
      </w:r>
      <w:r>
        <w:t>预案解释</w:t>
      </w:r>
      <w:r>
        <w:tab/>
      </w:r>
      <w:r>
        <w:fldChar w:fldCharType="begin"/>
      </w:r>
      <w:r>
        <w:instrText xml:space="preserve"> PAGEREF _Toc25547 \h </w:instrText>
      </w:r>
      <w:r>
        <w:fldChar w:fldCharType="separate"/>
      </w:r>
      <w:r>
        <w:t>35</w:t>
      </w:r>
      <w:r>
        <w:fldChar w:fldCharType="end"/>
      </w:r>
      <w:r>
        <w:fldChar w:fldCharType="end"/>
      </w:r>
    </w:p>
    <w:p w14:paraId="27AE26CF">
      <w:pPr>
        <w:pStyle w:val="19"/>
        <w:tabs>
          <w:tab w:val="right" w:leader="dot" w:pos="8845"/>
        </w:tabs>
        <w:ind w:firstLine="632"/>
      </w:pPr>
      <w:r>
        <w:fldChar w:fldCharType="begin"/>
      </w:r>
      <w:r>
        <w:instrText xml:space="preserve"> HYPERLINK \l "_Toc23778" </w:instrText>
      </w:r>
      <w:r>
        <w:fldChar w:fldCharType="separate"/>
      </w:r>
      <w:r>
        <w:rPr>
          <w:rFonts w:eastAsia="仿宋"/>
          <w:bCs/>
          <w:szCs w:val="28"/>
        </w:rPr>
        <w:t xml:space="preserve">10.3 </w:t>
      </w:r>
      <w:r>
        <w:t>预案实施时间</w:t>
      </w:r>
      <w:r>
        <w:tab/>
      </w:r>
      <w:r>
        <w:fldChar w:fldCharType="begin"/>
      </w:r>
      <w:r>
        <w:instrText xml:space="preserve"> PAGEREF _Toc23778 \h </w:instrText>
      </w:r>
      <w:r>
        <w:fldChar w:fldCharType="separate"/>
      </w:r>
      <w:r>
        <w:t>36</w:t>
      </w:r>
      <w:r>
        <w:fldChar w:fldCharType="end"/>
      </w:r>
      <w:r>
        <w:fldChar w:fldCharType="end"/>
      </w:r>
    </w:p>
    <w:p w14:paraId="4EFCE7F5">
      <w:pPr>
        <w:ind w:firstLine="0" w:firstLineChars="0"/>
        <w:rPr>
          <w:rFonts w:ascii="黑体" w:hAnsi="黑体" w:eastAsia="黑体" w:cs="黑体"/>
          <w:szCs w:val="44"/>
        </w:rPr>
      </w:pPr>
      <w:r>
        <w:rPr>
          <w:rFonts w:hint="eastAsia" w:ascii="黑体" w:hAnsi="黑体" w:eastAsia="黑体" w:cs="黑体"/>
          <w:szCs w:val="44"/>
        </w:rPr>
        <w:fldChar w:fldCharType="end"/>
      </w:r>
      <w:r>
        <w:rPr>
          <w:rFonts w:hint="eastAsia" w:ascii="黑体" w:hAnsi="黑体" w:eastAsia="黑体" w:cs="黑体"/>
          <w:szCs w:val="44"/>
        </w:rPr>
        <w:t xml:space="preserve"> </w:t>
      </w:r>
    </w:p>
    <w:p w14:paraId="4E60DB78">
      <w:pPr>
        <w:pStyle w:val="2"/>
        <w:rPr>
          <w:sz w:val="32"/>
          <w:szCs w:val="32"/>
        </w:rPr>
        <w:sectPr>
          <w:footerReference r:id="rId34" w:type="default"/>
          <w:footerReference r:id="rId35" w:type="even"/>
          <w:pgSz w:w="11906" w:h="16838"/>
          <w:pgMar w:top="2098" w:right="1474" w:bottom="1984" w:left="1587" w:header="624" w:footer="1134" w:gutter="0"/>
          <w:pgNumType w:fmt="upperRoman" w:start="1"/>
          <w:cols w:space="720" w:num="1"/>
          <w:docGrid w:type="linesAndChars" w:linePitch="579" w:charSpace="-842"/>
        </w:sectPr>
      </w:pPr>
    </w:p>
    <w:p w14:paraId="717C0202">
      <w:pPr>
        <w:pStyle w:val="2"/>
        <w:numPr>
          <w:ilvl w:val="0"/>
          <w:numId w:val="102"/>
        </w:numPr>
        <w:tabs>
          <w:tab w:val="left" w:pos="0"/>
        </w:tabs>
        <w:rPr>
          <w:sz w:val="32"/>
          <w:szCs w:val="32"/>
        </w:rPr>
      </w:pPr>
      <w:bookmarkStart w:id="436" w:name="_Toc8986"/>
      <w:r>
        <w:rPr>
          <w:rFonts w:hint="eastAsia"/>
          <w:sz w:val="32"/>
          <w:szCs w:val="32"/>
        </w:rPr>
        <w:t>总则</w:t>
      </w:r>
      <w:bookmarkEnd w:id="436"/>
    </w:p>
    <w:p w14:paraId="1EA09B89">
      <w:pPr>
        <w:pStyle w:val="3"/>
      </w:pPr>
      <w:r>
        <w:rPr>
          <w:rFonts w:hint="eastAsia"/>
        </w:rPr>
        <w:t>编制目的</w:t>
      </w:r>
    </w:p>
    <w:p w14:paraId="022B8765">
      <w:pPr>
        <w:ind w:firstLine="632"/>
        <w:rPr>
          <w:rFonts w:ascii="仿宋_GB2312" w:hAnsi="仿宋_GB2312" w:cs="仿宋_GB2312"/>
        </w:rPr>
      </w:pPr>
      <w:r>
        <w:rPr>
          <w:rFonts w:hint="eastAsia" w:ascii="仿宋_GB2312" w:hAnsi="仿宋_GB2312" w:cs="仿宋_GB2312"/>
        </w:rPr>
        <w:t>以习近平新时代中国特色社会主义思想为指导，深入贯彻落实习近平总书记关于防汛救灾工作重要指示批示精神和防灾减灾救灾重要论述，建立高效科学的自然灾害防治体系，提高全社会自然灾害防治能力；加强应急救援体系建设，提高应急处置能力。建立科学规范、协调有序、快速高效处置突发地质灾害工作机制，避免或最大程度地减轻地质灾害造成的损失，保障人民群众生命财产安全和社会稳定。</w:t>
      </w:r>
    </w:p>
    <w:p w14:paraId="4A2B477B">
      <w:pPr>
        <w:pStyle w:val="3"/>
      </w:pPr>
      <w:bookmarkStart w:id="437" w:name="_Toc17850"/>
      <w:r>
        <w:rPr>
          <w:rFonts w:hint="eastAsia"/>
        </w:rPr>
        <w:t>编制依据</w:t>
      </w:r>
      <w:bookmarkEnd w:id="437"/>
    </w:p>
    <w:p w14:paraId="4D866CFA">
      <w:pPr>
        <w:ind w:firstLine="632"/>
      </w:pPr>
      <w:r>
        <w:rPr>
          <w:rFonts w:hint="eastAsia"/>
        </w:rPr>
        <w:t>依据《中华人民共和国突发事件应对法》《地质灾害防治条例》《黑龙江省地质灾害应急预案》《地质环境监测管理办法》《黑龙江省地质环境保护条例》等相关法律、法规和规定，结合我县实际，制定本预案。</w:t>
      </w:r>
    </w:p>
    <w:p w14:paraId="5BD840E0">
      <w:pPr>
        <w:pStyle w:val="3"/>
      </w:pPr>
      <w:bookmarkStart w:id="438" w:name="_Toc15095"/>
      <w:r>
        <w:rPr>
          <w:rFonts w:hint="eastAsia"/>
        </w:rPr>
        <w:t>适用范围</w:t>
      </w:r>
      <w:bookmarkEnd w:id="438"/>
    </w:p>
    <w:p w14:paraId="5603B852">
      <w:pPr>
        <w:ind w:firstLine="632"/>
      </w:pPr>
      <w:r>
        <w:rPr>
          <w:rFonts w:hint="eastAsia"/>
        </w:rPr>
        <w:t>本预案是集贤县应对各类突发地质灾害事件的总纲，适用于指导集贤县行政区域内突发地质灾害监测预警、应急处置与救援、应急保障、预案管理与更新等工作。</w:t>
      </w:r>
    </w:p>
    <w:p w14:paraId="34D31CD8">
      <w:pPr>
        <w:ind w:firstLine="632"/>
      </w:pPr>
      <w:r>
        <w:rPr>
          <w:rFonts w:hint="eastAsia"/>
        </w:rPr>
        <w:t>本预案所称突发地质灾害事件是指在较短时间内因地震、极端气候等自然因素或人为活动激发的山体崩塌、滑坡、泥石流、地面塌陷、地裂缝、地面沉降等与地质作用有关的地质灾害，直接危害或间接威胁人民群众生命财产安全、需要采取应急处置措施予以应对的事件。</w:t>
      </w:r>
    </w:p>
    <w:p w14:paraId="0B23348D">
      <w:pPr>
        <w:pStyle w:val="3"/>
      </w:pPr>
      <w:bookmarkStart w:id="439" w:name="_Toc13551"/>
      <w:r>
        <w:rPr>
          <w:rFonts w:hint="eastAsia"/>
        </w:rPr>
        <w:t>工作原则</w:t>
      </w:r>
      <w:bookmarkEnd w:id="439"/>
    </w:p>
    <w:p w14:paraId="473F1F0E">
      <w:pPr>
        <w:numPr>
          <w:ilvl w:val="0"/>
          <w:numId w:val="103"/>
        </w:numPr>
        <w:ind w:firstLine="632"/>
      </w:pPr>
      <w:r>
        <w:rPr>
          <w:rFonts w:hint="eastAsia"/>
        </w:rPr>
        <w:t>坚持以人民为中心思想。牢固树立“人民至上、生命至上”和“防范胜于救灾”的理念，建立健全县委、县政府领导下的突发地质灾害应急管理领导负责制，把保护人民群众生命财产安全作为首要任务，最大程度地减轻突发地质灾害事件风险，减少突发地质灾害给人民群众造成的生命财产损失。</w:t>
      </w:r>
    </w:p>
    <w:p w14:paraId="0A8E27F2">
      <w:pPr>
        <w:numPr>
          <w:ilvl w:val="0"/>
          <w:numId w:val="103"/>
        </w:numPr>
        <w:ind w:firstLine="632"/>
      </w:pPr>
      <w:r>
        <w:rPr>
          <w:rFonts w:hint="eastAsia"/>
        </w:rPr>
        <w:t>坚持以防为主、防抗救结合。牢固树立防范胜于救灾理念，坚持常态减灾和非常态救灾相统一，实现从注重灾后救助向注重灾前预防转变，从应对单一灾害种类向综合减灾转变，从减少灾害损失向减轻灾害风险转变，全面提升突发地质灾害综合防范能力。</w:t>
      </w:r>
    </w:p>
    <w:p w14:paraId="03F138EE">
      <w:pPr>
        <w:numPr>
          <w:ilvl w:val="0"/>
          <w:numId w:val="103"/>
        </w:numPr>
        <w:ind w:firstLine="632"/>
      </w:pPr>
      <w:r>
        <w:rPr>
          <w:rFonts w:hint="eastAsia"/>
        </w:rPr>
        <w:t>坚持统一领导、协调联动。建立健全县、乡镇党委政府齐抓共管、部门联防联动、动态监管的指挥体系。在县委、县政府统一领导下，充分发挥地质灾害指挥机构统筹协调作用，</w:t>
      </w:r>
    </w:p>
    <w:p w14:paraId="19DB9890">
      <w:pPr>
        <w:numPr>
          <w:ilvl w:val="0"/>
          <w:numId w:val="103"/>
        </w:numPr>
        <w:ind w:firstLine="632"/>
      </w:pPr>
      <w:r>
        <w:rPr>
          <w:rFonts w:hint="eastAsia"/>
        </w:rPr>
        <w:t>相关部门各司其职、密切配合，共同做好突发地质灾害应对处置工作。</w:t>
      </w:r>
    </w:p>
    <w:p w14:paraId="0A5A19CF">
      <w:pPr>
        <w:numPr>
          <w:ilvl w:val="0"/>
          <w:numId w:val="103"/>
        </w:numPr>
        <w:ind w:firstLine="632"/>
      </w:pPr>
      <w:r>
        <w:rPr>
          <w:rFonts w:hint="eastAsia"/>
        </w:rPr>
        <w:t>坚持属地为主、分级负责。建立健全按灾险情级别分级管理、条块结合、属地和行业为主的管理体制，强化县、乡镇、县级相关部门或行业内地质灾害防治和应急处置的主体责任，负责各自行政区域内（行业内）的突发地质灾害应对工作，及时启动应急响应，统一协调同级各类应急力量。</w:t>
      </w:r>
    </w:p>
    <w:p w14:paraId="211D090F">
      <w:pPr>
        <w:numPr>
          <w:ilvl w:val="0"/>
          <w:numId w:val="103"/>
        </w:numPr>
        <w:ind w:firstLine="632"/>
      </w:pPr>
      <w:r>
        <w:rPr>
          <w:rFonts w:hint="eastAsia"/>
        </w:rPr>
        <w:t>坚持依法规范、科技支撑。依据有关法律和行政法规，使应对突发地质灾害事件的工作规范化、制度化。加强地质灾害应急工作的科学研究和技术开发，充分发挥专业队伍的技术力量和作用，提升应对突发地质灾害事件的科学水平和指挥能力。</w:t>
      </w:r>
    </w:p>
    <w:p w14:paraId="7F1B3FDF">
      <w:pPr>
        <w:pStyle w:val="3"/>
      </w:pPr>
      <w:bookmarkStart w:id="440" w:name="_Toc30511"/>
      <w:r>
        <w:t>地质灾害事件分类分级</w:t>
      </w:r>
      <w:bookmarkEnd w:id="440"/>
    </w:p>
    <w:p w14:paraId="23721159">
      <w:pPr>
        <w:ind w:firstLine="632"/>
      </w:pPr>
      <w:r>
        <w:t>本预案按突发地质灾害危害程度、规模大小从高到低分为特大型（Ⅰ级）、大型（Ⅱ级）、中型（Ⅲ级）、小型（Ⅳ级）地质灾害灾险情等四级，对应的应急响应级别从高到低分为Ⅰ级响应、Ⅱ级响应、Ⅲ级响应、Ⅳ级响应共四级。</w:t>
      </w:r>
    </w:p>
    <w:p w14:paraId="47D0060C">
      <w:pPr>
        <w:pStyle w:val="4"/>
        <w:numPr>
          <w:ilvl w:val="2"/>
          <w:numId w:val="102"/>
        </w:numPr>
        <w:tabs>
          <w:tab w:val="left" w:pos="0"/>
        </w:tabs>
        <w:rPr>
          <w:rFonts w:ascii="仿宋_GB2312" w:hAnsi="仿宋_GB2312" w:eastAsia="仿宋_GB2312" w:cs="仿宋_GB2312"/>
        </w:rPr>
      </w:pPr>
      <w:r>
        <w:rPr>
          <w:rFonts w:hint="eastAsia" w:ascii="仿宋_GB2312" w:hAnsi="仿宋_GB2312" w:eastAsia="仿宋_GB2312" w:cs="仿宋_GB2312"/>
        </w:rPr>
        <w:t>特大型地质灾害灾险情（Ⅰ级）</w:t>
      </w:r>
    </w:p>
    <w:p w14:paraId="56737087">
      <w:pPr>
        <w:numPr>
          <w:ilvl w:val="0"/>
          <w:numId w:val="104"/>
        </w:numPr>
        <w:ind w:firstLine="632"/>
      </w:pPr>
      <w:r>
        <w:t>因灾死亡30人以上，或因灾造成直接经济损失1000万元以上的地质灾害灾情。</w:t>
      </w:r>
    </w:p>
    <w:p w14:paraId="610F9974">
      <w:pPr>
        <w:numPr>
          <w:ilvl w:val="0"/>
          <w:numId w:val="104"/>
        </w:numPr>
        <w:ind w:firstLine="632"/>
      </w:pPr>
      <w:r>
        <w:t>受灾害威胁，需搬迁转移人数在1000人以上，或潜在可能造成的经济损失1亿元以上的地质灾害险情。</w:t>
      </w:r>
    </w:p>
    <w:p w14:paraId="2E353C83">
      <w:pPr>
        <w:pStyle w:val="4"/>
        <w:numPr>
          <w:ilvl w:val="2"/>
          <w:numId w:val="102"/>
        </w:numPr>
        <w:tabs>
          <w:tab w:val="left" w:pos="0"/>
        </w:tabs>
        <w:rPr>
          <w:rFonts w:ascii="仿宋_GB2312" w:hAnsi="仿宋_GB2312" w:eastAsia="仿宋_GB2312" w:cs="仿宋_GB2312"/>
        </w:rPr>
      </w:pPr>
      <w:r>
        <w:rPr>
          <w:rFonts w:hint="eastAsia" w:ascii="仿宋_GB2312" w:hAnsi="仿宋_GB2312" w:eastAsia="仿宋_GB2312" w:cs="仿宋_GB2312"/>
        </w:rPr>
        <w:t>大型地质灾害灾险情（Ⅱ级）</w:t>
      </w:r>
    </w:p>
    <w:p w14:paraId="01A807BB">
      <w:pPr>
        <w:numPr>
          <w:ilvl w:val="0"/>
          <w:numId w:val="105"/>
        </w:numPr>
        <w:ind w:firstLine="632"/>
      </w:pPr>
      <w:r>
        <w:t>因灾死亡10人以上、30人以下，或因灾造成直接经济损失500万元以上、1000万元以下的地质灾害灾情。</w:t>
      </w:r>
    </w:p>
    <w:p w14:paraId="14FA78B9">
      <w:pPr>
        <w:numPr>
          <w:ilvl w:val="0"/>
          <w:numId w:val="105"/>
        </w:numPr>
        <w:ind w:firstLine="632"/>
      </w:pPr>
      <w:r>
        <w:t>受灾害威胁，需搬迁转移人数在500人以上、1000人以下，或潜在经济损失5000万元以上、1亿元以下的地质灾害险情。</w:t>
      </w:r>
    </w:p>
    <w:p w14:paraId="39F38BF3">
      <w:pPr>
        <w:pStyle w:val="4"/>
        <w:numPr>
          <w:ilvl w:val="2"/>
          <w:numId w:val="102"/>
        </w:numPr>
        <w:tabs>
          <w:tab w:val="left" w:pos="0"/>
        </w:tabs>
        <w:rPr>
          <w:rFonts w:ascii="仿宋_GB2312" w:hAnsi="仿宋_GB2312" w:eastAsia="仿宋_GB2312" w:cs="仿宋_GB2312"/>
        </w:rPr>
      </w:pPr>
      <w:r>
        <w:rPr>
          <w:rFonts w:hint="eastAsia" w:ascii="仿宋_GB2312" w:hAnsi="仿宋_GB2312" w:eastAsia="仿宋_GB2312" w:cs="仿宋_GB2312"/>
        </w:rPr>
        <w:t>中型地质灾害灾险情（Ⅲ级）</w:t>
      </w:r>
    </w:p>
    <w:p w14:paraId="6C317C00">
      <w:pPr>
        <w:numPr>
          <w:ilvl w:val="0"/>
          <w:numId w:val="106"/>
        </w:numPr>
        <w:ind w:firstLine="632"/>
      </w:pPr>
      <w:r>
        <w:t>因灾死亡3人以上、10人以下，或因灾造成直接经济损失100万元以上、500万元以下的地质灾害灾情。</w:t>
      </w:r>
    </w:p>
    <w:p w14:paraId="5C97AD71">
      <w:pPr>
        <w:numPr>
          <w:ilvl w:val="0"/>
          <w:numId w:val="106"/>
        </w:numPr>
        <w:ind w:firstLine="632"/>
      </w:pPr>
      <w:r>
        <w:t>受灾害威胁，需搬迁转移人数在100人以上、500人以下，或潜在经济损失500万元以上、5000万元以下的地质灾害险情。</w:t>
      </w:r>
    </w:p>
    <w:p w14:paraId="634D1A87">
      <w:pPr>
        <w:pStyle w:val="4"/>
        <w:numPr>
          <w:ilvl w:val="2"/>
          <w:numId w:val="102"/>
        </w:numPr>
        <w:tabs>
          <w:tab w:val="left" w:pos="0"/>
        </w:tabs>
        <w:rPr>
          <w:rFonts w:ascii="仿宋_GB2312" w:hAnsi="仿宋_GB2312" w:eastAsia="仿宋_GB2312" w:cs="仿宋_GB2312"/>
        </w:rPr>
      </w:pPr>
      <w:r>
        <w:rPr>
          <w:rFonts w:hint="eastAsia" w:ascii="仿宋_GB2312" w:hAnsi="仿宋_GB2312" w:eastAsia="仿宋_GB2312" w:cs="仿宋_GB2312"/>
        </w:rPr>
        <w:t>小型地质灾害灾险情（Ⅳ级）</w:t>
      </w:r>
    </w:p>
    <w:p w14:paraId="582841EF">
      <w:pPr>
        <w:numPr>
          <w:ilvl w:val="0"/>
          <w:numId w:val="107"/>
        </w:numPr>
        <w:ind w:firstLine="632"/>
      </w:pPr>
      <w:r>
        <w:t>因灾死亡3人以下，或因灾造成直接经济损失100万元以下的地质灾害灾情。</w:t>
      </w:r>
    </w:p>
    <w:p w14:paraId="24F2B05D">
      <w:pPr>
        <w:numPr>
          <w:ilvl w:val="0"/>
          <w:numId w:val="107"/>
        </w:numPr>
        <w:ind w:firstLine="632"/>
      </w:pPr>
      <w:r>
        <w:t>受灾害威胁，需搬迁转移人数在100人以下，或潜在经济损失 500万元以下的地质灾害险情。</w:t>
      </w:r>
    </w:p>
    <w:p w14:paraId="03F4EE9E">
      <w:pPr>
        <w:pStyle w:val="3"/>
      </w:pPr>
      <w:bookmarkStart w:id="441" w:name="_Toc10345"/>
      <w:r>
        <w:t>分级应对</w:t>
      </w:r>
      <w:bookmarkEnd w:id="441"/>
    </w:p>
    <w:p w14:paraId="215FA56B">
      <w:pPr>
        <w:ind w:firstLine="632"/>
      </w:pPr>
      <w:r>
        <w:t>突发地质灾害应急处置工作遵循“分级负责、属地为主、层级响应”的原则。根据突发地质灾害应急应对相关规定，省级层面负责特大型（Ⅰ级）、大型（Ⅱ级）地质灾害灾险情应急处置工作。</w:t>
      </w:r>
      <w:r>
        <w:rPr>
          <w:rFonts w:hint="eastAsia"/>
        </w:rPr>
        <w:t>双鸭山</w:t>
      </w:r>
      <w:r>
        <w:t>市委、市政府负责中型（Ⅲ级）地质灾害灾险情应急处置工作。</w:t>
      </w:r>
      <w:r>
        <w:rPr>
          <w:rFonts w:hint="eastAsia"/>
        </w:rPr>
        <w:t>集贤</w:t>
      </w:r>
      <w:r>
        <w:t>县委、县政府负责小型（Ⅳ级）地质灾害灾险情应急处置工作。涉及跨乡级行政区域的，由</w:t>
      </w:r>
      <w:r>
        <w:rPr>
          <w:rFonts w:hint="eastAsia"/>
        </w:rPr>
        <w:t>集贤</w:t>
      </w:r>
      <w:r>
        <w:t>县地质灾害指挥部负责应对；涉及跨县级行政区域的由</w:t>
      </w:r>
      <w:r>
        <w:rPr>
          <w:rFonts w:hint="eastAsia"/>
        </w:rPr>
        <w:t>双鸭山</w:t>
      </w:r>
      <w:r>
        <w:t>市地质灾害指挥部统一指导、各县级地质灾害指挥机构共同负责应对</w:t>
      </w:r>
      <w:r>
        <w:rPr>
          <w:rFonts w:hint="eastAsia"/>
        </w:rPr>
        <w:t>。</w:t>
      </w:r>
    </w:p>
    <w:p w14:paraId="5ACAED0E">
      <w:pPr>
        <w:ind w:firstLine="632"/>
      </w:pPr>
      <w:r>
        <w:t>突发地质灾害事件发生后，</w:t>
      </w:r>
      <w:r>
        <w:rPr>
          <w:rFonts w:hint="eastAsia"/>
        </w:rPr>
        <w:t>集贤</w:t>
      </w:r>
      <w:r>
        <w:t>县地质灾害指挥机构、各乡镇会同相关部门，根据突发地质灾害事件的初判级别、应急处置能力及预期影响后果，综合判定本层级应急响应级别。在重要时期、敏感时段或者在地质灾害应急处置过程中，可根据地质灾害灾险情发展情况及时调整应急响应级别。</w:t>
      </w:r>
    </w:p>
    <w:p w14:paraId="3A6D0859">
      <w:pPr>
        <w:pStyle w:val="3"/>
      </w:pPr>
      <w:bookmarkStart w:id="442" w:name="_Toc21373"/>
      <w:r>
        <w:t>应急预案体系</w:t>
      </w:r>
      <w:bookmarkEnd w:id="442"/>
    </w:p>
    <w:p w14:paraId="3AEFBB96">
      <w:pPr>
        <w:ind w:firstLine="632"/>
      </w:pPr>
      <w:r>
        <w:t>应急预案体系包括：</w:t>
      </w:r>
      <w:r>
        <w:rPr>
          <w:rFonts w:hint="eastAsia"/>
        </w:rPr>
        <w:t>集贤</w:t>
      </w:r>
      <w:r>
        <w:t>县人民政府、各乡镇及相关部门制定的突发地质灾害应急预案，以及为突发地质灾害应急预案提供支撑的工作手册和事件行动方案。</w:t>
      </w:r>
    </w:p>
    <w:p w14:paraId="589DD626">
      <w:pPr>
        <w:ind w:firstLine="632"/>
      </w:pPr>
      <w:r>
        <w:t>上述预案按照分类管理、分级负责的原则，由</w:t>
      </w:r>
      <w:r>
        <w:rPr>
          <w:rFonts w:hint="eastAsia"/>
        </w:rPr>
        <w:t>集贤</w:t>
      </w:r>
      <w:r>
        <w:t>县人民政府、各乡镇及其有关部门分别制定。</w:t>
      </w:r>
    </w:p>
    <w:p w14:paraId="1369599E">
      <w:pPr>
        <w:pStyle w:val="2"/>
        <w:numPr>
          <w:ilvl w:val="0"/>
          <w:numId w:val="102"/>
        </w:numPr>
        <w:tabs>
          <w:tab w:val="left" w:pos="0"/>
        </w:tabs>
        <w:rPr>
          <w:sz w:val="32"/>
          <w:szCs w:val="32"/>
        </w:rPr>
      </w:pPr>
      <w:bookmarkStart w:id="443" w:name="_Toc25065"/>
      <w:r>
        <w:rPr>
          <w:rFonts w:hint="eastAsia"/>
          <w:sz w:val="32"/>
          <w:szCs w:val="32"/>
        </w:rPr>
        <w:t>组织指挥体系及职责</w:t>
      </w:r>
      <w:bookmarkEnd w:id="443"/>
    </w:p>
    <w:p w14:paraId="2A303FFE">
      <w:pPr>
        <w:ind w:firstLine="632"/>
      </w:pPr>
      <w:r>
        <w:rPr>
          <w:rFonts w:hint="eastAsia"/>
        </w:rPr>
        <w:t>集贤县人民政府设立集贤县地质灾害应急指挥部，成员由相关部门（单位）分管负责同志担任，县地质灾害指挥部成员单位和成员根据工作需要适时进行调整。</w:t>
      </w:r>
    </w:p>
    <w:p w14:paraId="7C49F026">
      <w:pPr>
        <w:pStyle w:val="3"/>
      </w:pPr>
      <w:bookmarkStart w:id="444" w:name="_Toc25561"/>
      <w:r>
        <w:rPr>
          <w:rFonts w:hint="eastAsia"/>
        </w:rPr>
        <w:t>县地质灾害指挥部组成及职责</w:t>
      </w:r>
      <w:bookmarkEnd w:id="444"/>
    </w:p>
    <w:p w14:paraId="19DA6311">
      <w:pPr>
        <w:pStyle w:val="4"/>
        <w:numPr>
          <w:ilvl w:val="2"/>
          <w:numId w:val="102"/>
        </w:numPr>
        <w:tabs>
          <w:tab w:val="left" w:pos="0"/>
        </w:tabs>
        <w:rPr>
          <w:rFonts w:ascii="仿宋_GB2312" w:hAnsi="仿宋_GB2312" w:eastAsia="仿宋_GB2312" w:cs="仿宋_GB2312"/>
        </w:rPr>
      </w:pPr>
      <w:r>
        <w:rPr>
          <w:rFonts w:hint="eastAsia" w:ascii="仿宋_GB2312" w:hAnsi="仿宋_GB2312" w:eastAsia="仿宋_GB2312" w:cs="仿宋_GB2312"/>
        </w:rPr>
        <w:t>指挥部组成</w:t>
      </w:r>
    </w:p>
    <w:p w14:paraId="6B3EC39D">
      <w:pPr>
        <w:ind w:firstLine="632"/>
        <w:rPr>
          <w:rFonts w:ascii="仿宋_GB2312"/>
        </w:rPr>
      </w:pPr>
      <w:r>
        <w:rPr>
          <w:rFonts w:hint="eastAsia" w:ascii="仿宋_GB2312"/>
        </w:rPr>
        <w:t>县指挥部总指挥由县政府分管副县长担任，副总指挥由县自然资源局、县应急管理局、县水务局、县气象局主要负责人担任；各成员单位确定分管领导、联络员各一名负责日常联络工作。</w:t>
      </w:r>
    </w:p>
    <w:p w14:paraId="09C323B3">
      <w:pPr>
        <w:ind w:firstLine="632"/>
        <w:rPr>
          <w:rFonts w:ascii="仿宋_GB2312"/>
        </w:rPr>
      </w:pPr>
      <w:r>
        <w:rPr>
          <w:rFonts w:hint="eastAsia" w:ascii="仿宋_GB2312"/>
        </w:rPr>
        <w:t>成员单位包括：县自然资源局、县应急管理局、县发展和改革局、县工业信息科技局、县教育和体育局、县公安局、县财政局、县住房和城乡建设局、县交通运输局、县农业农村局、双鸭山市集贤生态环境局、县水务局、县卫生健康局、县民政局、县文化广电和旅游局、县乡村振兴局、县气象局、县委宣传部（县网信办）、团县委、县消防救援大队、县综合行政执法局、中国电信双鸭山集贤分公司、中国移动双鸭山集贤分公司、中国联通双鸭山集贤分公司、广电网络双鸭山集贤分公司、中国铁塔股份有限公司双鸭山市分公司（集贤办事处）、福利屯火车站等单位分管负责同志。</w:t>
      </w:r>
    </w:p>
    <w:p w14:paraId="2416E424">
      <w:pPr>
        <w:ind w:firstLine="632"/>
        <w:rPr>
          <w:rFonts w:ascii="仿宋_GB2312"/>
        </w:rPr>
      </w:pPr>
      <w:r>
        <w:rPr>
          <w:rFonts w:hint="eastAsia" w:ascii="仿宋_GB2312"/>
        </w:rPr>
        <w:t>县地质灾害应急指挥部办公室（以下简称“县指挥办”）设在县自然资源局，承担县指挥部日常工作。办公室主任由县自然资源管理局局长兼任。</w:t>
      </w:r>
    </w:p>
    <w:p w14:paraId="0A936B4E">
      <w:pPr>
        <w:pStyle w:val="4"/>
        <w:numPr>
          <w:ilvl w:val="2"/>
          <w:numId w:val="102"/>
        </w:numPr>
        <w:tabs>
          <w:tab w:val="left" w:pos="0"/>
        </w:tabs>
        <w:rPr>
          <w:rFonts w:ascii="仿宋_GB2312" w:hAnsi="仿宋_GB2312" w:eastAsia="仿宋_GB2312" w:cs="仿宋_GB2312"/>
        </w:rPr>
      </w:pPr>
      <w:r>
        <w:rPr>
          <w:rFonts w:hint="eastAsia" w:ascii="仿宋_GB2312" w:hAnsi="仿宋_GB2312" w:eastAsia="仿宋_GB2312" w:cs="仿宋_GB2312"/>
        </w:rPr>
        <w:t>指挥部工作职责</w:t>
      </w:r>
    </w:p>
    <w:p w14:paraId="267D0175">
      <w:pPr>
        <w:ind w:firstLine="632"/>
      </w:pPr>
      <w:r>
        <w:rPr>
          <w:rFonts w:hint="eastAsia"/>
        </w:rPr>
        <w:t>在集贤县应急委领导下，负责组织、协调和指导全县地质灾害防治和应急处置工作；负责领导督促开展地质灾害风险防范、监管防治等日常工作；负责指导协调需要启动Ⅳ级响应的突发小型地质灾害事件的应对处置工作。按照县应急委的安排，负责组织指挥小型（Ⅳ级）突发地质灾害事件的应急处置工作。中型（Ⅲ级）以上地质灾害事件发生后，实行以地质灾害指挥部为主的扩大响应，在双鸭山市委、市政府和集贤县委、县政府的领导下开展应对处置工作。负责指导协调以各乡镇党委、政府为主的突发小型地质灾害事件的应急处置工作。完成集贤县委、县政府交办的地质灾害防灾救灾领域的其他工作。</w:t>
      </w:r>
    </w:p>
    <w:p w14:paraId="09DFA5D8">
      <w:pPr>
        <w:pStyle w:val="4"/>
        <w:numPr>
          <w:ilvl w:val="2"/>
          <w:numId w:val="102"/>
        </w:numPr>
        <w:tabs>
          <w:tab w:val="left" w:pos="0"/>
        </w:tabs>
        <w:rPr>
          <w:rFonts w:ascii="仿宋_GB2312" w:hAnsi="仿宋_GB2312" w:eastAsia="仿宋_GB2312" w:cs="仿宋_GB2312"/>
        </w:rPr>
      </w:pPr>
      <w:r>
        <w:rPr>
          <w:rFonts w:hint="eastAsia" w:ascii="仿宋_GB2312" w:hAnsi="仿宋_GB2312" w:eastAsia="仿宋_GB2312" w:cs="仿宋_GB2312"/>
        </w:rPr>
        <w:t>指挥部办公室工作职责</w:t>
      </w:r>
    </w:p>
    <w:p w14:paraId="5E1B3B71">
      <w:pPr>
        <w:ind w:firstLine="632"/>
      </w:pPr>
      <w:r>
        <w:rPr>
          <w:rFonts w:hint="eastAsia"/>
        </w:rPr>
        <w:t>传达贯彻党中央、国务院以及黑龙江省委、省政府、双鸭山市委、市政府、集贤县委、县政府和县应急委、县地质灾害指挥部的指示和部署；协调做好日常防治和应急处置工作；牵头组织编制完善集贤县突发地质灾害应急预案；承担集贤县地质灾害指挥部日常事务和指挥长交办的其他工作。</w:t>
      </w:r>
    </w:p>
    <w:p w14:paraId="528E2550">
      <w:pPr>
        <w:pStyle w:val="3"/>
      </w:pPr>
      <w:bookmarkStart w:id="445" w:name="_Toc478"/>
      <w:r>
        <w:rPr>
          <w:rFonts w:hint="eastAsia"/>
        </w:rPr>
        <w:t>县地质灾害指挥部下设专项工作组</w:t>
      </w:r>
      <w:bookmarkEnd w:id="445"/>
    </w:p>
    <w:p w14:paraId="73080312">
      <w:pPr>
        <w:ind w:firstLine="632"/>
      </w:pPr>
      <w:r>
        <w:rPr>
          <w:rFonts w:hint="eastAsia"/>
        </w:rPr>
        <w:t>发生小型及以上突发地质灾害后，县地质灾害指挥部视灾险情情况开展应急抢险救援工作，并设综合协调组、抢险救援组、技术支撑组、通信保障组、交通保障组、调查评估组、群众安置组、医疗救治组、社会治安组、宣传舆情组等专项工作组。各专项工作组组长由县地质灾害指挥部指定专人担任，各工作组人员从相关单位抽调。在地质灾害应急处置工作中，可根据地质灾害类型、规模和应对需求，增减相关编组设置。</w:t>
      </w:r>
    </w:p>
    <w:p w14:paraId="3CEB875E">
      <w:pPr>
        <w:ind w:firstLine="632"/>
      </w:pPr>
      <w:r>
        <w:rPr>
          <w:rFonts w:hint="eastAsia"/>
        </w:rPr>
        <w:t>各专项工作组成员单位职责如下：</w:t>
      </w:r>
    </w:p>
    <w:p w14:paraId="2D95660E">
      <w:pPr>
        <w:pStyle w:val="4"/>
        <w:numPr>
          <w:ilvl w:val="2"/>
          <w:numId w:val="102"/>
        </w:numPr>
        <w:tabs>
          <w:tab w:val="left" w:pos="0"/>
        </w:tabs>
        <w:rPr>
          <w:rFonts w:ascii="仿宋_GB2312" w:hAnsi="仿宋_GB2312" w:eastAsia="仿宋_GB2312" w:cs="仿宋_GB2312"/>
        </w:rPr>
      </w:pPr>
      <w:r>
        <w:rPr>
          <w:rFonts w:hint="eastAsia" w:ascii="仿宋_GB2312" w:hAnsi="仿宋_GB2312" w:eastAsia="仿宋_GB2312" w:cs="仿宋_GB2312"/>
        </w:rPr>
        <w:t>综合协调组</w:t>
      </w:r>
    </w:p>
    <w:p w14:paraId="6DA1D41A">
      <w:pPr>
        <w:ind w:firstLine="632"/>
      </w:pPr>
      <w:r>
        <w:rPr>
          <w:rFonts w:hint="eastAsia"/>
        </w:rPr>
        <w:t>牵头单位：县自然资源局、县应急管理局</w:t>
      </w:r>
    </w:p>
    <w:p w14:paraId="37B07094">
      <w:pPr>
        <w:ind w:firstLine="632"/>
      </w:pPr>
      <w:r>
        <w:rPr>
          <w:rFonts w:hint="eastAsia"/>
        </w:rPr>
        <w:t>成员单位：县发展和改革局、县公安局、县卫生健康局、县文化广电和旅游局、事发地乡镇。</w:t>
      </w:r>
    </w:p>
    <w:p w14:paraId="66AA254B">
      <w:pPr>
        <w:ind w:firstLine="632"/>
      </w:pPr>
      <w:r>
        <w:rPr>
          <w:rFonts w:hint="eastAsia"/>
        </w:rPr>
        <w:t>主要职责：负责应急抢险综合协调及指挥部各工作组之间的协调工作。负责收集汇总灾险情、社（舆）情等信息和应急处置工作进展情况，及时向县地质灾害指挥部报告有关情况；对接相关部门和事发地党委、政府地质灾害应急处置工作；承办县突发地质灾害应急指挥会议、活动和文电工作；负责指挥部后勤保障工作。完成指挥部交办的其他任务。</w:t>
      </w:r>
    </w:p>
    <w:p w14:paraId="701167A5">
      <w:pPr>
        <w:pStyle w:val="4"/>
        <w:numPr>
          <w:ilvl w:val="2"/>
          <w:numId w:val="102"/>
        </w:numPr>
        <w:tabs>
          <w:tab w:val="left" w:pos="0"/>
        </w:tabs>
        <w:rPr>
          <w:rFonts w:ascii="仿宋_GB2312" w:hAnsi="仿宋_GB2312" w:eastAsia="仿宋_GB2312" w:cs="仿宋_GB2312"/>
        </w:rPr>
      </w:pPr>
      <w:r>
        <w:rPr>
          <w:rFonts w:hint="eastAsia" w:ascii="仿宋_GB2312" w:hAnsi="仿宋_GB2312" w:eastAsia="仿宋_GB2312" w:cs="仿宋_GB2312"/>
        </w:rPr>
        <w:t>抢险救援组</w:t>
      </w:r>
    </w:p>
    <w:p w14:paraId="5562A9A1">
      <w:pPr>
        <w:ind w:firstLine="632"/>
      </w:pPr>
      <w:r>
        <w:rPr>
          <w:rFonts w:hint="eastAsia"/>
        </w:rPr>
        <w:t>牵头单位：县应急管理局、县自然资源局</w:t>
      </w:r>
    </w:p>
    <w:p w14:paraId="33EAD0BA">
      <w:pPr>
        <w:ind w:firstLine="632"/>
      </w:pPr>
      <w:r>
        <w:rPr>
          <w:rFonts w:hint="eastAsia"/>
        </w:rPr>
        <w:t>成员单位：县公安局、团县委、县卫生健康局、县交通运输局、县消防救援大队、灾害发生现场的救援队、事发地乡镇。</w:t>
      </w:r>
    </w:p>
    <w:p w14:paraId="17A0E1AA">
      <w:pPr>
        <w:ind w:firstLine="632"/>
      </w:pPr>
      <w:r>
        <w:rPr>
          <w:rFonts w:hint="eastAsia"/>
        </w:rPr>
        <w:t>主要职责：负责人员搜救和应急抢险。负责制定抢险救援行动计划，组织各方救援队伍和力量开展人员搜救；指导事发地乡镇开展抢险救援；统筹涉及应急救援力量和志愿者队伍的组织、派遣和管理工作；组织调用、征用抢险救援装备、设备和物资，协助各类应急救援力量的后勤保障工作；采取一定期限的应急处置措施避免二次人员伤亡。完成指挥部交办的其他任务。</w:t>
      </w:r>
    </w:p>
    <w:p w14:paraId="10803E49">
      <w:pPr>
        <w:pStyle w:val="4"/>
        <w:numPr>
          <w:ilvl w:val="2"/>
          <w:numId w:val="102"/>
        </w:numPr>
        <w:tabs>
          <w:tab w:val="left" w:pos="0"/>
        </w:tabs>
        <w:rPr>
          <w:rFonts w:ascii="仿宋_GB2312" w:hAnsi="仿宋_GB2312" w:eastAsia="仿宋_GB2312" w:cs="仿宋_GB2312"/>
        </w:rPr>
      </w:pPr>
      <w:r>
        <w:rPr>
          <w:rFonts w:hint="eastAsia" w:ascii="仿宋_GB2312" w:hAnsi="仿宋_GB2312" w:eastAsia="仿宋_GB2312" w:cs="仿宋_GB2312"/>
        </w:rPr>
        <w:t>技术支撑组</w:t>
      </w:r>
    </w:p>
    <w:p w14:paraId="642366E0">
      <w:pPr>
        <w:ind w:firstLine="632"/>
      </w:pPr>
      <w:r>
        <w:rPr>
          <w:rFonts w:hint="eastAsia"/>
        </w:rPr>
        <w:t>牵头单位：县自然资源局</w:t>
      </w:r>
    </w:p>
    <w:p w14:paraId="1E71D268">
      <w:pPr>
        <w:ind w:firstLine="632"/>
      </w:pPr>
      <w:r>
        <w:rPr>
          <w:rFonts w:hint="eastAsia"/>
        </w:rPr>
        <w:t>成员单位：县教育和体育局、双鸭山市集贤生态环境局、县水务局、县交通运输局、县住房和城乡建设局、县应急管理局、县综合行政执法局、县气象局、地质灾害防治汛期驻守技术支撑单位及有关行业（单位）专家、事发地乡镇。</w:t>
      </w:r>
    </w:p>
    <w:p w14:paraId="397BE6F1">
      <w:pPr>
        <w:ind w:firstLine="632"/>
      </w:pPr>
      <w:r>
        <w:rPr>
          <w:rFonts w:hint="eastAsia"/>
        </w:rPr>
        <w:t>主要职责：负责进行灾险情动态监测、预警预报、抢险救援方案制定等技术支撑工作。组织、协调专家队伍开展地质灾害现场灾情会商研判，提供必要的抢险救援指导；开展灾害现场及周边隐患点排查巡查；指导开展灾害现场地质灾害应急监测；开展应急测绘数据支持工作；开展气象监测，做好气象风险预警；开展生态环境监测，及时提供环境监测信息；开展水情和汛情的监测；开展交通沿线、市政公用设施及周边应急排查与监测。完成指挥部交办的其他任务。</w:t>
      </w:r>
    </w:p>
    <w:p w14:paraId="36D29070">
      <w:pPr>
        <w:pStyle w:val="4"/>
        <w:numPr>
          <w:ilvl w:val="2"/>
          <w:numId w:val="102"/>
        </w:numPr>
        <w:tabs>
          <w:tab w:val="left" w:pos="0"/>
        </w:tabs>
        <w:rPr>
          <w:rFonts w:ascii="仿宋_GB2312" w:hAnsi="仿宋_GB2312" w:eastAsia="仿宋_GB2312" w:cs="仿宋_GB2312"/>
        </w:rPr>
      </w:pPr>
      <w:r>
        <w:rPr>
          <w:rFonts w:hint="eastAsia" w:ascii="仿宋_GB2312" w:hAnsi="仿宋_GB2312" w:eastAsia="仿宋_GB2312" w:cs="仿宋_GB2312"/>
        </w:rPr>
        <w:t>通信保障组</w:t>
      </w:r>
    </w:p>
    <w:p w14:paraId="46F544A5">
      <w:pPr>
        <w:ind w:firstLine="632"/>
      </w:pPr>
      <w:r>
        <w:rPr>
          <w:rFonts w:hint="eastAsia"/>
        </w:rPr>
        <w:t>牵头单位：县工业信息科技局</w:t>
      </w:r>
    </w:p>
    <w:p w14:paraId="632E9AF6">
      <w:pPr>
        <w:ind w:firstLine="632"/>
      </w:pPr>
      <w:r>
        <w:rPr>
          <w:rFonts w:hint="eastAsia"/>
        </w:rPr>
        <w:t>成员单位：县应急管理局、县公安局、县财政局、国网供电集贤分公司、铁塔集贤办事处、电信集贤分公司、移动集贤分公司、联通集贤分公司、事发地乡镇。</w:t>
      </w:r>
    </w:p>
    <w:p w14:paraId="620BF4FE">
      <w:pPr>
        <w:ind w:firstLine="632"/>
      </w:pPr>
      <w:r>
        <w:rPr>
          <w:rFonts w:hint="eastAsia"/>
        </w:rPr>
        <w:t>主要职责：负责指导电力、通信抢修和维护因灾损坏的电力和通信设施，尽快恢复灾区用电和通信；协调应急通信、电力设备，保障应急抢险救援现场通信、电力畅通。完成指挥部交办的其他任务。</w:t>
      </w:r>
    </w:p>
    <w:p w14:paraId="0EFD162F">
      <w:pPr>
        <w:pStyle w:val="4"/>
        <w:numPr>
          <w:ilvl w:val="2"/>
          <w:numId w:val="102"/>
        </w:numPr>
        <w:tabs>
          <w:tab w:val="left" w:pos="0"/>
        </w:tabs>
        <w:rPr>
          <w:rFonts w:ascii="仿宋_GB2312" w:hAnsi="仿宋_GB2312" w:eastAsia="仿宋_GB2312" w:cs="仿宋_GB2312"/>
        </w:rPr>
      </w:pPr>
      <w:r>
        <w:rPr>
          <w:rFonts w:hint="eastAsia" w:ascii="仿宋_GB2312" w:hAnsi="仿宋_GB2312" w:eastAsia="仿宋_GB2312" w:cs="仿宋_GB2312"/>
        </w:rPr>
        <w:t>交通保障组</w:t>
      </w:r>
    </w:p>
    <w:p w14:paraId="10FEF7AA">
      <w:pPr>
        <w:ind w:firstLine="632"/>
      </w:pPr>
      <w:r>
        <w:rPr>
          <w:rFonts w:hint="eastAsia"/>
        </w:rPr>
        <w:t>牵头单位：县交通运输局</w:t>
      </w:r>
    </w:p>
    <w:p w14:paraId="74C28569">
      <w:pPr>
        <w:ind w:firstLine="632"/>
      </w:pPr>
      <w:r>
        <w:rPr>
          <w:rFonts w:hint="eastAsia"/>
        </w:rPr>
        <w:t>成员单位：县工业信息科技局、县公安局、县财政局、县机关事务管理局、国网集贤供电分公司、南运集团（集贤分公司）、事发地乡镇。</w:t>
      </w:r>
    </w:p>
    <w:p w14:paraId="2705B1BD">
      <w:pPr>
        <w:ind w:firstLine="632"/>
      </w:pPr>
      <w:r>
        <w:rPr>
          <w:rFonts w:hint="eastAsia"/>
        </w:rPr>
        <w:t>主要职责：负责组织和协调应急物资、应急车辆和交通保障，落实资金保障、救援人员运送、现场安全、善后处理等，为现场与各级地质灾害指挥部、各成员单位之间的密切配合提供保障。完成指挥部交办的其他任务。</w:t>
      </w:r>
    </w:p>
    <w:p w14:paraId="43CB0246">
      <w:pPr>
        <w:pStyle w:val="4"/>
        <w:numPr>
          <w:ilvl w:val="2"/>
          <w:numId w:val="102"/>
        </w:numPr>
        <w:tabs>
          <w:tab w:val="left" w:pos="0"/>
        </w:tabs>
        <w:rPr>
          <w:rFonts w:ascii="仿宋_GB2312" w:hAnsi="仿宋_GB2312" w:eastAsia="仿宋_GB2312" w:cs="仿宋_GB2312"/>
        </w:rPr>
      </w:pPr>
      <w:r>
        <w:rPr>
          <w:rFonts w:hint="eastAsia" w:ascii="仿宋_GB2312" w:hAnsi="仿宋_GB2312" w:eastAsia="仿宋_GB2312" w:cs="仿宋_GB2312"/>
        </w:rPr>
        <w:t>调查评估组</w:t>
      </w:r>
    </w:p>
    <w:p w14:paraId="2B528530">
      <w:pPr>
        <w:ind w:firstLine="632"/>
      </w:pPr>
      <w:r>
        <w:rPr>
          <w:rFonts w:hint="eastAsia"/>
        </w:rPr>
        <w:t>牵头单位：县应急管理局、县自然资源局</w:t>
      </w:r>
    </w:p>
    <w:p w14:paraId="2E105DBD">
      <w:pPr>
        <w:ind w:firstLine="632"/>
      </w:pPr>
      <w:r>
        <w:rPr>
          <w:rFonts w:hint="eastAsia"/>
        </w:rPr>
        <w:t>成员单位：县住房和城乡建设局、县交通运输局、县水务局、县气象局、县文化广电和旅游局、县综合行政执法局、事发地乡镇。</w:t>
      </w:r>
    </w:p>
    <w:p w14:paraId="3AC3C360">
      <w:pPr>
        <w:ind w:firstLine="632"/>
      </w:pPr>
      <w:r>
        <w:rPr>
          <w:rFonts w:hint="eastAsia"/>
        </w:rPr>
        <w:t>主要职责：负责组织开展灾害体的应急调查，动态掌握灾险情状况；收集、分析相关信息，与技术支撑组会商后对灾害发展趋势进行初步预测，提出初步应急处置措施建议，汇总后报县地质灾害指挥部；负责灾情信息的收集、统计、核查和上报工作；开展灾情调查和跟踪评估；对受灾情况进行调查核实，评估灾害损失；对灾后群众救助情况进行调查评估。完成指挥部交办的其他任务。</w:t>
      </w:r>
    </w:p>
    <w:p w14:paraId="50ACA4BF">
      <w:pPr>
        <w:pStyle w:val="4"/>
        <w:numPr>
          <w:ilvl w:val="2"/>
          <w:numId w:val="102"/>
        </w:numPr>
        <w:tabs>
          <w:tab w:val="left" w:pos="0"/>
        </w:tabs>
        <w:rPr>
          <w:rFonts w:ascii="仿宋_GB2312" w:hAnsi="仿宋_GB2312" w:eastAsia="仿宋_GB2312" w:cs="仿宋_GB2312"/>
        </w:rPr>
      </w:pPr>
      <w:r>
        <w:rPr>
          <w:rFonts w:hint="eastAsia" w:ascii="仿宋_GB2312" w:hAnsi="仿宋_GB2312" w:eastAsia="仿宋_GB2312" w:cs="仿宋_GB2312"/>
        </w:rPr>
        <w:t>群众安置组</w:t>
      </w:r>
    </w:p>
    <w:p w14:paraId="6A390279">
      <w:pPr>
        <w:ind w:firstLine="632"/>
      </w:pPr>
      <w:r>
        <w:rPr>
          <w:rFonts w:hint="eastAsia"/>
        </w:rPr>
        <w:t>牵头单位：县应急管理局</w:t>
      </w:r>
    </w:p>
    <w:p w14:paraId="0668D810">
      <w:pPr>
        <w:ind w:firstLine="632"/>
      </w:pPr>
      <w:r>
        <w:rPr>
          <w:rFonts w:hint="eastAsia"/>
        </w:rPr>
        <w:t>成员单位：县发展和改革局、县财政局、县住房和城乡建设局、县工业信息科技局、县自然资源局、县水务局、县农业农村局、县卫生健康局、县乡村振兴局、团县委、事发地乡镇。</w:t>
      </w:r>
    </w:p>
    <w:p w14:paraId="0E9F2F66">
      <w:pPr>
        <w:ind w:firstLine="632"/>
      </w:pPr>
      <w:r>
        <w:rPr>
          <w:rFonts w:hint="eastAsia"/>
        </w:rPr>
        <w:t>主要职责：负责灾害发生地群众紧急转移安置和基本生活保障。组织疏散、转移和临时安置受灾人员；对安置场所进行灾害风险评估，确保安全；开辟紧急避难场所，设置集中安置点，调拨帐篷、衣被、食品、饮用水等救灾物资，保障受灾群众吃饭、穿衣、饮水、住处等基本生活需求。鼓励采取投亲靠友等方式，广泛动员社会力量安置受灾群众。完成指挥部交办的其他任务。</w:t>
      </w:r>
    </w:p>
    <w:p w14:paraId="0991C1A3">
      <w:pPr>
        <w:pStyle w:val="4"/>
        <w:numPr>
          <w:ilvl w:val="2"/>
          <w:numId w:val="102"/>
        </w:numPr>
        <w:tabs>
          <w:tab w:val="left" w:pos="0"/>
        </w:tabs>
        <w:rPr>
          <w:rFonts w:ascii="仿宋_GB2312" w:hAnsi="仿宋_GB2312" w:eastAsia="仿宋_GB2312" w:cs="仿宋_GB2312"/>
        </w:rPr>
      </w:pPr>
      <w:r>
        <w:rPr>
          <w:rFonts w:hint="eastAsia" w:ascii="仿宋_GB2312" w:hAnsi="仿宋_GB2312" w:eastAsia="仿宋_GB2312" w:cs="仿宋_GB2312"/>
        </w:rPr>
        <w:t>医疗救治组</w:t>
      </w:r>
    </w:p>
    <w:p w14:paraId="1D7727B5">
      <w:pPr>
        <w:ind w:firstLine="632"/>
      </w:pPr>
      <w:r>
        <w:rPr>
          <w:rFonts w:hint="eastAsia"/>
        </w:rPr>
        <w:t>牵头单位：县卫生健康局</w:t>
      </w:r>
    </w:p>
    <w:p w14:paraId="49DC6B39">
      <w:pPr>
        <w:ind w:firstLine="632"/>
      </w:pPr>
      <w:r>
        <w:rPr>
          <w:rFonts w:hint="eastAsia"/>
        </w:rPr>
        <w:t>成员单位：县公安局、县交通运输局、县应急管理局及相关单位，事发地乡镇。</w:t>
      </w:r>
    </w:p>
    <w:p w14:paraId="04F81B16">
      <w:pPr>
        <w:ind w:firstLine="632"/>
      </w:pPr>
      <w:r>
        <w:rPr>
          <w:rFonts w:hint="eastAsia"/>
        </w:rPr>
        <w:t>主要职责：负责医疗救治和卫生防疫工作。抢救和转送受伤群众，必要时建立医疗点，实施现场救治；加强救护车、医疗器械、药品等医疗物资的组织调度；及时向现场指挥部报告人员伤亡和救援情况；做好灾害发生地疾病预防控制和卫生监督工作，预防和有效控制传染病的暴发流行和食物中毒等突发公共卫生事件的发生。完成指挥部交办的其他任务。</w:t>
      </w:r>
    </w:p>
    <w:p w14:paraId="491B038A">
      <w:pPr>
        <w:pStyle w:val="4"/>
        <w:numPr>
          <w:ilvl w:val="2"/>
          <w:numId w:val="102"/>
        </w:numPr>
        <w:tabs>
          <w:tab w:val="left" w:pos="0"/>
        </w:tabs>
        <w:rPr>
          <w:rFonts w:ascii="仿宋_GB2312" w:hAnsi="仿宋_GB2312" w:eastAsia="仿宋_GB2312" w:cs="仿宋_GB2312"/>
        </w:rPr>
      </w:pPr>
      <w:r>
        <w:rPr>
          <w:rFonts w:hint="eastAsia" w:ascii="仿宋_GB2312" w:hAnsi="仿宋_GB2312" w:eastAsia="仿宋_GB2312" w:cs="仿宋_GB2312"/>
        </w:rPr>
        <w:t>善后处置组</w:t>
      </w:r>
    </w:p>
    <w:p w14:paraId="495CB141">
      <w:pPr>
        <w:ind w:firstLine="632"/>
      </w:pPr>
      <w:r>
        <w:rPr>
          <w:rFonts w:hint="eastAsia"/>
        </w:rPr>
        <w:t>牵头单位：县自然资源局、县应急管理局</w:t>
      </w:r>
    </w:p>
    <w:p w14:paraId="68C96737">
      <w:pPr>
        <w:ind w:firstLine="632"/>
      </w:pPr>
      <w:r>
        <w:rPr>
          <w:rFonts w:hint="eastAsia"/>
        </w:rPr>
        <w:t>成员单位：县住房和城乡建设局、县财政局、县工业信息科技局、县教育和体育局、县水务局、县农业农村局、县卫生健康局、县民政局、县综合行政执法局、县交通运输局、事发地乡镇。</w:t>
      </w:r>
    </w:p>
    <w:p w14:paraId="7B1D279B">
      <w:pPr>
        <w:ind w:firstLine="632"/>
      </w:pPr>
      <w:r>
        <w:rPr>
          <w:rFonts w:hint="eastAsia"/>
        </w:rPr>
        <w:t>主要职责：负责开展灾后重建和灾后生产恢复相关工作，负责完成灾后群众回迁，市政公用工程恢复，电力、通信、交通的恢复等工作，负责指导灾后恢复重建工程建设质量安全监督，指导灾后重建和灾后生产恢复的经费分配及使用，监督和管理修复受损校舍、应急调配教学资源，妥善解决灾区学生的就学问题。完成指挥部交办的其他任务。</w:t>
      </w:r>
    </w:p>
    <w:p w14:paraId="501F5B81">
      <w:pPr>
        <w:pStyle w:val="4"/>
        <w:numPr>
          <w:ilvl w:val="2"/>
          <w:numId w:val="102"/>
        </w:numPr>
        <w:tabs>
          <w:tab w:val="left" w:pos="0"/>
        </w:tabs>
        <w:rPr>
          <w:rFonts w:ascii="仿宋_GB2312" w:hAnsi="仿宋_GB2312" w:eastAsia="仿宋_GB2312" w:cs="仿宋_GB2312"/>
        </w:rPr>
      </w:pPr>
      <w:r>
        <w:rPr>
          <w:rFonts w:hint="eastAsia" w:ascii="仿宋_GB2312" w:hAnsi="仿宋_GB2312" w:eastAsia="仿宋_GB2312" w:cs="仿宋_GB2312"/>
        </w:rPr>
        <w:t>社会治安组</w:t>
      </w:r>
    </w:p>
    <w:p w14:paraId="7BD3ED61">
      <w:pPr>
        <w:ind w:firstLine="632"/>
      </w:pPr>
      <w:r>
        <w:rPr>
          <w:rFonts w:hint="eastAsia"/>
        </w:rPr>
        <w:t>牵头单位：县公安局</w:t>
      </w:r>
    </w:p>
    <w:p w14:paraId="1A0817C7">
      <w:pPr>
        <w:ind w:firstLine="632"/>
      </w:pPr>
      <w:r>
        <w:rPr>
          <w:rFonts w:hint="eastAsia"/>
        </w:rPr>
        <w:t>成员单位：事发地乡镇。</w:t>
      </w:r>
    </w:p>
    <w:p w14:paraId="7ADC413E">
      <w:pPr>
        <w:ind w:firstLine="632"/>
      </w:pPr>
      <w:r>
        <w:rPr>
          <w:rFonts w:hint="eastAsia"/>
        </w:rPr>
        <w:t>主要职责：负责灾害发生地社会秩序稳定。开展灾区的社会治安维稳工作，预防和打击各类犯罪活动，预防和处置群体事件；开展灾害现场指挥部、党政机关、要害部门、金融单位、避难和临时安置等重要目标安全保卫工作。完成指挥部交办的其他任务。</w:t>
      </w:r>
    </w:p>
    <w:p w14:paraId="6A4A0EA5">
      <w:pPr>
        <w:pStyle w:val="4"/>
        <w:numPr>
          <w:ilvl w:val="2"/>
          <w:numId w:val="102"/>
        </w:numPr>
        <w:tabs>
          <w:tab w:val="left" w:pos="0"/>
        </w:tabs>
        <w:rPr>
          <w:rFonts w:ascii="仿宋_GB2312" w:hAnsi="仿宋_GB2312" w:eastAsia="仿宋_GB2312" w:cs="仿宋_GB2312"/>
        </w:rPr>
      </w:pPr>
      <w:r>
        <w:rPr>
          <w:rFonts w:hint="eastAsia" w:ascii="仿宋_GB2312" w:hAnsi="仿宋_GB2312" w:eastAsia="仿宋_GB2312" w:cs="仿宋_GB2312"/>
        </w:rPr>
        <w:t>宣传舆情组</w:t>
      </w:r>
    </w:p>
    <w:p w14:paraId="2CF2FD31">
      <w:pPr>
        <w:ind w:firstLine="632"/>
      </w:pPr>
      <w:r>
        <w:rPr>
          <w:rFonts w:hint="eastAsia"/>
        </w:rPr>
        <w:t>牵头单位：县委宣传部</w:t>
      </w:r>
    </w:p>
    <w:p w14:paraId="2F3850C8">
      <w:pPr>
        <w:ind w:firstLine="632"/>
      </w:pPr>
      <w:r>
        <w:rPr>
          <w:rFonts w:hint="eastAsia"/>
        </w:rPr>
        <w:t>成员单位：县网信办、县文化广电和旅游局、县应急管理局、县卫生健康局、团县委、县气象局、事发地乡镇。</w:t>
      </w:r>
    </w:p>
    <w:p w14:paraId="3270E570">
      <w:pPr>
        <w:ind w:firstLine="632"/>
      </w:pPr>
      <w:r>
        <w:rPr>
          <w:rFonts w:hint="eastAsia"/>
        </w:rPr>
        <w:t>主要职责：负责新闻宣传和舆情监管的组织协调工作。负责组织开展灾险情和抢险救援行动新闻宣传报道，组织召开新闻发布会；加强舆情收集分析，开展舆情监测、研判和引导工作；组织开展对灾区群众的防灾减灾、卫生防疫等方面的科普宣传和安全提示工作；做好现场新闻媒体服务管理工作。完成指挥部交办的其他任务。</w:t>
      </w:r>
    </w:p>
    <w:p w14:paraId="5CA9A20D">
      <w:pPr>
        <w:pStyle w:val="3"/>
      </w:pPr>
      <w:bookmarkStart w:id="446" w:name="_Toc31237"/>
      <w:r>
        <w:rPr>
          <w:rFonts w:hint="eastAsia"/>
        </w:rPr>
        <w:t>成员单位工作职责</w:t>
      </w:r>
      <w:bookmarkEnd w:id="446"/>
    </w:p>
    <w:p w14:paraId="4B23B1EB">
      <w:pPr>
        <w:ind w:firstLine="634"/>
      </w:pPr>
      <w:r>
        <w:rPr>
          <w:rFonts w:hint="eastAsia"/>
          <w:b/>
          <w:bCs/>
        </w:rPr>
        <w:t>县自然资源局</w:t>
      </w:r>
      <w:r>
        <w:rPr>
          <w:rFonts w:hint="eastAsia"/>
        </w:rPr>
        <w:t>：负责承担指挥部办公室日常工作。负责全县地质灾害防治工作。负责协助指导各地对一般突发地质灾害事件的处置工作。负责指导各乡镇做好矿山开采等生产活动地质灾害防治工作的组织实施。负责承担地质灾害应急处置的技术保障工作。负责组织做好威胁城镇居民和乡村农户安全的地质灾害防治工作；落实综合防灾减灾规划相关要求，组织编制并实施地质灾害防治规划和防护标准；组织、指导、协调和监督地质灾害调查评价及隐患的普查、详查、排查；组织、指导开展群测群防、专业监测和预报预警等工作，组织、指导开展地质灾害工程治理工作；负责编制完善集贤县突发地质灾害应急预案；组织开展地质灾害防灾避险演练和宣传培训。认真完成指挥部交办的其他防灾减灾救灾任务。</w:t>
      </w:r>
    </w:p>
    <w:p w14:paraId="6BF576BA">
      <w:pPr>
        <w:ind w:firstLine="634"/>
      </w:pPr>
      <w:r>
        <w:rPr>
          <w:rFonts w:hint="eastAsia"/>
          <w:b/>
          <w:bCs/>
        </w:rPr>
        <w:t>县应急管理局：</w:t>
      </w:r>
      <w:r>
        <w:rPr>
          <w:rFonts w:hint="eastAsia"/>
        </w:rPr>
        <w:t>负责达到相应级别后突发地质灾害事件的应急抢险救援工作。负责协助做好指挥部办公室日常工作。负责协助指导各地对一般突发地质灾害事件的处置工作。负责协助编制完善集贤县突发地质灾害应急预案；组织开展应急演练；负责组织协调灾区受灾群众转移安置、灾后救助和基本生活保障。完成指挥部交办的其他防灾减灾救灾任务。</w:t>
      </w:r>
    </w:p>
    <w:p w14:paraId="077A9946">
      <w:pPr>
        <w:ind w:firstLine="634"/>
      </w:pPr>
      <w:r>
        <w:rPr>
          <w:rFonts w:hint="eastAsia"/>
          <w:b/>
          <w:bCs/>
        </w:rPr>
        <w:t>县发展和改革局：</w:t>
      </w:r>
      <w:r>
        <w:rPr>
          <w:rFonts w:hint="eastAsia"/>
        </w:rPr>
        <w:t>负责组织协调本领域地质灾害防治的实施工作；负责协调各部门开展应急粮食和物资的储备、保障、调运等相关工作；按有关规定牵头开展或指导灾后恢复重建工作。完成指挥部交办的其他防灾减灾救灾任务。</w:t>
      </w:r>
    </w:p>
    <w:p w14:paraId="0330F015">
      <w:pPr>
        <w:ind w:firstLine="634"/>
      </w:pPr>
      <w:r>
        <w:rPr>
          <w:rFonts w:hint="eastAsia"/>
          <w:b/>
          <w:bCs/>
        </w:rPr>
        <w:t>县工业信息科技局</w:t>
      </w:r>
      <w:r>
        <w:rPr>
          <w:rFonts w:hint="eastAsia"/>
        </w:rPr>
        <w:t>：负责组织协调工业企业等生产活动地质灾害防治的实施工作；负责协调灾害发生地工业企业配合支持应急抢险，协助做好灾区通信组网、通信设施恢复、电力设施恢复等工作。完成指挥部交办的其他防灾减灾救灾任务。</w:t>
      </w:r>
    </w:p>
    <w:p w14:paraId="1C214D37">
      <w:pPr>
        <w:ind w:firstLine="634"/>
      </w:pPr>
      <w:r>
        <w:rPr>
          <w:rFonts w:hint="eastAsia"/>
          <w:b/>
          <w:bCs/>
        </w:rPr>
        <w:t>县教育和体育局：</w:t>
      </w:r>
      <w:r>
        <w:rPr>
          <w:rFonts w:hint="eastAsia"/>
        </w:rPr>
        <w:t>负责组织协调危及学校的地质灾害防治的实施工作；负责指导、督促和帮助灾区政府疏散、转移学校师生、修复受损校舍、应急调配教学资源，妥善解决灾区学生的就学问题；负责指导学校开展学生防灾减灾知识宣传教育工作。完成指挥部交办的其他防灾减灾救灾任务。</w:t>
      </w:r>
    </w:p>
    <w:p w14:paraId="4B5B08EB">
      <w:pPr>
        <w:ind w:firstLine="634"/>
      </w:pPr>
      <w:r>
        <w:rPr>
          <w:rFonts w:hint="eastAsia"/>
          <w:b/>
          <w:bCs/>
        </w:rPr>
        <w:t>县公安局：</w:t>
      </w:r>
      <w:r>
        <w:rPr>
          <w:rFonts w:hint="eastAsia"/>
        </w:rPr>
        <w:t>负责组织协调本领域地质灾害防治的实施工作；负责指导协助灾区加强治安管理工作，协助维护社会治安和道路交通秩序；预防和处置群体事件，维护社会稳定；指导开展灾害现场指挥部领导安全保卫工作；协助遇险人员搜救，对遇难人员身份进行鉴定；动员受灾害威胁的居民以及其他人员疏散。完成指挥部交办的其他防灾减灾救灾任务。</w:t>
      </w:r>
    </w:p>
    <w:p w14:paraId="1B242141">
      <w:pPr>
        <w:ind w:firstLine="634"/>
      </w:pPr>
      <w:r>
        <w:rPr>
          <w:rFonts w:hint="eastAsia"/>
          <w:b/>
          <w:bCs/>
        </w:rPr>
        <w:t>县财政局：</w:t>
      </w:r>
      <w:r>
        <w:rPr>
          <w:rFonts w:hint="eastAsia"/>
        </w:rPr>
        <w:t>按照财政事权和支出责任划分改革的有关要求，提出防治与应急救灾补助资金的筹集和落实意见；负责对应急处置、灾后重建和灾后生产恢复等重要事项的经费分配及使用进行指导、监督和管理。</w:t>
      </w:r>
    </w:p>
    <w:p w14:paraId="65BEC8A1">
      <w:pPr>
        <w:ind w:firstLine="634"/>
      </w:pPr>
      <w:r>
        <w:rPr>
          <w:rFonts w:hint="eastAsia"/>
          <w:b/>
          <w:bCs/>
        </w:rPr>
        <w:t>县住房和城乡建设局：</w:t>
      </w:r>
      <w:r>
        <w:rPr>
          <w:rFonts w:hint="eastAsia"/>
        </w:rPr>
        <w:t>负责对受灾构筑物损坏程度进行评估，提供经济损失情况；采取有效措施，消除可能影响构筑物安全的灾害隐患；负责指导抢修和评估受损毁构筑物，为受灾群众提供必要安全保障；负责指导灾后恢复重建工程建设质量安全监督。完成指挥部交办的其他防灾减灾救灾任务。</w:t>
      </w:r>
    </w:p>
    <w:p w14:paraId="69DEFC45">
      <w:pPr>
        <w:ind w:firstLine="634"/>
      </w:pPr>
      <w:r>
        <w:rPr>
          <w:rFonts w:hint="eastAsia"/>
          <w:b/>
          <w:bCs/>
        </w:rPr>
        <w:t>县交通运输局：</w:t>
      </w:r>
      <w:r>
        <w:rPr>
          <w:rFonts w:hint="eastAsia"/>
        </w:rPr>
        <w:t>负责组织协调公路（乡道、村道由乡镇、村负责）、航道沿线危及交通设施和通行安全的地质灾害防治的实施工作；及时收集报送交通设施受损情况；及时组织协调抢修损毁的公路交通设施，确保公路畅通；组织协调应急运力，配合有关部门做好救灾人员、物资的运输工作。完成指挥部交办的其他防灾减灾救灾任务。</w:t>
      </w:r>
    </w:p>
    <w:p w14:paraId="73CC6B35">
      <w:pPr>
        <w:ind w:firstLine="634"/>
      </w:pPr>
      <w:r>
        <w:rPr>
          <w:rFonts w:hint="eastAsia"/>
          <w:b/>
          <w:bCs/>
        </w:rPr>
        <w:t>县农业农村局：</w:t>
      </w:r>
      <w:r>
        <w:rPr>
          <w:rFonts w:hint="eastAsia"/>
        </w:rPr>
        <w:t>负责组织协调本领域地质灾害防治的实施工作；协助开展灾后重建和灾后生产恢复相关工作。完成指挥部交办的其他防灾减灾救灾任务。</w:t>
      </w:r>
    </w:p>
    <w:p w14:paraId="0215B773">
      <w:pPr>
        <w:ind w:firstLine="634"/>
      </w:pPr>
      <w:r>
        <w:rPr>
          <w:rFonts w:hint="eastAsia"/>
          <w:b/>
          <w:bCs/>
        </w:rPr>
        <w:t>双鸭山市集贤生态环境局：</w:t>
      </w:r>
      <w:r>
        <w:rPr>
          <w:rFonts w:hint="eastAsia"/>
        </w:rPr>
        <w:t>负责组织协调本领域地质灾害防治的实施工作；负责对灾区现场生态环境监测，及时提供环境监测信息；负责地质灾害引发环境污染次生灾害的紧急处置工作。完成指挥部交办的其他防灾减灾救灾任务。</w:t>
      </w:r>
    </w:p>
    <w:p w14:paraId="3FA00372">
      <w:pPr>
        <w:ind w:firstLine="634"/>
      </w:pPr>
      <w:r>
        <w:rPr>
          <w:rFonts w:hint="eastAsia"/>
          <w:b/>
          <w:bCs/>
        </w:rPr>
        <w:t>县水务局：</w:t>
      </w:r>
      <w:r>
        <w:rPr>
          <w:rFonts w:hint="eastAsia"/>
        </w:rPr>
        <w:t>负责组织协调河道、水利设施及周边地质灾害防治的实施工作；负责水利设施建设过程可能诱发地质灾害的防治和水利工程管护范围内的地质灾害防治工作的组织指导；负责水情汛情的监测预警预报。完成指挥部交办的其他防灾减灾救灾任务。</w:t>
      </w:r>
    </w:p>
    <w:p w14:paraId="45A3C8B5">
      <w:pPr>
        <w:ind w:firstLine="634"/>
      </w:pPr>
      <w:r>
        <w:rPr>
          <w:rFonts w:hint="eastAsia"/>
          <w:b/>
          <w:bCs/>
        </w:rPr>
        <w:t>县卫生健康局：</w:t>
      </w:r>
      <w:r>
        <w:rPr>
          <w:rFonts w:hint="eastAsia"/>
        </w:rPr>
        <w:t>负责组织协调医院等医疗机构周边地质灾害防治的实施工作；负责组织、指挥、协调医疗卫生机构和医疗卫生救援队伍开展伤员救治和卫生防疫等工作，及时救治伤员防止灾区发生重大传染病疫情等突发公共卫生事件，为灾区群众提供医疗保障和精神、心理、卫生健康咨询服务，根据灾情需要，做好药品、医疗器械供应协调工作；协调县内外有关医疗机构及时接收危重伤员；指挥和协调县内外、境外医学救援队伍及时开展伤员救治工作。完成指挥部交办的其他防灾减灾救灾任务。</w:t>
      </w:r>
    </w:p>
    <w:p w14:paraId="13D89584">
      <w:pPr>
        <w:ind w:firstLine="634"/>
      </w:pPr>
      <w:r>
        <w:rPr>
          <w:rFonts w:hint="eastAsia"/>
          <w:b/>
          <w:bCs/>
        </w:rPr>
        <w:t>县文化广电和旅游局：</w:t>
      </w:r>
      <w:r>
        <w:rPr>
          <w:rFonts w:hint="eastAsia"/>
        </w:rPr>
        <w:t>负责组织协调危及文化旅游领域地质灾害防治的实施工作；协调指导A级旅游景区及时启动应急预案，做好游客疏散工作;监督A级旅游景区内地质灾害进行排查监测和治理，及时协调相关部门抢修损毁的旅游基础设施和旅游服务设施。完成指挥部交办的其他防灾减灾救灾任务。</w:t>
      </w:r>
    </w:p>
    <w:p w14:paraId="2E484EB9">
      <w:pPr>
        <w:ind w:firstLine="634"/>
      </w:pPr>
      <w:r>
        <w:rPr>
          <w:rFonts w:hint="eastAsia"/>
          <w:b/>
          <w:bCs/>
        </w:rPr>
        <w:t>县乡村振兴局：</w:t>
      </w:r>
      <w:r>
        <w:rPr>
          <w:rFonts w:hint="eastAsia"/>
        </w:rPr>
        <w:t>负责组织协调扶贫和移民领域地质灾害防治的实施工作；负责扶贫开发和移民安置、后期扶持政策宣传工作；组织安置群众生产技能和劳动力培训。完成指挥部交办的其他防灾减灾救灾任务。</w:t>
      </w:r>
    </w:p>
    <w:p w14:paraId="0D52BD00">
      <w:pPr>
        <w:ind w:firstLine="634"/>
      </w:pPr>
      <w:r>
        <w:rPr>
          <w:rFonts w:hint="eastAsia"/>
          <w:b/>
          <w:bCs/>
        </w:rPr>
        <w:t>县气象局：</w:t>
      </w:r>
      <w:r>
        <w:rPr>
          <w:rFonts w:hint="eastAsia"/>
        </w:rPr>
        <w:t>负责组织协调本领域地质灾害防治的实施工作；负责提供地质灾害预警预报所需的气象资料信息，与自然资源和规划部门联合发布地质灾害气象风险预警；加强灾害发生地气象监测预报，为灾害的救援处置提供气象信息保障。完成指挥部交办的其他防灾减灾救灾任务。</w:t>
      </w:r>
    </w:p>
    <w:p w14:paraId="480C114C">
      <w:pPr>
        <w:ind w:firstLine="634"/>
      </w:pPr>
      <w:r>
        <w:rPr>
          <w:rFonts w:hint="eastAsia"/>
          <w:b/>
          <w:bCs/>
        </w:rPr>
        <w:t>县委宣传部：</w:t>
      </w:r>
      <w:r>
        <w:rPr>
          <w:rFonts w:hint="eastAsia"/>
        </w:rPr>
        <w:t>负责组织协调开展地质灾害防治、突发地质灾害灾情和抢险救援行动新闻宣传报道、舆论引导等工作，及时发布信息，回应社会关切。负责组织协调突发地质灾害网络舆情管控工作，指导相关单位（部门）做好舆情监测、上报、研判、处置工作。完成指挥部交办的其他防灾减灾救灾任务。</w:t>
      </w:r>
    </w:p>
    <w:p w14:paraId="5EE5BC4A">
      <w:pPr>
        <w:ind w:firstLine="634"/>
      </w:pPr>
      <w:r>
        <w:rPr>
          <w:rFonts w:hint="eastAsia"/>
          <w:b/>
          <w:bCs/>
        </w:rPr>
        <w:t>团县委：</w:t>
      </w:r>
      <w:r>
        <w:rPr>
          <w:rFonts w:hint="eastAsia"/>
        </w:rPr>
        <w:t>积极指导各乡镇基层团组织开展工作；加强团组织建设，提高团建工作水平和团组织战斗力；认真完成指挥部交办的其他防灾减灾救灾任务。</w:t>
      </w:r>
    </w:p>
    <w:p w14:paraId="21560957">
      <w:pPr>
        <w:ind w:firstLine="634"/>
      </w:pPr>
      <w:r>
        <w:rPr>
          <w:rFonts w:hint="eastAsia"/>
          <w:b/>
          <w:bCs/>
        </w:rPr>
        <w:t>县消防救援大队</w:t>
      </w:r>
      <w:r>
        <w:rPr>
          <w:rFonts w:hint="eastAsia"/>
        </w:rPr>
        <w:t>：按照县地质灾害指挥部统一部署安排，参与以抢救人员生命安全为主的应急救援工作。认真完成指挥部交办的其他防灾减灾救灾任务。</w:t>
      </w:r>
    </w:p>
    <w:p w14:paraId="3141AFAC">
      <w:pPr>
        <w:ind w:firstLine="634"/>
      </w:pPr>
      <w:r>
        <w:rPr>
          <w:rFonts w:hint="eastAsia"/>
          <w:b/>
          <w:bCs/>
        </w:rPr>
        <w:t>铁塔集贤办事处、电信集贤分公司、移动集贤分公司、联通集贤分公司：</w:t>
      </w:r>
      <w:r>
        <w:rPr>
          <w:rFonts w:hint="eastAsia"/>
        </w:rPr>
        <w:t>负责组织协调本领域地质灾害防治的实施工作；负责组织协调灾区通信应急保障工作，尽快恢复被破坏的通信设施。认真完成指挥部交办的其他防灾减灾救灾任务。</w:t>
      </w:r>
    </w:p>
    <w:p w14:paraId="0B2FDD14">
      <w:pPr>
        <w:ind w:firstLine="634"/>
      </w:pPr>
      <w:r>
        <w:rPr>
          <w:rFonts w:hint="eastAsia"/>
          <w:b/>
          <w:bCs/>
        </w:rPr>
        <w:t>福利屯火车站</w:t>
      </w:r>
      <w:r>
        <w:rPr>
          <w:rFonts w:hint="eastAsia"/>
        </w:rPr>
        <w:t>：负责组织协调危害铁路安全地质灾害防治的实施工作；组织运力做好抢险救援人员、物资运输工作。认真完成指挥部交办的其他防灾减灾救灾任务。</w:t>
      </w:r>
    </w:p>
    <w:p w14:paraId="779ACB7A">
      <w:pPr>
        <w:ind w:firstLine="634"/>
      </w:pPr>
      <w:r>
        <w:rPr>
          <w:rFonts w:hint="eastAsia"/>
          <w:b/>
          <w:bCs/>
        </w:rPr>
        <w:t>国网供电集贤分公司：</w:t>
      </w:r>
      <w:r>
        <w:rPr>
          <w:rFonts w:hint="eastAsia"/>
        </w:rPr>
        <w:t>负责组织协调对危及电力设施地质灾害防治的实施工作；负责组织、协调灾区电力企业尽快恢复受到破坏的电力设施，确保灾区地质灾害应急指挥救援正常用电；保障灾区群众生产生活用电需求。认真完成指挥部交办的其他防灾减灾救灾任务。工程建设项目相应的行政主管部门要指导和督促工程建设项目业主单位做好本领域工程建设项目地质灾害防治工作。其他有关部门按照职责分工负责做好本领域地质灾害防治工作，积极参与救援工作。</w:t>
      </w:r>
    </w:p>
    <w:p w14:paraId="55CADBE4">
      <w:pPr>
        <w:pStyle w:val="3"/>
      </w:pPr>
      <w:bookmarkStart w:id="447" w:name="_Toc8673"/>
      <w:r>
        <w:rPr>
          <w:rFonts w:hint="eastAsia"/>
        </w:rPr>
        <w:t>其他应急指挥机构</w:t>
      </w:r>
      <w:bookmarkEnd w:id="447"/>
    </w:p>
    <w:p w14:paraId="76943560">
      <w:pPr>
        <w:ind w:firstLine="632"/>
      </w:pPr>
      <w:r>
        <w:rPr>
          <w:rFonts w:hint="eastAsia"/>
        </w:rPr>
        <w:t>各乡镇设立同级地质灾害指挥机构，负责组织指导协调区域内突发地质灾害事件的应对处置工作。</w:t>
      </w:r>
    </w:p>
    <w:p w14:paraId="7987FCDE">
      <w:pPr>
        <w:pStyle w:val="2"/>
        <w:numPr>
          <w:ilvl w:val="0"/>
          <w:numId w:val="102"/>
        </w:numPr>
        <w:tabs>
          <w:tab w:val="left" w:pos="0"/>
        </w:tabs>
        <w:rPr>
          <w:sz w:val="32"/>
          <w:szCs w:val="32"/>
        </w:rPr>
      </w:pPr>
      <w:bookmarkStart w:id="448" w:name="_Toc9353"/>
      <w:r>
        <w:rPr>
          <w:rFonts w:hint="eastAsia"/>
          <w:sz w:val="32"/>
          <w:szCs w:val="32"/>
        </w:rPr>
        <w:t>预防和预警机制</w:t>
      </w:r>
      <w:bookmarkEnd w:id="448"/>
    </w:p>
    <w:p w14:paraId="34D2E146">
      <w:pPr>
        <w:pStyle w:val="3"/>
      </w:pPr>
      <w:bookmarkStart w:id="449" w:name="_Toc27723"/>
      <w:r>
        <w:rPr>
          <w:rFonts w:hint="eastAsia"/>
        </w:rPr>
        <w:t>预报预警信息</w:t>
      </w:r>
      <w:bookmarkEnd w:id="449"/>
    </w:p>
    <w:p w14:paraId="317C3938">
      <w:pPr>
        <w:pStyle w:val="4"/>
        <w:numPr>
          <w:ilvl w:val="2"/>
          <w:numId w:val="102"/>
        </w:numPr>
        <w:tabs>
          <w:tab w:val="left" w:pos="0"/>
        </w:tabs>
        <w:rPr>
          <w:rFonts w:ascii="仿宋_GB2312" w:hAnsi="仿宋_GB2312" w:eastAsia="仿宋_GB2312" w:cs="仿宋_GB2312"/>
        </w:rPr>
      </w:pPr>
      <w:r>
        <w:rPr>
          <w:rFonts w:hint="eastAsia" w:ascii="仿宋_GB2312" w:hAnsi="仿宋_GB2312" w:eastAsia="仿宋_GB2312" w:cs="仿宋_GB2312"/>
        </w:rPr>
        <w:t>监测预警体系建设</w:t>
      </w:r>
    </w:p>
    <w:p w14:paraId="530A12F6">
      <w:pPr>
        <w:ind w:firstLine="632"/>
      </w:pPr>
      <w:r>
        <w:rPr>
          <w:rFonts w:hint="eastAsia"/>
        </w:rPr>
        <w:t>各乡镇人民政府要加快建立以预防为主的地质灾害监测预警体系，开展地质灾害调查，编制地质灾害防治规划，建设地质灾害群测群防网络和专业监测网络，配备专职监测人员和专业监测设备，逐步完善“群专结合”“人技结合”的地质灾害监测体系，形成覆盖全县的地质灾害监测预警网络。地质灾害易发区各乡镇及有关部门（单位）要建立健全突发地质灾害监测制度，整合监测信息资源，完善信息资源获取和共享机制。</w:t>
      </w:r>
    </w:p>
    <w:p w14:paraId="05848E28">
      <w:pPr>
        <w:pStyle w:val="4"/>
        <w:numPr>
          <w:ilvl w:val="2"/>
          <w:numId w:val="102"/>
        </w:numPr>
        <w:tabs>
          <w:tab w:val="left" w:pos="0"/>
        </w:tabs>
        <w:rPr>
          <w:rFonts w:ascii="仿宋_GB2312" w:hAnsi="仿宋_GB2312" w:eastAsia="仿宋_GB2312" w:cs="仿宋_GB2312"/>
        </w:rPr>
      </w:pPr>
      <w:r>
        <w:rPr>
          <w:rFonts w:hint="eastAsia" w:ascii="仿宋_GB2312" w:hAnsi="仿宋_GB2312" w:eastAsia="仿宋_GB2312" w:cs="仿宋_GB2312"/>
        </w:rPr>
        <w:t>编制年度地质灾害防治方案</w:t>
      </w:r>
    </w:p>
    <w:p w14:paraId="683EE28D">
      <w:pPr>
        <w:ind w:firstLine="632"/>
      </w:pPr>
      <w:r>
        <w:rPr>
          <w:rFonts w:hint="eastAsia"/>
        </w:rPr>
        <w:t>县自然资源局会同县住建局、县水务局、县气象局、县交通运输局和县应急管理局等部门依据地质灾害防治规划，拟订年度地质灾害防治方案，报县人民政府批准后公布实施。年度地质灾害防治方案要标明辖区内主要地质灾害隐患点的分布，说明主要灾害点的威胁对象和范围，明确重点防范期和重点防范区域，制订具体有效的地质灾害防治措施，确定地质灾害的监测责任人及专职监测员联络方式。</w:t>
      </w:r>
    </w:p>
    <w:p w14:paraId="6010A523">
      <w:pPr>
        <w:pStyle w:val="4"/>
        <w:numPr>
          <w:ilvl w:val="2"/>
          <w:numId w:val="102"/>
        </w:numPr>
        <w:tabs>
          <w:tab w:val="left" w:pos="0"/>
        </w:tabs>
        <w:rPr>
          <w:rFonts w:ascii="仿宋_GB2312" w:hAnsi="仿宋_GB2312" w:eastAsia="仿宋_GB2312" w:cs="仿宋_GB2312"/>
        </w:rPr>
      </w:pPr>
      <w:r>
        <w:rPr>
          <w:rFonts w:hint="eastAsia" w:ascii="仿宋_GB2312" w:hAnsi="仿宋_GB2312" w:eastAsia="仿宋_GB2312" w:cs="仿宋_GB2312"/>
        </w:rPr>
        <w:t>巡查和排查地质灾害险情</w:t>
      </w:r>
    </w:p>
    <w:p w14:paraId="22C0EF09">
      <w:pPr>
        <w:ind w:firstLine="632"/>
      </w:pPr>
      <w:r>
        <w:rPr>
          <w:rFonts w:hint="eastAsia"/>
        </w:rPr>
        <w:t>地质灾害易发区内的乡镇要建立健全地质灾害隐患巡查制度，充分发挥专业队伍和地质灾害群测群防网络的作用，组织开展地质灾害隐患的汛（雨）前排查、汛（雨）中巡查和汛（雨）后核查，遇有破坏性地震发生应及时巡查，及时发现和防范地质灾害隐患；对可能威胁城镇、学校、医院、集市、村庄、农家乐、旅游景区等人口密集区域的地质灾害隐患点，要组织力量进行调查评价，查明其成因、危害程度，制定相应监测和防范措施。县地质灾害指挥部和有关部门（单位）要加强对地质灾害隐患排查工作的督导与巡查，对疑似的地质灾害隐患，要及时组织专业队伍进行现场核查，排查和督导情况要及时通报县委、县政府及相关部门（单位）。</w:t>
      </w:r>
    </w:p>
    <w:p w14:paraId="45F32BA5">
      <w:pPr>
        <w:pStyle w:val="4"/>
        <w:numPr>
          <w:ilvl w:val="2"/>
          <w:numId w:val="102"/>
        </w:numPr>
        <w:tabs>
          <w:tab w:val="left" w:pos="0"/>
        </w:tabs>
        <w:rPr>
          <w:rFonts w:ascii="仿宋_GB2312" w:hAnsi="仿宋_GB2312" w:eastAsia="仿宋_GB2312" w:cs="仿宋_GB2312"/>
        </w:rPr>
      </w:pPr>
      <w:r>
        <w:rPr>
          <w:rFonts w:hint="eastAsia" w:ascii="仿宋_GB2312" w:hAnsi="仿宋_GB2312" w:eastAsia="仿宋_GB2312" w:cs="仿宋_GB2312"/>
        </w:rPr>
        <w:t>培训演练</w:t>
      </w:r>
    </w:p>
    <w:p w14:paraId="77D877E3">
      <w:pPr>
        <w:ind w:firstLine="632"/>
      </w:pPr>
      <w:r>
        <w:rPr>
          <w:rFonts w:hint="eastAsia"/>
        </w:rPr>
        <w:t>县自然资源局、各乡镇要认真开展公众地质灾害防灾、减灾知识的宣传，普及地质灾害防治知识。邀请地质灾害防治专家，对地质灾害隐患点监测员、防灾责任人、指挥部成员单位防灾工作人员开展专门培训，提高地质灾害隐患识别能力、避险处置能力。组织专业技术人员，对地质灾害隐患点受威胁群众，有针对性地开展地质灾害防治知识宣讲培训，指导受威胁的群众开展应急避险演练，提高应急避险和自救互救能力。</w:t>
      </w:r>
    </w:p>
    <w:p w14:paraId="06CC414A">
      <w:pPr>
        <w:pStyle w:val="3"/>
      </w:pPr>
      <w:bookmarkStart w:id="450" w:name="_Toc10889"/>
      <w:r>
        <w:rPr>
          <w:rFonts w:hint="eastAsia"/>
        </w:rPr>
        <w:t>预警机制</w:t>
      </w:r>
      <w:bookmarkEnd w:id="450"/>
    </w:p>
    <w:p w14:paraId="05AD83F1">
      <w:pPr>
        <w:pStyle w:val="4"/>
        <w:numPr>
          <w:ilvl w:val="2"/>
          <w:numId w:val="102"/>
        </w:numPr>
        <w:tabs>
          <w:tab w:val="left" w:pos="0"/>
        </w:tabs>
        <w:rPr>
          <w:rFonts w:ascii="仿宋_GB2312" w:hAnsi="仿宋_GB2312" w:eastAsia="仿宋_GB2312" w:cs="仿宋_GB2312"/>
        </w:rPr>
      </w:pPr>
      <w:r>
        <w:rPr>
          <w:rFonts w:hint="eastAsia" w:ascii="仿宋_GB2312" w:hAnsi="仿宋_GB2312" w:eastAsia="仿宋_GB2312" w:cs="仿宋_GB2312"/>
        </w:rPr>
        <w:t>信息收集与分析</w:t>
      </w:r>
    </w:p>
    <w:p w14:paraId="73820BF1">
      <w:pPr>
        <w:ind w:firstLine="632"/>
      </w:pPr>
      <w:r>
        <w:rPr>
          <w:rFonts w:hint="eastAsia"/>
        </w:rPr>
        <w:t>县自然资源局、县应急局、县水务局和县气象局等负责地质灾害监测的单位，要广泛收集整理与突发地质灾害预防预警有关的数据资料和信息，进行地质灾害中、短期趋势预测，建立地质灾害监测、预报、预警等资料数据库，实现各部门间的信息共享。</w:t>
      </w:r>
    </w:p>
    <w:p w14:paraId="0764950B">
      <w:pPr>
        <w:pStyle w:val="4"/>
        <w:numPr>
          <w:ilvl w:val="2"/>
          <w:numId w:val="102"/>
        </w:numPr>
        <w:tabs>
          <w:tab w:val="left" w:pos="0"/>
        </w:tabs>
        <w:rPr>
          <w:rFonts w:ascii="仿宋_GB2312" w:hAnsi="仿宋_GB2312" w:eastAsia="仿宋_GB2312" w:cs="仿宋_GB2312"/>
        </w:rPr>
      </w:pPr>
      <w:r>
        <w:rPr>
          <w:rFonts w:hint="eastAsia" w:ascii="仿宋_GB2312" w:hAnsi="仿宋_GB2312" w:eastAsia="仿宋_GB2312" w:cs="仿宋_GB2312"/>
        </w:rPr>
        <w:t>预警分级</w:t>
      </w:r>
    </w:p>
    <w:p w14:paraId="1B3F9E46">
      <w:pPr>
        <w:ind w:firstLine="632"/>
      </w:pPr>
      <w:r>
        <w:rPr>
          <w:rFonts w:hint="eastAsia"/>
        </w:rPr>
        <w:t>根据气象和地质环境因素预测地质灾害发生的风险大小程度，对可能发生地质灾害的相关区域进行预警。预警级别从低到高分别为四级、三级、二级、一级，分别用蓝色、黄色、橙色、红色表示。</w:t>
      </w:r>
    </w:p>
    <w:p w14:paraId="5772EE2E">
      <w:pPr>
        <w:ind w:firstLine="632"/>
      </w:pPr>
      <w:r>
        <w:rPr>
          <w:rFonts w:hint="eastAsia"/>
        </w:rPr>
        <w:t>蓝色预警：预计因气象因素地质灾害发生有一定风险，为注意级。</w:t>
      </w:r>
    </w:p>
    <w:p w14:paraId="69C75B68">
      <w:pPr>
        <w:ind w:firstLine="632"/>
      </w:pPr>
      <w:r>
        <w:rPr>
          <w:rFonts w:hint="eastAsia"/>
        </w:rPr>
        <w:t>黄色预警：预计因气象因素地质灾害发生的风险较高，为预报级。</w:t>
      </w:r>
    </w:p>
    <w:p w14:paraId="26972E51">
      <w:pPr>
        <w:ind w:firstLine="632"/>
      </w:pPr>
      <w:r>
        <w:rPr>
          <w:rFonts w:hint="eastAsia"/>
        </w:rPr>
        <w:t>橙色预警：预计因气象因素地质灾害发生的风险高，为预警级。</w:t>
      </w:r>
    </w:p>
    <w:p w14:paraId="60179FB6">
      <w:pPr>
        <w:ind w:firstLine="632"/>
      </w:pPr>
      <w:r>
        <w:rPr>
          <w:rFonts w:hint="eastAsia"/>
        </w:rPr>
        <w:t>红色预警：预计因气象因素地质灾害发生的风险很高，为警报级。</w:t>
      </w:r>
    </w:p>
    <w:p w14:paraId="08DF36CA">
      <w:pPr>
        <w:pStyle w:val="4"/>
        <w:numPr>
          <w:ilvl w:val="2"/>
          <w:numId w:val="102"/>
        </w:numPr>
        <w:tabs>
          <w:tab w:val="left" w:pos="0"/>
        </w:tabs>
        <w:rPr>
          <w:rFonts w:ascii="仿宋_GB2312" w:hAnsi="仿宋_GB2312" w:eastAsia="仿宋_GB2312" w:cs="仿宋_GB2312"/>
        </w:rPr>
      </w:pPr>
      <w:r>
        <w:rPr>
          <w:rFonts w:hint="eastAsia" w:ascii="仿宋_GB2312" w:hAnsi="仿宋_GB2312" w:eastAsia="仿宋_GB2312" w:cs="仿宋_GB2312"/>
        </w:rPr>
        <w:t>预警信息发布</w:t>
      </w:r>
    </w:p>
    <w:p w14:paraId="1EFEE99C">
      <w:pPr>
        <w:ind w:firstLine="632"/>
      </w:pPr>
      <w:r>
        <w:rPr>
          <w:rFonts w:hint="eastAsia"/>
        </w:rPr>
        <w:t>县自然资源局要加强与县应急管理局、县水务局和县气象局等部门会商，联合开展本行政区域内的地质灾害气象风险预警工作，预警结果及时报告县政府，并通过预警平台、手机短信、网络平台及广播电视等媒体向公众发布。预警信息的内容包括突发地质灾害可能发生的时间、空间范围和风险等级等。</w:t>
      </w:r>
    </w:p>
    <w:p w14:paraId="2EEFB7BD">
      <w:pPr>
        <w:pStyle w:val="4"/>
        <w:numPr>
          <w:ilvl w:val="2"/>
          <w:numId w:val="102"/>
        </w:numPr>
        <w:tabs>
          <w:tab w:val="left" w:pos="0"/>
        </w:tabs>
        <w:rPr>
          <w:rFonts w:ascii="仿宋_GB2312" w:hAnsi="仿宋_GB2312" w:eastAsia="仿宋_GB2312" w:cs="仿宋_GB2312"/>
        </w:rPr>
      </w:pPr>
      <w:r>
        <w:rPr>
          <w:rFonts w:hint="eastAsia" w:ascii="仿宋_GB2312" w:hAnsi="仿宋_GB2312" w:eastAsia="仿宋_GB2312" w:cs="仿宋_GB2312"/>
        </w:rPr>
        <w:t>预警响应</w:t>
      </w:r>
    </w:p>
    <w:p w14:paraId="0D818F29">
      <w:pPr>
        <w:ind w:firstLine="632"/>
      </w:pPr>
      <w:r>
        <w:rPr>
          <w:rFonts w:hint="eastAsia"/>
        </w:rPr>
        <w:t>预警信息发布后，预警区域内的乡镇要依照群测群防责任制的规定，立即将有关信息通知到地质灾害隐患点的防灾责任人、监测责任人、监测员和该区域内的群众，做好防灾的各项准备工作。</w:t>
      </w:r>
    </w:p>
    <w:p w14:paraId="3370A52E">
      <w:pPr>
        <w:pStyle w:val="5"/>
        <w:numPr>
          <w:ilvl w:val="3"/>
          <w:numId w:val="102"/>
        </w:numPr>
      </w:pPr>
      <w:r>
        <w:rPr>
          <w:rFonts w:hint="eastAsia"/>
        </w:rPr>
        <w:t>四级（蓝色）预警响应</w:t>
      </w:r>
    </w:p>
    <w:p w14:paraId="1E72385D">
      <w:pPr>
        <w:ind w:firstLine="632"/>
      </w:pPr>
      <w:r>
        <w:rPr>
          <w:rFonts w:hint="eastAsia"/>
        </w:rPr>
        <w:t>县级有关部门及预警地乡镇密切关注雨情、水情变化，实行24小时值班值守，相关人员迅速到岗到位，保持通信联络畅通。</w:t>
      </w:r>
    </w:p>
    <w:p w14:paraId="4D658C72">
      <w:pPr>
        <w:pStyle w:val="5"/>
        <w:numPr>
          <w:ilvl w:val="3"/>
          <w:numId w:val="102"/>
        </w:numPr>
      </w:pPr>
      <w:r>
        <w:rPr>
          <w:rFonts w:hint="eastAsia"/>
        </w:rPr>
        <w:t>三级（黄色）预警响应</w:t>
      </w:r>
    </w:p>
    <w:p w14:paraId="5817272C">
      <w:pPr>
        <w:ind w:firstLine="632"/>
      </w:pPr>
      <w:r>
        <w:rPr>
          <w:rFonts w:hint="eastAsia"/>
        </w:rPr>
        <w:t>在四级响应基础上，强化24小时值班值守，密切关注降雨预报及降雨实况，会商研判地质灾害发展趋势，适时加密开展地质灾害气象风险等级预报；检查防灾责任体系落实情况；加密房前屋后斜坡、靠山靠崖、沟口等危险地段巡查与监测；做好监测预警和预警信息发布；督促指导当地政府和有关单位按职责分工做好隐患点受威胁人员转移避让准备，必要时，组织指导隐患险情严重区域受威胁人员果断提前转移避让，确保群众生命安全，做好突发地质灾害应急处置准备工作；应急抢险救援队伍和技术支撑队伍做好待命准备。</w:t>
      </w:r>
    </w:p>
    <w:p w14:paraId="040201B9">
      <w:pPr>
        <w:pStyle w:val="5"/>
        <w:numPr>
          <w:ilvl w:val="3"/>
          <w:numId w:val="102"/>
        </w:numPr>
      </w:pPr>
      <w:r>
        <w:rPr>
          <w:rFonts w:hint="eastAsia"/>
        </w:rPr>
        <w:t>二级（橙色）预警响应</w:t>
      </w:r>
    </w:p>
    <w:p w14:paraId="0911654C">
      <w:pPr>
        <w:ind w:firstLine="632"/>
      </w:pPr>
      <w:r>
        <w:rPr>
          <w:rFonts w:hint="eastAsia"/>
        </w:rPr>
        <w:t>在三级响应基础上，对地质灾害易发地段加密巡查、排查、监测；滚动开展地质灾害气象风险等级预报；加强短时预警预报；预警地乡镇根据实际情况启动相应应急预案，督促指导有关部门和单位适时组织隐患点受威胁人员转移避让；做好突发地质灾害应急处置准备工作；应急抢险救援队伍和技术支撑队伍做好待命准备。</w:t>
      </w:r>
    </w:p>
    <w:p w14:paraId="08106F4C">
      <w:pPr>
        <w:pStyle w:val="5"/>
        <w:numPr>
          <w:ilvl w:val="3"/>
          <w:numId w:val="102"/>
        </w:numPr>
      </w:pPr>
      <w:r>
        <w:rPr>
          <w:rFonts w:hint="eastAsia"/>
        </w:rPr>
        <w:t>一级（红色）预警响应</w:t>
      </w:r>
    </w:p>
    <w:p w14:paraId="24DDAAA3">
      <w:pPr>
        <w:ind w:firstLine="632"/>
      </w:pPr>
      <w:r>
        <w:rPr>
          <w:rFonts w:hint="eastAsia"/>
        </w:rPr>
        <w:t>在二级响应基础上，加强地质灾害易发地段及地质灾害隐患点24小时巡查、监测、预警；实时加强雨情、灾险情收集研判；预警地乡镇根据实际情况启动相应应急预案，督促指导有关部门和单位提前做好受威胁人员转移避让，防止无关人员进入地质灾害危险区域，必要时，可强行组织避灾疏散；做好突发地质灾害应急处置准备工作；应急抢险救援队伍和技术支撑队伍做好待命准备。</w:t>
      </w:r>
    </w:p>
    <w:p w14:paraId="71DEB0BA">
      <w:pPr>
        <w:pStyle w:val="4"/>
        <w:numPr>
          <w:ilvl w:val="2"/>
          <w:numId w:val="102"/>
        </w:numPr>
        <w:tabs>
          <w:tab w:val="left" w:pos="0"/>
        </w:tabs>
        <w:rPr>
          <w:rFonts w:ascii="仿宋_GB2312" w:hAnsi="仿宋_GB2312" w:eastAsia="仿宋_GB2312" w:cs="仿宋_GB2312"/>
        </w:rPr>
      </w:pPr>
      <w:r>
        <w:rPr>
          <w:rFonts w:hint="eastAsia" w:ascii="仿宋_GB2312" w:hAnsi="仿宋_GB2312" w:eastAsia="仿宋_GB2312" w:cs="仿宋_GB2312"/>
        </w:rPr>
        <w:t>预警转换和结束</w:t>
      </w:r>
    </w:p>
    <w:p w14:paraId="301B2046">
      <w:pPr>
        <w:ind w:firstLine="632"/>
      </w:pPr>
      <w:r>
        <w:rPr>
          <w:rFonts w:hint="eastAsia"/>
        </w:rPr>
        <w:t>预警响应级别可视气象预报及实时雨情、水情、灾险情监测情况确定或逐步升（降）级。超出地质灾害预报预警时限，未再发布新的黄色预警以上地质灾害气象风险预警，或在预警时段内未发生地质灾害灾险情，预警响应结束。</w:t>
      </w:r>
    </w:p>
    <w:p w14:paraId="39F2BE4C">
      <w:pPr>
        <w:pStyle w:val="2"/>
        <w:numPr>
          <w:ilvl w:val="0"/>
          <w:numId w:val="102"/>
        </w:numPr>
        <w:tabs>
          <w:tab w:val="left" w:pos="0"/>
        </w:tabs>
        <w:rPr>
          <w:sz w:val="32"/>
          <w:szCs w:val="32"/>
        </w:rPr>
      </w:pPr>
      <w:bookmarkStart w:id="451" w:name="_Toc24882"/>
      <w:r>
        <w:rPr>
          <w:rFonts w:hint="eastAsia"/>
          <w:sz w:val="32"/>
          <w:szCs w:val="32"/>
        </w:rPr>
        <w:t>突发地质灾害报告</w:t>
      </w:r>
      <w:bookmarkEnd w:id="451"/>
    </w:p>
    <w:p w14:paraId="6BF22566">
      <w:pPr>
        <w:pStyle w:val="3"/>
      </w:pPr>
      <w:bookmarkStart w:id="452" w:name="_Toc4921"/>
      <w:r>
        <w:rPr>
          <w:rFonts w:hint="eastAsia"/>
        </w:rPr>
        <w:t>信息报告</w:t>
      </w:r>
      <w:bookmarkEnd w:id="452"/>
    </w:p>
    <w:p w14:paraId="0B01C29D">
      <w:pPr>
        <w:ind w:firstLine="632"/>
      </w:pPr>
      <w:r>
        <w:rPr>
          <w:rFonts w:hint="eastAsia"/>
        </w:rPr>
        <w:t>（1）有灾必报。凡是发生突发地质灾害灾险情，县地质灾害指挥机构应当按照规定及时、准确、规范向市地质灾害指挥部办公室报告突发地质灾害灾险情信息。情况紧急时，县地质灾害指挥部可直接向省地质灾害指挥部办公室报告灾险情信息。</w:t>
      </w:r>
    </w:p>
    <w:p w14:paraId="4897788A">
      <w:pPr>
        <w:ind w:firstLine="632"/>
      </w:pPr>
      <w:r>
        <w:rPr>
          <w:rFonts w:hint="eastAsia"/>
        </w:rPr>
        <w:t>（2）归口管理。需向县委、县政府和上级地质灾害指挥机构报告的突发地质灾害灾险情信息，由县地质灾害指挥机构归口管理，逐级报告。乡镇党委、政府向县委、县政府报告的突发地质灾害灾险情信息，应同时抄送县地质灾害指挥机构办公室。指挥部其他成员单位掌握的地质灾害灾险情信息，应第一时间报告县人民政府并通报县地质灾害指挥部办公室。</w:t>
      </w:r>
    </w:p>
    <w:p w14:paraId="0212144B">
      <w:pPr>
        <w:ind w:firstLine="632"/>
      </w:pPr>
      <w:r>
        <w:rPr>
          <w:rFonts w:hint="eastAsia"/>
        </w:rPr>
        <w:t>（3）及时报告。坚持“边处置边报告、边核实边报告”。情况紧急时可越级上报，并及时续报有关情况。必要时，可向地质灾害指挥部成员单位通报灾险情信息。</w:t>
      </w:r>
    </w:p>
    <w:p w14:paraId="79CB6795">
      <w:pPr>
        <w:pStyle w:val="3"/>
      </w:pPr>
      <w:bookmarkStart w:id="453" w:name="_Toc15504"/>
      <w:r>
        <w:rPr>
          <w:rFonts w:hint="eastAsia"/>
        </w:rPr>
        <w:t>速报时限</w:t>
      </w:r>
      <w:bookmarkEnd w:id="453"/>
    </w:p>
    <w:p w14:paraId="345B927B">
      <w:pPr>
        <w:ind w:firstLine="632"/>
      </w:pPr>
      <w:r>
        <w:rPr>
          <w:rFonts w:hint="eastAsia"/>
        </w:rPr>
        <w:t>突发地质灾害灾险情事件发生后，事发地应立即采取控制措施，在事发后30分钟内报告集贤县地质灾害指挥部办公室，在1小时内报告双鸭山市地质灾害指挥部办公室，并根据处置进展续报。确因通信、交通中断等特殊原因无法及时获知信息的，事发地在接到事件报告后30分钟内将事件报集贤县地质灾害指挥部办公室的同时可直接报双鸭山市地质灾害指挥部办公室。发生大型、特大型地质灾害时，事发地应20分钟内以电话形式向双鸭山市政府值班室、市委值班室和市委办公室信息室电话报告，并在事发后1小时内向市委办公室、市政府办公室和市应急委办公室书面首报事件概况、2时内书面报告事件详情。</w:t>
      </w:r>
    </w:p>
    <w:p w14:paraId="20C84023">
      <w:pPr>
        <w:pStyle w:val="3"/>
      </w:pPr>
      <w:bookmarkStart w:id="454" w:name="_Toc32249"/>
      <w:r>
        <w:rPr>
          <w:rFonts w:hint="eastAsia"/>
        </w:rPr>
        <w:t>报告内容</w:t>
      </w:r>
      <w:bookmarkEnd w:id="454"/>
    </w:p>
    <w:p w14:paraId="0BA8145A">
      <w:pPr>
        <w:ind w:firstLine="632"/>
      </w:pPr>
      <w:r>
        <w:rPr>
          <w:rFonts w:hint="eastAsia"/>
        </w:rPr>
        <w:t>报告内容应尽可能详细说明地质灾害发生的时间、地点、灾害类型、灾害体的规模、可能的引发因素和发展趋势等，同时提出已采取的对策和措施。对地质灾害灾情的速报，还应包括伤亡、失踪和受伤的人数及造成的直接经济损失等。</w:t>
      </w:r>
    </w:p>
    <w:p w14:paraId="7A980FEA">
      <w:pPr>
        <w:ind w:firstLine="632"/>
      </w:pPr>
      <w:r>
        <w:rPr>
          <w:rFonts w:hint="eastAsia"/>
        </w:rPr>
        <w:t>县气象局要及时报送高温、大风、暴雨等灾害性天气预警信息；县水务局要及时报送洪水灾害、城市内涝、水库垮坝等信息；县自然资源局要及时报送山体滑坡、泥石流等地质灾害信息；县林业局要及时报送林业生物灾害、森林火灾等信息；县应急管理局要及时报送各类自然灾害造成的损失情况；县委宣传部要及时报送全县范围内可能影响社会稳定的苗头性、倾向性、行动性信息；各乡镇要及时报送本辖区内各类网络热点事件等。</w:t>
      </w:r>
    </w:p>
    <w:p w14:paraId="4BCCF2BD">
      <w:pPr>
        <w:pStyle w:val="3"/>
      </w:pPr>
      <w:bookmarkStart w:id="455" w:name="_Toc20067"/>
      <w:r>
        <w:rPr>
          <w:rFonts w:hint="eastAsia"/>
        </w:rPr>
        <w:t>信息通报</w:t>
      </w:r>
      <w:bookmarkEnd w:id="455"/>
    </w:p>
    <w:p w14:paraId="28AEC7DB">
      <w:pPr>
        <w:ind w:firstLine="632"/>
      </w:pPr>
      <w:r>
        <w:rPr>
          <w:rFonts w:hint="eastAsia"/>
        </w:rPr>
        <w:t>各地各部门要加强跨区域协作，建立健全突发地质灾害信息通报、协调机制。出现突发地质灾害影响范围超出本行政区域的情况，根据处置工作需要，要及时向可能受影响的行政区域通报情况，并积极协调处置。</w:t>
      </w:r>
    </w:p>
    <w:p w14:paraId="6352EE0A">
      <w:pPr>
        <w:pStyle w:val="2"/>
        <w:numPr>
          <w:ilvl w:val="0"/>
          <w:numId w:val="102"/>
        </w:numPr>
        <w:tabs>
          <w:tab w:val="left" w:pos="0"/>
        </w:tabs>
        <w:rPr>
          <w:sz w:val="32"/>
          <w:szCs w:val="32"/>
        </w:rPr>
      </w:pPr>
      <w:bookmarkStart w:id="456" w:name="_Toc30824"/>
      <w:r>
        <w:rPr>
          <w:rFonts w:hint="eastAsia"/>
          <w:sz w:val="32"/>
          <w:szCs w:val="32"/>
        </w:rPr>
        <w:t>应急响应</w:t>
      </w:r>
      <w:bookmarkEnd w:id="456"/>
    </w:p>
    <w:p w14:paraId="7DA9D2C5">
      <w:pPr>
        <w:pStyle w:val="3"/>
      </w:pPr>
      <w:bookmarkStart w:id="457" w:name="_Toc23810"/>
      <w:r>
        <w:rPr>
          <w:rFonts w:hint="eastAsia"/>
        </w:rPr>
        <w:t>先期处置</w:t>
      </w:r>
      <w:bookmarkEnd w:id="457"/>
    </w:p>
    <w:p w14:paraId="32B22395">
      <w:pPr>
        <w:ind w:firstLine="632"/>
      </w:pPr>
      <w:r>
        <w:rPr>
          <w:rFonts w:hint="eastAsia"/>
        </w:rPr>
        <w:t>一旦发生突发地质灾害灾险情，事发地政府及有关部门必须按照防灾责任制的规定及时上报有关处置情况，根据灾险情具体情况提出应急对策，并将有关信息及时通知地质灾害点的防灾责任人、监测人、危险区群众，对是否转移群众和采取应急处置措施做出决策。及时划定地质灾害危险区，设立警示标志，按照预定的预警方式和撤离路线，组织受威胁群众避让或采取排危除险措施。情况危急时，应强制组织受威胁群众避险转移。相关地质灾害指挥机构、成员单位、应急抢险队伍及其责任人按各自职责立即到达规定岗位，紧急组织抢险救灾。</w:t>
      </w:r>
    </w:p>
    <w:p w14:paraId="65F0A7C4">
      <w:pPr>
        <w:pStyle w:val="3"/>
      </w:pPr>
      <w:bookmarkStart w:id="458" w:name="_Toc10728"/>
      <w:r>
        <w:rPr>
          <w:rFonts w:hint="eastAsia"/>
        </w:rPr>
        <w:t>应急响应启动</w:t>
      </w:r>
      <w:bookmarkEnd w:id="458"/>
    </w:p>
    <w:p w14:paraId="5ED072A9">
      <w:pPr>
        <w:ind w:firstLine="632"/>
      </w:pPr>
      <w:r>
        <w:rPr>
          <w:rFonts w:hint="eastAsia"/>
        </w:rPr>
        <w:t>突发地质灾害应急响应由高到低分为四级：I级、Ⅱ级、Ⅲ级、Ⅳ级。特大型地质灾害灾险情对应I级应急响应，大型地质灾害灾险情对应Ⅱ级应急响应，中型地质灾害灾险情对应Ⅲ级应急响应，小型地质灾害灾险情对应Ⅳ级应急响应。在重要时期、敏感时段或者在地质灾害应急处置过程中，可根据地质灾害灾险情发展情况及时调整应急响应级别。突发地质灾害应急工作遵循分级响应程序，根据突发地质灾害等级确定相对应的应急处置机构。</w:t>
      </w:r>
    </w:p>
    <w:p w14:paraId="0B606AA9">
      <w:pPr>
        <w:ind w:firstLine="632"/>
      </w:pPr>
      <w:r>
        <w:rPr>
          <w:rFonts w:hint="eastAsia"/>
        </w:rPr>
        <w:t>地质灾害易发区的各乡镇党委、政府要建立健全应对地质灾害事件的应急响应、应急救援等机制。发生地质灾害灾险情时，事发地政府立即启动应急响应，组织开展应急抢险救援等应对处置，县级层面根据情况启动应急响应。</w:t>
      </w:r>
    </w:p>
    <w:p w14:paraId="5557B19D">
      <w:pPr>
        <w:pStyle w:val="4"/>
        <w:numPr>
          <w:ilvl w:val="2"/>
          <w:numId w:val="102"/>
        </w:numPr>
        <w:tabs>
          <w:tab w:val="left" w:pos="0"/>
        </w:tabs>
        <w:rPr>
          <w:rFonts w:ascii="仿宋_GB2312" w:hAnsi="仿宋_GB2312" w:eastAsia="仿宋_GB2312" w:cs="仿宋_GB2312"/>
        </w:rPr>
      </w:pPr>
      <w:r>
        <w:rPr>
          <w:rFonts w:hint="eastAsia" w:ascii="仿宋_GB2312" w:hAnsi="仿宋_GB2312" w:eastAsia="仿宋_GB2312" w:cs="仿宋_GB2312"/>
        </w:rPr>
        <w:t>Ⅳ级应急响应</w:t>
      </w:r>
    </w:p>
    <w:p w14:paraId="494B8827">
      <w:pPr>
        <w:pStyle w:val="5"/>
        <w:numPr>
          <w:ilvl w:val="3"/>
          <w:numId w:val="102"/>
        </w:numPr>
      </w:pPr>
      <w:r>
        <w:rPr>
          <w:rFonts w:hint="eastAsia"/>
        </w:rPr>
        <w:t>启动应急</w:t>
      </w:r>
    </w:p>
    <w:p w14:paraId="4B45A2A6">
      <w:pPr>
        <w:ind w:firstLine="632"/>
      </w:pPr>
      <w:r>
        <w:rPr>
          <w:rFonts w:hint="eastAsia"/>
        </w:rPr>
        <w:t>发生小型地质灾害灾险情；由集贤县地质灾害指挥部提出并报集贤县应急委决定启动Ⅳ级响应。</w:t>
      </w:r>
    </w:p>
    <w:p w14:paraId="7ED46083">
      <w:pPr>
        <w:pStyle w:val="5"/>
        <w:numPr>
          <w:ilvl w:val="3"/>
          <w:numId w:val="102"/>
        </w:numPr>
      </w:pPr>
      <w:r>
        <w:rPr>
          <w:rFonts w:hint="eastAsia"/>
        </w:rPr>
        <w:t>指挥与部署</w:t>
      </w:r>
    </w:p>
    <w:p w14:paraId="73C43E79">
      <w:pPr>
        <w:ind w:firstLine="632"/>
      </w:pPr>
      <w:r>
        <w:rPr>
          <w:rFonts w:hint="eastAsia"/>
        </w:rPr>
        <w:t>在集贤县委、县政府统一领导下，组织开展突发地质灾害应急处置与救援工作。主要有：</w:t>
      </w:r>
    </w:p>
    <w:p w14:paraId="0F9C9DB7">
      <w:pPr>
        <w:ind w:firstLine="632"/>
      </w:pPr>
      <w:r>
        <w:rPr>
          <w:rFonts w:hint="eastAsia"/>
        </w:rPr>
        <w:t>（1）上报双鸭山应急管理部门、自然资源管理部门险情和应急处置工作进展情况。按照双鸭山市领导指示批示要求，统一部署开展处置工作。</w:t>
      </w:r>
    </w:p>
    <w:p w14:paraId="32FEB68E">
      <w:pPr>
        <w:ind w:firstLine="632"/>
      </w:pPr>
      <w:r>
        <w:rPr>
          <w:rFonts w:hint="eastAsia"/>
        </w:rPr>
        <w:t>（2）集贤县地质灾害指挥部组织召开指挥部工作会议，设立现场指挥机构，成立工作组，组织、协调各工作组按照各自职责开展综合协调、抢险救援、技术支撑、调查评估、群众安置、医疗救治、通信保障、交通保障、社会治安、宣传报道等应急处置和救援工作。</w:t>
      </w:r>
    </w:p>
    <w:p w14:paraId="3949CB82">
      <w:pPr>
        <w:ind w:firstLine="632"/>
      </w:pPr>
      <w:r>
        <w:rPr>
          <w:rFonts w:hint="eastAsia"/>
        </w:rPr>
        <w:t>（3）事发地乡镇立即启动相应的应急预案和应急指挥系统，全面开展应急处置工作，并及时向集贤县委、县政府、县地质灾害指挥部报告事件的相关情况。</w:t>
      </w:r>
    </w:p>
    <w:p w14:paraId="69A0BC34">
      <w:pPr>
        <w:pStyle w:val="5"/>
        <w:numPr>
          <w:ilvl w:val="3"/>
          <w:numId w:val="102"/>
        </w:numPr>
      </w:pPr>
      <w:r>
        <w:rPr>
          <w:rFonts w:hint="eastAsia"/>
        </w:rPr>
        <w:t>应急处置措施</w:t>
      </w:r>
    </w:p>
    <w:p w14:paraId="28A83448">
      <w:pPr>
        <w:ind w:firstLine="632"/>
      </w:pPr>
      <w:r>
        <w:rPr>
          <w:rFonts w:hint="eastAsia"/>
        </w:rPr>
        <w:t>集贤县地质灾害指挥部各工作组，根据灾险情应急处置和救援需要，参照Ⅰ级应急响应处置措施中的有关条款执行。</w:t>
      </w:r>
    </w:p>
    <w:p w14:paraId="2617C24B">
      <w:pPr>
        <w:pStyle w:val="4"/>
        <w:numPr>
          <w:ilvl w:val="2"/>
          <w:numId w:val="102"/>
        </w:numPr>
        <w:tabs>
          <w:tab w:val="left" w:pos="0"/>
        </w:tabs>
        <w:rPr>
          <w:rFonts w:ascii="仿宋_GB2312" w:hAnsi="仿宋_GB2312" w:eastAsia="仿宋_GB2312" w:cs="仿宋_GB2312"/>
        </w:rPr>
      </w:pPr>
      <w:r>
        <w:rPr>
          <w:rFonts w:hint="eastAsia" w:ascii="仿宋_GB2312" w:hAnsi="仿宋_GB2312" w:eastAsia="仿宋_GB2312" w:cs="仿宋_GB2312"/>
        </w:rPr>
        <w:t>Ⅲ级应急响应</w:t>
      </w:r>
    </w:p>
    <w:p w14:paraId="10C0EA57">
      <w:pPr>
        <w:pStyle w:val="5"/>
        <w:numPr>
          <w:ilvl w:val="3"/>
          <w:numId w:val="102"/>
        </w:numPr>
      </w:pPr>
      <w:r>
        <w:rPr>
          <w:rFonts w:hint="eastAsia"/>
        </w:rPr>
        <w:t>启动应急</w:t>
      </w:r>
    </w:p>
    <w:p w14:paraId="25AB5ECF">
      <w:pPr>
        <w:ind w:firstLine="632"/>
      </w:pPr>
      <w:r>
        <w:rPr>
          <w:rFonts w:hint="eastAsia"/>
        </w:rPr>
        <w:t>发生中型地质灾害灾险情；发生跨县的、超出集贤县应对能力的小型突发地质灾害灾险情；发生地质灾害本身比较敏感，或发生在重点地区或重大活动举办、重要会议召开等时期的小型突发地质灾害灾险情，报双鸭山市委、市政府、市地质灾害指挥部、市应急委决定启动Ⅲ级响应。</w:t>
      </w:r>
    </w:p>
    <w:p w14:paraId="3CEF66BB">
      <w:pPr>
        <w:pStyle w:val="5"/>
        <w:numPr>
          <w:ilvl w:val="3"/>
          <w:numId w:val="102"/>
        </w:numPr>
      </w:pPr>
      <w:r>
        <w:rPr>
          <w:rFonts w:hint="eastAsia"/>
        </w:rPr>
        <w:t>指挥与部署</w:t>
      </w:r>
    </w:p>
    <w:p w14:paraId="67BBE636">
      <w:pPr>
        <w:ind w:firstLine="632"/>
      </w:pPr>
      <w:r>
        <w:rPr>
          <w:rFonts w:hint="eastAsia"/>
        </w:rPr>
        <w:t>在双鸭山市委、市政府统一领导下，组织开展突发地质灾害应急处置与救援工作。主要是：</w:t>
      </w:r>
    </w:p>
    <w:p w14:paraId="19DA38BE">
      <w:pPr>
        <w:ind w:firstLine="632"/>
      </w:pPr>
      <w:r>
        <w:rPr>
          <w:rFonts w:hint="eastAsia"/>
        </w:rPr>
        <w:t>（1）上报双鸭山应急管理部门、自然资源管理部门险情和应急处置工作进展情况。按照省领导指示批示要求，按照双鸭山市委、市政府统一部署开展处置工作。</w:t>
      </w:r>
    </w:p>
    <w:p w14:paraId="62577F2F">
      <w:pPr>
        <w:ind w:firstLine="632"/>
      </w:pPr>
      <w:r>
        <w:rPr>
          <w:rFonts w:hint="eastAsia"/>
        </w:rPr>
        <w:t>（2）配合双鸭山地质灾害指挥部组织召开指挥部工作会议，设立现场指挥机构，成立工作组，组织、协调各工作组按照各自职责开展综合协调、抢险救援、技术支撑、调查评估、群众安置、医疗救治、通信保障、交通保障、社会治安、宣传报道等应急处置和救援工作。</w:t>
      </w:r>
    </w:p>
    <w:p w14:paraId="1F7E7B93">
      <w:pPr>
        <w:ind w:firstLine="632"/>
      </w:pPr>
      <w:r>
        <w:rPr>
          <w:rFonts w:hint="eastAsia"/>
        </w:rPr>
        <w:t>（3）集贤县政府立即启动相应的应急预案和应急指挥系统，全面开展应急处置工作，并及时向双鸭山市委、市政府、市地质灾害指挥部报告事件的相关情况。</w:t>
      </w:r>
    </w:p>
    <w:p w14:paraId="1EBEB5A8">
      <w:pPr>
        <w:pStyle w:val="5"/>
        <w:numPr>
          <w:ilvl w:val="3"/>
          <w:numId w:val="102"/>
        </w:numPr>
      </w:pPr>
      <w:r>
        <w:rPr>
          <w:rFonts w:hint="eastAsia"/>
        </w:rPr>
        <w:t>应急处置措施</w:t>
      </w:r>
    </w:p>
    <w:p w14:paraId="62737C35">
      <w:pPr>
        <w:ind w:firstLine="632"/>
      </w:pPr>
      <w:r>
        <w:rPr>
          <w:rFonts w:hint="eastAsia"/>
        </w:rPr>
        <w:t>配合双鸭山市地质灾害指挥部各工作组，根据灾险情应急处置和救援需要，参照Ⅰ级应急响应处置措施中的有关条款执行。</w:t>
      </w:r>
    </w:p>
    <w:p w14:paraId="46E72BEC">
      <w:pPr>
        <w:pStyle w:val="4"/>
        <w:numPr>
          <w:ilvl w:val="2"/>
          <w:numId w:val="102"/>
        </w:numPr>
        <w:tabs>
          <w:tab w:val="left" w:pos="0"/>
        </w:tabs>
        <w:rPr>
          <w:rFonts w:ascii="仿宋_GB2312" w:hAnsi="仿宋_GB2312" w:eastAsia="仿宋_GB2312" w:cs="仿宋_GB2312"/>
        </w:rPr>
      </w:pPr>
      <w:r>
        <w:rPr>
          <w:rFonts w:hint="eastAsia" w:ascii="仿宋_GB2312" w:hAnsi="仿宋_GB2312" w:eastAsia="仿宋_GB2312" w:cs="仿宋_GB2312"/>
        </w:rPr>
        <w:t>Ⅱ级应急响应</w:t>
      </w:r>
    </w:p>
    <w:p w14:paraId="6B118B71">
      <w:pPr>
        <w:pStyle w:val="5"/>
        <w:numPr>
          <w:ilvl w:val="3"/>
          <w:numId w:val="102"/>
        </w:numPr>
      </w:pPr>
      <w:r>
        <w:rPr>
          <w:rFonts w:hint="eastAsia"/>
        </w:rPr>
        <w:t>启动应急</w:t>
      </w:r>
    </w:p>
    <w:p w14:paraId="1AAD6556">
      <w:pPr>
        <w:ind w:firstLine="632"/>
      </w:pPr>
      <w:r>
        <w:rPr>
          <w:rFonts w:hint="eastAsia"/>
        </w:rPr>
        <w:t>发生大型地质灾害灾险情；发生跨市的、超出双鸭山市应对能力的中型突发地质灾害灾险情；发生地质灾害本身比较敏感，或发生在重点地区或重大活动举办、重要会议召开等时期的中型突发地质灾害灾险情，逐级报双鸭山市委、市政府、省地质灾害指挥部、省应急委决定启动Ⅱ级响应。</w:t>
      </w:r>
    </w:p>
    <w:p w14:paraId="6D424A7E">
      <w:pPr>
        <w:pStyle w:val="5"/>
        <w:numPr>
          <w:ilvl w:val="3"/>
          <w:numId w:val="102"/>
        </w:numPr>
      </w:pPr>
      <w:r>
        <w:rPr>
          <w:rFonts w:hint="eastAsia"/>
        </w:rPr>
        <w:t>指挥与部署</w:t>
      </w:r>
    </w:p>
    <w:p w14:paraId="6BC0FA41">
      <w:pPr>
        <w:ind w:firstLine="632"/>
      </w:pPr>
      <w:r>
        <w:rPr>
          <w:rFonts w:hint="eastAsia"/>
        </w:rPr>
        <w:t>在省委、省政府统一领导下，组织开展突发地质灾害应急处置与救援工作。主要是：</w:t>
      </w:r>
    </w:p>
    <w:p w14:paraId="4060EDE0">
      <w:pPr>
        <w:ind w:firstLine="632"/>
      </w:pPr>
      <w:r>
        <w:rPr>
          <w:rFonts w:hint="eastAsia"/>
        </w:rPr>
        <w:t>（1）逐级上报双鸭山、省、党中央、国务院应急管理部门、自然资源管理部门险情和应急处置工作进展情况。按照党中央、国务院领导指示批示要求，按照省委、省政府统一部署开展处置工作。</w:t>
      </w:r>
    </w:p>
    <w:p w14:paraId="5F1AC495">
      <w:pPr>
        <w:ind w:firstLine="632"/>
      </w:pPr>
      <w:r>
        <w:rPr>
          <w:rFonts w:hint="eastAsia"/>
        </w:rPr>
        <w:t>（2）配合省地质灾害指挥部组织召开指挥部工作会议，设立现场指挥机构，成立工作组，组织、协调各工作组按照各自职责开展综合协调、抢险救援、技术支撑、调查评估、群众安置、医疗救治、通信保障、交通保障、社会治安、宣传报道等应急处置和救援工作。</w:t>
      </w:r>
    </w:p>
    <w:p w14:paraId="29563B74">
      <w:pPr>
        <w:ind w:firstLine="632"/>
      </w:pPr>
      <w:r>
        <w:rPr>
          <w:rFonts w:hint="eastAsia"/>
        </w:rPr>
        <w:t>（3）集贤县人民政府立即启动相关的应急预案和应急指挥系统，配合省地质灾害指挥部具体指挥，组织开展应急处置工作，组织财政、自规、住建、交通、水务、民政、气象等有关部门的专家和应急处置人员，及时赶赴现场，加强监测，采取应急措施，防止灾情扩大，快速高效做好人员搜救、灾情调查、险情分析、次生灾害防范等应急处置工作，并妥善安排受灾群众生活、医疗和心理救助，全力维护灾区社会稳定。并及时逐级向双鸭山市委、市政府、省委、省政府和省地质灾害指挥部报告事件的相关情况。</w:t>
      </w:r>
    </w:p>
    <w:p w14:paraId="0E9FEC36">
      <w:pPr>
        <w:pStyle w:val="5"/>
        <w:numPr>
          <w:ilvl w:val="3"/>
          <w:numId w:val="102"/>
        </w:numPr>
      </w:pPr>
      <w:r>
        <w:rPr>
          <w:rFonts w:hint="eastAsia"/>
        </w:rPr>
        <w:t>应急处置措施</w:t>
      </w:r>
    </w:p>
    <w:p w14:paraId="76BE2A06">
      <w:pPr>
        <w:ind w:firstLine="632"/>
      </w:pPr>
      <w:r>
        <w:rPr>
          <w:rFonts w:hint="eastAsia"/>
        </w:rPr>
        <w:t>配合省地质灾害指挥部各工作组，根据灾险情应急处置和救援需要，参照I级应急响应处置措施中的有关条款执行。</w:t>
      </w:r>
    </w:p>
    <w:p w14:paraId="48609C92">
      <w:pPr>
        <w:pStyle w:val="4"/>
        <w:numPr>
          <w:ilvl w:val="2"/>
          <w:numId w:val="102"/>
        </w:numPr>
        <w:tabs>
          <w:tab w:val="left" w:pos="0"/>
        </w:tabs>
        <w:rPr>
          <w:rFonts w:ascii="仿宋_GB2312" w:hAnsi="仿宋_GB2312" w:eastAsia="仿宋_GB2312" w:cs="仿宋_GB2312"/>
        </w:rPr>
      </w:pPr>
      <w:r>
        <w:rPr>
          <w:rFonts w:hint="eastAsia" w:ascii="仿宋_GB2312" w:hAnsi="仿宋_GB2312" w:eastAsia="仿宋_GB2312" w:cs="仿宋_GB2312"/>
        </w:rPr>
        <w:t>I级应急响应</w:t>
      </w:r>
    </w:p>
    <w:p w14:paraId="010C886A">
      <w:pPr>
        <w:ind w:firstLine="632"/>
      </w:pPr>
      <w:r>
        <w:rPr>
          <w:rFonts w:hint="eastAsia"/>
        </w:rPr>
        <w:t>对出现灾害前兆、可能造成人员伤亡和重大财产损失的特大型和大型地质灾害险情，县政府及时划定地质灾害危险区，向社会公告并设立明显的警示标志；组织制定防灾避险方案，明确防灾责任人、预警信号、疏散路线及临时安置场所等；组织力量严密监测地质灾害发展变化。紧急情况下，要迅速启动防灾避险方案，及时有序组织群众安全转移。</w:t>
      </w:r>
    </w:p>
    <w:p w14:paraId="4A81BD5C">
      <w:pPr>
        <w:pStyle w:val="5"/>
        <w:numPr>
          <w:ilvl w:val="3"/>
          <w:numId w:val="102"/>
        </w:numPr>
      </w:pPr>
      <w:r>
        <w:rPr>
          <w:rFonts w:hint="eastAsia"/>
        </w:rPr>
        <w:t>启动应急</w:t>
      </w:r>
    </w:p>
    <w:p w14:paraId="5B32DA80">
      <w:pPr>
        <w:ind w:firstLine="632"/>
      </w:pPr>
      <w:r>
        <w:rPr>
          <w:rFonts w:hint="eastAsia"/>
        </w:rPr>
        <w:t>发生特大型地质灾害灾险情，逐级上报双鸭山市委、市政府、省应急委、省委、省政府同意后启动地质灾害I级响应。</w:t>
      </w:r>
    </w:p>
    <w:p w14:paraId="52EF1BB3">
      <w:pPr>
        <w:pStyle w:val="5"/>
        <w:numPr>
          <w:ilvl w:val="3"/>
          <w:numId w:val="102"/>
        </w:numPr>
      </w:pPr>
      <w:r>
        <w:rPr>
          <w:rFonts w:hint="eastAsia"/>
        </w:rPr>
        <w:t>指挥与部署</w:t>
      </w:r>
    </w:p>
    <w:p w14:paraId="5D32B173">
      <w:pPr>
        <w:ind w:firstLine="632"/>
      </w:pPr>
      <w:r>
        <w:rPr>
          <w:rFonts w:hint="eastAsia"/>
        </w:rPr>
        <w:t>在党中央、国务院和省委、省政府的统一领导下，组织开展突发地质灾害应急处置与救援工作。主要是：</w:t>
      </w:r>
    </w:p>
    <w:p w14:paraId="7A24D52B">
      <w:pPr>
        <w:ind w:firstLine="632"/>
      </w:pPr>
      <w:r>
        <w:rPr>
          <w:rFonts w:hint="eastAsia"/>
        </w:rPr>
        <w:t>（1）逐级上报双鸭山、省、党中央、国务院应急管理部门、自然资源管理部门险情和应急处置工作进展情况。按照中央领导指示批示要求，统一部署开展处置工作。</w:t>
      </w:r>
    </w:p>
    <w:p w14:paraId="0AA62D14">
      <w:pPr>
        <w:ind w:firstLine="632"/>
      </w:pPr>
      <w:r>
        <w:rPr>
          <w:rFonts w:hint="eastAsia"/>
        </w:rPr>
        <w:t>（2）配合省地质灾害指挥部组织召开指挥部会议，设立现场指挥机构，成立工作组，组织、协调各工作组按照各自职责开展综合协调、抢险救援、技术支撑、调查评估、群众安置、医疗救治、军队协调、通信保障、交通保障、社会治安、宣传报道等应急处置和救援工作。</w:t>
      </w:r>
    </w:p>
    <w:p w14:paraId="27278616">
      <w:pPr>
        <w:ind w:firstLine="632"/>
      </w:pPr>
      <w:r>
        <w:rPr>
          <w:rFonts w:hint="eastAsia"/>
        </w:rPr>
        <w:t>（3）集贤县人民政府立即启动相关的应急预案和应急指挥系统，配合省地质灾害指挥部具体指挥，组织开展应急处置工作，组织财政、自规、住建、交通、水务、民政、气象等有关部门的专家和应急处置人员，及时赶赴现场，加强监测，采取应急措施，防止灾情扩大，快速高效做好人员搜救、灾情调查、险情分析、次生灾害防范等应急处置工作，并妥善安排受灾群众生活、医疗和心理救助，全力维护灾区社会稳定。并及时逐级向双鸭山市委、市政府、省委、省政府和省地质灾害指挥部报告事件的相关情况。</w:t>
      </w:r>
    </w:p>
    <w:p w14:paraId="01618890">
      <w:pPr>
        <w:pStyle w:val="5"/>
        <w:numPr>
          <w:ilvl w:val="3"/>
          <w:numId w:val="102"/>
        </w:numPr>
      </w:pPr>
      <w:r>
        <w:rPr>
          <w:rFonts w:hint="eastAsia"/>
        </w:rPr>
        <w:t>应急处置措施</w:t>
      </w:r>
    </w:p>
    <w:p w14:paraId="587D4B7B">
      <w:pPr>
        <w:ind w:firstLine="632"/>
      </w:pPr>
      <w:r>
        <w:rPr>
          <w:rFonts w:hint="eastAsia"/>
        </w:rPr>
        <w:t>集贤县地质灾害指挥部各工作组，根据灾险情应急处置和救援需要，应及时做好以下应对处置工作：</w:t>
      </w:r>
    </w:p>
    <w:p w14:paraId="28E8A42B">
      <w:pPr>
        <w:ind w:firstLine="632"/>
      </w:pPr>
      <w:r>
        <w:rPr>
          <w:rFonts w:hint="eastAsia"/>
        </w:rPr>
        <w:t>（1）加强气象风险预警预报。开展应急值班值守工作，根据应急工作需要，加强开展灾区气象条件和天气趋势监测预报，动态发布突发地质灾害气象风险预警信息。</w:t>
      </w:r>
    </w:p>
    <w:p w14:paraId="484257D1">
      <w:pPr>
        <w:ind w:firstLine="632"/>
      </w:pPr>
      <w:r>
        <w:rPr>
          <w:rFonts w:hint="eastAsia"/>
        </w:rPr>
        <w:t>（2）立即组织避险转移。指导事发地乡镇按照群测群防责任的规定，立即将有关信息通知到地质危险点的防灾责任人、监测人员和受威胁的群众，组织群众转移避让或采取排危除险措施，及时划定地质灾害危险区，设立明显标志，禁止无关人员进入。</w:t>
      </w:r>
    </w:p>
    <w:p w14:paraId="19CEA44D">
      <w:pPr>
        <w:ind w:firstLine="632"/>
      </w:pPr>
      <w:r>
        <w:rPr>
          <w:rFonts w:hint="eastAsia"/>
        </w:rPr>
        <w:t>（3）开展灾险情监测与研判。组织专业队伍及专家指导开展应急调查及现场和周边地质灾害隐患排查、监测预警，会商研判灾险情及发展趋势，为抢险救援工作提供技术支撑。</w:t>
      </w:r>
    </w:p>
    <w:p w14:paraId="5F5EB9E5">
      <w:pPr>
        <w:ind w:firstLine="632"/>
      </w:pPr>
      <w:r>
        <w:rPr>
          <w:rFonts w:hint="eastAsia"/>
        </w:rPr>
        <w:t>（4）开展灾情调查评估与报送。开展灾险情调查，对灾区损失情况进行评估和统计汇总，按规定程序和要求及时报送灾险情信息和应急处置工作情况。</w:t>
      </w:r>
    </w:p>
    <w:p w14:paraId="54C0FC7F">
      <w:pPr>
        <w:ind w:firstLine="632"/>
      </w:pPr>
      <w:r>
        <w:rPr>
          <w:rFonts w:hint="eastAsia"/>
        </w:rPr>
        <w:t>（5）开展人员搜救。立即组织基层组织、有关单位和广大干部群众开展自救互救，组织协调各方应急救援力量，调配大型吊车、起重机、千斤顶、生命探测仪等救援装备，开展被困或失联人员搜救，并根据工作需要，按程序提请驻军及武警部队参与抢险救援。在省地质灾害指挥部统一领导和协调下，现场救援队伍加强协调和配合，合理划分责任边界，遇有危险时及时传递警报，确保自身防护安全。</w:t>
      </w:r>
    </w:p>
    <w:p w14:paraId="73276450">
      <w:pPr>
        <w:ind w:firstLine="632"/>
      </w:pPr>
      <w:r>
        <w:rPr>
          <w:rFonts w:hint="eastAsia"/>
        </w:rPr>
        <w:t>（6）采取应急处置措施。结合灾险情评估和趋势研判情况，在确保安全的前提下，组织专业技术队伍采取一定期限的排危除险等应急处置措施，延缓灾害发展进程，减轻灾害造成的损失，防止造成二次伤亡。</w:t>
      </w:r>
    </w:p>
    <w:p w14:paraId="27E5F268">
      <w:pPr>
        <w:ind w:firstLine="632"/>
      </w:pPr>
      <w:r>
        <w:rPr>
          <w:rFonts w:hint="eastAsia"/>
        </w:rPr>
        <w:t>（7）开展医疗救治。迅速协调组织应急医疗队伍赶赴现场，抢救受伤群众，必要时建立医疗点，实施现场救治。加强救护车、医疗器械、药品等医疗物资的组织调度，确保被救人员得到及时医治，最大程度减少伤员致死致残。统筹周边地区的医疗资源，根据需要及时分流重伤员，实施异地救治。开展灾后心理援助。</w:t>
      </w:r>
    </w:p>
    <w:p w14:paraId="50FEDE18">
      <w:pPr>
        <w:ind w:firstLine="632"/>
      </w:pPr>
      <w:r>
        <w:rPr>
          <w:rFonts w:hint="eastAsia"/>
        </w:rPr>
        <w:t>（8）安置受灾群众。开放应急避难场所或设置集中安置点，对安置场所进行地震、洪灾、地质灾害等灾害风险评估，确保安置场所安全；组织和调运食品、饮用水、帐篷、衣被等各类救灾物资，保障好受灾群众基本生活需求；在受灾群众集中安置点配备必要的消防器材，严防火灾发生。鼓励采取投亲靠友等方式，广泛动员社会力量安置受灾群众。</w:t>
      </w:r>
    </w:p>
    <w:p w14:paraId="2B01C70A">
      <w:pPr>
        <w:ind w:firstLine="632"/>
      </w:pPr>
      <w:r>
        <w:rPr>
          <w:rFonts w:hint="eastAsia"/>
        </w:rPr>
        <w:t>（9）抢修基础设施。抢修因灾损毁的公路等交通基础设施，协调运力，优先保障应急抢险救援人员、救灾物资和伤病员运输需要。抢修供电、供水、通信、广播电视等基础设施，保障灾区群众生活需要和应急处置工作正常开展。</w:t>
      </w:r>
    </w:p>
    <w:p w14:paraId="79110A80">
      <w:pPr>
        <w:ind w:firstLine="632"/>
      </w:pPr>
      <w:r>
        <w:rPr>
          <w:rFonts w:hint="eastAsia"/>
        </w:rPr>
        <w:t>（10）维护社会治安。加强灾区治安、道路交通管理，加强重点单位、重点部位安全保卫工作，依法打击各类犯罪活动，做好社会治安风险监测、矛盾纠纷化解，严密防范、妥善处置群体性事件，维护社会稳定。</w:t>
      </w:r>
    </w:p>
    <w:p w14:paraId="1359CFEB">
      <w:pPr>
        <w:ind w:firstLine="632"/>
      </w:pPr>
      <w:r>
        <w:rPr>
          <w:rFonts w:hint="eastAsia"/>
        </w:rPr>
        <w:t>（11）做好新闻宣传与舆情应对。统筹做好灾险情应急处置和抢险救援新闻报道工作。加强舆论应对和引导，依法打击编造、传播虚假信息的行为。</w:t>
      </w:r>
    </w:p>
    <w:p w14:paraId="10E04822">
      <w:pPr>
        <w:ind w:firstLine="632"/>
      </w:pPr>
      <w:r>
        <w:rPr>
          <w:rFonts w:hint="eastAsia"/>
        </w:rPr>
        <w:t>（12）涉及应急处置和抢险救援的其他措施。</w:t>
      </w:r>
    </w:p>
    <w:p w14:paraId="416540E9">
      <w:pPr>
        <w:pStyle w:val="3"/>
      </w:pPr>
      <w:bookmarkStart w:id="459" w:name="_Toc11014"/>
      <w:r>
        <w:rPr>
          <w:rFonts w:hint="eastAsia"/>
        </w:rPr>
        <w:t>信息发布</w:t>
      </w:r>
      <w:bookmarkEnd w:id="459"/>
    </w:p>
    <w:p w14:paraId="2638A14A">
      <w:pPr>
        <w:ind w:firstLine="632"/>
      </w:pPr>
      <w:r>
        <w:rPr>
          <w:rFonts w:hint="eastAsia"/>
        </w:rPr>
        <w:t>实行分级授权发布。特大型和大型地质灾害灾险情和抢险救援信息由省级地质灾害指挥部审核发布；中型地质灾害灾险情和抢险救援信息由双鸭山市地质灾害指挥机构审核发布；小型地质灾害灾险情和抢险救援信息由集贤县地质灾害指挥机构审核发布。</w:t>
      </w:r>
    </w:p>
    <w:p w14:paraId="3AC5D020">
      <w:pPr>
        <w:ind w:firstLine="632"/>
      </w:pPr>
      <w:r>
        <w:rPr>
          <w:rFonts w:hint="eastAsia"/>
        </w:rPr>
        <w:t>灾险情及抢险救灾信息发布应及时、准确、客观、全面。信息发布形式主要包括授权发布、印发新闻稿、组织报道、接受记者采访、举行新闻发布会等。</w:t>
      </w:r>
    </w:p>
    <w:p w14:paraId="0B679AAC">
      <w:pPr>
        <w:pStyle w:val="3"/>
      </w:pPr>
      <w:bookmarkStart w:id="460" w:name="_Toc10348"/>
      <w:r>
        <w:rPr>
          <w:rFonts w:hint="eastAsia"/>
        </w:rPr>
        <w:t>应急结束</w:t>
      </w:r>
      <w:bookmarkEnd w:id="460"/>
    </w:p>
    <w:p w14:paraId="72A3A331">
      <w:pPr>
        <w:ind w:firstLine="632"/>
      </w:pPr>
      <w:r>
        <w:rPr>
          <w:rFonts w:hint="eastAsia"/>
        </w:rPr>
        <w:t>突发地质灾害应急处置工作结束，或相关威胁和危害得到有效控制，由启动相应应急响应的机构宣布终止应急响应。</w:t>
      </w:r>
    </w:p>
    <w:p w14:paraId="4E9FEEB4">
      <w:pPr>
        <w:pStyle w:val="2"/>
        <w:numPr>
          <w:ilvl w:val="0"/>
          <w:numId w:val="102"/>
        </w:numPr>
        <w:tabs>
          <w:tab w:val="left" w:pos="0"/>
        </w:tabs>
        <w:rPr>
          <w:sz w:val="32"/>
          <w:szCs w:val="32"/>
        </w:rPr>
      </w:pPr>
      <w:bookmarkStart w:id="461" w:name="_Toc17771"/>
      <w:r>
        <w:rPr>
          <w:rFonts w:hint="eastAsia"/>
          <w:sz w:val="32"/>
          <w:szCs w:val="32"/>
        </w:rPr>
        <w:t>后期处置</w:t>
      </w:r>
      <w:bookmarkEnd w:id="461"/>
    </w:p>
    <w:p w14:paraId="77B6EA0E">
      <w:pPr>
        <w:pStyle w:val="3"/>
      </w:pPr>
      <w:bookmarkStart w:id="462" w:name="_Toc10374"/>
      <w:r>
        <w:rPr>
          <w:rFonts w:hint="eastAsia"/>
        </w:rPr>
        <w:t>灾情评估</w:t>
      </w:r>
      <w:bookmarkEnd w:id="462"/>
    </w:p>
    <w:p w14:paraId="4C6E9076">
      <w:pPr>
        <w:ind w:firstLine="632"/>
      </w:pPr>
      <w:r>
        <w:rPr>
          <w:rFonts w:hint="eastAsia"/>
        </w:rPr>
        <w:t>特大型、大型突发地质灾害应急响应终止后，由省应急厅组织开展灾情评估，并会同省级有关部门、双鸭山市、集贤县人民政府，对受灾情况进行调查和核实，评估损失。中型突发地质灾害灾情评估由双鸭山市人民政府有关部门负责落实。小型突发地质灾害灾情评估由集贤县人民政府相关部门负责落实。</w:t>
      </w:r>
    </w:p>
    <w:p w14:paraId="311C694E">
      <w:pPr>
        <w:pStyle w:val="3"/>
      </w:pPr>
      <w:bookmarkStart w:id="463" w:name="_Toc9183"/>
      <w:r>
        <w:rPr>
          <w:rFonts w:hint="eastAsia"/>
        </w:rPr>
        <w:t>恢复重建</w:t>
      </w:r>
      <w:bookmarkEnd w:id="463"/>
    </w:p>
    <w:p w14:paraId="5E123BF7">
      <w:pPr>
        <w:ind w:firstLine="632"/>
      </w:pPr>
      <w:r>
        <w:rPr>
          <w:rFonts w:hint="eastAsia"/>
        </w:rPr>
        <w:t>突发地质灾害应对工作结束后，事发地乡镇应做好救助、补偿、抚慰、抚恤、安置等工作，并根据灾害损失实际，组织开展灾后恢复重建工作。县级相关单位按照各自职责给予指导和帮助，负责职责范围内的恢复重建工作。</w:t>
      </w:r>
    </w:p>
    <w:p w14:paraId="2AE8B081">
      <w:pPr>
        <w:pStyle w:val="2"/>
        <w:numPr>
          <w:ilvl w:val="0"/>
          <w:numId w:val="102"/>
        </w:numPr>
        <w:tabs>
          <w:tab w:val="left" w:pos="0"/>
        </w:tabs>
        <w:rPr>
          <w:sz w:val="32"/>
          <w:szCs w:val="32"/>
        </w:rPr>
      </w:pPr>
      <w:bookmarkStart w:id="464" w:name="_Toc2826"/>
      <w:r>
        <w:rPr>
          <w:rFonts w:hint="eastAsia"/>
          <w:sz w:val="32"/>
          <w:szCs w:val="32"/>
        </w:rPr>
        <w:t>应急保障</w:t>
      </w:r>
      <w:bookmarkEnd w:id="464"/>
    </w:p>
    <w:p w14:paraId="39BE4909">
      <w:pPr>
        <w:pStyle w:val="3"/>
      </w:pPr>
      <w:bookmarkStart w:id="465" w:name="_Toc13395"/>
      <w:r>
        <w:rPr>
          <w:rFonts w:hint="eastAsia"/>
        </w:rPr>
        <w:t>应急队伍、资金、物资、装备保障</w:t>
      </w:r>
      <w:bookmarkEnd w:id="465"/>
    </w:p>
    <w:p w14:paraId="6F3C2ADB">
      <w:pPr>
        <w:pStyle w:val="4"/>
        <w:numPr>
          <w:ilvl w:val="2"/>
          <w:numId w:val="102"/>
        </w:numPr>
        <w:tabs>
          <w:tab w:val="left" w:pos="0"/>
        </w:tabs>
        <w:rPr>
          <w:rFonts w:ascii="仿宋_GB2312" w:hAnsi="仿宋_GB2312" w:eastAsia="仿宋_GB2312" w:cs="仿宋_GB2312"/>
        </w:rPr>
      </w:pPr>
      <w:r>
        <w:rPr>
          <w:rFonts w:hint="eastAsia" w:ascii="仿宋_GB2312" w:hAnsi="仿宋_GB2312" w:eastAsia="仿宋_GB2312" w:cs="仿宋_GB2312"/>
        </w:rPr>
        <w:t>应急队伍保障</w:t>
      </w:r>
    </w:p>
    <w:p w14:paraId="334D69BA">
      <w:pPr>
        <w:ind w:firstLine="632"/>
      </w:pPr>
      <w:r>
        <w:rPr>
          <w:rFonts w:hint="eastAsia"/>
        </w:rPr>
        <w:t>集贤县自然资源局要强化地质灾害防治，集贤县应急管理局等应急抢险部门要加强救灾队伍建设，确保灾害发生后应急防治与救灾力量及时到位。专业应急防治与救灾队伍、乡镇、社区及应急救援志愿者组织等，平时要有针对性地开展避险与应急救灾演练，锻炼队伍，熟悉程序，完善预案，提高防治与救援处置能力。</w:t>
      </w:r>
    </w:p>
    <w:p w14:paraId="30D4416C">
      <w:pPr>
        <w:pStyle w:val="4"/>
        <w:numPr>
          <w:ilvl w:val="2"/>
          <w:numId w:val="102"/>
        </w:numPr>
        <w:tabs>
          <w:tab w:val="left" w:pos="0"/>
        </w:tabs>
        <w:rPr>
          <w:rFonts w:ascii="仿宋_GB2312" w:hAnsi="仿宋_GB2312" w:eastAsia="仿宋_GB2312" w:cs="仿宋_GB2312"/>
        </w:rPr>
      </w:pPr>
      <w:r>
        <w:rPr>
          <w:rFonts w:hint="eastAsia" w:ascii="仿宋_GB2312" w:hAnsi="仿宋_GB2312" w:eastAsia="仿宋_GB2312" w:cs="仿宋_GB2312"/>
        </w:rPr>
        <w:t>资金保障</w:t>
      </w:r>
    </w:p>
    <w:p w14:paraId="342BEF4D">
      <w:pPr>
        <w:ind w:firstLine="632"/>
      </w:pPr>
      <w:r>
        <w:rPr>
          <w:rFonts w:hint="eastAsia"/>
        </w:rPr>
        <w:t>各乡镇应将地质灾害防治与应急处置经费纳入财政预算予以保障。突发地质灾害应急处置和救援、救灾补助等资金按国家、省、市有关规定执行。</w:t>
      </w:r>
    </w:p>
    <w:p w14:paraId="06ED3796">
      <w:pPr>
        <w:pStyle w:val="4"/>
        <w:numPr>
          <w:ilvl w:val="2"/>
          <w:numId w:val="102"/>
        </w:numPr>
        <w:tabs>
          <w:tab w:val="left" w:pos="0"/>
        </w:tabs>
        <w:rPr>
          <w:rFonts w:ascii="仿宋_GB2312" w:hAnsi="仿宋_GB2312" w:eastAsia="仿宋_GB2312" w:cs="仿宋_GB2312"/>
        </w:rPr>
      </w:pPr>
      <w:r>
        <w:rPr>
          <w:rFonts w:hint="eastAsia" w:ascii="仿宋_GB2312" w:hAnsi="仿宋_GB2312" w:eastAsia="仿宋_GB2312" w:cs="仿宋_GB2312"/>
        </w:rPr>
        <w:t>物资及装备保障</w:t>
      </w:r>
    </w:p>
    <w:p w14:paraId="6CF94AD4">
      <w:pPr>
        <w:ind w:firstLine="632"/>
      </w:pPr>
      <w:r>
        <w:rPr>
          <w:rFonts w:hint="eastAsia"/>
        </w:rPr>
        <w:t>各乡镇要加强抢险救灾及防治装备建设和专用物资储备，保证抢险救灾物资的供应。</w:t>
      </w:r>
    </w:p>
    <w:p w14:paraId="688B4205">
      <w:pPr>
        <w:pStyle w:val="3"/>
      </w:pPr>
      <w:bookmarkStart w:id="466" w:name="_Toc7374"/>
      <w:r>
        <w:rPr>
          <w:rFonts w:hint="eastAsia"/>
        </w:rPr>
        <w:t>通信与信息传递</w:t>
      </w:r>
      <w:bookmarkEnd w:id="466"/>
    </w:p>
    <w:p w14:paraId="7E9BE158">
      <w:pPr>
        <w:ind w:firstLine="632"/>
      </w:pPr>
      <w:r>
        <w:rPr>
          <w:rFonts w:hint="eastAsia"/>
        </w:rPr>
        <w:t>加强地质灾害监测、预报、预警信息系统建设，充分利用现代通信手段和网络技术，逐步建立覆盖全县的地质灾害应急管理信息平台，并实现部门间相关信息的互通共享。</w:t>
      </w:r>
    </w:p>
    <w:p w14:paraId="1E4289D4">
      <w:pPr>
        <w:pStyle w:val="3"/>
      </w:pPr>
      <w:bookmarkStart w:id="467" w:name="_Toc29769"/>
      <w:r>
        <w:rPr>
          <w:rFonts w:hint="eastAsia"/>
        </w:rPr>
        <w:t>应急技术保障</w:t>
      </w:r>
      <w:bookmarkEnd w:id="467"/>
    </w:p>
    <w:p w14:paraId="5503B957">
      <w:pPr>
        <w:ind w:firstLine="632"/>
      </w:pPr>
      <w:r>
        <w:rPr>
          <w:rFonts w:hint="eastAsia"/>
        </w:rPr>
        <w:t>加强与地质灾害专家库及技术支撑队伍合作，为地质灾害防治和应急救援处置工作提供技术支撑和决策咨询服务。</w:t>
      </w:r>
    </w:p>
    <w:p w14:paraId="64448DBA">
      <w:pPr>
        <w:pStyle w:val="3"/>
      </w:pPr>
      <w:bookmarkStart w:id="468" w:name="_Toc16708"/>
      <w:r>
        <w:t>宣传、培训与演练</w:t>
      </w:r>
      <w:bookmarkEnd w:id="468"/>
    </w:p>
    <w:p w14:paraId="5FC6F2C9">
      <w:pPr>
        <w:ind w:firstLine="632"/>
      </w:pPr>
      <w:r>
        <w:t>加强公众识灾、防灾、减灾、救灾知识的宣传和培训，对广大干部和群众进行多层级、宽领域地质灾害防治知识教育，增强公众的防灾意识和自救互救能力，各</w:t>
      </w:r>
      <w:r>
        <w:rPr>
          <w:rFonts w:hint="eastAsia"/>
        </w:rPr>
        <w:t>乡镇</w:t>
      </w:r>
      <w:r>
        <w:t>每年至少组织开展一次地质灾害中大型演练。</w:t>
      </w:r>
    </w:p>
    <w:p w14:paraId="3B71B0AF">
      <w:pPr>
        <w:pStyle w:val="2"/>
        <w:numPr>
          <w:ilvl w:val="0"/>
          <w:numId w:val="102"/>
        </w:numPr>
        <w:tabs>
          <w:tab w:val="left" w:pos="0"/>
        </w:tabs>
        <w:rPr>
          <w:sz w:val="32"/>
          <w:szCs w:val="32"/>
        </w:rPr>
      </w:pPr>
      <w:bookmarkStart w:id="469" w:name="_Toc3454"/>
      <w:r>
        <w:rPr>
          <w:sz w:val="32"/>
          <w:szCs w:val="32"/>
        </w:rPr>
        <w:t>预案管理与更新</w:t>
      </w:r>
      <w:bookmarkEnd w:id="469"/>
    </w:p>
    <w:p w14:paraId="75001125">
      <w:pPr>
        <w:pStyle w:val="3"/>
      </w:pPr>
      <w:bookmarkStart w:id="470" w:name="_Toc18176"/>
      <w:r>
        <w:t>预案编制</w:t>
      </w:r>
      <w:bookmarkEnd w:id="470"/>
    </w:p>
    <w:p w14:paraId="3DDCCF4F">
      <w:pPr>
        <w:ind w:firstLine="632"/>
      </w:pPr>
      <w:r>
        <w:rPr>
          <w:rFonts w:hint="eastAsia"/>
        </w:rPr>
        <w:t>集贤县自然资源局</w:t>
      </w:r>
      <w:r>
        <w:t>负责编制完善本预案，报</w:t>
      </w:r>
      <w:r>
        <w:rPr>
          <w:rFonts w:hint="eastAsia"/>
        </w:rPr>
        <w:t>集贤</w:t>
      </w:r>
      <w:r>
        <w:t>县人民政府批准后实施。地质灾害易发区各</w:t>
      </w:r>
      <w:r>
        <w:rPr>
          <w:rFonts w:hint="eastAsia"/>
        </w:rPr>
        <w:t>乡镇</w:t>
      </w:r>
      <w:r>
        <w:t>地质灾害指挥机构应参照本预案，制定完善本行政区域内的突发地质灾害应急预案，报本级政府批准后实施，并报</w:t>
      </w:r>
      <w:r>
        <w:rPr>
          <w:rFonts w:hint="eastAsia"/>
        </w:rPr>
        <w:t>集贤</w:t>
      </w:r>
      <w:r>
        <w:t>县地质灾害指挥部备案。有关部门制订本部门的突发地质灾害应急预案，经部门主要负责同志批准后印发实施。</w:t>
      </w:r>
    </w:p>
    <w:p w14:paraId="012A6101">
      <w:pPr>
        <w:pStyle w:val="3"/>
      </w:pPr>
      <w:bookmarkStart w:id="471" w:name="_Toc22742"/>
      <w:r>
        <w:t>预案更新</w:t>
      </w:r>
      <w:bookmarkEnd w:id="471"/>
    </w:p>
    <w:p w14:paraId="717E5517">
      <w:pPr>
        <w:ind w:firstLine="632"/>
      </w:pPr>
      <w:r>
        <w:t>县地质灾害指挥部办公室根据我县经济社会发展情况和突发地质灾害应对工作实际，适时组织修订完善本预案，并报县人民政府批准后实施。</w:t>
      </w:r>
    </w:p>
    <w:p w14:paraId="34E8A6B7">
      <w:pPr>
        <w:pStyle w:val="2"/>
        <w:numPr>
          <w:ilvl w:val="0"/>
          <w:numId w:val="102"/>
        </w:numPr>
        <w:tabs>
          <w:tab w:val="left" w:pos="0"/>
        </w:tabs>
        <w:rPr>
          <w:sz w:val="32"/>
          <w:szCs w:val="32"/>
        </w:rPr>
      </w:pPr>
      <w:bookmarkStart w:id="472" w:name="_Toc23922"/>
      <w:r>
        <w:rPr>
          <w:sz w:val="32"/>
          <w:szCs w:val="32"/>
        </w:rPr>
        <w:t>责任与奖惩</w:t>
      </w:r>
      <w:bookmarkEnd w:id="472"/>
    </w:p>
    <w:p w14:paraId="3C42E0E4">
      <w:pPr>
        <w:pStyle w:val="3"/>
      </w:pPr>
      <w:bookmarkStart w:id="473" w:name="_Toc438"/>
      <w:r>
        <w:t>奖励</w:t>
      </w:r>
      <w:bookmarkEnd w:id="473"/>
    </w:p>
    <w:p w14:paraId="5ACFA019">
      <w:pPr>
        <w:ind w:firstLine="632"/>
      </w:pPr>
      <w:r>
        <w:t>对在地质灾害防治和应急处置工作中贡献突出的单位和个人，按照《地质灾害防治条例》等相关规定给予表彰和奖励。</w:t>
      </w:r>
    </w:p>
    <w:p w14:paraId="43D92F94">
      <w:pPr>
        <w:pStyle w:val="3"/>
      </w:pPr>
      <w:bookmarkStart w:id="474" w:name="_Toc7506"/>
      <w:r>
        <w:t>责任追究</w:t>
      </w:r>
      <w:bookmarkEnd w:id="474"/>
    </w:p>
    <w:p w14:paraId="3E0F354B">
      <w:pPr>
        <w:ind w:firstLine="632"/>
      </w:pPr>
      <w:r>
        <w:t>对引发地质灾害的单位和个人的责任追究，按照《地质灾害防治条例》相关规定处理；对在地质灾害防治和应急救援处置中失职、渎职的人员，依据国家有关</w:t>
      </w:r>
      <w:r>
        <w:rPr>
          <w:rFonts w:hint="eastAsia"/>
        </w:rPr>
        <w:t>法律法规</w:t>
      </w:r>
      <w:r>
        <w:t>追究责任。迟报、漏报、瞒报、谎报地质灾害灾险情信息的，将视情况按有关规定追究相关责任人责任。</w:t>
      </w:r>
    </w:p>
    <w:p w14:paraId="7F8E150E">
      <w:pPr>
        <w:pStyle w:val="2"/>
        <w:numPr>
          <w:ilvl w:val="0"/>
          <w:numId w:val="102"/>
        </w:numPr>
        <w:tabs>
          <w:tab w:val="left" w:pos="0"/>
        </w:tabs>
        <w:rPr>
          <w:sz w:val="32"/>
          <w:szCs w:val="32"/>
        </w:rPr>
      </w:pPr>
      <w:bookmarkStart w:id="475" w:name="_Toc5430"/>
      <w:r>
        <w:rPr>
          <w:sz w:val="32"/>
          <w:szCs w:val="32"/>
        </w:rPr>
        <w:t>附则</w:t>
      </w:r>
      <w:bookmarkEnd w:id="475"/>
    </w:p>
    <w:p w14:paraId="72183AED">
      <w:pPr>
        <w:pStyle w:val="3"/>
      </w:pPr>
      <w:bookmarkStart w:id="476" w:name="_Toc24980"/>
      <w:r>
        <w:t>名词解释</w:t>
      </w:r>
      <w:bookmarkEnd w:id="476"/>
    </w:p>
    <w:p w14:paraId="5A2EDD8A">
      <w:pPr>
        <w:ind w:firstLine="632"/>
      </w:pPr>
      <w:r>
        <w:t>地质灾害易发区：指具备地质灾害发生的地质构造、地形地貌和气候条件，容易发生地质灾害的区域。</w:t>
      </w:r>
    </w:p>
    <w:p w14:paraId="376309C6">
      <w:pPr>
        <w:ind w:firstLine="632"/>
      </w:pPr>
      <w:r>
        <w:t>地质灾害危险区：指已经出现地质灾害迹象，明显可能发生地质灾害且可能造成人员伤亡和经济损失的区域或者地段。</w:t>
      </w:r>
    </w:p>
    <w:p w14:paraId="4B0715F9">
      <w:pPr>
        <w:ind w:firstLine="632"/>
      </w:pPr>
      <w:r>
        <w:t>次生灾害：指由地质灾害造成的工程结构、设施和自然环境破坏而引发的灾害，如水灾、爆炸及剧毒和强腐蚀性物质泄漏等。</w:t>
      </w:r>
    </w:p>
    <w:p w14:paraId="7591F5A2">
      <w:pPr>
        <w:ind w:firstLine="632"/>
      </w:pPr>
      <w:r>
        <w:t>生命线设施：指供水、供电、粮油、排水、燃料、热力系统及通信、交通等城市公用设施。</w:t>
      </w:r>
    </w:p>
    <w:p w14:paraId="5C3BB5EC">
      <w:pPr>
        <w:ind w:firstLine="632"/>
      </w:pPr>
      <w:r>
        <w:t>直接经济损失：指地质灾害及次生灾害造成的物质破坏，包括建筑物和其他工程结构、设施、设备、物品、财物等破坏引起的经济损失，以重新修复所需费用计算。不包括非实物财产，如货币、有价证券等损失。</w:t>
      </w:r>
    </w:p>
    <w:p w14:paraId="2A437DAC">
      <w:pPr>
        <w:ind w:firstLine="632"/>
      </w:pPr>
      <w:r>
        <w:t>地质灾害气象风险预警级别分级：指根据某一地域、地段或地点在特定时间段内受气象因素影响发生地质灾害的可能性大小而确定的预警级别。</w:t>
      </w:r>
    </w:p>
    <w:p w14:paraId="59A992F1">
      <w:pPr>
        <w:ind w:firstLine="632"/>
      </w:pPr>
      <w:r>
        <w:t>本预案有关数量的表述中，“以上”含本数，“以下”不含本数。</w:t>
      </w:r>
    </w:p>
    <w:p w14:paraId="23DBD44C">
      <w:pPr>
        <w:pStyle w:val="3"/>
      </w:pPr>
      <w:bookmarkStart w:id="477" w:name="_Toc25547"/>
      <w:r>
        <w:t>预案解释</w:t>
      </w:r>
      <w:bookmarkEnd w:id="477"/>
    </w:p>
    <w:p w14:paraId="078D04EC">
      <w:pPr>
        <w:ind w:firstLine="632"/>
      </w:pPr>
      <w:r>
        <w:t>本预案由</w:t>
      </w:r>
      <w:r>
        <w:rPr>
          <w:rFonts w:hint="eastAsia"/>
        </w:rPr>
        <w:t>集贤</w:t>
      </w:r>
      <w:r>
        <w:t>县地质灾害指挥部办公室负责解释。</w:t>
      </w:r>
    </w:p>
    <w:p w14:paraId="4AF155E1">
      <w:pPr>
        <w:pStyle w:val="3"/>
      </w:pPr>
      <w:bookmarkStart w:id="478" w:name="_Toc23778"/>
      <w:r>
        <w:t>预案实施时间</w:t>
      </w:r>
      <w:bookmarkEnd w:id="478"/>
    </w:p>
    <w:p w14:paraId="3F6ECF69">
      <w:pPr>
        <w:ind w:firstLine="632"/>
      </w:pPr>
      <w:r>
        <w:t>本预案自印发之日起实施。</w:t>
      </w:r>
    </w:p>
    <w:p w14:paraId="0FDB5F2A">
      <w:pPr>
        <w:pStyle w:val="15"/>
        <w:ind w:left="0" w:leftChars="0" w:firstLine="0" w:firstLineChars="0"/>
        <w:rPr>
          <w:rFonts w:ascii="Times New Roman" w:hAnsi="Times New Roman" w:cs="Times New Roman"/>
        </w:rPr>
        <w:sectPr>
          <w:headerReference r:id="rId36" w:type="default"/>
          <w:footerReference r:id="rId37" w:type="default"/>
          <w:footerReference r:id="rId38" w:type="even"/>
          <w:pgSz w:w="11906" w:h="16838"/>
          <w:pgMar w:top="2154" w:right="1020" w:bottom="1984" w:left="1587" w:header="624" w:footer="850" w:gutter="0"/>
          <w:pgNumType w:start="1"/>
          <w:cols w:space="720" w:num="1"/>
          <w:docGrid w:type="linesAndChars" w:linePitch="579" w:charSpace="-842"/>
        </w:sectPr>
      </w:pPr>
    </w:p>
    <w:p w14:paraId="1D786487">
      <w:pPr>
        <w:ind w:firstLine="552"/>
        <w:rPr>
          <w:rFonts w:ascii="Times New Roman" w:hAnsi="Times New Roman" w:cs="Times New Roman"/>
        </w:rPr>
      </w:pPr>
    </w:p>
    <w:p w14:paraId="5EA5B29F">
      <w:pPr>
        <w:ind w:firstLine="552"/>
        <w:rPr>
          <w:rFonts w:ascii="Times New Roman" w:hAnsi="Times New Roman" w:cs="Times New Roman"/>
        </w:rPr>
      </w:pPr>
    </w:p>
    <w:p w14:paraId="6E06806E">
      <w:pPr>
        <w:pStyle w:val="13"/>
        <w:ind w:firstLine="632"/>
        <w:rPr>
          <w:rFonts w:ascii="Times New Roman" w:hAnsi="Times New Roman" w:cs="Times New Roman"/>
        </w:rPr>
      </w:pPr>
    </w:p>
    <w:p w14:paraId="097C681D">
      <w:pPr>
        <w:ind w:firstLine="552"/>
        <w:rPr>
          <w:rFonts w:ascii="Times New Roman" w:hAnsi="Times New Roman" w:cs="Times New Roman"/>
        </w:rPr>
      </w:pPr>
    </w:p>
    <w:p w14:paraId="0D19B25F">
      <w:pPr>
        <w:ind w:firstLine="0" w:firstLineChars="0"/>
        <w:jc w:val="center"/>
        <w:rPr>
          <w:rFonts w:ascii="Times New Roman" w:hAnsi="Times New Roman" w:eastAsia="楷体" w:cs="Times New Roman"/>
          <w:b/>
          <w:bCs/>
          <w:sz w:val="72"/>
          <w:szCs w:val="72"/>
        </w:rPr>
      </w:pPr>
      <w:r>
        <w:rPr>
          <w:rFonts w:ascii="Times New Roman" w:hAnsi="Times New Roman" w:eastAsia="方正小标宋简体" w:cs="Times New Roman"/>
          <w:bCs/>
          <w:color w:val="000000"/>
          <w:spacing w:val="-6"/>
          <w:kern w:val="0"/>
          <w:sz w:val="52"/>
          <w:szCs w:val="52"/>
          <w:lang w:bidi="ar"/>
        </w:rPr>
        <w:t>集贤县森林草原火灾应急预案</w:t>
      </w:r>
    </w:p>
    <w:p w14:paraId="3F64CE5D">
      <w:pPr>
        <w:pStyle w:val="11"/>
        <w:ind w:firstLine="0" w:firstLineChars="0"/>
        <w:jc w:val="center"/>
        <w:rPr>
          <w:rFonts w:ascii="Times New Roman" w:hAnsi="Times New Roman" w:eastAsia="楷体_GB2312" w:cs="Times New Roman"/>
          <w:b/>
          <w:sz w:val="52"/>
          <w:szCs w:val="52"/>
        </w:rPr>
      </w:pPr>
      <w:r>
        <w:rPr>
          <w:rFonts w:hint="eastAsia" w:ascii="仿宋_GB2312" w:hAnsi="仿宋_GB2312" w:cs="仿宋_GB2312"/>
          <w:bCs/>
          <w:sz w:val="48"/>
          <w:szCs w:val="48"/>
        </w:rPr>
        <w:t>（修订稿）</w:t>
      </w:r>
    </w:p>
    <w:p w14:paraId="6B7C4EC8">
      <w:pPr>
        <w:pStyle w:val="11"/>
        <w:ind w:firstLine="0" w:firstLineChars="0"/>
        <w:jc w:val="center"/>
        <w:rPr>
          <w:rFonts w:ascii="Times New Roman" w:hAnsi="Times New Roman" w:eastAsia="黑体" w:cs="Times New Roman"/>
          <w:sz w:val="52"/>
          <w:szCs w:val="52"/>
        </w:rPr>
      </w:pPr>
    </w:p>
    <w:p w14:paraId="60657096">
      <w:pPr>
        <w:pStyle w:val="11"/>
        <w:ind w:firstLine="0" w:firstLineChars="0"/>
        <w:jc w:val="center"/>
        <w:rPr>
          <w:rFonts w:ascii="Times New Roman" w:hAnsi="Times New Roman" w:eastAsia="黑体" w:cs="Times New Roman"/>
          <w:sz w:val="52"/>
          <w:szCs w:val="52"/>
        </w:rPr>
      </w:pPr>
    </w:p>
    <w:p w14:paraId="3F4FDE15">
      <w:pPr>
        <w:pStyle w:val="11"/>
        <w:ind w:firstLine="0" w:firstLineChars="0"/>
        <w:jc w:val="center"/>
        <w:rPr>
          <w:rFonts w:ascii="Times New Roman" w:hAnsi="Times New Roman" w:eastAsia="黑体" w:cs="Times New Roman"/>
          <w:sz w:val="52"/>
          <w:szCs w:val="52"/>
        </w:rPr>
      </w:pPr>
    </w:p>
    <w:p w14:paraId="67EFC34F">
      <w:pPr>
        <w:pStyle w:val="11"/>
        <w:ind w:firstLine="0" w:firstLineChars="0"/>
        <w:jc w:val="center"/>
        <w:rPr>
          <w:rFonts w:ascii="Times New Roman" w:hAnsi="Times New Roman" w:eastAsia="黑体" w:cs="Times New Roman"/>
          <w:sz w:val="52"/>
          <w:szCs w:val="52"/>
        </w:rPr>
      </w:pPr>
    </w:p>
    <w:p w14:paraId="44B91B2E">
      <w:pPr>
        <w:pStyle w:val="11"/>
        <w:ind w:firstLine="0" w:firstLineChars="0"/>
        <w:jc w:val="center"/>
        <w:rPr>
          <w:rFonts w:ascii="Times New Roman" w:hAnsi="Times New Roman" w:eastAsia="楷体_GB2312" w:cs="Times New Roman"/>
          <w:spacing w:val="-12"/>
          <w:sz w:val="44"/>
          <w:szCs w:val="44"/>
        </w:rPr>
      </w:pPr>
    </w:p>
    <w:p w14:paraId="4F12DEA7">
      <w:pPr>
        <w:pStyle w:val="11"/>
        <w:ind w:firstLine="0" w:firstLineChars="0"/>
        <w:jc w:val="center"/>
        <w:rPr>
          <w:rFonts w:ascii="Times New Roman" w:hAnsi="Times New Roman" w:eastAsia="楷体_GB2312" w:cs="Times New Roman"/>
          <w:spacing w:val="-12"/>
          <w:sz w:val="44"/>
          <w:szCs w:val="44"/>
        </w:rPr>
      </w:pPr>
    </w:p>
    <w:p w14:paraId="4069EC4F">
      <w:pPr>
        <w:pStyle w:val="11"/>
        <w:ind w:firstLine="0" w:firstLineChars="0"/>
        <w:jc w:val="center"/>
        <w:rPr>
          <w:rFonts w:ascii="Times New Roman" w:hAnsi="Times New Roman" w:eastAsia="楷体_GB2312" w:cs="Times New Roman"/>
          <w:spacing w:val="-12"/>
          <w:sz w:val="44"/>
          <w:szCs w:val="44"/>
        </w:rPr>
      </w:pPr>
    </w:p>
    <w:p w14:paraId="66A1B73E">
      <w:pPr>
        <w:pStyle w:val="11"/>
        <w:ind w:firstLine="0" w:firstLineChars="0"/>
        <w:jc w:val="center"/>
        <w:rPr>
          <w:rFonts w:ascii="Times New Roman" w:hAnsi="Times New Roman" w:eastAsia="楷体_GB2312" w:cs="Times New Roman"/>
          <w:spacing w:val="-12"/>
          <w:sz w:val="44"/>
          <w:szCs w:val="44"/>
        </w:rPr>
      </w:pPr>
    </w:p>
    <w:p w14:paraId="03CF14CE">
      <w:pPr>
        <w:ind w:firstLine="0" w:firstLineChars="0"/>
        <w:jc w:val="center"/>
        <w:rPr>
          <w:rFonts w:ascii="Times New Roman" w:hAnsi="Times New Roman" w:cs="Times New Roman"/>
          <w:bCs/>
          <w:spacing w:val="-6"/>
          <w:sz w:val="36"/>
          <w:szCs w:val="24"/>
          <w:lang w:bidi="ar"/>
        </w:rPr>
      </w:pPr>
      <w:r>
        <w:rPr>
          <w:rFonts w:ascii="Times New Roman" w:hAnsi="Times New Roman" w:cs="Times New Roman"/>
          <w:bCs/>
          <w:spacing w:val="-6"/>
          <w:sz w:val="36"/>
          <w:szCs w:val="24"/>
          <w:lang w:bidi="ar"/>
        </w:rPr>
        <w:t>集贤县人民政府 编制</w:t>
      </w:r>
    </w:p>
    <w:p w14:paraId="3AD7BB50">
      <w:pPr>
        <w:ind w:firstLine="0" w:firstLineChars="0"/>
        <w:jc w:val="center"/>
        <w:rPr>
          <w:rFonts w:ascii="Times New Roman" w:hAnsi="Times New Roman" w:cs="Times New Roman"/>
          <w:bCs/>
          <w:spacing w:val="-6"/>
          <w:sz w:val="36"/>
          <w:szCs w:val="24"/>
          <w:lang w:bidi="ar"/>
        </w:rPr>
      </w:pPr>
      <w:r>
        <w:rPr>
          <w:rFonts w:ascii="Times New Roman" w:hAnsi="Times New Roman" w:cs="Times New Roman"/>
          <w:bCs/>
          <w:spacing w:val="-6"/>
          <w:sz w:val="36"/>
          <w:szCs w:val="24"/>
          <w:lang w:bidi="ar"/>
        </w:rPr>
        <w:t>2025年5月</w:t>
      </w:r>
    </w:p>
    <w:p w14:paraId="3FDD1F27">
      <w:pPr>
        <w:ind w:firstLine="688"/>
        <w:rPr>
          <w:rFonts w:ascii="Times New Roman" w:hAnsi="Times New Roman" w:cs="Times New Roman"/>
          <w:bCs/>
          <w:spacing w:val="-6"/>
          <w:sz w:val="36"/>
          <w:szCs w:val="24"/>
          <w:lang w:bidi="ar"/>
        </w:rPr>
      </w:pPr>
      <w:r>
        <w:rPr>
          <w:rFonts w:ascii="Times New Roman" w:hAnsi="Times New Roman" w:cs="Times New Roman"/>
          <w:bCs/>
          <w:spacing w:val="-6"/>
          <w:sz w:val="36"/>
          <w:szCs w:val="24"/>
          <w:lang w:bidi="ar"/>
        </w:rPr>
        <w:br w:type="page"/>
      </w:r>
    </w:p>
    <w:p w14:paraId="72265C84">
      <w:pPr>
        <w:pStyle w:val="42"/>
        <w:rPr>
          <w:rFonts w:ascii="Times New Roman" w:hAnsi="Times New Roman"/>
        </w:rPr>
      </w:pPr>
    </w:p>
    <w:sdt>
      <w:sdtPr>
        <w:rPr>
          <w:rFonts w:ascii="Times New Roman" w:hAnsi="Times New Roman" w:eastAsia="微软雅黑" w:cs="Times New Roman"/>
          <w:b/>
          <w:bCs/>
          <w:sz w:val="36"/>
          <w:szCs w:val="36"/>
        </w:rPr>
        <w:id w:val="147462106"/>
        <w15:color w:val="DBDBDB"/>
        <w:docPartObj>
          <w:docPartGallery w:val="Table of Contents"/>
          <w:docPartUnique/>
        </w:docPartObj>
      </w:sdtPr>
      <w:sdtEndPr>
        <w:rPr>
          <w:rFonts w:ascii="Times New Roman" w:hAnsi="Times New Roman" w:eastAsia="仿宋" w:cs="Times New Roman"/>
          <w:b/>
          <w:bCs/>
          <w:sz w:val="32"/>
          <w:szCs w:val="32"/>
        </w:rPr>
      </w:sdtEndPr>
      <w:sdtContent>
        <w:p w14:paraId="0D687456">
          <w:pPr>
            <w:ind w:firstLine="0" w:firstLineChars="0"/>
            <w:jc w:val="center"/>
            <w:rPr>
              <w:rFonts w:ascii="Times New Roman" w:hAnsi="Times New Roman" w:cs="Times New Roman"/>
            </w:rPr>
          </w:pPr>
          <w:bookmarkStart w:id="479" w:name="_Toc11732"/>
          <w:r>
            <w:rPr>
              <w:rFonts w:ascii="Times New Roman" w:hAnsi="Times New Roman" w:eastAsia="微软雅黑" w:cs="Times New Roman"/>
              <w:b/>
              <w:bCs/>
              <w:sz w:val="36"/>
              <w:szCs w:val="36"/>
            </w:rPr>
            <w:t>目  录</w:t>
          </w:r>
        </w:p>
        <w:p w14:paraId="531D2422">
          <w:pPr>
            <w:pStyle w:val="18"/>
            <w:rPr>
              <w:rFonts w:ascii="Times New Roman" w:hAnsi="Times New Roman" w:cs="Times New Roman"/>
              <w:sz w:val="32"/>
              <w:szCs w:val="36"/>
            </w:rPr>
          </w:pPr>
          <w:r>
            <w:rPr>
              <w:rFonts w:ascii="Times New Roman" w:hAnsi="Times New Roman" w:cs="Times New Roman"/>
              <w:sz w:val="32"/>
            </w:rPr>
            <w:fldChar w:fldCharType="begin"/>
          </w:r>
          <w:r>
            <w:rPr>
              <w:rFonts w:ascii="Times New Roman" w:hAnsi="Times New Roman" w:cs="Times New Roman"/>
              <w:sz w:val="32"/>
            </w:rPr>
            <w:instrText xml:space="preserve">TOC \o "1-2" \h \u </w:instrText>
          </w:r>
          <w:r>
            <w:rPr>
              <w:rFonts w:ascii="Times New Roman" w:hAnsi="Times New Roman" w:cs="Times New Roman"/>
              <w:sz w:val="32"/>
            </w:rPr>
            <w:fldChar w:fldCharType="separate"/>
          </w:r>
          <w:r>
            <w:fldChar w:fldCharType="begin"/>
          </w:r>
          <w:r>
            <w:instrText xml:space="preserve"> HYPERLINK \l "_Toc10497" </w:instrText>
          </w:r>
          <w:r>
            <w:fldChar w:fldCharType="separate"/>
          </w:r>
          <w:r>
            <w:rPr>
              <w:rFonts w:ascii="Times New Roman" w:hAnsi="Times New Roman" w:eastAsia="仿宋" w:cs="Times New Roman"/>
              <w:sz w:val="32"/>
              <w:szCs w:val="36"/>
            </w:rPr>
            <w:t xml:space="preserve">1 </w:t>
          </w:r>
          <w:r>
            <w:rPr>
              <w:rFonts w:ascii="Times New Roman" w:hAnsi="Times New Roman" w:cs="Times New Roman"/>
              <w:sz w:val="32"/>
              <w:szCs w:val="36"/>
            </w:rPr>
            <w:t>总则</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_Toc10497 \h </w:instrText>
          </w:r>
          <w:r>
            <w:rPr>
              <w:rFonts w:ascii="Times New Roman" w:hAnsi="Times New Roman" w:cs="Times New Roman"/>
              <w:sz w:val="32"/>
              <w:szCs w:val="36"/>
            </w:rPr>
            <w:fldChar w:fldCharType="separate"/>
          </w:r>
          <w:r>
            <w:rPr>
              <w:rFonts w:ascii="Times New Roman" w:hAnsi="Times New Roman" w:cs="Times New Roman"/>
              <w:sz w:val="32"/>
              <w:szCs w:val="36"/>
            </w:rPr>
            <w:t>1</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697A41E2">
          <w:pPr>
            <w:pStyle w:val="19"/>
            <w:tabs>
              <w:tab w:val="right" w:leader="dot" w:pos="8845"/>
            </w:tabs>
            <w:ind w:firstLine="552"/>
            <w:rPr>
              <w:rFonts w:ascii="Times New Roman" w:hAnsi="Times New Roman" w:cs="Times New Roman"/>
              <w:sz w:val="32"/>
              <w:szCs w:val="36"/>
            </w:rPr>
          </w:pPr>
          <w:r>
            <w:fldChar w:fldCharType="begin"/>
          </w:r>
          <w:r>
            <w:instrText xml:space="preserve"> HYPERLINK \l "_Toc16409" </w:instrText>
          </w:r>
          <w:r>
            <w:fldChar w:fldCharType="separate"/>
          </w:r>
          <w:r>
            <w:rPr>
              <w:rFonts w:ascii="Times New Roman" w:hAnsi="Times New Roman" w:eastAsia="仿宋" w:cs="Times New Roman"/>
              <w:bCs/>
              <w:sz w:val="32"/>
              <w:szCs w:val="36"/>
            </w:rPr>
            <w:t xml:space="preserve">1.1 </w:t>
          </w:r>
          <w:r>
            <w:rPr>
              <w:rFonts w:ascii="Times New Roman" w:hAnsi="Times New Roman" w:cs="Times New Roman"/>
              <w:sz w:val="32"/>
              <w:szCs w:val="36"/>
            </w:rPr>
            <w:t>指导思想</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_Toc16409 \h </w:instrText>
          </w:r>
          <w:r>
            <w:rPr>
              <w:rFonts w:ascii="Times New Roman" w:hAnsi="Times New Roman" w:cs="Times New Roman"/>
              <w:sz w:val="32"/>
              <w:szCs w:val="36"/>
            </w:rPr>
            <w:fldChar w:fldCharType="separate"/>
          </w:r>
          <w:r>
            <w:rPr>
              <w:rFonts w:ascii="Times New Roman" w:hAnsi="Times New Roman" w:cs="Times New Roman"/>
              <w:sz w:val="32"/>
              <w:szCs w:val="36"/>
            </w:rPr>
            <w:t>1</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096AD344">
          <w:pPr>
            <w:pStyle w:val="19"/>
            <w:tabs>
              <w:tab w:val="right" w:leader="dot" w:pos="8845"/>
            </w:tabs>
            <w:ind w:firstLine="552"/>
            <w:rPr>
              <w:rFonts w:ascii="Times New Roman" w:hAnsi="Times New Roman" w:cs="Times New Roman"/>
              <w:sz w:val="32"/>
              <w:szCs w:val="36"/>
            </w:rPr>
          </w:pPr>
          <w:r>
            <w:fldChar w:fldCharType="begin"/>
          </w:r>
          <w:r>
            <w:instrText xml:space="preserve"> HYPERLINK \l "_Toc10092" </w:instrText>
          </w:r>
          <w:r>
            <w:fldChar w:fldCharType="separate"/>
          </w:r>
          <w:r>
            <w:rPr>
              <w:rFonts w:ascii="Times New Roman" w:hAnsi="Times New Roman" w:eastAsia="仿宋" w:cs="Times New Roman"/>
              <w:bCs/>
              <w:sz w:val="32"/>
              <w:szCs w:val="36"/>
            </w:rPr>
            <w:t xml:space="preserve">1.2 </w:t>
          </w:r>
          <w:r>
            <w:rPr>
              <w:rFonts w:ascii="Times New Roman" w:hAnsi="Times New Roman" w:cs="Times New Roman"/>
              <w:sz w:val="32"/>
              <w:szCs w:val="36"/>
            </w:rPr>
            <w:t>编制依据</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_Toc10092 \h </w:instrText>
          </w:r>
          <w:r>
            <w:rPr>
              <w:rFonts w:ascii="Times New Roman" w:hAnsi="Times New Roman" w:cs="Times New Roman"/>
              <w:sz w:val="32"/>
              <w:szCs w:val="36"/>
            </w:rPr>
            <w:fldChar w:fldCharType="separate"/>
          </w:r>
          <w:r>
            <w:rPr>
              <w:rFonts w:ascii="Times New Roman" w:hAnsi="Times New Roman" w:cs="Times New Roman"/>
              <w:sz w:val="32"/>
              <w:szCs w:val="36"/>
            </w:rPr>
            <w:t>1</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4F465C84">
          <w:pPr>
            <w:pStyle w:val="19"/>
            <w:tabs>
              <w:tab w:val="right" w:leader="dot" w:pos="8845"/>
            </w:tabs>
            <w:ind w:firstLine="552"/>
            <w:rPr>
              <w:rFonts w:ascii="Times New Roman" w:hAnsi="Times New Roman" w:cs="Times New Roman"/>
              <w:sz w:val="32"/>
              <w:szCs w:val="36"/>
            </w:rPr>
          </w:pPr>
          <w:r>
            <w:fldChar w:fldCharType="begin"/>
          </w:r>
          <w:r>
            <w:instrText xml:space="preserve"> HYPERLINK \l "_Toc28114" </w:instrText>
          </w:r>
          <w:r>
            <w:fldChar w:fldCharType="separate"/>
          </w:r>
          <w:r>
            <w:rPr>
              <w:rFonts w:ascii="Times New Roman" w:hAnsi="Times New Roman" w:eastAsia="仿宋" w:cs="Times New Roman"/>
              <w:bCs/>
              <w:sz w:val="32"/>
              <w:szCs w:val="36"/>
            </w:rPr>
            <w:t xml:space="preserve">1.3 </w:t>
          </w:r>
          <w:r>
            <w:rPr>
              <w:rFonts w:ascii="Times New Roman" w:hAnsi="Times New Roman" w:cs="Times New Roman"/>
              <w:sz w:val="32"/>
              <w:szCs w:val="36"/>
            </w:rPr>
            <w:t>适用范围</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_Toc28114 \h </w:instrText>
          </w:r>
          <w:r>
            <w:rPr>
              <w:rFonts w:ascii="Times New Roman" w:hAnsi="Times New Roman" w:cs="Times New Roman"/>
              <w:sz w:val="32"/>
              <w:szCs w:val="36"/>
            </w:rPr>
            <w:fldChar w:fldCharType="separate"/>
          </w:r>
          <w:r>
            <w:rPr>
              <w:rFonts w:ascii="Times New Roman" w:hAnsi="Times New Roman" w:cs="Times New Roman"/>
              <w:sz w:val="32"/>
              <w:szCs w:val="36"/>
            </w:rPr>
            <w:t>1</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6DDFEB78">
          <w:pPr>
            <w:pStyle w:val="19"/>
            <w:tabs>
              <w:tab w:val="right" w:leader="dot" w:pos="8845"/>
            </w:tabs>
            <w:ind w:firstLine="552"/>
            <w:rPr>
              <w:rFonts w:ascii="Times New Roman" w:hAnsi="Times New Roman" w:cs="Times New Roman"/>
              <w:sz w:val="32"/>
              <w:szCs w:val="36"/>
            </w:rPr>
          </w:pPr>
          <w:r>
            <w:fldChar w:fldCharType="begin"/>
          </w:r>
          <w:r>
            <w:instrText xml:space="preserve"> HYPERLINK \l "_Toc24304" </w:instrText>
          </w:r>
          <w:r>
            <w:fldChar w:fldCharType="separate"/>
          </w:r>
          <w:r>
            <w:rPr>
              <w:rFonts w:ascii="Times New Roman" w:hAnsi="Times New Roman" w:eastAsia="仿宋" w:cs="Times New Roman"/>
              <w:bCs/>
              <w:sz w:val="32"/>
              <w:szCs w:val="36"/>
            </w:rPr>
            <w:t xml:space="preserve">1.4 </w:t>
          </w:r>
          <w:r>
            <w:rPr>
              <w:rFonts w:ascii="Times New Roman" w:hAnsi="Times New Roman" w:cs="Times New Roman"/>
              <w:sz w:val="32"/>
              <w:szCs w:val="36"/>
            </w:rPr>
            <w:t>工作原则</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_Toc24304 \h </w:instrText>
          </w:r>
          <w:r>
            <w:rPr>
              <w:rFonts w:ascii="Times New Roman" w:hAnsi="Times New Roman" w:cs="Times New Roman"/>
              <w:sz w:val="32"/>
              <w:szCs w:val="36"/>
            </w:rPr>
            <w:fldChar w:fldCharType="separate"/>
          </w:r>
          <w:r>
            <w:rPr>
              <w:rFonts w:ascii="Times New Roman" w:hAnsi="Times New Roman" w:cs="Times New Roman"/>
              <w:sz w:val="32"/>
              <w:szCs w:val="36"/>
            </w:rPr>
            <w:t>2</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2D1E5CFB">
          <w:pPr>
            <w:pStyle w:val="19"/>
            <w:tabs>
              <w:tab w:val="right" w:leader="dot" w:pos="8845"/>
            </w:tabs>
            <w:ind w:firstLine="552"/>
            <w:rPr>
              <w:rFonts w:ascii="Times New Roman" w:hAnsi="Times New Roman" w:cs="Times New Roman"/>
              <w:sz w:val="32"/>
              <w:szCs w:val="36"/>
            </w:rPr>
          </w:pPr>
          <w:r>
            <w:fldChar w:fldCharType="begin"/>
          </w:r>
          <w:r>
            <w:instrText xml:space="preserve"> HYPERLINK \l "_Toc21077" </w:instrText>
          </w:r>
          <w:r>
            <w:fldChar w:fldCharType="separate"/>
          </w:r>
          <w:r>
            <w:rPr>
              <w:rFonts w:ascii="Times New Roman" w:hAnsi="Times New Roman" w:eastAsia="仿宋" w:cs="Times New Roman"/>
              <w:bCs/>
              <w:sz w:val="32"/>
              <w:szCs w:val="36"/>
            </w:rPr>
            <w:t xml:space="preserve">1.5 </w:t>
          </w:r>
          <w:r>
            <w:rPr>
              <w:rFonts w:ascii="Times New Roman" w:hAnsi="Times New Roman" w:cs="Times New Roman"/>
              <w:sz w:val="32"/>
              <w:szCs w:val="36"/>
            </w:rPr>
            <w:t>灾害分级</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_Toc21077 \h </w:instrText>
          </w:r>
          <w:r>
            <w:rPr>
              <w:rFonts w:ascii="Times New Roman" w:hAnsi="Times New Roman" w:cs="Times New Roman"/>
              <w:sz w:val="32"/>
              <w:szCs w:val="36"/>
            </w:rPr>
            <w:fldChar w:fldCharType="separate"/>
          </w:r>
          <w:r>
            <w:rPr>
              <w:rFonts w:ascii="Times New Roman" w:hAnsi="Times New Roman" w:cs="Times New Roman"/>
              <w:sz w:val="32"/>
              <w:szCs w:val="36"/>
            </w:rPr>
            <w:t>3</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70D940AF">
          <w:pPr>
            <w:pStyle w:val="18"/>
            <w:rPr>
              <w:rFonts w:ascii="Times New Roman" w:hAnsi="Times New Roman" w:cs="Times New Roman"/>
              <w:sz w:val="32"/>
              <w:szCs w:val="36"/>
            </w:rPr>
          </w:pPr>
          <w:r>
            <w:fldChar w:fldCharType="begin"/>
          </w:r>
          <w:r>
            <w:instrText xml:space="preserve"> HYPERLINK \l "_Toc10464" </w:instrText>
          </w:r>
          <w:r>
            <w:fldChar w:fldCharType="separate"/>
          </w:r>
          <w:r>
            <w:rPr>
              <w:rFonts w:ascii="Times New Roman" w:hAnsi="Times New Roman" w:eastAsia="仿宋" w:cs="Times New Roman"/>
              <w:sz w:val="32"/>
              <w:szCs w:val="36"/>
            </w:rPr>
            <w:t xml:space="preserve">2 </w:t>
          </w:r>
          <w:r>
            <w:rPr>
              <w:rFonts w:ascii="Times New Roman" w:hAnsi="Times New Roman" w:cs="Times New Roman"/>
              <w:sz w:val="32"/>
              <w:szCs w:val="36"/>
            </w:rPr>
            <w:t>主要任务</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_Toc10464 \h </w:instrText>
          </w:r>
          <w:r>
            <w:rPr>
              <w:rFonts w:ascii="Times New Roman" w:hAnsi="Times New Roman" w:cs="Times New Roman"/>
              <w:sz w:val="32"/>
              <w:szCs w:val="36"/>
            </w:rPr>
            <w:fldChar w:fldCharType="separate"/>
          </w:r>
          <w:r>
            <w:rPr>
              <w:rFonts w:ascii="Times New Roman" w:hAnsi="Times New Roman" w:cs="Times New Roman"/>
              <w:sz w:val="32"/>
              <w:szCs w:val="36"/>
            </w:rPr>
            <w:t>3</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63465C73">
          <w:pPr>
            <w:pStyle w:val="19"/>
            <w:tabs>
              <w:tab w:val="right" w:leader="dot" w:pos="8845"/>
            </w:tabs>
            <w:ind w:firstLine="552"/>
            <w:rPr>
              <w:rFonts w:ascii="Times New Roman" w:hAnsi="Times New Roman" w:cs="Times New Roman"/>
              <w:sz w:val="32"/>
              <w:szCs w:val="36"/>
            </w:rPr>
          </w:pPr>
          <w:r>
            <w:fldChar w:fldCharType="begin"/>
          </w:r>
          <w:r>
            <w:instrText xml:space="preserve"> HYPERLINK \l "_Toc17470" </w:instrText>
          </w:r>
          <w:r>
            <w:fldChar w:fldCharType="separate"/>
          </w:r>
          <w:r>
            <w:rPr>
              <w:rFonts w:ascii="Times New Roman" w:hAnsi="Times New Roman" w:eastAsia="仿宋" w:cs="Times New Roman"/>
              <w:bCs/>
              <w:sz w:val="32"/>
              <w:szCs w:val="36"/>
            </w:rPr>
            <w:t xml:space="preserve">2.1 </w:t>
          </w:r>
          <w:r>
            <w:rPr>
              <w:rFonts w:ascii="Times New Roman" w:hAnsi="Times New Roman" w:cs="Times New Roman"/>
              <w:sz w:val="32"/>
              <w:szCs w:val="36"/>
            </w:rPr>
            <w:t>组织灭火行动</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_Toc17470 \h </w:instrText>
          </w:r>
          <w:r>
            <w:rPr>
              <w:rFonts w:ascii="Times New Roman" w:hAnsi="Times New Roman" w:cs="Times New Roman"/>
              <w:sz w:val="32"/>
              <w:szCs w:val="36"/>
            </w:rPr>
            <w:fldChar w:fldCharType="separate"/>
          </w:r>
          <w:r>
            <w:rPr>
              <w:rFonts w:ascii="Times New Roman" w:hAnsi="Times New Roman" w:cs="Times New Roman"/>
              <w:sz w:val="32"/>
              <w:szCs w:val="36"/>
            </w:rPr>
            <w:t>3</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60EAFCDC">
          <w:pPr>
            <w:pStyle w:val="19"/>
            <w:tabs>
              <w:tab w:val="right" w:leader="dot" w:pos="8845"/>
            </w:tabs>
            <w:ind w:firstLine="552"/>
            <w:rPr>
              <w:rFonts w:ascii="Times New Roman" w:hAnsi="Times New Roman" w:cs="Times New Roman"/>
              <w:sz w:val="32"/>
              <w:szCs w:val="36"/>
            </w:rPr>
          </w:pPr>
          <w:r>
            <w:fldChar w:fldCharType="begin"/>
          </w:r>
          <w:r>
            <w:instrText xml:space="preserve"> HYPERLINK \l "_Toc16788" </w:instrText>
          </w:r>
          <w:r>
            <w:fldChar w:fldCharType="separate"/>
          </w:r>
          <w:r>
            <w:rPr>
              <w:rFonts w:ascii="Times New Roman" w:hAnsi="Times New Roman" w:eastAsia="仿宋" w:cs="Times New Roman"/>
              <w:bCs/>
              <w:sz w:val="32"/>
              <w:szCs w:val="36"/>
            </w:rPr>
            <w:t xml:space="preserve">2.2 </w:t>
          </w:r>
          <w:r>
            <w:rPr>
              <w:rFonts w:ascii="Times New Roman" w:hAnsi="Times New Roman" w:cs="Times New Roman"/>
              <w:sz w:val="32"/>
              <w:szCs w:val="36"/>
            </w:rPr>
            <w:t>解救疏散人员</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_Toc16788 \h </w:instrText>
          </w:r>
          <w:r>
            <w:rPr>
              <w:rFonts w:ascii="Times New Roman" w:hAnsi="Times New Roman" w:cs="Times New Roman"/>
              <w:sz w:val="32"/>
              <w:szCs w:val="36"/>
            </w:rPr>
            <w:fldChar w:fldCharType="separate"/>
          </w:r>
          <w:r>
            <w:rPr>
              <w:rFonts w:ascii="Times New Roman" w:hAnsi="Times New Roman" w:cs="Times New Roman"/>
              <w:sz w:val="32"/>
              <w:szCs w:val="36"/>
            </w:rPr>
            <w:t>3</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72895C47">
          <w:pPr>
            <w:pStyle w:val="19"/>
            <w:tabs>
              <w:tab w:val="right" w:leader="dot" w:pos="8845"/>
            </w:tabs>
            <w:ind w:firstLine="552"/>
            <w:rPr>
              <w:rFonts w:ascii="Times New Roman" w:hAnsi="Times New Roman" w:cs="Times New Roman"/>
              <w:sz w:val="32"/>
              <w:szCs w:val="36"/>
            </w:rPr>
          </w:pPr>
          <w:r>
            <w:fldChar w:fldCharType="begin"/>
          </w:r>
          <w:r>
            <w:instrText xml:space="preserve"> HYPERLINK \l "_Toc5619" </w:instrText>
          </w:r>
          <w:r>
            <w:fldChar w:fldCharType="separate"/>
          </w:r>
          <w:r>
            <w:rPr>
              <w:rFonts w:ascii="Times New Roman" w:hAnsi="Times New Roman" w:eastAsia="仿宋" w:cs="Times New Roman"/>
              <w:bCs/>
              <w:sz w:val="32"/>
              <w:szCs w:val="36"/>
            </w:rPr>
            <w:t xml:space="preserve">2.3 </w:t>
          </w:r>
          <w:r>
            <w:rPr>
              <w:rFonts w:ascii="Times New Roman" w:hAnsi="Times New Roman" w:cs="Times New Roman"/>
              <w:sz w:val="32"/>
              <w:szCs w:val="36"/>
            </w:rPr>
            <w:t>保护重要目标</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_Toc5619 \h </w:instrText>
          </w:r>
          <w:r>
            <w:rPr>
              <w:rFonts w:ascii="Times New Roman" w:hAnsi="Times New Roman" w:cs="Times New Roman"/>
              <w:sz w:val="32"/>
              <w:szCs w:val="36"/>
            </w:rPr>
            <w:fldChar w:fldCharType="separate"/>
          </w:r>
          <w:r>
            <w:rPr>
              <w:rFonts w:ascii="Times New Roman" w:hAnsi="Times New Roman" w:cs="Times New Roman"/>
              <w:sz w:val="32"/>
              <w:szCs w:val="36"/>
            </w:rPr>
            <w:t>3</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45134CE1">
          <w:pPr>
            <w:pStyle w:val="19"/>
            <w:tabs>
              <w:tab w:val="right" w:leader="dot" w:pos="8845"/>
            </w:tabs>
            <w:ind w:firstLine="552"/>
            <w:rPr>
              <w:rFonts w:ascii="Times New Roman" w:hAnsi="Times New Roman" w:cs="Times New Roman"/>
              <w:sz w:val="32"/>
              <w:szCs w:val="36"/>
            </w:rPr>
          </w:pPr>
          <w:r>
            <w:fldChar w:fldCharType="begin"/>
          </w:r>
          <w:r>
            <w:instrText xml:space="preserve"> HYPERLINK \l "_Toc17310" </w:instrText>
          </w:r>
          <w:r>
            <w:fldChar w:fldCharType="separate"/>
          </w:r>
          <w:r>
            <w:rPr>
              <w:rFonts w:ascii="Times New Roman" w:hAnsi="Times New Roman" w:eastAsia="仿宋" w:cs="Times New Roman"/>
              <w:bCs/>
              <w:sz w:val="32"/>
              <w:szCs w:val="36"/>
            </w:rPr>
            <w:t xml:space="preserve">2.4 </w:t>
          </w:r>
          <w:r>
            <w:rPr>
              <w:rFonts w:ascii="Times New Roman" w:hAnsi="Times New Roman" w:cs="Times New Roman"/>
              <w:sz w:val="32"/>
              <w:szCs w:val="36"/>
            </w:rPr>
            <w:t>转移重要物资</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_Toc17310 \h </w:instrText>
          </w:r>
          <w:r>
            <w:rPr>
              <w:rFonts w:ascii="Times New Roman" w:hAnsi="Times New Roman" w:cs="Times New Roman"/>
              <w:sz w:val="32"/>
              <w:szCs w:val="36"/>
            </w:rPr>
            <w:fldChar w:fldCharType="separate"/>
          </w:r>
          <w:r>
            <w:rPr>
              <w:rFonts w:ascii="Times New Roman" w:hAnsi="Times New Roman" w:cs="Times New Roman"/>
              <w:sz w:val="32"/>
              <w:szCs w:val="36"/>
            </w:rPr>
            <w:t>3</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51AED967">
          <w:pPr>
            <w:pStyle w:val="19"/>
            <w:tabs>
              <w:tab w:val="right" w:leader="dot" w:pos="8845"/>
            </w:tabs>
            <w:ind w:firstLine="552"/>
            <w:rPr>
              <w:rFonts w:ascii="Times New Roman" w:hAnsi="Times New Roman" w:cs="Times New Roman"/>
              <w:sz w:val="32"/>
              <w:szCs w:val="36"/>
            </w:rPr>
          </w:pPr>
          <w:r>
            <w:fldChar w:fldCharType="begin"/>
          </w:r>
          <w:r>
            <w:instrText xml:space="preserve"> HYPERLINK \l "_Toc19067" </w:instrText>
          </w:r>
          <w:r>
            <w:fldChar w:fldCharType="separate"/>
          </w:r>
          <w:r>
            <w:rPr>
              <w:rFonts w:ascii="Times New Roman" w:hAnsi="Times New Roman" w:eastAsia="仿宋" w:cs="Times New Roman"/>
              <w:bCs/>
              <w:sz w:val="32"/>
              <w:szCs w:val="36"/>
            </w:rPr>
            <w:t xml:space="preserve">2.5 </w:t>
          </w:r>
          <w:r>
            <w:rPr>
              <w:rFonts w:ascii="Times New Roman" w:hAnsi="Times New Roman" w:cs="Times New Roman"/>
              <w:sz w:val="32"/>
              <w:szCs w:val="36"/>
            </w:rPr>
            <w:t>维护社会稳定</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_Toc19067 \h </w:instrText>
          </w:r>
          <w:r>
            <w:rPr>
              <w:rFonts w:ascii="Times New Roman" w:hAnsi="Times New Roman" w:cs="Times New Roman"/>
              <w:sz w:val="32"/>
              <w:szCs w:val="36"/>
            </w:rPr>
            <w:fldChar w:fldCharType="separate"/>
          </w:r>
          <w:r>
            <w:rPr>
              <w:rFonts w:ascii="Times New Roman" w:hAnsi="Times New Roman" w:cs="Times New Roman"/>
              <w:sz w:val="32"/>
              <w:szCs w:val="36"/>
            </w:rPr>
            <w:t>3</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33BA1283">
          <w:pPr>
            <w:pStyle w:val="18"/>
            <w:rPr>
              <w:rFonts w:ascii="Times New Roman" w:hAnsi="Times New Roman" w:cs="Times New Roman"/>
              <w:sz w:val="32"/>
              <w:szCs w:val="36"/>
            </w:rPr>
          </w:pPr>
          <w:r>
            <w:fldChar w:fldCharType="begin"/>
          </w:r>
          <w:r>
            <w:instrText xml:space="preserve"> HYPERLINK \l "_Toc5565" </w:instrText>
          </w:r>
          <w:r>
            <w:fldChar w:fldCharType="separate"/>
          </w:r>
          <w:r>
            <w:rPr>
              <w:rFonts w:ascii="Times New Roman" w:hAnsi="Times New Roman" w:eastAsia="仿宋" w:cs="Times New Roman"/>
              <w:sz w:val="32"/>
              <w:szCs w:val="36"/>
            </w:rPr>
            <w:t xml:space="preserve">3 </w:t>
          </w:r>
          <w:r>
            <w:rPr>
              <w:rFonts w:ascii="Times New Roman" w:hAnsi="Times New Roman" w:cs="Times New Roman"/>
              <w:sz w:val="32"/>
              <w:szCs w:val="36"/>
            </w:rPr>
            <w:t>森林草原火灾风险分析</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_Toc5565 \h </w:instrText>
          </w:r>
          <w:r>
            <w:rPr>
              <w:rFonts w:ascii="Times New Roman" w:hAnsi="Times New Roman" w:cs="Times New Roman"/>
              <w:sz w:val="32"/>
              <w:szCs w:val="36"/>
            </w:rPr>
            <w:fldChar w:fldCharType="separate"/>
          </w:r>
          <w:r>
            <w:rPr>
              <w:rFonts w:ascii="Times New Roman" w:hAnsi="Times New Roman" w:cs="Times New Roman"/>
              <w:sz w:val="32"/>
              <w:szCs w:val="36"/>
            </w:rPr>
            <w:t>4</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44F4B43F">
          <w:pPr>
            <w:pStyle w:val="19"/>
            <w:tabs>
              <w:tab w:val="right" w:leader="dot" w:pos="8845"/>
            </w:tabs>
            <w:ind w:firstLine="552"/>
            <w:rPr>
              <w:rFonts w:ascii="Times New Roman" w:hAnsi="Times New Roman" w:cs="Times New Roman"/>
              <w:sz w:val="32"/>
              <w:szCs w:val="36"/>
            </w:rPr>
          </w:pPr>
          <w:r>
            <w:fldChar w:fldCharType="begin"/>
          </w:r>
          <w:r>
            <w:instrText xml:space="preserve"> HYPERLINK \l "_Toc9757" </w:instrText>
          </w:r>
          <w:r>
            <w:fldChar w:fldCharType="separate"/>
          </w:r>
          <w:r>
            <w:rPr>
              <w:rFonts w:ascii="Times New Roman" w:hAnsi="Times New Roman" w:eastAsia="仿宋" w:cs="Times New Roman"/>
              <w:bCs/>
              <w:sz w:val="32"/>
              <w:szCs w:val="36"/>
            </w:rPr>
            <w:t xml:space="preserve">3.1 </w:t>
          </w:r>
          <w:r>
            <w:rPr>
              <w:rFonts w:ascii="Times New Roman" w:hAnsi="Times New Roman" w:cs="Times New Roman"/>
              <w:sz w:val="32"/>
              <w:szCs w:val="36"/>
            </w:rPr>
            <w:t>地形地貌</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_Toc9757 \h </w:instrText>
          </w:r>
          <w:r>
            <w:rPr>
              <w:rFonts w:ascii="Times New Roman" w:hAnsi="Times New Roman" w:cs="Times New Roman"/>
              <w:sz w:val="32"/>
              <w:szCs w:val="36"/>
            </w:rPr>
            <w:fldChar w:fldCharType="separate"/>
          </w:r>
          <w:r>
            <w:rPr>
              <w:rFonts w:ascii="Times New Roman" w:hAnsi="Times New Roman" w:cs="Times New Roman"/>
              <w:sz w:val="32"/>
              <w:szCs w:val="36"/>
            </w:rPr>
            <w:t>4</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542062DC">
          <w:pPr>
            <w:pStyle w:val="19"/>
            <w:tabs>
              <w:tab w:val="right" w:leader="dot" w:pos="8845"/>
            </w:tabs>
            <w:ind w:firstLine="552"/>
            <w:rPr>
              <w:rFonts w:ascii="Times New Roman" w:hAnsi="Times New Roman" w:cs="Times New Roman"/>
              <w:sz w:val="32"/>
              <w:szCs w:val="36"/>
            </w:rPr>
          </w:pPr>
          <w:r>
            <w:fldChar w:fldCharType="begin"/>
          </w:r>
          <w:r>
            <w:instrText xml:space="preserve"> HYPERLINK \l "_Toc10618" </w:instrText>
          </w:r>
          <w:r>
            <w:fldChar w:fldCharType="separate"/>
          </w:r>
          <w:r>
            <w:rPr>
              <w:rFonts w:ascii="Times New Roman" w:hAnsi="Times New Roman" w:eastAsia="仿宋" w:cs="Times New Roman"/>
              <w:bCs/>
              <w:sz w:val="32"/>
              <w:szCs w:val="36"/>
            </w:rPr>
            <w:t xml:space="preserve">3.2 </w:t>
          </w:r>
          <w:r>
            <w:rPr>
              <w:rFonts w:ascii="Times New Roman" w:hAnsi="Times New Roman" w:cs="Times New Roman"/>
              <w:sz w:val="32"/>
              <w:szCs w:val="36"/>
            </w:rPr>
            <w:t>气候环境分析</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_Toc10618 \h </w:instrText>
          </w:r>
          <w:r>
            <w:rPr>
              <w:rFonts w:ascii="Times New Roman" w:hAnsi="Times New Roman" w:cs="Times New Roman"/>
              <w:sz w:val="32"/>
              <w:szCs w:val="36"/>
            </w:rPr>
            <w:fldChar w:fldCharType="separate"/>
          </w:r>
          <w:r>
            <w:rPr>
              <w:rFonts w:ascii="Times New Roman" w:hAnsi="Times New Roman" w:cs="Times New Roman"/>
              <w:sz w:val="32"/>
              <w:szCs w:val="36"/>
            </w:rPr>
            <w:t>4</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39CABAF2">
          <w:pPr>
            <w:pStyle w:val="19"/>
            <w:tabs>
              <w:tab w:val="right" w:leader="dot" w:pos="8845"/>
            </w:tabs>
            <w:ind w:firstLine="552"/>
            <w:rPr>
              <w:rFonts w:ascii="Times New Roman" w:hAnsi="Times New Roman" w:cs="Times New Roman"/>
              <w:sz w:val="32"/>
              <w:szCs w:val="36"/>
            </w:rPr>
          </w:pPr>
          <w:r>
            <w:fldChar w:fldCharType="begin"/>
          </w:r>
          <w:r>
            <w:instrText xml:space="preserve"> HYPERLINK \l "_Toc8471" </w:instrText>
          </w:r>
          <w:r>
            <w:fldChar w:fldCharType="separate"/>
          </w:r>
          <w:r>
            <w:rPr>
              <w:rFonts w:ascii="Times New Roman" w:hAnsi="Times New Roman" w:eastAsia="仿宋" w:cs="Times New Roman"/>
              <w:bCs/>
              <w:sz w:val="32"/>
              <w:szCs w:val="36"/>
            </w:rPr>
            <w:t xml:space="preserve">3.3 </w:t>
          </w:r>
          <w:r>
            <w:rPr>
              <w:rFonts w:ascii="Times New Roman" w:hAnsi="Times New Roman" w:cs="Times New Roman"/>
              <w:sz w:val="32"/>
              <w:szCs w:val="36"/>
            </w:rPr>
            <w:t>森林火灾危险性评估</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_Toc8471 \h </w:instrText>
          </w:r>
          <w:r>
            <w:rPr>
              <w:rFonts w:ascii="Times New Roman" w:hAnsi="Times New Roman" w:cs="Times New Roman"/>
              <w:sz w:val="32"/>
              <w:szCs w:val="36"/>
            </w:rPr>
            <w:fldChar w:fldCharType="separate"/>
          </w:r>
          <w:r>
            <w:rPr>
              <w:rFonts w:ascii="Times New Roman" w:hAnsi="Times New Roman" w:cs="Times New Roman"/>
              <w:sz w:val="32"/>
              <w:szCs w:val="36"/>
            </w:rPr>
            <w:t>4</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055F1290">
          <w:pPr>
            <w:pStyle w:val="18"/>
            <w:rPr>
              <w:rFonts w:ascii="Times New Roman" w:hAnsi="Times New Roman" w:cs="Times New Roman"/>
              <w:sz w:val="32"/>
              <w:szCs w:val="36"/>
            </w:rPr>
          </w:pPr>
          <w:r>
            <w:fldChar w:fldCharType="begin"/>
          </w:r>
          <w:r>
            <w:instrText xml:space="preserve"> HYPERLINK \l "_Toc6032" </w:instrText>
          </w:r>
          <w:r>
            <w:fldChar w:fldCharType="separate"/>
          </w:r>
          <w:r>
            <w:rPr>
              <w:rFonts w:ascii="Times New Roman" w:hAnsi="Times New Roman" w:eastAsia="仿宋" w:cs="Times New Roman"/>
              <w:sz w:val="32"/>
              <w:szCs w:val="36"/>
            </w:rPr>
            <w:t xml:space="preserve">4 </w:t>
          </w:r>
          <w:r>
            <w:rPr>
              <w:rFonts w:ascii="Times New Roman" w:hAnsi="Times New Roman" w:cs="Times New Roman"/>
              <w:sz w:val="32"/>
              <w:szCs w:val="36"/>
            </w:rPr>
            <w:t>组织指挥体系</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_Toc6032 \h </w:instrText>
          </w:r>
          <w:r>
            <w:rPr>
              <w:rFonts w:ascii="Times New Roman" w:hAnsi="Times New Roman" w:cs="Times New Roman"/>
              <w:sz w:val="32"/>
              <w:szCs w:val="36"/>
            </w:rPr>
            <w:fldChar w:fldCharType="separate"/>
          </w:r>
          <w:r>
            <w:rPr>
              <w:rFonts w:ascii="Times New Roman" w:hAnsi="Times New Roman" w:cs="Times New Roman"/>
              <w:sz w:val="32"/>
              <w:szCs w:val="36"/>
            </w:rPr>
            <w:t>5</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39603EC7">
          <w:pPr>
            <w:pStyle w:val="19"/>
            <w:tabs>
              <w:tab w:val="right" w:leader="dot" w:pos="8845"/>
            </w:tabs>
            <w:ind w:firstLine="552"/>
            <w:rPr>
              <w:rFonts w:ascii="Times New Roman" w:hAnsi="Times New Roman" w:cs="Times New Roman"/>
              <w:sz w:val="32"/>
              <w:szCs w:val="36"/>
            </w:rPr>
          </w:pPr>
          <w:r>
            <w:fldChar w:fldCharType="begin"/>
          </w:r>
          <w:r>
            <w:instrText xml:space="preserve"> HYPERLINK \l "_Toc13544" </w:instrText>
          </w:r>
          <w:r>
            <w:fldChar w:fldCharType="separate"/>
          </w:r>
          <w:r>
            <w:rPr>
              <w:rFonts w:ascii="Times New Roman" w:hAnsi="Times New Roman" w:eastAsia="仿宋" w:cs="Times New Roman"/>
              <w:bCs/>
              <w:sz w:val="32"/>
              <w:szCs w:val="36"/>
            </w:rPr>
            <w:t xml:space="preserve">4.1 </w:t>
          </w:r>
          <w:r>
            <w:rPr>
              <w:rFonts w:ascii="Times New Roman" w:hAnsi="Times New Roman" w:cs="Times New Roman"/>
              <w:sz w:val="32"/>
              <w:szCs w:val="36"/>
            </w:rPr>
            <w:t>森林草原防灭火组织机构</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_Toc13544 \h </w:instrText>
          </w:r>
          <w:r>
            <w:rPr>
              <w:rFonts w:ascii="Times New Roman" w:hAnsi="Times New Roman" w:cs="Times New Roman"/>
              <w:sz w:val="32"/>
              <w:szCs w:val="36"/>
            </w:rPr>
            <w:fldChar w:fldCharType="separate"/>
          </w:r>
          <w:r>
            <w:rPr>
              <w:rFonts w:ascii="Times New Roman" w:hAnsi="Times New Roman" w:cs="Times New Roman"/>
              <w:sz w:val="32"/>
              <w:szCs w:val="36"/>
            </w:rPr>
            <w:t>5</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088B7E4E">
          <w:pPr>
            <w:pStyle w:val="19"/>
            <w:tabs>
              <w:tab w:val="right" w:leader="dot" w:pos="8845"/>
            </w:tabs>
            <w:ind w:firstLine="552"/>
            <w:rPr>
              <w:rFonts w:ascii="Times New Roman" w:hAnsi="Times New Roman" w:cs="Times New Roman"/>
              <w:sz w:val="32"/>
              <w:szCs w:val="36"/>
            </w:rPr>
          </w:pPr>
          <w:r>
            <w:fldChar w:fldCharType="begin"/>
          </w:r>
          <w:r>
            <w:instrText xml:space="preserve"> HYPERLINK \l "_Toc20610" </w:instrText>
          </w:r>
          <w:r>
            <w:fldChar w:fldCharType="separate"/>
          </w:r>
          <w:r>
            <w:rPr>
              <w:rFonts w:ascii="Times New Roman" w:hAnsi="Times New Roman" w:eastAsia="仿宋" w:cs="Times New Roman"/>
              <w:bCs/>
              <w:sz w:val="32"/>
              <w:szCs w:val="36"/>
            </w:rPr>
            <w:t xml:space="preserve">4.2 </w:t>
          </w:r>
          <w:r>
            <w:rPr>
              <w:rFonts w:ascii="Times New Roman" w:hAnsi="Times New Roman" w:cs="Times New Roman"/>
              <w:sz w:val="32"/>
              <w:szCs w:val="36"/>
            </w:rPr>
            <w:t>主要成员单位职责</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_Toc20610 \h </w:instrText>
          </w:r>
          <w:r>
            <w:rPr>
              <w:rFonts w:ascii="Times New Roman" w:hAnsi="Times New Roman" w:cs="Times New Roman"/>
              <w:sz w:val="32"/>
              <w:szCs w:val="36"/>
            </w:rPr>
            <w:fldChar w:fldCharType="separate"/>
          </w:r>
          <w:r>
            <w:rPr>
              <w:rFonts w:ascii="Times New Roman" w:hAnsi="Times New Roman" w:cs="Times New Roman"/>
              <w:sz w:val="32"/>
              <w:szCs w:val="36"/>
            </w:rPr>
            <w:t>6</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2E8C049E">
          <w:pPr>
            <w:pStyle w:val="19"/>
            <w:tabs>
              <w:tab w:val="right" w:leader="dot" w:pos="8845"/>
            </w:tabs>
            <w:ind w:firstLine="552"/>
            <w:rPr>
              <w:rFonts w:ascii="Times New Roman" w:hAnsi="Times New Roman" w:cs="Times New Roman"/>
              <w:sz w:val="32"/>
              <w:szCs w:val="36"/>
            </w:rPr>
          </w:pPr>
          <w:r>
            <w:fldChar w:fldCharType="begin"/>
          </w:r>
          <w:r>
            <w:instrText xml:space="preserve"> HYPERLINK \l "_Toc256" </w:instrText>
          </w:r>
          <w:r>
            <w:fldChar w:fldCharType="separate"/>
          </w:r>
          <w:r>
            <w:rPr>
              <w:rFonts w:ascii="Times New Roman" w:hAnsi="Times New Roman" w:eastAsia="仿宋" w:cs="Times New Roman"/>
              <w:bCs/>
              <w:sz w:val="32"/>
              <w:szCs w:val="36"/>
            </w:rPr>
            <w:t xml:space="preserve">4.3 </w:t>
          </w:r>
          <w:r>
            <w:rPr>
              <w:rFonts w:ascii="Times New Roman" w:hAnsi="Times New Roman" w:cs="Times New Roman"/>
              <w:sz w:val="32"/>
              <w:szCs w:val="36"/>
            </w:rPr>
            <w:t>扑救指挥</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_Toc256 \h </w:instrText>
          </w:r>
          <w:r>
            <w:rPr>
              <w:rFonts w:ascii="Times New Roman" w:hAnsi="Times New Roman" w:cs="Times New Roman"/>
              <w:sz w:val="32"/>
              <w:szCs w:val="36"/>
            </w:rPr>
            <w:fldChar w:fldCharType="separate"/>
          </w:r>
          <w:r>
            <w:rPr>
              <w:rFonts w:ascii="Times New Roman" w:hAnsi="Times New Roman" w:cs="Times New Roman"/>
              <w:sz w:val="32"/>
              <w:szCs w:val="36"/>
            </w:rPr>
            <w:t>9</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4754776A">
          <w:pPr>
            <w:pStyle w:val="19"/>
            <w:tabs>
              <w:tab w:val="right" w:leader="dot" w:pos="8845"/>
            </w:tabs>
            <w:ind w:firstLine="552"/>
            <w:rPr>
              <w:rFonts w:ascii="Times New Roman" w:hAnsi="Times New Roman" w:cs="Times New Roman"/>
              <w:sz w:val="32"/>
              <w:szCs w:val="36"/>
            </w:rPr>
          </w:pPr>
          <w:r>
            <w:fldChar w:fldCharType="begin"/>
          </w:r>
          <w:r>
            <w:instrText xml:space="preserve"> HYPERLINK \l "_Toc2839" </w:instrText>
          </w:r>
          <w:r>
            <w:fldChar w:fldCharType="separate"/>
          </w:r>
          <w:r>
            <w:rPr>
              <w:rFonts w:ascii="Times New Roman" w:hAnsi="Times New Roman" w:eastAsia="仿宋" w:cs="Times New Roman"/>
              <w:bCs/>
              <w:sz w:val="32"/>
              <w:szCs w:val="36"/>
            </w:rPr>
            <w:t xml:space="preserve">4.4 </w:t>
          </w:r>
          <w:r>
            <w:rPr>
              <w:rFonts w:ascii="Times New Roman" w:hAnsi="Times New Roman" w:cs="Times New Roman"/>
              <w:sz w:val="32"/>
              <w:szCs w:val="36"/>
            </w:rPr>
            <w:t>各级单位森防机构</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_Toc2839 \h </w:instrText>
          </w:r>
          <w:r>
            <w:rPr>
              <w:rFonts w:ascii="Times New Roman" w:hAnsi="Times New Roman" w:cs="Times New Roman"/>
              <w:sz w:val="32"/>
              <w:szCs w:val="36"/>
            </w:rPr>
            <w:fldChar w:fldCharType="separate"/>
          </w:r>
          <w:r>
            <w:rPr>
              <w:rFonts w:ascii="Times New Roman" w:hAnsi="Times New Roman" w:cs="Times New Roman"/>
              <w:sz w:val="32"/>
              <w:szCs w:val="36"/>
            </w:rPr>
            <w:t>13</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3E5D2FCB">
          <w:pPr>
            <w:pStyle w:val="18"/>
            <w:rPr>
              <w:rFonts w:ascii="Times New Roman" w:hAnsi="Times New Roman" w:cs="Times New Roman"/>
              <w:sz w:val="32"/>
              <w:szCs w:val="36"/>
            </w:rPr>
          </w:pPr>
          <w:r>
            <w:fldChar w:fldCharType="begin"/>
          </w:r>
          <w:r>
            <w:instrText xml:space="preserve"> HYPERLINK \l "_Toc27087" </w:instrText>
          </w:r>
          <w:r>
            <w:fldChar w:fldCharType="separate"/>
          </w:r>
          <w:r>
            <w:rPr>
              <w:rFonts w:ascii="Times New Roman" w:hAnsi="Times New Roman" w:eastAsia="仿宋" w:cs="Times New Roman"/>
              <w:sz w:val="32"/>
              <w:szCs w:val="36"/>
            </w:rPr>
            <w:t xml:space="preserve">5 </w:t>
          </w:r>
          <w:r>
            <w:rPr>
              <w:rFonts w:ascii="Times New Roman" w:hAnsi="Times New Roman" w:cs="Times New Roman"/>
              <w:sz w:val="32"/>
              <w:szCs w:val="36"/>
            </w:rPr>
            <w:t>处置力量</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_Toc27087 \h </w:instrText>
          </w:r>
          <w:r>
            <w:rPr>
              <w:rFonts w:ascii="Times New Roman" w:hAnsi="Times New Roman" w:cs="Times New Roman"/>
              <w:sz w:val="32"/>
              <w:szCs w:val="36"/>
            </w:rPr>
            <w:fldChar w:fldCharType="separate"/>
          </w:r>
          <w:r>
            <w:rPr>
              <w:rFonts w:ascii="Times New Roman" w:hAnsi="Times New Roman" w:cs="Times New Roman"/>
              <w:sz w:val="32"/>
              <w:szCs w:val="36"/>
            </w:rPr>
            <w:t>14</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5CE70281">
          <w:pPr>
            <w:pStyle w:val="19"/>
            <w:tabs>
              <w:tab w:val="right" w:leader="dot" w:pos="8845"/>
            </w:tabs>
            <w:ind w:firstLine="552"/>
            <w:rPr>
              <w:rFonts w:ascii="Times New Roman" w:hAnsi="Times New Roman" w:cs="Times New Roman"/>
              <w:sz w:val="32"/>
              <w:szCs w:val="36"/>
            </w:rPr>
          </w:pPr>
          <w:r>
            <w:fldChar w:fldCharType="begin"/>
          </w:r>
          <w:r>
            <w:instrText xml:space="preserve"> HYPERLINK \l "_Toc10137" </w:instrText>
          </w:r>
          <w:r>
            <w:fldChar w:fldCharType="separate"/>
          </w:r>
          <w:r>
            <w:rPr>
              <w:rFonts w:ascii="Times New Roman" w:hAnsi="Times New Roman" w:eastAsia="仿宋" w:cs="Times New Roman"/>
              <w:bCs/>
              <w:sz w:val="32"/>
              <w:szCs w:val="36"/>
            </w:rPr>
            <w:t xml:space="preserve">5.1 </w:t>
          </w:r>
          <w:r>
            <w:rPr>
              <w:rFonts w:ascii="Times New Roman" w:hAnsi="Times New Roman" w:cs="Times New Roman"/>
              <w:sz w:val="32"/>
              <w:szCs w:val="36"/>
            </w:rPr>
            <w:t>力量编成</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_Toc10137 \h </w:instrText>
          </w:r>
          <w:r>
            <w:rPr>
              <w:rFonts w:ascii="Times New Roman" w:hAnsi="Times New Roman" w:cs="Times New Roman"/>
              <w:sz w:val="32"/>
              <w:szCs w:val="36"/>
            </w:rPr>
            <w:fldChar w:fldCharType="separate"/>
          </w:r>
          <w:r>
            <w:rPr>
              <w:rFonts w:ascii="Times New Roman" w:hAnsi="Times New Roman" w:cs="Times New Roman"/>
              <w:sz w:val="32"/>
              <w:szCs w:val="36"/>
            </w:rPr>
            <w:t>14</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379AAD0B">
          <w:pPr>
            <w:pStyle w:val="19"/>
            <w:tabs>
              <w:tab w:val="right" w:leader="dot" w:pos="8845"/>
            </w:tabs>
            <w:ind w:firstLine="552"/>
            <w:rPr>
              <w:rFonts w:ascii="Times New Roman" w:hAnsi="Times New Roman" w:cs="Times New Roman"/>
              <w:sz w:val="32"/>
              <w:szCs w:val="36"/>
            </w:rPr>
          </w:pPr>
          <w:r>
            <w:fldChar w:fldCharType="begin"/>
          </w:r>
          <w:r>
            <w:instrText xml:space="preserve"> HYPERLINK \l "_Toc11671" </w:instrText>
          </w:r>
          <w:r>
            <w:fldChar w:fldCharType="separate"/>
          </w:r>
          <w:r>
            <w:rPr>
              <w:rFonts w:ascii="Times New Roman" w:hAnsi="Times New Roman" w:eastAsia="仿宋" w:cs="Times New Roman"/>
              <w:bCs/>
              <w:sz w:val="32"/>
              <w:szCs w:val="36"/>
            </w:rPr>
            <w:t xml:space="preserve">5.2 </w:t>
          </w:r>
          <w:r>
            <w:rPr>
              <w:rFonts w:ascii="Times New Roman" w:hAnsi="Times New Roman" w:cs="Times New Roman"/>
              <w:sz w:val="32"/>
              <w:szCs w:val="36"/>
            </w:rPr>
            <w:t>基本任务划分</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_Toc11671 \h </w:instrText>
          </w:r>
          <w:r>
            <w:rPr>
              <w:rFonts w:ascii="Times New Roman" w:hAnsi="Times New Roman" w:cs="Times New Roman"/>
              <w:sz w:val="32"/>
              <w:szCs w:val="36"/>
            </w:rPr>
            <w:fldChar w:fldCharType="separate"/>
          </w:r>
          <w:r>
            <w:rPr>
              <w:rFonts w:ascii="Times New Roman" w:hAnsi="Times New Roman" w:cs="Times New Roman"/>
              <w:sz w:val="32"/>
              <w:szCs w:val="36"/>
            </w:rPr>
            <w:t>14</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366429B4">
          <w:pPr>
            <w:pStyle w:val="19"/>
            <w:tabs>
              <w:tab w:val="right" w:leader="dot" w:pos="8845"/>
            </w:tabs>
            <w:ind w:firstLine="552"/>
            <w:rPr>
              <w:rFonts w:ascii="Times New Roman" w:hAnsi="Times New Roman" w:cs="Times New Roman"/>
              <w:sz w:val="32"/>
              <w:szCs w:val="36"/>
            </w:rPr>
          </w:pPr>
          <w:r>
            <w:fldChar w:fldCharType="begin"/>
          </w:r>
          <w:r>
            <w:instrText xml:space="preserve"> HYPERLINK \l "_Toc13821" </w:instrText>
          </w:r>
          <w:r>
            <w:fldChar w:fldCharType="separate"/>
          </w:r>
          <w:r>
            <w:rPr>
              <w:rFonts w:ascii="Times New Roman" w:hAnsi="Times New Roman" w:eastAsia="仿宋" w:cs="Times New Roman"/>
              <w:bCs/>
              <w:sz w:val="32"/>
              <w:szCs w:val="36"/>
            </w:rPr>
            <w:t xml:space="preserve">5.3 </w:t>
          </w:r>
          <w:r>
            <w:rPr>
              <w:rFonts w:ascii="Times New Roman" w:hAnsi="Times New Roman" w:cs="Times New Roman"/>
              <w:sz w:val="32"/>
              <w:szCs w:val="36"/>
            </w:rPr>
            <w:t>力量调动</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_Toc13821 \h </w:instrText>
          </w:r>
          <w:r>
            <w:rPr>
              <w:rFonts w:ascii="Times New Roman" w:hAnsi="Times New Roman" w:cs="Times New Roman"/>
              <w:sz w:val="32"/>
              <w:szCs w:val="36"/>
            </w:rPr>
            <w:fldChar w:fldCharType="separate"/>
          </w:r>
          <w:r>
            <w:rPr>
              <w:rFonts w:ascii="Times New Roman" w:hAnsi="Times New Roman" w:cs="Times New Roman"/>
              <w:sz w:val="32"/>
              <w:szCs w:val="36"/>
            </w:rPr>
            <w:t>15</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0B7697A7">
          <w:pPr>
            <w:pStyle w:val="18"/>
            <w:rPr>
              <w:rFonts w:ascii="Times New Roman" w:hAnsi="Times New Roman" w:cs="Times New Roman"/>
              <w:sz w:val="32"/>
              <w:szCs w:val="36"/>
            </w:rPr>
          </w:pPr>
          <w:r>
            <w:fldChar w:fldCharType="begin"/>
          </w:r>
          <w:r>
            <w:instrText xml:space="preserve"> HYPERLINK \l "_Toc1121" </w:instrText>
          </w:r>
          <w:r>
            <w:fldChar w:fldCharType="separate"/>
          </w:r>
          <w:r>
            <w:rPr>
              <w:rFonts w:ascii="Times New Roman" w:hAnsi="Times New Roman" w:eastAsia="仿宋" w:cs="Times New Roman"/>
              <w:sz w:val="32"/>
              <w:szCs w:val="36"/>
            </w:rPr>
            <w:t xml:space="preserve">6 </w:t>
          </w:r>
          <w:r>
            <w:rPr>
              <w:rFonts w:ascii="Times New Roman" w:hAnsi="Times New Roman" w:cs="Times New Roman"/>
              <w:sz w:val="32"/>
              <w:szCs w:val="36"/>
            </w:rPr>
            <w:t>监测预警</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_Toc1121 \h </w:instrText>
          </w:r>
          <w:r>
            <w:rPr>
              <w:rFonts w:ascii="Times New Roman" w:hAnsi="Times New Roman" w:cs="Times New Roman"/>
              <w:sz w:val="32"/>
              <w:szCs w:val="36"/>
            </w:rPr>
            <w:fldChar w:fldCharType="separate"/>
          </w:r>
          <w:r>
            <w:rPr>
              <w:rFonts w:ascii="Times New Roman" w:hAnsi="Times New Roman" w:cs="Times New Roman"/>
              <w:sz w:val="32"/>
              <w:szCs w:val="36"/>
            </w:rPr>
            <w:t>15</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512E471D">
          <w:pPr>
            <w:pStyle w:val="19"/>
            <w:tabs>
              <w:tab w:val="right" w:leader="dot" w:pos="8845"/>
            </w:tabs>
            <w:ind w:firstLine="552"/>
            <w:rPr>
              <w:rFonts w:ascii="Times New Roman" w:hAnsi="Times New Roman" w:cs="Times New Roman"/>
              <w:sz w:val="32"/>
              <w:szCs w:val="36"/>
            </w:rPr>
          </w:pPr>
          <w:r>
            <w:fldChar w:fldCharType="begin"/>
          </w:r>
          <w:r>
            <w:instrText xml:space="preserve"> HYPERLINK \l "_Toc32354" </w:instrText>
          </w:r>
          <w:r>
            <w:fldChar w:fldCharType="separate"/>
          </w:r>
          <w:r>
            <w:rPr>
              <w:rFonts w:ascii="Times New Roman" w:hAnsi="Times New Roman" w:eastAsia="仿宋" w:cs="Times New Roman"/>
              <w:bCs/>
              <w:sz w:val="32"/>
              <w:szCs w:val="36"/>
            </w:rPr>
            <w:t xml:space="preserve">6.1 </w:t>
          </w:r>
          <w:r>
            <w:rPr>
              <w:rFonts w:ascii="Times New Roman" w:hAnsi="Times New Roman" w:cs="Times New Roman"/>
              <w:sz w:val="32"/>
              <w:szCs w:val="36"/>
            </w:rPr>
            <w:t>风险监测与防控</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_Toc32354 \h </w:instrText>
          </w:r>
          <w:r>
            <w:rPr>
              <w:rFonts w:ascii="Times New Roman" w:hAnsi="Times New Roman" w:cs="Times New Roman"/>
              <w:sz w:val="32"/>
              <w:szCs w:val="36"/>
            </w:rPr>
            <w:fldChar w:fldCharType="separate"/>
          </w:r>
          <w:r>
            <w:rPr>
              <w:rFonts w:ascii="Times New Roman" w:hAnsi="Times New Roman" w:cs="Times New Roman"/>
              <w:sz w:val="32"/>
              <w:szCs w:val="36"/>
            </w:rPr>
            <w:t>15</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33BFD994">
          <w:pPr>
            <w:pStyle w:val="19"/>
            <w:tabs>
              <w:tab w:val="right" w:leader="dot" w:pos="8845"/>
            </w:tabs>
            <w:ind w:firstLine="552"/>
            <w:rPr>
              <w:rFonts w:ascii="Times New Roman" w:hAnsi="Times New Roman" w:cs="Times New Roman"/>
              <w:sz w:val="32"/>
              <w:szCs w:val="36"/>
            </w:rPr>
          </w:pPr>
          <w:r>
            <w:fldChar w:fldCharType="begin"/>
          </w:r>
          <w:r>
            <w:instrText xml:space="preserve"> HYPERLINK \l "_Toc19718" </w:instrText>
          </w:r>
          <w:r>
            <w:fldChar w:fldCharType="separate"/>
          </w:r>
          <w:r>
            <w:rPr>
              <w:rFonts w:ascii="Times New Roman" w:hAnsi="Times New Roman" w:eastAsia="仿宋" w:cs="Times New Roman"/>
              <w:bCs/>
              <w:sz w:val="32"/>
              <w:szCs w:val="36"/>
            </w:rPr>
            <w:t xml:space="preserve">6.2 </w:t>
          </w:r>
          <w:r>
            <w:rPr>
              <w:rFonts w:ascii="Times New Roman" w:hAnsi="Times New Roman" w:cs="Times New Roman"/>
              <w:sz w:val="32"/>
              <w:szCs w:val="36"/>
            </w:rPr>
            <w:t>预警</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_Toc19718 \h </w:instrText>
          </w:r>
          <w:r>
            <w:rPr>
              <w:rFonts w:ascii="Times New Roman" w:hAnsi="Times New Roman" w:cs="Times New Roman"/>
              <w:sz w:val="32"/>
              <w:szCs w:val="36"/>
            </w:rPr>
            <w:fldChar w:fldCharType="separate"/>
          </w:r>
          <w:r>
            <w:rPr>
              <w:rFonts w:ascii="Times New Roman" w:hAnsi="Times New Roman" w:cs="Times New Roman"/>
              <w:sz w:val="32"/>
              <w:szCs w:val="36"/>
            </w:rPr>
            <w:t>16</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3A9A2969">
          <w:pPr>
            <w:pStyle w:val="19"/>
            <w:tabs>
              <w:tab w:val="right" w:leader="dot" w:pos="8845"/>
            </w:tabs>
            <w:ind w:firstLine="552"/>
            <w:rPr>
              <w:rFonts w:ascii="Times New Roman" w:hAnsi="Times New Roman" w:cs="Times New Roman"/>
              <w:sz w:val="32"/>
              <w:szCs w:val="36"/>
            </w:rPr>
          </w:pPr>
          <w:r>
            <w:fldChar w:fldCharType="begin"/>
          </w:r>
          <w:r>
            <w:instrText xml:space="preserve"> HYPERLINK \l "_Toc9874" </w:instrText>
          </w:r>
          <w:r>
            <w:fldChar w:fldCharType="separate"/>
          </w:r>
          <w:r>
            <w:rPr>
              <w:rFonts w:ascii="Times New Roman" w:hAnsi="Times New Roman" w:eastAsia="仿宋" w:cs="Times New Roman"/>
              <w:bCs/>
              <w:sz w:val="32"/>
              <w:szCs w:val="36"/>
            </w:rPr>
            <w:t xml:space="preserve">6.3 </w:t>
          </w:r>
          <w:r>
            <w:rPr>
              <w:rFonts w:ascii="Times New Roman" w:hAnsi="Times New Roman" w:cs="Times New Roman"/>
              <w:sz w:val="32"/>
              <w:szCs w:val="36"/>
            </w:rPr>
            <w:t>信息报告</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_Toc9874 \h </w:instrText>
          </w:r>
          <w:r>
            <w:rPr>
              <w:rFonts w:ascii="Times New Roman" w:hAnsi="Times New Roman" w:cs="Times New Roman"/>
              <w:sz w:val="32"/>
              <w:szCs w:val="36"/>
            </w:rPr>
            <w:fldChar w:fldCharType="separate"/>
          </w:r>
          <w:r>
            <w:rPr>
              <w:rFonts w:ascii="Times New Roman" w:hAnsi="Times New Roman" w:cs="Times New Roman"/>
              <w:sz w:val="32"/>
              <w:szCs w:val="36"/>
            </w:rPr>
            <w:t>20</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6E052461">
          <w:pPr>
            <w:pStyle w:val="18"/>
            <w:rPr>
              <w:rFonts w:ascii="Times New Roman" w:hAnsi="Times New Roman" w:cs="Times New Roman"/>
              <w:sz w:val="32"/>
              <w:szCs w:val="36"/>
            </w:rPr>
          </w:pPr>
          <w:r>
            <w:fldChar w:fldCharType="begin"/>
          </w:r>
          <w:r>
            <w:instrText xml:space="preserve"> HYPERLINK \l "_Toc5942" </w:instrText>
          </w:r>
          <w:r>
            <w:fldChar w:fldCharType="separate"/>
          </w:r>
          <w:r>
            <w:rPr>
              <w:rFonts w:ascii="Times New Roman" w:hAnsi="Times New Roman" w:eastAsia="仿宋" w:cs="Times New Roman"/>
              <w:sz w:val="32"/>
              <w:szCs w:val="36"/>
            </w:rPr>
            <w:t xml:space="preserve">7 </w:t>
          </w:r>
          <w:r>
            <w:rPr>
              <w:rFonts w:ascii="Times New Roman" w:hAnsi="Times New Roman" w:cs="Times New Roman"/>
              <w:sz w:val="32"/>
              <w:szCs w:val="36"/>
            </w:rPr>
            <w:t>应急响应</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_Toc5942 \h </w:instrText>
          </w:r>
          <w:r>
            <w:rPr>
              <w:rFonts w:ascii="Times New Roman" w:hAnsi="Times New Roman" w:cs="Times New Roman"/>
              <w:sz w:val="32"/>
              <w:szCs w:val="36"/>
            </w:rPr>
            <w:fldChar w:fldCharType="separate"/>
          </w:r>
          <w:r>
            <w:rPr>
              <w:rFonts w:ascii="Times New Roman" w:hAnsi="Times New Roman" w:cs="Times New Roman"/>
              <w:sz w:val="32"/>
              <w:szCs w:val="36"/>
            </w:rPr>
            <w:t>21</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331FA324">
          <w:pPr>
            <w:pStyle w:val="19"/>
            <w:tabs>
              <w:tab w:val="right" w:leader="dot" w:pos="8845"/>
            </w:tabs>
            <w:ind w:firstLine="552"/>
            <w:rPr>
              <w:rFonts w:ascii="Times New Roman" w:hAnsi="Times New Roman" w:cs="Times New Roman"/>
              <w:sz w:val="32"/>
              <w:szCs w:val="36"/>
            </w:rPr>
          </w:pPr>
          <w:r>
            <w:fldChar w:fldCharType="begin"/>
          </w:r>
          <w:r>
            <w:instrText xml:space="preserve"> HYPERLINK \l "_Toc9312" </w:instrText>
          </w:r>
          <w:r>
            <w:fldChar w:fldCharType="separate"/>
          </w:r>
          <w:r>
            <w:rPr>
              <w:rFonts w:ascii="Times New Roman" w:hAnsi="Times New Roman" w:eastAsia="仿宋" w:cs="Times New Roman"/>
              <w:bCs/>
              <w:sz w:val="32"/>
              <w:szCs w:val="36"/>
            </w:rPr>
            <w:t xml:space="preserve">7.1 </w:t>
          </w:r>
          <w:r>
            <w:rPr>
              <w:rFonts w:ascii="Times New Roman" w:hAnsi="Times New Roman" w:cs="Times New Roman"/>
              <w:sz w:val="32"/>
              <w:szCs w:val="36"/>
            </w:rPr>
            <w:t>分级响应</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_Toc9312 \h </w:instrText>
          </w:r>
          <w:r>
            <w:rPr>
              <w:rFonts w:ascii="Times New Roman" w:hAnsi="Times New Roman" w:cs="Times New Roman"/>
              <w:sz w:val="32"/>
              <w:szCs w:val="36"/>
            </w:rPr>
            <w:fldChar w:fldCharType="separate"/>
          </w:r>
          <w:r>
            <w:rPr>
              <w:rFonts w:ascii="Times New Roman" w:hAnsi="Times New Roman" w:cs="Times New Roman"/>
              <w:sz w:val="32"/>
              <w:szCs w:val="36"/>
            </w:rPr>
            <w:t>21</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391ACCC8">
          <w:pPr>
            <w:pStyle w:val="19"/>
            <w:tabs>
              <w:tab w:val="right" w:leader="dot" w:pos="8845"/>
            </w:tabs>
            <w:ind w:firstLine="552"/>
            <w:rPr>
              <w:rFonts w:ascii="Times New Roman" w:hAnsi="Times New Roman" w:cs="Times New Roman"/>
              <w:sz w:val="32"/>
              <w:szCs w:val="36"/>
            </w:rPr>
          </w:pPr>
          <w:r>
            <w:fldChar w:fldCharType="begin"/>
          </w:r>
          <w:r>
            <w:instrText xml:space="preserve"> HYPERLINK \l "_Toc6867" </w:instrText>
          </w:r>
          <w:r>
            <w:fldChar w:fldCharType="separate"/>
          </w:r>
          <w:r>
            <w:rPr>
              <w:rFonts w:ascii="Times New Roman" w:hAnsi="Times New Roman" w:eastAsia="仿宋" w:cs="Times New Roman"/>
              <w:bCs/>
              <w:sz w:val="32"/>
              <w:szCs w:val="36"/>
            </w:rPr>
            <w:t xml:space="preserve">7.2 </w:t>
          </w:r>
          <w:r>
            <w:rPr>
              <w:rFonts w:ascii="Times New Roman" w:hAnsi="Times New Roman" w:cs="Times New Roman"/>
              <w:sz w:val="32"/>
              <w:szCs w:val="36"/>
            </w:rPr>
            <w:t>响应措施</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_Toc6867 \h </w:instrText>
          </w:r>
          <w:r>
            <w:rPr>
              <w:rFonts w:ascii="Times New Roman" w:hAnsi="Times New Roman" w:cs="Times New Roman"/>
              <w:sz w:val="32"/>
              <w:szCs w:val="36"/>
            </w:rPr>
            <w:fldChar w:fldCharType="separate"/>
          </w:r>
          <w:r>
            <w:rPr>
              <w:rFonts w:ascii="Times New Roman" w:hAnsi="Times New Roman" w:cs="Times New Roman"/>
              <w:sz w:val="32"/>
              <w:szCs w:val="36"/>
            </w:rPr>
            <w:t>22</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41120FA3">
          <w:pPr>
            <w:pStyle w:val="19"/>
            <w:tabs>
              <w:tab w:val="right" w:leader="dot" w:pos="8845"/>
            </w:tabs>
            <w:ind w:firstLine="552"/>
            <w:rPr>
              <w:rFonts w:ascii="Times New Roman" w:hAnsi="Times New Roman" w:cs="Times New Roman"/>
              <w:sz w:val="32"/>
              <w:szCs w:val="36"/>
            </w:rPr>
          </w:pPr>
          <w:r>
            <w:fldChar w:fldCharType="begin"/>
          </w:r>
          <w:r>
            <w:instrText xml:space="preserve"> HYPERLINK \l "_Toc27669" </w:instrText>
          </w:r>
          <w:r>
            <w:fldChar w:fldCharType="separate"/>
          </w:r>
          <w:r>
            <w:rPr>
              <w:rFonts w:ascii="Times New Roman" w:hAnsi="Times New Roman" w:eastAsia="仿宋" w:cs="Times New Roman"/>
              <w:bCs/>
              <w:sz w:val="32"/>
              <w:szCs w:val="36"/>
            </w:rPr>
            <w:t xml:space="preserve">7.3 </w:t>
          </w:r>
          <w:r>
            <w:rPr>
              <w:rFonts w:ascii="Times New Roman" w:hAnsi="Times New Roman" w:cs="Times New Roman"/>
              <w:sz w:val="32"/>
              <w:szCs w:val="36"/>
            </w:rPr>
            <w:t>县级层面应对工作</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_Toc27669 \h </w:instrText>
          </w:r>
          <w:r>
            <w:rPr>
              <w:rFonts w:ascii="Times New Roman" w:hAnsi="Times New Roman" w:cs="Times New Roman"/>
              <w:sz w:val="32"/>
              <w:szCs w:val="36"/>
            </w:rPr>
            <w:fldChar w:fldCharType="separate"/>
          </w:r>
          <w:r>
            <w:rPr>
              <w:rFonts w:ascii="Times New Roman" w:hAnsi="Times New Roman" w:cs="Times New Roman"/>
              <w:sz w:val="32"/>
              <w:szCs w:val="36"/>
            </w:rPr>
            <w:t>24</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7EF067CA">
          <w:pPr>
            <w:pStyle w:val="19"/>
            <w:tabs>
              <w:tab w:val="right" w:leader="dot" w:pos="8845"/>
            </w:tabs>
            <w:ind w:firstLine="552"/>
            <w:rPr>
              <w:rFonts w:ascii="Times New Roman" w:hAnsi="Times New Roman" w:cs="Times New Roman"/>
              <w:sz w:val="32"/>
              <w:szCs w:val="36"/>
            </w:rPr>
          </w:pPr>
          <w:r>
            <w:fldChar w:fldCharType="begin"/>
          </w:r>
          <w:r>
            <w:instrText xml:space="preserve"> HYPERLINK \l "_Toc28455" </w:instrText>
          </w:r>
          <w:r>
            <w:fldChar w:fldCharType="separate"/>
          </w:r>
          <w:r>
            <w:rPr>
              <w:rFonts w:ascii="Times New Roman" w:hAnsi="Times New Roman" w:eastAsia="仿宋" w:cs="Times New Roman"/>
              <w:bCs/>
              <w:sz w:val="32"/>
              <w:szCs w:val="36"/>
            </w:rPr>
            <w:t xml:space="preserve">7.4 </w:t>
          </w:r>
          <w:r>
            <w:rPr>
              <w:rFonts w:ascii="Times New Roman" w:hAnsi="Times New Roman" w:cs="Times New Roman"/>
              <w:sz w:val="32"/>
              <w:szCs w:val="36"/>
            </w:rPr>
            <w:t>应急联动</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_Toc28455 \h </w:instrText>
          </w:r>
          <w:r>
            <w:rPr>
              <w:rFonts w:ascii="Times New Roman" w:hAnsi="Times New Roman" w:cs="Times New Roman"/>
              <w:sz w:val="32"/>
              <w:szCs w:val="36"/>
            </w:rPr>
            <w:fldChar w:fldCharType="separate"/>
          </w:r>
          <w:r>
            <w:rPr>
              <w:rFonts w:ascii="Times New Roman" w:hAnsi="Times New Roman" w:cs="Times New Roman"/>
              <w:sz w:val="32"/>
              <w:szCs w:val="36"/>
            </w:rPr>
            <w:t>30</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5C9C6068">
          <w:pPr>
            <w:pStyle w:val="19"/>
            <w:tabs>
              <w:tab w:val="right" w:leader="dot" w:pos="8845"/>
            </w:tabs>
            <w:ind w:firstLine="552"/>
            <w:rPr>
              <w:rFonts w:ascii="Times New Roman" w:hAnsi="Times New Roman" w:cs="Times New Roman"/>
              <w:sz w:val="32"/>
              <w:szCs w:val="36"/>
            </w:rPr>
          </w:pPr>
          <w:r>
            <w:fldChar w:fldCharType="begin"/>
          </w:r>
          <w:r>
            <w:instrText xml:space="preserve"> HYPERLINK \l "_Toc859" </w:instrText>
          </w:r>
          <w:r>
            <w:fldChar w:fldCharType="separate"/>
          </w:r>
          <w:r>
            <w:rPr>
              <w:rFonts w:ascii="Times New Roman" w:hAnsi="Times New Roman" w:eastAsia="仿宋" w:cs="Times New Roman"/>
              <w:bCs/>
              <w:sz w:val="32"/>
              <w:szCs w:val="36"/>
            </w:rPr>
            <w:t xml:space="preserve">7.5 </w:t>
          </w:r>
          <w:r>
            <w:rPr>
              <w:rFonts w:ascii="Times New Roman" w:hAnsi="Times New Roman" w:cs="Times New Roman"/>
              <w:sz w:val="32"/>
              <w:szCs w:val="36"/>
            </w:rPr>
            <w:t>外援队伍接待部署方案</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_Toc859 \h </w:instrText>
          </w:r>
          <w:r>
            <w:rPr>
              <w:rFonts w:ascii="Times New Roman" w:hAnsi="Times New Roman" w:cs="Times New Roman"/>
              <w:sz w:val="32"/>
              <w:szCs w:val="36"/>
            </w:rPr>
            <w:fldChar w:fldCharType="separate"/>
          </w:r>
          <w:r>
            <w:rPr>
              <w:rFonts w:ascii="Times New Roman" w:hAnsi="Times New Roman" w:cs="Times New Roman"/>
              <w:sz w:val="32"/>
              <w:szCs w:val="36"/>
            </w:rPr>
            <w:t>30</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21DF46DB">
          <w:pPr>
            <w:pStyle w:val="19"/>
            <w:tabs>
              <w:tab w:val="right" w:leader="dot" w:pos="8845"/>
            </w:tabs>
            <w:ind w:firstLine="552"/>
            <w:rPr>
              <w:rFonts w:ascii="Times New Roman" w:hAnsi="Times New Roman" w:cs="Times New Roman"/>
              <w:sz w:val="32"/>
              <w:szCs w:val="36"/>
            </w:rPr>
          </w:pPr>
          <w:r>
            <w:fldChar w:fldCharType="begin"/>
          </w:r>
          <w:r>
            <w:instrText xml:space="preserve"> HYPERLINK \l "_Toc10422" </w:instrText>
          </w:r>
          <w:r>
            <w:fldChar w:fldCharType="separate"/>
          </w:r>
          <w:r>
            <w:rPr>
              <w:rFonts w:ascii="Times New Roman" w:hAnsi="Times New Roman" w:eastAsia="仿宋" w:cs="Times New Roman"/>
              <w:bCs/>
              <w:sz w:val="32"/>
              <w:szCs w:val="36"/>
            </w:rPr>
            <w:t xml:space="preserve">7.6 </w:t>
          </w:r>
          <w:r>
            <w:rPr>
              <w:rFonts w:ascii="Times New Roman" w:hAnsi="Times New Roman" w:cs="Times New Roman"/>
              <w:sz w:val="32"/>
              <w:szCs w:val="36"/>
            </w:rPr>
            <w:t>扑火指挥与战术原则</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_Toc10422 \h </w:instrText>
          </w:r>
          <w:r>
            <w:rPr>
              <w:rFonts w:ascii="Times New Roman" w:hAnsi="Times New Roman" w:cs="Times New Roman"/>
              <w:sz w:val="32"/>
              <w:szCs w:val="36"/>
            </w:rPr>
            <w:fldChar w:fldCharType="separate"/>
          </w:r>
          <w:r>
            <w:rPr>
              <w:rFonts w:ascii="Times New Roman" w:hAnsi="Times New Roman" w:cs="Times New Roman"/>
              <w:sz w:val="32"/>
              <w:szCs w:val="36"/>
            </w:rPr>
            <w:t>31</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5FD54E71">
          <w:pPr>
            <w:pStyle w:val="19"/>
            <w:tabs>
              <w:tab w:val="right" w:leader="dot" w:pos="8845"/>
            </w:tabs>
            <w:ind w:firstLine="552"/>
            <w:rPr>
              <w:rFonts w:ascii="Times New Roman" w:hAnsi="Times New Roman" w:cs="Times New Roman"/>
              <w:sz w:val="32"/>
              <w:szCs w:val="36"/>
            </w:rPr>
          </w:pPr>
          <w:r>
            <w:fldChar w:fldCharType="begin"/>
          </w:r>
          <w:r>
            <w:instrText xml:space="preserve"> HYPERLINK \l "_Toc9267" </w:instrText>
          </w:r>
          <w:r>
            <w:fldChar w:fldCharType="separate"/>
          </w:r>
          <w:r>
            <w:rPr>
              <w:rFonts w:ascii="Times New Roman" w:hAnsi="Times New Roman" w:eastAsia="仿宋" w:cs="Times New Roman"/>
              <w:bCs/>
              <w:sz w:val="32"/>
              <w:szCs w:val="36"/>
            </w:rPr>
            <w:t xml:space="preserve">7.7 </w:t>
          </w:r>
          <w:r>
            <w:rPr>
              <w:rFonts w:ascii="Times New Roman" w:hAnsi="Times New Roman" w:cs="Times New Roman"/>
              <w:sz w:val="32"/>
              <w:szCs w:val="36"/>
            </w:rPr>
            <w:t>社会动员</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_Toc9267 \h </w:instrText>
          </w:r>
          <w:r>
            <w:rPr>
              <w:rFonts w:ascii="Times New Roman" w:hAnsi="Times New Roman" w:cs="Times New Roman"/>
              <w:sz w:val="32"/>
              <w:szCs w:val="36"/>
            </w:rPr>
            <w:fldChar w:fldCharType="separate"/>
          </w:r>
          <w:r>
            <w:rPr>
              <w:rFonts w:ascii="Times New Roman" w:hAnsi="Times New Roman" w:cs="Times New Roman"/>
              <w:sz w:val="32"/>
              <w:szCs w:val="36"/>
            </w:rPr>
            <w:t>34</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0362B197">
          <w:pPr>
            <w:pStyle w:val="19"/>
            <w:tabs>
              <w:tab w:val="right" w:leader="dot" w:pos="8845"/>
            </w:tabs>
            <w:ind w:firstLine="552"/>
            <w:rPr>
              <w:rFonts w:ascii="Times New Roman" w:hAnsi="Times New Roman" w:cs="Times New Roman"/>
              <w:sz w:val="32"/>
              <w:szCs w:val="36"/>
            </w:rPr>
          </w:pPr>
          <w:r>
            <w:fldChar w:fldCharType="begin"/>
          </w:r>
          <w:r>
            <w:instrText xml:space="preserve"> HYPERLINK \l "_Toc31422" </w:instrText>
          </w:r>
          <w:r>
            <w:fldChar w:fldCharType="separate"/>
          </w:r>
          <w:r>
            <w:rPr>
              <w:rFonts w:ascii="Times New Roman" w:hAnsi="Times New Roman" w:eastAsia="仿宋" w:cs="Times New Roman"/>
              <w:bCs/>
              <w:sz w:val="32"/>
              <w:szCs w:val="36"/>
            </w:rPr>
            <w:t xml:space="preserve">7.8 </w:t>
          </w:r>
          <w:r>
            <w:rPr>
              <w:rFonts w:ascii="Times New Roman" w:hAnsi="Times New Roman" w:cs="Times New Roman"/>
              <w:sz w:val="32"/>
              <w:szCs w:val="36"/>
            </w:rPr>
            <w:t>区域合作</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_Toc31422 \h </w:instrText>
          </w:r>
          <w:r>
            <w:rPr>
              <w:rFonts w:ascii="Times New Roman" w:hAnsi="Times New Roman" w:cs="Times New Roman"/>
              <w:sz w:val="32"/>
              <w:szCs w:val="36"/>
            </w:rPr>
            <w:fldChar w:fldCharType="separate"/>
          </w:r>
          <w:r>
            <w:rPr>
              <w:rFonts w:ascii="Times New Roman" w:hAnsi="Times New Roman" w:cs="Times New Roman"/>
              <w:sz w:val="32"/>
              <w:szCs w:val="36"/>
            </w:rPr>
            <w:t>34</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2F9EC4A9">
          <w:pPr>
            <w:pStyle w:val="19"/>
            <w:tabs>
              <w:tab w:val="right" w:leader="dot" w:pos="8845"/>
            </w:tabs>
            <w:ind w:firstLine="552"/>
            <w:rPr>
              <w:rFonts w:ascii="Times New Roman" w:hAnsi="Times New Roman" w:cs="Times New Roman"/>
              <w:sz w:val="32"/>
              <w:szCs w:val="36"/>
            </w:rPr>
          </w:pPr>
          <w:r>
            <w:fldChar w:fldCharType="begin"/>
          </w:r>
          <w:r>
            <w:instrText xml:space="preserve"> HYPERLINK \l "_Toc14597" </w:instrText>
          </w:r>
          <w:r>
            <w:fldChar w:fldCharType="separate"/>
          </w:r>
          <w:r>
            <w:rPr>
              <w:rFonts w:ascii="Times New Roman" w:hAnsi="Times New Roman" w:eastAsia="仿宋" w:cs="Times New Roman"/>
              <w:bCs/>
              <w:sz w:val="32"/>
              <w:szCs w:val="36"/>
            </w:rPr>
            <w:t xml:space="preserve">7.9 </w:t>
          </w:r>
          <w:r>
            <w:rPr>
              <w:rFonts w:ascii="Times New Roman" w:hAnsi="Times New Roman" w:cs="Times New Roman"/>
              <w:sz w:val="32"/>
              <w:szCs w:val="36"/>
            </w:rPr>
            <w:t>信息发布与舆论引导</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_Toc14597 \h </w:instrText>
          </w:r>
          <w:r>
            <w:rPr>
              <w:rFonts w:ascii="Times New Roman" w:hAnsi="Times New Roman" w:cs="Times New Roman"/>
              <w:sz w:val="32"/>
              <w:szCs w:val="36"/>
            </w:rPr>
            <w:fldChar w:fldCharType="separate"/>
          </w:r>
          <w:r>
            <w:rPr>
              <w:rFonts w:ascii="Times New Roman" w:hAnsi="Times New Roman" w:cs="Times New Roman"/>
              <w:sz w:val="32"/>
              <w:szCs w:val="36"/>
            </w:rPr>
            <w:t>34</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0C349B30">
          <w:pPr>
            <w:pStyle w:val="19"/>
            <w:tabs>
              <w:tab w:val="right" w:leader="dot" w:pos="8845"/>
            </w:tabs>
            <w:ind w:firstLine="552"/>
            <w:rPr>
              <w:rFonts w:ascii="Times New Roman" w:hAnsi="Times New Roman" w:cs="Times New Roman"/>
              <w:sz w:val="32"/>
              <w:szCs w:val="36"/>
            </w:rPr>
          </w:pPr>
          <w:r>
            <w:fldChar w:fldCharType="begin"/>
          </w:r>
          <w:r>
            <w:instrText xml:space="preserve"> HYPERLINK \l "_Toc8616" </w:instrText>
          </w:r>
          <w:r>
            <w:fldChar w:fldCharType="separate"/>
          </w:r>
          <w:r>
            <w:rPr>
              <w:rFonts w:ascii="Times New Roman" w:hAnsi="Times New Roman" w:eastAsia="仿宋" w:cs="Times New Roman"/>
              <w:bCs/>
              <w:sz w:val="32"/>
              <w:szCs w:val="36"/>
            </w:rPr>
            <w:t xml:space="preserve">7.10 </w:t>
          </w:r>
          <w:r>
            <w:rPr>
              <w:rFonts w:ascii="Times New Roman" w:hAnsi="Times New Roman" w:cs="Times New Roman"/>
              <w:sz w:val="32"/>
              <w:szCs w:val="36"/>
            </w:rPr>
            <w:t>应急结束</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_Toc8616 \h </w:instrText>
          </w:r>
          <w:r>
            <w:rPr>
              <w:rFonts w:ascii="Times New Roman" w:hAnsi="Times New Roman" w:cs="Times New Roman"/>
              <w:sz w:val="32"/>
              <w:szCs w:val="36"/>
            </w:rPr>
            <w:fldChar w:fldCharType="separate"/>
          </w:r>
          <w:r>
            <w:rPr>
              <w:rFonts w:ascii="Times New Roman" w:hAnsi="Times New Roman" w:cs="Times New Roman"/>
              <w:sz w:val="32"/>
              <w:szCs w:val="36"/>
            </w:rPr>
            <w:t>35</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571674C0">
          <w:pPr>
            <w:pStyle w:val="18"/>
            <w:rPr>
              <w:rFonts w:ascii="Times New Roman" w:hAnsi="Times New Roman" w:cs="Times New Roman"/>
              <w:sz w:val="32"/>
              <w:szCs w:val="36"/>
            </w:rPr>
          </w:pPr>
          <w:r>
            <w:fldChar w:fldCharType="begin"/>
          </w:r>
          <w:r>
            <w:instrText xml:space="preserve"> HYPERLINK \l "_Toc459" </w:instrText>
          </w:r>
          <w:r>
            <w:fldChar w:fldCharType="separate"/>
          </w:r>
          <w:r>
            <w:rPr>
              <w:rFonts w:ascii="Times New Roman" w:hAnsi="Times New Roman" w:eastAsia="仿宋" w:cs="Times New Roman"/>
              <w:sz w:val="32"/>
              <w:szCs w:val="36"/>
            </w:rPr>
            <w:t xml:space="preserve">8 </w:t>
          </w:r>
          <w:r>
            <w:rPr>
              <w:rFonts w:ascii="Times New Roman" w:hAnsi="Times New Roman" w:cs="Times New Roman"/>
              <w:sz w:val="32"/>
              <w:szCs w:val="36"/>
            </w:rPr>
            <w:t>综合保障</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_Toc459 \h </w:instrText>
          </w:r>
          <w:r>
            <w:rPr>
              <w:rFonts w:ascii="Times New Roman" w:hAnsi="Times New Roman" w:cs="Times New Roman"/>
              <w:sz w:val="32"/>
              <w:szCs w:val="36"/>
            </w:rPr>
            <w:fldChar w:fldCharType="separate"/>
          </w:r>
          <w:r>
            <w:rPr>
              <w:rFonts w:ascii="Times New Roman" w:hAnsi="Times New Roman" w:cs="Times New Roman"/>
              <w:sz w:val="32"/>
              <w:szCs w:val="36"/>
            </w:rPr>
            <w:t>35</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22522EB3">
          <w:pPr>
            <w:pStyle w:val="19"/>
            <w:tabs>
              <w:tab w:val="right" w:leader="dot" w:pos="8845"/>
            </w:tabs>
            <w:ind w:firstLine="552"/>
            <w:rPr>
              <w:rFonts w:ascii="Times New Roman" w:hAnsi="Times New Roman" w:cs="Times New Roman"/>
              <w:sz w:val="32"/>
              <w:szCs w:val="36"/>
            </w:rPr>
          </w:pPr>
          <w:r>
            <w:fldChar w:fldCharType="begin"/>
          </w:r>
          <w:r>
            <w:instrText xml:space="preserve"> HYPERLINK \l "_Toc17900" </w:instrText>
          </w:r>
          <w:r>
            <w:fldChar w:fldCharType="separate"/>
          </w:r>
          <w:r>
            <w:rPr>
              <w:rFonts w:ascii="Times New Roman" w:hAnsi="Times New Roman" w:eastAsia="仿宋" w:cs="Times New Roman"/>
              <w:bCs/>
              <w:sz w:val="32"/>
              <w:szCs w:val="36"/>
            </w:rPr>
            <w:t xml:space="preserve">8.1 </w:t>
          </w:r>
          <w:r>
            <w:rPr>
              <w:rFonts w:ascii="Times New Roman" w:hAnsi="Times New Roman" w:cs="Times New Roman"/>
              <w:sz w:val="32"/>
              <w:szCs w:val="36"/>
            </w:rPr>
            <w:t>输送保障</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_Toc17900 \h </w:instrText>
          </w:r>
          <w:r>
            <w:rPr>
              <w:rFonts w:ascii="Times New Roman" w:hAnsi="Times New Roman" w:cs="Times New Roman"/>
              <w:sz w:val="32"/>
              <w:szCs w:val="36"/>
            </w:rPr>
            <w:fldChar w:fldCharType="separate"/>
          </w:r>
          <w:r>
            <w:rPr>
              <w:rFonts w:ascii="Times New Roman" w:hAnsi="Times New Roman" w:cs="Times New Roman"/>
              <w:sz w:val="32"/>
              <w:szCs w:val="36"/>
            </w:rPr>
            <w:t>35</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0D858121">
          <w:pPr>
            <w:pStyle w:val="19"/>
            <w:tabs>
              <w:tab w:val="right" w:leader="dot" w:pos="8845"/>
            </w:tabs>
            <w:ind w:firstLine="552"/>
            <w:rPr>
              <w:rFonts w:ascii="Times New Roman" w:hAnsi="Times New Roman" w:cs="Times New Roman"/>
              <w:sz w:val="32"/>
              <w:szCs w:val="36"/>
            </w:rPr>
          </w:pPr>
          <w:r>
            <w:fldChar w:fldCharType="begin"/>
          </w:r>
          <w:r>
            <w:instrText xml:space="preserve"> HYPERLINK \l "_Toc29661" </w:instrText>
          </w:r>
          <w:r>
            <w:fldChar w:fldCharType="separate"/>
          </w:r>
          <w:r>
            <w:rPr>
              <w:rFonts w:ascii="Times New Roman" w:hAnsi="Times New Roman" w:eastAsia="仿宋" w:cs="Times New Roman"/>
              <w:bCs/>
              <w:sz w:val="32"/>
              <w:szCs w:val="36"/>
            </w:rPr>
            <w:t xml:space="preserve">8.2 </w:t>
          </w:r>
          <w:r>
            <w:rPr>
              <w:rFonts w:ascii="Times New Roman" w:hAnsi="Times New Roman" w:cs="Times New Roman"/>
              <w:sz w:val="32"/>
              <w:szCs w:val="36"/>
            </w:rPr>
            <w:t>通信与信息保障</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_Toc29661 \h </w:instrText>
          </w:r>
          <w:r>
            <w:rPr>
              <w:rFonts w:ascii="Times New Roman" w:hAnsi="Times New Roman" w:cs="Times New Roman"/>
              <w:sz w:val="32"/>
              <w:szCs w:val="36"/>
            </w:rPr>
            <w:fldChar w:fldCharType="separate"/>
          </w:r>
          <w:r>
            <w:rPr>
              <w:rFonts w:ascii="Times New Roman" w:hAnsi="Times New Roman" w:cs="Times New Roman"/>
              <w:sz w:val="32"/>
              <w:szCs w:val="36"/>
            </w:rPr>
            <w:t>35</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28046864">
          <w:pPr>
            <w:pStyle w:val="19"/>
            <w:tabs>
              <w:tab w:val="right" w:leader="dot" w:pos="8845"/>
            </w:tabs>
            <w:ind w:firstLine="552"/>
            <w:rPr>
              <w:rFonts w:ascii="Times New Roman" w:hAnsi="Times New Roman" w:cs="Times New Roman"/>
              <w:sz w:val="32"/>
              <w:szCs w:val="36"/>
            </w:rPr>
          </w:pPr>
          <w:r>
            <w:fldChar w:fldCharType="begin"/>
          </w:r>
          <w:r>
            <w:instrText xml:space="preserve"> HYPERLINK \l "_Toc17213" </w:instrText>
          </w:r>
          <w:r>
            <w:fldChar w:fldCharType="separate"/>
          </w:r>
          <w:r>
            <w:rPr>
              <w:rFonts w:ascii="Times New Roman" w:hAnsi="Times New Roman" w:eastAsia="仿宋" w:cs="Times New Roman"/>
              <w:bCs/>
              <w:sz w:val="32"/>
              <w:szCs w:val="36"/>
            </w:rPr>
            <w:t xml:space="preserve">8.3 </w:t>
          </w:r>
          <w:r>
            <w:rPr>
              <w:rFonts w:ascii="Times New Roman" w:hAnsi="Times New Roman" w:cs="Times New Roman"/>
              <w:sz w:val="32"/>
              <w:szCs w:val="36"/>
            </w:rPr>
            <w:t>物资保障</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_Toc17213 \h </w:instrText>
          </w:r>
          <w:r>
            <w:rPr>
              <w:rFonts w:ascii="Times New Roman" w:hAnsi="Times New Roman" w:cs="Times New Roman"/>
              <w:sz w:val="32"/>
              <w:szCs w:val="36"/>
            </w:rPr>
            <w:fldChar w:fldCharType="separate"/>
          </w:r>
          <w:r>
            <w:rPr>
              <w:rFonts w:ascii="Times New Roman" w:hAnsi="Times New Roman" w:cs="Times New Roman"/>
              <w:sz w:val="32"/>
              <w:szCs w:val="36"/>
            </w:rPr>
            <w:t>36</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26A0EC13">
          <w:pPr>
            <w:pStyle w:val="19"/>
            <w:tabs>
              <w:tab w:val="right" w:leader="dot" w:pos="8845"/>
            </w:tabs>
            <w:ind w:firstLine="552"/>
            <w:rPr>
              <w:rFonts w:ascii="Times New Roman" w:hAnsi="Times New Roman" w:cs="Times New Roman"/>
              <w:sz w:val="32"/>
              <w:szCs w:val="36"/>
            </w:rPr>
          </w:pPr>
          <w:r>
            <w:fldChar w:fldCharType="begin"/>
          </w:r>
          <w:r>
            <w:instrText xml:space="preserve"> HYPERLINK \l "_Toc12532" </w:instrText>
          </w:r>
          <w:r>
            <w:fldChar w:fldCharType="separate"/>
          </w:r>
          <w:r>
            <w:rPr>
              <w:rFonts w:ascii="Times New Roman" w:hAnsi="Times New Roman" w:eastAsia="仿宋" w:cs="Times New Roman"/>
              <w:bCs/>
              <w:sz w:val="32"/>
              <w:szCs w:val="36"/>
            </w:rPr>
            <w:t xml:space="preserve">8.4 </w:t>
          </w:r>
          <w:r>
            <w:rPr>
              <w:rFonts w:ascii="Times New Roman" w:hAnsi="Times New Roman" w:cs="Times New Roman"/>
              <w:sz w:val="32"/>
              <w:szCs w:val="36"/>
            </w:rPr>
            <w:t>资金保障</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_Toc12532 \h </w:instrText>
          </w:r>
          <w:r>
            <w:rPr>
              <w:rFonts w:ascii="Times New Roman" w:hAnsi="Times New Roman" w:cs="Times New Roman"/>
              <w:sz w:val="32"/>
              <w:szCs w:val="36"/>
            </w:rPr>
            <w:fldChar w:fldCharType="separate"/>
          </w:r>
          <w:r>
            <w:rPr>
              <w:rFonts w:ascii="Times New Roman" w:hAnsi="Times New Roman" w:cs="Times New Roman"/>
              <w:sz w:val="32"/>
              <w:szCs w:val="36"/>
            </w:rPr>
            <w:t>36</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1B94D1FE">
          <w:pPr>
            <w:pStyle w:val="19"/>
            <w:tabs>
              <w:tab w:val="right" w:leader="dot" w:pos="8845"/>
            </w:tabs>
            <w:ind w:firstLine="552"/>
            <w:rPr>
              <w:rFonts w:ascii="Times New Roman" w:hAnsi="Times New Roman" w:cs="Times New Roman"/>
              <w:sz w:val="32"/>
              <w:szCs w:val="36"/>
            </w:rPr>
          </w:pPr>
          <w:r>
            <w:fldChar w:fldCharType="begin"/>
          </w:r>
          <w:r>
            <w:instrText xml:space="preserve"> HYPERLINK \l "_Toc24058" </w:instrText>
          </w:r>
          <w:r>
            <w:fldChar w:fldCharType="separate"/>
          </w:r>
          <w:r>
            <w:rPr>
              <w:rFonts w:ascii="Times New Roman" w:hAnsi="Times New Roman" w:eastAsia="仿宋" w:cs="Times New Roman"/>
              <w:bCs/>
              <w:sz w:val="32"/>
              <w:szCs w:val="36"/>
            </w:rPr>
            <w:t xml:space="preserve">8.5 </w:t>
          </w:r>
          <w:r>
            <w:rPr>
              <w:rFonts w:ascii="Times New Roman" w:hAnsi="Times New Roman" w:cs="Times New Roman"/>
              <w:sz w:val="32"/>
              <w:szCs w:val="36"/>
            </w:rPr>
            <w:t>队伍保障</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_Toc24058 \h </w:instrText>
          </w:r>
          <w:r>
            <w:rPr>
              <w:rFonts w:ascii="Times New Roman" w:hAnsi="Times New Roman" w:cs="Times New Roman"/>
              <w:sz w:val="32"/>
              <w:szCs w:val="36"/>
            </w:rPr>
            <w:fldChar w:fldCharType="separate"/>
          </w:r>
          <w:r>
            <w:rPr>
              <w:rFonts w:ascii="Times New Roman" w:hAnsi="Times New Roman" w:cs="Times New Roman"/>
              <w:sz w:val="32"/>
              <w:szCs w:val="36"/>
            </w:rPr>
            <w:t>36</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5F704FCD">
          <w:pPr>
            <w:pStyle w:val="19"/>
            <w:tabs>
              <w:tab w:val="right" w:leader="dot" w:pos="8845"/>
            </w:tabs>
            <w:ind w:firstLine="552"/>
            <w:rPr>
              <w:rFonts w:ascii="Times New Roman" w:hAnsi="Times New Roman" w:cs="Times New Roman"/>
              <w:sz w:val="32"/>
              <w:szCs w:val="36"/>
            </w:rPr>
          </w:pPr>
          <w:r>
            <w:fldChar w:fldCharType="begin"/>
          </w:r>
          <w:r>
            <w:instrText xml:space="preserve"> HYPERLINK \l "_Toc5972" </w:instrText>
          </w:r>
          <w:r>
            <w:fldChar w:fldCharType="separate"/>
          </w:r>
          <w:r>
            <w:rPr>
              <w:rFonts w:ascii="Times New Roman" w:hAnsi="Times New Roman" w:eastAsia="仿宋" w:cs="Times New Roman"/>
              <w:bCs/>
              <w:sz w:val="32"/>
              <w:szCs w:val="36"/>
            </w:rPr>
            <w:t xml:space="preserve">8.6 </w:t>
          </w:r>
          <w:r>
            <w:rPr>
              <w:rFonts w:ascii="Times New Roman" w:hAnsi="Times New Roman" w:cs="Times New Roman"/>
              <w:sz w:val="32"/>
              <w:szCs w:val="36"/>
            </w:rPr>
            <w:t>交通保障</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_Toc5972 \h </w:instrText>
          </w:r>
          <w:r>
            <w:rPr>
              <w:rFonts w:ascii="Times New Roman" w:hAnsi="Times New Roman" w:cs="Times New Roman"/>
              <w:sz w:val="32"/>
              <w:szCs w:val="36"/>
            </w:rPr>
            <w:fldChar w:fldCharType="separate"/>
          </w:r>
          <w:r>
            <w:rPr>
              <w:rFonts w:ascii="Times New Roman" w:hAnsi="Times New Roman" w:cs="Times New Roman"/>
              <w:sz w:val="32"/>
              <w:szCs w:val="36"/>
            </w:rPr>
            <w:t>36</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2E4FFE01">
          <w:pPr>
            <w:pStyle w:val="19"/>
            <w:tabs>
              <w:tab w:val="right" w:leader="dot" w:pos="8845"/>
            </w:tabs>
            <w:ind w:firstLine="552"/>
            <w:rPr>
              <w:rFonts w:ascii="Times New Roman" w:hAnsi="Times New Roman" w:cs="Times New Roman"/>
              <w:sz w:val="32"/>
              <w:szCs w:val="36"/>
            </w:rPr>
          </w:pPr>
          <w:r>
            <w:fldChar w:fldCharType="begin"/>
          </w:r>
          <w:r>
            <w:instrText xml:space="preserve"> HYPERLINK \l "_Toc307" </w:instrText>
          </w:r>
          <w:r>
            <w:fldChar w:fldCharType="separate"/>
          </w:r>
          <w:r>
            <w:rPr>
              <w:rFonts w:ascii="Times New Roman" w:hAnsi="Times New Roman" w:eastAsia="仿宋" w:cs="Times New Roman"/>
              <w:bCs/>
              <w:sz w:val="32"/>
              <w:szCs w:val="36"/>
            </w:rPr>
            <w:t xml:space="preserve">8.7 </w:t>
          </w:r>
          <w:r>
            <w:rPr>
              <w:rFonts w:ascii="Times New Roman" w:hAnsi="Times New Roman" w:cs="Times New Roman"/>
              <w:sz w:val="32"/>
              <w:szCs w:val="36"/>
            </w:rPr>
            <w:t>气象保障</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_Toc307 \h </w:instrText>
          </w:r>
          <w:r>
            <w:rPr>
              <w:rFonts w:ascii="Times New Roman" w:hAnsi="Times New Roman" w:cs="Times New Roman"/>
              <w:sz w:val="32"/>
              <w:szCs w:val="36"/>
            </w:rPr>
            <w:fldChar w:fldCharType="separate"/>
          </w:r>
          <w:r>
            <w:rPr>
              <w:rFonts w:ascii="Times New Roman" w:hAnsi="Times New Roman" w:cs="Times New Roman"/>
              <w:sz w:val="32"/>
              <w:szCs w:val="36"/>
            </w:rPr>
            <w:t>37</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49B4EAA3">
          <w:pPr>
            <w:pStyle w:val="18"/>
            <w:rPr>
              <w:rFonts w:ascii="Times New Roman" w:hAnsi="Times New Roman" w:cs="Times New Roman"/>
              <w:sz w:val="32"/>
              <w:szCs w:val="36"/>
            </w:rPr>
          </w:pPr>
          <w:r>
            <w:fldChar w:fldCharType="begin"/>
          </w:r>
          <w:r>
            <w:instrText xml:space="preserve"> HYPERLINK \l "_Toc15425" </w:instrText>
          </w:r>
          <w:r>
            <w:fldChar w:fldCharType="separate"/>
          </w:r>
          <w:r>
            <w:rPr>
              <w:rFonts w:ascii="Times New Roman" w:hAnsi="Times New Roman" w:eastAsia="仿宋" w:cs="Times New Roman"/>
              <w:sz w:val="32"/>
              <w:szCs w:val="36"/>
            </w:rPr>
            <w:t xml:space="preserve">9 </w:t>
          </w:r>
          <w:r>
            <w:rPr>
              <w:rFonts w:ascii="Times New Roman" w:hAnsi="Times New Roman" w:cs="Times New Roman"/>
              <w:sz w:val="32"/>
              <w:szCs w:val="36"/>
            </w:rPr>
            <w:t>后期处置</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_Toc15425 \h </w:instrText>
          </w:r>
          <w:r>
            <w:rPr>
              <w:rFonts w:ascii="Times New Roman" w:hAnsi="Times New Roman" w:cs="Times New Roman"/>
              <w:sz w:val="32"/>
              <w:szCs w:val="36"/>
            </w:rPr>
            <w:fldChar w:fldCharType="separate"/>
          </w:r>
          <w:r>
            <w:rPr>
              <w:rFonts w:ascii="Times New Roman" w:hAnsi="Times New Roman" w:cs="Times New Roman"/>
              <w:sz w:val="32"/>
              <w:szCs w:val="36"/>
            </w:rPr>
            <w:t>37</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463C76D5">
          <w:pPr>
            <w:pStyle w:val="19"/>
            <w:tabs>
              <w:tab w:val="right" w:leader="dot" w:pos="8845"/>
            </w:tabs>
            <w:ind w:firstLine="552"/>
            <w:rPr>
              <w:rFonts w:ascii="Times New Roman" w:hAnsi="Times New Roman" w:cs="Times New Roman"/>
              <w:sz w:val="32"/>
              <w:szCs w:val="36"/>
            </w:rPr>
          </w:pPr>
          <w:r>
            <w:fldChar w:fldCharType="begin"/>
          </w:r>
          <w:r>
            <w:instrText xml:space="preserve"> HYPERLINK \l "_Toc12738" </w:instrText>
          </w:r>
          <w:r>
            <w:fldChar w:fldCharType="separate"/>
          </w:r>
          <w:r>
            <w:rPr>
              <w:rFonts w:ascii="Times New Roman" w:hAnsi="Times New Roman" w:eastAsia="仿宋" w:cs="Times New Roman"/>
              <w:bCs/>
              <w:sz w:val="32"/>
              <w:szCs w:val="36"/>
            </w:rPr>
            <w:t xml:space="preserve">9.1 </w:t>
          </w:r>
          <w:r>
            <w:rPr>
              <w:rFonts w:ascii="Times New Roman" w:hAnsi="Times New Roman" w:cs="Times New Roman"/>
              <w:sz w:val="32"/>
              <w:szCs w:val="36"/>
            </w:rPr>
            <w:t>火灾评估</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_Toc12738 \h </w:instrText>
          </w:r>
          <w:r>
            <w:rPr>
              <w:rFonts w:ascii="Times New Roman" w:hAnsi="Times New Roman" w:cs="Times New Roman"/>
              <w:sz w:val="32"/>
              <w:szCs w:val="36"/>
            </w:rPr>
            <w:fldChar w:fldCharType="separate"/>
          </w:r>
          <w:r>
            <w:rPr>
              <w:rFonts w:ascii="Times New Roman" w:hAnsi="Times New Roman" w:cs="Times New Roman"/>
              <w:sz w:val="32"/>
              <w:szCs w:val="36"/>
            </w:rPr>
            <w:t>37</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269D235E">
          <w:pPr>
            <w:pStyle w:val="19"/>
            <w:tabs>
              <w:tab w:val="right" w:leader="dot" w:pos="8845"/>
            </w:tabs>
            <w:ind w:firstLine="552"/>
            <w:rPr>
              <w:rFonts w:ascii="Times New Roman" w:hAnsi="Times New Roman" w:cs="Times New Roman"/>
              <w:sz w:val="32"/>
              <w:szCs w:val="36"/>
            </w:rPr>
          </w:pPr>
          <w:r>
            <w:fldChar w:fldCharType="begin"/>
          </w:r>
          <w:r>
            <w:instrText xml:space="preserve"> HYPERLINK \l "_Toc27438" </w:instrText>
          </w:r>
          <w:r>
            <w:fldChar w:fldCharType="separate"/>
          </w:r>
          <w:r>
            <w:rPr>
              <w:rFonts w:ascii="Times New Roman" w:hAnsi="Times New Roman" w:eastAsia="仿宋" w:cs="Times New Roman"/>
              <w:bCs/>
              <w:sz w:val="32"/>
              <w:szCs w:val="36"/>
            </w:rPr>
            <w:t xml:space="preserve">9.2 </w:t>
          </w:r>
          <w:r>
            <w:rPr>
              <w:rFonts w:ascii="Times New Roman" w:hAnsi="Times New Roman" w:cs="Times New Roman"/>
              <w:sz w:val="32"/>
              <w:szCs w:val="36"/>
            </w:rPr>
            <w:t>灾民安置</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_Toc27438 \h </w:instrText>
          </w:r>
          <w:r>
            <w:rPr>
              <w:rFonts w:ascii="Times New Roman" w:hAnsi="Times New Roman" w:cs="Times New Roman"/>
              <w:sz w:val="32"/>
              <w:szCs w:val="36"/>
            </w:rPr>
            <w:fldChar w:fldCharType="separate"/>
          </w:r>
          <w:r>
            <w:rPr>
              <w:rFonts w:ascii="Times New Roman" w:hAnsi="Times New Roman" w:cs="Times New Roman"/>
              <w:sz w:val="32"/>
              <w:szCs w:val="36"/>
            </w:rPr>
            <w:t>37</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3D986C7B">
          <w:pPr>
            <w:pStyle w:val="19"/>
            <w:tabs>
              <w:tab w:val="right" w:leader="dot" w:pos="8845"/>
            </w:tabs>
            <w:ind w:firstLine="552"/>
            <w:rPr>
              <w:rFonts w:ascii="Times New Roman" w:hAnsi="Times New Roman" w:cs="Times New Roman"/>
              <w:sz w:val="32"/>
              <w:szCs w:val="36"/>
            </w:rPr>
          </w:pPr>
          <w:r>
            <w:fldChar w:fldCharType="begin"/>
          </w:r>
          <w:r>
            <w:instrText xml:space="preserve"> HYPERLINK \l "_Toc1867" </w:instrText>
          </w:r>
          <w:r>
            <w:fldChar w:fldCharType="separate"/>
          </w:r>
          <w:r>
            <w:rPr>
              <w:rFonts w:ascii="Times New Roman" w:hAnsi="Times New Roman" w:eastAsia="仿宋" w:cs="Times New Roman"/>
              <w:bCs/>
              <w:sz w:val="32"/>
              <w:szCs w:val="36"/>
            </w:rPr>
            <w:t xml:space="preserve">9.3 </w:t>
          </w:r>
          <w:r>
            <w:rPr>
              <w:rFonts w:ascii="Times New Roman" w:hAnsi="Times New Roman" w:cs="Times New Roman"/>
              <w:sz w:val="32"/>
              <w:szCs w:val="36"/>
            </w:rPr>
            <w:t>火因火案查处</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_Toc1867 \h </w:instrText>
          </w:r>
          <w:r>
            <w:rPr>
              <w:rFonts w:ascii="Times New Roman" w:hAnsi="Times New Roman" w:cs="Times New Roman"/>
              <w:sz w:val="32"/>
              <w:szCs w:val="36"/>
            </w:rPr>
            <w:fldChar w:fldCharType="separate"/>
          </w:r>
          <w:r>
            <w:rPr>
              <w:rFonts w:ascii="Times New Roman" w:hAnsi="Times New Roman" w:cs="Times New Roman"/>
              <w:sz w:val="32"/>
              <w:szCs w:val="36"/>
            </w:rPr>
            <w:t>37</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2EB6CE94">
          <w:pPr>
            <w:pStyle w:val="19"/>
            <w:tabs>
              <w:tab w:val="right" w:leader="dot" w:pos="8845"/>
            </w:tabs>
            <w:ind w:firstLine="552"/>
            <w:rPr>
              <w:rFonts w:ascii="Times New Roman" w:hAnsi="Times New Roman" w:cs="Times New Roman"/>
              <w:sz w:val="32"/>
              <w:szCs w:val="36"/>
            </w:rPr>
          </w:pPr>
          <w:r>
            <w:fldChar w:fldCharType="begin"/>
          </w:r>
          <w:r>
            <w:instrText xml:space="preserve"> HYPERLINK \l "_Toc22340" </w:instrText>
          </w:r>
          <w:r>
            <w:fldChar w:fldCharType="separate"/>
          </w:r>
          <w:r>
            <w:rPr>
              <w:rFonts w:ascii="Times New Roman" w:hAnsi="Times New Roman" w:eastAsia="仿宋" w:cs="Times New Roman"/>
              <w:bCs/>
              <w:sz w:val="32"/>
              <w:szCs w:val="36"/>
            </w:rPr>
            <w:t xml:space="preserve">9.4 </w:t>
          </w:r>
          <w:r>
            <w:rPr>
              <w:rFonts w:ascii="Times New Roman" w:hAnsi="Times New Roman" w:cs="Times New Roman"/>
              <w:sz w:val="32"/>
              <w:szCs w:val="36"/>
            </w:rPr>
            <w:t>责任追究</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_Toc22340 \h </w:instrText>
          </w:r>
          <w:r>
            <w:rPr>
              <w:rFonts w:ascii="Times New Roman" w:hAnsi="Times New Roman" w:cs="Times New Roman"/>
              <w:sz w:val="32"/>
              <w:szCs w:val="36"/>
            </w:rPr>
            <w:fldChar w:fldCharType="separate"/>
          </w:r>
          <w:r>
            <w:rPr>
              <w:rFonts w:ascii="Times New Roman" w:hAnsi="Times New Roman" w:cs="Times New Roman"/>
              <w:sz w:val="32"/>
              <w:szCs w:val="36"/>
            </w:rPr>
            <w:t>37</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594563EC">
          <w:pPr>
            <w:pStyle w:val="19"/>
            <w:tabs>
              <w:tab w:val="right" w:leader="dot" w:pos="8845"/>
            </w:tabs>
            <w:ind w:firstLine="552"/>
            <w:rPr>
              <w:rFonts w:ascii="Times New Roman" w:hAnsi="Times New Roman" w:cs="Times New Roman"/>
              <w:sz w:val="32"/>
              <w:szCs w:val="36"/>
            </w:rPr>
          </w:pPr>
          <w:r>
            <w:fldChar w:fldCharType="begin"/>
          </w:r>
          <w:r>
            <w:instrText xml:space="preserve"> HYPERLINK \l "_Toc16927" </w:instrText>
          </w:r>
          <w:r>
            <w:fldChar w:fldCharType="separate"/>
          </w:r>
          <w:r>
            <w:rPr>
              <w:rFonts w:ascii="Times New Roman" w:hAnsi="Times New Roman" w:eastAsia="仿宋" w:cs="Times New Roman"/>
              <w:bCs/>
              <w:sz w:val="32"/>
              <w:szCs w:val="36"/>
            </w:rPr>
            <w:t xml:space="preserve">9.5 </w:t>
          </w:r>
          <w:r>
            <w:rPr>
              <w:rFonts w:ascii="Times New Roman" w:hAnsi="Times New Roman" w:cs="Times New Roman"/>
              <w:sz w:val="32"/>
              <w:szCs w:val="36"/>
            </w:rPr>
            <w:t>工作总结</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_Toc16927 \h </w:instrText>
          </w:r>
          <w:r>
            <w:rPr>
              <w:rFonts w:ascii="Times New Roman" w:hAnsi="Times New Roman" w:cs="Times New Roman"/>
              <w:sz w:val="32"/>
              <w:szCs w:val="36"/>
            </w:rPr>
            <w:fldChar w:fldCharType="separate"/>
          </w:r>
          <w:r>
            <w:rPr>
              <w:rFonts w:ascii="Times New Roman" w:hAnsi="Times New Roman" w:cs="Times New Roman"/>
              <w:sz w:val="32"/>
              <w:szCs w:val="36"/>
            </w:rPr>
            <w:t>38</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3849AA0E">
          <w:pPr>
            <w:pStyle w:val="19"/>
            <w:tabs>
              <w:tab w:val="right" w:leader="dot" w:pos="8845"/>
            </w:tabs>
            <w:ind w:firstLine="552"/>
            <w:rPr>
              <w:rFonts w:ascii="Times New Roman" w:hAnsi="Times New Roman" w:cs="Times New Roman"/>
              <w:sz w:val="32"/>
              <w:szCs w:val="36"/>
            </w:rPr>
          </w:pPr>
          <w:r>
            <w:fldChar w:fldCharType="begin"/>
          </w:r>
          <w:r>
            <w:instrText xml:space="preserve"> HYPERLINK \l "_Toc23084" </w:instrText>
          </w:r>
          <w:r>
            <w:fldChar w:fldCharType="separate"/>
          </w:r>
          <w:r>
            <w:rPr>
              <w:rFonts w:ascii="Times New Roman" w:hAnsi="Times New Roman" w:eastAsia="仿宋" w:cs="Times New Roman"/>
              <w:bCs/>
              <w:sz w:val="32"/>
              <w:szCs w:val="36"/>
            </w:rPr>
            <w:t xml:space="preserve">9.6 </w:t>
          </w:r>
          <w:r>
            <w:rPr>
              <w:rFonts w:ascii="Times New Roman" w:hAnsi="Times New Roman" w:cs="Times New Roman"/>
              <w:sz w:val="32"/>
              <w:szCs w:val="36"/>
            </w:rPr>
            <w:t>善后处置</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_Toc23084 \h </w:instrText>
          </w:r>
          <w:r>
            <w:rPr>
              <w:rFonts w:ascii="Times New Roman" w:hAnsi="Times New Roman" w:cs="Times New Roman"/>
              <w:sz w:val="32"/>
              <w:szCs w:val="36"/>
            </w:rPr>
            <w:fldChar w:fldCharType="separate"/>
          </w:r>
          <w:r>
            <w:rPr>
              <w:rFonts w:ascii="Times New Roman" w:hAnsi="Times New Roman" w:cs="Times New Roman"/>
              <w:sz w:val="32"/>
              <w:szCs w:val="36"/>
            </w:rPr>
            <w:t>38</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278E6A74">
          <w:pPr>
            <w:pStyle w:val="18"/>
            <w:rPr>
              <w:rFonts w:ascii="Times New Roman" w:hAnsi="Times New Roman" w:cs="Times New Roman"/>
              <w:sz w:val="32"/>
              <w:szCs w:val="36"/>
            </w:rPr>
          </w:pPr>
          <w:r>
            <w:fldChar w:fldCharType="begin"/>
          </w:r>
          <w:r>
            <w:instrText xml:space="preserve"> HYPERLINK \l "_Toc3415" </w:instrText>
          </w:r>
          <w:r>
            <w:fldChar w:fldCharType="separate"/>
          </w:r>
          <w:r>
            <w:rPr>
              <w:rFonts w:ascii="Times New Roman" w:hAnsi="Times New Roman" w:eastAsia="仿宋" w:cs="Times New Roman"/>
              <w:sz w:val="32"/>
              <w:szCs w:val="36"/>
            </w:rPr>
            <w:t xml:space="preserve">10 </w:t>
          </w:r>
          <w:r>
            <w:rPr>
              <w:rFonts w:ascii="Times New Roman" w:hAnsi="Times New Roman" w:cs="Times New Roman"/>
              <w:sz w:val="32"/>
              <w:szCs w:val="36"/>
            </w:rPr>
            <w:t>预案管理</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_Toc3415 \h </w:instrText>
          </w:r>
          <w:r>
            <w:rPr>
              <w:rFonts w:ascii="Times New Roman" w:hAnsi="Times New Roman" w:cs="Times New Roman"/>
              <w:sz w:val="32"/>
              <w:szCs w:val="36"/>
            </w:rPr>
            <w:fldChar w:fldCharType="separate"/>
          </w:r>
          <w:r>
            <w:rPr>
              <w:rFonts w:ascii="Times New Roman" w:hAnsi="Times New Roman" w:cs="Times New Roman"/>
              <w:sz w:val="32"/>
              <w:szCs w:val="36"/>
            </w:rPr>
            <w:t>38</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73422855">
          <w:pPr>
            <w:pStyle w:val="19"/>
            <w:tabs>
              <w:tab w:val="right" w:leader="dot" w:pos="8845"/>
            </w:tabs>
            <w:ind w:firstLine="552"/>
            <w:rPr>
              <w:rFonts w:ascii="Times New Roman" w:hAnsi="Times New Roman" w:cs="Times New Roman"/>
              <w:sz w:val="32"/>
              <w:szCs w:val="36"/>
            </w:rPr>
          </w:pPr>
          <w:r>
            <w:fldChar w:fldCharType="begin"/>
          </w:r>
          <w:r>
            <w:instrText xml:space="preserve"> HYPERLINK \l "_Toc12880" </w:instrText>
          </w:r>
          <w:r>
            <w:fldChar w:fldCharType="separate"/>
          </w:r>
          <w:r>
            <w:rPr>
              <w:rFonts w:ascii="Times New Roman" w:hAnsi="Times New Roman" w:eastAsia="仿宋" w:cs="Times New Roman"/>
              <w:bCs/>
              <w:sz w:val="32"/>
              <w:szCs w:val="36"/>
            </w:rPr>
            <w:t xml:space="preserve">10.1 </w:t>
          </w:r>
          <w:r>
            <w:rPr>
              <w:rFonts w:ascii="Times New Roman" w:hAnsi="Times New Roman" w:cs="Times New Roman"/>
              <w:sz w:val="32"/>
              <w:szCs w:val="36"/>
            </w:rPr>
            <w:t>预案培训演练</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_Toc12880 \h </w:instrText>
          </w:r>
          <w:r>
            <w:rPr>
              <w:rFonts w:ascii="Times New Roman" w:hAnsi="Times New Roman" w:cs="Times New Roman"/>
              <w:sz w:val="32"/>
              <w:szCs w:val="36"/>
            </w:rPr>
            <w:fldChar w:fldCharType="separate"/>
          </w:r>
          <w:r>
            <w:rPr>
              <w:rFonts w:ascii="Times New Roman" w:hAnsi="Times New Roman" w:cs="Times New Roman"/>
              <w:sz w:val="32"/>
              <w:szCs w:val="36"/>
            </w:rPr>
            <w:t>38</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1469629E">
          <w:pPr>
            <w:pStyle w:val="19"/>
            <w:tabs>
              <w:tab w:val="right" w:leader="dot" w:pos="8845"/>
            </w:tabs>
            <w:ind w:firstLine="552"/>
            <w:rPr>
              <w:rFonts w:ascii="Times New Roman" w:hAnsi="Times New Roman" w:cs="Times New Roman"/>
              <w:sz w:val="32"/>
              <w:szCs w:val="36"/>
            </w:rPr>
          </w:pPr>
          <w:r>
            <w:fldChar w:fldCharType="begin"/>
          </w:r>
          <w:r>
            <w:instrText xml:space="preserve"> HYPERLINK \l "_Toc13986" </w:instrText>
          </w:r>
          <w:r>
            <w:fldChar w:fldCharType="separate"/>
          </w:r>
          <w:r>
            <w:rPr>
              <w:rFonts w:ascii="Times New Roman" w:hAnsi="Times New Roman" w:eastAsia="仿宋" w:cs="Times New Roman"/>
              <w:bCs/>
              <w:sz w:val="32"/>
              <w:szCs w:val="36"/>
            </w:rPr>
            <w:t xml:space="preserve">10.2 </w:t>
          </w:r>
          <w:r>
            <w:rPr>
              <w:rFonts w:ascii="Times New Roman" w:hAnsi="Times New Roman" w:cs="Times New Roman"/>
              <w:sz w:val="32"/>
              <w:szCs w:val="36"/>
            </w:rPr>
            <w:t>预案管理与更新</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_Toc13986 \h </w:instrText>
          </w:r>
          <w:r>
            <w:rPr>
              <w:rFonts w:ascii="Times New Roman" w:hAnsi="Times New Roman" w:cs="Times New Roman"/>
              <w:sz w:val="32"/>
              <w:szCs w:val="36"/>
            </w:rPr>
            <w:fldChar w:fldCharType="separate"/>
          </w:r>
          <w:r>
            <w:rPr>
              <w:rFonts w:ascii="Times New Roman" w:hAnsi="Times New Roman" w:cs="Times New Roman"/>
              <w:sz w:val="32"/>
              <w:szCs w:val="36"/>
            </w:rPr>
            <w:t>39</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1203381F">
          <w:pPr>
            <w:pStyle w:val="18"/>
            <w:rPr>
              <w:rFonts w:ascii="Times New Roman" w:hAnsi="Times New Roman" w:cs="Times New Roman"/>
              <w:sz w:val="32"/>
              <w:szCs w:val="36"/>
            </w:rPr>
          </w:pPr>
          <w:r>
            <w:fldChar w:fldCharType="begin"/>
          </w:r>
          <w:r>
            <w:instrText xml:space="preserve"> HYPERLINK \l "_Toc1000" </w:instrText>
          </w:r>
          <w:r>
            <w:fldChar w:fldCharType="separate"/>
          </w:r>
          <w:r>
            <w:rPr>
              <w:rFonts w:ascii="Times New Roman" w:hAnsi="Times New Roman" w:eastAsia="仿宋" w:cs="Times New Roman"/>
              <w:sz w:val="32"/>
              <w:szCs w:val="36"/>
            </w:rPr>
            <w:t xml:space="preserve">11 </w:t>
          </w:r>
          <w:r>
            <w:rPr>
              <w:rFonts w:ascii="Times New Roman" w:hAnsi="Times New Roman" w:cs="Times New Roman"/>
              <w:sz w:val="32"/>
              <w:szCs w:val="36"/>
            </w:rPr>
            <w:t>附则</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_Toc1000 \h </w:instrText>
          </w:r>
          <w:r>
            <w:rPr>
              <w:rFonts w:ascii="Times New Roman" w:hAnsi="Times New Roman" w:cs="Times New Roman"/>
              <w:sz w:val="32"/>
              <w:szCs w:val="36"/>
            </w:rPr>
            <w:fldChar w:fldCharType="separate"/>
          </w:r>
          <w:r>
            <w:rPr>
              <w:rFonts w:ascii="Times New Roman" w:hAnsi="Times New Roman" w:cs="Times New Roman"/>
              <w:sz w:val="32"/>
              <w:szCs w:val="36"/>
            </w:rPr>
            <w:t>39</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3E67F26A">
          <w:pPr>
            <w:pStyle w:val="19"/>
            <w:tabs>
              <w:tab w:val="right" w:leader="dot" w:pos="8845"/>
            </w:tabs>
            <w:ind w:firstLine="552"/>
            <w:rPr>
              <w:rFonts w:ascii="Times New Roman" w:hAnsi="Times New Roman" w:cs="Times New Roman"/>
              <w:sz w:val="32"/>
              <w:szCs w:val="36"/>
            </w:rPr>
          </w:pPr>
          <w:r>
            <w:fldChar w:fldCharType="begin"/>
          </w:r>
          <w:r>
            <w:instrText xml:space="preserve"> HYPERLINK \l "_Toc12693" </w:instrText>
          </w:r>
          <w:r>
            <w:fldChar w:fldCharType="separate"/>
          </w:r>
          <w:r>
            <w:rPr>
              <w:rFonts w:ascii="Times New Roman" w:hAnsi="Times New Roman" w:eastAsia="仿宋" w:cs="Times New Roman"/>
              <w:bCs/>
              <w:sz w:val="32"/>
              <w:szCs w:val="36"/>
            </w:rPr>
            <w:t xml:space="preserve">11.1 </w:t>
          </w:r>
          <w:r>
            <w:rPr>
              <w:rFonts w:ascii="Times New Roman" w:hAnsi="Times New Roman" w:cs="Times New Roman"/>
              <w:sz w:val="32"/>
              <w:szCs w:val="36"/>
            </w:rPr>
            <w:t>名词术语解释</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_Toc12693 \h </w:instrText>
          </w:r>
          <w:r>
            <w:rPr>
              <w:rFonts w:ascii="Times New Roman" w:hAnsi="Times New Roman" w:cs="Times New Roman"/>
              <w:sz w:val="32"/>
              <w:szCs w:val="36"/>
            </w:rPr>
            <w:fldChar w:fldCharType="separate"/>
          </w:r>
          <w:r>
            <w:rPr>
              <w:rFonts w:ascii="Times New Roman" w:hAnsi="Times New Roman" w:cs="Times New Roman"/>
              <w:sz w:val="32"/>
              <w:szCs w:val="36"/>
            </w:rPr>
            <w:t>39</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44ECC6A1">
          <w:pPr>
            <w:pStyle w:val="19"/>
            <w:tabs>
              <w:tab w:val="right" w:leader="dot" w:pos="8845"/>
            </w:tabs>
            <w:ind w:firstLine="552"/>
            <w:rPr>
              <w:rFonts w:ascii="Times New Roman" w:hAnsi="Times New Roman" w:cs="Times New Roman"/>
              <w:sz w:val="32"/>
              <w:szCs w:val="36"/>
            </w:rPr>
          </w:pPr>
          <w:r>
            <w:fldChar w:fldCharType="begin"/>
          </w:r>
          <w:r>
            <w:instrText xml:space="preserve"> HYPERLINK \l "_Toc15235" </w:instrText>
          </w:r>
          <w:r>
            <w:fldChar w:fldCharType="separate"/>
          </w:r>
          <w:r>
            <w:rPr>
              <w:rFonts w:ascii="Times New Roman" w:hAnsi="Times New Roman" w:eastAsia="仿宋" w:cs="Times New Roman"/>
              <w:bCs/>
              <w:sz w:val="32"/>
              <w:szCs w:val="36"/>
            </w:rPr>
            <w:t xml:space="preserve">11.2 </w:t>
          </w:r>
          <w:r>
            <w:rPr>
              <w:rFonts w:ascii="Times New Roman" w:hAnsi="Times New Roman" w:cs="Times New Roman"/>
              <w:sz w:val="32"/>
              <w:szCs w:val="36"/>
            </w:rPr>
            <w:t>预案解释与实施</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_Toc15235 \h </w:instrText>
          </w:r>
          <w:r>
            <w:rPr>
              <w:rFonts w:ascii="Times New Roman" w:hAnsi="Times New Roman" w:cs="Times New Roman"/>
              <w:sz w:val="32"/>
              <w:szCs w:val="36"/>
            </w:rPr>
            <w:fldChar w:fldCharType="separate"/>
          </w:r>
          <w:r>
            <w:rPr>
              <w:rFonts w:ascii="Times New Roman" w:hAnsi="Times New Roman" w:cs="Times New Roman"/>
              <w:sz w:val="32"/>
              <w:szCs w:val="36"/>
            </w:rPr>
            <w:t>40</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09EF17D6">
          <w:pPr>
            <w:pStyle w:val="18"/>
            <w:rPr>
              <w:rFonts w:ascii="Times New Roman" w:hAnsi="Times New Roman" w:cs="Times New Roman"/>
            </w:rPr>
          </w:pPr>
          <w:r>
            <w:fldChar w:fldCharType="begin"/>
          </w:r>
          <w:r>
            <w:instrText xml:space="preserve"> HYPERLINK \l "_Toc10887" </w:instrText>
          </w:r>
          <w:r>
            <w:fldChar w:fldCharType="separate"/>
          </w:r>
          <w:r>
            <w:rPr>
              <w:rFonts w:ascii="Times New Roman" w:hAnsi="Times New Roman" w:cs="Times New Roman"/>
              <w:sz w:val="32"/>
              <w:szCs w:val="36"/>
            </w:rPr>
            <w:t>附件１：森林草原火灾分级标准</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_Toc10887 \h </w:instrText>
          </w:r>
          <w:r>
            <w:rPr>
              <w:rFonts w:ascii="Times New Roman" w:hAnsi="Times New Roman" w:cs="Times New Roman"/>
              <w:sz w:val="32"/>
              <w:szCs w:val="36"/>
            </w:rPr>
            <w:fldChar w:fldCharType="separate"/>
          </w:r>
          <w:r>
            <w:rPr>
              <w:rFonts w:ascii="Times New Roman" w:hAnsi="Times New Roman" w:cs="Times New Roman"/>
              <w:sz w:val="32"/>
              <w:szCs w:val="36"/>
            </w:rPr>
            <w:t>41</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729D3D33">
          <w:pPr>
            <w:pStyle w:val="15"/>
            <w:ind w:left="0" w:leftChars="0" w:firstLine="0" w:firstLineChars="0"/>
            <w:rPr>
              <w:rFonts w:ascii="Times New Roman" w:hAnsi="Times New Roman" w:eastAsia="仿宋" w:cs="Times New Roman"/>
              <w:b/>
              <w:sz w:val="32"/>
            </w:rPr>
          </w:pPr>
          <w:r>
            <w:rPr>
              <w:rFonts w:ascii="Times New Roman" w:hAnsi="Times New Roman" w:cs="Times New Roman"/>
            </w:rPr>
            <w:fldChar w:fldCharType="end"/>
          </w:r>
        </w:p>
      </w:sdtContent>
    </w:sdt>
    <w:p w14:paraId="73DADA1B">
      <w:pPr>
        <w:pStyle w:val="2"/>
        <w:numPr>
          <w:ilvl w:val="0"/>
          <w:numId w:val="108"/>
        </w:numPr>
        <w:tabs>
          <w:tab w:val="left" w:pos="0"/>
        </w:tabs>
        <w:ind w:firstLine="0" w:firstLineChars="0"/>
        <w:rPr>
          <w:rFonts w:ascii="Times New Roman" w:hAnsi="Times New Roman" w:cs="Times New Roman"/>
          <w:sz w:val="32"/>
        </w:rPr>
      </w:pPr>
      <w:bookmarkStart w:id="480" w:name="_Toc10497"/>
      <w:r>
        <w:rPr>
          <w:rFonts w:ascii="Times New Roman" w:hAnsi="Times New Roman" w:cs="Times New Roman"/>
          <w:sz w:val="32"/>
        </w:rPr>
        <w:t>总则</w:t>
      </w:r>
      <w:bookmarkEnd w:id="479"/>
      <w:bookmarkEnd w:id="480"/>
    </w:p>
    <w:p w14:paraId="24AD4739">
      <w:pPr>
        <w:pStyle w:val="3"/>
        <w:ind w:firstLine="0" w:firstLineChars="0"/>
        <w:rPr>
          <w:rFonts w:ascii="Times New Roman" w:hAnsi="Times New Roman" w:cs="Times New Roman"/>
          <w:sz w:val="32"/>
        </w:rPr>
      </w:pPr>
      <w:bookmarkStart w:id="481" w:name="_Toc16409"/>
      <w:r>
        <w:rPr>
          <w:rFonts w:ascii="Times New Roman" w:hAnsi="Times New Roman" w:cs="Times New Roman"/>
          <w:sz w:val="32"/>
        </w:rPr>
        <w:t>指导思想</w:t>
      </w:r>
      <w:bookmarkEnd w:id="481"/>
    </w:p>
    <w:p w14:paraId="6690335E">
      <w:pPr>
        <w:ind w:firstLine="632"/>
        <w:rPr>
          <w:rFonts w:ascii="Times New Roman" w:hAnsi="Times New Roman" w:cs="Times New Roman"/>
          <w:sz w:val="32"/>
        </w:rPr>
      </w:pPr>
      <w:r>
        <w:rPr>
          <w:rFonts w:ascii="Times New Roman" w:hAnsi="Times New Roman" w:cs="Times New Roman"/>
          <w:sz w:val="32"/>
        </w:rPr>
        <w:t>以习近平新时代中国特色社会主义思想为指导，深入贯彻落实习近平总书记关于防灾减灾救灾的重要论述和关于全面做好森林草原防灭火工作的重要指示精神，按照党中央、国务院决策部署和省委省政府、市委市政府、县委县政府要求，坚持人民至上、生命至上，进一步完善制度机制，依法有力有序有效处置森林草原火灾，最大程度减少人员伤亡和财产损失，保护森林草原资源，维护生态安全。</w:t>
      </w:r>
    </w:p>
    <w:p w14:paraId="6C2F434F">
      <w:pPr>
        <w:pStyle w:val="3"/>
        <w:ind w:firstLine="0" w:firstLineChars="0"/>
        <w:rPr>
          <w:rFonts w:ascii="Times New Roman" w:hAnsi="Times New Roman" w:cs="Times New Roman"/>
          <w:sz w:val="32"/>
        </w:rPr>
      </w:pPr>
      <w:bookmarkStart w:id="482" w:name="_Toc10092"/>
      <w:bookmarkStart w:id="483" w:name="_Toc15793"/>
      <w:r>
        <w:rPr>
          <w:rFonts w:ascii="Times New Roman" w:hAnsi="Times New Roman" w:cs="Times New Roman"/>
          <w:sz w:val="32"/>
        </w:rPr>
        <w:t>编制依据</w:t>
      </w:r>
      <w:bookmarkEnd w:id="482"/>
      <w:bookmarkEnd w:id="483"/>
    </w:p>
    <w:p w14:paraId="7D702AC9">
      <w:pPr>
        <w:ind w:firstLine="632"/>
        <w:rPr>
          <w:rFonts w:ascii="Times New Roman" w:hAnsi="Times New Roman" w:cs="Times New Roman"/>
          <w:sz w:val="32"/>
        </w:rPr>
      </w:pPr>
      <w:r>
        <w:rPr>
          <w:rFonts w:ascii="Times New Roman" w:hAnsi="Times New Roman" w:cs="Times New Roman"/>
          <w:sz w:val="32"/>
        </w:rPr>
        <w:t>《中华人民共和国突发事件应对法》《中华人民共和国森林法》《中华人民共和国草原法》《森林防火条例》《草原防火条例》《国家森林草原火灾应急预案》《黑龙江省森林防火条例》《黑龙江省森林火险预警响应暂行规定》《黑龙江省森林草原火灾应急预案》《集贤县人民政府突发事件总体应急预案》等法律法规、上位预案要求，以《双鸭山市森林草原火灾应急预案》（双政办规〔2022〕18号）文件为蓝本上下对应，结合我县森林草原防灭火实际编制此预案。</w:t>
      </w:r>
    </w:p>
    <w:p w14:paraId="54502A81">
      <w:pPr>
        <w:pStyle w:val="3"/>
        <w:ind w:firstLine="0" w:firstLineChars="0"/>
        <w:rPr>
          <w:rFonts w:ascii="Times New Roman" w:hAnsi="Times New Roman" w:cs="Times New Roman"/>
          <w:sz w:val="32"/>
        </w:rPr>
      </w:pPr>
      <w:bookmarkStart w:id="484" w:name="_Toc9969"/>
      <w:bookmarkStart w:id="485" w:name="_Toc28114"/>
      <w:r>
        <w:rPr>
          <w:rFonts w:ascii="Times New Roman" w:hAnsi="Times New Roman" w:cs="Times New Roman"/>
          <w:sz w:val="32"/>
        </w:rPr>
        <w:t>适用范围</w:t>
      </w:r>
      <w:bookmarkEnd w:id="484"/>
      <w:bookmarkEnd w:id="485"/>
    </w:p>
    <w:p w14:paraId="2AB3C753">
      <w:pPr>
        <w:ind w:firstLine="632"/>
        <w:rPr>
          <w:rFonts w:ascii="Times New Roman" w:hAnsi="Times New Roman" w:cs="Times New Roman"/>
          <w:sz w:val="32"/>
        </w:rPr>
      </w:pPr>
      <w:r>
        <w:rPr>
          <w:rFonts w:ascii="Times New Roman" w:hAnsi="Times New Roman" w:cs="Times New Roman"/>
          <w:sz w:val="32"/>
        </w:rPr>
        <w:t>本预案适用于集贤县行政区域内发生的森林草原火灾应对工作。</w:t>
      </w:r>
    </w:p>
    <w:p w14:paraId="47692A0A">
      <w:pPr>
        <w:pStyle w:val="3"/>
        <w:ind w:firstLine="0" w:firstLineChars="0"/>
        <w:rPr>
          <w:rFonts w:ascii="Times New Roman" w:hAnsi="Times New Roman" w:cs="Times New Roman"/>
          <w:sz w:val="32"/>
        </w:rPr>
      </w:pPr>
      <w:bookmarkStart w:id="486" w:name="_Toc24304"/>
      <w:bookmarkStart w:id="487" w:name="_Toc1901"/>
      <w:r>
        <w:rPr>
          <w:rFonts w:ascii="Times New Roman" w:hAnsi="Times New Roman" w:cs="Times New Roman"/>
          <w:sz w:val="32"/>
        </w:rPr>
        <w:t>工作原则</w:t>
      </w:r>
      <w:bookmarkEnd w:id="486"/>
      <w:bookmarkEnd w:id="487"/>
    </w:p>
    <w:p w14:paraId="64992529">
      <w:pPr>
        <w:pStyle w:val="4"/>
        <w:numPr>
          <w:ilvl w:val="2"/>
          <w:numId w:val="108"/>
        </w:numPr>
        <w:tabs>
          <w:tab w:val="left" w:pos="0"/>
        </w:tabs>
        <w:ind w:firstLine="0" w:firstLineChars="0"/>
        <w:rPr>
          <w:rFonts w:ascii="Times New Roman" w:hAnsi="Times New Roman" w:cs="Times New Roman"/>
          <w:sz w:val="32"/>
        </w:rPr>
      </w:pPr>
      <w:r>
        <w:rPr>
          <w:rFonts w:ascii="Times New Roman" w:hAnsi="Times New Roman" w:cs="Times New Roman"/>
          <w:sz w:val="32"/>
        </w:rPr>
        <w:t>坚持统一领导、分级负责的原则</w:t>
      </w:r>
    </w:p>
    <w:p w14:paraId="0ADCB3C5">
      <w:pPr>
        <w:ind w:firstLine="632"/>
        <w:rPr>
          <w:rFonts w:ascii="Times New Roman" w:hAnsi="Times New Roman" w:cs="Times New Roman"/>
          <w:sz w:val="32"/>
        </w:rPr>
      </w:pPr>
      <w:r>
        <w:rPr>
          <w:rFonts w:ascii="Times New Roman" w:hAnsi="Times New Roman" w:cs="Times New Roman"/>
          <w:sz w:val="32"/>
        </w:rPr>
        <w:t>实行党政同责的森林草原防灭火责任制。县人民政府负责组织制订、印发本预案，县森林草原防灭火指挥部负责按照本预案协调组织实施，各乡镇人民政府应本预案要求组织制定、修订本辖区的森林草原火灾应急预案，按照统一领导、分级负责、分级响应、属地为主的要求，落实应急处置工作。</w:t>
      </w:r>
    </w:p>
    <w:p w14:paraId="7718FD4D">
      <w:pPr>
        <w:pStyle w:val="4"/>
        <w:numPr>
          <w:ilvl w:val="2"/>
          <w:numId w:val="108"/>
        </w:numPr>
        <w:tabs>
          <w:tab w:val="left" w:pos="0"/>
        </w:tabs>
        <w:ind w:firstLine="0" w:firstLineChars="0"/>
        <w:rPr>
          <w:rFonts w:ascii="Times New Roman" w:hAnsi="Times New Roman" w:cs="Times New Roman"/>
          <w:sz w:val="32"/>
        </w:rPr>
      </w:pPr>
      <w:r>
        <w:rPr>
          <w:rFonts w:ascii="Times New Roman" w:hAnsi="Times New Roman" w:cs="Times New Roman"/>
          <w:sz w:val="32"/>
        </w:rPr>
        <w:t>坚持科学处置、安全第一的原则</w:t>
      </w:r>
    </w:p>
    <w:p w14:paraId="41F8E508">
      <w:pPr>
        <w:ind w:firstLine="632"/>
        <w:rPr>
          <w:rFonts w:ascii="Times New Roman" w:hAnsi="Times New Roman" w:cs="Times New Roman"/>
          <w:sz w:val="32"/>
        </w:rPr>
      </w:pPr>
      <w:r>
        <w:rPr>
          <w:rFonts w:ascii="Times New Roman" w:hAnsi="Times New Roman" w:cs="Times New Roman"/>
          <w:sz w:val="32"/>
        </w:rPr>
        <w:t>发生森林草原火灾后，首先转移受威胁人员，确保人民群众生命安全。在火灾处置中始终将扑火人员和群众的生命安全放在首位，坚持“火情不明先侦察、气象不利先等待、地形不利先规避，未经训练的非专业人员不打火、高温大风等不利气象条件不打火、可视度差的夜间等不利时段不打火、悬崖陡坡沟深谷窄等不利地形不打火”原则，坚决禁止多头指挥、盲目蛮干，避免造成扑火人员伤亡。</w:t>
      </w:r>
    </w:p>
    <w:p w14:paraId="16918F67">
      <w:pPr>
        <w:pStyle w:val="4"/>
        <w:numPr>
          <w:ilvl w:val="2"/>
          <w:numId w:val="108"/>
        </w:numPr>
        <w:tabs>
          <w:tab w:val="left" w:pos="0"/>
        </w:tabs>
        <w:ind w:firstLine="0" w:firstLineChars="0"/>
        <w:rPr>
          <w:rFonts w:ascii="Times New Roman" w:hAnsi="Times New Roman" w:cs="Times New Roman"/>
          <w:sz w:val="32"/>
        </w:rPr>
      </w:pPr>
      <w:r>
        <w:rPr>
          <w:rFonts w:ascii="Times New Roman" w:hAnsi="Times New Roman" w:cs="Times New Roman"/>
          <w:sz w:val="32"/>
        </w:rPr>
        <w:t>坚持以专为主、专群结合的原则</w:t>
      </w:r>
    </w:p>
    <w:p w14:paraId="20093B22">
      <w:pPr>
        <w:ind w:firstLine="632"/>
        <w:rPr>
          <w:rFonts w:ascii="Times New Roman" w:hAnsi="Times New Roman" w:cs="Times New Roman"/>
          <w:sz w:val="32"/>
        </w:rPr>
      </w:pPr>
      <w:r>
        <w:rPr>
          <w:rFonts w:ascii="Times New Roman" w:hAnsi="Times New Roman" w:cs="Times New Roman"/>
          <w:sz w:val="32"/>
        </w:rPr>
        <w:t>处置森林草原火灾具有高度危险性、时效性和较强的专业性，坚持专业的事情专业的人来做的原则，严禁未经专业培训的人员直接参与火灾扑救工作。扑救森林草原火灾以各林场半专业扑火队、县消防救援队伍等受过专业培训的扑火力量为主，武警中队、应急民兵等为辅，乡镇应急队伍、村级初期火情处置小组和社会救援力量协同配合的扑救机制。必要时可动员当地林区职工、机关干部和当地群众等力量协助扑救工作。不得动员未经专业训练以及残疾人、孕妇、未成年人等其他不适宜参加森林草原火灾扑救的人员参加扑救工作。</w:t>
      </w:r>
    </w:p>
    <w:p w14:paraId="01FDA9A3">
      <w:pPr>
        <w:pStyle w:val="3"/>
        <w:ind w:firstLine="0" w:firstLineChars="0"/>
        <w:rPr>
          <w:rFonts w:ascii="Times New Roman" w:hAnsi="Times New Roman" w:cs="Times New Roman"/>
          <w:sz w:val="32"/>
        </w:rPr>
      </w:pPr>
      <w:bookmarkStart w:id="488" w:name="_Toc21077"/>
      <w:r>
        <w:rPr>
          <w:rFonts w:ascii="Times New Roman" w:hAnsi="Times New Roman" w:cs="Times New Roman"/>
          <w:sz w:val="32"/>
        </w:rPr>
        <w:t>灾害分级</w:t>
      </w:r>
      <w:bookmarkEnd w:id="488"/>
    </w:p>
    <w:p w14:paraId="7EE000AA">
      <w:pPr>
        <w:ind w:firstLine="632"/>
        <w:rPr>
          <w:rFonts w:ascii="Times New Roman" w:hAnsi="Times New Roman" w:cs="Times New Roman"/>
          <w:sz w:val="32"/>
        </w:rPr>
      </w:pPr>
      <w:r>
        <w:rPr>
          <w:rFonts w:ascii="Times New Roman" w:hAnsi="Times New Roman" w:cs="Times New Roman"/>
          <w:sz w:val="32"/>
        </w:rPr>
        <w:t>按照受害森林草原面积、伤亡人数和直接经济损失，森林草原火灾分为特别重大森林草原火灾、重大森林草原火灾、较大森林草原火灾和一般森林草原火灾四个等级。森林火灾分级按照《森林防火条例》规定要求划分，草原火灾分级按照《草原火灾级别划分规定》（农牧发〔2010〕７号）规定要求划分。</w:t>
      </w:r>
    </w:p>
    <w:p w14:paraId="0BEBBF5A">
      <w:pPr>
        <w:pStyle w:val="2"/>
        <w:numPr>
          <w:ilvl w:val="0"/>
          <w:numId w:val="108"/>
        </w:numPr>
        <w:tabs>
          <w:tab w:val="left" w:pos="0"/>
        </w:tabs>
        <w:ind w:firstLine="0" w:firstLineChars="0"/>
        <w:rPr>
          <w:rFonts w:ascii="Times New Roman" w:hAnsi="Times New Roman" w:cs="Times New Roman"/>
          <w:sz w:val="32"/>
        </w:rPr>
      </w:pPr>
      <w:bookmarkStart w:id="489" w:name="_Toc10464"/>
      <w:r>
        <w:rPr>
          <w:rFonts w:ascii="Times New Roman" w:hAnsi="Times New Roman" w:cs="Times New Roman"/>
          <w:sz w:val="32"/>
        </w:rPr>
        <w:t>主要任务</w:t>
      </w:r>
      <w:bookmarkEnd w:id="489"/>
    </w:p>
    <w:p w14:paraId="5A2A34C8">
      <w:pPr>
        <w:pStyle w:val="3"/>
        <w:ind w:firstLine="0" w:firstLineChars="0"/>
        <w:rPr>
          <w:rFonts w:ascii="Times New Roman" w:hAnsi="Times New Roman" w:cs="Times New Roman"/>
          <w:sz w:val="32"/>
        </w:rPr>
      </w:pPr>
      <w:bookmarkStart w:id="490" w:name="_Toc17470"/>
      <w:r>
        <w:rPr>
          <w:rFonts w:ascii="Times New Roman" w:hAnsi="Times New Roman" w:cs="Times New Roman"/>
          <w:sz w:val="32"/>
        </w:rPr>
        <w:t>组织灭火行动</w:t>
      </w:r>
      <w:bookmarkEnd w:id="490"/>
    </w:p>
    <w:p w14:paraId="768C7445">
      <w:pPr>
        <w:ind w:firstLine="632"/>
        <w:rPr>
          <w:rFonts w:ascii="Times New Roman" w:hAnsi="Times New Roman" w:cs="Times New Roman"/>
          <w:sz w:val="32"/>
        </w:rPr>
      </w:pPr>
      <w:r>
        <w:rPr>
          <w:rFonts w:ascii="Times New Roman" w:hAnsi="Times New Roman" w:cs="Times New Roman"/>
          <w:sz w:val="32"/>
        </w:rPr>
        <w:t>科学运用各种手段扑打明火、开挖（设置）防火隔离带、清理火线、看守火场，严防次生灾害发生。</w:t>
      </w:r>
    </w:p>
    <w:p w14:paraId="42101351">
      <w:pPr>
        <w:pStyle w:val="3"/>
        <w:ind w:firstLine="0" w:firstLineChars="0"/>
        <w:rPr>
          <w:rFonts w:ascii="Times New Roman" w:hAnsi="Times New Roman" w:cs="Times New Roman"/>
          <w:sz w:val="32"/>
        </w:rPr>
      </w:pPr>
      <w:bookmarkStart w:id="491" w:name="_Toc16788"/>
      <w:r>
        <w:rPr>
          <w:rFonts w:ascii="Times New Roman" w:hAnsi="Times New Roman" w:cs="Times New Roman"/>
          <w:sz w:val="32"/>
        </w:rPr>
        <w:t>解救疏散人员</w:t>
      </w:r>
      <w:bookmarkEnd w:id="491"/>
    </w:p>
    <w:p w14:paraId="58D3E480">
      <w:pPr>
        <w:ind w:firstLine="632"/>
        <w:rPr>
          <w:rFonts w:ascii="Times New Roman" w:hAnsi="Times New Roman" w:cs="Times New Roman"/>
          <w:sz w:val="32"/>
        </w:rPr>
      </w:pPr>
      <w:r>
        <w:rPr>
          <w:rFonts w:ascii="Times New Roman" w:hAnsi="Times New Roman" w:cs="Times New Roman"/>
          <w:sz w:val="32"/>
        </w:rPr>
        <w:t>组织解救、转移、疏散受威胁群众并及时妥善安置和开展必要的医疗救治。</w:t>
      </w:r>
    </w:p>
    <w:p w14:paraId="005B2599">
      <w:pPr>
        <w:pStyle w:val="3"/>
        <w:ind w:firstLine="0" w:firstLineChars="0"/>
        <w:rPr>
          <w:rFonts w:ascii="Times New Roman" w:hAnsi="Times New Roman" w:cs="Times New Roman"/>
          <w:sz w:val="32"/>
        </w:rPr>
      </w:pPr>
      <w:bookmarkStart w:id="492" w:name="_Toc5619"/>
      <w:r>
        <w:rPr>
          <w:rFonts w:ascii="Times New Roman" w:hAnsi="Times New Roman" w:cs="Times New Roman"/>
          <w:sz w:val="32"/>
        </w:rPr>
        <w:t>保护重要目标</w:t>
      </w:r>
      <w:bookmarkEnd w:id="492"/>
    </w:p>
    <w:p w14:paraId="195168D1">
      <w:pPr>
        <w:ind w:firstLine="632"/>
        <w:rPr>
          <w:rFonts w:ascii="Times New Roman" w:hAnsi="Times New Roman" w:cs="Times New Roman"/>
          <w:sz w:val="32"/>
        </w:rPr>
      </w:pPr>
      <w:r>
        <w:rPr>
          <w:rFonts w:ascii="Times New Roman" w:hAnsi="Times New Roman" w:cs="Times New Roman"/>
          <w:sz w:val="32"/>
        </w:rPr>
        <w:t>保护民生和重要军事目标并确保重大危险源安全。</w:t>
      </w:r>
    </w:p>
    <w:p w14:paraId="2866086C">
      <w:pPr>
        <w:pStyle w:val="3"/>
        <w:ind w:firstLine="0" w:firstLineChars="0"/>
        <w:rPr>
          <w:rFonts w:ascii="Times New Roman" w:hAnsi="Times New Roman" w:cs="Times New Roman"/>
          <w:sz w:val="32"/>
        </w:rPr>
      </w:pPr>
      <w:bookmarkStart w:id="493" w:name="_Toc17310"/>
      <w:r>
        <w:rPr>
          <w:rFonts w:ascii="Times New Roman" w:hAnsi="Times New Roman" w:cs="Times New Roman"/>
          <w:sz w:val="32"/>
        </w:rPr>
        <w:t>转移重要物资</w:t>
      </w:r>
      <w:bookmarkEnd w:id="493"/>
    </w:p>
    <w:p w14:paraId="3FE1BDE5">
      <w:pPr>
        <w:ind w:firstLine="632"/>
        <w:rPr>
          <w:rFonts w:ascii="Times New Roman" w:hAnsi="Times New Roman" w:cs="Times New Roman"/>
          <w:sz w:val="32"/>
        </w:rPr>
      </w:pPr>
      <w:r>
        <w:rPr>
          <w:rFonts w:ascii="Times New Roman" w:hAnsi="Times New Roman" w:cs="Times New Roman"/>
          <w:sz w:val="32"/>
        </w:rPr>
        <w:t>组织抢救、运送、转移重要物资。</w:t>
      </w:r>
    </w:p>
    <w:p w14:paraId="5AA7BE86">
      <w:pPr>
        <w:pStyle w:val="3"/>
        <w:ind w:firstLine="0" w:firstLineChars="0"/>
        <w:rPr>
          <w:rFonts w:ascii="Times New Roman" w:hAnsi="Times New Roman" w:cs="Times New Roman"/>
          <w:sz w:val="32"/>
        </w:rPr>
      </w:pPr>
      <w:bookmarkStart w:id="494" w:name="_Toc19067"/>
      <w:r>
        <w:rPr>
          <w:rFonts w:ascii="Times New Roman" w:hAnsi="Times New Roman" w:cs="Times New Roman"/>
          <w:sz w:val="32"/>
        </w:rPr>
        <w:t>维护社会稳定</w:t>
      </w:r>
      <w:bookmarkEnd w:id="494"/>
    </w:p>
    <w:p w14:paraId="08AEA872">
      <w:pPr>
        <w:ind w:firstLine="632"/>
        <w:rPr>
          <w:rFonts w:ascii="Times New Roman" w:hAnsi="Times New Roman" w:cs="Times New Roman"/>
          <w:sz w:val="32"/>
        </w:rPr>
      </w:pPr>
      <w:r>
        <w:rPr>
          <w:rFonts w:ascii="Times New Roman" w:hAnsi="Times New Roman" w:cs="Times New Roman"/>
          <w:sz w:val="32"/>
        </w:rPr>
        <w:t>加强火灾发生地区及周边社会治安和公共安全工作，严密防范各类违法犯罪行为，加强重点目标守卫和治安巡逻，维护火灾发生地区及周边社会秩序稳定。</w:t>
      </w:r>
    </w:p>
    <w:p w14:paraId="323F0FCD">
      <w:pPr>
        <w:pStyle w:val="2"/>
        <w:numPr>
          <w:ilvl w:val="0"/>
          <w:numId w:val="108"/>
        </w:numPr>
        <w:tabs>
          <w:tab w:val="left" w:pos="0"/>
        </w:tabs>
        <w:ind w:firstLine="0" w:firstLineChars="0"/>
        <w:rPr>
          <w:rFonts w:ascii="Times New Roman" w:hAnsi="Times New Roman" w:cs="Times New Roman"/>
          <w:sz w:val="32"/>
        </w:rPr>
      </w:pPr>
      <w:bookmarkStart w:id="495" w:name="_Toc5565"/>
      <w:r>
        <w:rPr>
          <w:rFonts w:ascii="Times New Roman" w:hAnsi="Times New Roman" w:cs="Times New Roman"/>
          <w:sz w:val="32"/>
        </w:rPr>
        <w:t>森林草原火灾风险分析</w:t>
      </w:r>
      <w:bookmarkEnd w:id="495"/>
    </w:p>
    <w:p w14:paraId="43D7AF9E">
      <w:pPr>
        <w:pStyle w:val="3"/>
        <w:ind w:firstLine="0" w:firstLineChars="0"/>
        <w:rPr>
          <w:rFonts w:ascii="Times New Roman" w:hAnsi="Times New Roman" w:cs="Times New Roman"/>
          <w:sz w:val="32"/>
        </w:rPr>
      </w:pPr>
      <w:bookmarkStart w:id="496" w:name="_Toc9757"/>
      <w:r>
        <w:rPr>
          <w:rFonts w:ascii="Times New Roman" w:hAnsi="Times New Roman" w:cs="Times New Roman"/>
          <w:sz w:val="32"/>
        </w:rPr>
        <w:t>地形地貌</w:t>
      </w:r>
      <w:bookmarkEnd w:id="496"/>
    </w:p>
    <w:p w14:paraId="133DF012">
      <w:pPr>
        <w:ind w:firstLine="632"/>
        <w:rPr>
          <w:rFonts w:ascii="Times New Roman" w:hAnsi="Times New Roman" w:cs="Times New Roman"/>
          <w:sz w:val="32"/>
        </w:rPr>
      </w:pPr>
      <w:r>
        <w:rPr>
          <w:rFonts w:ascii="Times New Roman" w:hAnsi="Times New Roman" w:cs="Times New Roman"/>
          <w:sz w:val="32"/>
        </w:rPr>
        <w:t>集贤县地形西南高，东北低，由西南向东北倾斜，西部为完达山余脉，向东北呈梯级下降。构成低山丘陵。南部为完达山系，制高点七星峰，海拔852.7米。中部为从完达山北坡低山丘陵潜山区起，至西南向东北走向的中段止，为丘陵慢岗。北部为低平地，属于三江平原典型地区。地势低平，有沼泽湿地。全县以海拔200米以下的平原区为主，面积约占75%以上，具有三江平原的典型性，受地质构造及地形影响，微景观地貌单元。</w:t>
      </w:r>
    </w:p>
    <w:p w14:paraId="5AB48EEE">
      <w:pPr>
        <w:pStyle w:val="3"/>
        <w:ind w:firstLine="0" w:firstLineChars="0"/>
        <w:rPr>
          <w:rFonts w:ascii="Times New Roman" w:hAnsi="Times New Roman" w:cs="Times New Roman"/>
          <w:sz w:val="32"/>
        </w:rPr>
      </w:pPr>
      <w:bookmarkStart w:id="497" w:name="_Toc10618"/>
      <w:r>
        <w:rPr>
          <w:rFonts w:ascii="Times New Roman" w:hAnsi="Times New Roman" w:cs="Times New Roman"/>
          <w:sz w:val="32"/>
        </w:rPr>
        <w:t>气候环境分析</w:t>
      </w:r>
      <w:bookmarkEnd w:id="497"/>
    </w:p>
    <w:p w14:paraId="673C0AA7">
      <w:pPr>
        <w:ind w:firstLine="632"/>
        <w:rPr>
          <w:rFonts w:ascii="Times New Roman" w:hAnsi="Times New Roman" w:cs="Times New Roman"/>
          <w:sz w:val="32"/>
        </w:rPr>
      </w:pPr>
      <w:r>
        <w:rPr>
          <w:rFonts w:ascii="Times New Roman" w:hAnsi="Times New Roman" w:cs="Times New Roman"/>
          <w:sz w:val="32"/>
        </w:rPr>
        <w:t>集贤县属于中温带亚湿润气候区，属大陆性季风气候，四季气候变化明显，常年平均气温保持在4.4℃左右，年日照时数在2555小时以上，年平均降雨量达到502.6毫米。</w:t>
      </w:r>
    </w:p>
    <w:p w14:paraId="084F063C">
      <w:pPr>
        <w:ind w:firstLine="632"/>
        <w:rPr>
          <w:rFonts w:ascii="Times New Roman" w:hAnsi="Times New Roman" w:cs="Times New Roman"/>
          <w:sz w:val="32"/>
        </w:rPr>
      </w:pPr>
      <w:r>
        <w:rPr>
          <w:rFonts w:ascii="Times New Roman" w:hAnsi="Times New Roman" w:cs="Times New Roman"/>
          <w:sz w:val="32"/>
        </w:rPr>
        <w:t>本地区年温差较大，春季干燥多风沙，夏季短促而炎热，秋季气温剧降并有霜冻，冬季漫长寒冷少雪，四季分明，日照充足，雨热同季，有利于植物生长，容易诱发森林火灾，且火灾发生后蔓延迅速，不易扑救，森林防火压力大。</w:t>
      </w:r>
    </w:p>
    <w:p w14:paraId="59486C25">
      <w:pPr>
        <w:pStyle w:val="3"/>
        <w:ind w:firstLine="0" w:firstLineChars="0"/>
        <w:rPr>
          <w:rFonts w:ascii="Times New Roman" w:hAnsi="Times New Roman" w:cs="Times New Roman"/>
          <w:sz w:val="32"/>
        </w:rPr>
      </w:pPr>
      <w:bookmarkStart w:id="498" w:name="_Toc8471"/>
      <w:r>
        <w:rPr>
          <w:rFonts w:ascii="Times New Roman" w:hAnsi="Times New Roman" w:cs="Times New Roman"/>
          <w:sz w:val="32"/>
        </w:rPr>
        <w:t>森林火灾危险性评估</w:t>
      </w:r>
      <w:bookmarkEnd w:id="498"/>
    </w:p>
    <w:p w14:paraId="0F836C97">
      <w:pPr>
        <w:pStyle w:val="42"/>
        <w:ind w:firstLine="632" w:firstLineChars="200"/>
        <w:rPr>
          <w:rFonts w:ascii="Times New Roman" w:hAnsi="Times New Roman" w:eastAsia="仿宋_GB2312"/>
          <w:color w:val="auto"/>
          <w:kern w:val="2"/>
          <w:sz w:val="32"/>
          <w:szCs w:val="32"/>
        </w:rPr>
      </w:pPr>
      <w:r>
        <w:rPr>
          <w:rFonts w:ascii="Times New Roman" w:hAnsi="Times New Roman" w:eastAsia="仿宋_GB2312"/>
          <w:color w:val="auto"/>
          <w:kern w:val="2"/>
          <w:sz w:val="32"/>
          <w:szCs w:val="32"/>
        </w:rPr>
        <w:t>根据集贤县森林火灾风险普查评估与区划报告显示，集贤县森林火灾危险性等级为高的乡镇共2个，占集贤县乡镇数量的25%，危险性等级为中高的乡镇共2个，占25%，危险性等级为中低的乡镇共4个，占50%。</w:t>
      </w:r>
    </w:p>
    <w:p w14:paraId="073CC42E">
      <w:pPr>
        <w:pStyle w:val="42"/>
        <w:ind w:firstLine="632" w:firstLineChars="200"/>
        <w:rPr>
          <w:rFonts w:ascii="Times New Roman" w:hAnsi="Times New Roman" w:eastAsia="仿宋_GB2312"/>
          <w:color w:val="auto"/>
          <w:kern w:val="2"/>
          <w:sz w:val="32"/>
          <w:szCs w:val="32"/>
        </w:rPr>
      </w:pPr>
      <w:r>
        <w:rPr>
          <w:rFonts w:ascii="Times New Roman" w:hAnsi="Times New Roman" w:eastAsia="仿宋_GB2312"/>
          <w:color w:val="auto"/>
          <w:kern w:val="2"/>
          <w:sz w:val="32"/>
          <w:szCs w:val="32"/>
        </w:rPr>
        <w:t>森林火灾危险的等级为高等级的地区主要是升昌镇，福利镇。森林火灾高风险地区地势较为险峻，森林资源分布密集，林内可燃物载量多树种以易燃为主，林区地势复杂，野外火源扑救、控制难度极大，极易引发森林火灾。</w:t>
      </w:r>
    </w:p>
    <w:p w14:paraId="192750D3">
      <w:pPr>
        <w:pStyle w:val="42"/>
        <w:ind w:firstLine="632" w:firstLineChars="200"/>
        <w:rPr>
          <w:rFonts w:ascii="Times New Roman" w:hAnsi="Times New Roman" w:eastAsia="仿宋_GB2312"/>
          <w:color w:val="auto"/>
          <w:kern w:val="2"/>
          <w:sz w:val="32"/>
          <w:szCs w:val="32"/>
        </w:rPr>
      </w:pPr>
      <w:r>
        <w:rPr>
          <w:rFonts w:ascii="Times New Roman" w:hAnsi="Times New Roman" w:eastAsia="仿宋_GB2312"/>
          <w:color w:val="auto"/>
          <w:kern w:val="2"/>
          <w:sz w:val="32"/>
          <w:szCs w:val="32"/>
        </w:rPr>
        <w:t>森林火灾危险的等级为中高等级地区是丰乐镇，太平镇。该区域森林资源比较丰富，林地面积广，树种以易燃为主。林农交错普遍，人为活动频繁，农事、祭祀用火突出，火源管理难度大，火灾发生频繁，火势容易蔓延，扑救难度大。</w:t>
      </w:r>
    </w:p>
    <w:p w14:paraId="7351D7A0">
      <w:pPr>
        <w:pStyle w:val="42"/>
        <w:ind w:firstLine="632" w:firstLineChars="200"/>
        <w:rPr>
          <w:rFonts w:ascii="Times New Roman" w:hAnsi="Times New Roman" w:eastAsia="仿宋_GB2312"/>
          <w:color w:val="auto"/>
          <w:kern w:val="2"/>
          <w:sz w:val="32"/>
          <w:szCs w:val="32"/>
        </w:rPr>
      </w:pPr>
      <w:r>
        <w:rPr>
          <w:rFonts w:ascii="Times New Roman" w:hAnsi="Times New Roman" w:eastAsia="仿宋_GB2312"/>
          <w:color w:val="auto"/>
          <w:kern w:val="2"/>
          <w:sz w:val="32"/>
          <w:szCs w:val="32"/>
        </w:rPr>
        <w:t>森林火灾危险的等级为中低等级的地区是兴安乡，永安乡，集贤镇，腰屯乡。主要为城区所在地或经济开发区，区域森林资源少，发生森林火灾频率、火灾危险程度较低。</w:t>
      </w:r>
    </w:p>
    <w:p w14:paraId="063D2572">
      <w:pPr>
        <w:pStyle w:val="2"/>
        <w:numPr>
          <w:ilvl w:val="0"/>
          <w:numId w:val="108"/>
        </w:numPr>
        <w:tabs>
          <w:tab w:val="left" w:pos="0"/>
        </w:tabs>
        <w:ind w:firstLine="0" w:firstLineChars="0"/>
        <w:rPr>
          <w:rFonts w:ascii="Times New Roman" w:hAnsi="Times New Roman" w:cs="Times New Roman"/>
          <w:sz w:val="32"/>
        </w:rPr>
      </w:pPr>
      <w:bookmarkStart w:id="499" w:name="_Toc6032"/>
      <w:r>
        <w:rPr>
          <w:rFonts w:ascii="Times New Roman" w:hAnsi="Times New Roman" w:cs="Times New Roman"/>
          <w:sz w:val="32"/>
        </w:rPr>
        <w:t>组织指挥体系</w:t>
      </w:r>
      <w:bookmarkEnd w:id="499"/>
    </w:p>
    <w:p w14:paraId="5223ED51">
      <w:pPr>
        <w:pStyle w:val="3"/>
        <w:ind w:firstLine="0" w:firstLineChars="0"/>
        <w:rPr>
          <w:rFonts w:ascii="Times New Roman" w:hAnsi="Times New Roman" w:cs="Times New Roman"/>
          <w:sz w:val="32"/>
        </w:rPr>
      </w:pPr>
      <w:bookmarkStart w:id="500" w:name="_Toc13544"/>
      <w:r>
        <w:rPr>
          <w:rFonts w:ascii="Times New Roman" w:hAnsi="Times New Roman" w:cs="Times New Roman"/>
          <w:sz w:val="32"/>
        </w:rPr>
        <w:t>森林草原防灭火组织机构</w:t>
      </w:r>
      <w:bookmarkEnd w:id="500"/>
    </w:p>
    <w:p w14:paraId="1C41B8E8">
      <w:pPr>
        <w:ind w:firstLine="632"/>
        <w:rPr>
          <w:rFonts w:ascii="Times New Roman" w:hAnsi="Times New Roman" w:cs="Times New Roman"/>
          <w:sz w:val="32"/>
        </w:rPr>
      </w:pPr>
      <w:r>
        <w:rPr>
          <w:rFonts w:ascii="Times New Roman" w:hAnsi="Times New Roman" w:cs="Times New Roman"/>
          <w:sz w:val="32"/>
        </w:rPr>
        <w:t>集贤县森林草原防灭火指挥部（以下简称“县森防指”）负责组织、协调和指导全县森林草原防灭火工作。</w:t>
      </w:r>
    </w:p>
    <w:p w14:paraId="7FE1BEA0">
      <w:pPr>
        <w:ind w:firstLine="632"/>
        <w:rPr>
          <w:rFonts w:ascii="Times New Roman" w:hAnsi="Times New Roman" w:cs="Times New Roman"/>
          <w:sz w:val="32"/>
        </w:rPr>
      </w:pPr>
      <w:r>
        <w:rPr>
          <w:rFonts w:ascii="Times New Roman" w:hAnsi="Times New Roman" w:cs="Times New Roman"/>
          <w:sz w:val="32"/>
        </w:rPr>
        <w:t>县森防指总指挥由县委常委、常务副县长担任。当发生较大以上或危险性较大的森林火灾时，视情由县委副书记、县长坐镇指挥或前往一线指挥。常务副总指挥由县政府分管林草工作的副县长担任，副总指挥由县应急管理局局长，县林业和草原局局长、县公安局副局长、县人武部副部长、县消防救援大队队长、笔架山农场企业副总经理、二九一分公司副总经理担任。</w:t>
      </w:r>
    </w:p>
    <w:p w14:paraId="0A40B3F4">
      <w:pPr>
        <w:ind w:firstLine="632"/>
        <w:rPr>
          <w:rFonts w:ascii="Times New Roman" w:hAnsi="Times New Roman" w:cs="Times New Roman"/>
          <w:sz w:val="32"/>
        </w:rPr>
      </w:pPr>
      <w:r>
        <w:rPr>
          <w:rFonts w:ascii="Times New Roman" w:hAnsi="Times New Roman" w:cs="Times New Roman"/>
          <w:sz w:val="32"/>
        </w:rPr>
        <w:t>县森防指办公室设在县应急管理局，办公室主任由县应急管理局局长兼任。承担指挥部的日常工作。必要时，县林业和草原局可以按程序提请以县森防指名义部署相关防灭火工作。</w:t>
      </w:r>
    </w:p>
    <w:p w14:paraId="1B0A06D9">
      <w:pPr>
        <w:ind w:firstLine="632"/>
        <w:rPr>
          <w:rFonts w:ascii="Times New Roman" w:hAnsi="Times New Roman" w:cs="Times New Roman"/>
          <w:sz w:val="32"/>
        </w:rPr>
      </w:pPr>
      <w:r>
        <w:rPr>
          <w:rFonts w:ascii="Times New Roman" w:hAnsi="Times New Roman" w:cs="Times New Roman"/>
          <w:sz w:val="32"/>
        </w:rPr>
        <w:t>各有林乡镇人民政府按照“上下基本对应”的要求，设立森林草原防灭火指挥机构，负责组织、协调和指导本行政区域（辖区）的森林草原防灭火工作。</w:t>
      </w:r>
    </w:p>
    <w:p w14:paraId="5FA9B73C">
      <w:pPr>
        <w:pStyle w:val="3"/>
        <w:ind w:firstLine="0" w:firstLineChars="0"/>
        <w:rPr>
          <w:rFonts w:ascii="Times New Roman" w:hAnsi="Times New Roman" w:cs="Times New Roman"/>
          <w:sz w:val="32"/>
        </w:rPr>
      </w:pPr>
      <w:bookmarkStart w:id="501" w:name="_Toc20610"/>
      <w:r>
        <w:rPr>
          <w:rFonts w:ascii="Times New Roman" w:hAnsi="Times New Roman" w:cs="Times New Roman"/>
          <w:sz w:val="32"/>
        </w:rPr>
        <w:t>主要成员单位职责</w:t>
      </w:r>
      <w:bookmarkEnd w:id="501"/>
    </w:p>
    <w:p w14:paraId="66B61A57">
      <w:pPr>
        <w:ind w:firstLine="634"/>
        <w:rPr>
          <w:rFonts w:ascii="Times New Roman" w:hAnsi="Times New Roman" w:cs="Times New Roman"/>
          <w:sz w:val="32"/>
        </w:rPr>
      </w:pPr>
      <w:r>
        <w:rPr>
          <w:rFonts w:ascii="Times New Roman" w:hAnsi="Times New Roman" w:cs="Times New Roman"/>
          <w:b/>
          <w:bCs/>
          <w:sz w:val="32"/>
        </w:rPr>
        <w:t>县应急管理局：</w:t>
      </w:r>
      <w:r>
        <w:rPr>
          <w:rFonts w:ascii="Times New Roman" w:hAnsi="Times New Roman" w:cs="Times New Roman"/>
          <w:sz w:val="32"/>
        </w:rPr>
        <w:t>协助县委、县政府组织指导较大以上规模或危险性较大森林草原火灾应急处置工作；统筹全县应急救援力量建设，组织、协调、指导相关部门开展森林草原防灭火工作；组织编制全县森林草原火灾应急预案；承担县森防指办公室日常工作。</w:t>
      </w:r>
    </w:p>
    <w:p w14:paraId="38856CDC">
      <w:pPr>
        <w:ind w:firstLine="634"/>
        <w:rPr>
          <w:rFonts w:ascii="Times New Roman" w:hAnsi="Times New Roman" w:cs="Times New Roman"/>
          <w:sz w:val="32"/>
        </w:rPr>
      </w:pPr>
      <w:r>
        <w:rPr>
          <w:rFonts w:ascii="Times New Roman" w:hAnsi="Times New Roman" w:cs="Times New Roman"/>
          <w:b/>
          <w:bCs/>
          <w:sz w:val="32"/>
        </w:rPr>
        <w:t>县林业和草原局：</w:t>
      </w:r>
      <w:r>
        <w:rPr>
          <w:rFonts w:ascii="Times New Roman" w:hAnsi="Times New Roman" w:cs="Times New Roman"/>
          <w:sz w:val="32"/>
        </w:rPr>
        <w:t>履行全县森林草原防灭火工作行业管理责任，具体负责森林草原火灾预防相关工作和森林草原火情早期处置相关工作；指导开展防火巡护、火源管理、防火设施建设、火情早期处理等工作并监督检查；组织指导林场林区和草原开展宣传教育、监测预警、督促检查等防火工作。</w:t>
      </w:r>
    </w:p>
    <w:p w14:paraId="14C4B0A5">
      <w:pPr>
        <w:ind w:firstLine="634"/>
        <w:rPr>
          <w:rFonts w:ascii="Times New Roman" w:hAnsi="Times New Roman" w:cs="Times New Roman"/>
          <w:sz w:val="32"/>
        </w:rPr>
      </w:pPr>
      <w:r>
        <w:rPr>
          <w:rFonts w:ascii="Times New Roman" w:hAnsi="Times New Roman" w:cs="Times New Roman"/>
          <w:b/>
          <w:bCs/>
          <w:sz w:val="32"/>
        </w:rPr>
        <w:t>县公安局：</w:t>
      </w:r>
      <w:r>
        <w:rPr>
          <w:rFonts w:ascii="Times New Roman" w:hAnsi="Times New Roman" w:cs="Times New Roman"/>
          <w:sz w:val="32"/>
        </w:rPr>
        <w:t>负责研究部署全县公安机关森林草原防灭火工作，负责开展火案侦破工作；开展火场警戒、交通疏导、治安维护工作，保证火灾扑救工作顺利进行。组织参加森林火灾的抢险救灾，维护火灾现场和灾区社会治安秩序，保护灾民的人身安全，保护公私财产，确保灾区社会治安稳定。</w:t>
      </w:r>
    </w:p>
    <w:p w14:paraId="19C4111E">
      <w:pPr>
        <w:ind w:firstLine="634"/>
        <w:rPr>
          <w:rFonts w:ascii="Times New Roman" w:hAnsi="Times New Roman" w:cs="Times New Roman"/>
          <w:sz w:val="32"/>
        </w:rPr>
      </w:pPr>
      <w:r>
        <w:rPr>
          <w:rFonts w:ascii="Times New Roman" w:hAnsi="Times New Roman" w:cs="Times New Roman"/>
          <w:b/>
          <w:bCs/>
          <w:sz w:val="32"/>
        </w:rPr>
        <w:t>县委宣传部：</w:t>
      </w:r>
      <w:r>
        <w:rPr>
          <w:rFonts w:ascii="Times New Roman" w:hAnsi="Times New Roman" w:cs="Times New Roman"/>
          <w:sz w:val="32"/>
        </w:rPr>
        <w:t>负责组织媒体做好森林草原防灭火政策解读和成效宣传；组织有关部门开展森林草原防灭火知识宣传教育；指导森林草原火灾的宣传报道和新闻发布工作；统筹协调森林草原防灭火舆情信息收集、分析和研判工作，正确引导社会舆论。</w:t>
      </w:r>
    </w:p>
    <w:p w14:paraId="4C8D2BE5">
      <w:pPr>
        <w:ind w:firstLine="634"/>
        <w:rPr>
          <w:rFonts w:ascii="Times New Roman" w:hAnsi="Times New Roman" w:cs="Times New Roman"/>
          <w:sz w:val="32"/>
        </w:rPr>
      </w:pPr>
      <w:r>
        <w:rPr>
          <w:rFonts w:ascii="Times New Roman" w:hAnsi="Times New Roman" w:cs="Times New Roman"/>
          <w:b/>
          <w:bCs/>
          <w:sz w:val="32"/>
        </w:rPr>
        <w:t>县财政局：</w:t>
      </w:r>
      <w:r>
        <w:rPr>
          <w:rFonts w:ascii="Times New Roman" w:hAnsi="Times New Roman" w:cs="Times New Roman"/>
          <w:sz w:val="32"/>
        </w:rPr>
        <w:t>负责将预防和扑救森林火灾经费纳入地方财政预算；根据森林防火需要统筹安排本级森林防火专项资金，并对资金使用情况进行检查、监督，及时拨付经县政府批准安排的经费。</w:t>
      </w:r>
    </w:p>
    <w:p w14:paraId="136D3FC7">
      <w:pPr>
        <w:ind w:firstLine="634"/>
        <w:rPr>
          <w:rFonts w:ascii="Times New Roman" w:hAnsi="Times New Roman" w:cs="Times New Roman"/>
          <w:sz w:val="32"/>
        </w:rPr>
      </w:pPr>
      <w:r>
        <w:rPr>
          <w:rFonts w:ascii="Times New Roman" w:hAnsi="Times New Roman" w:cs="Times New Roman"/>
          <w:b/>
          <w:bCs/>
          <w:sz w:val="32"/>
        </w:rPr>
        <w:t>县交通运输局：</w:t>
      </w:r>
      <w:r>
        <w:rPr>
          <w:rFonts w:ascii="Times New Roman" w:hAnsi="Times New Roman" w:cs="Times New Roman"/>
          <w:sz w:val="32"/>
        </w:rPr>
        <w:t>负责组织协调运力，为灭火人员和物资快速运输提供支持保障；负责本系统县乡道路沿线公路养护人员及在建工程的森林防火工作。</w:t>
      </w:r>
    </w:p>
    <w:p w14:paraId="5CD82145">
      <w:pPr>
        <w:ind w:firstLine="634"/>
        <w:rPr>
          <w:rFonts w:ascii="Times New Roman" w:hAnsi="Times New Roman" w:cs="Times New Roman"/>
          <w:sz w:val="32"/>
        </w:rPr>
      </w:pPr>
      <w:r>
        <w:rPr>
          <w:rFonts w:ascii="Times New Roman" w:hAnsi="Times New Roman" w:cs="Times New Roman"/>
          <w:b/>
          <w:bCs/>
          <w:sz w:val="32"/>
        </w:rPr>
        <w:t>县农业农村局：</w:t>
      </w:r>
      <w:r>
        <w:rPr>
          <w:rFonts w:ascii="Times New Roman" w:hAnsi="Times New Roman" w:cs="Times New Roman"/>
          <w:sz w:val="32"/>
        </w:rPr>
        <w:t>配合做好森林草原防灭火有关工作：根据灭火救灾需要，配合开展涉农相关工作。</w:t>
      </w:r>
    </w:p>
    <w:p w14:paraId="14084488">
      <w:pPr>
        <w:ind w:firstLine="634"/>
        <w:rPr>
          <w:rFonts w:ascii="Times New Roman" w:hAnsi="Times New Roman" w:cs="Times New Roman"/>
          <w:sz w:val="32"/>
        </w:rPr>
      </w:pPr>
      <w:r>
        <w:rPr>
          <w:rFonts w:ascii="Times New Roman" w:hAnsi="Times New Roman" w:cs="Times New Roman"/>
          <w:b/>
          <w:bCs/>
          <w:sz w:val="32"/>
        </w:rPr>
        <w:t>县文化广电和旅游局：</w:t>
      </w:r>
      <w:r>
        <w:rPr>
          <w:rFonts w:ascii="Times New Roman" w:hAnsi="Times New Roman" w:cs="Times New Roman"/>
          <w:sz w:val="32"/>
        </w:rPr>
        <w:t>强化A级景区防火安全意识，绝不带明火上山。指导A级景区印发进山游客防火须知，指导A级景区设好防火关卡，把好源头关。</w:t>
      </w:r>
    </w:p>
    <w:p w14:paraId="602E7AE2">
      <w:pPr>
        <w:ind w:firstLine="634"/>
        <w:rPr>
          <w:rFonts w:ascii="Times New Roman" w:hAnsi="Times New Roman" w:cs="Times New Roman"/>
          <w:sz w:val="32"/>
        </w:rPr>
      </w:pPr>
      <w:r>
        <w:rPr>
          <w:rFonts w:ascii="Times New Roman" w:hAnsi="Times New Roman" w:cs="Times New Roman"/>
          <w:b/>
          <w:bCs/>
          <w:sz w:val="32"/>
        </w:rPr>
        <w:t>县发展和改革局：</w:t>
      </w:r>
      <w:r>
        <w:rPr>
          <w:rFonts w:ascii="Times New Roman" w:hAnsi="Times New Roman" w:cs="Times New Roman"/>
          <w:sz w:val="32"/>
        </w:rPr>
        <w:t>衔接平衡全县森林草原防灭火基础设施建设规划，加强价格水平监测。</w:t>
      </w:r>
    </w:p>
    <w:p w14:paraId="488507E7">
      <w:pPr>
        <w:ind w:firstLine="634"/>
        <w:rPr>
          <w:rFonts w:ascii="Times New Roman" w:hAnsi="Times New Roman" w:cs="Times New Roman"/>
          <w:sz w:val="32"/>
        </w:rPr>
      </w:pPr>
      <w:r>
        <w:rPr>
          <w:rFonts w:ascii="Times New Roman" w:hAnsi="Times New Roman" w:cs="Times New Roman"/>
          <w:b/>
          <w:bCs/>
          <w:sz w:val="32"/>
        </w:rPr>
        <w:t>县气象局：</w:t>
      </w:r>
      <w:r>
        <w:rPr>
          <w:rFonts w:ascii="Times New Roman" w:hAnsi="Times New Roman" w:cs="Times New Roman"/>
          <w:sz w:val="32"/>
        </w:rPr>
        <w:t>负责提供全县及重点林区、重点时段的气象监测产品，发布森林草原火险气象等级预报并提供火场气象服务，根据天气条件适时组织开展森林草原防灭火的人工影响天气作业；与森林草原防灭火部门联合发布高森林草原火险预警信息。</w:t>
      </w:r>
    </w:p>
    <w:p w14:paraId="3E5E83B4">
      <w:pPr>
        <w:ind w:firstLine="634"/>
        <w:rPr>
          <w:rFonts w:ascii="Times New Roman" w:hAnsi="Times New Roman" w:cs="Times New Roman"/>
          <w:sz w:val="32"/>
        </w:rPr>
      </w:pPr>
      <w:r>
        <w:rPr>
          <w:rFonts w:ascii="Times New Roman" w:hAnsi="Times New Roman" w:cs="Times New Roman"/>
          <w:b/>
          <w:bCs/>
          <w:sz w:val="32"/>
        </w:rPr>
        <w:t>县教育和体育局：</w:t>
      </w:r>
      <w:r>
        <w:rPr>
          <w:rFonts w:ascii="Times New Roman" w:hAnsi="Times New Roman" w:cs="Times New Roman"/>
          <w:sz w:val="32"/>
        </w:rPr>
        <w:t>负责学校森林草原防火宣传教育和应急转移避险安全引导等工作。</w:t>
      </w:r>
    </w:p>
    <w:p w14:paraId="32D03B4B">
      <w:pPr>
        <w:ind w:firstLine="634"/>
        <w:rPr>
          <w:rFonts w:ascii="Times New Roman" w:hAnsi="Times New Roman" w:cs="Times New Roman"/>
          <w:sz w:val="32"/>
        </w:rPr>
      </w:pPr>
      <w:r>
        <w:rPr>
          <w:rFonts w:ascii="Times New Roman" w:hAnsi="Times New Roman" w:cs="Times New Roman"/>
          <w:b/>
          <w:bCs/>
          <w:sz w:val="32"/>
        </w:rPr>
        <w:t>县司法局：</w:t>
      </w:r>
      <w:r>
        <w:rPr>
          <w:rFonts w:ascii="Times New Roman" w:hAnsi="Times New Roman" w:cs="Times New Roman"/>
          <w:sz w:val="32"/>
        </w:rPr>
        <w:t>指导制定普法责任清单，协调有关部门依据清单组织开展森林草原防灭火相关法律法规常识宣传教育；指导、协调森林草原防灭火部门开展依法治理工作。</w:t>
      </w:r>
    </w:p>
    <w:p w14:paraId="590E61C8">
      <w:pPr>
        <w:ind w:firstLine="634"/>
        <w:rPr>
          <w:rFonts w:ascii="Times New Roman" w:hAnsi="Times New Roman" w:eastAsia="仿宋" w:cs="Times New Roman"/>
          <w:sz w:val="32"/>
        </w:rPr>
      </w:pPr>
      <w:r>
        <w:rPr>
          <w:rFonts w:ascii="Times New Roman" w:hAnsi="Times New Roman" w:cs="Times New Roman"/>
          <w:b/>
          <w:bCs/>
          <w:sz w:val="32"/>
        </w:rPr>
        <w:t>双鸭山市集贤生态环境局：</w:t>
      </w:r>
      <w:r>
        <w:rPr>
          <w:rFonts w:ascii="Times New Roman" w:hAnsi="Times New Roman" w:cs="Times New Roman"/>
          <w:sz w:val="32"/>
        </w:rPr>
        <w:t>监督各级党委政府有效解决秸秆露天焚烧工作主体责任落实情况。</w:t>
      </w:r>
    </w:p>
    <w:p w14:paraId="7186AAC3">
      <w:pPr>
        <w:ind w:firstLine="634"/>
        <w:rPr>
          <w:rFonts w:ascii="Times New Roman" w:hAnsi="Times New Roman" w:cs="Times New Roman"/>
          <w:sz w:val="32"/>
        </w:rPr>
      </w:pPr>
      <w:r>
        <w:rPr>
          <w:rFonts w:ascii="Times New Roman" w:hAnsi="Times New Roman" w:cs="Times New Roman"/>
          <w:b/>
          <w:bCs/>
          <w:sz w:val="32"/>
        </w:rPr>
        <w:t>县自然资源局：</w:t>
      </w:r>
      <w:r>
        <w:rPr>
          <w:rFonts w:ascii="Times New Roman" w:hAnsi="Times New Roman" w:cs="Times New Roman"/>
          <w:sz w:val="32"/>
        </w:rPr>
        <w:t>配合县森防指针对入山探矿、开发勘探的单位和个人，严格遵守各项规章制度，按照森林防火工作的需要，建立有效的火灾防范机制。</w:t>
      </w:r>
    </w:p>
    <w:p w14:paraId="3AAD13F8">
      <w:pPr>
        <w:ind w:firstLine="634"/>
        <w:rPr>
          <w:rFonts w:ascii="Times New Roman" w:hAnsi="Times New Roman" w:cs="Times New Roman"/>
          <w:sz w:val="32"/>
        </w:rPr>
      </w:pPr>
      <w:r>
        <w:rPr>
          <w:rFonts w:ascii="Times New Roman" w:hAnsi="Times New Roman" w:cs="Times New Roman"/>
          <w:b/>
          <w:bCs/>
          <w:sz w:val="32"/>
        </w:rPr>
        <w:t>县卫生健康局：</w:t>
      </w:r>
      <w:r>
        <w:rPr>
          <w:rFonts w:ascii="Times New Roman" w:hAnsi="Times New Roman" w:cs="Times New Roman"/>
          <w:sz w:val="32"/>
        </w:rPr>
        <w:t>负责组建医疗卫生应急专业技术队伍，按需及时赴火场开展医疗救治、疾病预防控制等卫生应急工作；做好应急医疗救护队伍、疾病控制队伍、医疗卫生设备等资源的调度工作。</w:t>
      </w:r>
    </w:p>
    <w:p w14:paraId="682CFF6E">
      <w:pPr>
        <w:ind w:firstLine="634"/>
        <w:rPr>
          <w:rFonts w:ascii="Times New Roman" w:hAnsi="Times New Roman" w:cs="Times New Roman"/>
          <w:sz w:val="32"/>
        </w:rPr>
      </w:pPr>
      <w:r>
        <w:rPr>
          <w:rFonts w:ascii="Times New Roman" w:hAnsi="Times New Roman" w:cs="Times New Roman"/>
          <w:b/>
          <w:bCs/>
          <w:sz w:val="32"/>
        </w:rPr>
        <w:t>县融媒体中心：</w:t>
      </w:r>
      <w:r>
        <w:rPr>
          <w:rFonts w:ascii="Times New Roman" w:hAnsi="Times New Roman" w:cs="Times New Roman"/>
          <w:sz w:val="32"/>
        </w:rPr>
        <w:t>负责组织利用广播电视进行森林防火宣传，制作森林防火公益广告及时播报有关森林防火的命令、通知、公告等紧急要件，根据指挥部的安排，对大的火灾现场进行跟踪报道。积极协助配合森林防火职能部门开展森林防火知识宣传教育活动，在高火险天气，协同气象部门发布高火险等级天气预报。</w:t>
      </w:r>
    </w:p>
    <w:p w14:paraId="59FF554C">
      <w:pPr>
        <w:ind w:firstLine="634"/>
        <w:rPr>
          <w:rFonts w:ascii="Times New Roman" w:hAnsi="Times New Roman" w:cs="Times New Roman"/>
          <w:sz w:val="32"/>
        </w:rPr>
      </w:pPr>
      <w:r>
        <w:rPr>
          <w:rFonts w:ascii="Times New Roman" w:hAnsi="Times New Roman" w:cs="Times New Roman"/>
          <w:b/>
          <w:bCs/>
          <w:sz w:val="32"/>
        </w:rPr>
        <w:t>县人民检察院：</w:t>
      </w:r>
      <w:r>
        <w:rPr>
          <w:rFonts w:ascii="Times New Roman" w:hAnsi="Times New Roman" w:cs="Times New Roman"/>
          <w:sz w:val="32"/>
        </w:rPr>
        <w:t>结合检察工作，负责开展森林防火法制宣传教育工作，依法审查、批捕、起诉森林火灾案件和依法追究有关国家机关工作人员渎职案件。</w:t>
      </w:r>
    </w:p>
    <w:p w14:paraId="07BCB96F">
      <w:pPr>
        <w:ind w:firstLine="634"/>
        <w:rPr>
          <w:rFonts w:ascii="Times New Roman" w:hAnsi="Times New Roman" w:cs="Times New Roman"/>
          <w:b/>
          <w:bCs/>
          <w:sz w:val="32"/>
        </w:rPr>
      </w:pPr>
      <w:r>
        <w:rPr>
          <w:rFonts w:ascii="Times New Roman" w:hAnsi="Times New Roman" w:cs="Times New Roman"/>
          <w:b/>
          <w:bCs/>
          <w:sz w:val="32"/>
        </w:rPr>
        <w:t>县人民法院：</w:t>
      </w:r>
      <w:r>
        <w:rPr>
          <w:rFonts w:ascii="Times New Roman" w:hAnsi="Times New Roman" w:cs="Times New Roman"/>
          <w:sz w:val="32"/>
        </w:rPr>
        <w:t>结合审判工作，负责开展森林防火法制宣传教育工作，依法审判森林火灾案件。</w:t>
      </w:r>
    </w:p>
    <w:p w14:paraId="41F89E3E">
      <w:pPr>
        <w:ind w:firstLine="634"/>
        <w:rPr>
          <w:rFonts w:ascii="Times New Roman" w:hAnsi="Times New Roman" w:cs="Times New Roman"/>
          <w:sz w:val="32"/>
        </w:rPr>
      </w:pPr>
      <w:r>
        <w:rPr>
          <w:rFonts w:ascii="Times New Roman" w:hAnsi="Times New Roman" w:cs="Times New Roman"/>
          <w:b/>
          <w:bCs/>
          <w:sz w:val="32"/>
        </w:rPr>
        <w:t>县武警中队：</w:t>
      </w:r>
      <w:r>
        <w:rPr>
          <w:rFonts w:ascii="Times New Roman" w:hAnsi="Times New Roman" w:cs="Times New Roman"/>
          <w:sz w:val="32"/>
        </w:rPr>
        <w:t>在发生森林草原火灾需要军队支援时，负责参加森林草原火灾抢险行动，执行森林草原火灾抢险任务。</w:t>
      </w:r>
    </w:p>
    <w:p w14:paraId="6652FB59">
      <w:pPr>
        <w:pStyle w:val="11"/>
        <w:ind w:firstLine="634"/>
        <w:rPr>
          <w:rFonts w:ascii="Times New Roman" w:hAnsi="Times New Roman" w:cs="Times New Roman"/>
        </w:rPr>
      </w:pPr>
      <w:r>
        <w:rPr>
          <w:rFonts w:ascii="Times New Roman" w:hAnsi="Times New Roman" w:cs="Times New Roman"/>
          <w:b/>
          <w:bCs/>
          <w:sz w:val="32"/>
        </w:rPr>
        <w:t>县消防救援大队：</w:t>
      </w:r>
      <w:r>
        <w:rPr>
          <w:rFonts w:ascii="Times New Roman" w:hAnsi="Times New Roman" w:cs="Times New Roman"/>
          <w:sz w:val="32"/>
        </w:rPr>
        <w:t>在县森防指和县政府的指挥调动下开展森林草原防灭火工作。</w:t>
      </w:r>
    </w:p>
    <w:p w14:paraId="2E86AC54">
      <w:pPr>
        <w:pStyle w:val="11"/>
        <w:ind w:firstLine="634"/>
        <w:rPr>
          <w:rFonts w:ascii="Times New Roman" w:hAnsi="Times New Roman" w:cs="Times New Roman"/>
        </w:rPr>
      </w:pPr>
      <w:r>
        <w:rPr>
          <w:rFonts w:ascii="Times New Roman" w:hAnsi="Times New Roman" w:cs="Times New Roman"/>
          <w:b/>
          <w:bCs/>
          <w:sz w:val="32"/>
        </w:rPr>
        <w:t>福利屯火车站：</w:t>
      </w:r>
      <w:r>
        <w:rPr>
          <w:rFonts w:ascii="Times New Roman" w:hAnsi="Times New Roman" w:cs="Times New Roman"/>
          <w:sz w:val="32"/>
        </w:rPr>
        <w:t>负责组织协调运力，为扑火人员和物资快速运输提供支持保障；负责做好铁路沿线管界内森林草原火灾的预防和扑救工作。</w:t>
      </w:r>
    </w:p>
    <w:p w14:paraId="75305808">
      <w:pPr>
        <w:ind w:firstLine="634"/>
        <w:rPr>
          <w:rFonts w:ascii="Times New Roman" w:hAnsi="Times New Roman" w:cs="Times New Roman"/>
          <w:sz w:val="32"/>
        </w:rPr>
      </w:pPr>
      <w:r>
        <w:rPr>
          <w:rFonts w:ascii="Times New Roman" w:hAnsi="Times New Roman" w:cs="Times New Roman"/>
          <w:b/>
          <w:bCs/>
          <w:sz w:val="32"/>
        </w:rPr>
        <w:t>中国移动集贤县分公司、中国电信集贤县分公司、中国联通集贤县分公司：</w:t>
      </w:r>
      <w:r>
        <w:rPr>
          <w:rFonts w:ascii="Times New Roman" w:hAnsi="Times New Roman" w:cs="Times New Roman"/>
          <w:sz w:val="32"/>
        </w:rPr>
        <w:t>负责发送有关森林防火方面的宣传信息，并负责做好森林防火通信保障工作，保证火场的联络畅通。</w:t>
      </w:r>
    </w:p>
    <w:p w14:paraId="726EA40F">
      <w:pPr>
        <w:ind w:firstLine="632"/>
        <w:rPr>
          <w:rFonts w:ascii="Times New Roman" w:hAnsi="Times New Roman" w:cs="Times New Roman"/>
          <w:sz w:val="32"/>
        </w:rPr>
      </w:pPr>
      <w:r>
        <w:rPr>
          <w:rFonts w:ascii="Times New Roman" w:hAnsi="Times New Roman" w:cs="Times New Roman"/>
          <w:sz w:val="32"/>
        </w:rPr>
        <w:t>县森林草原防灭火指挥部办公室发挥牵头抓总作用，强化部门联动，做到高效协同，增强工作合力。</w:t>
      </w:r>
    </w:p>
    <w:p w14:paraId="4CF0D8EC">
      <w:pPr>
        <w:pStyle w:val="3"/>
        <w:ind w:firstLine="0" w:firstLineChars="0"/>
        <w:rPr>
          <w:rFonts w:ascii="Times New Roman" w:hAnsi="Times New Roman" w:cs="Times New Roman"/>
          <w:sz w:val="32"/>
        </w:rPr>
      </w:pPr>
      <w:bookmarkStart w:id="502" w:name="_Toc256"/>
      <w:r>
        <w:rPr>
          <w:rFonts w:ascii="Times New Roman" w:hAnsi="Times New Roman" w:cs="Times New Roman"/>
          <w:sz w:val="32"/>
        </w:rPr>
        <w:t>扑救指挥</w:t>
      </w:r>
      <w:bookmarkEnd w:id="502"/>
    </w:p>
    <w:p w14:paraId="4E4769A6">
      <w:pPr>
        <w:ind w:firstLine="632"/>
        <w:rPr>
          <w:rFonts w:ascii="Times New Roman" w:hAnsi="Times New Roman" w:cs="Times New Roman"/>
          <w:sz w:val="32"/>
        </w:rPr>
      </w:pPr>
      <w:r>
        <w:rPr>
          <w:rFonts w:ascii="Times New Roman" w:hAnsi="Times New Roman" w:cs="Times New Roman"/>
          <w:sz w:val="32"/>
        </w:rPr>
        <w:t>火情早期处置由县林业和草原局负责指挥，包括</w:t>
      </w:r>
      <w:r>
        <w:rPr>
          <w:rFonts w:ascii="Times New Roman" w:hAnsi="Times New Roman" w:cs="Times New Roman"/>
          <w:b/>
          <w:bCs/>
          <w:sz w:val="32"/>
        </w:rPr>
        <w:t>火情核查、火情初报、首批扑救力量调动、确定早期阶段灭火方案、组织开展早期扑救</w:t>
      </w:r>
      <w:r>
        <w:rPr>
          <w:rFonts w:ascii="Times New Roman" w:hAnsi="Times New Roman" w:cs="Times New Roman"/>
          <w:sz w:val="32"/>
        </w:rPr>
        <w:t>等。完成早期处置任务后，由县森防指协调相关部门实行统一指挥。</w:t>
      </w:r>
    </w:p>
    <w:p w14:paraId="6B809322">
      <w:pPr>
        <w:ind w:firstLine="632"/>
        <w:rPr>
          <w:rFonts w:ascii="Times New Roman" w:hAnsi="Times New Roman" w:cs="Times New Roman"/>
          <w:sz w:val="32"/>
        </w:rPr>
      </w:pPr>
      <w:r>
        <w:rPr>
          <w:rFonts w:ascii="Times New Roman" w:hAnsi="Times New Roman" w:cs="Times New Roman"/>
          <w:sz w:val="32"/>
        </w:rPr>
        <w:t>根据应急处置行动的实际需要，成立县森林草原火灾前线指挥部（以下简称“县前线指”），负责现场指挥应急处置行动。县前线指在督导县林业和草原局的火情早期处理工作基础上，全面组织开展火灾扑救组织指挥工作。</w:t>
      </w:r>
    </w:p>
    <w:p w14:paraId="2DE18B06">
      <w:pPr>
        <w:pStyle w:val="4"/>
        <w:numPr>
          <w:ilvl w:val="2"/>
          <w:numId w:val="108"/>
        </w:numPr>
        <w:tabs>
          <w:tab w:val="left" w:pos="0"/>
        </w:tabs>
        <w:ind w:firstLine="0" w:firstLineChars="0"/>
        <w:rPr>
          <w:rFonts w:ascii="Times New Roman" w:hAnsi="Times New Roman" w:cs="Times New Roman"/>
          <w:sz w:val="32"/>
        </w:rPr>
      </w:pPr>
      <w:r>
        <w:rPr>
          <w:rFonts w:ascii="Times New Roman" w:hAnsi="Times New Roman" w:cs="Times New Roman"/>
          <w:sz w:val="32"/>
        </w:rPr>
        <w:t>县前线指组成</w:t>
      </w:r>
    </w:p>
    <w:p w14:paraId="5EE2E20A">
      <w:pPr>
        <w:ind w:firstLine="632"/>
        <w:rPr>
          <w:rFonts w:ascii="Times New Roman" w:hAnsi="Times New Roman" w:cs="Times New Roman"/>
          <w:sz w:val="32"/>
        </w:rPr>
      </w:pPr>
      <w:r>
        <w:rPr>
          <w:rFonts w:ascii="Times New Roman" w:hAnsi="Times New Roman" w:cs="Times New Roman"/>
          <w:sz w:val="32"/>
        </w:rPr>
        <w:t>县森防指视情成立火场前线指挥部，规范现场指挥机制，合理配置工作组；也可根据任务变化和救援力量规模，相应提高指挥等级。必要时，由县森林草原防灭火指挥部总指挥率领副总指挥和相关的成员单位领导赶赴火场一线，成立火场前线总指挥部，设立相应的火场分指挥部，实施分级指挥。</w:t>
      </w:r>
    </w:p>
    <w:p w14:paraId="48CB24A5">
      <w:pPr>
        <w:pStyle w:val="4"/>
        <w:numPr>
          <w:ilvl w:val="2"/>
          <w:numId w:val="108"/>
        </w:numPr>
        <w:tabs>
          <w:tab w:val="left" w:pos="0"/>
        </w:tabs>
        <w:ind w:firstLine="0" w:firstLineChars="0"/>
        <w:rPr>
          <w:rFonts w:ascii="Times New Roman" w:hAnsi="Times New Roman" w:cs="Times New Roman"/>
          <w:sz w:val="32"/>
        </w:rPr>
      </w:pPr>
      <w:r>
        <w:rPr>
          <w:rFonts w:ascii="Times New Roman" w:hAnsi="Times New Roman" w:cs="Times New Roman"/>
          <w:sz w:val="32"/>
        </w:rPr>
        <w:t>应急工作组组成</w:t>
      </w:r>
    </w:p>
    <w:p w14:paraId="6DF36024">
      <w:pPr>
        <w:ind w:firstLine="632"/>
        <w:rPr>
          <w:rFonts w:ascii="Times New Roman" w:hAnsi="Times New Roman" w:cs="Times New Roman"/>
          <w:sz w:val="32"/>
        </w:rPr>
      </w:pPr>
      <w:r>
        <w:rPr>
          <w:rFonts w:ascii="Times New Roman" w:hAnsi="Times New Roman" w:cs="Times New Roman"/>
          <w:sz w:val="32"/>
        </w:rPr>
        <w:t>县前线指设立专项工作组，并根据实际增减、合并工作组或调整成员单位。各工作组组长根据响应等级分别由牵头单位主要负责人或分管负责人担任，负责协调工作组各成员单位共同做好应急处置工作。各专项工作组成员单位职责如下：</w:t>
      </w:r>
    </w:p>
    <w:p w14:paraId="0408D61E">
      <w:pPr>
        <w:ind w:firstLine="632"/>
        <w:rPr>
          <w:rFonts w:ascii="Times New Roman" w:hAnsi="Times New Roman" w:cs="Times New Roman"/>
          <w:sz w:val="32"/>
        </w:rPr>
      </w:pPr>
      <w:r>
        <w:rPr>
          <w:rFonts w:ascii="Times New Roman" w:hAnsi="Times New Roman" w:cs="Times New Roman"/>
          <w:sz w:val="32"/>
        </w:rPr>
        <w:t>（1）综合协调组</w:t>
      </w:r>
    </w:p>
    <w:p w14:paraId="69A2EA17">
      <w:pPr>
        <w:ind w:firstLine="632"/>
        <w:rPr>
          <w:rFonts w:ascii="Times New Roman" w:hAnsi="Times New Roman" w:cs="Times New Roman"/>
          <w:sz w:val="32"/>
        </w:rPr>
      </w:pPr>
      <w:r>
        <w:rPr>
          <w:rFonts w:ascii="Times New Roman" w:hAnsi="Times New Roman" w:cs="Times New Roman"/>
          <w:sz w:val="32"/>
        </w:rPr>
        <w:t>由县应急管理局牵头，县林业和草原局、县公安局、县气象局等部门和单位参加。</w:t>
      </w:r>
    </w:p>
    <w:p w14:paraId="47C07A18">
      <w:pPr>
        <w:ind w:firstLine="632"/>
        <w:rPr>
          <w:rFonts w:ascii="Times New Roman" w:hAnsi="Times New Roman" w:cs="Times New Roman"/>
          <w:sz w:val="32"/>
        </w:rPr>
      </w:pPr>
      <w:r>
        <w:rPr>
          <w:rFonts w:ascii="Times New Roman" w:hAnsi="Times New Roman" w:cs="Times New Roman"/>
          <w:sz w:val="32"/>
        </w:rPr>
        <w:t>主要职责：传达贯彻党中央国务院、省委省政府、市委市政府、县委县政府指示和批示；密切跟踪汇总森林草原火情和扑救进展，及时向省委省政府、市委市政府、县委县政府报告，并通报县森防指各成员单位；综合协调内部事务，督办重要工作；承办上级交办的其他事项。</w:t>
      </w:r>
    </w:p>
    <w:p w14:paraId="0D8D1A67">
      <w:pPr>
        <w:ind w:firstLine="632"/>
        <w:rPr>
          <w:rFonts w:ascii="Times New Roman" w:hAnsi="Times New Roman" w:cs="Times New Roman"/>
          <w:sz w:val="32"/>
        </w:rPr>
      </w:pPr>
      <w:r>
        <w:rPr>
          <w:rFonts w:ascii="Times New Roman" w:hAnsi="Times New Roman" w:cs="Times New Roman"/>
          <w:sz w:val="32"/>
        </w:rPr>
        <w:t>（2）扑救应急组</w:t>
      </w:r>
    </w:p>
    <w:p w14:paraId="785550BF">
      <w:pPr>
        <w:ind w:firstLine="632"/>
        <w:rPr>
          <w:rFonts w:ascii="Times New Roman" w:hAnsi="Times New Roman" w:cs="Times New Roman"/>
          <w:sz w:val="32"/>
        </w:rPr>
      </w:pPr>
      <w:r>
        <w:rPr>
          <w:rFonts w:ascii="Times New Roman" w:hAnsi="Times New Roman" w:cs="Times New Roman"/>
          <w:sz w:val="32"/>
        </w:rPr>
        <w:t>由县应急管理局牵头，县林业和草原局、县消防救援大队、各国有林场半专业扑火队伍、各乡镇应急队伍等部门和单位参加。</w:t>
      </w:r>
    </w:p>
    <w:p w14:paraId="2C68F728">
      <w:pPr>
        <w:ind w:firstLine="632"/>
        <w:rPr>
          <w:rFonts w:ascii="Times New Roman" w:hAnsi="Times New Roman" w:cs="Times New Roman"/>
          <w:sz w:val="32"/>
        </w:rPr>
      </w:pPr>
      <w:r>
        <w:rPr>
          <w:rFonts w:ascii="Times New Roman" w:hAnsi="Times New Roman" w:cs="Times New Roman"/>
          <w:sz w:val="32"/>
        </w:rPr>
        <w:t>主要职责：指导受灾乡镇制定现场抢险救援方案和组织实施工作；根据灾情变化，适时提出调整抢险救援力量的建议；协调调度应急救援队伍和物资参加抢险救援；指导社会救援力量参与抢险救援组织协调现场应急处置有关工作。</w:t>
      </w:r>
    </w:p>
    <w:p w14:paraId="1BFAB9FF">
      <w:pPr>
        <w:ind w:firstLine="632"/>
        <w:rPr>
          <w:rFonts w:ascii="Times New Roman" w:hAnsi="Times New Roman" w:cs="Times New Roman"/>
          <w:sz w:val="32"/>
        </w:rPr>
      </w:pPr>
      <w:r>
        <w:rPr>
          <w:rFonts w:ascii="Times New Roman" w:hAnsi="Times New Roman" w:cs="Times New Roman"/>
          <w:sz w:val="32"/>
        </w:rPr>
        <w:t>（3）医疗救治组</w:t>
      </w:r>
    </w:p>
    <w:p w14:paraId="154AE3C3">
      <w:pPr>
        <w:ind w:firstLine="632"/>
        <w:rPr>
          <w:rFonts w:ascii="Times New Roman" w:hAnsi="Times New Roman" w:cs="Times New Roman"/>
          <w:sz w:val="32"/>
        </w:rPr>
      </w:pPr>
      <w:r>
        <w:rPr>
          <w:rFonts w:ascii="Times New Roman" w:hAnsi="Times New Roman" w:cs="Times New Roman"/>
          <w:sz w:val="32"/>
        </w:rPr>
        <w:t>由县卫生健康局牵头，县交通运输局、县发展和改革局、县人民医院、县中医医院等部门和单位参加。</w:t>
      </w:r>
    </w:p>
    <w:p w14:paraId="078F51A4">
      <w:pPr>
        <w:ind w:firstLine="632"/>
        <w:rPr>
          <w:rFonts w:ascii="Times New Roman" w:hAnsi="Times New Roman" w:cs="Times New Roman"/>
          <w:sz w:val="32"/>
        </w:rPr>
      </w:pPr>
      <w:r>
        <w:rPr>
          <w:rFonts w:ascii="Times New Roman" w:hAnsi="Times New Roman" w:cs="Times New Roman"/>
          <w:sz w:val="32"/>
        </w:rPr>
        <w:t>主要职责：组织指导灾区医疗救助和卫生防疫工作；统筹协调医疗救护队伍和医疗器械、药品支援灾区；组织指导灾区转运救治伤员、做好伤亡统计；指导灾区、安置点防范和控制各种传染病等疫情暴发流行。</w:t>
      </w:r>
    </w:p>
    <w:p w14:paraId="70D17798">
      <w:pPr>
        <w:ind w:firstLine="632"/>
        <w:rPr>
          <w:rFonts w:ascii="Times New Roman" w:hAnsi="Times New Roman" w:cs="Times New Roman"/>
          <w:sz w:val="32"/>
        </w:rPr>
      </w:pPr>
      <w:r>
        <w:rPr>
          <w:rFonts w:ascii="Times New Roman" w:hAnsi="Times New Roman" w:cs="Times New Roman"/>
          <w:sz w:val="32"/>
        </w:rPr>
        <w:t>（4）火案检测组</w:t>
      </w:r>
    </w:p>
    <w:p w14:paraId="653F2BD1">
      <w:pPr>
        <w:ind w:firstLine="632"/>
        <w:rPr>
          <w:rFonts w:ascii="Times New Roman" w:hAnsi="Times New Roman" w:cs="Times New Roman"/>
          <w:sz w:val="32"/>
        </w:rPr>
      </w:pPr>
      <w:r>
        <w:rPr>
          <w:rFonts w:ascii="Times New Roman" w:hAnsi="Times New Roman" w:cs="Times New Roman"/>
          <w:sz w:val="32"/>
        </w:rPr>
        <w:t>由县林业和草原局牵头，县应急管理局、县消防救援大队等部门和单位参加。</w:t>
      </w:r>
    </w:p>
    <w:p w14:paraId="03ED5752">
      <w:pPr>
        <w:ind w:firstLine="632"/>
        <w:rPr>
          <w:rFonts w:ascii="Times New Roman" w:hAnsi="Times New Roman" w:cs="Times New Roman"/>
          <w:sz w:val="32"/>
        </w:rPr>
      </w:pPr>
      <w:r>
        <w:rPr>
          <w:rFonts w:ascii="Times New Roman" w:hAnsi="Times New Roman" w:cs="Times New Roman"/>
          <w:sz w:val="32"/>
        </w:rPr>
        <w:t>主要职责：组织火灾风险监测，指导次生衍生灾害防范；调度相关技术力量和设备，监视灾情发展；指导灾害防御和灾害隐患监测预警。</w:t>
      </w:r>
    </w:p>
    <w:p w14:paraId="25793A28">
      <w:pPr>
        <w:ind w:firstLine="632"/>
        <w:rPr>
          <w:rFonts w:ascii="Times New Roman" w:hAnsi="Times New Roman" w:cs="Times New Roman"/>
          <w:sz w:val="32"/>
        </w:rPr>
      </w:pPr>
      <w:r>
        <w:rPr>
          <w:rFonts w:ascii="Times New Roman" w:hAnsi="Times New Roman" w:cs="Times New Roman"/>
          <w:sz w:val="32"/>
        </w:rPr>
        <w:t>（5）通信保障组</w:t>
      </w:r>
    </w:p>
    <w:p w14:paraId="518E040A">
      <w:pPr>
        <w:ind w:firstLine="632"/>
        <w:rPr>
          <w:rFonts w:ascii="Times New Roman" w:hAnsi="Times New Roman" w:cs="Times New Roman"/>
          <w:sz w:val="32"/>
        </w:rPr>
      </w:pPr>
      <w:r>
        <w:rPr>
          <w:rFonts w:ascii="Times New Roman" w:hAnsi="Times New Roman" w:cs="Times New Roman"/>
          <w:sz w:val="32"/>
        </w:rPr>
        <w:t>由县工业信息科技局牵头，县应急管理局、县林业和草原局、中国联通、移动、电信集贤县分公司等部门和单位参加。</w:t>
      </w:r>
    </w:p>
    <w:p w14:paraId="1465BBAB">
      <w:pPr>
        <w:ind w:firstLine="632"/>
        <w:rPr>
          <w:rFonts w:ascii="Times New Roman" w:hAnsi="Times New Roman" w:cs="Times New Roman"/>
          <w:sz w:val="32"/>
        </w:rPr>
      </w:pPr>
      <w:r>
        <w:rPr>
          <w:rFonts w:ascii="Times New Roman" w:hAnsi="Times New Roman" w:cs="Times New Roman"/>
          <w:sz w:val="32"/>
        </w:rPr>
        <w:t>主要职责：协调做好指挥机构在灾区时的通信和信息化组网工作：建立灾害现场指挥机构、应急救援队伍与县应急管理局应急指挥中心以及其他指挥机构之间的通信联络；指导修复受损通信设施，恢复灾区通信。</w:t>
      </w:r>
    </w:p>
    <w:p w14:paraId="5167D99A">
      <w:pPr>
        <w:ind w:firstLine="632"/>
        <w:rPr>
          <w:rFonts w:ascii="Times New Roman" w:hAnsi="Times New Roman" w:cs="Times New Roman"/>
          <w:sz w:val="32"/>
        </w:rPr>
      </w:pPr>
      <w:r>
        <w:rPr>
          <w:rFonts w:ascii="Times New Roman" w:hAnsi="Times New Roman" w:cs="Times New Roman"/>
          <w:sz w:val="32"/>
        </w:rPr>
        <w:t>（6）交通保障组</w:t>
      </w:r>
    </w:p>
    <w:p w14:paraId="0A3114FB">
      <w:pPr>
        <w:ind w:firstLine="632"/>
        <w:rPr>
          <w:rFonts w:ascii="Times New Roman" w:hAnsi="Times New Roman" w:cs="Times New Roman"/>
          <w:sz w:val="32"/>
        </w:rPr>
      </w:pPr>
      <w:r>
        <w:rPr>
          <w:rFonts w:ascii="Times New Roman" w:hAnsi="Times New Roman" w:cs="Times New Roman"/>
          <w:sz w:val="32"/>
        </w:rPr>
        <w:t>由县交通运输局牵头，县公安局、县发展和改革局等部门和单位参加。</w:t>
      </w:r>
    </w:p>
    <w:p w14:paraId="0BEC6217">
      <w:pPr>
        <w:ind w:firstLine="632"/>
        <w:rPr>
          <w:rFonts w:ascii="Times New Roman" w:hAnsi="Times New Roman" w:cs="Times New Roman"/>
          <w:sz w:val="32"/>
        </w:rPr>
      </w:pPr>
      <w:r>
        <w:rPr>
          <w:rFonts w:ascii="Times New Roman" w:hAnsi="Times New Roman" w:cs="Times New Roman"/>
          <w:sz w:val="32"/>
        </w:rPr>
        <w:t>主要职责：统筹协调做好应急救援力量赴灾区和撤离时的交通保障工作；指导灾区道路抢通抢修；协调抢险救灾物资、救援装备以及基本生活物资等交通保障。</w:t>
      </w:r>
    </w:p>
    <w:p w14:paraId="679FF22A">
      <w:pPr>
        <w:ind w:firstLine="632"/>
        <w:rPr>
          <w:rFonts w:ascii="Times New Roman" w:hAnsi="Times New Roman" w:cs="Times New Roman"/>
          <w:sz w:val="32"/>
        </w:rPr>
      </w:pPr>
      <w:r>
        <w:rPr>
          <w:rFonts w:ascii="Times New Roman" w:hAnsi="Times New Roman" w:cs="Times New Roman"/>
          <w:sz w:val="32"/>
        </w:rPr>
        <w:t>（7）群众生活组</w:t>
      </w:r>
    </w:p>
    <w:p w14:paraId="6199F9A8">
      <w:pPr>
        <w:ind w:firstLine="632"/>
        <w:rPr>
          <w:rFonts w:ascii="Times New Roman" w:hAnsi="Times New Roman" w:cs="Times New Roman"/>
          <w:sz w:val="32"/>
        </w:rPr>
      </w:pPr>
      <w:r>
        <w:rPr>
          <w:rFonts w:ascii="Times New Roman" w:hAnsi="Times New Roman" w:cs="Times New Roman"/>
          <w:sz w:val="32"/>
        </w:rPr>
        <w:t>由县民政局牵头，县公安局、县财政局、县交通运输局、县发展和改革局等部门和单位参加。</w:t>
      </w:r>
    </w:p>
    <w:p w14:paraId="3696F39F">
      <w:pPr>
        <w:ind w:firstLine="632"/>
        <w:rPr>
          <w:rFonts w:ascii="Times New Roman" w:hAnsi="Times New Roman" w:cs="Times New Roman"/>
          <w:sz w:val="32"/>
        </w:rPr>
      </w:pPr>
      <w:r>
        <w:rPr>
          <w:rFonts w:ascii="Times New Roman" w:hAnsi="Times New Roman" w:cs="Times New Roman"/>
          <w:sz w:val="32"/>
        </w:rPr>
        <w:t>主要职责：制定受灾群众救助工作方案；下拨省和市救灾款物并指导发放；统筹灾区生活必需品市场供应，指导灾区油、电、气等重要基础设施抢修；指导做好受灾群众紧急转移安置、过渡期救助和因灾遇难人员家属抚慰等工作；组织县内捐赠，市内、省内、国内援助接收等工作。</w:t>
      </w:r>
    </w:p>
    <w:p w14:paraId="3F3F3793">
      <w:pPr>
        <w:ind w:firstLine="632"/>
        <w:rPr>
          <w:rFonts w:ascii="Times New Roman" w:hAnsi="Times New Roman" w:cs="Times New Roman"/>
          <w:sz w:val="32"/>
        </w:rPr>
      </w:pPr>
      <w:r>
        <w:rPr>
          <w:rFonts w:ascii="Times New Roman" w:hAnsi="Times New Roman" w:cs="Times New Roman"/>
          <w:sz w:val="32"/>
        </w:rPr>
        <w:t>（8）灾情评估组</w:t>
      </w:r>
    </w:p>
    <w:p w14:paraId="7151795E">
      <w:pPr>
        <w:ind w:firstLine="632"/>
        <w:rPr>
          <w:rFonts w:ascii="Times New Roman" w:hAnsi="Times New Roman" w:cs="Times New Roman"/>
          <w:sz w:val="32"/>
        </w:rPr>
      </w:pPr>
      <w:r>
        <w:rPr>
          <w:rFonts w:ascii="Times New Roman" w:hAnsi="Times New Roman" w:cs="Times New Roman"/>
          <w:sz w:val="32"/>
        </w:rPr>
        <w:t>由县林业和草原局牵头，县应急管理局、县生态环境局等部门和单位参加。</w:t>
      </w:r>
    </w:p>
    <w:p w14:paraId="54C8A115">
      <w:pPr>
        <w:ind w:firstLine="632"/>
        <w:rPr>
          <w:rFonts w:ascii="Times New Roman" w:hAnsi="Times New Roman" w:cs="Times New Roman"/>
          <w:sz w:val="32"/>
        </w:rPr>
      </w:pPr>
      <w:r>
        <w:rPr>
          <w:rFonts w:ascii="Times New Roman" w:hAnsi="Times New Roman" w:cs="Times New Roman"/>
          <w:sz w:val="32"/>
        </w:rPr>
        <w:t>主要职责：指导开展灾情调查和灾时跟踪评估，为抢险救灾决策提供信息支持；参与制定救援救灾方案。</w:t>
      </w:r>
    </w:p>
    <w:p w14:paraId="33ED25F9">
      <w:pPr>
        <w:ind w:firstLine="632"/>
        <w:rPr>
          <w:rFonts w:ascii="Times New Roman" w:hAnsi="Times New Roman" w:cs="Times New Roman"/>
          <w:sz w:val="32"/>
        </w:rPr>
      </w:pPr>
      <w:r>
        <w:rPr>
          <w:rFonts w:ascii="Times New Roman" w:hAnsi="Times New Roman" w:cs="Times New Roman"/>
          <w:sz w:val="32"/>
        </w:rPr>
        <w:t>（9）社会治安组</w:t>
      </w:r>
    </w:p>
    <w:p w14:paraId="3E2A6E70">
      <w:pPr>
        <w:ind w:firstLine="632"/>
        <w:rPr>
          <w:rFonts w:ascii="Times New Roman" w:hAnsi="Times New Roman" w:cs="Times New Roman"/>
          <w:sz w:val="32"/>
        </w:rPr>
      </w:pPr>
      <w:r>
        <w:rPr>
          <w:rFonts w:ascii="Times New Roman" w:hAnsi="Times New Roman" w:cs="Times New Roman"/>
          <w:sz w:val="32"/>
        </w:rPr>
        <w:t>由县公安局牵头，县人民法院、县人民检察院等部门和单位参加。</w:t>
      </w:r>
    </w:p>
    <w:p w14:paraId="11A29638">
      <w:pPr>
        <w:ind w:firstLine="632"/>
        <w:rPr>
          <w:rFonts w:ascii="Times New Roman" w:hAnsi="Times New Roman" w:cs="Times New Roman"/>
          <w:sz w:val="32"/>
        </w:rPr>
      </w:pPr>
      <w:r>
        <w:rPr>
          <w:rFonts w:ascii="Times New Roman" w:hAnsi="Times New Roman" w:cs="Times New Roman"/>
          <w:sz w:val="32"/>
        </w:rPr>
        <w:t>主要职责：做好森林草原火灾有关违法犯罪案件查处工作；指导协助灾区加强现场管控和治安管理工作；维护社会治安和道路交通秩序，预防和处置群体性事件，维护社会稳定；协调做好火场前线指挥部在灾区时的安全保卫工作；指导协调化解因火灾造成的矛盾纠纷。</w:t>
      </w:r>
    </w:p>
    <w:p w14:paraId="4B6A8E5D">
      <w:pPr>
        <w:ind w:firstLine="632"/>
        <w:rPr>
          <w:rFonts w:ascii="Times New Roman" w:hAnsi="Times New Roman" w:cs="Times New Roman"/>
          <w:sz w:val="32"/>
        </w:rPr>
      </w:pPr>
      <w:r>
        <w:rPr>
          <w:rFonts w:ascii="Times New Roman" w:hAnsi="Times New Roman" w:cs="Times New Roman"/>
          <w:sz w:val="32"/>
        </w:rPr>
        <w:t>（10）宣传报道组</w:t>
      </w:r>
    </w:p>
    <w:p w14:paraId="49E0B91D">
      <w:pPr>
        <w:ind w:firstLine="632"/>
        <w:rPr>
          <w:rFonts w:ascii="Times New Roman" w:hAnsi="Times New Roman" w:cs="Times New Roman"/>
          <w:sz w:val="32"/>
        </w:rPr>
      </w:pPr>
      <w:r>
        <w:rPr>
          <w:rFonts w:ascii="Times New Roman" w:hAnsi="Times New Roman" w:cs="Times New Roman"/>
          <w:sz w:val="32"/>
        </w:rPr>
        <w:t>由县委宣传部牵头，县融媒体中心等部门和单位参加。</w:t>
      </w:r>
    </w:p>
    <w:p w14:paraId="137D147E">
      <w:pPr>
        <w:ind w:firstLine="632"/>
        <w:rPr>
          <w:rFonts w:ascii="Times New Roman" w:hAnsi="Times New Roman" w:cs="Times New Roman"/>
          <w:sz w:val="32"/>
        </w:rPr>
      </w:pPr>
      <w:r>
        <w:rPr>
          <w:rFonts w:ascii="Times New Roman" w:hAnsi="Times New Roman" w:cs="Times New Roman"/>
          <w:sz w:val="32"/>
        </w:rPr>
        <w:t>主要职责：统筹新闻宣传报道工作；指导做好现场发布会和新闻媒体服务管理；组织开展舆情监测研判，加强舆情管控；指导做好科普宣传；协调做好省委省政府、市委市政府、县委县政府领导同志在灾区现场指导处置工作的新闻报道。</w:t>
      </w:r>
    </w:p>
    <w:p w14:paraId="3730C7F3">
      <w:pPr>
        <w:ind w:firstLine="632"/>
        <w:rPr>
          <w:rFonts w:ascii="Times New Roman" w:hAnsi="Times New Roman" w:cs="Times New Roman"/>
          <w:sz w:val="32"/>
        </w:rPr>
      </w:pPr>
      <w:r>
        <w:rPr>
          <w:rFonts w:ascii="Times New Roman" w:hAnsi="Times New Roman" w:cs="Times New Roman"/>
          <w:sz w:val="32"/>
        </w:rPr>
        <w:t>（11）专家技术组</w:t>
      </w:r>
    </w:p>
    <w:p w14:paraId="7323B311">
      <w:pPr>
        <w:ind w:firstLine="632"/>
        <w:rPr>
          <w:rFonts w:ascii="Times New Roman" w:hAnsi="Times New Roman" w:cs="Times New Roman"/>
          <w:sz w:val="32"/>
        </w:rPr>
      </w:pPr>
      <w:r>
        <w:rPr>
          <w:rFonts w:ascii="Times New Roman" w:hAnsi="Times New Roman" w:cs="Times New Roman"/>
          <w:sz w:val="32"/>
        </w:rPr>
        <w:t>由县应急管理局负责召集有专业知识、实际救援工作经验的专业人员组成，对全县森林草原防灭火工作重大决策和重要规划提供政策咨询和意见，为全县森林草原火灾的灾情评估、应急救援和灾后救助提出咨询意见和建议。</w:t>
      </w:r>
    </w:p>
    <w:p w14:paraId="12748643">
      <w:pPr>
        <w:pStyle w:val="3"/>
        <w:ind w:firstLine="0" w:firstLineChars="0"/>
        <w:rPr>
          <w:rFonts w:ascii="Times New Roman" w:hAnsi="Times New Roman" w:cs="Times New Roman"/>
          <w:sz w:val="32"/>
        </w:rPr>
      </w:pPr>
      <w:bookmarkStart w:id="503" w:name="_Toc2839"/>
      <w:r>
        <w:rPr>
          <w:rFonts w:ascii="Times New Roman" w:hAnsi="Times New Roman" w:cs="Times New Roman"/>
          <w:sz w:val="32"/>
        </w:rPr>
        <w:t>各级单位森防机构</w:t>
      </w:r>
      <w:bookmarkEnd w:id="503"/>
    </w:p>
    <w:p w14:paraId="5E8F6E75">
      <w:pPr>
        <w:ind w:firstLine="632"/>
        <w:rPr>
          <w:rFonts w:ascii="Times New Roman" w:hAnsi="Times New Roman" w:cs="Times New Roman"/>
          <w:sz w:val="32"/>
        </w:rPr>
      </w:pPr>
      <w:r>
        <w:rPr>
          <w:rFonts w:ascii="Times New Roman" w:hAnsi="Times New Roman" w:cs="Times New Roman"/>
          <w:sz w:val="32"/>
        </w:rPr>
        <w:t>各乡镇人民政府设立森林防灭火指挥机构，负责本乡镇区域森林草原防灭火和森林火灾应急处置工作。同时发生两起以上或者同一火场跨两个行政区域、施业区界的森林草原火灾，由上一级森林草原防灭火指挥机构指挥。</w:t>
      </w:r>
    </w:p>
    <w:p w14:paraId="4B8BD037">
      <w:pPr>
        <w:ind w:firstLine="632"/>
        <w:rPr>
          <w:rFonts w:ascii="Times New Roman" w:hAnsi="Times New Roman" w:cs="Times New Roman"/>
          <w:sz w:val="32"/>
        </w:rPr>
      </w:pPr>
      <w:r>
        <w:rPr>
          <w:rFonts w:ascii="Times New Roman" w:hAnsi="Times New Roman" w:cs="Times New Roman"/>
          <w:sz w:val="32"/>
        </w:rPr>
        <w:t>在乡镇党委领导下，各乡镇人民政府是本级森林草原火灾应对工作的行政领导机构。各乡镇健全本级指挥机构，统一领导本级应急管理工作，承担相关类别森林草原火灾应对工作。</w:t>
      </w:r>
    </w:p>
    <w:p w14:paraId="0BBD038B">
      <w:pPr>
        <w:pStyle w:val="2"/>
        <w:numPr>
          <w:ilvl w:val="0"/>
          <w:numId w:val="108"/>
        </w:numPr>
        <w:tabs>
          <w:tab w:val="left" w:pos="0"/>
        </w:tabs>
        <w:ind w:firstLine="0" w:firstLineChars="0"/>
        <w:rPr>
          <w:rFonts w:ascii="Times New Roman" w:hAnsi="Times New Roman" w:cs="Times New Roman"/>
          <w:sz w:val="32"/>
        </w:rPr>
      </w:pPr>
      <w:bookmarkStart w:id="504" w:name="_Toc27087"/>
      <w:r>
        <w:rPr>
          <w:rFonts w:ascii="Times New Roman" w:hAnsi="Times New Roman" w:cs="Times New Roman"/>
          <w:sz w:val="32"/>
        </w:rPr>
        <w:t>处置力量</w:t>
      </w:r>
      <w:bookmarkEnd w:id="504"/>
    </w:p>
    <w:p w14:paraId="08028B16">
      <w:pPr>
        <w:pStyle w:val="3"/>
        <w:ind w:firstLine="0" w:firstLineChars="0"/>
        <w:rPr>
          <w:rFonts w:ascii="Times New Roman" w:hAnsi="Times New Roman" w:cs="Times New Roman"/>
          <w:sz w:val="32"/>
        </w:rPr>
      </w:pPr>
      <w:bookmarkStart w:id="505" w:name="_Toc10137"/>
      <w:r>
        <w:rPr>
          <w:rFonts w:ascii="Times New Roman" w:hAnsi="Times New Roman" w:cs="Times New Roman"/>
          <w:sz w:val="32"/>
        </w:rPr>
        <w:t>力量编成</w:t>
      </w:r>
      <w:bookmarkEnd w:id="505"/>
    </w:p>
    <w:p w14:paraId="1E17F8E6">
      <w:pPr>
        <w:ind w:firstLine="632"/>
        <w:rPr>
          <w:rFonts w:ascii="Times New Roman" w:hAnsi="Times New Roman" w:cs="Times New Roman"/>
          <w:sz w:val="32"/>
        </w:rPr>
      </w:pPr>
      <w:r>
        <w:rPr>
          <w:rFonts w:ascii="Times New Roman" w:hAnsi="Times New Roman" w:cs="Times New Roman"/>
          <w:sz w:val="32"/>
        </w:rPr>
        <w:t>扑救森林草原火灾以县消防救援队伍、各国有林场半专业扑火队伍等受过专业培训的灭火力量为主，乡镇应急队伍、地方民兵队伍支援力量为辅，社会救援力量为补充。必要时，可动员经过防灭火培训的当地林区职工、机关干部及群众等力量协助做好扑救工作。</w:t>
      </w:r>
    </w:p>
    <w:p w14:paraId="19F5B5EC">
      <w:pPr>
        <w:ind w:firstLine="632"/>
        <w:rPr>
          <w:rFonts w:ascii="Times New Roman" w:hAnsi="Times New Roman" w:cs="Times New Roman"/>
          <w:sz w:val="32"/>
        </w:rPr>
      </w:pPr>
      <w:r>
        <w:rPr>
          <w:rFonts w:ascii="Times New Roman" w:hAnsi="Times New Roman" w:cs="Times New Roman"/>
          <w:sz w:val="32"/>
        </w:rPr>
        <w:t>全县扑救力量变成三个梯队：</w:t>
      </w:r>
    </w:p>
    <w:p w14:paraId="72BBD923">
      <w:pPr>
        <w:ind w:firstLine="632"/>
        <w:rPr>
          <w:rFonts w:ascii="Times New Roman" w:hAnsi="Times New Roman" w:cs="Times New Roman"/>
          <w:sz w:val="32"/>
        </w:rPr>
      </w:pPr>
      <w:r>
        <w:rPr>
          <w:rFonts w:ascii="Times New Roman" w:hAnsi="Times New Roman" w:cs="Times New Roman"/>
          <w:sz w:val="32"/>
        </w:rPr>
        <w:t>第一梯队：各国有林场半专业扑火队伍、乡镇应急队伍、乡镇政府机关干部职工、乡镇派出所等扑火力量为主。</w:t>
      </w:r>
    </w:p>
    <w:p w14:paraId="00518F9A">
      <w:pPr>
        <w:ind w:firstLine="632"/>
        <w:rPr>
          <w:rFonts w:ascii="Times New Roman" w:hAnsi="Times New Roman" w:cs="Times New Roman"/>
          <w:sz w:val="32"/>
        </w:rPr>
      </w:pPr>
      <w:r>
        <w:rPr>
          <w:rFonts w:ascii="Times New Roman" w:hAnsi="Times New Roman" w:cs="Times New Roman"/>
          <w:sz w:val="32"/>
        </w:rPr>
        <w:t>第二梯队：县消防救援大队，县直各机关干部职工等。</w:t>
      </w:r>
    </w:p>
    <w:p w14:paraId="4BAB3F31">
      <w:pPr>
        <w:ind w:firstLine="632"/>
        <w:rPr>
          <w:rFonts w:ascii="Times New Roman" w:hAnsi="Times New Roman" w:cs="Times New Roman"/>
          <w:sz w:val="32"/>
        </w:rPr>
      </w:pPr>
      <w:r>
        <w:rPr>
          <w:rFonts w:ascii="Times New Roman" w:hAnsi="Times New Roman" w:cs="Times New Roman"/>
          <w:sz w:val="32"/>
        </w:rPr>
        <w:t>第三梯队：县直属事业干部职工和社会救援力量为补充。</w:t>
      </w:r>
    </w:p>
    <w:p w14:paraId="4706B172">
      <w:pPr>
        <w:ind w:firstLine="632"/>
        <w:rPr>
          <w:rFonts w:ascii="Times New Roman" w:hAnsi="Times New Roman" w:cs="Times New Roman"/>
          <w:sz w:val="32"/>
        </w:rPr>
      </w:pPr>
      <w:r>
        <w:rPr>
          <w:rFonts w:ascii="Times New Roman" w:hAnsi="Times New Roman" w:cs="Times New Roman"/>
          <w:sz w:val="32"/>
        </w:rPr>
        <w:t>发生一般森林草原火灾时，以火灾发生地扑救力量为主实施处置。县森防指视情调动县消防救援大队增援。发生较大以上或危险性较大森林火灾时，调动全县部分或全部扑火力量实施增援。</w:t>
      </w:r>
    </w:p>
    <w:p w14:paraId="20FA8A79">
      <w:pPr>
        <w:pStyle w:val="3"/>
        <w:ind w:firstLine="0" w:firstLineChars="0"/>
        <w:rPr>
          <w:rFonts w:ascii="Times New Roman" w:hAnsi="Times New Roman" w:cs="Times New Roman"/>
          <w:sz w:val="32"/>
        </w:rPr>
      </w:pPr>
      <w:bookmarkStart w:id="506" w:name="_Toc11671"/>
      <w:r>
        <w:rPr>
          <w:rFonts w:ascii="Times New Roman" w:hAnsi="Times New Roman" w:cs="Times New Roman"/>
          <w:sz w:val="32"/>
        </w:rPr>
        <w:t>基本任务划分</w:t>
      </w:r>
      <w:bookmarkEnd w:id="506"/>
    </w:p>
    <w:p w14:paraId="6A769E3D">
      <w:pPr>
        <w:ind w:firstLine="632"/>
        <w:rPr>
          <w:rFonts w:ascii="Times New Roman" w:hAnsi="Times New Roman" w:cs="Times New Roman"/>
          <w:sz w:val="32"/>
        </w:rPr>
      </w:pPr>
      <w:r>
        <w:rPr>
          <w:rFonts w:ascii="Times New Roman" w:hAnsi="Times New Roman" w:cs="Times New Roman"/>
          <w:sz w:val="32"/>
        </w:rPr>
        <w:t>扑打明火任务由各国有林场半专业扑火队等受过防灭火专业培训的灭火力量承担，</w:t>
      </w:r>
    </w:p>
    <w:p w14:paraId="3B016517">
      <w:pPr>
        <w:ind w:firstLine="632"/>
        <w:rPr>
          <w:rFonts w:ascii="Times New Roman" w:hAnsi="Times New Roman" w:cs="Times New Roman"/>
          <w:sz w:val="32"/>
        </w:rPr>
      </w:pPr>
      <w:r>
        <w:rPr>
          <w:rFonts w:ascii="Times New Roman" w:hAnsi="Times New Roman" w:cs="Times New Roman"/>
          <w:sz w:val="32"/>
        </w:rPr>
        <w:t>清理火场任务由乡镇应急队伍或者经过防灭火培训的其他队伍承担。</w:t>
      </w:r>
    </w:p>
    <w:p w14:paraId="4B4C9C0E">
      <w:pPr>
        <w:ind w:firstLine="632"/>
        <w:rPr>
          <w:rFonts w:ascii="Times New Roman" w:hAnsi="Times New Roman" w:cs="Times New Roman"/>
          <w:sz w:val="32"/>
        </w:rPr>
      </w:pPr>
      <w:r>
        <w:rPr>
          <w:rFonts w:ascii="Times New Roman" w:hAnsi="Times New Roman" w:cs="Times New Roman"/>
          <w:sz w:val="32"/>
        </w:rPr>
        <w:t>明火扑灭后，看守火场任务由清理火场人员中的一部分承担，力量不足或者离场休整时，由经过防灭火培训的其他队伍承担。上述任务需临时调整时由火场前线指挥部具体明确。</w:t>
      </w:r>
    </w:p>
    <w:p w14:paraId="3BDC6B3A">
      <w:pPr>
        <w:pStyle w:val="3"/>
        <w:ind w:firstLine="0" w:firstLineChars="0"/>
        <w:rPr>
          <w:rFonts w:ascii="Times New Roman" w:hAnsi="Times New Roman" w:cs="Times New Roman"/>
          <w:sz w:val="32"/>
        </w:rPr>
      </w:pPr>
      <w:bookmarkStart w:id="507" w:name="_Toc13821"/>
      <w:r>
        <w:rPr>
          <w:rFonts w:ascii="Times New Roman" w:hAnsi="Times New Roman" w:cs="Times New Roman"/>
          <w:sz w:val="32"/>
        </w:rPr>
        <w:t>力量调动</w:t>
      </w:r>
      <w:bookmarkEnd w:id="507"/>
    </w:p>
    <w:p w14:paraId="2BFF1B36">
      <w:pPr>
        <w:ind w:firstLine="632"/>
        <w:rPr>
          <w:rFonts w:ascii="Times New Roman" w:hAnsi="Times New Roman" w:cs="Times New Roman"/>
          <w:sz w:val="32"/>
        </w:rPr>
      </w:pPr>
      <w:r>
        <w:rPr>
          <w:rFonts w:ascii="Times New Roman" w:hAnsi="Times New Roman" w:cs="Times New Roman"/>
          <w:sz w:val="32"/>
        </w:rPr>
        <w:t>根据森林草原火灾应对需要，发生森林草原火灾的乡镇人民政府先期调动各国有林场半专业扑火队、乡镇应急队伍等作为属地扑火力量，邻近力量作为补充力量，县级救援力量立即赶赴现场增援。</w:t>
      </w:r>
    </w:p>
    <w:p w14:paraId="6F9657FE">
      <w:pPr>
        <w:ind w:firstLine="632"/>
        <w:rPr>
          <w:rFonts w:ascii="Times New Roman" w:hAnsi="Times New Roman" w:cs="Times New Roman"/>
          <w:sz w:val="32"/>
        </w:rPr>
      </w:pPr>
      <w:r>
        <w:rPr>
          <w:rFonts w:ascii="Times New Roman" w:hAnsi="Times New Roman" w:cs="Times New Roman"/>
          <w:sz w:val="32"/>
        </w:rPr>
        <w:t>需跨县（地）或双鸭山市国家综合性消防救援队伍或地方专业防灭火队伍增援灭火时，由县森防指向双鸭山市森防指提出申请，按有关规定和权限逐级报批。</w:t>
      </w:r>
    </w:p>
    <w:p w14:paraId="42D1641B">
      <w:pPr>
        <w:ind w:firstLine="632"/>
        <w:rPr>
          <w:rFonts w:ascii="Times New Roman" w:hAnsi="Times New Roman" w:cs="Times New Roman"/>
          <w:sz w:val="32"/>
        </w:rPr>
      </w:pPr>
      <w:r>
        <w:rPr>
          <w:rFonts w:ascii="Times New Roman" w:hAnsi="Times New Roman" w:cs="Times New Roman"/>
          <w:sz w:val="32"/>
        </w:rPr>
        <w:t>需要驻地武警部队参与灭火时，由县森防报请双鸭山市政府提请双鸭山市武警支队提出用兵需求。</w:t>
      </w:r>
    </w:p>
    <w:p w14:paraId="0C14B2C3">
      <w:pPr>
        <w:pStyle w:val="2"/>
        <w:numPr>
          <w:ilvl w:val="0"/>
          <w:numId w:val="108"/>
        </w:numPr>
        <w:tabs>
          <w:tab w:val="left" w:pos="0"/>
        </w:tabs>
        <w:ind w:firstLine="0" w:firstLineChars="0"/>
        <w:rPr>
          <w:rFonts w:ascii="Times New Roman" w:hAnsi="Times New Roman" w:cs="Times New Roman"/>
          <w:sz w:val="32"/>
        </w:rPr>
      </w:pPr>
      <w:bookmarkStart w:id="508" w:name="_Toc1121"/>
      <w:r>
        <w:rPr>
          <w:rFonts w:ascii="Times New Roman" w:hAnsi="Times New Roman" w:cs="Times New Roman"/>
          <w:sz w:val="32"/>
        </w:rPr>
        <w:t>监测预警</w:t>
      </w:r>
      <w:bookmarkEnd w:id="508"/>
    </w:p>
    <w:p w14:paraId="51C9C9E1">
      <w:pPr>
        <w:pStyle w:val="3"/>
        <w:ind w:firstLine="0" w:firstLineChars="0"/>
        <w:rPr>
          <w:rFonts w:ascii="Times New Roman" w:hAnsi="Times New Roman" w:cs="Times New Roman"/>
          <w:sz w:val="32"/>
        </w:rPr>
      </w:pPr>
      <w:bookmarkStart w:id="509" w:name="_Toc32354"/>
      <w:r>
        <w:rPr>
          <w:rFonts w:ascii="Times New Roman" w:hAnsi="Times New Roman" w:cs="Times New Roman"/>
          <w:sz w:val="32"/>
        </w:rPr>
        <w:t>风险监测与防控</w:t>
      </w:r>
      <w:bookmarkEnd w:id="509"/>
    </w:p>
    <w:p w14:paraId="46DBB322">
      <w:pPr>
        <w:pStyle w:val="4"/>
        <w:numPr>
          <w:ilvl w:val="2"/>
          <w:numId w:val="108"/>
        </w:numPr>
        <w:tabs>
          <w:tab w:val="left" w:pos="0"/>
        </w:tabs>
        <w:ind w:firstLine="0" w:firstLineChars="0"/>
        <w:rPr>
          <w:rFonts w:ascii="Times New Roman" w:hAnsi="Times New Roman" w:cs="Times New Roman"/>
          <w:sz w:val="32"/>
        </w:rPr>
      </w:pPr>
      <w:r>
        <w:rPr>
          <w:rFonts w:ascii="Times New Roman" w:hAnsi="Times New Roman" w:cs="Times New Roman"/>
          <w:sz w:val="32"/>
        </w:rPr>
        <w:t>风险监测</w:t>
      </w:r>
    </w:p>
    <w:p w14:paraId="640DEF54">
      <w:pPr>
        <w:ind w:firstLine="632"/>
        <w:rPr>
          <w:rFonts w:ascii="Times New Roman" w:hAnsi="Times New Roman" w:cs="Times New Roman"/>
          <w:sz w:val="32"/>
        </w:rPr>
      </w:pPr>
      <w:r>
        <w:rPr>
          <w:rFonts w:ascii="Times New Roman" w:hAnsi="Times New Roman" w:cs="Times New Roman"/>
          <w:sz w:val="32"/>
        </w:rPr>
        <w:t>（1）火险监测预警</w:t>
      </w:r>
    </w:p>
    <w:p w14:paraId="0A1BE02A">
      <w:pPr>
        <w:ind w:firstLine="632"/>
        <w:rPr>
          <w:rFonts w:ascii="Times New Roman" w:hAnsi="Times New Roman" w:cs="Times New Roman"/>
          <w:sz w:val="32"/>
        </w:rPr>
      </w:pPr>
      <w:r>
        <w:rPr>
          <w:rFonts w:ascii="Times New Roman" w:hAnsi="Times New Roman" w:cs="Times New Roman"/>
          <w:sz w:val="32"/>
        </w:rPr>
        <w:t>依据县气象局天气预报、气候预测及火险气象等级预报，县森防办分析森林草原火险形势，及时向全县发布火险形势宏观预测报告；县气象局制作全县24小时森林火险天气预报，在县电视台的天气预报等栏目中向全县发布。预警分级、预警发布、预警响应按照《黑龙江省森林火险预警响应暂行规定》执行。</w:t>
      </w:r>
    </w:p>
    <w:p w14:paraId="0360347E">
      <w:pPr>
        <w:ind w:firstLine="632"/>
        <w:rPr>
          <w:rFonts w:ascii="Times New Roman" w:hAnsi="Times New Roman" w:cs="Times New Roman"/>
          <w:sz w:val="32"/>
        </w:rPr>
      </w:pPr>
      <w:r>
        <w:rPr>
          <w:rFonts w:ascii="Times New Roman" w:hAnsi="Times New Roman" w:cs="Times New Roman"/>
          <w:sz w:val="32"/>
        </w:rPr>
        <w:t>（2）林火监测</w:t>
      </w:r>
    </w:p>
    <w:p w14:paraId="72AC656F">
      <w:pPr>
        <w:ind w:firstLine="632"/>
        <w:rPr>
          <w:rFonts w:ascii="Times New Roman" w:hAnsi="Times New Roman" w:cs="Times New Roman"/>
          <w:sz w:val="32"/>
        </w:rPr>
      </w:pPr>
      <w:r>
        <w:rPr>
          <w:rFonts w:ascii="Times New Roman" w:hAnsi="Times New Roman" w:cs="Times New Roman"/>
          <w:sz w:val="32"/>
        </w:rPr>
        <w:t>县林业和草原局利用全县境内可利用的森防林火监测系统和设备，进行热点监测。</w:t>
      </w:r>
    </w:p>
    <w:p w14:paraId="14F8165B">
      <w:pPr>
        <w:pStyle w:val="4"/>
        <w:numPr>
          <w:ilvl w:val="2"/>
          <w:numId w:val="108"/>
        </w:numPr>
        <w:tabs>
          <w:tab w:val="left" w:pos="0"/>
        </w:tabs>
        <w:ind w:firstLine="0" w:firstLineChars="0"/>
        <w:rPr>
          <w:rFonts w:ascii="Times New Roman" w:hAnsi="Times New Roman" w:cs="Times New Roman"/>
          <w:sz w:val="32"/>
        </w:rPr>
      </w:pPr>
      <w:r>
        <w:rPr>
          <w:rFonts w:ascii="Times New Roman" w:hAnsi="Times New Roman" w:cs="Times New Roman"/>
          <w:sz w:val="32"/>
        </w:rPr>
        <w:t>风险防控</w:t>
      </w:r>
    </w:p>
    <w:p w14:paraId="35CCE5E3">
      <w:pPr>
        <w:ind w:firstLine="632"/>
        <w:rPr>
          <w:rFonts w:ascii="Times New Roman" w:hAnsi="Times New Roman" w:cs="Times New Roman"/>
          <w:sz w:val="32"/>
        </w:rPr>
      </w:pPr>
      <w:r>
        <w:rPr>
          <w:rFonts w:ascii="Times New Roman" w:hAnsi="Times New Roman" w:cs="Times New Roman"/>
          <w:sz w:val="32"/>
        </w:rPr>
        <w:t>各成员单位应当开展经常性的森林草原防火宣传教育，增强公众森林草原防火意识；严格控制和管理野外用火，规范生产、生活用火行为；加强对高火险期和高火险区检查监督，消除各类火灾隐患；有计划地清除可燃物，开设防火阻隔带；加强森林草原消防基础建设，全面提高预防森林草原火灾的综合能力。</w:t>
      </w:r>
    </w:p>
    <w:p w14:paraId="0323A624">
      <w:pPr>
        <w:pStyle w:val="3"/>
        <w:ind w:firstLine="0" w:firstLineChars="0"/>
        <w:rPr>
          <w:rFonts w:ascii="Times New Roman" w:hAnsi="Times New Roman" w:cs="Times New Roman"/>
          <w:sz w:val="32"/>
        </w:rPr>
      </w:pPr>
      <w:bookmarkStart w:id="510" w:name="_Toc19718"/>
      <w:r>
        <w:rPr>
          <w:rFonts w:ascii="Times New Roman" w:hAnsi="Times New Roman" w:cs="Times New Roman"/>
          <w:sz w:val="32"/>
        </w:rPr>
        <w:t>预警</w:t>
      </w:r>
      <w:bookmarkEnd w:id="510"/>
    </w:p>
    <w:p w14:paraId="6598DB2E">
      <w:pPr>
        <w:pStyle w:val="4"/>
        <w:numPr>
          <w:ilvl w:val="2"/>
          <w:numId w:val="108"/>
        </w:numPr>
        <w:tabs>
          <w:tab w:val="left" w:pos="0"/>
        </w:tabs>
        <w:ind w:firstLine="0" w:firstLineChars="0"/>
        <w:rPr>
          <w:rFonts w:ascii="Times New Roman" w:hAnsi="Times New Roman" w:cs="Times New Roman"/>
          <w:sz w:val="32"/>
        </w:rPr>
      </w:pPr>
      <w:r>
        <w:rPr>
          <w:rFonts w:ascii="Times New Roman" w:hAnsi="Times New Roman" w:cs="Times New Roman"/>
          <w:sz w:val="32"/>
        </w:rPr>
        <w:t>预警级别</w:t>
      </w:r>
    </w:p>
    <w:p w14:paraId="0E055707">
      <w:pPr>
        <w:ind w:firstLine="632"/>
        <w:rPr>
          <w:rFonts w:ascii="Times New Roman" w:hAnsi="Times New Roman" w:cs="Times New Roman"/>
          <w:sz w:val="32"/>
        </w:rPr>
      </w:pPr>
      <w:r>
        <w:rPr>
          <w:rFonts w:ascii="Times New Roman" w:hAnsi="Times New Roman" w:cs="Times New Roman"/>
          <w:sz w:val="32"/>
        </w:rPr>
        <w:t>根据森林草原火险等级和可能造成的危害程度，将森林草原火险预警级别划分为四个等级，由高到低依次用红色、橙色、黄色、蓝色标示。预警级别的划分标准参照国家森防指发布的《森林火险预警信号分级及标识》（LY/T2578-2016）。</w:t>
      </w:r>
    </w:p>
    <w:p w14:paraId="3C82626D">
      <w:pPr>
        <w:pStyle w:val="4"/>
        <w:numPr>
          <w:ilvl w:val="2"/>
          <w:numId w:val="108"/>
        </w:numPr>
        <w:tabs>
          <w:tab w:val="left" w:pos="0"/>
        </w:tabs>
        <w:ind w:firstLine="0" w:firstLineChars="0"/>
        <w:rPr>
          <w:rFonts w:ascii="Times New Roman" w:hAnsi="Times New Roman" w:cs="Times New Roman"/>
          <w:sz w:val="32"/>
        </w:rPr>
      </w:pPr>
      <w:r>
        <w:rPr>
          <w:rFonts w:ascii="Times New Roman" w:hAnsi="Times New Roman" w:cs="Times New Roman"/>
          <w:sz w:val="32"/>
        </w:rPr>
        <w:t>预警发布、调整和解除</w:t>
      </w:r>
    </w:p>
    <w:p w14:paraId="248F82E9">
      <w:pPr>
        <w:ind w:firstLine="632"/>
        <w:rPr>
          <w:rFonts w:ascii="Times New Roman" w:hAnsi="Times New Roman" w:cs="Times New Roman"/>
          <w:sz w:val="32"/>
        </w:rPr>
      </w:pPr>
      <w:r>
        <w:rPr>
          <w:rFonts w:ascii="Times New Roman" w:hAnsi="Times New Roman" w:cs="Times New Roman"/>
          <w:sz w:val="32"/>
        </w:rPr>
        <w:t>县森防办应会同县林业和草原局、县气象局通过各级突发事件预警信息发布系统和广播、电视、网络、微信公众号、手机短信等渠道向相关部门和公众发布森林火险预警信息。</w:t>
      </w:r>
    </w:p>
    <w:p w14:paraId="66D6940E">
      <w:pPr>
        <w:ind w:firstLine="632"/>
        <w:rPr>
          <w:rFonts w:ascii="Times New Roman" w:hAnsi="Times New Roman" w:cs="Times New Roman"/>
          <w:sz w:val="32"/>
        </w:rPr>
      </w:pPr>
      <w:r>
        <w:rPr>
          <w:rFonts w:ascii="Times New Roman" w:hAnsi="Times New Roman" w:cs="Times New Roman"/>
          <w:sz w:val="32"/>
        </w:rPr>
        <w:t>县森防办要组织县应急局、县林业和草原局、县自然资源局、县农业农村局、县公安局、县气象局等部门建立会商机制，适时综合研判全县森林火险形势，发布森林火险预警级别。达到蓝色以上预警级别时，县森防指立即向各乡镇和相关部门发送预警信息，提出工作要求。</w:t>
      </w:r>
    </w:p>
    <w:p w14:paraId="75CCC9DC">
      <w:pPr>
        <w:ind w:firstLine="632"/>
        <w:rPr>
          <w:rFonts w:ascii="Times New Roman" w:hAnsi="Times New Roman" w:cs="Times New Roman"/>
          <w:sz w:val="32"/>
        </w:rPr>
      </w:pPr>
      <w:r>
        <w:rPr>
          <w:rFonts w:ascii="Times New Roman" w:hAnsi="Times New Roman" w:cs="Times New Roman"/>
          <w:sz w:val="32"/>
        </w:rPr>
        <w:t>因气象条件出现变化，县气象局需要调整森林草原火险预警等级建议的，经与县森防办、县应急管理局、县林业和草原局会商，由县森防办按本办法规定履行相应的报批及发布程序。</w:t>
      </w:r>
    </w:p>
    <w:p w14:paraId="14042C96">
      <w:pPr>
        <w:ind w:firstLine="632"/>
        <w:rPr>
          <w:rFonts w:ascii="Times New Roman" w:hAnsi="Times New Roman" w:cs="Times New Roman"/>
          <w:sz w:val="32"/>
        </w:rPr>
      </w:pPr>
      <w:r>
        <w:rPr>
          <w:rFonts w:ascii="Times New Roman" w:hAnsi="Times New Roman" w:cs="Times New Roman"/>
          <w:sz w:val="32"/>
        </w:rPr>
        <w:t>森林草原火险预警信息到期自动解除。</w:t>
      </w:r>
    </w:p>
    <w:p w14:paraId="6C6D9702">
      <w:pPr>
        <w:pStyle w:val="4"/>
        <w:numPr>
          <w:ilvl w:val="2"/>
          <w:numId w:val="108"/>
        </w:numPr>
        <w:tabs>
          <w:tab w:val="left" w:pos="0"/>
        </w:tabs>
        <w:ind w:firstLine="0" w:firstLineChars="0"/>
        <w:rPr>
          <w:rFonts w:ascii="Times New Roman" w:hAnsi="Times New Roman" w:cs="Times New Roman"/>
          <w:sz w:val="32"/>
        </w:rPr>
      </w:pPr>
      <w:r>
        <w:rPr>
          <w:rFonts w:ascii="Times New Roman" w:hAnsi="Times New Roman" w:cs="Times New Roman"/>
          <w:sz w:val="32"/>
        </w:rPr>
        <w:t>预警行动</w:t>
      </w:r>
    </w:p>
    <w:p w14:paraId="319EE906">
      <w:pPr>
        <w:ind w:firstLine="634"/>
        <w:rPr>
          <w:rFonts w:ascii="Times New Roman" w:hAnsi="Times New Roman" w:cs="Times New Roman"/>
          <w:b/>
          <w:sz w:val="32"/>
        </w:rPr>
      </w:pPr>
      <w:r>
        <w:rPr>
          <w:rStyle w:val="62"/>
          <w:rFonts w:ascii="Times New Roman" w:hAnsi="Times New Roman" w:cs="Times New Roman"/>
          <w:sz w:val="32"/>
        </w:rPr>
        <w:t>（一）</w:t>
      </w:r>
      <w:r>
        <w:rPr>
          <w:rFonts w:ascii="Times New Roman" w:hAnsi="Times New Roman" w:cs="Times New Roman"/>
          <w:b/>
          <w:sz w:val="32"/>
        </w:rPr>
        <w:t>蓝色预警响应措施</w:t>
      </w:r>
    </w:p>
    <w:p w14:paraId="25CE5B38">
      <w:pPr>
        <w:ind w:firstLine="632"/>
        <w:rPr>
          <w:rFonts w:ascii="Times New Roman" w:hAnsi="Times New Roman" w:cs="Times New Roman"/>
          <w:sz w:val="32"/>
        </w:rPr>
      </w:pPr>
      <w:r>
        <w:rPr>
          <w:rFonts w:ascii="Times New Roman" w:hAnsi="Times New Roman" w:cs="Times New Roman"/>
          <w:sz w:val="32"/>
        </w:rPr>
        <w:t>（1）各级森林草原防灭火指挥机构进入森林草原防火期常态工作，实行领导带班和24小时值班制度，随时保持通讯联络畅通；各国有林场半专业扑火队、县消防救援大队、乡镇队伍进入备勤状态。</w:t>
      </w:r>
    </w:p>
    <w:p w14:paraId="7967D222">
      <w:pPr>
        <w:ind w:firstLine="632"/>
        <w:rPr>
          <w:rFonts w:ascii="Times New Roman" w:hAnsi="Times New Roman" w:cs="Times New Roman"/>
          <w:sz w:val="32"/>
        </w:rPr>
      </w:pPr>
      <w:r>
        <w:rPr>
          <w:rFonts w:ascii="Times New Roman" w:hAnsi="Times New Roman" w:cs="Times New Roman"/>
          <w:sz w:val="32"/>
        </w:rPr>
        <w:t>（2）各级森林草原防灭火部门组织开展森林草原防灭火宣传工作；加强森林草原火灾隐患排查、整改工作，加大执法处罚力度；加大火源管控力度；加强护林护草巡护和瞭望监测工作。</w:t>
      </w:r>
    </w:p>
    <w:p w14:paraId="48A7411F">
      <w:pPr>
        <w:ind w:firstLine="632"/>
        <w:rPr>
          <w:rFonts w:ascii="Times New Roman" w:hAnsi="Times New Roman" w:cs="Times New Roman"/>
          <w:sz w:val="32"/>
        </w:rPr>
      </w:pPr>
      <w:r>
        <w:rPr>
          <w:rFonts w:ascii="Times New Roman" w:hAnsi="Times New Roman" w:cs="Times New Roman"/>
          <w:sz w:val="32"/>
        </w:rPr>
        <w:t>（3）各乡镇加强“林边村、林缘户、林中人”管理，每日监测，对重点区域、特殊人群实行重点管控。</w:t>
      </w:r>
    </w:p>
    <w:p w14:paraId="27EBBB25">
      <w:pPr>
        <w:ind w:firstLine="634"/>
        <w:rPr>
          <w:rFonts w:ascii="Times New Roman" w:hAnsi="Times New Roman" w:cs="Times New Roman"/>
          <w:b/>
          <w:bCs/>
          <w:sz w:val="32"/>
        </w:rPr>
      </w:pPr>
      <w:r>
        <w:rPr>
          <w:rFonts w:ascii="Times New Roman" w:hAnsi="Times New Roman" w:cs="Times New Roman"/>
          <w:b/>
          <w:bCs/>
          <w:sz w:val="32"/>
        </w:rPr>
        <w:t>（二）黄色预警响应措施</w:t>
      </w:r>
    </w:p>
    <w:p w14:paraId="51FF00FA">
      <w:pPr>
        <w:ind w:firstLine="632"/>
        <w:rPr>
          <w:rFonts w:ascii="Times New Roman" w:hAnsi="Times New Roman" w:cs="Times New Roman"/>
          <w:sz w:val="32"/>
        </w:rPr>
      </w:pPr>
      <w:r>
        <w:rPr>
          <w:rFonts w:ascii="Times New Roman" w:hAnsi="Times New Roman" w:cs="Times New Roman"/>
          <w:sz w:val="32"/>
        </w:rPr>
        <w:t>在蓝色预警响应措施基础上，进一步采取下列响应措施：</w:t>
      </w:r>
    </w:p>
    <w:p w14:paraId="59155736">
      <w:pPr>
        <w:ind w:firstLine="632"/>
        <w:rPr>
          <w:rFonts w:ascii="Times New Roman" w:hAnsi="Times New Roman" w:cs="Times New Roman"/>
          <w:sz w:val="32"/>
        </w:rPr>
      </w:pPr>
      <w:r>
        <w:rPr>
          <w:rFonts w:ascii="Times New Roman" w:hAnsi="Times New Roman" w:cs="Times New Roman"/>
          <w:sz w:val="32"/>
        </w:rPr>
        <w:t>（1）各级森林草原防灭火指挥机构带班领导、副总指挥和值班人员在岗在位，昼夜有人值班，随时保持通讯联络畅通。</w:t>
      </w:r>
    </w:p>
    <w:p w14:paraId="4A6AF88F">
      <w:pPr>
        <w:ind w:firstLine="632"/>
        <w:rPr>
          <w:rFonts w:ascii="Times New Roman" w:hAnsi="Times New Roman" w:cs="Times New Roman"/>
          <w:sz w:val="32"/>
        </w:rPr>
      </w:pPr>
      <w:r>
        <w:rPr>
          <w:rFonts w:ascii="Times New Roman" w:hAnsi="Times New Roman" w:cs="Times New Roman"/>
          <w:sz w:val="32"/>
        </w:rPr>
        <w:t>（2）各级森林草原防灭火机构加大督导检查力度；加大森林草原防火宣传力度；加大护林护草巡护和瞭望监测频次；严格控制和检查野外用火，及时发现和报告火情。</w:t>
      </w:r>
    </w:p>
    <w:p w14:paraId="6609036D">
      <w:pPr>
        <w:ind w:firstLine="632"/>
        <w:rPr>
          <w:rFonts w:ascii="Times New Roman" w:hAnsi="Times New Roman" w:cs="Times New Roman"/>
          <w:sz w:val="32"/>
        </w:rPr>
      </w:pPr>
      <w:r>
        <w:rPr>
          <w:rFonts w:ascii="Times New Roman" w:hAnsi="Times New Roman" w:cs="Times New Roman"/>
          <w:sz w:val="32"/>
        </w:rPr>
        <w:t>（3）县森防办视情派出工作组，督导森林防火预警行动的落实和相关林场、乡镇森林防火检查工作。</w:t>
      </w:r>
    </w:p>
    <w:p w14:paraId="3F18CAA0">
      <w:pPr>
        <w:ind w:firstLine="632"/>
        <w:rPr>
          <w:rFonts w:ascii="Times New Roman" w:hAnsi="Times New Roman" w:cs="Times New Roman"/>
          <w:sz w:val="32"/>
        </w:rPr>
      </w:pPr>
      <w:r>
        <w:rPr>
          <w:rFonts w:ascii="Times New Roman" w:hAnsi="Times New Roman" w:cs="Times New Roman"/>
          <w:sz w:val="32"/>
        </w:rPr>
        <w:t>（4）各乡镇政府、各国有林场加强森林草原防灭火宣传和巡查巡护，乡村干部深入包干责任片区督查，严格控制林区野外用火</w:t>
      </w:r>
    </w:p>
    <w:p w14:paraId="2EE3EE5F">
      <w:pPr>
        <w:ind w:firstLine="634"/>
        <w:rPr>
          <w:rFonts w:ascii="Times New Roman" w:hAnsi="Times New Roman" w:cs="Times New Roman"/>
          <w:b/>
          <w:bCs/>
          <w:sz w:val="32"/>
        </w:rPr>
      </w:pPr>
      <w:r>
        <w:rPr>
          <w:rFonts w:ascii="Times New Roman" w:hAnsi="Times New Roman" w:cs="Times New Roman"/>
          <w:b/>
          <w:bCs/>
          <w:sz w:val="32"/>
        </w:rPr>
        <w:t>（三）橙色预警响应措施</w:t>
      </w:r>
    </w:p>
    <w:p w14:paraId="42EBA9EC">
      <w:pPr>
        <w:ind w:firstLine="632"/>
        <w:rPr>
          <w:rFonts w:ascii="Times New Roman" w:hAnsi="Times New Roman" w:cs="Times New Roman"/>
          <w:sz w:val="32"/>
        </w:rPr>
      </w:pPr>
      <w:r>
        <w:rPr>
          <w:rFonts w:ascii="Times New Roman" w:hAnsi="Times New Roman" w:cs="Times New Roman"/>
          <w:sz w:val="32"/>
        </w:rPr>
        <w:t>在黄色预警响应措施基础上，进一步采取下列响应措施：</w:t>
      </w:r>
    </w:p>
    <w:p w14:paraId="6814E9CA">
      <w:pPr>
        <w:ind w:firstLine="632"/>
        <w:rPr>
          <w:rFonts w:ascii="Times New Roman" w:hAnsi="Times New Roman" w:cs="Times New Roman"/>
          <w:sz w:val="32"/>
        </w:rPr>
      </w:pPr>
      <w:r>
        <w:rPr>
          <w:rFonts w:ascii="Times New Roman" w:hAnsi="Times New Roman" w:cs="Times New Roman"/>
          <w:sz w:val="32"/>
        </w:rPr>
        <w:t>（1）县委、县政府主要领导原则上至少有1人值班，分管森林草原防灭火领导原则上不得离开属地。</w:t>
      </w:r>
    </w:p>
    <w:p w14:paraId="65909531">
      <w:pPr>
        <w:ind w:firstLine="632"/>
        <w:rPr>
          <w:rFonts w:ascii="Times New Roman" w:hAnsi="Times New Roman" w:cs="Times New Roman"/>
          <w:sz w:val="32"/>
        </w:rPr>
      </w:pPr>
      <w:r>
        <w:rPr>
          <w:rFonts w:ascii="Times New Roman" w:hAnsi="Times New Roman" w:cs="Times New Roman"/>
          <w:sz w:val="32"/>
        </w:rPr>
        <w:t>（2）各级森林草原防灭火指挥机构带班领导、副总指挥和值班人员在岗在位，及时了解本行政区域内各部门、单位应对措施，密切关注森林草原火情动态；各国有林场半专业扑火队、县消防救援大队、乡镇应急队伍进入待命状态。</w:t>
      </w:r>
    </w:p>
    <w:p w14:paraId="55EF5F46">
      <w:pPr>
        <w:ind w:firstLine="632"/>
        <w:rPr>
          <w:rFonts w:ascii="Times New Roman" w:hAnsi="Times New Roman" w:cs="Times New Roman"/>
          <w:sz w:val="32"/>
        </w:rPr>
      </w:pPr>
      <w:r>
        <w:rPr>
          <w:rFonts w:ascii="Times New Roman" w:hAnsi="Times New Roman" w:cs="Times New Roman"/>
          <w:sz w:val="32"/>
        </w:rPr>
        <w:t>（3）县级领导带队开展督导检查，隐患问题登记在册，限时整改到位销号，加大执法检查和处罚力度；加大森林草原火情预警信息宣传和播报频次；增派人员，加大巡查力度和森林草原火情监测频次，对于重点地区、重点林区牧区严管死守，加强用火审批管理。</w:t>
      </w:r>
    </w:p>
    <w:p w14:paraId="0A44591B">
      <w:pPr>
        <w:ind w:firstLine="632"/>
        <w:rPr>
          <w:rFonts w:ascii="Times New Roman" w:hAnsi="Times New Roman" w:cs="Times New Roman"/>
          <w:sz w:val="32"/>
        </w:rPr>
      </w:pPr>
      <w:r>
        <w:rPr>
          <w:rFonts w:ascii="Times New Roman" w:hAnsi="Times New Roman" w:cs="Times New Roman"/>
          <w:sz w:val="32"/>
        </w:rPr>
        <w:t>（4）严禁任何人员未经审批进入“火险区”、跨过“火警线”，重点林牧区实行封山管控措施。</w:t>
      </w:r>
    </w:p>
    <w:p w14:paraId="09CD2D89">
      <w:pPr>
        <w:ind w:firstLine="632"/>
        <w:rPr>
          <w:rFonts w:ascii="Times New Roman" w:hAnsi="Times New Roman" w:cs="Times New Roman"/>
          <w:sz w:val="32"/>
        </w:rPr>
      </w:pPr>
      <w:r>
        <w:rPr>
          <w:rFonts w:ascii="Times New Roman" w:hAnsi="Times New Roman" w:cs="Times New Roman"/>
          <w:sz w:val="32"/>
        </w:rPr>
        <w:t>（5）公安机关、林草部门或承接有关行政处罚权的乡镇人民政府加强对违规野外用火以及违反规定进入“火险区”、跨过“火警线”的行为依法进行严厉打击。</w:t>
      </w:r>
    </w:p>
    <w:p w14:paraId="73F300C9">
      <w:pPr>
        <w:ind w:firstLine="632"/>
        <w:rPr>
          <w:rFonts w:ascii="Times New Roman" w:hAnsi="Times New Roman" w:cs="Times New Roman"/>
          <w:sz w:val="32"/>
        </w:rPr>
      </w:pPr>
      <w:r>
        <w:rPr>
          <w:rFonts w:ascii="Times New Roman" w:hAnsi="Times New Roman" w:cs="Times New Roman"/>
          <w:sz w:val="32"/>
        </w:rPr>
        <w:t>（6）县森防指成员单位依据各自职责，落实值班人员加强值班值守，做好扑救森林草原火灾准备工作。</w:t>
      </w:r>
    </w:p>
    <w:p w14:paraId="6A4C28BD">
      <w:pPr>
        <w:ind w:firstLine="634"/>
        <w:rPr>
          <w:rFonts w:ascii="Times New Roman" w:hAnsi="Times New Roman" w:cs="Times New Roman"/>
          <w:b/>
          <w:bCs/>
          <w:sz w:val="32"/>
        </w:rPr>
      </w:pPr>
      <w:r>
        <w:rPr>
          <w:rFonts w:ascii="Times New Roman" w:hAnsi="Times New Roman" w:cs="Times New Roman"/>
          <w:b/>
          <w:bCs/>
          <w:sz w:val="32"/>
        </w:rPr>
        <w:t>（四）红色预警响应措施</w:t>
      </w:r>
    </w:p>
    <w:p w14:paraId="0645A6A6">
      <w:pPr>
        <w:ind w:firstLine="632"/>
        <w:rPr>
          <w:rFonts w:ascii="Times New Roman" w:hAnsi="Times New Roman" w:cs="Times New Roman"/>
          <w:sz w:val="32"/>
        </w:rPr>
      </w:pPr>
      <w:r>
        <w:rPr>
          <w:rFonts w:ascii="Times New Roman" w:hAnsi="Times New Roman" w:cs="Times New Roman"/>
          <w:sz w:val="32"/>
        </w:rPr>
        <w:t>在橙色预警响应措施基础上，进一步采取下列响应措施：</w:t>
      </w:r>
    </w:p>
    <w:p w14:paraId="4F1BC0E7">
      <w:pPr>
        <w:ind w:firstLine="632"/>
        <w:rPr>
          <w:rFonts w:ascii="Times New Roman" w:hAnsi="Times New Roman" w:cs="Times New Roman"/>
          <w:sz w:val="32"/>
        </w:rPr>
      </w:pPr>
      <w:r>
        <w:rPr>
          <w:rFonts w:ascii="Times New Roman" w:hAnsi="Times New Roman" w:cs="Times New Roman"/>
          <w:sz w:val="32"/>
        </w:rPr>
        <w:t>（1）各级森林草原防灭火指挥机构带班领导、总指挥和值班人员在岗在位，定期调度了解相关成员单位值守情况，部门主要领导也要随时掌握各种突发情况；专业（半专业）扑火队执行靠前驻防。</w:t>
      </w:r>
    </w:p>
    <w:p w14:paraId="364331DF">
      <w:pPr>
        <w:ind w:firstLine="632"/>
        <w:rPr>
          <w:rFonts w:ascii="Times New Roman" w:hAnsi="Times New Roman" w:cs="Times New Roman"/>
          <w:sz w:val="32"/>
        </w:rPr>
      </w:pPr>
      <w:r>
        <w:rPr>
          <w:rFonts w:ascii="Times New Roman" w:hAnsi="Times New Roman" w:cs="Times New Roman"/>
          <w:sz w:val="32"/>
        </w:rPr>
        <w:t>（2）县委、县政府主要领导带队开展督导检查；县森防指组建暗访组开展常态化暗访；加大森林草原火情预警信息宣传和播报频次；加大巡查力度和森林草原火情监测频次，属地乡镇主要领导带头巡山，对于重点地区、重点林区临时增派力量，严管死守。</w:t>
      </w:r>
    </w:p>
    <w:p w14:paraId="67AD11AA">
      <w:pPr>
        <w:ind w:firstLine="632"/>
        <w:rPr>
          <w:rFonts w:ascii="Times New Roman" w:hAnsi="Times New Roman" w:cs="Times New Roman"/>
          <w:sz w:val="32"/>
        </w:rPr>
      </w:pPr>
      <w:r>
        <w:rPr>
          <w:rFonts w:ascii="Times New Roman" w:hAnsi="Times New Roman" w:cs="Times New Roman"/>
          <w:sz w:val="32"/>
        </w:rPr>
        <w:t>（3）执行最严的火源管理措施，外来车辆或人员需要进入或通过重要林区的，各乡镇依据实际确定放行时间进行集中放行。本地村民进山入林入草地必须向所在村组干部进行报备，未按规定报备进山的，按照有关规定进行处罚。</w:t>
      </w:r>
    </w:p>
    <w:p w14:paraId="689DEFDD">
      <w:pPr>
        <w:ind w:firstLine="632"/>
        <w:rPr>
          <w:rFonts w:ascii="Times New Roman" w:hAnsi="Times New Roman" w:cs="Times New Roman"/>
          <w:sz w:val="32"/>
        </w:rPr>
      </w:pPr>
      <w:r>
        <w:rPr>
          <w:rFonts w:ascii="Times New Roman" w:hAnsi="Times New Roman" w:cs="Times New Roman"/>
          <w:sz w:val="32"/>
        </w:rPr>
        <w:t>（4）停止防火区内除丧葬用火外的一切生产生活用火审批，需要进行丧葬用火的，由属地乡镇调度有关扑火力量到场监管、确保安全。</w:t>
      </w:r>
    </w:p>
    <w:p w14:paraId="0C2C2695">
      <w:pPr>
        <w:ind w:firstLine="632"/>
        <w:rPr>
          <w:rFonts w:ascii="Times New Roman" w:hAnsi="Times New Roman" w:cs="Times New Roman"/>
          <w:sz w:val="32"/>
        </w:rPr>
      </w:pPr>
      <w:r>
        <w:rPr>
          <w:rFonts w:ascii="Times New Roman" w:hAnsi="Times New Roman" w:cs="Times New Roman"/>
          <w:sz w:val="32"/>
        </w:rPr>
        <w:t>（5）县森防指所有成员单位，做到24小时有人值班，做好应急响应准备工作。</w:t>
      </w:r>
    </w:p>
    <w:p w14:paraId="20C1B577">
      <w:pPr>
        <w:ind w:firstLine="632"/>
        <w:rPr>
          <w:rFonts w:ascii="Times New Roman" w:hAnsi="Times New Roman" w:cs="Times New Roman"/>
          <w:sz w:val="32"/>
        </w:rPr>
      </w:pPr>
      <w:r>
        <w:rPr>
          <w:rFonts w:ascii="Times New Roman" w:hAnsi="Times New Roman" w:cs="Times New Roman"/>
          <w:sz w:val="32"/>
        </w:rPr>
        <w:t>（6）气象部门发布大风预警后，重点林区管理人员根据林区实际情况通知区域内高压输变电线路执行紧急断电，大风预警解除后恢复供电。</w:t>
      </w:r>
    </w:p>
    <w:p w14:paraId="60F4BB83">
      <w:pPr>
        <w:pStyle w:val="3"/>
        <w:ind w:firstLine="0" w:firstLineChars="0"/>
        <w:rPr>
          <w:rFonts w:ascii="Times New Roman" w:hAnsi="Times New Roman" w:cs="Times New Roman"/>
          <w:sz w:val="32"/>
        </w:rPr>
      </w:pPr>
      <w:bookmarkStart w:id="511" w:name="_Toc9874"/>
      <w:r>
        <w:rPr>
          <w:rFonts w:ascii="Times New Roman" w:hAnsi="Times New Roman" w:cs="Times New Roman"/>
          <w:sz w:val="32"/>
        </w:rPr>
        <w:t>信息报告</w:t>
      </w:r>
      <w:bookmarkEnd w:id="511"/>
    </w:p>
    <w:p w14:paraId="1FFC9BD5">
      <w:pPr>
        <w:ind w:firstLine="632"/>
        <w:rPr>
          <w:rFonts w:ascii="Times New Roman" w:hAnsi="Times New Roman" w:cs="Times New Roman"/>
          <w:sz w:val="32"/>
        </w:rPr>
      </w:pPr>
      <w:r>
        <w:rPr>
          <w:rFonts w:ascii="Times New Roman" w:hAnsi="Times New Roman" w:cs="Times New Roman"/>
          <w:sz w:val="32"/>
        </w:rPr>
        <w:t>全县境内的森林草原视频监控点、人工瞭望塔、防火巡查巡护人员以及其他公民一旦发现森林草原火情，应立即拨打“12119”森林草原火警电话报警。</w:t>
      </w:r>
    </w:p>
    <w:p w14:paraId="7283A86E">
      <w:pPr>
        <w:ind w:firstLine="632"/>
        <w:rPr>
          <w:rFonts w:ascii="Times New Roman" w:hAnsi="Times New Roman" w:cs="Times New Roman"/>
          <w:sz w:val="32"/>
        </w:rPr>
      </w:pPr>
      <w:r>
        <w:rPr>
          <w:rFonts w:ascii="Times New Roman" w:hAnsi="Times New Roman" w:cs="Times New Roman"/>
          <w:sz w:val="32"/>
        </w:rPr>
        <w:t>各级森林草原防灭火指挥机构按照“有火必报”的原则，及时、准确、逐级、规范报告森林草原火灾信息。</w:t>
      </w:r>
    </w:p>
    <w:p w14:paraId="1BE1E30E">
      <w:pPr>
        <w:ind w:firstLine="632"/>
        <w:rPr>
          <w:rFonts w:ascii="Times New Roman" w:hAnsi="Times New Roman" w:cs="Times New Roman"/>
          <w:sz w:val="32"/>
        </w:rPr>
      </w:pPr>
      <w:r>
        <w:rPr>
          <w:rFonts w:ascii="Times New Roman" w:hAnsi="Times New Roman" w:cs="Times New Roman"/>
          <w:sz w:val="32"/>
        </w:rPr>
        <w:t>严格落实各级应急部门和林业主管部门火情通报制度。县应急管理局、县林业和草原局接到火情报告后，要第一时间互相通报火情信息，并组织相关人员到现场做进一步核查，反馈信息。由县应急管理局和县林业和草原局分别报上级应急部门和林业主管部门。森林火情信息由县应急管理局根据火灾级别按照有关规定归口上报县委县政府。</w:t>
      </w:r>
    </w:p>
    <w:p w14:paraId="05B4AF62">
      <w:pPr>
        <w:ind w:firstLine="632"/>
        <w:rPr>
          <w:rFonts w:ascii="Times New Roman" w:hAnsi="Times New Roman" w:cs="Times New Roman"/>
          <w:sz w:val="32"/>
        </w:rPr>
      </w:pPr>
      <w:r>
        <w:rPr>
          <w:rFonts w:ascii="Times New Roman" w:hAnsi="Times New Roman" w:cs="Times New Roman"/>
          <w:sz w:val="32"/>
        </w:rPr>
        <w:t>按照国家、省森防指和市森防指要求，县森防指在接到重要森林草原火灾报告后，对照《重要森林草原火情报告》启动条件，对符合下列条件的要形成书面《重要森林草原火情报告》，向市森防指报告，每小时进行整理上报，同时报送县政府，并根据需要通报县森防指成员单位和相关部门：</w:t>
      </w:r>
    </w:p>
    <w:p w14:paraId="48322F5F">
      <w:pPr>
        <w:ind w:firstLine="632"/>
        <w:rPr>
          <w:rFonts w:ascii="Times New Roman" w:hAnsi="Times New Roman" w:cs="Times New Roman"/>
          <w:sz w:val="32"/>
        </w:rPr>
      </w:pPr>
      <w:r>
        <w:rPr>
          <w:rFonts w:ascii="Times New Roman" w:hAnsi="Times New Roman" w:cs="Times New Roman"/>
          <w:sz w:val="32"/>
        </w:rPr>
        <w:t>（1）燃烧蔓延超过3小时且没有得到有效控制的森林草原火灾。</w:t>
      </w:r>
    </w:p>
    <w:p w14:paraId="0F8DA06A">
      <w:pPr>
        <w:ind w:firstLine="632"/>
        <w:rPr>
          <w:rFonts w:ascii="Times New Roman" w:hAnsi="Times New Roman" w:cs="Times New Roman"/>
          <w:sz w:val="32"/>
        </w:rPr>
      </w:pPr>
      <w:r>
        <w:rPr>
          <w:rFonts w:ascii="Times New Roman" w:hAnsi="Times New Roman" w:cs="Times New Roman"/>
          <w:sz w:val="32"/>
        </w:rPr>
        <w:t>（2）气象条件恶劣、火场变化极大，过火面积10公顷以上的森林草原火灾。</w:t>
      </w:r>
    </w:p>
    <w:p w14:paraId="3E5E5D76">
      <w:pPr>
        <w:ind w:firstLine="632"/>
        <w:rPr>
          <w:rFonts w:ascii="Times New Roman" w:hAnsi="Times New Roman" w:cs="Times New Roman"/>
          <w:sz w:val="32"/>
        </w:rPr>
      </w:pPr>
      <w:r>
        <w:rPr>
          <w:rFonts w:ascii="Times New Roman" w:hAnsi="Times New Roman" w:cs="Times New Roman"/>
          <w:sz w:val="32"/>
        </w:rPr>
        <w:t>（3）发生人员死亡、重伤或者威胁林区居民区、重要设施的森林草原火灾。</w:t>
      </w:r>
    </w:p>
    <w:p w14:paraId="1AA3A3F9">
      <w:pPr>
        <w:ind w:firstLine="632"/>
        <w:rPr>
          <w:rFonts w:ascii="Times New Roman" w:hAnsi="Times New Roman" w:cs="Times New Roman"/>
          <w:sz w:val="32"/>
        </w:rPr>
      </w:pPr>
      <w:r>
        <w:rPr>
          <w:rFonts w:ascii="Times New Roman" w:hAnsi="Times New Roman" w:cs="Times New Roman"/>
          <w:sz w:val="32"/>
        </w:rPr>
        <w:t>（4）发生在县界外3公里以内且危险性较大的森林草原火灾，或者发生在县（市）交界地带危险性较大的森林草原火灾。</w:t>
      </w:r>
    </w:p>
    <w:p w14:paraId="395104AB">
      <w:pPr>
        <w:ind w:firstLine="632"/>
        <w:rPr>
          <w:rFonts w:ascii="Times New Roman" w:hAnsi="Times New Roman" w:cs="Times New Roman"/>
          <w:sz w:val="32"/>
        </w:rPr>
      </w:pPr>
      <w:r>
        <w:rPr>
          <w:rFonts w:ascii="Times New Roman" w:hAnsi="Times New Roman" w:cs="Times New Roman"/>
          <w:sz w:val="32"/>
        </w:rPr>
        <w:t>（5）发生在旅游度假区等重要地区（目标）且危险性较大的森林草原火灾。</w:t>
      </w:r>
    </w:p>
    <w:p w14:paraId="4356E8F2">
      <w:pPr>
        <w:ind w:firstLine="632"/>
        <w:rPr>
          <w:rFonts w:ascii="Times New Roman" w:hAnsi="Times New Roman" w:cs="Times New Roman"/>
          <w:sz w:val="32"/>
        </w:rPr>
      </w:pPr>
      <w:r>
        <w:rPr>
          <w:rFonts w:ascii="Times New Roman" w:hAnsi="Times New Roman" w:cs="Times New Roman"/>
          <w:sz w:val="32"/>
        </w:rPr>
        <w:t>（6）除上述火灾外，对其他特别时段规定需要上报的森林草原火灾也要以《重要森林草原火情报告》形式进行报送。</w:t>
      </w:r>
    </w:p>
    <w:p w14:paraId="143E3DFF">
      <w:pPr>
        <w:pStyle w:val="2"/>
        <w:numPr>
          <w:ilvl w:val="0"/>
          <w:numId w:val="108"/>
        </w:numPr>
        <w:tabs>
          <w:tab w:val="left" w:pos="0"/>
        </w:tabs>
        <w:ind w:firstLine="0" w:firstLineChars="0"/>
        <w:rPr>
          <w:rFonts w:ascii="Times New Roman" w:hAnsi="Times New Roman" w:cs="Times New Roman"/>
          <w:sz w:val="32"/>
        </w:rPr>
      </w:pPr>
      <w:bookmarkStart w:id="512" w:name="_Toc5942"/>
      <w:r>
        <w:rPr>
          <w:rFonts w:ascii="Times New Roman" w:hAnsi="Times New Roman" w:cs="Times New Roman"/>
          <w:sz w:val="32"/>
        </w:rPr>
        <w:t>应急响应</w:t>
      </w:r>
      <w:bookmarkEnd w:id="512"/>
    </w:p>
    <w:p w14:paraId="3687FC6C">
      <w:pPr>
        <w:pStyle w:val="3"/>
        <w:ind w:firstLine="0" w:firstLineChars="0"/>
        <w:rPr>
          <w:rFonts w:ascii="Times New Roman" w:hAnsi="Times New Roman" w:cs="Times New Roman"/>
          <w:sz w:val="32"/>
        </w:rPr>
      </w:pPr>
      <w:bookmarkStart w:id="513" w:name="_Toc9312"/>
      <w:r>
        <w:rPr>
          <w:rFonts w:ascii="Times New Roman" w:hAnsi="Times New Roman" w:cs="Times New Roman"/>
          <w:sz w:val="32"/>
        </w:rPr>
        <w:t>分级响应</w:t>
      </w:r>
      <w:bookmarkEnd w:id="513"/>
    </w:p>
    <w:p w14:paraId="0E5A423C">
      <w:pPr>
        <w:ind w:firstLine="632"/>
        <w:rPr>
          <w:rFonts w:ascii="Times New Roman" w:hAnsi="Times New Roman" w:cs="Times New Roman"/>
          <w:sz w:val="32"/>
        </w:rPr>
      </w:pPr>
      <w:r>
        <w:rPr>
          <w:rFonts w:ascii="Times New Roman" w:hAnsi="Times New Roman" w:cs="Times New Roman"/>
          <w:sz w:val="32"/>
        </w:rPr>
        <w:t>根据森林草原火灾发展态势和初判级别、应急处置能力和预期影响后果，综合研判确定本级响应级别。按照分级响应的原则，及时调整本级扑火组织指挥机构和力量。</w:t>
      </w:r>
    </w:p>
    <w:p w14:paraId="6AFFFA33">
      <w:pPr>
        <w:ind w:firstLine="632"/>
        <w:rPr>
          <w:rFonts w:ascii="Times New Roman" w:hAnsi="Times New Roman" w:cs="Times New Roman"/>
          <w:sz w:val="32"/>
        </w:rPr>
      </w:pPr>
      <w:r>
        <w:rPr>
          <w:rFonts w:ascii="Times New Roman" w:hAnsi="Times New Roman" w:cs="Times New Roman"/>
          <w:sz w:val="32"/>
        </w:rPr>
        <w:t>火情发生后，由县林业和草原局组织开展火情早期处置。经预判可能发生一般、较大森林草原火灾时，由县森防指为主组织进行应急处置；预判可能发生重大及以上森林草原火灾，由县森防指报请双鸭山市森林草原防灭火指挥部组织统一指挥、处置；必要时，应及时提高响应级别。</w:t>
      </w:r>
    </w:p>
    <w:p w14:paraId="109F556C">
      <w:pPr>
        <w:pStyle w:val="3"/>
        <w:ind w:firstLine="0" w:firstLineChars="0"/>
        <w:rPr>
          <w:rFonts w:ascii="Times New Roman" w:hAnsi="Times New Roman" w:cs="Times New Roman"/>
          <w:sz w:val="32"/>
        </w:rPr>
      </w:pPr>
      <w:bookmarkStart w:id="514" w:name="_Toc6867"/>
      <w:r>
        <w:rPr>
          <w:rFonts w:ascii="Times New Roman" w:hAnsi="Times New Roman" w:cs="Times New Roman"/>
          <w:sz w:val="32"/>
        </w:rPr>
        <w:t>响应措施</w:t>
      </w:r>
      <w:bookmarkEnd w:id="514"/>
    </w:p>
    <w:p w14:paraId="30C39B20">
      <w:pPr>
        <w:ind w:firstLine="632"/>
        <w:rPr>
          <w:rFonts w:ascii="Times New Roman" w:hAnsi="Times New Roman" w:cs="Times New Roman"/>
          <w:sz w:val="32"/>
        </w:rPr>
      </w:pPr>
      <w:r>
        <w:rPr>
          <w:rFonts w:ascii="Times New Roman" w:hAnsi="Times New Roman" w:cs="Times New Roman"/>
          <w:sz w:val="32"/>
        </w:rPr>
        <w:t>火灾发生后，要先研判气象、地形、环境等情况及是否威胁人员密集居住地和重要危险设施，科学组织施救。</w:t>
      </w:r>
    </w:p>
    <w:p w14:paraId="3D59A409">
      <w:pPr>
        <w:pStyle w:val="4"/>
        <w:numPr>
          <w:ilvl w:val="2"/>
          <w:numId w:val="108"/>
        </w:numPr>
        <w:tabs>
          <w:tab w:val="left" w:pos="0"/>
        </w:tabs>
        <w:ind w:firstLine="0" w:firstLineChars="0"/>
        <w:rPr>
          <w:rFonts w:ascii="Times New Roman" w:hAnsi="Times New Roman" w:cs="Times New Roman"/>
          <w:sz w:val="32"/>
        </w:rPr>
      </w:pPr>
      <w:r>
        <w:rPr>
          <w:rFonts w:ascii="Times New Roman" w:hAnsi="Times New Roman" w:cs="Times New Roman"/>
          <w:sz w:val="32"/>
        </w:rPr>
        <w:t>扑救火灾</w:t>
      </w:r>
    </w:p>
    <w:p w14:paraId="4EE736F6">
      <w:pPr>
        <w:ind w:firstLine="632"/>
        <w:rPr>
          <w:rFonts w:ascii="Times New Roman" w:hAnsi="Times New Roman" w:cs="Times New Roman"/>
          <w:sz w:val="32"/>
        </w:rPr>
      </w:pPr>
      <w:r>
        <w:rPr>
          <w:rFonts w:ascii="Times New Roman" w:hAnsi="Times New Roman" w:cs="Times New Roman"/>
          <w:sz w:val="32"/>
        </w:rPr>
        <w:t>火灾的组织扑救以各国有林场半专业扑火队伍为主，以县消防救援大队、乡镇政府应急队伍为辅，就近用兵，重兵投入。各扑火力量在前线指挥部的统一调度指挥下，明确分工，落实扑救责任。现场指挥员要认真分析地理环境和火场态势，在扑火队伍行进、驻地选择和扑火作业时，时刻注意观察天气和火势的变化，坚持以人为本，确保扑火人员安全。不得动员残疾人、孕妇和未成年人以及其他不适宜参加森林火灾扑救的人员参加扑火工作。</w:t>
      </w:r>
    </w:p>
    <w:p w14:paraId="31DCC8E7">
      <w:pPr>
        <w:pStyle w:val="4"/>
        <w:numPr>
          <w:ilvl w:val="2"/>
          <w:numId w:val="108"/>
        </w:numPr>
        <w:tabs>
          <w:tab w:val="left" w:pos="0"/>
        </w:tabs>
        <w:ind w:firstLine="0" w:firstLineChars="0"/>
        <w:rPr>
          <w:rFonts w:ascii="Times New Roman" w:hAnsi="Times New Roman" w:cs="Times New Roman"/>
          <w:sz w:val="32"/>
        </w:rPr>
      </w:pPr>
      <w:r>
        <w:rPr>
          <w:rFonts w:ascii="Times New Roman" w:hAnsi="Times New Roman" w:cs="Times New Roman"/>
          <w:sz w:val="32"/>
        </w:rPr>
        <w:t>转移安置人员</w:t>
      </w:r>
    </w:p>
    <w:p w14:paraId="6569E61D">
      <w:pPr>
        <w:ind w:firstLine="632"/>
        <w:rPr>
          <w:rFonts w:ascii="Times New Roman" w:hAnsi="Times New Roman" w:cs="Times New Roman"/>
          <w:sz w:val="32"/>
        </w:rPr>
      </w:pPr>
      <w:r>
        <w:rPr>
          <w:rFonts w:ascii="Times New Roman" w:hAnsi="Times New Roman" w:cs="Times New Roman"/>
          <w:sz w:val="32"/>
        </w:rPr>
        <w:t>森林草原火灾发生后，按照紧急疏散方案，有组织、有秩序地及时疏散居民、受威胁人员，确保人民群众生命安全。乡镇政府、林场应在林区居民点周围开设防火隔离带，保证居住地和重要设施安全；保证重要森林资源安全，尽量减少损失。当居民点等人员密集区受到森林草原火灾威胁时，及时将人员疏散到安全地方，并采取有效阻火措施，防止火灾蔓延。</w:t>
      </w:r>
    </w:p>
    <w:p w14:paraId="4F560962">
      <w:pPr>
        <w:pStyle w:val="4"/>
        <w:numPr>
          <w:ilvl w:val="2"/>
          <w:numId w:val="108"/>
        </w:numPr>
        <w:tabs>
          <w:tab w:val="left" w:pos="0"/>
        </w:tabs>
        <w:ind w:firstLine="0" w:firstLineChars="0"/>
        <w:rPr>
          <w:rFonts w:ascii="Times New Roman" w:hAnsi="Times New Roman" w:cs="Times New Roman"/>
          <w:sz w:val="32"/>
        </w:rPr>
      </w:pPr>
      <w:r>
        <w:rPr>
          <w:rFonts w:ascii="Times New Roman" w:hAnsi="Times New Roman" w:cs="Times New Roman"/>
          <w:sz w:val="32"/>
        </w:rPr>
        <w:t>救治伤员</w:t>
      </w:r>
    </w:p>
    <w:p w14:paraId="2AA523E2">
      <w:pPr>
        <w:ind w:firstLine="632"/>
        <w:rPr>
          <w:rFonts w:ascii="Times New Roman" w:hAnsi="Times New Roman" w:cs="Times New Roman"/>
          <w:sz w:val="32"/>
        </w:rPr>
      </w:pPr>
      <w:r>
        <w:rPr>
          <w:rFonts w:ascii="Times New Roman" w:hAnsi="Times New Roman" w:cs="Times New Roman"/>
          <w:sz w:val="32"/>
        </w:rPr>
        <w:t>县卫生健康局组织集贤县人民医院等卫生医疗机构医护人员和救护车辆在扑救现场待命，如有伤病员迅速送医院治疗，必要时对重伤员实施异地救治。视情派出卫生应急队伍赶赴火灾发生地，成立临时医院或医疗点，实施现场救治。</w:t>
      </w:r>
    </w:p>
    <w:p w14:paraId="21C87698">
      <w:pPr>
        <w:pStyle w:val="4"/>
        <w:numPr>
          <w:ilvl w:val="2"/>
          <w:numId w:val="108"/>
        </w:numPr>
        <w:tabs>
          <w:tab w:val="left" w:pos="0"/>
        </w:tabs>
        <w:ind w:firstLine="0" w:firstLineChars="0"/>
        <w:rPr>
          <w:rFonts w:ascii="Times New Roman" w:hAnsi="Times New Roman" w:cs="Times New Roman"/>
          <w:sz w:val="32"/>
        </w:rPr>
      </w:pPr>
      <w:r>
        <w:rPr>
          <w:rFonts w:ascii="Times New Roman" w:hAnsi="Times New Roman" w:cs="Times New Roman"/>
          <w:sz w:val="32"/>
        </w:rPr>
        <w:t>保护重要目标</w:t>
      </w:r>
    </w:p>
    <w:p w14:paraId="2502FBA5">
      <w:pPr>
        <w:ind w:firstLine="632"/>
        <w:rPr>
          <w:rFonts w:ascii="Times New Roman" w:hAnsi="Times New Roman" w:cs="Times New Roman"/>
          <w:sz w:val="32"/>
        </w:rPr>
      </w:pPr>
      <w:r>
        <w:rPr>
          <w:rFonts w:ascii="Times New Roman" w:hAnsi="Times New Roman" w:cs="Times New Roman"/>
          <w:sz w:val="32"/>
        </w:rPr>
        <w:t>自然保护区、国有林场、国家森林公园、水库等高保护价值森林受到火灾威胁时，迅速调集队伍，采取开设阻隔带、清除障碍物、局部交通管制等应急措施，全力消除威胁，确保目标安全。</w:t>
      </w:r>
    </w:p>
    <w:p w14:paraId="0D777F3E">
      <w:pPr>
        <w:ind w:firstLine="632"/>
        <w:rPr>
          <w:rFonts w:ascii="Times New Roman" w:hAnsi="Times New Roman" w:cs="Times New Roman"/>
          <w:sz w:val="32"/>
        </w:rPr>
      </w:pPr>
      <w:r>
        <w:rPr>
          <w:rFonts w:ascii="Times New Roman" w:hAnsi="Times New Roman" w:cs="Times New Roman"/>
          <w:sz w:val="32"/>
        </w:rPr>
        <w:t>当军事设施、液化气站、加油站、电力设施、油气管线沿线、铁路线路等重要设施目标受到森林火灾威胁时，需在专业人士的指导下开设应急阻隔带，且应符合安全距离的要求，视情组织抢救、运送、转运重要物资，确保目标安全。</w:t>
      </w:r>
    </w:p>
    <w:p w14:paraId="5E5BE6AC">
      <w:pPr>
        <w:pStyle w:val="4"/>
        <w:numPr>
          <w:ilvl w:val="2"/>
          <w:numId w:val="108"/>
        </w:numPr>
        <w:tabs>
          <w:tab w:val="left" w:pos="0"/>
        </w:tabs>
        <w:ind w:firstLine="0" w:firstLineChars="0"/>
        <w:rPr>
          <w:rFonts w:ascii="Times New Roman" w:hAnsi="Times New Roman" w:cs="Times New Roman"/>
          <w:sz w:val="32"/>
        </w:rPr>
      </w:pPr>
      <w:r>
        <w:rPr>
          <w:rFonts w:ascii="Times New Roman" w:hAnsi="Times New Roman" w:cs="Times New Roman"/>
          <w:sz w:val="32"/>
        </w:rPr>
        <w:t>维护社会治安</w:t>
      </w:r>
    </w:p>
    <w:p w14:paraId="308FDCE0">
      <w:pPr>
        <w:ind w:firstLine="632"/>
        <w:rPr>
          <w:rFonts w:ascii="Times New Roman" w:hAnsi="Times New Roman" w:cs="Times New Roman"/>
          <w:sz w:val="32"/>
        </w:rPr>
      </w:pPr>
      <w:r>
        <w:rPr>
          <w:rFonts w:ascii="Times New Roman" w:hAnsi="Times New Roman" w:cs="Times New Roman"/>
          <w:sz w:val="32"/>
        </w:rPr>
        <w:t>公安部门加强火灾受影响区域社会治安管理，严厉打击借机盗窃、抢劫、哄抢救灾物资、传播谣言等违法犯罪行为。加强火场周边交通秩序管控，保障救援力量和物资运输通道畅通。</w:t>
      </w:r>
    </w:p>
    <w:p w14:paraId="03C4A873">
      <w:pPr>
        <w:pStyle w:val="4"/>
        <w:numPr>
          <w:ilvl w:val="2"/>
          <w:numId w:val="108"/>
        </w:numPr>
        <w:tabs>
          <w:tab w:val="left" w:pos="0"/>
        </w:tabs>
        <w:ind w:firstLine="0" w:firstLineChars="0"/>
        <w:rPr>
          <w:rFonts w:ascii="Times New Roman" w:hAnsi="Times New Roman" w:cs="Times New Roman"/>
          <w:sz w:val="32"/>
        </w:rPr>
      </w:pPr>
      <w:r>
        <w:rPr>
          <w:rFonts w:ascii="Times New Roman" w:hAnsi="Times New Roman" w:cs="Times New Roman"/>
          <w:sz w:val="32"/>
        </w:rPr>
        <w:t>火场清理看守</w:t>
      </w:r>
    </w:p>
    <w:p w14:paraId="660424EC">
      <w:pPr>
        <w:ind w:firstLine="632"/>
        <w:rPr>
          <w:rFonts w:ascii="Times New Roman" w:hAnsi="Times New Roman" w:cs="Times New Roman"/>
          <w:sz w:val="32"/>
        </w:rPr>
      </w:pPr>
      <w:r>
        <w:rPr>
          <w:rFonts w:ascii="Times New Roman" w:hAnsi="Times New Roman" w:cs="Times New Roman"/>
          <w:sz w:val="32"/>
        </w:rPr>
        <w:t>森林草原火灾明火扑灭后，组织灭火人员做好防止复燃和余火清理工作，划分责任区域，并留足人员看守火场。经县森防指或者其授权单位（部门）检查验收，下达撤离命令后，灭火人员方可撤离。原则上，参与扑救的国家综合性消防救援力量、跨市（地）及区、县（市）增援的地方专业防灭火队伍不担负后续清理和看守火场任务。</w:t>
      </w:r>
    </w:p>
    <w:p w14:paraId="58149702">
      <w:pPr>
        <w:pStyle w:val="3"/>
        <w:ind w:firstLine="0" w:firstLineChars="0"/>
        <w:rPr>
          <w:rFonts w:ascii="Times New Roman" w:hAnsi="Times New Roman" w:cs="Times New Roman"/>
          <w:sz w:val="32"/>
        </w:rPr>
      </w:pPr>
      <w:bookmarkStart w:id="515" w:name="_Toc27669"/>
      <w:r>
        <w:rPr>
          <w:rFonts w:ascii="Times New Roman" w:hAnsi="Times New Roman" w:cs="Times New Roman"/>
          <w:sz w:val="32"/>
        </w:rPr>
        <w:t>县级层面应对工作</w:t>
      </w:r>
      <w:bookmarkEnd w:id="515"/>
    </w:p>
    <w:p w14:paraId="503FFE52">
      <w:pPr>
        <w:ind w:firstLine="632"/>
        <w:rPr>
          <w:rFonts w:ascii="Times New Roman" w:hAnsi="Times New Roman" w:cs="Times New Roman"/>
          <w:sz w:val="32"/>
        </w:rPr>
      </w:pPr>
      <w:r>
        <w:rPr>
          <w:rFonts w:ascii="Times New Roman" w:hAnsi="Times New Roman" w:cs="Times New Roman"/>
          <w:sz w:val="32"/>
        </w:rPr>
        <w:t>森林草原火灾发生后，根据火灾严重程度、火场发展态势和当地扑救情况，县级层面应对工作设定Ⅳ级、Ⅲ级、Ⅱ级、Ⅰ级四个响应等级，并通知相关乡镇根据响应等级落实相应措施。</w:t>
      </w:r>
    </w:p>
    <w:p w14:paraId="1B06F1C6">
      <w:pPr>
        <w:pStyle w:val="4"/>
        <w:numPr>
          <w:ilvl w:val="2"/>
          <w:numId w:val="108"/>
        </w:numPr>
        <w:tabs>
          <w:tab w:val="left" w:pos="0"/>
        </w:tabs>
        <w:ind w:firstLine="0" w:firstLineChars="0"/>
        <w:rPr>
          <w:rFonts w:ascii="Times New Roman" w:hAnsi="Times New Roman" w:cs="Times New Roman"/>
          <w:sz w:val="32"/>
        </w:rPr>
      </w:pPr>
      <w:r>
        <w:rPr>
          <w:rFonts w:ascii="Times New Roman" w:hAnsi="Times New Roman" w:cs="Times New Roman"/>
          <w:sz w:val="32"/>
        </w:rPr>
        <w:t>Ⅳ级响应</w:t>
      </w:r>
    </w:p>
    <w:p w14:paraId="1143C80A">
      <w:pPr>
        <w:pStyle w:val="5"/>
        <w:numPr>
          <w:ilvl w:val="3"/>
          <w:numId w:val="108"/>
        </w:numPr>
        <w:ind w:firstLine="0" w:firstLineChars="0"/>
        <w:rPr>
          <w:rFonts w:ascii="Times New Roman" w:hAnsi="Times New Roman" w:cs="Times New Roman"/>
          <w:sz w:val="32"/>
        </w:rPr>
      </w:pPr>
      <w:r>
        <w:rPr>
          <w:rFonts w:ascii="Times New Roman" w:hAnsi="Times New Roman" w:cs="Times New Roman"/>
          <w:sz w:val="32"/>
        </w:rPr>
        <w:t>启动条件</w:t>
      </w:r>
    </w:p>
    <w:p w14:paraId="2571174E">
      <w:pPr>
        <w:ind w:firstLine="632"/>
        <w:rPr>
          <w:rFonts w:ascii="Times New Roman" w:hAnsi="Times New Roman" w:cs="Times New Roman"/>
          <w:sz w:val="32"/>
        </w:rPr>
      </w:pPr>
      <w:r>
        <w:rPr>
          <w:rFonts w:ascii="Times New Roman" w:hAnsi="Times New Roman" w:cs="Times New Roman"/>
          <w:sz w:val="32"/>
        </w:rPr>
        <w:t>（1）相邻县发生森林草原火灾，可能蔓延到我县境内。</w:t>
      </w:r>
    </w:p>
    <w:p w14:paraId="76AF6B2C">
      <w:pPr>
        <w:ind w:firstLine="632"/>
        <w:rPr>
          <w:rFonts w:ascii="Times New Roman" w:hAnsi="Times New Roman" w:cs="Times New Roman"/>
          <w:sz w:val="32"/>
        </w:rPr>
      </w:pPr>
      <w:r>
        <w:rPr>
          <w:rFonts w:ascii="Times New Roman" w:hAnsi="Times New Roman" w:cs="Times New Roman"/>
          <w:sz w:val="32"/>
        </w:rPr>
        <w:t>（2）我县境内发生森林草原火情（地表火）。</w:t>
      </w:r>
    </w:p>
    <w:p w14:paraId="1D5B5EED">
      <w:pPr>
        <w:ind w:firstLine="632"/>
        <w:rPr>
          <w:rFonts w:ascii="Times New Roman" w:hAnsi="Times New Roman" w:cs="Times New Roman"/>
          <w:sz w:val="32"/>
        </w:rPr>
      </w:pPr>
      <w:r>
        <w:rPr>
          <w:rFonts w:ascii="Times New Roman" w:hAnsi="Times New Roman" w:cs="Times New Roman"/>
          <w:sz w:val="32"/>
        </w:rPr>
        <w:t>（3）受害森林面积1公顷以下。</w:t>
      </w:r>
    </w:p>
    <w:p w14:paraId="508E5EA2">
      <w:pPr>
        <w:ind w:firstLine="632"/>
        <w:rPr>
          <w:rFonts w:ascii="Times New Roman" w:hAnsi="Times New Roman" w:cs="Times New Roman"/>
          <w:sz w:val="32"/>
        </w:rPr>
      </w:pPr>
      <w:r>
        <w:rPr>
          <w:rFonts w:ascii="Times New Roman" w:hAnsi="Times New Roman" w:cs="Times New Roman"/>
          <w:sz w:val="32"/>
        </w:rPr>
        <w:t>（4）造成1人以上、3人以下死亡（失踪），1人以上、10人以下重伤森林火灾；造成1人以上、3人以下重伤的草原火灾。</w:t>
      </w:r>
    </w:p>
    <w:p w14:paraId="79554E35">
      <w:pPr>
        <w:ind w:firstLine="632"/>
        <w:rPr>
          <w:rFonts w:ascii="Times New Roman" w:hAnsi="Times New Roman" w:cs="Times New Roman"/>
          <w:sz w:val="32"/>
        </w:rPr>
      </w:pPr>
      <w:r>
        <w:rPr>
          <w:rFonts w:ascii="Times New Roman" w:hAnsi="Times New Roman" w:cs="Times New Roman"/>
          <w:sz w:val="32"/>
        </w:rPr>
        <w:t>（5）县委、县政府要求启动响应的森林草原火灾。</w:t>
      </w:r>
    </w:p>
    <w:p w14:paraId="1E0416DF">
      <w:pPr>
        <w:ind w:firstLine="632"/>
        <w:rPr>
          <w:rFonts w:ascii="Times New Roman" w:hAnsi="Times New Roman" w:cs="Times New Roman"/>
          <w:sz w:val="32"/>
        </w:rPr>
      </w:pPr>
      <w:r>
        <w:rPr>
          <w:rFonts w:ascii="Times New Roman" w:hAnsi="Times New Roman" w:cs="Times New Roman"/>
          <w:sz w:val="32"/>
        </w:rPr>
        <w:t>符合上述条件之一时，经县森防指分析评估，认定灾情达到启动标准，报经县森防指副总指挥同意，以县森防指名义启动Ⅳ级响应。</w:t>
      </w:r>
    </w:p>
    <w:p w14:paraId="6AD02FAC">
      <w:pPr>
        <w:pStyle w:val="5"/>
        <w:numPr>
          <w:ilvl w:val="3"/>
          <w:numId w:val="108"/>
        </w:numPr>
        <w:ind w:firstLine="0" w:firstLineChars="0"/>
        <w:rPr>
          <w:rFonts w:ascii="Times New Roman" w:hAnsi="Times New Roman" w:cs="Times New Roman"/>
          <w:sz w:val="32"/>
        </w:rPr>
      </w:pPr>
      <w:r>
        <w:rPr>
          <w:rFonts w:ascii="Times New Roman" w:hAnsi="Times New Roman" w:cs="Times New Roman"/>
          <w:sz w:val="32"/>
        </w:rPr>
        <w:t>响应措施</w:t>
      </w:r>
    </w:p>
    <w:p w14:paraId="1802C9F0">
      <w:pPr>
        <w:ind w:firstLine="632"/>
        <w:rPr>
          <w:rFonts w:ascii="Times New Roman" w:hAnsi="Times New Roman" w:cs="Times New Roman"/>
          <w:sz w:val="32"/>
        </w:rPr>
      </w:pPr>
      <w:r>
        <w:rPr>
          <w:rFonts w:ascii="Times New Roman" w:hAnsi="Times New Roman" w:cs="Times New Roman"/>
          <w:sz w:val="32"/>
        </w:rPr>
        <w:t>县森林草原防灭火指挥部及成员单位响应措施：</w:t>
      </w:r>
    </w:p>
    <w:p w14:paraId="1E29C4DB">
      <w:pPr>
        <w:ind w:firstLine="632"/>
        <w:rPr>
          <w:rFonts w:ascii="Times New Roman" w:hAnsi="Times New Roman" w:cs="Times New Roman"/>
          <w:sz w:val="32"/>
        </w:rPr>
      </w:pPr>
      <w:r>
        <w:rPr>
          <w:rFonts w:ascii="Times New Roman" w:hAnsi="Times New Roman" w:cs="Times New Roman"/>
          <w:sz w:val="32"/>
        </w:rPr>
        <w:t>（1）第一时间将火情报县森防办。</w:t>
      </w:r>
    </w:p>
    <w:p w14:paraId="3BD2E969">
      <w:pPr>
        <w:ind w:firstLine="632"/>
        <w:rPr>
          <w:rFonts w:ascii="Times New Roman" w:hAnsi="Times New Roman" w:cs="Times New Roman"/>
          <w:sz w:val="32"/>
        </w:rPr>
      </w:pPr>
      <w:r>
        <w:rPr>
          <w:rFonts w:ascii="Times New Roman" w:hAnsi="Times New Roman" w:cs="Times New Roman"/>
          <w:sz w:val="32"/>
        </w:rPr>
        <w:t>（2）县森防指进入应急状态，加强监测，及时调度火情信息；根据火场周边环境，提出保护重要目标物、危险源安全意见建议，及时确定防灭火通道，劝导站和水源点。</w:t>
      </w:r>
    </w:p>
    <w:p w14:paraId="1B809BD4">
      <w:pPr>
        <w:ind w:firstLine="632"/>
        <w:rPr>
          <w:rFonts w:ascii="Times New Roman" w:hAnsi="Times New Roman" w:cs="Times New Roman"/>
          <w:sz w:val="32"/>
        </w:rPr>
      </w:pPr>
      <w:r>
        <w:rPr>
          <w:rFonts w:ascii="Times New Roman" w:hAnsi="Times New Roman" w:cs="Times New Roman"/>
          <w:sz w:val="32"/>
        </w:rPr>
        <w:t>（3）受害面积１公顷以下，火情20分钟可控的，由事发地先期处置，负责现场组织指挥，及时出动第一梯队扑火力量组织扑救，及时向县森防办报告扑救情况。</w:t>
      </w:r>
    </w:p>
    <w:p w14:paraId="14613503">
      <w:pPr>
        <w:ind w:firstLine="632"/>
        <w:rPr>
          <w:rFonts w:ascii="Times New Roman" w:hAnsi="Times New Roman" w:cs="Times New Roman"/>
          <w:sz w:val="32"/>
        </w:rPr>
      </w:pPr>
      <w:r>
        <w:rPr>
          <w:rFonts w:ascii="Times New Roman" w:hAnsi="Times New Roman" w:cs="Times New Roman"/>
          <w:sz w:val="32"/>
        </w:rPr>
        <w:t>（4）火情20分钟内无法控制的，由县森防办指令第二梯队扑火力量参与灭火作战，决定是否设立扑火前线指挥部，及时跟进扑救督促指导，其他梯队进入应急临战状态。</w:t>
      </w:r>
    </w:p>
    <w:p w14:paraId="587156DC">
      <w:pPr>
        <w:ind w:firstLine="632"/>
        <w:rPr>
          <w:rFonts w:ascii="Times New Roman" w:hAnsi="Times New Roman" w:cs="Times New Roman"/>
          <w:sz w:val="32"/>
        </w:rPr>
      </w:pPr>
      <w:r>
        <w:rPr>
          <w:rFonts w:ascii="Times New Roman" w:hAnsi="Times New Roman" w:cs="Times New Roman"/>
          <w:sz w:val="32"/>
        </w:rPr>
        <w:t>（5）县应急管理局、林业和草原局等部门组织协调扑火机具、物资装备、消防水车等调拨使用。</w:t>
      </w:r>
    </w:p>
    <w:p w14:paraId="0A21A168">
      <w:pPr>
        <w:ind w:firstLine="632"/>
        <w:rPr>
          <w:rFonts w:ascii="Times New Roman" w:hAnsi="Times New Roman" w:cs="Times New Roman"/>
          <w:sz w:val="32"/>
        </w:rPr>
      </w:pPr>
      <w:r>
        <w:rPr>
          <w:rFonts w:ascii="Times New Roman" w:hAnsi="Times New Roman" w:cs="Times New Roman"/>
          <w:sz w:val="32"/>
        </w:rPr>
        <w:t>（6）中国移动集贤县分公司、中国电信集贤县分公司、中国联通集贤县分公司等单位做好灾区通信服务保障，县公安局交警大队、县交通运输局、乡（镇）派出所等单位做好道路交通保障、现场火场警戒等工作。</w:t>
      </w:r>
    </w:p>
    <w:p w14:paraId="1A314A19">
      <w:pPr>
        <w:ind w:firstLine="632"/>
        <w:rPr>
          <w:rFonts w:ascii="Times New Roman" w:hAnsi="Times New Roman" w:cs="Times New Roman"/>
          <w:sz w:val="32"/>
        </w:rPr>
      </w:pPr>
      <w:r>
        <w:rPr>
          <w:rFonts w:ascii="Times New Roman" w:hAnsi="Times New Roman" w:cs="Times New Roman"/>
          <w:sz w:val="32"/>
        </w:rPr>
        <w:t>（7）决定森林草原火灾扑救其他事项。</w:t>
      </w:r>
    </w:p>
    <w:p w14:paraId="33CE93BF">
      <w:pPr>
        <w:pStyle w:val="4"/>
        <w:numPr>
          <w:ilvl w:val="2"/>
          <w:numId w:val="108"/>
        </w:numPr>
        <w:tabs>
          <w:tab w:val="left" w:pos="0"/>
        </w:tabs>
        <w:ind w:firstLine="0" w:firstLineChars="0"/>
        <w:rPr>
          <w:rFonts w:ascii="Times New Roman" w:hAnsi="Times New Roman" w:cs="Times New Roman"/>
          <w:sz w:val="32"/>
        </w:rPr>
      </w:pPr>
      <w:r>
        <w:rPr>
          <w:rFonts w:ascii="Times New Roman" w:hAnsi="Times New Roman" w:cs="Times New Roman"/>
          <w:sz w:val="32"/>
        </w:rPr>
        <w:t>Ⅲ级响应</w:t>
      </w:r>
    </w:p>
    <w:p w14:paraId="3E6DF893">
      <w:pPr>
        <w:pStyle w:val="5"/>
        <w:numPr>
          <w:ilvl w:val="3"/>
          <w:numId w:val="108"/>
        </w:numPr>
        <w:ind w:firstLine="0" w:firstLineChars="0"/>
        <w:rPr>
          <w:rFonts w:ascii="Times New Roman" w:hAnsi="Times New Roman" w:cs="Times New Roman"/>
          <w:sz w:val="32"/>
        </w:rPr>
      </w:pPr>
      <w:r>
        <w:rPr>
          <w:rFonts w:ascii="Times New Roman" w:hAnsi="Times New Roman" w:cs="Times New Roman"/>
          <w:sz w:val="32"/>
        </w:rPr>
        <w:t>启动条件</w:t>
      </w:r>
    </w:p>
    <w:p w14:paraId="154245E9">
      <w:pPr>
        <w:ind w:firstLine="632"/>
        <w:rPr>
          <w:rFonts w:ascii="Times New Roman" w:hAnsi="Times New Roman" w:cs="Times New Roman"/>
          <w:sz w:val="32"/>
        </w:rPr>
      </w:pPr>
      <w:r>
        <w:rPr>
          <w:rFonts w:ascii="Times New Roman" w:hAnsi="Times New Roman" w:cs="Times New Roman"/>
          <w:sz w:val="32"/>
        </w:rPr>
        <w:t>（1）连续燃烧48小时以上、72小时以内的森林火灾，或连续燃烧72小时以上、120小时以内的草原火灾。</w:t>
      </w:r>
    </w:p>
    <w:p w14:paraId="5E6B8FCD">
      <w:pPr>
        <w:ind w:firstLine="632"/>
        <w:rPr>
          <w:rFonts w:ascii="Times New Roman" w:hAnsi="Times New Roman" w:cs="Times New Roman"/>
          <w:sz w:val="32"/>
        </w:rPr>
      </w:pPr>
      <w:r>
        <w:rPr>
          <w:rFonts w:ascii="Times New Roman" w:hAnsi="Times New Roman" w:cs="Times New Roman"/>
          <w:sz w:val="32"/>
        </w:rPr>
        <w:t>（2）受害森林面积1公顷以上、100公顷以下，或受害草原面积1000公顷以上、5000公顷以下的火灾。</w:t>
      </w:r>
    </w:p>
    <w:p w14:paraId="5BA5CB1B">
      <w:pPr>
        <w:ind w:firstLine="632"/>
        <w:rPr>
          <w:rFonts w:ascii="Times New Roman" w:hAnsi="Times New Roman" w:cs="Times New Roman"/>
          <w:sz w:val="32"/>
        </w:rPr>
      </w:pPr>
      <w:r>
        <w:rPr>
          <w:rFonts w:ascii="Times New Roman" w:hAnsi="Times New Roman" w:cs="Times New Roman"/>
          <w:sz w:val="32"/>
        </w:rPr>
        <w:t>（3）造成3人以上、10人以下死亡（失踪），或10人以上、50人以下重伤的森林火灾；造成3人以下死亡（失踪），或造成3人以上，10人以下重伤的草原火灾。</w:t>
      </w:r>
    </w:p>
    <w:p w14:paraId="4F3DF451">
      <w:pPr>
        <w:ind w:firstLine="632"/>
        <w:rPr>
          <w:rFonts w:ascii="Times New Roman" w:hAnsi="Times New Roman" w:cs="Times New Roman"/>
          <w:sz w:val="32"/>
        </w:rPr>
      </w:pPr>
      <w:r>
        <w:rPr>
          <w:rFonts w:ascii="Times New Roman" w:hAnsi="Times New Roman" w:cs="Times New Roman"/>
          <w:sz w:val="32"/>
        </w:rPr>
        <w:t>（4）县委、县政府要求启动响应的森林草原火灾。</w:t>
      </w:r>
    </w:p>
    <w:p w14:paraId="39E7E2DE">
      <w:pPr>
        <w:ind w:firstLine="632"/>
        <w:rPr>
          <w:rFonts w:ascii="Times New Roman" w:hAnsi="Times New Roman" w:cs="Times New Roman"/>
          <w:sz w:val="32"/>
        </w:rPr>
      </w:pPr>
      <w:r>
        <w:rPr>
          <w:rFonts w:ascii="Times New Roman" w:hAnsi="Times New Roman" w:cs="Times New Roman"/>
          <w:sz w:val="32"/>
        </w:rPr>
        <w:t>符合上述条件之一时，经县森防指分析评估，认定灾情达到启动标准，报县森防指总指挥组织研究决定后，以县森防指名义启动Ш级响应。</w:t>
      </w:r>
    </w:p>
    <w:p w14:paraId="3FFDEF61">
      <w:pPr>
        <w:pStyle w:val="5"/>
        <w:numPr>
          <w:ilvl w:val="3"/>
          <w:numId w:val="108"/>
        </w:numPr>
        <w:ind w:firstLine="0" w:firstLineChars="0"/>
        <w:rPr>
          <w:rFonts w:ascii="Times New Roman" w:hAnsi="Times New Roman" w:cs="Times New Roman"/>
          <w:sz w:val="32"/>
        </w:rPr>
      </w:pPr>
      <w:r>
        <w:rPr>
          <w:rFonts w:ascii="Times New Roman" w:hAnsi="Times New Roman" w:cs="Times New Roman"/>
          <w:sz w:val="32"/>
        </w:rPr>
        <w:t>响应措施</w:t>
      </w:r>
    </w:p>
    <w:p w14:paraId="20F2966B">
      <w:pPr>
        <w:ind w:firstLine="632"/>
        <w:rPr>
          <w:rFonts w:ascii="Times New Roman" w:hAnsi="Times New Roman" w:cs="Times New Roman"/>
          <w:sz w:val="32"/>
        </w:rPr>
      </w:pPr>
      <w:r>
        <w:rPr>
          <w:rFonts w:ascii="Times New Roman" w:hAnsi="Times New Roman" w:cs="Times New Roman"/>
          <w:sz w:val="32"/>
        </w:rPr>
        <w:t>在Ⅳ级响应的基础上，加强以下应急措施：</w:t>
      </w:r>
    </w:p>
    <w:p w14:paraId="1CB2915C">
      <w:pPr>
        <w:ind w:firstLine="632"/>
        <w:rPr>
          <w:rFonts w:ascii="Times New Roman" w:hAnsi="Times New Roman" w:cs="Times New Roman"/>
          <w:sz w:val="32"/>
        </w:rPr>
      </w:pPr>
      <w:r>
        <w:rPr>
          <w:rFonts w:ascii="Times New Roman" w:hAnsi="Times New Roman" w:cs="Times New Roman"/>
          <w:sz w:val="32"/>
        </w:rPr>
        <w:t>（1）县森防指及时调度了解森林草原火灾最新情况，第一时间深入火灾现场，成立扑火前线指挥部，组织火情会商，研究火灾扑救措施。</w:t>
      </w:r>
    </w:p>
    <w:p w14:paraId="4DA61CD8">
      <w:pPr>
        <w:ind w:firstLine="632"/>
        <w:rPr>
          <w:rFonts w:ascii="Times New Roman" w:hAnsi="Times New Roman" w:cs="Times New Roman"/>
          <w:sz w:val="32"/>
        </w:rPr>
      </w:pPr>
      <w:r>
        <w:rPr>
          <w:rFonts w:ascii="Times New Roman" w:hAnsi="Times New Roman" w:cs="Times New Roman"/>
          <w:sz w:val="32"/>
        </w:rPr>
        <w:t>（2）县公安局交警大队、交通运输局等部门对局部地区、火场现场实施交通管制，切实维护火灾地区社会治安秩序。</w:t>
      </w:r>
    </w:p>
    <w:p w14:paraId="7EFB7289">
      <w:pPr>
        <w:ind w:firstLine="632"/>
        <w:rPr>
          <w:rFonts w:ascii="Times New Roman" w:hAnsi="Times New Roman" w:cs="Times New Roman"/>
          <w:sz w:val="32"/>
        </w:rPr>
      </w:pPr>
      <w:r>
        <w:rPr>
          <w:rFonts w:ascii="Times New Roman" w:hAnsi="Times New Roman" w:cs="Times New Roman"/>
          <w:sz w:val="32"/>
        </w:rPr>
        <w:t>（3）县森林草原防灭火指挥部第一时间指令第二、三梯队专业力量立即赶赴火场组织扑救，县应急管理局、县林业和草原局等部门加大防灭火物资紧急调拨，及时出动森林消防水车等装备。</w:t>
      </w:r>
    </w:p>
    <w:p w14:paraId="761271BF">
      <w:pPr>
        <w:ind w:firstLine="632"/>
        <w:rPr>
          <w:rFonts w:ascii="Times New Roman" w:hAnsi="Times New Roman" w:cs="Times New Roman"/>
          <w:sz w:val="32"/>
        </w:rPr>
      </w:pPr>
      <w:r>
        <w:rPr>
          <w:rFonts w:ascii="Times New Roman" w:hAnsi="Times New Roman" w:cs="Times New Roman"/>
          <w:sz w:val="32"/>
        </w:rPr>
        <w:t>（4）当森林草原火灾威胁村居民点、人员密集区时，由第一，二梯队组织开挖防火隔离带或锯断明火蔓延林木，县公安局、乡（镇）派出所加强火情现场警戒。</w:t>
      </w:r>
    </w:p>
    <w:p w14:paraId="0F610419">
      <w:pPr>
        <w:ind w:firstLine="632"/>
        <w:rPr>
          <w:rFonts w:ascii="Times New Roman" w:hAnsi="Times New Roman" w:cs="Times New Roman"/>
          <w:sz w:val="32"/>
        </w:rPr>
      </w:pPr>
      <w:r>
        <w:rPr>
          <w:rFonts w:ascii="Times New Roman" w:hAnsi="Times New Roman" w:cs="Times New Roman"/>
          <w:sz w:val="32"/>
        </w:rPr>
        <w:t>（5）县应急管理局、县发展和改革局、各乡镇政府等部门有组织、有秩序地转移安置受灾群众，确保群众衣食住行有保障。</w:t>
      </w:r>
    </w:p>
    <w:p w14:paraId="23EC7711">
      <w:pPr>
        <w:ind w:firstLine="632"/>
        <w:rPr>
          <w:rFonts w:ascii="Times New Roman" w:hAnsi="Times New Roman" w:cs="Times New Roman"/>
          <w:sz w:val="32"/>
        </w:rPr>
      </w:pPr>
      <w:r>
        <w:rPr>
          <w:rFonts w:ascii="Times New Roman" w:hAnsi="Times New Roman" w:cs="Times New Roman"/>
          <w:sz w:val="32"/>
        </w:rPr>
        <w:t>（6）县卫生健康局严格按照指挥部的要求，及时组织县人民医院、乡镇卫生院等医护人员前往火灾现场及安置区，对受灾群众开展应急救援、心理疏导、疫情防控等工作。</w:t>
      </w:r>
    </w:p>
    <w:p w14:paraId="587DE8A4">
      <w:pPr>
        <w:ind w:firstLine="632"/>
        <w:rPr>
          <w:rFonts w:ascii="Times New Roman" w:hAnsi="Times New Roman" w:cs="Times New Roman"/>
          <w:sz w:val="32"/>
        </w:rPr>
      </w:pPr>
      <w:r>
        <w:rPr>
          <w:rFonts w:ascii="Times New Roman" w:hAnsi="Times New Roman" w:cs="Times New Roman"/>
          <w:sz w:val="32"/>
        </w:rPr>
        <w:t>（7）中国移动集贤县分公司、中国电信集贤县分公司、中国联通集贤县分公司、国家电网集贤供电公司等单位立即抢修损坏的通信、供电等公共设施，短时难以恢复的，要实施临时过渡方案，保障社会生产生活基本需要。</w:t>
      </w:r>
    </w:p>
    <w:p w14:paraId="0C4C7CDA">
      <w:pPr>
        <w:ind w:firstLine="632"/>
        <w:rPr>
          <w:rFonts w:ascii="Times New Roman" w:hAnsi="Times New Roman" w:cs="Times New Roman"/>
          <w:sz w:val="32"/>
        </w:rPr>
      </w:pPr>
      <w:r>
        <w:rPr>
          <w:rFonts w:ascii="Times New Roman" w:hAnsi="Times New Roman" w:cs="Times New Roman"/>
          <w:sz w:val="32"/>
        </w:rPr>
        <w:t>（8）决定森林草原火灾扑救其他事项。</w:t>
      </w:r>
    </w:p>
    <w:p w14:paraId="5DC2E7AA">
      <w:pPr>
        <w:pStyle w:val="4"/>
        <w:numPr>
          <w:ilvl w:val="2"/>
          <w:numId w:val="108"/>
        </w:numPr>
        <w:tabs>
          <w:tab w:val="left" w:pos="0"/>
        </w:tabs>
        <w:ind w:firstLine="0" w:firstLineChars="0"/>
        <w:rPr>
          <w:rFonts w:ascii="Times New Roman" w:hAnsi="Times New Roman" w:cs="Times New Roman"/>
          <w:sz w:val="32"/>
        </w:rPr>
      </w:pPr>
      <w:r>
        <w:rPr>
          <w:rFonts w:ascii="Times New Roman" w:hAnsi="Times New Roman" w:cs="Times New Roman"/>
          <w:sz w:val="32"/>
        </w:rPr>
        <w:t>Ⅱ级响应</w:t>
      </w:r>
    </w:p>
    <w:p w14:paraId="41B45E10">
      <w:pPr>
        <w:pStyle w:val="5"/>
        <w:numPr>
          <w:ilvl w:val="3"/>
          <w:numId w:val="108"/>
        </w:numPr>
        <w:ind w:firstLine="0" w:firstLineChars="0"/>
        <w:rPr>
          <w:rFonts w:ascii="Times New Roman" w:hAnsi="Times New Roman" w:cs="Times New Roman"/>
          <w:sz w:val="32"/>
        </w:rPr>
      </w:pPr>
      <w:r>
        <w:rPr>
          <w:rFonts w:ascii="Times New Roman" w:hAnsi="Times New Roman" w:cs="Times New Roman"/>
          <w:sz w:val="32"/>
        </w:rPr>
        <w:t>启动条件</w:t>
      </w:r>
    </w:p>
    <w:p w14:paraId="077ABF94">
      <w:pPr>
        <w:ind w:firstLine="632"/>
        <w:rPr>
          <w:rFonts w:ascii="Times New Roman" w:hAnsi="Times New Roman" w:cs="Times New Roman"/>
          <w:sz w:val="32"/>
        </w:rPr>
      </w:pPr>
      <w:r>
        <w:rPr>
          <w:rFonts w:ascii="Times New Roman" w:hAnsi="Times New Roman" w:cs="Times New Roman"/>
          <w:sz w:val="32"/>
        </w:rPr>
        <w:t>（1）连续燃烧超过72小时没有得到有效控制的森林火灾，或连续燃烧120小时没有得到控制的草原火灾。</w:t>
      </w:r>
    </w:p>
    <w:p w14:paraId="5E668B28">
      <w:pPr>
        <w:ind w:firstLine="632"/>
        <w:rPr>
          <w:rFonts w:ascii="Times New Roman" w:hAnsi="Times New Roman" w:cs="Times New Roman"/>
          <w:sz w:val="32"/>
        </w:rPr>
      </w:pPr>
      <w:r>
        <w:rPr>
          <w:rFonts w:ascii="Times New Roman" w:hAnsi="Times New Roman" w:cs="Times New Roman"/>
          <w:sz w:val="32"/>
        </w:rPr>
        <w:t>（2）受害森林面积100公顷以上、1000公顷以下，或受害草原面积5000公顷以上、8000公顷以下的火灾。</w:t>
      </w:r>
    </w:p>
    <w:p w14:paraId="3C82B22D">
      <w:pPr>
        <w:ind w:firstLine="632"/>
        <w:rPr>
          <w:rFonts w:ascii="Times New Roman" w:hAnsi="Times New Roman" w:cs="Times New Roman"/>
          <w:sz w:val="32"/>
        </w:rPr>
      </w:pPr>
      <w:r>
        <w:rPr>
          <w:rFonts w:ascii="Times New Roman" w:hAnsi="Times New Roman" w:cs="Times New Roman"/>
          <w:sz w:val="32"/>
        </w:rPr>
        <w:t>（3）造成10人以上、30人以下死亡（失踪），或50人以上、100人以下重伤的森林火灾；造成3人以上、10人以下死亡（失踪），或造成合计10人以上、20人以下死亡和重伤的草原火灾。</w:t>
      </w:r>
    </w:p>
    <w:p w14:paraId="0A4DEF1E">
      <w:pPr>
        <w:ind w:firstLine="632"/>
        <w:rPr>
          <w:rFonts w:ascii="Times New Roman" w:hAnsi="Times New Roman" w:cs="Times New Roman"/>
          <w:sz w:val="32"/>
        </w:rPr>
      </w:pPr>
      <w:r>
        <w:rPr>
          <w:rFonts w:ascii="Times New Roman" w:hAnsi="Times New Roman" w:cs="Times New Roman"/>
          <w:sz w:val="32"/>
        </w:rPr>
        <w:t>（4）威胁居民区、重要设施，或跨县、乡（镇）危险性较大的森林、草原火灾。</w:t>
      </w:r>
    </w:p>
    <w:p w14:paraId="3B1DC684">
      <w:pPr>
        <w:ind w:firstLine="632"/>
        <w:rPr>
          <w:rFonts w:ascii="Times New Roman" w:hAnsi="Times New Roman" w:cs="Times New Roman"/>
          <w:sz w:val="32"/>
        </w:rPr>
      </w:pPr>
      <w:r>
        <w:rPr>
          <w:rFonts w:ascii="Times New Roman" w:hAnsi="Times New Roman" w:cs="Times New Roman"/>
          <w:sz w:val="32"/>
        </w:rPr>
        <w:t>（5）发生在国家级自然保护区和著名旅游景点的森林、草原火灾，或需要省政府支援扑救的森林、草原火灾。</w:t>
      </w:r>
    </w:p>
    <w:p w14:paraId="2BD684BE">
      <w:pPr>
        <w:ind w:firstLine="632"/>
        <w:rPr>
          <w:rFonts w:ascii="Times New Roman" w:hAnsi="Times New Roman" w:cs="Times New Roman"/>
          <w:sz w:val="32"/>
        </w:rPr>
      </w:pPr>
      <w:r>
        <w:rPr>
          <w:rFonts w:ascii="Times New Roman" w:hAnsi="Times New Roman" w:cs="Times New Roman"/>
          <w:sz w:val="32"/>
        </w:rPr>
        <w:t>（6）县委、县政府要求启动响应的森林草原火灾。</w:t>
      </w:r>
    </w:p>
    <w:p w14:paraId="23A6A530">
      <w:pPr>
        <w:ind w:firstLine="632"/>
        <w:rPr>
          <w:rFonts w:ascii="Times New Roman" w:hAnsi="Times New Roman" w:cs="Times New Roman"/>
          <w:sz w:val="32"/>
        </w:rPr>
      </w:pPr>
      <w:r>
        <w:rPr>
          <w:rFonts w:ascii="Times New Roman" w:hAnsi="Times New Roman" w:cs="Times New Roman"/>
          <w:sz w:val="32"/>
        </w:rPr>
        <w:t>符合上述条件之一时，由县政府上报双鸭山市森林草原防灭火指挥部，经双鸭山市森林草原防灭火指挥部向双鸭山市委、市政府报告火情，并建议启动Ⅱ级响应。</w:t>
      </w:r>
    </w:p>
    <w:p w14:paraId="0DCEE99F">
      <w:pPr>
        <w:pStyle w:val="5"/>
        <w:numPr>
          <w:ilvl w:val="3"/>
          <w:numId w:val="108"/>
        </w:numPr>
        <w:ind w:firstLine="0" w:firstLineChars="0"/>
        <w:rPr>
          <w:rFonts w:ascii="Times New Roman" w:hAnsi="Times New Roman" w:cs="Times New Roman"/>
          <w:sz w:val="32"/>
        </w:rPr>
      </w:pPr>
      <w:r>
        <w:rPr>
          <w:rFonts w:ascii="Times New Roman" w:hAnsi="Times New Roman" w:cs="Times New Roman"/>
          <w:sz w:val="32"/>
        </w:rPr>
        <w:t>响应措施</w:t>
      </w:r>
    </w:p>
    <w:p w14:paraId="151A6370">
      <w:pPr>
        <w:ind w:firstLine="632"/>
        <w:rPr>
          <w:rFonts w:ascii="Times New Roman" w:hAnsi="Times New Roman" w:cs="Times New Roman"/>
          <w:sz w:val="32"/>
        </w:rPr>
      </w:pPr>
      <w:r>
        <w:rPr>
          <w:rFonts w:ascii="Times New Roman" w:hAnsi="Times New Roman" w:cs="Times New Roman"/>
          <w:sz w:val="32"/>
        </w:rPr>
        <w:t>在Ⅲ级响应的基础上，县森防指采取以下应急措施：</w:t>
      </w:r>
    </w:p>
    <w:p w14:paraId="160980CA">
      <w:pPr>
        <w:ind w:firstLine="632"/>
        <w:rPr>
          <w:rFonts w:ascii="Times New Roman" w:hAnsi="Times New Roman" w:cs="Times New Roman"/>
          <w:sz w:val="32"/>
        </w:rPr>
      </w:pPr>
      <w:r>
        <w:rPr>
          <w:rFonts w:ascii="Times New Roman" w:hAnsi="Times New Roman" w:cs="Times New Roman"/>
          <w:sz w:val="32"/>
        </w:rPr>
        <w:t>（1）县森林草原防灭火指挥部根据需要，投入所有梯队扑火力量，及时向双鸭山市森林草原防火指挥部请求支援，要求调派临县及周边其他扑火力量参与扑火。</w:t>
      </w:r>
    </w:p>
    <w:p w14:paraId="01BDA7D3">
      <w:pPr>
        <w:ind w:firstLine="632"/>
        <w:rPr>
          <w:rFonts w:ascii="Times New Roman" w:hAnsi="Times New Roman" w:cs="Times New Roman"/>
          <w:sz w:val="32"/>
        </w:rPr>
      </w:pPr>
      <w:r>
        <w:rPr>
          <w:rFonts w:ascii="Times New Roman" w:hAnsi="Times New Roman" w:cs="Times New Roman"/>
          <w:sz w:val="32"/>
        </w:rPr>
        <w:t>（2）根据火灾发生趋势，加强安排生活救助物资，增派医疗救治队伍或转移伤员，协调实施转移受威胁群众。</w:t>
      </w:r>
    </w:p>
    <w:p w14:paraId="34D25128">
      <w:pPr>
        <w:ind w:firstLine="632"/>
        <w:rPr>
          <w:rFonts w:ascii="Times New Roman" w:hAnsi="Times New Roman" w:cs="Times New Roman"/>
          <w:sz w:val="32"/>
        </w:rPr>
      </w:pPr>
      <w:r>
        <w:rPr>
          <w:rFonts w:ascii="Times New Roman" w:hAnsi="Times New Roman" w:cs="Times New Roman"/>
          <w:sz w:val="32"/>
        </w:rPr>
        <w:t>（3）全力增派全县通信、电力、交通等部门赶赴火场，保障应急通信、电力及物资运输。</w:t>
      </w:r>
    </w:p>
    <w:p w14:paraId="1AC14DE9">
      <w:pPr>
        <w:ind w:firstLine="632"/>
        <w:rPr>
          <w:rFonts w:ascii="Times New Roman" w:hAnsi="Times New Roman" w:cs="Times New Roman"/>
          <w:sz w:val="32"/>
        </w:rPr>
      </w:pPr>
      <w:r>
        <w:rPr>
          <w:rFonts w:ascii="Times New Roman" w:hAnsi="Times New Roman" w:cs="Times New Roman"/>
          <w:sz w:val="32"/>
        </w:rPr>
        <w:t>（4）加强重要民生设施的保护，防范次生灾害引发其他安全事故。</w:t>
      </w:r>
    </w:p>
    <w:p w14:paraId="24F839E9">
      <w:pPr>
        <w:ind w:firstLine="632"/>
        <w:rPr>
          <w:rFonts w:ascii="Times New Roman" w:hAnsi="Times New Roman" w:cs="Times New Roman"/>
          <w:sz w:val="32"/>
        </w:rPr>
      </w:pPr>
      <w:r>
        <w:rPr>
          <w:rFonts w:ascii="Times New Roman" w:hAnsi="Times New Roman" w:cs="Times New Roman"/>
          <w:sz w:val="32"/>
        </w:rPr>
        <w:t>（5）根据需要，由县人民政府办公室、县委宣传部做好对外森林火灾扑救宣传报道及舆论引导工作，未经批准的，任何单位和个人不得自行向外界发布消息。</w:t>
      </w:r>
    </w:p>
    <w:p w14:paraId="203AD82F">
      <w:pPr>
        <w:ind w:firstLine="632"/>
        <w:rPr>
          <w:rFonts w:ascii="Times New Roman" w:hAnsi="Times New Roman" w:cs="Times New Roman"/>
          <w:sz w:val="32"/>
        </w:rPr>
      </w:pPr>
      <w:r>
        <w:rPr>
          <w:rFonts w:ascii="Times New Roman" w:hAnsi="Times New Roman" w:cs="Times New Roman"/>
          <w:sz w:val="32"/>
        </w:rPr>
        <w:t>（6）决定森林火灾扑救其他重大事项。</w:t>
      </w:r>
    </w:p>
    <w:p w14:paraId="682D173B">
      <w:pPr>
        <w:pStyle w:val="4"/>
        <w:numPr>
          <w:ilvl w:val="2"/>
          <w:numId w:val="108"/>
        </w:numPr>
        <w:tabs>
          <w:tab w:val="left" w:pos="0"/>
        </w:tabs>
        <w:ind w:firstLine="0" w:firstLineChars="0"/>
        <w:rPr>
          <w:rFonts w:ascii="Times New Roman" w:hAnsi="Times New Roman" w:cs="Times New Roman"/>
          <w:sz w:val="32"/>
        </w:rPr>
      </w:pPr>
      <w:r>
        <w:rPr>
          <w:rFonts w:ascii="Times New Roman" w:hAnsi="Times New Roman" w:cs="Times New Roman"/>
          <w:sz w:val="32"/>
        </w:rPr>
        <w:t>Ⅰ级响应</w:t>
      </w:r>
    </w:p>
    <w:p w14:paraId="33905059">
      <w:pPr>
        <w:pStyle w:val="5"/>
        <w:numPr>
          <w:ilvl w:val="3"/>
          <w:numId w:val="108"/>
        </w:numPr>
        <w:ind w:firstLine="0" w:firstLineChars="0"/>
        <w:rPr>
          <w:rFonts w:ascii="Times New Roman" w:hAnsi="Times New Roman" w:cs="Times New Roman"/>
          <w:sz w:val="32"/>
        </w:rPr>
      </w:pPr>
      <w:r>
        <w:rPr>
          <w:rFonts w:ascii="Times New Roman" w:hAnsi="Times New Roman" w:cs="Times New Roman"/>
          <w:sz w:val="32"/>
        </w:rPr>
        <w:t>启动条件</w:t>
      </w:r>
    </w:p>
    <w:p w14:paraId="70024D6E">
      <w:pPr>
        <w:ind w:firstLine="632"/>
        <w:rPr>
          <w:rFonts w:ascii="Times New Roman" w:hAnsi="Times New Roman" w:cs="Times New Roman"/>
          <w:sz w:val="32"/>
        </w:rPr>
      </w:pPr>
      <w:r>
        <w:rPr>
          <w:rFonts w:ascii="Times New Roman" w:hAnsi="Times New Roman" w:cs="Times New Roman"/>
          <w:sz w:val="32"/>
        </w:rPr>
        <w:t>（1）受害森林面积在1000公顷以上、火场仍未得到有效控制，或受害草原面积在8000公顷以上、明火尚未扑灭的火灾。</w:t>
      </w:r>
    </w:p>
    <w:p w14:paraId="1F4DDC47">
      <w:pPr>
        <w:ind w:firstLine="632"/>
        <w:rPr>
          <w:rFonts w:ascii="Times New Roman" w:hAnsi="Times New Roman" w:cs="Times New Roman"/>
          <w:sz w:val="32"/>
        </w:rPr>
      </w:pPr>
      <w:r>
        <w:rPr>
          <w:rFonts w:ascii="Times New Roman" w:hAnsi="Times New Roman" w:cs="Times New Roman"/>
          <w:sz w:val="32"/>
        </w:rPr>
        <w:t>（2）造成30人以上死亡（失踪），或100人以上重伤及造成重大影响和财产损失的森林火灾；造成10人以上死亡（失踪），或造成合计20人以上死亡和重伤的草原火灾。</w:t>
      </w:r>
    </w:p>
    <w:p w14:paraId="309B3DBF">
      <w:pPr>
        <w:ind w:firstLine="632"/>
        <w:rPr>
          <w:rFonts w:ascii="Times New Roman" w:hAnsi="Times New Roman" w:cs="Times New Roman"/>
          <w:sz w:val="32"/>
        </w:rPr>
      </w:pPr>
      <w:r>
        <w:rPr>
          <w:rFonts w:ascii="Times New Roman" w:hAnsi="Times New Roman" w:cs="Times New Roman"/>
          <w:sz w:val="32"/>
        </w:rPr>
        <w:t>（3）严重威胁或烧毁城镇、居民地、重要设施的，或需要国家支援扑救的森林、草原火灾。</w:t>
      </w:r>
    </w:p>
    <w:p w14:paraId="74994758">
      <w:pPr>
        <w:ind w:firstLine="632"/>
        <w:rPr>
          <w:rFonts w:ascii="Times New Roman" w:hAnsi="Times New Roman" w:cs="Times New Roman"/>
          <w:sz w:val="32"/>
        </w:rPr>
      </w:pPr>
      <w:r>
        <w:rPr>
          <w:rFonts w:ascii="Times New Roman" w:hAnsi="Times New Roman" w:cs="Times New Roman"/>
          <w:sz w:val="32"/>
        </w:rPr>
        <w:t>（4）县委、县政府要求启动响应的森林草原火灾。</w:t>
      </w:r>
    </w:p>
    <w:p w14:paraId="00A64A18">
      <w:pPr>
        <w:ind w:firstLine="632"/>
        <w:rPr>
          <w:rFonts w:ascii="Times New Roman" w:hAnsi="Times New Roman" w:cs="Times New Roman"/>
          <w:sz w:val="32"/>
        </w:rPr>
      </w:pPr>
      <w:r>
        <w:rPr>
          <w:rFonts w:ascii="Times New Roman" w:hAnsi="Times New Roman" w:cs="Times New Roman"/>
          <w:sz w:val="32"/>
        </w:rPr>
        <w:t>符合上述条件之一时，由县政府逐级上报至黑龙江省森林草原防灭火指挥部，经黑龙江省森林草原防灭火指挥部向省委、省政府报告火情，并建议启动I级响应。</w:t>
      </w:r>
    </w:p>
    <w:p w14:paraId="07B0554D">
      <w:pPr>
        <w:pStyle w:val="5"/>
        <w:numPr>
          <w:ilvl w:val="3"/>
          <w:numId w:val="108"/>
        </w:numPr>
        <w:ind w:firstLine="0" w:firstLineChars="0"/>
        <w:rPr>
          <w:rFonts w:ascii="Times New Roman" w:hAnsi="Times New Roman" w:cs="Times New Roman"/>
          <w:sz w:val="32"/>
        </w:rPr>
      </w:pPr>
      <w:r>
        <w:rPr>
          <w:rFonts w:ascii="Times New Roman" w:hAnsi="Times New Roman" w:cs="Times New Roman"/>
          <w:sz w:val="32"/>
        </w:rPr>
        <w:t>响应措施</w:t>
      </w:r>
    </w:p>
    <w:p w14:paraId="37F2150D">
      <w:pPr>
        <w:ind w:firstLine="632"/>
        <w:rPr>
          <w:rFonts w:ascii="Times New Roman" w:hAnsi="Times New Roman" w:cs="Times New Roman"/>
          <w:sz w:val="32"/>
        </w:rPr>
      </w:pPr>
      <w:r>
        <w:rPr>
          <w:rFonts w:ascii="Times New Roman" w:hAnsi="Times New Roman" w:cs="Times New Roman"/>
          <w:sz w:val="32"/>
        </w:rPr>
        <w:t>启动Ⅰ级响应后，在Ⅱ级响应基础上加强以下措施。</w:t>
      </w:r>
    </w:p>
    <w:p w14:paraId="68E7AD48">
      <w:pPr>
        <w:ind w:firstLine="632"/>
        <w:rPr>
          <w:rFonts w:ascii="Times New Roman" w:hAnsi="Times New Roman" w:cs="Times New Roman"/>
          <w:sz w:val="32"/>
        </w:rPr>
      </w:pPr>
      <w:r>
        <w:rPr>
          <w:rFonts w:ascii="Times New Roman" w:hAnsi="Times New Roman" w:cs="Times New Roman"/>
          <w:sz w:val="32"/>
        </w:rPr>
        <w:t>（1）根据实际需要，请求省、国家调派专业力量和飞机施行跨区域支援扑火，并统一安排部署增援队伍的扑火任务；</w:t>
      </w:r>
    </w:p>
    <w:p w14:paraId="180A5790">
      <w:pPr>
        <w:ind w:firstLine="632"/>
        <w:rPr>
          <w:rFonts w:ascii="Times New Roman" w:hAnsi="Times New Roman" w:cs="Times New Roman"/>
          <w:sz w:val="32"/>
        </w:rPr>
      </w:pPr>
      <w:r>
        <w:rPr>
          <w:rFonts w:ascii="Times New Roman" w:hAnsi="Times New Roman" w:cs="Times New Roman"/>
          <w:sz w:val="32"/>
        </w:rPr>
        <w:t>（2）根据省森林草原防火指挥部设立的工作组情况，落实相应的保障工作；</w:t>
      </w:r>
    </w:p>
    <w:p w14:paraId="65D0EBE2">
      <w:pPr>
        <w:ind w:firstLine="632"/>
        <w:rPr>
          <w:rFonts w:ascii="Times New Roman" w:hAnsi="Times New Roman" w:cs="Times New Roman"/>
          <w:sz w:val="32"/>
        </w:rPr>
      </w:pPr>
      <w:r>
        <w:rPr>
          <w:rFonts w:ascii="Times New Roman" w:hAnsi="Times New Roman" w:cs="Times New Roman"/>
          <w:sz w:val="32"/>
        </w:rPr>
        <w:t>（3）请求黑龙江省森林草原防灭火指挥部跨区域增调森林消防队伍和国家综合性消防救援队伍、解放军和武警部队、应急航空救援飞机等扑火力量、装备物资支援火灾扑救工作；</w:t>
      </w:r>
    </w:p>
    <w:p w14:paraId="129F8CF5">
      <w:pPr>
        <w:ind w:firstLine="632"/>
        <w:rPr>
          <w:rFonts w:ascii="Times New Roman" w:hAnsi="Times New Roman" w:cs="Times New Roman"/>
          <w:sz w:val="32"/>
        </w:rPr>
      </w:pPr>
      <w:r>
        <w:rPr>
          <w:rFonts w:ascii="Times New Roman" w:hAnsi="Times New Roman" w:cs="Times New Roman"/>
          <w:sz w:val="32"/>
        </w:rPr>
        <w:t>（4）安排生活救助物资，增派卫生应急队伍加强伤员救治，协调实施受威胁群众转移安置工作；</w:t>
      </w:r>
    </w:p>
    <w:p w14:paraId="2662E8FB">
      <w:pPr>
        <w:ind w:firstLine="632"/>
        <w:rPr>
          <w:rFonts w:ascii="Times New Roman" w:hAnsi="Times New Roman" w:cs="Times New Roman"/>
          <w:sz w:val="32"/>
        </w:rPr>
      </w:pPr>
      <w:r>
        <w:rPr>
          <w:rFonts w:ascii="Times New Roman" w:hAnsi="Times New Roman" w:cs="Times New Roman"/>
          <w:sz w:val="32"/>
        </w:rPr>
        <w:t>（5）组织抢修通信、电力、交通等基础设施，保障应急通信、电力及救援人员和物资交通运输畅通；</w:t>
      </w:r>
    </w:p>
    <w:p w14:paraId="1B7F7FC9">
      <w:pPr>
        <w:ind w:firstLine="632"/>
        <w:rPr>
          <w:rFonts w:ascii="Times New Roman" w:hAnsi="Times New Roman" w:cs="Times New Roman"/>
          <w:sz w:val="32"/>
        </w:rPr>
      </w:pPr>
      <w:r>
        <w:rPr>
          <w:rFonts w:ascii="Times New Roman" w:hAnsi="Times New Roman" w:cs="Times New Roman"/>
          <w:sz w:val="32"/>
        </w:rPr>
        <w:t>（6）进一步加强重要目标和重大危险源的保护；</w:t>
      </w:r>
    </w:p>
    <w:p w14:paraId="515E9345">
      <w:pPr>
        <w:ind w:firstLine="632"/>
        <w:rPr>
          <w:rFonts w:ascii="Times New Roman" w:hAnsi="Times New Roman" w:cs="Times New Roman"/>
          <w:sz w:val="32"/>
        </w:rPr>
      </w:pPr>
      <w:r>
        <w:rPr>
          <w:rFonts w:ascii="Times New Roman" w:hAnsi="Times New Roman" w:cs="Times New Roman"/>
          <w:sz w:val="32"/>
        </w:rPr>
        <w:t>（7）进一步加强气象服务，抓紧天气条件组织实施人工影响天气作业；</w:t>
      </w:r>
    </w:p>
    <w:p w14:paraId="27C30A10">
      <w:pPr>
        <w:ind w:firstLine="632"/>
        <w:rPr>
          <w:rFonts w:ascii="Times New Roman" w:hAnsi="Times New Roman" w:cs="Times New Roman"/>
          <w:sz w:val="32"/>
        </w:rPr>
      </w:pPr>
      <w:r>
        <w:rPr>
          <w:rFonts w:ascii="Times New Roman" w:hAnsi="Times New Roman" w:cs="Times New Roman"/>
          <w:sz w:val="32"/>
        </w:rPr>
        <w:t>（8）决定森林草原火灾扑救其他重大事项。</w:t>
      </w:r>
    </w:p>
    <w:p w14:paraId="611FC49C">
      <w:pPr>
        <w:pStyle w:val="4"/>
        <w:numPr>
          <w:ilvl w:val="2"/>
          <w:numId w:val="108"/>
        </w:numPr>
        <w:tabs>
          <w:tab w:val="left" w:pos="0"/>
        </w:tabs>
        <w:ind w:firstLine="0" w:firstLineChars="0"/>
        <w:rPr>
          <w:rFonts w:ascii="Times New Roman" w:hAnsi="Times New Roman" w:cs="Times New Roman"/>
          <w:sz w:val="32"/>
        </w:rPr>
      </w:pPr>
      <w:r>
        <w:rPr>
          <w:rFonts w:ascii="Times New Roman" w:hAnsi="Times New Roman" w:cs="Times New Roman"/>
          <w:sz w:val="32"/>
        </w:rPr>
        <w:t>启动条件调整</w:t>
      </w:r>
    </w:p>
    <w:p w14:paraId="71A2B32D">
      <w:pPr>
        <w:ind w:firstLine="632"/>
        <w:rPr>
          <w:rFonts w:ascii="Times New Roman" w:hAnsi="Times New Roman" w:cs="Times New Roman"/>
          <w:sz w:val="32"/>
        </w:rPr>
      </w:pPr>
      <w:r>
        <w:rPr>
          <w:rFonts w:ascii="Times New Roman" w:hAnsi="Times New Roman" w:cs="Times New Roman"/>
          <w:sz w:val="32"/>
        </w:rPr>
        <w:t>根据森林草原火灾发生的地区、时间敏感程度，受害森林草原资源损失程度，经济、社会影响程度，启动县森林草原火灾应急响应的等级，按启动响应的相应权限可酌情调整。</w:t>
      </w:r>
    </w:p>
    <w:p w14:paraId="21B6E9D3">
      <w:pPr>
        <w:pStyle w:val="3"/>
        <w:ind w:firstLine="0" w:firstLineChars="0"/>
        <w:rPr>
          <w:rFonts w:ascii="Times New Roman" w:hAnsi="Times New Roman" w:cs="Times New Roman"/>
          <w:sz w:val="32"/>
        </w:rPr>
      </w:pPr>
      <w:bookmarkStart w:id="516" w:name="_Toc28455"/>
      <w:r>
        <w:rPr>
          <w:rFonts w:ascii="Times New Roman" w:hAnsi="Times New Roman" w:cs="Times New Roman"/>
          <w:sz w:val="32"/>
        </w:rPr>
        <w:t>应急联动</w:t>
      </w:r>
      <w:bookmarkEnd w:id="516"/>
    </w:p>
    <w:p w14:paraId="729B08FB">
      <w:pPr>
        <w:ind w:firstLine="632"/>
        <w:rPr>
          <w:rFonts w:ascii="Times New Roman" w:hAnsi="Times New Roman" w:cs="Times New Roman"/>
          <w:sz w:val="32"/>
        </w:rPr>
      </w:pPr>
      <w:r>
        <w:rPr>
          <w:rFonts w:ascii="Times New Roman" w:hAnsi="Times New Roman" w:cs="Times New Roman"/>
          <w:sz w:val="32"/>
        </w:rPr>
        <w:t>跨本县行政区界的森林草原火灾扑救工作，应参照与相邻的县级森林火灾防灭火指挥机构签订的联防协议执行。</w:t>
      </w:r>
    </w:p>
    <w:p w14:paraId="2B4389C4">
      <w:pPr>
        <w:pStyle w:val="3"/>
        <w:ind w:firstLine="0" w:firstLineChars="0"/>
        <w:rPr>
          <w:rFonts w:ascii="Times New Roman" w:hAnsi="Times New Roman" w:cs="Times New Roman"/>
          <w:sz w:val="32"/>
        </w:rPr>
      </w:pPr>
      <w:bookmarkStart w:id="517" w:name="_Toc859"/>
      <w:r>
        <w:rPr>
          <w:rFonts w:ascii="Times New Roman" w:hAnsi="Times New Roman" w:cs="Times New Roman"/>
          <w:sz w:val="32"/>
        </w:rPr>
        <w:t>外援队伍接待部署方案</w:t>
      </w:r>
      <w:bookmarkEnd w:id="517"/>
    </w:p>
    <w:p w14:paraId="2AE393F9">
      <w:pPr>
        <w:ind w:firstLine="632"/>
        <w:rPr>
          <w:rFonts w:ascii="Times New Roman" w:hAnsi="Times New Roman" w:cs="Times New Roman"/>
          <w:sz w:val="32"/>
        </w:rPr>
      </w:pPr>
      <w:r>
        <w:rPr>
          <w:rFonts w:ascii="Times New Roman" w:hAnsi="Times New Roman" w:cs="Times New Roman"/>
          <w:sz w:val="32"/>
        </w:rPr>
        <w:t>（1）保障安排</w:t>
      </w:r>
    </w:p>
    <w:p w14:paraId="45F24B3A">
      <w:pPr>
        <w:ind w:firstLine="632"/>
        <w:rPr>
          <w:rFonts w:ascii="Times New Roman" w:hAnsi="Times New Roman" w:cs="Times New Roman"/>
          <w:sz w:val="32"/>
        </w:rPr>
      </w:pPr>
      <w:r>
        <w:rPr>
          <w:rFonts w:ascii="Times New Roman" w:hAnsi="Times New Roman" w:cs="Times New Roman"/>
          <w:sz w:val="32"/>
        </w:rPr>
        <w:t>外援队伍到达我县前，由县森防指办公室先进行联络接洽，明确来人单位，人员数量及构成、车辆、机具数量等，初步判断扑火能力，并将外援人员的后勤保障列入计划，并向前指说明情况，请示前指明确外援队伍行进路线，安排向导引领队伍到达火场。</w:t>
      </w:r>
    </w:p>
    <w:p w14:paraId="30C60544">
      <w:pPr>
        <w:ind w:firstLine="632"/>
        <w:rPr>
          <w:rFonts w:ascii="Times New Roman" w:hAnsi="Times New Roman" w:cs="Times New Roman"/>
          <w:sz w:val="32"/>
        </w:rPr>
      </w:pPr>
      <w:r>
        <w:rPr>
          <w:rFonts w:ascii="Times New Roman" w:hAnsi="Times New Roman" w:cs="Times New Roman"/>
          <w:sz w:val="32"/>
        </w:rPr>
        <w:t>（2）扑火安排</w:t>
      </w:r>
    </w:p>
    <w:p w14:paraId="1457C373">
      <w:pPr>
        <w:ind w:firstLine="632"/>
        <w:rPr>
          <w:rFonts w:ascii="Times New Roman" w:hAnsi="Times New Roman" w:cs="Times New Roman"/>
          <w:sz w:val="32"/>
        </w:rPr>
      </w:pPr>
      <w:r>
        <w:rPr>
          <w:rFonts w:ascii="Times New Roman" w:hAnsi="Times New Roman" w:cs="Times New Roman"/>
          <w:sz w:val="32"/>
        </w:rPr>
        <w:t>外援队伍到达火场后由我县前指和其进行沟通，明确任务，再由向导带领进入任务区开展扑火工作。火场指挥扑救工作按其所领受任务内容由外援队伍自行指挥。</w:t>
      </w:r>
    </w:p>
    <w:p w14:paraId="10632B24">
      <w:pPr>
        <w:ind w:firstLine="632"/>
        <w:rPr>
          <w:rFonts w:ascii="Times New Roman" w:hAnsi="Times New Roman" w:cs="Times New Roman"/>
          <w:sz w:val="32"/>
        </w:rPr>
      </w:pPr>
      <w:r>
        <w:rPr>
          <w:rFonts w:ascii="Times New Roman" w:hAnsi="Times New Roman" w:cs="Times New Roman"/>
          <w:sz w:val="32"/>
        </w:rPr>
        <w:t>（3）外援回撤</w:t>
      </w:r>
    </w:p>
    <w:p w14:paraId="0683934D">
      <w:pPr>
        <w:ind w:firstLine="632"/>
        <w:rPr>
          <w:rFonts w:ascii="Times New Roman" w:hAnsi="Times New Roman" w:cs="Times New Roman"/>
          <w:sz w:val="32"/>
        </w:rPr>
      </w:pPr>
      <w:r>
        <w:rPr>
          <w:rFonts w:ascii="Times New Roman" w:hAnsi="Times New Roman" w:cs="Times New Roman"/>
          <w:sz w:val="32"/>
        </w:rPr>
        <w:t>外援队伍在完成扑火任务回撤时，我县负责为车辆加油并补充给养，由向导送至其熟悉路段。</w:t>
      </w:r>
    </w:p>
    <w:p w14:paraId="265B661C">
      <w:pPr>
        <w:pStyle w:val="3"/>
        <w:ind w:firstLine="0" w:firstLineChars="0"/>
        <w:rPr>
          <w:rFonts w:ascii="Times New Roman" w:hAnsi="Times New Roman" w:cs="Times New Roman"/>
          <w:sz w:val="32"/>
        </w:rPr>
      </w:pPr>
      <w:bookmarkStart w:id="518" w:name="_Toc10422"/>
      <w:r>
        <w:rPr>
          <w:rFonts w:ascii="Times New Roman" w:hAnsi="Times New Roman" w:cs="Times New Roman"/>
          <w:sz w:val="32"/>
        </w:rPr>
        <w:t>扑火指挥与战术原则</w:t>
      </w:r>
      <w:bookmarkEnd w:id="518"/>
    </w:p>
    <w:p w14:paraId="5722FE99">
      <w:pPr>
        <w:pStyle w:val="4"/>
        <w:numPr>
          <w:ilvl w:val="2"/>
          <w:numId w:val="108"/>
        </w:numPr>
        <w:tabs>
          <w:tab w:val="left" w:pos="0"/>
        </w:tabs>
        <w:ind w:firstLine="0" w:firstLineChars="0"/>
        <w:rPr>
          <w:rFonts w:ascii="Times New Roman" w:hAnsi="Times New Roman" w:cs="Times New Roman"/>
          <w:sz w:val="32"/>
        </w:rPr>
      </w:pPr>
      <w:r>
        <w:rPr>
          <w:rFonts w:ascii="Times New Roman" w:hAnsi="Times New Roman" w:cs="Times New Roman"/>
          <w:sz w:val="32"/>
        </w:rPr>
        <w:t>扑火原则</w:t>
      </w:r>
    </w:p>
    <w:p w14:paraId="06D8184C">
      <w:pPr>
        <w:ind w:firstLine="632"/>
        <w:rPr>
          <w:rFonts w:ascii="Times New Roman" w:hAnsi="Times New Roman" w:cs="Times New Roman"/>
          <w:sz w:val="32"/>
        </w:rPr>
      </w:pPr>
      <w:r>
        <w:rPr>
          <w:rFonts w:ascii="Times New Roman" w:hAnsi="Times New Roman" w:cs="Times New Roman"/>
          <w:sz w:val="32"/>
        </w:rPr>
        <w:t>（1）安全第一原则</w:t>
      </w:r>
    </w:p>
    <w:p w14:paraId="5FF53800">
      <w:pPr>
        <w:ind w:firstLine="632"/>
        <w:rPr>
          <w:rFonts w:ascii="Times New Roman" w:hAnsi="Times New Roman" w:cs="Times New Roman"/>
          <w:sz w:val="32"/>
        </w:rPr>
      </w:pPr>
      <w:r>
        <w:rPr>
          <w:rFonts w:ascii="Times New Roman" w:hAnsi="Times New Roman" w:cs="Times New Roman"/>
          <w:sz w:val="32"/>
        </w:rPr>
        <w:t>保证人员安全，既要避免群众伤亡，又要避免扑救火灾人员伤亡；保证居住地和重要设施安全；保证重要森林资源安全，尽量减少损失。</w:t>
      </w:r>
    </w:p>
    <w:p w14:paraId="60DA16AE">
      <w:pPr>
        <w:ind w:firstLine="632"/>
        <w:rPr>
          <w:rFonts w:ascii="Times New Roman" w:hAnsi="Times New Roman" w:cs="Times New Roman"/>
          <w:sz w:val="32"/>
        </w:rPr>
      </w:pPr>
      <w:r>
        <w:rPr>
          <w:rFonts w:ascii="Times New Roman" w:hAnsi="Times New Roman" w:cs="Times New Roman"/>
          <w:sz w:val="32"/>
        </w:rPr>
        <w:t>（2）科学扑救原则</w:t>
      </w:r>
    </w:p>
    <w:p w14:paraId="5187DCC5">
      <w:pPr>
        <w:ind w:firstLine="632"/>
        <w:rPr>
          <w:rFonts w:ascii="Times New Roman" w:hAnsi="Times New Roman" w:cs="Times New Roman"/>
          <w:sz w:val="32"/>
        </w:rPr>
      </w:pPr>
      <w:r>
        <w:rPr>
          <w:rFonts w:ascii="Times New Roman" w:hAnsi="Times New Roman" w:cs="Times New Roman"/>
          <w:sz w:val="32"/>
        </w:rPr>
        <w:t>火场前线指挥部要尽快了解掌握火场情况，全面准确地对火场各要素进行分析，迅速形成扑火救灾方案，果断向各扑火队伍下达命令。在扑火战略上采取“围、阻、打、清”相结合，依靠阻隔灭火、以水灭火、机械灭火等手段尽快控制火场蔓延，做到快速出击、科学扑火、集中优势兵力打歼灭战。在扑火战术上，采用整体围控、各个歼灭，重兵扑救、彻底清理，阻隔为主、正面扑救为辅相结合等多种方式和手段进行扑救，减少森林草原资源损失。全面围控火场后，集中力量突击扑灭明火，分段彻底清理和看守火场。</w:t>
      </w:r>
    </w:p>
    <w:p w14:paraId="5AB1B51A">
      <w:pPr>
        <w:ind w:firstLine="632"/>
        <w:rPr>
          <w:rFonts w:ascii="Times New Roman" w:hAnsi="Times New Roman" w:cs="Times New Roman"/>
          <w:sz w:val="32"/>
        </w:rPr>
      </w:pPr>
      <w:r>
        <w:rPr>
          <w:rFonts w:ascii="Times New Roman" w:hAnsi="Times New Roman" w:cs="Times New Roman"/>
          <w:sz w:val="32"/>
        </w:rPr>
        <w:t>（3）合理用兵原则</w:t>
      </w:r>
    </w:p>
    <w:p w14:paraId="193123B8">
      <w:pPr>
        <w:ind w:firstLine="632"/>
        <w:rPr>
          <w:rFonts w:ascii="Times New Roman" w:hAnsi="Times New Roman" w:cs="Times New Roman"/>
          <w:sz w:val="32"/>
        </w:rPr>
      </w:pPr>
      <w:r>
        <w:rPr>
          <w:rFonts w:ascii="Times New Roman" w:hAnsi="Times New Roman" w:cs="Times New Roman"/>
          <w:sz w:val="32"/>
        </w:rPr>
        <w:t>在扑火力量使用上，坚持以专业力量为主，其他经过训练或有组织的非专业力量为辅。</w:t>
      </w:r>
    </w:p>
    <w:p w14:paraId="17A923DD">
      <w:pPr>
        <w:ind w:firstLine="632"/>
        <w:rPr>
          <w:rFonts w:ascii="Times New Roman" w:hAnsi="Times New Roman" w:cs="Times New Roman"/>
          <w:sz w:val="32"/>
        </w:rPr>
      </w:pPr>
      <w:r>
        <w:rPr>
          <w:rFonts w:ascii="Times New Roman" w:hAnsi="Times New Roman" w:cs="Times New Roman"/>
          <w:sz w:val="32"/>
        </w:rPr>
        <w:t>（4）落实责任原则</w:t>
      </w:r>
    </w:p>
    <w:p w14:paraId="0FD97878">
      <w:pPr>
        <w:ind w:firstLine="632"/>
        <w:rPr>
          <w:rFonts w:ascii="Times New Roman" w:hAnsi="Times New Roman" w:cs="Times New Roman"/>
          <w:sz w:val="32"/>
        </w:rPr>
      </w:pPr>
      <w:r>
        <w:rPr>
          <w:rFonts w:ascii="Times New Roman" w:hAnsi="Times New Roman" w:cs="Times New Roman"/>
          <w:sz w:val="32"/>
        </w:rPr>
        <w:t>火灾扑救现场坚持分段包干，明确责任和任务，落实扑救、清理、看守措施。</w:t>
      </w:r>
    </w:p>
    <w:p w14:paraId="531E1CA1">
      <w:pPr>
        <w:pStyle w:val="4"/>
        <w:numPr>
          <w:ilvl w:val="2"/>
          <w:numId w:val="108"/>
        </w:numPr>
        <w:tabs>
          <w:tab w:val="left" w:pos="0"/>
        </w:tabs>
        <w:ind w:firstLine="0" w:firstLineChars="0"/>
        <w:rPr>
          <w:rFonts w:ascii="Times New Roman" w:hAnsi="Times New Roman" w:cs="Times New Roman"/>
          <w:sz w:val="32"/>
        </w:rPr>
      </w:pPr>
      <w:r>
        <w:rPr>
          <w:rFonts w:ascii="Times New Roman" w:hAnsi="Times New Roman" w:cs="Times New Roman"/>
          <w:sz w:val="32"/>
        </w:rPr>
        <w:t>扑火指挥</w:t>
      </w:r>
    </w:p>
    <w:p w14:paraId="4EA77F12">
      <w:pPr>
        <w:ind w:firstLine="632"/>
        <w:rPr>
          <w:rFonts w:ascii="Times New Roman" w:hAnsi="Times New Roman" w:cs="Times New Roman"/>
          <w:sz w:val="32"/>
        </w:rPr>
      </w:pPr>
      <w:r>
        <w:rPr>
          <w:rFonts w:ascii="Times New Roman" w:hAnsi="Times New Roman" w:cs="Times New Roman"/>
          <w:sz w:val="32"/>
        </w:rPr>
        <w:t>（1）扑救森林火灾由县森防指统一组织和指挥，参加扑火的所有单位和个人必须服从前线指挥部的统一指挥。</w:t>
      </w:r>
    </w:p>
    <w:p w14:paraId="7878904E">
      <w:pPr>
        <w:ind w:firstLine="632"/>
        <w:rPr>
          <w:rFonts w:ascii="Times New Roman" w:hAnsi="Times New Roman" w:cs="Times New Roman"/>
          <w:sz w:val="32"/>
        </w:rPr>
      </w:pPr>
      <w:r>
        <w:rPr>
          <w:rFonts w:ascii="Times New Roman" w:hAnsi="Times New Roman" w:cs="Times New Roman"/>
          <w:sz w:val="32"/>
        </w:rPr>
        <w:t>（2）县森防指设立扑火前线指挥部后，扑火力量和后勤保障物资的调动和调拨，必须由扑火前指给有关应急支持保障部门正式下达命令，县森防指办公室协调调度。</w:t>
      </w:r>
    </w:p>
    <w:p w14:paraId="3BBAB9A0">
      <w:pPr>
        <w:ind w:firstLine="632"/>
        <w:rPr>
          <w:rFonts w:ascii="Times New Roman" w:hAnsi="Times New Roman" w:cs="Times New Roman"/>
          <w:sz w:val="32"/>
        </w:rPr>
      </w:pPr>
      <w:r>
        <w:rPr>
          <w:rFonts w:ascii="Times New Roman" w:hAnsi="Times New Roman" w:cs="Times New Roman"/>
          <w:sz w:val="32"/>
        </w:rPr>
        <w:t>（3）参加扑火的国家应急森林消防队伍和应急消防救援队伍，按照统一领导、分级指挥的原则，接受扑火前指的统一指挥。参战队伍要有一名领导参加扑火前线指挥部，具体负责本系统队伍的组织指挥工作。</w:t>
      </w:r>
    </w:p>
    <w:p w14:paraId="7DFF73D2">
      <w:pPr>
        <w:ind w:firstLine="632"/>
        <w:rPr>
          <w:rFonts w:ascii="Times New Roman" w:hAnsi="Times New Roman" w:cs="Times New Roman"/>
          <w:sz w:val="32"/>
        </w:rPr>
      </w:pPr>
      <w:r>
        <w:rPr>
          <w:rFonts w:ascii="Times New Roman" w:hAnsi="Times New Roman" w:cs="Times New Roman"/>
          <w:sz w:val="32"/>
        </w:rPr>
        <w:t>（4）扑救森林草原火灾时，首先出动事发地各国有林场半专业扑火队伍、乡镇应急队伍进行初期处置，然后调动其他乡镇的扑火队伍和县消防救援队伍等机动增援力量。必要时再动员机关干部、群众和民兵、预备役部队等力量，协助清理火场、看守火场和后勤保障工作。</w:t>
      </w:r>
    </w:p>
    <w:p w14:paraId="528C5597">
      <w:pPr>
        <w:ind w:firstLine="632"/>
        <w:rPr>
          <w:rFonts w:ascii="Times New Roman" w:hAnsi="Times New Roman" w:cs="Times New Roman"/>
          <w:sz w:val="32"/>
        </w:rPr>
      </w:pPr>
      <w:r>
        <w:rPr>
          <w:rFonts w:ascii="Times New Roman" w:hAnsi="Times New Roman" w:cs="Times New Roman"/>
          <w:sz w:val="32"/>
        </w:rPr>
        <w:t>（5）为保障扑火组织工作的调度和协调顺畅，必要时，县林业和草原局指派联络员到县森防指办公室24小时值班，协助协调联络工作。</w:t>
      </w:r>
    </w:p>
    <w:p w14:paraId="7E1C4085">
      <w:pPr>
        <w:pStyle w:val="4"/>
        <w:numPr>
          <w:ilvl w:val="2"/>
          <w:numId w:val="108"/>
        </w:numPr>
        <w:tabs>
          <w:tab w:val="left" w:pos="0"/>
        </w:tabs>
        <w:ind w:firstLine="0" w:firstLineChars="0"/>
        <w:rPr>
          <w:rFonts w:ascii="Times New Roman" w:hAnsi="Times New Roman" w:cs="Times New Roman"/>
          <w:sz w:val="32"/>
        </w:rPr>
      </w:pPr>
      <w:r>
        <w:rPr>
          <w:rFonts w:ascii="Times New Roman" w:hAnsi="Times New Roman" w:cs="Times New Roman"/>
          <w:sz w:val="32"/>
        </w:rPr>
        <w:t>扑救高危火险区战术原则</w:t>
      </w:r>
    </w:p>
    <w:p w14:paraId="0C5F4AE8">
      <w:pPr>
        <w:ind w:firstLine="632"/>
        <w:rPr>
          <w:rFonts w:ascii="Times New Roman" w:hAnsi="Times New Roman" w:cs="Times New Roman"/>
          <w:sz w:val="32"/>
        </w:rPr>
      </w:pPr>
      <w:r>
        <w:rPr>
          <w:rFonts w:ascii="Times New Roman" w:hAnsi="Times New Roman" w:cs="Times New Roman"/>
          <w:sz w:val="32"/>
        </w:rPr>
        <w:t>针对高危火险区，集贤县及属地要制定有针对性的扑火方案，在扑火方案示意图上标注交通系统、阻隔系统、灭火资源等基础信息，标注直接灭火战术部署方案，标注间接围控火场战略方案，供应急处置火情和扑火指挥时随时调阅使用。</w:t>
      </w:r>
    </w:p>
    <w:p w14:paraId="436B0201">
      <w:pPr>
        <w:ind w:firstLine="632"/>
        <w:rPr>
          <w:rFonts w:ascii="Times New Roman" w:hAnsi="Times New Roman" w:cs="Times New Roman"/>
          <w:sz w:val="32"/>
        </w:rPr>
      </w:pPr>
      <w:r>
        <w:rPr>
          <w:rFonts w:ascii="Times New Roman" w:hAnsi="Times New Roman" w:cs="Times New Roman"/>
          <w:sz w:val="32"/>
        </w:rPr>
        <w:t>在扑救高危火险区指挥过程中，通过全面掌握火场外围火线位置和周围地形、地貌和社会环境，充分</w:t>
      </w:r>
      <w:r>
        <w:rPr>
          <w:rFonts w:ascii="Times New Roman" w:hAnsi="Times New Roman" w:cs="Times New Roman"/>
          <w:sz w:val="32"/>
        </w:rPr>
        <w:tab/>
      </w:r>
      <w:r>
        <w:rPr>
          <w:rFonts w:ascii="Times New Roman" w:hAnsi="Times New Roman" w:cs="Times New Roman"/>
          <w:sz w:val="32"/>
        </w:rPr>
        <w:t>依托河流、湖泊、水库、道路等自然阻隔带，首先制定全面围控火场的战略方案。其次，根据森林类型、天气情况和火行为特点，分析火场发展态势规律，部署直接灭火围打的防线，选择时机扑灭明火。</w:t>
      </w:r>
    </w:p>
    <w:p w14:paraId="2A123D9E">
      <w:pPr>
        <w:ind w:firstLine="632"/>
        <w:rPr>
          <w:rFonts w:ascii="Times New Roman" w:hAnsi="Times New Roman" w:cs="Times New Roman"/>
          <w:sz w:val="32"/>
        </w:rPr>
      </w:pPr>
      <w:r>
        <w:rPr>
          <w:rFonts w:ascii="Times New Roman" w:hAnsi="Times New Roman" w:cs="Times New Roman"/>
          <w:sz w:val="32"/>
        </w:rPr>
        <w:t>如果已经形成大范围树冠火或者火场有大范围失控的危险时，应选择有依托条件的位置果断采取“以火攻火”的手段，组织专业队伍及时点烧阻隔带。</w:t>
      </w:r>
    </w:p>
    <w:p w14:paraId="0ABA1948">
      <w:pPr>
        <w:pStyle w:val="4"/>
        <w:numPr>
          <w:ilvl w:val="2"/>
          <w:numId w:val="108"/>
        </w:numPr>
        <w:tabs>
          <w:tab w:val="left" w:pos="0"/>
        </w:tabs>
        <w:ind w:firstLine="0" w:firstLineChars="0"/>
        <w:rPr>
          <w:rFonts w:ascii="Times New Roman" w:hAnsi="Times New Roman" w:cs="Times New Roman"/>
          <w:sz w:val="32"/>
        </w:rPr>
      </w:pPr>
      <w:r>
        <w:rPr>
          <w:rFonts w:ascii="Times New Roman" w:hAnsi="Times New Roman" w:cs="Times New Roman"/>
          <w:sz w:val="32"/>
        </w:rPr>
        <w:t>扑救高保护价值森林与重要设施目标战术原则</w:t>
      </w:r>
    </w:p>
    <w:p w14:paraId="04967C73">
      <w:pPr>
        <w:ind w:firstLine="632"/>
        <w:rPr>
          <w:rFonts w:ascii="Times New Roman" w:hAnsi="Times New Roman" w:cs="Times New Roman"/>
          <w:sz w:val="32"/>
        </w:rPr>
      </w:pPr>
      <w:r>
        <w:rPr>
          <w:rFonts w:ascii="Times New Roman" w:hAnsi="Times New Roman" w:cs="Times New Roman"/>
          <w:sz w:val="32"/>
        </w:rPr>
        <w:t>高保护价值森林与重要设施目标受到森林草原火灾威胁时，主要采取开设阻隔带、清除障碍物、应急取水、局部交通管制等应急措施实施保护。</w:t>
      </w:r>
    </w:p>
    <w:p w14:paraId="76A4710E">
      <w:pPr>
        <w:ind w:firstLine="632"/>
        <w:rPr>
          <w:rFonts w:ascii="Times New Roman" w:hAnsi="Times New Roman" w:cs="Times New Roman"/>
          <w:sz w:val="32"/>
        </w:rPr>
      </w:pPr>
      <w:r>
        <w:rPr>
          <w:rFonts w:ascii="Times New Roman" w:hAnsi="Times New Roman" w:cs="Times New Roman"/>
          <w:sz w:val="32"/>
        </w:rPr>
        <w:t>油库、液化气站、加油站、供电线路、重要仓库、射击场、炸药库、变电所等重要设施目标周围应急开设的阻隔带必须达到200米宽，必要时应果断采取“以火攻火”的手段提前阻隔火势蔓延。</w:t>
      </w:r>
    </w:p>
    <w:p w14:paraId="29D54D28">
      <w:pPr>
        <w:pStyle w:val="3"/>
        <w:ind w:firstLine="0" w:firstLineChars="0"/>
        <w:rPr>
          <w:rFonts w:ascii="Times New Roman" w:hAnsi="Times New Roman" w:cs="Times New Roman"/>
          <w:sz w:val="32"/>
        </w:rPr>
      </w:pPr>
      <w:bookmarkStart w:id="519" w:name="_Toc9267"/>
      <w:r>
        <w:rPr>
          <w:rFonts w:ascii="Times New Roman" w:hAnsi="Times New Roman" w:cs="Times New Roman"/>
          <w:sz w:val="32"/>
        </w:rPr>
        <w:t>社会动员</w:t>
      </w:r>
      <w:bookmarkEnd w:id="519"/>
    </w:p>
    <w:p w14:paraId="1D14653D">
      <w:pPr>
        <w:ind w:firstLine="632"/>
        <w:rPr>
          <w:rFonts w:ascii="Times New Roman" w:hAnsi="Times New Roman" w:cs="Times New Roman"/>
          <w:sz w:val="32"/>
        </w:rPr>
      </w:pPr>
      <w:r>
        <w:rPr>
          <w:rFonts w:ascii="Times New Roman" w:hAnsi="Times New Roman" w:cs="Times New Roman"/>
          <w:sz w:val="32"/>
        </w:rPr>
        <w:t>县森林草原火灾发生后，各乡镇人民政府及有关部门要根据处置工作需要，通过广播、电视、报纸、网站、微博、户外显示屏、短信、微信等向社会发布应对提示，动员社会力量协助做好应对工作。</w:t>
      </w:r>
    </w:p>
    <w:p w14:paraId="13443361">
      <w:pPr>
        <w:pStyle w:val="3"/>
        <w:ind w:firstLine="0" w:firstLineChars="0"/>
        <w:rPr>
          <w:rFonts w:ascii="Times New Roman" w:hAnsi="Times New Roman" w:cs="Times New Roman"/>
          <w:sz w:val="32"/>
        </w:rPr>
      </w:pPr>
      <w:bookmarkStart w:id="520" w:name="_Toc31422"/>
      <w:r>
        <w:rPr>
          <w:rFonts w:ascii="Times New Roman" w:hAnsi="Times New Roman" w:cs="Times New Roman"/>
          <w:sz w:val="32"/>
        </w:rPr>
        <w:t>区域合作</w:t>
      </w:r>
      <w:bookmarkEnd w:id="520"/>
    </w:p>
    <w:p w14:paraId="70D2D6DB">
      <w:pPr>
        <w:ind w:firstLine="632"/>
        <w:rPr>
          <w:rFonts w:ascii="Times New Roman" w:hAnsi="Times New Roman" w:cs="Times New Roman"/>
          <w:sz w:val="32"/>
        </w:rPr>
      </w:pPr>
      <w:r>
        <w:rPr>
          <w:rFonts w:ascii="Times New Roman" w:hAnsi="Times New Roman" w:cs="Times New Roman"/>
          <w:sz w:val="32"/>
        </w:rPr>
        <w:t>加强与毗邻县政府的交流合作，建立区域间的联动机制，为应对区域性森林草原火灾提供信息共享与应急联动处置保障。各乡镇人民政府及其有关部门单位要加强区域合作，建立健全跨行政区域、政企之间的联动机制。</w:t>
      </w:r>
    </w:p>
    <w:p w14:paraId="3086A0B6">
      <w:pPr>
        <w:ind w:firstLine="632"/>
        <w:rPr>
          <w:rFonts w:ascii="Times New Roman" w:hAnsi="Times New Roman" w:cs="Times New Roman"/>
          <w:sz w:val="32"/>
        </w:rPr>
      </w:pPr>
      <w:r>
        <w:rPr>
          <w:rFonts w:ascii="Times New Roman" w:hAnsi="Times New Roman" w:cs="Times New Roman"/>
          <w:sz w:val="32"/>
        </w:rPr>
        <w:t>跨县（地）调动地方专业、半专业队伍增援扑火时，由双鸭山市森林草原防灭火指挥部统筹协调，由调出县（地）森林草原防灭火指挥机构组织实施，调入县（地）负责对接及相关保障。</w:t>
      </w:r>
    </w:p>
    <w:p w14:paraId="024E3010">
      <w:pPr>
        <w:ind w:firstLine="632"/>
        <w:rPr>
          <w:rFonts w:ascii="Times New Roman" w:hAnsi="Times New Roman" w:cs="Times New Roman"/>
          <w:sz w:val="32"/>
        </w:rPr>
      </w:pPr>
      <w:r>
        <w:rPr>
          <w:rFonts w:ascii="Times New Roman" w:hAnsi="Times New Roman" w:cs="Times New Roman"/>
          <w:sz w:val="32"/>
        </w:rPr>
        <w:t>跨县（地）调动国家综合性消防救援队伍增援扑火时，由火灾发生地向市政府或者应急管理部门提出申请，按有关规定和权限逐级报批。</w:t>
      </w:r>
    </w:p>
    <w:p w14:paraId="5ED00CAC">
      <w:pPr>
        <w:ind w:firstLine="632"/>
        <w:rPr>
          <w:rFonts w:ascii="Times New Roman" w:hAnsi="Times New Roman" w:cs="Times New Roman"/>
          <w:sz w:val="32"/>
        </w:rPr>
      </w:pPr>
      <w:r>
        <w:rPr>
          <w:rFonts w:ascii="Times New Roman" w:hAnsi="Times New Roman" w:cs="Times New Roman"/>
          <w:sz w:val="32"/>
        </w:rPr>
        <w:t>需要驻地武警部队参与灭火时，由县森防报请双鸭山市政府提请双鸭山市武警支队提出用兵需求。</w:t>
      </w:r>
    </w:p>
    <w:p w14:paraId="617339F9">
      <w:pPr>
        <w:pStyle w:val="3"/>
        <w:ind w:firstLine="0" w:firstLineChars="0"/>
        <w:rPr>
          <w:rFonts w:ascii="Times New Roman" w:hAnsi="Times New Roman" w:cs="Times New Roman"/>
          <w:sz w:val="32"/>
        </w:rPr>
      </w:pPr>
      <w:bookmarkStart w:id="521" w:name="_Toc14597"/>
      <w:r>
        <w:rPr>
          <w:rFonts w:ascii="Times New Roman" w:hAnsi="Times New Roman" w:cs="Times New Roman"/>
          <w:sz w:val="32"/>
        </w:rPr>
        <w:t>信息发布与舆论引导</w:t>
      </w:r>
      <w:bookmarkEnd w:id="521"/>
    </w:p>
    <w:p w14:paraId="55681C90">
      <w:pPr>
        <w:pStyle w:val="4"/>
        <w:numPr>
          <w:ilvl w:val="2"/>
          <w:numId w:val="108"/>
        </w:numPr>
        <w:tabs>
          <w:tab w:val="left" w:pos="0"/>
        </w:tabs>
        <w:ind w:firstLine="0" w:firstLineChars="0"/>
        <w:rPr>
          <w:rFonts w:ascii="Times New Roman" w:hAnsi="Times New Roman" w:cs="Times New Roman"/>
          <w:sz w:val="32"/>
        </w:rPr>
      </w:pPr>
      <w:r>
        <w:rPr>
          <w:rFonts w:ascii="Times New Roman" w:hAnsi="Times New Roman" w:cs="Times New Roman"/>
          <w:sz w:val="32"/>
        </w:rPr>
        <w:t>信息发布</w:t>
      </w:r>
    </w:p>
    <w:p w14:paraId="6157C98F">
      <w:pPr>
        <w:ind w:firstLine="632"/>
        <w:rPr>
          <w:rFonts w:ascii="Times New Roman" w:hAnsi="Times New Roman" w:cs="Times New Roman"/>
          <w:sz w:val="32"/>
        </w:rPr>
      </w:pPr>
      <w:r>
        <w:rPr>
          <w:rFonts w:ascii="Times New Roman" w:hAnsi="Times New Roman" w:cs="Times New Roman"/>
          <w:sz w:val="32"/>
        </w:rPr>
        <w:t>扑救森林草原火灾的新闻报道工作，由县森防指在县委宣传部的指导下统一负责。按照新闻发布相关规定，通过发新闻稿等多种方式、途径，及时、准确、客观、全面向社会发布森林草原火灾灾情和应对工作信息，回应社会关切。发布内容包括起火时间、火灾地点、过火面积、损失情况、扑救过程和火案查处等。</w:t>
      </w:r>
    </w:p>
    <w:p w14:paraId="15329244">
      <w:pPr>
        <w:pStyle w:val="4"/>
        <w:numPr>
          <w:ilvl w:val="2"/>
          <w:numId w:val="108"/>
        </w:numPr>
        <w:tabs>
          <w:tab w:val="left" w:pos="0"/>
        </w:tabs>
        <w:ind w:firstLine="0" w:firstLineChars="0"/>
        <w:rPr>
          <w:rFonts w:ascii="Times New Roman" w:hAnsi="Times New Roman" w:cs="Times New Roman"/>
          <w:sz w:val="32"/>
        </w:rPr>
      </w:pPr>
      <w:r>
        <w:rPr>
          <w:rFonts w:ascii="Times New Roman" w:hAnsi="Times New Roman" w:cs="Times New Roman"/>
          <w:sz w:val="32"/>
        </w:rPr>
        <w:t>舆论引导</w:t>
      </w:r>
    </w:p>
    <w:p w14:paraId="21569672">
      <w:pPr>
        <w:ind w:firstLine="632"/>
        <w:rPr>
          <w:rFonts w:ascii="Times New Roman" w:hAnsi="Times New Roman" w:cs="Times New Roman"/>
          <w:sz w:val="32"/>
        </w:rPr>
      </w:pPr>
      <w:r>
        <w:rPr>
          <w:rFonts w:ascii="Times New Roman" w:hAnsi="Times New Roman" w:cs="Times New Roman"/>
          <w:sz w:val="32"/>
        </w:rPr>
        <w:t>由县委宣传部牵头，会同网信、公安等部门加强舆论引导和自媒体管理，防止传播谣言和不实信息，及时辟谣澄清。</w:t>
      </w:r>
    </w:p>
    <w:p w14:paraId="2DEBAEFE">
      <w:pPr>
        <w:pStyle w:val="3"/>
        <w:ind w:firstLine="0" w:firstLineChars="0"/>
        <w:rPr>
          <w:rFonts w:ascii="Times New Roman" w:hAnsi="Times New Roman" w:cs="Times New Roman"/>
          <w:sz w:val="32"/>
        </w:rPr>
      </w:pPr>
      <w:bookmarkStart w:id="522" w:name="_Toc8616"/>
      <w:r>
        <w:rPr>
          <w:rFonts w:ascii="Times New Roman" w:hAnsi="Times New Roman" w:cs="Times New Roman"/>
          <w:sz w:val="32"/>
        </w:rPr>
        <w:t>应急结束</w:t>
      </w:r>
      <w:bookmarkEnd w:id="522"/>
    </w:p>
    <w:p w14:paraId="3103FE8B">
      <w:pPr>
        <w:ind w:firstLine="632"/>
        <w:rPr>
          <w:rFonts w:ascii="Times New Roman" w:hAnsi="Times New Roman" w:cs="Times New Roman"/>
          <w:sz w:val="32"/>
        </w:rPr>
      </w:pPr>
      <w:r>
        <w:rPr>
          <w:rFonts w:ascii="Times New Roman" w:hAnsi="Times New Roman" w:cs="Times New Roman"/>
          <w:sz w:val="32"/>
        </w:rPr>
        <w:t>在森林草原火灾全部扑灭、火场清理验收合格、次生灾害后果基本消除后，由启动应急响应的机构决定终止应急响应。</w:t>
      </w:r>
    </w:p>
    <w:p w14:paraId="323C36FC">
      <w:pPr>
        <w:pStyle w:val="2"/>
        <w:numPr>
          <w:ilvl w:val="0"/>
          <w:numId w:val="108"/>
        </w:numPr>
        <w:tabs>
          <w:tab w:val="left" w:pos="0"/>
        </w:tabs>
        <w:ind w:firstLine="0" w:firstLineChars="0"/>
        <w:rPr>
          <w:rFonts w:ascii="Times New Roman" w:hAnsi="Times New Roman" w:cs="Times New Roman"/>
          <w:sz w:val="32"/>
        </w:rPr>
      </w:pPr>
      <w:bookmarkStart w:id="523" w:name="_Toc459"/>
      <w:r>
        <w:rPr>
          <w:rFonts w:ascii="Times New Roman" w:hAnsi="Times New Roman" w:cs="Times New Roman"/>
          <w:sz w:val="32"/>
        </w:rPr>
        <w:t>综合保障</w:t>
      </w:r>
      <w:bookmarkEnd w:id="523"/>
    </w:p>
    <w:p w14:paraId="464F4992">
      <w:pPr>
        <w:pStyle w:val="3"/>
        <w:ind w:firstLine="0" w:firstLineChars="0"/>
        <w:rPr>
          <w:rFonts w:ascii="Times New Roman" w:hAnsi="Times New Roman" w:cs="Times New Roman"/>
          <w:sz w:val="32"/>
        </w:rPr>
      </w:pPr>
      <w:bookmarkStart w:id="524" w:name="_Toc17900"/>
      <w:r>
        <w:rPr>
          <w:rFonts w:ascii="Times New Roman" w:hAnsi="Times New Roman" w:cs="Times New Roman"/>
          <w:sz w:val="32"/>
        </w:rPr>
        <w:t>输送保障</w:t>
      </w:r>
      <w:bookmarkEnd w:id="524"/>
    </w:p>
    <w:p w14:paraId="3BFE8842">
      <w:pPr>
        <w:ind w:firstLine="632"/>
        <w:rPr>
          <w:rFonts w:ascii="Times New Roman" w:hAnsi="Times New Roman" w:cs="Times New Roman"/>
          <w:sz w:val="32"/>
        </w:rPr>
      </w:pPr>
      <w:r>
        <w:rPr>
          <w:rFonts w:ascii="Times New Roman" w:hAnsi="Times New Roman" w:cs="Times New Roman"/>
          <w:sz w:val="32"/>
        </w:rPr>
        <w:t>增援扑火力量及携行装备物资以公路、铁路运输方式为主。跨乡镇输送扑火力量由增援队伍所在地乡镇森林草原防灭火指挥机构自行组织实施，跨县调动扑火力量由县森防指负责协调输送。</w:t>
      </w:r>
    </w:p>
    <w:p w14:paraId="15D79C67">
      <w:pPr>
        <w:pStyle w:val="3"/>
        <w:ind w:firstLine="0" w:firstLineChars="0"/>
        <w:rPr>
          <w:rFonts w:ascii="Times New Roman" w:hAnsi="Times New Roman" w:cs="Times New Roman"/>
          <w:sz w:val="32"/>
        </w:rPr>
      </w:pPr>
      <w:bookmarkStart w:id="525" w:name="_Toc29661"/>
      <w:r>
        <w:rPr>
          <w:rFonts w:ascii="Times New Roman" w:hAnsi="Times New Roman" w:cs="Times New Roman"/>
          <w:sz w:val="32"/>
        </w:rPr>
        <w:t>通信与信息保障</w:t>
      </w:r>
      <w:bookmarkEnd w:id="525"/>
    </w:p>
    <w:p w14:paraId="7940DDF8">
      <w:pPr>
        <w:ind w:firstLine="632"/>
        <w:rPr>
          <w:rFonts w:ascii="Times New Roman" w:hAnsi="Times New Roman" w:cs="Times New Roman"/>
          <w:sz w:val="32"/>
        </w:rPr>
      </w:pPr>
      <w:r>
        <w:rPr>
          <w:rFonts w:ascii="Times New Roman" w:hAnsi="Times New Roman" w:cs="Times New Roman"/>
          <w:sz w:val="32"/>
        </w:rPr>
        <w:t>跨区支援扑火队伍要充分利用当地的森林草原防火通信网络和火场应急通信保障体系，向县前指报到时领取通信呼号和火场通信联络文件，设置对讲机扑火频率和信道，及时加入当地扑火前线指挥部的通信指挥系统。</w:t>
      </w:r>
    </w:p>
    <w:p w14:paraId="15DA92E6">
      <w:pPr>
        <w:ind w:firstLine="632"/>
        <w:rPr>
          <w:rFonts w:ascii="Times New Roman" w:hAnsi="Times New Roman" w:cs="Times New Roman"/>
          <w:sz w:val="32"/>
        </w:rPr>
      </w:pPr>
      <w:r>
        <w:rPr>
          <w:rFonts w:ascii="Times New Roman" w:hAnsi="Times New Roman" w:cs="Times New Roman"/>
          <w:sz w:val="32"/>
        </w:rPr>
        <w:t>扑火指挥需要公共移动通信网络保障时，由县工业信息科技局负责协调组织通信企业应急通信保障。</w:t>
      </w:r>
    </w:p>
    <w:p w14:paraId="2E75EE72">
      <w:pPr>
        <w:pStyle w:val="3"/>
        <w:ind w:firstLine="0" w:firstLineChars="0"/>
        <w:rPr>
          <w:rFonts w:ascii="Times New Roman" w:hAnsi="Times New Roman" w:cs="Times New Roman"/>
          <w:sz w:val="32"/>
        </w:rPr>
      </w:pPr>
      <w:bookmarkStart w:id="526" w:name="_Toc17213"/>
      <w:r>
        <w:rPr>
          <w:rFonts w:ascii="Times New Roman" w:hAnsi="Times New Roman" w:cs="Times New Roman"/>
          <w:sz w:val="32"/>
        </w:rPr>
        <w:t>物资保障</w:t>
      </w:r>
      <w:bookmarkEnd w:id="526"/>
    </w:p>
    <w:p w14:paraId="3F10BCDA">
      <w:pPr>
        <w:ind w:firstLine="632"/>
        <w:rPr>
          <w:rFonts w:ascii="Times New Roman" w:hAnsi="Times New Roman" w:cs="Times New Roman"/>
          <w:sz w:val="32"/>
        </w:rPr>
      </w:pPr>
      <w:r>
        <w:rPr>
          <w:rFonts w:ascii="Times New Roman" w:hAnsi="Times New Roman" w:cs="Times New Roman"/>
          <w:sz w:val="32"/>
        </w:rPr>
        <w:t>县林业和草原局根据森防实际工作需要，向上级部门申请物资装备，保障各国有林场半专业扑火队伍在装备、物资、车辆上的实际需求，并会同县应急局、县发改局、财政局等部门建立集中管理、统一调拨，平时服务、战时应急，采储结合、节约高效的森林草原防灭火应急物资保障体系，根据各乡镇、林场森林草原防灭火工作需要，建立物资储备库，储备所需的扑火机具、装备和物资。</w:t>
      </w:r>
    </w:p>
    <w:p w14:paraId="77404B47">
      <w:pPr>
        <w:pStyle w:val="3"/>
        <w:ind w:firstLine="0" w:firstLineChars="0"/>
        <w:rPr>
          <w:rFonts w:ascii="Times New Roman" w:hAnsi="Times New Roman" w:cs="Times New Roman"/>
          <w:sz w:val="32"/>
        </w:rPr>
      </w:pPr>
      <w:bookmarkStart w:id="527" w:name="_Toc12532"/>
      <w:r>
        <w:rPr>
          <w:rFonts w:ascii="Times New Roman" w:hAnsi="Times New Roman" w:cs="Times New Roman"/>
          <w:sz w:val="32"/>
        </w:rPr>
        <w:t>资金保障</w:t>
      </w:r>
      <w:bookmarkEnd w:id="527"/>
    </w:p>
    <w:p w14:paraId="416F17B8">
      <w:pPr>
        <w:ind w:firstLine="632"/>
        <w:rPr>
          <w:rFonts w:ascii="Times New Roman" w:hAnsi="Times New Roman" w:cs="Times New Roman"/>
          <w:sz w:val="32"/>
        </w:rPr>
      </w:pPr>
      <w:r>
        <w:rPr>
          <w:rFonts w:ascii="Times New Roman" w:hAnsi="Times New Roman" w:cs="Times New Roman"/>
          <w:sz w:val="32"/>
        </w:rPr>
        <w:t>森林火灾应急处置工作所需资金，实行县、乡镇和林业部门负责制，县财政要予以保障。县、乡镇和林场要设立森林火灾应急储备资金，并列入年度财政预算。</w:t>
      </w:r>
    </w:p>
    <w:p w14:paraId="2F17D741">
      <w:pPr>
        <w:pStyle w:val="3"/>
        <w:ind w:firstLine="0" w:firstLineChars="0"/>
        <w:rPr>
          <w:rFonts w:ascii="Times New Roman" w:hAnsi="Times New Roman" w:cs="Times New Roman"/>
          <w:sz w:val="32"/>
        </w:rPr>
      </w:pPr>
      <w:bookmarkStart w:id="528" w:name="_Toc24058"/>
      <w:r>
        <w:rPr>
          <w:rFonts w:ascii="Times New Roman" w:hAnsi="Times New Roman" w:cs="Times New Roman"/>
          <w:sz w:val="32"/>
        </w:rPr>
        <w:t>队伍保障</w:t>
      </w:r>
      <w:bookmarkEnd w:id="528"/>
    </w:p>
    <w:p w14:paraId="65388C64">
      <w:pPr>
        <w:ind w:firstLine="632"/>
        <w:rPr>
          <w:rFonts w:ascii="Times New Roman" w:hAnsi="Times New Roman" w:cs="Times New Roman"/>
          <w:sz w:val="32"/>
        </w:rPr>
      </w:pPr>
      <w:r>
        <w:rPr>
          <w:rFonts w:ascii="Times New Roman" w:hAnsi="Times New Roman" w:cs="Times New Roman"/>
          <w:sz w:val="32"/>
        </w:rPr>
        <w:t>结合森林草原防灭火实际，建立完善各国有林场半专业扑火队伍，乡镇人民政府应急队伍和村级初期火情处置小组，加强与国家综合性消防救援队伍、武警部队的协调联动。坚持以国家综合性消防救援队伍为主，地方半专业扑火队伍为辅的原则开展森林草原火灾扑救工作。</w:t>
      </w:r>
    </w:p>
    <w:p w14:paraId="353AFFF7">
      <w:pPr>
        <w:pStyle w:val="3"/>
        <w:ind w:firstLine="0" w:firstLineChars="0"/>
        <w:rPr>
          <w:rFonts w:ascii="Times New Roman" w:hAnsi="Times New Roman" w:cs="Times New Roman"/>
          <w:sz w:val="32"/>
        </w:rPr>
      </w:pPr>
      <w:bookmarkStart w:id="529" w:name="_Toc5972"/>
      <w:r>
        <w:rPr>
          <w:rFonts w:ascii="Times New Roman" w:hAnsi="Times New Roman" w:cs="Times New Roman"/>
          <w:sz w:val="32"/>
        </w:rPr>
        <w:t>交通保障</w:t>
      </w:r>
      <w:bookmarkEnd w:id="529"/>
    </w:p>
    <w:p w14:paraId="5CFB9494">
      <w:pPr>
        <w:ind w:firstLine="632"/>
        <w:rPr>
          <w:rFonts w:ascii="Times New Roman" w:hAnsi="Times New Roman" w:cs="Times New Roman"/>
          <w:sz w:val="32"/>
        </w:rPr>
      </w:pPr>
      <w:r>
        <w:rPr>
          <w:rFonts w:ascii="Times New Roman" w:hAnsi="Times New Roman" w:cs="Times New Roman"/>
          <w:sz w:val="32"/>
        </w:rPr>
        <w:t>公安、交通运输等部门应为救援人员、车辆及应急物资运输提供交通方便，保证应急需求。</w:t>
      </w:r>
    </w:p>
    <w:p w14:paraId="65D7B812">
      <w:pPr>
        <w:pStyle w:val="3"/>
        <w:ind w:firstLine="0" w:firstLineChars="0"/>
        <w:rPr>
          <w:rFonts w:ascii="Times New Roman" w:hAnsi="Times New Roman" w:cs="Times New Roman"/>
          <w:sz w:val="32"/>
        </w:rPr>
      </w:pPr>
      <w:bookmarkStart w:id="530" w:name="_Toc307"/>
      <w:r>
        <w:rPr>
          <w:rFonts w:ascii="Times New Roman" w:hAnsi="Times New Roman" w:cs="Times New Roman"/>
          <w:sz w:val="32"/>
        </w:rPr>
        <w:t>气象保障</w:t>
      </w:r>
      <w:bookmarkEnd w:id="530"/>
    </w:p>
    <w:p w14:paraId="4D9FB907">
      <w:pPr>
        <w:ind w:firstLine="632"/>
        <w:rPr>
          <w:rFonts w:ascii="Times New Roman" w:hAnsi="Times New Roman" w:cs="Times New Roman"/>
          <w:sz w:val="32"/>
        </w:rPr>
      </w:pPr>
      <w:r>
        <w:rPr>
          <w:rFonts w:ascii="Times New Roman" w:hAnsi="Times New Roman" w:cs="Times New Roman"/>
          <w:sz w:val="32"/>
        </w:rPr>
        <w:t>由气象部门负责对火场气象情况进行实时监测，提供天气预报和天气实况服务，适时开展人工影响天气作业，为火情火灾处置提供气象技术支撑。</w:t>
      </w:r>
    </w:p>
    <w:p w14:paraId="1C27DACB">
      <w:pPr>
        <w:pStyle w:val="2"/>
        <w:numPr>
          <w:ilvl w:val="0"/>
          <w:numId w:val="108"/>
        </w:numPr>
        <w:tabs>
          <w:tab w:val="left" w:pos="0"/>
        </w:tabs>
        <w:ind w:firstLine="0" w:firstLineChars="0"/>
        <w:rPr>
          <w:rFonts w:ascii="Times New Roman" w:hAnsi="Times New Roman" w:cs="Times New Roman"/>
          <w:sz w:val="32"/>
        </w:rPr>
      </w:pPr>
      <w:bookmarkStart w:id="531" w:name="_Toc15425"/>
      <w:r>
        <w:rPr>
          <w:rFonts w:ascii="Times New Roman" w:hAnsi="Times New Roman" w:cs="Times New Roman"/>
          <w:sz w:val="32"/>
        </w:rPr>
        <w:t>后期处置</w:t>
      </w:r>
      <w:bookmarkEnd w:id="531"/>
    </w:p>
    <w:p w14:paraId="0105B529">
      <w:pPr>
        <w:pStyle w:val="3"/>
        <w:ind w:firstLine="0" w:firstLineChars="0"/>
        <w:rPr>
          <w:rFonts w:ascii="Times New Roman" w:hAnsi="Times New Roman" w:cs="Times New Roman"/>
          <w:sz w:val="32"/>
        </w:rPr>
      </w:pPr>
      <w:bookmarkStart w:id="532" w:name="_Toc12738"/>
      <w:r>
        <w:rPr>
          <w:rFonts w:ascii="Times New Roman" w:hAnsi="Times New Roman" w:cs="Times New Roman"/>
          <w:sz w:val="32"/>
        </w:rPr>
        <w:t>火灾评估</w:t>
      </w:r>
      <w:bookmarkEnd w:id="532"/>
    </w:p>
    <w:p w14:paraId="7560F433">
      <w:pPr>
        <w:ind w:firstLine="632"/>
        <w:rPr>
          <w:rFonts w:ascii="Times New Roman" w:hAnsi="Times New Roman" w:cs="Times New Roman"/>
          <w:sz w:val="32"/>
        </w:rPr>
      </w:pPr>
      <w:r>
        <w:rPr>
          <w:rFonts w:ascii="Times New Roman" w:hAnsi="Times New Roman" w:cs="Times New Roman"/>
          <w:sz w:val="32"/>
        </w:rPr>
        <w:t>集贤县人民政府组织由县森防指牵头，县应急管理局、县公安局、县林业和草原局等部门参加的调查评估组，对森林草原火灾发生原因、肇事者及受害森林面积和蓄积、人员伤亡、经济损失等情况进行调查和评估。</w:t>
      </w:r>
    </w:p>
    <w:p w14:paraId="2FF4898D">
      <w:pPr>
        <w:pStyle w:val="3"/>
        <w:ind w:firstLine="0" w:firstLineChars="0"/>
        <w:rPr>
          <w:rFonts w:ascii="Times New Roman" w:hAnsi="Times New Roman" w:cs="Times New Roman"/>
          <w:sz w:val="32"/>
        </w:rPr>
      </w:pPr>
      <w:bookmarkStart w:id="533" w:name="_Toc27438"/>
      <w:r>
        <w:rPr>
          <w:rFonts w:ascii="Times New Roman" w:hAnsi="Times New Roman" w:cs="Times New Roman"/>
          <w:sz w:val="32"/>
        </w:rPr>
        <w:t>灾民安置</w:t>
      </w:r>
      <w:bookmarkEnd w:id="533"/>
    </w:p>
    <w:p w14:paraId="76F95BFE">
      <w:pPr>
        <w:ind w:firstLine="632"/>
        <w:rPr>
          <w:rFonts w:ascii="Times New Roman" w:hAnsi="Times New Roman" w:cs="Times New Roman"/>
          <w:sz w:val="32"/>
        </w:rPr>
      </w:pPr>
      <w:r>
        <w:rPr>
          <w:rFonts w:ascii="Times New Roman" w:hAnsi="Times New Roman" w:cs="Times New Roman"/>
          <w:sz w:val="32"/>
        </w:rPr>
        <w:t>县、乡镇两级人民政府应当设立灾民安置场所和救灾物资供应站，做好灾民安置和救灾款物接收、发放工作，确保灾民基本生活。受火灾影响地区乡镇人民政府应当根据实际情况，制定人员救助、抚慰、抚恤、安置等善后工作计划并组织实施，妥善解决因处置森林火灾引起的矛盾和纠纷。</w:t>
      </w:r>
    </w:p>
    <w:p w14:paraId="4F2BBEC1">
      <w:pPr>
        <w:pStyle w:val="3"/>
        <w:ind w:firstLine="0" w:firstLineChars="0"/>
        <w:rPr>
          <w:rFonts w:ascii="Times New Roman" w:hAnsi="Times New Roman" w:cs="Times New Roman"/>
          <w:sz w:val="32"/>
        </w:rPr>
      </w:pPr>
      <w:bookmarkStart w:id="534" w:name="_Toc1867"/>
      <w:r>
        <w:rPr>
          <w:rFonts w:ascii="Times New Roman" w:hAnsi="Times New Roman" w:cs="Times New Roman"/>
          <w:sz w:val="32"/>
        </w:rPr>
        <w:t>火因火案查处</w:t>
      </w:r>
      <w:bookmarkEnd w:id="534"/>
    </w:p>
    <w:p w14:paraId="154DD6C3">
      <w:pPr>
        <w:ind w:firstLine="632"/>
        <w:rPr>
          <w:rFonts w:ascii="Times New Roman" w:hAnsi="Times New Roman" w:cs="Times New Roman"/>
          <w:sz w:val="32"/>
        </w:rPr>
      </w:pPr>
      <w:r>
        <w:rPr>
          <w:rFonts w:ascii="Times New Roman" w:hAnsi="Times New Roman" w:cs="Times New Roman"/>
          <w:sz w:val="32"/>
        </w:rPr>
        <w:t>县政府组织有关部门对森林草原火灾发生原因及时取证、深入调查，依法查处涉火案件，打击涉火违法犯罪行为，严惩火灾肇事者，对善后处置、恢复重建等方面提出处理意见。</w:t>
      </w:r>
    </w:p>
    <w:p w14:paraId="2D74263E">
      <w:pPr>
        <w:pStyle w:val="3"/>
        <w:ind w:firstLine="0" w:firstLineChars="0"/>
        <w:rPr>
          <w:rFonts w:ascii="Times New Roman" w:hAnsi="Times New Roman" w:cs="Times New Roman"/>
          <w:sz w:val="32"/>
        </w:rPr>
      </w:pPr>
      <w:bookmarkStart w:id="535" w:name="_Toc22340"/>
      <w:r>
        <w:rPr>
          <w:rFonts w:ascii="Times New Roman" w:hAnsi="Times New Roman" w:cs="Times New Roman"/>
          <w:sz w:val="32"/>
        </w:rPr>
        <w:t>责任追究</w:t>
      </w:r>
      <w:bookmarkEnd w:id="535"/>
    </w:p>
    <w:p w14:paraId="4F9D7B8A">
      <w:pPr>
        <w:ind w:firstLine="632"/>
        <w:rPr>
          <w:rFonts w:ascii="Times New Roman" w:hAnsi="Times New Roman" w:cs="Times New Roman"/>
          <w:sz w:val="32"/>
        </w:rPr>
      </w:pPr>
      <w:r>
        <w:rPr>
          <w:rFonts w:ascii="Times New Roman" w:hAnsi="Times New Roman" w:cs="Times New Roman"/>
          <w:sz w:val="32"/>
        </w:rPr>
        <w:t>为严明工作纪律，切实压实压紧各级各方面责任，将森林草原火灾预防和扑救工作中责任不落实、发现隐患不作为、发生事故隐瞒不报、处置不得力和迟报、瞒报、谎报、漏报森林草原火灾重要情况等失职渎职行为，依法依规追究属地责任、部门监管责任、经营主体责任、火源管理责任和组织扑救责任。</w:t>
      </w:r>
    </w:p>
    <w:p w14:paraId="58DA3BB6">
      <w:pPr>
        <w:pStyle w:val="3"/>
        <w:ind w:firstLine="0" w:firstLineChars="0"/>
        <w:rPr>
          <w:rFonts w:ascii="Times New Roman" w:hAnsi="Times New Roman" w:cs="Times New Roman"/>
          <w:sz w:val="32"/>
        </w:rPr>
      </w:pPr>
      <w:bookmarkStart w:id="536" w:name="_Toc16927"/>
      <w:r>
        <w:rPr>
          <w:rFonts w:ascii="Times New Roman" w:hAnsi="Times New Roman" w:cs="Times New Roman"/>
          <w:sz w:val="32"/>
        </w:rPr>
        <w:t>工作总结</w:t>
      </w:r>
      <w:bookmarkEnd w:id="536"/>
    </w:p>
    <w:p w14:paraId="1A230F53">
      <w:pPr>
        <w:ind w:firstLine="632"/>
        <w:rPr>
          <w:rFonts w:ascii="Times New Roman" w:hAnsi="Times New Roman" w:cs="Times New Roman"/>
          <w:sz w:val="32"/>
        </w:rPr>
      </w:pPr>
      <w:r>
        <w:rPr>
          <w:rFonts w:ascii="Times New Roman" w:hAnsi="Times New Roman" w:cs="Times New Roman"/>
          <w:sz w:val="32"/>
        </w:rPr>
        <w:t>县、乡镇森林防火指挥部应当对重特大森林火灾的应急工作及时进行总结，找出预防、预测、预警和处置环节中的经验和教训，制定和落实改进措施。需对应急预案进行修订的，应当及时组织修订，提高预警和应急处置能力；对责任事故，必须找出管理上的薄弱环节，并依法追究有关责任人员的法律责任。</w:t>
      </w:r>
    </w:p>
    <w:p w14:paraId="4FBE7847">
      <w:pPr>
        <w:pStyle w:val="3"/>
        <w:ind w:firstLine="0" w:firstLineChars="0"/>
        <w:rPr>
          <w:rFonts w:ascii="Times New Roman" w:hAnsi="Times New Roman" w:cs="Times New Roman"/>
          <w:sz w:val="32"/>
        </w:rPr>
      </w:pPr>
      <w:bookmarkStart w:id="537" w:name="_Toc23084"/>
      <w:r>
        <w:rPr>
          <w:rFonts w:ascii="Times New Roman" w:hAnsi="Times New Roman" w:cs="Times New Roman"/>
          <w:sz w:val="32"/>
        </w:rPr>
        <w:t>善后处置</w:t>
      </w:r>
      <w:bookmarkEnd w:id="537"/>
    </w:p>
    <w:p w14:paraId="5A9453CD">
      <w:pPr>
        <w:ind w:firstLine="632"/>
        <w:rPr>
          <w:rFonts w:ascii="Times New Roman" w:hAnsi="Times New Roman" w:cs="Times New Roman"/>
          <w:sz w:val="32"/>
        </w:rPr>
      </w:pPr>
      <w:r>
        <w:rPr>
          <w:rFonts w:ascii="Times New Roman" w:hAnsi="Times New Roman" w:cs="Times New Roman"/>
          <w:sz w:val="32"/>
        </w:rPr>
        <w:t>做好遇难人员的善后工作，抚慰遇难者家属。对因扑救森林草原火灾负伤、致残或者死亡的人员，当地政府或有关部门按照国家有关规定给予医疗、抚恤、褒扬。</w:t>
      </w:r>
    </w:p>
    <w:p w14:paraId="19C22861">
      <w:pPr>
        <w:pStyle w:val="2"/>
        <w:numPr>
          <w:ilvl w:val="0"/>
          <w:numId w:val="108"/>
        </w:numPr>
        <w:tabs>
          <w:tab w:val="left" w:pos="0"/>
        </w:tabs>
        <w:ind w:firstLine="0" w:firstLineChars="0"/>
        <w:rPr>
          <w:rFonts w:ascii="Times New Roman" w:hAnsi="Times New Roman" w:cs="Times New Roman"/>
          <w:sz w:val="32"/>
        </w:rPr>
      </w:pPr>
      <w:bookmarkStart w:id="538" w:name="_Toc3415"/>
      <w:r>
        <w:rPr>
          <w:rFonts w:ascii="Times New Roman" w:hAnsi="Times New Roman" w:cs="Times New Roman"/>
          <w:sz w:val="32"/>
        </w:rPr>
        <w:t>预案管理</w:t>
      </w:r>
      <w:bookmarkEnd w:id="538"/>
    </w:p>
    <w:p w14:paraId="35C67E66">
      <w:pPr>
        <w:pStyle w:val="3"/>
        <w:ind w:firstLine="0" w:firstLineChars="0"/>
        <w:rPr>
          <w:rFonts w:ascii="Times New Roman" w:hAnsi="Times New Roman" w:cs="Times New Roman"/>
          <w:sz w:val="32"/>
        </w:rPr>
      </w:pPr>
      <w:bookmarkStart w:id="539" w:name="_Toc12880"/>
      <w:r>
        <w:rPr>
          <w:rFonts w:ascii="Times New Roman" w:hAnsi="Times New Roman" w:cs="Times New Roman"/>
          <w:sz w:val="32"/>
        </w:rPr>
        <w:t>预案培训演练</w:t>
      </w:r>
      <w:bookmarkEnd w:id="539"/>
    </w:p>
    <w:p w14:paraId="44A6C94B">
      <w:pPr>
        <w:ind w:firstLine="632"/>
        <w:rPr>
          <w:rFonts w:ascii="Times New Roman" w:hAnsi="Times New Roman" w:cs="Times New Roman"/>
          <w:sz w:val="32"/>
        </w:rPr>
      </w:pPr>
      <w:r>
        <w:rPr>
          <w:rFonts w:ascii="Times New Roman" w:hAnsi="Times New Roman" w:cs="Times New Roman"/>
          <w:sz w:val="32"/>
        </w:rPr>
        <w:t>县森防指有计划地开展扑火指挥员和扑火队员以及林区广大干部职工、群众的扑火指挥、扑火技战术和安全知识的培训，加强实战训练和扑火演习，提高扑火队伍的综合素质和扑火作战能力，对人民群众普及避火安全常识。每年开展不少于一次森林草原火灾应急预案培训和演练。</w:t>
      </w:r>
    </w:p>
    <w:p w14:paraId="55B5CF88">
      <w:pPr>
        <w:pStyle w:val="3"/>
        <w:ind w:firstLine="0" w:firstLineChars="0"/>
        <w:rPr>
          <w:rFonts w:ascii="Times New Roman" w:hAnsi="Times New Roman" w:cs="Times New Roman"/>
          <w:sz w:val="32"/>
        </w:rPr>
      </w:pPr>
      <w:bookmarkStart w:id="540" w:name="_Toc13986"/>
      <w:r>
        <w:rPr>
          <w:rFonts w:ascii="Times New Roman" w:hAnsi="Times New Roman" w:cs="Times New Roman"/>
          <w:sz w:val="32"/>
        </w:rPr>
        <w:t>预案管理与更新</w:t>
      </w:r>
      <w:bookmarkEnd w:id="540"/>
    </w:p>
    <w:p w14:paraId="1E72AAFC">
      <w:pPr>
        <w:ind w:firstLine="632"/>
        <w:rPr>
          <w:rFonts w:ascii="Times New Roman" w:hAnsi="Times New Roman" w:cs="Times New Roman"/>
          <w:sz w:val="32"/>
        </w:rPr>
      </w:pPr>
      <w:r>
        <w:rPr>
          <w:rFonts w:ascii="Times New Roman" w:hAnsi="Times New Roman" w:cs="Times New Roman"/>
          <w:sz w:val="32"/>
        </w:rPr>
        <w:t>预案实施后，县森防办会同有关单位组织预案宣传、培训和演练，并根据实际情况，适时组织进行评估和修订。各乡镇人民政府结合当地实际，制定本辖区的森林草原火灾应急处置办法。</w:t>
      </w:r>
    </w:p>
    <w:p w14:paraId="55F82CED">
      <w:pPr>
        <w:pStyle w:val="2"/>
        <w:numPr>
          <w:ilvl w:val="0"/>
          <w:numId w:val="108"/>
        </w:numPr>
        <w:tabs>
          <w:tab w:val="left" w:pos="0"/>
        </w:tabs>
        <w:ind w:firstLine="0" w:firstLineChars="0"/>
        <w:rPr>
          <w:rFonts w:ascii="Times New Roman" w:hAnsi="Times New Roman" w:cs="Times New Roman"/>
          <w:sz w:val="32"/>
        </w:rPr>
      </w:pPr>
      <w:bookmarkStart w:id="541" w:name="_Toc1000"/>
      <w:r>
        <w:rPr>
          <w:rFonts w:ascii="Times New Roman" w:hAnsi="Times New Roman" w:cs="Times New Roman"/>
          <w:sz w:val="32"/>
        </w:rPr>
        <w:t>附则</w:t>
      </w:r>
      <w:bookmarkEnd w:id="541"/>
    </w:p>
    <w:p w14:paraId="746AE97F">
      <w:pPr>
        <w:pStyle w:val="3"/>
        <w:ind w:left="-82" w:firstLine="0" w:firstLineChars="0"/>
        <w:rPr>
          <w:rFonts w:ascii="Times New Roman" w:hAnsi="Times New Roman" w:cs="Times New Roman"/>
          <w:sz w:val="32"/>
        </w:rPr>
      </w:pPr>
      <w:bookmarkStart w:id="542" w:name="_Toc24012"/>
      <w:bookmarkStart w:id="543" w:name="_Toc21649"/>
      <w:bookmarkStart w:id="544" w:name="_Toc12693"/>
      <w:r>
        <w:rPr>
          <w:rFonts w:ascii="Times New Roman" w:hAnsi="Times New Roman" w:cs="Times New Roman"/>
          <w:sz w:val="32"/>
        </w:rPr>
        <w:t>名词术语解释</w:t>
      </w:r>
      <w:bookmarkEnd w:id="542"/>
      <w:bookmarkEnd w:id="543"/>
      <w:bookmarkEnd w:id="544"/>
    </w:p>
    <w:p w14:paraId="0B8E9182">
      <w:pPr>
        <w:ind w:firstLine="632"/>
        <w:rPr>
          <w:rFonts w:ascii="Times New Roman" w:hAnsi="Times New Roman" w:cs="Times New Roman"/>
          <w:sz w:val="32"/>
        </w:rPr>
      </w:pPr>
      <w:r>
        <w:rPr>
          <w:rFonts w:ascii="Times New Roman" w:hAnsi="Times New Roman" w:cs="Times New Roman"/>
          <w:sz w:val="32"/>
        </w:rPr>
        <w:t>（1）高危火险区</w:t>
      </w:r>
    </w:p>
    <w:p w14:paraId="05285B70">
      <w:pPr>
        <w:ind w:firstLine="632"/>
        <w:rPr>
          <w:rFonts w:ascii="Times New Roman" w:hAnsi="Times New Roman" w:cs="Times New Roman"/>
          <w:sz w:val="32"/>
        </w:rPr>
      </w:pPr>
      <w:r>
        <w:rPr>
          <w:rFonts w:ascii="Times New Roman" w:hAnsi="Times New Roman" w:cs="Times New Roman"/>
          <w:sz w:val="32"/>
        </w:rPr>
        <w:t>高危火险区是指发生林火后，林火蔓延速度快，容易形成急进地表火和树冠火，具备形成特别重大森林草原火灾自然条件的区域。该区域或者是森林分布集中连片的高海拔山地和大面积人工林；或者是大草塘沟较多的低山丘陵。林内外可燃物载量大，周围阻隔系统比较薄弱；又处于交通不便的偏远深山区，扑火队伍短时间内到达和控制火场的条件有限，首次扑救成功率较低，火场面积极易超过10平方公里，受害森林草原面积极易达到1000公顷以上。</w:t>
      </w:r>
    </w:p>
    <w:p w14:paraId="173E4D53">
      <w:pPr>
        <w:ind w:firstLine="632"/>
        <w:rPr>
          <w:rFonts w:ascii="Times New Roman" w:hAnsi="Times New Roman" w:cs="Times New Roman"/>
          <w:sz w:val="32"/>
        </w:rPr>
      </w:pPr>
      <w:r>
        <w:rPr>
          <w:rFonts w:ascii="Times New Roman" w:hAnsi="Times New Roman" w:cs="Times New Roman"/>
          <w:sz w:val="32"/>
        </w:rPr>
        <w:t>（2）高保护价值森林</w:t>
      </w:r>
    </w:p>
    <w:p w14:paraId="47767D39">
      <w:pPr>
        <w:ind w:firstLine="632"/>
        <w:rPr>
          <w:rFonts w:ascii="Times New Roman" w:hAnsi="Times New Roman" w:cs="Times New Roman"/>
          <w:sz w:val="32"/>
        </w:rPr>
      </w:pPr>
      <w:r>
        <w:rPr>
          <w:rFonts w:ascii="Times New Roman" w:hAnsi="Times New Roman" w:cs="Times New Roman"/>
          <w:sz w:val="32"/>
        </w:rPr>
        <w:t>根据《黑龙江省高保护价值森林判定技术方案》判定的高保护价值森林，是指由于其具有很高的环境、社会、经济、生物多样性或景观价值而具有显著和关键重要性的森林，并且已被判定拥有和需要维持或增强其高保护价值的森林。共分为六个级别的高保护价值森林，每个级别又具体分成几种类型的森林，如：自然保护区、原始林区、母树林、自然与文化遗址等。</w:t>
      </w:r>
    </w:p>
    <w:p w14:paraId="724197BB">
      <w:pPr>
        <w:ind w:firstLine="632"/>
        <w:rPr>
          <w:rFonts w:ascii="Times New Roman" w:hAnsi="Times New Roman" w:cs="Times New Roman"/>
          <w:sz w:val="32"/>
        </w:rPr>
      </w:pPr>
      <w:r>
        <w:rPr>
          <w:rFonts w:ascii="Times New Roman" w:hAnsi="Times New Roman" w:cs="Times New Roman"/>
          <w:sz w:val="32"/>
        </w:rPr>
        <w:t>（3）重要设施目标</w:t>
      </w:r>
    </w:p>
    <w:p w14:paraId="5E246E3C">
      <w:pPr>
        <w:ind w:firstLine="632"/>
        <w:rPr>
          <w:rFonts w:ascii="Times New Roman" w:hAnsi="Times New Roman" w:cs="Times New Roman"/>
          <w:sz w:val="32"/>
        </w:rPr>
      </w:pPr>
      <w:r>
        <w:rPr>
          <w:rFonts w:ascii="Times New Roman" w:hAnsi="Times New Roman" w:cs="Times New Roman"/>
          <w:sz w:val="32"/>
        </w:rPr>
        <w:t>重要设施目标是指林区内和靠近林缘的油库、加油站、弹药库、军事设施、液化气站、易燃化学品仓库、供变电站、油气管线的地面设施等。</w:t>
      </w:r>
    </w:p>
    <w:p w14:paraId="762A476D">
      <w:pPr>
        <w:pStyle w:val="3"/>
        <w:ind w:firstLine="0" w:firstLineChars="0"/>
        <w:rPr>
          <w:rFonts w:ascii="Times New Roman" w:hAnsi="Times New Roman" w:cs="Times New Roman"/>
          <w:sz w:val="32"/>
        </w:rPr>
      </w:pPr>
      <w:bookmarkStart w:id="545" w:name="_Toc15235"/>
      <w:r>
        <w:rPr>
          <w:rFonts w:ascii="Times New Roman" w:hAnsi="Times New Roman" w:cs="Times New Roman"/>
          <w:sz w:val="32"/>
        </w:rPr>
        <w:t>预案解释与实施</w:t>
      </w:r>
      <w:bookmarkEnd w:id="545"/>
    </w:p>
    <w:p w14:paraId="1BF5E6DC">
      <w:pPr>
        <w:ind w:firstLine="632"/>
        <w:rPr>
          <w:rFonts w:ascii="Times New Roman" w:hAnsi="Times New Roman" w:cs="Times New Roman"/>
          <w:sz w:val="32"/>
        </w:rPr>
      </w:pPr>
      <w:r>
        <w:rPr>
          <w:rFonts w:ascii="Times New Roman" w:hAnsi="Times New Roman" w:cs="Times New Roman"/>
          <w:sz w:val="32"/>
        </w:rPr>
        <w:t>本预案由集贤县森林草原防灭火指挥部办公室负责解释。</w:t>
      </w:r>
    </w:p>
    <w:p w14:paraId="701D4EC4">
      <w:pPr>
        <w:ind w:firstLine="632"/>
        <w:rPr>
          <w:rFonts w:ascii="Times New Roman" w:hAnsi="Times New Roman" w:cs="Times New Roman"/>
          <w:sz w:val="32"/>
        </w:rPr>
      </w:pPr>
      <w:r>
        <w:rPr>
          <w:rFonts w:ascii="Times New Roman" w:hAnsi="Times New Roman" w:cs="Times New Roman"/>
          <w:sz w:val="32"/>
        </w:rPr>
        <w:t>本预案自发布之日起施行。</w:t>
      </w:r>
    </w:p>
    <w:p w14:paraId="1E84B74F">
      <w:pPr>
        <w:ind w:firstLine="632"/>
        <w:rPr>
          <w:rFonts w:ascii="Times New Roman" w:hAnsi="Times New Roman" w:cs="Times New Roman"/>
          <w:sz w:val="32"/>
        </w:rPr>
      </w:pPr>
      <w:r>
        <w:rPr>
          <w:rFonts w:ascii="Times New Roman" w:hAnsi="Times New Roman" w:cs="Times New Roman"/>
          <w:sz w:val="32"/>
        </w:rPr>
        <w:br w:type="page"/>
      </w:r>
    </w:p>
    <w:p w14:paraId="13825141">
      <w:pPr>
        <w:pStyle w:val="2"/>
        <w:numPr>
          <w:ilvl w:val="0"/>
          <w:numId w:val="0"/>
        </w:numPr>
        <w:rPr>
          <w:rFonts w:ascii="Times New Roman" w:hAnsi="Times New Roman" w:cs="Times New Roman"/>
          <w:sz w:val="32"/>
        </w:rPr>
      </w:pPr>
      <w:bookmarkStart w:id="546" w:name="_Toc10887"/>
      <w:r>
        <w:rPr>
          <w:rFonts w:ascii="Times New Roman" w:hAnsi="Times New Roman" w:cs="Times New Roman"/>
          <w:sz w:val="32"/>
        </w:rPr>
        <w:t>附件１：森林草原火灾分级标准</w:t>
      </w:r>
      <w:bookmarkEnd w:id="546"/>
    </w:p>
    <w:p w14:paraId="6BBAE377">
      <w:pPr>
        <w:ind w:firstLine="634"/>
        <w:rPr>
          <w:rFonts w:ascii="Times New Roman" w:hAnsi="Times New Roman" w:cs="Times New Roman"/>
          <w:b/>
          <w:bCs/>
          <w:sz w:val="32"/>
        </w:rPr>
      </w:pPr>
      <w:r>
        <w:rPr>
          <w:rFonts w:ascii="Times New Roman" w:hAnsi="Times New Roman" w:cs="Times New Roman"/>
          <w:b/>
          <w:bCs/>
          <w:sz w:val="32"/>
        </w:rPr>
        <w:t>一、森林火灾分级标准</w:t>
      </w:r>
    </w:p>
    <w:p w14:paraId="0C2C9A12">
      <w:pPr>
        <w:ind w:firstLine="632"/>
        <w:rPr>
          <w:rFonts w:ascii="Times New Roman" w:hAnsi="Times New Roman" w:cs="Times New Roman"/>
          <w:sz w:val="32"/>
        </w:rPr>
      </w:pPr>
      <w:r>
        <w:rPr>
          <w:rFonts w:ascii="Times New Roman" w:hAnsi="Times New Roman" w:cs="Times New Roman"/>
          <w:sz w:val="32"/>
        </w:rPr>
        <w:t>按照《森林防火条例》规定，根据受害森林面积和伤亡人数，将森林火灾分为一般森林火灾、较大森林火灾、重大森林火灾和特别重大森林火灾四个等级。</w:t>
      </w:r>
    </w:p>
    <w:p w14:paraId="333B3D86">
      <w:pPr>
        <w:ind w:firstLine="632"/>
        <w:rPr>
          <w:rFonts w:ascii="Times New Roman" w:hAnsi="Times New Roman" w:cs="Times New Roman"/>
          <w:sz w:val="32"/>
        </w:rPr>
      </w:pPr>
      <w:r>
        <w:rPr>
          <w:rFonts w:ascii="Times New Roman" w:hAnsi="Times New Roman" w:cs="Times New Roman"/>
          <w:sz w:val="32"/>
        </w:rPr>
        <w:t>（一）一般森林火灾</w:t>
      </w:r>
    </w:p>
    <w:p w14:paraId="04CFFD5C">
      <w:pPr>
        <w:ind w:firstLine="632"/>
        <w:rPr>
          <w:rFonts w:ascii="Times New Roman" w:hAnsi="Times New Roman" w:cs="Times New Roman"/>
          <w:sz w:val="32"/>
        </w:rPr>
      </w:pPr>
      <w:r>
        <w:rPr>
          <w:rFonts w:ascii="Times New Roman" w:hAnsi="Times New Roman" w:cs="Times New Roman"/>
          <w:sz w:val="32"/>
        </w:rPr>
        <w:t>受害森林面积在1公顷以下或者其他林地起火的，或者死亡1人以上3人以下的，或者重伤1人以上10人以下的。</w:t>
      </w:r>
    </w:p>
    <w:p w14:paraId="3CA69013">
      <w:pPr>
        <w:ind w:firstLine="632"/>
        <w:rPr>
          <w:rFonts w:ascii="Times New Roman" w:hAnsi="Times New Roman" w:cs="Times New Roman"/>
          <w:sz w:val="32"/>
        </w:rPr>
      </w:pPr>
      <w:r>
        <w:rPr>
          <w:rFonts w:ascii="Times New Roman" w:hAnsi="Times New Roman" w:cs="Times New Roman"/>
          <w:sz w:val="32"/>
        </w:rPr>
        <w:t>（二）较大森林火灾</w:t>
      </w:r>
    </w:p>
    <w:p w14:paraId="31141049">
      <w:pPr>
        <w:ind w:firstLine="632"/>
        <w:rPr>
          <w:rFonts w:ascii="Times New Roman" w:hAnsi="Times New Roman" w:cs="Times New Roman"/>
          <w:sz w:val="32"/>
        </w:rPr>
      </w:pPr>
      <w:r>
        <w:rPr>
          <w:rFonts w:ascii="Times New Roman" w:hAnsi="Times New Roman" w:cs="Times New Roman"/>
          <w:sz w:val="32"/>
        </w:rPr>
        <w:t>受害森林面积在1公顷以上100公顷以下的，或者死亡3人以上10人以下的，或者重伤10人以上50人以下的。</w:t>
      </w:r>
    </w:p>
    <w:p w14:paraId="234BC815">
      <w:pPr>
        <w:ind w:firstLine="632"/>
        <w:rPr>
          <w:rFonts w:ascii="Times New Roman" w:hAnsi="Times New Roman" w:cs="Times New Roman"/>
          <w:sz w:val="32"/>
        </w:rPr>
      </w:pPr>
      <w:r>
        <w:rPr>
          <w:rFonts w:ascii="Times New Roman" w:hAnsi="Times New Roman" w:cs="Times New Roman"/>
          <w:sz w:val="32"/>
        </w:rPr>
        <w:t>（三）重大森林火灾</w:t>
      </w:r>
    </w:p>
    <w:p w14:paraId="20546C49">
      <w:pPr>
        <w:ind w:firstLine="632"/>
        <w:rPr>
          <w:rFonts w:ascii="Times New Roman" w:hAnsi="Times New Roman" w:cs="Times New Roman"/>
          <w:sz w:val="32"/>
        </w:rPr>
      </w:pPr>
      <w:r>
        <w:rPr>
          <w:rFonts w:ascii="Times New Roman" w:hAnsi="Times New Roman" w:cs="Times New Roman"/>
          <w:sz w:val="32"/>
        </w:rPr>
        <w:t>受害森林面积在100公顷以上1000公顷以下的，或者死亡10人以上30人以下的，或者重伤50人以上100人以下的。</w:t>
      </w:r>
    </w:p>
    <w:p w14:paraId="699FA70A">
      <w:pPr>
        <w:ind w:firstLine="632"/>
        <w:rPr>
          <w:rFonts w:ascii="Times New Roman" w:hAnsi="Times New Roman" w:cs="Times New Roman"/>
          <w:sz w:val="32"/>
        </w:rPr>
      </w:pPr>
      <w:r>
        <w:rPr>
          <w:rFonts w:ascii="Times New Roman" w:hAnsi="Times New Roman" w:cs="Times New Roman"/>
          <w:sz w:val="32"/>
        </w:rPr>
        <w:t>（四）特别重大森林火灾</w:t>
      </w:r>
    </w:p>
    <w:p w14:paraId="1AF1BBD9">
      <w:pPr>
        <w:ind w:firstLine="632"/>
        <w:rPr>
          <w:rFonts w:ascii="Times New Roman" w:hAnsi="Times New Roman" w:cs="Times New Roman"/>
          <w:sz w:val="32"/>
        </w:rPr>
      </w:pPr>
      <w:r>
        <w:rPr>
          <w:rFonts w:ascii="Times New Roman" w:hAnsi="Times New Roman" w:cs="Times New Roman"/>
          <w:sz w:val="32"/>
        </w:rPr>
        <w:t>受害森林面积在1000公顷以上的，或者死亡30人以上的，或者重伤100人以上的。</w:t>
      </w:r>
    </w:p>
    <w:p w14:paraId="744681BF">
      <w:pPr>
        <w:ind w:firstLine="634"/>
        <w:rPr>
          <w:rFonts w:ascii="Times New Roman" w:hAnsi="Times New Roman" w:cs="Times New Roman"/>
          <w:b/>
          <w:bCs/>
          <w:sz w:val="32"/>
        </w:rPr>
      </w:pPr>
      <w:r>
        <w:rPr>
          <w:rFonts w:ascii="Times New Roman" w:hAnsi="Times New Roman" w:cs="Times New Roman"/>
          <w:b/>
          <w:bCs/>
          <w:sz w:val="32"/>
        </w:rPr>
        <w:t>二、草原火灾分级标准</w:t>
      </w:r>
    </w:p>
    <w:p w14:paraId="05E24470">
      <w:pPr>
        <w:ind w:firstLine="632"/>
        <w:rPr>
          <w:rFonts w:ascii="Times New Roman" w:hAnsi="Times New Roman" w:cs="Times New Roman"/>
          <w:sz w:val="32"/>
        </w:rPr>
      </w:pPr>
      <w:r>
        <w:rPr>
          <w:rFonts w:ascii="Times New Roman" w:hAnsi="Times New Roman" w:cs="Times New Roman"/>
          <w:sz w:val="32"/>
        </w:rPr>
        <w:t>按照原农业部《草原火灾级别划分规定》（农牧发〔2010〕7号）规定，根据受害草原面积、伤亡人数和经济损失，将草原火灾划分为一般草原火灾、较大草原火灾、重大草原火灾、特别重大草原火灾四个等级。</w:t>
      </w:r>
    </w:p>
    <w:p w14:paraId="5A79C7DC">
      <w:pPr>
        <w:ind w:firstLine="632"/>
        <w:rPr>
          <w:rFonts w:ascii="Times New Roman" w:hAnsi="Times New Roman" w:cs="Times New Roman"/>
          <w:sz w:val="32"/>
        </w:rPr>
      </w:pPr>
      <w:r>
        <w:rPr>
          <w:rFonts w:ascii="Times New Roman" w:hAnsi="Times New Roman" w:cs="Times New Roman"/>
          <w:sz w:val="32"/>
        </w:rPr>
        <w:t>（一）一般草原火灾，符合下列条件之一：</w:t>
      </w:r>
    </w:p>
    <w:p w14:paraId="085A588F">
      <w:pPr>
        <w:ind w:firstLine="632"/>
        <w:rPr>
          <w:rFonts w:ascii="Times New Roman" w:hAnsi="Times New Roman" w:cs="Times New Roman"/>
          <w:sz w:val="32"/>
        </w:rPr>
      </w:pPr>
      <w:r>
        <w:rPr>
          <w:rFonts w:ascii="Times New Roman" w:hAnsi="Times New Roman" w:cs="Times New Roman"/>
          <w:sz w:val="32"/>
        </w:rPr>
        <w:t>（1）受害草原面积10公顷以上1000公顷以下的；</w:t>
      </w:r>
    </w:p>
    <w:p w14:paraId="5AFF3C1D">
      <w:pPr>
        <w:ind w:firstLine="632"/>
        <w:rPr>
          <w:rFonts w:ascii="Times New Roman" w:hAnsi="Times New Roman" w:cs="Times New Roman"/>
          <w:sz w:val="32"/>
        </w:rPr>
      </w:pPr>
      <w:r>
        <w:rPr>
          <w:rFonts w:ascii="Times New Roman" w:hAnsi="Times New Roman" w:cs="Times New Roman"/>
          <w:sz w:val="32"/>
        </w:rPr>
        <w:t>（2）造成重伤1人以上3人以下的；</w:t>
      </w:r>
    </w:p>
    <w:p w14:paraId="43746B36">
      <w:pPr>
        <w:ind w:firstLine="632"/>
        <w:rPr>
          <w:rFonts w:ascii="Times New Roman" w:hAnsi="Times New Roman" w:cs="Times New Roman"/>
          <w:sz w:val="32"/>
        </w:rPr>
      </w:pPr>
      <w:r>
        <w:rPr>
          <w:rFonts w:ascii="Times New Roman" w:hAnsi="Times New Roman" w:cs="Times New Roman"/>
          <w:sz w:val="32"/>
        </w:rPr>
        <w:t>（3）直接经济损失5000元以上50万元以下的。</w:t>
      </w:r>
    </w:p>
    <w:p w14:paraId="203FF6FC">
      <w:pPr>
        <w:ind w:firstLine="632"/>
        <w:rPr>
          <w:rFonts w:ascii="Times New Roman" w:hAnsi="Times New Roman" w:cs="Times New Roman"/>
          <w:sz w:val="32"/>
        </w:rPr>
      </w:pPr>
      <w:r>
        <w:rPr>
          <w:rFonts w:ascii="Times New Roman" w:hAnsi="Times New Roman" w:cs="Times New Roman"/>
          <w:sz w:val="32"/>
        </w:rPr>
        <w:t>（二）较大草原火灾，符合下列条件之一：</w:t>
      </w:r>
    </w:p>
    <w:p w14:paraId="74700D3A">
      <w:pPr>
        <w:ind w:firstLine="632"/>
        <w:rPr>
          <w:rFonts w:ascii="Times New Roman" w:hAnsi="Times New Roman" w:cs="Times New Roman"/>
          <w:sz w:val="32"/>
        </w:rPr>
      </w:pPr>
      <w:r>
        <w:rPr>
          <w:rFonts w:ascii="Times New Roman" w:hAnsi="Times New Roman" w:cs="Times New Roman"/>
          <w:sz w:val="32"/>
        </w:rPr>
        <w:t>（1）受害草原面积1000公顷以上5000公顷以下的；</w:t>
      </w:r>
    </w:p>
    <w:p w14:paraId="23D3DBC5">
      <w:pPr>
        <w:ind w:firstLine="632"/>
        <w:rPr>
          <w:rFonts w:ascii="Times New Roman" w:hAnsi="Times New Roman" w:cs="Times New Roman"/>
          <w:sz w:val="32"/>
        </w:rPr>
      </w:pPr>
      <w:r>
        <w:rPr>
          <w:rFonts w:ascii="Times New Roman" w:hAnsi="Times New Roman" w:cs="Times New Roman"/>
          <w:sz w:val="32"/>
        </w:rPr>
        <w:t>（2）造成死亡3人以下，或者造成重伤3人以上10人以下的；</w:t>
      </w:r>
    </w:p>
    <w:p w14:paraId="61D9ECC7">
      <w:pPr>
        <w:ind w:firstLine="632"/>
        <w:rPr>
          <w:rFonts w:ascii="Times New Roman" w:hAnsi="Times New Roman" w:cs="Times New Roman"/>
          <w:sz w:val="32"/>
        </w:rPr>
      </w:pPr>
      <w:r>
        <w:rPr>
          <w:rFonts w:ascii="Times New Roman" w:hAnsi="Times New Roman" w:cs="Times New Roman"/>
          <w:sz w:val="32"/>
        </w:rPr>
        <w:t>（3）直接经济损失50万元以上300万元以下的。</w:t>
      </w:r>
    </w:p>
    <w:p w14:paraId="008406CF">
      <w:pPr>
        <w:ind w:firstLine="632"/>
        <w:rPr>
          <w:rFonts w:ascii="Times New Roman" w:hAnsi="Times New Roman" w:cs="Times New Roman"/>
          <w:sz w:val="32"/>
        </w:rPr>
      </w:pPr>
      <w:r>
        <w:rPr>
          <w:rFonts w:ascii="Times New Roman" w:hAnsi="Times New Roman" w:cs="Times New Roman"/>
          <w:sz w:val="32"/>
        </w:rPr>
        <w:t>（三）重大草原火灾，符合下列条件之一：</w:t>
      </w:r>
    </w:p>
    <w:p w14:paraId="186A09D4">
      <w:pPr>
        <w:ind w:firstLine="632"/>
        <w:rPr>
          <w:rFonts w:ascii="Times New Roman" w:hAnsi="Times New Roman" w:cs="Times New Roman"/>
          <w:sz w:val="32"/>
        </w:rPr>
      </w:pPr>
      <w:r>
        <w:rPr>
          <w:rFonts w:ascii="Times New Roman" w:hAnsi="Times New Roman" w:cs="Times New Roman"/>
          <w:sz w:val="32"/>
        </w:rPr>
        <w:t>（1）受害草原面积5000公顷以上8000公顷以下的；</w:t>
      </w:r>
    </w:p>
    <w:p w14:paraId="4A4438E8">
      <w:pPr>
        <w:ind w:firstLine="632"/>
        <w:rPr>
          <w:rFonts w:ascii="Times New Roman" w:hAnsi="Times New Roman" w:cs="Times New Roman"/>
          <w:sz w:val="32"/>
        </w:rPr>
      </w:pPr>
      <w:r>
        <w:rPr>
          <w:rFonts w:ascii="Times New Roman" w:hAnsi="Times New Roman" w:cs="Times New Roman"/>
          <w:sz w:val="32"/>
        </w:rPr>
        <w:t>（2）造成死亡3人以上10人以下，或者造成死亡和重伤合计10人以上20人以下的；</w:t>
      </w:r>
    </w:p>
    <w:p w14:paraId="6EEC5A2B">
      <w:pPr>
        <w:ind w:firstLine="632"/>
        <w:rPr>
          <w:rFonts w:ascii="Times New Roman" w:hAnsi="Times New Roman" w:cs="Times New Roman"/>
          <w:sz w:val="32"/>
        </w:rPr>
      </w:pPr>
      <w:r>
        <w:rPr>
          <w:rFonts w:ascii="Times New Roman" w:hAnsi="Times New Roman" w:cs="Times New Roman"/>
          <w:sz w:val="32"/>
        </w:rPr>
        <w:t>（3）直接经济损失300万元以上500万元以下的。</w:t>
      </w:r>
    </w:p>
    <w:p w14:paraId="54D69C8D">
      <w:pPr>
        <w:ind w:firstLine="632"/>
        <w:rPr>
          <w:rFonts w:ascii="Times New Roman" w:hAnsi="Times New Roman" w:cs="Times New Roman"/>
          <w:sz w:val="32"/>
        </w:rPr>
      </w:pPr>
      <w:r>
        <w:rPr>
          <w:rFonts w:ascii="Times New Roman" w:hAnsi="Times New Roman" w:cs="Times New Roman"/>
          <w:sz w:val="32"/>
        </w:rPr>
        <w:t>（四）特别重大草原火灾，符合下列条件之一：</w:t>
      </w:r>
    </w:p>
    <w:p w14:paraId="534187FB">
      <w:pPr>
        <w:ind w:firstLine="632"/>
        <w:rPr>
          <w:rFonts w:ascii="Times New Roman" w:hAnsi="Times New Roman" w:cs="Times New Roman"/>
          <w:sz w:val="32"/>
        </w:rPr>
      </w:pPr>
      <w:r>
        <w:rPr>
          <w:rFonts w:ascii="Times New Roman" w:hAnsi="Times New Roman" w:cs="Times New Roman"/>
          <w:sz w:val="32"/>
        </w:rPr>
        <w:t>（1）受害草原面积8000公顷以上的；</w:t>
      </w:r>
    </w:p>
    <w:p w14:paraId="1AF80D41">
      <w:pPr>
        <w:ind w:firstLine="632"/>
        <w:rPr>
          <w:rFonts w:ascii="Times New Roman" w:hAnsi="Times New Roman" w:cs="Times New Roman"/>
          <w:sz w:val="32"/>
        </w:rPr>
      </w:pPr>
      <w:r>
        <w:rPr>
          <w:rFonts w:ascii="Times New Roman" w:hAnsi="Times New Roman" w:cs="Times New Roman"/>
          <w:sz w:val="32"/>
        </w:rPr>
        <w:t>（2）造成死亡10人以上，或者造成死亡和重伤合计20人以上的；</w:t>
      </w:r>
    </w:p>
    <w:p w14:paraId="6458525A">
      <w:pPr>
        <w:ind w:firstLine="632"/>
        <w:rPr>
          <w:rFonts w:ascii="Times New Roman" w:hAnsi="Times New Roman" w:cs="Times New Roman"/>
          <w:sz w:val="32"/>
        </w:rPr>
      </w:pPr>
      <w:r>
        <w:rPr>
          <w:rFonts w:ascii="Times New Roman" w:hAnsi="Times New Roman" w:cs="Times New Roman"/>
          <w:sz w:val="32"/>
        </w:rPr>
        <w:t>（3）直接经济损失500万元以上的。</w:t>
      </w:r>
    </w:p>
    <w:p w14:paraId="591A33FF">
      <w:pPr>
        <w:ind w:firstLine="632"/>
        <w:rPr>
          <w:rFonts w:ascii="Times New Roman" w:hAnsi="Times New Roman" w:cs="Times New Roman"/>
          <w:sz w:val="32"/>
        </w:rPr>
      </w:pPr>
      <w:r>
        <w:rPr>
          <w:rFonts w:ascii="Times New Roman" w:hAnsi="Times New Roman" w:cs="Times New Roman"/>
          <w:sz w:val="32"/>
        </w:rPr>
        <w:t>以上表述中，“以上”和“以内”含本数，“以下”不含本数</w:t>
      </w:r>
    </w:p>
    <w:p w14:paraId="55E7D26F">
      <w:pPr>
        <w:pStyle w:val="15"/>
        <w:ind w:left="552" w:firstLine="552"/>
        <w:rPr>
          <w:rFonts w:ascii="Times New Roman" w:hAnsi="Times New Roman" w:cs="Times New Roman"/>
        </w:rPr>
      </w:pPr>
    </w:p>
    <w:p w14:paraId="4B57C83B">
      <w:pPr>
        <w:pStyle w:val="15"/>
        <w:ind w:left="0" w:leftChars="0" w:firstLine="0" w:firstLineChars="0"/>
        <w:rPr>
          <w:rFonts w:ascii="Times New Roman" w:hAnsi="Times New Roman" w:cs="Times New Roman"/>
        </w:rPr>
        <w:sectPr>
          <w:headerReference r:id="rId39" w:type="default"/>
          <w:footerReference r:id="rId40" w:type="default"/>
          <w:footerReference r:id="rId41" w:type="even"/>
          <w:pgSz w:w="11906" w:h="16838"/>
          <w:pgMar w:top="2098" w:right="1474" w:bottom="1984" w:left="1587" w:header="624" w:footer="1134" w:gutter="0"/>
          <w:pgNumType w:start="1"/>
          <w:cols w:space="0" w:num="1"/>
          <w:docGrid w:type="linesAndChars" w:linePitch="579" w:charSpace="-842"/>
        </w:sectPr>
      </w:pPr>
    </w:p>
    <w:p w14:paraId="21F86BF6">
      <w:pPr>
        <w:pStyle w:val="11"/>
        <w:ind w:firstLine="632"/>
      </w:pPr>
    </w:p>
    <w:p w14:paraId="3DBD77DE">
      <w:pPr>
        <w:ind w:firstLine="0" w:firstLineChars="0"/>
        <w:jc w:val="center"/>
        <w:rPr>
          <w:sz w:val="36"/>
          <w:szCs w:val="36"/>
        </w:rPr>
      </w:pPr>
    </w:p>
    <w:p w14:paraId="70DD9151">
      <w:pPr>
        <w:pStyle w:val="42"/>
      </w:pPr>
    </w:p>
    <w:p w14:paraId="6794DEF5">
      <w:pPr>
        <w:autoSpaceDE w:val="0"/>
        <w:autoSpaceDN w:val="0"/>
        <w:adjustRightInd w:val="0"/>
        <w:spacing w:line="240" w:lineRule="atLeast"/>
        <w:ind w:firstLine="0" w:firstLineChars="0"/>
        <w:jc w:val="center"/>
        <w:rPr>
          <w:rFonts w:ascii="方正小标宋简体" w:hAnsi="方正小标宋简体" w:eastAsia="方正小标宋简体" w:cs="方正小标宋简体"/>
          <w:bCs/>
          <w:color w:val="000000"/>
          <w:spacing w:val="-6"/>
          <w:kern w:val="0"/>
          <w:sz w:val="52"/>
          <w:szCs w:val="52"/>
          <w:lang w:bidi="ar"/>
        </w:rPr>
      </w:pPr>
      <w:r>
        <w:rPr>
          <w:rFonts w:hint="eastAsia" w:ascii="方正小标宋简体" w:hAnsi="方正小标宋简体" w:eastAsia="方正小标宋简体" w:cs="方正小标宋简体"/>
          <w:bCs/>
          <w:color w:val="000000"/>
          <w:spacing w:val="-6"/>
          <w:kern w:val="0"/>
          <w:sz w:val="52"/>
          <w:szCs w:val="52"/>
          <w:lang w:bidi="ar"/>
        </w:rPr>
        <w:t>集贤县煤矿生产安全事故应急预案</w:t>
      </w:r>
    </w:p>
    <w:p w14:paraId="2112F262">
      <w:pPr>
        <w:pStyle w:val="11"/>
        <w:ind w:firstLine="0" w:firstLineChars="0"/>
        <w:jc w:val="center"/>
        <w:rPr>
          <w:rFonts w:ascii="Times New Roman" w:hAnsi="Times New Roman" w:eastAsia="楷体_GB2312" w:cs="Times New Roman"/>
          <w:b/>
          <w:sz w:val="52"/>
          <w:szCs w:val="52"/>
        </w:rPr>
      </w:pPr>
      <w:r>
        <w:rPr>
          <w:rFonts w:hint="eastAsia" w:ascii="仿宋_GB2312" w:hAnsi="仿宋_GB2312" w:cs="仿宋_GB2312"/>
          <w:bCs/>
          <w:sz w:val="48"/>
          <w:szCs w:val="48"/>
        </w:rPr>
        <w:t>（修订稿）</w:t>
      </w:r>
    </w:p>
    <w:p w14:paraId="7BB62ADF">
      <w:pPr>
        <w:ind w:firstLine="632"/>
      </w:pPr>
    </w:p>
    <w:p w14:paraId="6D5F9846">
      <w:pPr>
        <w:ind w:firstLine="632"/>
      </w:pPr>
    </w:p>
    <w:p w14:paraId="019C327A">
      <w:pPr>
        <w:ind w:firstLine="632"/>
      </w:pPr>
    </w:p>
    <w:p w14:paraId="1B9A78AD">
      <w:pPr>
        <w:pStyle w:val="11"/>
        <w:ind w:firstLine="632"/>
      </w:pPr>
    </w:p>
    <w:p w14:paraId="5876856B">
      <w:pPr>
        <w:pStyle w:val="11"/>
        <w:ind w:firstLine="632"/>
      </w:pPr>
    </w:p>
    <w:p w14:paraId="3E5A2454">
      <w:pPr>
        <w:pStyle w:val="11"/>
        <w:ind w:firstLine="632"/>
      </w:pPr>
    </w:p>
    <w:p w14:paraId="5D8C3886">
      <w:pPr>
        <w:pStyle w:val="11"/>
        <w:ind w:firstLine="632"/>
      </w:pPr>
    </w:p>
    <w:p w14:paraId="68A5E629">
      <w:pPr>
        <w:ind w:firstLine="632"/>
      </w:pPr>
    </w:p>
    <w:p w14:paraId="50120DDF">
      <w:pPr>
        <w:ind w:firstLine="632"/>
      </w:pPr>
    </w:p>
    <w:p w14:paraId="7548267F">
      <w:pPr>
        <w:pStyle w:val="42"/>
      </w:pPr>
    </w:p>
    <w:p w14:paraId="506812E0">
      <w:pPr>
        <w:pStyle w:val="42"/>
      </w:pPr>
    </w:p>
    <w:p w14:paraId="294A9B28">
      <w:pPr>
        <w:pStyle w:val="42"/>
      </w:pPr>
    </w:p>
    <w:p w14:paraId="3D7CA185">
      <w:pPr>
        <w:ind w:firstLine="632"/>
      </w:pPr>
    </w:p>
    <w:p w14:paraId="5810F6A2">
      <w:pPr>
        <w:ind w:firstLine="0" w:firstLineChars="0"/>
        <w:jc w:val="center"/>
        <w:rPr>
          <w:rFonts w:eastAsia="仿宋"/>
          <w:bCs/>
          <w:spacing w:val="-6"/>
          <w:sz w:val="36"/>
          <w:szCs w:val="24"/>
          <w:lang w:bidi="ar"/>
        </w:rPr>
      </w:pPr>
      <w:r>
        <w:rPr>
          <w:rFonts w:hint="eastAsia" w:ascii="仿宋_GB2312" w:hAnsi="仿宋_GB2312" w:cs="仿宋_GB2312"/>
          <w:bCs/>
          <w:spacing w:val="-6"/>
          <w:sz w:val="36"/>
          <w:szCs w:val="24"/>
          <w:lang w:bidi="ar"/>
        </w:rPr>
        <w:t>集贤县人民政府 编制</w:t>
      </w:r>
    </w:p>
    <w:p w14:paraId="1778C4FB">
      <w:pPr>
        <w:ind w:firstLine="0" w:firstLineChars="0"/>
        <w:jc w:val="center"/>
        <w:rPr>
          <w:rFonts w:eastAsia="仿宋"/>
          <w:bCs/>
          <w:spacing w:val="-6"/>
          <w:sz w:val="36"/>
          <w:szCs w:val="24"/>
          <w:lang w:bidi="ar"/>
        </w:rPr>
      </w:pPr>
      <w:r>
        <w:rPr>
          <w:rFonts w:hint="eastAsia" w:eastAsia="仿宋"/>
          <w:bCs/>
          <w:spacing w:val="-6"/>
          <w:sz w:val="36"/>
          <w:szCs w:val="24"/>
          <w:lang w:bidi="ar"/>
        </w:rPr>
        <w:t>202</w:t>
      </w:r>
      <w:r>
        <w:rPr>
          <w:rFonts w:hint="eastAsia"/>
          <w:bCs/>
          <w:spacing w:val="-6"/>
          <w:sz w:val="36"/>
          <w:szCs w:val="24"/>
          <w:lang w:bidi="ar"/>
        </w:rPr>
        <w:t>4</w:t>
      </w:r>
      <w:r>
        <w:rPr>
          <w:rFonts w:hint="eastAsia" w:eastAsia="仿宋"/>
          <w:bCs/>
          <w:spacing w:val="-6"/>
          <w:sz w:val="36"/>
          <w:szCs w:val="24"/>
          <w:lang w:bidi="ar"/>
        </w:rPr>
        <w:t>年</w:t>
      </w:r>
      <w:r>
        <w:rPr>
          <w:rFonts w:hint="eastAsia"/>
          <w:bCs/>
          <w:spacing w:val="-6"/>
          <w:sz w:val="36"/>
          <w:szCs w:val="24"/>
          <w:lang w:bidi="ar"/>
        </w:rPr>
        <w:t>8</w:t>
      </w:r>
      <w:r>
        <w:rPr>
          <w:rFonts w:hint="eastAsia" w:eastAsia="仿宋"/>
          <w:bCs/>
          <w:spacing w:val="-6"/>
          <w:sz w:val="36"/>
          <w:szCs w:val="24"/>
          <w:lang w:bidi="ar"/>
        </w:rPr>
        <w:t>月</w:t>
      </w:r>
    </w:p>
    <w:p w14:paraId="13EAD451">
      <w:pPr>
        <w:ind w:firstLine="632"/>
        <w:rPr>
          <w:rFonts w:ascii="黑体" w:hAnsi="黑体" w:eastAsia="黑体" w:cs="黑体"/>
        </w:rPr>
      </w:pPr>
      <w:r>
        <w:rPr>
          <w:rFonts w:hint="eastAsia" w:ascii="黑体" w:hAnsi="黑体" w:eastAsia="黑体" w:cs="黑体"/>
        </w:rPr>
        <w:br w:type="page"/>
      </w:r>
    </w:p>
    <w:p w14:paraId="60DE19A6">
      <w:pPr>
        <w:ind w:firstLine="0" w:firstLineChars="0"/>
        <w:jc w:val="center"/>
        <w:rPr>
          <w:rFonts w:ascii="微软雅黑" w:hAnsi="微软雅黑" w:eastAsia="微软雅黑" w:cs="微软雅黑"/>
          <w:b/>
          <w:bCs/>
          <w:sz w:val="36"/>
          <w:szCs w:val="36"/>
        </w:rPr>
      </w:pPr>
      <w:r>
        <w:rPr>
          <w:rFonts w:hint="eastAsia" w:ascii="方正小标宋简体" w:hAnsi="方正小标宋简体" w:eastAsia="方正小标宋简体" w:cs="方正小标宋简体"/>
          <w:b/>
          <w:bCs/>
          <w:sz w:val="36"/>
          <w:szCs w:val="36"/>
        </w:rPr>
        <w:t>目  录</w:t>
      </w:r>
    </w:p>
    <w:p w14:paraId="6BA70E1A">
      <w:pPr>
        <w:pStyle w:val="18"/>
      </w:pPr>
      <w:r>
        <w:rPr>
          <w:rFonts w:hint="eastAsia" w:ascii="黑体" w:hAnsi="黑体" w:eastAsia="黑体" w:cs="黑体"/>
          <w:sz w:val="44"/>
          <w:szCs w:val="44"/>
        </w:rPr>
        <w:fldChar w:fldCharType="begin"/>
      </w:r>
      <w:r>
        <w:rPr>
          <w:rFonts w:hint="eastAsia" w:ascii="黑体" w:hAnsi="黑体" w:eastAsia="黑体" w:cs="黑体"/>
          <w:sz w:val="44"/>
          <w:szCs w:val="44"/>
        </w:rPr>
        <w:instrText xml:space="preserve">TOC \o "1-2" \h \u </w:instrText>
      </w:r>
      <w:r>
        <w:rPr>
          <w:rFonts w:hint="eastAsia" w:ascii="黑体" w:hAnsi="黑体" w:eastAsia="黑体" w:cs="黑体"/>
          <w:sz w:val="44"/>
          <w:szCs w:val="44"/>
        </w:rPr>
        <w:fldChar w:fldCharType="separate"/>
      </w:r>
      <w:r>
        <w:fldChar w:fldCharType="begin"/>
      </w:r>
      <w:r>
        <w:instrText xml:space="preserve"> HYPERLINK \l "_Toc24928" </w:instrText>
      </w:r>
      <w:r>
        <w:fldChar w:fldCharType="separate"/>
      </w:r>
      <w:r>
        <w:rPr>
          <w:rFonts w:eastAsia="仿宋"/>
        </w:rPr>
        <w:t xml:space="preserve">1 </w:t>
      </w:r>
      <w:r>
        <w:rPr>
          <w:rFonts w:hint="eastAsia"/>
        </w:rPr>
        <w:t>总则</w:t>
      </w:r>
      <w:r>
        <w:tab/>
      </w:r>
      <w:r>
        <w:fldChar w:fldCharType="begin"/>
      </w:r>
      <w:r>
        <w:instrText xml:space="preserve"> PAGEREF _Toc24928 \h </w:instrText>
      </w:r>
      <w:r>
        <w:fldChar w:fldCharType="separate"/>
      </w:r>
      <w:r>
        <w:t>1</w:t>
      </w:r>
      <w:r>
        <w:fldChar w:fldCharType="end"/>
      </w:r>
      <w:r>
        <w:fldChar w:fldCharType="end"/>
      </w:r>
    </w:p>
    <w:p w14:paraId="378A72DA">
      <w:pPr>
        <w:pStyle w:val="19"/>
        <w:tabs>
          <w:tab w:val="right" w:leader="dot" w:pos="8845"/>
        </w:tabs>
        <w:ind w:firstLine="632"/>
      </w:pPr>
      <w:r>
        <w:fldChar w:fldCharType="begin"/>
      </w:r>
      <w:r>
        <w:instrText xml:space="preserve"> HYPERLINK \l "_Toc15720" </w:instrText>
      </w:r>
      <w:r>
        <w:fldChar w:fldCharType="separate"/>
      </w:r>
      <w:r>
        <w:rPr>
          <w:rFonts w:eastAsia="仿宋"/>
          <w:bCs/>
          <w:szCs w:val="28"/>
        </w:rPr>
        <w:t xml:space="preserve">1.1 </w:t>
      </w:r>
      <w:r>
        <w:rPr>
          <w:rFonts w:hint="eastAsia" w:ascii="楷体_GB2312" w:hAnsi="楷体_GB2312" w:eastAsia="楷体_GB2312" w:cs="楷体_GB2312"/>
        </w:rPr>
        <w:t>编制目的</w:t>
      </w:r>
      <w:r>
        <w:tab/>
      </w:r>
      <w:r>
        <w:fldChar w:fldCharType="begin"/>
      </w:r>
      <w:r>
        <w:instrText xml:space="preserve"> PAGEREF _Toc15720 \h </w:instrText>
      </w:r>
      <w:r>
        <w:fldChar w:fldCharType="separate"/>
      </w:r>
      <w:r>
        <w:t>1</w:t>
      </w:r>
      <w:r>
        <w:fldChar w:fldCharType="end"/>
      </w:r>
      <w:r>
        <w:fldChar w:fldCharType="end"/>
      </w:r>
    </w:p>
    <w:p w14:paraId="0DB662B6">
      <w:pPr>
        <w:pStyle w:val="19"/>
        <w:tabs>
          <w:tab w:val="right" w:leader="dot" w:pos="8845"/>
        </w:tabs>
        <w:ind w:firstLine="632"/>
      </w:pPr>
      <w:r>
        <w:fldChar w:fldCharType="begin"/>
      </w:r>
      <w:r>
        <w:instrText xml:space="preserve"> HYPERLINK \l "_Toc11027" </w:instrText>
      </w:r>
      <w:r>
        <w:fldChar w:fldCharType="separate"/>
      </w:r>
      <w:r>
        <w:rPr>
          <w:rFonts w:eastAsia="仿宋"/>
          <w:bCs/>
          <w:szCs w:val="28"/>
        </w:rPr>
        <w:t xml:space="preserve">1.2 </w:t>
      </w:r>
      <w:r>
        <w:rPr>
          <w:rFonts w:hint="eastAsia" w:ascii="楷体_GB2312" w:hAnsi="楷体_GB2312" w:eastAsia="楷体_GB2312" w:cs="楷体_GB2312"/>
        </w:rPr>
        <w:t>编制依据</w:t>
      </w:r>
      <w:r>
        <w:tab/>
      </w:r>
      <w:r>
        <w:fldChar w:fldCharType="begin"/>
      </w:r>
      <w:r>
        <w:instrText xml:space="preserve"> PAGEREF _Toc11027 \h </w:instrText>
      </w:r>
      <w:r>
        <w:fldChar w:fldCharType="separate"/>
      </w:r>
      <w:r>
        <w:t>1</w:t>
      </w:r>
      <w:r>
        <w:fldChar w:fldCharType="end"/>
      </w:r>
      <w:r>
        <w:fldChar w:fldCharType="end"/>
      </w:r>
    </w:p>
    <w:p w14:paraId="4FEE80C8">
      <w:pPr>
        <w:pStyle w:val="19"/>
        <w:tabs>
          <w:tab w:val="right" w:leader="dot" w:pos="8845"/>
        </w:tabs>
        <w:ind w:firstLine="632"/>
      </w:pPr>
      <w:r>
        <w:fldChar w:fldCharType="begin"/>
      </w:r>
      <w:r>
        <w:instrText xml:space="preserve"> HYPERLINK \l "_Toc9085" </w:instrText>
      </w:r>
      <w:r>
        <w:fldChar w:fldCharType="separate"/>
      </w:r>
      <w:r>
        <w:rPr>
          <w:rFonts w:eastAsia="仿宋"/>
          <w:bCs/>
          <w:szCs w:val="28"/>
        </w:rPr>
        <w:t xml:space="preserve">1.3 </w:t>
      </w:r>
      <w:r>
        <w:rPr>
          <w:rFonts w:hint="eastAsia" w:ascii="楷体_GB2312" w:hAnsi="楷体_GB2312" w:eastAsia="楷体_GB2312" w:cs="楷体_GB2312"/>
        </w:rPr>
        <w:t>适用范围</w:t>
      </w:r>
      <w:r>
        <w:tab/>
      </w:r>
      <w:r>
        <w:fldChar w:fldCharType="begin"/>
      </w:r>
      <w:r>
        <w:instrText xml:space="preserve"> PAGEREF _Toc9085 \h </w:instrText>
      </w:r>
      <w:r>
        <w:fldChar w:fldCharType="separate"/>
      </w:r>
      <w:r>
        <w:t>1</w:t>
      </w:r>
      <w:r>
        <w:fldChar w:fldCharType="end"/>
      </w:r>
      <w:r>
        <w:fldChar w:fldCharType="end"/>
      </w:r>
    </w:p>
    <w:p w14:paraId="034848A2">
      <w:pPr>
        <w:pStyle w:val="19"/>
        <w:tabs>
          <w:tab w:val="right" w:leader="dot" w:pos="8845"/>
        </w:tabs>
        <w:ind w:firstLine="632"/>
      </w:pPr>
      <w:r>
        <w:fldChar w:fldCharType="begin"/>
      </w:r>
      <w:r>
        <w:instrText xml:space="preserve"> HYPERLINK \l "_Toc25070" </w:instrText>
      </w:r>
      <w:r>
        <w:fldChar w:fldCharType="separate"/>
      </w:r>
      <w:r>
        <w:rPr>
          <w:rFonts w:eastAsia="仿宋"/>
          <w:bCs/>
          <w:szCs w:val="28"/>
        </w:rPr>
        <w:t xml:space="preserve">1.4 </w:t>
      </w:r>
      <w:r>
        <w:rPr>
          <w:rFonts w:hint="eastAsia" w:ascii="楷体_GB2312" w:hAnsi="楷体_GB2312" w:eastAsia="楷体_GB2312" w:cs="楷体_GB2312"/>
        </w:rPr>
        <w:t>主要危险源分析</w:t>
      </w:r>
      <w:r>
        <w:tab/>
      </w:r>
      <w:r>
        <w:fldChar w:fldCharType="begin"/>
      </w:r>
      <w:r>
        <w:instrText xml:space="preserve"> PAGEREF _Toc25070 \h </w:instrText>
      </w:r>
      <w:r>
        <w:fldChar w:fldCharType="separate"/>
      </w:r>
      <w:r>
        <w:t>1</w:t>
      </w:r>
      <w:r>
        <w:fldChar w:fldCharType="end"/>
      </w:r>
      <w:r>
        <w:fldChar w:fldCharType="end"/>
      </w:r>
    </w:p>
    <w:p w14:paraId="436A74CA">
      <w:pPr>
        <w:pStyle w:val="19"/>
        <w:tabs>
          <w:tab w:val="right" w:leader="dot" w:pos="8845"/>
        </w:tabs>
        <w:ind w:firstLine="632"/>
      </w:pPr>
      <w:r>
        <w:fldChar w:fldCharType="begin"/>
      </w:r>
      <w:r>
        <w:instrText xml:space="preserve"> HYPERLINK \l "_Toc11192" </w:instrText>
      </w:r>
      <w:r>
        <w:fldChar w:fldCharType="separate"/>
      </w:r>
      <w:r>
        <w:rPr>
          <w:rFonts w:eastAsia="仿宋"/>
          <w:bCs/>
          <w:szCs w:val="28"/>
        </w:rPr>
        <w:t xml:space="preserve">1.5 </w:t>
      </w:r>
      <w:r>
        <w:rPr>
          <w:rFonts w:hint="eastAsia" w:ascii="楷体_GB2312" w:hAnsi="楷体_GB2312" w:eastAsia="楷体_GB2312" w:cs="楷体_GB2312"/>
        </w:rPr>
        <w:t>工作原则</w:t>
      </w:r>
      <w:r>
        <w:tab/>
      </w:r>
      <w:r>
        <w:fldChar w:fldCharType="begin"/>
      </w:r>
      <w:r>
        <w:instrText xml:space="preserve"> PAGEREF _Toc11192 \h </w:instrText>
      </w:r>
      <w:r>
        <w:fldChar w:fldCharType="separate"/>
      </w:r>
      <w:r>
        <w:t>2</w:t>
      </w:r>
      <w:r>
        <w:fldChar w:fldCharType="end"/>
      </w:r>
      <w:r>
        <w:fldChar w:fldCharType="end"/>
      </w:r>
    </w:p>
    <w:p w14:paraId="401907DB">
      <w:pPr>
        <w:pStyle w:val="19"/>
        <w:tabs>
          <w:tab w:val="right" w:leader="dot" w:pos="8845"/>
        </w:tabs>
        <w:ind w:firstLine="632"/>
      </w:pPr>
      <w:r>
        <w:fldChar w:fldCharType="begin"/>
      </w:r>
      <w:r>
        <w:instrText xml:space="preserve"> HYPERLINK \l "_Toc2680" </w:instrText>
      </w:r>
      <w:r>
        <w:fldChar w:fldCharType="separate"/>
      </w:r>
      <w:r>
        <w:rPr>
          <w:rFonts w:eastAsia="仿宋"/>
          <w:bCs/>
          <w:szCs w:val="28"/>
        </w:rPr>
        <w:t xml:space="preserve">1.6 </w:t>
      </w:r>
      <w:r>
        <w:rPr>
          <w:rFonts w:hint="eastAsia" w:ascii="楷体_GB2312" w:hAnsi="楷体_GB2312" w:eastAsia="楷体_GB2312" w:cs="楷体_GB2312"/>
        </w:rPr>
        <w:t>事故分级</w:t>
      </w:r>
      <w:r>
        <w:tab/>
      </w:r>
      <w:r>
        <w:fldChar w:fldCharType="begin"/>
      </w:r>
      <w:r>
        <w:instrText xml:space="preserve"> PAGEREF _Toc2680 \h </w:instrText>
      </w:r>
      <w:r>
        <w:fldChar w:fldCharType="separate"/>
      </w:r>
      <w:r>
        <w:t>2</w:t>
      </w:r>
      <w:r>
        <w:fldChar w:fldCharType="end"/>
      </w:r>
      <w:r>
        <w:fldChar w:fldCharType="end"/>
      </w:r>
    </w:p>
    <w:p w14:paraId="7EF0C3DD">
      <w:pPr>
        <w:pStyle w:val="18"/>
      </w:pPr>
      <w:r>
        <w:fldChar w:fldCharType="begin"/>
      </w:r>
      <w:r>
        <w:instrText xml:space="preserve"> HYPERLINK \l "_Toc6036" </w:instrText>
      </w:r>
      <w:r>
        <w:fldChar w:fldCharType="separate"/>
      </w:r>
      <w:r>
        <w:rPr>
          <w:rFonts w:eastAsia="仿宋"/>
        </w:rPr>
        <w:t xml:space="preserve">2 </w:t>
      </w:r>
      <w:r>
        <w:rPr>
          <w:rFonts w:hint="eastAsia"/>
        </w:rPr>
        <w:t>组织指挥体系</w:t>
      </w:r>
      <w:r>
        <w:tab/>
      </w:r>
      <w:r>
        <w:fldChar w:fldCharType="begin"/>
      </w:r>
      <w:r>
        <w:instrText xml:space="preserve"> PAGEREF _Toc6036 \h </w:instrText>
      </w:r>
      <w:r>
        <w:fldChar w:fldCharType="separate"/>
      </w:r>
      <w:r>
        <w:t>3</w:t>
      </w:r>
      <w:r>
        <w:fldChar w:fldCharType="end"/>
      </w:r>
      <w:r>
        <w:fldChar w:fldCharType="end"/>
      </w:r>
    </w:p>
    <w:p w14:paraId="34CFD176">
      <w:pPr>
        <w:pStyle w:val="19"/>
        <w:tabs>
          <w:tab w:val="right" w:leader="dot" w:pos="8845"/>
        </w:tabs>
        <w:ind w:firstLine="632"/>
      </w:pPr>
      <w:r>
        <w:fldChar w:fldCharType="begin"/>
      </w:r>
      <w:r>
        <w:instrText xml:space="preserve"> HYPERLINK \l "_Toc6937" </w:instrText>
      </w:r>
      <w:r>
        <w:fldChar w:fldCharType="separate"/>
      </w:r>
      <w:r>
        <w:rPr>
          <w:rFonts w:eastAsia="仿宋"/>
          <w:bCs/>
          <w:szCs w:val="28"/>
        </w:rPr>
        <w:t xml:space="preserve">2.1 </w:t>
      </w:r>
      <w:r>
        <w:rPr>
          <w:rFonts w:hint="eastAsia" w:ascii="楷体_GB2312" w:hAnsi="楷体_GB2312" w:eastAsia="楷体_GB2312" w:cs="楷体_GB2312"/>
        </w:rPr>
        <w:t>县煤矿生产安全事故指挥部</w:t>
      </w:r>
      <w:r>
        <w:tab/>
      </w:r>
      <w:r>
        <w:fldChar w:fldCharType="begin"/>
      </w:r>
      <w:r>
        <w:instrText xml:space="preserve"> PAGEREF _Toc6937 \h </w:instrText>
      </w:r>
      <w:r>
        <w:fldChar w:fldCharType="separate"/>
      </w:r>
      <w:r>
        <w:t>3</w:t>
      </w:r>
      <w:r>
        <w:fldChar w:fldCharType="end"/>
      </w:r>
      <w:r>
        <w:fldChar w:fldCharType="end"/>
      </w:r>
    </w:p>
    <w:p w14:paraId="4275B742">
      <w:pPr>
        <w:pStyle w:val="19"/>
        <w:tabs>
          <w:tab w:val="right" w:leader="dot" w:pos="8845"/>
        </w:tabs>
        <w:ind w:firstLine="632"/>
      </w:pPr>
      <w:r>
        <w:fldChar w:fldCharType="begin"/>
      </w:r>
      <w:r>
        <w:instrText xml:space="preserve"> HYPERLINK \l "_Toc23342" </w:instrText>
      </w:r>
      <w:r>
        <w:fldChar w:fldCharType="separate"/>
      </w:r>
      <w:r>
        <w:rPr>
          <w:rFonts w:eastAsia="仿宋"/>
          <w:bCs/>
          <w:szCs w:val="28"/>
        </w:rPr>
        <w:t xml:space="preserve">2.2 </w:t>
      </w:r>
      <w:r>
        <w:rPr>
          <w:rFonts w:hint="eastAsia" w:ascii="楷体_GB2312" w:hAnsi="楷体_GB2312" w:eastAsia="楷体_GB2312" w:cs="楷体_GB2312"/>
        </w:rPr>
        <w:t>应急工作组</w:t>
      </w:r>
      <w:r>
        <w:tab/>
      </w:r>
      <w:r>
        <w:fldChar w:fldCharType="begin"/>
      </w:r>
      <w:r>
        <w:instrText xml:space="preserve"> PAGEREF _Toc23342 \h </w:instrText>
      </w:r>
      <w:r>
        <w:fldChar w:fldCharType="separate"/>
      </w:r>
      <w:r>
        <w:t>8</w:t>
      </w:r>
      <w:r>
        <w:fldChar w:fldCharType="end"/>
      </w:r>
      <w:r>
        <w:fldChar w:fldCharType="end"/>
      </w:r>
    </w:p>
    <w:p w14:paraId="37B68C12">
      <w:pPr>
        <w:pStyle w:val="18"/>
      </w:pPr>
      <w:r>
        <w:fldChar w:fldCharType="begin"/>
      </w:r>
      <w:r>
        <w:instrText xml:space="preserve"> HYPERLINK \l "_Toc6513" </w:instrText>
      </w:r>
      <w:r>
        <w:fldChar w:fldCharType="separate"/>
      </w:r>
      <w:r>
        <w:rPr>
          <w:rFonts w:eastAsia="仿宋"/>
        </w:rPr>
        <w:t xml:space="preserve">3 </w:t>
      </w:r>
      <w:r>
        <w:rPr>
          <w:rFonts w:hint="eastAsia"/>
        </w:rPr>
        <w:t>预防预警机制</w:t>
      </w:r>
      <w:r>
        <w:tab/>
      </w:r>
      <w:r>
        <w:fldChar w:fldCharType="begin"/>
      </w:r>
      <w:r>
        <w:instrText xml:space="preserve"> PAGEREF _Toc6513 \h </w:instrText>
      </w:r>
      <w:r>
        <w:fldChar w:fldCharType="separate"/>
      </w:r>
      <w:r>
        <w:t>11</w:t>
      </w:r>
      <w:r>
        <w:fldChar w:fldCharType="end"/>
      </w:r>
      <w:r>
        <w:fldChar w:fldCharType="end"/>
      </w:r>
    </w:p>
    <w:p w14:paraId="38D66CE9">
      <w:pPr>
        <w:pStyle w:val="19"/>
        <w:tabs>
          <w:tab w:val="right" w:leader="dot" w:pos="8845"/>
        </w:tabs>
        <w:ind w:firstLine="632"/>
      </w:pPr>
      <w:r>
        <w:fldChar w:fldCharType="begin"/>
      </w:r>
      <w:r>
        <w:instrText xml:space="preserve"> HYPERLINK \l "_Toc2005" </w:instrText>
      </w:r>
      <w:r>
        <w:fldChar w:fldCharType="separate"/>
      </w:r>
      <w:r>
        <w:rPr>
          <w:rFonts w:eastAsia="仿宋"/>
          <w:bCs/>
          <w:szCs w:val="28"/>
        </w:rPr>
        <w:t xml:space="preserve">3.1 </w:t>
      </w:r>
      <w:r>
        <w:rPr>
          <w:rFonts w:hint="eastAsia" w:ascii="楷体_GB2312" w:hAnsi="楷体_GB2312" w:eastAsia="楷体_GB2312" w:cs="楷体_GB2312"/>
        </w:rPr>
        <w:t>信息管理、监测与监控</w:t>
      </w:r>
      <w:r>
        <w:tab/>
      </w:r>
      <w:r>
        <w:fldChar w:fldCharType="begin"/>
      </w:r>
      <w:r>
        <w:instrText xml:space="preserve"> PAGEREF _Toc2005 \h </w:instrText>
      </w:r>
      <w:r>
        <w:fldChar w:fldCharType="separate"/>
      </w:r>
      <w:r>
        <w:t>11</w:t>
      </w:r>
      <w:r>
        <w:fldChar w:fldCharType="end"/>
      </w:r>
      <w:r>
        <w:fldChar w:fldCharType="end"/>
      </w:r>
    </w:p>
    <w:p w14:paraId="33689A3C">
      <w:pPr>
        <w:pStyle w:val="19"/>
        <w:tabs>
          <w:tab w:val="right" w:leader="dot" w:pos="8845"/>
        </w:tabs>
        <w:ind w:firstLine="632"/>
      </w:pPr>
      <w:r>
        <w:fldChar w:fldCharType="begin"/>
      </w:r>
      <w:r>
        <w:instrText xml:space="preserve"> HYPERLINK \l "_Toc4885" </w:instrText>
      </w:r>
      <w:r>
        <w:fldChar w:fldCharType="separate"/>
      </w:r>
      <w:r>
        <w:rPr>
          <w:rFonts w:eastAsia="仿宋"/>
          <w:bCs/>
          <w:szCs w:val="28"/>
        </w:rPr>
        <w:t xml:space="preserve">3.2 </w:t>
      </w:r>
      <w:r>
        <w:rPr>
          <w:rFonts w:hint="eastAsia" w:ascii="楷体_GB2312" w:hAnsi="楷体_GB2312" w:eastAsia="楷体_GB2312" w:cs="楷体_GB2312"/>
        </w:rPr>
        <w:t>预警</w:t>
      </w:r>
      <w:r>
        <w:tab/>
      </w:r>
      <w:r>
        <w:fldChar w:fldCharType="begin"/>
      </w:r>
      <w:r>
        <w:instrText xml:space="preserve"> PAGEREF _Toc4885 \h </w:instrText>
      </w:r>
      <w:r>
        <w:fldChar w:fldCharType="separate"/>
      </w:r>
      <w:r>
        <w:t>12</w:t>
      </w:r>
      <w:r>
        <w:fldChar w:fldCharType="end"/>
      </w:r>
      <w:r>
        <w:fldChar w:fldCharType="end"/>
      </w:r>
    </w:p>
    <w:p w14:paraId="1579C95D">
      <w:pPr>
        <w:pStyle w:val="18"/>
      </w:pPr>
      <w:r>
        <w:fldChar w:fldCharType="begin"/>
      </w:r>
      <w:r>
        <w:instrText xml:space="preserve"> HYPERLINK \l "_Toc14398" </w:instrText>
      </w:r>
      <w:r>
        <w:fldChar w:fldCharType="separate"/>
      </w:r>
      <w:r>
        <w:rPr>
          <w:rFonts w:eastAsia="仿宋"/>
        </w:rPr>
        <w:t xml:space="preserve">4 </w:t>
      </w:r>
      <w:r>
        <w:rPr>
          <w:rFonts w:hint="eastAsia"/>
        </w:rPr>
        <w:t>应急响应</w:t>
      </w:r>
      <w:r>
        <w:tab/>
      </w:r>
      <w:r>
        <w:fldChar w:fldCharType="begin"/>
      </w:r>
      <w:r>
        <w:instrText xml:space="preserve"> PAGEREF _Toc14398 \h </w:instrText>
      </w:r>
      <w:r>
        <w:fldChar w:fldCharType="separate"/>
      </w:r>
      <w:r>
        <w:t>14</w:t>
      </w:r>
      <w:r>
        <w:fldChar w:fldCharType="end"/>
      </w:r>
      <w:r>
        <w:fldChar w:fldCharType="end"/>
      </w:r>
    </w:p>
    <w:p w14:paraId="23ABC5CF">
      <w:pPr>
        <w:pStyle w:val="19"/>
        <w:tabs>
          <w:tab w:val="right" w:leader="dot" w:pos="8845"/>
        </w:tabs>
        <w:ind w:firstLine="632"/>
      </w:pPr>
      <w:r>
        <w:fldChar w:fldCharType="begin"/>
      </w:r>
      <w:r>
        <w:instrText xml:space="preserve"> HYPERLINK \l "_Toc21877" </w:instrText>
      </w:r>
      <w:r>
        <w:fldChar w:fldCharType="separate"/>
      </w:r>
      <w:r>
        <w:rPr>
          <w:rFonts w:eastAsia="仿宋"/>
          <w:bCs/>
          <w:szCs w:val="28"/>
        </w:rPr>
        <w:t xml:space="preserve">4.1 </w:t>
      </w:r>
      <w:r>
        <w:rPr>
          <w:rFonts w:hint="eastAsia" w:ascii="楷体_GB2312" w:hAnsi="楷体_GB2312" w:eastAsia="楷体_GB2312" w:cs="楷体_GB2312"/>
        </w:rPr>
        <w:t>信息报告</w:t>
      </w:r>
      <w:r>
        <w:tab/>
      </w:r>
      <w:r>
        <w:fldChar w:fldCharType="begin"/>
      </w:r>
      <w:r>
        <w:instrText xml:space="preserve"> PAGEREF _Toc21877 \h </w:instrText>
      </w:r>
      <w:r>
        <w:fldChar w:fldCharType="separate"/>
      </w:r>
      <w:r>
        <w:t>14</w:t>
      </w:r>
      <w:r>
        <w:fldChar w:fldCharType="end"/>
      </w:r>
      <w:r>
        <w:fldChar w:fldCharType="end"/>
      </w:r>
    </w:p>
    <w:p w14:paraId="4A21EDB3">
      <w:pPr>
        <w:pStyle w:val="19"/>
        <w:tabs>
          <w:tab w:val="right" w:leader="dot" w:pos="8845"/>
        </w:tabs>
        <w:ind w:firstLine="632"/>
      </w:pPr>
      <w:r>
        <w:fldChar w:fldCharType="begin"/>
      </w:r>
      <w:r>
        <w:instrText xml:space="preserve"> HYPERLINK \l "_Toc29543" </w:instrText>
      </w:r>
      <w:r>
        <w:fldChar w:fldCharType="separate"/>
      </w:r>
      <w:r>
        <w:rPr>
          <w:rFonts w:eastAsia="仿宋"/>
          <w:bCs/>
          <w:szCs w:val="28"/>
        </w:rPr>
        <w:t xml:space="preserve">4.2 </w:t>
      </w:r>
      <w:r>
        <w:rPr>
          <w:rFonts w:hint="eastAsia" w:ascii="楷体_GB2312" w:hAnsi="楷体_GB2312" w:eastAsia="楷体_GB2312" w:cs="楷体_GB2312"/>
        </w:rPr>
        <w:t>先期处置</w:t>
      </w:r>
      <w:r>
        <w:tab/>
      </w:r>
      <w:r>
        <w:fldChar w:fldCharType="begin"/>
      </w:r>
      <w:r>
        <w:instrText xml:space="preserve"> PAGEREF _Toc29543 \h </w:instrText>
      </w:r>
      <w:r>
        <w:fldChar w:fldCharType="separate"/>
      </w:r>
      <w:r>
        <w:t>15</w:t>
      </w:r>
      <w:r>
        <w:fldChar w:fldCharType="end"/>
      </w:r>
      <w:r>
        <w:fldChar w:fldCharType="end"/>
      </w:r>
    </w:p>
    <w:p w14:paraId="1520BC04">
      <w:pPr>
        <w:pStyle w:val="19"/>
        <w:tabs>
          <w:tab w:val="right" w:leader="dot" w:pos="8845"/>
        </w:tabs>
        <w:ind w:firstLine="632"/>
      </w:pPr>
      <w:r>
        <w:fldChar w:fldCharType="begin"/>
      </w:r>
      <w:r>
        <w:instrText xml:space="preserve"> HYPERLINK \l "_Toc9664" </w:instrText>
      </w:r>
      <w:r>
        <w:fldChar w:fldCharType="separate"/>
      </w:r>
      <w:r>
        <w:rPr>
          <w:rFonts w:eastAsia="仿宋"/>
          <w:bCs/>
          <w:szCs w:val="28"/>
        </w:rPr>
        <w:t xml:space="preserve">4.3 </w:t>
      </w:r>
      <w:r>
        <w:rPr>
          <w:rFonts w:hint="eastAsia" w:ascii="楷体_GB2312" w:hAnsi="楷体_GB2312" w:eastAsia="楷体_GB2312" w:cs="楷体_GB2312"/>
        </w:rPr>
        <w:t>分级响应</w:t>
      </w:r>
      <w:r>
        <w:tab/>
      </w:r>
      <w:r>
        <w:fldChar w:fldCharType="begin"/>
      </w:r>
      <w:r>
        <w:instrText xml:space="preserve"> PAGEREF _Toc9664 \h </w:instrText>
      </w:r>
      <w:r>
        <w:fldChar w:fldCharType="separate"/>
      </w:r>
      <w:r>
        <w:t>15</w:t>
      </w:r>
      <w:r>
        <w:fldChar w:fldCharType="end"/>
      </w:r>
      <w:r>
        <w:fldChar w:fldCharType="end"/>
      </w:r>
    </w:p>
    <w:p w14:paraId="20950906">
      <w:pPr>
        <w:pStyle w:val="19"/>
        <w:tabs>
          <w:tab w:val="right" w:leader="dot" w:pos="8845"/>
        </w:tabs>
        <w:ind w:firstLine="632"/>
      </w:pPr>
      <w:r>
        <w:fldChar w:fldCharType="begin"/>
      </w:r>
      <w:r>
        <w:instrText xml:space="preserve"> HYPERLINK \l "_Toc25439" </w:instrText>
      </w:r>
      <w:r>
        <w:fldChar w:fldCharType="separate"/>
      </w:r>
      <w:r>
        <w:rPr>
          <w:rFonts w:eastAsia="仿宋"/>
          <w:bCs/>
          <w:szCs w:val="28"/>
        </w:rPr>
        <w:t xml:space="preserve">4.4 </w:t>
      </w:r>
      <w:r>
        <w:rPr>
          <w:rFonts w:hint="eastAsia" w:ascii="楷体_GB2312" w:hAnsi="楷体_GB2312" w:eastAsia="楷体_GB2312" w:cs="楷体_GB2312"/>
        </w:rPr>
        <w:t>应急处置</w:t>
      </w:r>
      <w:r>
        <w:tab/>
      </w:r>
      <w:r>
        <w:fldChar w:fldCharType="begin"/>
      </w:r>
      <w:r>
        <w:instrText xml:space="preserve"> PAGEREF _Toc25439 \h </w:instrText>
      </w:r>
      <w:r>
        <w:fldChar w:fldCharType="separate"/>
      </w:r>
      <w:r>
        <w:t>17</w:t>
      </w:r>
      <w:r>
        <w:fldChar w:fldCharType="end"/>
      </w:r>
      <w:r>
        <w:fldChar w:fldCharType="end"/>
      </w:r>
    </w:p>
    <w:p w14:paraId="650D1660">
      <w:pPr>
        <w:pStyle w:val="19"/>
        <w:tabs>
          <w:tab w:val="right" w:leader="dot" w:pos="8845"/>
        </w:tabs>
        <w:ind w:firstLine="632"/>
      </w:pPr>
      <w:r>
        <w:fldChar w:fldCharType="begin"/>
      </w:r>
      <w:r>
        <w:instrText xml:space="preserve"> HYPERLINK \l "_Toc242" </w:instrText>
      </w:r>
      <w:r>
        <w:fldChar w:fldCharType="separate"/>
      </w:r>
      <w:r>
        <w:rPr>
          <w:rFonts w:eastAsia="仿宋"/>
          <w:bCs/>
          <w:szCs w:val="28"/>
        </w:rPr>
        <w:t xml:space="preserve">4.5 </w:t>
      </w:r>
      <w:r>
        <w:rPr>
          <w:rFonts w:hint="eastAsia" w:ascii="楷体_GB2312" w:hAnsi="楷体_GB2312" w:eastAsia="楷体_GB2312" w:cs="楷体_GB2312"/>
        </w:rPr>
        <w:t>救援人员的安全防护</w:t>
      </w:r>
      <w:r>
        <w:tab/>
      </w:r>
      <w:r>
        <w:fldChar w:fldCharType="begin"/>
      </w:r>
      <w:r>
        <w:instrText xml:space="preserve"> PAGEREF _Toc242 \h </w:instrText>
      </w:r>
      <w:r>
        <w:fldChar w:fldCharType="separate"/>
      </w:r>
      <w:r>
        <w:t>18</w:t>
      </w:r>
      <w:r>
        <w:fldChar w:fldCharType="end"/>
      </w:r>
      <w:r>
        <w:fldChar w:fldCharType="end"/>
      </w:r>
    </w:p>
    <w:p w14:paraId="623A6B99">
      <w:pPr>
        <w:pStyle w:val="19"/>
        <w:tabs>
          <w:tab w:val="right" w:leader="dot" w:pos="8845"/>
        </w:tabs>
        <w:ind w:firstLine="632"/>
      </w:pPr>
      <w:r>
        <w:fldChar w:fldCharType="begin"/>
      </w:r>
      <w:r>
        <w:instrText xml:space="preserve"> HYPERLINK \l "_Toc26517" </w:instrText>
      </w:r>
      <w:r>
        <w:fldChar w:fldCharType="separate"/>
      </w:r>
      <w:r>
        <w:rPr>
          <w:rFonts w:eastAsia="仿宋"/>
          <w:bCs/>
          <w:szCs w:val="28"/>
        </w:rPr>
        <w:t xml:space="preserve">4.6 </w:t>
      </w:r>
      <w:r>
        <w:rPr>
          <w:rFonts w:hint="eastAsia" w:ascii="楷体_GB2312" w:hAnsi="楷体_GB2312" w:eastAsia="楷体_GB2312" w:cs="楷体_GB2312"/>
        </w:rPr>
        <w:t>信息发布</w:t>
      </w:r>
      <w:r>
        <w:tab/>
      </w:r>
      <w:r>
        <w:fldChar w:fldCharType="begin"/>
      </w:r>
      <w:r>
        <w:instrText xml:space="preserve"> PAGEREF _Toc26517 \h </w:instrText>
      </w:r>
      <w:r>
        <w:fldChar w:fldCharType="separate"/>
      </w:r>
      <w:r>
        <w:t>19</w:t>
      </w:r>
      <w:r>
        <w:fldChar w:fldCharType="end"/>
      </w:r>
      <w:r>
        <w:fldChar w:fldCharType="end"/>
      </w:r>
    </w:p>
    <w:p w14:paraId="72E56C23">
      <w:pPr>
        <w:pStyle w:val="19"/>
        <w:tabs>
          <w:tab w:val="right" w:leader="dot" w:pos="8845"/>
        </w:tabs>
        <w:ind w:firstLine="632"/>
      </w:pPr>
      <w:r>
        <w:fldChar w:fldCharType="begin"/>
      </w:r>
      <w:r>
        <w:instrText xml:space="preserve"> HYPERLINK \l "_Toc28036" </w:instrText>
      </w:r>
      <w:r>
        <w:fldChar w:fldCharType="separate"/>
      </w:r>
      <w:r>
        <w:rPr>
          <w:rFonts w:eastAsia="仿宋"/>
          <w:bCs/>
          <w:szCs w:val="28"/>
        </w:rPr>
        <w:t xml:space="preserve">4.7 </w:t>
      </w:r>
      <w:r>
        <w:rPr>
          <w:rFonts w:hint="eastAsia" w:ascii="楷体_GB2312" w:hAnsi="楷体_GB2312" w:eastAsia="楷体_GB2312" w:cs="楷体_GB2312"/>
        </w:rPr>
        <w:t>应急结束</w:t>
      </w:r>
      <w:r>
        <w:tab/>
      </w:r>
      <w:r>
        <w:fldChar w:fldCharType="begin"/>
      </w:r>
      <w:r>
        <w:instrText xml:space="preserve"> PAGEREF _Toc28036 \h </w:instrText>
      </w:r>
      <w:r>
        <w:fldChar w:fldCharType="separate"/>
      </w:r>
      <w:r>
        <w:t>19</w:t>
      </w:r>
      <w:r>
        <w:fldChar w:fldCharType="end"/>
      </w:r>
      <w:r>
        <w:fldChar w:fldCharType="end"/>
      </w:r>
    </w:p>
    <w:p w14:paraId="205C7B7C">
      <w:pPr>
        <w:pStyle w:val="18"/>
      </w:pPr>
      <w:r>
        <w:fldChar w:fldCharType="begin"/>
      </w:r>
      <w:r>
        <w:instrText xml:space="preserve"> HYPERLINK \l "_Toc1631" </w:instrText>
      </w:r>
      <w:r>
        <w:fldChar w:fldCharType="separate"/>
      </w:r>
      <w:r>
        <w:rPr>
          <w:rFonts w:eastAsia="仿宋"/>
        </w:rPr>
        <w:t xml:space="preserve">5 </w:t>
      </w:r>
      <w:r>
        <w:t>后期处置</w:t>
      </w:r>
      <w:r>
        <w:tab/>
      </w:r>
      <w:r>
        <w:fldChar w:fldCharType="begin"/>
      </w:r>
      <w:r>
        <w:instrText xml:space="preserve"> PAGEREF _Toc1631 \h </w:instrText>
      </w:r>
      <w:r>
        <w:fldChar w:fldCharType="separate"/>
      </w:r>
      <w:r>
        <w:t>19</w:t>
      </w:r>
      <w:r>
        <w:fldChar w:fldCharType="end"/>
      </w:r>
      <w:r>
        <w:fldChar w:fldCharType="end"/>
      </w:r>
    </w:p>
    <w:p w14:paraId="4D447A14">
      <w:pPr>
        <w:pStyle w:val="19"/>
        <w:tabs>
          <w:tab w:val="right" w:leader="dot" w:pos="8845"/>
        </w:tabs>
        <w:ind w:firstLine="632"/>
      </w:pPr>
      <w:r>
        <w:fldChar w:fldCharType="begin"/>
      </w:r>
      <w:r>
        <w:instrText xml:space="preserve"> HYPERLINK \l "_Toc29514" </w:instrText>
      </w:r>
      <w:r>
        <w:fldChar w:fldCharType="separate"/>
      </w:r>
      <w:r>
        <w:rPr>
          <w:rFonts w:eastAsia="仿宋"/>
          <w:bCs/>
          <w:szCs w:val="28"/>
        </w:rPr>
        <w:t xml:space="preserve">5.1 </w:t>
      </w:r>
      <w:r>
        <w:rPr>
          <w:rFonts w:hint="eastAsia" w:ascii="楷体_GB2312" w:hAnsi="楷体_GB2312" w:eastAsia="楷体_GB2312" w:cs="楷体_GB2312"/>
        </w:rPr>
        <w:t>善后处置</w:t>
      </w:r>
      <w:r>
        <w:tab/>
      </w:r>
      <w:r>
        <w:fldChar w:fldCharType="begin"/>
      </w:r>
      <w:r>
        <w:instrText xml:space="preserve"> PAGEREF _Toc29514 \h </w:instrText>
      </w:r>
      <w:r>
        <w:fldChar w:fldCharType="separate"/>
      </w:r>
      <w:r>
        <w:t>19</w:t>
      </w:r>
      <w:r>
        <w:fldChar w:fldCharType="end"/>
      </w:r>
      <w:r>
        <w:fldChar w:fldCharType="end"/>
      </w:r>
    </w:p>
    <w:p w14:paraId="0792C012">
      <w:pPr>
        <w:pStyle w:val="19"/>
        <w:tabs>
          <w:tab w:val="right" w:leader="dot" w:pos="8845"/>
        </w:tabs>
        <w:ind w:firstLine="632"/>
      </w:pPr>
      <w:r>
        <w:fldChar w:fldCharType="begin"/>
      </w:r>
      <w:r>
        <w:instrText xml:space="preserve"> HYPERLINK \l "_Toc8136" </w:instrText>
      </w:r>
      <w:r>
        <w:fldChar w:fldCharType="separate"/>
      </w:r>
      <w:r>
        <w:rPr>
          <w:rFonts w:eastAsia="仿宋"/>
          <w:bCs/>
          <w:szCs w:val="28"/>
        </w:rPr>
        <w:t xml:space="preserve">5.2 </w:t>
      </w:r>
      <w:r>
        <w:rPr>
          <w:rFonts w:hint="eastAsia" w:ascii="楷体_GB2312" w:hAnsi="楷体_GB2312" w:eastAsia="楷体_GB2312" w:cs="楷体_GB2312"/>
        </w:rPr>
        <w:t>保险理赔</w:t>
      </w:r>
      <w:r>
        <w:tab/>
      </w:r>
      <w:r>
        <w:fldChar w:fldCharType="begin"/>
      </w:r>
      <w:r>
        <w:instrText xml:space="preserve"> PAGEREF _Toc8136 \h </w:instrText>
      </w:r>
      <w:r>
        <w:fldChar w:fldCharType="separate"/>
      </w:r>
      <w:r>
        <w:t>19</w:t>
      </w:r>
      <w:r>
        <w:fldChar w:fldCharType="end"/>
      </w:r>
      <w:r>
        <w:fldChar w:fldCharType="end"/>
      </w:r>
    </w:p>
    <w:p w14:paraId="624B974E">
      <w:pPr>
        <w:pStyle w:val="19"/>
        <w:tabs>
          <w:tab w:val="right" w:leader="dot" w:pos="8845"/>
        </w:tabs>
        <w:ind w:firstLine="632"/>
      </w:pPr>
      <w:r>
        <w:fldChar w:fldCharType="begin"/>
      </w:r>
      <w:r>
        <w:instrText xml:space="preserve"> HYPERLINK \l "_Toc13183" </w:instrText>
      </w:r>
      <w:r>
        <w:fldChar w:fldCharType="separate"/>
      </w:r>
      <w:r>
        <w:rPr>
          <w:rFonts w:eastAsia="仿宋"/>
          <w:bCs/>
          <w:szCs w:val="28"/>
        </w:rPr>
        <w:t xml:space="preserve">5.3 </w:t>
      </w:r>
      <w:r>
        <w:rPr>
          <w:rFonts w:hint="eastAsia" w:ascii="楷体_GB2312" w:hAnsi="楷体_GB2312" w:eastAsia="楷体_GB2312" w:cs="楷体_GB2312"/>
        </w:rPr>
        <w:t>调查与评估</w:t>
      </w:r>
      <w:r>
        <w:tab/>
      </w:r>
      <w:r>
        <w:fldChar w:fldCharType="begin"/>
      </w:r>
      <w:r>
        <w:instrText xml:space="preserve"> PAGEREF _Toc13183 \h </w:instrText>
      </w:r>
      <w:r>
        <w:fldChar w:fldCharType="separate"/>
      </w:r>
      <w:r>
        <w:t>20</w:t>
      </w:r>
      <w:r>
        <w:fldChar w:fldCharType="end"/>
      </w:r>
      <w:r>
        <w:fldChar w:fldCharType="end"/>
      </w:r>
    </w:p>
    <w:p w14:paraId="30E4184E">
      <w:pPr>
        <w:pStyle w:val="18"/>
      </w:pPr>
      <w:r>
        <w:fldChar w:fldCharType="begin"/>
      </w:r>
      <w:r>
        <w:instrText xml:space="preserve"> HYPERLINK \l "_Toc5113" </w:instrText>
      </w:r>
      <w:r>
        <w:fldChar w:fldCharType="separate"/>
      </w:r>
      <w:r>
        <w:rPr>
          <w:rFonts w:eastAsia="仿宋"/>
        </w:rPr>
        <w:t xml:space="preserve">6 </w:t>
      </w:r>
      <w:r>
        <w:rPr>
          <w:rFonts w:hint="eastAsia"/>
        </w:rPr>
        <w:t>应急保障</w:t>
      </w:r>
      <w:r>
        <w:tab/>
      </w:r>
      <w:r>
        <w:fldChar w:fldCharType="begin"/>
      </w:r>
      <w:r>
        <w:instrText xml:space="preserve"> PAGEREF _Toc5113 \h </w:instrText>
      </w:r>
      <w:r>
        <w:fldChar w:fldCharType="separate"/>
      </w:r>
      <w:r>
        <w:t>20</w:t>
      </w:r>
      <w:r>
        <w:fldChar w:fldCharType="end"/>
      </w:r>
      <w:r>
        <w:fldChar w:fldCharType="end"/>
      </w:r>
    </w:p>
    <w:p w14:paraId="79C32892">
      <w:pPr>
        <w:pStyle w:val="19"/>
        <w:tabs>
          <w:tab w:val="right" w:leader="dot" w:pos="8845"/>
        </w:tabs>
        <w:ind w:firstLine="632"/>
      </w:pPr>
      <w:r>
        <w:fldChar w:fldCharType="begin"/>
      </w:r>
      <w:r>
        <w:instrText xml:space="preserve"> HYPERLINK \l "_Toc10779" </w:instrText>
      </w:r>
      <w:r>
        <w:fldChar w:fldCharType="separate"/>
      </w:r>
      <w:r>
        <w:rPr>
          <w:rFonts w:eastAsia="仿宋"/>
          <w:bCs/>
          <w:szCs w:val="28"/>
        </w:rPr>
        <w:t xml:space="preserve">6.1 </w:t>
      </w:r>
      <w:r>
        <w:rPr>
          <w:rFonts w:hint="eastAsia" w:ascii="楷体_GB2312" w:hAnsi="楷体_GB2312" w:eastAsia="楷体_GB2312" w:cs="楷体_GB2312"/>
        </w:rPr>
        <w:t>通信与信息保障</w:t>
      </w:r>
      <w:r>
        <w:tab/>
      </w:r>
      <w:r>
        <w:fldChar w:fldCharType="begin"/>
      </w:r>
      <w:r>
        <w:instrText xml:space="preserve"> PAGEREF _Toc10779 \h </w:instrText>
      </w:r>
      <w:r>
        <w:fldChar w:fldCharType="separate"/>
      </w:r>
      <w:r>
        <w:t>20</w:t>
      </w:r>
      <w:r>
        <w:fldChar w:fldCharType="end"/>
      </w:r>
      <w:r>
        <w:fldChar w:fldCharType="end"/>
      </w:r>
    </w:p>
    <w:p w14:paraId="55823755">
      <w:pPr>
        <w:pStyle w:val="19"/>
        <w:tabs>
          <w:tab w:val="right" w:leader="dot" w:pos="8845"/>
        </w:tabs>
        <w:ind w:firstLine="632"/>
      </w:pPr>
      <w:r>
        <w:fldChar w:fldCharType="begin"/>
      </w:r>
      <w:r>
        <w:instrText xml:space="preserve"> HYPERLINK \l "_Toc25010" </w:instrText>
      </w:r>
      <w:r>
        <w:fldChar w:fldCharType="separate"/>
      </w:r>
      <w:r>
        <w:rPr>
          <w:rFonts w:eastAsia="仿宋"/>
          <w:bCs/>
          <w:szCs w:val="28"/>
        </w:rPr>
        <w:t xml:space="preserve">6.2 </w:t>
      </w:r>
      <w:r>
        <w:rPr>
          <w:rFonts w:hint="eastAsia" w:ascii="楷体_GB2312" w:hAnsi="楷体_GB2312" w:eastAsia="楷体_GB2312" w:cs="楷体_GB2312"/>
        </w:rPr>
        <w:t>应急队伍保障</w:t>
      </w:r>
      <w:r>
        <w:tab/>
      </w:r>
      <w:r>
        <w:fldChar w:fldCharType="begin"/>
      </w:r>
      <w:r>
        <w:instrText xml:space="preserve"> PAGEREF _Toc25010 \h </w:instrText>
      </w:r>
      <w:r>
        <w:fldChar w:fldCharType="separate"/>
      </w:r>
      <w:r>
        <w:t>20</w:t>
      </w:r>
      <w:r>
        <w:fldChar w:fldCharType="end"/>
      </w:r>
      <w:r>
        <w:fldChar w:fldCharType="end"/>
      </w:r>
    </w:p>
    <w:p w14:paraId="4B9B55A4">
      <w:pPr>
        <w:pStyle w:val="19"/>
        <w:tabs>
          <w:tab w:val="right" w:leader="dot" w:pos="8845"/>
        </w:tabs>
        <w:ind w:firstLine="632"/>
      </w:pPr>
      <w:r>
        <w:fldChar w:fldCharType="begin"/>
      </w:r>
      <w:r>
        <w:instrText xml:space="preserve"> HYPERLINK \l "_Toc10977" </w:instrText>
      </w:r>
      <w:r>
        <w:fldChar w:fldCharType="separate"/>
      </w:r>
      <w:r>
        <w:rPr>
          <w:rFonts w:eastAsia="仿宋"/>
          <w:bCs/>
          <w:szCs w:val="28"/>
        </w:rPr>
        <w:t xml:space="preserve">6.3 </w:t>
      </w:r>
      <w:r>
        <w:rPr>
          <w:rFonts w:hint="eastAsia" w:ascii="楷体_GB2312" w:hAnsi="楷体_GB2312" w:eastAsia="楷体_GB2312" w:cs="楷体_GB2312"/>
        </w:rPr>
        <w:t>应急物资装备保障</w:t>
      </w:r>
      <w:r>
        <w:tab/>
      </w:r>
      <w:r>
        <w:fldChar w:fldCharType="begin"/>
      </w:r>
      <w:r>
        <w:instrText xml:space="preserve"> PAGEREF _Toc10977 \h </w:instrText>
      </w:r>
      <w:r>
        <w:fldChar w:fldCharType="separate"/>
      </w:r>
      <w:r>
        <w:t>21</w:t>
      </w:r>
      <w:r>
        <w:fldChar w:fldCharType="end"/>
      </w:r>
      <w:r>
        <w:fldChar w:fldCharType="end"/>
      </w:r>
    </w:p>
    <w:p w14:paraId="2646893C">
      <w:pPr>
        <w:pStyle w:val="19"/>
        <w:tabs>
          <w:tab w:val="right" w:leader="dot" w:pos="8845"/>
        </w:tabs>
        <w:ind w:firstLine="632"/>
      </w:pPr>
      <w:r>
        <w:fldChar w:fldCharType="begin"/>
      </w:r>
      <w:r>
        <w:instrText xml:space="preserve"> HYPERLINK \l "_Toc9641" </w:instrText>
      </w:r>
      <w:r>
        <w:fldChar w:fldCharType="separate"/>
      </w:r>
      <w:r>
        <w:rPr>
          <w:rFonts w:eastAsia="仿宋"/>
          <w:bCs/>
          <w:szCs w:val="28"/>
        </w:rPr>
        <w:t xml:space="preserve">6.4 </w:t>
      </w:r>
      <w:r>
        <w:rPr>
          <w:rFonts w:hint="eastAsia" w:ascii="楷体_GB2312" w:hAnsi="楷体_GB2312" w:eastAsia="楷体_GB2312" w:cs="楷体_GB2312"/>
        </w:rPr>
        <w:t>经费保障</w:t>
      </w:r>
      <w:r>
        <w:tab/>
      </w:r>
      <w:r>
        <w:fldChar w:fldCharType="begin"/>
      </w:r>
      <w:r>
        <w:instrText xml:space="preserve"> PAGEREF _Toc9641 \h </w:instrText>
      </w:r>
      <w:r>
        <w:fldChar w:fldCharType="separate"/>
      </w:r>
      <w:r>
        <w:t>21</w:t>
      </w:r>
      <w:r>
        <w:fldChar w:fldCharType="end"/>
      </w:r>
      <w:r>
        <w:fldChar w:fldCharType="end"/>
      </w:r>
    </w:p>
    <w:p w14:paraId="515D2908">
      <w:pPr>
        <w:pStyle w:val="19"/>
        <w:tabs>
          <w:tab w:val="right" w:leader="dot" w:pos="8845"/>
        </w:tabs>
        <w:ind w:firstLine="632"/>
      </w:pPr>
      <w:r>
        <w:fldChar w:fldCharType="begin"/>
      </w:r>
      <w:r>
        <w:instrText xml:space="preserve"> HYPERLINK \l "_Toc32708" </w:instrText>
      </w:r>
      <w:r>
        <w:fldChar w:fldCharType="separate"/>
      </w:r>
      <w:r>
        <w:rPr>
          <w:rFonts w:eastAsia="仿宋"/>
          <w:bCs/>
          <w:szCs w:val="28"/>
        </w:rPr>
        <w:t xml:space="preserve">6.5 </w:t>
      </w:r>
      <w:r>
        <w:rPr>
          <w:rFonts w:hint="eastAsia" w:ascii="楷体_GB2312" w:hAnsi="楷体_GB2312" w:eastAsia="楷体_GB2312" w:cs="楷体_GB2312"/>
        </w:rPr>
        <w:t>医疗卫生保障</w:t>
      </w:r>
      <w:r>
        <w:tab/>
      </w:r>
      <w:r>
        <w:fldChar w:fldCharType="begin"/>
      </w:r>
      <w:r>
        <w:instrText xml:space="preserve"> PAGEREF _Toc32708 \h </w:instrText>
      </w:r>
      <w:r>
        <w:fldChar w:fldCharType="separate"/>
      </w:r>
      <w:r>
        <w:t>21</w:t>
      </w:r>
      <w:r>
        <w:fldChar w:fldCharType="end"/>
      </w:r>
      <w:r>
        <w:fldChar w:fldCharType="end"/>
      </w:r>
    </w:p>
    <w:p w14:paraId="356A1867">
      <w:pPr>
        <w:pStyle w:val="19"/>
        <w:tabs>
          <w:tab w:val="right" w:leader="dot" w:pos="8845"/>
        </w:tabs>
        <w:ind w:firstLine="632"/>
      </w:pPr>
      <w:r>
        <w:fldChar w:fldCharType="begin"/>
      </w:r>
      <w:r>
        <w:instrText xml:space="preserve"> HYPERLINK \l "_Toc27085" </w:instrText>
      </w:r>
      <w:r>
        <w:fldChar w:fldCharType="separate"/>
      </w:r>
      <w:r>
        <w:rPr>
          <w:rFonts w:eastAsia="仿宋"/>
          <w:bCs/>
          <w:szCs w:val="28"/>
        </w:rPr>
        <w:t xml:space="preserve">6.6 </w:t>
      </w:r>
      <w:r>
        <w:rPr>
          <w:rFonts w:hint="eastAsia" w:ascii="楷体_GB2312" w:hAnsi="楷体_GB2312" w:eastAsia="楷体_GB2312" w:cs="楷体_GB2312"/>
        </w:rPr>
        <w:t>交通运输保障</w:t>
      </w:r>
      <w:r>
        <w:tab/>
      </w:r>
      <w:r>
        <w:fldChar w:fldCharType="begin"/>
      </w:r>
      <w:r>
        <w:instrText xml:space="preserve"> PAGEREF _Toc27085 \h </w:instrText>
      </w:r>
      <w:r>
        <w:fldChar w:fldCharType="separate"/>
      </w:r>
      <w:r>
        <w:t>21</w:t>
      </w:r>
      <w:r>
        <w:fldChar w:fldCharType="end"/>
      </w:r>
      <w:r>
        <w:fldChar w:fldCharType="end"/>
      </w:r>
    </w:p>
    <w:p w14:paraId="020A830D">
      <w:pPr>
        <w:pStyle w:val="19"/>
        <w:tabs>
          <w:tab w:val="right" w:leader="dot" w:pos="8845"/>
        </w:tabs>
        <w:ind w:firstLine="632"/>
      </w:pPr>
      <w:r>
        <w:fldChar w:fldCharType="begin"/>
      </w:r>
      <w:r>
        <w:instrText xml:space="preserve"> HYPERLINK \l "_Toc31638" </w:instrText>
      </w:r>
      <w:r>
        <w:fldChar w:fldCharType="separate"/>
      </w:r>
      <w:r>
        <w:rPr>
          <w:rFonts w:eastAsia="仿宋"/>
          <w:bCs/>
          <w:szCs w:val="28"/>
        </w:rPr>
        <w:t xml:space="preserve">6.7 </w:t>
      </w:r>
      <w:r>
        <w:rPr>
          <w:rFonts w:hint="eastAsia" w:ascii="楷体_GB2312" w:hAnsi="楷体_GB2312" w:eastAsia="楷体_GB2312" w:cs="楷体_GB2312"/>
        </w:rPr>
        <w:t>治安保障</w:t>
      </w:r>
      <w:r>
        <w:tab/>
      </w:r>
      <w:r>
        <w:fldChar w:fldCharType="begin"/>
      </w:r>
      <w:r>
        <w:instrText xml:space="preserve"> PAGEREF _Toc31638 \h </w:instrText>
      </w:r>
      <w:r>
        <w:fldChar w:fldCharType="separate"/>
      </w:r>
      <w:r>
        <w:t>22</w:t>
      </w:r>
      <w:r>
        <w:fldChar w:fldCharType="end"/>
      </w:r>
      <w:r>
        <w:fldChar w:fldCharType="end"/>
      </w:r>
    </w:p>
    <w:p w14:paraId="6CF31420">
      <w:pPr>
        <w:pStyle w:val="19"/>
        <w:tabs>
          <w:tab w:val="right" w:leader="dot" w:pos="8845"/>
        </w:tabs>
        <w:ind w:firstLine="632"/>
      </w:pPr>
      <w:r>
        <w:fldChar w:fldCharType="begin"/>
      </w:r>
      <w:r>
        <w:instrText xml:space="preserve"> HYPERLINK \l "_Toc27583" </w:instrText>
      </w:r>
      <w:r>
        <w:fldChar w:fldCharType="separate"/>
      </w:r>
      <w:r>
        <w:rPr>
          <w:rFonts w:eastAsia="仿宋"/>
          <w:bCs/>
          <w:szCs w:val="28"/>
        </w:rPr>
        <w:t xml:space="preserve">6.8 </w:t>
      </w:r>
      <w:r>
        <w:rPr>
          <w:rFonts w:hint="eastAsia" w:ascii="楷体_GB2312" w:hAnsi="楷体_GB2312" w:eastAsia="楷体_GB2312" w:cs="楷体_GB2312"/>
        </w:rPr>
        <w:t>技术支持与保障</w:t>
      </w:r>
      <w:r>
        <w:tab/>
      </w:r>
      <w:r>
        <w:fldChar w:fldCharType="begin"/>
      </w:r>
      <w:r>
        <w:instrText xml:space="preserve"> PAGEREF _Toc27583 \h </w:instrText>
      </w:r>
      <w:r>
        <w:fldChar w:fldCharType="separate"/>
      </w:r>
      <w:r>
        <w:t>22</w:t>
      </w:r>
      <w:r>
        <w:fldChar w:fldCharType="end"/>
      </w:r>
      <w:r>
        <w:fldChar w:fldCharType="end"/>
      </w:r>
    </w:p>
    <w:p w14:paraId="1471F8B6">
      <w:pPr>
        <w:pStyle w:val="19"/>
        <w:tabs>
          <w:tab w:val="right" w:leader="dot" w:pos="8845"/>
        </w:tabs>
        <w:ind w:firstLine="632"/>
      </w:pPr>
      <w:r>
        <w:fldChar w:fldCharType="begin"/>
      </w:r>
      <w:r>
        <w:instrText xml:space="preserve"> HYPERLINK \l "_Toc11045" </w:instrText>
      </w:r>
      <w:r>
        <w:fldChar w:fldCharType="separate"/>
      </w:r>
      <w:r>
        <w:rPr>
          <w:rFonts w:eastAsia="仿宋"/>
          <w:bCs/>
          <w:szCs w:val="28"/>
        </w:rPr>
        <w:t xml:space="preserve">6.9 </w:t>
      </w:r>
      <w:r>
        <w:rPr>
          <w:rFonts w:hint="eastAsia" w:ascii="楷体_GB2312" w:hAnsi="楷体_GB2312" w:eastAsia="楷体_GB2312" w:cs="楷体_GB2312"/>
        </w:rPr>
        <w:t>社会动员保障</w:t>
      </w:r>
      <w:r>
        <w:tab/>
      </w:r>
      <w:r>
        <w:fldChar w:fldCharType="begin"/>
      </w:r>
      <w:r>
        <w:instrText xml:space="preserve"> PAGEREF _Toc11045 \h </w:instrText>
      </w:r>
      <w:r>
        <w:fldChar w:fldCharType="separate"/>
      </w:r>
      <w:r>
        <w:t>22</w:t>
      </w:r>
      <w:r>
        <w:fldChar w:fldCharType="end"/>
      </w:r>
      <w:r>
        <w:fldChar w:fldCharType="end"/>
      </w:r>
    </w:p>
    <w:p w14:paraId="1D996DBE">
      <w:pPr>
        <w:pStyle w:val="19"/>
        <w:tabs>
          <w:tab w:val="right" w:leader="dot" w:pos="8845"/>
        </w:tabs>
        <w:ind w:firstLine="632"/>
      </w:pPr>
      <w:r>
        <w:fldChar w:fldCharType="begin"/>
      </w:r>
      <w:r>
        <w:instrText xml:space="preserve"> HYPERLINK \l "_Toc31748" </w:instrText>
      </w:r>
      <w:r>
        <w:fldChar w:fldCharType="separate"/>
      </w:r>
      <w:r>
        <w:rPr>
          <w:rFonts w:eastAsia="仿宋"/>
          <w:bCs/>
          <w:szCs w:val="28"/>
        </w:rPr>
        <w:t xml:space="preserve">6.10 </w:t>
      </w:r>
      <w:r>
        <w:rPr>
          <w:rFonts w:hint="eastAsia" w:ascii="楷体_GB2312" w:hAnsi="楷体_GB2312" w:eastAsia="楷体_GB2312" w:cs="楷体_GB2312"/>
        </w:rPr>
        <w:t>宣传、培训和演练</w:t>
      </w:r>
      <w:r>
        <w:tab/>
      </w:r>
      <w:r>
        <w:fldChar w:fldCharType="begin"/>
      </w:r>
      <w:r>
        <w:instrText xml:space="preserve"> PAGEREF _Toc31748 \h </w:instrText>
      </w:r>
      <w:r>
        <w:fldChar w:fldCharType="separate"/>
      </w:r>
      <w:r>
        <w:t>22</w:t>
      </w:r>
      <w:r>
        <w:fldChar w:fldCharType="end"/>
      </w:r>
      <w:r>
        <w:fldChar w:fldCharType="end"/>
      </w:r>
    </w:p>
    <w:p w14:paraId="15770470">
      <w:pPr>
        <w:pStyle w:val="18"/>
      </w:pPr>
      <w:r>
        <w:fldChar w:fldCharType="begin"/>
      </w:r>
      <w:r>
        <w:instrText xml:space="preserve"> HYPERLINK \l "_Toc24614" </w:instrText>
      </w:r>
      <w:r>
        <w:fldChar w:fldCharType="separate"/>
      </w:r>
      <w:r>
        <w:rPr>
          <w:rFonts w:eastAsia="仿宋"/>
        </w:rPr>
        <w:t xml:space="preserve">7 </w:t>
      </w:r>
      <w:r>
        <w:rPr>
          <w:rFonts w:hint="eastAsia"/>
        </w:rPr>
        <w:t>附则</w:t>
      </w:r>
      <w:r>
        <w:tab/>
      </w:r>
      <w:r>
        <w:fldChar w:fldCharType="begin"/>
      </w:r>
      <w:r>
        <w:instrText xml:space="preserve"> PAGEREF _Toc24614 \h </w:instrText>
      </w:r>
      <w:r>
        <w:fldChar w:fldCharType="separate"/>
      </w:r>
      <w:r>
        <w:t>23</w:t>
      </w:r>
      <w:r>
        <w:fldChar w:fldCharType="end"/>
      </w:r>
      <w:r>
        <w:fldChar w:fldCharType="end"/>
      </w:r>
    </w:p>
    <w:p w14:paraId="4BF28DD8">
      <w:pPr>
        <w:pStyle w:val="19"/>
        <w:tabs>
          <w:tab w:val="right" w:leader="dot" w:pos="8845"/>
        </w:tabs>
        <w:ind w:firstLine="632"/>
      </w:pPr>
      <w:r>
        <w:fldChar w:fldCharType="begin"/>
      </w:r>
      <w:r>
        <w:instrText xml:space="preserve"> HYPERLINK \l "_Toc25523" </w:instrText>
      </w:r>
      <w:r>
        <w:fldChar w:fldCharType="separate"/>
      </w:r>
      <w:r>
        <w:rPr>
          <w:rFonts w:eastAsia="仿宋"/>
          <w:bCs/>
          <w:szCs w:val="28"/>
        </w:rPr>
        <w:t xml:space="preserve">7.1 </w:t>
      </w:r>
      <w:r>
        <w:rPr>
          <w:rFonts w:hint="eastAsia" w:ascii="楷体_GB2312" w:hAnsi="楷体_GB2312" w:eastAsia="楷体_GB2312" w:cs="楷体_GB2312"/>
        </w:rPr>
        <w:t>预案管理与更新</w:t>
      </w:r>
      <w:r>
        <w:tab/>
      </w:r>
      <w:r>
        <w:fldChar w:fldCharType="begin"/>
      </w:r>
      <w:r>
        <w:instrText xml:space="preserve"> PAGEREF _Toc25523 \h </w:instrText>
      </w:r>
      <w:r>
        <w:fldChar w:fldCharType="separate"/>
      </w:r>
      <w:r>
        <w:t>23</w:t>
      </w:r>
      <w:r>
        <w:fldChar w:fldCharType="end"/>
      </w:r>
      <w:r>
        <w:fldChar w:fldCharType="end"/>
      </w:r>
    </w:p>
    <w:p w14:paraId="1DDAFFA0">
      <w:pPr>
        <w:pStyle w:val="19"/>
        <w:tabs>
          <w:tab w:val="right" w:leader="dot" w:pos="8845"/>
        </w:tabs>
        <w:ind w:firstLine="632"/>
      </w:pPr>
      <w:r>
        <w:fldChar w:fldCharType="begin"/>
      </w:r>
      <w:r>
        <w:instrText xml:space="preserve"> HYPERLINK \l "_Toc27814" </w:instrText>
      </w:r>
      <w:r>
        <w:fldChar w:fldCharType="separate"/>
      </w:r>
      <w:r>
        <w:rPr>
          <w:rFonts w:eastAsia="仿宋"/>
          <w:bCs/>
          <w:szCs w:val="28"/>
        </w:rPr>
        <w:t xml:space="preserve">7.2 </w:t>
      </w:r>
      <w:r>
        <w:rPr>
          <w:rFonts w:hint="eastAsia" w:ascii="楷体_GB2312" w:hAnsi="楷体_GB2312" w:eastAsia="楷体_GB2312" w:cs="楷体_GB2312"/>
        </w:rPr>
        <w:t>奖励与责任</w:t>
      </w:r>
      <w:r>
        <w:tab/>
      </w:r>
      <w:r>
        <w:fldChar w:fldCharType="begin"/>
      </w:r>
      <w:r>
        <w:instrText xml:space="preserve"> PAGEREF _Toc27814 \h </w:instrText>
      </w:r>
      <w:r>
        <w:fldChar w:fldCharType="separate"/>
      </w:r>
      <w:r>
        <w:t>23</w:t>
      </w:r>
      <w:r>
        <w:fldChar w:fldCharType="end"/>
      </w:r>
      <w:r>
        <w:fldChar w:fldCharType="end"/>
      </w:r>
    </w:p>
    <w:p w14:paraId="5AB25F55">
      <w:pPr>
        <w:pStyle w:val="19"/>
        <w:tabs>
          <w:tab w:val="right" w:leader="dot" w:pos="8845"/>
        </w:tabs>
        <w:ind w:firstLine="632"/>
      </w:pPr>
      <w:r>
        <w:fldChar w:fldCharType="begin"/>
      </w:r>
      <w:r>
        <w:instrText xml:space="preserve"> HYPERLINK \l "_Toc27823" </w:instrText>
      </w:r>
      <w:r>
        <w:fldChar w:fldCharType="separate"/>
      </w:r>
      <w:r>
        <w:rPr>
          <w:rFonts w:eastAsia="仿宋"/>
          <w:bCs/>
          <w:szCs w:val="28"/>
        </w:rPr>
        <w:t xml:space="preserve">7.3 </w:t>
      </w:r>
      <w:r>
        <w:rPr>
          <w:rFonts w:hint="eastAsia" w:ascii="楷体_GB2312" w:hAnsi="楷体_GB2312" w:eastAsia="楷体_GB2312" w:cs="楷体_GB2312"/>
        </w:rPr>
        <w:t>制订与解释</w:t>
      </w:r>
      <w:r>
        <w:tab/>
      </w:r>
      <w:r>
        <w:fldChar w:fldCharType="begin"/>
      </w:r>
      <w:r>
        <w:instrText xml:space="preserve"> PAGEREF _Toc27823 \h </w:instrText>
      </w:r>
      <w:r>
        <w:fldChar w:fldCharType="separate"/>
      </w:r>
      <w:r>
        <w:t>24</w:t>
      </w:r>
      <w:r>
        <w:fldChar w:fldCharType="end"/>
      </w:r>
      <w:r>
        <w:fldChar w:fldCharType="end"/>
      </w:r>
    </w:p>
    <w:p w14:paraId="103ABAEF">
      <w:pPr>
        <w:pStyle w:val="19"/>
        <w:tabs>
          <w:tab w:val="right" w:leader="dot" w:pos="8845"/>
        </w:tabs>
        <w:ind w:firstLine="632"/>
      </w:pPr>
      <w:r>
        <w:fldChar w:fldCharType="begin"/>
      </w:r>
      <w:r>
        <w:instrText xml:space="preserve"> HYPERLINK \l "_Toc23257" </w:instrText>
      </w:r>
      <w:r>
        <w:fldChar w:fldCharType="separate"/>
      </w:r>
      <w:r>
        <w:rPr>
          <w:rFonts w:eastAsia="仿宋"/>
          <w:bCs/>
          <w:szCs w:val="28"/>
        </w:rPr>
        <w:t xml:space="preserve">7.4 </w:t>
      </w:r>
      <w:r>
        <w:rPr>
          <w:rFonts w:hint="eastAsia" w:ascii="楷体_GB2312" w:hAnsi="楷体_GB2312" w:eastAsia="楷体_GB2312" w:cs="楷体_GB2312"/>
        </w:rPr>
        <w:t>预案中“以上”“以下”的含义</w:t>
      </w:r>
      <w:r>
        <w:tab/>
      </w:r>
      <w:r>
        <w:fldChar w:fldCharType="begin"/>
      </w:r>
      <w:r>
        <w:instrText xml:space="preserve"> PAGEREF _Toc23257 \h </w:instrText>
      </w:r>
      <w:r>
        <w:fldChar w:fldCharType="separate"/>
      </w:r>
      <w:r>
        <w:t>24</w:t>
      </w:r>
      <w:r>
        <w:fldChar w:fldCharType="end"/>
      </w:r>
      <w:r>
        <w:fldChar w:fldCharType="end"/>
      </w:r>
    </w:p>
    <w:p w14:paraId="41BFCA8B">
      <w:pPr>
        <w:pStyle w:val="19"/>
        <w:tabs>
          <w:tab w:val="right" w:leader="dot" w:pos="8845"/>
        </w:tabs>
        <w:ind w:firstLine="632"/>
      </w:pPr>
      <w:r>
        <w:fldChar w:fldCharType="begin"/>
      </w:r>
      <w:r>
        <w:instrText xml:space="preserve"> HYPERLINK \l "_Toc18616" </w:instrText>
      </w:r>
      <w:r>
        <w:fldChar w:fldCharType="separate"/>
      </w:r>
      <w:r>
        <w:rPr>
          <w:rFonts w:eastAsia="仿宋"/>
          <w:bCs/>
          <w:szCs w:val="28"/>
        </w:rPr>
        <w:t xml:space="preserve">7.5 </w:t>
      </w:r>
      <w:r>
        <w:rPr>
          <w:rFonts w:hint="eastAsia" w:ascii="楷体_GB2312" w:hAnsi="楷体_GB2312" w:eastAsia="楷体_GB2312" w:cs="楷体_GB2312"/>
        </w:rPr>
        <w:t>预案的实施</w:t>
      </w:r>
      <w:r>
        <w:tab/>
      </w:r>
      <w:r>
        <w:fldChar w:fldCharType="begin"/>
      </w:r>
      <w:r>
        <w:instrText xml:space="preserve"> PAGEREF _Toc18616 \h </w:instrText>
      </w:r>
      <w:r>
        <w:fldChar w:fldCharType="separate"/>
      </w:r>
      <w:r>
        <w:t>24</w:t>
      </w:r>
      <w:r>
        <w:fldChar w:fldCharType="end"/>
      </w:r>
      <w:r>
        <w:fldChar w:fldCharType="end"/>
      </w:r>
    </w:p>
    <w:p w14:paraId="447D8EAC">
      <w:pPr>
        <w:pStyle w:val="19"/>
        <w:tabs>
          <w:tab w:val="right" w:leader="dot" w:pos="8845"/>
        </w:tabs>
        <w:ind w:firstLine="632"/>
        <w:rPr>
          <w:rFonts w:ascii="黑体" w:hAnsi="黑体" w:eastAsia="黑体" w:cs="黑体"/>
          <w:szCs w:val="44"/>
        </w:rPr>
      </w:pPr>
      <w:r>
        <w:rPr>
          <w:rFonts w:hint="eastAsia" w:ascii="黑体" w:hAnsi="黑体" w:eastAsia="黑体" w:cs="黑体"/>
          <w:szCs w:val="44"/>
        </w:rPr>
        <w:fldChar w:fldCharType="end"/>
      </w:r>
    </w:p>
    <w:p w14:paraId="212432A0">
      <w:pPr>
        <w:ind w:firstLine="632"/>
        <w:sectPr>
          <w:footerReference r:id="rId42" w:type="default"/>
          <w:footerReference r:id="rId43" w:type="even"/>
          <w:pgSz w:w="11906" w:h="16838"/>
          <w:pgMar w:top="2098" w:right="1474" w:bottom="1984" w:left="1587" w:header="624" w:footer="1134" w:gutter="0"/>
          <w:pgNumType w:fmt="upperRoman" w:start="1"/>
          <w:cols w:space="720" w:num="1"/>
          <w:docGrid w:type="linesAndChars" w:linePitch="579" w:charSpace="-842"/>
        </w:sectPr>
      </w:pPr>
    </w:p>
    <w:p w14:paraId="08EA1C23">
      <w:pPr>
        <w:pStyle w:val="2"/>
        <w:numPr>
          <w:ilvl w:val="0"/>
          <w:numId w:val="109"/>
        </w:numPr>
        <w:tabs>
          <w:tab w:val="left" w:pos="0"/>
        </w:tabs>
      </w:pPr>
      <w:r>
        <w:rPr>
          <w:rFonts w:hint="eastAsia"/>
        </w:rPr>
        <w:t>总则</w:t>
      </w:r>
    </w:p>
    <w:p w14:paraId="74966029">
      <w:pPr>
        <w:pStyle w:val="3"/>
        <w:numPr>
          <w:ilvl w:val="0"/>
          <w:numId w:val="109"/>
        </w:numPr>
        <w:tabs>
          <w:tab w:val="left" w:pos="0"/>
        </w:tabs>
        <w:rPr>
          <w:rFonts w:ascii="楷体_GB2312" w:hAnsi="楷体_GB2312" w:eastAsia="楷体_GB2312" w:cs="楷体_GB2312"/>
        </w:rPr>
      </w:pPr>
      <w:bookmarkStart w:id="547" w:name="_Toc15720"/>
      <w:r>
        <w:rPr>
          <w:rFonts w:hint="eastAsia" w:ascii="楷体_GB2312" w:hAnsi="楷体_GB2312" w:eastAsia="楷体_GB2312" w:cs="楷体_GB2312"/>
        </w:rPr>
        <w:t>编制目的</w:t>
      </w:r>
      <w:bookmarkEnd w:id="547"/>
    </w:p>
    <w:p w14:paraId="1C66BB66">
      <w:pPr>
        <w:ind w:firstLine="632"/>
      </w:pPr>
      <w:r>
        <w:rPr>
          <w:rFonts w:hint="eastAsia"/>
        </w:rPr>
        <w:t>为深入贯彻习近平总书记关于应急管理系列重要论述，有效应对煤矿生产安全事故，规范应急管理和应急响应程序，增强应对防范化解煤矿事故风险和事故灾难的能力，最大限度减少和降低煤矿事故造成的损失。</w:t>
      </w:r>
    </w:p>
    <w:p w14:paraId="6AA3AA55">
      <w:pPr>
        <w:pStyle w:val="3"/>
        <w:numPr>
          <w:ilvl w:val="0"/>
          <w:numId w:val="109"/>
        </w:numPr>
        <w:tabs>
          <w:tab w:val="left" w:pos="0"/>
        </w:tabs>
        <w:rPr>
          <w:rFonts w:ascii="楷体_GB2312" w:hAnsi="楷体_GB2312" w:eastAsia="楷体_GB2312" w:cs="楷体_GB2312"/>
        </w:rPr>
      </w:pPr>
      <w:bookmarkStart w:id="548" w:name="_Toc11027"/>
      <w:r>
        <w:rPr>
          <w:rFonts w:hint="eastAsia" w:ascii="楷体_GB2312" w:hAnsi="楷体_GB2312" w:eastAsia="楷体_GB2312" w:cs="楷体_GB2312"/>
        </w:rPr>
        <w:t>编制依据</w:t>
      </w:r>
      <w:bookmarkEnd w:id="548"/>
    </w:p>
    <w:p w14:paraId="02473A57">
      <w:pPr>
        <w:ind w:firstLine="632"/>
      </w:pPr>
      <w:r>
        <w:rPr>
          <w:rFonts w:hint="eastAsia"/>
        </w:rPr>
        <w:t>依据《中华人民共和国突发事件应对法》《中华人民共和国安全生产法》《中华人民共和国煤炭法》《煤矿安全生产条例》《生产安全事故应急条例》《生产安全事故应急预案管理办法》《黑龙江省安全生产条例》《黑龙江省突发事件应急预案管理实施办法》《双鸭山市煤矿生产安全事故应急预案》《集贤县突发事件总体应急预案》等相关法律、法规和规定，结合我县实际，制定本预案。</w:t>
      </w:r>
    </w:p>
    <w:p w14:paraId="6499BDD3">
      <w:pPr>
        <w:pStyle w:val="3"/>
        <w:numPr>
          <w:ilvl w:val="0"/>
          <w:numId w:val="109"/>
        </w:numPr>
        <w:tabs>
          <w:tab w:val="left" w:pos="0"/>
        </w:tabs>
        <w:rPr>
          <w:rFonts w:ascii="楷体_GB2312" w:hAnsi="楷体_GB2312" w:eastAsia="楷体_GB2312" w:cs="楷体_GB2312"/>
        </w:rPr>
      </w:pPr>
      <w:bookmarkStart w:id="549" w:name="_Toc9085"/>
      <w:r>
        <w:rPr>
          <w:rFonts w:hint="eastAsia" w:ascii="楷体_GB2312" w:hAnsi="楷体_GB2312" w:eastAsia="楷体_GB2312" w:cs="楷体_GB2312"/>
        </w:rPr>
        <w:t>适用范围</w:t>
      </w:r>
      <w:bookmarkEnd w:id="549"/>
    </w:p>
    <w:p w14:paraId="0AC2F99D">
      <w:pPr>
        <w:ind w:firstLine="632"/>
      </w:pPr>
      <w:r>
        <w:rPr>
          <w:rFonts w:hint="eastAsia"/>
        </w:rPr>
        <w:t>本预案适用于集贤县行政区域内发生的煤矿生产安全事故应急救援处置工作；一般事故的应急救援处置由县政府负责；较大及以上煤矿生产安全事故的应急救援处置按照国家、省、市相关预案执行。</w:t>
      </w:r>
    </w:p>
    <w:p w14:paraId="32E17865">
      <w:pPr>
        <w:pStyle w:val="3"/>
        <w:numPr>
          <w:ilvl w:val="0"/>
          <w:numId w:val="109"/>
        </w:numPr>
        <w:tabs>
          <w:tab w:val="left" w:pos="0"/>
        </w:tabs>
        <w:rPr>
          <w:rFonts w:ascii="楷体_GB2312" w:hAnsi="楷体_GB2312" w:eastAsia="楷体_GB2312" w:cs="楷体_GB2312"/>
        </w:rPr>
      </w:pPr>
      <w:bookmarkStart w:id="550" w:name="_Toc25070"/>
      <w:r>
        <w:rPr>
          <w:rFonts w:hint="eastAsia" w:ascii="楷体_GB2312" w:hAnsi="楷体_GB2312" w:eastAsia="楷体_GB2312" w:cs="楷体_GB2312"/>
        </w:rPr>
        <w:t>主要危险源分析</w:t>
      </w:r>
      <w:bookmarkEnd w:id="550"/>
    </w:p>
    <w:p w14:paraId="7696CA34">
      <w:pPr>
        <w:ind w:firstLine="632"/>
      </w:pPr>
      <w:r>
        <w:rPr>
          <w:rFonts w:hint="eastAsia"/>
        </w:rPr>
        <w:t>煤矿事故类别分为顶板、冲击地压、瓦斯、煤尘、机电、运输、爆破、水害、火灾、其他。非煤矿山事故类别分为物体打击、车辆伤害、机械伤害、起重伤害、触电、淹溺、灼烫、火灾、高处坠落、坍塌、冒顶片帮、透水、爆破、火药爆炸、中毒和窒息、溃坝、其他。</w:t>
      </w:r>
    </w:p>
    <w:p w14:paraId="4D4BBC42">
      <w:pPr>
        <w:pStyle w:val="3"/>
        <w:numPr>
          <w:ilvl w:val="0"/>
          <w:numId w:val="109"/>
        </w:numPr>
        <w:tabs>
          <w:tab w:val="left" w:pos="0"/>
        </w:tabs>
        <w:rPr>
          <w:rFonts w:ascii="楷体_GB2312" w:hAnsi="楷体_GB2312" w:eastAsia="楷体_GB2312" w:cs="楷体_GB2312"/>
        </w:rPr>
      </w:pPr>
      <w:bookmarkStart w:id="551" w:name="_Toc11192"/>
      <w:r>
        <w:rPr>
          <w:rFonts w:hint="eastAsia" w:ascii="楷体_GB2312" w:hAnsi="楷体_GB2312" w:eastAsia="楷体_GB2312" w:cs="楷体_GB2312"/>
        </w:rPr>
        <w:t>工作原则</w:t>
      </w:r>
      <w:bookmarkEnd w:id="551"/>
    </w:p>
    <w:p w14:paraId="50AEDB73">
      <w:pPr>
        <w:ind w:firstLine="632"/>
      </w:pPr>
      <w:r>
        <w:rPr>
          <w:rFonts w:hint="eastAsia"/>
        </w:rPr>
        <w:t>煤矿生产安全事故应急工作坚持以人为本，坚持人民至上、生命至上，把保护人民生命安全摆在首位，贯彻安全发展理念，坚持安全第一、预防为主、综合治理的方针，从源头上防范化解重大安全风险。</w:t>
      </w:r>
    </w:p>
    <w:p w14:paraId="3C530678">
      <w:pPr>
        <w:pStyle w:val="3"/>
        <w:numPr>
          <w:ilvl w:val="0"/>
          <w:numId w:val="109"/>
        </w:numPr>
        <w:tabs>
          <w:tab w:val="left" w:pos="0"/>
        </w:tabs>
        <w:rPr>
          <w:rFonts w:ascii="楷体_GB2312" w:hAnsi="楷体_GB2312" w:eastAsia="楷体_GB2312" w:cs="楷体_GB2312"/>
        </w:rPr>
      </w:pPr>
      <w:bookmarkStart w:id="552" w:name="_Toc2680"/>
      <w:r>
        <w:rPr>
          <w:rFonts w:hint="eastAsia" w:ascii="楷体_GB2312" w:hAnsi="楷体_GB2312" w:eastAsia="楷体_GB2312" w:cs="楷体_GB2312"/>
        </w:rPr>
        <w:t>事故分级</w:t>
      </w:r>
      <w:bookmarkEnd w:id="552"/>
    </w:p>
    <w:p w14:paraId="58DFFA6B">
      <w:pPr>
        <w:ind w:firstLine="632"/>
      </w:pPr>
      <w:bookmarkStart w:id="553" w:name="1.5__分级应对与响应分级"/>
      <w:bookmarkEnd w:id="553"/>
      <w:r>
        <w:rPr>
          <w:rFonts w:hint="eastAsia"/>
        </w:rPr>
        <w:t>根据煤矿生产安全事故应急管理需要，按照事故危害程度、人员伤亡、经济损失和影响范围，将煤矿生产安全事故分为特别重大、重大、较大和一般四个级别。根据生产安全事故应急管理需要，出现相应级别情形时启动I级、Ⅱ级、Ⅲ级、Ⅳ级应急响应。</w:t>
      </w:r>
    </w:p>
    <w:p w14:paraId="1C51F117">
      <w:pPr>
        <w:pStyle w:val="4"/>
        <w:numPr>
          <w:ilvl w:val="2"/>
          <w:numId w:val="109"/>
        </w:numPr>
        <w:tabs>
          <w:tab w:val="left" w:pos="0"/>
        </w:tabs>
      </w:pPr>
      <w:r>
        <w:rPr>
          <w:rFonts w:hint="eastAsia"/>
        </w:rPr>
        <w:t>特别重大事故（Ⅰ级）</w:t>
      </w:r>
    </w:p>
    <w:p w14:paraId="069CA1AE">
      <w:pPr>
        <w:numPr>
          <w:ilvl w:val="0"/>
          <w:numId w:val="110"/>
        </w:numPr>
        <w:ind w:firstLine="632"/>
      </w:pPr>
      <w:r>
        <w:rPr>
          <w:rFonts w:hint="eastAsia"/>
        </w:rPr>
        <w:t>已经或可能造成30人以上死亡（含失踪，下同），或者100人以上重伤（包括急性工业中毒，下同），或者1亿元以上直接经济损失的；</w:t>
      </w:r>
    </w:p>
    <w:p w14:paraId="01482B54">
      <w:pPr>
        <w:numPr>
          <w:ilvl w:val="0"/>
          <w:numId w:val="110"/>
        </w:numPr>
        <w:ind w:firstLine="632"/>
      </w:pPr>
      <w:r>
        <w:rPr>
          <w:rFonts w:hint="eastAsia"/>
        </w:rPr>
        <w:t>事故事态发展严重，产生特别严重社会影响的；</w:t>
      </w:r>
    </w:p>
    <w:p w14:paraId="5A5A7D12">
      <w:pPr>
        <w:numPr>
          <w:ilvl w:val="0"/>
          <w:numId w:val="110"/>
        </w:numPr>
        <w:ind w:firstLine="632"/>
      </w:pPr>
      <w:r>
        <w:rPr>
          <w:rFonts w:hint="eastAsia"/>
        </w:rPr>
        <w:t>国务院认定为特别重大事故的。</w:t>
      </w:r>
    </w:p>
    <w:p w14:paraId="5F5FA7BC">
      <w:pPr>
        <w:pStyle w:val="4"/>
        <w:numPr>
          <w:ilvl w:val="2"/>
          <w:numId w:val="109"/>
        </w:numPr>
        <w:tabs>
          <w:tab w:val="left" w:pos="0"/>
        </w:tabs>
      </w:pPr>
      <w:r>
        <w:rPr>
          <w:rFonts w:hint="eastAsia"/>
        </w:rPr>
        <w:t>重大事故（Ⅱ级）</w:t>
      </w:r>
    </w:p>
    <w:p w14:paraId="3B698EE8">
      <w:pPr>
        <w:numPr>
          <w:ilvl w:val="0"/>
          <w:numId w:val="111"/>
        </w:numPr>
        <w:ind w:firstLine="632"/>
      </w:pPr>
      <w:r>
        <w:rPr>
          <w:rFonts w:hint="eastAsia"/>
        </w:rPr>
        <w:t>已经或可能造成10人以上、30人以下死亡，或者50人以上、100人以下重伤，或者5000万元以上、1亿元以下直接经济损失的事故；</w:t>
      </w:r>
    </w:p>
    <w:p w14:paraId="3BF47D30">
      <w:pPr>
        <w:numPr>
          <w:ilvl w:val="0"/>
          <w:numId w:val="111"/>
        </w:numPr>
        <w:ind w:firstLine="632"/>
      </w:pPr>
      <w:r>
        <w:rPr>
          <w:rFonts w:hint="eastAsia"/>
        </w:rPr>
        <w:t>事故造成严重社会影响，超出县人民政府应急处置能力的；</w:t>
      </w:r>
    </w:p>
    <w:p w14:paraId="5625DBAB">
      <w:pPr>
        <w:numPr>
          <w:ilvl w:val="0"/>
          <w:numId w:val="111"/>
        </w:numPr>
        <w:ind w:firstLine="632"/>
      </w:pPr>
      <w:r>
        <w:rPr>
          <w:rFonts w:hint="eastAsia"/>
        </w:rPr>
        <w:t>省人民政府认定为重大事故的。</w:t>
      </w:r>
    </w:p>
    <w:p w14:paraId="4A6976FC">
      <w:pPr>
        <w:pStyle w:val="4"/>
        <w:numPr>
          <w:ilvl w:val="2"/>
          <w:numId w:val="109"/>
        </w:numPr>
        <w:tabs>
          <w:tab w:val="left" w:pos="0"/>
        </w:tabs>
      </w:pPr>
      <w:r>
        <w:rPr>
          <w:rFonts w:hint="eastAsia"/>
        </w:rPr>
        <w:t>较大事故（Ⅲ级）</w:t>
      </w:r>
    </w:p>
    <w:p w14:paraId="10FCDCF9">
      <w:pPr>
        <w:numPr>
          <w:ilvl w:val="0"/>
          <w:numId w:val="112"/>
        </w:numPr>
        <w:ind w:firstLine="632"/>
      </w:pPr>
      <w:r>
        <w:rPr>
          <w:rFonts w:hint="eastAsia"/>
        </w:rPr>
        <w:t>已经或可能造成3人以上、10人以下死亡，或者10人以上、50人以下重伤，或者1000万元以上、5000万元以下直接经济损失的事故；</w:t>
      </w:r>
    </w:p>
    <w:p w14:paraId="5971DE5E">
      <w:pPr>
        <w:numPr>
          <w:ilvl w:val="0"/>
          <w:numId w:val="112"/>
        </w:numPr>
        <w:ind w:firstLine="632"/>
      </w:pPr>
      <w:r>
        <w:rPr>
          <w:rFonts w:hint="eastAsia"/>
        </w:rPr>
        <w:t>事故造成较大社会影响，超出县级政府应急处置能力的；</w:t>
      </w:r>
    </w:p>
    <w:p w14:paraId="62282331">
      <w:pPr>
        <w:numPr>
          <w:ilvl w:val="0"/>
          <w:numId w:val="112"/>
        </w:numPr>
        <w:ind w:firstLine="632"/>
      </w:pPr>
      <w:r>
        <w:rPr>
          <w:rFonts w:hint="eastAsia"/>
        </w:rPr>
        <w:t>市政府认定为较大事故的。</w:t>
      </w:r>
    </w:p>
    <w:p w14:paraId="36CEABF6">
      <w:pPr>
        <w:pStyle w:val="4"/>
        <w:numPr>
          <w:ilvl w:val="2"/>
          <w:numId w:val="109"/>
        </w:numPr>
        <w:tabs>
          <w:tab w:val="left" w:pos="0"/>
        </w:tabs>
      </w:pPr>
      <w:r>
        <w:rPr>
          <w:rFonts w:hint="eastAsia"/>
        </w:rPr>
        <w:t>一般事故（Ⅳ级）</w:t>
      </w:r>
    </w:p>
    <w:p w14:paraId="58CD25B2">
      <w:pPr>
        <w:numPr>
          <w:ilvl w:val="0"/>
          <w:numId w:val="113"/>
        </w:numPr>
        <w:ind w:firstLine="632"/>
      </w:pPr>
      <w:r>
        <w:rPr>
          <w:rFonts w:hint="eastAsia"/>
        </w:rPr>
        <w:t>已经或者可能造成3人以下死亡，或者10人以下重伤，或者1000万元以下直接经济损失的事故；</w:t>
      </w:r>
    </w:p>
    <w:p w14:paraId="7689B79F">
      <w:pPr>
        <w:numPr>
          <w:ilvl w:val="0"/>
          <w:numId w:val="113"/>
        </w:numPr>
        <w:ind w:firstLine="632"/>
      </w:pPr>
      <w:r>
        <w:rPr>
          <w:rFonts w:hint="eastAsia"/>
        </w:rPr>
        <w:t>事故产生一定社会影响的。</w:t>
      </w:r>
    </w:p>
    <w:p w14:paraId="74B812D6">
      <w:pPr>
        <w:pStyle w:val="2"/>
        <w:numPr>
          <w:ilvl w:val="0"/>
          <w:numId w:val="109"/>
        </w:numPr>
        <w:tabs>
          <w:tab w:val="left" w:pos="0"/>
        </w:tabs>
      </w:pPr>
      <w:bookmarkStart w:id="554" w:name="_Toc6036"/>
      <w:r>
        <w:rPr>
          <w:rFonts w:hint="eastAsia"/>
        </w:rPr>
        <w:t>组织指挥体系</w:t>
      </w:r>
      <w:bookmarkEnd w:id="554"/>
    </w:p>
    <w:p w14:paraId="324193B0">
      <w:pPr>
        <w:pStyle w:val="3"/>
        <w:numPr>
          <w:ilvl w:val="0"/>
          <w:numId w:val="109"/>
        </w:numPr>
        <w:tabs>
          <w:tab w:val="left" w:pos="0"/>
        </w:tabs>
        <w:rPr>
          <w:rFonts w:ascii="楷体_GB2312" w:hAnsi="楷体_GB2312" w:eastAsia="楷体_GB2312" w:cs="楷体_GB2312"/>
        </w:rPr>
      </w:pPr>
      <w:bookmarkStart w:id="555" w:name="_Toc6937"/>
      <w:r>
        <w:rPr>
          <w:rFonts w:hint="eastAsia" w:ascii="楷体_GB2312" w:hAnsi="楷体_GB2312" w:eastAsia="楷体_GB2312" w:cs="楷体_GB2312"/>
        </w:rPr>
        <w:t>县煤矿生产安全事故指挥部</w:t>
      </w:r>
      <w:bookmarkEnd w:id="555"/>
    </w:p>
    <w:p w14:paraId="37216F93">
      <w:pPr>
        <w:ind w:firstLine="632"/>
        <w:rPr>
          <w:rFonts w:ascii="仿宋_GB2312" w:hAnsi="仿宋_GB2312" w:cs="仿宋_GB2312"/>
        </w:rPr>
      </w:pPr>
      <w:r>
        <w:rPr>
          <w:rFonts w:hint="eastAsia" w:ascii="仿宋_GB2312" w:hAnsi="仿宋_GB2312" w:cs="仿宋_GB2312"/>
        </w:rPr>
        <w:t>为加强应急救援工作领导，提高应急救援队伍整体作战能力，成立集贤县煤矿生产安全事故应急救援指挥部（以下简称县指挥部），负责我县辖区内一般及以上煤矿生产安全事故风险防控、应急准备、监测与预警、应急处置与救援及善后处置等工作，负责一般煤矿生产安全事故的应对处理。</w:t>
      </w:r>
    </w:p>
    <w:p w14:paraId="44BECE98">
      <w:pPr>
        <w:pStyle w:val="21"/>
        <w:ind w:firstLine="632"/>
        <w:rPr>
          <w:rFonts w:ascii="仿宋_GB2312" w:hAnsi="仿宋_GB2312" w:eastAsia="仿宋_GB2312" w:cs="仿宋_GB2312"/>
          <w:lang w:val="en-US"/>
        </w:rPr>
      </w:pPr>
      <w:r>
        <w:rPr>
          <w:rFonts w:hint="eastAsia" w:ascii="仿宋_GB2312" w:hAnsi="仿宋_GB2312" w:eastAsia="仿宋_GB2312" w:cs="仿宋_GB2312"/>
          <w:lang w:val="en-US"/>
        </w:rPr>
        <w:t>总 指 挥：县政府分管煤矿安全工作的副县长</w:t>
      </w:r>
    </w:p>
    <w:p w14:paraId="5C173C4A">
      <w:pPr>
        <w:pStyle w:val="21"/>
        <w:ind w:firstLine="632"/>
        <w:rPr>
          <w:rFonts w:ascii="仿宋_GB2312" w:hAnsi="仿宋_GB2312" w:eastAsia="仿宋_GB2312" w:cs="仿宋_GB2312"/>
          <w:lang w:val="en-US"/>
        </w:rPr>
      </w:pPr>
      <w:r>
        <w:rPr>
          <w:rFonts w:hint="eastAsia" w:ascii="仿宋_GB2312" w:hAnsi="仿宋_GB2312" w:eastAsia="仿宋_GB2312" w:cs="仿宋_GB2312"/>
          <w:lang w:val="en-US"/>
        </w:rPr>
        <w:t>副总指挥：县煤管局、县应急管理局局长</w:t>
      </w:r>
    </w:p>
    <w:p w14:paraId="6A6D7C04">
      <w:pPr>
        <w:pStyle w:val="21"/>
        <w:ind w:firstLine="632"/>
        <w:rPr>
          <w:rFonts w:ascii="仿宋_GB2312" w:hAnsi="仿宋_GB2312" w:eastAsia="仿宋_GB2312" w:cs="仿宋_GB2312"/>
          <w:lang w:val="en-US"/>
        </w:rPr>
      </w:pPr>
      <w:r>
        <w:rPr>
          <w:rFonts w:hint="eastAsia" w:ascii="仿宋_GB2312" w:hAnsi="仿宋_GB2312" w:eastAsia="仿宋_GB2312" w:cs="仿宋_GB2312"/>
          <w:lang w:val="en-US"/>
        </w:rPr>
        <w:t>成员单位：县委宣传部、县发展和改革局、县工业信息科技局、县公安局、县民政局、县财政局、县人力资源和社会保障局、县自然资源局、县交通运输局、县水务局、县卫生健康局、县应急管理局、县煤管局、双鸭山市集贤生态环境局、县气象局、县人武部、县总工会、县消防救援大队、国网黑龙江省电力公司集贤县供电公司（以下简称县供电公司）、中国移动通信集团黑龙江有限公司集贤县分公司（以下简称移动公司）、中国联合网络通信有限公司集贤县分公司（以下简称联通公司）、中国电信股份有限公司集贤分公司（以下简称电信公司）、中国人民财产保险股份有限公司集贤支公司（以下简称人保财险公司）、中国人寿财产保险股份有限公司集贤县支公司（以下简称人寿财险公司）等保险公司、事发地乡镇政府。</w:t>
      </w:r>
    </w:p>
    <w:p w14:paraId="2C55D1D5">
      <w:pPr>
        <w:pStyle w:val="21"/>
        <w:ind w:firstLine="632"/>
        <w:rPr>
          <w:rFonts w:ascii="仿宋_GB2312" w:hAnsi="仿宋_GB2312" w:eastAsia="仿宋_GB2312" w:cs="仿宋_GB2312"/>
          <w:lang w:val="en-US"/>
        </w:rPr>
      </w:pPr>
      <w:r>
        <w:rPr>
          <w:rFonts w:hint="eastAsia" w:ascii="仿宋_GB2312" w:hAnsi="仿宋_GB2312" w:eastAsia="仿宋_GB2312" w:cs="仿宋_GB2312"/>
          <w:lang w:val="en-US"/>
        </w:rPr>
        <w:t>县指挥部下设煤矿生产安全事故应急救援办公室（以下简称县应急办），办公室设在县煤炭管理局，办公室主任由县煤炭管理局局长兼任。</w:t>
      </w:r>
    </w:p>
    <w:p w14:paraId="1C4DCD43">
      <w:pPr>
        <w:pStyle w:val="4"/>
        <w:numPr>
          <w:ilvl w:val="2"/>
          <w:numId w:val="109"/>
        </w:numPr>
        <w:tabs>
          <w:tab w:val="left" w:pos="0"/>
        </w:tabs>
      </w:pPr>
      <w:r>
        <w:rPr>
          <w:rFonts w:hint="eastAsia"/>
        </w:rPr>
        <w:t>县指挥部职责</w:t>
      </w:r>
    </w:p>
    <w:p w14:paraId="2DE2EA45">
      <w:pPr>
        <w:numPr>
          <w:ilvl w:val="0"/>
          <w:numId w:val="114"/>
        </w:numPr>
        <w:ind w:firstLine="632"/>
      </w:pPr>
      <w:r>
        <w:rPr>
          <w:rFonts w:hint="eastAsia"/>
        </w:rPr>
        <w:t>贯彻落实上级党委政府及县委县政府关于煤矿安全生产工作的决策部署，统筹协调全县煤矿事故防范和隐患排查治理工作，制定煤矿安全生产总体规划、重要措施，负责全县煤矿应急救援体系建设；</w:t>
      </w:r>
    </w:p>
    <w:p w14:paraId="13CA908E">
      <w:pPr>
        <w:numPr>
          <w:ilvl w:val="0"/>
          <w:numId w:val="114"/>
        </w:numPr>
        <w:ind w:firstLine="632"/>
      </w:pPr>
      <w:r>
        <w:rPr>
          <w:rFonts w:hint="eastAsia"/>
        </w:rPr>
        <w:t>负责启动、实施、终止应急响应，发布应急指令；</w:t>
      </w:r>
    </w:p>
    <w:p w14:paraId="4B068C9A">
      <w:pPr>
        <w:numPr>
          <w:ilvl w:val="0"/>
          <w:numId w:val="114"/>
        </w:numPr>
        <w:ind w:firstLine="632"/>
      </w:pPr>
      <w:r>
        <w:rPr>
          <w:rFonts w:hint="eastAsia"/>
        </w:rPr>
        <w:t>组织、协调和指导全县地方煤矿生产安全事故应急救援工作；</w:t>
      </w:r>
    </w:p>
    <w:p w14:paraId="0BE7AE4D">
      <w:pPr>
        <w:numPr>
          <w:ilvl w:val="0"/>
          <w:numId w:val="114"/>
        </w:numPr>
        <w:ind w:firstLine="632"/>
      </w:pPr>
      <w:r>
        <w:rPr>
          <w:rFonts w:hint="eastAsia"/>
        </w:rPr>
        <w:t>负责煤矿事故信息发布工作；</w:t>
      </w:r>
    </w:p>
    <w:p w14:paraId="1B5CB3A0">
      <w:pPr>
        <w:numPr>
          <w:ilvl w:val="0"/>
          <w:numId w:val="114"/>
        </w:numPr>
        <w:ind w:firstLine="632"/>
      </w:pPr>
      <w:r>
        <w:rPr>
          <w:rFonts w:hint="eastAsia"/>
        </w:rPr>
        <w:t>向县委县政府及上级有关部门报告应急工作的情况；</w:t>
      </w:r>
    </w:p>
    <w:p w14:paraId="7B486CFC">
      <w:pPr>
        <w:numPr>
          <w:ilvl w:val="0"/>
          <w:numId w:val="114"/>
        </w:numPr>
        <w:ind w:firstLine="632"/>
      </w:pPr>
      <w:r>
        <w:rPr>
          <w:rFonts w:hint="eastAsia"/>
        </w:rPr>
        <w:t>落实县委县政府和县应急救援总指挥部交办的其他重大事项。</w:t>
      </w:r>
    </w:p>
    <w:p w14:paraId="054ADB10">
      <w:pPr>
        <w:pStyle w:val="4"/>
        <w:numPr>
          <w:ilvl w:val="2"/>
          <w:numId w:val="109"/>
        </w:numPr>
        <w:tabs>
          <w:tab w:val="left" w:pos="0"/>
        </w:tabs>
      </w:pPr>
      <w:r>
        <w:rPr>
          <w:rFonts w:hint="eastAsia"/>
        </w:rPr>
        <w:t>县应急办职责</w:t>
      </w:r>
    </w:p>
    <w:p w14:paraId="5D47ED89">
      <w:pPr>
        <w:numPr>
          <w:ilvl w:val="0"/>
          <w:numId w:val="115"/>
        </w:numPr>
        <w:ind w:firstLine="632"/>
      </w:pPr>
      <w:r>
        <w:rPr>
          <w:rFonts w:hint="eastAsia"/>
        </w:rPr>
        <w:t>承担县指挥部日常工作，制定修订县煤矿事故应急预案，组织开展应急宣传、培训和演练；</w:t>
      </w:r>
    </w:p>
    <w:p w14:paraId="3496D120">
      <w:pPr>
        <w:numPr>
          <w:ilvl w:val="0"/>
          <w:numId w:val="115"/>
        </w:numPr>
        <w:ind w:firstLine="632"/>
      </w:pPr>
      <w:r>
        <w:rPr>
          <w:rFonts w:hint="eastAsia"/>
        </w:rPr>
        <w:t>贯彻落实县指挥部有关煤矿应急管理的各项工作部署；</w:t>
      </w:r>
    </w:p>
    <w:p w14:paraId="6D99142C">
      <w:pPr>
        <w:numPr>
          <w:ilvl w:val="0"/>
          <w:numId w:val="115"/>
        </w:numPr>
        <w:ind w:firstLine="632"/>
      </w:pPr>
      <w:r>
        <w:rPr>
          <w:rFonts w:hint="eastAsia"/>
        </w:rPr>
        <w:t>收集汇总分析煤矿事故信息；</w:t>
      </w:r>
    </w:p>
    <w:p w14:paraId="2203DFE1">
      <w:pPr>
        <w:numPr>
          <w:ilvl w:val="0"/>
          <w:numId w:val="115"/>
        </w:numPr>
        <w:ind w:firstLine="632"/>
      </w:pPr>
      <w:r>
        <w:rPr>
          <w:rFonts w:hint="eastAsia"/>
        </w:rPr>
        <w:t>组织、协调调动成员单位、应急队伍、装备参加应急救援行动；</w:t>
      </w:r>
    </w:p>
    <w:p w14:paraId="6DB4A463">
      <w:pPr>
        <w:numPr>
          <w:ilvl w:val="0"/>
          <w:numId w:val="115"/>
        </w:numPr>
        <w:ind w:firstLine="632"/>
      </w:pPr>
      <w:r>
        <w:rPr>
          <w:rFonts w:hint="eastAsia"/>
        </w:rPr>
        <w:t>向县委县政府和上级有关部门报告煤矿应急工作情况；</w:t>
      </w:r>
    </w:p>
    <w:p w14:paraId="745BFA38">
      <w:pPr>
        <w:numPr>
          <w:ilvl w:val="0"/>
          <w:numId w:val="115"/>
        </w:numPr>
        <w:ind w:firstLine="632"/>
      </w:pPr>
      <w:r>
        <w:rPr>
          <w:rFonts w:hint="eastAsia"/>
        </w:rPr>
        <w:t>组织煤矿企业开展安全风险管控和隐患排查治理工作；</w:t>
      </w:r>
    </w:p>
    <w:p w14:paraId="6FAE0698">
      <w:pPr>
        <w:numPr>
          <w:ilvl w:val="0"/>
          <w:numId w:val="115"/>
        </w:numPr>
        <w:ind w:firstLine="632"/>
      </w:pPr>
      <w:r>
        <w:rPr>
          <w:rFonts w:hint="eastAsia"/>
        </w:rPr>
        <w:t>协调做好煤矿信息发布、事故调查和善后处置工作；</w:t>
      </w:r>
    </w:p>
    <w:p w14:paraId="3E5854FC">
      <w:pPr>
        <w:numPr>
          <w:ilvl w:val="0"/>
          <w:numId w:val="115"/>
        </w:numPr>
        <w:ind w:firstLine="632"/>
      </w:pPr>
      <w:r>
        <w:rPr>
          <w:rFonts w:hint="eastAsia"/>
        </w:rPr>
        <w:t>组建应急救援专家组；</w:t>
      </w:r>
    </w:p>
    <w:p w14:paraId="32192DCB">
      <w:pPr>
        <w:numPr>
          <w:ilvl w:val="0"/>
          <w:numId w:val="115"/>
        </w:numPr>
        <w:ind w:firstLine="632"/>
      </w:pPr>
      <w:r>
        <w:rPr>
          <w:rFonts w:hint="eastAsia"/>
        </w:rPr>
        <w:t>承担县指挥部交办的其他工作</w:t>
      </w:r>
    </w:p>
    <w:p w14:paraId="13A10957">
      <w:pPr>
        <w:pStyle w:val="4"/>
        <w:numPr>
          <w:ilvl w:val="2"/>
          <w:numId w:val="109"/>
        </w:numPr>
        <w:tabs>
          <w:tab w:val="left" w:pos="0"/>
        </w:tabs>
      </w:pPr>
      <w:r>
        <w:rPr>
          <w:rFonts w:hint="eastAsia"/>
          <w:bCs/>
        </w:rPr>
        <w:t>成员单位主要职责</w:t>
      </w:r>
    </w:p>
    <w:p w14:paraId="11D62611">
      <w:pPr>
        <w:ind w:firstLine="634"/>
      </w:pPr>
      <w:r>
        <w:rPr>
          <w:rFonts w:hint="eastAsia"/>
          <w:b/>
          <w:bCs/>
        </w:rPr>
        <w:t>县委宣传部：</w:t>
      </w:r>
      <w:r>
        <w:rPr>
          <w:rFonts w:hint="eastAsia"/>
        </w:rPr>
        <w:t>根据县指挥部安排，协调新闻媒体做好煤矿事故信息发布、新闻报道和舆论引导工作；根据县指挥部安排，协调相关记者做好事故处置的信息发布和舆论引导工作。</w:t>
      </w:r>
    </w:p>
    <w:p w14:paraId="60391FD9">
      <w:pPr>
        <w:ind w:firstLine="634"/>
      </w:pPr>
      <w:r>
        <w:rPr>
          <w:rFonts w:hint="eastAsia"/>
          <w:b/>
          <w:bCs/>
        </w:rPr>
        <w:t>县公安局：</w:t>
      </w:r>
      <w:r>
        <w:rPr>
          <w:rFonts w:hint="eastAsia"/>
        </w:rPr>
        <w:t>组织对事故责任人依法采取行政强制措施；对事发区域道路实施交通管制和疏导；对遇难者进行身份确认。</w:t>
      </w:r>
    </w:p>
    <w:p w14:paraId="373E1CDA">
      <w:pPr>
        <w:ind w:firstLine="634"/>
      </w:pPr>
      <w:r>
        <w:rPr>
          <w:rFonts w:hint="eastAsia"/>
          <w:b/>
          <w:bCs/>
        </w:rPr>
        <w:t>县民政局：</w:t>
      </w:r>
      <w:r>
        <w:rPr>
          <w:rFonts w:hint="eastAsia"/>
        </w:rPr>
        <w:t>负责协调做好符合条件的遇险遇难人员临时的生活救助以及遇难人员遗体处置工作。</w:t>
      </w:r>
    </w:p>
    <w:p w14:paraId="0FE92563">
      <w:pPr>
        <w:ind w:firstLine="634"/>
      </w:pPr>
      <w:r>
        <w:rPr>
          <w:rFonts w:hint="eastAsia"/>
          <w:b/>
          <w:bCs/>
        </w:rPr>
        <w:t>县财政局：</w:t>
      </w:r>
      <w:r>
        <w:rPr>
          <w:rFonts w:hint="eastAsia"/>
        </w:rPr>
        <w:t>负责煤矿事故应急所需经费保障，并做好应急资金使用的监督管理工作。</w:t>
      </w:r>
    </w:p>
    <w:p w14:paraId="69A2F4DF">
      <w:pPr>
        <w:ind w:firstLine="634"/>
      </w:pPr>
      <w:r>
        <w:rPr>
          <w:rFonts w:hint="eastAsia"/>
          <w:b/>
          <w:bCs/>
        </w:rPr>
        <w:t>县人力资源和社会保障局：</w:t>
      </w:r>
      <w:r>
        <w:rPr>
          <w:rFonts w:hint="eastAsia"/>
        </w:rPr>
        <w:t>负责落实事故伤亡人员工伤保险的相关工作；依法查处和督办煤矿劳动保障违法案件。</w:t>
      </w:r>
    </w:p>
    <w:p w14:paraId="47C34242">
      <w:pPr>
        <w:ind w:firstLine="634"/>
      </w:pPr>
      <w:r>
        <w:rPr>
          <w:rFonts w:hint="eastAsia"/>
          <w:b/>
          <w:bCs/>
        </w:rPr>
        <w:t>县自然资源局：</w:t>
      </w:r>
      <w:r>
        <w:rPr>
          <w:rFonts w:hint="eastAsia"/>
        </w:rPr>
        <w:t>负责地质灾害险情动态监测和预报，及时发布相关预警信息；负责全县矿业权管理，负责矿产资源管理工作；参与因超层越界开采、私挖滥采、地质灾害引发煤矿事故的抢险救援和善后处置工作。</w:t>
      </w:r>
    </w:p>
    <w:p w14:paraId="6BBDDD66">
      <w:pPr>
        <w:ind w:firstLine="634"/>
      </w:pPr>
      <w:r>
        <w:rPr>
          <w:rFonts w:hint="eastAsia"/>
          <w:b/>
          <w:bCs/>
        </w:rPr>
        <w:t>县交通运输局：</w:t>
      </w:r>
      <w:r>
        <w:rPr>
          <w:rFonts w:hint="eastAsia"/>
        </w:rPr>
        <w:t>组织、调运公路运输应急保障车辆，保障抢险救援人员和物资运输通道畅通。</w:t>
      </w:r>
    </w:p>
    <w:p w14:paraId="1E7549C6">
      <w:pPr>
        <w:ind w:firstLine="634"/>
      </w:pPr>
      <w:r>
        <w:rPr>
          <w:rFonts w:hint="eastAsia"/>
          <w:b/>
          <w:bCs/>
        </w:rPr>
        <w:t>县水务局：</w:t>
      </w:r>
      <w:r>
        <w:rPr>
          <w:rFonts w:hint="eastAsia"/>
        </w:rPr>
        <w:t>根据应急处置需要，提供事发地附近河流、水体的相关信息，对因洪涝灾害引发煤矿事故的抢险救援工作提出相关指导意见。</w:t>
      </w:r>
    </w:p>
    <w:p w14:paraId="497BB15E">
      <w:pPr>
        <w:ind w:firstLine="634"/>
      </w:pPr>
      <w:r>
        <w:rPr>
          <w:rFonts w:hint="eastAsia"/>
          <w:b/>
          <w:bCs/>
        </w:rPr>
        <w:t>县卫生健康局：</w:t>
      </w:r>
      <w:r>
        <w:rPr>
          <w:rFonts w:hint="eastAsia"/>
        </w:rPr>
        <w:t>负责组织医疗卫生机构开展煤矿事故受伤人员医疗救治、现场卫生防疫等工作；根据县指挥部的指令和救援需要，请求上级和协调周边县（市、区）医疗卫生资源给予援助。</w:t>
      </w:r>
    </w:p>
    <w:p w14:paraId="21A2F6B9">
      <w:pPr>
        <w:ind w:firstLine="634"/>
      </w:pPr>
      <w:r>
        <w:rPr>
          <w:rFonts w:hint="eastAsia"/>
          <w:b/>
          <w:bCs/>
        </w:rPr>
        <w:t>县应急管理局：</w:t>
      </w:r>
      <w:r>
        <w:rPr>
          <w:rFonts w:hint="eastAsia"/>
        </w:rPr>
        <w:t>负责全县煤矿安全生产应急救援体系建设和应急日常管理工作；组织、协调、指导和监督煤矿企业安全生产、地质灾害防治和防汛工作；负责提供事发区域的地震数据和技术支持工作。</w:t>
      </w:r>
    </w:p>
    <w:p w14:paraId="22FCBC8A">
      <w:pPr>
        <w:ind w:firstLine="634"/>
      </w:pPr>
      <w:r>
        <w:rPr>
          <w:rFonts w:hint="eastAsia"/>
          <w:b/>
          <w:bCs/>
        </w:rPr>
        <w:t>县煤管局：</w:t>
      </w:r>
      <w:r>
        <w:rPr>
          <w:rFonts w:hint="eastAsia"/>
        </w:rPr>
        <w:t>组织、指导和协调煤矿事故抢险和救援工作；组织专家制定煤矿事故应急处置方案，督促、指导、协调现场应急处置工作；根据应急处置需要，协调全县煤矿专业救援队伍、消防救援队伍、应急救援专家、应急救援物资等应急资源，参与煤矿事故的抢险救援工作。</w:t>
      </w:r>
    </w:p>
    <w:p w14:paraId="3181A6C2">
      <w:pPr>
        <w:ind w:firstLine="634"/>
      </w:pPr>
      <w:r>
        <w:rPr>
          <w:rFonts w:hint="eastAsia"/>
          <w:b/>
          <w:bCs/>
        </w:rPr>
        <w:t>双鸭山市集贤生态环境局：</w:t>
      </w:r>
      <w:r>
        <w:rPr>
          <w:rFonts w:hint="eastAsia"/>
        </w:rPr>
        <w:t>负责事故中环境监测工作；提出因煤矿事故可能造成环境污染事件的应急处置建议，为县指挥部决策提供参考；指导和监督污染物收集、清理和处置，受污染和破坏的生态环境恢复等。</w:t>
      </w:r>
    </w:p>
    <w:p w14:paraId="26015725">
      <w:pPr>
        <w:ind w:firstLine="634"/>
      </w:pPr>
      <w:r>
        <w:rPr>
          <w:rFonts w:hint="eastAsia"/>
          <w:b/>
          <w:bCs/>
        </w:rPr>
        <w:t>县气象局：</w:t>
      </w:r>
      <w:r>
        <w:rPr>
          <w:rFonts w:hint="eastAsia"/>
        </w:rPr>
        <w:t>负责暴雨等灾害性天气的监测、预报、预警；负责事故救援现场的气象监测和气象预报等工作，提供短时临近天气预报服务和气象灾害情报。</w:t>
      </w:r>
    </w:p>
    <w:p w14:paraId="7A073825">
      <w:pPr>
        <w:ind w:firstLine="634"/>
      </w:pPr>
      <w:r>
        <w:rPr>
          <w:rFonts w:hint="eastAsia"/>
          <w:b/>
          <w:bCs/>
        </w:rPr>
        <w:t>县人武部：</w:t>
      </w:r>
      <w:r>
        <w:rPr>
          <w:rFonts w:hint="eastAsia"/>
        </w:rPr>
        <w:t>负责组织民兵应急分队参加煤矿事故应急抢险救援工作。</w:t>
      </w:r>
    </w:p>
    <w:p w14:paraId="6DDCFF90">
      <w:pPr>
        <w:ind w:firstLine="634"/>
      </w:pPr>
      <w:r>
        <w:rPr>
          <w:rFonts w:hint="eastAsia"/>
          <w:b/>
          <w:bCs/>
        </w:rPr>
        <w:t>县总工会：</w:t>
      </w:r>
      <w:r>
        <w:rPr>
          <w:rFonts w:hint="eastAsia"/>
        </w:rPr>
        <w:t>负责协调做好事故抢险时期的职工稳定工作，并依据国家相关法律法规维护职工的合法利益，监督企业对伤亡人员家属的安抚、抚恤等善后处理工作。</w:t>
      </w:r>
    </w:p>
    <w:p w14:paraId="4A5FF296">
      <w:pPr>
        <w:ind w:firstLine="634"/>
      </w:pPr>
      <w:r>
        <w:rPr>
          <w:rFonts w:hint="eastAsia"/>
          <w:b/>
          <w:bCs/>
        </w:rPr>
        <w:t>县消防救援大队：</w:t>
      </w:r>
      <w:r>
        <w:rPr>
          <w:rFonts w:hint="eastAsia"/>
        </w:rPr>
        <w:t>参与煤矿事故的应急救援工作。</w:t>
      </w:r>
    </w:p>
    <w:p w14:paraId="024B4DBB">
      <w:pPr>
        <w:ind w:firstLine="634"/>
      </w:pPr>
      <w:r>
        <w:rPr>
          <w:rFonts w:hint="eastAsia"/>
          <w:b/>
          <w:bCs/>
        </w:rPr>
        <w:t>县供电公司：</w:t>
      </w:r>
      <w:r>
        <w:rPr>
          <w:rFonts w:hint="eastAsia"/>
        </w:rPr>
        <w:t>协调电力企业做好煤矿事故抢险救援过程中的电力保障工作。</w:t>
      </w:r>
    </w:p>
    <w:p w14:paraId="19021678">
      <w:pPr>
        <w:ind w:firstLine="634"/>
      </w:pPr>
      <w:r>
        <w:rPr>
          <w:rFonts w:hint="eastAsia"/>
          <w:b/>
          <w:bCs/>
        </w:rPr>
        <w:t>移动、联通、电信公司：</w:t>
      </w:r>
      <w:r>
        <w:rPr>
          <w:rFonts w:hint="eastAsia"/>
        </w:rPr>
        <w:t>负责做好煤矿事故现场通信应急保障工作。</w:t>
      </w:r>
    </w:p>
    <w:p w14:paraId="06222832">
      <w:pPr>
        <w:ind w:firstLine="634"/>
      </w:pPr>
      <w:r>
        <w:rPr>
          <w:rFonts w:hint="eastAsia"/>
          <w:b/>
          <w:bCs/>
        </w:rPr>
        <w:t>人保财险公司、人寿财险公司：</w:t>
      </w:r>
      <w:r>
        <w:rPr>
          <w:rFonts w:hint="eastAsia"/>
        </w:rPr>
        <w:t>负责做好煤矿事故的保险理赔工作。</w:t>
      </w:r>
    </w:p>
    <w:p w14:paraId="647ABBE6">
      <w:pPr>
        <w:ind w:firstLine="634"/>
      </w:pPr>
      <w:r>
        <w:rPr>
          <w:rFonts w:hint="eastAsia"/>
          <w:b/>
          <w:bCs/>
        </w:rPr>
        <w:t>事发地乡镇政府：</w:t>
      </w:r>
      <w:r>
        <w:rPr>
          <w:rFonts w:hint="eastAsia"/>
        </w:rPr>
        <w:t>负责抢险救灾中的后勤保障，配合做好事故区域人员疏散、物资转移和受伤人员的善后工作。</w:t>
      </w:r>
    </w:p>
    <w:p w14:paraId="5CDDD7F2">
      <w:pPr>
        <w:pStyle w:val="3"/>
        <w:numPr>
          <w:ilvl w:val="0"/>
          <w:numId w:val="109"/>
        </w:numPr>
        <w:tabs>
          <w:tab w:val="left" w:pos="0"/>
        </w:tabs>
        <w:rPr>
          <w:rFonts w:ascii="楷体_GB2312" w:hAnsi="楷体_GB2312" w:eastAsia="楷体_GB2312" w:cs="楷体_GB2312"/>
        </w:rPr>
      </w:pPr>
      <w:bookmarkStart w:id="556" w:name="_Toc23342"/>
      <w:r>
        <w:rPr>
          <w:rFonts w:hint="eastAsia" w:ascii="楷体_GB2312" w:hAnsi="楷体_GB2312" w:eastAsia="楷体_GB2312" w:cs="楷体_GB2312"/>
        </w:rPr>
        <w:t>应急工作组</w:t>
      </w:r>
      <w:bookmarkEnd w:id="556"/>
    </w:p>
    <w:p w14:paraId="3371FE0D">
      <w:pPr>
        <w:ind w:firstLine="632"/>
      </w:pPr>
      <w:r>
        <w:rPr>
          <w:rFonts w:hint="eastAsia"/>
        </w:rPr>
        <w:t>县指挥部下设综合协调组、现场抢险组、技术专家组、应急保障组、医学救援组、治安警戒组、新闻宣传组和善后工作组8个应急工作组。</w:t>
      </w:r>
    </w:p>
    <w:p w14:paraId="35E82ECA">
      <w:pPr>
        <w:pStyle w:val="4"/>
        <w:numPr>
          <w:ilvl w:val="2"/>
          <w:numId w:val="109"/>
        </w:numPr>
        <w:tabs>
          <w:tab w:val="left" w:pos="0"/>
        </w:tabs>
      </w:pPr>
      <w:r>
        <w:rPr>
          <w:rFonts w:hint="eastAsia"/>
        </w:rPr>
        <w:t>综合协调组</w:t>
      </w:r>
    </w:p>
    <w:p w14:paraId="5A9B213D">
      <w:pPr>
        <w:ind w:firstLine="632"/>
      </w:pPr>
      <w:r>
        <w:rPr>
          <w:rFonts w:hint="eastAsia"/>
        </w:rPr>
        <w:t>牵头单位：县应急管理局</w:t>
      </w:r>
    </w:p>
    <w:p w14:paraId="743E831A">
      <w:pPr>
        <w:ind w:firstLine="632"/>
      </w:pPr>
      <w:r>
        <w:rPr>
          <w:rFonts w:hint="eastAsia"/>
        </w:rPr>
        <w:t>组成单位：县自然资源局、县煤管局、煤矿及主体企业。</w:t>
      </w:r>
    </w:p>
    <w:p w14:paraId="74AE8AE7">
      <w:pPr>
        <w:ind w:firstLine="632"/>
      </w:pPr>
      <w:r>
        <w:rPr>
          <w:rFonts w:hint="eastAsia"/>
        </w:rPr>
        <w:t>主要职责：协调应急救援队伍、交通、通信、物资、器材、生活保障抢险救援等相关工作，组织各应急工作组开展抢险救援；传达上级关于抢险救援工作的指示和意见，并负责督办落实；跟踪、报告和通报事故救援进展情况；负责现场应急值守等工作。</w:t>
      </w:r>
    </w:p>
    <w:p w14:paraId="356D0766">
      <w:pPr>
        <w:pStyle w:val="4"/>
        <w:numPr>
          <w:ilvl w:val="2"/>
          <w:numId w:val="109"/>
        </w:numPr>
        <w:tabs>
          <w:tab w:val="left" w:pos="0"/>
        </w:tabs>
      </w:pPr>
      <w:r>
        <w:rPr>
          <w:rFonts w:hint="eastAsia"/>
        </w:rPr>
        <w:t>现场抢险组</w:t>
      </w:r>
    </w:p>
    <w:p w14:paraId="4FA08C4A">
      <w:pPr>
        <w:ind w:firstLine="632"/>
      </w:pPr>
      <w:r>
        <w:rPr>
          <w:rFonts w:hint="eastAsia"/>
        </w:rPr>
        <w:t>牵头单位：县应急管理局</w:t>
      </w:r>
    </w:p>
    <w:p w14:paraId="7B316076">
      <w:pPr>
        <w:ind w:firstLine="632"/>
      </w:pPr>
      <w:r>
        <w:rPr>
          <w:rFonts w:hint="eastAsia"/>
        </w:rPr>
        <w:t>组成单位：县发展和改革局、县人武部、县消防救援大队、事发煤矿主体企业及煤矿。</w:t>
      </w:r>
    </w:p>
    <w:p w14:paraId="46746BAB">
      <w:pPr>
        <w:ind w:firstLine="632"/>
      </w:pPr>
      <w:r>
        <w:rPr>
          <w:rFonts w:hint="eastAsia"/>
        </w:rPr>
        <w:t>主要职责：负责组织制定抢险救援方案、技术措施和安全保障措施，指挥调度应急救援队伍、物资等应急资源，现场组织抢险救援工作等。</w:t>
      </w:r>
    </w:p>
    <w:p w14:paraId="77C689B1">
      <w:pPr>
        <w:pStyle w:val="4"/>
        <w:numPr>
          <w:ilvl w:val="2"/>
          <w:numId w:val="109"/>
        </w:numPr>
        <w:tabs>
          <w:tab w:val="left" w:pos="0"/>
        </w:tabs>
      </w:pPr>
      <w:r>
        <w:rPr>
          <w:rFonts w:hint="eastAsia"/>
        </w:rPr>
        <w:t>技术专家组</w:t>
      </w:r>
    </w:p>
    <w:p w14:paraId="4D748ABF">
      <w:pPr>
        <w:ind w:firstLine="632"/>
      </w:pPr>
      <w:r>
        <w:rPr>
          <w:rFonts w:hint="eastAsia"/>
        </w:rPr>
        <w:t>牵头单位：县应急管理局</w:t>
      </w:r>
    </w:p>
    <w:p w14:paraId="2759FA14">
      <w:pPr>
        <w:ind w:firstLine="632"/>
      </w:pPr>
      <w:r>
        <w:rPr>
          <w:rFonts w:hint="eastAsia"/>
        </w:rPr>
        <w:t>组成单位：县自然资源局、县煤管局、事发煤矿主体企业及煤矿等单位相关应急救援专家。</w:t>
      </w:r>
    </w:p>
    <w:p w14:paraId="700CFDB4">
      <w:pPr>
        <w:ind w:firstLine="632"/>
      </w:pPr>
      <w:r>
        <w:rPr>
          <w:rFonts w:hint="eastAsia"/>
        </w:rPr>
        <w:t>主要职责：制定具体的抢险救援方案；研究分析事故信息、灾害情况的演变和救援技术措施，为抢险救援决策提出意见和建议；提交抢险救援所需的物资目录；提出事故扩大防范措施建议；为恢复生产提供技术支持。</w:t>
      </w:r>
    </w:p>
    <w:p w14:paraId="55CD0A2A">
      <w:pPr>
        <w:pStyle w:val="4"/>
        <w:numPr>
          <w:ilvl w:val="2"/>
          <w:numId w:val="109"/>
        </w:numPr>
        <w:tabs>
          <w:tab w:val="left" w:pos="0"/>
        </w:tabs>
      </w:pPr>
      <w:r>
        <w:rPr>
          <w:rFonts w:hint="eastAsia"/>
        </w:rPr>
        <w:t>应急保障组</w:t>
      </w:r>
    </w:p>
    <w:p w14:paraId="3D32F724">
      <w:pPr>
        <w:ind w:firstLine="632"/>
      </w:pPr>
      <w:r>
        <w:rPr>
          <w:rFonts w:hint="eastAsia"/>
        </w:rPr>
        <w:t>牵头单位：县煤管局</w:t>
      </w:r>
    </w:p>
    <w:p w14:paraId="289A09BD">
      <w:pPr>
        <w:ind w:firstLine="632"/>
      </w:pPr>
      <w:r>
        <w:rPr>
          <w:rFonts w:hint="eastAsia"/>
        </w:rPr>
        <w:t>组成单位：县工业信息科技局、县公安局、县财政局、县交通运输局、县水务局、县应急管理局、县气象局、供电公司、移动公司、联通公司、电信公司、事发地乡镇政府、煤矿主体企业及煤矿。</w:t>
      </w:r>
    </w:p>
    <w:p w14:paraId="22EA41E4">
      <w:pPr>
        <w:ind w:firstLine="632"/>
      </w:pPr>
      <w:r>
        <w:rPr>
          <w:rFonts w:hint="eastAsia"/>
        </w:rPr>
        <w:t>主要职责：负责协调组织事故抢险救援所需的抢险物资、经费、运输、气象、通信、电力等各种保障，实施交通管制和疏导。</w:t>
      </w:r>
    </w:p>
    <w:p w14:paraId="2BCE3848">
      <w:pPr>
        <w:pStyle w:val="4"/>
        <w:numPr>
          <w:ilvl w:val="2"/>
          <w:numId w:val="109"/>
        </w:numPr>
        <w:tabs>
          <w:tab w:val="left" w:pos="0"/>
        </w:tabs>
      </w:pPr>
      <w:r>
        <w:rPr>
          <w:rFonts w:hint="eastAsia"/>
        </w:rPr>
        <w:t>医学救援组</w:t>
      </w:r>
    </w:p>
    <w:p w14:paraId="0C1A3AB7">
      <w:pPr>
        <w:ind w:firstLine="632"/>
      </w:pPr>
      <w:r>
        <w:rPr>
          <w:rFonts w:hint="eastAsia"/>
        </w:rPr>
        <w:t>牵头单位：县卫生健康局</w:t>
      </w:r>
    </w:p>
    <w:p w14:paraId="0B770D49">
      <w:pPr>
        <w:ind w:firstLine="632"/>
      </w:pPr>
      <w:r>
        <w:rPr>
          <w:rFonts w:hint="eastAsia"/>
        </w:rPr>
        <w:t>组成单位：县公安局、县民政局、双鸭山市集贤生态环境局。</w:t>
      </w:r>
    </w:p>
    <w:p w14:paraId="2912EB47">
      <w:pPr>
        <w:ind w:firstLine="632"/>
      </w:pPr>
      <w:r>
        <w:rPr>
          <w:rFonts w:hint="eastAsia"/>
        </w:rPr>
        <w:t>主要职责：组织医疗救治和卫生防疫；协调医疗器械、药品供应；协同组织遇难人员身份确认和遗体处置；监测、检测事发区域环境和水源等。</w:t>
      </w:r>
    </w:p>
    <w:p w14:paraId="792A8327">
      <w:pPr>
        <w:pStyle w:val="4"/>
        <w:numPr>
          <w:ilvl w:val="2"/>
          <w:numId w:val="109"/>
        </w:numPr>
        <w:tabs>
          <w:tab w:val="left" w:pos="0"/>
        </w:tabs>
      </w:pPr>
      <w:r>
        <w:rPr>
          <w:rFonts w:hint="eastAsia"/>
        </w:rPr>
        <w:t>治安警戒组</w:t>
      </w:r>
    </w:p>
    <w:p w14:paraId="738EBF9C">
      <w:pPr>
        <w:ind w:firstLine="632"/>
      </w:pPr>
      <w:r>
        <w:rPr>
          <w:rFonts w:hint="eastAsia"/>
        </w:rPr>
        <w:t>牵头单位：县公安局</w:t>
      </w:r>
    </w:p>
    <w:p w14:paraId="474E3094">
      <w:pPr>
        <w:ind w:firstLine="632"/>
      </w:pPr>
      <w:r>
        <w:rPr>
          <w:rFonts w:hint="eastAsia"/>
        </w:rPr>
        <w:t>组成单位：县人武部、事发地乡镇政府。</w:t>
      </w:r>
    </w:p>
    <w:p w14:paraId="7477389A">
      <w:pPr>
        <w:ind w:firstLine="632"/>
      </w:pPr>
      <w:r>
        <w:rPr>
          <w:rFonts w:hint="eastAsia"/>
        </w:rPr>
        <w:t>主要职责：负责维护矿区的治安和社会稳定，加强对现场重要目标、重点场所的防范保护，保障救援顺利进行。</w:t>
      </w:r>
    </w:p>
    <w:p w14:paraId="368B7E4F">
      <w:pPr>
        <w:pStyle w:val="4"/>
        <w:numPr>
          <w:ilvl w:val="2"/>
          <w:numId w:val="109"/>
        </w:numPr>
        <w:tabs>
          <w:tab w:val="left" w:pos="0"/>
        </w:tabs>
      </w:pPr>
      <w:r>
        <w:rPr>
          <w:rFonts w:hint="eastAsia"/>
        </w:rPr>
        <w:t>新闻宣传组</w:t>
      </w:r>
    </w:p>
    <w:p w14:paraId="6327FCAE">
      <w:pPr>
        <w:ind w:firstLine="632"/>
      </w:pPr>
      <w:r>
        <w:rPr>
          <w:rFonts w:hint="eastAsia"/>
        </w:rPr>
        <w:t>牵头单位：县委宣传部</w:t>
      </w:r>
    </w:p>
    <w:p w14:paraId="591B0687">
      <w:pPr>
        <w:ind w:firstLine="632"/>
      </w:pPr>
      <w:r>
        <w:rPr>
          <w:rFonts w:hint="eastAsia"/>
        </w:rPr>
        <w:t>组成单位：县应急管理局、县煤管局、县政府信息中心、县融媒体中心。</w:t>
      </w:r>
    </w:p>
    <w:p w14:paraId="7E74F577">
      <w:pPr>
        <w:ind w:firstLine="632"/>
      </w:pPr>
      <w:r>
        <w:rPr>
          <w:rFonts w:hint="eastAsia"/>
        </w:rPr>
        <w:t>主要职责：负责事故相关信息管理、信息发布、新闻报道、舆论引导、舆情监测和网络舆情调控工作。</w:t>
      </w:r>
    </w:p>
    <w:p w14:paraId="7982B5A0">
      <w:pPr>
        <w:pStyle w:val="4"/>
        <w:numPr>
          <w:ilvl w:val="2"/>
          <w:numId w:val="109"/>
        </w:numPr>
        <w:tabs>
          <w:tab w:val="left" w:pos="0"/>
        </w:tabs>
      </w:pPr>
      <w:r>
        <w:rPr>
          <w:rFonts w:hint="eastAsia"/>
        </w:rPr>
        <w:t>善后工作组</w:t>
      </w:r>
    </w:p>
    <w:p w14:paraId="39CD7313">
      <w:pPr>
        <w:ind w:firstLine="632"/>
      </w:pPr>
      <w:r>
        <w:rPr>
          <w:rFonts w:hint="eastAsia"/>
        </w:rPr>
        <w:t>牵头单位：县应急管理局</w:t>
      </w:r>
    </w:p>
    <w:p w14:paraId="7EF00A81">
      <w:pPr>
        <w:ind w:firstLine="632"/>
      </w:pPr>
      <w:r>
        <w:rPr>
          <w:rFonts w:hint="eastAsia"/>
        </w:rPr>
        <w:t>组成单位：县民政局、县人力资源和社会保障局、县自然资源局、双鸭山市集贤生态环境局、县总工会、事发地乡（镇）政府。</w:t>
      </w:r>
    </w:p>
    <w:p w14:paraId="0AFDA245">
      <w:pPr>
        <w:ind w:firstLine="632"/>
      </w:pPr>
      <w:r>
        <w:rPr>
          <w:rFonts w:hint="eastAsia"/>
        </w:rPr>
        <w:t>主要职责：负责抢险救援生活保障；遇险遇难人员亲属安置、安抚、救济；遇难人员遗体处置、抚恤、理赔；工伤保险待遇落实等；污染物收集、清理与处置，受污染和破坏的生态环境恢复等。</w:t>
      </w:r>
    </w:p>
    <w:p w14:paraId="1FE16DE8">
      <w:pPr>
        <w:ind w:firstLine="632"/>
      </w:pPr>
      <w:r>
        <w:rPr>
          <w:rFonts w:hint="eastAsia"/>
        </w:rPr>
        <w:t>根据抢险救援需要，可增设现场督导组、救护队协调组等其他工作小组</w:t>
      </w:r>
    </w:p>
    <w:p w14:paraId="01A17803">
      <w:pPr>
        <w:pStyle w:val="2"/>
        <w:numPr>
          <w:ilvl w:val="0"/>
          <w:numId w:val="109"/>
        </w:numPr>
        <w:tabs>
          <w:tab w:val="left" w:pos="0"/>
        </w:tabs>
      </w:pPr>
      <w:bookmarkStart w:id="557" w:name="_Toc6513"/>
      <w:r>
        <w:rPr>
          <w:rFonts w:hint="eastAsia"/>
        </w:rPr>
        <w:t>预防预警机制</w:t>
      </w:r>
      <w:bookmarkEnd w:id="557"/>
    </w:p>
    <w:p w14:paraId="431EB101">
      <w:pPr>
        <w:pStyle w:val="3"/>
        <w:numPr>
          <w:ilvl w:val="0"/>
          <w:numId w:val="109"/>
        </w:numPr>
        <w:tabs>
          <w:tab w:val="left" w:pos="0"/>
        </w:tabs>
        <w:rPr>
          <w:rFonts w:ascii="楷体_GB2312" w:hAnsi="楷体_GB2312" w:eastAsia="楷体_GB2312" w:cs="楷体_GB2312"/>
        </w:rPr>
      </w:pPr>
      <w:bookmarkStart w:id="558" w:name="_Toc2005"/>
      <w:r>
        <w:rPr>
          <w:rFonts w:hint="eastAsia" w:ascii="楷体_GB2312" w:hAnsi="楷体_GB2312" w:eastAsia="楷体_GB2312" w:cs="楷体_GB2312"/>
        </w:rPr>
        <w:t>信息管理、监测与监控</w:t>
      </w:r>
      <w:bookmarkEnd w:id="558"/>
    </w:p>
    <w:p w14:paraId="14EB4F89">
      <w:pPr>
        <w:pStyle w:val="4"/>
        <w:numPr>
          <w:ilvl w:val="2"/>
          <w:numId w:val="109"/>
        </w:numPr>
        <w:tabs>
          <w:tab w:val="left" w:pos="0"/>
        </w:tabs>
      </w:pPr>
      <w:r>
        <w:rPr>
          <w:rFonts w:hint="eastAsia"/>
        </w:rPr>
        <w:t>煤矿安全监管部门信息管理与监测工作</w:t>
      </w:r>
    </w:p>
    <w:p w14:paraId="731081F4">
      <w:pPr>
        <w:ind w:firstLine="632"/>
      </w:pPr>
      <w:r>
        <w:rPr>
          <w:rFonts w:hint="eastAsia"/>
        </w:rPr>
        <w:t>县指挥部办公室建立健全煤矿事故监测体系。县应急管理局、县煤管局、县自然资源局等部门负责所辖煤矿事故信息的监测与监控、接收、报告、初步处理、统计分析，制定相关工作制度；建立煤矿基本情况、重大危险源、重大隐患数据库，报上级煤矿安全监管监察部门备案；对存在的重大危险源、风险高的煤矿企业实施重点监测与监控，及时分析重点监测与监控信息，督促煤矿企业整改并跟踪整改情况。</w:t>
      </w:r>
    </w:p>
    <w:p w14:paraId="5AA6F535">
      <w:pPr>
        <w:pStyle w:val="4"/>
        <w:numPr>
          <w:ilvl w:val="2"/>
          <w:numId w:val="109"/>
        </w:numPr>
        <w:tabs>
          <w:tab w:val="left" w:pos="0"/>
        </w:tabs>
      </w:pPr>
      <w:r>
        <w:rPr>
          <w:rFonts w:hint="eastAsia"/>
        </w:rPr>
        <w:t>煤矿企业信息管理、监测与监控工作</w:t>
      </w:r>
    </w:p>
    <w:p w14:paraId="456D879C">
      <w:pPr>
        <w:numPr>
          <w:ilvl w:val="0"/>
          <w:numId w:val="116"/>
        </w:numPr>
        <w:ind w:firstLine="632"/>
      </w:pPr>
      <w:r>
        <w:rPr>
          <w:rFonts w:hint="eastAsia"/>
        </w:rPr>
        <w:t>煤矿企业根据地质条件、可能发生灾害的类型、危害程度，建立本企业基本情况和事故隐患及危险源数据库，报送县应急管理局。</w:t>
      </w:r>
    </w:p>
    <w:p w14:paraId="43498046">
      <w:pPr>
        <w:numPr>
          <w:ilvl w:val="0"/>
          <w:numId w:val="116"/>
        </w:numPr>
        <w:ind w:firstLine="632"/>
      </w:pPr>
      <w:r>
        <w:rPr>
          <w:rFonts w:hint="eastAsia"/>
        </w:rPr>
        <w:t>设立重大危险源、重大隐患警示标志，并将重大危险源及重大隐患现状、可能造成的危害、有关管理措施、应急预案等信息按程序报告各级应急管理部门，并向本单位职工、专业救援人员及相关单位通告。</w:t>
      </w:r>
    </w:p>
    <w:p w14:paraId="58C7495B">
      <w:pPr>
        <w:numPr>
          <w:ilvl w:val="0"/>
          <w:numId w:val="116"/>
        </w:numPr>
        <w:ind w:firstLine="632"/>
      </w:pPr>
      <w:r>
        <w:rPr>
          <w:rFonts w:hint="eastAsia"/>
        </w:rPr>
        <w:t>及时收集并登记安监员、瓦检员、现场作业人员及其他职工提供的各种安全信息和矿井安全监控系统监测的数据，并及时组织安全评估、报告备案和监控整改。</w:t>
      </w:r>
    </w:p>
    <w:p w14:paraId="2E536CF4">
      <w:pPr>
        <w:numPr>
          <w:ilvl w:val="0"/>
          <w:numId w:val="116"/>
        </w:numPr>
        <w:ind w:firstLine="632"/>
      </w:pPr>
      <w:r>
        <w:rPr>
          <w:rFonts w:hint="eastAsia"/>
        </w:rPr>
        <w:t>与县应急管理局、县自然资源局、县气象局、县水务局、供电公司等部门建立通信联络，一旦得到灾害性天气、地震、洪水、地质灾害气象预警及停电事故预报，及时发出通知、通告，并采取相应的应急措施。</w:t>
      </w:r>
    </w:p>
    <w:p w14:paraId="41EDB67B">
      <w:pPr>
        <w:pStyle w:val="3"/>
        <w:numPr>
          <w:ilvl w:val="0"/>
          <w:numId w:val="109"/>
        </w:numPr>
        <w:tabs>
          <w:tab w:val="left" w:pos="0"/>
        </w:tabs>
        <w:rPr>
          <w:rFonts w:ascii="楷体_GB2312" w:hAnsi="楷体_GB2312" w:eastAsia="楷体_GB2312" w:cs="楷体_GB2312"/>
        </w:rPr>
      </w:pPr>
      <w:bookmarkStart w:id="559" w:name="_Toc4885"/>
      <w:r>
        <w:rPr>
          <w:rFonts w:hint="eastAsia" w:ascii="楷体_GB2312" w:hAnsi="楷体_GB2312" w:eastAsia="楷体_GB2312" w:cs="楷体_GB2312"/>
        </w:rPr>
        <w:t>预警</w:t>
      </w:r>
      <w:bookmarkEnd w:id="559"/>
    </w:p>
    <w:p w14:paraId="54B54488">
      <w:pPr>
        <w:pStyle w:val="4"/>
        <w:numPr>
          <w:ilvl w:val="2"/>
          <w:numId w:val="109"/>
        </w:numPr>
        <w:tabs>
          <w:tab w:val="left" w:pos="0"/>
        </w:tabs>
      </w:pPr>
      <w:r>
        <w:rPr>
          <w:rFonts w:hint="eastAsia"/>
        </w:rPr>
        <w:t>预警信息来源</w:t>
      </w:r>
    </w:p>
    <w:p w14:paraId="2AD0BE1A">
      <w:pPr>
        <w:numPr>
          <w:ilvl w:val="0"/>
          <w:numId w:val="117"/>
        </w:numPr>
        <w:ind w:firstLine="632"/>
      </w:pPr>
      <w:r>
        <w:rPr>
          <w:rFonts w:hint="eastAsia"/>
        </w:rPr>
        <w:t>政府通报，机关部门和组织所传递的信息；</w:t>
      </w:r>
    </w:p>
    <w:p w14:paraId="414D1B3D">
      <w:pPr>
        <w:numPr>
          <w:ilvl w:val="0"/>
          <w:numId w:val="117"/>
        </w:numPr>
        <w:ind w:firstLine="632"/>
      </w:pPr>
      <w:r>
        <w:rPr>
          <w:rFonts w:hint="eastAsia"/>
        </w:rPr>
        <w:t>煤矿企业及上级主管部门督查检查发现的重大隐患；</w:t>
      </w:r>
    </w:p>
    <w:p w14:paraId="4BF7E68C">
      <w:pPr>
        <w:numPr>
          <w:ilvl w:val="0"/>
          <w:numId w:val="117"/>
        </w:numPr>
        <w:ind w:firstLine="632"/>
      </w:pPr>
      <w:r>
        <w:rPr>
          <w:rFonts w:hint="eastAsia"/>
        </w:rPr>
        <w:t>通过网络监测监控发现数据波动变化存在的危险因素；</w:t>
      </w:r>
    </w:p>
    <w:p w14:paraId="35137FFD">
      <w:pPr>
        <w:numPr>
          <w:ilvl w:val="0"/>
          <w:numId w:val="117"/>
        </w:numPr>
        <w:ind w:firstLine="632"/>
      </w:pPr>
      <w:r>
        <w:rPr>
          <w:rFonts w:hint="eastAsia"/>
        </w:rPr>
        <w:t>企业检查、巡查发现的重大隐患信息；</w:t>
      </w:r>
    </w:p>
    <w:p w14:paraId="451FAEFB">
      <w:pPr>
        <w:numPr>
          <w:ilvl w:val="0"/>
          <w:numId w:val="117"/>
        </w:numPr>
        <w:ind w:firstLine="632"/>
      </w:pPr>
      <w:r>
        <w:rPr>
          <w:rFonts w:hint="eastAsia"/>
        </w:rPr>
        <w:t>热线受理举报投诉和专家、群众来信来访信息；</w:t>
      </w:r>
    </w:p>
    <w:p w14:paraId="28D38916">
      <w:pPr>
        <w:numPr>
          <w:ilvl w:val="0"/>
          <w:numId w:val="117"/>
        </w:numPr>
        <w:ind w:firstLine="632"/>
      </w:pPr>
      <w:r>
        <w:rPr>
          <w:rFonts w:hint="eastAsia"/>
        </w:rPr>
        <w:t>其他渠道获得的预警信息。</w:t>
      </w:r>
    </w:p>
    <w:p w14:paraId="2C1DE0A7">
      <w:pPr>
        <w:pStyle w:val="4"/>
        <w:numPr>
          <w:ilvl w:val="2"/>
          <w:numId w:val="109"/>
        </w:numPr>
        <w:tabs>
          <w:tab w:val="left" w:pos="0"/>
        </w:tabs>
      </w:pPr>
      <w:r>
        <w:rPr>
          <w:rFonts w:hint="eastAsia"/>
        </w:rPr>
        <w:t>预警信息发布</w:t>
      </w:r>
    </w:p>
    <w:p w14:paraId="7F20C371">
      <w:pPr>
        <w:ind w:firstLine="632"/>
      </w:pPr>
      <w:r>
        <w:rPr>
          <w:rFonts w:hint="eastAsia"/>
        </w:rPr>
        <w:t>煤矿事故预警级别分为：一级、二级、三级、四级，依次用红色、橙色、黄色、蓝色表示，一级（红色）为最高级别。</w:t>
      </w:r>
    </w:p>
    <w:p w14:paraId="54DBB062">
      <w:pPr>
        <w:numPr>
          <w:ilvl w:val="0"/>
          <w:numId w:val="118"/>
        </w:numPr>
        <w:ind w:firstLine="632"/>
      </w:pPr>
      <w:r>
        <w:rPr>
          <w:rFonts w:hint="eastAsia"/>
        </w:rPr>
        <w:t>煤矿企业或煤矿主管部门研判可能发生煤矿事故灾害时，应及时向本级人民政府提出预警信息发布建议，地方人民政府或授权发布的相关部门及时通过广播、电视或手机短信、网络平台等渠道，向可能受事故灾害影响的相关区域发布预警信息。</w:t>
      </w:r>
    </w:p>
    <w:p w14:paraId="023800F6">
      <w:pPr>
        <w:ind w:firstLine="632"/>
      </w:pPr>
      <w:r>
        <w:rPr>
          <w:rFonts w:hint="eastAsia"/>
        </w:rPr>
        <w:t>预警信息发布内容包括：预警区域或场所、险情类别、预警级别、预警起始时间、可能影响范围、警示事项、应对措施、发布机关、咨询电话等。</w:t>
      </w:r>
    </w:p>
    <w:p w14:paraId="2988FCAE">
      <w:pPr>
        <w:ind w:firstLine="632"/>
      </w:pPr>
      <w:r>
        <w:rPr>
          <w:rFonts w:hint="eastAsia"/>
        </w:rPr>
        <w:t>预警信息发布后，发生变化的应及时更新。</w:t>
      </w:r>
    </w:p>
    <w:p w14:paraId="624107DE">
      <w:pPr>
        <w:pStyle w:val="4"/>
        <w:numPr>
          <w:ilvl w:val="2"/>
          <w:numId w:val="109"/>
        </w:numPr>
        <w:tabs>
          <w:tab w:val="left" w:pos="0"/>
        </w:tabs>
      </w:pPr>
      <w:r>
        <w:rPr>
          <w:rFonts w:hint="eastAsia"/>
        </w:rPr>
        <w:t>预警行动</w:t>
      </w:r>
    </w:p>
    <w:p w14:paraId="319C0204">
      <w:pPr>
        <w:ind w:firstLine="632"/>
      </w:pPr>
      <w:r>
        <w:rPr>
          <w:rFonts w:hint="eastAsia"/>
        </w:rPr>
        <w:t>进入预警状态后，县指挥部视情况采取以下措施：</w:t>
      </w:r>
    </w:p>
    <w:p w14:paraId="2CAB2A5C">
      <w:pPr>
        <w:numPr>
          <w:ilvl w:val="0"/>
          <w:numId w:val="119"/>
        </w:numPr>
        <w:ind w:firstLine="632"/>
      </w:pPr>
      <w:r>
        <w:rPr>
          <w:rFonts w:hint="eastAsia"/>
        </w:rPr>
        <w:t>县应急管理局（县地方煤矿安全监督管理局）组织有关部门和煤矿企业、专业技术人员及专家，加强对可能发生煤矿事故的预警信息进行分析研判，及时组织开展跟踪监测工作，预估发展趋势、危害程度、影响范围。根据发生突发事故可能性和严重程度进行现场督导，检查预防性处置措施执行情况。</w:t>
      </w:r>
    </w:p>
    <w:p w14:paraId="76A95455">
      <w:pPr>
        <w:numPr>
          <w:ilvl w:val="0"/>
          <w:numId w:val="119"/>
        </w:numPr>
        <w:ind w:firstLine="632"/>
      </w:pPr>
      <w:r>
        <w:rPr>
          <w:rFonts w:hint="eastAsia"/>
        </w:rPr>
        <w:t>指令应急工作组和负有相关职责的人员进入待命状态，按照各自职责做好应急准备工作。</w:t>
      </w:r>
    </w:p>
    <w:p w14:paraId="283E4AB9">
      <w:pPr>
        <w:numPr>
          <w:ilvl w:val="0"/>
          <w:numId w:val="119"/>
        </w:numPr>
        <w:ind w:firstLine="632"/>
      </w:pPr>
      <w:r>
        <w:rPr>
          <w:rFonts w:hint="eastAsia"/>
        </w:rPr>
        <w:t>采取有效处置措施，控制事故灾害苗头；放置警示标志，告知公众避险和防护措施，必要时疏散、转移可能受到危害的人员。</w:t>
      </w:r>
    </w:p>
    <w:p w14:paraId="1C78B9AE">
      <w:pPr>
        <w:numPr>
          <w:ilvl w:val="0"/>
          <w:numId w:val="119"/>
        </w:numPr>
        <w:ind w:firstLine="632"/>
      </w:pPr>
      <w:r>
        <w:rPr>
          <w:rFonts w:hint="eastAsia"/>
        </w:rPr>
        <w:t>根据事态发展，及时协调应急所需人员、物资和装备，确保应急保障工作。</w:t>
      </w:r>
    </w:p>
    <w:p w14:paraId="753CB671">
      <w:pPr>
        <w:numPr>
          <w:ilvl w:val="0"/>
          <w:numId w:val="119"/>
        </w:numPr>
        <w:ind w:firstLine="632"/>
      </w:pPr>
      <w:r>
        <w:rPr>
          <w:rFonts w:hint="eastAsia"/>
        </w:rPr>
        <w:t>按照有关规定，及时向社会发布事态最新情况。</w:t>
      </w:r>
    </w:p>
    <w:p w14:paraId="649C3CE8">
      <w:pPr>
        <w:pStyle w:val="4"/>
        <w:numPr>
          <w:ilvl w:val="2"/>
          <w:numId w:val="109"/>
        </w:numPr>
        <w:tabs>
          <w:tab w:val="left" w:pos="0"/>
        </w:tabs>
      </w:pPr>
      <w:r>
        <w:rPr>
          <w:rFonts w:hint="eastAsia"/>
        </w:rPr>
        <w:t>预警调整和解除</w:t>
      </w:r>
    </w:p>
    <w:p w14:paraId="74ECFC2D">
      <w:pPr>
        <w:ind w:firstLine="632"/>
      </w:pPr>
      <w:r>
        <w:rPr>
          <w:rFonts w:hint="eastAsia"/>
        </w:rPr>
        <w:t>根据事态发展变化，适时调整预警级别，更新预警信息内容，并重新发布、报告和通报有关情况。</w:t>
      </w:r>
    </w:p>
    <w:p w14:paraId="20317B05">
      <w:pPr>
        <w:ind w:firstLine="632"/>
      </w:pPr>
      <w:r>
        <w:rPr>
          <w:rFonts w:hint="eastAsia"/>
        </w:rPr>
        <w:t>当事故隐患已经消除或得到有效控制，经评估符合解除条件，由发布预警的有关机构宣布解除预警，终止预警行动。</w:t>
      </w:r>
    </w:p>
    <w:p w14:paraId="38B928A2">
      <w:pPr>
        <w:pStyle w:val="2"/>
        <w:numPr>
          <w:ilvl w:val="0"/>
          <w:numId w:val="109"/>
        </w:numPr>
        <w:tabs>
          <w:tab w:val="left" w:pos="0"/>
        </w:tabs>
      </w:pPr>
      <w:bookmarkStart w:id="560" w:name="_Toc14398"/>
      <w:r>
        <w:rPr>
          <w:rFonts w:hint="eastAsia"/>
        </w:rPr>
        <w:t>应急响应</w:t>
      </w:r>
      <w:bookmarkEnd w:id="560"/>
    </w:p>
    <w:p w14:paraId="331753B1">
      <w:pPr>
        <w:pStyle w:val="3"/>
        <w:numPr>
          <w:ilvl w:val="0"/>
          <w:numId w:val="109"/>
        </w:numPr>
        <w:tabs>
          <w:tab w:val="left" w:pos="0"/>
        </w:tabs>
        <w:rPr>
          <w:rFonts w:ascii="楷体_GB2312" w:hAnsi="楷体_GB2312" w:eastAsia="楷体_GB2312" w:cs="楷体_GB2312"/>
        </w:rPr>
      </w:pPr>
      <w:bookmarkStart w:id="561" w:name="_Toc21877"/>
      <w:r>
        <w:rPr>
          <w:rFonts w:hint="eastAsia" w:ascii="楷体_GB2312" w:hAnsi="楷体_GB2312" w:eastAsia="楷体_GB2312" w:cs="楷体_GB2312"/>
        </w:rPr>
        <w:t>信息报告</w:t>
      </w:r>
      <w:bookmarkEnd w:id="561"/>
    </w:p>
    <w:p w14:paraId="31D1CA8F">
      <w:pPr>
        <w:ind w:firstLine="632"/>
      </w:pPr>
      <w:r>
        <w:rPr>
          <w:rFonts w:hint="eastAsia"/>
        </w:rPr>
        <w:t>煤矿事故发生后，事故现场有关人员应及时向煤矿企业负责人报告；煤矿企业负责人接到报告后，应当立即向县指挥部办公室、煤矿安全监管部门和主体企业报告；县指挥部办公室接到煤矿事故报告后，按照有关规定向县委县政府和上级主管部门报告，同时按有关要求上报煤矿安全监察部门。紧急情况可以越级报告。来不及形成文字的，可先用电话快报，然后必须在30分钟之内上报书面信息；来不及呈送详细报告的，可先作简要报告，然后根据事态的发展和处理情况，随时续报；对于上级催报和要求核实的信息，应在30分钟之内有效回应。</w:t>
      </w:r>
    </w:p>
    <w:p w14:paraId="1880C412">
      <w:pPr>
        <w:ind w:firstLine="632"/>
      </w:pPr>
      <w:r>
        <w:rPr>
          <w:rFonts w:hint="eastAsia"/>
        </w:rPr>
        <w:t>电话快报内容包括：事故发生单位的名称、地址、性质；事故发生的时间、地点；事故已造成或者可能造成的伤亡人数（包括下落不明、涉险的人数）；已经采取的措施等。</w:t>
      </w:r>
    </w:p>
    <w:p w14:paraId="26457055">
      <w:pPr>
        <w:ind w:firstLine="632"/>
      </w:pPr>
      <w:r>
        <w:rPr>
          <w:rFonts w:hint="eastAsia"/>
        </w:rPr>
        <w:t>事故信息报告内容包括：事故发生单位的名称、地址、性质、产能等基本情况；事故发生的时间、地点以及事故现场情况；事故简要经过（包括应急救援情况）；事故已造成或者可能造成的伤亡人数（包括下落不明、涉险的人数）和初步估计的直接经济损失；已经采取的措施；其他应当报告的情况等。</w:t>
      </w:r>
    </w:p>
    <w:p w14:paraId="24130446">
      <w:pPr>
        <w:pStyle w:val="3"/>
        <w:numPr>
          <w:ilvl w:val="0"/>
          <w:numId w:val="109"/>
        </w:numPr>
        <w:tabs>
          <w:tab w:val="left" w:pos="0"/>
        </w:tabs>
        <w:rPr>
          <w:rFonts w:ascii="楷体_GB2312" w:hAnsi="楷体_GB2312" w:eastAsia="楷体_GB2312" w:cs="楷体_GB2312"/>
        </w:rPr>
      </w:pPr>
      <w:bookmarkStart w:id="562" w:name="_Toc29543"/>
      <w:bookmarkStart w:id="563" w:name="_Toc28587"/>
      <w:bookmarkStart w:id="564" w:name="_Toc26529"/>
      <w:r>
        <w:rPr>
          <w:rFonts w:hint="eastAsia" w:ascii="楷体_GB2312" w:hAnsi="楷体_GB2312" w:eastAsia="楷体_GB2312" w:cs="楷体_GB2312"/>
        </w:rPr>
        <w:t>先期处置</w:t>
      </w:r>
      <w:bookmarkEnd w:id="562"/>
    </w:p>
    <w:p w14:paraId="729D09CD">
      <w:pPr>
        <w:ind w:firstLine="632"/>
      </w:pPr>
      <w:r>
        <w:rPr>
          <w:rFonts w:hint="eastAsia"/>
        </w:rPr>
        <w:t>煤矿事故发生后，煤矿企业和主体企业应立即启动应急预案，组织职工开展自救、互救；同时，组织专业力量，采取有效措施，开展抢险救援工作，防止事故扩大，尽可能减少人员伤亡和财产损失。</w:t>
      </w:r>
    </w:p>
    <w:p w14:paraId="3BB3A8CC">
      <w:pPr>
        <w:pStyle w:val="3"/>
        <w:numPr>
          <w:ilvl w:val="0"/>
          <w:numId w:val="109"/>
        </w:numPr>
        <w:tabs>
          <w:tab w:val="left" w:pos="0"/>
        </w:tabs>
        <w:rPr>
          <w:rFonts w:ascii="楷体_GB2312" w:hAnsi="楷体_GB2312" w:eastAsia="楷体_GB2312" w:cs="楷体_GB2312"/>
        </w:rPr>
      </w:pPr>
      <w:bookmarkStart w:id="565" w:name="_Toc9664"/>
      <w:r>
        <w:rPr>
          <w:rFonts w:hint="eastAsia" w:ascii="楷体_GB2312" w:hAnsi="楷体_GB2312" w:eastAsia="楷体_GB2312" w:cs="楷体_GB2312"/>
        </w:rPr>
        <w:t>分级响应</w:t>
      </w:r>
      <w:bookmarkEnd w:id="565"/>
    </w:p>
    <w:p w14:paraId="400776D8">
      <w:pPr>
        <w:ind w:firstLine="632"/>
      </w:pPr>
      <w:r>
        <w:rPr>
          <w:rFonts w:hint="eastAsia"/>
        </w:rPr>
        <w:t>按照煤矿生产安全事故的可控性、严重程度和影响范围，县指挥部将应急响应分为Ｉ级、Ⅱ级两个响应级别。</w:t>
      </w:r>
    </w:p>
    <w:p w14:paraId="5AF63A2A">
      <w:pPr>
        <w:pStyle w:val="4"/>
        <w:numPr>
          <w:ilvl w:val="2"/>
          <w:numId w:val="109"/>
        </w:numPr>
        <w:tabs>
          <w:tab w:val="left" w:pos="0"/>
        </w:tabs>
      </w:pPr>
      <w:r>
        <w:rPr>
          <w:rFonts w:hint="eastAsia"/>
        </w:rPr>
        <w:t>Ｉ级响应</w:t>
      </w:r>
    </w:p>
    <w:p w14:paraId="0374CD34">
      <w:pPr>
        <w:ind w:firstLine="632"/>
      </w:pPr>
      <w:r>
        <w:rPr>
          <w:rFonts w:hint="eastAsia"/>
        </w:rPr>
        <w:t>（1）启动条件</w:t>
      </w:r>
    </w:p>
    <w:p w14:paraId="1EE92484">
      <w:pPr>
        <w:ind w:firstLine="632"/>
      </w:pPr>
      <w:r>
        <w:rPr>
          <w:rFonts w:hint="eastAsia"/>
        </w:rPr>
        <w:t>出现下列情况之一：</w:t>
      </w:r>
    </w:p>
    <w:p w14:paraId="709A55CD">
      <w:pPr>
        <w:ind w:firstLine="632"/>
      </w:pPr>
      <w:r>
        <w:rPr>
          <w:rFonts w:hint="eastAsia"/>
        </w:rPr>
        <w:t>①发生或可能发生较大以上煤矿事故；或造成3人以上死亡、10 人以上人员受伤受困或下落不明的煤矿事故；</w:t>
      </w:r>
    </w:p>
    <w:p w14:paraId="5FC546A2">
      <w:pPr>
        <w:ind w:firstLine="632"/>
      </w:pPr>
      <w:r>
        <w:rPr>
          <w:rFonts w:hint="eastAsia"/>
        </w:rPr>
        <w:t>②超出县指挥部应急处置能力的煤矿事故；</w:t>
      </w:r>
    </w:p>
    <w:p w14:paraId="652D7E05">
      <w:pPr>
        <w:ind w:firstLine="632"/>
      </w:pPr>
      <w:r>
        <w:rPr>
          <w:rFonts w:hint="eastAsia"/>
        </w:rPr>
        <w:t>③县指挥部认为有必要启动Ｉ级响应的煤矿事故。</w:t>
      </w:r>
    </w:p>
    <w:p w14:paraId="35BBB33B">
      <w:pPr>
        <w:ind w:firstLine="632"/>
      </w:pPr>
      <w:r>
        <w:rPr>
          <w:rFonts w:hint="eastAsia"/>
        </w:rPr>
        <w:t>（2）启动程序</w:t>
      </w:r>
    </w:p>
    <w:p w14:paraId="4A0F8BBB">
      <w:pPr>
        <w:ind w:firstLine="632"/>
      </w:pPr>
      <w:r>
        <w:rPr>
          <w:rFonts w:hint="eastAsia"/>
        </w:rPr>
        <w:t>县指挥部办公室接到事故报告后，经预判后向总指挥报告，并提出启动Ｉ级应急响应建议，由总指挥立即启动Ｉ级应急响应。</w:t>
      </w:r>
    </w:p>
    <w:p w14:paraId="51F2CB99">
      <w:pPr>
        <w:ind w:firstLine="632"/>
      </w:pPr>
      <w:r>
        <w:rPr>
          <w:rFonts w:hint="eastAsia"/>
        </w:rPr>
        <w:t>（3）主要措施</w:t>
      </w:r>
    </w:p>
    <w:p w14:paraId="7D840C36">
      <w:pPr>
        <w:ind w:firstLine="632"/>
      </w:pPr>
      <w:r>
        <w:rPr>
          <w:rFonts w:hint="eastAsia"/>
        </w:rPr>
        <w:t>①县指挥部组织各成员单位、应急队伍，调集装备，赶赴事发现场，采取有效措施控制事态发展，做好先期处置工作，防止次生、衍生事故发生；同时，按照有关规定做好事故信息的报送工作；</w:t>
      </w:r>
    </w:p>
    <w:p w14:paraId="5E688988">
      <w:pPr>
        <w:ind w:firstLine="632"/>
      </w:pPr>
      <w:r>
        <w:rPr>
          <w:rFonts w:hint="eastAsia"/>
        </w:rPr>
        <w:t>②当上级指挥部启动应急响应并直接接管指挥权时，县指挥部按要求做好应急处置的各项配合工作。</w:t>
      </w:r>
    </w:p>
    <w:p w14:paraId="68170677">
      <w:pPr>
        <w:pStyle w:val="4"/>
        <w:numPr>
          <w:ilvl w:val="2"/>
          <w:numId w:val="109"/>
        </w:numPr>
        <w:tabs>
          <w:tab w:val="left" w:pos="0"/>
        </w:tabs>
      </w:pPr>
      <w:r>
        <w:rPr>
          <w:rFonts w:hint="eastAsia"/>
        </w:rPr>
        <w:t>Ⅱ级响应</w:t>
      </w:r>
    </w:p>
    <w:p w14:paraId="3959A29B">
      <w:pPr>
        <w:ind w:firstLine="632"/>
      </w:pPr>
      <w:r>
        <w:rPr>
          <w:rFonts w:hint="eastAsia"/>
        </w:rPr>
        <w:t>（1）启动条件</w:t>
      </w:r>
    </w:p>
    <w:p w14:paraId="6CB33308">
      <w:pPr>
        <w:ind w:firstLine="632"/>
      </w:pPr>
      <w:r>
        <w:rPr>
          <w:rFonts w:hint="eastAsia"/>
        </w:rPr>
        <w:t>出现下列情况之一：</w:t>
      </w:r>
    </w:p>
    <w:p w14:paraId="2D600420">
      <w:pPr>
        <w:ind w:firstLine="632"/>
      </w:pPr>
      <w:r>
        <w:rPr>
          <w:rFonts w:hint="eastAsia"/>
        </w:rPr>
        <w:t>①发生一般煤矿事故；或造成3人以下死亡、10人以下人员受伤受困的煤矿事故；</w:t>
      </w:r>
    </w:p>
    <w:p w14:paraId="58488873">
      <w:pPr>
        <w:ind w:firstLine="632"/>
      </w:pPr>
      <w:r>
        <w:rPr>
          <w:rFonts w:hint="eastAsia"/>
        </w:rPr>
        <w:t>②县指挥部认为有必要启动Ⅱ级响应的煤矿事故。</w:t>
      </w:r>
    </w:p>
    <w:p w14:paraId="0BF2376F">
      <w:pPr>
        <w:ind w:firstLine="632"/>
      </w:pPr>
      <w:r>
        <w:rPr>
          <w:rFonts w:hint="eastAsia"/>
        </w:rPr>
        <w:t>（2）启动程序</w:t>
      </w:r>
    </w:p>
    <w:p w14:paraId="7E33EEEE">
      <w:pPr>
        <w:ind w:firstLine="632"/>
      </w:pPr>
      <w:r>
        <w:rPr>
          <w:rFonts w:hint="eastAsia"/>
        </w:rPr>
        <w:t>县指挥部办公室接到事故报告后，经预判后向总指挥报告，并提出启动Ⅱ级应急响应建议，由总指挥立即启动Ⅱ级应急响应。</w:t>
      </w:r>
    </w:p>
    <w:p w14:paraId="1BB13BCD">
      <w:pPr>
        <w:ind w:firstLine="632"/>
      </w:pPr>
      <w:r>
        <w:rPr>
          <w:rFonts w:hint="eastAsia"/>
        </w:rPr>
        <w:t>（3）主要措施</w:t>
      </w:r>
    </w:p>
    <w:p w14:paraId="29B08D53">
      <w:pPr>
        <w:ind w:firstLine="632"/>
      </w:pPr>
      <w:r>
        <w:rPr>
          <w:rFonts w:hint="eastAsia"/>
        </w:rPr>
        <w:t>①指挥部组织成员单位、应急队伍和专业技术力量赶赴现场，与事发地乡镇政府、主体企业、煤矿企业以及煤矿企业签约的矿山救护队迅速衔接，共同成立抢险救援现场指挥部；</w:t>
      </w:r>
    </w:p>
    <w:p w14:paraId="6F4FC6E2">
      <w:pPr>
        <w:ind w:firstLine="632"/>
      </w:pPr>
      <w:r>
        <w:rPr>
          <w:rFonts w:hint="eastAsia"/>
        </w:rPr>
        <w:t>②组织召开专题会议，对事故范围和扩展的潜在可能性、人员伤亡、财产损失等情况进行事态的初始评估，制定现场救援方案，提出处置建议，统一指挥开展抢险救援工作；</w:t>
      </w:r>
    </w:p>
    <w:p w14:paraId="0AE51565">
      <w:pPr>
        <w:ind w:firstLine="632"/>
      </w:pPr>
      <w:r>
        <w:rPr>
          <w:rFonts w:hint="eastAsia"/>
        </w:rPr>
        <w:t>③研究确定重大决策和指导意见，协调解决应急救援中的重大问题；</w:t>
      </w:r>
    </w:p>
    <w:p w14:paraId="3D2C43E6">
      <w:pPr>
        <w:ind w:firstLine="632"/>
      </w:pPr>
      <w:r>
        <w:rPr>
          <w:rFonts w:hint="eastAsia"/>
        </w:rPr>
        <w:t>④按有关要求做好信息的上传下达和舆情引导工作；</w:t>
      </w:r>
    </w:p>
    <w:p w14:paraId="5A134039">
      <w:pPr>
        <w:ind w:firstLine="632"/>
      </w:pPr>
      <w:r>
        <w:rPr>
          <w:rFonts w:hint="eastAsia"/>
        </w:rPr>
        <w:t>⑤贯彻落实县委县政府和上级有关部门的决策部署，上级领导指示、批示精神；</w:t>
      </w:r>
    </w:p>
    <w:p w14:paraId="288639B8">
      <w:pPr>
        <w:ind w:firstLine="632"/>
      </w:pPr>
      <w:r>
        <w:rPr>
          <w:rFonts w:hint="eastAsia"/>
        </w:rPr>
        <w:t>⑥当情况有变应急力量不足时，通知或请求有关救援机构、应急队伍增援；并及时向县委县政府和上级指挥机构报告。</w:t>
      </w:r>
    </w:p>
    <w:p w14:paraId="4CEF2D9C">
      <w:pPr>
        <w:pStyle w:val="3"/>
        <w:numPr>
          <w:ilvl w:val="0"/>
          <w:numId w:val="109"/>
        </w:numPr>
        <w:tabs>
          <w:tab w:val="left" w:pos="0"/>
        </w:tabs>
        <w:rPr>
          <w:rFonts w:ascii="楷体_GB2312" w:hAnsi="楷体_GB2312" w:eastAsia="楷体_GB2312" w:cs="楷体_GB2312"/>
        </w:rPr>
      </w:pPr>
      <w:bookmarkStart w:id="566" w:name="_Toc25439"/>
      <w:r>
        <w:rPr>
          <w:rFonts w:hint="eastAsia" w:ascii="楷体_GB2312" w:hAnsi="楷体_GB2312" w:eastAsia="楷体_GB2312" w:cs="楷体_GB2312"/>
        </w:rPr>
        <w:t>应急处置</w:t>
      </w:r>
      <w:bookmarkEnd w:id="566"/>
    </w:p>
    <w:p w14:paraId="2B30B4DB">
      <w:pPr>
        <w:ind w:firstLine="632"/>
      </w:pPr>
      <w:r>
        <w:rPr>
          <w:rFonts w:hint="eastAsia"/>
        </w:rPr>
        <w:t>（1）煤矿事故发生后，煤矿、煤矿主体企业按照有关规定迅速上报，并按照本级应急预案和现场处置方案，在确保安全的前提下，组织职工开展自救、互救，并根据事故情况和抢险救援需要，通知签约专业救援机构增援。</w:t>
      </w:r>
    </w:p>
    <w:p w14:paraId="234929F3">
      <w:pPr>
        <w:ind w:firstLine="632"/>
      </w:pPr>
      <w:r>
        <w:rPr>
          <w:rFonts w:hint="eastAsia"/>
        </w:rPr>
        <w:t>（2）县指挥部各成员单位、专业应急救援队伍、应急救援专家等集结到位后，迅速与事发地乡镇政府、煤矿、煤矿主体企业进行衔接，共同成立现场抢险救援指挥部。指挥协调以下事项：</w:t>
      </w:r>
    </w:p>
    <w:p w14:paraId="0624A0A7">
      <w:pPr>
        <w:ind w:firstLine="632"/>
      </w:pPr>
      <w:r>
        <w:rPr>
          <w:rFonts w:hint="eastAsia"/>
        </w:rPr>
        <w:t>①根据抢险救援工作情况，及时向县委县政府和上级有关部门报告抢险救援进展情况，提出抢险救援重大事项决策建议；</w:t>
      </w:r>
    </w:p>
    <w:p w14:paraId="13536C68">
      <w:pPr>
        <w:ind w:firstLine="632"/>
      </w:pPr>
      <w:r>
        <w:rPr>
          <w:rFonts w:hint="eastAsia"/>
        </w:rPr>
        <w:t>②认真贯彻落实县委县政府和上级有关部门的决策和领导的批示、指示精神，及时科学制定救援方案，实施抢险救援；</w:t>
      </w:r>
    </w:p>
    <w:p w14:paraId="4141F048">
      <w:pPr>
        <w:ind w:firstLine="632"/>
      </w:pPr>
      <w:r>
        <w:rPr>
          <w:rFonts w:hint="eastAsia"/>
        </w:rPr>
        <w:t>③协调落实队伍、物资、经费、交通、医疗、通信、电力、自然灾害信息、社会动员和技术支持等各种保障措施；</w:t>
      </w:r>
    </w:p>
    <w:p w14:paraId="1D929A26">
      <w:pPr>
        <w:ind w:firstLine="632"/>
      </w:pPr>
      <w:r>
        <w:rPr>
          <w:rFonts w:hint="eastAsia"/>
        </w:rPr>
        <w:t>④组织治安警戒；</w:t>
      </w:r>
    </w:p>
    <w:p w14:paraId="796E550A">
      <w:pPr>
        <w:ind w:firstLine="632"/>
      </w:pPr>
      <w:r>
        <w:rPr>
          <w:rFonts w:hint="eastAsia"/>
        </w:rPr>
        <w:t>⑤做好新闻报道工作等。</w:t>
      </w:r>
    </w:p>
    <w:p w14:paraId="0EE2FA46">
      <w:pPr>
        <w:ind w:firstLine="632"/>
      </w:pPr>
      <w:r>
        <w:rPr>
          <w:rFonts w:hint="eastAsia"/>
        </w:rPr>
        <w:t>（3）参加抢险救援的队伍和人员在现场指挥部统一指挥、协调下，按照抢险救援工作部署和方案，积极开展抢险救援行动和各种保障行动。行动内容：</w:t>
      </w:r>
    </w:p>
    <w:p w14:paraId="714E9BDB">
      <w:pPr>
        <w:ind w:firstLine="632"/>
      </w:pPr>
      <w:r>
        <w:rPr>
          <w:rFonts w:hint="eastAsia"/>
        </w:rPr>
        <w:t>①组织营救和救治受害人员；</w:t>
      </w:r>
    </w:p>
    <w:p w14:paraId="364A7642">
      <w:pPr>
        <w:ind w:firstLine="632"/>
      </w:pPr>
      <w:r>
        <w:rPr>
          <w:rFonts w:hint="eastAsia"/>
        </w:rPr>
        <w:t>②迅速找到并控制或消除事故的危险源，标明或划定危险区域，防止事故扩大；</w:t>
      </w:r>
    </w:p>
    <w:p w14:paraId="15F0526B">
      <w:pPr>
        <w:ind w:firstLine="632"/>
      </w:pPr>
      <w:r>
        <w:rPr>
          <w:rFonts w:hint="eastAsia"/>
        </w:rPr>
        <w:t>③根据事故类型，迅速恢复被损坏的供电、通风、提升运输、排水、通信等系统，并采取措施为遇险人员逃生创造条件；</w:t>
      </w:r>
    </w:p>
    <w:p w14:paraId="55D44B7E">
      <w:pPr>
        <w:ind w:firstLine="632"/>
      </w:pPr>
      <w:r>
        <w:rPr>
          <w:rFonts w:hint="eastAsia"/>
        </w:rPr>
        <w:t>④组织专业人员加强灾区环境、气体等监测监控，确保抢险救援工作顺利进行；</w:t>
      </w:r>
    </w:p>
    <w:p w14:paraId="60F09EA6">
      <w:pPr>
        <w:ind w:firstLine="632"/>
      </w:pPr>
      <w:r>
        <w:rPr>
          <w:rFonts w:hint="eastAsia"/>
        </w:rPr>
        <w:t>⑤积极组织各种应急保障等。</w:t>
      </w:r>
    </w:p>
    <w:p w14:paraId="782EAC9A">
      <w:pPr>
        <w:ind w:firstLine="632"/>
      </w:pPr>
      <w:r>
        <w:rPr>
          <w:rFonts w:hint="eastAsia"/>
        </w:rPr>
        <w:t>（4）根据事态发展变化情况，出现急剧恶化的特殊险情时，现场指挥部在充分考虑专家和有关方面意见的基础上，依法及时采取紧急处置措施。</w:t>
      </w:r>
    </w:p>
    <w:p w14:paraId="1F9830F1">
      <w:pPr>
        <w:ind w:firstLine="632"/>
      </w:pPr>
      <w:r>
        <w:rPr>
          <w:rFonts w:hint="eastAsia"/>
        </w:rPr>
        <w:t>（5）在抢险救援过程中，出现继续进行抢险救援对救援人员的生命有直接威胁、可能引发次生事故，或不具备救援条件无法实施抢险救援，或没有继续实施抢险救援的价值等情况时，经过救援专家充分论证，提出中止抢险救援的意见，由现场指挥部决定；影响重大的，报县人民政府决定。</w:t>
      </w:r>
    </w:p>
    <w:p w14:paraId="1045CF53">
      <w:pPr>
        <w:pStyle w:val="3"/>
        <w:numPr>
          <w:ilvl w:val="0"/>
          <w:numId w:val="109"/>
        </w:numPr>
        <w:tabs>
          <w:tab w:val="left" w:pos="0"/>
        </w:tabs>
        <w:rPr>
          <w:rFonts w:ascii="楷体_GB2312" w:hAnsi="楷体_GB2312" w:eastAsia="楷体_GB2312" w:cs="楷体_GB2312"/>
        </w:rPr>
      </w:pPr>
      <w:bookmarkStart w:id="567" w:name="_Toc242"/>
      <w:r>
        <w:rPr>
          <w:rFonts w:hint="eastAsia" w:ascii="楷体_GB2312" w:hAnsi="楷体_GB2312" w:eastAsia="楷体_GB2312" w:cs="楷体_GB2312"/>
        </w:rPr>
        <w:t>救援人员的安全防护</w:t>
      </w:r>
      <w:bookmarkEnd w:id="567"/>
    </w:p>
    <w:p w14:paraId="6E82730A">
      <w:pPr>
        <w:ind w:firstLine="632"/>
      </w:pPr>
      <w:r>
        <w:rPr>
          <w:rFonts w:hint="eastAsia"/>
        </w:rPr>
        <w:t>抢险救援以专业矿山救护队为主、其他救援人员为辅，严格控制进入灾区人员的数量。专业或辅助救援人员根据煤矿事故的类别、性质，要采取相应的安全防护措施。所有抢险救援工作人员必须佩戴安全防护装备才能进入事故现场实施抢险救援工作。所有抢险救援工作地点均要安排专人检测气体成分、风向、温度等，监控工作环境，保证工作地点和救援人员安全。</w:t>
      </w:r>
    </w:p>
    <w:p w14:paraId="46087871">
      <w:pPr>
        <w:pStyle w:val="3"/>
        <w:numPr>
          <w:ilvl w:val="0"/>
          <w:numId w:val="109"/>
        </w:numPr>
        <w:tabs>
          <w:tab w:val="left" w:pos="0"/>
        </w:tabs>
        <w:rPr>
          <w:rFonts w:ascii="楷体_GB2312" w:hAnsi="楷体_GB2312" w:eastAsia="楷体_GB2312" w:cs="楷体_GB2312"/>
        </w:rPr>
      </w:pPr>
      <w:bookmarkStart w:id="568" w:name="_Toc26517"/>
      <w:r>
        <w:rPr>
          <w:rFonts w:hint="eastAsia" w:ascii="楷体_GB2312" w:hAnsi="楷体_GB2312" w:eastAsia="楷体_GB2312" w:cs="楷体_GB2312"/>
        </w:rPr>
        <w:t>信息发布</w:t>
      </w:r>
      <w:bookmarkEnd w:id="568"/>
    </w:p>
    <w:p w14:paraId="00A3859C">
      <w:pPr>
        <w:ind w:firstLine="632"/>
      </w:pPr>
      <w:r>
        <w:rPr>
          <w:rFonts w:hint="eastAsia"/>
        </w:rPr>
        <w:t>县指挥部新闻宣传组组织和管理新闻报道工作，加强协调沟通和正面引导，信息发布应当及时准确、客观，正确引导社会舆论，维护社会稳定。</w:t>
      </w:r>
    </w:p>
    <w:p w14:paraId="4C78E50D">
      <w:pPr>
        <w:pStyle w:val="3"/>
        <w:numPr>
          <w:ilvl w:val="0"/>
          <w:numId w:val="109"/>
        </w:numPr>
        <w:tabs>
          <w:tab w:val="left" w:pos="0"/>
        </w:tabs>
        <w:rPr>
          <w:rFonts w:ascii="楷体_GB2312" w:hAnsi="楷体_GB2312" w:eastAsia="楷体_GB2312" w:cs="楷体_GB2312"/>
        </w:rPr>
      </w:pPr>
      <w:bookmarkStart w:id="569" w:name="_Toc28036"/>
      <w:r>
        <w:rPr>
          <w:rFonts w:hint="eastAsia" w:ascii="楷体_GB2312" w:hAnsi="楷体_GB2312" w:eastAsia="楷体_GB2312" w:cs="楷体_GB2312"/>
        </w:rPr>
        <w:t>应急结束</w:t>
      </w:r>
      <w:bookmarkEnd w:id="569"/>
    </w:p>
    <w:p w14:paraId="380F7447">
      <w:pPr>
        <w:ind w:firstLine="632"/>
      </w:pPr>
      <w:r>
        <w:rPr>
          <w:rFonts w:hint="eastAsia"/>
        </w:rPr>
        <w:t>抢险救援工作基本结束，现场得以控制，环境符合有关标准，导致次生事故隐患消除后，按照“谁启动、谁结束”的原则，经启动响应的指挥机构确认和批准，宣布应急处置工作结束，应急救援队伍撤离现场。</w:t>
      </w:r>
    </w:p>
    <w:p w14:paraId="6A11D74B">
      <w:pPr>
        <w:pStyle w:val="2"/>
        <w:numPr>
          <w:ilvl w:val="0"/>
          <w:numId w:val="109"/>
        </w:numPr>
        <w:tabs>
          <w:tab w:val="left" w:pos="0"/>
        </w:tabs>
      </w:pPr>
      <w:bookmarkStart w:id="570" w:name="_Toc1631"/>
      <w:r>
        <w:t>后期处置</w:t>
      </w:r>
      <w:bookmarkEnd w:id="563"/>
      <w:bookmarkEnd w:id="564"/>
      <w:bookmarkEnd w:id="570"/>
    </w:p>
    <w:p w14:paraId="72970C1F">
      <w:pPr>
        <w:pStyle w:val="3"/>
        <w:numPr>
          <w:ilvl w:val="0"/>
          <w:numId w:val="109"/>
        </w:numPr>
        <w:tabs>
          <w:tab w:val="left" w:pos="0"/>
        </w:tabs>
        <w:rPr>
          <w:rFonts w:ascii="楷体_GB2312" w:hAnsi="楷体_GB2312" w:eastAsia="楷体_GB2312" w:cs="楷体_GB2312"/>
        </w:rPr>
      </w:pPr>
      <w:bookmarkStart w:id="571" w:name="_Toc29514"/>
      <w:r>
        <w:rPr>
          <w:rFonts w:hint="eastAsia" w:ascii="楷体_GB2312" w:hAnsi="楷体_GB2312" w:eastAsia="楷体_GB2312" w:cs="楷体_GB2312"/>
        </w:rPr>
        <w:t>善后处置</w:t>
      </w:r>
      <w:bookmarkEnd w:id="571"/>
    </w:p>
    <w:p w14:paraId="4C121B6B">
      <w:pPr>
        <w:ind w:firstLine="632"/>
      </w:pPr>
      <w:r>
        <w:rPr>
          <w:rFonts w:hint="eastAsia"/>
        </w:rPr>
        <w:t>县指挥部各成员单位、事发地乡镇政府、煤矿主体企业、煤矿企业积极做好善后处置工作，包括遇难人员亲属的安置、补偿，征用物资补偿，救援费用的支付，灾后重建，污染物收集、清理与处理等事项。尽快恢复正常秩序，消除事故后果和影响，安抚受害和受影响人员，确保社会稳定。参加救援的部门和单位认真核对参加应急救援人数，清点救援装备、器材；核算救灾费用，整理应急救援记录、图纸，写出救援报告。</w:t>
      </w:r>
    </w:p>
    <w:p w14:paraId="7AABBF74">
      <w:pPr>
        <w:pStyle w:val="3"/>
        <w:numPr>
          <w:ilvl w:val="0"/>
          <w:numId w:val="109"/>
        </w:numPr>
        <w:tabs>
          <w:tab w:val="left" w:pos="0"/>
        </w:tabs>
        <w:rPr>
          <w:rFonts w:ascii="楷体_GB2312" w:hAnsi="楷体_GB2312" w:eastAsia="楷体_GB2312" w:cs="楷体_GB2312"/>
        </w:rPr>
      </w:pPr>
      <w:bookmarkStart w:id="572" w:name="_Toc8136"/>
      <w:r>
        <w:rPr>
          <w:rFonts w:hint="eastAsia" w:ascii="楷体_GB2312" w:hAnsi="楷体_GB2312" w:eastAsia="楷体_GB2312" w:cs="楷体_GB2312"/>
        </w:rPr>
        <w:t>保险理赔</w:t>
      </w:r>
      <w:bookmarkEnd w:id="572"/>
    </w:p>
    <w:p w14:paraId="3969F6A7">
      <w:pPr>
        <w:ind w:firstLine="632"/>
      </w:pPr>
      <w:r>
        <w:rPr>
          <w:rFonts w:hint="eastAsia"/>
        </w:rPr>
        <w:t>由煤矿企业协调保险机构及时派员开展相关的保险受理和赔付工作。</w:t>
      </w:r>
    </w:p>
    <w:p w14:paraId="1BCB1F50">
      <w:pPr>
        <w:pStyle w:val="3"/>
        <w:numPr>
          <w:ilvl w:val="0"/>
          <w:numId w:val="109"/>
        </w:numPr>
        <w:tabs>
          <w:tab w:val="left" w:pos="0"/>
        </w:tabs>
        <w:rPr>
          <w:rFonts w:ascii="楷体_GB2312" w:hAnsi="楷体_GB2312" w:eastAsia="楷体_GB2312" w:cs="楷体_GB2312"/>
        </w:rPr>
      </w:pPr>
      <w:bookmarkStart w:id="573" w:name="_Toc13183"/>
      <w:r>
        <w:rPr>
          <w:rFonts w:hint="eastAsia" w:ascii="楷体_GB2312" w:hAnsi="楷体_GB2312" w:eastAsia="楷体_GB2312" w:cs="楷体_GB2312"/>
        </w:rPr>
        <w:t>调查与评估</w:t>
      </w:r>
      <w:bookmarkEnd w:id="573"/>
      <w:r>
        <w:rPr>
          <w:rFonts w:hint="eastAsia" w:ascii="楷体_GB2312" w:hAnsi="楷体_GB2312" w:eastAsia="楷体_GB2312" w:cs="楷体_GB2312"/>
        </w:rPr>
        <w:t xml:space="preserve"> </w:t>
      </w:r>
    </w:p>
    <w:p w14:paraId="74648D20">
      <w:pPr>
        <w:ind w:firstLine="632"/>
      </w:pPr>
      <w:r>
        <w:rPr>
          <w:rFonts w:hint="eastAsia"/>
        </w:rPr>
        <w:t>县指挥部办公室配合煤矿安全监察机构，按照《生产安全事故报告和调查处理条例》和《煤矿生产安全事故报告和调查处理规定》等有关规定执行，查明事故原因，落实事故责任，制定防范措施，防止类似事故发生。</w:t>
      </w:r>
    </w:p>
    <w:p w14:paraId="46567F52">
      <w:pPr>
        <w:ind w:firstLine="632"/>
      </w:pPr>
      <w:r>
        <w:rPr>
          <w:rFonts w:hint="eastAsia"/>
        </w:rPr>
        <w:t>县指挥部办公室组织有关成员单位，对抢险救援过程和应急保障等工作进行总结和评估，总结经验，找出问题，提出改进意见和建议；形成调查报告，按照有关规定报县委县政府和上级有关部门。</w:t>
      </w:r>
    </w:p>
    <w:p w14:paraId="575BD4AC">
      <w:pPr>
        <w:pStyle w:val="2"/>
        <w:numPr>
          <w:ilvl w:val="0"/>
          <w:numId w:val="109"/>
        </w:numPr>
        <w:tabs>
          <w:tab w:val="left" w:pos="0"/>
        </w:tabs>
      </w:pPr>
      <w:bookmarkStart w:id="574" w:name="_Toc5113"/>
      <w:r>
        <w:rPr>
          <w:rFonts w:hint="eastAsia"/>
        </w:rPr>
        <w:t>应急保障</w:t>
      </w:r>
      <w:bookmarkEnd w:id="574"/>
    </w:p>
    <w:p w14:paraId="4D8635A3">
      <w:pPr>
        <w:pStyle w:val="3"/>
        <w:numPr>
          <w:ilvl w:val="0"/>
          <w:numId w:val="109"/>
        </w:numPr>
        <w:tabs>
          <w:tab w:val="left" w:pos="0"/>
        </w:tabs>
        <w:rPr>
          <w:rFonts w:ascii="楷体_GB2312" w:hAnsi="楷体_GB2312" w:eastAsia="楷体_GB2312" w:cs="楷体_GB2312"/>
        </w:rPr>
      </w:pPr>
      <w:bookmarkStart w:id="575" w:name="_Toc10779"/>
      <w:r>
        <w:rPr>
          <w:rFonts w:hint="eastAsia" w:ascii="楷体_GB2312" w:hAnsi="楷体_GB2312" w:eastAsia="楷体_GB2312" w:cs="楷体_GB2312"/>
        </w:rPr>
        <w:t>通信与信息保障</w:t>
      </w:r>
      <w:bookmarkEnd w:id="575"/>
    </w:p>
    <w:p w14:paraId="5C4EB175">
      <w:pPr>
        <w:ind w:firstLine="632"/>
      </w:pPr>
      <w:r>
        <w:rPr>
          <w:rFonts w:hint="eastAsia"/>
        </w:rPr>
        <w:t>县指挥部办公室要建立与各成员单位、主体企业、煤矿企业以及消防救援大队、煤矿专（兼）职救护队、晋城市应急救援救护队、应急救援专家、救援装备物资生产或储备单位等的通信联络信息库，利用生产安全信息调度中心、远程视频监控（数据频显）、IP 电话系统和生产安全监测监控、人员定位、通信联络系统等信息平台，随时掌握煤矿企业现场有关情况，做到通信联络可靠。移动公司、联通公司、电信公司要保障事故抢险救援的频率需求。</w:t>
      </w:r>
    </w:p>
    <w:p w14:paraId="1A5B0734">
      <w:pPr>
        <w:pStyle w:val="3"/>
        <w:numPr>
          <w:ilvl w:val="0"/>
          <w:numId w:val="109"/>
        </w:numPr>
        <w:tabs>
          <w:tab w:val="left" w:pos="0"/>
        </w:tabs>
        <w:rPr>
          <w:rFonts w:ascii="楷体_GB2312" w:hAnsi="楷体_GB2312" w:eastAsia="楷体_GB2312" w:cs="楷体_GB2312"/>
        </w:rPr>
      </w:pPr>
      <w:bookmarkStart w:id="576" w:name="_Toc25010"/>
      <w:r>
        <w:rPr>
          <w:rFonts w:hint="eastAsia" w:ascii="楷体_GB2312" w:hAnsi="楷体_GB2312" w:eastAsia="楷体_GB2312" w:cs="楷体_GB2312"/>
        </w:rPr>
        <w:t>应急队伍保障</w:t>
      </w:r>
      <w:bookmarkEnd w:id="576"/>
    </w:p>
    <w:p w14:paraId="07044696">
      <w:pPr>
        <w:ind w:firstLine="632"/>
      </w:pPr>
      <w:r>
        <w:rPr>
          <w:rFonts w:hint="eastAsia"/>
        </w:rPr>
        <w:t>煤矿企业按规定与专业救护队签订救护协议，煤矿兼职救护队救援人员由所在单位为其缴纳人身意外伤害保险，并配备必要的防护装备和器材，减少救援人员的人身风险。煤矿企业要及时将应急救援队伍建立情况按监管隶属关系报应急管理部门。</w:t>
      </w:r>
    </w:p>
    <w:p w14:paraId="7071A105">
      <w:pPr>
        <w:pStyle w:val="3"/>
        <w:numPr>
          <w:ilvl w:val="0"/>
          <w:numId w:val="109"/>
        </w:numPr>
        <w:tabs>
          <w:tab w:val="left" w:pos="0"/>
        </w:tabs>
        <w:rPr>
          <w:rFonts w:ascii="楷体_GB2312" w:hAnsi="楷体_GB2312" w:eastAsia="楷体_GB2312" w:cs="楷体_GB2312"/>
        </w:rPr>
      </w:pPr>
      <w:bookmarkStart w:id="577" w:name="_Toc10977"/>
      <w:r>
        <w:rPr>
          <w:rFonts w:hint="eastAsia" w:ascii="楷体_GB2312" w:hAnsi="楷体_GB2312" w:eastAsia="楷体_GB2312" w:cs="楷体_GB2312"/>
        </w:rPr>
        <w:t>应急物资装备保障</w:t>
      </w:r>
      <w:bookmarkEnd w:id="577"/>
    </w:p>
    <w:p w14:paraId="2D8B6447">
      <w:pPr>
        <w:ind w:firstLine="632"/>
      </w:pPr>
      <w:r>
        <w:rPr>
          <w:rFonts w:hint="eastAsia"/>
        </w:rPr>
        <w:t>县煤管局应建立煤矿救援应急物资信息库，储备足够数量的救援器材、防护装备等，保证应对各类煤矿事故的物资急需；同时要与煤矿企业建立物资储备和调用制度，做好应急救援物资保障工作。主体企业、煤矿企业建立各自的煤矿救援应急物资储备库，储备足够的应急救援装备、器材，并及时更新更换。</w:t>
      </w:r>
    </w:p>
    <w:p w14:paraId="677E057A">
      <w:pPr>
        <w:pStyle w:val="3"/>
        <w:numPr>
          <w:ilvl w:val="0"/>
          <w:numId w:val="109"/>
        </w:numPr>
        <w:tabs>
          <w:tab w:val="left" w:pos="0"/>
        </w:tabs>
        <w:rPr>
          <w:rFonts w:ascii="楷体_GB2312" w:hAnsi="楷体_GB2312" w:eastAsia="楷体_GB2312" w:cs="楷体_GB2312"/>
        </w:rPr>
      </w:pPr>
      <w:bookmarkStart w:id="578" w:name="_Toc9641"/>
      <w:r>
        <w:rPr>
          <w:rFonts w:hint="eastAsia" w:ascii="楷体_GB2312" w:hAnsi="楷体_GB2312" w:eastAsia="楷体_GB2312" w:cs="楷体_GB2312"/>
        </w:rPr>
        <w:t>经费保障</w:t>
      </w:r>
      <w:bookmarkEnd w:id="578"/>
    </w:p>
    <w:p w14:paraId="4A2F78FE">
      <w:pPr>
        <w:ind w:firstLine="632"/>
      </w:pPr>
      <w:r>
        <w:rPr>
          <w:rFonts w:hint="eastAsia"/>
        </w:rPr>
        <w:t>县财政局将煤矿事故应急经费纳入年度财政预算，为应急管理工作提供必要的资金保障。各煤矿企业应做好事故应急救援必要的资金储备准备。</w:t>
      </w:r>
    </w:p>
    <w:p w14:paraId="069076E1">
      <w:pPr>
        <w:pStyle w:val="3"/>
        <w:numPr>
          <w:ilvl w:val="0"/>
          <w:numId w:val="109"/>
        </w:numPr>
        <w:tabs>
          <w:tab w:val="left" w:pos="0"/>
        </w:tabs>
        <w:rPr>
          <w:rFonts w:ascii="楷体_GB2312" w:hAnsi="楷体_GB2312" w:eastAsia="楷体_GB2312" w:cs="楷体_GB2312"/>
        </w:rPr>
      </w:pPr>
      <w:bookmarkStart w:id="579" w:name="_Toc32708"/>
      <w:r>
        <w:rPr>
          <w:rFonts w:hint="eastAsia" w:ascii="楷体_GB2312" w:hAnsi="楷体_GB2312" w:eastAsia="楷体_GB2312" w:cs="楷体_GB2312"/>
        </w:rPr>
        <w:t>医疗卫生保障</w:t>
      </w:r>
      <w:bookmarkEnd w:id="579"/>
    </w:p>
    <w:p w14:paraId="561A1AFC">
      <w:pPr>
        <w:ind w:firstLine="632"/>
      </w:pPr>
      <w:r>
        <w:rPr>
          <w:rFonts w:hint="eastAsia"/>
        </w:rPr>
        <w:t>县卫生健康局应当加强急救医疗服务网络的建设，配备相应的医疗救治药物、技术、设备和人员，提高医疗救治和应急保障能力。</w:t>
      </w:r>
    </w:p>
    <w:p w14:paraId="27976B55">
      <w:pPr>
        <w:ind w:firstLine="632"/>
      </w:pPr>
      <w:r>
        <w:rPr>
          <w:rFonts w:hint="eastAsia"/>
        </w:rPr>
        <w:t>煤矿企业建立煤矿医疗救护站，或与企业所在地医疗单位签订医疗救护协议，负责煤矿企业事故伤员的医疗急救和煤矿救援队伍医疗救护知识专项培训工作。</w:t>
      </w:r>
    </w:p>
    <w:p w14:paraId="1FA28974">
      <w:pPr>
        <w:pStyle w:val="3"/>
        <w:numPr>
          <w:ilvl w:val="0"/>
          <w:numId w:val="109"/>
        </w:numPr>
        <w:tabs>
          <w:tab w:val="left" w:pos="0"/>
        </w:tabs>
        <w:rPr>
          <w:rFonts w:ascii="楷体_GB2312" w:hAnsi="楷体_GB2312" w:eastAsia="楷体_GB2312" w:cs="楷体_GB2312"/>
        </w:rPr>
      </w:pPr>
      <w:bookmarkStart w:id="580" w:name="_Toc27085"/>
      <w:r>
        <w:rPr>
          <w:rFonts w:hint="eastAsia" w:ascii="楷体_GB2312" w:hAnsi="楷体_GB2312" w:eastAsia="楷体_GB2312" w:cs="楷体_GB2312"/>
        </w:rPr>
        <w:t>交通运输保障</w:t>
      </w:r>
      <w:bookmarkEnd w:id="580"/>
    </w:p>
    <w:p w14:paraId="50A8D3A9">
      <w:pPr>
        <w:ind w:firstLine="632"/>
      </w:pPr>
      <w:r>
        <w:rPr>
          <w:rFonts w:hint="eastAsia"/>
        </w:rPr>
        <w:t>县公安局、县交通运输局等单位，负责对事发现场周边和相关道路实施交通管制，开设“绿色通道”，确保救援队伍、物资、器材等的紧急输送。道路设施受损时，要迅速进行抢修，尽快恢复良好状态。</w:t>
      </w:r>
    </w:p>
    <w:p w14:paraId="68E8853C">
      <w:pPr>
        <w:pStyle w:val="3"/>
        <w:numPr>
          <w:ilvl w:val="0"/>
          <w:numId w:val="109"/>
        </w:numPr>
        <w:tabs>
          <w:tab w:val="left" w:pos="0"/>
        </w:tabs>
        <w:rPr>
          <w:rFonts w:ascii="楷体_GB2312" w:hAnsi="楷体_GB2312" w:eastAsia="楷体_GB2312" w:cs="楷体_GB2312"/>
        </w:rPr>
      </w:pPr>
      <w:bookmarkStart w:id="581" w:name="_Toc31638"/>
      <w:r>
        <w:rPr>
          <w:rFonts w:hint="eastAsia" w:ascii="楷体_GB2312" w:hAnsi="楷体_GB2312" w:eastAsia="楷体_GB2312" w:cs="楷体_GB2312"/>
        </w:rPr>
        <w:t>治安保障</w:t>
      </w:r>
      <w:bookmarkEnd w:id="581"/>
    </w:p>
    <w:p w14:paraId="4D8526FE">
      <w:pPr>
        <w:ind w:firstLine="632"/>
      </w:pPr>
      <w:r>
        <w:rPr>
          <w:rFonts w:hint="eastAsia"/>
        </w:rPr>
        <w:t>县公安等部门和单位负责组织事故现场治安警戒和治安管理，维持现场秩序，及时疏散群众；限制无关人员进入现场；加强对现场重要目标、重点场所的防范保护。</w:t>
      </w:r>
    </w:p>
    <w:p w14:paraId="2E984B44">
      <w:pPr>
        <w:pStyle w:val="3"/>
        <w:numPr>
          <w:ilvl w:val="0"/>
          <w:numId w:val="109"/>
        </w:numPr>
        <w:tabs>
          <w:tab w:val="left" w:pos="0"/>
        </w:tabs>
        <w:rPr>
          <w:rFonts w:ascii="楷体_GB2312" w:hAnsi="楷体_GB2312" w:eastAsia="楷体_GB2312" w:cs="楷体_GB2312"/>
        </w:rPr>
      </w:pPr>
      <w:bookmarkStart w:id="582" w:name="_Toc27583"/>
      <w:r>
        <w:rPr>
          <w:rFonts w:hint="eastAsia" w:ascii="楷体_GB2312" w:hAnsi="楷体_GB2312" w:eastAsia="楷体_GB2312" w:cs="楷体_GB2312"/>
        </w:rPr>
        <w:t>技术支持与保障</w:t>
      </w:r>
      <w:bookmarkEnd w:id="582"/>
    </w:p>
    <w:p w14:paraId="0D0600F9">
      <w:pPr>
        <w:ind w:firstLine="632"/>
      </w:pPr>
      <w:r>
        <w:rPr>
          <w:rFonts w:hint="eastAsia"/>
        </w:rPr>
        <w:t>县煤管局设立煤矿应急救援专家信息库，根据事故情况，及时邀请有关专家研究分析事故情况、提出抢险救援技术措施意见，制定抢险救援方案。</w:t>
      </w:r>
    </w:p>
    <w:p w14:paraId="61F04D6A">
      <w:pPr>
        <w:pStyle w:val="3"/>
        <w:numPr>
          <w:ilvl w:val="0"/>
          <w:numId w:val="109"/>
        </w:numPr>
        <w:tabs>
          <w:tab w:val="left" w:pos="0"/>
        </w:tabs>
        <w:rPr>
          <w:rFonts w:ascii="楷体_GB2312" w:hAnsi="楷体_GB2312" w:eastAsia="楷体_GB2312" w:cs="楷体_GB2312"/>
        </w:rPr>
      </w:pPr>
      <w:bookmarkStart w:id="583" w:name="_Toc11045"/>
      <w:r>
        <w:rPr>
          <w:rFonts w:hint="eastAsia" w:ascii="楷体_GB2312" w:hAnsi="楷体_GB2312" w:eastAsia="楷体_GB2312" w:cs="楷体_GB2312"/>
        </w:rPr>
        <w:t>社会动员保障</w:t>
      </w:r>
      <w:bookmarkEnd w:id="583"/>
    </w:p>
    <w:p w14:paraId="0CE3751B">
      <w:pPr>
        <w:ind w:firstLine="632"/>
      </w:pPr>
      <w:r>
        <w:rPr>
          <w:rFonts w:hint="eastAsia"/>
        </w:rPr>
        <w:t>事发地人民政府根据抢险救援工作需要，动员和组织社会力量参与事故的抢险救援。</w:t>
      </w:r>
    </w:p>
    <w:p w14:paraId="05DB3D10">
      <w:pPr>
        <w:pStyle w:val="3"/>
        <w:numPr>
          <w:ilvl w:val="0"/>
          <w:numId w:val="109"/>
        </w:numPr>
        <w:tabs>
          <w:tab w:val="left" w:pos="0"/>
        </w:tabs>
        <w:rPr>
          <w:rFonts w:ascii="楷体_GB2312" w:hAnsi="楷体_GB2312" w:eastAsia="楷体_GB2312" w:cs="楷体_GB2312"/>
        </w:rPr>
      </w:pPr>
      <w:bookmarkStart w:id="584" w:name="_Toc31748"/>
      <w:r>
        <w:rPr>
          <w:rFonts w:hint="eastAsia" w:ascii="楷体_GB2312" w:hAnsi="楷体_GB2312" w:eastAsia="楷体_GB2312" w:cs="楷体_GB2312"/>
        </w:rPr>
        <w:t>宣传、培训和演练</w:t>
      </w:r>
      <w:bookmarkEnd w:id="584"/>
    </w:p>
    <w:p w14:paraId="7FA1356A">
      <w:pPr>
        <w:pStyle w:val="4"/>
        <w:numPr>
          <w:ilvl w:val="2"/>
          <w:numId w:val="109"/>
        </w:numPr>
        <w:tabs>
          <w:tab w:val="left" w:pos="0"/>
        </w:tabs>
      </w:pPr>
      <w:r>
        <w:rPr>
          <w:rFonts w:hint="eastAsia"/>
        </w:rPr>
        <w:t>宣传</w:t>
      </w:r>
    </w:p>
    <w:p w14:paraId="607976FF">
      <w:pPr>
        <w:ind w:firstLine="632"/>
      </w:pPr>
      <w:r>
        <w:rPr>
          <w:rFonts w:hint="eastAsia"/>
        </w:rPr>
        <w:t>县应急管理局、县煤管局和煤矿企业要按规定向员工告知煤矿作业的危险性及发生事故可能造成的危害，采取多种形式宣传应急救援法律法规和煤矿事故预防、避险、自救和互救知识，增强从业人员安全意识和应急处置技能。</w:t>
      </w:r>
    </w:p>
    <w:p w14:paraId="347DD443">
      <w:pPr>
        <w:pStyle w:val="4"/>
        <w:numPr>
          <w:ilvl w:val="2"/>
          <w:numId w:val="109"/>
        </w:numPr>
        <w:tabs>
          <w:tab w:val="left" w:pos="0"/>
        </w:tabs>
      </w:pPr>
      <w:r>
        <w:rPr>
          <w:rFonts w:hint="eastAsia"/>
        </w:rPr>
        <w:t>培训</w:t>
      </w:r>
    </w:p>
    <w:p w14:paraId="17EDFB4E">
      <w:pPr>
        <w:ind w:firstLine="632"/>
      </w:pPr>
      <w:r>
        <w:rPr>
          <w:rFonts w:hint="eastAsia"/>
        </w:rPr>
        <w:t>县应急管理局、县煤管局和煤矿企业应将煤矿事故应急救援知识和应急预案的培训纳入安全生产培训工作计划并组织实施，使有关人员了解应急预案内容、熟悉应急职责、应急程序和岗位应急处置方案，提高处置事故的能力和素质。矿山救护队加强日常战备训练，提高应急抢险救援能力。</w:t>
      </w:r>
    </w:p>
    <w:p w14:paraId="772B32E5">
      <w:pPr>
        <w:pStyle w:val="4"/>
        <w:numPr>
          <w:ilvl w:val="2"/>
          <w:numId w:val="109"/>
        </w:numPr>
        <w:tabs>
          <w:tab w:val="left" w:pos="0"/>
        </w:tabs>
      </w:pPr>
      <w:r>
        <w:rPr>
          <w:rFonts w:hint="eastAsia"/>
        </w:rPr>
        <w:t>演练</w:t>
      </w:r>
    </w:p>
    <w:p w14:paraId="7C40A10E">
      <w:pPr>
        <w:ind w:firstLine="632"/>
      </w:pPr>
      <w:r>
        <w:rPr>
          <w:rFonts w:hint="eastAsia"/>
        </w:rPr>
        <w:t>县指挥部每两年应至少组织一次应急演练，及时总结评估，针对发现的问题及时修订应急预案，完善应急措施。</w:t>
      </w:r>
    </w:p>
    <w:p w14:paraId="0C1B41B0">
      <w:pPr>
        <w:pStyle w:val="2"/>
        <w:numPr>
          <w:ilvl w:val="0"/>
          <w:numId w:val="109"/>
        </w:numPr>
        <w:tabs>
          <w:tab w:val="left" w:pos="0"/>
        </w:tabs>
      </w:pPr>
      <w:bookmarkStart w:id="585" w:name="_Toc24614"/>
      <w:r>
        <w:rPr>
          <w:rFonts w:hint="eastAsia"/>
        </w:rPr>
        <w:t>附则</w:t>
      </w:r>
      <w:bookmarkEnd w:id="585"/>
    </w:p>
    <w:p w14:paraId="6C48CC4C">
      <w:pPr>
        <w:pStyle w:val="3"/>
        <w:numPr>
          <w:ilvl w:val="0"/>
          <w:numId w:val="109"/>
        </w:numPr>
        <w:tabs>
          <w:tab w:val="left" w:pos="0"/>
        </w:tabs>
        <w:rPr>
          <w:rFonts w:ascii="楷体_GB2312" w:hAnsi="楷体_GB2312" w:eastAsia="楷体_GB2312" w:cs="楷体_GB2312"/>
        </w:rPr>
      </w:pPr>
      <w:bookmarkStart w:id="586" w:name="_Toc25523"/>
      <w:r>
        <w:rPr>
          <w:rFonts w:hint="eastAsia" w:ascii="楷体_GB2312" w:hAnsi="楷体_GB2312" w:eastAsia="楷体_GB2312" w:cs="楷体_GB2312"/>
        </w:rPr>
        <w:t>预案管理与更新</w:t>
      </w:r>
      <w:bookmarkEnd w:id="586"/>
    </w:p>
    <w:p w14:paraId="7F0B7FF6">
      <w:pPr>
        <w:ind w:firstLine="632"/>
      </w:pPr>
      <w:r>
        <w:rPr>
          <w:rFonts w:hint="eastAsia"/>
        </w:rPr>
        <w:t>县应急管理局、县煤管局及其他相关部门对煤矿企业事故预案的编制、评审、备案、衔接、实施等工作进行监督检查。</w:t>
      </w:r>
    </w:p>
    <w:p w14:paraId="71D094EF">
      <w:pPr>
        <w:ind w:firstLine="632"/>
      </w:pPr>
      <w:r>
        <w:rPr>
          <w:rFonts w:hint="eastAsia"/>
        </w:rPr>
        <w:t>本预案按规定3年修订一次，当所依据的法律法规、规章和标准发生变化、应急指挥机构及其职责发生较大调整、执行过程中发现存在重大缺陷等情况时，由县应急管理局及时组织修订。</w:t>
      </w:r>
    </w:p>
    <w:p w14:paraId="18225EB7">
      <w:pPr>
        <w:pStyle w:val="3"/>
        <w:numPr>
          <w:ilvl w:val="0"/>
          <w:numId w:val="109"/>
        </w:numPr>
        <w:tabs>
          <w:tab w:val="left" w:pos="0"/>
        </w:tabs>
        <w:rPr>
          <w:rFonts w:ascii="楷体_GB2312" w:hAnsi="楷体_GB2312" w:eastAsia="楷体_GB2312" w:cs="楷体_GB2312"/>
        </w:rPr>
      </w:pPr>
      <w:bookmarkStart w:id="587" w:name="_Toc27814"/>
      <w:r>
        <w:rPr>
          <w:rFonts w:hint="eastAsia" w:ascii="楷体_GB2312" w:hAnsi="楷体_GB2312" w:eastAsia="楷体_GB2312" w:cs="楷体_GB2312"/>
        </w:rPr>
        <w:t>奖励与责任</w:t>
      </w:r>
      <w:bookmarkEnd w:id="587"/>
    </w:p>
    <w:p w14:paraId="0F28221F">
      <w:pPr>
        <w:ind w:firstLine="632"/>
      </w:pPr>
      <w:r>
        <w:rPr>
          <w:rFonts w:hint="eastAsia"/>
        </w:rPr>
        <w:t>对在煤矿事故应急处置中作出突出贡献的单位和个人依据有关规定给予表彰和奖励；对在应急救援工作中受伤、致残或者死亡的人员，按照国家有关规定给予医疗、抚恤；对因抢救他人或国家财产英勇牺牲的，由所在单位上报政府主管部门，经人民政府批准后，追认为烈士。对迟报、谎报、瞒报和漏报煤矿事故重要情况或者在应急处置中有不服从调遣、玩忽职守、失职、渎职等行为的，依法对有关责任人员给予行政处分，涉嫌犯罪的，移交司法机关，依法追究其刑事责任。</w:t>
      </w:r>
    </w:p>
    <w:p w14:paraId="4BA17E92">
      <w:pPr>
        <w:pStyle w:val="3"/>
        <w:numPr>
          <w:ilvl w:val="0"/>
          <w:numId w:val="109"/>
        </w:numPr>
        <w:tabs>
          <w:tab w:val="left" w:pos="0"/>
        </w:tabs>
        <w:rPr>
          <w:rFonts w:ascii="楷体_GB2312" w:hAnsi="楷体_GB2312" w:eastAsia="楷体_GB2312" w:cs="楷体_GB2312"/>
        </w:rPr>
      </w:pPr>
      <w:bookmarkStart w:id="588" w:name="_Toc27823"/>
      <w:r>
        <w:rPr>
          <w:rFonts w:hint="eastAsia" w:ascii="楷体_GB2312" w:hAnsi="楷体_GB2312" w:eastAsia="楷体_GB2312" w:cs="楷体_GB2312"/>
        </w:rPr>
        <w:t>制订与解释</w:t>
      </w:r>
      <w:bookmarkEnd w:id="588"/>
    </w:p>
    <w:p w14:paraId="0BEB6BAF">
      <w:pPr>
        <w:ind w:firstLine="632"/>
      </w:pPr>
      <w:r>
        <w:rPr>
          <w:rFonts w:hint="eastAsia"/>
        </w:rPr>
        <w:t>本预案由集贤县煤矿生产安全事故指挥部办公室制定并负责解释。</w:t>
      </w:r>
    </w:p>
    <w:p w14:paraId="74D3A0C8">
      <w:pPr>
        <w:pStyle w:val="3"/>
        <w:numPr>
          <w:ilvl w:val="0"/>
          <w:numId w:val="109"/>
        </w:numPr>
        <w:tabs>
          <w:tab w:val="left" w:pos="0"/>
        </w:tabs>
        <w:rPr>
          <w:rFonts w:ascii="楷体_GB2312" w:hAnsi="楷体_GB2312" w:eastAsia="楷体_GB2312" w:cs="楷体_GB2312"/>
        </w:rPr>
      </w:pPr>
      <w:bookmarkStart w:id="589" w:name="_Toc23257"/>
      <w:r>
        <w:rPr>
          <w:rFonts w:hint="eastAsia" w:ascii="楷体_GB2312" w:hAnsi="楷体_GB2312" w:eastAsia="楷体_GB2312" w:cs="楷体_GB2312"/>
        </w:rPr>
        <w:t>预案中“以上”“以下”的含义</w:t>
      </w:r>
      <w:bookmarkEnd w:id="589"/>
    </w:p>
    <w:p w14:paraId="766E8F99">
      <w:pPr>
        <w:ind w:firstLine="632"/>
      </w:pPr>
      <w:r>
        <w:rPr>
          <w:rFonts w:hint="eastAsia"/>
        </w:rPr>
        <w:t>本预案有关数量的表述中，“以上”包含本数，“以下”不包含本数。</w:t>
      </w:r>
    </w:p>
    <w:p w14:paraId="4247D55D">
      <w:pPr>
        <w:pStyle w:val="3"/>
        <w:numPr>
          <w:ilvl w:val="0"/>
          <w:numId w:val="109"/>
        </w:numPr>
        <w:tabs>
          <w:tab w:val="left" w:pos="0"/>
        </w:tabs>
        <w:rPr>
          <w:rFonts w:ascii="楷体_GB2312" w:hAnsi="楷体_GB2312" w:eastAsia="楷体_GB2312" w:cs="楷体_GB2312"/>
        </w:rPr>
      </w:pPr>
      <w:bookmarkStart w:id="590" w:name="_Toc18616"/>
      <w:r>
        <w:rPr>
          <w:rFonts w:hint="eastAsia" w:ascii="楷体_GB2312" w:hAnsi="楷体_GB2312" w:eastAsia="楷体_GB2312" w:cs="楷体_GB2312"/>
        </w:rPr>
        <w:t>预案的实施</w:t>
      </w:r>
      <w:bookmarkEnd w:id="590"/>
    </w:p>
    <w:p w14:paraId="2DFB4C27">
      <w:pPr>
        <w:ind w:firstLine="632"/>
      </w:pPr>
      <w:r>
        <w:rPr>
          <w:rFonts w:hint="eastAsia"/>
        </w:rPr>
        <w:t>本预案自发布之日起施行。</w:t>
      </w:r>
    </w:p>
    <w:p w14:paraId="7C2B5D58">
      <w:pPr>
        <w:ind w:firstLine="632"/>
      </w:pPr>
    </w:p>
    <w:p w14:paraId="031456AD">
      <w:pPr>
        <w:pStyle w:val="15"/>
        <w:ind w:left="0" w:leftChars="0" w:firstLine="0" w:firstLineChars="0"/>
        <w:rPr>
          <w:rFonts w:ascii="Times New Roman" w:hAnsi="Times New Roman" w:cs="Times New Roman"/>
        </w:rPr>
        <w:sectPr>
          <w:headerReference r:id="rId44" w:type="default"/>
          <w:footerReference r:id="rId46" w:type="default"/>
          <w:headerReference r:id="rId45" w:type="even"/>
          <w:footerReference r:id="rId47" w:type="even"/>
          <w:pgSz w:w="11906" w:h="16838"/>
          <w:pgMar w:top="2098" w:right="1474" w:bottom="1984" w:left="1587" w:header="624" w:footer="1134" w:gutter="0"/>
          <w:pgNumType w:start="1"/>
          <w:cols w:space="0" w:num="1"/>
          <w:docGrid w:type="linesAndChars" w:linePitch="579" w:charSpace="-842"/>
        </w:sectPr>
      </w:pPr>
    </w:p>
    <w:p w14:paraId="4456E8F5">
      <w:pPr>
        <w:pStyle w:val="11"/>
        <w:ind w:firstLine="632"/>
      </w:pPr>
      <w:r>
        <w:rPr>
          <w:rFonts w:hint="eastAsia"/>
        </w:rPr>
        <w:t xml:space="preserve"> </w:t>
      </w:r>
    </w:p>
    <w:p w14:paraId="1A0087CB">
      <w:pPr>
        <w:ind w:firstLine="0" w:firstLineChars="0"/>
        <w:jc w:val="center"/>
        <w:rPr>
          <w:sz w:val="36"/>
          <w:szCs w:val="36"/>
        </w:rPr>
      </w:pPr>
    </w:p>
    <w:p w14:paraId="4FF1E071">
      <w:pPr>
        <w:pStyle w:val="42"/>
      </w:pPr>
    </w:p>
    <w:p w14:paraId="691A2F1F">
      <w:pPr>
        <w:autoSpaceDE w:val="0"/>
        <w:autoSpaceDN w:val="0"/>
        <w:adjustRightInd w:val="0"/>
        <w:spacing w:line="240" w:lineRule="atLeast"/>
        <w:ind w:firstLine="0" w:firstLineChars="0"/>
        <w:jc w:val="center"/>
        <w:rPr>
          <w:rFonts w:ascii="方正小标宋简体" w:hAnsi="方正小标宋简体" w:eastAsia="方正小标宋简体" w:cs="方正小标宋简体"/>
          <w:bCs/>
          <w:color w:val="000000"/>
          <w:spacing w:val="-6"/>
          <w:kern w:val="0"/>
          <w:sz w:val="52"/>
          <w:szCs w:val="52"/>
          <w:lang w:bidi="ar"/>
        </w:rPr>
      </w:pPr>
      <w:r>
        <w:rPr>
          <w:rFonts w:hint="eastAsia" w:ascii="方正小标宋简体" w:hAnsi="方正小标宋简体" w:eastAsia="方正小标宋简体" w:cs="方正小标宋简体"/>
          <w:bCs/>
          <w:color w:val="000000"/>
          <w:spacing w:val="-6"/>
          <w:kern w:val="0"/>
          <w:sz w:val="52"/>
          <w:szCs w:val="52"/>
          <w:lang w:bidi="ar"/>
        </w:rPr>
        <w:t>集贤县大面积停电事件应急预案</w:t>
      </w:r>
    </w:p>
    <w:p w14:paraId="1DE06C51">
      <w:pPr>
        <w:pStyle w:val="11"/>
        <w:ind w:firstLine="0" w:firstLineChars="0"/>
        <w:jc w:val="center"/>
        <w:rPr>
          <w:rFonts w:ascii="Times New Roman" w:hAnsi="Times New Roman" w:eastAsia="楷体_GB2312" w:cs="Times New Roman"/>
          <w:b/>
          <w:sz w:val="52"/>
          <w:szCs w:val="52"/>
        </w:rPr>
      </w:pPr>
      <w:r>
        <w:rPr>
          <w:rFonts w:hint="eastAsia" w:ascii="仿宋_GB2312" w:hAnsi="仿宋_GB2312" w:cs="仿宋_GB2312"/>
          <w:bCs/>
          <w:sz w:val="48"/>
          <w:szCs w:val="48"/>
        </w:rPr>
        <w:t>（修订稿）</w:t>
      </w:r>
    </w:p>
    <w:p w14:paraId="0E557D09">
      <w:pPr>
        <w:ind w:firstLine="632"/>
      </w:pPr>
    </w:p>
    <w:p w14:paraId="27441849">
      <w:pPr>
        <w:ind w:firstLine="632"/>
      </w:pPr>
    </w:p>
    <w:p w14:paraId="71C76B81">
      <w:pPr>
        <w:ind w:firstLine="632"/>
      </w:pPr>
    </w:p>
    <w:p w14:paraId="3D5E4CC8">
      <w:pPr>
        <w:pStyle w:val="11"/>
        <w:ind w:firstLine="632"/>
      </w:pPr>
    </w:p>
    <w:p w14:paraId="52E35CA6">
      <w:pPr>
        <w:pStyle w:val="11"/>
        <w:ind w:firstLine="632"/>
      </w:pPr>
    </w:p>
    <w:p w14:paraId="30BF691A">
      <w:pPr>
        <w:pStyle w:val="11"/>
        <w:ind w:firstLine="632"/>
      </w:pPr>
    </w:p>
    <w:p w14:paraId="02EB1644">
      <w:pPr>
        <w:pStyle w:val="11"/>
        <w:ind w:firstLine="632"/>
      </w:pPr>
    </w:p>
    <w:p w14:paraId="67C7D671">
      <w:pPr>
        <w:pStyle w:val="11"/>
        <w:ind w:firstLine="632"/>
      </w:pPr>
    </w:p>
    <w:p w14:paraId="104A24DD">
      <w:pPr>
        <w:ind w:firstLine="632"/>
      </w:pPr>
    </w:p>
    <w:p w14:paraId="0278B7A0">
      <w:pPr>
        <w:ind w:firstLine="632"/>
      </w:pPr>
    </w:p>
    <w:p w14:paraId="6B1F1AEE">
      <w:pPr>
        <w:pStyle w:val="42"/>
      </w:pPr>
    </w:p>
    <w:p w14:paraId="1E3E964B">
      <w:pPr>
        <w:pStyle w:val="42"/>
      </w:pPr>
    </w:p>
    <w:p w14:paraId="06214A7E">
      <w:pPr>
        <w:ind w:firstLine="632"/>
      </w:pPr>
    </w:p>
    <w:p w14:paraId="56779D18">
      <w:pPr>
        <w:ind w:firstLine="0" w:firstLineChars="0"/>
        <w:jc w:val="center"/>
        <w:rPr>
          <w:rFonts w:eastAsia="仿宋"/>
          <w:bCs/>
          <w:spacing w:val="-6"/>
          <w:sz w:val="36"/>
          <w:szCs w:val="24"/>
          <w:lang w:bidi="ar"/>
        </w:rPr>
      </w:pPr>
      <w:r>
        <w:rPr>
          <w:rFonts w:hint="eastAsia"/>
          <w:bCs/>
          <w:spacing w:val="-6"/>
          <w:sz w:val="36"/>
          <w:szCs w:val="24"/>
          <w:lang w:bidi="ar"/>
        </w:rPr>
        <w:t>集贤县</w:t>
      </w:r>
      <w:r>
        <w:rPr>
          <w:rFonts w:hint="eastAsia" w:eastAsia="仿宋"/>
          <w:bCs/>
          <w:spacing w:val="-6"/>
          <w:sz w:val="36"/>
          <w:szCs w:val="24"/>
          <w:lang w:bidi="ar"/>
        </w:rPr>
        <w:t>人民政府</w:t>
      </w:r>
      <w:r>
        <w:rPr>
          <w:rFonts w:hint="eastAsia"/>
          <w:bCs/>
          <w:spacing w:val="-6"/>
          <w:sz w:val="36"/>
          <w:szCs w:val="24"/>
          <w:lang w:bidi="ar"/>
        </w:rPr>
        <w:t xml:space="preserve"> </w:t>
      </w:r>
      <w:r>
        <w:rPr>
          <w:rFonts w:hint="eastAsia" w:eastAsia="仿宋"/>
          <w:bCs/>
          <w:spacing w:val="-6"/>
          <w:sz w:val="36"/>
          <w:szCs w:val="24"/>
          <w:lang w:bidi="ar"/>
        </w:rPr>
        <w:t>编制</w:t>
      </w:r>
    </w:p>
    <w:p w14:paraId="6B01723E">
      <w:pPr>
        <w:ind w:firstLine="0" w:firstLineChars="0"/>
        <w:jc w:val="center"/>
        <w:rPr>
          <w:rFonts w:eastAsia="仿宋"/>
          <w:bCs/>
          <w:spacing w:val="-6"/>
          <w:sz w:val="36"/>
          <w:szCs w:val="24"/>
          <w:lang w:bidi="ar"/>
        </w:rPr>
      </w:pPr>
      <w:r>
        <w:rPr>
          <w:rFonts w:hint="eastAsia" w:eastAsia="仿宋"/>
          <w:bCs/>
          <w:spacing w:val="-6"/>
          <w:sz w:val="36"/>
          <w:szCs w:val="24"/>
          <w:lang w:bidi="ar"/>
        </w:rPr>
        <w:t>202</w:t>
      </w:r>
      <w:r>
        <w:rPr>
          <w:bCs/>
          <w:spacing w:val="-6"/>
          <w:sz w:val="36"/>
          <w:szCs w:val="24"/>
          <w:lang w:bidi="ar"/>
        </w:rPr>
        <w:t>5</w:t>
      </w:r>
      <w:r>
        <w:rPr>
          <w:rFonts w:hint="eastAsia" w:eastAsia="仿宋"/>
          <w:bCs/>
          <w:spacing w:val="-6"/>
          <w:sz w:val="36"/>
          <w:szCs w:val="24"/>
          <w:lang w:bidi="ar"/>
        </w:rPr>
        <w:t>年</w:t>
      </w:r>
      <w:r>
        <w:rPr>
          <w:rFonts w:eastAsia="仿宋"/>
          <w:bCs/>
          <w:spacing w:val="-6"/>
          <w:sz w:val="36"/>
          <w:szCs w:val="24"/>
          <w:lang w:bidi="ar"/>
        </w:rPr>
        <w:t>5</w:t>
      </w:r>
      <w:r>
        <w:rPr>
          <w:rFonts w:hint="eastAsia" w:eastAsia="仿宋"/>
          <w:bCs/>
          <w:spacing w:val="-6"/>
          <w:sz w:val="36"/>
          <w:szCs w:val="24"/>
          <w:lang w:bidi="ar"/>
        </w:rPr>
        <w:t>月</w:t>
      </w:r>
    </w:p>
    <w:p w14:paraId="2E32A7FC">
      <w:pPr>
        <w:ind w:firstLine="0" w:firstLineChars="0"/>
        <w:sectPr>
          <w:footerReference r:id="rId48" w:type="default"/>
          <w:pgSz w:w="11906" w:h="16838"/>
          <w:pgMar w:top="2098" w:right="1474" w:bottom="1984" w:left="1587" w:header="1814" w:footer="1587" w:gutter="0"/>
          <w:pgNumType w:fmt="numberInDash"/>
          <w:cols w:space="720" w:num="1"/>
          <w:docGrid w:type="linesAndChars" w:linePitch="579" w:charSpace="-842"/>
        </w:sectPr>
      </w:pPr>
      <w:r>
        <w:rPr>
          <w:rFonts w:hint="eastAsia"/>
        </w:rPr>
        <w:br w:type="page"/>
      </w:r>
    </w:p>
    <w:p w14:paraId="597522F5">
      <w:pPr>
        <w:ind w:firstLine="0" w:firstLineChars="0"/>
        <w:jc w:val="center"/>
        <w:rPr>
          <w:rFonts w:ascii="微软雅黑" w:hAnsi="微软雅黑" w:eastAsia="微软雅黑" w:cs="微软雅黑"/>
          <w:b/>
          <w:bCs/>
          <w:sz w:val="36"/>
          <w:szCs w:val="36"/>
        </w:rPr>
      </w:pPr>
      <w:r>
        <w:rPr>
          <w:rFonts w:hint="eastAsia" w:ascii="微软雅黑" w:hAnsi="微软雅黑" w:eastAsia="微软雅黑" w:cs="微软雅黑"/>
          <w:b/>
          <w:bCs/>
          <w:sz w:val="36"/>
          <w:szCs w:val="36"/>
        </w:rPr>
        <w:t>目  录</w:t>
      </w:r>
    </w:p>
    <w:p w14:paraId="05F08D50">
      <w:pPr>
        <w:pStyle w:val="18"/>
      </w:pPr>
      <w:r>
        <w:rPr>
          <w:rFonts w:hint="eastAsia" w:ascii="黑体" w:hAnsi="黑体" w:eastAsia="黑体" w:cs="黑体"/>
          <w:sz w:val="44"/>
          <w:szCs w:val="44"/>
        </w:rPr>
        <w:fldChar w:fldCharType="begin"/>
      </w:r>
      <w:r>
        <w:rPr>
          <w:rFonts w:hint="eastAsia" w:ascii="黑体" w:hAnsi="黑体" w:eastAsia="黑体" w:cs="黑体"/>
          <w:sz w:val="44"/>
          <w:szCs w:val="44"/>
        </w:rPr>
        <w:instrText xml:space="preserve">TOC \o "1-2" \h \u </w:instrText>
      </w:r>
      <w:r>
        <w:rPr>
          <w:rFonts w:hint="eastAsia" w:ascii="黑体" w:hAnsi="黑体" w:eastAsia="黑体" w:cs="黑体"/>
          <w:sz w:val="44"/>
          <w:szCs w:val="44"/>
        </w:rPr>
        <w:fldChar w:fldCharType="separate"/>
      </w:r>
      <w:r>
        <w:fldChar w:fldCharType="begin"/>
      </w:r>
      <w:r>
        <w:instrText xml:space="preserve"> HYPERLINK \l "_Toc20220" </w:instrText>
      </w:r>
      <w:r>
        <w:fldChar w:fldCharType="separate"/>
      </w:r>
      <w:r>
        <w:rPr>
          <w:rFonts w:eastAsia="仿宋"/>
        </w:rPr>
        <w:t xml:space="preserve">1 </w:t>
      </w:r>
      <w:r>
        <w:rPr>
          <w:rFonts w:hint="eastAsia"/>
        </w:rPr>
        <w:t>总则</w:t>
      </w:r>
      <w:r>
        <w:tab/>
      </w:r>
      <w:r>
        <w:fldChar w:fldCharType="begin"/>
      </w:r>
      <w:r>
        <w:instrText xml:space="preserve"> PAGEREF _Toc20220 \h </w:instrText>
      </w:r>
      <w:r>
        <w:fldChar w:fldCharType="separate"/>
      </w:r>
      <w:r>
        <w:t>1</w:t>
      </w:r>
      <w:r>
        <w:fldChar w:fldCharType="end"/>
      </w:r>
      <w:r>
        <w:fldChar w:fldCharType="end"/>
      </w:r>
    </w:p>
    <w:p w14:paraId="3BA4CFCF">
      <w:pPr>
        <w:pStyle w:val="19"/>
        <w:tabs>
          <w:tab w:val="right" w:leader="dot" w:pos="8845"/>
        </w:tabs>
        <w:ind w:firstLine="632"/>
      </w:pPr>
      <w:r>
        <w:fldChar w:fldCharType="begin"/>
      </w:r>
      <w:r>
        <w:instrText xml:space="preserve"> HYPERLINK \l "_Toc7990" </w:instrText>
      </w:r>
      <w:r>
        <w:fldChar w:fldCharType="separate"/>
      </w:r>
      <w:r>
        <w:rPr>
          <w:rFonts w:eastAsia="仿宋"/>
          <w:bCs/>
          <w:szCs w:val="28"/>
        </w:rPr>
        <w:t xml:space="preserve">1.1 </w:t>
      </w:r>
      <w:r>
        <w:rPr>
          <w:rFonts w:hint="eastAsia"/>
        </w:rPr>
        <w:t>编制目的</w:t>
      </w:r>
      <w:r>
        <w:tab/>
      </w:r>
      <w:r>
        <w:fldChar w:fldCharType="begin"/>
      </w:r>
      <w:r>
        <w:instrText xml:space="preserve"> PAGEREF _Toc7990 \h </w:instrText>
      </w:r>
      <w:r>
        <w:fldChar w:fldCharType="separate"/>
      </w:r>
      <w:r>
        <w:t>1</w:t>
      </w:r>
      <w:r>
        <w:fldChar w:fldCharType="end"/>
      </w:r>
      <w:r>
        <w:fldChar w:fldCharType="end"/>
      </w:r>
    </w:p>
    <w:p w14:paraId="73C87C18">
      <w:pPr>
        <w:pStyle w:val="19"/>
        <w:tabs>
          <w:tab w:val="right" w:leader="dot" w:pos="8845"/>
        </w:tabs>
        <w:ind w:firstLine="632"/>
      </w:pPr>
      <w:r>
        <w:fldChar w:fldCharType="begin"/>
      </w:r>
      <w:r>
        <w:instrText xml:space="preserve"> HYPERLINK \l "_Toc26231" </w:instrText>
      </w:r>
      <w:r>
        <w:fldChar w:fldCharType="separate"/>
      </w:r>
      <w:r>
        <w:rPr>
          <w:rFonts w:eastAsia="仿宋"/>
          <w:bCs/>
          <w:szCs w:val="28"/>
        </w:rPr>
        <w:t xml:space="preserve">1.2 </w:t>
      </w:r>
      <w:r>
        <w:rPr>
          <w:rFonts w:hint="eastAsia"/>
        </w:rPr>
        <w:t>编制依据</w:t>
      </w:r>
      <w:r>
        <w:tab/>
      </w:r>
      <w:r>
        <w:fldChar w:fldCharType="begin"/>
      </w:r>
      <w:r>
        <w:instrText xml:space="preserve"> PAGEREF _Toc26231 \h </w:instrText>
      </w:r>
      <w:r>
        <w:fldChar w:fldCharType="separate"/>
      </w:r>
      <w:r>
        <w:t>1</w:t>
      </w:r>
      <w:r>
        <w:fldChar w:fldCharType="end"/>
      </w:r>
      <w:r>
        <w:fldChar w:fldCharType="end"/>
      </w:r>
    </w:p>
    <w:p w14:paraId="2D337880">
      <w:pPr>
        <w:pStyle w:val="19"/>
        <w:tabs>
          <w:tab w:val="right" w:leader="dot" w:pos="8845"/>
        </w:tabs>
        <w:ind w:firstLine="632"/>
      </w:pPr>
      <w:r>
        <w:fldChar w:fldCharType="begin"/>
      </w:r>
      <w:r>
        <w:instrText xml:space="preserve"> HYPERLINK \l "_Toc27859" </w:instrText>
      </w:r>
      <w:r>
        <w:fldChar w:fldCharType="separate"/>
      </w:r>
      <w:r>
        <w:rPr>
          <w:rFonts w:eastAsia="仿宋"/>
          <w:bCs/>
          <w:szCs w:val="28"/>
        </w:rPr>
        <w:t xml:space="preserve">1.3 </w:t>
      </w:r>
      <w:r>
        <w:rPr>
          <w:rFonts w:hint="eastAsia"/>
        </w:rPr>
        <w:t>适用范围</w:t>
      </w:r>
      <w:r>
        <w:tab/>
      </w:r>
      <w:r>
        <w:fldChar w:fldCharType="begin"/>
      </w:r>
      <w:r>
        <w:instrText xml:space="preserve"> PAGEREF _Toc27859 \h </w:instrText>
      </w:r>
      <w:r>
        <w:fldChar w:fldCharType="separate"/>
      </w:r>
      <w:r>
        <w:t>1</w:t>
      </w:r>
      <w:r>
        <w:fldChar w:fldCharType="end"/>
      </w:r>
      <w:r>
        <w:fldChar w:fldCharType="end"/>
      </w:r>
    </w:p>
    <w:p w14:paraId="216F45F9">
      <w:pPr>
        <w:pStyle w:val="19"/>
        <w:tabs>
          <w:tab w:val="right" w:leader="dot" w:pos="8845"/>
        </w:tabs>
        <w:ind w:firstLine="632"/>
      </w:pPr>
      <w:r>
        <w:fldChar w:fldCharType="begin"/>
      </w:r>
      <w:r>
        <w:instrText xml:space="preserve"> HYPERLINK \l "_Toc31121" </w:instrText>
      </w:r>
      <w:r>
        <w:fldChar w:fldCharType="separate"/>
      </w:r>
      <w:r>
        <w:rPr>
          <w:rFonts w:eastAsia="仿宋"/>
          <w:bCs/>
          <w:szCs w:val="28"/>
        </w:rPr>
        <w:t xml:space="preserve">1.4 </w:t>
      </w:r>
      <w:r>
        <w:rPr>
          <w:rFonts w:hint="eastAsia"/>
        </w:rPr>
        <w:t>工作原则</w:t>
      </w:r>
      <w:r>
        <w:tab/>
      </w:r>
      <w:r>
        <w:fldChar w:fldCharType="begin"/>
      </w:r>
      <w:r>
        <w:instrText xml:space="preserve"> PAGEREF _Toc31121 \h </w:instrText>
      </w:r>
      <w:r>
        <w:fldChar w:fldCharType="separate"/>
      </w:r>
      <w:r>
        <w:t>2</w:t>
      </w:r>
      <w:r>
        <w:fldChar w:fldCharType="end"/>
      </w:r>
      <w:r>
        <w:fldChar w:fldCharType="end"/>
      </w:r>
    </w:p>
    <w:p w14:paraId="2CDDDF68">
      <w:pPr>
        <w:pStyle w:val="18"/>
      </w:pPr>
      <w:r>
        <w:fldChar w:fldCharType="begin"/>
      </w:r>
      <w:r>
        <w:instrText xml:space="preserve"> HYPERLINK \l "_Toc5970" </w:instrText>
      </w:r>
      <w:r>
        <w:fldChar w:fldCharType="separate"/>
      </w:r>
      <w:r>
        <w:rPr>
          <w:rFonts w:eastAsia="仿宋"/>
        </w:rPr>
        <w:t xml:space="preserve">2 </w:t>
      </w:r>
      <w:r>
        <w:rPr>
          <w:rFonts w:hint="eastAsia"/>
        </w:rPr>
        <w:t>组织指挥体系及职责</w:t>
      </w:r>
      <w:r>
        <w:tab/>
      </w:r>
      <w:r>
        <w:fldChar w:fldCharType="begin"/>
      </w:r>
      <w:r>
        <w:instrText xml:space="preserve"> PAGEREF _Toc5970 \h </w:instrText>
      </w:r>
      <w:r>
        <w:fldChar w:fldCharType="separate"/>
      </w:r>
      <w:r>
        <w:t>3</w:t>
      </w:r>
      <w:r>
        <w:fldChar w:fldCharType="end"/>
      </w:r>
      <w:r>
        <w:fldChar w:fldCharType="end"/>
      </w:r>
    </w:p>
    <w:p w14:paraId="661DB3E0">
      <w:pPr>
        <w:pStyle w:val="19"/>
        <w:tabs>
          <w:tab w:val="right" w:leader="dot" w:pos="8845"/>
        </w:tabs>
        <w:ind w:firstLine="632"/>
      </w:pPr>
      <w:r>
        <w:fldChar w:fldCharType="begin"/>
      </w:r>
      <w:r>
        <w:instrText xml:space="preserve"> HYPERLINK \l "_Toc18385" </w:instrText>
      </w:r>
      <w:r>
        <w:fldChar w:fldCharType="separate"/>
      </w:r>
      <w:r>
        <w:rPr>
          <w:rFonts w:eastAsia="仿宋"/>
          <w:bCs/>
          <w:szCs w:val="28"/>
        </w:rPr>
        <w:t xml:space="preserve">2.1 </w:t>
      </w:r>
      <w:r>
        <w:rPr>
          <w:rFonts w:hint="eastAsia"/>
        </w:rPr>
        <w:t>县指挥部组成及职责</w:t>
      </w:r>
      <w:r>
        <w:tab/>
      </w:r>
      <w:r>
        <w:fldChar w:fldCharType="begin"/>
      </w:r>
      <w:r>
        <w:instrText xml:space="preserve"> PAGEREF _Toc18385 \h </w:instrText>
      </w:r>
      <w:r>
        <w:fldChar w:fldCharType="separate"/>
      </w:r>
      <w:r>
        <w:t>3</w:t>
      </w:r>
      <w:r>
        <w:fldChar w:fldCharType="end"/>
      </w:r>
      <w:r>
        <w:fldChar w:fldCharType="end"/>
      </w:r>
    </w:p>
    <w:p w14:paraId="0277A501">
      <w:pPr>
        <w:pStyle w:val="19"/>
        <w:tabs>
          <w:tab w:val="right" w:leader="dot" w:pos="8845"/>
        </w:tabs>
        <w:ind w:firstLine="632"/>
      </w:pPr>
      <w:r>
        <w:fldChar w:fldCharType="begin"/>
      </w:r>
      <w:r>
        <w:instrText xml:space="preserve"> HYPERLINK \l "_Toc22523" </w:instrText>
      </w:r>
      <w:r>
        <w:fldChar w:fldCharType="separate"/>
      </w:r>
      <w:r>
        <w:rPr>
          <w:rFonts w:eastAsia="仿宋"/>
          <w:bCs/>
          <w:szCs w:val="28"/>
        </w:rPr>
        <w:t xml:space="preserve">2.2 </w:t>
      </w:r>
      <w:r>
        <w:rPr>
          <w:rFonts w:hint="eastAsia"/>
        </w:rPr>
        <w:t>现场指挥部</w:t>
      </w:r>
      <w:r>
        <w:tab/>
      </w:r>
      <w:r>
        <w:fldChar w:fldCharType="begin"/>
      </w:r>
      <w:r>
        <w:instrText xml:space="preserve"> PAGEREF _Toc22523 \h </w:instrText>
      </w:r>
      <w:r>
        <w:fldChar w:fldCharType="separate"/>
      </w:r>
      <w:r>
        <w:t>7</w:t>
      </w:r>
      <w:r>
        <w:fldChar w:fldCharType="end"/>
      </w:r>
      <w:r>
        <w:fldChar w:fldCharType="end"/>
      </w:r>
    </w:p>
    <w:p w14:paraId="31D3BF6F">
      <w:pPr>
        <w:pStyle w:val="18"/>
      </w:pPr>
      <w:r>
        <w:fldChar w:fldCharType="begin"/>
      </w:r>
      <w:r>
        <w:instrText xml:space="preserve"> HYPERLINK \l "_Toc17850" </w:instrText>
      </w:r>
      <w:r>
        <w:fldChar w:fldCharType="separate"/>
      </w:r>
      <w:r>
        <w:rPr>
          <w:rFonts w:eastAsia="仿宋"/>
        </w:rPr>
        <w:t xml:space="preserve">3 </w:t>
      </w:r>
      <w:r>
        <w:rPr>
          <w:rFonts w:hint="eastAsia"/>
        </w:rPr>
        <w:t>预防和预警机制</w:t>
      </w:r>
      <w:r>
        <w:tab/>
      </w:r>
      <w:r>
        <w:fldChar w:fldCharType="begin"/>
      </w:r>
      <w:r>
        <w:instrText xml:space="preserve"> PAGEREF _Toc17850 \h </w:instrText>
      </w:r>
      <w:r>
        <w:fldChar w:fldCharType="separate"/>
      </w:r>
      <w:r>
        <w:t>9</w:t>
      </w:r>
      <w:r>
        <w:fldChar w:fldCharType="end"/>
      </w:r>
      <w:r>
        <w:fldChar w:fldCharType="end"/>
      </w:r>
    </w:p>
    <w:p w14:paraId="4F452594">
      <w:pPr>
        <w:pStyle w:val="19"/>
        <w:tabs>
          <w:tab w:val="right" w:leader="dot" w:pos="8845"/>
        </w:tabs>
        <w:ind w:firstLine="632"/>
      </w:pPr>
      <w:r>
        <w:fldChar w:fldCharType="begin"/>
      </w:r>
      <w:r>
        <w:instrText xml:space="preserve"> HYPERLINK \l "_Toc22588" </w:instrText>
      </w:r>
      <w:r>
        <w:fldChar w:fldCharType="separate"/>
      </w:r>
      <w:r>
        <w:rPr>
          <w:rFonts w:eastAsia="仿宋"/>
          <w:bCs/>
          <w:szCs w:val="28"/>
        </w:rPr>
        <w:t xml:space="preserve">3.1 </w:t>
      </w:r>
      <w:r>
        <w:rPr>
          <w:rFonts w:hint="eastAsia"/>
        </w:rPr>
        <w:t>日常监控和防范</w:t>
      </w:r>
      <w:r>
        <w:tab/>
      </w:r>
      <w:r>
        <w:fldChar w:fldCharType="begin"/>
      </w:r>
      <w:r>
        <w:instrText xml:space="preserve"> PAGEREF _Toc22588 \h </w:instrText>
      </w:r>
      <w:r>
        <w:fldChar w:fldCharType="separate"/>
      </w:r>
      <w:r>
        <w:t>9</w:t>
      </w:r>
      <w:r>
        <w:fldChar w:fldCharType="end"/>
      </w:r>
      <w:r>
        <w:fldChar w:fldCharType="end"/>
      </w:r>
    </w:p>
    <w:p w14:paraId="0753898C">
      <w:pPr>
        <w:pStyle w:val="19"/>
        <w:tabs>
          <w:tab w:val="right" w:leader="dot" w:pos="8845"/>
        </w:tabs>
        <w:ind w:firstLine="632"/>
      </w:pPr>
      <w:r>
        <w:fldChar w:fldCharType="begin"/>
      </w:r>
      <w:r>
        <w:instrText xml:space="preserve"> HYPERLINK \l "_Toc10792" </w:instrText>
      </w:r>
      <w:r>
        <w:fldChar w:fldCharType="separate"/>
      </w:r>
      <w:r>
        <w:rPr>
          <w:rFonts w:eastAsia="仿宋"/>
          <w:bCs/>
          <w:szCs w:val="28"/>
        </w:rPr>
        <w:t xml:space="preserve">3.2 </w:t>
      </w:r>
      <w:r>
        <w:rPr>
          <w:rFonts w:hint="eastAsia"/>
        </w:rPr>
        <w:t>预警行动</w:t>
      </w:r>
      <w:r>
        <w:tab/>
      </w:r>
      <w:r>
        <w:fldChar w:fldCharType="begin"/>
      </w:r>
      <w:r>
        <w:instrText xml:space="preserve"> PAGEREF _Toc10792 \h </w:instrText>
      </w:r>
      <w:r>
        <w:fldChar w:fldCharType="separate"/>
      </w:r>
      <w:r>
        <w:t>9</w:t>
      </w:r>
      <w:r>
        <w:fldChar w:fldCharType="end"/>
      </w:r>
      <w:r>
        <w:fldChar w:fldCharType="end"/>
      </w:r>
    </w:p>
    <w:p w14:paraId="07FDBCC3">
      <w:pPr>
        <w:pStyle w:val="19"/>
        <w:tabs>
          <w:tab w:val="right" w:leader="dot" w:pos="8845"/>
        </w:tabs>
        <w:ind w:firstLine="632"/>
      </w:pPr>
      <w:r>
        <w:fldChar w:fldCharType="begin"/>
      </w:r>
      <w:r>
        <w:instrText xml:space="preserve"> HYPERLINK \l "_Toc510" </w:instrText>
      </w:r>
      <w:r>
        <w:fldChar w:fldCharType="separate"/>
      </w:r>
      <w:r>
        <w:rPr>
          <w:rFonts w:eastAsia="仿宋"/>
          <w:bCs/>
          <w:szCs w:val="28"/>
        </w:rPr>
        <w:t xml:space="preserve">3.3 </w:t>
      </w:r>
      <w:r>
        <w:rPr>
          <w:rFonts w:hint="eastAsia"/>
        </w:rPr>
        <w:t>预警控制</w:t>
      </w:r>
      <w:r>
        <w:tab/>
      </w:r>
      <w:r>
        <w:fldChar w:fldCharType="begin"/>
      </w:r>
      <w:r>
        <w:instrText xml:space="preserve"> PAGEREF _Toc510 \h </w:instrText>
      </w:r>
      <w:r>
        <w:fldChar w:fldCharType="separate"/>
      </w:r>
      <w:r>
        <w:t>9</w:t>
      </w:r>
      <w:r>
        <w:fldChar w:fldCharType="end"/>
      </w:r>
      <w:r>
        <w:fldChar w:fldCharType="end"/>
      </w:r>
    </w:p>
    <w:p w14:paraId="14E356CD">
      <w:pPr>
        <w:pStyle w:val="19"/>
        <w:tabs>
          <w:tab w:val="right" w:leader="dot" w:pos="8845"/>
        </w:tabs>
        <w:ind w:firstLine="632"/>
      </w:pPr>
      <w:r>
        <w:fldChar w:fldCharType="begin"/>
      </w:r>
      <w:r>
        <w:instrText xml:space="preserve"> HYPERLINK \l "_Toc5083" </w:instrText>
      </w:r>
      <w:r>
        <w:fldChar w:fldCharType="separate"/>
      </w:r>
      <w:r>
        <w:rPr>
          <w:rFonts w:eastAsia="仿宋"/>
          <w:bCs/>
          <w:szCs w:val="28"/>
        </w:rPr>
        <w:t xml:space="preserve">3.4 </w:t>
      </w:r>
      <w:r>
        <w:rPr>
          <w:rFonts w:hint="eastAsia"/>
        </w:rPr>
        <w:t>预警解除</w:t>
      </w:r>
      <w:r>
        <w:tab/>
      </w:r>
      <w:r>
        <w:fldChar w:fldCharType="begin"/>
      </w:r>
      <w:r>
        <w:instrText xml:space="preserve"> PAGEREF _Toc5083 \h </w:instrText>
      </w:r>
      <w:r>
        <w:fldChar w:fldCharType="separate"/>
      </w:r>
      <w:r>
        <w:t>10</w:t>
      </w:r>
      <w:r>
        <w:fldChar w:fldCharType="end"/>
      </w:r>
      <w:r>
        <w:fldChar w:fldCharType="end"/>
      </w:r>
    </w:p>
    <w:p w14:paraId="04171184">
      <w:pPr>
        <w:pStyle w:val="18"/>
      </w:pPr>
      <w:r>
        <w:fldChar w:fldCharType="begin"/>
      </w:r>
      <w:r>
        <w:instrText xml:space="preserve"> HYPERLINK \l "_Toc19349" </w:instrText>
      </w:r>
      <w:r>
        <w:fldChar w:fldCharType="separate"/>
      </w:r>
      <w:r>
        <w:rPr>
          <w:rFonts w:eastAsia="仿宋"/>
        </w:rPr>
        <w:t xml:space="preserve">4 </w:t>
      </w:r>
      <w:r>
        <w:rPr>
          <w:rFonts w:hint="eastAsia"/>
        </w:rPr>
        <w:t>应急响应</w:t>
      </w:r>
      <w:r>
        <w:tab/>
      </w:r>
      <w:r>
        <w:fldChar w:fldCharType="begin"/>
      </w:r>
      <w:r>
        <w:instrText xml:space="preserve"> PAGEREF _Toc19349 \h </w:instrText>
      </w:r>
      <w:r>
        <w:fldChar w:fldCharType="separate"/>
      </w:r>
      <w:r>
        <w:t>11</w:t>
      </w:r>
      <w:r>
        <w:fldChar w:fldCharType="end"/>
      </w:r>
      <w:r>
        <w:fldChar w:fldCharType="end"/>
      </w:r>
    </w:p>
    <w:p w14:paraId="6FBE874C">
      <w:pPr>
        <w:pStyle w:val="19"/>
        <w:tabs>
          <w:tab w:val="right" w:leader="dot" w:pos="8845"/>
        </w:tabs>
        <w:ind w:firstLine="632"/>
      </w:pPr>
      <w:r>
        <w:fldChar w:fldCharType="begin"/>
      </w:r>
      <w:r>
        <w:instrText xml:space="preserve"> HYPERLINK \l "_Toc28707" </w:instrText>
      </w:r>
      <w:r>
        <w:fldChar w:fldCharType="separate"/>
      </w:r>
      <w:r>
        <w:rPr>
          <w:rFonts w:eastAsia="仿宋"/>
          <w:bCs/>
          <w:szCs w:val="28"/>
        </w:rPr>
        <w:t xml:space="preserve">4.1 </w:t>
      </w:r>
      <w:r>
        <w:rPr>
          <w:rFonts w:hint="eastAsia"/>
        </w:rPr>
        <w:t>响应分级</w:t>
      </w:r>
      <w:r>
        <w:tab/>
      </w:r>
      <w:r>
        <w:fldChar w:fldCharType="begin"/>
      </w:r>
      <w:r>
        <w:instrText xml:space="preserve"> PAGEREF _Toc28707 \h </w:instrText>
      </w:r>
      <w:r>
        <w:fldChar w:fldCharType="separate"/>
      </w:r>
      <w:r>
        <w:t>11</w:t>
      </w:r>
      <w:r>
        <w:fldChar w:fldCharType="end"/>
      </w:r>
      <w:r>
        <w:fldChar w:fldCharType="end"/>
      </w:r>
    </w:p>
    <w:p w14:paraId="59A45590">
      <w:pPr>
        <w:pStyle w:val="19"/>
        <w:tabs>
          <w:tab w:val="right" w:leader="dot" w:pos="8845"/>
        </w:tabs>
        <w:ind w:firstLine="632"/>
      </w:pPr>
      <w:r>
        <w:fldChar w:fldCharType="begin"/>
      </w:r>
      <w:r>
        <w:instrText xml:space="preserve"> HYPERLINK \l "_Toc9270" </w:instrText>
      </w:r>
      <w:r>
        <w:fldChar w:fldCharType="separate"/>
      </w:r>
      <w:r>
        <w:rPr>
          <w:rFonts w:eastAsia="仿宋"/>
          <w:bCs/>
          <w:szCs w:val="28"/>
        </w:rPr>
        <w:t xml:space="preserve">4.2 </w:t>
      </w:r>
      <w:r>
        <w:rPr>
          <w:rFonts w:hint="eastAsia"/>
        </w:rPr>
        <w:t>响应行动</w:t>
      </w:r>
      <w:r>
        <w:tab/>
      </w:r>
      <w:r>
        <w:fldChar w:fldCharType="begin"/>
      </w:r>
      <w:r>
        <w:instrText xml:space="preserve"> PAGEREF _Toc9270 \h </w:instrText>
      </w:r>
      <w:r>
        <w:fldChar w:fldCharType="separate"/>
      </w:r>
      <w:r>
        <w:t>12</w:t>
      </w:r>
      <w:r>
        <w:fldChar w:fldCharType="end"/>
      </w:r>
      <w:r>
        <w:fldChar w:fldCharType="end"/>
      </w:r>
    </w:p>
    <w:p w14:paraId="2D540FB6">
      <w:pPr>
        <w:pStyle w:val="19"/>
        <w:tabs>
          <w:tab w:val="right" w:leader="dot" w:pos="8845"/>
        </w:tabs>
        <w:ind w:firstLine="632"/>
      </w:pPr>
      <w:r>
        <w:fldChar w:fldCharType="begin"/>
      </w:r>
      <w:r>
        <w:instrText xml:space="preserve"> HYPERLINK \l "_Toc21501" </w:instrText>
      </w:r>
      <w:r>
        <w:fldChar w:fldCharType="separate"/>
      </w:r>
      <w:r>
        <w:rPr>
          <w:rFonts w:eastAsia="仿宋"/>
          <w:bCs/>
          <w:szCs w:val="28"/>
        </w:rPr>
        <w:t xml:space="preserve">4.3 </w:t>
      </w:r>
      <w:r>
        <w:rPr>
          <w:rFonts w:hint="eastAsia"/>
        </w:rPr>
        <w:t>信息报送和处理</w:t>
      </w:r>
      <w:r>
        <w:tab/>
      </w:r>
      <w:r>
        <w:fldChar w:fldCharType="begin"/>
      </w:r>
      <w:r>
        <w:instrText xml:space="preserve"> PAGEREF _Toc21501 \h </w:instrText>
      </w:r>
      <w:r>
        <w:fldChar w:fldCharType="separate"/>
      </w:r>
      <w:r>
        <w:t>12</w:t>
      </w:r>
      <w:r>
        <w:fldChar w:fldCharType="end"/>
      </w:r>
      <w:r>
        <w:fldChar w:fldCharType="end"/>
      </w:r>
    </w:p>
    <w:p w14:paraId="54B70438">
      <w:pPr>
        <w:pStyle w:val="19"/>
        <w:tabs>
          <w:tab w:val="right" w:leader="dot" w:pos="8845"/>
        </w:tabs>
        <w:ind w:firstLine="632"/>
      </w:pPr>
      <w:r>
        <w:fldChar w:fldCharType="begin"/>
      </w:r>
      <w:r>
        <w:instrText xml:space="preserve"> HYPERLINK \l "_Toc3349" </w:instrText>
      </w:r>
      <w:r>
        <w:fldChar w:fldCharType="separate"/>
      </w:r>
      <w:r>
        <w:rPr>
          <w:rFonts w:eastAsia="仿宋"/>
          <w:bCs/>
          <w:szCs w:val="28"/>
        </w:rPr>
        <w:t xml:space="preserve">4.4 </w:t>
      </w:r>
      <w:r>
        <w:rPr>
          <w:rFonts w:hint="eastAsia"/>
        </w:rPr>
        <w:t>指挥和协调</w:t>
      </w:r>
      <w:r>
        <w:tab/>
      </w:r>
      <w:r>
        <w:fldChar w:fldCharType="begin"/>
      </w:r>
      <w:r>
        <w:instrText xml:space="preserve"> PAGEREF _Toc3349 \h </w:instrText>
      </w:r>
      <w:r>
        <w:fldChar w:fldCharType="separate"/>
      </w:r>
      <w:r>
        <w:t>13</w:t>
      </w:r>
      <w:r>
        <w:fldChar w:fldCharType="end"/>
      </w:r>
      <w:r>
        <w:fldChar w:fldCharType="end"/>
      </w:r>
    </w:p>
    <w:p w14:paraId="3EA9B938">
      <w:pPr>
        <w:pStyle w:val="19"/>
        <w:tabs>
          <w:tab w:val="right" w:leader="dot" w:pos="8845"/>
        </w:tabs>
        <w:ind w:firstLine="632"/>
      </w:pPr>
      <w:r>
        <w:fldChar w:fldCharType="begin"/>
      </w:r>
      <w:r>
        <w:instrText xml:space="preserve"> HYPERLINK \l "_Toc17200" </w:instrText>
      </w:r>
      <w:r>
        <w:fldChar w:fldCharType="separate"/>
      </w:r>
      <w:r>
        <w:rPr>
          <w:rFonts w:eastAsia="仿宋"/>
          <w:bCs/>
          <w:szCs w:val="28"/>
        </w:rPr>
        <w:t xml:space="preserve">4.5 </w:t>
      </w:r>
      <w:r>
        <w:rPr>
          <w:rFonts w:hint="eastAsia"/>
        </w:rPr>
        <w:t>应急处置</w:t>
      </w:r>
      <w:r>
        <w:tab/>
      </w:r>
      <w:r>
        <w:fldChar w:fldCharType="begin"/>
      </w:r>
      <w:r>
        <w:instrText xml:space="preserve"> PAGEREF _Toc17200 \h </w:instrText>
      </w:r>
      <w:r>
        <w:fldChar w:fldCharType="separate"/>
      </w:r>
      <w:r>
        <w:t>13</w:t>
      </w:r>
      <w:r>
        <w:fldChar w:fldCharType="end"/>
      </w:r>
      <w:r>
        <w:fldChar w:fldCharType="end"/>
      </w:r>
    </w:p>
    <w:p w14:paraId="1B5923A2">
      <w:pPr>
        <w:pStyle w:val="19"/>
        <w:tabs>
          <w:tab w:val="right" w:leader="dot" w:pos="8845"/>
        </w:tabs>
        <w:ind w:firstLine="632"/>
      </w:pPr>
      <w:r>
        <w:fldChar w:fldCharType="begin"/>
      </w:r>
      <w:r>
        <w:instrText xml:space="preserve"> HYPERLINK \l "_Toc3238" </w:instrText>
      </w:r>
      <w:r>
        <w:fldChar w:fldCharType="separate"/>
      </w:r>
      <w:r>
        <w:rPr>
          <w:rFonts w:eastAsia="仿宋"/>
          <w:bCs/>
          <w:szCs w:val="28"/>
        </w:rPr>
        <w:t xml:space="preserve">4.6 </w:t>
      </w:r>
      <w:r>
        <w:rPr>
          <w:rFonts w:hint="eastAsia"/>
        </w:rPr>
        <w:t>信息发布</w:t>
      </w:r>
      <w:r>
        <w:tab/>
      </w:r>
      <w:r>
        <w:fldChar w:fldCharType="begin"/>
      </w:r>
      <w:r>
        <w:instrText xml:space="preserve"> PAGEREF _Toc3238 \h </w:instrText>
      </w:r>
      <w:r>
        <w:fldChar w:fldCharType="separate"/>
      </w:r>
      <w:r>
        <w:t>15</w:t>
      </w:r>
      <w:r>
        <w:fldChar w:fldCharType="end"/>
      </w:r>
      <w:r>
        <w:fldChar w:fldCharType="end"/>
      </w:r>
    </w:p>
    <w:p w14:paraId="366E8BFD">
      <w:pPr>
        <w:pStyle w:val="19"/>
        <w:tabs>
          <w:tab w:val="right" w:leader="dot" w:pos="8845"/>
        </w:tabs>
        <w:ind w:firstLine="632"/>
      </w:pPr>
      <w:r>
        <w:fldChar w:fldCharType="begin"/>
      </w:r>
      <w:r>
        <w:instrText xml:space="preserve"> HYPERLINK \l "_Toc32033" </w:instrText>
      </w:r>
      <w:r>
        <w:fldChar w:fldCharType="separate"/>
      </w:r>
      <w:r>
        <w:rPr>
          <w:rFonts w:eastAsia="仿宋"/>
          <w:bCs/>
          <w:szCs w:val="28"/>
        </w:rPr>
        <w:t xml:space="preserve">4.7 </w:t>
      </w:r>
      <w:r>
        <w:rPr>
          <w:rFonts w:hint="eastAsia"/>
        </w:rPr>
        <w:t>应急结束</w:t>
      </w:r>
      <w:r>
        <w:tab/>
      </w:r>
      <w:r>
        <w:fldChar w:fldCharType="begin"/>
      </w:r>
      <w:r>
        <w:instrText xml:space="preserve"> PAGEREF _Toc32033 \h </w:instrText>
      </w:r>
      <w:r>
        <w:fldChar w:fldCharType="separate"/>
      </w:r>
      <w:r>
        <w:t>15</w:t>
      </w:r>
      <w:r>
        <w:fldChar w:fldCharType="end"/>
      </w:r>
      <w:r>
        <w:fldChar w:fldCharType="end"/>
      </w:r>
    </w:p>
    <w:p w14:paraId="2590FBA3">
      <w:pPr>
        <w:pStyle w:val="18"/>
      </w:pPr>
      <w:r>
        <w:fldChar w:fldCharType="begin"/>
      </w:r>
      <w:r>
        <w:instrText xml:space="preserve"> HYPERLINK \l "_Toc21640" </w:instrText>
      </w:r>
      <w:r>
        <w:fldChar w:fldCharType="separate"/>
      </w:r>
      <w:r>
        <w:rPr>
          <w:rFonts w:eastAsia="仿宋"/>
        </w:rPr>
        <w:t xml:space="preserve">5 </w:t>
      </w:r>
      <w:r>
        <w:rPr>
          <w:rFonts w:hint="eastAsia"/>
        </w:rPr>
        <w:t>善后工作</w:t>
      </w:r>
      <w:r>
        <w:tab/>
      </w:r>
      <w:r>
        <w:fldChar w:fldCharType="begin"/>
      </w:r>
      <w:r>
        <w:instrText xml:space="preserve"> PAGEREF _Toc21640 \h </w:instrText>
      </w:r>
      <w:r>
        <w:fldChar w:fldCharType="separate"/>
      </w:r>
      <w:r>
        <w:t>15</w:t>
      </w:r>
      <w:r>
        <w:fldChar w:fldCharType="end"/>
      </w:r>
      <w:r>
        <w:fldChar w:fldCharType="end"/>
      </w:r>
    </w:p>
    <w:p w14:paraId="7A0DC25F">
      <w:pPr>
        <w:pStyle w:val="19"/>
        <w:tabs>
          <w:tab w:val="right" w:leader="dot" w:pos="8845"/>
        </w:tabs>
        <w:ind w:firstLine="632"/>
      </w:pPr>
      <w:r>
        <w:fldChar w:fldCharType="begin"/>
      </w:r>
      <w:r>
        <w:instrText xml:space="preserve"> HYPERLINK \l "_Toc25977" </w:instrText>
      </w:r>
      <w:r>
        <w:fldChar w:fldCharType="separate"/>
      </w:r>
      <w:r>
        <w:rPr>
          <w:rFonts w:eastAsia="仿宋"/>
          <w:bCs/>
          <w:szCs w:val="28"/>
        </w:rPr>
        <w:t xml:space="preserve">5.1 </w:t>
      </w:r>
      <w:r>
        <w:rPr>
          <w:rFonts w:hint="eastAsia"/>
        </w:rPr>
        <w:t>抢修重建</w:t>
      </w:r>
      <w:r>
        <w:tab/>
      </w:r>
      <w:r>
        <w:fldChar w:fldCharType="begin"/>
      </w:r>
      <w:r>
        <w:instrText xml:space="preserve"> PAGEREF _Toc25977 \h </w:instrText>
      </w:r>
      <w:r>
        <w:fldChar w:fldCharType="separate"/>
      </w:r>
      <w:r>
        <w:t>15</w:t>
      </w:r>
      <w:r>
        <w:fldChar w:fldCharType="end"/>
      </w:r>
      <w:r>
        <w:fldChar w:fldCharType="end"/>
      </w:r>
    </w:p>
    <w:p w14:paraId="6AC751AA">
      <w:pPr>
        <w:pStyle w:val="19"/>
        <w:tabs>
          <w:tab w:val="right" w:leader="dot" w:pos="8845"/>
        </w:tabs>
        <w:ind w:firstLine="632"/>
      </w:pPr>
      <w:r>
        <w:fldChar w:fldCharType="begin"/>
      </w:r>
      <w:r>
        <w:instrText xml:space="preserve"> HYPERLINK \l "_Toc30758" </w:instrText>
      </w:r>
      <w:r>
        <w:fldChar w:fldCharType="separate"/>
      </w:r>
      <w:r>
        <w:rPr>
          <w:rFonts w:eastAsia="仿宋"/>
          <w:bCs/>
          <w:szCs w:val="28"/>
        </w:rPr>
        <w:t xml:space="preserve">5.2 </w:t>
      </w:r>
      <w:r>
        <w:rPr>
          <w:rFonts w:hint="eastAsia"/>
        </w:rPr>
        <w:t>善后处理</w:t>
      </w:r>
      <w:r>
        <w:tab/>
      </w:r>
      <w:r>
        <w:fldChar w:fldCharType="begin"/>
      </w:r>
      <w:r>
        <w:instrText xml:space="preserve"> PAGEREF _Toc30758 \h </w:instrText>
      </w:r>
      <w:r>
        <w:fldChar w:fldCharType="separate"/>
      </w:r>
      <w:r>
        <w:t>15</w:t>
      </w:r>
      <w:r>
        <w:fldChar w:fldCharType="end"/>
      </w:r>
      <w:r>
        <w:fldChar w:fldCharType="end"/>
      </w:r>
    </w:p>
    <w:p w14:paraId="63CCED87">
      <w:pPr>
        <w:pStyle w:val="19"/>
        <w:tabs>
          <w:tab w:val="right" w:leader="dot" w:pos="8845"/>
        </w:tabs>
        <w:ind w:firstLine="632"/>
      </w:pPr>
      <w:r>
        <w:fldChar w:fldCharType="begin"/>
      </w:r>
      <w:r>
        <w:instrText xml:space="preserve"> HYPERLINK \l "_Toc3796" </w:instrText>
      </w:r>
      <w:r>
        <w:fldChar w:fldCharType="separate"/>
      </w:r>
      <w:r>
        <w:rPr>
          <w:rFonts w:eastAsia="仿宋"/>
          <w:bCs/>
          <w:szCs w:val="28"/>
        </w:rPr>
        <w:t xml:space="preserve">5.3 </w:t>
      </w:r>
      <w:r>
        <w:rPr>
          <w:rFonts w:hint="eastAsia"/>
        </w:rPr>
        <w:t>社会救助</w:t>
      </w:r>
      <w:r>
        <w:tab/>
      </w:r>
      <w:r>
        <w:fldChar w:fldCharType="begin"/>
      </w:r>
      <w:r>
        <w:instrText xml:space="preserve"> PAGEREF _Toc3796 \h </w:instrText>
      </w:r>
      <w:r>
        <w:fldChar w:fldCharType="separate"/>
      </w:r>
      <w:r>
        <w:t>16</w:t>
      </w:r>
      <w:r>
        <w:fldChar w:fldCharType="end"/>
      </w:r>
      <w:r>
        <w:fldChar w:fldCharType="end"/>
      </w:r>
    </w:p>
    <w:p w14:paraId="05A1C05A">
      <w:pPr>
        <w:pStyle w:val="19"/>
        <w:tabs>
          <w:tab w:val="right" w:leader="dot" w:pos="8845"/>
        </w:tabs>
        <w:ind w:firstLine="632"/>
      </w:pPr>
      <w:r>
        <w:fldChar w:fldCharType="begin"/>
      </w:r>
      <w:r>
        <w:instrText xml:space="preserve"> HYPERLINK \l "_Toc16663" </w:instrText>
      </w:r>
      <w:r>
        <w:fldChar w:fldCharType="separate"/>
      </w:r>
      <w:r>
        <w:rPr>
          <w:rFonts w:eastAsia="仿宋"/>
          <w:bCs/>
          <w:szCs w:val="28"/>
        </w:rPr>
        <w:t xml:space="preserve">5.4 </w:t>
      </w:r>
      <w:r>
        <w:rPr>
          <w:rFonts w:hint="eastAsia"/>
        </w:rPr>
        <w:t>后果评估</w:t>
      </w:r>
      <w:r>
        <w:tab/>
      </w:r>
      <w:r>
        <w:fldChar w:fldCharType="begin"/>
      </w:r>
      <w:r>
        <w:instrText xml:space="preserve"> PAGEREF _Toc16663 \h </w:instrText>
      </w:r>
      <w:r>
        <w:fldChar w:fldCharType="separate"/>
      </w:r>
      <w:r>
        <w:t>16</w:t>
      </w:r>
      <w:r>
        <w:fldChar w:fldCharType="end"/>
      </w:r>
      <w:r>
        <w:fldChar w:fldCharType="end"/>
      </w:r>
    </w:p>
    <w:p w14:paraId="7B2EFDBC">
      <w:pPr>
        <w:pStyle w:val="18"/>
      </w:pPr>
      <w:r>
        <w:fldChar w:fldCharType="begin"/>
      </w:r>
      <w:r>
        <w:instrText xml:space="preserve"> HYPERLINK \l "_Toc24596" </w:instrText>
      </w:r>
      <w:r>
        <w:fldChar w:fldCharType="separate"/>
      </w:r>
      <w:r>
        <w:rPr>
          <w:rFonts w:eastAsia="仿宋"/>
        </w:rPr>
        <w:t xml:space="preserve">6 </w:t>
      </w:r>
      <w:r>
        <w:t>应急保障</w:t>
      </w:r>
      <w:r>
        <w:tab/>
      </w:r>
      <w:r>
        <w:fldChar w:fldCharType="begin"/>
      </w:r>
      <w:r>
        <w:instrText xml:space="preserve"> PAGEREF _Toc24596 \h </w:instrText>
      </w:r>
      <w:r>
        <w:fldChar w:fldCharType="separate"/>
      </w:r>
      <w:r>
        <w:t>16</w:t>
      </w:r>
      <w:r>
        <w:fldChar w:fldCharType="end"/>
      </w:r>
      <w:r>
        <w:fldChar w:fldCharType="end"/>
      </w:r>
    </w:p>
    <w:p w14:paraId="0F1569A6">
      <w:pPr>
        <w:pStyle w:val="19"/>
        <w:tabs>
          <w:tab w:val="right" w:leader="dot" w:pos="8845"/>
        </w:tabs>
        <w:ind w:firstLine="632"/>
      </w:pPr>
      <w:r>
        <w:fldChar w:fldCharType="begin"/>
      </w:r>
      <w:r>
        <w:instrText xml:space="preserve"> HYPERLINK \l "_Toc22465" </w:instrText>
      </w:r>
      <w:r>
        <w:fldChar w:fldCharType="separate"/>
      </w:r>
      <w:r>
        <w:rPr>
          <w:rFonts w:eastAsia="仿宋"/>
          <w:bCs/>
          <w:szCs w:val="28"/>
        </w:rPr>
        <w:t xml:space="preserve">6.1 </w:t>
      </w:r>
      <w:r>
        <w:rPr>
          <w:rFonts w:hint="eastAsia"/>
        </w:rPr>
        <w:t>人力资源</w:t>
      </w:r>
      <w:r>
        <w:tab/>
      </w:r>
      <w:r>
        <w:fldChar w:fldCharType="begin"/>
      </w:r>
      <w:r>
        <w:instrText xml:space="preserve"> PAGEREF _Toc22465 \h </w:instrText>
      </w:r>
      <w:r>
        <w:fldChar w:fldCharType="separate"/>
      </w:r>
      <w:r>
        <w:t>16</w:t>
      </w:r>
      <w:r>
        <w:fldChar w:fldCharType="end"/>
      </w:r>
      <w:r>
        <w:fldChar w:fldCharType="end"/>
      </w:r>
    </w:p>
    <w:p w14:paraId="4C911875">
      <w:pPr>
        <w:pStyle w:val="19"/>
        <w:tabs>
          <w:tab w:val="right" w:leader="dot" w:pos="8845"/>
        </w:tabs>
        <w:ind w:firstLine="632"/>
      </w:pPr>
      <w:r>
        <w:fldChar w:fldCharType="begin"/>
      </w:r>
      <w:r>
        <w:instrText xml:space="preserve"> HYPERLINK \l "_Toc20740" </w:instrText>
      </w:r>
      <w:r>
        <w:fldChar w:fldCharType="separate"/>
      </w:r>
      <w:r>
        <w:rPr>
          <w:rFonts w:eastAsia="仿宋"/>
          <w:bCs/>
          <w:szCs w:val="28"/>
        </w:rPr>
        <w:t xml:space="preserve">6.2 </w:t>
      </w:r>
      <w:r>
        <w:rPr>
          <w:rFonts w:hint="eastAsia"/>
        </w:rPr>
        <w:t>物资保障</w:t>
      </w:r>
      <w:r>
        <w:tab/>
      </w:r>
      <w:r>
        <w:fldChar w:fldCharType="begin"/>
      </w:r>
      <w:r>
        <w:instrText xml:space="preserve"> PAGEREF _Toc20740 \h </w:instrText>
      </w:r>
      <w:r>
        <w:fldChar w:fldCharType="separate"/>
      </w:r>
      <w:r>
        <w:t>16</w:t>
      </w:r>
      <w:r>
        <w:fldChar w:fldCharType="end"/>
      </w:r>
      <w:r>
        <w:fldChar w:fldCharType="end"/>
      </w:r>
    </w:p>
    <w:p w14:paraId="3F6A5C30">
      <w:pPr>
        <w:pStyle w:val="19"/>
        <w:tabs>
          <w:tab w:val="right" w:leader="dot" w:pos="8845"/>
        </w:tabs>
        <w:ind w:firstLine="632"/>
      </w:pPr>
      <w:r>
        <w:fldChar w:fldCharType="begin"/>
      </w:r>
      <w:r>
        <w:instrText xml:space="preserve"> HYPERLINK \l "_Toc27081" </w:instrText>
      </w:r>
      <w:r>
        <w:fldChar w:fldCharType="separate"/>
      </w:r>
      <w:r>
        <w:rPr>
          <w:rFonts w:eastAsia="仿宋"/>
          <w:bCs/>
          <w:szCs w:val="28"/>
        </w:rPr>
        <w:t xml:space="preserve">6.3 </w:t>
      </w:r>
      <w:r>
        <w:rPr>
          <w:rFonts w:hint="eastAsia"/>
        </w:rPr>
        <w:t>交通运输保障</w:t>
      </w:r>
      <w:r>
        <w:tab/>
      </w:r>
      <w:r>
        <w:fldChar w:fldCharType="begin"/>
      </w:r>
      <w:r>
        <w:instrText xml:space="preserve"> PAGEREF _Toc27081 \h </w:instrText>
      </w:r>
      <w:r>
        <w:fldChar w:fldCharType="separate"/>
      </w:r>
      <w:r>
        <w:t>17</w:t>
      </w:r>
      <w:r>
        <w:fldChar w:fldCharType="end"/>
      </w:r>
      <w:r>
        <w:fldChar w:fldCharType="end"/>
      </w:r>
    </w:p>
    <w:p w14:paraId="57B4ECD2">
      <w:pPr>
        <w:pStyle w:val="19"/>
        <w:tabs>
          <w:tab w:val="right" w:leader="dot" w:pos="8845"/>
        </w:tabs>
        <w:ind w:firstLine="632"/>
      </w:pPr>
      <w:r>
        <w:fldChar w:fldCharType="begin"/>
      </w:r>
      <w:r>
        <w:instrText xml:space="preserve"> HYPERLINK \l "_Toc24953" </w:instrText>
      </w:r>
      <w:r>
        <w:fldChar w:fldCharType="separate"/>
      </w:r>
      <w:r>
        <w:rPr>
          <w:rFonts w:eastAsia="仿宋"/>
          <w:bCs/>
          <w:szCs w:val="28"/>
        </w:rPr>
        <w:t xml:space="preserve">6.4 </w:t>
      </w:r>
      <w:r>
        <w:rPr>
          <w:rFonts w:hint="eastAsia"/>
        </w:rPr>
        <w:t>医疗卫生保障</w:t>
      </w:r>
      <w:r>
        <w:tab/>
      </w:r>
      <w:r>
        <w:fldChar w:fldCharType="begin"/>
      </w:r>
      <w:r>
        <w:instrText xml:space="preserve"> PAGEREF _Toc24953 \h </w:instrText>
      </w:r>
      <w:r>
        <w:fldChar w:fldCharType="separate"/>
      </w:r>
      <w:r>
        <w:t>17</w:t>
      </w:r>
      <w:r>
        <w:fldChar w:fldCharType="end"/>
      </w:r>
      <w:r>
        <w:fldChar w:fldCharType="end"/>
      </w:r>
    </w:p>
    <w:p w14:paraId="45A933C9">
      <w:pPr>
        <w:pStyle w:val="19"/>
        <w:tabs>
          <w:tab w:val="right" w:leader="dot" w:pos="8845"/>
        </w:tabs>
        <w:ind w:firstLine="632"/>
      </w:pPr>
      <w:r>
        <w:fldChar w:fldCharType="begin"/>
      </w:r>
      <w:r>
        <w:instrText xml:space="preserve"> HYPERLINK \l "_Toc1371" </w:instrText>
      </w:r>
      <w:r>
        <w:fldChar w:fldCharType="separate"/>
      </w:r>
      <w:r>
        <w:rPr>
          <w:rFonts w:eastAsia="仿宋"/>
          <w:bCs/>
          <w:szCs w:val="28"/>
        </w:rPr>
        <w:t xml:space="preserve">6.5 </w:t>
      </w:r>
      <w:r>
        <w:rPr>
          <w:rFonts w:hint="eastAsia"/>
        </w:rPr>
        <w:t>技术保障</w:t>
      </w:r>
      <w:r>
        <w:tab/>
      </w:r>
      <w:r>
        <w:fldChar w:fldCharType="begin"/>
      </w:r>
      <w:r>
        <w:instrText xml:space="preserve"> PAGEREF _Toc1371 \h </w:instrText>
      </w:r>
      <w:r>
        <w:fldChar w:fldCharType="separate"/>
      </w:r>
      <w:r>
        <w:t>17</w:t>
      </w:r>
      <w:r>
        <w:fldChar w:fldCharType="end"/>
      </w:r>
      <w:r>
        <w:fldChar w:fldCharType="end"/>
      </w:r>
    </w:p>
    <w:p w14:paraId="61670231">
      <w:pPr>
        <w:pStyle w:val="18"/>
      </w:pPr>
      <w:r>
        <w:fldChar w:fldCharType="begin"/>
      </w:r>
      <w:r>
        <w:instrText xml:space="preserve"> HYPERLINK \l "_Toc17938" </w:instrText>
      </w:r>
      <w:r>
        <w:fldChar w:fldCharType="separate"/>
      </w:r>
      <w:r>
        <w:rPr>
          <w:rFonts w:eastAsia="仿宋"/>
        </w:rPr>
        <w:t xml:space="preserve">7 </w:t>
      </w:r>
      <w:r>
        <w:rPr>
          <w:rFonts w:hint="eastAsia"/>
        </w:rPr>
        <w:t>监督管理</w:t>
      </w:r>
      <w:r>
        <w:tab/>
      </w:r>
      <w:r>
        <w:fldChar w:fldCharType="begin"/>
      </w:r>
      <w:r>
        <w:instrText xml:space="preserve"> PAGEREF _Toc17938 \h </w:instrText>
      </w:r>
      <w:r>
        <w:fldChar w:fldCharType="separate"/>
      </w:r>
      <w:r>
        <w:t>17</w:t>
      </w:r>
      <w:r>
        <w:fldChar w:fldCharType="end"/>
      </w:r>
      <w:r>
        <w:fldChar w:fldCharType="end"/>
      </w:r>
    </w:p>
    <w:p w14:paraId="2B582236">
      <w:pPr>
        <w:pStyle w:val="19"/>
        <w:tabs>
          <w:tab w:val="right" w:leader="dot" w:pos="8845"/>
        </w:tabs>
        <w:ind w:firstLine="632"/>
      </w:pPr>
      <w:r>
        <w:fldChar w:fldCharType="begin"/>
      </w:r>
      <w:r>
        <w:instrText xml:space="preserve"> HYPERLINK \l "_Toc22346" </w:instrText>
      </w:r>
      <w:r>
        <w:fldChar w:fldCharType="separate"/>
      </w:r>
      <w:r>
        <w:rPr>
          <w:rFonts w:eastAsia="仿宋"/>
          <w:bCs/>
          <w:szCs w:val="28"/>
        </w:rPr>
        <w:t xml:space="preserve">7.1 </w:t>
      </w:r>
      <w:r>
        <w:rPr>
          <w:rFonts w:hint="eastAsia"/>
        </w:rPr>
        <w:t>监督检查</w:t>
      </w:r>
      <w:r>
        <w:tab/>
      </w:r>
      <w:r>
        <w:fldChar w:fldCharType="begin"/>
      </w:r>
      <w:r>
        <w:instrText xml:space="preserve"> PAGEREF _Toc22346 \h </w:instrText>
      </w:r>
      <w:r>
        <w:fldChar w:fldCharType="separate"/>
      </w:r>
      <w:r>
        <w:t>17</w:t>
      </w:r>
      <w:r>
        <w:fldChar w:fldCharType="end"/>
      </w:r>
      <w:r>
        <w:fldChar w:fldCharType="end"/>
      </w:r>
    </w:p>
    <w:p w14:paraId="4904075A">
      <w:pPr>
        <w:pStyle w:val="19"/>
        <w:tabs>
          <w:tab w:val="right" w:leader="dot" w:pos="8845"/>
        </w:tabs>
        <w:ind w:firstLine="632"/>
      </w:pPr>
      <w:r>
        <w:fldChar w:fldCharType="begin"/>
      </w:r>
      <w:r>
        <w:instrText xml:space="preserve"> HYPERLINK \l "_Toc24634" </w:instrText>
      </w:r>
      <w:r>
        <w:fldChar w:fldCharType="separate"/>
      </w:r>
      <w:r>
        <w:rPr>
          <w:rFonts w:eastAsia="仿宋"/>
          <w:bCs/>
          <w:szCs w:val="28"/>
        </w:rPr>
        <w:t xml:space="preserve">7.2 </w:t>
      </w:r>
      <w:r>
        <w:rPr>
          <w:rFonts w:hint="eastAsia"/>
        </w:rPr>
        <w:t>预案演练</w:t>
      </w:r>
      <w:r>
        <w:tab/>
      </w:r>
      <w:r>
        <w:fldChar w:fldCharType="begin"/>
      </w:r>
      <w:r>
        <w:instrText xml:space="preserve"> PAGEREF _Toc24634 \h </w:instrText>
      </w:r>
      <w:r>
        <w:fldChar w:fldCharType="separate"/>
      </w:r>
      <w:r>
        <w:t>18</w:t>
      </w:r>
      <w:r>
        <w:fldChar w:fldCharType="end"/>
      </w:r>
      <w:r>
        <w:fldChar w:fldCharType="end"/>
      </w:r>
    </w:p>
    <w:p w14:paraId="2D7A9369">
      <w:pPr>
        <w:pStyle w:val="19"/>
        <w:tabs>
          <w:tab w:val="right" w:leader="dot" w:pos="8845"/>
        </w:tabs>
        <w:ind w:firstLine="632"/>
      </w:pPr>
      <w:r>
        <w:fldChar w:fldCharType="begin"/>
      </w:r>
      <w:r>
        <w:instrText xml:space="preserve"> HYPERLINK \l "_Toc11158" </w:instrText>
      </w:r>
      <w:r>
        <w:fldChar w:fldCharType="separate"/>
      </w:r>
      <w:r>
        <w:rPr>
          <w:rFonts w:eastAsia="仿宋"/>
          <w:bCs/>
          <w:szCs w:val="28"/>
        </w:rPr>
        <w:t xml:space="preserve">7.3 </w:t>
      </w:r>
      <w:r>
        <w:rPr>
          <w:rFonts w:hint="eastAsia"/>
        </w:rPr>
        <w:t>宣传和</w:t>
      </w:r>
      <w:r>
        <w:t>培训</w:t>
      </w:r>
      <w:r>
        <w:tab/>
      </w:r>
      <w:r>
        <w:fldChar w:fldCharType="begin"/>
      </w:r>
      <w:r>
        <w:instrText xml:space="preserve"> PAGEREF _Toc11158 \h </w:instrText>
      </w:r>
      <w:r>
        <w:fldChar w:fldCharType="separate"/>
      </w:r>
      <w:r>
        <w:t>18</w:t>
      </w:r>
      <w:r>
        <w:fldChar w:fldCharType="end"/>
      </w:r>
      <w:r>
        <w:fldChar w:fldCharType="end"/>
      </w:r>
    </w:p>
    <w:p w14:paraId="2C4C0183">
      <w:pPr>
        <w:pStyle w:val="19"/>
        <w:tabs>
          <w:tab w:val="right" w:leader="dot" w:pos="8845"/>
        </w:tabs>
        <w:ind w:firstLine="632"/>
      </w:pPr>
      <w:r>
        <w:fldChar w:fldCharType="begin"/>
      </w:r>
      <w:r>
        <w:instrText xml:space="preserve"> HYPERLINK \l "_Toc808" </w:instrText>
      </w:r>
      <w:r>
        <w:fldChar w:fldCharType="separate"/>
      </w:r>
      <w:r>
        <w:rPr>
          <w:rFonts w:eastAsia="仿宋"/>
          <w:bCs/>
          <w:szCs w:val="28"/>
        </w:rPr>
        <w:t xml:space="preserve">7.4 </w:t>
      </w:r>
      <w:r>
        <w:rPr>
          <w:rFonts w:hint="eastAsia"/>
        </w:rPr>
        <w:t>奖励和责任追究</w:t>
      </w:r>
      <w:r>
        <w:tab/>
      </w:r>
      <w:r>
        <w:fldChar w:fldCharType="begin"/>
      </w:r>
      <w:r>
        <w:instrText xml:space="preserve"> PAGEREF _Toc808 \h </w:instrText>
      </w:r>
      <w:r>
        <w:fldChar w:fldCharType="separate"/>
      </w:r>
      <w:r>
        <w:t>18</w:t>
      </w:r>
      <w:r>
        <w:fldChar w:fldCharType="end"/>
      </w:r>
      <w:r>
        <w:fldChar w:fldCharType="end"/>
      </w:r>
    </w:p>
    <w:p w14:paraId="48DB3A4C">
      <w:pPr>
        <w:pStyle w:val="18"/>
      </w:pPr>
      <w:r>
        <w:fldChar w:fldCharType="begin"/>
      </w:r>
      <w:r>
        <w:instrText xml:space="preserve"> HYPERLINK \l "_Toc19178" </w:instrText>
      </w:r>
      <w:r>
        <w:fldChar w:fldCharType="separate"/>
      </w:r>
      <w:r>
        <w:rPr>
          <w:rFonts w:eastAsia="仿宋"/>
        </w:rPr>
        <w:t xml:space="preserve">8 </w:t>
      </w:r>
      <w:r>
        <w:rPr>
          <w:rFonts w:hint="eastAsia"/>
        </w:rPr>
        <w:t>附则</w:t>
      </w:r>
      <w:r>
        <w:tab/>
      </w:r>
      <w:r>
        <w:fldChar w:fldCharType="begin"/>
      </w:r>
      <w:r>
        <w:instrText xml:space="preserve"> PAGEREF _Toc19178 \h </w:instrText>
      </w:r>
      <w:r>
        <w:fldChar w:fldCharType="separate"/>
      </w:r>
      <w:r>
        <w:t>18</w:t>
      </w:r>
      <w:r>
        <w:fldChar w:fldCharType="end"/>
      </w:r>
      <w:r>
        <w:fldChar w:fldCharType="end"/>
      </w:r>
    </w:p>
    <w:p w14:paraId="4885FCE1">
      <w:pPr>
        <w:pStyle w:val="19"/>
        <w:tabs>
          <w:tab w:val="right" w:leader="dot" w:pos="8845"/>
        </w:tabs>
        <w:ind w:firstLine="632"/>
      </w:pPr>
      <w:r>
        <w:fldChar w:fldCharType="begin"/>
      </w:r>
      <w:r>
        <w:instrText xml:space="preserve"> HYPERLINK \l "_Toc21998" </w:instrText>
      </w:r>
      <w:r>
        <w:fldChar w:fldCharType="separate"/>
      </w:r>
      <w:r>
        <w:rPr>
          <w:rFonts w:eastAsia="仿宋"/>
          <w:bCs/>
          <w:szCs w:val="28"/>
        </w:rPr>
        <w:t xml:space="preserve">8.1 </w:t>
      </w:r>
      <w:r>
        <w:rPr>
          <w:rFonts w:hint="eastAsia" w:ascii="Times New Roman" w:hAnsi="Times New Roman"/>
        </w:rPr>
        <w:t>预案管理与更新</w:t>
      </w:r>
      <w:r>
        <w:tab/>
      </w:r>
      <w:r>
        <w:fldChar w:fldCharType="begin"/>
      </w:r>
      <w:r>
        <w:instrText xml:space="preserve"> PAGEREF _Toc21998 \h </w:instrText>
      </w:r>
      <w:r>
        <w:fldChar w:fldCharType="separate"/>
      </w:r>
      <w:r>
        <w:t>18</w:t>
      </w:r>
      <w:r>
        <w:fldChar w:fldCharType="end"/>
      </w:r>
      <w:r>
        <w:fldChar w:fldCharType="end"/>
      </w:r>
    </w:p>
    <w:p w14:paraId="6FBC202A">
      <w:pPr>
        <w:pStyle w:val="19"/>
        <w:tabs>
          <w:tab w:val="right" w:leader="dot" w:pos="8845"/>
        </w:tabs>
        <w:ind w:firstLine="632"/>
      </w:pPr>
      <w:r>
        <w:fldChar w:fldCharType="begin"/>
      </w:r>
      <w:r>
        <w:instrText xml:space="preserve"> HYPERLINK \l "_Toc25847" </w:instrText>
      </w:r>
      <w:r>
        <w:fldChar w:fldCharType="separate"/>
      </w:r>
      <w:r>
        <w:rPr>
          <w:rFonts w:eastAsia="仿宋"/>
          <w:bCs/>
          <w:szCs w:val="28"/>
        </w:rPr>
        <w:t xml:space="preserve">8.2 </w:t>
      </w:r>
      <w:r>
        <w:rPr>
          <w:rFonts w:hint="eastAsia" w:ascii="Times New Roman" w:hAnsi="Times New Roman"/>
        </w:rPr>
        <w:t>预案制定与解释</w:t>
      </w:r>
      <w:r>
        <w:tab/>
      </w:r>
      <w:r>
        <w:fldChar w:fldCharType="begin"/>
      </w:r>
      <w:r>
        <w:instrText xml:space="preserve"> PAGEREF _Toc25847 \h </w:instrText>
      </w:r>
      <w:r>
        <w:fldChar w:fldCharType="separate"/>
      </w:r>
      <w:r>
        <w:t>18</w:t>
      </w:r>
      <w:r>
        <w:fldChar w:fldCharType="end"/>
      </w:r>
      <w:r>
        <w:fldChar w:fldCharType="end"/>
      </w:r>
    </w:p>
    <w:p w14:paraId="4994664E">
      <w:pPr>
        <w:pStyle w:val="19"/>
        <w:tabs>
          <w:tab w:val="right" w:leader="dot" w:pos="8845"/>
        </w:tabs>
        <w:ind w:firstLine="632"/>
      </w:pPr>
      <w:r>
        <w:fldChar w:fldCharType="begin"/>
      </w:r>
      <w:r>
        <w:instrText xml:space="preserve"> HYPERLINK \l "_Toc25293" </w:instrText>
      </w:r>
      <w:r>
        <w:fldChar w:fldCharType="separate"/>
      </w:r>
      <w:r>
        <w:rPr>
          <w:rFonts w:eastAsia="仿宋"/>
          <w:bCs/>
          <w:szCs w:val="28"/>
        </w:rPr>
        <w:t xml:space="preserve">8.3 </w:t>
      </w:r>
      <w:r>
        <w:rPr>
          <w:rFonts w:hint="eastAsia" w:ascii="Times New Roman" w:hAnsi="Times New Roman"/>
        </w:rPr>
        <w:t>预案中“以上”“以下”的含义</w:t>
      </w:r>
      <w:r>
        <w:tab/>
      </w:r>
      <w:r>
        <w:fldChar w:fldCharType="begin"/>
      </w:r>
      <w:r>
        <w:instrText xml:space="preserve"> PAGEREF _Toc25293 \h </w:instrText>
      </w:r>
      <w:r>
        <w:fldChar w:fldCharType="separate"/>
      </w:r>
      <w:r>
        <w:t>18</w:t>
      </w:r>
      <w:r>
        <w:fldChar w:fldCharType="end"/>
      </w:r>
      <w:r>
        <w:fldChar w:fldCharType="end"/>
      </w:r>
    </w:p>
    <w:p w14:paraId="11CA8DEA">
      <w:pPr>
        <w:pStyle w:val="19"/>
        <w:tabs>
          <w:tab w:val="right" w:leader="dot" w:pos="8845"/>
        </w:tabs>
        <w:ind w:firstLine="632"/>
      </w:pPr>
      <w:r>
        <w:fldChar w:fldCharType="begin"/>
      </w:r>
      <w:r>
        <w:instrText xml:space="preserve"> HYPERLINK \l "_Toc30440" </w:instrText>
      </w:r>
      <w:r>
        <w:fldChar w:fldCharType="separate"/>
      </w:r>
      <w:r>
        <w:rPr>
          <w:rFonts w:eastAsia="仿宋"/>
          <w:bCs/>
          <w:szCs w:val="28"/>
        </w:rPr>
        <w:t xml:space="preserve">8.4 </w:t>
      </w:r>
      <w:r>
        <w:rPr>
          <w:rFonts w:hint="eastAsia" w:ascii="Times New Roman" w:hAnsi="Times New Roman"/>
        </w:rPr>
        <w:t>预案的实施</w:t>
      </w:r>
      <w:r>
        <w:tab/>
      </w:r>
      <w:r>
        <w:fldChar w:fldCharType="begin"/>
      </w:r>
      <w:r>
        <w:instrText xml:space="preserve"> PAGEREF _Toc30440 \h </w:instrText>
      </w:r>
      <w:r>
        <w:fldChar w:fldCharType="separate"/>
      </w:r>
      <w:r>
        <w:t>19</w:t>
      </w:r>
      <w:r>
        <w:fldChar w:fldCharType="end"/>
      </w:r>
      <w:r>
        <w:fldChar w:fldCharType="end"/>
      </w:r>
    </w:p>
    <w:p w14:paraId="75E38637">
      <w:pPr>
        <w:ind w:firstLine="0" w:firstLineChars="0"/>
        <w:rPr>
          <w:rFonts w:ascii="黑体" w:hAnsi="黑体" w:eastAsia="黑体" w:cs="黑体"/>
          <w:szCs w:val="44"/>
        </w:rPr>
      </w:pPr>
      <w:r>
        <w:rPr>
          <w:rFonts w:hint="eastAsia" w:ascii="黑体" w:hAnsi="黑体" w:eastAsia="黑体" w:cs="黑体"/>
          <w:szCs w:val="44"/>
        </w:rPr>
        <w:fldChar w:fldCharType="end"/>
      </w:r>
      <w:r>
        <w:rPr>
          <w:rFonts w:hint="eastAsia" w:ascii="黑体" w:hAnsi="黑体" w:eastAsia="黑体" w:cs="黑体"/>
          <w:szCs w:val="44"/>
        </w:rPr>
        <w:t xml:space="preserve"> </w:t>
      </w:r>
    </w:p>
    <w:p w14:paraId="0C50A3B8">
      <w:pPr>
        <w:pStyle w:val="2"/>
        <w:rPr>
          <w:sz w:val="32"/>
          <w:szCs w:val="32"/>
        </w:rPr>
        <w:sectPr>
          <w:footerReference r:id="rId49" w:type="default"/>
          <w:footerReference r:id="rId50" w:type="even"/>
          <w:pgSz w:w="11906" w:h="16838"/>
          <w:pgMar w:top="2098" w:right="1474" w:bottom="1984" w:left="1587" w:header="624" w:footer="1134" w:gutter="0"/>
          <w:pgNumType w:fmt="upperRoman" w:start="1"/>
          <w:cols w:space="720" w:num="1"/>
          <w:docGrid w:type="linesAndChars" w:linePitch="579" w:charSpace="-842"/>
        </w:sectPr>
      </w:pPr>
    </w:p>
    <w:p w14:paraId="5E07FDC3">
      <w:pPr>
        <w:pStyle w:val="2"/>
        <w:numPr>
          <w:ilvl w:val="0"/>
          <w:numId w:val="120"/>
        </w:numPr>
        <w:tabs>
          <w:tab w:val="left" w:pos="0"/>
        </w:tabs>
        <w:rPr>
          <w:sz w:val="32"/>
          <w:szCs w:val="32"/>
        </w:rPr>
      </w:pPr>
      <w:bookmarkStart w:id="591" w:name="_Toc20220"/>
      <w:r>
        <w:rPr>
          <w:rFonts w:hint="eastAsia"/>
          <w:sz w:val="32"/>
          <w:szCs w:val="32"/>
        </w:rPr>
        <w:t>总则</w:t>
      </w:r>
      <w:bookmarkEnd w:id="591"/>
    </w:p>
    <w:p w14:paraId="2E6A67F2">
      <w:pPr>
        <w:pStyle w:val="3"/>
      </w:pPr>
      <w:bookmarkStart w:id="592" w:name="_Toc7990"/>
      <w:r>
        <w:rPr>
          <w:rFonts w:hint="eastAsia"/>
        </w:rPr>
        <w:t>编制目的</w:t>
      </w:r>
      <w:bookmarkEnd w:id="592"/>
    </w:p>
    <w:p w14:paraId="1CD11212">
      <w:pPr>
        <w:ind w:firstLine="632"/>
        <w:rPr>
          <w:rFonts w:ascii="仿宋_GB2312" w:hAnsi="仿宋_GB2312" w:cs="仿宋_GB2312"/>
        </w:rPr>
      </w:pPr>
      <w:r>
        <w:rPr>
          <w:rFonts w:hint="eastAsia" w:ascii="仿宋_GB2312" w:hAnsi="仿宋_GB2312" w:cs="仿宋_GB2312"/>
        </w:rPr>
        <w:t>为做好全县大面积停电事件的防范与处置工作，科学、快速、有效处理大面积停电事件，确保抢险救援和复电工作有序开展，减少大面积停电造成的影响和损失，维护公共安全、社会稳定和人民生命财产安全，建立健全集贤县大面积停电事件应对工作机制，实现科学、及时、有效应对全县范围内大面积停电事件。</w:t>
      </w:r>
    </w:p>
    <w:p w14:paraId="1A6C2773">
      <w:pPr>
        <w:pStyle w:val="3"/>
      </w:pPr>
      <w:bookmarkStart w:id="593" w:name="_Toc26231"/>
      <w:r>
        <w:rPr>
          <w:rFonts w:hint="eastAsia"/>
        </w:rPr>
        <w:t>编制依据</w:t>
      </w:r>
      <w:bookmarkEnd w:id="593"/>
    </w:p>
    <w:p w14:paraId="58010C35">
      <w:pPr>
        <w:ind w:firstLine="632"/>
      </w:pPr>
      <w:r>
        <w:rPr>
          <w:rFonts w:hint="eastAsia"/>
        </w:rPr>
        <w:t>依据《中华人民共和国突发事件应对法》《中华人民共和国安全生产法》《中华人民共和国电力法》《生产安全事故报告和调查处理条例》《电力安全事故应急处置和调查处理条例》《电网调度管理条例》《国家大面积停电事件应急预案》《双鸭山市突发事件总体应急预案》《双鸭山市处置大面积停电事件应急预案》《集贤县突发事件总体应急预案》等相关法律、法规和规定，结合我县实际，制定本预案。</w:t>
      </w:r>
    </w:p>
    <w:p w14:paraId="024FC5E4">
      <w:pPr>
        <w:pStyle w:val="3"/>
      </w:pPr>
      <w:bookmarkStart w:id="594" w:name="_Toc27859"/>
      <w:r>
        <w:rPr>
          <w:rFonts w:hint="eastAsia"/>
        </w:rPr>
        <w:t>适用范围</w:t>
      </w:r>
      <w:bookmarkEnd w:id="594"/>
    </w:p>
    <w:p w14:paraId="088791B5">
      <w:pPr>
        <w:ind w:firstLine="632"/>
      </w:pPr>
      <w:r>
        <w:rPr>
          <w:rFonts w:hint="eastAsia"/>
        </w:rPr>
        <w:t>本预案适用于集贤县行政区域内发生的大面积停电事件应对工作。</w:t>
      </w:r>
    </w:p>
    <w:p w14:paraId="4C452F00">
      <w:pPr>
        <w:ind w:firstLine="632"/>
      </w:pPr>
      <w:r>
        <w:rPr>
          <w:rFonts w:hint="eastAsia"/>
        </w:rPr>
        <w:t>大面积停电事件是指由于自然灾害、电力安全事故和外力破坏等原因造成区域性电网、县级电网或城市电网大量减供负荷，对公共安全、社会稳定及人民群众生产生活造成影响和威胁的停电事件。因地震、气象等自然灾害和恐怖袭击等社会安全事件及其他因素造成大面积停电事件时，依据对应专项应急预案执行。同时参照本预案组织好信息报送、应急响应等有关应对工作。</w:t>
      </w:r>
    </w:p>
    <w:p w14:paraId="4884A328">
      <w:pPr>
        <w:pStyle w:val="3"/>
      </w:pPr>
      <w:bookmarkStart w:id="595" w:name="_Toc31121"/>
      <w:r>
        <w:rPr>
          <w:rFonts w:hint="eastAsia"/>
        </w:rPr>
        <w:t>工作原则</w:t>
      </w:r>
      <w:bookmarkEnd w:id="595"/>
    </w:p>
    <w:p w14:paraId="3A0D225C">
      <w:pPr>
        <w:numPr>
          <w:ilvl w:val="0"/>
          <w:numId w:val="23"/>
        </w:numPr>
        <w:ind w:firstLine="632"/>
      </w:pPr>
      <w:r>
        <w:rPr>
          <w:rFonts w:hint="eastAsia"/>
        </w:rPr>
        <w:t>统一领导。大面积停电会给现代社会的生产生活带来重大影响，特殊时期必须强调统一领导、资源共享、各方配合、全社会参与。必须强调执行力，提高应对效率，避免浪费有限的应急资源和时间。</w:t>
      </w:r>
    </w:p>
    <w:p w14:paraId="456AEC47">
      <w:pPr>
        <w:numPr>
          <w:ilvl w:val="0"/>
          <w:numId w:val="23"/>
        </w:numPr>
        <w:ind w:firstLine="632"/>
      </w:pPr>
      <w:r>
        <w:rPr>
          <w:rFonts w:hint="eastAsia"/>
        </w:rPr>
        <w:t>预防为主。坚持“安全第一，预防为主”方针，加强电力安全管理，启动事故预警机制，落实事故预防和隐患控制措施，有效防止特别重大、重大、较大和一般电力事故发生；加强电力设施保护宣传工作和行政执法力度，增强公众保护电力设施的意识，严厉打击破坏电力设施犯罪活动；制定科学有效的电网恢复预案，开展有针对性的事故应急演练，提高电力企业和全社会应对大面积停电事件的能力。</w:t>
      </w:r>
    </w:p>
    <w:p w14:paraId="7068B8C5">
      <w:pPr>
        <w:numPr>
          <w:ilvl w:val="0"/>
          <w:numId w:val="23"/>
        </w:numPr>
        <w:ind w:firstLine="632"/>
      </w:pPr>
      <w:r>
        <w:rPr>
          <w:rFonts w:hint="eastAsia"/>
        </w:rPr>
        <w:t>统一指挥。在集贤县大面积停电事件应急指挥部的统一指挥和协调下，组织开展事故处理、事故抢险、电网恢复、应急救援、维护社会稳定、恢复生产等各项应急工作。</w:t>
      </w:r>
    </w:p>
    <w:p w14:paraId="005A54BD">
      <w:pPr>
        <w:numPr>
          <w:ilvl w:val="0"/>
          <w:numId w:val="23"/>
        </w:numPr>
        <w:ind w:firstLine="632"/>
      </w:pPr>
      <w:r>
        <w:rPr>
          <w:rFonts w:hint="eastAsia"/>
        </w:rPr>
        <w:t>分工负责。按照分层分区、统一协调、各负其责的原则建立事故应急处置体系。电网企业按照电网结构和调度管辖范围，制订和完善电网应急处理和恢复预案，保证电网尽快恢复供电。发电企业完善“保厂用电”措施，确保机组的启动能力和电厂自身安全。电力用户根据重要程度，自备必要的保安措施，避免在突然停电情况下发生次生灾害。各有关部门按各自职责，组织做好大面积停电事件应急准备和处置工作。</w:t>
      </w:r>
    </w:p>
    <w:p w14:paraId="53BD0ACB">
      <w:pPr>
        <w:numPr>
          <w:ilvl w:val="0"/>
          <w:numId w:val="23"/>
        </w:numPr>
        <w:ind w:firstLine="632"/>
      </w:pPr>
      <w:r>
        <w:rPr>
          <w:rFonts w:hint="eastAsia"/>
        </w:rPr>
        <w:t>保证重点。在电网事故处理和控制中，将保证集贤县县电网主网架的安全放在第一位，采取各种必要手段，防止事故范围进一步扩大，防止发生系统性崩溃和瓦解。在电网恢复中，优先保证重要发电厂用电源、重要变电站用电源和主干网架、重要输变电设备恢复，提高整个系统恢复速度和效率。在供电恢复中，优先考虑对重点区域、重要用户恢复供电，尽快恢复社会正常秩序。</w:t>
      </w:r>
    </w:p>
    <w:p w14:paraId="0A99AA78">
      <w:pPr>
        <w:pStyle w:val="2"/>
        <w:numPr>
          <w:ilvl w:val="0"/>
          <w:numId w:val="120"/>
        </w:numPr>
        <w:tabs>
          <w:tab w:val="left" w:pos="0"/>
        </w:tabs>
        <w:rPr>
          <w:sz w:val="32"/>
          <w:szCs w:val="32"/>
        </w:rPr>
      </w:pPr>
      <w:bookmarkStart w:id="596" w:name="_Toc5970"/>
      <w:r>
        <w:rPr>
          <w:rFonts w:hint="eastAsia"/>
          <w:sz w:val="32"/>
          <w:szCs w:val="32"/>
        </w:rPr>
        <w:t>组织指挥体系及职责</w:t>
      </w:r>
      <w:bookmarkEnd w:id="596"/>
    </w:p>
    <w:p w14:paraId="14DAE67E">
      <w:pPr>
        <w:ind w:firstLine="632"/>
      </w:pPr>
      <w:r>
        <w:rPr>
          <w:rFonts w:hint="eastAsia"/>
        </w:rPr>
        <w:t>成立集贤县人民政府大面积停电事件指挥部（以下简称县指挥部）作为大面积停电事件的应急指挥机构。集贤县大面积停电事件应急指挥部服从黑龙江省、双鸭山市大面积停电事件应急指挥部的统一领导、组织和指挥，并加强请示汇报、积极主动开展应急处置工作。在发生跨区域的大面积停电事件时，根据需要建立跨区域大面积停电事件应急合作机制。</w:t>
      </w:r>
    </w:p>
    <w:p w14:paraId="44B40E77">
      <w:pPr>
        <w:ind w:firstLine="632"/>
      </w:pPr>
      <w:r>
        <w:rPr>
          <w:rFonts w:hint="eastAsia"/>
        </w:rPr>
        <w:t>在县委、县政府的统一领导下，集贤县大面积停电事件应急组织体系由县应急指挥部、县应急指挥部办公室、电力恢复组、新闻宣传组、综合保障组、社会维稳组构成。</w:t>
      </w:r>
    </w:p>
    <w:p w14:paraId="588AD054">
      <w:pPr>
        <w:pStyle w:val="3"/>
      </w:pPr>
      <w:bookmarkStart w:id="597" w:name="_Toc18385"/>
      <w:r>
        <w:rPr>
          <w:rFonts w:hint="eastAsia"/>
        </w:rPr>
        <w:t>县指挥部组成及职责</w:t>
      </w:r>
      <w:bookmarkEnd w:id="597"/>
    </w:p>
    <w:p w14:paraId="6DFD9893">
      <w:pPr>
        <w:pStyle w:val="4"/>
        <w:numPr>
          <w:ilvl w:val="2"/>
          <w:numId w:val="120"/>
        </w:numPr>
        <w:tabs>
          <w:tab w:val="left" w:pos="0"/>
        </w:tabs>
        <w:rPr>
          <w:rFonts w:ascii="仿宋_GB2312" w:hAnsi="仿宋_GB2312" w:eastAsia="仿宋_GB2312" w:cs="仿宋_GB2312"/>
        </w:rPr>
      </w:pPr>
      <w:r>
        <w:rPr>
          <w:rFonts w:hint="eastAsia" w:ascii="仿宋_GB2312" w:hAnsi="仿宋_GB2312" w:eastAsia="仿宋_GB2312" w:cs="仿宋_GB2312"/>
        </w:rPr>
        <w:t>县指挥部组成</w:t>
      </w:r>
    </w:p>
    <w:p w14:paraId="66E4D889">
      <w:pPr>
        <w:ind w:firstLine="632"/>
        <w:rPr>
          <w:rFonts w:ascii="仿宋_GB2312"/>
        </w:rPr>
      </w:pPr>
      <w:r>
        <w:rPr>
          <w:rFonts w:hint="eastAsia" w:ascii="仿宋_GB2312"/>
        </w:rPr>
        <w:t>县应急指挥部总指挥由县政府分管副县长担任，常务副总指挥由县发展和改革局、县工业信息科技局、县应急管理局主要领导担任，副总指挥由双鸭山集贤供电公司、农电公司主要负责同志担任。</w:t>
      </w:r>
    </w:p>
    <w:p w14:paraId="7B03A01F">
      <w:pPr>
        <w:ind w:firstLine="632"/>
        <w:rPr>
          <w:rFonts w:ascii="仿宋_GB2312"/>
        </w:rPr>
      </w:pPr>
      <w:r>
        <w:rPr>
          <w:rFonts w:hint="eastAsia" w:ascii="仿宋_GB2312"/>
        </w:rPr>
        <w:t>成员单位：县政府办、县委宣传部、县发展和改革局、县教育和体育局、县工业信息科技局、县公安局、县财政局、县民政局、县自然资源局、县住房和城乡建设局、县交通运输局、县水务局、县气象局、县卫生健康局、国网集贤分公司。</w:t>
      </w:r>
    </w:p>
    <w:p w14:paraId="5A19C09D">
      <w:pPr>
        <w:ind w:firstLine="632"/>
        <w:rPr>
          <w:rFonts w:ascii="仿宋_GB2312"/>
        </w:rPr>
      </w:pPr>
      <w:r>
        <w:rPr>
          <w:rFonts w:hint="eastAsia" w:ascii="仿宋_GB2312"/>
        </w:rPr>
        <w:t>县应急指挥部办公室（以下简称县防办）设在国网集贤分公司，承担县应急指挥部日常工作。办公室主任由国网集贤分公司分管副经理担任。</w:t>
      </w:r>
    </w:p>
    <w:p w14:paraId="4E25FBAB">
      <w:pPr>
        <w:pStyle w:val="4"/>
        <w:numPr>
          <w:ilvl w:val="2"/>
          <w:numId w:val="120"/>
        </w:numPr>
        <w:tabs>
          <w:tab w:val="left" w:pos="0"/>
        </w:tabs>
        <w:rPr>
          <w:rFonts w:ascii="仿宋_GB2312" w:hAnsi="仿宋_GB2312" w:eastAsia="仿宋_GB2312" w:cs="仿宋_GB2312"/>
        </w:rPr>
      </w:pPr>
      <w:r>
        <w:rPr>
          <w:rFonts w:hint="eastAsia" w:ascii="仿宋_GB2312" w:hAnsi="仿宋_GB2312" w:eastAsia="仿宋_GB2312" w:cs="仿宋_GB2312"/>
        </w:rPr>
        <w:t>县指挥部工作职责</w:t>
      </w:r>
    </w:p>
    <w:p w14:paraId="251F3AA6">
      <w:pPr>
        <w:numPr>
          <w:ilvl w:val="0"/>
          <w:numId w:val="121"/>
        </w:numPr>
        <w:ind w:firstLine="632"/>
      </w:pPr>
      <w:r>
        <w:rPr>
          <w:rFonts w:hint="eastAsia"/>
        </w:rPr>
        <w:t>在集贤县人民政府的领导下，统一实施全县大面积停电应急处置、事故抢险、电网恢复等各项应急工作；</w:t>
      </w:r>
    </w:p>
    <w:p w14:paraId="0B569193">
      <w:pPr>
        <w:numPr>
          <w:ilvl w:val="0"/>
          <w:numId w:val="121"/>
        </w:numPr>
        <w:ind w:firstLine="632"/>
      </w:pPr>
      <w:r>
        <w:rPr>
          <w:rFonts w:hint="eastAsia"/>
        </w:rPr>
        <w:t>协调各乡镇、社区、县直各相关部门、各应急指挥机构之间的关系，协调指挥社会应急救援工作；</w:t>
      </w:r>
    </w:p>
    <w:p w14:paraId="6372E3E2">
      <w:pPr>
        <w:numPr>
          <w:ilvl w:val="0"/>
          <w:numId w:val="121"/>
        </w:numPr>
        <w:ind w:firstLine="632"/>
      </w:pPr>
      <w:r>
        <w:rPr>
          <w:rFonts w:hint="eastAsia"/>
        </w:rPr>
        <w:t>研究重大应急决策和部署；</w:t>
      </w:r>
    </w:p>
    <w:p w14:paraId="0F810B1F">
      <w:pPr>
        <w:numPr>
          <w:ilvl w:val="0"/>
          <w:numId w:val="121"/>
        </w:numPr>
        <w:ind w:firstLine="632"/>
      </w:pPr>
      <w:r>
        <w:rPr>
          <w:rFonts w:hint="eastAsia"/>
        </w:rPr>
        <w:t>决定调整相应应急响应级别和终止应急预案；</w:t>
      </w:r>
    </w:p>
    <w:p w14:paraId="461862F2">
      <w:pPr>
        <w:numPr>
          <w:ilvl w:val="0"/>
          <w:numId w:val="121"/>
        </w:numPr>
        <w:ind w:firstLine="632"/>
      </w:pPr>
      <w:r>
        <w:rPr>
          <w:rFonts w:hint="eastAsia"/>
        </w:rPr>
        <w:t>配合国家、省、市大面积停电调查组工作。</w:t>
      </w:r>
    </w:p>
    <w:p w14:paraId="1AC4EA8E">
      <w:pPr>
        <w:pStyle w:val="4"/>
        <w:numPr>
          <w:ilvl w:val="2"/>
          <w:numId w:val="120"/>
        </w:numPr>
        <w:tabs>
          <w:tab w:val="left" w:pos="0"/>
        </w:tabs>
        <w:rPr>
          <w:rFonts w:ascii="仿宋_GB2312" w:hAnsi="仿宋_GB2312" w:eastAsia="仿宋_GB2312" w:cs="仿宋_GB2312"/>
        </w:rPr>
      </w:pPr>
      <w:r>
        <w:rPr>
          <w:rFonts w:hint="eastAsia" w:ascii="仿宋_GB2312" w:hAnsi="仿宋_GB2312" w:eastAsia="仿宋_GB2312" w:cs="仿宋_GB2312"/>
        </w:rPr>
        <w:t>县防办工作职责</w:t>
      </w:r>
    </w:p>
    <w:p w14:paraId="05FB9883">
      <w:pPr>
        <w:numPr>
          <w:ilvl w:val="0"/>
          <w:numId w:val="122"/>
        </w:numPr>
        <w:ind w:firstLine="632"/>
      </w:pPr>
      <w:r>
        <w:rPr>
          <w:rFonts w:hint="eastAsia"/>
        </w:rPr>
        <w:t>承担县指挥部日常工作；</w:t>
      </w:r>
    </w:p>
    <w:p w14:paraId="40B03003">
      <w:pPr>
        <w:numPr>
          <w:ilvl w:val="0"/>
          <w:numId w:val="122"/>
        </w:numPr>
        <w:ind w:firstLine="632"/>
      </w:pPr>
      <w:r>
        <w:rPr>
          <w:rFonts w:hint="eastAsia"/>
        </w:rPr>
        <w:t>及时掌握大面积停电情况，负责相关信息的收集、整理、评估、报送等工作；</w:t>
      </w:r>
    </w:p>
    <w:p w14:paraId="735CA0D1">
      <w:pPr>
        <w:numPr>
          <w:ilvl w:val="0"/>
          <w:numId w:val="122"/>
        </w:numPr>
        <w:ind w:firstLine="632"/>
      </w:pPr>
      <w:r>
        <w:rPr>
          <w:rFonts w:hint="eastAsia"/>
        </w:rPr>
        <w:t>提请县指挥部进入和解除预警、启动和终止应急响应；</w:t>
      </w:r>
    </w:p>
    <w:p w14:paraId="569CB69B">
      <w:pPr>
        <w:numPr>
          <w:ilvl w:val="0"/>
          <w:numId w:val="122"/>
        </w:numPr>
        <w:ind w:firstLine="632"/>
      </w:pPr>
      <w:r>
        <w:rPr>
          <w:rFonts w:hint="eastAsia"/>
        </w:rPr>
        <w:t>落实县指挥部下达的应急指令；</w:t>
      </w:r>
    </w:p>
    <w:p w14:paraId="284F7380">
      <w:pPr>
        <w:numPr>
          <w:ilvl w:val="0"/>
          <w:numId w:val="122"/>
        </w:numPr>
        <w:ind w:firstLine="632"/>
      </w:pPr>
      <w:r>
        <w:rPr>
          <w:rFonts w:hint="eastAsia"/>
        </w:rPr>
        <w:t>具体组织实施本预案；</w:t>
      </w:r>
    </w:p>
    <w:p w14:paraId="24CA069F">
      <w:pPr>
        <w:numPr>
          <w:ilvl w:val="0"/>
          <w:numId w:val="122"/>
        </w:numPr>
        <w:ind w:firstLine="632"/>
      </w:pPr>
      <w:r>
        <w:rPr>
          <w:rFonts w:hint="eastAsia"/>
        </w:rPr>
        <w:t>掌握应急处理和供电恢复情况，并及时做好有关协调工作；</w:t>
      </w:r>
    </w:p>
    <w:p w14:paraId="6A18F23B">
      <w:pPr>
        <w:numPr>
          <w:ilvl w:val="0"/>
          <w:numId w:val="122"/>
        </w:numPr>
        <w:ind w:firstLine="632"/>
      </w:pPr>
      <w:r>
        <w:rPr>
          <w:rFonts w:hint="eastAsia"/>
        </w:rPr>
        <w:t>完成县指挥部交办的其他工作。</w:t>
      </w:r>
    </w:p>
    <w:p w14:paraId="092BF5E2">
      <w:pPr>
        <w:pStyle w:val="4"/>
        <w:numPr>
          <w:ilvl w:val="2"/>
          <w:numId w:val="120"/>
        </w:numPr>
        <w:tabs>
          <w:tab w:val="left" w:pos="0"/>
        </w:tabs>
        <w:rPr>
          <w:rFonts w:ascii="仿宋_GB2312" w:hAnsi="仿宋_GB2312" w:eastAsia="仿宋_GB2312" w:cs="仿宋_GB2312"/>
        </w:rPr>
      </w:pPr>
      <w:r>
        <w:rPr>
          <w:rFonts w:hint="eastAsia" w:ascii="仿宋_GB2312" w:hAnsi="仿宋_GB2312" w:eastAsia="仿宋_GB2312" w:cs="仿宋_GB2312"/>
        </w:rPr>
        <w:t>成员单位工作职责</w:t>
      </w:r>
    </w:p>
    <w:p w14:paraId="28F14B5A">
      <w:pPr>
        <w:ind w:firstLine="634"/>
      </w:pPr>
      <w:r>
        <w:rPr>
          <w:rFonts w:hint="eastAsia"/>
          <w:b/>
          <w:bCs/>
        </w:rPr>
        <w:t>县委宣传部：</w:t>
      </w:r>
      <w:r>
        <w:rPr>
          <w:rFonts w:hint="eastAsia"/>
        </w:rPr>
        <w:t>负责会同县发改局等有关部门和单位，做好大面积停电事件信息发布、舆论引导、信息管控等工作，必要时召开新闻发布会及时解疑释惑、澄清事实、批驳谣言，配合做好媒体报道等有关工作。</w:t>
      </w:r>
    </w:p>
    <w:p w14:paraId="194A8D75">
      <w:pPr>
        <w:ind w:firstLine="634"/>
      </w:pPr>
      <w:r>
        <w:rPr>
          <w:rFonts w:hint="eastAsia"/>
          <w:b/>
          <w:bCs/>
        </w:rPr>
        <w:t>县发展和改革局：</w:t>
      </w:r>
      <w:r>
        <w:rPr>
          <w:rFonts w:hint="eastAsia"/>
        </w:rPr>
        <w:t>承担县大面积停电应急指挥部办公室职责；负责监测分析全县电力运行情况，协调处理电力运行和电网运行中的重大问题。负责组织各单位（企业）和专家分析研判大面积停电事态分析，电力企业制定恢复供电方案；组织协调相关部门和电力企业开展大面积停电事件应急处置与应急救援工作；按照《中华人民共和国价格法》相关规定，加强市场物资价格监测，发现价格异常波动，及时向上级部门提出预警报告；负责县大面积停电应急指挥部日常工作。</w:t>
      </w:r>
    </w:p>
    <w:p w14:paraId="07D91281">
      <w:pPr>
        <w:ind w:firstLine="634"/>
      </w:pPr>
      <w:r>
        <w:rPr>
          <w:rFonts w:hint="eastAsia"/>
          <w:b/>
          <w:bCs/>
        </w:rPr>
        <w:t>县教育和体育局：</w:t>
      </w:r>
      <w:r>
        <w:rPr>
          <w:rFonts w:hint="eastAsia"/>
        </w:rPr>
        <w:t>做好停电后学校教育教学秩序的维护，教学设备、设施的管理，做好学生的疏散、放学及住宿生的安置工作。</w:t>
      </w:r>
    </w:p>
    <w:p w14:paraId="11076C27">
      <w:pPr>
        <w:ind w:firstLine="634"/>
      </w:pPr>
      <w:r>
        <w:rPr>
          <w:rFonts w:hint="eastAsia"/>
          <w:b/>
          <w:bCs/>
        </w:rPr>
        <w:t>县工业信息科技局：</w:t>
      </w:r>
      <w:r>
        <w:rPr>
          <w:rFonts w:hint="eastAsia"/>
        </w:rPr>
        <w:t>组织、协调县内各基础电信运营企业、铁塔公司，做好公用通信网应急通信保障工作。负责主要生活必需品市场监测和供应。</w:t>
      </w:r>
    </w:p>
    <w:p w14:paraId="63854F68">
      <w:pPr>
        <w:ind w:firstLine="634"/>
      </w:pPr>
      <w:r>
        <w:rPr>
          <w:rFonts w:hint="eastAsia"/>
          <w:b/>
          <w:bCs/>
        </w:rPr>
        <w:t>县公安局：</w:t>
      </w:r>
      <w:r>
        <w:rPr>
          <w:rFonts w:hint="eastAsia"/>
        </w:rPr>
        <w:t>协助做好停电后人员的抢险救援工作，做好道路交通的疏导工作，做好人员密集场所的治安工作，打击散布谣言、谎报险情、故意扰乱公共秩序以及盗窃抢劫行为。</w:t>
      </w:r>
    </w:p>
    <w:p w14:paraId="28AC2BA7">
      <w:pPr>
        <w:ind w:firstLine="634"/>
      </w:pPr>
      <w:r>
        <w:rPr>
          <w:rFonts w:hint="eastAsia"/>
          <w:b/>
          <w:bCs/>
        </w:rPr>
        <w:t>县民政局：</w:t>
      </w:r>
      <w:r>
        <w:rPr>
          <w:rFonts w:hint="eastAsia"/>
        </w:rPr>
        <w:t>负责做好农村受灾人员基本生活救助工作。</w:t>
      </w:r>
    </w:p>
    <w:p w14:paraId="56DE6FA5">
      <w:pPr>
        <w:ind w:firstLine="634"/>
      </w:pPr>
      <w:r>
        <w:rPr>
          <w:rFonts w:hint="eastAsia"/>
          <w:b/>
          <w:bCs/>
        </w:rPr>
        <w:t>县财政局：</w:t>
      </w:r>
      <w:r>
        <w:rPr>
          <w:rFonts w:hint="eastAsia"/>
        </w:rPr>
        <w:t>负责协调落实应急救灾资金，对大面积停电事件处置工作提供必要的资金保障。</w:t>
      </w:r>
    </w:p>
    <w:p w14:paraId="2D666E3E">
      <w:pPr>
        <w:ind w:firstLine="634"/>
      </w:pPr>
      <w:r>
        <w:rPr>
          <w:rFonts w:hint="eastAsia"/>
          <w:b/>
          <w:bCs/>
        </w:rPr>
        <w:t>县自然资源局：</w:t>
      </w:r>
      <w:r>
        <w:rPr>
          <w:rFonts w:hint="eastAsia"/>
        </w:rPr>
        <w:t>做好停电后恢复重建相关的土地规划工作；负责协调电力抢修中林木砍伐工作。</w:t>
      </w:r>
    </w:p>
    <w:p w14:paraId="202022F9">
      <w:pPr>
        <w:ind w:firstLine="634"/>
      </w:pPr>
      <w:r>
        <w:rPr>
          <w:rFonts w:hint="eastAsia"/>
          <w:b/>
          <w:bCs/>
        </w:rPr>
        <w:t>县住房和城乡建设局：</w:t>
      </w:r>
      <w:r>
        <w:rPr>
          <w:rFonts w:hint="eastAsia"/>
        </w:rPr>
        <w:t>负责在大面积停电事故期间协调燃气公司维持和恢复城市供气。</w:t>
      </w:r>
    </w:p>
    <w:p w14:paraId="3435EEB5">
      <w:pPr>
        <w:ind w:firstLine="634"/>
      </w:pPr>
      <w:r>
        <w:rPr>
          <w:rFonts w:hint="eastAsia"/>
          <w:b/>
          <w:bCs/>
        </w:rPr>
        <w:t>县交通运输局：</w:t>
      </w:r>
      <w:r>
        <w:rPr>
          <w:rFonts w:hint="eastAsia"/>
        </w:rPr>
        <w:t>负责统一调集、征用应急救援客货运输车辆，保障发电燃料、抢险救援物资、必要生活资料和抢险救灾人员运输，保障应急救援人员、抢险救灾物资公路运输通道畅通。会同有关部门做好其他交通领域事故灾难的应急救援工作。</w:t>
      </w:r>
    </w:p>
    <w:p w14:paraId="02707934">
      <w:pPr>
        <w:ind w:firstLine="634"/>
      </w:pPr>
      <w:r>
        <w:rPr>
          <w:rFonts w:hint="eastAsia"/>
          <w:b/>
          <w:bCs/>
        </w:rPr>
        <w:t>县水务局：</w:t>
      </w:r>
      <w:r>
        <w:rPr>
          <w:rFonts w:hint="eastAsia"/>
        </w:rPr>
        <w:t>负责停电后排水、供水的应急处置工作。</w:t>
      </w:r>
    </w:p>
    <w:p w14:paraId="7A84FDDA">
      <w:pPr>
        <w:ind w:firstLine="634"/>
      </w:pPr>
      <w:r>
        <w:rPr>
          <w:rFonts w:hint="eastAsia"/>
          <w:b/>
          <w:bCs/>
        </w:rPr>
        <w:t>县应急管理局：</w:t>
      </w:r>
      <w:r>
        <w:rPr>
          <w:rFonts w:hint="eastAsia"/>
        </w:rPr>
        <w:t>协调大面积停电事故引发相关领域应急工作，并监督应急措施的落实情况，组织实施相关领域的应急救援工作。</w:t>
      </w:r>
    </w:p>
    <w:p w14:paraId="3C729CA0">
      <w:pPr>
        <w:ind w:firstLine="634"/>
      </w:pPr>
      <w:r>
        <w:rPr>
          <w:rFonts w:hint="eastAsia"/>
          <w:b/>
          <w:bCs/>
        </w:rPr>
        <w:t>县气象局：</w:t>
      </w:r>
      <w:r>
        <w:rPr>
          <w:rFonts w:hint="eastAsia"/>
        </w:rPr>
        <w:t>负责电网大面积停电事件应急救援过程中提供气象监测和气象预报等工作。</w:t>
      </w:r>
    </w:p>
    <w:p w14:paraId="4FCE9A6E">
      <w:pPr>
        <w:ind w:firstLine="634"/>
      </w:pPr>
      <w:r>
        <w:rPr>
          <w:rFonts w:hint="eastAsia"/>
          <w:b/>
          <w:bCs/>
        </w:rPr>
        <w:t>县市场监管局：</w:t>
      </w:r>
      <w:r>
        <w:rPr>
          <w:rFonts w:hint="eastAsia"/>
        </w:rPr>
        <w:t>组织大面积停电区域开展居民生活必需品价格检查；依法指导、协调特种设备重大事故应急救援工作。</w:t>
      </w:r>
    </w:p>
    <w:p w14:paraId="0FBDE13D">
      <w:pPr>
        <w:ind w:firstLine="634"/>
      </w:pPr>
      <w:r>
        <w:rPr>
          <w:rFonts w:hint="eastAsia"/>
          <w:b/>
          <w:bCs/>
        </w:rPr>
        <w:t>县卫生健康局：</w:t>
      </w:r>
      <w:r>
        <w:rPr>
          <w:rFonts w:hint="eastAsia"/>
        </w:rPr>
        <w:t>做好停电后受伤人员的医疗救治工作。</w:t>
      </w:r>
    </w:p>
    <w:p w14:paraId="23A45DE2">
      <w:pPr>
        <w:ind w:firstLine="634"/>
        <w:rPr>
          <w:b/>
          <w:bCs/>
        </w:rPr>
      </w:pPr>
      <w:r>
        <w:rPr>
          <w:rFonts w:hint="eastAsia"/>
          <w:b/>
          <w:bCs/>
        </w:rPr>
        <w:t>国网集贤分公司：</w:t>
      </w:r>
      <w:r>
        <w:rPr>
          <w:rFonts w:hint="eastAsia"/>
        </w:rPr>
        <w:t>在县指挥部的领导下，具体实施电网大面积停电应急处置和救援。</w:t>
      </w:r>
    </w:p>
    <w:p w14:paraId="363C023A">
      <w:pPr>
        <w:pStyle w:val="3"/>
      </w:pPr>
      <w:bookmarkStart w:id="598" w:name="_Toc22523"/>
      <w:r>
        <w:rPr>
          <w:rFonts w:hint="eastAsia"/>
        </w:rPr>
        <w:t>现场指挥部</w:t>
      </w:r>
      <w:bookmarkEnd w:id="598"/>
    </w:p>
    <w:p w14:paraId="1F2319DB">
      <w:pPr>
        <w:pStyle w:val="4"/>
        <w:numPr>
          <w:ilvl w:val="2"/>
          <w:numId w:val="120"/>
        </w:numPr>
        <w:tabs>
          <w:tab w:val="left" w:pos="0"/>
        </w:tabs>
        <w:rPr>
          <w:rFonts w:ascii="仿宋_GB2312" w:hAnsi="仿宋_GB2312" w:eastAsia="仿宋_GB2312" w:cs="仿宋_GB2312"/>
        </w:rPr>
      </w:pPr>
      <w:r>
        <w:rPr>
          <w:rFonts w:hint="eastAsia" w:ascii="仿宋_GB2312" w:hAnsi="仿宋_GB2312" w:eastAsia="仿宋_GB2312" w:cs="仿宋_GB2312"/>
        </w:rPr>
        <w:t>组成及职责</w:t>
      </w:r>
    </w:p>
    <w:p w14:paraId="281B38EB">
      <w:pPr>
        <w:ind w:firstLine="632"/>
      </w:pPr>
      <w:r>
        <w:rPr>
          <w:rFonts w:hint="eastAsia"/>
        </w:rPr>
        <w:t>根据应急响应级别，成立现场指挥部，总指挥由县指挥部总指挥、常务副指挥或副指挥兼任，成员由县指挥部有关成员单位和事发地所在乡镇人民政府组成。主要负责组织、指挥、协调各方面应急力量实施应急处置。根据事件等级和处置情况，及时向县指挥部报告有关事项。</w:t>
      </w:r>
    </w:p>
    <w:p w14:paraId="1EE77BAF">
      <w:pPr>
        <w:ind w:firstLine="632"/>
      </w:pPr>
      <w:r>
        <w:rPr>
          <w:rFonts w:hint="eastAsia"/>
        </w:rPr>
        <w:t>现场指挥部根据事故现场的实际情况，由国网集贤分公司牵头，成立现场工作组，迅速开展应急处置工作。</w:t>
      </w:r>
    </w:p>
    <w:p w14:paraId="130AE21C">
      <w:pPr>
        <w:numPr>
          <w:ilvl w:val="0"/>
          <w:numId w:val="25"/>
        </w:numPr>
        <w:ind w:firstLine="632"/>
      </w:pPr>
      <w:r>
        <w:rPr>
          <w:rFonts w:hint="eastAsia"/>
        </w:rPr>
        <w:t>电力恢复组：由国网集贤分公司牵头，县工业信息科技局、县公安局、县应急管理局、县气象局参加，视情增加其他电力企业。</w:t>
      </w:r>
    </w:p>
    <w:p w14:paraId="18357267">
      <w:pPr>
        <w:ind w:firstLine="632"/>
      </w:pPr>
      <w:r>
        <w:rPr>
          <w:rFonts w:hint="eastAsia"/>
        </w:rPr>
        <w:t>主要职责：组织进行技术研判，开展事态分析；组织电力抢修恢复工作，尽快恢复受影响区域供电工作；负责重要电力用户、重点区域的临时供电保障；负责组织跨区域的电力应急抢修恢复协调工作。</w:t>
      </w:r>
    </w:p>
    <w:p w14:paraId="262F481A">
      <w:pPr>
        <w:numPr>
          <w:ilvl w:val="0"/>
          <w:numId w:val="25"/>
        </w:numPr>
        <w:ind w:firstLine="632"/>
      </w:pPr>
      <w:r>
        <w:rPr>
          <w:rFonts w:hint="eastAsia"/>
        </w:rPr>
        <w:t>新闻宣传组：由县委宣传部牵头，县工业信息科技局、县公安局、县应急管理局、县气象局等参加。</w:t>
      </w:r>
    </w:p>
    <w:p w14:paraId="5DB515EE">
      <w:pPr>
        <w:ind w:firstLine="632"/>
      </w:pPr>
      <w:r>
        <w:rPr>
          <w:rFonts w:hint="eastAsia"/>
        </w:rPr>
        <w:t>主要职责：组织开展事件进展、应急工作情况等权威信息发布，加强新闻宣传报道；收集分析国内外舆情和社会公众动态，加强媒体、电信和互联网管理，正确引导舆论；及时澄清不实信息，回应社会关切。</w:t>
      </w:r>
    </w:p>
    <w:p w14:paraId="1272B2B1">
      <w:pPr>
        <w:numPr>
          <w:ilvl w:val="0"/>
          <w:numId w:val="25"/>
        </w:numPr>
        <w:ind w:firstLine="632"/>
      </w:pPr>
      <w:r>
        <w:rPr>
          <w:rFonts w:hint="eastAsia"/>
        </w:rPr>
        <w:t>综合保障组：由国网集贤分公司牵头，县工业信息科技局、县公安局、县应急管理局、县气象局、县财政局、县自然资源局、县住房和城乡建设局、县交通运输局、县市场监管局等参加，视情增加其他电力企业。</w:t>
      </w:r>
    </w:p>
    <w:p w14:paraId="33EE2530">
      <w:pPr>
        <w:ind w:firstLine="632"/>
      </w:pPr>
      <w:r>
        <w:rPr>
          <w:rFonts w:hint="eastAsia"/>
        </w:rPr>
        <w:t>主要职责：对大面积停电事件受灾情况进行核实，指导恢复电力抢修方案，落实人员、资金和物资；组织做好应急救援装备物资及生产生活物资的紧急生产、储备调拨和紧急配送工作；及时组织调运重要生活必需品，保障群众基本生活和市场供应；维护供水、供气、供热、通信、广播电视等设施正常运行；维护铁路、道路等基本交通运行；组织开展事件处置评估。</w:t>
      </w:r>
    </w:p>
    <w:p w14:paraId="3AE0F06D">
      <w:pPr>
        <w:numPr>
          <w:ilvl w:val="0"/>
          <w:numId w:val="25"/>
        </w:numPr>
        <w:ind w:firstLine="632"/>
      </w:pPr>
      <w:r>
        <w:rPr>
          <w:rFonts w:hint="eastAsia"/>
        </w:rPr>
        <w:t>社会稳定组：由县公安局牵头，县委宣传部、县应急管理局、县气象局、县财政局、县自然资源局、县住房和城乡建设局、县交通运输局、县市场监管局等参加。</w:t>
      </w:r>
    </w:p>
    <w:p w14:paraId="402ADE97">
      <w:pPr>
        <w:ind w:firstLine="632"/>
      </w:pPr>
      <w:r>
        <w:rPr>
          <w:rFonts w:hint="eastAsia"/>
        </w:rPr>
        <w:t>主要职责：加强受影响地区社会治安管理，严厉打击借机传播谣言制造社会恐慌，以及趁机盗窃、抢劫、哄抢等违法犯罪行为；加强转移人员安置点、救灾物资存放点等重点地区治安管控；加强对重要生活必需品等商品的市场监管和调控，打击囤积居奇行为；加强对重点区域、重点单位的警戒；做好受影响人员与涉事单位、地方人民政府及有关部门矛盾纠纷化解等工作，切实维护社会稳定。</w:t>
      </w:r>
    </w:p>
    <w:p w14:paraId="3662AFCD">
      <w:pPr>
        <w:pStyle w:val="2"/>
        <w:numPr>
          <w:ilvl w:val="0"/>
          <w:numId w:val="120"/>
        </w:numPr>
        <w:tabs>
          <w:tab w:val="left" w:pos="0"/>
        </w:tabs>
        <w:rPr>
          <w:sz w:val="32"/>
          <w:szCs w:val="32"/>
        </w:rPr>
      </w:pPr>
      <w:r>
        <w:rPr>
          <w:rFonts w:hint="eastAsia"/>
          <w:sz w:val="32"/>
          <w:szCs w:val="32"/>
        </w:rPr>
        <w:t>预防和预警机制</w:t>
      </w:r>
    </w:p>
    <w:p w14:paraId="35112498">
      <w:pPr>
        <w:pStyle w:val="3"/>
      </w:pPr>
      <w:bookmarkStart w:id="599" w:name="_Toc22588"/>
      <w:r>
        <w:rPr>
          <w:rFonts w:hint="eastAsia"/>
        </w:rPr>
        <w:t>日常监控和防范</w:t>
      </w:r>
      <w:bookmarkEnd w:id="599"/>
    </w:p>
    <w:p w14:paraId="3D7B390F">
      <w:pPr>
        <w:ind w:firstLine="632"/>
      </w:pPr>
      <w:r>
        <w:rPr>
          <w:rFonts w:hint="eastAsia"/>
        </w:rPr>
        <w:t>国网集贤分公司要不断完善调度自动化系统，确保对电网运行状态的正确检测和监控，加强电网设备的运行和维护，及时消除设备隐患和缺陷，提高电力系统通信和调度自动化水平。加强电网建设，构建灵活可靠的电网结构。</w:t>
      </w:r>
    </w:p>
    <w:p w14:paraId="54AFADDE">
      <w:pPr>
        <w:ind w:firstLine="632"/>
      </w:pPr>
      <w:r>
        <w:rPr>
          <w:rFonts w:hint="eastAsia"/>
        </w:rPr>
        <w:t>县应急局、县公安分局等部门应指导和协助国网集贤分公司电网建设工作的推进，并积极开展电力设施保护、重要输电通道防护等工作，共同打击危害电网安全运行的行为。县工信局等相关单位应落实各自分工的职责，一旦发生电网大面积停电事件，能有序地开展应急处置。各级各有关部门（单位）应要求辖区内的重要用户做好必要的应急准备，包括自备电源、应急照明灯，配备必需的应急物资和技术人员等，提高处置电网大面积停电事件的能力。</w:t>
      </w:r>
    </w:p>
    <w:p w14:paraId="26D09468">
      <w:pPr>
        <w:pStyle w:val="3"/>
      </w:pPr>
      <w:bookmarkStart w:id="600" w:name="_Toc10792"/>
      <w:r>
        <w:rPr>
          <w:rFonts w:hint="eastAsia"/>
        </w:rPr>
        <w:t>预警行动</w:t>
      </w:r>
      <w:bookmarkEnd w:id="600"/>
    </w:p>
    <w:p w14:paraId="635CC5CD">
      <w:pPr>
        <w:ind w:firstLine="632"/>
      </w:pPr>
      <w:r>
        <w:rPr>
          <w:rFonts w:hint="eastAsia"/>
        </w:rPr>
        <w:t>大面积停电事件预警不分级别。当可能发生下列情况之一，县指挥部应及时发布大面积停电事件预警警报：</w:t>
      </w:r>
    </w:p>
    <w:p w14:paraId="52C1089C">
      <w:pPr>
        <w:numPr>
          <w:ilvl w:val="0"/>
          <w:numId w:val="123"/>
        </w:numPr>
        <w:ind w:firstLine="632"/>
      </w:pPr>
      <w:r>
        <w:rPr>
          <w:rFonts w:hint="eastAsia"/>
        </w:rPr>
        <w:t>可能造成集贤县减供负荷达到减供前总负荷的10%以上，或15%以上供电用户停电；</w:t>
      </w:r>
    </w:p>
    <w:p w14:paraId="73957BEC">
      <w:pPr>
        <w:numPr>
          <w:ilvl w:val="0"/>
          <w:numId w:val="123"/>
        </w:numPr>
        <w:ind w:firstLine="632"/>
      </w:pPr>
      <w:r>
        <w:rPr>
          <w:rFonts w:hint="eastAsia"/>
        </w:rPr>
        <w:t>因重要变电站、重要输变电设备遭受破坏或打击，对电网安全稳定运行构成威胁。</w:t>
      </w:r>
    </w:p>
    <w:p w14:paraId="35E7496A">
      <w:pPr>
        <w:pStyle w:val="3"/>
      </w:pPr>
      <w:bookmarkStart w:id="601" w:name="_Toc510"/>
      <w:r>
        <w:rPr>
          <w:rFonts w:hint="eastAsia"/>
        </w:rPr>
        <w:t>预警控制</w:t>
      </w:r>
      <w:bookmarkEnd w:id="601"/>
    </w:p>
    <w:p w14:paraId="5BD9E5F6">
      <w:pPr>
        <w:numPr>
          <w:ilvl w:val="0"/>
          <w:numId w:val="124"/>
        </w:numPr>
        <w:ind w:firstLine="632"/>
      </w:pPr>
      <w:r>
        <w:rPr>
          <w:rFonts w:hint="eastAsia"/>
        </w:rPr>
        <w:t>在预警状态下，县指挥部立即启动大面积停电事件的应急准备工作，落实各项预警控制措施。</w:t>
      </w:r>
    </w:p>
    <w:p w14:paraId="6A2CB196">
      <w:pPr>
        <w:numPr>
          <w:ilvl w:val="0"/>
          <w:numId w:val="124"/>
        </w:numPr>
        <w:ind w:firstLine="632"/>
      </w:pPr>
      <w:r>
        <w:rPr>
          <w:rFonts w:hint="eastAsia"/>
        </w:rPr>
        <w:t>当电力供应持续出现严重危机、电网调度机构缺乏更进一步的有效控制手段，并有可能导致系统性供需破坏和大面积停电时，县指挥部办公室应及时向县指挥部提请研究决定实施特殊时期有序用电方案并严格落实。</w:t>
      </w:r>
    </w:p>
    <w:p w14:paraId="6955B9B3">
      <w:pPr>
        <w:numPr>
          <w:ilvl w:val="0"/>
          <w:numId w:val="124"/>
        </w:numPr>
        <w:ind w:firstLine="632"/>
      </w:pPr>
      <w:r>
        <w:rPr>
          <w:rFonts w:hint="eastAsia"/>
        </w:rPr>
        <w:t>在预警状态下，各级电力运行值班员必须严格服从电网调度指令，正确执行调度操作。任何单位和个人不得干扰、阻碍值班调度人员、运行值班人员进行相关处置。</w:t>
      </w:r>
    </w:p>
    <w:p w14:paraId="7FD4E4C5">
      <w:pPr>
        <w:numPr>
          <w:ilvl w:val="0"/>
          <w:numId w:val="124"/>
        </w:numPr>
        <w:ind w:firstLine="632"/>
      </w:pPr>
      <w:r>
        <w:rPr>
          <w:rFonts w:hint="eastAsia"/>
        </w:rPr>
        <w:t>预警信息发布后，电力企业要加强设备巡查检修和运行监测，采取有效措施控制事态发展；组织相关应急救援队伍和人员进入待命状态，动员后备人员做好参加应急救援和处置工作准备，并做好大面积停电事件应急所需物资、装备和设备等应急保障准备工作。</w:t>
      </w:r>
    </w:p>
    <w:p w14:paraId="3859088C">
      <w:pPr>
        <w:numPr>
          <w:ilvl w:val="0"/>
          <w:numId w:val="124"/>
        </w:numPr>
        <w:ind w:firstLine="632"/>
      </w:pPr>
      <w:r>
        <w:rPr>
          <w:rFonts w:hint="eastAsia"/>
        </w:rPr>
        <w:t>各级各有关部门（单位）督促重要电力用户做好自备应急电源启用准备。</w:t>
      </w:r>
    </w:p>
    <w:p w14:paraId="39D5644F">
      <w:pPr>
        <w:numPr>
          <w:ilvl w:val="0"/>
          <w:numId w:val="124"/>
        </w:numPr>
        <w:ind w:firstLine="632"/>
      </w:pPr>
      <w:r>
        <w:rPr>
          <w:rFonts w:hint="eastAsia"/>
        </w:rPr>
        <w:t>启动应急联动机制，组织有关部门和单位做好维持公共秩序、供水供气供热、商品供应、交通物流等方面的应急准备，加强相关舆情监测，主动回应社会公众关注的热点问题，及时澄清谣言传言，做好舆论引导工作。</w:t>
      </w:r>
    </w:p>
    <w:p w14:paraId="3B3F4F96">
      <w:pPr>
        <w:pStyle w:val="3"/>
      </w:pPr>
      <w:bookmarkStart w:id="602" w:name="_Toc5083"/>
      <w:r>
        <w:rPr>
          <w:rFonts w:hint="eastAsia"/>
        </w:rPr>
        <w:t>预警解除</w:t>
      </w:r>
      <w:bookmarkEnd w:id="602"/>
    </w:p>
    <w:p w14:paraId="7279F6DB">
      <w:pPr>
        <w:ind w:firstLine="632"/>
      </w:pPr>
      <w:r>
        <w:rPr>
          <w:rFonts w:hint="eastAsia"/>
        </w:rPr>
        <w:t>在同时满足下列条件下，区指挥部及时宣布解除预警状态：</w:t>
      </w:r>
    </w:p>
    <w:p w14:paraId="7AF64333">
      <w:pPr>
        <w:numPr>
          <w:ilvl w:val="0"/>
          <w:numId w:val="93"/>
        </w:numPr>
        <w:ind w:firstLine="632"/>
      </w:pPr>
      <w:r>
        <w:rPr>
          <w:rFonts w:hint="eastAsia"/>
        </w:rPr>
        <w:t>电网接线恢复正常方式，电网运行参数保持在稳定限额之内；</w:t>
      </w:r>
    </w:p>
    <w:p w14:paraId="2EA8DD24">
      <w:pPr>
        <w:numPr>
          <w:ilvl w:val="0"/>
          <w:numId w:val="93"/>
        </w:numPr>
        <w:ind w:firstLine="632"/>
      </w:pPr>
      <w:r>
        <w:rPr>
          <w:rFonts w:hint="eastAsia"/>
        </w:rPr>
        <w:t>减供负荷全部恢复供电；</w:t>
      </w:r>
    </w:p>
    <w:p w14:paraId="511EB6FE">
      <w:pPr>
        <w:numPr>
          <w:ilvl w:val="0"/>
          <w:numId w:val="93"/>
        </w:numPr>
        <w:ind w:firstLine="632"/>
      </w:pPr>
      <w:r>
        <w:rPr>
          <w:rFonts w:hint="eastAsia"/>
        </w:rPr>
        <w:t>上级电网恢复正常供电，用电指标基本满足供电要求；</w:t>
      </w:r>
    </w:p>
    <w:p w14:paraId="6AF89B36">
      <w:pPr>
        <w:numPr>
          <w:ilvl w:val="0"/>
          <w:numId w:val="93"/>
        </w:numPr>
        <w:ind w:firstLine="632"/>
      </w:pPr>
      <w:r>
        <w:rPr>
          <w:rFonts w:hint="eastAsia"/>
        </w:rPr>
        <w:t>无其他对电网安全稳定运行和正常电力供应存在重大影响或严重威胁的事件。</w:t>
      </w:r>
    </w:p>
    <w:p w14:paraId="2300A99F">
      <w:pPr>
        <w:pStyle w:val="2"/>
        <w:numPr>
          <w:ilvl w:val="0"/>
          <w:numId w:val="120"/>
        </w:numPr>
        <w:tabs>
          <w:tab w:val="left" w:pos="0"/>
        </w:tabs>
        <w:rPr>
          <w:sz w:val="32"/>
          <w:szCs w:val="32"/>
        </w:rPr>
      </w:pPr>
      <w:bookmarkStart w:id="603" w:name="_Toc19349"/>
      <w:r>
        <w:rPr>
          <w:rFonts w:hint="eastAsia"/>
          <w:sz w:val="32"/>
          <w:szCs w:val="32"/>
        </w:rPr>
        <w:t>应急响应</w:t>
      </w:r>
      <w:bookmarkEnd w:id="603"/>
    </w:p>
    <w:p w14:paraId="2A6D0D96">
      <w:pPr>
        <w:pStyle w:val="3"/>
      </w:pPr>
      <w:bookmarkStart w:id="604" w:name="_Toc28707"/>
      <w:r>
        <w:rPr>
          <w:rFonts w:hint="eastAsia"/>
        </w:rPr>
        <w:t>响应分级</w:t>
      </w:r>
      <w:bookmarkEnd w:id="604"/>
    </w:p>
    <w:p w14:paraId="4840AB31">
      <w:pPr>
        <w:ind w:firstLine="632"/>
      </w:pPr>
      <w:r>
        <w:rPr>
          <w:rFonts w:hint="eastAsia"/>
        </w:rPr>
        <w:t>将电网大面积停电事件分为：一般事件（Ⅳ级）、较大事件（III级）、重大事件（Ⅱ级）、特别重大事件（I级）四级。</w:t>
      </w:r>
    </w:p>
    <w:p w14:paraId="608A9962">
      <w:pPr>
        <w:pStyle w:val="4"/>
        <w:numPr>
          <w:ilvl w:val="2"/>
          <w:numId w:val="120"/>
        </w:numPr>
        <w:tabs>
          <w:tab w:val="left" w:pos="0"/>
        </w:tabs>
        <w:rPr>
          <w:rFonts w:ascii="仿宋_GB2312" w:hAnsi="仿宋_GB2312" w:eastAsia="仿宋_GB2312" w:cs="仿宋_GB2312"/>
        </w:rPr>
      </w:pPr>
      <w:r>
        <w:rPr>
          <w:rFonts w:hint="eastAsia" w:ascii="仿宋_GB2312" w:hAnsi="仿宋_GB2312" w:eastAsia="仿宋_GB2312" w:cs="仿宋_GB2312"/>
        </w:rPr>
        <w:t>一般（Ⅳ级）事件</w:t>
      </w:r>
    </w:p>
    <w:p w14:paraId="18A85400">
      <w:pPr>
        <w:numPr>
          <w:ilvl w:val="0"/>
          <w:numId w:val="65"/>
        </w:numPr>
        <w:ind w:firstLineChars="0"/>
      </w:pPr>
      <w:r>
        <w:rPr>
          <w:rFonts w:hint="eastAsia"/>
        </w:rPr>
        <w:t>造成集贤县电网减供负荷20%以上40%以下；</w:t>
      </w:r>
    </w:p>
    <w:p w14:paraId="1C9EF769">
      <w:pPr>
        <w:numPr>
          <w:ilvl w:val="0"/>
          <w:numId w:val="65"/>
        </w:numPr>
        <w:ind w:firstLineChars="0"/>
      </w:pPr>
      <w:r>
        <w:rPr>
          <w:rFonts w:hint="eastAsia"/>
        </w:rPr>
        <w:t>造成集贤县20%以上40%以下供电用户停电；</w:t>
      </w:r>
    </w:p>
    <w:p w14:paraId="258714F9">
      <w:pPr>
        <w:numPr>
          <w:ilvl w:val="0"/>
          <w:numId w:val="65"/>
        </w:numPr>
        <w:ind w:firstLineChars="0"/>
      </w:pPr>
      <w:r>
        <w:rPr>
          <w:rFonts w:hint="eastAsia"/>
        </w:rPr>
        <w:t>省、市政府或国家电网公司、国网黑龙江省电力公司、国网双鸭山市供电公司根据电网设施受损程度、停电范围、抢修恢复能力和社会影响等综合因素，研究确定为一般大面积停电事件者。</w:t>
      </w:r>
    </w:p>
    <w:p w14:paraId="3EA63846">
      <w:pPr>
        <w:pStyle w:val="4"/>
        <w:numPr>
          <w:ilvl w:val="2"/>
          <w:numId w:val="120"/>
        </w:numPr>
        <w:tabs>
          <w:tab w:val="left" w:pos="0"/>
        </w:tabs>
        <w:rPr>
          <w:rFonts w:ascii="仿宋_GB2312" w:hAnsi="仿宋_GB2312" w:eastAsia="仿宋_GB2312" w:cs="仿宋_GB2312"/>
        </w:rPr>
      </w:pPr>
      <w:r>
        <w:rPr>
          <w:rFonts w:hint="eastAsia" w:ascii="仿宋_GB2312" w:hAnsi="仿宋_GB2312" w:eastAsia="仿宋_GB2312" w:cs="仿宋_GB2312"/>
        </w:rPr>
        <w:t>较大（III级）事件</w:t>
      </w:r>
    </w:p>
    <w:p w14:paraId="36411332">
      <w:pPr>
        <w:numPr>
          <w:ilvl w:val="0"/>
          <w:numId w:val="125"/>
        </w:numPr>
        <w:ind w:firstLineChars="0"/>
      </w:pPr>
      <w:r>
        <w:rPr>
          <w:rFonts w:hint="eastAsia"/>
        </w:rPr>
        <w:t>造成集贤县电网减供负荷40%以上60%以下；</w:t>
      </w:r>
    </w:p>
    <w:p w14:paraId="3FA67516">
      <w:pPr>
        <w:numPr>
          <w:ilvl w:val="0"/>
          <w:numId w:val="125"/>
        </w:numPr>
        <w:ind w:firstLineChars="0"/>
      </w:pPr>
      <w:r>
        <w:rPr>
          <w:rFonts w:hint="eastAsia"/>
        </w:rPr>
        <w:t>造成集贤县40%以上60%以下供电用户停电；</w:t>
      </w:r>
    </w:p>
    <w:p w14:paraId="28E70990">
      <w:pPr>
        <w:numPr>
          <w:ilvl w:val="0"/>
          <w:numId w:val="125"/>
        </w:numPr>
        <w:ind w:firstLineChars="0"/>
      </w:pPr>
      <w:r>
        <w:rPr>
          <w:rFonts w:hint="eastAsia"/>
        </w:rPr>
        <w:t>省、市政府或国家电网公司、国网黑龙江省电力公司、国网双鸭山市供电公司网设施受损程度、停电范围、抢修恢复能力和社会影响等综合因素，研究决定较大大面积停电事件者。</w:t>
      </w:r>
    </w:p>
    <w:p w14:paraId="382B00A4">
      <w:pPr>
        <w:pStyle w:val="4"/>
        <w:numPr>
          <w:ilvl w:val="2"/>
          <w:numId w:val="120"/>
        </w:numPr>
        <w:tabs>
          <w:tab w:val="left" w:pos="0"/>
        </w:tabs>
        <w:rPr>
          <w:rFonts w:ascii="仿宋_GB2312" w:hAnsi="仿宋_GB2312" w:eastAsia="仿宋_GB2312" w:cs="仿宋_GB2312"/>
        </w:rPr>
      </w:pPr>
      <w:r>
        <w:rPr>
          <w:rFonts w:hint="eastAsia" w:ascii="仿宋_GB2312" w:hAnsi="仿宋_GB2312" w:eastAsia="仿宋_GB2312" w:cs="仿宋_GB2312"/>
        </w:rPr>
        <w:t>重大（Ⅱ级）事件</w:t>
      </w:r>
    </w:p>
    <w:p w14:paraId="71804725">
      <w:pPr>
        <w:numPr>
          <w:ilvl w:val="0"/>
          <w:numId w:val="126"/>
        </w:numPr>
        <w:ind w:firstLineChars="0"/>
      </w:pPr>
      <w:r>
        <w:rPr>
          <w:rFonts w:hint="eastAsia"/>
        </w:rPr>
        <w:t>造成集贤县电网减供负荷60%以上80%以下；</w:t>
      </w:r>
    </w:p>
    <w:p w14:paraId="59C1A306">
      <w:pPr>
        <w:numPr>
          <w:ilvl w:val="0"/>
          <w:numId w:val="126"/>
        </w:numPr>
        <w:ind w:firstLineChars="0"/>
      </w:pPr>
      <w:r>
        <w:rPr>
          <w:rFonts w:hint="eastAsia"/>
        </w:rPr>
        <w:t>造成集贤县60%以上80%以下供电用户停电；</w:t>
      </w:r>
    </w:p>
    <w:p w14:paraId="09B82471">
      <w:pPr>
        <w:numPr>
          <w:ilvl w:val="0"/>
          <w:numId w:val="126"/>
        </w:numPr>
        <w:ind w:firstLineChars="0"/>
      </w:pPr>
      <w:r>
        <w:rPr>
          <w:rFonts w:hint="eastAsia"/>
        </w:rPr>
        <w:t>省政府或国家电网公司、国网黑龙江省电力公司根据电网设施受损程度、停电范围、抢修恢复能力和社会影响等综合因素，研究决定重大大面积停电事件者。</w:t>
      </w:r>
    </w:p>
    <w:p w14:paraId="211E3CB9">
      <w:pPr>
        <w:pStyle w:val="4"/>
        <w:numPr>
          <w:ilvl w:val="2"/>
          <w:numId w:val="120"/>
        </w:numPr>
        <w:tabs>
          <w:tab w:val="left" w:pos="0"/>
        </w:tabs>
        <w:rPr>
          <w:rFonts w:ascii="仿宋_GB2312" w:hAnsi="仿宋_GB2312" w:eastAsia="仿宋_GB2312" w:cs="仿宋_GB2312"/>
        </w:rPr>
      </w:pPr>
      <w:r>
        <w:rPr>
          <w:rFonts w:hint="eastAsia" w:ascii="仿宋_GB2312" w:hAnsi="仿宋_GB2312" w:eastAsia="仿宋_GB2312" w:cs="仿宋_GB2312"/>
        </w:rPr>
        <w:t>特别重大（I级）事件</w:t>
      </w:r>
    </w:p>
    <w:p w14:paraId="12A32759">
      <w:pPr>
        <w:numPr>
          <w:ilvl w:val="0"/>
          <w:numId w:val="127"/>
        </w:numPr>
        <w:ind w:firstLineChars="0"/>
      </w:pPr>
      <w:r>
        <w:rPr>
          <w:rFonts w:hint="eastAsia"/>
        </w:rPr>
        <w:t>造成集贤县电网减供负荷80%以上；</w:t>
      </w:r>
    </w:p>
    <w:p w14:paraId="79E8C307">
      <w:pPr>
        <w:numPr>
          <w:ilvl w:val="0"/>
          <w:numId w:val="127"/>
        </w:numPr>
        <w:ind w:firstLineChars="0"/>
      </w:pPr>
      <w:r>
        <w:rPr>
          <w:rFonts w:hint="eastAsia"/>
        </w:rPr>
        <w:t>造成集贤县80%以上供电用户停电；</w:t>
      </w:r>
    </w:p>
    <w:p w14:paraId="2FC80C03">
      <w:pPr>
        <w:numPr>
          <w:ilvl w:val="0"/>
          <w:numId w:val="127"/>
        </w:numPr>
        <w:ind w:firstLineChars="0"/>
      </w:pPr>
      <w:r>
        <w:rPr>
          <w:rFonts w:hint="eastAsia"/>
        </w:rPr>
        <w:t>省政府或国家电网公司、国网黑龙江省电力公司根据电网设施受损程度、停电范围、抢修恢复能力和社会影响等综合因素，研究决定特别重大大面积停电事件者。</w:t>
      </w:r>
    </w:p>
    <w:p w14:paraId="1FA6721B">
      <w:pPr>
        <w:pStyle w:val="3"/>
      </w:pPr>
      <w:bookmarkStart w:id="605" w:name="_Toc9270"/>
      <w:r>
        <w:rPr>
          <w:rFonts w:hint="eastAsia"/>
        </w:rPr>
        <w:t>响应行动</w:t>
      </w:r>
      <w:bookmarkEnd w:id="605"/>
    </w:p>
    <w:p w14:paraId="2A8C48D8">
      <w:pPr>
        <w:ind w:firstLine="632"/>
      </w:pPr>
      <w:r>
        <w:rPr>
          <w:rFonts w:hint="eastAsia"/>
        </w:rPr>
        <w:t>一般（Ⅳ级）事件应急响应。当发生一般（Ⅳ级）大面积停电事件，县指挥部应迅速了解情况，确定具体方案，组织实施应急救援和新闻发布，并将情况报县政府。</w:t>
      </w:r>
    </w:p>
    <w:p w14:paraId="4877F9DB">
      <w:pPr>
        <w:ind w:firstLine="632"/>
      </w:pPr>
      <w:r>
        <w:rPr>
          <w:rFonts w:hint="eastAsia"/>
        </w:rPr>
        <w:t>较大（III级）、重大（II）、特别重大（I级）事件应急响应。当发生较大（III）及以上事件，由县人民政府或县应急委报请上级启动III级及以上应急响应，县指挥部应按照县政府和市电力应急指挥部部署积极开展相关工作，组织实施应急救援。</w:t>
      </w:r>
    </w:p>
    <w:p w14:paraId="45FD06F8">
      <w:pPr>
        <w:pStyle w:val="3"/>
      </w:pPr>
      <w:bookmarkStart w:id="606" w:name="_Toc21501"/>
      <w:r>
        <w:rPr>
          <w:rFonts w:hint="eastAsia"/>
        </w:rPr>
        <w:t>信息报送和处理</w:t>
      </w:r>
      <w:bookmarkEnd w:id="606"/>
    </w:p>
    <w:p w14:paraId="2B97B67E">
      <w:pPr>
        <w:ind w:firstLine="632"/>
      </w:pPr>
      <w:r>
        <w:rPr>
          <w:rFonts w:hint="eastAsia"/>
        </w:rPr>
        <w:t>县指挥部办公室在接到有关事件报告之后，应立即向应急指挥部汇报，并在1小时内将有关情况，包括事件影响范围、停电区域、严重程度、可能后果和应急处理的需要等，书面报告县指挥部和县政府。</w:t>
      </w:r>
    </w:p>
    <w:p w14:paraId="619329F0">
      <w:pPr>
        <w:ind w:firstLine="632"/>
      </w:pPr>
      <w:r>
        <w:rPr>
          <w:rFonts w:hint="eastAsia"/>
        </w:rPr>
        <w:t>县指挥部在接获大面积停电事件报告之后，召集紧急会议，并就有关重大应急问题作出决策和部署，组织实施应急救援，并将情况报县政府。</w:t>
      </w:r>
    </w:p>
    <w:p w14:paraId="596354D5">
      <w:pPr>
        <w:pStyle w:val="3"/>
      </w:pPr>
      <w:bookmarkStart w:id="607" w:name="_Toc3349"/>
      <w:r>
        <w:rPr>
          <w:rFonts w:hint="eastAsia"/>
        </w:rPr>
        <w:t>指挥和协调</w:t>
      </w:r>
      <w:bookmarkEnd w:id="607"/>
    </w:p>
    <w:p w14:paraId="37E332A0">
      <w:pPr>
        <w:ind w:firstLine="632"/>
      </w:pPr>
      <w:r>
        <w:rPr>
          <w:rFonts w:hint="eastAsia"/>
        </w:rPr>
        <w:t>发生大面积停电事件时，区指挥部根据情况需要，请求区政府启动社会应急机制，组织开展社会停电应急救援与处置工作。发生严重自然灾害导致供电事件时，根据区政府的统一部署，参与应急救援与处理，保证事故抢险和应急救援的电力供应，保证重要用户的供电。</w:t>
      </w:r>
    </w:p>
    <w:p w14:paraId="42C866B6">
      <w:pPr>
        <w:ind w:firstLine="632"/>
      </w:pPr>
      <w:r>
        <w:rPr>
          <w:rFonts w:hint="eastAsia"/>
        </w:rPr>
        <w:t>现场指挥遵循属地为主的原则，由县指挥部牵头建立各部门参与的应急救援协调机制，为事件救援提供交通、通讯、医疗、物资、人员等方面的保障和支持。</w:t>
      </w:r>
    </w:p>
    <w:p w14:paraId="43D66380">
      <w:pPr>
        <w:pStyle w:val="3"/>
      </w:pPr>
      <w:bookmarkStart w:id="608" w:name="_Toc17200"/>
      <w:r>
        <w:rPr>
          <w:rFonts w:hint="eastAsia"/>
        </w:rPr>
        <w:t>应急处置</w:t>
      </w:r>
      <w:bookmarkEnd w:id="608"/>
    </w:p>
    <w:p w14:paraId="7C7C112B">
      <w:pPr>
        <w:numPr>
          <w:ilvl w:val="0"/>
          <w:numId w:val="128"/>
        </w:numPr>
        <w:ind w:firstLineChars="0"/>
      </w:pPr>
      <w:r>
        <w:rPr>
          <w:rFonts w:hint="eastAsia"/>
        </w:rPr>
        <w:t>在发生大面积停电事件之后，要尽快隔离故障，恢复电网供电，减少停电损失，保持社会稳定，恢复正常秩序。</w:t>
      </w:r>
    </w:p>
    <w:p w14:paraId="5CE37CB6">
      <w:pPr>
        <w:numPr>
          <w:ilvl w:val="0"/>
          <w:numId w:val="128"/>
        </w:numPr>
        <w:ind w:firstLineChars="0"/>
      </w:pPr>
      <w:r>
        <w:rPr>
          <w:rFonts w:hint="eastAsia"/>
        </w:rPr>
        <w:t>在电网恢复过程中，要优先恢复发电厂用电电源、重要变电站站用电源。</w:t>
      </w:r>
    </w:p>
    <w:p w14:paraId="07CC5AE8">
      <w:pPr>
        <w:numPr>
          <w:ilvl w:val="0"/>
          <w:numId w:val="128"/>
        </w:numPr>
        <w:ind w:firstLineChars="0"/>
      </w:pPr>
      <w:r>
        <w:rPr>
          <w:rFonts w:hint="eastAsia"/>
        </w:rPr>
        <w:t>在电网恢复过程中，要协调好电网、电厂、用户之间的恢复，要防止操作中发生过电压，避免造成新的设备损坏和停电。</w:t>
      </w:r>
    </w:p>
    <w:p w14:paraId="410444BF">
      <w:pPr>
        <w:numPr>
          <w:ilvl w:val="0"/>
          <w:numId w:val="128"/>
        </w:numPr>
        <w:ind w:firstLineChars="0"/>
      </w:pPr>
      <w:r>
        <w:rPr>
          <w:rFonts w:hint="eastAsia"/>
        </w:rPr>
        <w:t>在对已停电的发电厂和变电站恢复送电之后，优先恢复重要用户的供电。</w:t>
      </w:r>
    </w:p>
    <w:p w14:paraId="02CAF4D1">
      <w:pPr>
        <w:pStyle w:val="4"/>
        <w:numPr>
          <w:ilvl w:val="2"/>
          <w:numId w:val="120"/>
        </w:numPr>
        <w:tabs>
          <w:tab w:val="left" w:pos="0"/>
        </w:tabs>
        <w:rPr>
          <w:rFonts w:ascii="仿宋_GB2312" w:hAnsi="仿宋_GB2312" w:eastAsia="仿宋_GB2312" w:cs="仿宋_GB2312"/>
        </w:rPr>
      </w:pPr>
      <w:r>
        <w:rPr>
          <w:rFonts w:hint="eastAsia" w:ascii="仿宋_GB2312" w:hAnsi="仿宋_GB2312" w:eastAsia="仿宋_GB2312" w:cs="仿宋_GB2312"/>
        </w:rPr>
        <w:t>社会应急</w:t>
      </w:r>
    </w:p>
    <w:p w14:paraId="2AE3FC8A">
      <w:pPr>
        <w:ind w:firstLine="632"/>
      </w:pPr>
      <w:r>
        <w:rPr>
          <w:rFonts w:hint="eastAsia"/>
        </w:rPr>
        <w:t>电网大面积停电事件发生后，受影响或波及地各级各有关部门（单位）、各类电力用户要按职责分工立即行动，组织开展社会停电应急救援与处置工作。对停电后可能造成重大政治影响、重大生命财产损失的重要电力用户，按有关技术要求迅速启动保安电源，避免造成更大影响和损失。</w:t>
      </w:r>
    </w:p>
    <w:p w14:paraId="5C3C91E3">
      <w:pPr>
        <w:ind w:firstLine="632"/>
      </w:pPr>
      <w:r>
        <w:rPr>
          <w:rFonts w:hint="eastAsia"/>
        </w:rPr>
        <w:t>车站、学校、高层建筑、商场、影剧院、体育场（馆）等各类人员聚集场所的电力用户，停电后应迅速启用备用电源或应急照明，有秩序地组织人员集中或疏散，确保人员的人身安全。</w:t>
      </w:r>
    </w:p>
    <w:p w14:paraId="30A9A2C3">
      <w:pPr>
        <w:ind w:firstLine="632"/>
      </w:pPr>
      <w:r>
        <w:rPr>
          <w:rFonts w:hint="eastAsia"/>
        </w:rPr>
        <w:t>公安、武警等部门应加强对事发地关系国计民生、国家安全和公共安全的重点单位安全保卫和秩序维护工作，维护社会稳定。消防部门应做好救援应急工作，及时扑灭电网大面积停电期间发生的各类火灾，并解救被困人员。</w:t>
      </w:r>
    </w:p>
    <w:p w14:paraId="083B8F4E">
      <w:pPr>
        <w:ind w:firstLine="632"/>
      </w:pPr>
      <w:r>
        <w:rPr>
          <w:rFonts w:hint="eastAsia"/>
        </w:rPr>
        <w:t>公安交警、交通运输管理部门负责组织力量，加强停电地段的道路交通指挥和疏导，缓解交通堵塞，避免出现交通混乱，保障各项应急工作的正常进行。物资供应部门要迅速组织有关应急和基本生活物资的加工、生产、运输和销售，确保停电期间居民的基本生活正常。相关政府部门严厉打击造谣惑众、囤积居奇、哄抬物价等各种违法行为。</w:t>
      </w:r>
    </w:p>
    <w:p w14:paraId="29BD85C3">
      <w:pPr>
        <w:pStyle w:val="3"/>
      </w:pPr>
      <w:bookmarkStart w:id="609" w:name="_Toc3238"/>
      <w:r>
        <w:rPr>
          <w:rFonts w:hint="eastAsia"/>
        </w:rPr>
        <w:t>信息发布</w:t>
      </w:r>
      <w:bookmarkEnd w:id="609"/>
    </w:p>
    <w:p w14:paraId="10884DE8">
      <w:pPr>
        <w:ind w:firstLine="632"/>
      </w:pPr>
      <w:r>
        <w:rPr>
          <w:rFonts w:hint="eastAsia"/>
        </w:rPr>
        <w:t>县指挥部按照有关规定做好大面积停电事件信息发布工作。</w:t>
      </w:r>
    </w:p>
    <w:p w14:paraId="247C6D09">
      <w:pPr>
        <w:pStyle w:val="3"/>
      </w:pPr>
      <w:bookmarkStart w:id="610" w:name="_Toc32033"/>
      <w:r>
        <w:rPr>
          <w:rFonts w:hint="eastAsia"/>
        </w:rPr>
        <w:t>应急结束</w:t>
      </w:r>
      <w:bookmarkEnd w:id="610"/>
    </w:p>
    <w:p w14:paraId="36B06779">
      <w:pPr>
        <w:ind w:firstLine="632"/>
      </w:pPr>
      <w:r>
        <w:rPr>
          <w:rFonts w:hint="eastAsia"/>
        </w:rPr>
        <w:t>在同时具备下列条件时，按照谁启动、谁终止的原则，由应急响应启动机构按程序宣布应急结束：</w:t>
      </w:r>
    </w:p>
    <w:p w14:paraId="4D0F1A51">
      <w:pPr>
        <w:numPr>
          <w:ilvl w:val="0"/>
          <w:numId w:val="129"/>
        </w:numPr>
        <w:ind w:firstLineChars="0"/>
      </w:pPr>
      <w:r>
        <w:rPr>
          <w:rFonts w:hint="eastAsia"/>
        </w:rPr>
        <w:t>电网基本恢复正常接线方式，电网运行参数保持在稳定限额之内，主要设备运行稳定；</w:t>
      </w:r>
    </w:p>
    <w:p w14:paraId="45A8770F">
      <w:pPr>
        <w:numPr>
          <w:ilvl w:val="0"/>
          <w:numId w:val="129"/>
        </w:numPr>
        <w:ind w:firstLineChars="0"/>
      </w:pPr>
      <w:r>
        <w:rPr>
          <w:rFonts w:hint="eastAsia"/>
        </w:rPr>
        <w:t>本辖区减供负荷80％以上恢复，城区减供负荷90％以上恢复；</w:t>
      </w:r>
    </w:p>
    <w:p w14:paraId="399D042F">
      <w:pPr>
        <w:numPr>
          <w:ilvl w:val="0"/>
          <w:numId w:val="129"/>
        </w:numPr>
        <w:ind w:firstLineChars="0"/>
      </w:pPr>
      <w:r>
        <w:rPr>
          <w:rFonts w:hint="eastAsia"/>
        </w:rPr>
        <w:t>无其他对电网安全稳定存在重大影响或严重威胁的各类事件。</w:t>
      </w:r>
    </w:p>
    <w:p w14:paraId="011838A2">
      <w:pPr>
        <w:pStyle w:val="2"/>
        <w:numPr>
          <w:ilvl w:val="0"/>
          <w:numId w:val="120"/>
        </w:numPr>
        <w:tabs>
          <w:tab w:val="left" w:pos="0"/>
        </w:tabs>
        <w:rPr>
          <w:sz w:val="32"/>
          <w:szCs w:val="32"/>
        </w:rPr>
      </w:pPr>
      <w:bookmarkStart w:id="611" w:name="_Toc21640"/>
      <w:r>
        <w:rPr>
          <w:rFonts w:hint="eastAsia"/>
          <w:sz w:val="32"/>
          <w:szCs w:val="32"/>
        </w:rPr>
        <w:t>善后工作</w:t>
      </w:r>
      <w:bookmarkEnd w:id="611"/>
    </w:p>
    <w:p w14:paraId="401D9001">
      <w:pPr>
        <w:pStyle w:val="3"/>
      </w:pPr>
      <w:bookmarkStart w:id="612" w:name="_Toc25977"/>
      <w:r>
        <w:rPr>
          <w:rFonts w:hint="eastAsia"/>
        </w:rPr>
        <w:t>抢修重建</w:t>
      </w:r>
      <w:bookmarkEnd w:id="612"/>
    </w:p>
    <w:p w14:paraId="0656E6FD">
      <w:pPr>
        <w:ind w:firstLine="632"/>
      </w:pPr>
      <w:r>
        <w:rPr>
          <w:rFonts w:hint="eastAsia"/>
        </w:rPr>
        <w:t>电力设施遭受大面积破坏时，县指挥部办公室立即制定抢修重建方案，迅速进行抢修重建工作。各级各部门、各企事业单位根据县指挥部的部署，组织电力抢修重建队伍开辟抢修通道，搬运抢修物资，保障维持电力抢修通道的畅通。</w:t>
      </w:r>
    </w:p>
    <w:p w14:paraId="724124B4">
      <w:pPr>
        <w:pStyle w:val="3"/>
      </w:pPr>
      <w:bookmarkStart w:id="613" w:name="_Toc30758"/>
      <w:r>
        <w:rPr>
          <w:rFonts w:hint="eastAsia"/>
        </w:rPr>
        <w:t>善后处理</w:t>
      </w:r>
      <w:bookmarkEnd w:id="613"/>
    </w:p>
    <w:p w14:paraId="031D223C">
      <w:pPr>
        <w:ind w:firstLine="632"/>
      </w:pPr>
      <w:r>
        <w:rPr>
          <w:rFonts w:hint="eastAsia"/>
        </w:rPr>
        <w:t>各乡镇、社区负责组织辖区内大面积停电事件的善后处置工作，包括人员安置、补偿，征用物资补偿，污染物收集、清理和处理，工程恢复重建等事项。尽快消除事件影响，妥善安置受害人员，尽快恢复正常社会秩序，确保社会稳定。</w:t>
      </w:r>
    </w:p>
    <w:p w14:paraId="1E46F18F">
      <w:pPr>
        <w:pStyle w:val="3"/>
      </w:pPr>
      <w:bookmarkStart w:id="614" w:name="_Toc3796"/>
      <w:r>
        <w:rPr>
          <w:rFonts w:hint="eastAsia"/>
        </w:rPr>
        <w:t>社会救助</w:t>
      </w:r>
      <w:bookmarkEnd w:id="614"/>
    </w:p>
    <w:p w14:paraId="2205818D">
      <w:pPr>
        <w:ind w:firstLine="632"/>
      </w:pPr>
      <w:r>
        <w:rPr>
          <w:rFonts w:hint="eastAsia"/>
        </w:rPr>
        <w:t>造成大面积停电事件的责任单位和责任人应按照有关规定对受害人员给予赔偿。保险机构应及时开展应急救援人员保险受理和受灾人员保险理赔工作。应急、民政部门应组织对受灾群众进行临时救助。</w:t>
      </w:r>
    </w:p>
    <w:p w14:paraId="0AA5AEE0">
      <w:pPr>
        <w:pStyle w:val="3"/>
      </w:pPr>
      <w:bookmarkStart w:id="615" w:name="_Toc16663"/>
      <w:r>
        <w:rPr>
          <w:rFonts w:hint="eastAsia"/>
        </w:rPr>
        <w:t>后果评估</w:t>
      </w:r>
      <w:bookmarkEnd w:id="615"/>
    </w:p>
    <w:p w14:paraId="0ABBCDF2">
      <w:pPr>
        <w:ind w:firstLine="632"/>
      </w:pPr>
      <w:r>
        <w:rPr>
          <w:rFonts w:hint="eastAsia"/>
        </w:rPr>
        <w:t>大面积停电事件处置完成后，县指挥部办公室应对应急处置工作和事件后果进行总结和评估，并形成评估报告报应急指挥部和市电力应急指挥部办公室。县指挥部根据评估报告制定防范措施，对预案进行修订。</w:t>
      </w:r>
    </w:p>
    <w:p w14:paraId="24E6FB6D">
      <w:pPr>
        <w:pStyle w:val="2"/>
        <w:numPr>
          <w:ilvl w:val="0"/>
          <w:numId w:val="120"/>
        </w:numPr>
        <w:tabs>
          <w:tab w:val="left" w:pos="0"/>
        </w:tabs>
        <w:rPr>
          <w:sz w:val="32"/>
          <w:szCs w:val="32"/>
        </w:rPr>
      </w:pPr>
      <w:bookmarkStart w:id="616" w:name="_Toc24596"/>
      <w:r>
        <w:rPr>
          <w:sz w:val="32"/>
          <w:szCs w:val="32"/>
        </w:rPr>
        <w:t>应急保障</w:t>
      </w:r>
      <w:bookmarkEnd w:id="616"/>
      <w:r>
        <w:rPr>
          <w:sz w:val="32"/>
          <w:szCs w:val="32"/>
        </w:rPr>
        <w:t xml:space="preserve"> </w:t>
      </w:r>
    </w:p>
    <w:p w14:paraId="295C8BDA">
      <w:pPr>
        <w:pStyle w:val="3"/>
      </w:pPr>
      <w:bookmarkStart w:id="617" w:name="_Toc22465"/>
      <w:r>
        <w:rPr>
          <w:rFonts w:hint="eastAsia"/>
        </w:rPr>
        <w:t>人力资源</w:t>
      </w:r>
      <w:bookmarkEnd w:id="617"/>
    </w:p>
    <w:p w14:paraId="5BC01DAF">
      <w:pPr>
        <w:ind w:firstLine="632"/>
      </w:pPr>
      <w:r>
        <w:rPr>
          <w:rFonts w:hint="eastAsia"/>
        </w:rPr>
        <w:t>县指挥部办公室负责组织相关部门（单位）的专业人员、专家参加大面积停电事件应急处置和预警信息评估，及时发现存在问题，提出改进工作的意见和建议。</w:t>
      </w:r>
    </w:p>
    <w:p w14:paraId="1402EB91">
      <w:pPr>
        <w:pStyle w:val="3"/>
      </w:pPr>
      <w:bookmarkStart w:id="618" w:name="_Toc20740"/>
      <w:r>
        <w:rPr>
          <w:rFonts w:hint="eastAsia"/>
        </w:rPr>
        <w:t>物资保障</w:t>
      </w:r>
      <w:bookmarkEnd w:id="618"/>
    </w:p>
    <w:p w14:paraId="5238DB67">
      <w:pPr>
        <w:numPr>
          <w:ilvl w:val="0"/>
          <w:numId w:val="130"/>
        </w:numPr>
        <w:ind w:firstLine="632"/>
      </w:pPr>
      <w:r>
        <w:rPr>
          <w:rFonts w:hint="eastAsia"/>
        </w:rPr>
        <w:t>国网集贤分公司应配置大面积停电应急所需的各类设备和电力抢险物资，并认真做好备品备件和生产资料的储备和管理工作，以及事故抢修的准备工作。</w:t>
      </w:r>
    </w:p>
    <w:p w14:paraId="0E03D128">
      <w:pPr>
        <w:numPr>
          <w:ilvl w:val="0"/>
          <w:numId w:val="130"/>
        </w:numPr>
        <w:ind w:firstLine="632"/>
      </w:pPr>
      <w:r>
        <w:rPr>
          <w:rFonts w:hint="eastAsia"/>
        </w:rPr>
        <w:t>县财政应为大面积停电事件的处置和善后工作提供必要的资金保障。</w:t>
      </w:r>
    </w:p>
    <w:p w14:paraId="26A99B45">
      <w:pPr>
        <w:pStyle w:val="4"/>
        <w:numPr>
          <w:ilvl w:val="2"/>
          <w:numId w:val="120"/>
        </w:numPr>
        <w:tabs>
          <w:tab w:val="left" w:pos="0"/>
        </w:tabs>
        <w:rPr>
          <w:rFonts w:ascii="仿宋_GB2312" w:hAnsi="仿宋_GB2312" w:eastAsia="仿宋_GB2312" w:cs="仿宋_GB2312"/>
        </w:rPr>
      </w:pPr>
      <w:r>
        <w:rPr>
          <w:rFonts w:hint="eastAsia" w:ascii="仿宋_GB2312" w:hAnsi="仿宋_GB2312" w:eastAsia="仿宋_GB2312" w:cs="仿宋_GB2312"/>
        </w:rPr>
        <w:t>通信保障</w:t>
      </w:r>
    </w:p>
    <w:p w14:paraId="36B7B8F6">
      <w:pPr>
        <w:numPr>
          <w:ilvl w:val="0"/>
          <w:numId w:val="131"/>
        </w:numPr>
        <w:ind w:firstLine="632"/>
      </w:pPr>
      <w:r>
        <w:rPr>
          <w:rFonts w:hint="eastAsia"/>
        </w:rPr>
        <w:t>县指挥部办公室应建立包括相关部门（单位）的通信录，并定期更新。</w:t>
      </w:r>
    </w:p>
    <w:p w14:paraId="3BBB8890">
      <w:pPr>
        <w:numPr>
          <w:ilvl w:val="0"/>
          <w:numId w:val="131"/>
        </w:numPr>
        <w:ind w:firstLine="632"/>
      </w:pPr>
      <w:r>
        <w:rPr>
          <w:rFonts w:hint="eastAsia"/>
        </w:rPr>
        <w:t>县工信局应组织各通信营运单位为处置大面积停电事件提供通信保障。</w:t>
      </w:r>
    </w:p>
    <w:p w14:paraId="2EFA012B">
      <w:pPr>
        <w:pStyle w:val="3"/>
      </w:pPr>
      <w:bookmarkStart w:id="619" w:name="_Toc27081"/>
      <w:r>
        <w:rPr>
          <w:rFonts w:hint="eastAsia"/>
        </w:rPr>
        <w:t>交通运输保障</w:t>
      </w:r>
      <w:bookmarkEnd w:id="619"/>
    </w:p>
    <w:p w14:paraId="553E3AFB">
      <w:pPr>
        <w:ind w:firstLine="632"/>
      </w:pPr>
      <w:r>
        <w:rPr>
          <w:rFonts w:hint="eastAsia"/>
        </w:rPr>
        <w:t>县交通运输局、县交警大队负责为抢险车辆和抢险物资运送提供交通运输保障。</w:t>
      </w:r>
    </w:p>
    <w:p w14:paraId="61561DD0">
      <w:pPr>
        <w:pStyle w:val="3"/>
      </w:pPr>
      <w:r>
        <w:rPr>
          <w:rFonts w:hint="eastAsia"/>
        </w:rPr>
        <w:t>医疗卫生保障</w:t>
      </w:r>
    </w:p>
    <w:p w14:paraId="4E623D6C">
      <w:pPr>
        <w:ind w:firstLine="632"/>
      </w:pPr>
      <w:r>
        <w:rPr>
          <w:rFonts w:hint="eastAsia"/>
        </w:rPr>
        <w:t>县卫健局负责提供医疗紧急救援和卫生防疫工作保障。</w:t>
      </w:r>
    </w:p>
    <w:p w14:paraId="1EA7D5E7">
      <w:pPr>
        <w:pStyle w:val="3"/>
      </w:pPr>
      <w:bookmarkStart w:id="620" w:name="_Toc1371"/>
      <w:r>
        <w:rPr>
          <w:rFonts w:hint="eastAsia"/>
        </w:rPr>
        <w:t>技术保障</w:t>
      </w:r>
      <w:bookmarkEnd w:id="620"/>
    </w:p>
    <w:p w14:paraId="12414FBF">
      <w:pPr>
        <w:numPr>
          <w:ilvl w:val="0"/>
          <w:numId w:val="132"/>
        </w:numPr>
        <w:ind w:firstLine="632"/>
      </w:pPr>
      <w:r>
        <w:rPr>
          <w:rFonts w:hint="eastAsia"/>
        </w:rPr>
        <w:t>县指挥部应督促各类电力用户根据突然停电可能带来的影响、损失或危害，制定外部电源突然中断情况下的应急保安措施和救援预案。重要电力用户按照《重要电力用户供电电源及自备应急电源配置技术规范》《中华人民共和国国家标准化指导性技术GB/Z29328-2012》规定，均应自行配置自备应急电源，电源容量至少应满足全部保安负荷正常供电的需求。</w:t>
      </w:r>
    </w:p>
    <w:p w14:paraId="655DB0D8">
      <w:pPr>
        <w:numPr>
          <w:ilvl w:val="0"/>
          <w:numId w:val="132"/>
        </w:numPr>
        <w:ind w:firstLine="632"/>
      </w:pPr>
      <w:r>
        <w:rPr>
          <w:rFonts w:hint="eastAsia"/>
        </w:rPr>
        <w:t>国网集贤分公司应合理安排电网运行方式，重要用户的双电源应尽可能从不同电源点供电。</w:t>
      </w:r>
    </w:p>
    <w:p w14:paraId="4D9434BD">
      <w:pPr>
        <w:pStyle w:val="2"/>
        <w:numPr>
          <w:ilvl w:val="0"/>
          <w:numId w:val="120"/>
        </w:numPr>
        <w:tabs>
          <w:tab w:val="left" w:pos="0"/>
        </w:tabs>
        <w:rPr>
          <w:sz w:val="32"/>
          <w:szCs w:val="32"/>
        </w:rPr>
      </w:pPr>
      <w:bookmarkStart w:id="621" w:name="_Toc17938"/>
      <w:r>
        <w:rPr>
          <w:rFonts w:hint="eastAsia"/>
          <w:sz w:val="32"/>
          <w:szCs w:val="32"/>
        </w:rPr>
        <w:t>监督管理</w:t>
      </w:r>
      <w:bookmarkEnd w:id="621"/>
    </w:p>
    <w:p w14:paraId="3ACF5E75">
      <w:pPr>
        <w:pStyle w:val="3"/>
      </w:pPr>
      <w:bookmarkStart w:id="622" w:name="_Toc22346"/>
      <w:r>
        <w:rPr>
          <w:rFonts w:hint="eastAsia"/>
        </w:rPr>
        <w:t>监督检查</w:t>
      </w:r>
      <w:bookmarkEnd w:id="622"/>
    </w:p>
    <w:p w14:paraId="7832B071">
      <w:pPr>
        <w:ind w:firstLine="632"/>
      </w:pPr>
      <w:r>
        <w:rPr>
          <w:rFonts w:hint="eastAsia"/>
        </w:rPr>
        <w:t>县指挥部办公室会同县有关部门对全县处置大面积停电事件工作进行监督和检查。</w:t>
      </w:r>
    </w:p>
    <w:p w14:paraId="65E83EBB">
      <w:pPr>
        <w:pStyle w:val="3"/>
      </w:pPr>
      <w:bookmarkStart w:id="623" w:name="_Toc24634"/>
      <w:r>
        <w:rPr>
          <w:rFonts w:hint="eastAsia"/>
        </w:rPr>
        <w:t>预案演练</w:t>
      </w:r>
      <w:bookmarkEnd w:id="623"/>
    </w:p>
    <w:p w14:paraId="7D6C365F">
      <w:pPr>
        <w:ind w:firstLine="632"/>
      </w:pPr>
      <w:r>
        <w:rPr>
          <w:rFonts w:hint="eastAsia"/>
        </w:rPr>
        <w:t>县指挥部办公室应根据本地区实际情况和工作需要，组织开展大面积停电事件应急演练。有关企、事业单位应根据自身特点，定期和不定期组织本单位处置大面积停电事件应急演练。</w:t>
      </w:r>
    </w:p>
    <w:p w14:paraId="6AFA8EBE">
      <w:pPr>
        <w:pStyle w:val="3"/>
      </w:pPr>
      <w:bookmarkStart w:id="624" w:name="_Toc11158"/>
      <w:r>
        <w:rPr>
          <w:rFonts w:hint="eastAsia"/>
        </w:rPr>
        <w:t>宣传和</w:t>
      </w:r>
      <w:r>
        <w:t>培训</w:t>
      </w:r>
      <w:bookmarkEnd w:id="624"/>
    </w:p>
    <w:p w14:paraId="5C701370">
      <w:pPr>
        <w:ind w:firstLine="632"/>
      </w:pPr>
      <w:r>
        <w:rPr>
          <w:rFonts w:hint="eastAsia"/>
        </w:rPr>
        <w:t>各级各部门、各企事业单位都应加强对供用电安全知识的宣传、教育和培训</w:t>
      </w:r>
    </w:p>
    <w:p w14:paraId="33274BE5">
      <w:pPr>
        <w:pStyle w:val="3"/>
      </w:pPr>
      <w:bookmarkStart w:id="625" w:name="_Toc808"/>
      <w:r>
        <w:rPr>
          <w:rFonts w:hint="eastAsia"/>
        </w:rPr>
        <w:t>奖励和责任追究</w:t>
      </w:r>
      <w:bookmarkEnd w:id="625"/>
    </w:p>
    <w:p w14:paraId="066AFCB2">
      <w:pPr>
        <w:ind w:firstLine="632"/>
      </w:pPr>
      <w:r>
        <w:rPr>
          <w:rFonts w:hint="eastAsia"/>
        </w:rPr>
        <w:t>县政府对在大面积停电事件中做出突出贡献的单位和个人予以表彰和奖励；对不认真履行职责、玩忽职守且造成严重损失的，依法追究责任单位和责任人的责任；构成犯罪的，依法追究刑事责任。</w:t>
      </w:r>
    </w:p>
    <w:p w14:paraId="679BBF28">
      <w:pPr>
        <w:pStyle w:val="2"/>
        <w:numPr>
          <w:ilvl w:val="0"/>
          <w:numId w:val="120"/>
        </w:numPr>
        <w:tabs>
          <w:tab w:val="left" w:pos="0"/>
        </w:tabs>
        <w:rPr>
          <w:sz w:val="32"/>
          <w:szCs w:val="32"/>
        </w:rPr>
      </w:pPr>
      <w:bookmarkStart w:id="626" w:name="_Toc19178"/>
      <w:r>
        <w:rPr>
          <w:rFonts w:hint="eastAsia"/>
          <w:sz w:val="32"/>
          <w:szCs w:val="32"/>
        </w:rPr>
        <w:t>附则</w:t>
      </w:r>
      <w:bookmarkEnd w:id="626"/>
    </w:p>
    <w:p w14:paraId="0C068F13">
      <w:pPr>
        <w:pStyle w:val="3"/>
        <w:tabs>
          <w:tab w:val="left" w:pos="0"/>
        </w:tabs>
        <w:rPr>
          <w:rFonts w:ascii="Times New Roman" w:hAnsi="Times New Roman"/>
          <w:szCs w:val="32"/>
        </w:rPr>
      </w:pPr>
      <w:bookmarkStart w:id="627" w:name="_Toc21998"/>
      <w:r>
        <w:rPr>
          <w:rFonts w:hint="eastAsia" w:ascii="Times New Roman" w:hAnsi="Times New Roman"/>
          <w:szCs w:val="32"/>
        </w:rPr>
        <w:t>预案管理与更新</w:t>
      </w:r>
      <w:bookmarkEnd w:id="627"/>
    </w:p>
    <w:p w14:paraId="12C87BBF">
      <w:pPr>
        <w:ind w:firstLine="632"/>
      </w:pPr>
      <w:r>
        <w:rPr>
          <w:rFonts w:hint="eastAsia"/>
        </w:rPr>
        <w:t>县指挥部应根据实际情况变化，及时对预案进行修订和完善。</w:t>
      </w:r>
    </w:p>
    <w:p w14:paraId="0CBEA493">
      <w:pPr>
        <w:pStyle w:val="3"/>
        <w:tabs>
          <w:tab w:val="left" w:pos="0"/>
        </w:tabs>
        <w:rPr>
          <w:rFonts w:ascii="Times New Roman" w:hAnsi="Times New Roman"/>
          <w:szCs w:val="32"/>
        </w:rPr>
      </w:pPr>
      <w:bookmarkStart w:id="628" w:name="_Toc25847"/>
      <w:r>
        <w:rPr>
          <w:rFonts w:hint="eastAsia" w:ascii="Times New Roman" w:hAnsi="Times New Roman"/>
          <w:szCs w:val="32"/>
        </w:rPr>
        <w:t>预案制定与解释</w:t>
      </w:r>
      <w:bookmarkEnd w:id="628"/>
    </w:p>
    <w:p w14:paraId="53BC6E65">
      <w:pPr>
        <w:ind w:firstLine="632"/>
        <w:rPr>
          <w:rFonts w:ascii="Times New Roman" w:hAnsi="Times New Roman"/>
        </w:rPr>
      </w:pPr>
      <w:r>
        <w:rPr>
          <w:rFonts w:hint="eastAsia" w:ascii="Times New Roman" w:hAnsi="Times New Roman"/>
        </w:rPr>
        <w:t>本预案由集贤县人民政府负责制定，预案修订与解释工作由集贤县人民政府大面积停电事件指挥部办公室具体负责。</w:t>
      </w:r>
    </w:p>
    <w:p w14:paraId="3CDABE3E">
      <w:pPr>
        <w:pStyle w:val="3"/>
        <w:tabs>
          <w:tab w:val="left" w:pos="0"/>
        </w:tabs>
        <w:rPr>
          <w:rFonts w:ascii="Times New Roman" w:hAnsi="Times New Roman"/>
          <w:szCs w:val="32"/>
        </w:rPr>
      </w:pPr>
      <w:bookmarkStart w:id="629" w:name="_Toc25293"/>
      <w:r>
        <w:rPr>
          <w:rFonts w:hint="eastAsia" w:ascii="Times New Roman" w:hAnsi="Times New Roman"/>
          <w:szCs w:val="32"/>
        </w:rPr>
        <w:t>预案中“以上”“以下”的含义</w:t>
      </w:r>
      <w:bookmarkEnd w:id="629"/>
    </w:p>
    <w:p w14:paraId="47C79F93">
      <w:pPr>
        <w:ind w:firstLine="632"/>
        <w:rPr>
          <w:rFonts w:ascii="Times New Roman" w:hAnsi="Times New Roman"/>
        </w:rPr>
      </w:pPr>
      <w:r>
        <w:rPr>
          <w:rFonts w:hint="eastAsia" w:ascii="Times New Roman" w:hAnsi="Times New Roman"/>
        </w:rPr>
        <w:t>本预案有关数量的表述中，“以上”包含本数，“以下”不包含本数。</w:t>
      </w:r>
    </w:p>
    <w:p w14:paraId="22627862">
      <w:pPr>
        <w:pStyle w:val="3"/>
        <w:tabs>
          <w:tab w:val="left" w:pos="0"/>
        </w:tabs>
        <w:rPr>
          <w:rFonts w:ascii="Times New Roman" w:hAnsi="Times New Roman"/>
          <w:szCs w:val="32"/>
        </w:rPr>
      </w:pPr>
      <w:bookmarkStart w:id="630" w:name="_Toc30440"/>
      <w:r>
        <w:rPr>
          <w:rFonts w:hint="eastAsia" w:ascii="Times New Roman" w:hAnsi="Times New Roman"/>
          <w:szCs w:val="32"/>
        </w:rPr>
        <w:t>预案的实施</w:t>
      </w:r>
      <w:bookmarkEnd w:id="630"/>
    </w:p>
    <w:p w14:paraId="09EC147A">
      <w:pPr>
        <w:ind w:firstLine="632"/>
      </w:pPr>
      <w:r>
        <w:rPr>
          <w:rFonts w:hint="eastAsia" w:ascii="Times New Roman" w:hAnsi="Times New Roman"/>
        </w:rPr>
        <w:t>本预案自发布之日起施行</w:t>
      </w:r>
    </w:p>
    <w:p w14:paraId="5F4878B5">
      <w:pPr>
        <w:ind w:firstLine="0" w:firstLineChars="0"/>
      </w:pPr>
    </w:p>
    <w:p w14:paraId="49ABFECE">
      <w:pPr>
        <w:pStyle w:val="11"/>
        <w:ind w:firstLine="632"/>
      </w:pPr>
    </w:p>
    <w:p w14:paraId="08823CCD">
      <w:pPr>
        <w:ind w:firstLine="0" w:firstLineChars="0"/>
        <w:jc w:val="center"/>
        <w:rPr>
          <w:sz w:val="36"/>
          <w:szCs w:val="36"/>
        </w:rPr>
      </w:pPr>
    </w:p>
    <w:p w14:paraId="7CD1DB71">
      <w:pPr>
        <w:pStyle w:val="42"/>
      </w:pPr>
    </w:p>
    <w:p w14:paraId="2A009E88">
      <w:pPr>
        <w:autoSpaceDE w:val="0"/>
        <w:autoSpaceDN w:val="0"/>
        <w:adjustRightInd w:val="0"/>
        <w:spacing w:line="240" w:lineRule="atLeast"/>
        <w:ind w:firstLine="0" w:firstLineChars="0"/>
        <w:jc w:val="center"/>
        <w:rPr>
          <w:rFonts w:ascii="方正小标宋简体" w:hAnsi="方正小标宋简体" w:eastAsia="方正小标宋简体" w:cs="方正小标宋简体"/>
          <w:bCs/>
          <w:color w:val="000000"/>
          <w:spacing w:val="-6"/>
          <w:kern w:val="0"/>
          <w:sz w:val="52"/>
          <w:szCs w:val="52"/>
          <w:lang w:bidi="ar"/>
        </w:rPr>
      </w:pPr>
      <w:r>
        <w:rPr>
          <w:rFonts w:hint="eastAsia" w:ascii="方正小标宋简体" w:hAnsi="方正小标宋简体" w:eastAsia="方正小标宋简体" w:cs="方正小标宋简体"/>
          <w:bCs/>
          <w:color w:val="000000"/>
          <w:spacing w:val="-6"/>
          <w:kern w:val="0"/>
          <w:sz w:val="52"/>
          <w:szCs w:val="52"/>
          <w:lang w:bidi="ar"/>
        </w:rPr>
        <w:t>集贤县重特大火灾事故应急预案</w:t>
      </w:r>
    </w:p>
    <w:p w14:paraId="3E644685">
      <w:pPr>
        <w:pStyle w:val="11"/>
        <w:ind w:firstLine="0" w:firstLineChars="0"/>
        <w:jc w:val="center"/>
        <w:rPr>
          <w:rFonts w:ascii="Times New Roman" w:hAnsi="Times New Roman" w:eastAsia="楷体_GB2312" w:cs="Times New Roman"/>
          <w:b/>
          <w:sz w:val="52"/>
          <w:szCs w:val="52"/>
        </w:rPr>
      </w:pPr>
      <w:r>
        <w:rPr>
          <w:rFonts w:hint="eastAsia" w:ascii="仿宋_GB2312" w:hAnsi="仿宋_GB2312" w:cs="仿宋_GB2312"/>
          <w:bCs/>
          <w:sz w:val="48"/>
          <w:szCs w:val="48"/>
        </w:rPr>
        <w:t>（修订稿）</w:t>
      </w:r>
    </w:p>
    <w:p w14:paraId="5D2EB6C6">
      <w:pPr>
        <w:ind w:firstLine="632"/>
      </w:pPr>
    </w:p>
    <w:p w14:paraId="45A8A2A2">
      <w:pPr>
        <w:ind w:firstLine="632"/>
      </w:pPr>
    </w:p>
    <w:p w14:paraId="07B2417E">
      <w:pPr>
        <w:ind w:firstLine="632"/>
      </w:pPr>
    </w:p>
    <w:p w14:paraId="510D1276">
      <w:pPr>
        <w:ind w:firstLine="632"/>
      </w:pPr>
    </w:p>
    <w:p w14:paraId="7CA7CE51">
      <w:pPr>
        <w:ind w:firstLine="632"/>
      </w:pPr>
    </w:p>
    <w:p w14:paraId="5043EAD1">
      <w:pPr>
        <w:ind w:firstLine="632"/>
      </w:pPr>
    </w:p>
    <w:p w14:paraId="47AF14A3">
      <w:pPr>
        <w:ind w:firstLine="632"/>
      </w:pPr>
    </w:p>
    <w:p w14:paraId="4B92DD47">
      <w:pPr>
        <w:ind w:firstLine="632"/>
      </w:pPr>
    </w:p>
    <w:p w14:paraId="3AD7AEEB">
      <w:pPr>
        <w:ind w:firstLine="632"/>
      </w:pPr>
    </w:p>
    <w:p w14:paraId="0FA98AD1">
      <w:pPr>
        <w:ind w:firstLine="632"/>
      </w:pPr>
    </w:p>
    <w:p w14:paraId="1F9B975E">
      <w:pPr>
        <w:ind w:firstLine="632"/>
      </w:pPr>
    </w:p>
    <w:p w14:paraId="547D6FBD">
      <w:pPr>
        <w:ind w:firstLine="632"/>
      </w:pPr>
    </w:p>
    <w:p w14:paraId="57B1C54A">
      <w:pPr>
        <w:ind w:firstLine="0" w:firstLineChars="0"/>
        <w:jc w:val="center"/>
        <w:rPr>
          <w:rFonts w:eastAsia="仿宋"/>
          <w:bCs/>
          <w:spacing w:val="-6"/>
          <w:sz w:val="36"/>
          <w:szCs w:val="24"/>
          <w:lang w:bidi="ar"/>
        </w:rPr>
      </w:pPr>
      <w:r>
        <w:rPr>
          <w:rFonts w:hint="eastAsia" w:ascii="仿宋_GB2312" w:hAnsi="仿宋_GB2312" w:cs="仿宋_GB2312"/>
          <w:bCs/>
          <w:spacing w:val="-6"/>
          <w:sz w:val="36"/>
          <w:szCs w:val="24"/>
          <w:lang w:bidi="ar"/>
        </w:rPr>
        <w:t>集贤县人民政府 编制</w:t>
      </w:r>
    </w:p>
    <w:p w14:paraId="12842FC2">
      <w:pPr>
        <w:ind w:firstLine="0" w:firstLineChars="0"/>
        <w:jc w:val="center"/>
        <w:rPr>
          <w:rFonts w:eastAsia="仿宋"/>
          <w:bCs/>
          <w:spacing w:val="-6"/>
          <w:sz w:val="36"/>
          <w:szCs w:val="24"/>
          <w:lang w:bidi="ar"/>
        </w:rPr>
      </w:pPr>
      <w:r>
        <w:rPr>
          <w:rFonts w:hint="eastAsia" w:eastAsia="仿宋"/>
          <w:bCs/>
          <w:spacing w:val="-6"/>
          <w:sz w:val="36"/>
          <w:szCs w:val="24"/>
          <w:lang w:bidi="ar"/>
        </w:rPr>
        <w:t>202</w:t>
      </w:r>
      <w:r>
        <w:rPr>
          <w:bCs/>
          <w:spacing w:val="-6"/>
          <w:sz w:val="36"/>
          <w:szCs w:val="24"/>
          <w:lang w:bidi="ar"/>
        </w:rPr>
        <w:t>5</w:t>
      </w:r>
      <w:r>
        <w:rPr>
          <w:rFonts w:hint="eastAsia" w:eastAsia="仿宋"/>
          <w:bCs/>
          <w:spacing w:val="-6"/>
          <w:sz w:val="36"/>
          <w:szCs w:val="24"/>
          <w:lang w:bidi="ar"/>
        </w:rPr>
        <w:t>年</w:t>
      </w:r>
      <w:r>
        <w:rPr>
          <w:bCs/>
          <w:spacing w:val="-6"/>
          <w:sz w:val="36"/>
          <w:szCs w:val="24"/>
          <w:lang w:bidi="ar"/>
        </w:rPr>
        <w:t>5</w:t>
      </w:r>
      <w:r>
        <w:rPr>
          <w:rFonts w:hint="eastAsia" w:eastAsia="仿宋"/>
          <w:bCs/>
          <w:spacing w:val="-6"/>
          <w:sz w:val="36"/>
          <w:szCs w:val="24"/>
          <w:lang w:bidi="ar"/>
        </w:rPr>
        <w:t>月</w:t>
      </w:r>
    </w:p>
    <w:p w14:paraId="3DBB1CC0">
      <w:pPr>
        <w:ind w:firstLine="632"/>
        <w:rPr>
          <w:rFonts w:ascii="黑体" w:hAnsi="黑体" w:eastAsia="黑体" w:cs="黑体"/>
        </w:rPr>
      </w:pPr>
      <w:r>
        <w:rPr>
          <w:rFonts w:hint="eastAsia" w:ascii="黑体" w:hAnsi="黑体" w:eastAsia="黑体" w:cs="黑体"/>
        </w:rPr>
        <w:br w:type="page"/>
      </w:r>
    </w:p>
    <w:p w14:paraId="06375E93">
      <w:pPr>
        <w:ind w:firstLine="632"/>
      </w:pPr>
      <w:r>
        <w:rPr>
          <w:rFonts w:hint="eastAsia"/>
        </w:rPr>
        <w:br w:type="page"/>
      </w:r>
    </w:p>
    <w:p w14:paraId="40FD8208">
      <w:pPr>
        <w:pStyle w:val="42"/>
        <w:sectPr>
          <w:footerReference r:id="rId51" w:type="default"/>
          <w:pgSz w:w="11906" w:h="16838"/>
          <w:pgMar w:top="2098" w:right="1474" w:bottom="1984" w:left="1587" w:header="1814" w:footer="1587" w:gutter="0"/>
          <w:pgNumType w:fmt="numberInDash"/>
          <w:cols w:space="720" w:num="1"/>
          <w:docGrid w:type="linesAndChars" w:linePitch="579" w:charSpace="-842"/>
        </w:sectPr>
      </w:pPr>
    </w:p>
    <w:p w14:paraId="11AEBC3C">
      <w:pPr>
        <w:ind w:firstLine="0" w:firstLineChars="0"/>
        <w:jc w:val="center"/>
        <w:rPr>
          <w:rFonts w:ascii="微软雅黑" w:hAnsi="微软雅黑" w:eastAsia="微软雅黑" w:cs="微软雅黑"/>
          <w:b/>
          <w:bCs/>
          <w:sz w:val="36"/>
          <w:szCs w:val="36"/>
        </w:rPr>
      </w:pPr>
      <w:r>
        <w:rPr>
          <w:rFonts w:hint="eastAsia" w:ascii="方正小标宋简体" w:hAnsi="方正小标宋简体" w:eastAsia="方正小标宋简体" w:cs="方正小标宋简体"/>
          <w:b/>
          <w:bCs/>
          <w:sz w:val="36"/>
          <w:szCs w:val="36"/>
        </w:rPr>
        <w:t>目  录</w:t>
      </w:r>
    </w:p>
    <w:p w14:paraId="5F15956F">
      <w:pPr>
        <w:pStyle w:val="18"/>
      </w:pPr>
      <w:r>
        <w:rPr>
          <w:rFonts w:hint="eastAsia" w:ascii="黑体" w:hAnsi="黑体" w:eastAsia="黑体" w:cs="黑体"/>
          <w:sz w:val="44"/>
          <w:szCs w:val="44"/>
        </w:rPr>
        <w:fldChar w:fldCharType="begin"/>
      </w:r>
      <w:r>
        <w:rPr>
          <w:rFonts w:hint="eastAsia" w:ascii="黑体" w:hAnsi="黑体" w:eastAsia="黑体" w:cs="黑体"/>
          <w:sz w:val="44"/>
          <w:szCs w:val="44"/>
        </w:rPr>
        <w:instrText xml:space="preserve">TOC \o "1-2" \h \u </w:instrText>
      </w:r>
      <w:r>
        <w:rPr>
          <w:rFonts w:hint="eastAsia" w:ascii="黑体" w:hAnsi="黑体" w:eastAsia="黑体" w:cs="黑体"/>
          <w:sz w:val="44"/>
          <w:szCs w:val="44"/>
        </w:rPr>
        <w:fldChar w:fldCharType="separate"/>
      </w:r>
      <w:r>
        <w:fldChar w:fldCharType="begin"/>
      </w:r>
      <w:r>
        <w:instrText xml:space="preserve"> HYPERLINK \l "_Toc7222" </w:instrText>
      </w:r>
      <w:r>
        <w:fldChar w:fldCharType="separate"/>
      </w:r>
      <w:r>
        <w:rPr>
          <w:rFonts w:eastAsia="仿宋"/>
        </w:rPr>
        <w:t xml:space="preserve">1 </w:t>
      </w:r>
      <w:r>
        <w:rPr>
          <w:rFonts w:hint="eastAsia"/>
        </w:rPr>
        <w:t>总则</w:t>
      </w:r>
      <w:r>
        <w:tab/>
      </w:r>
      <w:r>
        <w:fldChar w:fldCharType="begin"/>
      </w:r>
      <w:r>
        <w:instrText xml:space="preserve"> PAGEREF _Toc7222 \h </w:instrText>
      </w:r>
      <w:r>
        <w:fldChar w:fldCharType="separate"/>
      </w:r>
      <w:r>
        <w:t>1</w:t>
      </w:r>
      <w:r>
        <w:fldChar w:fldCharType="end"/>
      </w:r>
      <w:r>
        <w:fldChar w:fldCharType="end"/>
      </w:r>
    </w:p>
    <w:p w14:paraId="58F42A64">
      <w:pPr>
        <w:pStyle w:val="19"/>
        <w:tabs>
          <w:tab w:val="right" w:leader="dot" w:pos="8845"/>
        </w:tabs>
        <w:ind w:firstLine="632"/>
      </w:pPr>
      <w:r>
        <w:fldChar w:fldCharType="begin"/>
      </w:r>
      <w:r>
        <w:instrText xml:space="preserve"> HYPERLINK \l "_Toc17934" </w:instrText>
      </w:r>
      <w:r>
        <w:fldChar w:fldCharType="separate"/>
      </w:r>
      <w:r>
        <w:rPr>
          <w:rFonts w:eastAsia="仿宋"/>
          <w:bCs/>
          <w:szCs w:val="28"/>
        </w:rPr>
        <w:t xml:space="preserve">1.1 </w:t>
      </w:r>
      <w:r>
        <w:rPr>
          <w:rFonts w:hint="eastAsia"/>
        </w:rPr>
        <w:t>编制目的</w:t>
      </w:r>
      <w:r>
        <w:tab/>
      </w:r>
      <w:r>
        <w:fldChar w:fldCharType="begin"/>
      </w:r>
      <w:r>
        <w:instrText xml:space="preserve"> PAGEREF _Toc17934 \h </w:instrText>
      </w:r>
      <w:r>
        <w:fldChar w:fldCharType="separate"/>
      </w:r>
      <w:r>
        <w:t>1</w:t>
      </w:r>
      <w:r>
        <w:fldChar w:fldCharType="end"/>
      </w:r>
      <w:r>
        <w:fldChar w:fldCharType="end"/>
      </w:r>
    </w:p>
    <w:p w14:paraId="0EB307E6">
      <w:pPr>
        <w:pStyle w:val="19"/>
        <w:tabs>
          <w:tab w:val="right" w:leader="dot" w:pos="8845"/>
        </w:tabs>
        <w:ind w:firstLine="632"/>
      </w:pPr>
      <w:r>
        <w:fldChar w:fldCharType="begin"/>
      </w:r>
      <w:r>
        <w:instrText xml:space="preserve"> HYPERLINK \l "_Toc6794" </w:instrText>
      </w:r>
      <w:r>
        <w:fldChar w:fldCharType="separate"/>
      </w:r>
      <w:r>
        <w:rPr>
          <w:rFonts w:eastAsia="仿宋"/>
          <w:bCs/>
          <w:szCs w:val="28"/>
        </w:rPr>
        <w:t xml:space="preserve">1.2 </w:t>
      </w:r>
      <w:r>
        <w:rPr>
          <w:rFonts w:hint="eastAsia"/>
        </w:rPr>
        <w:t>编制依据</w:t>
      </w:r>
      <w:r>
        <w:tab/>
      </w:r>
      <w:r>
        <w:fldChar w:fldCharType="begin"/>
      </w:r>
      <w:r>
        <w:instrText xml:space="preserve"> PAGEREF _Toc6794 \h </w:instrText>
      </w:r>
      <w:r>
        <w:fldChar w:fldCharType="separate"/>
      </w:r>
      <w:r>
        <w:t>1</w:t>
      </w:r>
      <w:r>
        <w:fldChar w:fldCharType="end"/>
      </w:r>
      <w:r>
        <w:fldChar w:fldCharType="end"/>
      </w:r>
    </w:p>
    <w:p w14:paraId="3A88C724">
      <w:pPr>
        <w:pStyle w:val="19"/>
        <w:tabs>
          <w:tab w:val="right" w:leader="dot" w:pos="8845"/>
        </w:tabs>
        <w:ind w:firstLine="632"/>
      </w:pPr>
      <w:r>
        <w:fldChar w:fldCharType="begin"/>
      </w:r>
      <w:r>
        <w:instrText xml:space="preserve"> HYPERLINK \l "_Toc6717" </w:instrText>
      </w:r>
      <w:r>
        <w:fldChar w:fldCharType="separate"/>
      </w:r>
      <w:r>
        <w:rPr>
          <w:rFonts w:eastAsia="仿宋"/>
          <w:bCs/>
          <w:szCs w:val="28"/>
        </w:rPr>
        <w:t xml:space="preserve">1.3 </w:t>
      </w:r>
      <w:r>
        <w:rPr>
          <w:rFonts w:hint="eastAsia"/>
        </w:rPr>
        <w:t>适用范围</w:t>
      </w:r>
      <w:r>
        <w:tab/>
      </w:r>
      <w:r>
        <w:fldChar w:fldCharType="begin"/>
      </w:r>
      <w:r>
        <w:instrText xml:space="preserve"> PAGEREF _Toc6717 \h </w:instrText>
      </w:r>
      <w:r>
        <w:fldChar w:fldCharType="separate"/>
      </w:r>
      <w:r>
        <w:t>1</w:t>
      </w:r>
      <w:r>
        <w:fldChar w:fldCharType="end"/>
      </w:r>
      <w:r>
        <w:fldChar w:fldCharType="end"/>
      </w:r>
    </w:p>
    <w:p w14:paraId="6C6F0CBF">
      <w:pPr>
        <w:pStyle w:val="19"/>
        <w:tabs>
          <w:tab w:val="right" w:leader="dot" w:pos="8845"/>
        </w:tabs>
        <w:ind w:firstLine="632"/>
      </w:pPr>
      <w:r>
        <w:fldChar w:fldCharType="begin"/>
      </w:r>
      <w:r>
        <w:instrText xml:space="preserve"> HYPERLINK \l "_Toc2592" </w:instrText>
      </w:r>
      <w:r>
        <w:fldChar w:fldCharType="separate"/>
      </w:r>
      <w:r>
        <w:rPr>
          <w:rFonts w:eastAsia="仿宋"/>
          <w:bCs/>
          <w:szCs w:val="28"/>
        </w:rPr>
        <w:t xml:space="preserve">1.4 </w:t>
      </w:r>
      <w:r>
        <w:rPr>
          <w:rFonts w:hint="eastAsia"/>
        </w:rPr>
        <w:t>工作原则</w:t>
      </w:r>
      <w:r>
        <w:tab/>
      </w:r>
      <w:r>
        <w:fldChar w:fldCharType="begin"/>
      </w:r>
      <w:r>
        <w:instrText xml:space="preserve"> PAGEREF _Toc2592 \h </w:instrText>
      </w:r>
      <w:r>
        <w:fldChar w:fldCharType="separate"/>
      </w:r>
      <w:r>
        <w:t>1</w:t>
      </w:r>
      <w:r>
        <w:fldChar w:fldCharType="end"/>
      </w:r>
      <w:r>
        <w:fldChar w:fldCharType="end"/>
      </w:r>
    </w:p>
    <w:p w14:paraId="6CE9B703">
      <w:pPr>
        <w:pStyle w:val="19"/>
        <w:tabs>
          <w:tab w:val="right" w:leader="dot" w:pos="8845"/>
        </w:tabs>
        <w:ind w:firstLine="632"/>
      </w:pPr>
      <w:r>
        <w:fldChar w:fldCharType="begin"/>
      </w:r>
      <w:r>
        <w:instrText xml:space="preserve"> HYPERLINK \l "_Toc31285" </w:instrText>
      </w:r>
      <w:r>
        <w:fldChar w:fldCharType="separate"/>
      </w:r>
      <w:r>
        <w:rPr>
          <w:rFonts w:eastAsia="仿宋"/>
          <w:bCs/>
          <w:szCs w:val="28"/>
        </w:rPr>
        <w:t xml:space="preserve">1.5 </w:t>
      </w:r>
      <w:r>
        <w:rPr>
          <w:rFonts w:hint="eastAsia"/>
        </w:rPr>
        <w:t>火灾事故等级</w:t>
      </w:r>
      <w:r>
        <w:tab/>
      </w:r>
      <w:r>
        <w:fldChar w:fldCharType="begin"/>
      </w:r>
      <w:r>
        <w:instrText xml:space="preserve"> PAGEREF _Toc31285 \h </w:instrText>
      </w:r>
      <w:r>
        <w:fldChar w:fldCharType="separate"/>
      </w:r>
      <w:r>
        <w:t>2</w:t>
      </w:r>
      <w:r>
        <w:fldChar w:fldCharType="end"/>
      </w:r>
      <w:r>
        <w:fldChar w:fldCharType="end"/>
      </w:r>
    </w:p>
    <w:p w14:paraId="2A734FB3">
      <w:pPr>
        <w:pStyle w:val="18"/>
      </w:pPr>
      <w:r>
        <w:fldChar w:fldCharType="begin"/>
      </w:r>
      <w:r>
        <w:instrText xml:space="preserve"> HYPERLINK \l "_Toc1197" </w:instrText>
      </w:r>
      <w:r>
        <w:fldChar w:fldCharType="separate"/>
      </w:r>
      <w:r>
        <w:rPr>
          <w:rFonts w:eastAsia="仿宋"/>
        </w:rPr>
        <w:t xml:space="preserve">2 </w:t>
      </w:r>
      <w:r>
        <w:rPr>
          <w:rFonts w:hint="eastAsia"/>
        </w:rPr>
        <w:t>组织指挥体系</w:t>
      </w:r>
      <w:r>
        <w:tab/>
      </w:r>
      <w:r>
        <w:fldChar w:fldCharType="begin"/>
      </w:r>
      <w:r>
        <w:instrText xml:space="preserve"> PAGEREF _Toc1197 \h </w:instrText>
      </w:r>
      <w:r>
        <w:fldChar w:fldCharType="separate"/>
      </w:r>
      <w:r>
        <w:t>3</w:t>
      </w:r>
      <w:r>
        <w:fldChar w:fldCharType="end"/>
      </w:r>
      <w:r>
        <w:fldChar w:fldCharType="end"/>
      </w:r>
    </w:p>
    <w:p w14:paraId="278C436E">
      <w:pPr>
        <w:pStyle w:val="19"/>
        <w:tabs>
          <w:tab w:val="right" w:leader="dot" w:pos="8845"/>
        </w:tabs>
        <w:ind w:firstLine="632"/>
      </w:pPr>
      <w:r>
        <w:fldChar w:fldCharType="begin"/>
      </w:r>
      <w:r>
        <w:instrText xml:space="preserve"> HYPERLINK \l "_Toc18255" </w:instrText>
      </w:r>
      <w:r>
        <w:fldChar w:fldCharType="separate"/>
      </w:r>
      <w:r>
        <w:rPr>
          <w:rFonts w:eastAsia="仿宋"/>
          <w:bCs/>
          <w:szCs w:val="28"/>
        </w:rPr>
        <w:t xml:space="preserve">2.1 </w:t>
      </w:r>
      <w:r>
        <w:rPr>
          <w:rFonts w:hint="eastAsia"/>
        </w:rPr>
        <w:t>县重特大火灾事故应急指挥部</w:t>
      </w:r>
      <w:r>
        <w:tab/>
      </w:r>
      <w:r>
        <w:fldChar w:fldCharType="begin"/>
      </w:r>
      <w:r>
        <w:instrText xml:space="preserve"> PAGEREF _Toc18255 \h </w:instrText>
      </w:r>
      <w:r>
        <w:fldChar w:fldCharType="separate"/>
      </w:r>
      <w:r>
        <w:t>3</w:t>
      </w:r>
      <w:r>
        <w:fldChar w:fldCharType="end"/>
      </w:r>
      <w:r>
        <w:fldChar w:fldCharType="end"/>
      </w:r>
    </w:p>
    <w:p w14:paraId="72059E28">
      <w:pPr>
        <w:pStyle w:val="19"/>
        <w:tabs>
          <w:tab w:val="right" w:leader="dot" w:pos="8845"/>
        </w:tabs>
        <w:ind w:firstLine="632"/>
      </w:pPr>
      <w:r>
        <w:fldChar w:fldCharType="begin"/>
      </w:r>
      <w:r>
        <w:instrText xml:space="preserve"> HYPERLINK \l "_Toc17078" </w:instrText>
      </w:r>
      <w:r>
        <w:fldChar w:fldCharType="separate"/>
      </w:r>
      <w:r>
        <w:rPr>
          <w:rFonts w:eastAsia="仿宋"/>
          <w:bCs/>
          <w:szCs w:val="28"/>
        </w:rPr>
        <w:t xml:space="preserve">2.2 </w:t>
      </w:r>
      <w:r>
        <w:rPr>
          <w:rFonts w:hint="eastAsia"/>
        </w:rPr>
        <w:t>现场指挥部及职责</w:t>
      </w:r>
      <w:r>
        <w:tab/>
      </w:r>
      <w:r>
        <w:fldChar w:fldCharType="begin"/>
      </w:r>
      <w:r>
        <w:instrText xml:space="preserve"> PAGEREF _Toc17078 \h </w:instrText>
      </w:r>
      <w:r>
        <w:fldChar w:fldCharType="separate"/>
      </w:r>
      <w:r>
        <w:t>5</w:t>
      </w:r>
      <w:r>
        <w:fldChar w:fldCharType="end"/>
      </w:r>
      <w:r>
        <w:fldChar w:fldCharType="end"/>
      </w:r>
    </w:p>
    <w:p w14:paraId="3B02B00E">
      <w:pPr>
        <w:pStyle w:val="18"/>
      </w:pPr>
      <w:r>
        <w:fldChar w:fldCharType="begin"/>
      </w:r>
      <w:r>
        <w:instrText xml:space="preserve"> HYPERLINK \l "_Toc2635" </w:instrText>
      </w:r>
      <w:r>
        <w:fldChar w:fldCharType="separate"/>
      </w:r>
      <w:r>
        <w:rPr>
          <w:rFonts w:eastAsia="仿宋"/>
        </w:rPr>
        <w:t xml:space="preserve">3 </w:t>
      </w:r>
      <w:r>
        <w:rPr>
          <w:rFonts w:hint="eastAsia"/>
        </w:rPr>
        <w:t>应急准备</w:t>
      </w:r>
      <w:r>
        <w:tab/>
      </w:r>
      <w:r>
        <w:fldChar w:fldCharType="begin"/>
      </w:r>
      <w:r>
        <w:instrText xml:space="preserve"> PAGEREF _Toc2635 \h </w:instrText>
      </w:r>
      <w:r>
        <w:fldChar w:fldCharType="separate"/>
      </w:r>
      <w:r>
        <w:t>7</w:t>
      </w:r>
      <w:r>
        <w:fldChar w:fldCharType="end"/>
      </w:r>
      <w:r>
        <w:fldChar w:fldCharType="end"/>
      </w:r>
    </w:p>
    <w:p w14:paraId="2EE47451">
      <w:pPr>
        <w:pStyle w:val="19"/>
        <w:tabs>
          <w:tab w:val="right" w:leader="dot" w:pos="8845"/>
        </w:tabs>
        <w:ind w:firstLine="632"/>
      </w:pPr>
      <w:r>
        <w:fldChar w:fldCharType="begin"/>
      </w:r>
      <w:r>
        <w:instrText xml:space="preserve"> HYPERLINK \l "_Toc15138" </w:instrText>
      </w:r>
      <w:r>
        <w:fldChar w:fldCharType="separate"/>
      </w:r>
      <w:r>
        <w:rPr>
          <w:rFonts w:eastAsia="仿宋"/>
          <w:bCs/>
          <w:szCs w:val="28"/>
        </w:rPr>
        <w:t xml:space="preserve">3.1 </w:t>
      </w:r>
      <w:r>
        <w:rPr>
          <w:rFonts w:hint="eastAsia"/>
        </w:rPr>
        <w:t>火灾预防</w:t>
      </w:r>
      <w:r>
        <w:tab/>
      </w:r>
      <w:r>
        <w:fldChar w:fldCharType="begin"/>
      </w:r>
      <w:r>
        <w:instrText xml:space="preserve"> PAGEREF _Toc15138 \h </w:instrText>
      </w:r>
      <w:r>
        <w:fldChar w:fldCharType="separate"/>
      </w:r>
      <w:r>
        <w:t>7</w:t>
      </w:r>
      <w:r>
        <w:fldChar w:fldCharType="end"/>
      </w:r>
      <w:r>
        <w:fldChar w:fldCharType="end"/>
      </w:r>
    </w:p>
    <w:p w14:paraId="56F7B447">
      <w:pPr>
        <w:pStyle w:val="19"/>
        <w:tabs>
          <w:tab w:val="right" w:leader="dot" w:pos="8845"/>
        </w:tabs>
        <w:ind w:firstLine="632"/>
      </w:pPr>
      <w:r>
        <w:fldChar w:fldCharType="begin"/>
      </w:r>
      <w:r>
        <w:instrText xml:space="preserve"> HYPERLINK \l "_Toc13064" </w:instrText>
      </w:r>
      <w:r>
        <w:fldChar w:fldCharType="separate"/>
      </w:r>
      <w:r>
        <w:rPr>
          <w:rFonts w:eastAsia="仿宋"/>
          <w:bCs/>
          <w:szCs w:val="28"/>
        </w:rPr>
        <w:t xml:space="preserve">3.2 </w:t>
      </w:r>
      <w:r>
        <w:rPr>
          <w:rFonts w:hint="eastAsia"/>
        </w:rPr>
        <w:t>风险防控</w:t>
      </w:r>
      <w:r>
        <w:tab/>
      </w:r>
      <w:r>
        <w:fldChar w:fldCharType="begin"/>
      </w:r>
      <w:r>
        <w:instrText xml:space="preserve"> PAGEREF _Toc13064 \h </w:instrText>
      </w:r>
      <w:r>
        <w:fldChar w:fldCharType="separate"/>
      </w:r>
      <w:r>
        <w:t>8</w:t>
      </w:r>
      <w:r>
        <w:fldChar w:fldCharType="end"/>
      </w:r>
      <w:r>
        <w:fldChar w:fldCharType="end"/>
      </w:r>
    </w:p>
    <w:p w14:paraId="3B79F44F">
      <w:pPr>
        <w:pStyle w:val="19"/>
        <w:tabs>
          <w:tab w:val="right" w:leader="dot" w:pos="8845"/>
        </w:tabs>
        <w:ind w:firstLine="632"/>
      </w:pPr>
      <w:r>
        <w:fldChar w:fldCharType="begin"/>
      </w:r>
      <w:r>
        <w:instrText xml:space="preserve"> HYPERLINK \l "_Toc2178" </w:instrText>
      </w:r>
      <w:r>
        <w:fldChar w:fldCharType="separate"/>
      </w:r>
      <w:r>
        <w:rPr>
          <w:rFonts w:eastAsia="仿宋"/>
          <w:bCs/>
          <w:szCs w:val="28"/>
        </w:rPr>
        <w:t xml:space="preserve">3.3 </w:t>
      </w:r>
      <w:r>
        <w:rPr>
          <w:rFonts w:hint="eastAsia"/>
        </w:rPr>
        <w:t>应急值守</w:t>
      </w:r>
      <w:r>
        <w:tab/>
      </w:r>
      <w:r>
        <w:fldChar w:fldCharType="begin"/>
      </w:r>
      <w:r>
        <w:instrText xml:space="preserve"> PAGEREF _Toc2178 \h </w:instrText>
      </w:r>
      <w:r>
        <w:fldChar w:fldCharType="separate"/>
      </w:r>
      <w:r>
        <w:t>8</w:t>
      </w:r>
      <w:r>
        <w:fldChar w:fldCharType="end"/>
      </w:r>
      <w:r>
        <w:fldChar w:fldCharType="end"/>
      </w:r>
    </w:p>
    <w:p w14:paraId="6903F844">
      <w:pPr>
        <w:pStyle w:val="18"/>
      </w:pPr>
      <w:r>
        <w:fldChar w:fldCharType="begin"/>
      </w:r>
      <w:r>
        <w:instrText xml:space="preserve"> HYPERLINK \l "_Toc31555" </w:instrText>
      </w:r>
      <w:r>
        <w:fldChar w:fldCharType="separate"/>
      </w:r>
      <w:r>
        <w:rPr>
          <w:rFonts w:eastAsia="仿宋"/>
        </w:rPr>
        <w:t xml:space="preserve">4 </w:t>
      </w:r>
      <w:r>
        <w:rPr>
          <w:rFonts w:hint="eastAsia"/>
        </w:rPr>
        <w:t>应急响应</w:t>
      </w:r>
      <w:r>
        <w:tab/>
      </w:r>
      <w:r>
        <w:fldChar w:fldCharType="begin"/>
      </w:r>
      <w:r>
        <w:instrText xml:space="preserve"> PAGEREF _Toc31555 \h </w:instrText>
      </w:r>
      <w:r>
        <w:fldChar w:fldCharType="separate"/>
      </w:r>
      <w:r>
        <w:t>9</w:t>
      </w:r>
      <w:r>
        <w:fldChar w:fldCharType="end"/>
      </w:r>
      <w:r>
        <w:fldChar w:fldCharType="end"/>
      </w:r>
    </w:p>
    <w:p w14:paraId="60C557E0">
      <w:pPr>
        <w:pStyle w:val="19"/>
        <w:tabs>
          <w:tab w:val="right" w:leader="dot" w:pos="8845"/>
        </w:tabs>
        <w:ind w:firstLine="632"/>
      </w:pPr>
      <w:r>
        <w:fldChar w:fldCharType="begin"/>
      </w:r>
      <w:r>
        <w:instrText xml:space="preserve"> HYPERLINK \l "_Toc2403" </w:instrText>
      </w:r>
      <w:r>
        <w:fldChar w:fldCharType="separate"/>
      </w:r>
      <w:r>
        <w:rPr>
          <w:rFonts w:eastAsia="仿宋"/>
          <w:bCs/>
          <w:szCs w:val="28"/>
        </w:rPr>
        <w:t xml:space="preserve">4.1 </w:t>
      </w:r>
      <w:r>
        <w:rPr>
          <w:rFonts w:hint="eastAsia"/>
        </w:rPr>
        <w:t>信息报告</w:t>
      </w:r>
      <w:r>
        <w:tab/>
      </w:r>
      <w:r>
        <w:fldChar w:fldCharType="begin"/>
      </w:r>
      <w:r>
        <w:instrText xml:space="preserve"> PAGEREF _Toc2403 \h </w:instrText>
      </w:r>
      <w:r>
        <w:fldChar w:fldCharType="separate"/>
      </w:r>
      <w:r>
        <w:t>9</w:t>
      </w:r>
      <w:r>
        <w:fldChar w:fldCharType="end"/>
      </w:r>
      <w:r>
        <w:fldChar w:fldCharType="end"/>
      </w:r>
    </w:p>
    <w:p w14:paraId="7AF6A3F3">
      <w:pPr>
        <w:pStyle w:val="19"/>
        <w:tabs>
          <w:tab w:val="right" w:leader="dot" w:pos="8845"/>
        </w:tabs>
        <w:ind w:firstLine="632"/>
      </w:pPr>
      <w:r>
        <w:fldChar w:fldCharType="begin"/>
      </w:r>
      <w:r>
        <w:instrText xml:space="preserve"> HYPERLINK \l "_Toc11276" </w:instrText>
      </w:r>
      <w:r>
        <w:fldChar w:fldCharType="separate"/>
      </w:r>
      <w:r>
        <w:rPr>
          <w:rFonts w:eastAsia="仿宋"/>
          <w:bCs/>
          <w:szCs w:val="28"/>
        </w:rPr>
        <w:t xml:space="preserve">4.2 </w:t>
      </w:r>
      <w:r>
        <w:rPr>
          <w:rFonts w:hint="eastAsia"/>
        </w:rPr>
        <w:t>先期处置</w:t>
      </w:r>
      <w:r>
        <w:tab/>
      </w:r>
      <w:r>
        <w:fldChar w:fldCharType="begin"/>
      </w:r>
      <w:r>
        <w:instrText xml:space="preserve"> PAGEREF _Toc11276 \h </w:instrText>
      </w:r>
      <w:r>
        <w:fldChar w:fldCharType="separate"/>
      </w:r>
      <w:r>
        <w:t>9</w:t>
      </w:r>
      <w:r>
        <w:fldChar w:fldCharType="end"/>
      </w:r>
      <w:r>
        <w:fldChar w:fldCharType="end"/>
      </w:r>
    </w:p>
    <w:p w14:paraId="349F289B">
      <w:pPr>
        <w:pStyle w:val="19"/>
        <w:tabs>
          <w:tab w:val="right" w:leader="dot" w:pos="8845"/>
        </w:tabs>
        <w:ind w:firstLine="632"/>
      </w:pPr>
      <w:r>
        <w:fldChar w:fldCharType="begin"/>
      </w:r>
      <w:r>
        <w:instrText xml:space="preserve"> HYPERLINK \l "_Toc7270" </w:instrText>
      </w:r>
      <w:r>
        <w:fldChar w:fldCharType="separate"/>
      </w:r>
      <w:r>
        <w:rPr>
          <w:rFonts w:eastAsia="仿宋"/>
          <w:bCs/>
          <w:szCs w:val="28"/>
        </w:rPr>
        <w:t xml:space="preserve">4.3 </w:t>
      </w:r>
      <w:r>
        <w:rPr>
          <w:rFonts w:hint="eastAsia"/>
        </w:rPr>
        <w:t>分级应对与应急响应</w:t>
      </w:r>
      <w:r>
        <w:tab/>
      </w:r>
      <w:r>
        <w:fldChar w:fldCharType="begin"/>
      </w:r>
      <w:r>
        <w:instrText xml:space="preserve"> PAGEREF _Toc7270 \h </w:instrText>
      </w:r>
      <w:r>
        <w:fldChar w:fldCharType="separate"/>
      </w:r>
      <w:r>
        <w:t>10</w:t>
      </w:r>
      <w:r>
        <w:fldChar w:fldCharType="end"/>
      </w:r>
      <w:r>
        <w:fldChar w:fldCharType="end"/>
      </w:r>
    </w:p>
    <w:p w14:paraId="20C2E1C9">
      <w:pPr>
        <w:pStyle w:val="19"/>
        <w:tabs>
          <w:tab w:val="right" w:leader="dot" w:pos="8845"/>
        </w:tabs>
        <w:ind w:firstLine="632"/>
      </w:pPr>
      <w:r>
        <w:fldChar w:fldCharType="begin"/>
      </w:r>
      <w:r>
        <w:instrText xml:space="preserve"> HYPERLINK \l "_Toc17417" </w:instrText>
      </w:r>
      <w:r>
        <w:fldChar w:fldCharType="separate"/>
      </w:r>
      <w:r>
        <w:rPr>
          <w:rFonts w:eastAsia="仿宋"/>
          <w:bCs/>
          <w:szCs w:val="28"/>
        </w:rPr>
        <w:t xml:space="preserve">4.4 </w:t>
      </w:r>
      <w:r>
        <w:rPr>
          <w:rFonts w:hint="eastAsia"/>
        </w:rPr>
        <w:t>指挥协调</w:t>
      </w:r>
      <w:r>
        <w:tab/>
      </w:r>
      <w:r>
        <w:fldChar w:fldCharType="begin"/>
      </w:r>
      <w:r>
        <w:instrText xml:space="preserve"> PAGEREF _Toc17417 \h </w:instrText>
      </w:r>
      <w:r>
        <w:fldChar w:fldCharType="separate"/>
      </w:r>
      <w:r>
        <w:t>13</w:t>
      </w:r>
      <w:r>
        <w:fldChar w:fldCharType="end"/>
      </w:r>
      <w:r>
        <w:fldChar w:fldCharType="end"/>
      </w:r>
    </w:p>
    <w:p w14:paraId="6F1E9285">
      <w:pPr>
        <w:pStyle w:val="19"/>
        <w:tabs>
          <w:tab w:val="right" w:leader="dot" w:pos="8845"/>
        </w:tabs>
        <w:ind w:firstLine="632"/>
      </w:pPr>
      <w:r>
        <w:fldChar w:fldCharType="begin"/>
      </w:r>
      <w:r>
        <w:instrText xml:space="preserve"> HYPERLINK \l "_Toc7673" </w:instrText>
      </w:r>
      <w:r>
        <w:fldChar w:fldCharType="separate"/>
      </w:r>
      <w:r>
        <w:rPr>
          <w:rFonts w:eastAsia="仿宋"/>
          <w:bCs/>
          <w:szCs w:val="28"/>
        </w:rPr>
        <w:t xml:space="preserve">4.5 </w:t>
      </w:r>
      <w:r>
        <w:rPr>
          <w:rFonts w:hint="eastAsia"/>
        </w:rPr>
        <w:t>力量调集</w:t>
      </w:r>
      <w:r>
        <w:tab/>
      </w:r>
      <w:r>
        <w:fldChar w:fldCharType="begin"/>
      </w:r>
      <w:r>
        <w:instrText xml:space="preserve"> PAGEREF _Toc7673 \h </w:instrText>
      </w:r>
      <w:r>
        <w:fldChar w:fldCharType="separate"/>
      </w:r>
      <w:r>
        <w:t>13</w:t>
      </w:r>
      <w:r>
        <w:fldChar w:fldCharType="end"/>
      </w:r>
      <w:r>
        <w:fldChar w:fldCharType="end"/>
      </w:r>
    </w:p>
    <w:p w14:paraId="280C32A6">
      <w:pPr>
        <w:pStyle w:val="19"/>
        <w:tabs>
          <w:tab w:val="right" w:leader="dot" w:pos="8845"/>
        </w:tabs>
        <w:ind w:firstLine="632"/>
      </w:pPr>
      <w:r>
        <w:fldChar w:fldCharType="begin"/>
      </w:r>
      <w:r>
        <w:instrText xml:space="preserve"> HYPERLINK \l "_Toc11468" </w:instrText>
      </w:r>
      <w:r>
        <w:fldChar w:fldCharType="separate"/>
      </w:r>
      <w:r>
        <w:rPr>
          <w:rFonts w:eastAsia="仿宋"/>
          <w:bCs/>
          <w:szCs w:val="28"/>
        </w:rPr>
        <w:t xml:space="preserve">4.6 </w:t>
      </w:r>
      <w:r>
        <w:rPr>
          <w:rFonts w:hint="eastAsia"/>
        </w:rPr>
        <w:t>现场处置措施</w:t>
      </w:r>
      <w:r>
        <w:tab/>
      </w:r>
      <w:r>
        <w:fldChar w:fldCharType="begin"/>
      </w:r>
      <w:r>
        <w:instrText xml:space="preserve"> PAGEREF _Toc11468 \h </w:instrText>
      </w:r>
      <w:r>
        <w:fldChar w:fldCharType="separate"/>
      </w:r>
      <w:r>
        <w:t>14</w:t>
      </w:r>
      <w:r>
        <w:fldChar w:fldCharType="end"/>
      </w:r>
      <w:r>
        <w:fldChar w:fldCharType="end"/>
      </w:r>
    </w:p>
    <w:p w14:paraId="35B57963">
      <w:pPr>
        <w:pStyle w:val="19"/>
        <w:tabs>
          <w:tab w:val="right" w:leader="dot" w:pos="8845"/>
        </w:tabs>
        <w:ind w:firstLine="632"/>
      </w:pPr>
      <w:r>
        <w:fldChar w:fldCharType="begin"/>
      </w:r>
      <w:r>
        <w:instrText xml:space="preserve"> HYPERLINK \l "_Toc15582" </w:instrText>
      </w:r>
      <w:r>
        <w:fldChar w:fldCharType="separate"/>
      </w:r>
      <w:r>
        <w:rPr>
          <w:rFonts w:eastAsia="仿宋"/>
          <w:bCs/>
          <w:szCs w:val="28"/>
        </w:rPr>
        <w:t xml:space="preserve">4.7 </w:t>
      </w:r>
      <w:r>
        <w:rPr>
          <w:rFonts w:hint="eastAsia"/>
        </w:rPr>
        <w:t>安全防护</w:t>
      </w:r>
      <w:r>
        <w:tab/>
      </w:r>
      <w:r>
        <w:fldChar w:fldCharType="begin"/>
      </w:r>
      <w:r>
        <w:instrText xml:space="preserve"> PAGEREF _Toc15582 \h </w:instrText>
      </w:r>
      <w:r>
        <w:fldChar w:fldCharType="separate"/>
      </w:r>
      <w:r>
        <w:t>15</w:t>
      </w:r>
      <w:r>
        <w:fldChar w:fldCharType="end"/>
      </w:r>
      <w:r>
        <w:fldChar w:fldCharType="end"/>
      </w:r>
    </w:p>
    <w:p w14:paraId="4CB09CDC">
      <w:pPr>
        <w:pStyle w:val="19"/>
        <w:tabs>
          <w:tab w:val="right" w:leader="dot" w:pos="8845"/>
        </w:tabs>
        <w:ind w:firstLine="632"/>
      </w:pPr>
      <w:r>
        <w:fldChar w:fldCharType="begin"/>
      </w:r>
      <w:r>
        <w:instrText xml:space="preserve"> HYPERLINK \l "_Toc24505" </w:instrText>
      </w:r>
      <w:r>
        <w:fldChar w:fldCharType="separate"/>
      </w:r>
      <w:r>
        <w:rPr>
          <w:rFonts w:eastAsia="仿宋"/>
          <w:bCs/>
          <w:szCs w:val="28"/>
        </w:rPr>
        <w:t xml:space="preserve">4.8 </w:t>
      </w:r>
      <w:r>
        <w:rPr>
          <w:rFonts w:hint="eastAsia"/>
        </w:rPr>
        <w:t>信息发布</w:t>
      </w:r>
      <w:r>
        <w:tab/>
      </w:r>
      <w:r>
        <w:fldChar w:fldCharType="begin"/>
      </w:r>
      <w:r>
        <w:instrText xml:space="preserve"> PAGEREF _Toc24505 \h </w:instrText>
      </w:r>
      <w:r>
        <w:fldChar w:fldCharType="separate"/>
      </w:r>
      <w:r>
        <w:t>15</w:t>
      </w:r>
      <w:r>
        <w:fldChar w:fldCharType="end"/>
      </w:r>
      <w:r>
        <w:fldChar w:fldCharType="end"/>
      </w:r>
    </w:p>
    <w:p w14:paraId="597A6E9B">
      <w:pPr>
        <w:pStyle w:val="19"/>
        <w:tabs>
          <w:tab w:val="right" w:leader="dot" w:pos="8845"/>
        </w:tabs>
        <w:ind w:firstLine="632"/>
      </w:pPr>
      <w:r>
        <w:fldChar w:fldCharType="begin"/>
      </w:r>
      <w:r>
        <w:instrText xml:space="preserve"> HYPERLINK \l "_Toc9188" </w:instrText>
      </w:r>
      <w:r>
        <w:fldChar w:fldCharType="separate"/>
      </w:r>
      <w:r>
        <w:rPr>
          <w:rFonts w:eastAsia="仿宋"/>
          <w:bCs/>
          <w:szCs w:val="28"/>
        </w:rPr>
        <w:t xml:space="preserve">4.9 </w:t>
      </w:r>
      <w:r>
        <w:rPr>
          <w:rFonts w:hint="eastAsia"/>
        </w:rPr>
        <w:t>响应终止</w:t>
      </w:r>
      <w:r>
        <w:tab/>
      </w:r>
      <w:r>
        <w:fldChar w:fldCharType="begin"/>
      </w:r>
      <w:r>
        <w:instrText xml:space="preserve"> PAGEREF _Toc9188 \h </w:instrText>
      </w:r>
      <w:r>
        <w:fldChar w:fldCharType="separate"/>
      </w:r>
      <w:r>
        <w:t>16</w:t>
      </w:r>
      <w:r>
        <w:fldChar w:fldCharType="end"/>
      </w:r>
      <w:r>
        <w:fldChar w:fldCharType="end"/>
      </w:r>
    </w:p>
    <w:p w14:paraId="02F2374A">
      <w:pPr>
        <w:pStyle w:val="18"/>
      </w:pPr>
      <w:r>
        <w:fldChar w:fldCharType="begin"/>
      </w:r>
      <w:r>
        <w:instrText xml:space="preserve"> HYPERLINK \l "_Toc8026" </w:instrText>
      </w:r>
      <w:r>
        <w:fldChar w:fldCharType="separate"/>
      </w:r>
      <w:r>
        <w:rPr>
          <w:rFonts w:eastAsia="仿宋"/>
        </w:rPr>
        <w:t xml:space="preserve">5 </w:t>
      </w:r>
      <w:r>
        <w:rPr>
          <w:rFonts w:hint="eastAsia"/>
        </w:rPr>
        <w:t>后期处置</w:t>
      </w:r>
      <w:r>
        <w:tab/>
      </w:r>
      <w:r>
        <w:fldChar w:fldCharType="begin"/>
      </w:r>
      <w:r>
        <w:instrText xml:space="preserve"> PAGEREF _Toc8026 \h </w:instrText>
      </w:r>
      <w:r>
        <w:fldChar w:fldCharType="separate"/>
      </w:r>
      <w:r>
        <w:t>16</w:t>
      </w:r>
      <w:r>
        <w:fldChar w:fldCharType="end"/>
      </w:r>
      <w:r>
        <w:fldChar w:fldCharType="end"/>
      </w:r>
    </w:p>
    <w:p w14:paraId="01838F50">
      <w:pPr>
        <w:pStyle w:val="19"/>
        <w:tabs>
          <w:tab w:val="right" w:leader="dot" w:pos="8845"/>
        </w:tabs>
        <w:ind w:firstLine="632"/>
      </w:pPr>
      <w:r>
        <w:fldChar w:fldCharType="begin"/>
      </w:r>
      <w:r>
        <w:instrText xml:space="preserve"> HYPERLINK \l "_Toc10885" </w:instrText>
      </w:r>
      <w:r>
        <w:fldChar w:fldCharType="separate"/>
      </w:r>
      <w:r>
        <w:rPr>
          <w:rFonts w:eastAsia="仿宋"/>
          <w:bCs/>
          <w:szCs w:val="28"/>
        </w:rPr>
        <w:t xml:space="preserve">5.1 </w:t>
      </w:r>
      <w:r>
        <w:rPr>
          <w:rFonts w:hint="eastAsia"/>
        </w:rPr>
        <w:t>现场移交</w:t>
      </w:r>
      <w:r>
        <w:tab/>
      </w:r>
      <w:r>
        <w:fldChar w:fldCharType="begin"/>
      </w:r>
      <w:r>
        <w:instrText xml:space="preserve"> PAGEREF _Toc10885 \h </w:instrText>
      </w:r>
      <w:r>
        <w:fldChar w:fldCharType="separate"/>
      </w:r>
      <w:r>
        <w:t>16</w:t>
      </w:r>
      <w:r>
        <w:fldChar w:fldCharType="end"/>
      </w:r>
      <w:r>
        <w:fldChar w:fldCharType="end"/>
      </w:r>
    </w:p>
    <w:p w14:paraId="1F5C8E41">
      <w:pPr>
        <w:pStyle w:val="19"/>
        <w:tabs>
          <w:tab w:val="right" w:leader="dot" w:pos="8845"/>
        </w:tabs>
        <w:ind w:firstLine="632"/>
      </w:pPr>
      <w:r>
        <w:fldChar w:fldCharType="begin"/>
      </w:r>
      <w:r>
        <w:instrText xml:space="preserve"> HYPERLINK \l "_Toc20496" </w:instrText>
      </w:r>
      <w:r>
        <w:fldChar w:fldCharType="separate"/>
      </w:r>
      <w:r>
        <w:rPr>
          <w:rFonts w:eastAsia="仿宋"/>
          <w:bCs/>
          <w:szCs w:val="28"/>
        </w:rPr>
        <w:t xml:space="preserve">5.2 </w:t>
      </w:r>
      <w:r>
        <w:rPr>
          <w:rFonts w:hint="eastAsia"/>
        </w:rPr>
        <w:t>火灾善后</w:t>
      </w:r>
      <w:r>
        <w:tab/>
      </w:r>
      <w:r>
        <w:fldChar w:fldCharType="begin"/>
      </w:r>
      <w:r>
        <w:instrText xml:space="preserve"> PAGEREF _Toc20496 \h </w:instrText>
      </w:r>
      <w:r>
        <w:fldChar w:fldCharType="separate"/>
      </w:r>
      <w:r>
        <w:t>16</w:t>
      </w:r>
      <w:r>
        <w:fldChar w:fldCharType="end"/>
      </w:r>
      <w:r>
        <w:fldChar w:fldCharType="end"/>
      </w:r>
    </w:p>
    <w:p w14:paraId="7AA06859">
      <w:pPr>
        <w:pStyle w:val="19"/>
        <w:tabs>
          <w:tab w:val="right" w:leader="dot" w:pos="8845"/>
        </w:tabs>
        <w:ind w:firstLine="632"/>
      </w:pPr>
      <w:r>
        <w:fldChar w:fldCharType="begin"/>
      </w:r>
      <w:r>
        <w:instrText xml:space="preserve"> HYPERLINK \l "_Toc2877" </w:instrText>
      </w:r>
      <w:r>
        <w:fldChar w:fldCharType="separate"/>
      </w:r>
      <w:r>
        <w:rPr>
          <w:rFonts w:eastAsia="仿宋"/>
          <w:bCs/>
          <w:szCs w:val="28"/>
        </w:rPr>
        <w:t xml:space="preserve">5.3 </w:t>
      </w:r>
      <w:r>
        <w:rPr>
          <w:rFonts w:hint="eastAsia"/>
        </w:rPr>
        <w:t>调查与评估</w:t>
      </w:r>
      <w:r>
        <w:tab/>
      </w:r>
      <w:r>
        <w:fldChar w:fldCharType="begin"/>
      </w:r>
      <w:r>
        <w:instrText xml:space="preserve"> PAGEREF _Toc2877 \h </w:instrText>
      </w:r>
      <w:r>
        <w:fldChar w:fldCharType="separate"/>
      </w:r>
      <w:r>
        <w:t>17</w:t>
      </w:r>
      <w:r>
        <w:fldChar w:fldCharType="end"/>
      </w:r>
      <w:r>
        <w:fldChar w:fldCharType="end"/>
      </w:r>
    </w:p>
    <w:p w14:paraId="38DFF156">
      <w:pPr>
        <w:pStyle w:val="18"/>
      </w:pPr>
      <w:r>
        <w:fldChar w:fldCharType="begin"/>
      </w:r>
      <w:r>
        <w:instrText xml:space="preserve"> HYPERLINK \l "_Toc4988" </w:instrText>
      </w:r>
      <w:r>
        <w:fldChar w:fldCharType="separate"/>
      </w:r>
      <w:r>
        <w:rPr>
          <w:rFonts w:eastAsia="仿宋"/>
        </w:rPr>
        <w:t xml:space="preserve">6 </w:t>
      </w:r>
      <w:r>
        <w:rPr>
          <w:rFonts w:hint="eastAsia"/>
        </w:rPr>
        <w:t>应急保障</w:t>
      </w:r>
      <w:r>
        <w:tab/>
      </w:r>
      <w:r>
        <w:fldChar w:fldCharType="begin"/>
      </w:r>
      <w:r>
        <w:instrText xml:space="preserve"> PAGEREF _Toc4988 \h </w:instrText>
      </w:r>
      <w:r>
        <w:fldChar w:fldCharType="separate"/>
      </w:r>
      <w:r>
        <w:t>17</w:t>
      </w:r>
      <w:r>
        <w:fldChar w:fldCharType="end"/>
      </w:r>
      <w:r>
        <w:fldChar w:fldCharType="end"/>
      </w:r>
    </w:p>
    <w:p w14:paraId="59C29143">
      <w:pPr>
        <w:pStyle w:val="19"/>
        <w:tabs>
          <w:tab w:val="right" w:leader="dot" w:pos="8845"/>
        </w:tabs>
        <w:ind w:firstLine="632"/>
      </w:pPr>
      <w:r>
        <w:fldChar w:fldCharType="begin"/>
      </w:r>
      <w:r>
        <w:instrText xml:space="preserve"> HYPERLINK \l "_Toc21979" </w:instrText>
      </w:r>
      <w:r>
        <w:fldChar w:fldCharType="separate"/>
      </w:r>
      <w:r>
        <w:rPr>
          <w:rFonts w:eastAsia="仿宋"/>
          <w:bCs/>
          <w:szCs w:val="28"/>
        </w:rPr>
        <w:t xml:space="preserve">6.1 </w:t>
      </w:r>
      <w:r>
        <w:rPr>
          <w:rFonts w:hint="eastAsia"/>
        </w:rPr>
        <w:t>应急通信保障</w:t>
      </w:r>
      <w:r>
        <w:tab/>
      </w:r>
      <w:r>
        <w:fldChar w:fldCharType="begin"/>
      </w:r>
      <w:r>
        <w:instrText xml:space="preserve"> PAGEREF _Toc21979 \h </w:instrText>
      </w:r>
      <w:r>
        <w:fldChar w:fldCharType="separate"/>
      </w:r>
      <w:r>
        <w:t>17</w:t>
      </w:r>
      <w:r>
        <w:fldChar w:fldCharType="end"/>
      </w:r>
      <w:r>
        <w:fldChar w:fldCharType="end"/>
      </w:r>
    </w:p>
    <w:p w14:paraId="19B1F4D6">
      <w:pPr>
        <w:pStyle w:val="19"/>
        <w:tabs>
          <w:tab w:val="right" w:leader="dot" w:pos="8845"/>
        </w:tabs>
        <w:ind w:firstLine="632"/>
      </w:pPr>
      <w:r>
        <w:fldChar w:fldCharType="begin"/>
      </w:r>
      <w:r>
        <w:instrText xml:space="preserve"> HYPERLINK \l "_Toc9248" </w:instrText>
      </w:r>
      <w:r>
        <w:fldChar w:fldCharType="separate"/>
      </w:r>
      <w:r>
        <w:rPr>
          <w:rFonts w:eastAsia="仿宋"/>
          <w:bCs/>
          <w:szCs w:val="28"/>
        </w:rPr>
        <w:t xml:space="preserve">6.2 </w:t>
      </w:r>
      <w:r>
        <w:rPr>
          <w:rFonts w:hint="eastAsia"/>
        </w:rPr>
        <w:t>装备物资保障</w:t>
      </w:r>
      <w:r>
        <w:tab/>
      </w:r>
      <w:r>
        <w:fldChar w:fldCharType="begin"/>
      </w:r>
      <w:r>
        <w:instrText xml:space="preserve"> PAGEREF _Toc9248 \h </w:instrText>
      </w:r>
      <w:r>
        <w:fldChar w:fldCharType="separate"/>
      </w:r>
      <w:r>
        <w:t>17</w:t>
      </w:r>
      <w:r>
        <w:fldChar w:fldCharType="end"/>
      </w:r>
      <w:r>
        <w:fldChar w:fldCharType="end"/>
      </w:r>
    </w:p>
    <w:p w14:paraId="292394A5">
      <w:pPr>
        <w:pStyle w:val="19"/>
        <w:tabs>
          <w:tab w:val="right" w:leader="dot" w:pos="8845"/>
        </w:tabs>
        <w:ind w:firstLine="632"/>
      </w:pPr>
      <w:r>
        <w:fldChar w:fldCharType="begin"/>
      </w:r>
      <w:r>
        <w:instrText xml:space="preserve"> HYPERLINK \l "_Toc17690" </w:instrText>
      </w:r>
      <w:r>
        <w:fldChar w:fldCharType="separate"/>
      </w:r>
      <w:r>
        <w:rPr>
          <w:rFonts w:eastAsia="仿宋"/>
          <w:bCs/>
          <w:szCs w:val="28"/>
        </w:rPr>
        <w:t xml:space="preserve">6.3 </w:t>
      </w:r>
      <w:r>
        <w:rPr>
          <w:rFonts w:hint="eastAsia"/>
        </w:rPr>
        <w:t>专业力量保障</w:t>
      </w:r>
      <w:r>
        <w:tab/>
      </w:r>
      <w:r>
        <w:fldChar w:fldCharType="begin"/>
      </w:r>
      <w:r>
        <w:instrText xml:space="preserve"> PAGEREF _Toc17690 \h </w:instrText>
      </w:r>
      <w:r>
        <w:fldChar w:fldCharType="separate"/>
      </w:r>
      <w:r>
        <w:t>17</w:t>
      </w:r>
      <w:r>
        <w:fldChar w:fldCharType="end"/>
      </w:r>
      <w:r>
        <w:fldChar w:fldCharType="end"/>
      </w:r>
    </w:p>
    <w:p w14:paraId="4BB5DD0B">
      <w:pPr>
        <w:pStyle w:val="19"/>
        <w:tabs>
          <w:tab w:val="right" w:leader="dot" w:pos="8845"/>
        </w:tabs>
        <w:ind w:firstLine="632"/>
      </w:pPr>
      <w:r>
        <w:fldChar w:fldCharType="begin"/>
      </w:r>
      <w:r>
        <w:instrText xml:space="preserve"> HYPERLINK \l "_Toc6911" </w:instrText>
      </w:r>
      <w:r>
        <w:fldChar w:fldCharType="separate"/>
      </w:r>
      <w:r>
        <w:rPr>
          <w:rFonts w:eastAsia="仿宋"/>
          <w:bCs/>
          <w:szCs w:val="28"/>
        </w:rPr>
        <w:t xml:space="preserve">6.4 </w:t>
      </w:r>
      <w:r>
        <w:rPr>
          <w:rFonts w:hint="eastAsia"/>
        </w:rPr>
        <w:t>医疗卫生保障</w:t>
      </w:r>
      <w:r>
        <w:tab/>
      </w:r>
      <w:r>
        <w:fldChar w:fldCharType="begin"/>
      </w:r>
      <w:r>
        <w:instrText xml:space="preserve"> PAGEREF _Toc6911 \h </w:instrText>
      </w:r>
      <w:r>
        <w:fldChar w:fldCharType="separate"/>
      </w:r>
      <w:r>
        <w:t>18</w:t>
      </w:r>
      <w:r>
        <w:fldChar w:fldCharType="end"/>
      </w:r>
      <w:r>
        <w:fldChar w:fldCharType="end"/>
      </w:r>
    </w:p>
    <w:p w14:paraId="60866539">
      <w:pPr>
        <w:pStyle w:val="19"/>
        <w:tabs>
          <w:tab w:val="right" w:leader="dot" w:pos="8845"/>
        </w:tabs>
        <w:ind w:firstLine="632"/>
      </w:pPr>
      <w:r>
        <w:fldChar w:fldCharType="begin"/>
      </w:r>
      <w:r>
        <w:instrText xml:space="preserve"> HYPERLINK \l "_Toc6725" </w:instrText>
      </w:r>
      <w:r>
        <w:fldChar w:fldCharType="separate"/>
      </w:r>
      <w:r>
        <w:rPr>
          <w:rFonts w:eastAsia="仿宋"/>
          <w:bCs/>
          <w:szCs w:val="28"/>
        </w:rPr>
        <w:t xml:space="preserve">6.5 </w:t>
      </w:r>
      <w:r>
        <w:rPr>
          <w:rFonts w:hint="eastAsia"/>
        </w:rPr>
        <w:t>交通运输保障</w:t>
      </w:r>
      <w:r>
        <w:tab/>
      </w:r>
      <w:r>
        <w:fldChar w:fldCharType="begin"/>
      </w:r>
      <w:r>
        <w:instrText xml:space="preserve"> PAGEREF _Toc6725 \h </w:instrText>
      </w:r>
      <w:r>
        <w:fldChar w:fldCharType="separate"/>
      </w:r>
      <w:r>
        <w:t>18</w:t>
      </w:r>
      <w:r>
        <w:fldChar w:fldCharType="end"/>
      </w:r>
      <w:r>
        <w:fldChar w:fldCharType="end"/>
      </w:r>
    </w:p>
    <w:p w14:paraId="169DD1F4">
      <w:pPr>
        <w:pStyle w:val="19"/>
        <w:tabs>
          <w:tab w:val="right" w:leader="dot" w:pos="8845"/>
        </w:tabs>
        <w:ind w:firstLine="632"/>
      </w:pPr>
      <w:r>
        <w:fldChar w:fldCharType="begin"/>
      </w:r>
      <w:r>
        <w:instrText xml:space="preserve"> HYPERLINK \l "_Toc22343" </w:instrText>
      </w:r>
      <w:r>
        <w:fldChar w:fldCharType="separate"/>
      </w:r>
      <w:r>
        <w:rPr>
          <w:rFonts w:eastAsia="仿宋"/>
          <w:bCs/>
          <w:szCs w:val="28"/>
        </w:rPr>
        <w:t xml:space="preserve">6.6 </w:t>
      </w:r>
      <w:r>
        <w:rPr>
          <w:rFonts w:hint="eastAsia"/>
        </w:rPr>
        <w:t>现场秩序保障</w:t>
      </w:r>
      <w:r>
        <w:tab/>
      </w:r>
      <w:r>
        <w:fldChar w:fldCharType="begin"/>
      </w:r>
      <w:r>
        <w:instrText xml:space="preserve"> PAGEREF _Toc22343 \h </w:instrText>
      </w:r>
      <w:r>
        <w:fldChar w:fldCharType="separate"/>
      </w:r>
      <w:r>
        <w:t>18</w:t>
      </w:r>
      <w:r>
        <w:fldChar w:fldCharType="end"/>
      </w:r>
      <w:r>
        <w:fldChar w:fldCharType="end"/>
      </w:r>
    </w:p>
    <w:p w14:paraId="29672374">
      <w:pPr>
        <w:pStyle w:val="19"/>
        <w:tabs>
          <w:tab w:val="right" w:leader="dot" w:pos="8845"/>
        </w:tabs>
        <w:ind w:firstLine="632"/>
      </w:pPr>
      <w:r>
        <w:fldChar w:fldCharType="begin"/>
      </w:r>
      <w:r>
        <w:instrText xml:space="preserve"> HYPERLINK \l "_Toc30386" </w:instrText>
      </w:r>
      <w:r>
        <w:fldChar w:fldCharType="separate"/>
      </w:r>
      <w:r>
        <w:rPr>
          <w:rFonts w:eastAsia="仿宋"/>
          <w:bCs/>
          <w:szCs w:val="28"/>
        </w:rPr>
        <w:t xml:space="preserve">6.7 </w:t>
      </w:r>
      <w:r>
        <w:rPr>
          <w:rFonts w:hint="eastAsia"/>
        </w:rPr>
        <w:t>经费保障</w:t>
      </w:r>
      <w:r>
        <w:tab/>
      </w:r>
      <w:r>
        <w:fldChar w:fldCharType="begin"/>
      </w:r>
      <w:r>
        <w:instrText xml:space="preserve"> PAGEREF _Toc30386 \h </w:instrText>
      </w:r>
      <w:r>
        <w:fldChar w:fldCharType="separate"/>
      </w:r>
      <w:r>
        <w:t>18</w:t>
      </w:r>
      <w:r>
        <w:fldChar w:fldCharType="end"/>
      </w:r>
      <w:r>
        <w:fldChar w:fldCharType="end"/>
      </w:r>
    </w:p>
    <w:p w14:paraId="45F0DDF1">
      <w:pPr>
        <w:pStyle w:val="19"/>
        <w:tabs>
          <w:tab w:val="right" w:leader="dot" w:pos="8845"/>
        </w:tabs>
        <w:ind w:firstLine="632"/>
      </w:pPr>
      <w:r>
        <w:fldChar w:fldCharType="begin"/>
      </w:r>
      <w:r>
        <w:instrText xml:space="preserve"> HYPERLINK \l "_Toc16461" </w:instrText>
      </w:r>
      <w:r>
        <w:fldChar w:fldCharType="separate"/>
      </w:r>
      <w:r>
        <w:rPr>
          <w:rFonts w:eastAsia="仿宋"/>
          <w:bCs/>
          <w:szCs w:val="28"/>
        </w:rPr>
        <w:t xml:space="preserve">6.8 </w:t>
      </w:r>
      <w:r>
        <w:rPr>
          <w:rFonts w:hint="eastAsia"/>
        </w:rPr>
        <w:t>生活保障</w:t>
      </w:r>
      <w:r>
        <w:tab/>
      </w:r>
      <w:r>
        <w:fldChar w:fldCharType="begin"/>
      </w:r>
      <w:r>
        <w:instrText xml:space="preserve"> PAGEREF _Toc16461 \h </w:instrText>
      </w:r>
      <w:r>
        <w:fldChar w:fldCharType="separate"/>
      </w:r>
      <w:r>
        <w:t>18</w:t>
      </w:r>
      <w:r>
        <w:fldChar w:fldCharType="end"/>
      </w:r>
      <w:r>
        <w:fldChar w:fldCharType="end"/>
      </w:r>
    </w:p>
    <w:p w14:paraId="2ACA6636">
      <w:pPr>
        <w:pStyle w:val="19"/>
        <w:tabs>
          <w:tab w:val="right" w:leader="dot" w:pos="8845"/>
        </w:tabs>
        <w:ind w:firstLine="632"/>
      </w:pPr>
      <w:r>
        <w:fldChar w:fldCharType="begin"/>
      </w:r>
      <w:r>
        <w:instrText xml:space="preserve"> HYPERLINK \l "_Toc10837" </w:instrText>
      </w:r>
      <w:r>
        <w:fldChar w:fldCharType="separate"/>
      </w:r>
      <w:r>
        <w:rPr>
          <w:rFonts w:eastAsia="仿宋"/>
          <w:bCs/>
          <w:szCs w:val="28"/>
        </w:rPr>
        <w:t xml:space="preserve">6.9 </w:t>
      </w:r>
      <w:r>
        <w:rPr>
          <w:rFonts w:hint="eastAsia"/>
        </w:rPr>
        <w:t>宣传、培训和演练</w:t>
      </w:r>
      <w:r>
        <w:tab/>
      </w:r>
      <w:r>
        <w:fldChar w:fldCharType="begin"/>
      </w:r>
      <w:r>
        <w:instrText xml:space="preserve"> PAGEREF _Toc10837 \h </w:instrText>
      </w:r>
      <w:r>
        <w:fldChar w:fldCharType="separate"/>
      </w:r>
      <w:r>
        <w:t>18</w:t>
      </w:r>
      <w:r>
        <w:fldChar w:fldCharType="end"/>
      </w:r>
      <w:r>
        <w:fldChar w:fldCharType="end"/>
      </w:r>
    </w:p>
    <w:p w14:paraId="21ACDB67">
      <w:pPr>
        <w:pStyle w:val="18"/>
      </w:pPr>
      <w:r>
        <w:fldChar w:fldCharType="begin"/>
      </w:r>
      <w:r>
        <w:instrText xml:space="preserve"> HYPERLINK \l "_Toc7265" </w:instrText>
      </w:r>
      <w:r>
        <w:fldChar w:fldCharType="separate"/>
      </w:r>
      <w:r>
        <w:rPr>
          <w:rFonts w:eastAsia="仿宋"/>
        </w:rPr>
        <w:t xml:space="preserve">7 </w:t>
      </w:r>
      <w:r>
        <w:rPr>
          <w:rFonts w:hint="eastAsia"/>
        </w:rPr>
        <w:t>预案管理</w:t>
      </w:r>
      <w:r>
        <w:tab/>
      </w:r>
      <w:r>
        <w:fldChar w:fldCharType="begin"/>
      </w:r>
      <w:r>
        <w:instrText xml:space="preserve"> PAGEREF _Toc7265 \h </w:instrText>
      </w:r>
      <w:r>
        <w:fldChar w:fldCharType="separate"/>
      </w:r>
      <w:r>
        <w:t>19</w:t>
      </w:r>
      <w:r>
        <w:fldChar w:fldCharType="end"/>
      </w:r>
      <w:r>
        <w:fldChar w:fldCharType="end"/>
      </w:r>
    </w:p>
    <w:p w14:paraId="4901EF8B">
      <w:pPr>
        <w:pStyle w:val="19"/>
        <w:tabs>
          <w:tab w:val="right" w:leader="dot" w:pos="8845"/>
        </w:tabs>
        <w:ind w:firstLine="632"/>
      </w:pPr>
      <w:r>
        <w:fldChar w:fldCharType="begin"/>
      </w:r>
      <w:r>
        <w:instrText xml:space="preserve"> HYPERLINK \l "_Toc26562" </w:instrText>
      </w:r>
      <w:r>
        <w:fldChar w:fldCharType="separate"/>
      </w:r>
      <w:r>
        <w:rPr>
          <w:rFonts w:eastAsia="仿宋"/>
          <w:bCs/>
          <w:szCs w:val="28"/>
        </w:rPr>
        <w:t xml:space="preserve">7.1 </w:t>
      </w:r>
      <w:r>
        <w:rPr>
          <w:rFonts w:hint="eastAsia"/>
        </w:rPr>
        <w:t>预案编制、评估、修订</w:t>
      </w:r>
      <w:r>
        <w:tab/>
      </w:r>
      <w:r>
        <w:fldChar w:fldCharType="begin"/>
      </w:r>
      <w:r>
        <w:instrText xml:space="preserve"> PAGEREF _Toc26562 \h </w:instrText>
      </w:r>
      <w:r>
        <w:fldChar w:fldCharType="separate"/>
      </w:r>
      <w:r>
        <w:t>19</w:t>
      </w:r>
      <w:r>
        <w:fldChar w:fldCharType="end"/>
      </w:r>
      <w:r>
        <w:fldChar w:fldCharType="end"/>
      </w:r>
    </w:p>
    <w:p w14:paraId="5DAF5F74">
      <w:pPr>
        <w:pStyle w:val="19"/>
        <w:tabs>
          <w:tab w:val="right" w:leader="dot" w:pos="8845"/>
        </w:tabs>
        <w:ind w:firstLine="632"/>
      </w:pPr>
      <w:r>
        <w:fldChar w:fldCharType="begin"/>
      </w:r>
      <w:r>
        <w:instrText xml:space="preserve"> HYPERLINK \l "_Toc19266" </w:instrText>
      </w:r>
      <w:r>
        <w:fldChar w:fldCharType="separate"/>
      </w:r>
      <w:r>
        <w:rPr>
          <w:rFonts w:eastAsia="仿宋"/>
          <w:bCs/>
          <w:szCs w:val="28"/>
        </w:rPr>
        <w:t xml:space="preserve">7.2 </w:t>
      </w:r>
      <w:r>
        <w:rPr>
          <w:rFonts w:hint="eastAsia"/>
        </w:rPr>
        <w:t>责任与奖惩</w:t>
      </w:r>
      <w:r>
        <w:tab/>
      </w:r>
      <w:r>
        <w:fldChar w:fldCharType="begin"/>
      </w:r>
      <w:r>
        <w:instrText xml:space="preserve"> PAGEREF _Toc19266 \h </w:instrText>
      </w:r>
      <w:r>
        <w:fldChar w:fldCharType="separate"/>
      </w:r>
      <w:r>
        <w:t>19</w:t>
      </w:r>
      <w:r>
        <w:fldChar w:fldCharType="end"/>
      </w:r>
      <w:r>
        <w:fldChar w:fldCharType="end"/>
      </w:r>
    </w:p>
    <w:p w14:paraId="1211176A">
      <w:pPr>
        <w:pStyle w:val="18"/>
      </w:pPr>
      <w:r>
        <w:fldChar w:fldCharType="begin"/>
      </w:r>
      <w:r>
        <w:instrText xml:space="preserve"> HYPERLINK \l "_Toc4428" </w:instrText>
      </w:r>
      <w:r>
        <w:fldChar w:fldCharType="separate"/>
      </w:r>
      <w:r>
        <w:rPr>
          <w:rFonts w:eastAsia="仿宋"/>
        </w:rPr>
        <w:t xml:space="preserve">8 </w:t>
      </w:r>
      <w:r>
        <w:rPr>
          <w:rFonts w:hint="eastAsia"/>
        </w:rPr>
        <w:t>附则</w:t>
      </w:r>
      <w:r>
        <w:tab/>
      </w:r>
      <w:r>
        <w:fldChar w:fldCharType="begin"/>
      </w:r>
      <w:r>
        <w:instrText xml:space="preserve"> PAGEREF _Toc4428 \h </w:instrText>
      </w:r>
      <w:r>
        <w:fldChar w:fldCharType="separate"/>
      </w:r>
      <w:r>
        <w:t>19</w:t>
      </w:r>
      <w:r>
        <w:fldChar w:fldCharType="end"/>
      </w:r>
      <w:r>
        <w:fldChar w:fldCharType="end"/>
      </w:r>
    </w:p>
    <w:p w14:paraId="13DF571A">
      <w:pPr>
        <w:pStyle w:val="19"/>
        <w:tabs>
          <w:tab w:val="right" w:leader="dot" w:pos="8845"/>
        </w:tabs>
        <w:ind w:firstLine="632"/>
      </w:pPr>
      <w:r>
        <w:fldChar w:fldCharType="begin"/>
      </w:r>
      <w:r>
        <w:instrText xml:space="preserve"> HYPERLINK \l "_Toc26941" </w:instrText>
      </w:r>
      <w:r>
        <w:fldChar w:fldCharType="separate"/>
      </w:r>
      <w:r>
        <w:rPr>
          <w:rFonts w:eastAsia="仿宋"/>
          <w:bCs/>
          <w:szCs w:val="28"/>
        </w:rPr>
        <w:t xml:space="preserve">8.1 </w:t>
      </w:r>
      <w:r>
        <w:rPr>
          <w:rFonts w:hint="eastAsia"/>
        </w:rPr>
        <w:t>预案制定与解释</w:t>
      </w:r>
      <w:r>
        <w:tab/>
      </w:r>
      <w:r>
        <w:fldChar w:fldCharType="begin"/>
      </w:r>
      <w:r>
        <w:instrText xml:space="preserve"> PAGEREF _Toc26941 \h </w:instrText>
      </w:r>
      <w:r>
        <w:fldChar w:fldCharType="separate"/>
      </w:r>
      <w:r>
        <w:t>19</w:t>
      </w:r>
      <w:r>
        <w:fldChar w:fldCharType="end"/>
      </w:r>
      <w:r>
        <w:fldChar w:fldCharType="end"/>
      </w:r>
    </w:p>
    <w:p w14:paraId="2C017A1B">
      <w:pPr>
        <w:pStyle w:val="19"/>
        <w:tabs>
          <w:tab w:val="right" w:leader="dot" w:pos="8845"/>
        </w:tabs>
        <w:ind w:firstLine="632"/>
      </w:pPr>
      <w:r>
        <w:fldChar w:fldCharType="begin"/>
      </w:r>
      <w:r>
        <w:instrText xml:space="preserve"> HYPERLINK \l "_Toc12335" </w:instrText>
      </w:r>
      <w:r>
        <w:fldChar w:fldCharType="separate"/>
      </w:r>
      <w:r>
        <w:rPr>
          <w:rFonts w:eastAsia="仿宋"/>
          <w:bCs/>
          <w:szCs w:val="28"/>
        </w:rPr>
        <w:t xml:space="preserve">8.2 </w:t>
      </w:r>
      <w:r>
        <w:rPr>
          <w:rFonts w:hint="eastAsia"/>
        </w:rPr>
        <w:t>预案中“以上”“以下”的含义</w:t>
      </w:r>
      <w:r>
        <w:tab/>
      </w:r>
      <w:r>
        <w:fldChar w:fldCharType="begin"/>
      </w:r>
      <w:r>
        <w:instrText xml:space="preserve"> PAGEREF _Toc12335 \h </w:instrText>
      </w:r>
      <w:r>
        <w:fldChar w:fldCharType="separate"/>
      </w:r>
      <w:r>
        <w:t>19</w:t>
      </w:r>
      <w:r>
        <w:fldChar w:fldCharType="end"/>
      </w:r>
      <w:r>
        <w:fldChar w:fldCharType="end"/>
      </w:r>
    </w:p>
    <w:p w14:paraId="796D96FB">
      <w:pPr>
        <w:pStyle w:val="19"/>
        <w:tabs>
          <w:tab w:val="right" w:leader="dot" w:pos="8845"/>
        </w:tabs>
        <w:ind w:firstLine="632"/>
      </w:pPr>
      <w:r>
        <w:fldChar w:fldCharType="begin"/>
      </w:r>
      <w:r>
        <w:instrText xml:space="preserve"> HYPERLINK \l "_Toc18492" </w:instrText>
      </w:r>
      <w:r>
        <w:fldChar w:fldCharType="separate"/>
      </w:r>
      <w:r>
        <w:rPr>
          <w:rFonts w:eastAsia="仿宋"/>
          <w:bCs/>
          <w:szCs w:val="28"/>
        </w:rPr>
        <w:t xml:space="preserve">8.3 </w:t>
      </w:r>
      <w:r>
        <w:rPr>
          <w:rFonts w:hint="eastAsia"/>
        </w:rPr>
        <w:t>预案的实施</w:t>
      </w:r>
      <w:r>
        <w:tab/>
      </w:r>
      <w:r>
        <w:fldChar w:fldCharType="begin"/>
      </w:r>
      <w:r>
        <w:instrText xml:space="preserve"> PAGEREF _Toc18492 \h </w:instrText>
      </w:r>
      <w:r>
        <w:fldChar w:fldCharType="separate"/>
      </w:r>
      <w:r>
        <w:t>20</w:t>
      </w:r>
      <w:r>
        <w:fldChar w:fldCharType="end"/>
      </w:r>
      <w:r>
        <w:fldChar w:fldCharType="end"/>
      </w:r>
    </w:p>
    <w:p w14:paraId="598BC722">
      <w:pPr>
        <w:pStyle w:val="19"/>
        <w:tabs>
          <w:tab w:val="right" w:leader="dot" w:pos="8845"/>
        </w:tabs>
        <w:ind w:firstLine="632"/>
        <w:rPr>
          <w:rFonts w:ascii="黑体" w:hAnsi="黑体" w:eastAsia="黑体" w:cs="黑体"/>
          <w:szCs w:val="44"/>
        </w:rPr>
      </w:pPr>
      <w:r>
        <w:rPr>
          <w:rFonts w:hint="eastAsia" w:ascii="黑体" w:hAnsi="黑体" w:eastAsia="黑体" w:cs="黑体"/>
          <w:szCs w:val="44"/>
        </w:rPr>
        <w:fldChar w:fldCharType="end"/>
      </w:r>
    </w:p>
    <w:p w14:paraId="7322F951">
      <w:pPr>
        <w:ind w:firstLine="632"/>
        <w:sectPr>
          <w:footerReference r:id="rId52" w:type="default"/>
          <w:footerReference r:id="rId53" w:type="even"/>
          <w:pgSz w:w="11906" w:h="16838"/>
          <w:pgMar w:top="2098" w:right="1474" w:bottom="1984" w:left="1587" w:header="624" w:footer="1134" w:gutter="0"/>
          <w:pgNumType w:fmt="upperRoman" w:start="1"/>
          <w:cols w:space="720" w:num="1"/>
          <w:docGrid w:type="linesAndChars" w:linePitch="579" w:charSpace="-842"/>
        </w:sectPr>
      </w:pPr>
    </w:p>
    <w:p w14:paraId="33A06556">
      <w:pPr>
        <w:pStyle w:val="2"/>
        <w:numPr>
          <w:ilvl w:val="0"/>
          <w:numId w:val="133"/>
        </w:numPr>
        <w:tabs>
          <w:tab w:val="left" w:pos="0"/>
        </w:tabs>
      </w:pPr>
      <w:bookmarkStart w:id="631" w:name="_Toc7222"/>
      <w:r>
        <w:rPr>
          <w:rFonts w:hint="eastAsia"/>
        </w:rPr>
        <w:t>总则</w:t>
      </w:r>
      <w:bookmarkEnd w:id="631"/>
    </w:p>
    <w:p w14:paraId="57B0F37D">
      <w:pPr>
        <w:pStyle w:val="3"/>
        <w:numPr>
          <w:ilvl w:val="0"/>
          <w:numId w:val="133"/>
        </w:numPr>
        <w:tabs>
          <w:tab w:val="left" w:pos="0"/>
        </w:tabs>
      </w:pPr>
      <w:bookmarkStart w:id="632" w:name="_Toc17934"/>
      <w:r>
        <w:rPr>
          <w:rFonts w:hint="eastAsia"/>
        </w:rPr>
        <w:t>编制目的</w:t>
      </w:r>
      <w:bookmarkEnd w:id="632"/>
    </w:p>
    <w:p w14:paraId="532AFD6B">
      <w:pPr>
        <w:ind w:firstLine="632"/>
      </w:pPr>
      <w:r>
        <w:rPr>
          <w:rFonts w:hint="eastAsia"/>
        </w:rPr>
        <w:t>为深入贯彻习近平新时代中国特色社会主义思想，认真学习贯彻党的二十大精神和习近平总书记来陕考察重要讲话重要指示，忠诚践行习近平总书记重要训词精神，坚决防范化解火灾事故风险，规范全县重特大火灾事故应急处置工作，建立决策科学化、保障统筹化、防范系统化的火灾事故应急处置机制，最大限度减少人员伤亡和财产损失，保障人民群众生命和财产安全，维护社会稳定。</w:t>
      </w:r>
    </w:p>
    <w:p w14:paraId="637B6E8E">
      <w:pPr>
        <w:pStyle w:val="3"/>
        <w:numPr>
          <w:ilvl w:val="0"/>
          <w:numId w:val="133"/>
        </w:numPr>
        <w:tabs>
          <w:tab w:val="left" w:pos="0"/>
        </w:tabs>
      </w:pPr>
      <w:bookmarkStart w:id="633" w:name="_Toc6794"/>
      <w:r>
        <w:rPr>
          <w:rFonts w:hint="eastAsia"/>
        </w:rPr>
        <w:t>编制依据</w:t>
      </w:r>
      <w:bookmarkEnd w:id="633"/>
    </w:p>
    <w:p w14:paraId="543E497C">
      <w:pPr>
        <w:ind w:firstLine="632"/>
      </w:pPr>
      <w:r>
        <w:rPr>
          <w:rFonts w:hint="eastAsia"/>
        </w:rPr>
        <w:t>依据《中华人民共和国突发事件应对法》《中华人民共和国消防法》《黑龙江省消防条例》和《双鸭山市突发公共事件总体应急预案》《集贤县突发事件总体应急预案》等相关法律法规和规定，结合我县实际，制定本预案。</w:t>
      </w:r>
    </w:p>
    <w:p w14:paraId="05C4CDFE">
      <w:pPr>
        <w:pStyle w:val="3"/>
        <w:numPr>
          <w:ilvl w:val="0"/>
          <w:numId w:val="133"/>
        </w:numPr>
        <w:tabs>
          <w:tab w:val="left" w:pos="0"/>
        </w:tabs>
      </w:pPr>
      <w:bookmarkStart w:id="634" w:name="_Toc6717"/>
      <w:r>
        <w:rPr>
          <w:rFonts w:hint="eastAsia"/>
        </w:rPr>
        <w:t>适用范围</w:t>
      </w:r>
      <w:bookmarkEnd w:id="634"/>
    </w:p>
    <w:p w14:paraId="349A55D4">
      <w:pPr>
        <w:ind w:firstLine="632"/>
      </w:pPr>
      <w:r>
        <w:rPr>
          <w:rFonts w:hint="eastAsia"/>
        </w:rPr>
        <w:t>本预案适用于集贤县行政区域内发生的特别重大、重大火灾事故的应对处置以及需要启动本预案予以指导处置的较大、一般火灾事故。</w:t>
      </w:r>
    </w:p>
    <w:p w14:paraId="7DD2BF7D">
      <w:pPr>
        <w:pStyle w:val="3"/>
        <w:numPr>
          <w:ilvl w:val="0"/>
          <w:numId w:val="133"/>
        </w:numPr>
        <w:tabs>
          <w:tab w:val="left" w:pos="0"/>
        </w:tabs>
      </w:pPr>
      <w:bookmarkStart w:id="635" w:name="_Toc2592"/>
      <w:r>
        <w:rPr>
          <w:rFonts w:hint="eastAsia"/>
        </w:rPr>
        <w:t>工作原则</w:t>
      </w:r>
      <w:bookmarkEnd w:id="635"/>
    </w:p>
    <w:p w14:paraId="5D4AD60A">
      <w:pPr>
        <w:numPr>
          <w:ilvl w:val="0"/>
          <w:numId w:val="134"/>
        </w:numPr>
        <w:ind w:firstLine="632"/>
      </w:pPr>
      <w:r>
        <w:rPr>
          <w:rFonts w:hint="eastAsia"/>
        </w:rPr>
        <w:t>统一领导，分级负责。建立健全党委领导下的行政领导负责制，分级组织应对工作，按照各自职责和权限负责火灾事故的应急处置工作，保证灭火救援工作协调有序进行。</w:t>
      </w:r>
    </w:p>
    <w:p w14:paraId="5CD7C667">
      <w:pPr>
        <w:numPr>
          <w:ilvl w:val="0"/>
          <w:numId w:val="134"/>
        </w:numPr>
        <w:ind w:firstLine="632"/>
      </w:pPr>
      <w:r>
        <w:rPr>
          <w:rFonts w:hint="eastAsia"/>
        </w:rPr>
        <w:t>以人为本，科学施救。坚持人民至上、生命至上，把保障人民群众的生命安全、最大限度地预防和减少火灾事故造成的人员伤亡作为首要任务，加强救援人员的安全防护，规范应急救援程序，最大限度减少火灾事故造成的人员伤亡。</w:t>
      </w:r>
    </w:p>
    <w:p w14:paraId="3B3C4E6E">
      <w:pPr>
        <w:numPr>
          <w:ilvl w:val="0"/>
          <w:numId w:val="134"/>
        </w:numPr>
        <w:ind w:firstLine="632"/>
      </w:pPr>
      <w:r>
        <w:rPr>
          <w:rFonts w:hint="eastAsia"/>
        </w:rPr>
        <w:t>快速反应，协同作战。各相关部门按照各自职责和权限互相协调、快速响应、统一行动、密切协作，充分发挥各自职能优势，快速高效处置火灾事故。</w:t>
      </w:r>
    </w:p>
    <w:p w14:paraId="05E94E54">
      <w:pPr>
        <w:numPr>
          <w:ilvl w:val="0"/>
          <w:numId w:val="134"/>
        </w:numPr>
        <w:ind w:firstLine="632"/>
      </w:pPr>
      <w:r>
        <w:rPr>
          <w:rFonts w:hint="eastAsia"/>
        </w:rPr>
        <w:t>预防为主，防消结合。加强火灾预防和防火宣传教育，抓好队伍、装备建设以及预案演练等工作。</w:t>
      </w:r>
    </w:p>
    <w:p w14:paraId="7516575E">
      <w:pPr>
        <w:numPr>
          <w:ilvl w:val="0"/>
          <w:numId w:val="134"/>
        </w:numPr>
        <w:ind w:firstLine="632"/>
      </w:pPr>
      <w:r>
        <w:rPr>
          <w:rFonts w:hint="eastAsia"/>
        </w:rPr>
        <w:t>依法规范，科技赋能。依据有关法律和行政法规，推进火灾事故应对工作规范化、制度化。依靠科技提高火灾事故处置的科学化、专业化、智能化、精细化水平。</w:t>
      </w:r>
    </w:p>
    <w:p w14:paraId="673E2FB8">
      <w:pPr>
        <w:pStyle w:val="3"/>
        <w:numPr>
          <w:ilvl w:val="0"/>
          <w:numId w:val="133"/>
        </w:numPr>
        <w:tabs>
          <w:tab w:val="left" w:pos="0"/>
        </w:tabs>
      </w:pPr>
      <w:bookmarkStart w:id="636" w:name="_Toc31285"/>
      <w:r>
        <w:rPr>
          <w:rFonts w:hint="eastAsia"/>
        </w:rPr>
        <w:t>火灾事故等级</w:t>
      </w:r>
      <w:bookmarkEnd w:id="636"/>
    </w:p>
    <w:p w14:paraId="60B1533D">
      <w:pPr>
        <w:ind w:firstLine="632"/>
      </w:pPr>
      <w:r>
        <w:rPr>
          <w:rFonts w:hint="eastAsia"/>
        </w:rPr>
        <w:t>根据一次火灾造成的伤亡人数、直接财产损失，将火灾事故分为特别重大火灾事故（I级）、重大火灾事故（Ⅱ级）、较大火灾事故（Ⅲ级）、一般火灾事故（Ⅳ级）四个级别。</w:t>
      </w:r>
    </w:p>
    <w:p w14:paraId="09664608">
      <w:pPr>
        <w:ind w:firstLine="632"/>
      </w:pPr>
      <w:bookmarkStart w:id="637" w:name="_Toc1197"/>
      <w:r>
        <w:rPr>
          <w:rFonts w:hint="eastAsia"/>
        </w:rPr>
        <w:t>（1）特别重大火灾事故（I级）：造成30人以上死亡，或者100人以上重伤，或者1亿元以上直接财产损失的火灾；</w:t>
      </w:r>
    </w:p>
    <w:p w14:paraId="2C93750F">
      <w:pPr>
        <w:ind w:firstLine="632"/>
      </w:pPr>
      <w:r>
        <w:rPr>
          <w:rFonts w:hint="eastAsia"/>
        </w:rPr>
        <w:t>（2）重大火灾事故（Ⅱ级）：造成10人以上30人以下死亡，或者50人以上100人以下重伤，或者5000万元以上1亿元以下直接财产损失的火灾；</w:t>
      </w:r>
    </w:p>
    <w:p w14:paraId="0748D7F2">
      <w:pPr>
        <w:ind w:firstLine="632"/>
      </w:pPr>
      <w:r>
        <w:rPr>
          <w:rFonts w:hint="eastAsia"/>
        </w:rPr>
        <w:t>（3）较大火灾事故（Ⅲ级）：造成3人以上10人以下死亡，或者10人以上50人以下重伤，或者1000万元以上5000万元以下直接财产损失的火灾；</w:t>
      </w:r>
    </w:p>
    <w:p w14:paraId="413AB20E">
      <w:pPr>
        <w:ind w:firstLine="632"/>
      </w:pPr>
      <w:r>
        <w:rPr>
          <w:rFonts w:hint="eastAsia"/>
        </w:rPr>
        <w:t>（4）一般火灾事故（Ⅳ级）：造成3人以下死亡，或者10人以下重伤，或者1000万元以下直接财产损失的火灾。</w:t>
      </w:r>
    </w:p>
    <w:p w14:paraId="4518D694">
      <w:pPr>
        <w:pStyle w:val="2"/>
        <w:numPr>
          <w:ilvl w:val="0"/>
          <w:numId w:val="133"/>
        </w:numPr>
        <w:tabs>
          <w:tab w:val="left" w:pos="0"/>
        </w:tabs>
      </w:pPr>
      <w:r>
        <w:rPr>
          <w:rFonts w:hint="eastAsia"/>
        </w:rPr>
        <w:t>组织指挥体系</w:t>
      </w:r>
      <w:bookmarkEnd w:id="637"/>
    </w:p>
    <w:p w14:paraId="77E6ACCC">
      <w:pPr>
        <w:ind w:firstLine="632"/>
      </w:pPr>
      <w:r>
        <w:rPr>
          <w:rFonts w:hint="eastAsia"/>
        </w:rPr>
        <w:t>县消防安全委员会（县消安委）为全县火灾事故综合协调机构，负责组织、协调全县火灾事故处理各项工作，县消安委办公室设在县消防救援大队，承担县消安委日常工作。</w:t>
      </w:r>
    </w:p>
    <w:p w14:paraId="4848DCC0">
      <w:pPr>
        <w:ind w:firstLine="632"/>
      </w:pPr>
      <w:r>
        <w:rPr>
          <w:rFonts w:hint="eastAsia"/>
        </w:rPr>
        <w:t>县消安委成员单位按照各自职责做好火灾事故应急处理工作。</w:t>
      </w:r>
    </w:p>
    <w:p w14:paraId="5B358A1D">
      <w:pPr>
        <w:pStyle w:val="3"/>
        <w:numPr>
          <w:ilvl w:val="0"/>
          <w:numId w:val="133"/>
        </w:numPr>
        <w:tabs>
          <w:tab w:val="left" w:pos="0"/>
        </w:tabs>
      </w:pPr>
      <w:bookmarkStart w:id="638" w:name="_Toc18255"/>
      <w:r>
        <w:rPr>
          <w:rFonts w:hint="eastAsia"/>
        </w:rPr>
        <w:t>县重特大火灾事故应急指挥部</w:t>
      </w:r>
      <w:bookmarkEnd w:id="638"/>
    </w:p>
    <w:p w14:paraId="0D99D962">
      <w:pPr>
        <w:ind w:firstLine="632"/>
      </w:pPr>
      <w:r>
        <w:rPr>
          <w:rFonts w:hint="eastAsia"/>
        </w:rPr>
        <w:t>当预判可能达到或发生重大及以上火灾事故时，经县消防救援大队按程序报审后，成立县重特大火灾事故应急指挥部（以下简称“县指挥部”），统一负责组织领导、指挥协调全县重特大火灾事故的应对工作。总指挥为县人民政府联系消防工作的副县长、县应急管理局局长、县消防救援大队大队长、政治教导员，并根据需要成立现场指挥部。发生一般或较大火灾事故由县按规定成立应急指挥部。</w:t>
      </w:r>
    </w:p>
    <w:p w14:paraId="72340D74">
      <w:pPr>
        <w:ind w:firstLine="632"/>
      </w:pPr>
      <w:r>
        <w:rPr>
          <w:rFonts w:hint="eastAsia"/>
        </w:rPr>
        <w:t>县指挥部成员由县消防救援大队、县委宣传部、县公安局、县应急管理局、县民政局、县卫生健康局、双鸭山市集贤生态环境局等部门和单位负责同志担任。县火灾事故应急指挥部可根据应急处置实际需要，对指挥部领导和成员进行调整。</w:t>
      </w:r>
    </w:p>
    <w:p w14:paraId="429B58DD">
      <w:pPr>
        <w:ind w:firstLine="632"/>
      </w:pPr>
      <w:r>
        <w:rPr>
          <w:rFonts w:hint="eastAsia"/>
        </w:rPr>
        <w:t>县火灾事故应急指挥部下设办公室（以下简称县应急办），办公室设在县消防救援大队，负责指挥部的日常工作。</w:t>
      </w:r>
    </w:p>
    <w:p w14:paraId="218BB671">
      <w:pPr>
        <w:pStyle w:val="4"/>
        <w:numPr>
          <w:ilvl w:val="2"/>
          <w:numId w:val="133"/>
        </w:numPr>
        <w:tabs>
          <w:tab w:val="left" w:pos="0"/>
        </w:tabs>
      </w:pPr>
      <w:r>
        <w:rPr>
          <w:rFonts w:hint="eastAsia"/>
        </w:rPr>
        <w:t>县指挥部职责</w:t>
      </w:r>
    </w:p>
    <w:p w14:paraId="469AA401">
      <w:pPr>
        <w:numPr>
          <w:ilvl w:val="0"/>
          <w:numId w:val="135"/>
        </w:numPr>
        <w:ind w:firstLine="632"/>
      </w:pPr>
      <w:r>
        <w:rPr>
          <w:rFonts w:hint="eastAsia"/>
        </w:rPr>
        <w:t>贯彻落实党中央、国务院决策部署和省委、省政府，市委、市、县政府关于重特大火灾事故的工作要求，领导、组织、协调全县重特大火灾事故应急处置工作；</w:t>
      </w:r>
    </w:p>
    <w:p w14:paraId="1250DFA2">
      <w:pPr>
        <w:numPr>
          <w:ilvl w:val="0"/>
          <w:numId w:val="135"/>
        </w:numPr>
        <w:ind w:firstLine="632"/>
      </w:pPr>
      <w:r>
        <w:rPr>
          <w:rFonts w:hint="eastAsia"/>
        </w:rPr>
        <w:t>及时掌握火场事态变化情况，负责应急处置重大事项的决策，决定启动和终止重特大火灾事故应急响应；</w:t>
      </w:r>
    </w:p>
    <w:p w14:paraId="0E861DC5">
      <w:pPr>
        <w:numPr>
          <w:ilvl w:val="0"/>
          <w:numId w:val="135"/>
        </w:numPr>
        <w:ind w:firstLine="632"/>
      </w:pPr>
      <w:r>
        <w:rPr>
          <w:rFonts w:hint="eastAsia"/>
        </w:rPr>
        <w:t>设立现场指挥部，指定现场总指挥，统一调度各方力量实施灭火救援行动，发布工作指令，必要时协调驻安部队参与重特大火灾事故应急救援工作；</w:t>
      </w:r>
    </w:p>
    <w:p w14:paraId="046545E3">
      <w:pPr>
        <w:numPr>
          <w:ilvl w:val="0"/>
          <w:numId w:val="135"/>
        </w:numPr>
        <w:ind w:firstLine="632"/>
      </w:pPr>
      <w:r>
        <w:rPr>
          <w:rFonts w:hint="eastAsia"/>
        </w:rPr>
        <w:t>审议批准县火灾事故应急指挥部办公室提交的应急处置工作事项，组织指导重特大火灾事故信息发布等工作；</w:t>
      </w:r>
    </w:p>
    <w:p w14:paraId="3DA8CD89">
      <w:pPr>
        <w:numPr>
          <w:ilvl w:val="0"/>
          <w:numId w:val="135"/>
        </w:numPr>
        <w:ind w:firstLine="632"/>
      </w:pPr>
      <w:r>
        <w:rPr>
          <w:rFonts w:hint="eastAsia"/>
        </w:rPr>
        <w:t>按规定报告事故和救援情况，必要时请求增援。</w:t>
      </w:r>
    </w:p>
    <w:p w14:paraId="6DCEA2C0">
      <w:pPr>
        <w:pStyle w:val="4"/>
        <w:numPr>
          <w:ilvl w:val="2"/>
          <w:numId w:val="133"/>
        </w:numPr>
        <w:tabs>
          <w:tab w:val="left" w:pos="0"/>
        </w:tabs>
      </w:pPr>
      <w:r>
        <w:rPr>
          <w:rFonts w:hint="eastAsia"/>
        </w:rPr>
        <w:t>县应急办职责</w:t>
      </w:r>
    </w:p>
    <w:p w14:paraId="2209B913">
      <w:pPr>
        <w:numPr>
          <w:ilvl w:val="0"/>
          <w:numId w:val="115"/>
        </w:numPr>
        <w:ind w:firstLine="632"/>
      </w:pPr>
      <w:r>
        <w:rPr>
          <w:rFonts w:hint="eastAsia"/>
        </w:rPr>
        <w:t>贯彻落实县火灾事故应急指挥部的各项指示和部署；</w:t>
      </w:r>
    </w:p>
    <w:p w14:paraId="3E6059C6">
      <w:pPr>
        <w:numPr>
          <w:ilvl w:val="0"/>
          <w:numId w:val="115"/>
        </w:numPr>
        <w:ind w:firstLine="632"/>
      </w:pPr>
      <w:r>
        <w:rPr>
          <w:rFonts w:hint="eastAsia"/>
        </w:rPr>
        <w:t>按照县火灾事故应急指挥部工作指令，督促协调各成员单位及相关地区和部门做好各项应急处置等工作；</w:t>
      </w:r>
    </w:p>
    <w:p w14:paraId="1451D354">
      <w:pPr>
        <w:numPr>
          <w:ilvl w:val="0"/>
          <w:numId w:val="115"/>
        </w:numPr>
        <w:ind w:firstLine="632"/>
      </w:pPr>
      <w:r>
        <w:rPr>
          <w:rFonts w:hint="eastAsia"/>
        </w:rPr>
        <w:t>汇总、整理信息，及时向县火灾事故应急指挥部报告，并通报各成员单位；</w:t>
      </w:r>
    </w:p>
    <w:p w14:paraId="43A7B08A">
      <w:pPr>
        <w:numPr>
          <w:ilvl w:val="0"/>
          <w:numId w:val="115"/>
        </w:numPr>
        <w:ind w:firstLine="632"/>
      </w:pPr>
      <w:r>
        <w:rPr>
          <w:rFonts w:hint="eastAsia"/>
        </w:rPr>
        <w:t>组织有关部门和专家分析研究火灾事故情况和发展趋势，向县火灾事故应急指挥部提出决策建议；</w:t>
      </w:r>
    </w:p>
    <w:p w14:paraId="7AB4E95C">
      <w:pPr>
        <w:numPr>
          <w:ilvl w:val="0"/>
          <w:numId w:val="115"/>
        </w:numPr>
        <w:ind w:firstLine="632"/>
      </w:pPr>
      <w:r>
        <w:rPr>
          <w:rFonts w:hint="eastAsia"/>
        </w:rPr>
        <w:t>处置结束后，向县火灾事故应急指挥部提交应急处置总结报告；</w:t>
      </w:r>
    </w:p>
    <w:p w14:paraId="0BDC27C5">
      <w:pPr>
        <w:numPr>
          <w:ilvl w:val="0"/>
          <w:numId w:val="115"/>
        </w:numPr>
        <w:ind w:firstLine="632"/>
      </w:pPr>
      <w:r>
        <w:rPr>
          <w:rFonts w:hint="eastAsia"/>
        </w:rPr>
        <w:t>完成县火灾事故应急指挥部交办的其他任务。</w:t>
      </w:r>
    </w:p>
    <w:p w14:paraId="367C259D">
      <w:pPr>
        <w:pStyle w:val="3"/>
        <w:numPr>
          <w:ilvl w:val="0"/>
          <w:numId w:val="133"/>
        </w:numPr>
        <w:tabs>
          <w:tab w:val="left" w:pos="0"/>
        </w:tabs>
      </w:pPr>
      <w:bookmarkStart w:id="639" w:name="_Toc17078"/>
      <w:r>
        <w:rPr>
          <w:rFonts w:hint="eastAsia"/>
        </w:rPr>
        <w:t>现场指挥部及职责</w:t>
      </w:r>
      <w:bookmarkEnd w:id="639"/>
    </w:p>
    <w:p w14:paraId="63ED9275">
      <w:pPr>
        <w:ind w:firstLine="632"/>
      </w:pPr>
      <w:r>
        <w:rPr>
          <w:rFonts w:hint="eastAsia"/>
        </w:rPr>
        <w:t>县指挥部根据火场事态及处置需要，派出人员和工作组赶赴现场，成立县级现场指挥部，实行指挥长负责制，现场指挥部指挥长、副指挥长由县火灾事故应急指挥部指定。参与现场救援的各类应急力量到达现场后，应当及时与现场指挥部做好衔接，服从现场指挥部的安排，接受统一指挥调度，并及时报告现场救援进展情况。</w:t>
      </w:r>
    </w:p>
    <w:p w14:paraId="1F59C78E">
      <w:pPr>
        <w:ind w:firstLine="632"/>
      </w:pPr>
      <w:r>
        <w:rPr>
          <w:rFonts w:hint="eastAsia"/>
        </w:rPr>
        <w:t>县级现场指挥部设立后，相关部门先期已派出的工作组并入县级现场指挥部。事发地县级以下人民政府指挥部在县级现场指挥部统一指挥下开展工作。</w:t>
      </w:r>
    </w:p>
    <w:p w14:paraId="6928A54D">
      <w:pPr>
        <w:ind w:firstLine="632"/>
      </w:pPr>
      <w:r>
        <w:rPr>
          <w:rFonts w:hint="eastAsia"/>
        </w:rPr>
        <w:t>根据重特大火灾事故现场情况及应对处置需要，县级现场指挥部具体职责如下：</w:t>
      </w:r>
    </w:p>
    <w:p w14:paraId="28383E27">
      <w:pPr>
        <w:ind w:firstLine="632"/>
      </w:pPr>
      <w:r>
        <w:rPr>
          <w:rFonts w:hint="eastAsia"/>
        </w:rPr>
        <w:t>（1）传达落实县火灾事故应急指挥部的工作部署和指示，及时分析研判现场形势，组织制定并实施现场应急救援方案，指挥、协调有关单位和人员参加现场应急处置工作；</w:t>
      </w:r>
    </w:p>
    <w:p w14:paraId="774F43DE">
      <w:pPr>
        <w:ind w:firstLine="632"/>
      </w:pPr>
      <w:r>
        <w:rPr>
          <w:rFonts w:hint="eastAsia"/>
        </w:rPr>
        <w:t>（2）协调有关专家进行现场评估，提供技术支撑和辅助决策；</w:t>
      </w:r>
    </w:p>
    <w:p w14:paraId="43B98837">
      <w:pPr>
        <w:ind w:firstLine="632"/>
      </w:pPr>
      <w:r>
        <w:rPr>
          <w:rFonts w:hint="eastAsia"/>
        </w:rPr>
        <w:t>（3）集中调度社会力量与事发地救援力量开展联合救援；</w:t>
      </w:r>
    </w:p>
    <w:p w14:paraId="0B8684E7">
      <w:pPr>
        <w:ind w:firstLine="632"/>
      </w:pPr>
      <w:r>
        <w:rPr>
          <w:rFonts w:hint="eastAsia"/>
        </w:rPr>
        <w:t>（4）持续对火灾事故现场进行监测预测分析研判；</w:t>
      </w:r>
    </w:p>
    <w:p w14:paraId="5947E550">
      <w:pPr>
        <w:ind w:firstLine="632"/>
      </w:pPr>
      <w:r>
        <w:rPr>
          <w:rFonts w:hint="eastAsia"/>
        </w:rPr>
        <w:t>（5）统筹安排各类人员、物资、装备，综合协调通信、交通、医疗、后勤等保障；</w:t>
      </w:r>
    </w:p>
    <w:p w14:paraId="6E698FD3">
      <w:pPr>
        <w:ind w:firstLine="632"/>
      </w:pPr>
      <w:r>
        <w:rPr>
          <w:rFonts w:hint="eastAsia"/>
        </w:rPr>
        <w:t>（6）做好事发地现场舆情稳控和新闻发布工作；</w:t>
      </w:r>
    </w:p>
    <w:p w14:paraId="09E7CB43">
      <w:pPr>
        <w:ind w:firstLine="632"/>
      </w:pPr>
      <w:r>
        <w:rPr>
          <w:rFonts w:hint="eastAsia"/>
        </w:rPr>
        <w:t>（7）及时准确向县火灾事故应急指挥部报告现场应急处置工作进展情况和重要信息；</w:t>
      </w:r>
    </w:p>
    <w:p w14:paraId="25990449">
      <w:pPr>
        <w:ind w:firstLine="632"/>
      </w:pPr>
      <w:r>
        <w:rPr>
          <w:rFonts w:hint="eastAsia"/>
        </w:rPr>
        <w:t>（8）承担县火灾事故应急指挥部交办的其他任务。</w:t>
      </w:r>
    </w:p>
    <w:p w14:paraId="0EBB4196">
      <w:pPr>
        <w:ind w:firstLine="632"/>
      </w:pPr>
      <w:r>
        <w:rPr>
          <w:rFonts w:hint="eastAsia"/>
        </w:rPr>
        <w:t>县级现场指挥部下设七个工作小组，按照职责分工开展应急处置工作。</w:t>
      </w:r>
    </w:p>
    <w:p w14:paraId="45AE1D39">
      <w:pPr>
        <w:ind w:firstLine="632"/>
      </w:pPr>
      <w:r>
        <w:rPr>
          <w:rFonts w:hint="eastAsia"/>
        </w:rPr>
        <w:t>（1）灭火指挥组：由县消防救援大队牵头，国家综合性消防救援队伍、政府和企事业单位专职消防队伍及其他灭火救援力量组成。主要负责研判火情，组织专家进行火灾评估并提供技术支持，拟定具体应急救援行动方案，划分救援区域，明确力量编成，部署战斗任务，发布作战命令，组织指挥灭火救援行动。</w:t>
      </w:r>
    </w:p>
    <w:p w14:paraId="15CF4658">
      <w:pPr>
        <w:ind w:firstLine="632"/>
      </w:pPr>
      <w:r>
        <w:rPr>
          <w:rFonts w:hint="eastAsia"/>
        </w:rPr>
        <w:t>（2）秩序管控组：由县公安局牵头，武警、交通运输等部门组成。主要负责做好火灾现场秩序维护、车辆引导、人员管控和警戒、疏散人员车辆及交通管制等，保证救援现场交通畅通和秩序良好。</w:t>
      </w:r>
    </w:p>
    <w:p w14:paraId="05EA0D1B">
      <w:pPr>
        <w:ind w:firstLine="632"/>
      </w:pPr>
      <w:r>
        <w:rPr>
          <w:rFonts w:hint="eastAsia"/>
        </w:rPr>
        <w:t>（3）医疗救护组：由县卫生健康局牵头，相关医疗急救机构等组成。主要负责火灾事故现场受伤人员的救治、转运及疾病控制、卫生监督及防疫消杀等工作，并及时向现场指挥部报告人员伤亡情况。</w:t>
      </w:r>
    </w:p>
    <w:p w14:paraId="0362BC5D">
      <w:pPr>
        <w:ind w:firstLine="632"/>
      </w:pPr>
      <w:r>
        <w:rPr>
          <w:rFonts w:hint="eastAsia"/>
        </w:rPr>
        <w:t>（4）环境监测组：由县生态环境局牵头，县级住建、气象、自然资源等部门组成。主要负责对火灾事故现场及周边进行环境监测和安全评估，及时向现场指挥部报告有关情况，提出处置建议。</w:t>
      </w:r>
    </w:p>
    <w:p w14:paraId="7CD0A42B">
      <w:pPr>
        <w:ind w:firstLine="632"/>
      </w:pPr>
      <w:r>
        <w:rPr>
          <w:rFonts w:hint="eastAsia"/>
        </w:rPr>
        <w:t>（5）综合协调组：由事发地人民政府和县应急管理局牵头，县级发改、工信、民政、交通运输、住建、水利、商务、通信、电力等部门和相关成员单位组成。主要负责提供火灾事故处置所需的应急物资、特种车辆、运输保障、通信保障、电力保障、供水保障、生活保障等；负责转移安置受影响群众、调拨救灾物资和生活必需品、抚恤伤亡人员等处置工作。</w:t>
      </w:r>
    </w:p>
    <w:p w14:paraId="5DC8F5C9">
      <w:pPr>
        <w:ind w:firstLine="632"/>
      </w:pPr>
      <w:r>
        <w:rPr>
          <w:rFonts w:hint="eastAsia"/>
        </w:rPr>
        <w:t>（6）新闻宣传组：由县委宣传部牵头，县融媒体中心、消防等部门组成。主要负责协调新闻媒体做好宣传报道和舆论引导工作，召开新闻发布会，指导相关部门及时向社会发布权威信息。</w:t>
      </w:r>
    </w:p>
    <w:p w14:paraId="1FFC0641">
      <w:pPr>
        <w:ind w:firstLine="632"/>
      </w:pPr>
      <w:r>
        <w:rPr>
          <w:rFonts w:hint="eastAsia"/>
        </w:rPr>
        <w:t>（7）专家组：由县消防救援大队牵头，组织灭火救援专家为现场提供技术支持，辅助决策部署。</w:t>
      </w:r>
    </w:p>
    <w:p w14:paraId="3A440B1E">
      <w:pPr>
        <w:pStyle w:val="2"/>
        <w:numPr>
          <w:ilvl w:val="0"/>
          <w:numId w:val="133"/>
        </w:numPr>
        <w:tabs>
          <w:tab w:val="left" w:pos="0"/>
        </w:tabs>
      </w:pPr>
      <w:bookmarkStart w:id="640" w:name="_Toc2635"/>
      <w:r>
        <w:rPr>
          <w:rFonts w:hint="eastAsia"/>
        </w:rPr>
        <w:t>应急准备</w:t>
      </w:r>
      <w:bookmarkEnd w:id="640"/>
    </w:p>
    <w:p w14:paraId="1BC6CDB5">
      <w:pPr>
        <w:pStyle w:val="3"/>
        <w:numPr>
          <w:ilvl w:val="0"/>
          <w:numId w:val="133"/>
        </w:numPr>
        <w:tabs>
          <w:tab w:val="left" w:pos="0"/>
        </w:tabs>
      </w:pPr>
      <w:bookmarkStart w:id="641" w:name="_Toc15138"/>
      <w:r>
        <w:rPr>
          <w:rFonts w:hint="eastAsia"/>
        </w:rPr>
        <w:t>火灾预防</w:t>
      </w:r>
      <w:bookmarkEnd w:id="641"/>
    </w:p>
    <w:p w14:paraId="556A5CC0">
      <w:pPr>
        <w:numPr>
          <w:ilvl w:val="0"/>
          <w:numId w:val="136"/>
        </w:numPr>
        <w:ind w:firstLine="632"/>
      </w:pPr>
      <w:r>
        <w:rPr>
          <w:rFonts w:hint="eastAsia"/>
        </w:rPr>
        <w:t>全县各级人民政府应当将包括消防安全布局、消防站、消防供水、消防通信、消防车通道、消防装备等内容的消防规划纳入城乡规划体系，并负责组织有关主管部门实施。公共消防设施、消防装备不足或者不适应实际需要的，应当增建、改建、配置或者进行技术改造，不断提高火灾处置能力。</w:t>
      </w:r>
    </w:p>
    <w:p w14:paraId="2F2C4D24">
      <w:pPr>
        <w:numPr>
          <w:ilvl w:val="0"/>
          <w:numId w:val="136"/>
        </w:numPr>
        <w:ind w:firstLine="632"/>
      </w:pPr>
      <w:r>
        <w:rPr>
          <w:rFonts w:hint="eastAsia"/>
        </w:rPr>
        <w:t>全县各级人民政府及相关部门应加强火灾风险分析，在重大节假日及火灾多发季节等时期，应定期对本区域、行业领域开展火灾风险研判，结合本地产业结构、城乡经济社会发展状况，定期开展火灾风险点、危险源判定，梳理出重点场所和区域，制定针对性加强措施。</w:t>
      </w:r>
    </w:p>
    <w:p w14:paraId="68BF68C8">
      <w:pPr>
        <w:numPr>
          <w:ilvl w:val="0"/>
          <w:numId w:val="136"/>
        </w:numPr>
        <w:ind w:firstLine="632"/>
      </w:pPr>
      <w:r>
        <w:rPr>
          <w:rFonts w:hint="eastAsia"/>
        </w:rPr>
        <w:t>全县各级人民政府应健全消防安全责任体系，宣贯落实消防法律法规和制度文件，压紧压实消防主体责任。加强重点行业领域消防管控，实施标准化、规范化管理，构建消防基层治理体系。</w:t>
      </w:r>
    </w:p>
    <w:p w14:paraId="0C85975C">
      <w:pPr>
        <w:pStyle w:val="3"/>
        <w:numPr>
          <w:ilvl w:val="0"/>
          <w:numId w:val="133"/>
        </w:numPr>
        <w:tabs>
          <w:tab w:val="left" w:pos="0"/>
        </w:tabs>
      </w:pPr>
      <w:bookmarkStart w:id="642" w:name="_Toc13064"/>
      <w:r>
        <w:rPr>
          <w:rFonts w:hint="eastAsia"/>
        </w:rPr>
        <w:t>风险防控</w:t>
      </w:r>
      <w:bookmarkEnd w:id="642"/>
    </w:p>
    <w:p w14:paraId="4A441EF4">
      <w:pPr>
        <w:ind w:firstLine="632"/>
      </w:pPr>
      <w:r>
        <w:rPr>
          <w:rFonts w:hint="eastAsia"/>
        </w:rPr>
        <w:t>按照“关口前移、重心下沉、源头管控”的原则，建立健全火灾事故风险辨识、分析、会商、研判、防控等制度，从源头上防范化解重大风险。对重大关键基础设施、重大风险隐患、重大活动要按照“谁经营、谁主管、谁举办、谁负责”的原则，依法对行业（领域）内火灾风险点、危险源进行调查、辨识、评估、分级、登记，建立台账，定期进行检查、监控，落实风险防控责任，采取防范化解措施。</w:t>
      </w:r>
    </w:p>
    <w:p w14:paraId="5E516B49">
      <w:pPr>
        <w:pStyle w:val="3"/>
        <w:numPr>
          <w:ilvl w:val="0"/>
          <w:numId w:val="133"/>
        </w:numPr>
        <w:tabs>
          <w:tab w:val="left" w:pos="0"/>
        </w:tabs>
      </w:pPr>
      <w:bookmarkStart w:id="643" w:name="_Toc2178"/>
      <w:r>
        <w:rPr>
          <w:rFonts w:hint="eastAsia"/>
        </w:rPr>
        <w:t>应急值守</w:t>
      </w:r>
      <w:bookmarkEnd w:id="643"/>
    </w:p>
    <w:p w14:paraId="56DBA6DB">
      <w:pPr>
        <w:ind w:firstLine="632"/>
      </w:pPr>
      <w:r>
        <w:rPr>
          <w:rFonts w:hint="eastAsia"/>
        </w:rPr>
        <w:t>市119指挥中心实行24小时值班制度，建立健全全县各级全勤指挥部值班，迅速、准确受理火灾报警；县火灾事故应急指挥部各成员单位要建立应急值守制度，确保一旦发生火灾事故，县火灾事故应急指挥部办公室能在第一时间与各成员单位联络。</w:t>
      </w:r>
    </w:p>
    <w:p w14:paraId="3BC3A488">
      <w:pPr>
        <w:pStyle w:val="2"/>
        <w:numPr>
          <w:ilvl w:val="0"/>
          <w:numId w:val="133"/>
        </w:numPr>
        <w:tabs>
          <w:tab w:val="left" w:pos="0"/>
        </w:tabs>
      </w:pPr>
      <w:bookmarkStart w:id="644" w:name="_Toc31555"/>
      <w:r>
        <w:rPr>
          <w:rFonts w:hint="eastAsia"/>
        </w:rPr>
        <w:t>应急响应</w:t>
      </w:r>
      <w:bookmarkEnd w:id="644"/>
    </w:p>
    <w:p w14:paraId="504AFE89">
      <w:pPr>
        <w:pStyle w:val="3"/>
        <w:numPr>
          <w:ilvl w:val="0"/>
          <w:numId w:val="133"/>
        </w:numPr>
        <w:tabs>
          <w:tab w:val="left" w:pos="0"/>
        </w:tabs>
      </w:pPr>
      <w:r>
        <w:rPr>
          <w:rFonts w:hint="eastAsia"/>
        </w:rPr>
        <w:t xml:space="preserve"> </w:t>
      </w:r>
      <w:bookmarkStart w:id="645" w:name="_Toc2403"/>
      <w:r>
        <w:rPr>
          <w:rFonts w:hint="eastAsia"/>
        </w:rPr>
        <w:t>信息报告</w:t>
      </w:r>
      <w:bookmarkEnd w:id="645"/>
    </w:p>
    <w:p w14:paraId="549AB47B">
      <w:pPr>
        <w:pStyle w:val="4"/>
        <w:numPr>
          <w:ilvl w:val="2"/>
          <w:numId w:val="133"/>
        </w:numPr>
        <w:tabs>
          <w:tab w:val="left" w:pos="0"/>
        </w:tabs>
      </w:pPr>
      <w:r>
        <w:rPr>
          <w:rFonts w:hint="eastAsia"/>
        </w:rPr>
        <w:t>报告程序和时限</w:t>
      </w:r>
    </w:p>
    <w:p w14:paraId="12B2776B">
      <w:pPr>
        <w:ind w:firstLine="632"/>
      </w:pPr>
      <w:r>
        <w:rPr>
          <w:rFonts w:hint="eastAsia"/>
        </w:rPr>
        <w:t>县消防救援大队在接到火灾事故报警后，依据警情等级，按规定立即向县政府和市消防救援支队报告，最迟不得超过1小时，不得迟报、谎报、瞒报、漏报。重大节日、重要政治活动时期或发生在政治敏感区域、重要地区的火灾事故不受分级标准限制，应立即报告。</w:t>
      </w:r>
    </w:p>
    <w:p w14:paraId="6FBFB6A7">
      <w:pPr>
        <w:ind w:firstLine="632"/>
      </w:pPr>
      <w:r>
        <w:rPr>
          <w:rFonts w:hint="eastAsia"/>
        </w:rPr>
        <w:t>县消防救援大队要及时对火灾事故核实信息，并立即向县委、县政府报告，请求启动应急响应，并通知各成员单位进入应急响应状态。</w:t>
      </w:r>
    </w:p>
    <w:p w14:paraId="1366CF0A">
      <w:pPr>
        <w:pStyle w:val="4"/>
        <w:numPr>
          <w:ilvl w:val="2"/>
          <w:numId w:val="133"/>
        </w:numPr>
        <w:tabs>
          <w:tab w:val="left" w:pos="0"/>
        </w:tabs>
      </w:pPr>
      <w:r>
        <w:rPr>
          <w:rFonts w:hint="eastAsia"/>
        </w:rPr>
        <w:t>报告内容</w:t>
      </w:r>
    </w:p>
    <w:p w14:paraId="29168F7D">
      <w:pPr>
        <w:ind w:firstLine="632"/>
      </w:pPr>
      <w:r>
        <w:rPr>
          <w:rFonts w:hint="eastAsia"/>
        </w:rPr>
        <w:t>信息报告内容应当简明扼要，重要信息包括火灾事故发生时间、地点、信息来源、起火单位基本情况、火灾事故性质、人员被困及伤亡情况、基础设施损毁情况、现场救援情况和已采取的措施等，信息报告采取首报、续报和终报制度。</w:t>
      </w:r>
    </w:p>
    <w:p w14:paraId="1AD4ACD5">
      <w:pPr>
        <w:pStyle w:val="3"/>
        <w:numPr>
          <w:ilvl w:val="0"/>
          <w:numId w:val="133"/>
        </w:numPr>
        <w:tabs>
          <w:tab w:val="left" w:pos="0"/>
        </w:tabs>
      </w:pPr>
      <w:bookmarkStart w:id="646" w:name="_Toc11276"/>
      <w:r>
        <w:rPr>
          <w:rFonts w:hint="eastAsia"/>
        </w:rPr>
        <w:t>先期处置</w:t>
      </w:r>
      <w:bookmarkEnd w:id="646"/>
    </w:p>
    <w:p w14:paraId="3ACC7F69">
      <w:pPr>
        <w:ind w:firstLine="632"/>
      </w:pPr>
      <w:r>
        <w:rPr>
          <w:rFonts w:hint="eastAsia"/>
        </w:rPr>
        <w:t>火灾事故发生后，事发地人民政府应立即按照本级火灾事故应急预案，组织实施应急救援，全力控制火灾蔓延、扩大，严防次生灾害的发生，迅速疏散受灾人员、抢救受伤和受困人员，为后续救援工作创造有利条件，并将现场情况及时向上级人民政府及有关单位报告。</w:t>
      </w:r>
    </w:p>
    <w:p w14:paraId="40D8D05D">
      <w:pPr>
        <w:pStyle w:val="3"/>
        <w:numPr>
          <w:ilvl w:val="0"/>
          <w:numId w:val="133"/>
        </w:numPr>
        <w:tabs>
          <w:tab w:val="left" w:pos="0"/>
        </w:tabs>
      </w:pPr>
      <w:bookmarkStart w:id="647" w:name="_Toc7270"/>
      <w:r>
        <w:rPr>
          <w:rFonts w:hint="eastAsia"/>
        </w:rPr>
        <w:t>分级应对与应急响应</w:t>
      </w:r>
      <w:bookmarkEnd w:id="647"/>
    </w:p>
    <w:p w14:paraId="3B81FF48">
      <w:pPr>
        <w:pStyle w:val="4"/>
        <w:numPr>
          <w:ilvl w:val="2"/>
          <w:numId w:val="133"/>
        </w:numPr>
        <w:tabs>
          <w:tab w:val="left" w:pos="0"/>
        </w:tabs>
      </w:pPr>
      <w:r>
        <w:rPr>
          <w:rFonts w:hint="eastAsia"/>
        </w:rPr>
        <w:t>分级应对</w:t>
      </w:r>
    </w:p>
    <w:p w14:paraId="64352979">
      <w:pPr>
        <w:ind w:firstLine="632"/>
      </w:pPr>
      <w:r>
        <w:rPr>
          <w:rFonts w:hint="eastAsia"/>
        </w:rPr>
        <w:t>火灾事故应急处置工作遵循“分级应对、属地为主”的原则，根据火灾事故等级确定相应级别的火灾事故应急指挥机构。重特大、较大火灾事故由市人民政府负责应对。一般火灾事故由县（市、区）级人民政府负责应对。涉及跨县级行政区域的，由属地县级人民政府组织应对，必要时提请上级人民政府或相关部门负责应对。</w:t>
      </w:r>
    </w:p>
    <w:p w14:paraId="539EFF4B">
      <w:pPr>
        <w:pStyle w:val="4"/>
        <w:numPr>
          <w:ilvl w:val="2"/>
          <w:numId w:val="133"/>
        </w:numPr>
        <w:tabs>
          <w:tab w:val="left" w:pos="0"/>
        </w:tabs>
      </w:pPr>
      <w:r>
        <w:rPr>
          <w:rFonts w:hint="eastAsia"/>
        </w:rPr>
        <w:t>应急响应</w:t>
      </w:r>
    </w:p>
    <w:p w14:paraId="6A73FD99">
      <w:pPr>
        <w:ind w:firstLine="632"/>
      </w:pPr>
      <w:r>
        <w:rPr>
          <w:rFonts w:hint="eastAsia"/>
        </w:rPr>
        <w:t>县级层面火灾事故应急响应由高到低划分为I级、Ⅱ级、III级、Ⅳ级。</w:t>
      </w:r>
    </w:p>
    <w:p w14:paraId="6C75E53A">
      <w:pPr>
        <w:numPr>
          <w:ilvl w:val="0"/>
          <w:numId w:val="137"/>
        </w:numPr>
        <w:ind w:firstLine="632"/>
      </w:pPr>
      <w:r>
        <w:rPr>
          <w:rFonts w:hint="eastAsia"/>
        </w:rPr>
        <w:t>县级Ⅳ级响应启动条件与程序</w:t>
      </w:r>
    </w:p>
    <w:p w14:paraId="6807E600">
      <w:pPr>
        <w:ind w:firstLine="632"/>
      </w:pPr>
      <w:r>
        <w:rPr>
          <w:rFonts w:hint="eastAsia"/>
        </w:rPr>
        <w:t>当发生下列情况之一时，经县消防救援大队分析研判、评估后，会商并决定启动Ⅳ级响应。</w:t>
      </w:r>
    </w:p>
    <w:p w14:paraId="3AFF0900">
      <w:pPr>
        <w:numPr>
          <w:ilvl w:val="0"/>
          <w:numId w:val="138"/>
        </w:numPr>
        <w:ind w:firstLine="632"/>
      </w:pPr>
      <w:r>
        <w:rPr>
          <w:rFonts w:hint="eastAsia"/>
        </w:rPr>
        <w:t>发生在重要场所、涉及面广、敏感复杂的一般火灾事故；</w:t>
      </w:r>
    </w:p>
    <w:p w14:paraId="4D1CC271">
      <w:pPr>
        <w:numPr>
          <w:ilvl w:val="0"/>
          <w:numId w:val="138"/>
        </w:numPr>
        <w:ind w:firstLine="632"/>
      </w:pPr>
      <w:r>
        <w:rPr>
          <w:rFonts w:hint="eastAsia"/>
        </w:rPr>
        <w:t>认为需要予以指导帮助的一般火灾事故；</w:t>
      </w:r>
    </w:p>
    <w:p w14:paraId="76D70758">
      <w:pPr>
        <w:numPr>
          <w:ilvl w:val="0"/>
          <w:numId w:val="138"/>
        </w:numPr>
        <w:ind w:firstLine="632"/>
      </w:pPr>
      <w:r>
        <w:rPr>
          <w:rFonts w:hint="eastAsia"/>
        </w:rPr>
        <w:t>其他需要启动Ⅳ级响应的情况。</w:t>
      </w:r>
    </w:p>
    <w:p w14:paraId="0D4BD843">
      <w:pPr>
        <w:numPr>
          <w:ilvl w:val="0"/>
          <w:numId w:val="137"/>
        </w:numPr>
        <w:ind w:firstLine="632"/>
      </w:pPr>
      <w:r>
        <w:rPr>
          <w:rFonts w:hint="eastAsia"/>
        </w:rPr>
        <w:t>县级III级响应启动条件与程序</w:t>
      </w:r>
    </w:p>
    <w:p w14:paraId="6FB54471">
      <w:pPr>
        <w:ind w:firstLine="632"/>
      </w:pPr>
      <w:r>
        <w:rPr>
          <w:rFonts w:hint="eastAsia"/>
        </w:rPr>
        <w:t>当发生下列情况之一时，经县消防救援大队分析研判、评估后，由县消安委（县消防救援大队主要负责同志）决定启动III级响应。</w:t>
      </w:r>
    </w:p>
    <w:p w14:paraId="327D86AD">
      <w:pPr>
        <w:numPr>
          <w:ilvl w:val="0"/>
          <w:numId w:val="139"/>
        </w:numPr>
        <w:ind w:firstLine="632"/>
      </w:pPr>
      <w:r>
        <w:rPr>
          <w:rFonts w:hint="eastAsia"/>
        </w:rPr>
        <w:t>发生在重要场所、涉及面广、敏感复杂的较大火灾事故；</w:t>
      </w:r>
    </w:p>
    <w:p w14:paraId="1B231595">
      <w:pPr>
        <w:numPr>
          <w:ilvl w:val="0"/>
          <w:numId w:val="139"/>
        </w:numPr>
        <w:ind w:firstLine="632"/>
      </w:pPr>
      <w:r>
        <w:rPr>
          <w:rFonts w:hint="eastAsia"/>
        </w:rPr>
        <w:t>认为需要予以指导帮助的较大火灾事故；</w:t>
      </w:r>
    </w:p>
    <w:p w14:paraId="7208E6E8">
      <w:pPr>
        <w:numPr>
          <w:ilvl w:val="0"/>
          <w:numId w:val="139"/>
        </w:numPr>
        <w:ind w:firstLine="632"/>
      </w:pPr>
      <w:r>
        <w:rPr>
          <w:rFonts w:hint="eastAsia"/>
        </w:rPr>
        <w:t>其他需要启动III级响应的情况。</w:t>
      </w:r>
    </w:p>
    <w:p w14:paraId="08323117">
      <w:pPr>
        <w:numPr>
          <w:ilvl w:val="0"/>
          <w:numId w:val="137"/>
        </w:numPr>
        <w:ind w:firstLine="632"/>
      </w:pPr>
      <w:r>
        <w:rPr>
          <w:rFonts w:hint="eastAsia"/>
        </w:rPr>
        <w:t>县级Ⅱ级响应启动条件与程序</w:t>
      </w:r>
    </w:p>
    <w:p w14:paraId="48C9DD2D">
      <w:pPr>
        <w:ind w:firstLine="632"/>
      </w:pPr>
      <w:r>
        <w:rPr>
          <w:rFonts w:hint="eastAsia"/>
        </w:rPr>
        <w:t>当发生下列情况之一时，经县消防救援大队分析研判、评估后，认定灾情达到启动条件，向县消安委提出启动Ⅱ级响应的建议，县消安委决定启动Ⅱ级响应，同时启动本预案，并向县委、县政府报告。</w:t>
      </w:r>
    </w:p>
    <w:p w14:paraId="7B0AD950">
      <w:pPr>
        <w:numPr>
          <w:ilvl w:val="0"/>
          <w:numId w:val="140"/>
        </w:numPr>
        <w:ind w:firstLine="632"/>
      </w:pPr>
      <w:r>
        <w:rPr>
          <w:rFonts w:hint="eastAsia"/>
        </w:rPr>
        <w:t>发生或预判可能达到重大火灾事故；</w:t>
      </w:r>
    </w:p>
    <w:p w14:paraId="0CE59A7B">
      <w:pPr>
        <w:numPr>
          <w:ilvl w:val="0"/>
          <w:numId w:val="140"/>
        </w:numPr>
        <w:ind w:firstLine="632"/>
      </w:pPr>
      <w:r>
        <w:rPr>
          <w:rFonts w:hint="eastAsia"/>
        </w:rPr>
        <w:t>发生在重大节日、重要政治活动时期或政治敏感区域、重要地区的较大火灾事故；</w:t>
      </w:r>
    </w:p>
    <w:p w14:paraId="5B0AC390">
      <w:pPr>
        <w:numPr>
          <w:ilvl w:val="0"/>
          <w:numId w:val="140"/>
        </w:numPr>
        <w:ind w:firstLine="632"/>
      </w:pPr>
      <w:r>
        <w:rPr>
          <w:rFonts w:hint="eastAsia"/>
        </w:rPr>
        <w:t>其他需要启动Ⅱ级响应的情况。</w:t>
      </w:r>
    </w:p>
    <w:p w14:paraId="51F97A21">
      <w:pPr>
        <w:numPr>
          <w:ilvl w:val="0"/>
          <w:numId w:val="137"/>
        </w:numPr>
        <w:ind w:firstLine="632"/>
      </w:pPr>
      <w:r>
        <w:rPr>
          <w:rFonts w:hint="eastAsia"/>
        </w:rPr>
        <w:t>县级I级响应启动条件与程序</w:t>
      </w:r>
    </w:p>
    <w:p w14:paraId="7ED5B0D9">
      <w:pPr>
        <w:ind w:firstLine="632"/>
      </w:pPr>
      <w:r>
        <w:rPr>
          <w:rFonts w:hint="eastAsia"/>
        </w:rPr>
        <w:t>当发生下列情况之一时，经县消防救援大队分析研判、评估后，认定灾情达到启动条件，向县委、县政府提出启动I级响应的建议，经县委、县政府同意后决定启动I级响应，同时启动本预案。</w:t>
      </w:r>
    </w:p>
    <w:p w14:paraId="21A5112C">
      <w:pPr>
        <w:numPr>
          <w:ilvl w:val="0"/>
          <w:numId w:val="141"/>
        </w:numPr>
        <w:ind w:firstLine="632"/>
      </w:pPr>
      <w:r>
        <w:rPr>
          <w:rFonts w:hint="eastAsia"/>
        </w:rPr>
        <w:t>发生或预判可能达到特别重大火灾事故；</w:t>
      </w:r>
    </w:p>
    <w:p w14:paraId="11677EFA">
      <w:pPr>
        <w:numPr>
          <w:ilvl w:val="0"/>
          <w:numId w:val="141"/>
        </w:numPr>
        <w:ind w:firstLine="632"/>
      </w:pPr>
      <w:r>
        <w:rPr>
          <w:rFonts w:hint="eastAsia"/>
        </w:rPr>
        <w:t>发生在重大节日、重要政治活动时期或政治敏感区域、重要地区的重大火灾事故；</w:t>
      </w:r>
    </w:p>
    <w:p w14:paraId="3DAC3BDA">
      <w:pPr>
        <w:numPr>
          <w:ilvl w:val="0"/>
          <w:numId w:val="141"/>
        </w:numPr>
        <w:ind w:firstLine="632"/>
      </w:pPr>
      <w:r>
        <w:rPr>
          <w:rFonts w:hint="eastAsia"/>
        </w:rPr>
        <w:t>其他需要启动I级响应的情况。</w:t>
      </w:r>
    </w:p>
    <w:p w14:paraId="69D502BB">
      <w:pPr>
        <w:pStyle w:val="4"/>
        <w:numPr>
          <w:ilvl w:val="2"/>
          <w:numId w:val="133"/>
        </w:numPr>
        <w:tabs>
          <w:tab w:val="left" w:pos="0"/>
        </w:tabs>
      </w:pPr>
      <w:r>
        <w:rPr>
          <w:rFonts w:hint="eastAsia"/>
        </w:rPr>
        <w:t>响应行动</w:t>
      </w:r>
    </w:p>
    <w:p w14:paraId="730B9A2B">
      <w:pPr>
        <w:ind w:firstLine="632"/>
      </w:pPr>
      <w:r>
        <w:rPr>
          <w:rFonts w:hint="eastAsia"/>
        </w:rPr>
        <w:t>县级I级响应启动后，县火灾事故应急指挥部按照县委、县政府工作要求，做好火灾事故应急处置工作；县级Ⅱ级响应启动后，县火灾事故应急指挥部在县政府的统一领导下，负责组织、指导和协调火灾事故应急处置工作。进入I、Ⅱ级响应状态后，采取以下工作措施：</w:t>
      </w:r>
    </w:p>
    <w:p w14:paraId="0E25A6AA">
      <w:pPr>
        <w:numPr>
          <w:ilvl w:val="0"/>
          <w:numId w:val="142"/>
        </w:numPr>
        <w:ind w:firstLine="632"/>
      </w:pPr>
      <w:r>
        <w:rPr>
          <w:rFonts w:hint="eastAsia"/>
        </w:rPr>
        <w:t>县火灾事故应急指挥部向全县火灾事故应急指挥机构、县火灾事故应急指挥部成员单位发布启动I、Ⅱ级响应的命令，有关镇人民政府、县火灾事故应急指挥部成员单位分别启动相应级别的应急响应；</w:t>
      </w:r>
    </w:p>
    <w:p w14:paraId="20C4361F">
      <w:pPr>
        <w:numPr>
          <w:ilvl w:val="0"/>
          <w:numId w:val="142"/>
        </w:numPr>
        <w:ind w:firstLine="632"/>
      </w:pPr>
      <w:r>
        <w:rPr>
          <w:rFonts w:hint="eastAsia"/>
        </w:rPr>
        <w:t>县火灾事故应急指挥部领导同志或指定同志带领工作组赶赴火灾事故现场，成立县级现场指挥部，组织指挥灭火救援工作；</w:t>
      </w:r>
    </w:p>
    <w:p w14:paraId="0D42A7C1">
      <w:pPr>
        <w:numPr>
          <w:ilvl w:val="0"/>
          <w:numId w:val="142"/>
        </w:numPr>
        <w:ind w:firstLine="632"/>
      </w:pPr>
      <w:r>
        <w:rPr>
          <w:rFonts w:hint="eastAsia"/>
        </w:rPr>
        <w:t>各成员单位处置力量迅速赶赴现场，根据职责划分，开展协同应急处置工作；</w:t>
      </w:r>
    </w:p>
    <w:p w14:paraId="7D695C06">
      <w:pPr>
        <w:numPr>
          <w:ilvl w:val="0"/>
          <w:numId w:val="142"/>
        </w:numPr>
        <w:ind w:firstLine="632"/>
      </w:pPr>
      <w:r>
        <w:rPr>
          <w:rFonts w:hint="eastAsia"/>
        </w:rPr>
        <w:t>县火灾事故应急指挥部办公室和相关成员单位按照职责分工做好信息收集和反馈、现场决策支持等有关工作；</w:t>
      </w:r>
    </w:p>
    <w:p w14:paraId="3E4E98A2">
      <w:pPr>
        <w:numPr>
          <w:ilvl w:val="0"/>
          <w:numId w:val="142"/>
        </w:numPr>
        <w:ind w:firstLine="632"/>
      </w:pPr>
      <w:r>
        <w:rPr>
          <w:rFonts w:hint="eastAsia"/>
        </w:rPr>
        <w:t>按规定程序向县委、县政府、应急管理局、市消防救援支队报告火灾事故情况和应急处置情况。</w:t>
      </w:r>
    </w:p>
    <w:p w14:paraId="448ED965">
      <w:pPr>
        <w:ind w:firstLine="632"/>
      </w:pPr>
      <w:r>
        <w:rPr>
          <w:rFonts w:hint="eastAsia"/>
        </w:rPr>
        <w:t>县级III级响应启动后，县火灾事故应急指挥部办公室进入应急状态，跟踪掌握火情动态、远程指挥调度；加强战术指导、会商研判；根据需要调用相关救援力量和物资进行增援；适时发布信息，通知各有关成员单位进入应急响应状态；视情派出工作组赶赴现场，指导开展灭火救援工作。县Ⅳ级响应启动后，县火灾事故应急指挥部办公室进入应急状态，跟踪掌握火情动态、远程指挥调度；视情派出工作组赶赴现场，指导开展灭火救援工作。</w:t>
      </w:r>
    </w:p>
    <w:p w14:paraId="18D11123">
      <w:pPr>
        <w:pStyle w:val="3"/>
        <w:numPr>
          <w:ilvl w:val="0"/>
          <w:numId w:val="133"/>
        </w:numPr>
        <w:tabs>
          <w:tab w:val="left" w:pos="0"/>
        </w:tabs>
      </w:pPr>
      <w:bookmarkStart w:id="648" w:name="_Toc17417"/>
      <w:r>
        <w:rPr>
          <w:rFonts w:hint="eastAsia"/>
        </w:rPr>
        <w:t>指挥协调</w:t>
      </w:r>
      <w:bookmarkEnd w:id="648"/>
    </w:p>
    <w:p w14:paraId="64A178D0">
      <w:pPr>
        <w:ind w:firstLine="632"/>
      </w:pPr>
      <w:r>
        <w:rPr>
          <w:rFonts w:hint="eastAsia"/>
        </w:rPr>
        <w:t>上级人民政府及其相关部门指导下级人民政府及其相关部门开展火灾事故应对处置工作。上级组织指挥机构设立后，下级组织指挥机构按照上级组织指挥机构要求做好应急处置与救援工作。</w:t>
      </w:r>
    </w:p>
    <w:p w14:paraId="6E8362CA">
      <w:pPr>
        <w:pStyle w:val="3"/>
        <w:numPr>
          <w:ilvl w:val="0"/>
          <w:numId w:val="133"/>
        </w:numPr>
        <w:tabs>
          <w:tab w:val="left" w:pos="0"/>
        </w:tabs>
      </w:pPr>
      <w:bookmarkStart w:id="649" w:name="_Toc7673"/>
      <w:r>
        <w:rPr>
          <w:rFonts w:hint="eastAsia"/>
        </w:rPr>
        <w:t>力量调集</w:t>
      </w:r>
      <w:bookmarkEnd w:id="649"/>
    </w:p>
    <w:p w14:paraId="2A98F05F">
      <w:pPr>
        <w:pStyle w:val="4"/>
        <w:numPr>
          <w:ilvl w:val="2"/>
          <w:numId w:val="133"/>
        </w:numPr>
        <w:tabs>
          <w:tab w:val="left" w:pos="0"/>
        </w:tabs>
      </w:pPr>
      <w:r>
        <w:rPr>
          <w:rFonts w:hint="eastAsia"/>
        </w:rPr>
        <w:t>调动权限</w:t>
      </w:r>
    </w:p>
    <w:p w14:paraId="22464908">
      <w:pPr>
        <w:ind w:firstLine="632"/>
      </w:pPr>
      <w:r>
        <w:rPr>
          <w:rFonts w:hint="eastAsia"/>
        </w:rPr>
        <w:t>发生重特大火灾事故后，需其他社会救援力量、各成员单位应急处置力量共同处置时，由县火灾事故应急指挥部统一调度。各成员单位按职责分工和调动权限调动；涉及驻军力量调动的，由部队按兵力调动批准权限逐级报批后参与应急处置。</w:t>
      </w:r>
    </w:p>
    <w:p w14:paraId="4258BCAE">
      <w:pPr>
        <w:pStyle w:val="4"/>
        <w:numPr>
          <w:ilvl w:val="2"/>
          <w:numId w:val="133"/>
        </w:numPr>
        <w:tabs>
          <w:tab w:val="left" w:pos="0"/>
        </w:tabs>
      </w:pPr>
      <w:r>
        <w:rPr>
          <w:rFonts w:hint="eastAsia"/>
        </w:rPr>
        <w:t>调集原则</w:t>
      </w:r>
    </w:p>
    <w:p w14:paraId="1E79D1AE">
      <w:pPr>
        <w:numPr>
          <w:ilvl w:val="0"/>
          <w:numId w:val="143"/>
        </w:numPr>
        <w:ind w:firstLine="632"/>
      </w:pPr>
      <w:r>
        <w:rPr>
          <w:rFonts w:hint="eastAsia"/>
        </w:rPr>
        <w:t>就近原则。优先调集属地国家综合性消防救援力量和政府专职消防队伍，就近调集企事业单位专职消防队伍和其他社会救援力量。</w:t>
      </w:r>
    </w:p>
    <w:p w14:paraId="10F866BA">
      <w:pPr>
        <w:numPr>
          <w:ilvl w:val="0"/>
          <w:numId w:val="143"/>
        </w:numPr>
        <w:ind w:firstLine="632"/>
      </w:pPr>
      <w:r>
        <w:rPr>
          <w:rFonts w:hint="eastAsia"/>
        </w:rPr>
        <w:t>联动原则。协调调动相关成员单位专业处置力量和相关专家组成联动力量，协同处置。</w:t>
      </w:r>
    </w:p>
    <w:p w14:paraId="43BA1269">
      <w:pPr>
        <w:pStyle w:val="4"/>
        <w:numPr>
          <w:ilvl w:val="2"/>
          <w:numId w:val="133"/>
        </w:numPr>
        <w:tabs>
          <w:tab w:val="left" w:pos="0"/>
        </w:tabs>
      </w:pPr>
      <w:r>
        <w:rPr>
          <w:rFonts w:hint="eastAsia"/>
        </w:rPr>
        <w:t>力量构成</w:t>
      </w:r>
    </w:p>
    <w:p w14:paraId="1C3AB5D7">
      <w:pPr>
        <w:numPr>
          <w:ilvl w:val="0"/>
          <w:numId w:val="144"/>
        </w:numPr>
        <w:ind w:firstLine="632"/>
      </w:pPr>
      <w:r>
        <w:rPr>
          <w:rFonts w:hint="eastAsia"/>
        </w:rPr>
        <w:t>国家综合性消防救援队伍、政府专职消防队伍和企事业单位专职消防队伍等。</w:t>
      </w:r>
    </w:p>
    <w:p w14:paraId="53861253">
      <w:pPr>
        <w:numPr>
          <w:ilvl w:val="0"/>
          <w:numId w:val="144"/>
        </w:numPr>
        <w:ind w:firstLine="632"/>
      </w:pPr>
      <w:r>
        <w:rPr>
          <w:rFonts w:hint="eastAsia"/>
        </w:rPr>
        <w:t>公安、应急、交通、生态环境、通信、卫生、供电、供气、供水等成员单位专业应急救援队伍。</w:t>
      </w:r>
    </w:p>
    <w:p w14:paraId="5FDE299D">
      <w:pPr>
        <w:numPr>
          <w:ilvl w:val="0"/>
          <w:numId w:val="144"/>
        </w:numPr>
        <w:ind w:firstLine="632"/>
      </w:pPr>
      <w:r>
        <w:rPr>
          <w:rFonts w:hint="eastAsia"/>
        </w:rPr>
        <w:t>具有供水供液能力和大型工程机械的企事业单位救援队伍，以及其他社会救援力量。</w:t>
      </w:r>
    </w:p>
    <w:p w14:paraId="7487C404">
      <w:pPr>
        <w:pStyle w:val="3"/>
        <w:numPr>
          <w:ilvl w:val="0"/>
          <w:numId w:val="133"/>
        </w:numPr>
        <w:tabs>
          <w:tab w:val="left" w:pos="0"/>
        </w:tabs>
      </w:pPr>
      <w:bookmarkStart w:id="650" w:name="_Toc11468"/>
      <w:r>
        <w:rPr>
          <w:rFonts w:hint="eastAsia"/>
        </w:rPr>
        <w:t>现场处置措施</w:t>
      </w:r>
      <w:bookmarkEnd w:id="650"/>
    </w:p>
    <w:p w14:paraId="4E153377">
      <w:pPr>
        <w:ind w:firstLine="632"/>
      </w:pPr>
      <w:r>
        <w:rPr>
          <w:rFonts w:hint="eastAsia"/>
        </w:rPr>
        <w:t>根据火灾事故新类型及新业态、事态可控性、严重程度、影响范围及周边环境的敏感性，现场指挥部统筹指挥处置工作，各成员单位、事发地人民政府各司其职、协同配合、科学处置，开展应急处置工作，采取以下措施：</w:t>
      </w:r>
    </w:p>
    <w:p w14:paraId="2520560B">
      <w:pPr>
        <w:numPr>
          <w:ilvl w:val="0"/>
          <w:numId w:val="145"/>
        </w:numPr>
        <w:ind w:firstLine="632"/>
      </w:pPr>
      <w:r>
        <w:rPr>
          <w:rFonts w:hint="eastAsia"/>
        </w:rPr>
        <w:t>制定方案。通过现场考察、咨询专家，根据火灾性质、影响范围、受灾人员分布、应急队伍与物资分布等情况，科学制定灭火救援方案，调派各方救援力量，并根据火灾发展趋势，及时调整优化作战方案，科学有序实施救援行动。</w:t>
      </w:r>
    </w:p>
    <w:p w14:paraId="2B926F18">
      <w:pPr>
        <w:numPr>
          <w:ilvl w:val="0"/>
          <w:numId w:val="145"/>
        </w:numPr>
        <w:ind w:firstLine="632"/>
      </w:pPr>
      <w:r>
        <w:rPr>
          <w:rFonts w:hint="eastAsia"/>
        </w:rPr>
        <w:t>疏散搜救。立即开展人员疏散搜救工作，疏散、撤离或采取其他措施保护受危害区域内的其他人员。</w:t>
      </w:r>
    </w:p>
    <w:p w14:paraId="19DDC436">
      <w:pPr>
        <w:numPr>
          <w:ilvl w:val="0"/>
          <w:numId w:val="145"/>
        </w:numPr>
        <w:ind w:firstLine="632"/>
      </w:pPr>
      <w:r>
        <w:rPr>
          <w:rFonts w:hint="eastAsia"/>
        </w:rPr>
        <w:t>现场管控。划定警戒区域，设置警示标志，将警戒区域内与火灾事故应急处置无关的人员撤离至安全区；对通往事故现场的道路实行交通管制，严禁无关车辆进入；清理主要交通干道，保证道路畅通。</w:t>
      </w:r>
    </w:p>
    <w:p w14:paraId="2A7DA37A">
      <w:pPr>
        <w:numPr>
          <w:ilvl w:val="0"/>
          <w:numId w:val="145"/>
        </w:numPr>
        <w:ind w:firstLine="632"/>
      </w:pPr>
      <w:r>
        <w:rPr>
          <w:rFonts w:hint="eastAsia"/>
        </w:rPr>
        <w:t>抢险救援。采取必要的侦测、防护、排险、警戒等措施，开展火灾事故应急处置、工程抢险等救援工作；迅速控制火灾危险源，采取必要措施，防止事故危害扩大和次生、衍生灾害发生。</w:t>
      </w:r>
    </w:p>
    <w:p w14:paraId="26C1A944">
      <w:pPr>
        <w:numPr>
          <w:ilvl w:val="0"/>
          <w:numId w:val="145"/>
        </w:numPr>
        <w:ind w:firstLine="632"/>
      </w:pPr>
      <w:r>
        <w:rPr>
          <w:rFonts w:hint="eastAsia"/>
        </w:rPr>
        <w:t>医疗救护。开展现场人员紧急医疗救护工作，转移危重伤员；开展现场防疫消杀工作。</w:t>
      </w:r>
    </w:p>
    <w:p w14:paraId="45828FD1">
      <w:pPr>
        <w:numPr>
          <w:ilvl w:val="0"/>
          <w:numId w:val="145"/>
        </w:numPr>
        <w:ind w:firstLine="632"/>
      </w:pPr>
      <w:r>
        <w:rPr>
          <w:rFonts w:hint="eastAsia"/>
        </w:rPr>
        <w:t>环境监测。开展火灾事故现场及周边区域的环境监测和安全评估；综合分析监测数据，预判火灾事故可能造成的环境影响；采取控制污染扩散的措施，提出控制污染扩散建议。</w:t>
      </w:r>
    </w:p>
    <w:p w14:paraId="275A3D5F">
      <w:pPr>
        <w:numPr>
          <w:ilvl w:val="0"/>
          <w:numId w:val="145"/>
        </w:numPr>
        <w:ind w:firstLine="632"/>
      </w:pPr>
      <w:r>
        <w:rPr>
          <w:rFonts w:hint="eastAsia"/>
        </w:rPr>
        <w:t>综合保障。相关成员单位指导事发地人民政府做好现场应急处置的各项保障工作。</w:t>
      </w:r>
    </w:p>
    <w:p w14:paraId="3139B03D">
      <w:pPr>
        <w:numPr>
          <w:ilvl w:val="0"/>
          <w:numId w:val="145"/>
        </w:numPr>
        <w:ind w:firstLine="632"/>
      </w:pPr>
      <w:r>
        <w:rPr>
          <w:rFonts w:hint="eastAsia"/>
        </w:rPr>
        <w:t>清理现场。火灾事故应急处置结束后，及时清理火灾现场。</w:t>
      </w:r>
    </w:p>
    <w:p w14:paraId="3DF72BFA">
      <w:pPr>
        <w:pStyle w:val="3"/>
        <w:numPr>
          <w:ilvl w:val="0"/>
          <w:numId w:val="133"/>
        </w:numPr>
        <w:tabs>
          <w:tab w:val="left" w:pos="0"/>
        </w:tabs>
      </w:pPr>
      <w:bookmarkStart w:id="651" w:name="_Toc15582"/>
      <w:r>
        <w:rPr>
          <w:rFonts w:hint="eastAsia"/>
        </w:rPr>
        <w:t>安全防护</w:t>
      </w:r>
      <w:bookmarkEnd w:id="651"/>
    </w:p>
    <w:p w14:paraId="172C56D4">
      <w:pPr>
        <w:ind w:firstLine="632"/>
      </w:pPr>
      <w:r>
        <w:rPr>
          <w:rFonts w:hint="eastAsia"/>
        </w:rPr>
        <w:t>在火灾事故应急处置过程中，救援人员应加强自身安全防护；开展现场安全评估时，如发现可能直接危及救援人员生命安全的紧急情况，现场指挥部应当立即采取措施消除隐患、降低或者化解风险，必要时暂时撤离救援人员。</w:t>
      </w:r>
    </w:p>
    <w:p w14:paraId="5BAC1E45">
      <w:pPr>
        <w:pStyle w:val="3"/>
        <w:numPr>
          <w:ilvl w:val="0"/>
          <w:numId w:val="133"/>
        </w:numPr>
        <w:tabs>
          <w:tab w:val="left" w:pos="0"/>
        </w:tabs>
      </w:pPr>
      <w:bookmarkStart w:id="652" w:name="_Toc24505"/>
      <w:r>
        <w:rPr>
          <w:rFonts w:hint="eastAsia"/>
        </w:rPr>
        <w:t>信息发布</w:t>
      </w:r>
      <w:bookmarkEnd w:id="652"/>
    </w:p>
    <w:p w14:paraId="266F29D2">
      <w:pPr>
        <w:ind w:firstLine="632"/>
      </w:pPr>
      <w:r>
        <w:rPr>
          <w:rFonts w:hint="eastAsia"/>
        </w:rPr>
        <w:t>重特大火灾事故信息由县委宣传部会同消防、公安、应急、县融媒体中心和事发地相关部门，按照新闻报道工作的有关规定，开展宣传报道、新闻发布和舆论引导工作，应在5小时内发布权威信息、在24小时内举行新闻发布会，并根据应对情况做好后续发布工作。</w:t>
      </w:r>
    </w:p>
    <w:p w14:paraId="05D87BD0">
      <w:pPr>
        <w:pStyle w:val="3"/>
        <w:numPr>
          <w:ilvl w:val="0"/>
          <w:numId w:val="133"/>
        </w:numPr>
        <w:tabs>
          <w:tab w:val="left" w:pos="0"/>
        </w:tabs>
      </w:pPr>
      <w:bookmarkStart w:id="653" w:name="_Toc9188"/>
      <w:r>
        <w:rPr>
          <w:rFonts w:hint="eastAsia"/>
        </w:rPr>
        <w:t>响应终止</w:t>
      </w:r>
      <w:bookmarkEnd w:id="653"/>
    </w:p>
    <w:p w14:paraId="6296F3F4">
      <w:pPr>
        <w:ind w:firstLine="632"/>
      </w:pPr>
      <w:r>
        <w:rPr>
          <w:rFonts w:hint="eastAsia"/>
        </w:rPr>
        <w:t>县级I、Ⅱ级响应的终止：重特大火灾事故应急处置结束后，经现场指挥部确认，提交响应结束建议，报县火灾事故应急指挥部批准，并宣布响应终止，及时发布通告，终止应急状态，救援队伍和工作人员有序撤离现场。</w:t>
      </w:r>
    </w:p>
    <w:p w14:paraId="17CA0007">
      <w:pPr>
        <w:ind w:firstLine="632"/>
      </w:pPr>
      <w:r>
        <w:rPr>
          <w:rFonts w:hint="eastAsia"/>
        </w:rPr>
        <w:t>县级III、Ⅳ级响应的终止：由县消防救援大队根据火灾事故处置情况，决定终止响应。</w:t>
      </w:r>
    </w:p>
    <w:p w14:paraId="7DEA7CA6">
      <w:pPr>
        <w:pStyle w:val="2"/>
        <w:numPr>
          <w:ilvl w:val="0"/>
          <w:numId w:val="133"/>
        </w:numPr>
        <w:tabs>
          <w:tab w:val="left" w:pos="0"/>
        </w:tabs>
      </w:pPr>
      <w:bookmarkStart w:id="654" w:name="_Toc8026"/>
      <w:r>
        <w:rPr>
          <w:rFonts w:hint="eastAsia"/>
        </w:rPr>
        <w:t>后期处置</w:t>
      </w:r>
      <w:bookmarkEnd w:id="654"/>
    </w:p>
    <w:p w14:paraId="27B030A8">
      <w:pPr>
        <w:pStyle w:val="3"/>
        <w:numPr>
          <w:ilvl w:val="0"/>
          <w:numId w:val="133"/>
        </w:numPr>
        <w:tabs>
          <w:tab w:val="left" w:pos="0"/>
        </w:tabs>
      </w:pPr>
      <w:bookmarkStart w:id="655" w:name="_Toc10885"/>
      <w:r>
        <w:rPr>
          <w:rFonts w:hint="eastAsia"/>
        </w:rPr>
        <w:t>现场移交</w:t>
      </w:r>
      <w:bookmarkEnd w:id="655"/>
    </w:p>
    <w:p w14:paraId="462EFB6B">
      <w:pPr>
        <w:ind w:firstLine="632"/>
      </w:pPr>
      <w:r>
        <w:rPr>
          <w:rFonts w:hint="eastAsia"/>
        </w:rPr>
        <w:t>灭火救援结束后，现场指挥部向有关部门移交现场，同时责令做好火场看护，必要时留下一定的灭火力量进行监护；移交完毕后，各参战力量收整器材，有序撤离。</w:t>
      </w:r>
    </w:p>
    <w:p w14:paraId="5748D221">
      <w:pPr>
        <w:pStyle w:val="3"/>
        <w:numPr>
          <w:ilvl w:val="0"/>
          <w:numId w:val="133"/>
        </w:numPr>
        <w:tabs>
          <w:tab w:val="left" w:pos="0"/>
        </w:tabs>
      </w:pPr>
      <w:bookmarkStart w:id="656" w:name="_Toc20496"/>
      <w:r>
        <w:rPr>
          <w:rFonts w:hint="eastAsia"/>
        </w:rPr>
        <w:t>火灾善后</w:t>
      </w:r>
      <w:bookmarkEnd w:id="656"/>
    </w:p>
    <w:p w14:paraId="412DE66F">
      <w:pPr>
        <w:ind w:firstLine="632"/>
      </w:pPr>
      <w:r>
        <w:rPr>
          <w:rFonts w:hint="eastAsia"/>
        </w:rPr>
        <w:t>火灾事故应急处置结束后，相关部门根据职责划分，做好火灾善后工作。事发地人民政府负责组织善后工作，做好受灾人员的安置及抚恤、救助工作；对因参加扑救火灾或者应急救援受伤、致残或者死亡的人员，按照国家有关规定给予医疗、抚恤；对因火灾事故应急救援而紧急征用的物资给予归还，造成损坏或无法归还的，按照有关规定给予补偿，尽快恢复正常生产生活秩序。</w:t>
      </w:r>
    </w:p>
    <w:p w14:paraId="4DF4553E">
      <w:pPr>
        <w:pStyle w:val="3"/>
        <w:numPr>
          <w:ilvl w:val="0"/>
          <w:numId w:val="133"/>
        </w:numPr>
        <w:tabs>
          <w:tab w:val="left" w:pos="0"/>
        </w:tabs>
      </w:pPr>
      <w:bookmarkStart w:id="657" w:name="_Toc2877"/>
      <w:r>
        <w:rPr>
          <w:rFonts w:hint="eastAsia"/>
        </w:rPr>
        <w:t>调查与评估</w:t>
      </w:r>
      <w:bookmarkEnd w:id="657"/>
    </w:p>
    <w:p w14:paraId="16209E38">
      <w:pPr>
        <w:ind w:firstLine="632"/>
      </w:pPr>
      <w:r>
        <w:rPr>
          <w:rFonts w:hint="eastAsia"/>
        </w:rPr>
        <w:t>火灾事故应急处置结束后，根据《中华人民共和国消防法》《生产安全事故报告和调查处理条例》《消防安全责任制实施办法》《黑龙江省火灾事故调查处理规定（试行）》等相关规定进行调查处理。</w:t>
      </w:r>
    </w:p>
    <w:p w14:paraId="62616D86">
      <w:pPr>
        <w:pStyle w:val="2"/>
        <w:numPr>
          <w:ilvl w:val="0"/>
          <w:numId w:val="133"/>
        </w:numPr>
        <w:tabs>
          <w:tab w:val="left" w:pos="0"/>
        </w:tabs>
      </w:pPr>
      <w:bookmarkStart w:id="658" w:name="_Toc4988"/>
      <w:r>
        <w:rPr>
          <w:rFonts w:hint="eastAsia"/>
        </w:rPr>
        <w:t>应急保障</w:t>
      </w:r>
      <w:bookmarkEnd w:id="658"/>
    </w:p>
    <w:p w14:paraId="6DBEE76A">
      <w:pPr>
        <w:pStyle w:val="3"/>
        <w:numPr>
          <w:ilvl w:val="0"/>
          <w:numId w:val="133"/>
        </w:numPr>
        <w:tabs>
          <w:tab w:val="left" w:pos="0"/>
        </w:tabs>
      </w:pPr>
      <w:bookmarkStart w:id="659" w:name="_Toc21979"/>
      <w:r>
        <w:rPr>
          <w:rFonts w:hint="eastAsia"/>
        </w:rPr>
        <w:t>应急通信保障</w:t>
      </w:r>
      <w:bookmarkEnd w:id="659"/>
    </w:p>
    <w:p w14:paraId="5D002DAC">
      <w:pPr>
        <w:ind w:firstLine="632"/>
      </w:pPr>
      <w:r>
        <w:rPr>
          <w:rFonts w:hint="eastAsia"/>
        </w:rPr>
        <w:t>通信管理、广播电视等有关部门负责建立健全应急通信、应急广播电视保障工作体系；完善公用通信网、建立应急通信系统；利用现代通信手段，确保通信畅通。</w:t>
      </w:r>
    </w:p>
    <w:p w14:paraId="1457E589">
      <w:pPr>
        <w:pStyle w:val="3"/>
        <w:numPr>
          <w:ilvl w:val="0"/>
          <w:numId w:val="133"/>
        </w:numPr>
        <w:tabs>
          <w:tab w:val="left" w:pos="0"/>
        </w:tabs>
      </w:pPr>
      <w:bookmarkStart w:id="660" w:name="_Toc9248"/>
      <w:r>
        <w:rPr>
          <w:rFonts w:hint="eastAsia"/>
        </w:rPr>
        <w:t>装备物资保障</w:t>
      </w:r>
      <w:bookmarkEnd w:id="660"/>
    </w:p>
    <w:p w14:paraId="26DF15A3">
      <w:pPr>
        <w:ind w:firstLine="632"/>
      </w:pPr>
      <w:r>
        <w:rPr>
          <w:rFonts w:hint="eastAsia"/>
        </w:rPr>
        <w:t>建立健全县、镇救灾物资的储存、调拨和紧急配送系统，确保救灾所需物资器材和生活用品的应急供应。全县各级人民政府要为消防救援队伍配备、更新必需的灭火、救人、破拆、堵漏、洗消等设备提供保障。消防部门要做好各类器材的维护保养，确保一旦发生重特大火灾能及时开展救援行动。根据应急救援行动需要，可调用住房城乡建设、交通运输等部门的抢险机械设备。</w:t>
      </w:r>
    </w:p>
    <w:p w14:paraId="0A828303">
      <w:pPr>
        <w:pStyle w:val="3"/>
        <w:numPr>
          <w:ilvl w:val="0"/>
          <w:numId w:val="133"/>
        </w:numPr>
        <w:tabs>
          <w:tab w:val="left" w:pos="0"/>
        </w:tabs>
      </w:pPr>
      <w:bookmarkStart w:id="661" w:name="_Toc17690"/>
      <w:r>
        <w:rPr>
          <w:rFonts w:hint="eastAsia"/>
        </w:rPr>
        <w:t>专业力量保障</w:t>
      </w:r>
      <w:bookmarkEnd w:id="661"/>
    </w:p>
    <w:p w14:paraId="04BD90B5">
      <w:pPr>
        <w:ind w:firstLine="632"/>
      </w:pPr>
      <w:r>
        <w:rPr>
          <w:rFonts w:hint="eastAsia"/>
        </w:rPr>
        <w:t>全县各级人民政府应加强综合性消防救援队伍和政府专职消防队伍建设，支持企业、社会团体、民间组织等建立专（兼）职消防救援队伍，鼓励相关行业、部门、企事业单位根据各自特点，按照法律法规组建本领域工艺技术处置队，积极扩展救援队伍力量，开展相关专业训练，为灭火救援提供有力保障。</w:t>
      </w:r>
    </w:p>
    <w:p w14:paraId="6B1C712F">
      <w:pPr>
        <w:pStyle w:val="3"/>
        <w:numPr>
          <w:ilvl w:val="0"/>
          <w:numId w:val="133"/>
        </w:numPr>
        <w:tabs>
          <w:tab w:val="left" w:pos="0"/>
        </w:tabs>
      </w:pPr>
      <w:bookmarkStart w:id="662" w:name="_Toc6911"/>
      <w:r>
        <w:rPr>
          <w:rFonts w:hint="eastAsia"/>
        </w:rPr>
        <w:t>医疗卫生保障</w:t>
      </w:r>
      <w:bookmarkEnd w:id="662"/>
    </w:p>
    <w:p w14:paraId="467ABBC7">
      <w:pPr>
        <w:ind w:firstLine="632"/>
      </w:pPr>
      <w:r>
        <w:rPr>
          <w:rFonts w:hint="eastAsia"/>
        </w:rPr>
        <w:t>卫生健康部门要组建医疗卫生专业应急救援队伍，火灾事故发生后，及时组织开展医疗救治、疾病预防控制、防疫消杀等卫生应急工作。</w:t>
      </w:r>
    </w:p>
    <w:p w14:paraId="156777F2">
      <w:pPr>
        <w:pStyle w:val="3"/>
        <w:numPr>
          <w:ilvl w:val="0"/>
          <w:numId w:val="133"/>
        </w:numPr>
        <w:tabs>
          <w:tab w:val="left" w:pos="0"/>
        </w:tabs>
      </w:pPr>
      <w:bookmarkStart w:id="663" w:name="_Toc6725"/>
      <w:r>
        <w:rPr>
          <w:rFonts w:hint="eastAsia"/>
        </w:rPr>
        <w:t>交通运输保障</w:t>
      </w:r>
      <w:bookmarkEnd w:id="663"/>
    </w:p>
    <w:p w14:paraId="68C272FD">
      <w:pPr>
        <w:ind w:firstLine="632"/>
      </w:pPr>
      <w:r>
        <w:rPr>
          <w:rFonts w:hint="eastAsia"/>
        </w:rPr>
        <w:t>公安、交通等有关部门要保证紧急情况下应急装备的优先安排、优先调度、优先放行，确保运输快速、安全畅通；开设应急救援“绿色通道”，保证应急救援工作的顺利开展。</w:t>
      </w:r>
    </w:p>
    <w:p w14:paraId="5A51B140">
      <w:pPr>
        <w:pStyle w:val="3"/>
        <w:numPr>
          <w:ilvl w:val="0"/>
          <w:numId w:val="133"/>
        </w:numPr>
        <w:tabs>
          <w:tab w:val="left" w:pos="0"/>
        </w:tabs>
      </w:pPr>
      <w:bookmarkStart w:id="664" w:name="_Toc22343"/>
      <w:r>
        <w:rPr>
          <w:rFonts w:hint="eastAsia"/>
        </w:rPr>
        <w:t>现场秩序保障</w:t>
      </w:r>
      <w:bookmarkEnd w:id="664"/>
    </w:p>
    <w:p w14:paraId="644C47B8">
      <w:pPr>
        <w:ind w:firstLine="632"/>
      </w:pPr>
      <w:r>
        <w:rPr>
          <w:rFonts w:hint="eastAsia"/>
        </w:rPr>
        <w:t>公安、武警部门要做好火灾现场治安维护、交通管制、车辆引导及人员疏散，保证救援现场交通畅通和秩序良好；加强对重点地区、重点场所、重点人群、重要物资和设备的安全保护，依法严厉打击违法犯罪活动。</w:t>
      </w:r>
    </w:p>
    <w:p w14:paraId="09F46095">
      <w:pPr>
        <w:pStyle w:val="3"/>
        <w:numPr>
          <w:ilvl w:val="0"/>
          <w:numId w:val="133"/>
        </w:numPr>
        <w:tabs>
          <w:tab w:val="left" w:pos="0"/>
        </w:tabs>
      </w:pPr>
      <w:bookmarkStart w:id="665" w:name="_Toc30386"/>
      <w:r>
        <w:rPr>
          <w:rFonts w:hint="eastAsia"/>
        </w:rPr>
        <w:t>经费保障</w:t>
      </w:r>
      <w:bookmarkEnd w:id="665"/>
    </w:p>
    <w:p w14:paraId="66A502B3">
      <w:pPr>
        <w:ind w:firstLine="632"/>
      </w:pPr>
      <w:r>
        <w:rPr>
          <w:rFonts w:hint="eastAsia"/>
        </w:rPr>
        <w:t>全县各级人民政府要做好火灾处置工作的资金保障。</w:t>
      </w:r>
    </w:p>
    <w:p w14:paraId="31CA4089">
      <w:pPr>
        <w:pStyle w:val="3"/>
        <w:numPr>
          <w:ilvl w:val="0"/>
          <w:numId w:val="133"/>
        </w:numPr>
        <w:tabs>
          <w:tab w:val="left" w:pos="0"/>
        </w:tabs>
      </w:pPr>
      <w:bookmarkStart w:id="666" w:name="_Toc16461"/>
      <w:r>
        <w:rPr>
          <w:rFonts w:hint="eastAsia"/>
        </w:rPr>
        <w:t>生活保障</w:t>
      </w:r>
      <w:bookmarkEnd w:id="666"/>
    </w:p>
    <w:p w14:paraId="3F352098">
      <w:pPr>
        <w:ind w:firstLine="632"/>
      </w:pPr>
      <w:r>
        <w:rPr>
          <w:rFonts w:hint="eastAsia"/>
        </w:rPr>
        <w:t>发生特别重大、重大火灾事故后，事发地县、镇级人民政府及相关部门要做好救援现场各类人员的生活、住宿和饮食等保障工作。</w:t>
      </w:r>
    </w:p>
    <w:p w14:paraId="07FB71BC">
      <w:pPr>
        <w:pStyle w:val="3"/>
        <w:numPr>
          <w:ilvl w:val="0"/>
          <w:numId w:val="133"/>
        </w:numPr>
        <w:tabs>
          <w:tab w:val="left" w:pos="0"/>
        </w:tabs>
      </w:pPr>
      <w:bookmarkStart w:id="667" w:name="_Toc10837"/>
      <w:r>
        <w:rPr>
          <w:rFonts w:hint="eastAsia"/>
        </w:rPr>
        <w:t>宣传、培训和演练</w:t>
      </w:r>
      <w:bookmarkEnd w:id="667"/>
    </w:p>
    <w:p w14:paraId="79F51516">
      <w:pPr>
        <w:ind w:firstLine="632"/>
      </w:pPr>
      <w:r>
        <w:rPr>
          <w:rFonts w:hint="eastAsia"/>
        </w:rPr>
        <w:t>广泛开展消防知识公众宣传教育和现场救护技能培训，增强各企事业单位的消防意识，提高人民群众预防、自救、互救的水平和能力。</w:t>
      </w:r>
    </w:p>
    <w:p w14:paraId="26C03D29">
      <w:pPr>
        <w:ind w:firstLine="632"/>
      </w:pPr>
      <w:r>
        <w:rPr>
          <w:rFonts w:hint="eastAsia"/>
        </w:rPr>
        <w:t>消防安全重点单位应当按照灭火和应急疏散预案，至少每半年进行一次演练，其他单位应当结合本单位实际，参照制定相应的应急方案，至少每年组织一次演练。</w:t>
      </w:r>
    </w:p>
    <w:p w14:paraId="55FAED03">
      <w:pPr>
        <w:pStyle w:val="2"/>
        <w:numPr>
          <w:ilvl w:val="0"/>
          <w:numId w:val="133"/>
        </w:numPr>
        <w:tabs>
          <w:tab w:val="left" w:pos="0"/>
        </w:tabs>
      </w:pPr>
      <w:bookmarkStart w:id="668" w:name="_Toc7265"/>
      <w:r>
        <w:rPr>
          <w:rFonts w:hint="eastAsia"/>
        </w:rPr>
        <w:t>预案管理</w:t>
      </w:r>
      <w:bookmarkEnd w:id="668"/>
      <w:r>
        <w:rPr>
          <w:rFonts w:hint="eastAsia"/>
        </w:rPr>
        <w:t xml:space="preserve"> </w:t>
      </w:r>
    </w:p>
    <w:p w14:paraId="35FE0934">
      <w:pPr>
        <w:pStyle w:val="3"/>
        <w:numPr>
          <w:ilvl w:val="0"/>
          <w:numId w:val="133"/>
        </w:numPr>
        <w:tabs>
          <w:tab w:val="left" w:pos="0"/>
        </w:tabs>
      </w:pPr>
      <w:bookmarkStart w:id="669" w:name="_Toc26562"/>
      <w:r>
        <w:rPr>
          <w:rFonts w:hint="eastAsia"/>
        </w:rPr>
        <w:t>预案编制、评估、修订</w:t>
      </w:r>
      <w:bookmarkEnd w:id="669"/>
    </w:p>
    <w:p w14:paraId="1F7BFAD0">
      <w:pPr>
        <w:ind w:firstLine="632"/>
      </w:pPr>
      <w:r>
        <w:rPr>
          <w:rFonts w:hint="eastAsia"/>
        </w:rPr>
        <w:t>本预案由县消防救援大队制定，报县政府批准后组织实施。本预案是县政府及其有关部门针对可能发生的各等级火灾事故，组织实施救援工作和事故调查处理的指导性文件，在具体实施过程中可根据不同情况进行调整，确保有条不紊地开展火灾事故应急救援工作。预案实施后，县消防救援大队应适时召集有关部门和专家进行评估，并视情况变化作出相应修改后报县政府审批。</w:t>
      </w:r>
    </w:p>
    <w:p w14:paraId="2D5458EC">
      <w:pPr>
        <w:pStyle w:val="3"/>
        <w:numPr>
          <w:ilvl w:val="0"/>
          <w:numId w:val="133"/>
        </w:numPr>
        <w:tabs>
          <w:tab w:val="left" w:pos="0"/>
        </w:tabs>
      </w:pPr>
      <w:bookmarkStart w:id="670" w:name="_Toc19266"/>
      <w:r>
        <w:rPr>
          <w:rFonts w:hint="eastAsia"/>
        </w:rPr>
        <w:t>责任与奖惩</w:t>
      </w:r>
      <w:bookmarkEnd w:id="670"/>
    </w:p>
    <w:p w14:paraId="18C87682">
      <w:pPr>
        <w:ind w:firstLine="632"/>
      </w:pPr>
      <w:r>
        <w:rPr>
          <w:rFonts w:hint="eastAsia"/>
        </w:rPr>
        <w:t>对在消防工作中有突出贡献的单位和个人，应当按照国家有关规定给予表彰和奖励，对玩忽职守、失职、渎职的有关责任人，要依据有关规定严肃追究责任，构成犯罪的，依法追究刑事责任。</w:t>
      </w:r>
    </w:p>
    <w:p w14:paraId="5781B095">
      <w:pPr>
        <w:pStyle w:val="2"/>
        <w:numPr>
          <w:ilvl w:val="0"/>
          <w:numId w:val="133"/>
        </w:numPr>
        <w:tabs>
          <w:tab w:val="left" w:pos="0"/>
        </w:tabs>
      </w:pPr>
      <w:bookmarkStart w:id="671" w:name="_Toc4428"/>
      <w:r>
        <w:rPr>
          <w:rFonts w:hint="eastAsia"/>
        </w:rPr>
        <w:t>附则</w:t>
      </w:r>
      <w:bookmarkEnd w:id="671"/>
    </w:p>
    <w:p w14:paraId="21422B19">
      <w:pPr>
        <w:pStyle w:val="3"/>
        <w:numPr>
          <w:ilvl w:val="0"/>
          <w:numId w:val="133"/>
        </w:numPr>
        <w:tabs>
          <w:tab w:val="left" w:pos="0"/>
        </w:tabs>
      </w:pPr>
      <w:bookmarkStart w:id="672" w:name="_Toc26941"/>
      <w:r>
        <w:rPr>
          <w:rFonts w:hint="eastAsia"/>
        </w:rPr>
        <w:t>预案制定与解释</w:t>
      </w:r>
      <w:bookmarkEnd w:id="672"/>
    </w:p>
    <w:p w14:paraId="1A2E2190">
      <w:pPr>
        <w:ind w:firstLine="632"/>
      </w:pPr>
      <w:r>
        <w:rPr>
          <w:rFonts w:hint="eastAsia"/>
        </w:rPr>
        <w:t>本预案由集贤县消防安全委员会办公室负责解释。</w:t>
      </w:r>
    </w:p>
    <w:p w14:paraId="173BB8EF">
      <w:pPr>
        <w:pStyle w:val="3"/>
        <w:numPr>
          <w:ilvl w:val="0"/>
          <w:numId w:val="133"/>
        </w:numPr>
        <w:tabs>
          <w:tab w:val="left" w:pos="0"/>
        </w:tabs>
      </w:pPr>
      <w:bookmarkStart w:id="673" w:name="_Toc12335"/>
      <w:r>
        <w:rPr>
          <w:rFonts w:hint="eastAsia"/>
        </w:rPr>
        <w:t>预案中“以上”“以下”的含义</w:t>
      </w:r>
      <w:bookmarkEnd w:id="673"/>
    </w:p>
    <w:p w14:paraId="539EE937">
      <w:pPr>
        <w:ind w:firstLine="632"/>
      </w:pPr>
      <w:r>
        <w:rPr>
          <w:rFonts w:hint="eastAsia"/>
        </w:rPr>
        <w:t>本预案有关数量的表述中，“以上”包含本数，“以下”不包含本数。</w:t>
      </w:r>
    </w:p>
    <w:p w14:paraId="5F78CD44">
      <w:pPr>
        <w:pStyle w:val="3"/>
        <w:numPr>
          <w:ilvl w:val="0"/>
          <w:numId w:val="133"/>
        </w:numPr>
        <w:tabs>
          <w:tab w:val="left" w:pos="0"/>
        </w:tabs>
      </w:pPr>
      <w:bookmarkStart w:id="674" w:name="_Toc18492"/>
      <w:r>
        <w:rPr>
          <w:rFonts w:hint="eastAsia"/>
        </w:rPr>
        <w:t>预案的实施</w:t>
      </w:r>
      <w:bookmarkEnd w:id="674"/>
    </w:p>
    <w:p w14:paraId="5BD0DE24">
      <w:pPr>
        <w:ind w:firstLine="632"/>
      </w:pPr>
      <w:r>
        <w:rPr>
          <w:rFonts w:hint="eastAsia"/>
        </w:rPr>
        <w:t>本预案自发布之日起施行。</w:t>
      </w:r>
    </w:p>
    <w:p w14:paraId="23F4AF21">
      <w:pPr>
        <w:ind w:firstLine="0" w:firstLineChars="0"/>
        <w:jc w:val="center"/>
        <w:rPr>
          <w:rFonts w:ascii="Times New Roman" w:hAnsi="Times New Roman" w:eastAsia="方正小标宋简体"/>
          <w:sz w:val="36"/>
        </w:rPr>
      </w:pPr>
    </w:p>
    <w:p w14:paraId="37208819">
      <w:pPr>
        <w:pStyle w:val="15"/>
        <w:ind w:left="0" w:leftChars="0" w:firstLine="0" w:firstLineChars="0"/>
        <w:rPr>
          <w:rFonts w:ascii="Times New Roman" w:hAnsi="Times New Roman" w:cs="Times New Roman"/>
        </w:rPr>
        <w:sectPr>
          <w:headerReference r:id="rId54" w:type="default"/>
          <w:footerReference r:id="rId56" w:type="default"/>
          <w:headerReference r:id="rId55" w:type="even"/>
          <w:footerReference r:id="rId57" w:type="even"/>
          <w:pgSz w:w="11906" w:h="16838"/>
          <w:pgMar w:top="2154" w:right="1020" w:bottom="1984" w:left="1587" w:header="624" w:footer="850" w:gutter="0"/>
          <w:pgNumType w:start="1"/>
          <w:cols w:space="720" w:num="1"/>
          <w:docGrid w:type="linesAndChars" w:linePitch="579" w:charSpace="-842"/>
        </w:sectPr>
      </w:pPr>
    </w:p>
    <w:p w14:paraId="7F1CE116">
      <w:pPr>
        <w:ind w:firstLine="552"/>
        <w:rPr>
          <w:rFonts w:ascii="Times New Roman" w:hAnsi="Times New Roman" w:cs="Times New Roman"/>
        </w:rPr>
      </w:pPr>
    </w:p>
    <w:p w14:paraId="19D72203">
      <w:pPr>
        <w:ind w:firstLine="552"/>
        <w:rPr>
          <w:rFonts w:ascii="Times New Roman" w:hAnsi="Times New Roman" w:cs="Times New Roman"/>
        </w:rPr>
      </w:pPr>
    </w:p>
    <w:p w14:paraId="5DD7938E">
      <w:pPr>
        <w:pStyle w:val="13"/>
        <w:ind w:firstLine="632"/>
        <w:rPr>
          <w:rFonts w:ascii="Times New Roman" w:hAnsi="Times New Roman" w:cs="Times New Roman"/>
        </w:rPr>
      </w:pPr>
    </w:p>
    <w:p w14:paraId="6AD609EE">
      <w:pPr>
        <w:ind w:firstLine="552"/>
        <w:rPr>
          <w:rFonts w:ascii="Times New Roman" w:hAnsi="Times New Roman" w:cs="Times New Roman"/>
        </w:rPr>
      </w:pPr>
    </w:p>
    <w:p w14:paraId="439898D7">
      <w:pPr>
        <w:ind w:firstLine="0" w:firstLineChars="0"/>
        <w:jc w:val="center"/>
        <w:rPr>
          <w:rFonts w:ascii="Times New Roman" w:hAnsi="Times New Roman" w:eastAsia="楷体" w:cs="Times New Roman"/>
          <w:b/>
          <w:bCs/>
          <w:sz w:val="72"/>
          <w:szCs w:val="72"/>
        </w:rPr>
      </w:pPr>
      <w:r>
        <w:rPr>
          <w:rFonts w:ascii="Times New Roman" w:hAnsi="Times New Roman" w:eastAsia="方正小标宋简体" w:cs="Times New Roman"/>
          <w:bCs/>
          <w:color w:val="000000"/>
          <w:spacing w:val="-6"/>
          <w:kern w:val="0"/>
          <w:sz w:val="52"/>
          <w:szCs w:val="52"/>
          <w:lang w:bidi="ar"/>
        </w:rPr>
        <w:t>集贤县道路交通事故应急预案</w:t>
      </w:r>
    </w:p>
    <w:p w14:paraId="797462D9">
      <w:pPr>
        <w:pStyle w:val="11"/>
        <w:ind w:firstLine="0" w:firstLineChars="0"/>
        <w:jc w:val="center"/>
        <w:rPr>
          <w:rFonts w:ascii="Times New Roman" w:hAnsi="Times New Roman" w:eastAsia="楷体_GB2312" w:cs="Times New Roman"/>
          <w:b/>
          <w:sz w:val="52"/>
          <w:szCs w:val="52"/>
        </w:rPr>
      </w:pPr>
      <w:r>
        <w:rPr>
          <w:rFonts w:hint="eastAsia" w:ascii="仿宋_GB2312" w:hAnsi="仿宋_GB2312" w:cs="仿宋_GB2312"/>
          <w:bCs/>
          <w:sz w:val="48"/>
          <w:szCs w:val="48"/>
        </w:rPr>
        <w:t>（修订稿）</w:t>
      </w:r>
    </w:p>
    <w:p w14:paraId="117516AB">
      <w:pPr>
        <w:pStyle w:val="11"/>
        <w:ind w:firstLine="0" w:firstLineChars="0"/>
        <w:jc w:val="center"/>
        <w:rPr>
          <w:rFonts w:ascii="Times New Roman" w:hAnsi="Times New Roman" w:eastAsia="黑体" w:cs="Times New Roman"/>
          <w:sz w:val="52"/>
          <w:szCs w:val="52"/>
        </w:rPr>
      </w:pPr>
    </w:p>
    <w:p w14:paraId="6B342FB1">
      <w:pPr>
        <w:pStyle w:val="11"/>
        <w:ind w:firstLine="0" w:firstLineChars="0"/>
        <w:jc w:val="center"/>
        <w:rPr>
          <w:rFonts w:ascii="Times New Roman" w:hAnsi="Times New Roman" w:eastAsia="黑体" w:cs="Times New Roman"/>
          <w:sz w:val="52"/>
          <w:szCs w:val="52"/>
        </w:rPr>
      </w:pPr>
    </w:p>
    <w:p w14:paraId="1A5FF747">
      <w:pPr>
        <w:pStyle w:val="11"/>
        <w:ind w:firstLine="0" w:firstLineChars="0"/>
        <w:jc w:val="center"/>
        <w:rPr>
          <w:rFonts w:ascii="Times New Roman" w:hAnsi="Times New Roman" w:eastAsia="黑体" w:cs="Times New Roman"/>
          <w:sz w:val="52"/>
          <w:szCs w:val="52"/>
        </w:rPr>
      </w:pPr>
    </w:p>
    <w:p w14:paraId="2D81ECDD">
      <w:pPr>
        <w:pStyle w:val="11"/>
        <w:ind w:firstLine="0" w:firstLineChars="0"/>
        <w:jc w:val="center"/>
        <w:rPr>
          <w:rFonts w:ascii="Times New Roman" w:hAnsi="Times New Roman" w:eastAsia="黑体" w:cs="Times New Roman"/>
          <w:sz w:val="52"/>
          <w:szCs w:val="52"/>
        </w:rPr>
      </w:pPr>
    </w:p>
    <w:p w14:paraId="42A5F1F9">
      <w:pPr>
        <w:pStyle w:val="11"/>
        <w:ind w:firstLine="0" w:firstLineChars="0"/>
        <w:jc w:val="center"/>
        <w:rPr>
          <w:rFonts w:ascii="Times New Roman" w:hAnsi="Times New Roman" w:eastAsia="楷体_GB2312" w:cs="Times New Roman"/>
          <w:spacing w:val="-12"/>
          <w:sz w:val="44"/>
          <w:szCs w:val="44"/>
        </w:rPr>
      </w:pPr>
    </w:p>
    <w:p w14:paraId="3523C992">
      <w:pPr>
        <w:pStyle w:val="11"/>
        <w:ind w:firstLine="0" w:firstLineChars="0"/>
        <w:jc w:val="center"/>
        <w:rPr>
          <w:rFonts w:ascii="Times New Roman" w:hAnsi="Times New Roman" w:eastAsia="楷体_GB2312" w:cs="Times New Roman"/>
          <w:spacing w:val="-12"/>
          <w:sz w:val="44"/>
          <w:szCs w:val="44"/>
        </w:rPr>
      </w:pPr>
    </w:p>
    <w:p w14:paraId="2F106F4F">
      <w:pPr>
        <w:pStyle w:val="11"/>
        <w:ind w:firstLine="0" w:firstLineChars="0"/>
        <w:jc w:val="center"/>
        <w:rPr>
          <w:rFonts w:ascii="Times New Roman" w:hAnsi="Times New Roman" w:eastAsia="楷体_GB2312" w:cs="Times New Roman"/>
          <w:spacing w:val="-12"/>
          <w:sz w:val="44"/>
          <w:szCs w:val="44"/>
        </w:rPr>
      </w:pPr>
    </w:p>
    <w:p w14:paraId="3A854512">
      <w:pPr>
        <w:pStyle w:val="11"/>
        <w:ind w:firstLine="0" w:firstLineChars="0"/>
        <w:jc w:val="center"/>
        <w:rPr>
          <w:rFonts w:ascii="Times New Roman" w:hAnsi="Times New Roman" w:eastAsia="楷体_GB2312" w:cs="Times New Roman"/>
          <w:spacing w:val="-12"/>
          <w:sz w:val="44"/>
          <w:szCs w:val="44"/>
        </w:rPr>
      </w:pPr>
    </w:p>
    <w:p w14:paraId="2AF0EC96">
      <w:pPr>
        <w:ind w:firstLine="0" w:firstLineChars="0"/>
        <w:jc w:val="center"/>
        <w:rPr>
          <w:rFonts w:ascii="Times New Roman" w:hAnsi="Times New Roman" w:cs="Times New Roman"/>
          <w:bCs/>
          <w:spacing w:val="-6"/>
          <w:sz w:val="36"/>
          <w:szCs w:val="24"/>
          <w:lang w:bidi="ar"/>
        </w:rPr>
      </w:pPr>
      <w:r>
        <w:rPr>
          <w:rFonts w:ascii="Times New Roman" w:hAnsi="Times New Roman" w:cs="Times New Roman"/>
          <w:bCs/>
          <w:spacing w:val="-6"/>
          <w:sz w:val="36"/>
          <w:szCs w:val="24"/>
          <w:lang w:bidi="ar"/>
        </w:rPr>
        <w:t>集贤县人民政府 编制</w:t>
      </w:r>
    </w:p>
    <w:p w14:paraId="2FBEB319">
      <w:pPr>
        <w:ind w:firstLine="0" w:firstLineChars="0"/>
        <w:jc w:val="center"/>
        <w:rPr>
          <w:rFonts w:ascii="Times New Roman" w:hAnsi="Times New Roman" w:cs="Times New Roman"/>
          <w:bCs/>
          <w:spacing w:val="-6"/>
          <w:sz w:val="36"/>
          <w:szCs w:val="24"/>
          <w:lang w:bidi="ar"/>
        </w:rPr>
      </w:pPr>
      <w:r>
        <w:rPr>
          <w:rFonts w:ascii="Times New Roman" w:hAnsi="Times New Roman" w:cs="Times New Roman"/>
          <w:bCs/>
          <w:spacing w:val="-6"/>
          <w:sz w:val="36"/>
          <w:szCs w:val="24"/>
          <w:lang w:bidi="ar"/>
        </w:rPr>
        <w:t>2025年5月</w:t>
      </w:r>
    </w:p>
    <w:p w14:paraId="1854805B">
      <w:pPr>
        <w:ind w:firstLine="688"/>
        <w:rPr>
          <w:rFonts w:ascii="Times New Roman" w:hAnsi="Times New Roman" w:cs="Times New Roman"/>
          <w:bCs/>
          <w:spacing w:val="-6"/>
          <w:sz w:val="36"/>
          <w:szCs w:val="24"/>
          <w:lang w:bidi="ar"/>
        </w:rPr>
      </w:pPr>
      <w:r>
        <w:rPr>
          <w:rFonts w:ascii="Times New Roman" w:hAnsi="Times New Roman" w:cs="Times New Roman"/>
          <w:bCs/>
          <w:spacing w:val="-6"/>
          <w:sz w:val="36"/>
          <w:szCs w:val="24"/>
          <w:lang w:bidi="ar"/>
        </w:rPr>
        <w:br w:type="page"/>
      </w:r>
    </w:p>
    <w:p w14:paraId="38A1697D">
      <w:pPr>
        <w:pStyle w:val="29"/>
        <w:rPr>
          <w:rFonts w:ascii="Times New Roman" w:hAnsi="Times New Roman" w:cs="Times New Roman"/>
          <w:sz w:val="36"/>
          <w:szCs w:val="36"/>
        </w:rPr>
        <w:sectPr>
          <w:headerReference r:id="rId58" w:type="default"/>
          <w:footerReference r:id="rId60" w:type="default"/>
          <w:headerReference r:id="rId59" w:type="even"/>
          <w:footerReference r:id="rId61" w:type="even"/>
          <w:pgSz w:w="11906" w:h="16838"/>
          <w:pgMar w:top="2098" w:right="1474" w:bottom="1984" w:left="1587" w:header="624" w:footer="1134" w:gutter="0"/>
          <w:pgNumType w:start="1"/>
          <w:cols w:space="0" w:num="1"/>
          <w:docGrid w:type="linesAndChars" w:linePitch="579" w:charSpace="-842"/>
        </w:sectPr>
      </w:pPr>
    </w:p>
    <w:sdt>
      <w:sdtPr>
        <w:rPr>
          <w:rFonts w:ascii="Times New Roman" w:hAnsi="Times New Roman" w:eastAsia="微软雅黑" w:cs="Times New Roman"/>
          <w:b/>
          <w:bCs/>
          <w:sz w:val="36"/>
          <w:szCs w:val="36"/>
        </w:rPr>
        <w:id w:val="147451895"/>
        <w15:color w:val="DBDBDB"/>
        <w:docPartObj>
          <w:docPartGallery w:val="Table of Contents"/>
          <w:docPartUnique/>
        </w:docPartObj>
      </w:sdtPr>
      <w:sdtEndPr>
        <w:rPr>
          <w:rFonts w:ascii="Times New Roman" w:hAnsi="Times New Roman" w:eastAsia="仿宋" w:cs="Times New Roman"/>
          <w:b/>
          <w:bCs/>
          <w:sz w:val="32"/>
          <w:szCs w:val="32"/>
        </w:rPr>
      </w:sdtEndPr>
      <w:sdtContent>
        <w:p w14:paraId="02F6C963">
          <w:pPr>
            <w:ind w:firstLine="0" w:firstLineChars="0"/>
            <w:jc w:val="center"/>
            <w:rPr>
              <w:rFonts w:ascii="Times New Roman" w:hAnsi="Times New Roman" w:cs="Times New Roman"/>
            </w:rPr>
          </w:pPr>
          <w:r>
            <w:rPr>
              <w:rFonts w:ascii="Times New Roman" w:hAnsi="Times New Roman" w:eastAsia="微软雅黑" w:cs="Times New Roman"/>
              <w:b/>
              <w:bCs/>
              <w:sz w:val="36"/>
              <w:szCs w:val="36"/>
            </w:rPr>
            <w:t>目  录</w:t>
          </w:r>
        </w:p>
        <w:p w14:paraId="7AA610F4">
          <w:pPr>
            <w:pStyle w:val="18"/>
            <w:rPr>
              <w:rFonts w:ascii="Times New Roman" w:hAnsi="Times New Roman" w:cs="Times New Roman"/>
              <w:sz w:val="32"/>
            </w:rPr>
          </w:pPr>
          <w:r>
            <w:rPr>
              <w:rFonts w:ascii="Times New Roman" w:hAnsi="Times New Roman" w:cs="Times New Roman"/>
              <w:sz w:val="32"/>
            </w:rPr>
            <w:fldChar w:fldCharType="begin"/>
          </w:r>
          <w:r>
            <w:rPr>
              <w:rFonts w:ascii="Times New Roman" w:hAnsi="Times New Roman" w:cs="Times New Roman"/>
              <w:sz w:val="32"/>
            </w:rPr>
            <w:instrText xml:space="preserve">TOC \o "1-2" \h \u </w:instrText>
          </w:r>
          <w:r>
            <w:rPr>
              <w:rFonts w:ascii="Times New Roman" w:hAnsi="Times New Roman" w:cs="Times New Roman"/>
              <w:sz w:val="32"/>
            </w:rPr>
            <w:fldChar w:fldCharType="separate"/>
          </w:r>
          <w:r>
            <w:fldChar w:fldCharType="begin"/>
          </w:r>
          <w:r>
            <w:instrText xml:space="preserve"> HYPERLINK \l "_Toc21095" </w:instrText>
          </w:r>
          <w:r>
            <w:fldChar w:fldCharType="separate"/>
          </w:r>
          <w:r>
            <w:rPr>
              <w:rFonts w:ascii="Times New Roman" w:hAnsi="Times New Roman" w:eastAsia="仿宋" w:cs="Times New Roman"/>
              <w:sz w:val="32"/>
            </w:rPr>
            <w:t xml:space="preserve">1 </w:t>
          </w:r>
          <w:r>
            <w:rPr>
              <w:rFonts w:ascii="Times New Roman" w:hAnsi="Times New Roman" w:cs="Times New Roman"/>
              <w:sz w:val="32"/>
            </w:rPr>
            <w:t>总则</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_Toc21095 \h </w:instrText>
          </w:r>
          <w:r>
            <w:rPr>
              <w:rFonts w:ascii="Times New Roman" w:hAnsi="Times New Roman" w:cs="Times New Roman"/>
              <w:sz w:val="32"/>
            </w:rPr>
            <w:fldChar w:fldCharType="separate"/>
          </w:r>
          <w:r>
            <w:rPr>
              <w:rFonts w:ascii="Times New Roman" w:hAnsi="Times New Roman" w:cs="Times New Roman"/>
              <w:sz w:val="32"/>
            </w:rPr>
            <w:t>1</w:t>
          </w:r>
          <w:r>
            <w:rPr>
              <w:rFonts w:ascii="Times New Roman" w:hAnsi="Times New Roman" w:cs="Times New Roman"/>
              <w:sz w:val="32"/>
            </w:rPr>
            <w:fldChar w:fldCharType="end"/>
          </w:r>
          <w:r>
            <w:rPr>
              <w:rFonts w:ascii="Times New Roman" w:hAnsi="Times New Roman" w:cs="Times New Roman"/>
              <w:sz w:val="32"/>
            </w:rPr>
            <w:fldChar w:fldCharType="end"/>
          </w:r>
        </w:p>
        <w:p w14:paraId="79E55037">
          <w:pPr>
            <w:pStyle w:val="19"/>
            <w:tabs>
              <w:tab w:val="right" w:leader="dot" w:pos="8845"/>
            </w:tabs>
            <w:ind w:firstLine="552"/>
            <w:rPr>
              <w:rFonts w:ascii="Times New Roman" w:hAnsi="Times New Roman" w:cs="Times New Roman"/>
              <w:sz w:val="32"/>
            </w:rPr>
          </w:pPr>
          <w:r>
            <w:fldChar w:fldCharType="begin"/>
          </w:r>
          <w:r>
            <w:instrText xml:space="preserve"> HYPERLINK \l "_Toc21063" </w:instrText>
          </w:r>
          <w:r>
            <w:fldChar w:fldCharType="separate"/>
          </w:r>
          <w:r>
            <w:rPr>
              <w:rFonts w:ascii="Times New Roman" w:hAnsi="Times New Roman" w:eastAsia="仿宋" w:cs="Times New Roman"/>
              <w:bCs/>
              <w:sz w:val="32"/>
            </w:rPr>
            <w:t xml:space="preserve">1.1 </w:t>
          </w:r>
          <w:r>
            <w:rPr>
              <w:rFonts w:ascii="Times New Roman" w:hAnsi="Times New Roman" w:cs="Times New Roman"/>
              <w:sz w:val="32"/>
            </w:rPr>
            <w:t>编制目的</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_Toc21063 \h </w:instrText>
          </w:r>
          <w:r>
            <w:rPr>
              <w:rFonts w:ascii="Times New Roman" w:hAnsi="Times New Roman" w:cs="Times New Roman"/>
              <w:sz w:val="32"/>
            </w:rPr>
            <w:fldChar w:fldCharType="separate"/>
          </w:r>
          <w:r>
            <w:rPr>
              <w:rFonts w:ascii="Times New Roman" w:hAnsi="Times New Roman" w:cs="Times New Roman"/>
              <w:sz w:val="32"/>
            </w:rPr>
            <w:t>1</w:t>
          </w:r>
          <w:r>
            <w:rPr>
              <w:rFonts w:ascii="Times New Roman" w:hAnsi="Times New Roman" w:cs="Times New Roman"/>
              <w:sz w:val="32"/>
            </w:rPr>
            <w:fldChar w:fldCharType="end"/>
          </w:r>
          <w:r>
            <w:rPr>
              <w:rFonts w:ascii="Times New Roman" w:hAnsi="Times New Roman" w:cs="Times New Roman"/>
              <w:sz w:val="32"/>
            </w:rPr>
            <w:fldChar w:fldCharType="end"/>
          </w:r>
        </w:p>
        <w:p w14:paraId="4BD86B7C">
          <w:pPr>
            <w:pStyle w:val="19"/>
            <w:tabs>
              <w:tab w:val="right" w:leader="dot" w:pos="8845"/>
            </w:tabs>
            <w:ind w:firstLine="552"/>
            <w:rPr>
              <w:rFonts w:ascii="Times New Roman" w:hAnsi="Times New Roman" w:cs="Times New Roman"/>
              <w:sz w:val="32"/>
            </w:rPr>
          </w:pPr>
          <w:r>
            <w:fldChar w:fldCharType="begin"/>
          </w:r>
          <w:r>
            <w:instrText xml:space="preserve"> HYPERLINK \l "_Toc2493" </w:instrText>
          </w:r>
          <w:r>
            <w:fldChar w:fldCharType="separate"/>
          </w:r>
          <w:r>
            <w:rPr>
              <w:rFonts w:ascii="Times New Roman" w:hAnsi="Times New Roman" w:eastAsia="仿宋" w:cs="Times New Roman"/>
              <w:bCs/>
              <w:sz w:val="32"/>
            </w:rPr>
            <w:t xml:space="preserve">1.2 </w:t>
          </w:r>
          <w:r>
            <w:rPr>
              <w:rFonts w:ascii="Times New Roman" w:hAnsi="Times New Roman" w:cs="Times New Roman"/>
              <w:sz w:val="32"/>
            </w:rPr>
            <w:t>编制依据</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_Toc2493 \h </w:instrText>
          </w:r>
          <w:r>
            <w:rPr>
              <w:rFonts w:ascii="Times New Roman" w:hAnsi="Times New Roman" w:cs="Times New Roman"/>
              <w:sz w:val="32"/>
            </w:rPr>
            <w:fldChar w:fldCharType="separate"/>
          </w:r>
          <w:r>
            <w:rPr>
              <w:rFonts w:ascii="Times New Roman" w:hAnsi="Times New Roman" w:cs="Times New Roman"/>
              <w:sz w:val="32"/>
            </w:rPr>
            <w:t>1</w:t>
          </w:r>
          <w:r>
            <w:rPr>
              <w:rFonts w:ascii="Times New Roman" w:hAnsi="Times New Roman" w:cs="Times New Roman"/>
              <w:sz w:val="32"/>
            </w:rPr>
            <w:fldChar w:fldCharType="end"/>
          </w:r>
          <w:r>
            <w:rPr>
              <w:rFonts w:ascii="Times New Roman" w:hAnsi="Times New Roman" w:cs="Times New Roman"/>
              <w:sz w:val="32"/>
            </w:rPr>
            <w:fldChar w:fldCharType="end"/>
          </w:r>
        </w:p>
        <w:p w14:paraId="39426607">
          <w:pPr>
            <w:pStyle w:val="19"/>
            <w:tabs>
              <w:tab w:val="right" w:leader="dot" w:pos="8845"/>
            </w:tabs>
            <w:ind w:firstLine="552"/>
            <w:rPr>
              <w:rFonts w:ascii="Times New Roman" w:hAnsi="Times New Roman" w:cs="Times New Roman"/>
              <w:sz w:val="32"/>
            </w:rPr>
          </w:pPr>
          <w:r>
            <w:fldChar w:fldCharType="begin"/>
          </w:r>
          <w:r>
            <w:instrText xml:space="preserve"> HYPERLINK \l "_Toc12360" </w:instrText>
          </w:r>
          <w:r>
            <w:fldChar w:fldCharType="separate"/>
          </w:r>
          <w:r>
            <w:rPr>
              <w:rFonts w:ascii="Times New Roman" w:hAnsi="Times New Roman" w:eastAsia="仿宋" w:cs="Times New Roman"/>
              <w:bCs/>
              <w:sz w:val="32"/>
            </w:rPr>
            <w:t xml:space="preserve">1.3 </w:t>
          </w:r>
          <w:r>
            <w:rPr>
              <w:rFonts w:ascii="Times New Roman" w:hAnsi="Times New Roman" w:cs="Times New Roman"/>
              <w:sz w:val="32"/>
            </w:rPr>
            <w:t>适用范围</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_Toc12360 \h </w:instrText>
          </w:r>
          <w:r>
            <w:rPr>
              <w:rFonts w:ascii="Times New Roman" w:hAnsi="Times New Roman" w:cs="Times New Roman"/>
              <w:sz w:val="32"/>
            </w:rPr>
            <w:fldChar w:fldCharType="separate"/>
          </w:r>
          <w:r>
            <w:rPr>
              <w:rFonts w:ascii="Times New Roman" w:hAnsi="Times New Roman" w:cs="Times New Roman"/>
              <w:sz w:val="32"/>
            </w:rPr>
            <w:t>1</w:t>
          </w:r>
          <w:r>
            <w:rPr>
              <w:rFonts w:ascii="Times New Roman" w:hAnsi="Times New Roman" w:cs="Times New Roman"/>
              <w:sz w:val="32"/>
            </w:rPr>
            <w:fldChar w:fldCharType="end"/>
          </w:r>
          <w:r>
            <w:rPr>
              <w:rFonts w:ascii="Times New Roman" w:hAnsi="Times New Roman" w:cs="Times New Roman"/>
              <w:sz w:val="32"/>
            </w:rPr>
            <w:fldChar w:fldCharType="end"/>
          </w:r>
        </w:p>
        <w:p w14:paraId="1AA8614F">
          <w:pPr>
            <w:pStyle w:val="19"/>
            <w:tabs>
              <w:tab w:val="right" w:leader="dot" w:pos="8845"/>
            </w:tabs>
            <w:ind w:firstLine="552"/>
            <w:rPr>
              <w:rFonts w:ascii="Times New Roman" w:hAnsi="Times New Roman" w:cs="Times New Roman"/>
              <w:sz w:val="32"/>
            </w:rPr>
          </w:pPr>
          <w:r>
            <w:fldChar w:fldCharType="begin"/>
          </w:r>
          <w:r>
            <w:instrText xml:space="preserve"> HYPERLINK \l "_Toc16213" </w:instrText>
          </w:r>
          <w:r>
            <w:fldChar w:fldCharType="separate"/>
          </w:r>
          <w:r>
            <w:rPr>
              <w:rFonts w:ascii="Times New Roman" w:hAnsi="Times New Roman" w:eastAsia="仿宋" w:cs="Times New Roman"/>
              <w:bCs/>
              <w:sz w:val="32"/>
            </w:rPr>
            <w:t xml:space="preserve">1.4 </w:t>
          </w:r>
          <w:r>
            <w:rPr>
              <w:rFonts w:ascii="Times New Roman" w:hAnsi="Times New Roman" w:cs="Times New Roman"/>
              <w:sz w:val="32"/>
            </w:rPr>
            <w:t>工作原则</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_Toc16213 \h </w:instrText>
          </w:r>
          <w:r>
            <w:rPr>
              <w:rFonts w:ascii="Times New Roman" w:hAnsi="Times New Roman" w:cs="Times New Roman"/>
              <w:sz w:val="32"/>
            </w:rPr>
            <w:fldChar w:fldCharType="separate"/>
          </w:r>
          <w:r>
            <w:rPr>
              <w:rFonts w:ascii="Times New Roman" w:hAnsi="Times New Roman" w:cs="Times New Roman"/>
              <w:sz w:val="32"/>
            </w:rPr>
            <w:t>1</w:t>
          </w:r>
          <w:r>
            <w:rPr>
              <w:rFonts w:ascii="Times New Roman" w:hAnsi="Times New Roman" w:cs="Times New Roman"/>
              <w:sz w:val="32"/>
            </w:rPr>
            <w:fldChar w:fldCharType="end"/>
          </w:r>
          <w:r>
            <w:rPr>
              <w:rFonts w:ascii="Times New Roman" w:hAnsi="Times New Roman" w:cs="Times New Roman"/>
              <w:sz w:val="32"/>
            </w:rPr>
            <w:fldChar w:fldCharType="end"/>
          </w:r>
        </w:p>
        <w:p w14:paraId="12FFD9B8">
          <w:pPr>
            <w:pStyle w:val="19"/>
            <w:tabs>
              <w:tab w:val="right" w:leader="dot" w:pos="8845"/>
            </w:tabs>
            <w:ind w:firstLine="552"/>
            <w:rPr>
              <w:rFonts w:ascii="Times New Roman" w:hAnsi="Times New Roman" w:cs="Times New Roman"/>
              <w:sz w:val="32"/>
            </w:rPr>
          </w:pPr>
          <w:r>
            <w:fldChar w:fldCharType="begin"/>
          </w:r>
          <w:r>
            <w:instrText xml:space="preserve"> HYPERLINK \l "_Toc3541" </w:instrText>
          </w:r>
          <w:r>
            <w:fldChar w:fldCharType="separate"/>
          </w:r>
          <w:r>
            <w:rPr>
              <w:rFonts w:ascii="Times New Roman" w:hAnsi="Times New Roman" w:eastAsia="仿宋" w:cs="Times New Roman"/>
              <w:bCs/>
              <w:sz w:val="32"/>
            </w:rPr>
            <w:t xml:space="preserve">1.5 </w:t>
          </w:r>
          <w:r>
            <w:rPr>
              <w:rFonts w:ascii="Times New Roman" w:hAnsi="Times New Roman" w:cs="Times New Roman"/>
              <w:sz w:val="32"/>
            </w:rPr>
            <w:t>事件分级</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_Toc3541 \h </w:instrText>
          </w:r>
          <w:r>
            <w:rPr>
              <w:rFonts w:ascii="Times New Roman" w:hAnsi="Times New Roman" w:cs="Times New Roman"/>
              <w:sz w:val="32"/>
            </w:rPr>
            <w:fldChar w:fldCharType="separate"/>
          </w:r>
          <w:r>
            <w:rPr>
              <w:rFonts w:ascii="Times New Roman" w:hAnsi="Times New Roman" w:cs="Times New Roman"/>
              <w:sz w:val="32"/>
            </w:rPr>
            <w:t>2</w:t>
          </w:r>
          <w:r>
            <w:rPr>
              <w:rFonts w:ascii="Times New Roman" w:hAnsi="Times New Roman" w:cs="Times New Roman"/>
              <w:sz w:val="32"/>
            </w:rPr>
            <w:fldChar w:fldCharType="end"/>
          </w:r>
          <w:r>
            <w:rPr>
              <w:rFonts w:ascii="Times New Roman" w:hAnsi="Times New Roman" w:cs="Times New Roman"/>
              <w:sz w:val="32"/>
            </w:rPr>
            <w:fldChar w:fldCharType="end"/>
          </w:r>
        </w:p>
        <w:p w14:paraId="09795A6D">
          <w:pPr>
            <w:pStyle w:val="18"/>
            <w:rPr>
              <w:rFonts w:ascii="Times New Roman" w:hAnsi="Times New Roman" w:cs="Times New Roman"/>
              <w:sz w:val="32"/>
            </w:rPr>
          </w:pPr>
          <w:r>
            <w:fldChar w:fldCharType="begin"/>
          </w:r>
          <w:r>
            <w:instrText xml:space="preserve"> HYPERLINK \l "_Toc25675" </w:instrText>
          </w:r>
          <w:r>
            <w:fldChar w:fldCharType="separate"/>
          </w:r>
          <w:r>
            <w:rPr>
              <w:rFonts w:ascii="Times New Roman" w:hAnsi="Times New Roman" w:eastAsia="仿宋" w:cs="Times New Roman"/>
              <w:sz w:val="32"/>
            </w:rPr>
            <w:t xml:space="preserve">2 </w:t>
          </w:r>
          <w:r>
            <w:rPr>
              <w:rFonts w:ascii="Times New Roman" w:hAnsi="Times New Roman" w:cs="Times New Roman"/>
              <w:sz w:val="32"/>
            </w:rPr>
            <w:t>组织指挥体系</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_Toc25675 \h </w:instrText>
          </w:r>
          <w:r>
            <w:rPr>
              <w:rFonts w:ascii="Times New Roman" w:hAnsi="Times New Roman" w:cs="Times New Roman"/>
              <w:sz w:val="32"/>
            </w:rPr>
            <w:fldChar w:fldCharType="separate"/>
          </w:r>
          <w:r>
            <w:rPr>
              <w:rFonts w:ascii="Times New Roman" w:hAnsi="Times New Roman" w:cs="Times New Roman"/>
              <w:sz w:val="32"/>
            </w:rPr>
            <w:t>2</w:t>
          </w:r>
          <w:r>
            <w:rPr>
              <w:rFonts w:ascii="Times New Roman" w:hAnsi="Times New Roman" w:cs="Times New Roman"/>
              <w:sz w:val="32"/>
            </w:rPr>
            <w:fldChar w:fldCharType="end"/>
          </w:r>
          <w:r>
            <w:rPr>
              <w:rFonts w:ascii="Times New Roman" w:hAnsi="Times New Roman" w:cs="Times New Roman"/>
              <w:sz w:val="32"/>
            </w:rPr>
            <w:fldChar w:fldCharType="end"/>
          </w:r>
        </w:p>
        <w:p w14:paraId="049BCE0D">
          <w:pPr>
            <w:pStyle w:val="19"/>
            <w:tabs>
              <w:tab w:val="right" w:leader="dot" w:pos="8845"/>
            </w:tabs>
            <w:ind w:firstLine="552"/>
            <w:rPr>
              <w:rFonts w:ascii="Times New Roman" w:hAnsi="Times New Roman" w:cs="Times New Roman"/>
              <w:sz w:val="32"/>
            </w:rPr>
          </w:pPr>
          <w:r>
            <w:fldChar w:fldCharType="begin"/>
          </w:r>
          <w:r>
            <w:instrText xml:space="preserve"> HYPERLINK \l "_Toc15413" </w:instrText>
          </w:r>
          <w:r>
            <w:fldChar w:fldCharType="separate"/>
          </w:r>
          <w:r>
            <w:rPr>
              <w:rFonts w:ascii="Times New Roman" w:hAnsi="Times New Roman" w:eastAsia="仿宋" w:cs="Times New Roman"/>
              <w:bCs/>
              <w:sz w:val="32"/>
            </w:rPr>
            <w:t xml:space="preserve">2.1 </w:t>
          </w:r>
          <w:r>
            <w:rPr>
              <w:rFonts w:ascii="Times New Roman" w:hAnsi="Times New Roman" w:cs="Times New Roman"/>
              <w:sz w:val="32"/>
            </w:rPr>
            <w:t>领导机构组成及职责</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_Toc15413 \h </w:instrText>
          </w:r>
          <w:r>
            <w:rPr>
              <w:rFonts w:ascii="Times New Roman" w:hAnsi="Times New Roman" w:cs="Times New Roman"/>
              <w:sz w:val="32"/>
            </w:rPr>
            <w:fldChar w:fldCharType="separate"/>
          </w:r>
          <w:r>
            <w:rPr>
              <w:rFonts w:ascii="Times New Roman" w:hAnsi="Times New Roman" w:cs="Times New Roman"/>
              <w:sz w:val="32"/>
            </w:rPr>
            <w:t>2</w:t>
          </w:r>
          <w:r>
            <w:rPr>
              <w:rFonts w:ascii="Times New Roman" w:hAnsi="Times New Roman" w:cs="Times New Roman"/>
              <w:sz w:val="32"/>
            </w:rPr>
            <w:fldChar w:fldCharType="end"/>
          </w:r>
          <w:r>
            <w:rPr>
              <w:rFonts w:ascii="Times New Roman" w:hAnsi="Times New Roman" w:cs="Times New Roman"/>
              <w:sz w:val="32"/>
            </w:rPr>
            <w:fldChar w:fldCharType="end"/>
          </w:r>
        </w:p>
        <w:p w14:paraId="6424A711">
          <w:pPr>
            <w:pStyle w:val="19"/>
            <w:tabs>
              <w:tab w:val="right" w:leader="dot" w:pos="8845"/>
            </w:tabs>
            <w:ind w:firstLine="552"/>
            <w:rPr>
              <w:rFonts w:ascii="Times New Roman" w:hAnsi="Times New Roman" w:cs="Times New Roman"/>
              <w:sz w:val="32"/>
            </w:rPr>
          </w:pPr>
          <w:r>
            <w:fldChar w:fldCharType="begin"/>
          </w:r>
          <w:r>
            <w:instrText xml:space="preserve"> HYPERLINK \l "_Toc32515" </w:instrText>
          </w:r>
          <w:r>
            <w:fldChar w:fldCharType="separate"/>
          </w:r>
          <w:r>
            <w:rPr>
              <w:rFonts w:ascii="Times New Roman" w:hAnsi="Times New Roman" w:eastAsia="仿宋" w:cs="Times New Roman"/>
              <w:bCs/>
              <w:sz w:val="32"/>
            </w:rPr>
            <w:t xml:space="preserve">2.2 </w:t>
          </w:r>
          <w:r>
            <w:rPr>
              <w:rFonts w:ascii="Times New Roman" w:hAnsi="Times New Roman" w:cs="Times New Roman"/>
              <w:sz w:val="32"/>
            </w:rPr>
            <w:t>现场指挥机构组成与职责</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_Toc32515 \h </w:instrText>
          </w:r>
          <w:r>
            <w:rPr>
              <w:rFonts w:ascii="Times New Roman" w:hAnsi="Times New Roman" w:cs="Times New Roman"/>
              <w:sz w:val="32"/>
            </w:rPr>
            <w:fldChar w:fldCharType="separate"/>
          </w:r>
          <w:r>
            <w:rPr>
              <w:rFonts w:ascii="Times New Roman" w:hAnsi="Times New Roman" w:cs="Times New Roman"/>
              <w:sz w:val="32"/>
            </w:rPr>
            <w:t>5</w:t>
          </w:r>
          <w:r>
            <w:rPr>
              <w:rFonts w:ascii="Times New Roman" w:hAnsi="Times New Roman" w:cs="Times New Roman"/>
              <w:sz w:val="32"/>
            </w:rPr>
            <w:fldChar w:fldCharType="end"/>
          </w:r>
          <w:r>
            <w:rPr>
              <w:rFonts w:ascii="Times New Roman" w:hAnsi="Times New Roman" w:cs="Times New Roman"/>
              <w:sz w:val="32"/>
            </w:rPr>
            <w:fldChar w:fldCharType="end"/>
          </w:r>
        </w:p>
        <w:p w14:paraId="75EAF751">
          <w:pPr>
            <w:pStyle w:val="19"/>
            <w:tabs>
              <w:tab w:val="right" w:leader="dot" w:pos="8845"/>
            </w:tabs>
            <w:ind w:firstLine="552"/>
            <w:rPr>
              <w:rFonts w:ascii="Times New Roman" w:hAnsi="Times New Roman" w:cs="Times New Roman"/>
              <w:sz w:val="32"/>
            </w:rPr>
          </w:pPr>
          <w:r>
            <w:fldChar w:fldCharType="begin"/>
          </w:r>
          <w:r>
            <w:instrText xml:space="preserve"> HYPERLINK \l "_Toc423" </w:instrText>
          </w:r>
          <w:r>
            <w:fldChar w:fldCharType="separate"/>
          </w:r>
          <w:r>
            <w:rPr>
              <w:rFonts w:ascii="Times New Roman" w:hAnsi="Times New Roman" w:eastAsia="仿宋" w:cs="Times New Roman"/>
              <w:bCs/>
              <w:sz w:val="32"/>
            </w:rPr>
            <w:t xml:space="preserve">2.3 </w:t>
          </w:r>
          <w:r>
            <w:rPr>
              <w:rFonts w:ascii="Times New Roman" w:hAnsi="Times New Roman" w:cs="Times New Roman"/>
              <w:sz w:val="32"/>
            </w:rPr>
            <w:t>辖区内交通运输单位应急组织</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_Toc423 \h </w:instrText>
          </w:r>
          <w:r>
            <w:rPr>
              <w:rFonts w:ascii="Times New Roman" w:hAnsi="Times New Roman" w:cs="Times New Roman"/>
              <w:sz w:val="32"/>
            </w:rPr>
            <w:fldChar w:fldCharType="separate"/>
          </w:r>
          <w:r>
            <w:rPr>
              <w:rFonts w:ascii="Times New Roman" w:hAnsi="Times New Roman" w:cs="Times New Roman"/>
              <w:sz w:val="32"/>
            </w:rPr>
            <w:t>8</w:t>
          </w:r>
          <w:r>
            <w:rPr>
              <w:rFonts w:ascii="Times New Roman" w:hAnsi="Times New Roman" w:cs="Times New Roman"/>
              <w:sz w:val="32"/>
            </w:rPr>
            <w:fldChar w:fldCharType="end"/>
          </w:r>
          <w:r>
            <w:rPr>
              <w:rFonts w:ascii="Times New Roman" w:hAnsi="Times New Roman" w:cs="Times New Roman"/>
              <w:sz w:val="32"/>
            </w:rPr>
            <w:fldChar w:fldCharType="end"/>
          </w:r>
        </w:p>
        <w:p w14:paraId="0E50AD10">
          <w:pPr>
            <w:pStyle w:val="18"/>
            <w:rPr>
              <w:rFonts w:ascii="Times New Roman" w:hAnsi="Times New Roman" w:cs="Times New Roman"/>
              <w:sz w:val="32"/>
            </w:rPr>
          </w:pPr>
          <w:r>
            <w:fldChar w:fldCharType="begin"/>
          </w:r>
          <w:r>
            <w:instrText xml:space="preserve"> HYPERLINK \l "_Toc22655" </w:instrText>
          </w:r>
          <w:r>
            <w:fldChar w:fldCharType="separate"/>
          </w:r>
          <w:r>
            <w:rPr>
              <w:rFonts w:ascii="Times New Roman" w:hAnsi="Times New Roman" w:eastAsia="仿宋" w:cs="Times New Roman"/>
              <w:sz w:val="32"/>
            </w:rPr>
            <w:t xml:space="preserve">3 </w:t>
          </w:r>
          <w:r>
            <w:rPr>
              <w:rFonts w:ascii="Times New Roman" w:hAnsi="Times New Roman" w:cs="Times New Roman"/>
              <w:sz w:val="32"/>
            </w:rPr>
            <w:t>预防和预警机制</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_Toc22655 \h </w:instrText>
          </w:r>
          <w:r>
            <w:rPr>
              <w:rFonts w:ascii="Times New Roman" w:hAnsi="Times New Roman" w:cs="Times New Roman"/>
              <w:sz w:val="32"/>
            </w:rPr>
            <w:fldChar w:fldCharType="separate"/>
          </w:r>
          <w:r>
            <w:rPr>
              <w:rFonts w:ascii="Times New Roman" w:hAnsi="Times New Roman" w:cs="Times New Roman"/>
              <w:sz w:val="32"/>
            </w:rPr>
            <w:t>8</w:t>
          </w:r>
          <w:r>
            <w:rPr>
              <w:rFonts w:ascii="Times New Roman" w:hAnsi="Times New Roman" w:cs="Times New Roman"/>
              <w:sz w:val="32"/>
            </w:rPr>
            <w:fldChar w:fldCharType="end"/>
          </w:r>
          <w:r>
            <w:rPr>
              <w:rFonts w:ascii="Times New Roman" w:hAnsi="Times New Roman" w:cs="Times New Roman"/>
              <w:sz w:val="32"/>
            </w:rPr>
            <w:fldChar w:fldCharType="end"/>
          </w:r>
        </w:p>
        <w:p w14:paraId="2B58DFF3">
          <w:pPr>
            <w:pStyle w:val="19"/>
            <w:tabs>
              <w:tab w:val="right" w:leader="dot" w:pos="8845"/>
            </w:tabs>
            <w:ind w:firstLine="552"/>
            <w:rPr>
              <w:rFonts w:ascii="Times New Roman" w:hAnsi="Times New Roman" w:cs="Times New Roman"/>
              <w:sz w:val="32"/>
            </w:rPr>
          </w:pPr>
          <w:r>
            <w:fldChar w:fldCharType="begin"/>
          </w:r>
          <w:r>
            <w:instrText xml:space="preserve"> HYPERLINK \l "_Toc14303" </w:instrText>
          </w:r>
          <w:r>
            <w:fldChar w:fldCharType="separate"/>
          </w:r>
          <w:r>
            <w:rPr>
              <w:rFonts w:ascii="Times New Roman" w:hAnsi="Times New Roman" w:eastAsia="仿宋" w:cs="Times New Roman"/>
              <w:bCs/>
              <w:sz w:val="32"/>
            </w:rPr>
            <w:t xml:space="preserve">3.1 </w:t>
          </w:r>
          <w:r>
            <w:rPr>
              <w:rFonts w:ascii="Times New Roman" w:hAnsi="Times New Roman" w:cs="Times New Roman"/>
              <w:sz w:val="32"/>
            </w:rPr>
            <w:t>事故预防</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_Toc14303 \h </w:instrText>
          </w:r>
          <w:r>
            <w:rPr>
              <w:rFonts w:ascii="Times New Roman" w:hAnsi="Times New Roman" w:cs="Times New Roman"/>
              <w:sz w:val="32"/>
            </w:rPr>
            <w:fldChar w:fldCharType="separate"/>
          </w:r>
          <w:r>
            <w:rPr>
              <w:rFonts w:ascii="Times New Roman" w:hAnsi="Times New Roman" w:cs="Times New Roman"/>
              <w:sz w:val="32"/>
            </w:rPr>
            <w:t>8</w:t>
          </w:r>
          <w:r>
            <w:rPr>
              <w:rFonts w:ascii="Times New Roman" w:hAnsi="Times New Roman" w:cs="Times New Roman"/>
              <w:sz w:val="32"/>
            </w:rPr>
            <w:fldChar w:fldCharType="end"/>
          </w:r>
          <w:r>
            <w:rPr>
              <w:rFonts w:ascii="Times New Roman" w:hAnsi="Times New Roman" w:cs="Times New Roman"/>
              <w:sz w:val="32"/>
            </w:rPr>
            <w:fldChar w:fldCharType="end"/>
          </w:r>
        </w:p>
        <w:p w14:paraId="66F28446">
          <w:pPr>
            <w:pStyle w:val="19"/>
            <w:tabs>
              <w:tab w:val="right" w:leader="dot" w:pos="8845"/>
            </w:tabs>
            <w:ind w:firstLine="552"/>
            <w:rPr>
              <w:rFonts w:ascii="Times New Roman" w:hAnsi="Times New Roman" w:cs="Times New Roman"/>
              <w:sz w:val="32"/>
            </w:rPr>
          </w:pPr>
          <w:r>
            <w:fldChar w:fldCharType="begin"/>
          </w:r>
          <w:r>
            <w:instrText xml:space="preserve"> HYPERLINK \l "_Toc11635" </w:instrText>
          </w:r>
          <w:r>
            <w:fldChar w:fldCharType="separate"/>
          </w:r>
          <w:r>
            <w:rPr>
              <w:rFonts w:ascii="Times New Roman" w:hAnsi="Times New Roman" w:eastAsia="仿宋" w:cs="Times New Roman"/>
              <w:bCs/>
              <w:sz w:val="32"/>
            </w:rPr>
            <w:t xml:space="preserve">3.2 </w:t>
          </w:r>
          <w:r>
            <w:rPr>
              <w:rFonts w:ascii="Times New Roman" w:hAnsi="Times New Roman" w:cs="Times New Roman"/>
              <w:sz w:val="32"/>
            </w:rPr>
            <w:t>预警行动</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_Toc11635 \h </w:instrText>
          </w:r>
          <w:r>
            <w:rPr>
              <w:rFonts w:ascii="Times New Roman" w:hAnsi="Times New Roman" w:cs="Times New Roman"/>
              <w:sz w:val="32"/>
            </w:rPr>
            <w:fldChar w:fldCharType="separate"/>
          </w:r>
          <w:r>
            <w:rPr>
              <w:rFonts w:ascii="Times New Roman" w:hAnsi="Times New Roman" w:cs="Times New Roman"/>
              <w:sz w:val="32"/>
            </w:rPr>
            <w:t>8</w:t>
          </w:r>
          <w:r>
            <w:rPr>
              <w:rFonts w:ascii="Times New Roman" w:hAnsi="Times New Roman" w:cs="Times New Roman"/>
              <w:sz w:val="32"/>
            </w:rPr>
            <w:fldChar w:fldCharType="end"/>
          </w:r>
          <w:r>
            <w:rPr>
              <w:rFonts w:ascii="Times New Roman" w:hAnsi="Times New Roman" w:cs="Times New Roman"/>
              <w:sz w:val="32"/>
            </w:rPr>
            <w:fldChar w:fldCharType="end"/>
          </w:r>
        </w:p>
        <w:p w14:paraId="06F68F0C">
          <w:pPr>
            <w:pStyle w:val="18"/>
            <w:rPr>
              <w:rFonts w:ascii="Times New Roman" w:hAnsi="Times New Roman" w:cs="Times New Roman"/>
              <w:sz w:val="32"/>
            </w:rPr>
          </w:pPr>
          <w:r>
            <w:fldChar w:fldCharType="begin"/>
          </w:r>
          <w:r>
            <w:instrText xml:space="preserve"> HYPERLINK \l "_Toc4937" </w:instrText>
          </w:r>
          <w:r>
            <w:fldChar w:fldCharType="separate"/>
          </w:r>
          <w:r>
            <w:rPr>
              <w:rFonts w:ascii="Times New Roman" w:hAnsi="Times New Roman" w:eastAsia="仿宋" w:cs="Times New Roman"/>
              <w:sz w:val="32"/>
            </w:rPr>
            <w:t xml:space="preserve">4 </w:t>
          </w:r>
          <w:r>
            <w:rPr>
              <w:rFonts w:ascii="Times New Roman" w:hAnsi="Times New Roman" w:cs="Times New Roman"/>
              <w:sz w:val="32"/>
            </w:rPr>
            <w:t>信息报告和先期处置</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_Toc4937 \h </w:instrText>
          </w:r>
          <w:r>
            <w:rPr>
              <w:rFonts w:ascii="Times New Roman" w:hAnsi="Times New Roman" w:cs="Times New Roman"/>
              <w:sz w:val="32"/>
            </w:rPr>
            <w:fldChar w:fldCharType="separate"/>
          </w:r>
          <w:r>
            <w:rPr>
              <w:rFonts w:ascii="Times New Roman" w:hAnsi="Times New Roman" w:cs="Times New Roman"/>
              <w:sz w:val="32"/>
            </w:rPr>
            <w:t>9</w:t>
          </w:r>
          <w:r>
            <w:rPr>
              <w:rFonts w:ascii="Times New Roman" w:hAnsi="Times New Roman" w:cs="Times New Roman"/>
              <w:sz w:val="32"/>
            </w:rPr>
            <w:fldChar w:fldCharType="end"/>
          </w:r>
          <w:r>
            <w:rPr>
              <w:rFonts w:ascii="Times New Roman" w:hAnsi="Times New Roman" w:cs="Times New Roman"/>
              <w:sz w:val="32"/>
            </w:rPr>
            <w:fldChar w:fldCharType="end"/>
          </w:r>
        </w:p>
        <w:p w14:paraId="2D43C177">
          <w:pPr>
            <w:pStyle w:val="19"/>
            <w:tabs>
              <w:tab w:val="right" w:leader="dot" w:pos="8845"/>
            </w:tabs>
            <w:ind w:firstLine="552"/>
            <w:rPr>
              <w:rFonts w:ascii="Times New Roman" w:hAnsi="Times New Roman" w:cs="Times New Roman"/>
              <w:sz w:val="32"/>
            </w:rPr>
          </w:pPr>
          <w:r>
            <w:fldChar w:fldCharType="begin"/>
          </w:r>
          <w:r>
            <w:instrText xml:space="preserve"> HYPERLINK \l "_Toc18690" </w:instrText>
          </w:r>
          <w:r>
            <w:fldChar w:fldCharType="separate"/>
          </w:r>
          <w:r>
            <w:rPr>
              <w:rFonts w:ascii="Times New Roman" w:hAnsi="Times New Roman" w:eastAsia="仿宋" w:cs="Times New Roman"/>
              <w:bCs/>
              <w:sz w:val="32"/>
            </w:rPr>
            <w:t xml:space="preserve">4.1 </w:t>
          </w:r>
          <w:r>
            <w:rPr>
              <w:rFonts w:ascii="Times New Roman" w:hAnsi="Times New Roman" w:cs="Times New Roman"/>
              <w:sz w:val="32"/>
            </w:rPr>
            <w:t>信息报告</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_Toc18690 \h </w:instrText>
          </w:r>
          <w:r>
            <w:rPr>
              <w:rFonts w:ascii="Times New Roman" w:hAnsi="Times New Roman" w:cs="Times New Roman"/>
              <w:sz w:val="32"/>
            </w:rPr>
            <w:fldChar w:fldCharType="separate"/>
          </w:r>
          <w:r>
            <w:rPr>
              <w:rFonts w:ascii="Times New Roman" w:hAnsi="Times New Roman" w:cs="Times New Roman"/>
              <w:sz w:val="32"/>
            </w:rPr>
            <w:t>9</w:t>
          </w:r>
          <w:r>
            <w:rPr>
              <w:rFonts w:ascii="Times New Roman" w:hAnsi="Times New Roman" w:cs="Times New Roman"/>
              <w:sz w:val="32"/>
            </w:rPr>
            <w:fldChar w:fldCharType="end"/>
          </w:r>
          <w:r>
            <w:rPr>
              <w:rFonts w:ascii="Times New Roman" w:hAnsi="Times New Roman" w:cs="Times New Roman"/>
              <w:sz w:val="32"/>
            </w:rPr>
            <w:fldChar w:fldCharType="end"/>
          </w:r>
        </w:p>
        <w:p w14:paraId="4006E829">
          <w:pPr>
            <w:pStyle w:val="19"/>
            <w:tabs>
              <w:tab w:val="right" w:leader="dot" w:pos="8845"/>
            </w:tabs>
            <w:ind w:firstLine="552"/>
            <w:rPr>
              <w:rFonts w:ascii="Times New Roman" w:hAnsi="Times New Roman" w:cs="Times New Roman"/>
              <w:sz w:val="32"/>
            </w:rPr>
          </w:pPr>
          <w:r>
            <w:fldChar w:fldCharType="begin"/>
          </w:r>
          <w:r>
            <w:instrText xml:space="preserve"> HYPERLINK \l "_Toc344" </w:instrText>
          </w:r>
          <w:r>
            <w:fldChar w:fldCharType="separate"/>
          </w:r>
          <w:r>
            <w:rPr>
              <w:rFonts w:ascii="Times New Roman" w:hAnsi="Times New Roman" w:eastAsia="仿宋" w:cs="Times New Roman"/>
              <w:bCs/>
              <w:sz w:val="32"/>
            </w:rPr>
            <w:t xml:space="preserve">4.2 </w:t>
          </w:r>
          <w:r>
            <w:rPr>
              <w:rFonts w:ascii="Times New Roman" w:hAnsi="Times New Roman" w:cs="Times New Roman"/>
              <w:sz w:val="32"/>
            </w:rPr>
            <w:t>先期处置</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_Toc344 \h </w:instrText>
          </w:r>
          <w:r>
            <w:rPr>
              <w:rFonts w:ascii="Times New Roman" w:hAnsi="Times New Roman" w:cs="Times New Roman"/>
              <w:sz w:val="32"/>
            </w:rPr>
            <w:fldChar w:fldCharType="separate"/>
          </w:r>
          <w:r>
            <w:rPr>
              <w:rFonts w:ascii="Times New Roman" w:hAnsi="Times New Roman" w:cs="Times New Roman"/>
              <w:sz w:val="32"/>
            </w:rPr>
            <w:t>10</w:t>
          </w:r>
          <w:r>
            <w:rPr>
              <w:rFonts w:ascii="Times New Roman" w:hAnsi="Times New Roman" w:cs="Times New Roman"/>
              <w:sz w:val="32"/>
            </w:rPr>
            <w:fldChar w:fldCharType="end"/>
          </w:r>
          <w:r>
            <w:rPr>
              <w:rFonts w:ascii="Times New Roman" w:hAnsi="Times New Roman" w:cs="Times New Roman"/>
              <w:sz w:val="32"/>
            </w:rPr>
            <w:fldChar w:fldCharType="end"/>
          </w:r>
        </w:p>
        <w:p w14:paraId="4CA8E600">
          <w:pPr>
            <w:pStyle w:val="18"/>
            <w:rPr>
              <w:rFonts w:ascii="Times New Roman" w:hAnsi="Times New Roman" w:cs="Times New Roman"/>
              <w:sz w:val="32"/>
            </w:rPr>
          </w:pPr>
          <w:r>
            <w:fldChar w:fldCharType="begin"/>
          </w:r>
          <w:r>
            <w:instrText xml:space="preserve"> HYPERLINK \l "_Toc24129" </w:instrText>
          </w:r>
          <w:r>
            <w:fldChar w:fldCharType="separate"/>
          </w:r>
          <w:r>
            <w:rPr>
              <w:rFonts w:ascii="Times New Roman" w:hAnsi="Times New Roman" w:eastAsia="仿宋" w:cs="Times New Roman"/>
              <w:sz w:val="32"/>
            </w:rPr>
            <w:t xml:space="preserve">5 </w:t>
          </w:r>
          <w:r>
            <w:rPr>
              <w:rFonts w:ascii="Times New Roman" w:hAnsi="Times New Roman" w:cs="Times New Roman"/>
              <w:sz w:val="32"/>
            </w:rPr>
            <w:t>应急响应</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_Toc24129 \h </w:instrText>
          </w:r>
          <w:r>
            <w:rPr>
              <w:rFonts w:ascii="Times New Roman" w:hAnsi="Times New Roman" w:cs="Times New Roman"/>
              <w:sz w:val="32"/>
            </w:rPr>
            <w:fldChar w:fldCharType="separate"/>
          </w:r>
          <w:r>
            <w:rPr>
              <w:rFonts w:ascii="Times New Roman" w:hAnsi="Times New Roman" w:cs="Times New Roman"/>
              <w:sz w:val="32"/>
            </w:rPr>
            <w:t>10</w:t>
          </w:r>
          <w:r>
            <w:rPr>
              <w:rFonts w:ascii="Times New Roman" w:hAnsi="Times New Roman" w:cs="Times New Roman"/>
              <w:sz w:val="32"/>
            </w:rPr>
            <w:fldChar w:fldCharType="end"/>
          </w:r>
          <w:r>
            <w:rPr>
              <w:rFonts w:ascii="Times New Roman" w:hAnsi="Times New Roman" w:cs="Times New Roman"/>
              <w:sz w:val="32"/>
            </w:rPr>
            <w:fldChar w:fldCharType="end"/>
          </w:r>
        </w:p>
        <w:p w14:paraId="566FED46">
          <w:pPr>
            <w:pStyle w:val="19"/>
            <w:tabs>
              <w:tab w:val="right" w:leader="dot" w:pos="8845"/>
            </w:tabs>
            <w:ind w:firstLine="552"/>
            <w:rPr>
              <w:rFonts w:ascii="Times New Roman" w:hAnsi="Times New Roman" w:cs="Times New Roman"/>
              <w:sz w:val="32"/>
            </w:rPr>
          </w:pPr>
          <w:r>
            <w:fldChar w:fldCharType="begin"/>
          </w:r>
          <w:r>
            <w:instrText xml:space="preserve"> HYPERLINK \l "_Toc15990" </w:instrText>
          </w:r>
          <w:r>
            <w:fldChar w:fldCharType="separate"/>
          </w:r>
          <w:r>
            <w:rPr>
              <w:rFonts w:ascii="Times New Roman" w:hAnsi="Times New Roman" w:eastAsia="仿宋" w:cs="Times New Roman"/>
              <w:bCs/>
              <w:sz w:val="32"/>
            </w:rPr>
            <w:t xml:space="preserve">5.1 </w:t>
          </w:r>
          <w:r>
            <w:rPr>
              <w:rFonts w:ascii="Times New Roman" w:hAnsi="Times New Roman" w:cs="Times New Roman"/>
              <w:sz w:val="32"/>
            </w:rPr>
            <w:t>响应分级</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_Toc15990 \h </w:instrText>
          </w:r>
          <w:r>
            <w:rPr>
              <w:rFonts w:ascii="Times New Roman" w:hAnsi="Times New Roman" w:cs="Times New Roman"/>
              <w:sz w:val="32"/>
            </w:rPr>
            <w:fldChar w:fldCharType="separate"/>
          </w:r>
          <w:r>
            <w:rPr>
              <w:rFonts w:ascii="Times New Roman" w:hAnsi="Times New Roman" w:cs="Times New Roman"/>
              <w:sz w:val="32"/>
            </w:rPr>
            <w:t>10</w:t>
          </w:r>
          <w:r>
            <w:rPr>
              <w:rFonts w:ascii="Times New Roman" w:hAnsi="Times New Roman" w:cs="Times New Roman"/>
              <w:sz w:val="32"/>
            </w:rPr>
            <w:fldChar w:fldCharType="end"/>
          </w:r>
          <w:r>
            <w:rPr>
              <w:rFonts w:ascii="Times New Roman" w:hAnsi="Times New Roman" w:cs="Times New Roman"/>
              <w:sz w:val="32"/>
            </w:rPr>
            <w:fldChar w:fldCharType="end"/>
          </w:r>
        </w:p>
        <w:p w14:paraId="48AA13D7">
          <w:pPr>
            <w:pStyle w:val="19"/>
            <w:tabs>
              <w:tab w:val="right" w:leader="dot" w:pos="8845"/>
            </w:tabs>
            <w:ind w:firstLine="552"/>
            <w:rPr>
              <w:rFonts w:ascii="Times New Roman" w:hAnsi="Times New Roman" w:cs="Times New Roman"/>
              <w:sz w:val="32"/>
            </w:rPr>
          </w:pPr>
          <w:r>
            <w:fldChar w:fldCharType="begin"/>
          </w:r>
          <w:r>
            <w:instrText xml:space="preserve"> HYPERLINK \l "_Toc24309" </w:instrText>
          </w:r>
          <w:r>
            <w:fldChar w:fldCharType="separate"/>
          </w:r>
          <w:r>
            <w:rPr>
              <w:rFonts w:ascii="Times New Roman" w:hAnsi="Times New Roman" w:eastAsia="仿宋" w:cs="Times New Roman"/>
              <w:bCs/>
              <w:sz w:val="32"/>
            </w:rPr>
            <w:t xml:space="preserve">5.2 </w:t>
          </w:r>
          <w:r>
            <w:rPr>
              <w:rFonts w:ascii="Times New Roman" w:hAnsi="Times New Roman" w:cs="Times New Roman"/>
              <w:sz w:val="32"/>
            </w:rPr>
            <w:t>三级应急响应</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_Toc24309 \h </w:instrText>
          </w:r>
          <w:r>
            <w:rPr>
              <w:rFonts w:ascii="Times New Roman" w:hAnsi="Times New Roman" w:cs="Times New Roman"/>
              <w:sz w:val="32"/>
            </w:rPr>
            <w:fldChar w:fldCharType="separate"/>
          </w:r>
          <w:r>
            <w:rPr>
              <w:rFonts w:ascii="Times New Roman" w:hAnsi="Times New Roman" w:cs="Times New Roman"/>
              <w:sz w:val="32"/>
            </w:rPr>
            <w:t>10</w:t>
          </w:r>
          <w:r>
            <w:rPr>
              <w:rFonts w:ascii="Times New Roman" w:hAnsi="Times New Roman" w:cs="Times New Roman"/>
              <w:sz w:val="32"/>
            </w:rPr>
            <w:fldChar w:fldCharType="end"/>
          </w:r>
          <w:r>
            <w:rPr>
              <w:rFonts w:ascii="Times New Roman" w:hAnsi="Times New Roman" w:cs="Times New Roman"/>
              <w:sz w:val="32"/>
            </w:rPr>
            <w:fldChar w:fldCharType="end"/>
          </w:r>
        </w:p>
        <w:p w14:paraId="127B8C87">
          <w:pPr>
            <w:pStyle w:val="19"/>
            <w:tabs>
              <w:tab w:val="right" w:leader="dot" w:pos="8845"/>
            </w:tabs>
            <w:ind w:firstLine="552"/>
            <w:rPr>
              <w:rFonts w:ascii="Times New Roman" w:hAnsi="Times New Roman" w:cs="Times New Roman"/>
              <w:sz w:val="32"/>
            </w:rPr>
          </w:pPr>
          <w:r>
            <w:fldChar w:fldCharType="begin"/>
          </w:r>
          <w:r>
            <w:instrText xml:space="preserve"> HYPERLINK \l "_Toc2129" </w:instrText>
          </w:r>
          <w:r>
            <w:fldChar w:fldCharType="separate"/>
          </w:r>
          <w:r>
            <w:rPr>
              <w:rFonts w:ascii="Times New Roman" w:hAnsi="Times New Roman" w:eastAsia="仿宋" w:cs="Times New Roman"/>
              <w:bCs/>
              <w:sz w:val="32"/>
            </w:rPr>
            <w:t xml:space="preserve">5.3 </w:t>
          </w:r>
          <w:r>
            <w:rPr>
              <w:rFonts w:ascii="Times New Roman" w:hAnsi="Times New Roman" w:cs="Times New Roman"/>
              <w:sz w:val="32"/>
            </w:rPr>
            <w:t>二级应急响应</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_Toc2129 \h </w:instrText>
          </w:r>
          <w:r>
            <w:rPr>
              <w:rFonts w:ascii="Times New Roman" w:hAnsi="Times New Roman" w:cs="Times New Roman"/>
              <w:sz w:val="32"/>
            </w:rPr>
            <w:fldChar w:fldCharType="separate"/>
          </w:r>
          <w:r>
            <w:rPr>
              <w:rFonts w:ascii="Times New Roman" w:hAnsi="Times New Roman" w:cs="Times New Roman"/>
              <w:sz w:val="32"/>
            </w:rPr>
            <w:t>11</w:t>
          </w:r>
          <w:r>
            <w:rPr>
              <w:rFonts w:ascii="Times New Roman" w:hAnsi="Times New Roman" w:cs="Times New Roman"/>
              <w:sz w:val="32"/>
            </w:rPr>
            <w:fldChar w:fldCharType="end"/>
          </w:r>
          <w:r>
            <w:rPr>
              <w:rFonts w:ascii="Times New Roman" w:hAnsi="Times New Roman" w:cs="Times New Roman"/>
              <w:sz w:val="32"/>
            </w:rPr>
            <w:fldChar w:fldCharType="end"/>
          </w:r>
        </w:p>
        <w:p w14:paraId="56DC56E7">
          <w:pPr>
            <w:pStyle w:val="19"/>
            <w:tabs>
              <w:tab w:val="right" w:leader="dot" w:pos="8845"/>
            </w:tabs>
            <w:ind w:firstLine="552"/>
            <w:rPr>
              <w:rFonts w:ascii="Times New Roman" w:hAnsi="Times New Roman" w:cs="Times New Roman"/>
              <w:sz w:val="32"/>
            </w:rPr>
          </w:pPr>
          <w:r>
            <w:fldChar w:fldCharType="begin"/>
          </w:r>
          <w:r>
            <w:instrText xml:space="preserve"> HYPERLINK \l "_Toc16681" </w:instrText>
          </w:r>
          <w:r>
            <w:fldChar w:fldCharType="separate"/>
          </w:r>
          <w:r>
            <w:rPr>
              <w:rFonts w:ascii="Times New Roman" w:hAnsi="Times New Roman" w:eastAsia="仿宋" w:cs="Times New Roman"/>
              <w:bCs/>
              <w:sz w:val="32"/>
            </w:rPr>
            <w:t xml:space="preserve">5.4 </w:t>
          </w:r>
          <w:r>
            <w:rPr>
              <w:rFonts w:ascii="Times New Roman" w:hAnsi="Times New Roman" w:cs="Times New Roman"/>
              <w:sz w:val="32"/>
            </w:rPr>
            <w:t>一级应急响应</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_Toc16681 \h </w:instrText>
          </w:r>
          <w:r>
            <w:rPr>
              <w:rFonts w:ascii="Times New Roman" w:hAnsi="Times New Roman" w:cs="Times New Roman"/>
              <w:sz w:val="32"/>
            </w:rPr>
            <w:fldChar w:fldCharType="separate"/>
          </w:r>
          <w:r>
            <w:rPr>
              <w:rFonts w:ascii="Times New Roman" w:hAnsi="Times New Roman" w:cs="Times New Roman"/>
              <w:sz w:val="32"/>
            </w:rPr>
            <w:t>13</w:t>
          </w:r>
          <w:r>
            <w:rPr>
              <w:rFonts w:ascii="Times New Roman" w:hAnsi="Times New Roman" w:cs="Times New Roman"/>
              <w:sz w:val="32"/>
            </w:rPr>
            <w:fldChar w:fldCharType="end"/>
          </w:r>
          <w:r>
            <w:rPr>
              <w:rFonts w:ascii="Times New Roman" w:hAnsi="Times New Roman" w:cs="Times New Roman"/>
              <w:sz w:val="32"/>
            </w:rPr>
            <w:fldChar w:fldCharType="end"/>
          </w:r>
        </w:p>
        <w:p w14:paraId="5DBD3EED">
          <w:pPr>
            <w:pStyle w:val="19"/>
            <w:tabs>
              <w:tab w:val="right" w:leader="dot" w:pos="8845"/>
            </w:tabs>
            <w:ind w:firstLine="552"/>
            <w:rPr>
              <w:rFonts w:ascii="Times New Roman" w:hAnsi="Times New Roman" w:cs="Times New Roman"/>
              <w:sz w:val="32"/>
            </w:rPr>
          </w:pPr>
          <w:r>
            <w:fldChar w:fldCharType="begin"/>
          </w:r>
          <w:r>
            <w:instrText xml:space="preserve"> HYPERLINK \l "_Toc14220" </w:instrText>
          </w:r>
          <w:r>
            <w:fldChar w:fldCharType="separate"/>
          </w:r>
          <w:r>
            <w:rPr>
              <w:rFonts w:ascii="Times New Roman" w:hAnsi="Times New Roman" w:eastAsia="仿宋" w:cs="Times New Roman"/>
              <w:bCs/>
              <w:sz w:val="32"/>
            </w:rPr>
            <w:t xml:space="preserve">5.5 </w:t>
          </w:r>
          <w:r>
            <w:rPr>
              <w:rFonts w:ascii="Times New Roman" w:hAnsi="Times New Roman" w:cs="Times New Roman"/>
              <w:sz w:val="32"/>
            </w:rPr>
            <w:t>响应调整</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_Toc14220 \h </w:instrText>
          </w:r>
          <w:r>
            <w:rPr>
              <w:rFonts w:ascii="Times New Roman" w:hAnsi="Times New Roman" w:cs="Times New Roman"/>
              <w:sz w:val="32"/>
            </w:rPr>
            <w:fldChar w:fldCharType="separate"/>
          </w:r>
          <w:r>
            <w:rPr>
              <w:rFonts w:ascii="Times New Roman" w:hAnsi="Times New Roman" w:cs="Times New Roman"/>
              <w:sz w:val="32"/>
            </w:rPr>
            <w:t>14</w:t>
          </w:r>
          <w:r>
            <w:rPr>
              <w:rFonts w:ascii="Times New Roman" w:hAnsi="Times New Roman" w:cs="Times New Roman"/>
              <w:sz w:val="32"/>
            </w:rPr>
            <w:fldChar w:fldCharType="end"/>
          </w:r>
          <w:r>
            <w:rPr>
              <w:rFonts w:ascii="Times New Roman" w:hAnsi="Times New Roman" w:cs="Times New Roman"/>
              <w:sz w:val="32"/>
            </w:rPr>
            <w:fldChar w:fldCharType="end"/>
          </w:r>
        </w:p>
        <w:p w14:paraId="643E560F">
          <w:pPr>
            <w:pStyle w:val="19"/>
            <w:tabs>
              <w:tab w:val="right" w:leader="dot" w:pos="8845"/>
            </w:tabs>
            <w:ind w:firstLine="552"/>
            <w:rPr>
              <w:rFonts w:ascii="Times New Roman" w:hAnsi="Times New Roman" w:cs="Times New Roman"/>
              <w:sz w:val="32"/>
            </w:rPr>
          </w:pPr>
          <w:r>
            <w:fldChar w:fldCharType="begin"/>
          </w:r>
          <w:r>
            <w:instrText xml:space="preserve"> HYPERLINK \l "_Toc29327" </w:instrText>
          </w:r>
          <w:r>
            <w:fldChar w:fldCharType="separate"/>
          </w:r>
          <w:r>
            <w:rPr>
              <w:rFonts w:ascii="Times New Roman" w:hAnsi="Times New Roman" w:eastAsia="仿宋" w:cs="Times New Roman"/>
              <w:bCs/>
              <w:sz w:val="32"/>
            </w:rPr>
            <w:t xml:space="preserve">5.6 </w:t>
          </w:r>
          <w:r>
            <w:rPr>
              <w:rFonts w:ascii="Times New Roman" w:hAnsi="Times New Roman" w:cs="Times New Roman"/>
              <w:sz w:val="32"/>
            </w:rPr>
            <w:t>新闻与舆情应对</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_Toc29327 \h </w:instrText>
          </w:r>
          <w:r>
            <w:rPr>
              <w:rFonts w:ascii="Times New Roman" w:hAnsi="Times New Roman" w:cs="Times New Roman"/>
              <w:sz w:val="32"/>
            </w:rPr>
            <w:fldChar w:fldCharType="separate"/>
          </w:r>
          <w:r>
            <w:rPr>
              <w:rFonts w:ascii="Times New Roman" w:hAnsi="Times New Roman" w:cs="Times New Roman"/>
              <w:sz w:val="32"/>
            </w:rPr>
            <w:t>14</w:t>
          </w:r>
          <w:r>
            <w:rPr>
              <w:rFonts w:ascii="Times New Roman" w:hAnsi="Times New Roman" w:cs="Times New Roman"/>
              <w:sz w:val="32"/>
            </w:rPr>
            <w:fldChar w:fldCharType="end"/>
          </w:r>
          <w:r>
            <w:rPr>
              <w:rFonts w:ascii="Times New Roman" w:hAnsi="Times New Roman" w:cs="Times New Roman"/>
              <w:sz w:val="32"/>
            </w:rPr>
            <w:fldChar w:fldCharType="end"/>
          </w:r>
        </w:p>
        <w:p w14:paraId="28285351">
          <w:pPr>
            <w:pStyle w:val="19"/>
            <w:tabs>
              <w:tab w:val="right" w:leader="dot" w:pos="8845"/>
            </w:tabs>
            <w:ind w:firstLine="552"/>
            <w:rPr>
              <w:rFonts w:ascii="Times New Roman" w:hAnsi="Times New Roman" w:cs="Times New Roman"/>
              <w:sz w:val="32"/>
            </w:rPr>
          </w:pPr>
          <w:r>
            <w:fldChar w:fldCharType="begin"/>
          </w:r>
          <w:r>
            <w:instrText xml:space="preserve"> HYPERLINK \l "_Toc9263" </w:instrText>
          </w:r>
          <w:r>
            <w:fldChar w:fldCharType="separate"/>
          </w:r>
          <w:r>
            <w:rPr>
              <w:rFonts w:ascii="Times New Roman" w:hAnsi="Times New Roman" w:eastAsia="仿宋" w:cs="Times New Roman"/>
              <w:bCs/>
              <w:sz w:val="32"/>
            </w:rPr>
            <w:t xml:space="preserve">5.7 </w:t>
          </w:r>
          <w:r>
            <w:rPr>
              <w:rFonts w:ascii="Times New Roman" w:hAnsi="Times New Roman" w:cs="Times New Roman"/>
              <w:sz w:val="32"/>
            </w:rPr>
            <w:t>应急结束</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_Toc9263 \h </w:instrText>
          </w:r>
          <w:r>
            <w:rPr>
              <w:rFonts w:ascii="Times New Roman" w:hAnsi="Times New Roman" w:cs="Times New Roman"/>
              <w:sz w:val="32"/>
            </w:rPr>
            <w:fldChar w:fldCharType="separate"/>
          </w:r>
          <w:r>
            <w:rPr>
              <w:rFonts w:ascii="Times New Roman" w:hAnsi="Times New Roman" w:cs="Times New Roman"/>
              <w:sz w:val="32"/>
            </w:rPr>
            <w:t>15</w:t>
          </w:r>
          <w:r>
            <w:rPr>
              <w:rFonts w:ascii="Times New Roman" w:hAnsi="Times New Roman" w:cs="Times New Roman"/>
              <w:sz w:val="32"/>
            </w:rPr>
            <w:fldChar w:fldCharType="end"/>
          </w:r>
          <w:r>
            <w:rPr>
              <w:rFonts w:ascii="Times New Roman" w:hAnsi="Times New Roman" w:cs="Times New Roman"/>
              <w:sz w:val="32"/>
            </w:rPr>
            <w:fldChar w:fldCharType="end"/>
          </w:r>
        </w:p>
        <w:p w14:paraId="0720C685">
          <w:pPr>
            <w:pStyle w:val="18"/>
            <w:rPr>
              <w:rFonts w:ascii="Times New Roman" w:hAnsi="Times New Roman" w:cs="Times New Roman"/>
              <w:sz w:val="32"/>
            </w:rPr>
          </w:pPr>
          <w:r>
            <w:fldChar w:fldCharType="begin"/>
          </w:r>
          <w:r>
            <w:instrText xml:space="preserve"> HYPERLINK \l "_Toc28616" </w:instrText>
          </w:r>
          <w:r>
            <w:fldChar w:fldCharType="separate"/>
          </w:r>
          <w:r>
            <w:rPr>
              <w:rFonts w:ascii="Times New Roman" w:hAnsi="Times New Roman" w:eastAsia="仿宋" w:cs="Times New Roman"/>
              <w:sz w:val="32"/>
            </w:rPr>
            <w:t xml:space="preserve">6 </w:t>
          </w:r>
          <w:r>
            <w:rPr>
              <w:rFonts w:ascii="Times New Roman" w:hAnsi="Times New Roman" w:cs="Times New Roman"/>
              <w:sz w:val="32"/>
            </w:rPr>
            <w:t>后期处置</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_Toc28616 \h </w:instrText>
          </w:r>
          <w:r>
            <w:rPr>
              <w:rFonts w:ascii="Times New Roman" w:hAnsi="Times New Roman" w:cs="Times New Roman"/>
              <w:sz w:val="32"/>
            </w:rPr>
            <w:fldChar w:fldCharType="separate"/>
          </w:r>
          <w:r>
            <w:rPr>
              <w:rFonts w:ascii="Times New Roman" w:hAnsi="Times New Roman" w:cs="Times New Roman"/>
              <w:sz w:val="32"/>
            </w:rPr>
            <w:t>15</w:t>
          </w:r>
          <w:r>
            <w:rPr>
              <w:rFonts w:ascii="Times New Roman" w:hAnsi="Times New Roman" w:cs="Times New Roman"/>
              <w:sz w:val="32"/>
            </w:rPr>
            <w:fldChar w:fldCharType="end"/>
          </w:r>
          <w:r>
            <w:rPr>
              <w:rFonts w:ascii="Times New Roman" w:hAnsi="Times New Roman" w:cs="Times New Roman"/>
              <w:sz w:val="32"/>
            </w:rPr>
            <w:fldChar w:fldCharType="end"/>
          </w:r>
        </w:p>
        <w:p w14:paraId="148CFAE2">
          <w:pPr>
            <w:pStyle w:val="19"/>
            <w:tabs>
              <w:tab w:val="right" w:leader="dot" w:pos="8845"/>
            </w:tabs>
            <w:ind w:firstLine="552"/>
            <w:rPr>
              <w:rFonts w:ascii="Times New Roman" w:hAnsi="Times New Roman" w:cs="Times New Roman"/>
              <w:sz w:val="32"/>
            </w:rPr>
          </w:pPr>
          <w:r>
            <w:fldChar w:fldCharType="begin"/>
          </w:r>
          <w:r>
            <w:instrText xml:space="preserve"> HYPERLINK \l "_Toc4670" </w:instrText>
          </w:r>
          <w:r>
            <w:fldChar w:fldCharType="separate"/>
          </w:r>
          <w:r>
            <w:rPr>
              <w:rFonts w:ascii="Times New Roman" w:hAnsi="Times New Roman" w:eastAsia="仿宋" w:cs="Times New Roman"/>
              <w:bCs/>
              <w:sz w:val="32"/>
            </w:rPr>
            <w:t xml:space="preserve">6.1 </w:t>
          </w:r>
          <w:r>
            <w:rPr>
              <w:rFonts w:ascii="Times New Roman" w:hAnsi="Times New Roman" w:cs="Times New Roman"/>
              <w:sz w:val="32"/>
            </w:rPr>
            <w:t>善后处置</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_Toc4670 \h </w:instrText>
          </w:r>
          <w:r>
            <w:rPr>
              <w:rFonts w:ascii="Times New Roman" w:hAnsi="Times New Roman" w:cs="Times New Roman"/>
              <w:sz w:val="32"/>
            </w:rPr>
            <w:fldChar w:fldCharType="separate"/>
          </w:r>
          <w:r>
            <w:rPr>
              <w:rFonts w:ascii="Times New Roman" w:hAnsi="Times New Roman" w:cs="Times New Roman"/>
              <w:sz w:val="32"/>
            </w:rPr>
            <w:t>15</w:t>
          </w:r>
          <w:r>
            <w:rPr>
              <w:rFonts w:ascii="Times New Roman" w:hAnsi="Times New Roman" w:cs="Times New Roman"/>
              <w:sz w:val="32"/>
            </w:rPr>
            <w:fldChar w:fldCharType="end"/>
          </w:r>
          <w:r>
            <w:rPr>
              <w:rFonts w:ascii="Times New Roman" w:hAnsi="Times New Roman" w:cs="Times New Roman"/>
              <w:sz w:val="32"/>
            </w:rPr>
            <w:fldChar w:fldCharType="end"/>
          </w:r>
        </w:p>
        <w:p w14:paraId="5F0C2645">
          <w:pPr>
            <w:pStyle w:val="19"/>
            <w:tabs>
              <w:tab w:val="right" w:leader="dot" w:pos="8845"/>
            </w:tabs>
            <w:ind w:firstLine="552"/>
            <w:rPr>
              <w:rFonts w:ascii="Times New Roman" w:hAnsi="Times New Roman" w:cs="Times New Roman"/>
              <w:sz w:val="32"/>
            </w:rPr>
          </w:pPr>
          <w:r>
            <w:fldChar w:fldCharType="begin"/>
          </w:r>
          <w:r>
            <w:instrText xml:space="preserve"> HYPERLINK \l "_Toc26375" </w:instrText>
          </w:r>
          <w:r>
            <w:fldChar w:fldCharType="separate"/>
          </w:r>
          <w:r>
            <w:rPr>
              <w:rFonts w:ascii="Times New Roman" w:hAnsi="Times New Roman" w:eastAsia="仿宋" w:cs="Times New Roman"/>
              <w:bCs/>
              <w:sz w:val="32"/>
            </w:rPr>
            <w:t xml:space="preserve">6.2 </w:t>
          </w:r>
          <w:r>
            <w:rPr>
              <w:rFonts w:ascii="Times New Roman" w:hAnsi="Times New Roman" w:cs="Times New Roman"/>
              <w:sz w:val="32"/>
            </w:rPr>
            <w:t>社会救助</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_Toc26375 \h </w:instrText>
          </w:r>
          <w:r>
            <w:rPr>
              <w:rFonts w:ascii="Times New Roman" w:hAnsi="Times New Roman" w:cs="Times New Roman"/>
              <w:sz w:val="32"/>
            </w:rPr>
            <w:fldChar w:fldCharType="separate"/>
          </w:r>
          <w:r>
            <w:rPr>
              <w:rFonts w:ascii="Times New Roman" w:hAnsi="Times New Roman" w:cs="Times New Roman"/>
              <w:sz w:val="32"/>
            </w:rPr>
            <w:t>15</w:t>
          </w:r>
          <w:r>
            <w:rPr>
              <w:rFonts w:ascii="Times New Roman" w:hAnsi="Times New Roman" w:cs="Times New Roman"/>
              <w:sz w:val="32"/>
            </w:rPr>
            <w:fldChar w:fldCharType="end"/>
          </w:r>
          <w:r>
            <w:rPr>
              <w:rFonts w:ascii="Times New Roman" w:hAnsi="Times New Roman" w:cs="Times New Roman"/>
              <w:sz w:val="32"/>
            </w:rPr>
            <w:fldChar w:fldCharType="end"/>
          </w:r>
        </w:p>
        <w:p w14:paraId="404953DB">
          <w:pPr>
            <w:pStyle w:val="19"/>
            <w:tabs>
              <w:tab w:val="right" w:leader="dot" w:pos="8845"/>
            </w:tabs>
            <w:ind w:firstLine="552"/>
            <w:rPr>
              <w:rFonts w:ascii="Times New Roman" w:hAnsi="Times New Roman" w:cs="Times New Roman"/>
              <w:sz w:val="32"/>
            </w:rPr>
          </w:pPr>
          <w:r>
            <w:fldChar w:fldCharType="begin"/>
          </w:r>
          <w:r>
            <w:instrText xml:space="preserve"> HYPERLINK \l "_Toc4193" </w:instrText>
          </w:r>
          <w:r>
            <w:fldChar w:fldCharType="separate"/>
          </w:r>
          <w:r>
            <w:rPr>
              <w:rFonts w:ascii="Times New Roman" w:hAnsi="Times New Roman" w:eastAsia="仿宋" w:cs="Times New Roman"/>
              <w:bCs/>
              <w:sz w:val="32"/>
            </w:rPr>
            <w:t xml:space="preserve">6.3 </w:t>
          </w:r>
          <w:r>
            <w:rPr>
              <w:rFonts w:ascii="Times New Roman" w:hAnsi="Times New Roman" w:cs="Times New Roman"/>
              <w:sz w:val="32"/>
            </w:rPr>
            <w:t>调查评估</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_Toc4193 \h </w:instrText>
          </w:r>
          <w:r>
            <w:rPr>
              <w:rFonts w:ascii="Times New Roman" w:hAnsi="Times New Roman" w:cs="Times New Roman"/>
              <w:sz w:val="32"/>
            </w:rPr>
            <w:fldChar w:fldCharType="separate"/>
          </w:r>
          <w:r>
            <w:rPr>
              <w:rFonts w:ascii="Times New Roman" w:hAnsi="Times New Roman" w:cs="Times New Roman"/>
              <w:sz w:val="32"/>
            </w:rPr>
            <w:t>15</w:t>
          </w:r>
          <w:r>
            <w:rPr>
              <w:rFonts w:ascii="Times New Roman" w:hAnsi="Times New Roman" w:cs="Times New Roman"/>
              <w:sz w:val="32"/>
            </w:rPr>
            <w:fldChar w:fldCharType="end"/>
          </w:r>
          <w:r>
            <w:rPr>
              <w:rFonts w:ascii="Times New Roman" w:hAnsi="Times New Roman" w:cs="Times New Roman"/>
              <w:sz w:val="32"/>
            </w:rPr>
            <w:fldChar w:fldCharType="end"/>
          </w:r>
        </w:p>
        <w:p w14:paraId="4E8C1A8D">
          <w:pPr>
            <w:pStyle w:val="19"/>
            <w:tabs>
              <w:tab w:val="right" w:leader="dot" w:pos="8845"/>
            </w:tabs>
            <w:ind w:firstLine="552"/>
            <w:rPr>
              <w:rFonts w:ascii="Times New Roman" w:hAnsi="Times New Roman" w:cs="Times New Roman"/>
              <w:sz w:val="32"/>
            </w:rPr>
          </w:pPr>
          <w:r>
            <w:fldChar w:fldCharType="begin"/>
          </w:r>
          <w:r>
            <w:instrText xml:space="preserve"> HYPERLINK \l "_Toc18599" </w:instrText>
          </w:r>
          <w:r>
            <w:fldChar w:fldCharType="separate"/>
          </w:r>
          <w:r>
            <w:rPr>
              <w:rFonts w:ascii="Times New Roman" w:hAnsi="Times New Roman" w:eastAsia="仿宋" w:cs="Times New Roman"/>
              <w:bCs/>
              <w:sz w:val="32"/>
            </w:rPr>
            <w:t xml:space="preserve">6.4 </w:t>
          </w:r>
          <w:r>
            <w:rPr>
              <w:rFonts w:ascii="Times New Roman" w:hAnsi="Times New Roman" w:cs="Times New Roman"/>
              <w:sz w:val="32"/>
            </w:rPr>
            <w:t>道路交通事故社会救助基金</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_Toc18599 \h </w:instrText>
          </w:r>
          <w:r>
            <w:rPr>
              <w:rFonts w:ascii="Times New Roman" w:hAnsi="Times New Roman" w:cs="Times New Roman"/>
              <w:sz w:val="32"/>
            </w:rPr>
            <w:fldChar w:fldCharType="separate"/>
          </w:r>
          <w:r>
            <w:rPr>
              <w:rFonts w:ascii="Times New Roman" w:hAnsi="Times New Roman" w:cs="Times New Roman"/>
              <w:sz w:val="32"/>
            </w:rPr>
            <w:t>16</w:t>
          </w:r>
          <w:r>
            <w:rPr>
              <w:rFonts w:ascii="Times New Roman" w:hAnsi="Times New Roman" w:cs="Times New Roman"/>
              <w:sz w:val="32"/>
            </w:rPr>
            <w:fldChar w:fldCharType="end"/>
          </w:r>
          <w:r>
            <w:rPr>
              <w:rFonts w:ascii="Times New Roman" w:hAnsi="Times New Roman" w:cs="Times New Roman"/>
              <w:sz w:val="32"/>
            </w:rPr>
            <w:fldChar w:fldCharType="end"/>
          </w:r>
        </w:p>
        <w:p w14:paraId="7D13F115">
          <w:pPr>
            <w:pStyle w:val="19"/>
            <w:tabs>
              <w:tab w:val="right" w:leader="dot" w:pos="8845"/>
            </w:tabs>
            <w:ind w:firstLine="552"/>
            <w:rPr>
              <w:rFonts w:ascii="Times New Roman" w:hAnsi="Times New Roman" w:cs="Times New Roman"/>
              <w:sz w:val="32"/>
            </w:rPr>
          </w:pPr>
          <w:r>
            <w:fldChar w:fldCharType="begin"/>
          </w:r>
          <w:r>
            <w:instrText xml:space="preserve"> HYPERLINK \l "_Toc16521" </w:instrText>
          </w:r>
          <w:r>
            <w:fldChar w:fldCharType="separate"/>
          </w:r>
          <w:r>
            <w:rPr>
              <w:rFonts w:ascii="Times New Roman" w:hAnsi="Times New Roman" w:eastAsia="仿宋" w:cs="Times New Roman"/>
              <w:bCs/>
              <w:sz w:val="32"/>
            </w:rPr>
            <w:t xml:space="preserve">6.5 </w:t>
          </w:r>
          <w:r>
            <w:rPr>
              <w:rFonts w:ascii="Times New Roman" w:hAnsi="Times New Roman" w:cs="Times New Roman"/>
              <w:sz w:val="32"/>
            </w:rPr>
            <w:t>奖励与责任追究</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_Toc16521 \h </w:instrText>
          </w:r>
          <w:r>
            <w:rPr>
              <w:rFonts w:ascii="Times New Roman" w:hAnsi="Times New Roman" w:cs="Times New Roman"/>
              <w:sz w:val="32"/>
            </w:rPr>
            <w:fldChar w:fldCharType="separate"/>
          </w:r>
          <w:r>
            <w:rPr>
              <w:rFonts w:ascii="Times New Roman" w:hAnsi="Times New Roman" w:cs="Times New Roman"/>
              <w:sz w:val="32"/>
            </w:rPr>
            <w:t>16</w:t>
          </w:r>
          <w:r>
            <w:rPr>
              <w:rFonts w:ascii="Times New Roman" w:hAnsi="Times New Roman" w:cs="Times New Roman"/>
              <w:sz w:val="32"/>
            </w:rPr>
            <w:fldChar w:fldCharType="end"/>
          </w:r>
          <w:r>
            <w:rPr>
              <w:rFonts w:ascii="Times New Roman" w:hAnsi="Times New Roman" w:cs="Times New Roman"/>
              <w:sz w:val="32"/>
            </w:rPr>
            <w:fldChar w:fldCharType="end"/>
          </w:r>
        </w:p>
        <w:p w14:paraId="267C655D">
          <w:pPr>
            <w:pStyle w:val="18"/>
            <w:rPr>
              <w:rFonts w:ascii="Times New Roman" w:hAnsi="Times New Roman" w:cs="Times New Roman"/>
              <w:sz w:val="32"/>
            </w:rPr>
          </w:pPr>
          <w:r>
            <w:fldChar w:fldCharType="begin"/>
          </w:r>
          <w:r>
            <w:instrText xml:space="preserve"> HYPERLINK \l "_Toc32180" </w:instrText>
          </w:r>
          <w:r>
            <w:fldChar w:fldCharType="separate"/>
          </w:r>
          <w:r>
            <w:rPr>
              <w:rFonts w:ascii="Times New Roman" w:hAnsi="Times New Roman" w:eastAsia="仿宋" w:cs="Times New Roman"/>
              <w:sz w:val="32"/>
            </w:rPr>
            <w:t xml:space="preserve">7 </w:t>
          </w:r>
          <w:r>
            <w:rPr>
              <w:rFonts w:ascii="Times New Roman" w:hAnsi="Times New Roman" w:cs="Times New Roman"/>
              <w:sz w:val="32"/>
            </w:rPr>
            <w:t>保障措施</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_Toc32180 \h </w:instrText>
          </w:r>
          <w:r>
            <w:rPr>
              <w:rFonts w:ascii="Times New Roman" w:hAnsi="Times New Roman" w:cs="Times New Roman"/>
              <w:sz w:val="32"/>
            </w:rPr>
            <w:fldChar w:fldCharType="separate"/>
          </w:r>
          <w:r>
            <w:rPr>
              <w:rFonts w:ascii="Times New Roman" w:hAnsi="Times New Roman" w:cs="Times New Roman"/>
              <w:sz w:val="32"/>
            </w:rPr>
            <w:t>16</w:t>
          </w:r>
          <w:r>
            <w:rPr>
              <w:rFonts w:ascii="Times New Roman" w:hAnsi="Times New Roman" w:cs="Times New Roman"/>
              <w:sz w:val="32"/>
            </w:rPr>
            <w:fldChar w:fldCharType="end"/>
          </w:r>
          <w:r>
            <w:rPr>
              <w:rFonts w:ascii="Times New Roman" w:hAnsi="Times New Roman" w:cs="Times New Roman"/>
              <w:sz w:val="32"/>
            </w:rPr>
            <w:fldChar w:fldCharType="end"/>
          </w:r>
        </w:p>
        <w:p w14:paraId="20C9B14A">
          <w:pPr>
            <w:pStyle w:val="19"/>
            <w:tabs>
              <w:tab w:val="right" w:leader="dot" w:pos="8845"/>
            </w:tabs>
            <w:ind w:firstLine="552"/>
            <w:rPr>
              <w:rFonts w:ascii="Times New Roman" w:hAnsi="Times New Roman" w:cs="Times New Roman"/>
              <w:sz w:val="32"/>
            </w:rPr>
          </w:pPr>
          <w:r>
            <w:fldChar w:fldCharType="begin"/>
          </w:r>
          <w:r>
            <w:instrText xml:space="preserve"> HYPERLINK \l "_Toc752" </w:instrText>
          </w:r>
          <w:r>
            <w:fldChar w:fldCharType="separate"/>
          </w:r>
          <w:r>
            <w:rPr>
              <w:rFonts w:ascii="Times New Roman" w:hAnsi="Times New Roman" w:eastAsia="仿宋" w:cs="Times New Roman"/>
              <w:bCs/>
              <w:sz w:val="32"/>
            </w:rPr>
            <w:t xml:space="preserve">7.1 </w:t>
          </w:r>
          <w:r>
            <w:rPr>
              <w:rFonts w:ascii="Times New Roman" w:hAnsi="Times New Roman" w:cs="Times New Roman"/>
              <w:sz w:val="32"/>
            </w:rPr>
            <w:t>应急队伍保障</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_Toc752 \h </w:instrText>
          </w:r>
          <w:r>
            <w:rPr>
              <w:rFonts w:ascii="Times New Roman" w:hAnsi="Times New Roman" w:cs="Times New Roman"/>
              <w:sz w:val="32"/>
            </w:rPr>
            <w:fldChar w:fldCharType="separate"/>
          </w:r>
          <w:r>
            <w:rPr>
              <w:rFonts w:ascii="Times New Roman" w:hAnsi="Times New Roman" w:cs="Times New Roman"/>
              <w:sz w:val="32"/>
            </w:rPr>
            <w:t>16</w:t>
          </w:r>
          <w:r>
            <w:rPr>
              <w:rFonts w:ascii="Times New Roman" w:hAnsi="Times New Roman" w:cs="Times New Roman"/>
              <w:sz w:val="32"/>
            </w:rPr>
            <w:fldChar w:fldCharType="end"/>
          </w:r>
          <w:r>
            <w:rPr>
              <w:rFonts w:ascii="Times New Roman" w:hAnsi="Times New Roman" w:cs="Times New Roman"/>
              <w:sz w:val="32"/>
            </w:rPr>
            <w:fldChar w:fldCharType="end"/>
          </w:r>
        </w:p>
        <w:p w14:paraId="1D466854">
          <w:pPr>
            <w:pStyle w:val="19"/>
            <w:tabs>
              <w:tab w:val="right" w:leader="dot" w:pos="8845"/>
            </w:tabs>
            <w:ind w:firstLine="552"/>
            <w:rPr>
              <w:rFonts w:ascii="Times New Roman" w:hAnsi="Times New Roman" w:cs="Times New Roman"/>
              <w:sz w:val="32"/>
            </w:rPr>
          </w:pPr>
          <w:r>
            <w:fldChar w:fldCharType="begin"/>
          </w:r>
          <w:r>
            <w:instrText xml:space="preserve"> HYPERLINK \l "_Toc31605" </w:instrText>
          </w:r>
          <w:r>
            <w:fldChar w:fldCharType="separate"/>
          </w:r>
          <w:r>
            <w:rPr>
              <w:rFonts w:ascii="Times New Roman" w:hAnsi="Times New Roman" w:eastAsia="仿宋" w:cs="Times New Roman"/>
              <w:bCs/>
              <w:sz w:val="32"/>
            </w:rPr>
            <w:t xml:space="preserve">7.2 </w:t>
          </w:r>
          <w:r>
            <w:rPr>
              <w:rFonts w:ascii="Times New Roman" w:hAnsi="Times New Roman" w:cs="Times New Roman"/>
              <w:sz w:val="32"/>
            </w:rPr>
            <w:t>物资装备保障</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_Toc31605 \h </w:instrText>
          </w:r>
          <w:r>
            <w:rPr>
              <w:rFonts w:ascii="Times New Roman" w:hAnsi="Times New Roman" w:cs="Times New Roman"/>
              <w:sz w:val="32"/>
            </w:rPr>
            <w:fldChar w:fldCharType="separate"/>
          </w:r>
          <w:r>
            <w:rPr>
              <w:rFonts w:ascii="Times New Roman" w:hAnsi="Times New Roman" w:cs="Times New Roman"/>
              <w:sz w:val="32"/>
            </w:rPr>
            <w:t>17</w:t>
          </w:r>
          <w:r>
            <w:rPr>
              <w:rFonts w:ascii="Times New Roman" w:hAnsi="Times New Roman" w:cs="Times New Roman"/>
              <w:sz w:val="32"/>
            </w:rPr>
            <w:fldChar w:fldCharType="end"/>
          </w:r>
          <w:r>
            <w:rPr>
              <w:rFonts w:ascii="Times New Roman" w:hAnsi="Times New Roman" w:cs="Times New Roman"/>
              <w:sz w:val="32"/>
            </w:rPr>
            <w:fldChar w:fldCharType="end"/>
          </w:r>
        </w:p>
        <w:p w14:paraId="5EFD9E2D">
          <w:pPr>
            <w:pStyle w:val="19"/>
            <w:tabs>
              <w:tab w:val="right" w:leader="dot" w:pos="8845"/>
            </w:tabs>
            <w:ind w:firstLine="552"/>
            <w:rPr>
              <w:rFonts w:ascii="Times New Roman" w:hAnsi="Times New Roman" w:cs="Times New Roman"/>
              <w:sz w:val="32"/>
            </w:rPr>
          </w:pPr>
          <w:r>
            <w:fldChar w:fldCharType="begin"/>
          </w:r>
          <w:r>
            <w:instrText xml:space="preserve"> HYPERLINK \l "_Toc32233" </w:instrText>
          </w:r>
          <w:r>
            <w:fldChar w:fldCharType="separate"/>
          </w:r>
          <w:r>
            <w:rPr>
              <w:rFonts w:ascii="Times New Roman" w:hAnsi="Times New Roman" w:eastAsia="仿宋" w:cs="Times New Roman"/>
              <w:bCs/>
              <w:sz w:val="32"/>
            </w:rPr>
            <w:t xml:space="preserve">7.3 </w:t>
          </w:r>
          <w:r>
            <w:rPr>
              <w:rFonts w:ascii="Times New Roman" w:hAnsi="Times New Roman" w:cs="Times New Roman"/>
              <w:sz w:val="32"/>
            </w:rPr>
            <w:t>资金保障</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_Toc32233 \h </w:instrText>
          </w:r>
          <w:r>
            <w:rPr>
              <w:rFonts w:ascii="Times New Roman" w:hAnsi="Times New Roman" w:cs="Times New Roman"/>
              <w:sz w:val="32"/>
            </w:rPr>
            <w:fldChar w:fldCharType="separate"/>
          </w:r>
          <w:r>
            <w:rPr>
              <w:rFonts w:ascii="Times New Roman" w:hAnsi="Times New Roman" w:cs="Times New Roman"/>
              <w:sz w:val="32"/>
            </w:rPr>
            <w:t>17</w:t>
          </w:r>
          <w:r>
            <w:rPr>
              <w:rFonts w:ascii="Times New Roman" w:hAnsi="Times New Roman" w:cs="Times New Roman"/>
              <w:sz w:val="32"/>
            </w:rPr>
            <w:fldChar w:fldCharType="end"/>
          </w:r>
          <w:r>
            <w:rPr>
              <w:rFonts w:ascii="Times New Roman" w:hAnsi="Times New Roman" w:cs="Times New Roman"/>
              <w:sz w:val="32"/>
            </w:rPr>
            <w:fldChar w:fldCharType="end"/>
          </w:r>
        </w:p>
        <w:p w14:paraId="1636E2CA">
          <w:pPr>
            <w:pStyle w:val="19"/>
            <w:tabs>
              <w:tab w:val="right" w:leader="dot" w:pos="8845"/>
            </w:tabs>
            <w:ind w:firstLine="552"/>
            <w:rPr>
              <w:rFonts w:ascii="Times New Roman" w:hAnsi="Times New Roman" w:cs="Times New Roman"/>
              <w:sz w:val="32"/>
            </w:rPr>
          </w:pPr>
          <w:r>
            <w:fldChar w:fldCharType="begin"/>
          </w:r>
          <w:r>
            <w:instrText xml:space="preserve"> HYPERLINK \l "_Toc25715" </w:instrText>
          </w:r>
          <w:r>
            <w:fldChar w:fldCharType="separate"/>
          </w:r>
          <w:r>
            <w:rPr>
              <w:rFonts w:ascii="Times New Roman" w:hAnsi="Times New Roman" w:eastAsia="仿宋" w:cs="Times New Roman"/>
              <w:bCs/>
              <w:sz w:val="32"/>
            </w:rPr>
            <w:t xml:space="preserve">7.4 </w:t>
          </w:r>
          <w:r>
            <w:rPr>
              <w:rFonts w:ascii="Times New Roman" w:hAnsi="Times New Roman" w:cs="Times New Roman"/>
              <w:sz w:val="32"/>
            </w:rPr>
            <w:t>医疗卫生保障</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_Toc25715 \h </w:instrText>
          </w:r>
          <w:r>
            <w:rPr>
              <w:rFonts w:ascii="Times New Roman" w:hAnsi="Times New Roman" w:cs="Times New Roman"/>
              <w:sz w:val="32"/>
            </w:rPr>
            <w:fldChar w:fldCharType="separate"/>
          </w:r>
          <w:r>
            <w:rPr>
              <w:rFonts w:ascii="Times New Roman" w:hAnsi="Times New Roman" w:cs="Times New Roman"/>
              <w:sz w:val="32"/>
            </w:rPr>
            <w:t>17</w:t>
          </w:r>
          <w:r>
            <w:rPr>
              <w:rFonts w:ascii="Times New Roman" w:hAnsi="Times New Roman" w:cs="Times New Roman"/>
              <w:sz w:val="32"/>
            </w:rPr>
            <w:fldChar w:fldCharType="end"/>
          </w:r>
          <w:r>
            <w:rPr>
              <w:rFonts w:ascii="Times New Roman" w:hAnsi="Times New Roman" w:cs="Times New Roman"/>
              <w:sz w:val="32"/>
            </w:rPr>
            <w:fldChar w:fldCharType="end"/>
          </w:r>
        </w:p>
        <w:p w14:paraId="4A3921C1">
          <w:pPr>
            <w:pStyle w:val="19"/>
            <w:tabs>
              <w:tab w:val="right" w:leader="dot" w:pos="8845"/>
            </w:tabs>
            <w:ind w:firstLine="552"/>
            <w:rPr>
              <w:rFonts w:ascii="Times New Roman" w:hAnsi="Times New Roman" w:cs="Times New Roman"/>
              <w:sz w:val="32"/>
            </w:rPr>
          </w:pPr>
          <w:r>
            <w:fldChar w:fldCharType="begin"/>
          </w:r>
          <w:r>
            <w:instrText xml:space="preserve"> HYPERLINK \l "_Toc4439" </w:instrText>
          </w:r>
          <w:r>
            <w:fldChar w:fldCharType="separate"/>
          </w:r>
          <w:r>
            <w:rPr>
              <w:rFonts w:ascii="Times New Roman" w:hAnsi="Times New Roman" w:eastAsia="仿宋" w:cs="Times New Roman"/>
              <w:bCs/>
              <w:sz w:val="32"/>
            </w:rPr>
            <w:t xml:space="preserve">7.5 </w:t>
          </w:r>
          <w:r>
            <w:rPr>
              <w:rFonts w:ascii="Times New Roman" w:hAnsi="Times New Roman" w:cs="Times New Roman"/>
              <w:sz w:val="32"/>
            </w:rPr>
            <w:t>交通运输保障</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_Toc4439 \h </w:instrText>
          </w:r>
          <w:r>
            <w:rPr>
              <w:rFonts w:ascii="Times New Roman" w:hAnsi="Times New Roman" w:cs="Times New Roman"/>
              <w:sz w:val="32"/>
            </w:rPr>
            <w:fldChar w:fldCharType="separate"/>
          </w:r>
          <w:r>
            <w:rPr>
              <w:rFonts w:ascii="Times New Roman" w:hAnsi="Times New Roman" w:cs="Times New Roman"/>
              <w:sz w:val="32"/>
            </w:rPr>
            <w:t>17</w:t>
          </w:r>
          <w:r>
            <w:rPr>
              <w:rFonts w:ascii="Times New Roman" w:hAnsi="Times New Roman" w:cs="Times New Roman"/>
              <w:sz w:val="32"/>
            </w:rPr>
            <w:fldChar w:fldCharType="end"/>
          </w:r>
          <w:r>
            <w:rPr>
              <w:rFonts w:ascii="Times New Roman" w:hAnsi="Times New Roman" w:cs="Times New Roman"/>
              <w:sz w:val="32"/>
            </w:rPr>
            <w:fldChar w:fldCharType="end"/>
          </w:r>
        </w:p>
        <w:p w14:paraId="4C568780">
          <w:pPr>
            <w:pStyle w:val="19"/>
            <w:tabs>
              <w:tab w:val="right" w:leader="dot" w:pos="8845"/>
            </w:tabs>
            <w:ind w:firstLine="552"/>
            <w:rPr>
              <w:rFonts w:ascii="Times New Roman" w:hAnsi="Times New Roman" w:cs="Times New Roman"/>
              <w:sz w:val="32"/>
            </w:rPr>
          </w:pPr>
          <w:r>
            <w:fldChar w:fldCharType="begin"/>
          </w:r>
          <w:r>
            <w:instrText xml:space="preserve"> HYPERLINK \l "_Toc10900" </w:instrText>
          </w:r>
          <w:r>
            <w:fldChar w:fldCharType="separate"/>
          </w:r>
          <w:r>
            <w:rPr>
              <w:rFonts w:ascii="Times New Roman" w:hAnsi="Times New Roman" w:eastAsia="仿宋" w:cs="Times New Roman"/>
              <w:bCs/>
              <w:sz w:val="32"/>
            </w:rPr>
            <w:t xml:space="preserve">7.6 </w:t>
          </w:r>
          <w:r>
            <w:rPr>
              <w:rFonts w:ascii="Times New Roman" w:hAnsi="Times New Roman" w:cs="Times New Roman"/>
              <w:sz w:val="32"/>
            </w:rPr>
            <w:t>通信与信息保障</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_Toc10900 \h </w:instrText>
          </w:r>
          <w:r>
            <w:rPr>
              <w:rFonts w:ascii="Times New Roman" w:hAnsi="Times New Roman" w:cs="Times New Roman"/>
              <w:sz w:val="32"/>
            </w:rPr>
            <w:fldChar w:fldCharType="separate"/>
          </w:r>
          <w:r>
            <w:rPr>
              <w:rFonts w:ascii="Times New Roman" w:hAnsi="Times New Roman" w:cs="Times New Roman"/>
              <w:sz w:val="32"/>
            </w:rPr>
            <w:t>17</w:t>
          </w:r>
          <w:r>
            <w:rPr>
              <w:rFonts w:ascii="Times New Roman" w:hAnsi="Times New Roman" w:cs="Times New Roman"/>
              <w:sz w:val="32"/>
            </w:rPr>
            <w:fldChar w:fldCharType="end"/>
          </w:r>
          <w:r>
            <w:rPr>
              <w:rFonts w:ascii="Times New Roman" w:hAnsi="Times New Roman" w:cs="Times New Roman"/>
              <w:sz w:val="32"/>
            </w:rPr>
            <w:fldChar w:fldCharType="end"/>
          </w:r>
        </w:p>
        <w:p w14:paraId="519E671D">
          <w:pPr>
            <w:pStyle w:val="19"/>
            <w:tabs>
              <w:tab w:val="right" w:leader="dot" w:pos="8845"/>
            </w:tabs>
            <w:ind w:firstLine="552"/>
            <w:rPr>
              <w:rFonts w:ascii="Times New Roman" w:hAnsi="Times New Roman" w:cs="Times New Roman"/>
              <w:sz w:val="32"/>
            </w:rPr>
          </w:pPr>
          <w:r>
            <w:fldChar w:fldCharType="begin"/>
          </w:r>
          <w:r>
            <w:instrText xml:space="preserve"> HYPERLINK \l "_Toc31436" </w:instrText>
          </w:r>
          <w:r>
            <w:fldChar w:fldCharType="separate"/>
          </w:r>
          <w:r>
            <w:rPr>
              <w:rFonts w:ascii="Times New Roman" w:hAnsi="Times New Roman" w:eastAsia="仿宋" w:cs="Times New Roman"/>
              <w:bCs/>
              <w:sz w:val="32"/>
            </w:rPr>
            <w:t xml:space="preserve">7.7 </w:t>
          </w:r>
          <w:r>
            <w:rPr>
              <w:rFonts w:ascii="Times New Roman" w:hAnsi="Times New Roman" w:cs="Times New Roman"/>
              <w:sz w:val="32"/>
            </w:rPr>
            <w:t>治安维护</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_Toc31436 \h </w:instrText>
          </w:r>
          <w:r>
            <w:rPr>
              <w:rFonts w:ascii="Times New Roman" w:hAnsi="Times New Roman" w:cs="Times New Roman"/>
              <w:sz w:val="32"/>
            </w:rPr>
            <w:fldChar w:fldCharType="separate"/>
          </w:r>
          <w:r>
            <w:rPr>
              <w:rFonts w:ascii="Times New Roman" w:hAnsi="Times New Roman" w:cs="Times New Roman"/>
              <w:sz w:val="32"/>
            </w:rPr>
            <w:t>18</w:t>
          </w:r>
          <w:r>
            <w:rPr>
              <w:rFonts w:ascii="Times New Roman" w:hAnsi="Times New Roman" w:cs="Times New Roman"/>
              <w:sz w:val="32"/>
            </w:rPr>
            <w:fldChar w:fldCharType="end"/>
          </w:r>
          <w:r>
            <w:rPr>
              <w:rFonts w:ascii="Times New Roman" w:hAnsi="Times New Roman" w:cs="Times New Roman"/>
              <w:sz w:val="32"/>
            </w:rPr>
            <w:fldChar w:fldCharType="end"/>
          </w:r>
        </w:p>
        <w:p w14:paraId="68C789C0">
          <w:pPr>
            <w:pStyle w:val="19"/>
            <w:tabs>
              <w:tab w:val="right" w:leader="dot" w:pos="8845"/>
            </w:tabs>
            <w:ind w:firstLine="552"/>
            <w:rPr>
              <w:rFonts w:ascii="Times New Roman" w:hAnsi="Times New Roman" w:cs="Times New Roman"/>
              <w:sz w:val="32"/>
            </w:rPr>
          </w:pPr>
          <w:r>
            <w:fldChar w:fldCharType="begin"/>
          </w:r>
          <w:r>
            <w:instrText xml:space="preserve"> HYPERLINK \l "_Toc841" </w:instrText>
          </w:r>
          <w:r>
            <w:fldChar w:fldCharType="separate"/>
          </w:r>
          <w:r>
            <w:rPr>
              <w:rFonts w:ascii="Times New Roman" w:hAnsi="Times New Roman" w:eastAsia="仿宋" w:cs="Times New Roman"/>
              <w:bCs/>
              <w:sz w:val="32"/>
            </w:rPr>
            <w:t xml:space="preserve">7.8 </w:t>
          </w:r>
          <w:r>
            <w:rPr>
              <w:rFonts w:ascii="Times New Roman" w:hAnsi="Times New Roman" w:cs="Times New Roman"/>
              <w:sz w:val="32"/>
            </w:rPr>
            <w:t>科技支撑</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_Toc841 \h </w:instrText>
          </w:r>
          <w:r>
            <w:rPr>
              <w:rFonts w:ascii="Times New Roman" w:hAnsi="Times New Roman" w:cs="Times New Roman"/>
              <w:sz w:val="32"/>
            </w:rPr>
            <w:fldChar w:fldCharType="separate"/>
          </w:r>
          <w:r>
            <w:rPr>
              <w:rFonts w:ascii="Times New Roman" w:hAnsi="Times New Roman" w:cs="Times New Roman"/>
              <w:sz w:val="32"/>
            </w:rPr>
            <w:t>18</w:t>
          </w:r>
          <w:r>
            <w:rPr>
              <w:rFonts w:ascii="Times New Roman" w:hAnsi="Times New Roman" w:cs="Times New Roman"/>
              <w:sz w:val="32"/>
            </w:rPr>
            <w:fldChar w:fldCharType="end"/>
          </w:r>
          <w:r>
            <w:rPr>
              <w:rFonts w:ascii="Times New Roman" w:hAnsi="Times New Roman" w:cs="Times New Roman"/>
              <w:sz w:val="32"/>
            </w:rPr>
            <w:fldChar w:fldCharType="end"/>
          </w:r>
        </w:p>
        <w:p w14:paraId="6BB9CDEF">
          <w:pPr>
            <w:pStyle w:val="18"/>
            <w:rPr>
              <w:rFonts w:ascii="Times New Roman" w:hAnsi="Times New Roman" w:cs="Times New Roman"/>
              <w:sz w:val="32"/>
            </w:rPr>
          </w:pPr>
          <w:r>
            <w:fldChar w:fldCharType="begin"/>
          </w:r>
          <w:r>
            <w:instrText xml:space="preserve"> HYPERLINK \l "_Toc22422" </w:instrText>
          </w:r>
          <w:r>
            <w:fldChar w:fldCharType="separate"/>
          </w:r>
          <w:r>
            <w:rPr>
              <w:rFonts w:ascii="Times New Roman" w:hAnsi="Times New Roman" w:eastAsia="仿宋" w:cs="Times New Roman"/>
              <w:sz w:val="32"/>
            </w:rPr>
            <w:t xml:space="preserve">8 </w:t>
          </w:r>
          <w:r>
            <w:rPr>
              <w:rFonts w:ascii="Times New Roman" w:hAnsi="Times New Roman" w:cs="Times New Roman"/>
              <w:sz w:val="32"/>
            </w:rPr>
            <w:t>预案管理</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_Toc22422 \h </w:instrText>
          </w:r>
          <w:r>
            <w:rPr>
              <w:rFonts w:ascii="Times New Roman" w:hAnsi="Times New Roman" w:cs="Times New Roman"/>
              <w:sz w:val="32"/>
            </w:rPr>
            <w:fldChar w:fldCharType="separate"/>
          </w:r>
          <w:r>
            <w:rPr>
              <w:rFonts w:ascii="Times New Roman" w:hAnsi="Times New Roman" w:cs="Times New Roman"/>
              <w:sz w:val="32"/>
            </w:rPr>
            <w:t>18</w:t>
          </w:r>
          <w:r>
            <w:rPr>
              <w:rFonts w:ascii="Times New Roman" w:hAnsi="Times New Roman" w:cs="Times New Roman"/>
              <w:sz w:val="32"/>
            </w:rPr>
            <w:fldChar w:fldCharType="end"/>
          </w:r>
          <w:r>
            <w:rPr>
              <w:rFonts w:ascii="Times New Roman" w:hAnsi="Times New Roman" w:cs="Times New Roman"/>
              <w:sz w:val="32"/>
            </w:rPr>
            <w:fldChar w:fldCharType="end"/>
          </w:r>
        </w:p>
        <w:p w14:paraId="0919DB36">
          <w:pPr>
            <w:pStyle w:val="19"/>
            <w:tabs>
              <w:tab w:val="right" w:leader="dot" w:pos="8845"/>
            </w:tabs>
            <w:ind w:firstLine="552"/>
            <w:rPr>
              <w:rFonts w:ascii="Times New Roman" w:hAnsi="Times New Roman" w:cs="Times New Roman"/>
              <w:sz w:val="32"/>
            </w:rPr>
          </w:pPr>
          <w:r>
            <w:fldChar w:fldCharType="begin"/>
          </w:r>
          <w:r>
            <w:instrText xml:space="preserve"> HYPERLINK \l "_Toc17880" </w:instrText>
          </w:r>
          <w:r>
            <w:fldChar w:fldCharType="separate"/>
          </w:r>
          <w:r>
            <w:rPr>
              <w:rFonts w:ascii="Times New Roman" w:hAnsi="Times New Roman" w:eastAsia="仿宋" w:cs="Times New Roman"/>
              <w:bCs/>
              <w:sz w:val="32"/>
            </w:rPr>
            <w:t xml:space="preserve">8.1 </w:t>
          </w:r>
          <w:r>
            <w:rPr>
              <w:rFonts w:ascii="Times New Roman" w:hAnsi="Times New Roman" w:cs="Times New Roman"/>
              <w:sz w:val="32"/>
            </w:rPr>
            <w:t>预案修订</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_Toc17880 \h </w:instrText>
          </w:r>
          <w:r>
            <w:rPr>
              <w:rFonts w:ascii="Times New Roman" w:hAnsi="Times New Roman" w:cs="Times New Roman"/>
              <w:sz w:val="32"/>
            </w:rPr>
            <w:fldChar w:fldCharType="separate"/>
          </w:r>
          <w:r>
            <w:rPr>
              <w:rFonts w:ascii="Times New Roman" w:hAnsi="Times New Roman" w:cs="Times New Roman"/>
              <w:sz w:val="32"/>
            </w:rPr>
            <w:t>18</w:t>
          </w:r>
          <w:r>
            <w:rPr>
              <w:rFonts w:ascii="Times New Roman" w:hAnsi="Times New Roman" w:cs="Times New Roman"/>
              <w:sz w:val="32"/>
            </w:rPr>
            <w:fldChar w:fldCharType="end"/>
          </w:r>
          <w:r>
            <w:rPr>
              <w:rFonts w:ascii="Times New Roman" w:hAnsi="Times New Roman" w:cs="Times New Roman"/>
              <w:sz w:val="32"/>
            </w:rPr>
            <w:fldChar w:fldCharType="end"/>
          </w:r>
        </w:p>
        <w:p w14:paraId="73EAE77F">
          <w:pPr>
            <w:pStyle w:val="19"/>
            <w:tabs>
              <w:tab w:val="right" w:leader="dot" w:pos="8845"/>
            </w:tabs>
            <w:ind w:firstLine="552"/>
            <w:rPr>
              <w:rFonts w:ascii="Times New Roman" w:hAnsi="Times New Roman" w:cs="Times New Roman"/>
              <w:sz w:val="32"/>
            </w:rPr>
          </w:pPr>
          <w:r>
            <w:fldChar w:fldCharType="begin"/>
          </w:r>
          <w:r>
            <w:instrText xml:space="preserve"> HYPERLINK \l "_Toc23623" </w:instrText>
          </w:r>
          <w:r>
            <w:fldChar w:fldCharType="separate"/>
          </w:r>
          <w:r>
            <w:rPr>
              <w:rFonts w:ascii="Times New Roman" w:hAnsi="Times New Roman" w:eastAsia="仿宋" w:cs="Times New Roman"/>
              <w:bCs/>
              <w:sz w:val="32"/>
            </w:rPr>
            <w:t xml:space="preserve">8.2 </w:t>
          </w:r>
          <w:r>
            <w:rPr>
              <w:rFonts w:ascii="Times New Roman" w:hAnsi="Times New Roman" w:cs="Times New Roman"/>
              <w:sz w:val="32"/>
            </w:rPr>
            <w:t>宣传和培训</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_Toc23623 \h </w:instrText>
          </w:r>
          <w:r>
            <w:rPr>
              <w:rFonts w:ascii="Times New Roman" w:hAnsi="Times New Roman" w:cs="Times New Roman"/>
              <w:sz w:val="32"/>
            </w:rPr>
            <w:fldChar w:fldCharType="separate"/>
          </w:r>
          <w:r>
            <w:rPr>
              <w:rFonts w:ascii="Times New Roman" w:hAnsi="Times New Roman" w:cs="Times New Roman"/>
              <w:sz w:val="32"/>
            </w:rPr>
            <w:t>19</w:t>
          </w:r>
          <w:r>
            <w:rPr>
              <w:rFonts w:ascii="Times New Roman" w:hAnsi="Times New Roman" w:cs="Times New Roman"/>
              <w:sz w:val="32"/>
            </w:rPr>
            <w:fldChar w:fldCharType="end"/>
          </w:r>
          <w:r>
            <w:rPr>
              <w:rFonts w:ascii="Times New Roman" w:hAnsi="Times New Roman" w:cs="Times New Roman"/>
              <w:sz w:val="32"/>
            </w:rPr>
            <w:fldChar w:fldCharType="end"/>
          </w:r>
        </w:p>
        <w:p w14:paraId="3C42F83F">
          <w:pPr>
            <w:pStyle w:val="19"/>
            <w:tabs>
              <w:tab w:val="right" w:leader="dot" w:pos="8845"/>
            </w:tabs>
            <w:ind w:firstLine="552"/>
            <w:rPr>
              <w:rFonts w:ascii="Times New Roman" w:hAnsi="Times New Roman" w:cs="Times New Roman"/>
              <w:sz w:val="32"/>
            </w:rPr>
          </w:pPr>
          <w:r>
            <w:fldChar w:fldCharType="begin"/>
          </w:r>
          <w:r>
            <w:instrText xml:space="preserve"> HYPERLINK \l "_Toc19785" </w:instrText>
          </w:r>
          <w:r>
            <w:fldChar w:fldCharType="separate"/>
          </w:r>
          <w:r>
            <w:rPr>
              <w:rFonts w:ascii="Times New Roman" w:hAnsi="Times New Roman" w:eastAsia="仿宋" w:cs="Times New Roman"/>
              <w:bCs/>
              <w:sz w:val="32"/>
            </w:rPr>
            <w:t xml:space="preserve">8.3 </w:t>
          </w:r>
          <w:r>
            <w:rPr>
              <w:rFonts w:ascii="Times New Roman" w:hAnsi="Times New Roman" w:cs="Times New Roman"/>
              <w:sz w:val="32"/>
            </w:rPr>
            <w:t>应急演练</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_Toc19785 \h </w:instrText>
          </w:r>
          <w:r>
            <w:rPr>
              <w:rFonts w:ascii="Times New Roman" w:hAnsi="Times New Roman" w:cs="Times New Roman"/>
              <w:sz w:val="32"/>
            </w:rPr>
            <w:fldChar w:fldCharType="separate"/>
          </w:r>
          <w:r>
            <w:rPr>
              <w:rFonts w:ascii="Times New Roman" w:hAnsi="Times New Roman" w:cs="Times New Roman"/>
              <w:sz w:val="32"/>
            </w:rPr>
            <w:t>19</w:t>
          </w:r>
          <w:r>
            <w:rPr>
              <w:rFonts w:ascii="Times New Roman" w:hAnsi="Times New Roman" w:cs="Times New Roman"/>
              <w:sz w:val="32"/>
            </w:rPr>
            <w:fldChar w:fldCharType="end"/>
          </w:r>
          <w:r>
            <w:rPr>
              <w:rFonts w:ascii="Times New Roman" w:hAnsi="Times New Roman" w:cs="Times New Roman"/>
              <w:sz w:val="32"/>
            </w:rPr>
            <w:fldChar w:fldCharType="end"/>
          </w:r>
        </w:p>
        <w:p w14:paraId="225C7DC5">
          <w:pPr>
            <w:pStyle w:val="19"/>
            <w:tabs>
              <w:tab w:val="right" w:leader="dot" w:pos="8845"/>
            </w:tabs>
            <w:ind w:firstLine="552"/>
            <w:rPr>
              <w:rFonts w:ascii="Times New Roman" w:hAnsi="Times New Roman" w:cs="Times New Roman"/>
              <w:sz w:val="32"/>
            </w:rPr>
          </w:pPr>
          <w:r>
            <w:fldChar w:fldCharType="begin"/>
          </w:r>
          <w:r>
            <w:instrText xml:space="preserve"> HYPERLINK \l "_Toc5506" </w:instrText>
          </w:r>
          <w:r>
            <w:fldChar w:fldCharType="separate"/>
          </w:r>
          <w:r>
            <w:rPr>
              <w:rFonts w:ascii="Times New Roman" w:hAnsi="Times New Roman" w:eastAsia="仿宋" w:cs="Times New Roman"/>
              <w:bCs/>
              <w:sz w:val="32"/>
            </w:rPr>
            <w:t xml:space="preserve">8.4 </w:t>
          </w:r>
          <w:r>
            <w:rPr>
              <w:rFonts w:ascii="Times New Roman" w:hAnsi="Times New Roman" w:cs="Times New Roman"/>
              <w:sz w:val="32"/>
            </w:rPr>
            <w:t>预案实施</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_Toc5506 \h </w:instrText>
          </w:r>
          <w:r>
            <w:rPr>
              <w:rFonts w:ascii="Times New Roman" w:hAnsi="Times New Roman" w:cs="Times New Roman"/>
              <w:sz w:val="32"/>
            </w:rPr>
            <w:fldChar w:fldCharType="separate"/>
          </w:r>
          <w:r>
            <w:rPr>
              <w:rFonts w:ascii="Times New Roman" w:hAnsi="Times New Roman" w:cs="Times New Roman"/>
              <w:sz w:val="32"/>
            </w:rPr>
            <w:t>19</w:t>
          </w:r>
          <w:r>
            <w:rPr>
              <w:rFonts w:ascii="Times New Roman" w:hAnsi="Times New Roman" w:cs="Times New Roman"/>
              <w:sz w:val="32"/>
            </w:rPr>
            <w:fldChar w:fldCharType="end"/>
          </w:r>
          <w:r>
            <w:rPr>
              <w:rFonts w:ascii="Times New Roman" w:hAnsi="Times New Roman" w:cs="Times New Roman"/>
              <w:sz w:val="32"/>
            </w:rPr>
            <w:fldChar w:fldCharType="end"/>
          </w:r>
        </w:p>
        <w:p w14:paraId="7C64DB9E">
          <w:pPr>
            <w:pStyle w:val="18"/>
            <w:rPr>
              <w:rFonts w:ascii="Times New Roman" w:hAnsi="Times New Roman" w:cs="Times New Roman"/>
              <w:sz w:val="32"/>
            </w:rPr>
          </w:pPr>
          <w:r>
            <w:fldChar w:fldCharType="begin"/>
          </w:r>
          <w:r>
            <w:instrText xml:space="preserve"> HYPERLINK \l "_Toc651" </w:instrText>
          </w:r>
          <w:r>
            <w:fldChar w:fldCharType="separate"/>
          </w:r>
          <w:r>
            <w:rPr>
              <w:rFonts w:ascii="Times New Roman" w:hAnsi="Times New Roman" w:cs="Times New Roman"/>
              <w:sz w:val="32"/>
            </w:rPr>
            <w:t>附件1：道路交通事故分级标准</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_Toc651 \h </w:instrText>
          </w:r>
          <w:r>
            <w:rPr>
              <w:rFonts w:ascii="Times New Roman" w:hAnsi="Times New Roman" w:cs="Times New Roman"/>
              <w:sz w:val="32"/>
            </w:rPr>
            <w:fldChar w:fldCharType="separate"/>
          </w:r>
          <w:r>
            <w:rPr>
              <w:rFonts w:ascii="Times New Roman" w:hAnsi="Times New Roman" w:cs="Times New Roman"/>
              <w:sz w:val="32"/>
            </w:rPr>
            <w:t>20</w:t>
          </w:r>
          <w:r>
            <w:rPr>
              <w:rFonts w:ascii="Times New Roman" w:hAnsi="Times New Roman" w:cs="Times New Roman"/>
              <w:sz w:val="32"/>
            </w:rPr>
            <w:fldChar w:fldCharType="end"/>
          </w:r>
          <w:r>
            <w:rPr>
              <w:rFonts w:ascii="Times New Roman" w:hAnsi="Times New Roman" w:cs="Times New Roman"/>
              <w:sz w:val="32"/>
            </w:rPr>
            <w:fldChar w:fldCharType="end"/>
          </w:r>
        </w:p>
        <w:p w14:paraId="5D15867E">
          <w:pPr>
            <w:pStyle w:val="15"/>
            <w:ind w:left="0" w:leftChars="0" w:firstLine="0" w:firstLineChars="0"/>
            <w:rPr>
              <w:rFonts w:ascii="Times New Roman" w:hAnsi="Times New Roman" w:eastAsia="仿宋" w:cs="Times New Roman"/>
              <w:b/>
              <w:sz w:val="32"/>
            </w:rPr>
          </w:pPr>
          <w:r>
            <w:rPr>
              <w:rFonts w:ascii="Times New Roman" w:hAnsi="Times New Roman" w:cs="Times New Roman"/>
              <w:sz w:val="32"/>
            </w:rPr>
            <w:fldChar w:fldCharType="end"/>
          </w:r>
        </w:p>
      </w:sdtContent>
    </w:sdt>
    <w:p w14:paraId="169EBBB7">
      <w:pPr>
        <w:pStyle w:val="15"/>
        <w:ind w:left="0" w:leftChars="0" w:firstLine="0" w:firstLineChars="0"/>
        <w:rPr>
          <w:rFonts w:ascii="Times New Roman" w:hAnsi="Times New Roman" w:eastAsia="仿宋" w:cs="Times New Roman"/>
          <w:b/>
          <w:sz w:val="32"/>
        </w:rPr>
      </w:pPr>
    </w:p>
    <w:p w14:paraId="4FAA049A">
      <w:pPr>
        <w:ind w:firstLine="552"/>
        <w:rPr>
          <w:rFonts w:ascii="Times New Roman" w:hAnsi="Times New Roman" w:cs="Times New Roman"/>
        </w:rPr>
        <w:sectPr>
          <w:footerReference r:id="rId62" w:type="default"/>
          <w:footerReference r:id="rId63" w:type="even"/>
          <w:pgSz w:w="11906" w:h="16838"/>
          <w:pgMar w:top="2098" w:right="1474" w:bottom="1984" w:left="1587" w:header="624" w:footer="1134" w:gutter="0"/>
          <w:pgNumType w:fmt="upperRoman" w:start="1"/>
          <w:cols w:space="0" w:num="1"/>
          <w:docGrid w:type="linesAndChars" w:linePitch="579" w:charSpace="-842"/>
        </w:sectPr>
      </w:pPr>
    </w:p>
    <w:p w14:paraId="642DB42A">
      <w:pPr>
        <w:pStyle w:val="2"/>
        <w:numPr>
          <w:ilvl w:val="0"/>
          <w:numId w:val="146"/>
        </w:numPr>
        <w:tabs>
          <w:tab w:val="left" w:pos="0"/>
        </w:tabs>
        <w:ind w:firstLine="0" w:firstLineChars="0"/>
        <w:rPr>
          <w:rFonts w:ascii="Times New Roman" w:hAnsi="Times New Roman" w:cs="Times New Roman"/>
          <w:sz w:val="32"/>
        </w:rPr>
      </w:pPr>
      <w:bookmarkStart w:id="675" w:name="_Toc21095"/>
      <w:r>
        <w:rPr>
          <w:rFonts w:ascii="Times New Roman" w:hAnsi="Times New Roman" w:cs="Times New Roman"/>
          <w:sz w:val="32"/>
        </w:rPr>
        <w:t>总则</w:t>
      </w:r>
      <w:bookmarkEnd w:id="675"/>
    </w:p>
    <w:p w14:paraId="17C94E9E">
      <w:pPr>
        <w:pStyle w:val="3"/>
        <w:ind w:firstLine="0" w:firstLineChars="0"/>
        <w:rPr>
          <w:rFonts w:ascii="Times New Roman" w:hAnsi="Times New Roman" w:cs="Times New Roman"/>
          <w:sz w:val="32"/>
        </w:rPr>
      </w:pPr>
      <w:bookmarkStart w:id="676" w:name="_Toc21063"/>
      <w:r>
        <w:rPr>
          <w:rFonts w:ascii="Times New Roman" w:hAnsi="Times New Roman" w:cs="Times New Roman"/>
          <w:sz w:val="32"/>
        </w:rPr>
        <w:t>编制目的</w:t>
      </w:r>
      <w:bookmarkEnd w:id="676"/>
    </w:p>
    <w:p w14:paraId="0ED830C2">
      <w:pPr>
        <w:ind w:firstLine="632"/>
        <w:rPr>
          <w:rFonts w:ascii="Times New Roman" w:hAnsi="Times New Roman" w:cs="Times New Roman"/>
          <w:sz w:val="32"/>
        </w:rPr>
      </w:pPr>
      <w:r>
        <w:rPr>
          <w:rFonts w:ascii="Times New Roman" w:hAnsi="Times New Roman" w:cs="Times New Roman"/>
          <w:sz w:val="32"/>
        </w:rPr>
        <w:t>为建立健全本县道路交通事故应急救援机制，明确政府和相关部门的应急职责，快速、高效、安全实施道路交通事故救援工作，减少道路交通事故造成的人员伤亡和财产损失，确保道路交通安全畅通、治安秩序良好，维护社会稳定，特制定本预案。</w:t>
      </w:r>
    </w:p>
    <w:p w14:paraId="7CEFC7FB">
      <w:pPr>
        <w:pStyle w:val="3"/>
        <w:ind w:firstLine="0" w:firstLineChars="0"/>
        <w:rPr>
          <w:rFonts w:ascii="Times New Roman" w:hAnsi="Times New Roman" w:cs="Times New Roman"/>
          <w:sz w:val="32"/>
        </w:rPr>
      </w:pPr>
      <w:bookmarkStart w:id="677" w:name="_Toc2493"/>
      <w:r>
        <w:rPr>
          <w:rFonts w:ascii="Times New Roman" w:hAnsi="Times New Roman" w:cs="Times New Roman"/>
          <w:sz w:val="32"/>
        </w:rPr>
        <w:t>编制依据</w:t>
      </w:r>
      <w:bookmarkEnd w:id="677"/>
    </w:p>
    <w:p w14:paraId="64B8B0C4">
      <w:pPr>
        <w:ind w:firstLine="632"/>
        <w:rPr>
          <w:rFonts w:ascii="Times New Roman" w:hAnsi="Times New Roman" w:cs="Times New Roman"/>
          <w:sz w:val="32"/>
        </w:rPr>
      </w:pPr>
      <w:r>
        <w:rPr>
          <w:rFonts w:ascii="Times New Roman" w:hAnsi="Times New Roman" w:cs="Times New Roman"/>
          <w:sz w:val="32"/>
        </w:rPr>
        <w:t>依据《中华人民共和国道路交通安全法》《中华人民共和国突发事件应对法》《中华人民共和国道路交通安全法实施条例》《生产安全事故报告和调查处理条例》《道路交通事故处理程序规定》《黑龙江省道路交通事故应急预案》《集贤县突发事件总体应急预案》等法律法规、相关文件制定本预案。</w:t>
      </w:r>
    </w:p>
    <w:p w14:paraId="028D82EF">
      <w:pPr>
        <w:pStyle w:val="3"/>
        <w:ind w:firstLine="0" w:firstLineChars="0"/>
        <w:rPr>
          <w:rFonts w:ascii="Times New Roman" w:hAnsi="Times New Roman" w:cs="Times New Roman"/>
          <w:sz w:val="32"/>
        </w:rPr>
      </w:pPr>
      <w:bookmarkStart w:id="678" w:name="_Toc12360"/>
      <w:r>
        <w:rPr>
          <w:rFonts w:ascii="Times New Roman" w:hAnsi="Times New Roman" w:cs="Times New Roman"/>
          <w:sz w:val="32"/>
        </w:rPr>
        <w:t>适用范围</w:t>
      </w:r>
      <w:bookmarkEnd w:id="678"/>
    </w:p>
    <w:p w14:paraId="2E4A64E8">
      <w:pPr>
        <w:ind w:firstLine="632"/>
        <w:rPr>
          <w:rFonts w:ascii="Times New Roman" w:hAnsi="Times New Roman" w:cs="Times New Roman"/>
          <w:sz w:val="32"/>
        </w:rPr>
      </w:pPr>
      <w:r>
        <w:rPr>
          <w:rFonts w:ascii="Times New Roman" w:hAnsi="Times New Roman" w:cs="Times New Roman"/>
          <w:sz w:val="32"/>
        </w:rPr>
        <w:t>本预案适用于集贤县行政区域发生的道路交通事故的应急救援工作。</w:t>
      </w:r>
    </w:p>
    <w:p w14:paraId="774B2311">
      <w:pPr>
        <w:ind w:firstLine="632"/>
        <w:rPr>
          <w:rFonts w:ascii="Times New Roman" w:hAnsi="Times New Roman" w:cs="Times New Roman"/>
          <w:sz w:val="32"/>
        </w:rPr>
      </w:pPr>
      <w:r>
        <w:rPr>
          <w:rFonts w:ascii="Times New Roman" w:hAnsi="Times New Roman" w:cs="Times New Roman"/>
          <w:sz w:val="32"/>
        </w:rPr>
        <w:t>涉及危险化学品的道路交通事故的应急处置工作，同时参照《集贤县危险化学品事故应急预案》执行。</w:t>
      </w:r>
    </w:p>
    <w:p w14:paraId="50EBAE39">
      <w:pPr>
        <w:pStyle w:val="3"/>
        <w:ind w:firstLine="0" w:firstLineChars="0"/>
        <w:rPr>
          <w:rFonts w:ascii="Times New Roman" w:hAnsi="Times New Roman" w:cs="Times New Roman"/>
          <w:sz w:val="32"/>
        </w:rPr>
      </w:pPr>
      <w:bookmarkStart w:id="679" w:name="_Toc16213"/>
      <w:r>
        <w:rPr>
          <w:rFonts w:ascii="Times New Roman" w:hAnsi="Times New Roman" w:cs="Times New Roman"/>
          <w:sz w:val="32"/>
        </w:rPr>
        <w:t>工作原则</w:t>
      </w:r>
      <w:bookmarkEnd w:id="679"/>
    </w:p>
    <w:p w14:paraId="0F1E22B1">
      <w:pPr>
        <w:ind w:firstLine="632"/>
        <w:rPr>
          <w:rFonts w:ascii="Times New Roman" w:hAnsi="Times New Roman" w:cs="Times New Roman"/>
          <w:sz w:val="32"/>
        </w:rPr>
      </w:pPr>
      <w:r>
        <w:rPr>
          <w:rFonts w:ascii="Times New Roman" w:hAnsi="Times New Roman" w:cs="Times New Roman"/>
          <w:sz w:val="32"/>
        </w:rPr>
        <w:t>（1）以人为本，减少损失。在处置道路交通事故时，坚持“生命至上、人民至上”，把保护人民群众生命、财产安全放在首位，把事故损失降到最低限度。</w:t>
      </w:r>
    </w:p>
    <w:p w14:paraId="130B4656">
      <w:pPr>
        <w:ind w:firstLine="632"/>
        <w:rPr>
          <w:rFonts w:ascii="Times New Roman" w:hAnsi="Times New Roman" w:cs="Times New Roman"/>
          <w:sz w:val="32"/>
        </w:rPr>
      </w:pPr>
      <w:r>
        <w:rPr>
          <w:rFonts w:ascii="Times New Roman" w:hAnsi="Times New Roman" w:cs="Times New Roman"/>
          <w:sz w:val="32"/>
        </w:rPr>
        <w:t>（2）统一领导，分级负责。在政府的统一领导下，各部门按照处置道路交通事故的职责分工和权限，分级负责，协调有序地开展抢救、事故处理的善后工作。</w:t>
      </w:r>
    </w:p>
    <w:p w14:paraId="691D93C3">
      <w:pPr>
        <w:ind w:firstLine="632"/>
        <w:rPr>
          <w:rFonts w:ascii="Times New Roman" w:hAnsi="Times New Roman" w:cs="Times New Roman"/>
          <w:sz w:val="32"/>
        </w:rPr>
      </w:pPr>
      <w:r>
        <w:rPr>
          <w:rFonts w:ascii="Times New Roman" w:hAnsi="Times New Roman" w:cs="Times New Roman"/>
          <w:sz w:val="32"/>
        </w:rPr>
        <w:t>（3）预防为主，平战结合。贯彻落实“安全第一，预防为主，综合治理”的方针，坚持事故处置与预防工作相结合，落实预防道路交通事故的各项措施，建立应对道路交通事故的快速反应机制，做到常备不懈，快速反应，处置得当。</w:t>
      </w:r>
    </w:p>
    <w:p w14:paraId="53CD830F">
      <w:pPr>
        <w:pStyle w:val="3"/>
        <w:ind w:firstLine="0" w:firstLineChars="0"/>
        <w:rPr>
          <w:rFonts w:ascii="Times New Roman" w:hAnsi="Times New Roman" w:cs="Times New Roman"/>
          <w:sz w:val="32"/>
        </w:rPr>
      </w:pPr>
      <w:bookmarkStart w:id="680" w:name="_Toc3541"/>
      <w:r>
        <w:rPr>
          <w:rFonts w:ascii="Times New Roman" w:hAnsi="Times New Roman" w:cs="Times New Roman"/>
          <w:sz w:val="32"/>
        </w:rPr>
        <w:t>事件分级</w:t>
      </w:r>
      <w:bookmarkEnd w:id="680"/>
    </w:p>
    <w:p w14:paraId="6F4B0EBB">
      <w:pPr>
        <w:ind w:firstLine="632"/>
        <w:rPr>
          <w:rFonts w:ascii="Times New Roman" w:hAnsi="Times New Roman" w:cs="Times New Roman"/>
          <w:sz w:val="32"/>
        </w:rPr>
      </w:pPr>
      <w:r>
        <w:rPr>
          <w:rFonts w:ascii="Times New Roman" w:hAnsi="Times New Roman" w:cs="Times New Roman"/>
          <w:sz w:val="32"/>
        </w:rPr>
        <w:t>按道路交通事故造成的人员伤亡或者直接经济损失情况，分为特别重大（Ⅰ级）、重大（Ⅱ级）、较大（Ⅲ级）和一般（Ⅳ级）四级。道路交通事故分级标准见附件1。</w:t>
      </w:r>
    </w:p>
    <w:p w14:paraId="2CB9D4D0">
      <w:pPr>
        <w:pStyle w:val="2"/>
        <w:numPr>
          <w:ilvl w:val="0"/>
          <w:numId w:val="146"/>
        </w:numPr>
        <w:tabs>
          <w:tab w:val="left" w:pos="0"/>
        </w:tabs>
        <w:ind w:firstLine="0" w:firstLineChars="0"/>
        <w:rPr>
          <w:rFonts w:ascii="Times New Roman" w:hAnsi="Times New Roman" w:cs="Times New Roman"/>
          <w:sz w:val="32"/>
        </w:rPr>
      </w:pPr>
      <w:bookmarkStart w:id="681" w:name="_Toc25675"/>
      <w:r>
        <w:rPr>
          <w:rFonts w:ascii="Times New Roman" w:hAnsi="Times New Roman" w:cs="Times New Roman"/>
          <w:sz w:val="32"/>
        </w:rPr>
        <w:t>组织指挥体系</w:t>
      </w:r>
      <w:bookmarkEnd w:id="681"/>
    </w:p>
    <w:p w14:paraId="2CBD11C4">
      <w:pPr>
        <w:ind w:firstLine="632"/>
        <w:rPr>
          <w:rFonts w:ascii="Times New Roman" w:hAnsi="Times New Roman" w:cs="Times New Roman"/>
        </w:rPr>
      </w:pPr>
      <w:r>
        <w:rPr>
          <w:rFonts w:ascii="Times New Roman" w:hAnsi="Times New Roman" w:cs="Times New Roman"/>
          <w:sz w:val="32"/>
        </w:rPr>
        <w:t>集贤县道路交通事故应急组织机构由县道路交通事故应急指挥部及其办公室（日常办事机构）、县道路交通事故应急指挥部有关成员单位、现场指挥部、应急救援队伍、应急专家组等组成。</w:t>
      </w:r>
    </w:p>
    <w:p w14:paraId="1EED14CE">
      <w:pPr>
        <w:pStyle w:val="3"/>
        <w:ind w:firstLine="0" w:firstLineChars="0"/>
        <w:rPr>
          <w:rFonts w:ascii="Times New Roman" w:hAnsi="Times New Roman" w:cs="Times New Roman"/>
          <w:sz w:val="32"/>
        </w:rPr>
      </w:pPr>
      <w:bookmarkStart w:id="682" w:name="_Toc15413"/>
      <w:r>
        <w:rPr>
          <w:rFonts w:ascii="Times New Roman" w:hAnsi="Times New Roman" w:cs="Times New Roman"/>
          <w:sz w:val="32"/>
        </w:rPr>
        <w:t>领导机构组成及职责</w:t>
      </w:r>
      <w:bookmarkEnd w:id="682"/>
    </w:p>
    <w:p w14:paraId="2F387BD9">
      <w:pPr>
        <w:ind w:firstLine="632"/>
        <w:rPr>
          <w:rFonts w:ascii="Times New Roman" w:hAnsi="Times New Roman" w:cs="Times New Roman"/>
          <w:sz w:val="32"/>
        </w:rPr>
      </w:pPr>
      <w:r>
        <w:rPr>
          <w:rFonts w:ascii="Times New Roman" w:hAnsi="Times New Roman" w:cs="Times New Roman"/>
          <w:sz w:val="32"/>
        </w:rPr>
        <w:t>县人民政府成立县道路交通事故应急指挥部（以下简称县交通事故应急指挥部）负责领导、组织和协调全县道路交通事故应急管理和应急救援工作。县政府分管副县长担任县交通事故应急指挥部总指挥，县公安局分管副局长、县公安局交警大队大队长担任副总指挥。</w:t>
      </w:r>
    </w:p>
    <w:p w14:paraId="77E0DF7C">
      <w:pPr>
        <w:ind w:firstLine="632"/>
        <w:rPr>
          <w:rFonts w:ascii="Times New Roman" w:hAnsi="Times New Roman" w:cs="Times New Roman"/>
          <w:sz w:val="32"/>
        </w:rPr>
      </w:pPr>
      <w:r>
        <w:rPr>
          <w:rFonts w:ascii="Times New Roman" w:hAnsi="Times New Roman" w:cs="Times New Roman"/>
          <w:sz w:val="32"/>
        </w:rPr>
        <w:t>县交通事故应急指挥部办公室设在集贤县公安局交警大队，负责指挥部日常工作。办公室主任由县公安局交警大队大队长兼任。</w:t>
      </w:r>
    </w:p>
    <w:p w14:paraId="3664009E">
      <w:pPr>
        <w:pStyle w:val="4"/>
        <w:numPr>
          <w:ilvl w:val="2"/>
          <w:numId w:val="146"/>
        </w:numPr>
        <w:tabs>
          <w:tab w:val="left" w:pos="0"/>
        </w:tabs>
        <w:ind w:firstLine="0" w:firstLineChars="0"/>
        <w:rPr>
          <w:rFonts w:ascii="Times New Roman" w:hAnsi="Times New Roman" w:cs="Times New Roman"/>
          <w:sz w:val="32"/>
        </w:rPr>
      </w:pPr>
      <w:r>
        <w:rPr>
          <w:rFonts w:ascii="Times New Roman" w:hAnsi="Times New Roman" w:cs="Times New Roman"/>
          <w:sz w:val="32"/>
        </w:rPr>
        <w:t>指挥部职责</w:t>
      </w:r>
    </w:p>
    <w:p w14:paraId="7D6F71FA">
      <w:pPr>
        <w:ind w:firstLine="632"/>
        <w:rPr>
          <w:rFonts w:ascii="Times New Roman" w:hAnsi="Times New Roman" w:cs="Times New Roman"/>
          <w:sz w:val="32"/>
        </w:rPr>
      </w:pPr>
      <w:r>
        <w:rPr>
          <w:rFonts w:ascii="Times New Roman" w:hAnsi="Times New Roman" w:cs="Times New Roman"/>
          <w:sz w:val="32"/>
        </w:rPr>
        <w:t>（1）贯彻落实党中央、国务院决策部署和省</w:t>
      </w:r>
      <w:r>
        <w:rPr>
          <w:rFonts w:hint="eastAsia" w:ascii="Times New Roman" w:hAnsi="Times New Roman" w:cs="Times New Roman"/>
          <w:sz w:val="32"/>
        </w:rPr>
        <w:t>、</w:t>
      </w:r>
      <w:r>
        <w:rPr>
          <w:rFonts w:ascii="Times New Roman" w:hAnsi="Times New Roman" w:cs="Times New Roman"/>
          <w:sz w:val="32"/>
        </w:rPr>
        <w:t>市</w:t>
      </w:r>
      <w:r>
        <w:rPr>
          <w:rFonts w:hint="eastAsia" w:ascii="Times New Roman" w:hAnsi="Times New Roman" w:cs="Times New Roman"/>
          <w:sz w:val="32"/>
        </w:rPr>
        <w:t>、</w:t>
      </w:r>
      <w:r>
        <w:rPr>
          <w:rFonts w:ascii="Times New Roman" w:hAnsi="Times New Roman" w:cs="Times New Roman"/>
          <w:sz w:val="32"/>
        </w:rPr>
        <w:t>县党委</w:t>
      </w:r>
      <w:r>
        <w:rPr>
          <w:rFonts w:hint="eastAsia" w:ascii="Times New Roman" w:hAnsi="Times New Roman" w:cs="Times New Roman"/>
          <w:sz w:val="32"/>
        </w:rPr>
        <w:t>、</w:t>
      </w:r>
      <w:r>
        <w:rPr>
          <w:rFonts w:ascii="Times New Roman" w:hAnsi="Times New Roman" w:cs="Times New Roman"/>
          <w:sz w:val="32"/>
        </w:rPr>
        <w:t>政府相关工作要求，领导、组织、协调县内道路交通事故应急处置工作。</w:t>
      </w:r>
    </w:p>
    <w:p w14:paraId="5E87FBCD">
      <w:pPr>
        <w:ind w:firstLine="632"/>
        <w:rPr>
          <w:rFonts w:ascii="Times New Roman" w:hAnsi="Times New Roman" w:cs="Times New Roman"/>
          <w:sz w:val="32"/>
        </w:rPr>
      </w:pPr>
      <w:r>
        <w:rPr>
          <w:rFonts w:ascii="Times New Roman" w:hAnsi="Times New Roman" w:cs="Times New Roman"/>
          <w:sz w:val="32"/>
        </w:rPr>
        <w:t>（2）掌握事态发展，负责应急救援重大事项的决策和部署，决定启动和终止应急响应。</w:t>
      </w:r>
    </w:p>
    <w:p w14:paraId="49AFAA2B">
      <w:pPr>
        <w:ind w:firstLine="632"/>
        <w:rPr>
          <w:rFonts w:ascii="Times New Roman" w:hAnsi="Times New Roman" w:cs="Times New Roman"/>
          <w:sz w:val="32"/>
        </w:rPr>
      </w:pPr>
      <w:r>
        <w:rPr>
          <w:rFonts w:ascii="Times New Roman" w:hAnsi="Times New Roman" w:cs="Times New Roman"/>
          <w:sz w:val="32"/>
        </w:rPr>
        <w:t>（3）及时按程序报告事故和救援情况，必要时请求协调支援。发布决定、命令及有关信息。</w:t>
      </w:r>
    </w:p>
    <w:p w14:paraId="2D830D41">
      <w:pPr>
        <w:pStyle w:val="4"/>
        <w:numPr>
          <w:ilvl w:val="2"/>
          <w:numId w:val="146"/>
        </w:numPr>
        <w:tabs>
          <w:tab w:val="left" w:pos="0"/>
        </w:tabs>
        <w:ind w:firstLine="0" w:firstLineChars="0"/>
        <w:rPr>
          <w:rFonts w:ascii="Times New Roman" w:hAnsi="Times New Roman" w:cs="Times New Roman"/>
          <w:sz w:val="32"/>
        </w:rPr>
      </w:pPr>
      <w:r>
        <w:rPr>
          <w:rFonts w:ascii="Times New Roman" w:hAnsi="Times New Roman" w:cs="Times New Roman"/>
          <w:sz w:val="32"/>
        </w:rPr>
        <w:t>指挥部办公室职责</w:t>
      </w:r>
    </w:p>
    <w:p w14:paraId="0EF0B045">
      <w:pPr>
        <w:ind w:firstLine="632"/>
        <w:rPr>
          <w:rFonts w:ascii="Times New Roman" w:hAnsi="Times New Roman" w:cs="Times New Roman"/>
          <w:sz w:val="32"/>
        </w:rPr>
      </w:pPr>
      <w:r>
        <w:rPr>
          <w:rFonts w:ascii="Times New Roman" w:hAnsi="Times New Roman" w:cs="Times New Roman"/>
          <w:sz w:val="32"/>
        </w:rPr>
        <w:t>（1）负责应急信息的接收、核实、处理、传递、通报、报告，及时传达和执行应急指挥部的各项决策和指令，检查和报告应急指挥部应急指令的执行情况。</w:t>
      </w:r>
    </w:p>
    <w:p w14:paraId="54E349B9">
      <w:pPr>
        <w:ind w:firstLine="632"/>
        <w:rPr>
          <w:rFonts w:ascii="Times New Roman" w:hAnsi="Times New Roman" w:cs="Times New Roman"/>
          <w:sz w:val="32"/>
        </w:rPr>
      </w:pPr>
      <w:r>
        <w:rPr>
          <w:rFonts w:ascii="Times New Roman" w:hAnsi="Times New Roman" w:cs="Times New Roman"/>
          <w:sz w:val="32"/>
        </w:rPr>
        <w:t>（2）负责与县应急指挥部成员单位和现场应急指挥部保持联系。</w:t>
      </w:r>
    </w:p>
    <w:p w14:paraId="32B788BA">
      <w:pPr>
        <w:ind w:firstLine="632"/>
        <w:rPr>
          <w:rFonts w:ascii="Times New Roman" w:hAnsi="Times New Roman" w:cs="Times New Roman"/>
          <w:sz w:val="32"/>
        </w:rPr>
      </w:pPr>
      <w:r>
        <w:rPr>
          <w:rFonts w:ascii="Times New Roman" w:hAnsi="Times New Roman" w:cs="Times New Roman"/>
          <w:sz w:val="32"/>
        </w:rPr>
        <w:t>（3）协调组织道路交通事故原因调查和快速评估，了解、汇总应急工作情况。</w:t>
      </w:r>
    </w:p>
    <w:p w14:paraId="338B9BA1">
      <w:pPr>
        <w:ind w:firstLine="632"/>
        <w:rPr>
          <w:rFonts w:ascii="Times New Roman" w:hAnsi="Times New Roman" w:cs="Times New Roman"/>
          <w:sz w:val="32"/>
        </w:rPr>
      </w:pPr>
      <w:r>
        <w:rPr>
          <w:rFonts w:ascii="Times New Roman" w:hAnsi="Times New Roman" w:cs="Times New Roman"/>
          <w:sz w:val="32"/>
        </w:rPr>
        <w:t>（4）负责处理应急指挥部日常事务，办理应急指挥部交办的其他事项。</w:t>
      </w:r>
    </w:p>
    <w:p w14:paraId="57D8BA68">
      <w:pPr>
        <w:ind w:firstLine="632"/>
        <w:rPr>
          <w:rFonts w:ascii="Times New Roman" w:hAnsi="Times New Roman" w:cs="Times New Roman"/>
          <w:sz w:val="32"/>
        </w:rPr>
      </w:pPr>
      <w:r>
        <w:rPr>
          <w:rFonts w:ascii="Times New Roman" w:hAnsi="Times New Roman" w:cs="Times New Roman"/>
          <w:sz w:val="32"/>
        </w:rPr>
        <w:t>（5）办理应急状态终止后决定的有关事宜。</w:t>
      </w:r>
    </w:p>
    <w:p w14:paraId="4AE67A97">
      <w:pPr>
        <w:ind w:firstLine="632"/>
        <w:rPr>
          <w:rFonts w:ascii="Times New Roman" w:hAnsi="Times New Roman" w:cs="Times New Roman"/>
          <w:sz w:val="32"/>
        </w:rPr>
      </w:pPr>
      <w:r>
        <w:rPr>
          <w:rFonts w:ascii="Times New Roman" w:hAnsi="Times New Roman" w:cs="Times New Roman"/>
          <w:sz w:val="32"/>
        </w:rPr>
        <w:t>（6）对县应急指挥部成员单位履行预案中的职责进行督促、检查和协调。</w:t>
      </w:r>
    </w:p>
    <w:p w14:paraId="518E0C18">
      <w:pPr>
        <w:pStyle w:val="4"/>
        <w:numPr>
          <w:ilvl w:val="2"/>
          <w:numId w:val="146"/>
        </w:numPr>
        <w:tabs>
          <w:tab w:val="left" w:pos="0"/>
        </w:tabs>
        <w:ind w:firstLine="0" w:firstLineChars="0"/>
        <w:rPr>
          <w:rFonts w:ascii="Times New Roman" w:hAnsi="Times New Roman" w:cs="Times New Roman"/>
          <w:sz w:val="32"/>
        </w:rPr>
      </w:pPr>
      <w:r>
        <w:rPr>
          <w:rFonts w:ascii="Times New Roman" w:hAnsi="Times New Roman" w:cs="Times New Roman"/>
          <w:sz w:val="32"/>
        </w:rPr>
        <w:t>主要成员单位职责</w:t>
      </w:r>
    </w:p>
    <w:p w14:paraId="4E56798B">
      <w:pPr>
        <w:spacing w:line="560" w:lineRule="exact"/>
        <w:ind w:firstLine="634"/>
        <w:rPr>
          <w:rFonts w:ascii="Times New Roman" w:hAnsi="Times New Roman" w:cs="Times New Roman"/>
          <w:b/>
          <w:bCs/>
          <w:sz w:val="32"/>
          <w:szCs w:val="36"/>
        </w:rPr>
      </w:pPr>
      <w:r>
        <w:rPr>
          <w:rFonts w:ascii="Times New Roman" w:hAnsi="Times New Roman" w:cs="Times New Roman"/>
          <w:b/>
          <w:bCs/>
          <w:sz w:val="32"/>
          <w:szCs w:val="36"/>
        </w:rPr>
        <w:t>县委宣传部：</w:t>
      </w:r>
      <w:r>
        <w:rPr>
          <w:rFonts w:ascii="Times New Roman" w:hAnsi="Times New Roman" w:cs="Times New Roman"/>
          <w:sz w:val="32"/>
          <w:szCs w:val="36"/>
        </w:rPr>
        <w:t>负责指导、协调道路交通事故应急处置工作的宣传报道、新闻发布和舆论引导等工作。</w:t>
      </w:r>
    </w:p>
    <w:p w14:paraId="0EB6A561">
      <w:pPr>
        <w:spacing w:line="560" w:lineRule="exact"/>
        <w:ind w:firstLine="634"/>
        <w:rPr>
          <w:rFonts w:ascii="Times New Roman" w:hAnsi="Times New Roman" w:cs="Times New Roman"/>
          <w:sz w:val="32"/>
          <w:szCs w:val="36"/>
        </w:rPr>
      </w:pPr>
      <w:r>
        <w:rPr>
          <w:rFonts w:ascii="Times New Roman" w:hAnsi="Times New Roman" w:cs="Times New Roman"/>
          <w:b/>
          <w:bCs/>
          <w:sz w:val="32"/>
          <w:szCs w:val="36"/>
        </w:rPr>
        <w:t>县公安局：</w:t>
      </w:r>
      <w:r>
        <w:rPr>
          <w:rFonts w:ascii="Times New Roman" w:hAnsi="Times New Roman" w:cs="Times New Roman"/>
          <w:sz w:val="32"/>
          <w:szCs w:val="36"/>
        </w:rPr>
        <w:t>负责组织、指导道路交通事故现场警戒、道路交通管制等工作；组织、协调道路交通事故的调查处置工作；参加事故抢险和人员搜救等工作。县公安局交警大队承担指挥部办公室工作。</w:t>
      </w:r>
    </w:p>
    <w:p w14:paraId="6A13E0C7">
      <w:pPr>
        <w:spacing w:line="560" w:lineRule="exact"/>
        <w:ind w:firstLine="634"/>
        <w:rPr>
          <w:rFonts w:ascii="Times New Roman" w:hAnsi="Times New Roman" w:cs="Times New Roman"/>
          <w:sz w:val="32"/>
          <w:szCs w:val="36"/>
        </w:rPr>
      </w:pPr>
      <w:r>
        <w:rPr>
          <w:rFonts w:ascii="Times New Roman" w:hAnsi="Times New Roman" w:cs="Times New Roman"/>
          <w:b/>
          <w:bCs/>
          <w:sz w:val="32"/>
          <w:szCs w:val="36"/>
        </w:rPr>
        <w:t>县应急管理局：</w:t>
      </w:r>
      <w:r>
        <w:rPr>
          <w:rFonts w:ascii="Times New Roman" w:hAnsi="Times New Roman" w:cs="Times New Roman"/>
          <w:sz w:val="32"/>
          <w:szCs w:val="36"/>
        </w:rPr>
        <w:t>负责组织指导协调应急救援和火灾扑救工作；协调指导危险化学品运输泄漏事故的应急处置，并参与调查处理。</w:t>
      </w:r>
    </w:p>
    <w:p w14:paraId="6C1251BB">
      <w:pPr>
        <w:spacing w:line="560" w:lineRule="exact"/>
        <w:ind w:firstLine="634"/>
        <w:rPr>
          <w:rFonts w:ascii="Times New Roman" w:hAnsi="Times New Roman" w:cs="Times New Roman"/>
          <w:sz w:val="32"/>
          <w:szCs w:val="36"/>
        </w:rPr>
      </w:pPr>
      <w:r>
        <w:rPr>
          <w:rFonts w:ascii="Times New Roman" w:hAnsi="Times New Roman" w:cs="Times New Roman"/>
          <w:b/>
          <w:bCs/>
          <w:sz w:val="32"/>
          <w:szCs w:val="36"/>
        </w:rPr>
        <w:t>县卫生健康局：</w:t>
      </w:r>
      <w:r>
        <w:rPr>
          <w:rFonts w:ascii="Times New Roman" w:hAnsi="Times New Roman" w:cs="Times New Roman"/>
          <w:sz w:val="32"/>
          <w:szCs w:val="36"/>
        </w:rPr>
        <w:t>负责组织协调卫生部门开展相关伤病员救治等紧急医学救援和医疗卫生保障工作。</w:t>
      </w:r>
    </w:p>
    <w:p w14:paraId="07CDD950">
      <w:pPr>
        <w:spacing w:line="560" w:lineRule="exact"/>
        <w:ind w:firstLine="634"/>
        <w:rPr>
          <w:rFonts w:ascii="Times New Roman" w:hAnsi="Times New Roman" w:cs="Times New Roman"/>
          <w:sz w:val="32"/>
          <w:szCs w:val="36"/>
        </w:rPr>
      </w:pPr>
      <w:r>
        <w:rPr>
          <w:rFonts w:ascii="Times New Roman" w:hAnsi="Times New Roman" w:cs="Times New Roman"/>
          <w:b/>
          <w:bCs/>
          <w:sz w:val="32"/>
          <w:szCs w:val="36"/>
        </w:rPr>
        <w:t>县交通运输局：</w:t>
      </w:r>
      <w:r>
        <w:rPr>
          <w:rFonts w:ascii="Times New Roman" w:hAnsi="Times New Roman" w:cs="Times New Roman"/>
          <w:sz w:val="32"/>
          <w:szCs w:val="36"/>
        </w:rPr>
        <w:t>负责组织、协调公路抢修及保通工作；配合公安交警部门做好事发地公路现场清理及本县内营运客货车辆、事故善后处置等工作；配合做好紧急物资和抢险救援人员的运输工作；指导运输企业合理调整紧急状态下的客、货运输。</w:t>
      </w:r>
    </w:p>
    <w:p w14:paraId="08A4FEA5">
      <w:pPr>
        <w:spacing w:line="560" w:lineRule="exact"/>
        <w:ind w:firstLine="634"/>
        <w:rPr>
          <w:rFonts w:ascii="Times New Roman" w:hAnsi="Times New Roman" w:cs="Times New Roman"/>
          <w:sz w:val="32"/>
          <w:szCs w:val="36"/>
        </w:rPr>
      </w:pPr>
      <w:r>
        <w:rPr>
          <w:rFonts w:ascii="Times New Roman" w:hAnsi="Times New Roman" w:cs="Times New Roman"/>
          <w:b/>
          <w:bCs/>
          <w:sz w:val="32"/>
          <w:szCs w:val="36"/>
        </w:rPr>
        <w:t>双鸭山市集贤生态环境局：</w:t>
      </w:r>
      <w:r>
        <w:rPr>
          <w:rFonts w:ascii="Times New Roman" w:hAnsi="Times New Roman" w:cs="Times New Roman"/>
          <w:sz w:val="32"/>
          <w:szCs w:val="36"/>
        </w:rPr>
        <w:t>负责道路交通事故次生环境事件的环境应急监测工作；并指导、协助提出控制、消除环境污染的应急处置建议。</w:t>
      </w:r>
    </w:p>
    <w:p w14:paraId="07935D6B">
      <w:pPr>
        <w:spacing w:line="560" w:lineRule="exact"/>
        <w:ind w:firstLine="634"/>
        <w:rPr>
          <w:rFonts w:ascii="Times New Roman" w:hAnsi="Times New Roman" w:cs="Times New Roman"/>
          <w:sz w:val="32"/>
          <w:szCs w:val="36"/>
        </w:rPr>
      </w:pPr>
      <w:r>
        <w:rPr>
          <w:rFonts w:ascii="Times New Roman" w:hAnsi="Times New Roman" w:cs="Times New Roman"/>
          <w:b/>
          <w:bCs/>
          <w:sz w:val="32"/>
          <w:szCs w:val="36"/>
        </w:rPr>
        <w:t>县民政局：</w:t>
      </w:r>
      <w:r>
        <w:rPr>
          <w:rFonts w:ascii="Times New Roman" w:hAnsi="Times New Roman" w:cs="Times New Roman"/>
          <w:sz w:val="32"/>
          <w:szCs w:val="36"/>
        </w:rPr>
        <w:t>负责妥善做好遇难人员遗体运送、存放、处置及协助有关部门做好受困、遇阻人员的临时基本生活救助等工作。</w:t>
      </w:r>
    </w:p>
    <w:p w14:paraId="23EBFBF0">
      <w:pPr>
        <w:spacing w:line="560" w:lineRule="exact"/>
        <w:ind w:firstLine="634"/>
        <w:rPr>
          <w:rFonts w:ascii="Times New Roman" w:hAnsi="Times New Roman" w:cs="Times New Roman"/>
          <w:sz w:val="32"/>
          <w:szCs w:val="36"/>
        </w:rPr>
      </w:pPr>
      <w:r>
        <w:rPr>
          <w:rFonts w:ascii="Times New Roman" w:hAnsi="Times New Roman" w:cs="Times New Roman"/>
          <w:b/>
          <w:bCs/>
          <w:sz w:val="32"/>
          <w:szCs w:val="36"/>
        </w:rPr>
        <w:t>县消防救援大队：</w:t>
      </w:r>
      <w:r>
        <w:rPr>
          <w:rFonts w:ascii="Times New Roman" w:hAnsi="Times New Roman" w:cs="Times New Roman"/>
          <w:sz w:val="32"/>
          <w:szCs w:val="36"/>
        </w:rPr>
        <w:t>负责应急抢险救援、开展现场火灾扑救，降低事故发生燃烧或引发爆炸的可能性；开展以抢救人员生命、解救被困人员为主的应急救援工作；对伴随有危险化学品泄漏、燃烧或爆炸等事故，按照化学灾害事故处置程序开展抢险救援行动。</w:t>
      </w:r>
    </w:p>
    <w:p w14:paraId="653D45B7">
      <w:pPr>
        <w:spacing w:line="560" w:lineRule="exact"/>
        <w:ind w:firstLine="634"/>
        <w:rPr>
          <w:rFonts w:ascii="Times New Roman" w:hAnsi="Times New Roman" w:cs="Times New Roman"/>
          <w:sz w:val="32"/>
          <w:szCs w:val="36"/>
        </w:rPr>
      </w:pPr>
      <w:r>
        <w:rPr>
          <w:rFonts w:ascii="Times New Roman" w:hAnsi="Times New Roman" w:cs="Times New Roman"/>
          <w:b/>
          <w:bCs/>
          <w:sz w:val="32"/>
          <w:szCs w:val="36"/>
        </w:rPr>
        <w:t>福利屯火车站：</w:t>
      </w:r>
      <w:r>
        <w:rPr>
          <w:rFonts w:ascii="Times New Roman" w:hAnsi="Times New Roman" w:cs="Times New Roman"/>
          <w:sz w:val="32"/>
          <w:szCs w:val="36"/>
        </w:rPr>
        <w:t>负责铁路交通事故的现场处置、组织救援、维护现场秩序、组织疏散现场人员和采取必要的防护措施，现场勘查、事故原因调查和及时向县政府报告情况。保证应急交通运输的优先安排、优先调度、优先放行。</w:t>
      </w:r>
    </w:p>
    <w:p w14:paraId="18A764CA">
      <w:pPr>
        <w:spacing w:line="560" w:lineRule="exact"/>
        <w:ind w:firstLine="634"/>
        <w:rPr>
          <w:rFonts w:ascii="Times New Roman" w:hAnsi="Times New Roman" w:cs="Times New Roman"/>
          <w:sz w:val="32"/>
          <w:szCs w:val="36"/>
        </w:rPr>
      </w:pPr>
      <w:r>
        <w:rPr>
          <w:rFonts w:ascii="Times New Roman" w:hAnsi="Times New Roman" w:cs="Times New Roman"/>
          <w:b/>
          <w:bCs/>
          <w:sz w:val="32"/>
          <w:szCs w:val="36"/>
        </w:rPr>
        <w:t>县武警中队：</w:t>
      </w:r>
      <w:r>
        <w:rPr>
          <w:rFonts w:ascii="Times New Roman" w:hAnsi="Times New Roman" w:cs="Times New Roman"/>
          <w:sz w:val="32"/>
          <w:szCs w:val="36"/>
        </w:rPr>
        <w:t>根据县交通事故应急指挥部要求，负责特殊状态下的现场治安维护和处置救援等工作。</w:t>
      </w:r>
    </w:p>
    <w:p w14:paraId="219D24AF">
      <w:pPr>
        <w:spacing w:line="560" w:lineRule="exact"/>
        <w:ind w:firstLine="634"/>
        <w:rPr>
          <w:rFonts w:ascii="Times New Roman" w:hAnsi="Times New Roman" w:cs="Times New Roman"/>
          <w:sz w:val="32"/>
          <w:szCs w:val="36"/>
        </w:rPr>
      </w:pPr>
      <w:r>
        <w:rPr>
          <w:rFonts w:ascii="Times New Roman" w:hAnsi="Times New Roman" w:cs="Times New Roman"/>
          <w:b/>
          <w:bCs/>
          <w:sz w:val="32"/>
          <w:szCs w:val="36"/>
        </w:rPr>
        <w:t>中国电信、移动、联通集贤分公司：</w:t>
      </w:r>
      <w:r>
        <w:rPr>
          <w:rFonts w:ascii="Times New Roman" w:hAnsi="Times New Roman" w:cs="Times New Roman"/>
          <w:sz w:val="32"/>
          <w:szCs w:val="36"/>
        </w:rPr>
        <w:t>负责组织协调道路交通事故应急通信保障工作。</w:t>
      </w:r>
    </w:p>
    <w:p w14:paraId="15BA77E3">
      <w:pPr>
        <w:spacing w:line="560" w:lineRule="exact"/>
        <w:ind w:firstLine="634"/>
        <w:rPr>
          <w:rFonts w:ascii="Times New Roman" w:hAnsi="Times New Roman" w:cs="Times New Roman"/>
          <w:sz w:val="32"/>
          <w:szCs w:val="36"/>
        </w:rPr>
      </w:pPr>
      <w:r>
        <w:rPr>
          <w:rFonts w:ascii="Times New Roman" w:hAnsi="Times New Roman" w:cs="Times New Roman"/>
          <w:b/>
          <w:bCs/>
          <w:sz w:val="32"/>
          <w:szCs w:val="36"/>
        </w:rPr>
        <w:t>事发地乡镇人民政府：</w:t>
      </w:r>
      <w:r>
        <w:rPr>
          <w:rFonts w:ascii="Times New Roman" w:hAnsi="Times New Roman" w:cs="Times New Roman"/>
          <w:sz w:val="32"/>
          <w:szCs w:val="36"/>
        </w:rPr>
        <w:t>负责组织先期处置，负责协助指挥部实施现场人员疏散安置、社会救援力量支援、后勤保障等工作。</w:t>
      </w:r>
    </w:p>
    <w:p w14:paraId="1EC96639">
      <w:pPr>
        <w:spacing w:line="560" w:lineRule="exact"/>
        <w:ind w:firstLine="632"/>
        <w:rPr>
          <w:rFonts w:ascii="Times New Roman" w:hAnsi="Times New Roman" w:cs="Times New Roman"/>
          <w:sz w:val="32"/>
        </w:rPr>
      </w:pPr>
      <w:r>
        <w:rPr>
          <w:rFonts w:ascii="Times New Roman" w:hAnsi="Times New Roman" w:cs="Times New Roman"/>
          <w:sz w:val="32"/>
          <w:szCs w:val="36"/>
        </w:rPr>
        <w:t>本预案中未规定道路交通事故应急救援职责的其他成员单位，在应急状态下根据县道路交通安全工作领导小组的协调指挥，在各自职责范围内履行相关职能。</w:t>
      </w:r>
    </w:p>
    <w:p w14:paraId="0C845323">
      <w:pPr>
        <w:pStyle w:val="3"/>
        <w:ind w:firstLine="0" w:firstLineChars="0"/>
        <w:rPr>
          <w:rFonts w:ascii="Times New Roman" w:hAnsi="Times New Roman" w:cs="Times New Roman"/>
          <w:sz w:val="32"/>
        </w:rPr>
      </w:pPr>
      <w:bookmarkStart w:id="683" w:name="_Toc32515"/>
      <w:r>
        <w:rPr>
          <w:rFonts w:ascii="Times New Roman" w:hAnsi="Times New Roman" w:cs="Times New Roman"/>
          <w:sz w:val="32"/>
        </w:rPr>
        <w:t>现场指挥机构组成与职责</w:t>
      </w:r>
      <w:bookmarkEnd w:id="683"/>
    </w:p>
    <w:p w14:paraId="3488D0EC">
      <w:pPr>
        <w:ind w:firstLine="632"/>
        <w:rPr>
          <w:rFonts w:ascii="Times New Roman" w:hAnsi="Times New Roman" w:cs="Times New Roman"/>
          <w:sz w:val="32"/>
        </w:rPr>
      </w:pPr>
      <w:r>
        <w:rPr>
          <w:rFonts w:ascii="Times New Roman" w:hAnsi="Times New Roman" w:cs="Times New Roman"/>
          <w:sz w:val="32"/>
        </w:rPr>
        <w:t>现场指挥机构由县交通事故应急指挥部，根据应急响应级别和职责，成立以事发地乡镇人民政府、指挥部成员单位、应急专家参加的现场救援指挥部，指挥现场救援等相关工作。现场救援指挥部总指挥由县交通事故应急指挥部总指挥或其指定负责人担任，设立相关应急工作组，组织做好抢险救援、医疗救助、人员疏散、现场警戒、交通管制、善后安抚、新闻发布等各项工作。各应急工作组组长由现场指挥部总指挥任命。</w:t>
      </w:r>
    </w:p>
    <w:p w14:paraId="29E94F4F">
      <w:pPr>
        <w:pStyle w:val="4"/>
        <w:numPr>
          <w:ilvl w:val="2"/>
          <w:numId w:val="146"/>
        </w:numPr>
        <w:tabs>
          <w:tab w:val="left" w:pos="0"/>
        </w:tabs>
        <w:ind w:firstLine="0" w:firstLineChars="0"/>
        <w:rPr>
          <w:rFonts w:ascii="Times New Roman" w:hAnsi="Times New Roman" w:cs="Times New Roman"/>
          <w:sz w:val="32"/>
        </w:rPr>
      </w:pPr>
      <w:r>
        <w:rPr>
          <w:rFonts w:ascii="Times New Roman" w:hAnsi="Times New Roman" w:cs="Times New Roman"/>
          <w:sz w:val="32"/>
        </w:rPr>
        <w:t>现场指挥部总指挥职责</w:t>
      </w:r>
    </w:p>
    <w:p w14:paraId="4E8CA454">
      <w:pPr>
        <w:ind w:firstLine="632"/>
        <w:rPr>
          <w:rFonts w:ascii="Times New Roman" w:hAnsi="Times New Roman" w:cs="Times New Roman"/>
          <w:sz w:val="32"/>
        </w:rPr>
      </w:pPr>
      <w:r>
        <w:rPr>
          <w:rFonts w:ascii="Times New Roman" w:hAnsi="Times New Roman" w:cs="Times New Roman"/>
          <w:sz w:val="32"/>
        </w:rPr>
        <w:t>全面负责指挥道路交通事故现场应急救援工作，对现场应急救援工作中的重大事项作出决策。</w:t>
      </w:r>
    </w:p>
    <w:p w14:paraId="1B36F6E5">
      <w:pPr>
        <w:pStyle w:val="4"/>
        <w:numPr>
          <w:ilvl w:val="2"/>
          <w:numId w:val="146"/>
        </w:numPr>
        <w:tabs>
          <w:tab w:val="left" w:pos="0"/>
        </w:tabs>
        <w:ind w:firstLine="0" w:firstLineChars="0"/>
        <w:rPr>
          <w:rFonts w:ascii="Times New Roman" w:hAnsi="Times New Roman" w:cs="Times New Roman"/>
          <w:sz w:val="32"/>
        </w:rPr>
      </w:pPr>
      <w:r>
        <w:rPr>
          <w:rFonts w:ascii="Times New Roman" w:hAnsi="Times New Roman" w:cs="Times New Roman"/>
          <w:sz w:val="32"/>
        </w:rPr>
        <w:t>应急工作组职责</w:t>
      </w:r>
    </w:p>
    <w:p w14:paraId="470B3505">
      <w:pPr>
        <w:ind w:firstLine="632"/>
        <w:rPr>
          <w:rFonts w:ascii="Times New Roman" w:hAnsi="Times New Roman" w:cs="Times New Roman"/>
          <w:sz w:val="32"/>
        </w:rPr>
      </w:pPr>
      <w:r>
        <w:rPr>
          <w:rFonts w:ascii="Times New Roman" w:hAnsi="Times New Roman" w:cs="Times New Roman"/>
          <w:sz w:val="32"/>
        </w:rPr>
        <w:t>（1）综合协调组：由县公安局牵头，成员包括县应急管理局、县交通运输局（事故涉及道路运输车辆时）和事发地乡镇人民政府等单位。负责组织、协调相关单位开展现场应急处置工作，对现场应急资源、力量进行统一调配，做好现场信息搜集报告工作。</w:t>
      </w:r>
    </w:p>
    <w:p w14:paraId="0B6BA9F5">
      <w:pPr>
        <w:ind w:firstLine="632"/>
        <w:rPr>
          <w:rFonts w:ascii="Times New Roman" w:hAnsi="Times New Roman" w:cs="Times New Roman"/>
          <w:sz w:val="32"/>
        </w:rPr>
      </w:pPr>
      <w:r>
        <w:rPr>
          <w:rFonts w:ascii="Times New Roman" w:hAnsi="Times New Roman" w:cs="Times New Roman"/>
          <w:sz w:val="32"/>
        </w:rPr>
        <w:t>（2）抢险救援组：由县应急管理局牵头，成员包括县公安局、县交通运输局、县消防救援大队、事发地乡镇人民政府等单位。负责伤员抢救、险情控制、污染防治、现场清理、毁损公路设施抢修等工作，必要时可以征调有关单位的抢险救援力量和物资、设备勘查事故现场，调查收集有关证据、资料。</w:t>
      </w:r>
    </w:p>
    <w:p w14:paraId="3E6D8A5A">
      <w:pPr>
        <w:ind w:firstLine="632"/>
        <w:rPr>
          <w:rFonts w:ascii="Times New Roman" w:hAnsi="Times New Roman" w:cs="Times New Roman"/>
          <w:sz w:val="32"/>
        </w:rPr>
      </w:pPr>
      <w:r>
        <w:rPr>
          <w:rFonts w:ascii="Times New Roman" w:hAnsi="Times New Roman" w:cs="Times New Roman"/>
          <w:sz w:val="32"/>
        </w:rPr>
        <w:t>（3）医疗救助组：由县卫生健康局牵头，成员包括事发地相关急救机构及接诊医院等单位。负责组织医疗力量开展伤员救治和心理抚慰工作，及时将伤员转运到指定医院；统计伤亡人员情况；协调落实医疗救治措施等。</w:t>
      </w:r>
    </w:p>
    <w:p w14:paraId="739797CF">
      <w:pPr>
        <w:ind w:firstLine="632"/>
        <w:rPr>
          <w:rFonts w:ascii="Times New Roman" w:hAnsi="Times New Roman" w:cs="Times New Roman"/>
          <w:sz w:val="32"/>
        </w:rPr>
      </w:pPr>
      <w:r>
        <w:rPr>
          <w:rFonts w:ascii="Times New Roman" w:hAnsi="Times New Roman" w:cs="Times New Roman"/>
          <w:sz w:val="32"/>
        </w:rPr>
        <w:t>（4）事故调查组：由县公安局牵头，成员包括县应急管理局、事发地交警辖区中队等单位。负责事故现场勘查、调查取证、查明事故原因、控制肇事嫌疑人等工作。</w:t>
      </w:r>
    </w:p>
    <w:p w14:paraId="62204B80">
      <w:pPr>
        <w:spacing w:line="560" w:lineRule="exact"/>
        <w:ind w:firstLine="632"/>
        <w:rPr>
          <w:rFonts w:ascii="Times New Roman" w:hAnsi="Times New Roman" w:cs="Times New Roman"/>
          <w:sz w:val="32"/>
          <w:szCs w:val="36"/>
        </w:rPr>
      </w:pPr>
      <w:r>
        <w:rPr>
          <w:rFonts w:ascii="Times New Roman" w:hAnsi="Times New Roman" w:cs="Times New Roman"/>
          <w:sz w:val="32"/>
          <w:szCs w:val="36"/>
        </w:rPr>
        <w:t>（5）治安警戒组：由县公安局牵头，成员包括事发地交警辖区中队、事发地乡镇派出所等单位。负责现场及周边交通管制、疏导，禁止无关人员和车辆进入警戒区域，并在现场及周边区域进行治安巡逻；保障各应急处置单位赶赴现场绿色通道。</w:t>
      </w:r>
    </w:p>
    <w:p w14:paraId="52256D88">
      <w:pPr>
        <w:ind w:firstLine="632"/>
        <w:rPr>
          <w:rFonts w:ascii="Times New Roman" w:hAnsi="Times New Roman" w:cs="Times New Roman"/>
          <w:sz w:val="32"/>
        </w:rPr>
      </w:pPr>
      <w:r>
        <w:rPr>
          <w:rFonts w:ascii="Times New Roman" w:hAnsi="Times New Roman" w:cs="Times New Roman"/>
          <w:sz w:val="32"/>
        </w:rPr>
        <w:t>（6）后勤保障组：由事发地乡镇人民政府牵头，成员包括县应急管理局、县民政局、县发展和改革局等单位。负责现场群众疏散，车辆、物资清障、转移等工作，并为救援抢险人员提供后勤保障，协调、指导转移群众和实施灾害生活救助。</w:t>
      </w:r>
    </w:p>
    <w:p w14:paraId="52FC1C61">
      <w:pPr>
        <w:ind w:firstLine="632"/>
        <w:rPr>
          <w:rFonts w:ascii="Times New Roman" w:hAnsi="Times New Roman" w:cs="Times New Roman"/>
          <w:sz w:val="32"/>
        </w:rPr>
      </w:pPr>
      <w:r>
        <w:rPr>
          <w:rFonts w:ascii="Times New Roman" w:hAnsi="Times New Roman" w:cs="Times New Roman"/>
          <w:sz w:val="32"/>
        </w:rPr>
        <w:t>（7）善后处置组。由县应急管理局牵头，成员包括县民政局、事发地乡镇人民政府等单位。负责组织开展事故死伤人员亲属的登记接待和安抚疏导、死亡人员遗体处置、受伤人员医疗救治，以及损害赔偿、经济补偿、工伤保险等善后工作。</w:t>
      </w:r>
    </w:p>
    <w:p w14:paraId="0C162AF0">
      <w:pPr>
        <w:ind w:firstLine="632"/>
        <w:rPr>
          <w:rFonts w:ascii="Times New Roman" w:hAnsi="Times New Roman" w:cs="Times New Roman"/>
          <w:sz w:val="32"/>
        </w:rPr>
      </w:pPr>
      <w:r>
        <w:rPr>
          <w:rFonts w:ascii="Times New Roman" w:hAnsi="Times New Roman" w:cs="Times New Roman"/>
          <w:sz w:val="32"/>
        </w:rPr>
        <w:t>（8）信息发布组。由县委宣传部牵头，成员包括县公安局、县应急管理局、县融媒体中心等单位。负责组织发布事件进展、应急工作情况等权威信息；收集分析国内外舆情和社会公众动态，加强媒体和互联网管理，正确引导舆论，及时澄清不实信息，回应社会关切；通过多种方式普及相关知识。</w:t>
      </w:r>
    </w:p>
    <w:p w14:paraId="2FF9FC43">
      <w:pPr>
        <w:pStyle w:val="4"/>
        <w:numPr>
          <w:ilvl w:val="2"/>
          <w:numId w:val="146"/>
        </w:numPr>
        <w:tabs>
          <w:tab w:val="left" w:pos="0"/>
        </w:tabs>
        <w:ind w:firstLine="0" w:firstLineChars="0"/>
        <w:rPr>
          <w:rFonts w:ascii="Times New Roman" w:hAnsi="Times New Roman" w:cs="Times New Roman"/>
          <w:sz w:val="32"/>
        </w:rPr>
      </w:pPr>
      <w:r>
        <w:rPr>
          <w:rFonts w:ascii="Times New Roman" w:hAnsi="Times New Roman" w:cs="Times New Roman"/>
          <w:sz w:val="32"/>
        </w:rPr>
        <w:t>应急救援专家组</w:t>
      </w:r>
    </w:p>
    <w:p w14:paraId="7E69B1D3">
      <w:pPr>
        <w:ind w:firstLine="632"/>
        <w:rPr>
          <w:rFonts w:ascii="Times New Roman" w:hAnsi="Times New Roman" w:cs="Times New Roman"/>
          <w:sz w:val="32"/>
        </w:rPr>
      </w:pPr>
      <w:r>
        <w:rPr>
          <w:rFonts w:ascii="Times New Roman" w:hAnsi="Times New Roman" w:cs="Times New Roman"/>
          <w:sz w:val="32"/>
        </w:rPr>
        <w:t>由县交通事故应急指挥部根据事故类别和部门应急救援职责，牵头成立道路交通事故应急救援专家组，负责为道路交通事故应急处置措施等提供意见和建议，并根据工作需要，参与、指导应急处置工作。</w:t>
      </w:r>
    </w:p>
    <w:p w14:paraId="0E807D47">
      <w:pPr>
        <w:pStyle w:val="3"/>
        <w:ind w:firstLine="0" w:firstLineChars="0"/>
        <w:rPr>
          <w:rFonts w:ascii="Times New Roman" w:hAnsi="Times New Roman" w:cs="Times New Roman"/>
          <w:sz w:val="32"/>
        </w:rPr>
      </w:pPr>
      <w:bookmarkStart w:id="684" w:name="_Toc423"/>
      <w:r>
        <w:rPr>
          <w:rFonts w:ascii="Times New Roman" w:hAnsi="Times New Roman" w:cs="Times New Roman"/>
          <w:sz w:val="32"/>
        </w:rPr>
        <w:t>辖区内交通运输单位应急组织</w:t>
      </w:r>
      <w:bookmarkEnd w:id="684"/>
    </w:p>
    <w:p w14:paraId="60C8C76C">
      <w:pPr>
        <w:ind w:firstLine="632"/>
        <w:rPr>
          <w:rFonts w:ascii="Times New Roman" w:hAnsi="Times New Roman" w:cs="Times New Roman"/>
          <w:sz w:val="32"/>
        </w:rPr>
      </w:pPr>
      <w:r>
        <w:rPr>
          <w:rFonts w:ascii="Times New Roman" w:hAnsi="Times New Roman" w:cs="Times New Roman"/>
          <w:sz w:val="32"/>
        </w:rPr>
        <w:t>交通运输单位是道路交通安全应急管理的责任主体，应落实预防预警措施，健全应急机制，编制应急预案，与所在地政府制定的道路交通事故应急预案相衔接，并定期组织演练，配备应急物资，做好事故应对工作。</w:t>
      </w:r>
    </w:p>
    <w:p w14:paraId="32504AAE">
      <w:pPr>
        <w:pStyle w:val="2"/>
        <w:numPr>
          <w:ilvl w:val="0"/>
          <w:numId w:val="146"/>
        </w:numPr>
        <w:tabs>
          <w:tab w:val="left" w:pos="0"/>
        </w:tabs>
        <w:ind w:firstLine="0" w:firstLineChars="0"/>
        <w:rPr>
          <w:rFonts w:ascii="Times New Roman" w:hAnsi="Times New Roman" w:cs="Times New Roman"/>
          <w:sz w:val="32"/>
        </w:rPr>
      </w:pPr>
      <w:bookmarkStart w:id="685" w:name="_Toc22655"/>
      <w:r>
        <w:rPr>
          <w:rFonts w:ascii="Times New Roman" w:hAnsi="Times New Roman" w:cs="Times New Roman"/>
          <w:sz w:val="32"/>
        </w:rPr>
        <w:t>预防和预警机制</w:t>
      </w:r>
      <w:bookmarkEnd w:id="685"/>
    </w:p>
    <w:p w14:paraId="615137CD">
      <w:pPr>
        <w:pStyle w:val="3"/>
        <w:ind w:firstLine="0" w:firstLineChars="0"/>
        <w:rPr>
          <w:rFonts w:ascii="Times New Roman" w:hAnsi="Times New Roman" w:cs="Times New Roman"/>
          <w:sz w:val="32"/>
        </w:rPr>
      </w:pPr>
      <w:bookmarkStart w:id="686" w:name="_Toc14303"/>
      <w:r>
        <w:rPr>
          <w:rFonts w:ascii="Times New Roman" w:hAnsi="Times New Roman" w:cs="Times New Roman"/>
          <w:sz w:val="32"/>
        </w:rPr>
        <w:t>事故预防</w:t>
      </w:r>
      <w:bookmarkEnd w:id="686"/>
    </w:p>
    <w:p w14:paraId="5D543C0A">
      <w:pPr>
        <w:ind w:firstLine="632"/>
        <w:rPr>
          <w:rFonts w:ascii="Times New Roman" w:hAnsi="Times New Roman" w:cs="Times New Roman"/>
          <w:sz w:val="32"/>
        </w:rPr>
      </w:pPr>
      <w:r>
        <w:rPr>
          <w:rFonts w:ascii="Times New Roman" w:hAnsi="Times New Roman" w:cs="Times New Roman"/>
          <w:sz w:val="32"/>
        </w:rPr>
        <w:t>各乡镇人民政府、有关部门和道路运输单位应建立完善道路交通安全预警预防机制，加强对基层和有关部门开展道路交通安全工作的督促检查，严格驾驶人培训、考试和车辆检验，加强路面行车秩序管理，加大对道路交通违法的处罚力度，监督道路交通运输企业落实安全生产责任制，采取多种形式深入道路沿线、乡村、企事业单位、学校开展道路交通安全宣传教育，积极做好道路交通事故预防工作，全力遏制道路交通事故的发生。</w:t>
      </w:r>
    </w:p>
    <w:p w14:paraId="601DFB9A">
      <w:pPr>
        <w:pStyle w:val="3"/>
        <w:ind w:firstLine="0" w:firstLineChars="0"/>
        <w:rPr>
          <w:rFonts w:ascii="Times New Roman" w:hAnsi="Times New Roman" w:cs="Times New Roman"/>
          <w:sz w:val="32"/>
        </w:rPr>
      </w:pPr>
      <w:bookmarkStart w:id="687" w:name="_Toc11635"/>
      <w:r>
        <w:rPr>
          <w:rFonts w:ascii="Times New Roman" w:hAnsi="Times New Roman" w:cs="Times New Roman"/>
          <w:sz w:val="32"/>
        </w:rPr>
        <w:t>预警行动</w:t>
      </w:r>
      <w:bookmarkEnd w:id="687"/>
    </w:p>
    <w:p w14:paraId="6B27D275">
      <w:pPr>
        <w:ind w:firstLine="632"/>
        <w:rPr>
          <w:rFonts w:ascii="Times New Roman" w:hAnsi="Times New Roman" w:cs="Times New Roman"/>
          <w:sz w:val="32"/>
        </w:rPr>
      </w:pPr>
      <w:r>
        <w:rPr>
          <w:rFonts w:ascii="Times New Roman" w:hAnsi="Times New Roman" w:cs="Times New Roman"/>
          <w:sz w:val="32"/>
        </w:rPr>
        <w:t>道路交通事故应急指挥机构接到可能发生道路交通事故的信息后，要确定预警区域、影响范围，及时报告县政府及有关部门。乡镇人民政府及有关部门要根据实际情况，发布道路交通事故预警信息。按照应急预案及时研究应对方案，通知预警区域内各有关单位积极采取有效措施，防止事故发生。</w:t>
      </w:r>
    </w:p>
    <w:p w14:paraId="0E45E181">
      <w:pPr>
        <w:ind w:firstLine="632"/>
        <w:rPr>
          <w:rFonts w:ascii="Times New Roman" w:hAnsi="Times New Roman" w:cs="Times New Roman"/>
          <w:sz w:val="32"/>
        </w:rPr>
      </w:pPr>
      <w:r>
        <w:rPr>
          <w:rFonts w:ascii="Times New Roman" w:hAnsi="Times New Roman" w:cs="Times New Roman"/>
          <w:sz w:val="32"/>
        </w:rPr>
        <w:t>乡镇人民政府及有关部门在接到可能发生道路交通事故的预警信息后，要密切关注事态进展，及时上报县委、县政府和县交通事故应急指挥部。指挥部办公室及相关单位要及时汇总分析事故隐患和预警信息，必要时组织相关部门、专业人员进行会商评估，并根据可能发生事故的严重情况，做好应急准备和预防工作。</w:t>
      </w:r>
    </w:p>
    <w:p w14:paraId="0ED1AA7D">
      <w:pPr>
        <w:pStyle w:val="2"/>
        <w:numPr>
          <w:ilvl w:val="0"/>
          <w:numId w:val="146"/>
        </w:numPr>
        <w:tabs>
          <w:tab w:val="left" w:pos="0"/>
        </w:tabs>
        <w:ind w:firstLine="0" w:firstLineChars="0"/>
        <w:rPr>
          <w:rFonts w:ascii="Times New Roman" w:hAnsi="Times New Roman" w:cs="Times New Roman"/>
          <w:sz w:val="32"/>
        </w:rPr>
      </w:pPr>
      <w:bookmarkStart w:id="688" w:name="_Toc4937"/>
      <w:r>
        <w:rPr>
          <w:rFonts w:ascii="Times New Roman" w:hAnsi="Times New Roman" w:cs="Times New Roman"/>
          <w:sz w:val="32"/>
        </w:rPr>
        <w:t>信息报告和先期处置</w:t>
      </w:r>
      <w:bookmarkEnd w:id="688"/>
    </w:p>
    <w:p w14:paraId="73CDB87D">
      <w:pPr>
        <w:pStyle w:val="3"/>
        <w:ind w:firstLine="0" w:firstLineChars="0"/>
        <w:rPr>
          <w:rFonts w:ascii="Times New Roman" w:hAnsi="Times New Roman" w:cs="Times New Roman"/>
          <w:sz w:val="32"/>
        </w:rPr>
      </w:pPr>
      <w:bookmarkStart w:id="689" w:name="_Toc18690"/>
      <w:r>
        <w:rPr>
          <w:rFonts w:ascii="Times New Roman" w:hAnsi="Times New Roman" w:cs="Times New Roman"/>
          <w:sz w:val="32"/>
        </w:rPr>
        <w:t>信息报告</w:t>
      </w:r>
      <w:bookmarkEnd w:id="689"/>
    </w:p>
    <w:p w14:paraId="4EEA7D04">
      <w:pPr>
        <w:ind w:firstLine="632"/>
        <w:rPr>
          <w:rFonts w:ascii="Times New Roman" w:hAnsi="Times New Roman" w:cs="Times New Roman"/>
          <w:sz w:val="32"/>
        </w:rPr>
      </w:pPr>
      <w:r>
        <w:rPr>
          <w:rFonts w:ascii="Times New Roman" w:hAnsi="Times New Roman" w:cs="Times New Roman"/>
          <w:sz w:val="32"/>
        </w:rPr>
        <w:t>道路交通事故相关责任部门应建立信息报告制度，落实信息报告责任，及时、客观、真实地向县委、县政府报告道路交通事故信息，通报可能受影响的地区和部门（单位）。</w:t>
      </w:r>
    </w:p>
    <w:p w14:paraId="25AF5A74">
      <w:pPr>
        <w:ind w:firstLine="632"/>
        <w:rPr>
          <w:rFonts w:ascii="Times New Roman" w:hAnsi="Times New Roman" w:cs="Times New Roman"/>
          <w:sz w:val="32"/>
        </w:rPr>
      </w:pPr>
      <w:r>
        <w:rPr>
          <w:rFonts w:ascii="Times New Roman" w:hAnsi="Times New Roman" w:cs="Times New Roman"/>
          <w:sz w:val="32"/>
        </w:rPr>
        <w:t>发生一般及以上交通事故后，辖区交警辖区中队要第一时间向事发地乡镇人民政府和县交通事故应急指挥部办公室报告事故信息。事发地乡镇人民政府和县交通事故应急指挥部办公室要按照接报即报、随时续报的原则，在接报后30分钟内以电话方式、1小时内以书面形式向县委、县政府值班室及县应急管理局报告事故基本情况。对重大及以上交通事故，已经或者可能引发舆情炒作、造成负面影响的，要第一时间向县委、县政府主要负责同志报告。</w:t>
      </w:r>
    </w:p>
    <w:p w14:paraId="26F2D4F2">
      <w:pPr>
        <w:ind w:firstLine="632"/>
        <w:rPr>
          <w:rFonts w:ascii="Times New Roman" w:hAnsi="Times New Roman" w:cs="Times New Roman"/>
          <w:sz w:val="32"/>
        </w:rPr>
      </w:pPr>
      <w:r>
        <w:rPr>
          <w:rFonts w:ascii="Times New Roman" w:hAnsi="Times New Roman" w:cs="Times New Roman"/>
          <w:sz w:val="32"/>
        </w:rPr>
        <w:t>报告内容一般包括报告单位、报告人姓名、信息来源、事发时间和地点、人员伤亡和失联情况、影响范围和危害程度等信息。书面报告还应在以上内容基础上，进一步完善应急救援情况、已采取的措施、道路基础设施和交通安全设施等损毁情况，并及时续报事故处置动态进展情况。事故信息应当以公安部门意见为主，受伤人数及人员送医、轻伤、重伤情况，由公安机关交通管理部门认定。各单位、部门在现场采编信息时，要相互沟通，</w:t>
      </w:r>
      <w:r>
        <w:rPr>
          <w:rFonts w:hint="eastAsia" w:ascii="Times New Roman" w:hAnsi="Times New Roman" w:cs="Times New Roman"/>
          <w:sz w:val="32"/>
        </w:rPr>
        <w:t>协商</w:t>
      </w:r>
      <w:r>
        <w:rPr>
          <w:rFonts w:ascii="Times New Roman" w:hAnsi="Times New Roman" w:cs="Times New Roman"/>
          <w:sz w:val="32"/>
        </w:rPr>
        <w:t>，上报信息基本要素必须口径一致、数据一致、表述一致，做到“统一出口、同步上报”。对于县委、县政府要求核实的情况，电话反馈时间不得超过20分钟。县委、县政府领导作出批示、提出要求后，相关乡镇或部门（单位）要及时报告落实情况。</w:t>
      </w:r>
    </w:p>
    <w:p w14:paraId="6F13DD95">
      <w:pPr>
        <w:pStyle w:val="3"/>
        <w:ind w:firstLine="0" w:firstLineChars="0"/>
        <w:rPr>
          <w:rFonts w:ascii="Times New Roman" w:hAnsi="Times New Roman" w:cs="Times New Roman"/>
          <w:sz w:val="32"/>
        </w:rPr>
      </w:pPr>
      <w:bookmarkStart w:id="690" w:name="_Toc344"/>
      <w:r>
        <w:rPr>
          <w:rFonts w:ascii="Times New Roman" w:hAnsi="Times New Roman" w:cs="Times New Roman"/>
          <w:sz w:val="32"/>
        </w:rPr>
        <w:t>先期处置</w:t>
      </w:r>
      <w:bookmarkEnd w:id="690"/>
    </w:p>
    <w:p w14:paraId="0A7676C1">
      <w:pPr>
        <w:ind w:firstLine="632"/>
        <w:rPr>
          <w:rFonts w:ascii="Times New Roman" w:hAnsi="Times New Roman" w:cs="Times New Roman"/>
          <w:sz w:val="32"/>
        </w:rPr>
      </w:pPr>
      <w:r>
        <w:rPr>
          <w:rFonts w:ascii="Times New Roman" w:hAnsi="Times New Roman" w:cs="Times New Roman"/>
          <w:sz w:val="32"/>
        </w:rPr>
        <w:t>发生一般及以上交通事故后，事发地乡镇人民政府和相关部门先期赶赴现场，组织对事故进行先期应急处置，第一时间抢救事故伤员，全力防止事故损失、危害后果扩大，并及时上报事故信息。县公安局交警大队指导事发地辖区交警中队，第一时间规划、设置应急绿色通道，确保各单位应急处置力量迅速赶赴现场。</w:t>
      </w:r>
    </w:p>
    <w:p w14:paraId="32A66ADA">
      <w:pPr>
        <w:pStyle w:val="2"/>
        <w:numPr>
          <w:ilvl w:val="0"/>
          <w:numId w:val="146"/>
        </w:numPr>
        <w:tabs>
          <w:tab w:val="left" w:pos="0"/>
        </w:tabs>
        <w:ind w:firstLine="0" w:firstLineChars="0"/>
        <w:rPr>
          <w:rFonts w:ascii="Times New Roman" w:hAnsi="Times New Roman" w:cs="Times New Roman"/>
          <w:sz w:val="32"/>
        </w:rPr>
      </w:pPr>
      <w:bookmarkStart w:id="691" w:name="_Toc24129"/>
      <w:r>
        <w:rPr>
          <w:rFonts w:ascii="Times New Roman" w:hAnsi="Times New Roman" w:cs="Times New Roman"/>
          <w:sz w:val="32"/>
        </w:rPr>
        <w:t>应急响应</w:t>
      </w:r>
      <w:bookmarkEnd w:id="691"/>
    </w:p>
    <w:p w14:paraId="6C78539F">
      <w:pPr>
        <w:pStyle w:val="3"/>
        <w:ind w:firstLine="0" w:firstLineChars="0"/>
        <w:rPr>
          <w:rFonts w:ascii="Times New Roman" w:hAnsi="Times New Roman" w:cs="Times New Roman"/>
          <w:sz w:val="32"/>
        </w:rPr>
      </w:pPr>
      <w:bookmarkStart w:id="692" w:name="_Toc15990"/>
      <w:r>
        <w:rPr>
          <w:rFonts w:ascii="Times New Roman" w:hAnsi="Times New Roman" w:cs="Times New Roman"/>
          <w:sz w:val="32"/>
        </w:rPr>
        <w:t>响应分级</w:t>
      </w:r>
      <w:bookmarkEnd w:id="692"/>
    </w:p>
    <w:p w14:paraId="6225E828">
      <w:pPr>
        <w:ind w:firstLine="632"/>
        <w:rPr>
          <w:rFonts w:ascii="Times New Roman" w:hAnsi="Times New Roman" w:cs="Times New Roman"/>
          <w:sz w:val="32"/>
        </w:rPr>
      </w:pPr>
      <w:r>
        <w:rPr>
          <w:rFonts w:ascii="Times New Roman" w:hAnsi="Times New Roman" w:cs="Times New Roman"/>
          <w:sz w:val="32"/>
        </w:rPr>
        <w:t>根据道路交通事故达到或可能达到的严重程度，将道路交通事故响应等级划分一级、二级、三级3个级别。</w:t>
      </w:r>
    </w:p>
    <w:p w14:paraId="182E6395">
      <w:pPr>
        <w:pStyle w:val="3"/>
        <w:ind w:firstLine="0" w:firstLineChars="0"/>
        <w:rPr>
          <w:rFonts w:ascii="Times New Roman" w:hAnsi="Times New Roman" w:cs="Times New Roman"/>
          <w:sz w:val="32"/>
        </w:rPr>
      </w:pPr>
      <w:bookmarkStart w:id="693" w:name="_Toc24309"/>
      <w:r>
        <w:rPr>
          <w:rFonts w:ascii="Times New Roman" w:hAnsi="Times New Roman" w:cs="Times New Roman"/>
          <w:sz w:val="32"/>
        </w:rPr>
        <w:t>三级应急响应</w:t>
      </w:r>
      <w:bookmarkEnd w:id="693"/>
    </w:p>
    <w:p w14:paraId="556F3219">
      <w:pPr>
        <w:ind w:firstLine="632"/>
        <w:rPr>
          <w:rFonts w:ascii="Times New Roman" w:hAnsi="Times New Roman" w:cs="Times New Roman"/>
          <w:sz w:val="32"/>
        </w:rPr>
      </w:pPr>
      <w:r>
        <w:rPr>
          <w:rFonts w:ascii="Times New Roman" w:hAnsi="Times New Roman" w:cs="Times New Roman"/>
          <w:sz w:val="32"/>
        </w:rPr>
        <w:t>初判发生一般道路交通事故，由指挥部办公室报请指挥部总指挥同意后启动本预案应急响应，由事发地乡镇人民政府及指挥部成员单位依据本应急预案开展应急处置工作。</w:t>
      </w:r>
    </w:p>
    <w:p w14:paraId="03F88FD5">
      <w:pPr>
        <w:pStyle w:val="4"/>
        <w:numPr>
          <w:ilvl w:val="2"/>
          <w:numId w:val="146"/>
        </w:numPr>
        <w:tabs>
          <w:tab w:val="left" w:pos="0"/>
        </w:tabs>
        <w:ind w:firstLine="0" w:firstLineChars="0"/>
        <w:rPr>
          <w:rFonts w:ascii="Times New Roman" w:hAnsi="Times New Roman" w:cs="Times New Roman"/>
          <w:sz w:val="32"/>
        </w:rPr>
      </w:pPr>
      <w:r>
        <w:rPr>
          <w:rFonts w:ascii="Times New Roman" w:hAnsi="Times New Roman" w:cs="Times New Roman"/>
          <w:sz w:val="32"/>
        </w:rPr>
        <w:t>应急指挥</w:t>
      </w:r>
    </w:p>
    <w:p w14:paraId="33AF718E">
      <w:pPr>
        <w:ind w:firstLine="632"/>
        <w:rPr>
          <w:rFonts w:ascii="Times New Roman" w:hAnsi="Times New Roman" w:cs="Times New Roman"/>
          <w:sz w:val="32"/>
        </w:rPr>
      </w:pPr>
      <w:r>
        <w:rPr>
          <w:rFonts w:ascii="Times New Roman" w:hAnsi="Times New Roman" w:cs="Times New Roman"/>
          <w:sz w:val="32"/>
        </w:rPr>
        <w:t>事故致1人以上3人以下死亡的，由县交通事故应急指挥部副总指挥负责现场指挥处置。</w:t>
      </w:r>
    </w:p>
    <w:p w14:paraId="5E38EA34">
      <w:pPr>
        <w:ind w:firstLine="632"/>
        <w:rPr>
          <w:rFonts w:ascii="Times New Roman" w:hAnsi="Times New Roman" w:cs="Times New Roman"/>
          <w:sz w:val="32"/>
        </w:rPr>
      </w:pPr>
      <w:r>
        <w:rPr>
          <w:rFonts w:ascii="Times New Roman" w:hAnsi="Times New Roman" w:cs="Times New Roman"/>
          <w:sz w:val="32"/>
        </w:rPr>
        <w:t>事故仅造成财产损失或人员受伤，未致人死亡的，由县交通事故应急指挥部办公室主任负责现场协调处置。</w:t>
      </w:r>
    </w:p>
    <w:p w14:paraId="519CB1FF">
      <w:pPr>
        <w:ind w:firstLine="632"/>
        <w:rPr>
          <w:rFonts w:ascii="Times New Roman" w:hAnsi="Times New Roman" w:cs="Times New Roman"/>
          <w:sz w:val="32"/>
        </w:rPr>
      </w:pPr>
      <w:r>
        <w:rPr>
          <w:rFonts w:ascii="Times New Roman" w:hAnsi="Times New Roman" w:cs="Times New Roman"/>
          <w:sz w:val="32"/>
        </w:rPr>
        <w:t>县交通事故应急指挥部视情成立相应现场工作组，并按照职责分工实施应急处置。</w:t>
      </w:r>
    </w:p>
    <w:p w14:paraId="3AA60A5E">
      <w:pPr>
        <w:pStyle w:val="4"/>
        <w:numPr>
          <w:ilvl w:val="2"/>
          <w:numId w:val="146"/>
        </w:numPr>
        <w:tabs>
          <w:tab w:val="left" w:pos="0"/>
        </w:tabs>
        <w:ind w:firstLine="0" w:firstLineChars="0"/>
        <w:rPr>
          <w:rFonts w:ascii="Times New Roman" w:hAnsi="Times New Roman" w:cs="Times New Roman"/>
          <w:sz w:val="32"/>
        </w:rPr>
      </w:pPr>
      <w:r>
        <w:rPr>
          <w:rFonts w:ascii="Times New Roman" w:hAnsi="Times New Roman" w:cs="Times New Roman"/>
          <w:sz w:val="32"/>
        </w:rPr>
        <w:t>处置措施</w:t>
      </w:r>
    </w:p>
    <w:p w14:paraId="3935BF94">
      <w:pPr>
        <w:ind w:firstLine="632"/>
        <w:rPr>
          <w:rFonts w:ascii="Times New Roman" w:hAnsi="Times New Roman" w:cs="Times New Roman"/>
          <w:sz w:val="32"/>
        </w:rPr>
      </w:pPr>
      <w:r>
        <w:rPr>
          <w:rFonts w:ascii="Times New Roman" w:hAnsi="Times New Roman" w:cs="Times New Roman"/>
          <w:sz w:val="32"/>
        </w:rPr>
        <w:t>（1）综合协调组指导、协调、调动事发地乡镇人民政府有关部门和有关专业应急处置力量，统一调配应急物资。</w:t>
      </w:r>
    </w:p>
    <w:p w14:paraId="3406A055">
      <w:pPr>
        <w:ind w:firstLine="632"/>
        <w:rPr>
          <w:rFonts w:ascii="Times New Roman" w:hAnsi="Times New Roman" w:cs="Times New Roman"/>
          <w:sz w:val="32"/>
        </w:rPr>
      </w:pPr>
      <w:r>
        <w:rPr>
          <w:rFonts w:ascii="Times New Roman" w:hAnsi="Times New Roman" w:cs="Times New Roman"/>
          <w:sz w:val="32"/>
        </w:rPr>
        <w:t>（2）治安警戒组做好现场周边道路交通管控、治安巡逻和社会车辆分流疏导工作，减少交通事故对周边道路交通造成的影响。</w:t>
      </w:r>
    </w:p>
    <w:p w14:paraId="786569FF">
      <w:pPr>
        <w:ind w:firstLine="632"/>
        <w:rPr>
          <w:rFonts w:ascii="Times New Roman" w:hAnsi="Times New Roman" w:cs="Times New Roman"/>
          <w:sz w:val="32"/>
        </w:rPr>
      </w:pPr>
      <w:r>
        <w:rPr>
          <w:rFonts w:ascii="Times New Roman" w:hAnsi="Times New Roman" w:cs="Times New Roman"/>
          <w:sz w:val="32"/>
        </w:rPr>
        <w:t>（3）抢险救援组及时控制险情，做好现场安全防护措施，防止次生事故发生。</w:t>
      </w:r>
    </w:p>
    <w:p w14:paraId="467C84A4">
      <w:pPr>
        <w:ind w:firstLine="632"/>
        <w:rPr>
          <w:rFonts w:ascii="Times New Roman" w:hAnsi="Times New Roman" w:cs="Times New Roman"/>
          <w:sz w:val="32"/>
        </w:rPr>
      </w:pPr>
      <w:r>
        <w:rPr>
          <w:rFonts w:ascii="Times New Roman" w:hAnsi="Times New Roman" w:cs="Times New Roman"/>
          <w:sz w:val="32"/>
        </w:rPr>
        <w:t>（4）医疗救护组立即对事故伤者进行抢救，并及时转送医疗机构就医。</w:t>
      </w:r>
    </w:p>
    <w:p w14:paraId="330D3178">
      <w:pPr>
        <w:ind w:firstLine="632"/>
        <w:rPr>
          <w:rFonts w:ascii="Times New Roman" w:hAnsi="Times New Roman" w:cs="Times New Roman"/>
          <w:sz w:val="32"/>
        </w:rPr>
      </w:pPr>
      <w:r>
        <w:rPr>
          <w:rFonts w:ascii="Times New Roman" w:hAnsi="Times New Roman" w:cs="Times New Roman"/>
          <w:sz w:val="32"/>
        </w:rPr>
        <w:t>（5）事故调查组对道路交通事故进行现场勘查处理。</w:t>
      </w:r>
    </w:p>
    <w:p w14:paraId="5E4EBB26">
      <w:pPr>
        <w:ind w:firstLine="632"/>
        <w:rPr>
          <w:rFonts w:ascii="Times New Roman" w:hAnsi="Times New Roman" w:cs="Times New Roman"/>
          <w:sz w:val="32"/>
        </w:rPr>
      </w:pPr>
      <w:r>
        <w:rPr>
          <w:rFonts w:ascii="Times New Roman" w:hAnsi="Times New Roman" w:cs="Times New Roman"/>
          <w:sz w:val="32"/>
        </w:rPr>
        <w:t>（6）善后处置组负责转运、安置事故涉及的未伤亡人员，运送死亡人员尸体，清运事故车辆和货物。</w:t>
      </w:r>
    </w:p>
    <w:p w14:paraId="616E2D36">
      <w:pPr>
        <w:pStyle w:val="3"/>
        <w:ind w:firstLine="0" w:firstLineChars="0"/>
        <w:rPr>
          <w:rFonts w:ascii="Times New Roman" w:hAnsi="Times New Roman" w:cs="Times New Roman"/>
          <w:sz w:val="32"/>
        </w:rPr>
      </w:pPr>
      <w:bookmarkStart w:id="694" w:name="_Toc2129"/>
      <w:r>
        <w:rPr>
          <w:rFonts w:ascii="Times New Roman" w:hAnsi="Times New Roman" w:cs="Times New Roman"/>
          <w:sz w:val="32"/>
        </w:rPr>
        <w:t>二级应急响应</w:t>
      </w:r>
      <w:bookmarkEnd w:id="694"/>
    </w:p>
    <w:p w14:paraId="3B48CB1F">
      <w:pPr>
        <w:ind w:firstLine="632"/>
        <w:rPr>
          <w:rFonts w:ascii="Times New Roman" w:hAnsi="Times New Roman" w:cs="Times New Roman"/>
          <w:sz w:val="32"/>
        </w:rPr>
      </w:pPr>
      <w:r>
        <w:rPr>
          <w:rFonts w:ascii="Times New Roman" w:hAnsi="Times New Roman" w:cs="Times New Roman"/>
          <w:sz w:val="32"/>
        </w:rPr>
        <w:t>初判发生较大道路交通事故，指挥部办公室报请总指挥同意后启动本预案应急响应。</w:t>
      </w:r>
    </w:p>
    <w:p w14:paraId="38832B80">
      <w:pPr>
        <w:pStyle w:val="4"/>
        <w:numPr>
          <w:ilvl w:val="2"/>
          <w:numId w:val="146"/>
        </w:numPr>
        <w:tabs>
          <w:tab w:val="left" w:pos="0"/>
        </w:tabs>
        <w:ind w:firstLine="0" w:firstLineChars="0"/>
        <w:rPr>
          <w:rFonts w:ascii="Times New Roman" w:hAnsi="Times New Roman" w:cs="Times New Roman"/>
          <w:sz w:val="32"/>
        </w:rPr>
      </w:pPr>
      <w:r>
        <w:rPr>
          <w:rFonts w:ascii="Times New Roman" w:hAnsi="Times New Roman" w:cs="Times New Roman"/>
          <w:sz w:val="32"/>
        </w:rPr>
        <w:t>应急指挥</w:t>
      </w:r>
    </w:p>
    <w:p w14:paraId="6A06C2AF">
      <w:pPr>
        <w:ind w:firstLine="632"/>
        <w:rPr>
          <w:rFonts w:ascii="Times New Roman" w:hAnsi="Times New Roman" w:cs="Times New Roman"/>
          <w:sz w:val="32"/>
        </w:rPr>
      </w:pPr>
      <w:r>
        <w:rPr>
          <w:rFonts w:ascii="Times New Roman" w:hAnsi="Times New Roman" w:cs="Times New Roman"/>
          <w:sz w:val="32"/>
        </w:rPr>
        <w:t>事故造成3人以上10人以下死亡的，或造成10人以上50人以下重伤的，由县交通事故应急指挥部总指挥负责组织、指挥应急处置工作，并成立现场工作组按照职责分工实施应急处置。</w:t>
      </w:r>
    </w:p>
    <w:p w14:paraId="6DEC9F74">
      <w:pPr>
        <w:pStyle w:val="4"/>
        <w:numPr>
          <w:ilvl w:val="2"/>
          <w:numId w:val="146"/>
        </w:numPr>
        <w:tabs>
          <w:tab w:val="left" w:pos="0"/>
        </w:tabs>
        <w:ind w:firstLine="0" w:firstLineChars="0"/>
        <w:rPr>
          <w:rFonts w:ascii="Times New Roman" w:hAnsi="Times New Roman" w:cs="Times New Roman"/>
          <w:sz w:val="32"/>
        </w:rPr>
      </w:pPr>
      <w:r>
        <w:rPr>
          <w:rFonts w:ascii="Times New Roman" w:hAnsi="Times New Roman" w:cs="Times New Roman"/>
          <w:sz w:val="32"/>
        </w:rPr>
        <w:t>处置措施</w:t>
      </w:r>
    </w:p>
    <w:p w14:paraId="233B6B5D">
      <w:pPr>
        <w:ind w:firstLine="632"/>
        <w:rPr>
          <w:rFonts w:ascii="Times New Roman" w:hAnsi="Times New Roman" w:cs="Times New Roman"/>
          <w:sz w:val="32"/>
        </w:rPr>
      </w:pPr>
      <w:r>
        <w:rPr>
          <w:rFonts w:ascii="Times New Roman" w:hAnsi="Times New Roman" w:cs="Times New Roman"/>
          <w:sz w:val="32"/>
        </w:rPr>
        <w:t>（1）综合协调组指导、协调、调动县政府有关部门和专业应急救援队伍共同实施应急处置（一般情况下，立即调动治安和交通秩序维护队伍、卫生医疗应急救援队伍赶赴现场；涉及危险化学品运输车辆的交通事故，同步调动危险化学品事故应急救援队伍赶赴现场），统一调配应急物资。</w:t>
      </w:r>
    </w:p>
    <w:p w14:paraId="23F552DC">
      <w:pPr>
        <w:ind w:firstLine="632"/>
        <w:rPr>
          <w:rFonts w:ascii="Times New Roman" w:hAnsi="Times New Roman" w:cs="Times New Roman"/>
          <w:sz w:val="32"/>
        </w:rPr>
      </w:pPr>
      <w:r>
        <w:rPr>
          <w:rFonts w:ascii="Times New Roman" w:hAnsi="Times New Roman" w:cs="Times New Roman"/>
          <w:sz w:val="32"/>
        </w:rPr>
        <w:t>（2）治安警戒组有效控制现场，划定核心封闭区域，禁止无关人员、车辆进入现场，设置现场应急处置车辆停放区域。</w:t>
      </w:r>
    </w:p>
    <w:p w14:paraId="0884DA32">
      <w:pPr>
        <w:ind w:firstLine="632"/>
        <w:rPr>
          <w:rFonts w:ascii="Times New Roman" w:hAnsi="Times New Roman" w:cs="Times New Roman"/>
          <w:sz w:val="32"/>
        </w:rPr>
      </w:pPr>
      <w:r>
        <w:rPr>
          <w:rFonts w:ascii="Times New Roman" w:hAnsi="Times New Roman" w:cs="Times New Roman"/>
          <w:sz w:val="32"/>
        </w:rPr>
        <w:t>（3）抢险救援组及时控制险情，做好现场安全防护措施，防止次生事故发生。</w:t>
      </w:r>
    </w:p>
    <w:p w14:paraId="0042CA67">
      <w:pPr>
        <w:ind w:firstLine="632"/>
        <w:rPr>
          <w:rFonts w:ascii="Times New Roman" w:hAnsi="Times New Roman" w:cs="Times New Roman"/>
          <w:sz w:val="32"/>
        </w:rPr>
      </w:pPr>
      <w:r>
        <w:rPr>
          <w:rFonts w:ascii="Times New Roman" w:hAnsi="Times New Roman" w:cs="Times New Roman"/>
          <w:sz w:val="32"/>
        </w:rPr>
        <w:t>（4）医疗救助组立即对事故伤者进行抢救，并及时转送医疗机构就医。</w:t>
      </w:r>
    </w:p>
    <w:p w14:paraId="560F3D57">
      <w:pPr>
        <w:ind w:firstLine="632"/>
        <w:rPr>
          <w:rFonts w:ascii="Times New Roman" w:hAnsi="Times New Roman" w:cs="Times New Roman"/>
          <w:sz w:val="32"/>
        </w:rPr>
      </w:pPr>
      <w:r>
        <w:rPr>
          <w:rFonts w:ascii="Times New Roman" w:hAnsi="Times New Roman" w:cs="Times New Roman"/>
          <w:sz w:val="32"/>
        </w:rPr>
        <w:t>（5）治安警戒组开辟伤员转运绿色通道，采取警车带道通行、沿途增设警力等措施，保障事故伤员及时送医救治。同时做好现场周边道路交通管控、治安巡逻和社会车辆分流疏导工作，减少交通事故对周边道路交通造成的影响。</w:t>
      </w:r>
    </w:p>
    <w:p w14:paraId="62444D7A">
      <w:pPr>
        <w:ind w:firstLine="632"/>
        <w:rPr>
          <w:rFonts w:ascii="Times New Roman" w:hAnsi="Times New Roman" w:cs="Times New Roman"/>
          <w:sz w:val="32"/>
        </w:rPr>
      </w:pPr>
      <w:r>
        <w:rPr>
          <w:rFonts w:ascii="Times New Roman" w:hAnsi="Times New Roman" w:cs="Times New Roman"/>
          <w:sz w:val="32"/>
        </w:rPr>
        <w:t>（6）事故调查组对道路交通事故进行现场勘查处理。</w:t>
      </w:r>
    </w:p>
    <w:p w14:paraId="1325F35F">
      <w:pPr>
        <w:ind w:firstLine="632"/>
        <w:rPr>
          <w:rFonts w:ascii="Times New Roman" w:hAnsi="Times New Roman" w:cs="Times New Roman"/>
          <w:sz w:val="32"/>
        </w:rPr>
      </w:pPr>
      <w:r>
        <w:rPr>
          <w:rFonts w:ascii="Times New Roman" w:hAnsi="Times New Roman" w:cs="Times New Roman"/>
          <w:sz w:val="32"/>
        </w:rPr>
        <w:t>（7）后勤保障组组织转运、安置事故涉及的未伤亡人员，运送死亡人员尸体，清运事故车辆和货物。</w:t>
      </w:r>
    </w:p>
    <w:p w14:paraId="25A5BE91">
      <w:pPr>
        <w:pStyle w:val="3"/>
        <w:ind w:firstLine="0" w:firstLineChars="0"/>
        <w:rPr>
          <w:rFonts w:ascii="Times New Roman" w:hAnsi="Times New Roman" w:cs="Times New Roman"/>
          <w:sz w:val="32"/>
        </w:rPr>
      </w:pPr>
      <w:bookmarkStart w:id="695" w:name="_Toc16681"/>
      <w:r>
        <w:rPr>
          <w:rFonts w:ascii="Times New Roman" w:hAnsi="Times New Roman" w:cs="Times New Roman"/>
          <w:sz w:val="32"/>
        </w:rPr>
        <w:t>一级应急响应</w:t>
      </w:r>
      <w:bookmarkEnd w:id="695"/>
    </w:p>
    <w:p w14:paraId="4DD22742">
      <w:pPr>
        <w:ind w:firstLine="632"/>
        <w:rPr>
          <w:rFonts w:ascii="Times New Roman" w:hAnsi="Times New Roman" w:cs="Times New Roman"/>
          <w:sz w:val="32"/>
        </w:rPr>
      </w:pPr>
      <w:r>
        <w:rPr>
          <w:rFonts w:ascii="Times New Roman" w:hAnsi="Times New Roman" w:cs="Times New Roman"/>
          <w:sz w:val="32"/>
        </w:rPr>
        <w:t>初判发生特别重大、重大死亡事故，由指挥部总指挥报请县人民政府主要负责同志同意后启动本预案应急响应。</w:t>
      </w:r>
    </w:p>
    <w:p w14:paraId="3B767020">
      <w:pPr>
        <w:pStyle w:val="4"/>
        <w:numPr>
          <w:ilvl w:val="2"/>
          <w:numId w:val="146"/>
        </w:numPr>
        <w:tabs>
          <w:tab w:val="left" w:pos="0"/>
        </w:tabs>
        <w:ind w:firstLine="0" w:firstLineChars="0"/>
        <w:rPr>
          <w:rFonts w:ascii="Times New Roman" w:hAnsi="Times New Roman" w:cs="Times New Roman"/>
          <w:sz w:val="32"/>
        </w:rPr>
      </w:pPr>
      <w:r>
        <w:rPr>
          <w:rFonts w:ascii="Times New Roman" w:hAnsi="Times New Roman" w:cs="Times New Roman"/>
          <w:sz w:val="32"/>
        </w:rPr>
        <w:t>应急指挥</w:t>
      </w:r>
    </w:p>
    <w:p w14:paraId="0C9987DC">
      <w:pPr>
        <w:ind w:firstLine="632"/>
        <w:rPr>
          <w:rFonts w:ascii="Times New Roman" w:hAnsi="Times New Roman" w:cs="Times New Roman"/>
          <w:sz w:val="32"/>
        </w:rPr>
      </w:pPr>
      <w:r>
        <w:rPr>
          <w:rFonts w:ascii="Times New Roman" w:hAnsi="Times New Roman" w:cs="Times New Roman"/>
          <w:sz w:val="32"/>
        </w:rPr>
        <w:t>由县交通事故应急指挥部总指挥在县委、县政府指导下，统一组织、指挥应急处置工作，协调、调度相关应急力量和资源，并成立现场工作组按照职责分工实施应急处置。</w:t>
      </w:r>
    </w:p>
    <w:p w14:paraId="1262F6DE">
      <w:pPr>
        <w:pStyle w:val="4"/>
        <w:numPr>
          <w:ilvl w:val="2"/>
          <w:numId w:val="146"/>
        </w:numPr>
        <w:tabs>
          <w:tab w:val="left" w:pos="0"/>
        </w:tabs>
        <w:ind w:firstLine="0" w:firstLineChars="0"/>
        <w:rPr>
          <w:rFonts w:ascii="Times New Roman" w:hAnsi="Times New Roman" w:cs="Times New Roman"/>
          <w:sz w:val="32"/>
        </w:rPr>
      </w:pPr>
      <w:r>
        <w:rPr>
          <w:rFonts w:ascii="Times New Roman" w:hAnsi="Times New Roman" w:cs="Times New Roman"/>
          <w:sz w:val="32"/>
        </w:rPr>
        <w:t>处置措施</w:t>
      </w:r>
    </w:p>
    <w:p w14:paraId="524BB8BE">
      <w:pPr>
        <w:ind w:firstLine="632"/>
        <w:rPr>
          <w:rFonts w:ascii="Times New Roman" w:hAnsi="Times New Roman" w:cs="Times New Roman"/>
          <w:sz w:val="32"/>
        </w:rPr>
      </w:pPr>
      <w:r>
        <w:rPr>
          <w:rFonts w:ascii="Times New Roman" w:hAnsi="Times New Roman" w:cs="Times New Roman"/>
          <w:sz w:val="32"/>
        </w:rPr>
        <w:t>（1）综合协调组指导、协调、调动县政府有关部门和有关专业应急队伍共同实施应急处置（一般情况下，调动治安和交通秩序维护队伍、卫生医疗应急救援队伍赶赴现场；涉及危险化学品运输车辆的交通事故，同步调动危险化学品事故应急救援队伍赶赴现场；涉及造成道路、桥梁等城市基础设施损坏的交通事故，同步调动公共设施应急抢修队伍赶赴现场；涉及大量人员需转移安置、大量普通货物需转运的交通事故，同步调动道路运输保障队伍赶赴现场），统一调配应急物资。</w:t>
      </w:r>
    </w:p>
    <w:p w14:paraId="0593BA08">
      <w:pPr>
        <w:ind w:firstLine="632"/>
        <w:rPr>
          <w:rFonts w:ascii="Times New Roman" w:hAnsi="Times New Roman" w:cs="Times New Roman"/>
          <w:sz w:val="32"/>
        </w:rPr>
      </w:pPr>
      <w:r>
        <w:rPr>
          <w:rFonts w:ascii="Times New Roman" w:hAnsi="Times New Roman" w:cs="Times New Roman"/>
          <w:sz w:val="32"/>
        </w:rPr>
        <w:t>（2）治安警戒组有效控制现场，划定核心封闭区域，禁止无关人员、车辆进入现场，设置现场应急处置车辆停放区域。</w:t>
      </w:r>
    </w:p>
    <w:p w14:paraId="22D7DB6F">
      <w:pPr>
        <w:ind w:firstLine="632"/>
        <w:rPr>
          <w:rFonts w:ascii="Times New Roman" w:hAnsi="Times New Roman" w:cs="Times New Roman"/>
          <w:sz w:val="32"/>
        </w:rPr>
      </w:pPr>
      <w:r>
        <w:rPr>
          <w:rFonts w:ascii="Times New Roman" w:hAnsi="Times New Roman" w:cs="Times New Roman"/>
          <w:sz w:val="32"/>
        </w:rPr>
        <w:t>（3）抢险救援组及时控制险情，做好现场安全防护措施，防止次生事故发生。</w:t>
      </w:r>
    </w:p>
    <w:p w14:paraId="702296E2">
      <w:pPr>
        <w:ind w:firstLine="632"/>
        <w:rPr>
          <w:rFonts w:ascii="Times New Roman" w:hAnsi="Times New Roman" w:cs="Times New Roman"/>
          <w:sz w:val="32"/>
        </w:rPr>
      </w:pPr>
      <w:r>
        <w:rPr>
          <w:rFonts w:ascii="Times New Roman" w:hAnsi="Times New Roman" w:cs="Times New Roman"/>
          <w:sz w:val="32"/>
        </w:rPr>
        <w:t>（4）医疗救助组立即对事故伤者进行抢救，对被困、落水人员进行救援，并及时转送医疗机构就医。</w:t>
      </w:r>
    </w:p>
    <w:p w14:paraId="08496D70">
      <w:pPr>
        <w:ind w:firstLine="632"/>
        <w:rPr>
          <w:rFonts w:ascii="Times New Roman" w:hAnsi="Times New Roman" w:cs="Times New Roman"/>
          <w:sz w:val="32"/>
        </w:rPr>
      </w:pPr>
      <w:r>
        <w:rPr>
          <w:rFonts w:ascii="Times New Roman" w:hAnsi="Times New Roman" w:cs="Times New Roman"/>
          <w:sz w:val="32"/>
        </w:rPr>
        <w:t>（5）治安警戒组开辟多条伤员转运绿色通道，采取警车带道通行、沿途增设警力等措施，保障事故伤员分批及时送往多家医院救治；同时做好现场周边道路交通管控、治安巡逻和社会车辆分流疏导工作，减少交通事故对周边道路交通造成的影响。</w:t>
      </w:r>
    </w:p>
    <w:p w14:paraId="007A172D">
      <w:pPr>
        <w:ind w:firstLine="632"/>
        <w:rPr>
          <w:rFonts w:ascii="Times New Roman" w:hAnsi="Times New Roman" w:cs="Times New Roman"/>
          <w:sz w:val="32"/>
        </w:rPr>
      </w:pPr>
      <w:r>
        <w:rPr>
          <w:rFonts w:ascii="Times New Roman" w:hAnsi="Times New Roman" w:cs="Times New Roman"/>
          <w:sz w:val="32"/>
        </w:rPr>
        <w:t>（6）应急专家组对应急处置措施、事故勘查处理、现场安全防护等提出意见和建议。</w:t>
      </w:r>
    </w:p>
    <w:p w14:paraId="29747FCE">
      <w:pPr>
        <w:ind w:firstLine="632"/>
        <w:rPr>
          <w:rFonts w:ascii="Times New Roman" w:hAnsi="Times New Roman" w:cs="Times New Roman"/>
          <w:sz w:val="32"/>
        </w:rPr>
      </w:pPr>
      <w:r>
        <w:rPr>
          <w:rFonts w:ascii="Times New Roman" w:hAnsi="Times New Roman" w:cs="Times New Roman"/>
          <w:sz w:val="32"/>
        </w:rPr>
        <w:t>（7）事故调查组对道路交通事故进行现场勘查处理。</w:t>
      </w:r>
    </w:p>
    <w:p w14:paraId="02E87D70">
      <w:pPr>
        <w:ind w:firstLine="632"/>
        <w:rPr>
          <w:rFonts w:ascii="Times New Roman" w:hAnsi="Times New Roman" w:cs="Times New Roman"/>
          <w:sz w:val="32"/>
        </w:rPr>
      </w:pPr>
      <w:r>
        <w:rPr>
          <w:rFonts w:ascii="Times New Roman" w:hAnsi="Times New Roman" w:cs="Times New Roman"/>
          <w:sz w:val="32"/>
        </w:rPr>
        <w:t>（8）后勤保障组组织转运、安置事故涉及的未伤亡人员，清理事故现场，清运事故车辆和货物，运送死亡人员尸体等工作。</w:t>
      </w:r>
    </w:p>
    <w:p w14:paraId="3028C773">
      <w:pPr>
        <w:pStyle w:val="3"/>
        <w:ind w:firstLine="0" w:firstLineChars="0"/>
        <w:rPr>
          <w:rFonts w:ascii="Times New Roman" w:hAnsi="Times New Roman" w:cs="Times New Roman"/>
          <w:sz w:val="32"/>
        </w:rPr>
      </w:pPr>
      <w:bookmarkStart w:id="696" w:name="_Toc14220"/>
      <w:r>
        <w:rPr>
          <w:rFonts w:ascii="Times New Roman" w:hAnsi="Times New Roman" w:cs="Times New Roman"/>
          <w:sz w:val="32"/>
        </w:rPr>
        <w:t>响应调整</w:t>
      </w:r>
      <w:bookmarkEnd w:id="696"/>
    </w:p>
    <w:p w14:paraId="3DE2DF7A">
      <w:pPr>
        <w:ind w:firstLine="632"/>
        <w:rPr>
          <w:rFonts w:ascii="Times New Roman" w:hAnsi="Times New Roman" w:cs="Times New Roman"/>
          <w:sz w:val="32"/>
        </w:rPr>
      </w:pPr>
      <w:r>
        <w:rPr>
          <w:rFonts w:ascii="Times New Roman" w:hAnsi="Times New Roman" w:cs="Times New Roman"/>
          <w:sz w:val="32"/>
        </w:rPr>
        <w:t>当道路交通事故预计已经超出（或未达到）初始判定的事故等级时，指挥部办公室按照相应级别应急响应的启动程序，报请指挥部相关领导同意后，调整应急响应级别。</w:t>
      </w:r>
    </w:p>
    <w:p w14:paraId="2196C118">
      <w:pPr>
        <w:pStyle w:val="3"/>
        <w:ind w:firstLine="0" w:firstLineChars="0"/>
        <w:rPr>
          <w:rFonts w:ascii="Times New Roman" w:hAnsi="Times New Roman" w:cs="Times New Roman"/>
          <w:sz w:val="32"/>
        </w:rPr>
      </w:pPr>
      <w:bookmarkStart w:id="697" w:name="_Toc29327"/>
      <w:r>
        <w:rPr>
          <w:rFonts w:ascii="Times New Roman" w:hAnsi="Times New Roman" w:cs="Times New Roman"/>
          <w:sz w:val="32"/>
        </w:rPr>
        <w:t>新闻与舆情应对</w:t>
      </w:r>
      <w:bookmarkEnd w:id="697"/>
    </w:p>
    <w:p w14:paraId="504FF4D3">
      <w:pPr>
        <w:ind w:firstLine="632"/>
        <w:rPr>
          <w:rFonts w:ascii="Times New Roman" w:hAnsi="Times New Roman" w:cs="Times New Roman"/>
          <w:sz w:val="32"/>
        </w:rPr>
      </w:pPr>
      <w:r>
        <w:rPr>
          <w:rFonts w:ascii="Times New Roman" w:hAnsi="Times New Roman" w:cs="Times New Roman"/>
          <w:sz w:val="32"/>
        </w:rPr>
        <w:t>按照统一宣传口径，利用声、屏、网等媒体平台，依法第一时间向社会发布事故相关信息。涉及刑事侦察秘密及未经调查确认的信息不得发布；涉及事故原因、责任认定和处罚意见的信息，在正式结论作出前不得发布或发表个人看法；参与事故调查的所有人员未经现场抢救指导组授权一律不得接受新闻媒体采访。同时，关注社会舆论动态和网络舆情，及时、有效处置负面舆情。</w:t>
      </w:r>
    </w:p>
    <w:p w14:paraId="793BAE70">
      <w:pPr>
        <w:pStyle w:val="3"/>
        <w:ind w:firstLine="0" w:firstLineChars="0"/>
        <w:rPr>
          <w:rFonts w:ascii="Times New Roman" w:hAnsi="Times New Roman" w:cs="Times New Roman"/>
          <w:sz w:val="32"/>
        </w:rPr>
      </w:pPr>
      <w:bookmarkStart w:id="698" w:name="_Toc9263"/>
      <w:r>
        <w:rPr>
          <w:rFonts w:ascii="Times New Roman" w:hAnsi="Times New Roman" w:cs="Times New Roman"/>
          <w:sz w:val="32"/>
        </w:rPr>
        <w:t>应急结束</w:t>
      </w:r>
      <w:bookmarkEnd w:id="698"/>
    </w:p>
    <w:p w14:paraId="768E1A1E">
      <w:pPr>
        <w:ind w:firstLine="632"/>
        <w:rPr>
          <w:rFonts w:ascii="Times New Roman" w:hAnsi="Times New Roman" w:cs="Times New Roman"/>
          <w:sz w:val="32"/>
        </w:rPr>
      </w:pPr>
      <w:r>
        <w:rPr>
          <w:rFonts w:ascii="Times New Roman" w:hAnsi="Times New Roman" w:cs="Times New Roman"/>
          <w:sz w:val="32"/>
        </w:rPr>
        <w:t>道路交通事故应急处置工作完成后，经现场指挥部确认，报县交通事故应急指挥部批准，现场应急处置工作结束，指挥部相关成员单位按照指令，做好后期处置工作。</w:t>
      </w:r>
    </w:p>
    <w:p w14:paraId="44E5E447">
      <w:pPr>
        <w:pStyle w:val="2"/>
        <w:numPr>
          <w:ilvl w:val="0"/>
          <w:numId w:val="146"/>
        </w:numPr>
        <w:tabs>
          <w:tab w:val="left" w:pos="0"/>
        </w:tabs>
        <w:ind w:firstLine="0" w:firstLineChars="0"/>
        <w:rPr>
          <w:rFonts w:ascii="Times New Roman" w:hAnsi="Times New Roman" w:cs="Times New Roman"/>
          <w:sz w:val="32"/>
        </w:rPr>
      </w:pPr>
      <w:bookmarkStart w:id="699" w:name="_Toc28616"/>
      <w:r>
        <w:rPr>
          <w:rFonts w:ascii="Times New Roman" w:hAnsi="Times New Roman" w:cs="Times New Roman"/>
          <w:sz w:val="32"/>
        </w:rPr>
        <w:t>后期处置</w:t>
      </w:r>
      <w:bookmarkEnd w:id="699"/>
    </w:p>
    <w:p w14:paraId="6AEB6C12">
      <w:pPr>
        <w:pStyle w:val="3"/>
        <w:ind w:firstLine="0" w:firstLineChars="0"/>
        <w:rPr>
          <w:rFonts w:ascii="Times New Roman" w:hAnsi="Times New Roman" w:cs="Times New Roman"/>
          <w:sz w:val="32"/>
        </w:rPr>
      </w:pPr>
      <w:bookmarkStart w:id="700" w:name="_Toc4670"/>
      <w:r>
        <w:rPr>
          <w:rFonts w:ascii="Times New Roman" w:hAnsi="Times New Roman" w:cs="Times New Roman"/>
          <w:sz w:val="32"/>
        </w:rPr>
        <w:t>善后处置</w:t>
      </w:r>
      <w:bookmarkEnd w:id="700"/>
    </w:p>
    <w:p w14:paraId="5190876E">
      <w:pPr>
        <w:ind w:firstLine="632"/>
        <w:rPr>
          <w:rFonts w:ascii="Times New Roman" w:hAnsi="Times New Roman" w:cs="Times New Roman"/>
          <w:sz w:val="32"/>
        </w:rPr>
      </w:pPr>
      <w:r>
        <w:rPr>
          <w:rFonts w:ascii="Times New Roman" w:hAnsi="Times New Roman" w:cs="Times New Roman"/>
          <w:sz w:val="32"/>
        </w:rPr>
        <w:t>由县人民政府负责组织善后处置工作，包括妥善安置和慰问受害及受影响人员，组织开展遇难人员善后、征用物资补偿、协调应急救援队伍补偿、污染物收集清理与处理等工作，尽快消除事故影响，恢复正常秩序，保证社会稳定。</w:t>
      </w:r>
    </w:p>
    <w:p w14:paraId="5BC1DD3F">
      <w:pPr>
        <w:pStyle w:val="3"/>
        <w:ind w:firstLine="0" w:firstLineChars="0"/>
        <w:rPr>
          <w:rFonts w:ascii="Times New Roman" w:hAnsi="Times New Roman" w:cs="Times New Roman"/>
          <w:sz w:val="32"/>
        </w:rPr>
      </w:pPr>
      <w:bookmarkStart w:id="701" w:name="_Toc26375"/>
      <w:r>
        <w:rPr>
          <w:rFonts w:ascii="Times New Roman" w:hAnsi="Times New Roman" w:cs="Times New Roman"/>
          <w:sz w:val="32"/>
        </w:rPr>
        <w:t>社会救助</w:t>
      </w:r>
      <w:bookmarkEnd w:id="701"/>
    </w:p>
    <w:p w14:paraId="790F79BB">
      <w:pPr>
        <w:ind w:firstLine="632"/>
        <w:rPr>
          <w:rFonts w:ascii="Times New Roman" w:hAnsi="Times New Roman" w:cs="Times New Roman"/>
          <w:sz w:val="32"/>
        </w:rPr>
      </w:pPr>
      <w:r>
        <w:rPr>
          <w:rFonts w:ascii="Times New Roman" w:hAnsi="Times New Roman" w:cs="Times New Roman"/>
          <w:sz w:val="32"/>
        </w:rPr>
        <w:t>道路交通事故发生后，保险监管机构应督促各类保险机构及时履行保险责任，迅速开展应急救援人员保险报案受理和受灾人员保险理赔工作。</w:t>
      </w:r>
    </w:p>
    <w:p w14:paraId="69A7E155">
      <w:pPr>
        <w:ind w:firstLine="632"/>
        <w:rPr>
          <w:rFonts w:ascii="Times New Roman" w:hAnsi="Times New Roman" w:cs="Times New Roman"/>
          <w:sz w:val="32"/>
        </w:rPr>
      </w:pPr>
      <w:r>
        <w:rPr>
          <w:rFonts w:ascii="Times New Roman" w:hAnsi="Times New Roman" w:cs="Times New Roman"/>
          <w:sz w:val="32"/>
        </w:rPr>
        <w:t>县人民政府应制定救助方案，明确财政、民政、人力社保、卫生、教育等部门的救助职责和受灾人员申请救助的程序，确保事故发生后的救助工作及时到位。</w:t>
      </w:r>
    </w:p>
    <w:p w14:paraId="5F08F4AE">
      <w:pPr>
        <w:pStyle w:val="3"/>
        <w:ind w:firstLine="0" w:firstLineChars="0"/>
        <w:rPr>
          <w:rFonts w:ascii="Times New Roman" w:hAnsi="Times New Roman" w:cs="Times New Roman"/>
          <w:sz w:val="32"/>
        </w:rPr>
      </w:pPr>
      <w:bookmarkStart w:id="702" w:name="_Toc4193"/>
      <w:r>
        <w:rPr>
          <w:rFonts w:ascii="Times New Roman" w:hAnsi="Times New Roman" w:cs="Times New Roman"/>
          <w:sz w:val="32"/>
        </w:rPr>
        <w:t>调查评估</w:t>
      </w:r>
      <w:bookmarkEnd w:id="702"/>
    </w:p>
    <w:p w14:paraId="4FA85935">
      <w:pPr>
        <w:ind w:firstLine="632"/>
        <w:rPr>
          <w:rFonts w:ascii="Times New Roman" w:hAnsi="Times New Roman" w:cs="Times New Roman"/>
          <w:sz w:val="32"/>
        </w:rPr>
      </w:pPr>
      <w:r>
        <w:rPr>
          <w:rFonts w:ascii="Times New Roman" w:hAnsi="Times New Roman" w:cs="Times New Roman"/>
          <w:sz w:val="32"/>
        </w:rPr>
        <w:t>道路交通事故应急处置结束后，公安交管部门应当遵循事故处理与事故预防相结合的原则，按照规定及时开展事故深度调查，加强事故统计分析和事故预防对策研究。特别重大道路交通事故、由国务院或国务院授权有关部门组织事故（事件）调查评估。重大道路交通事故，由省政府或省政府授权有关部门组成调查组进行调查评估。较大和一般道路交通事故，由市政府或市政府授权有关部门组成调查组进行调查评估。</w:t>
      </w:r>
    </w:p>
    <w:p w14:paraId="20490EA4">
      <w:pPr>
        <w:ind w:firstLine="632"/>
        <w:rPr>
          <w:rFonts w:ascii="Times New Roman" w:hAnsi="Times New Roman" w:cs="Times New Roman"/>
          <w:sz w:val="32"/>
        </w:rPr>
      </w:pPr>
      <w:r>
        <w:rPr>
          <w:rFonts w:ascii="Times New Roman" w:hAnsi="Times New Roman" w:cs="Times New Roman"/>
          <w:sz w:val="32"/>
        </w:rPr>
        <w:t>事故调查组按照《生产安全事故报告和调查处理条例》等有关规定，查清事故原因，认定事故性质和责任，并对事故责任者和责任单位提出处理意见。事故调查组组织有关部门或专家联合对事故原因、责任和相关影响进行调查，对事故损失进行评估，形成调查报告。</w:t>
      </w:r>
    </w:p>
    <w:p w14:paraId="2EE9DDF5">
      <w:pPr>
        <w:pStyle w:val="3"/>
        <w:ind w:firstLine="0" w:firstLineChars="0"/>
        <w:rPr>
          <w:rFonts w:ascii="Times New Roman" w:hAnsi="Times New Roman" w:cs="Times New Roman"/>
          <w:sz w:val="32"/>
        </w:rPr>
      </w:pPr>
      <w:bookmarkStart w:id="703" w:name="_Toc18599"/>
      <w:r>
        <w:rPr>
          <w:rFonts w:ascii="Times New Roman" w:hAnsi="Times New Roman" w:cs="Times New Roman"/>
          <w:sz w:val="32"/>
        </w:rPr>
        <w:t>道路交通事故社会救助基金</w:t>
      </w:r>
      <w:bookmarkEnd w:id="703"/>
    </w:p>
    <w:p w14:paraId="70734CBE">
      <w:pPr>
        <w:ind w:firstLine="632"/>
        <w:rPr>
          <w:rFonts w:ascii="Times New Roman" w:hAnsi="Times New Roman" w:cs="Times New Roman"/>
          <w:sz w:val="32"/>
        </w:rPr>
      </w:pPr>
      <w:r>
        <w:rPr>
          <w:rFonts w:ascii="Times New Roman" w:hAnsi="Times New Roman" w:cs="Times New Roman"/>
          <w:sz w:val="32"/>
        </w:rPr>
        <w:t>按照相关规定和程序，公安交管部门应当及时告知事故当事人相关政策并出具相关文书，符合垫付情形的，应由道路交通事故社会救助基金先行垫付机动车道路交通事故受害人人身伤亡的丧葬费用、部分或者全部抢救费用。</w:t>
      </w:r>
    </w:p>
    <w:p w14:paraId="5067314E">
      <w:pPr>
        <w:pStyle w:val="3"/>
        <w:ind w:firstLine="0" w:firstLineChars="0"/>
        <w:rPr>
          <w:rFonts w:ascii="Times New Roman" w:hAnsi="Times New Roman" w:cs="Times New Roman"/>
          <w:sz w:val="32"/>
        </w:rPr>
      </w:pPr>
      <w:bookmarkStart w:id="704" w:name="_Toc16521"/>
      <w:r>
        <w:rPr>
          <w:rFonts w:ascii="Times New Roman" w:hAnsi="Times New Roman" w:cs="Times New Roman"/>
          <w:sz w:val="32"/>
        </w:rPr>
        <w:t>奖励与责任追究</w:t>
      </w:r>
      <w:bookmarkEnd w:id="704"/>
    </w:p>
    <w:p w14:paraId="5A0E6ECE">
      <w:pPr>
        <w:ind w:firstLine="632"/>
        <w:rPr>
          <w:rFonts w:ascii="Times New Roman" w:hAnsi="Times New Roman" w:cs="Times New Roman"/>
          <w:sz w:val="32"/>
        </w:rPr>
      </w:pPr>
      <w:r>
        <w:rPr>
          <w:rFonts w:ascii="Times New Roman" w:hAnsi="Times New Roman" w:cs="Times New Roman"/>
          <w:sz w:val="32"/>
        </w:rPr>
        <w:t>对在道路交通事故应急救援工作贡献突出的集体和个人，按照国家和省、市有关规定给予表扬。对在道路交通事故应急处置工作中，有玩忽职守、失职、渎职等行为，或者迟报、瞒报、漏报重要情况的有关责任人，依照有关法律法规及有关规定给予处罚、处分，直至移交司法机关追究刑事责任。</w:t>
      </w:r>
    </w:p>
    <w:p w14:paraId="2D328901">
      <w:pPr>
        <w:pStyle w:val="2"/>
        <w:numPr>
          <w:ilvl w:val="0"/>
          <w:numId w:val="146"/>
        </w:numPr>
        <w:tabs>
          <w:tab w:val="left" w:pos="0"/>
        </w:tabs>
        <w:ind w:firstLine="0" w:firstLineChars="0"/>
        <w:rPr>
          <w:rFonts w:ascii="Times New Roman" w:hAnsi="Times New Roman" w:cs="Times New Roman"/>
          <w:sz w:val="32"/>
        </w:rPr>
      </w:pPr>
      <w:bookmarkStart w:id="705" w:name="_Toc32180"/>
      <w:r>
        <w:rPr>
          <w:rFonts w:ascii="Times New Roman" w:hAnsi="Times New Roman" w:cs="Times New Roman"/>
          <w:sz w:val="32"/>
        </w:rPr>
        <w:t>保障措施</w:t>
      </w:r>
      <w:bookmarkEnd w:id="705"/>
    </w:p>
    <w:p w14:paraId="5B88520D">
      <w:pPr>
        <w:pStyle w:val="3"/>
        <w:ind w:firstLine="0" w:firstLineChars="0"/>
        <w:rPr>
          <w:rFonts w:ascii="Times New Roman" w:hAnsi="Times New Roman" w:cs="Times New Roman"/>
          <w:sz w:val="32"/>
        </w:rPr>
      </w:pPr>
      <w:bookmarkStart w:id="706" w:name="_Toc752"/>
      <w:r>
        <w:rPr>
          <w:rFonts w:ascii="Times New Roman" w:hAnsi="Times New Roman" w:cs="Times New Roman"/>
          <w:sz w:val="32"/>
        </w:rPr>
        <w:t>应急队伍保障</w:t>
      </w:r>
      <w:bookmarkEnd w:id="706"/>
    </w:p>
    <w:p w14:paraId="4E71A602">
      <w:pPr>
        <w:ind w:firstLine="632"/>
        <w:rPr>
          <w:rFonts w:ascii="Times New Roman" w:hAnsi="Times New Roman" w:cs="Times New Roman"/>
          <w:sz w:val="32"/>
        </w:rPr>
      </w:pPr>
      <w:r>
        <w:rPr>
          <w:rFonts w:ascii="Times New Roman" w:hAnsi="Times New Roman" w:cs="Times New Roman"/>
          <w:sz w:val="32"/>
        </w:rPr>
        <w:t>各成员单位要按照各自职能，加强事故救援、公安消防、危化品救护、恶劣天气路面抢险、医疗卫生救援等专业抢险救援队伍建设，完善队伍管理制度，根据实际情况建立应急救援队伍。</w:t>
      </w:r>
    </w:p>
    <w:p w14:paraId="69EC7368">
      <w:pPr>
        <w:pStyle w:val="3"/>
        <w:ind w:firstLine="0" w:firstLineChars="0"/>
        <w:rPr>
          <w:rFonts w:ascii="Times New Roman" w:hAnsi="Times New Roman" w:cs="Times New Roman"/>
          <w:sz w:val="32"/>
        </w:rPr>
      </w:pPr>
      <w:bookmarkStart w:id="707" w:name="_Toc31605"/>
      <w:r>
        <w:rPr>
          <w:rFonts w:ascii="Times New Roman" w:hAnsi="Times New Roman" w:cs="Times New Roman"/>
          <w:sz w:val="32"/>
        </w:rPr>
        <w:t>物资装备保障</w:t>
      </w:r>
      <w:bookmarkEnd w:id="707"/>
    </w:p>
    <w:p w14:paraId="6FD94423">
      <w:pPr>
        <w:ind w:firstLine="632"/>
        <w:rPr>
          <w:rFonts w:ascii="Times New Roman" w:hAnsi="Times New Roman" w:cs="Times New Roman"/>
          <w:sz w:val="32"/>
        </w:rPr>
      </w:pPr>
      <w:r>
        <w:rPr>
          <w:rFonts w:ascii="Times New Roman" w:hAnsi="Times New Roman" w:cs="Times New Roman"/>
          <w:sz w:val="32"/>
        </w:rPr>
        <w:t>各成员单位要建立健全物资装备保障制度，确保道路交通安全突发事件发生时，救援和抢险工程装备、应急物资装备可及时调拨，满足受困群众对医疗器械和药品等生活救助物资的需求，要加强应急物资、装备的储备，整合应急救援资源。</w:t>
      </w:r>
    </w:p>
    <w:p w14:paraId="6601FE47">
      <w:pPr>
        <w:pStyle w:val="3"/>
        <w:ind w:firstLine="0" w:firstLineChars="0"/>
        <w:rPr>
          <w:rFonts w:ascii="Times New Roman" w:hAnsi="Times New Roman" w:cs="Times New Roman"/>
          <w:sz w:val="32"/>
        </w:rPr>
      </w:pPr>
      <w:bookmarkStart w:id="708" w:name="_Toc32233"/>
      <w:r>
        <w:rPr>
          <w:rFonts w:ascii="Times New Roman" w:hAnsi="Times New Roman" w:cs="Times New Roman"/>
          <w:sz w:val="32"/>
        </w:rPr>
        <w:t>资金保障</w:t>
      </w:r>
      <w:bookmarkEnd w:id="708"/>
    </w:p>
    <w:p w14:paraId="40D9C090">
      <w:pPr>
        <w:ind w:firstLine="632"/>
        <w:rPr>
          <w:rFonts w:ascii="Times New Roman" w:hAnsi="Times New Roman" w:cs="Times New Roman"/>
          <w:sz w:val="32"/>
        </w:rPr>
      </w:pPr>
      <w:r>
        <w:rPr>
          <w:rFonts w:ascii="Times New Roman" w:hAnsi="Times New Roman" w:cs="Times New Roman"/>
          <w:sz w:val="32"/>
        </w:rPr>
        <w:t>各成员单位要将道路交通安全应急处置工作确需经费纳入相关部门预算，由同级财政保障。</w:t>
      </w:r>
    </w:p>
    <w:p w14:paraId="252FAC84">
      <w:pPr>
        <w:pStyle w:val="3"/>
        <w:ind w:firstLine="0" w:firstLineChars="0"/>
        <w:rPr>
          <w:rFonts w:ascii="Times New Roman" w:hAnsi="Times New Roman" w:cs="Times New Roman"/>
          <w:sz w:val="32"/>
        </w:rPr>
      </w:pPr>
      <w:bookmarkStart w:id="709" w:name="_Toc25715"/>
      <w:r>
        <w:rPr>
          <w:rFonts w:ascii="Times New Roman" w:hAnsi="Times New Roman" w:cs="Times New Roman"/>
          <w:sz w:val="32"/>
        </w:rPr>
        <w:t>医疗卫生保障</w:t>
      </w:r>
      <w:bookmarkEnd w:id="709"/>
    </w:p>
    <w:p w14:paraId="6F3BE4A8">
      <w:pPr>
        <w:ind w:firstLine="632"/>
        <w:rPr>
          <w:rFonts w:ascii="Times New Roman" w:hAnsi="Times New Roman" w:cs="Times New Roman"/>
          <w:sz w:val="32"/>
        </w:rPr>
      </w:pPr>
      <w:r>
        <w:rPr>
          <w:rFonts w:ascii="Times New Roman" w:hAnsi="Times New Roman" w:cs="Times New Roman"/>
          <w:sz w:val="32"/>
        </w:rPr>
        <w:t>县卫生行政主管部门要按照有关应急预案要求，落实医疗卫生应急的各项保障措施。</w:t>
      </w:r>
    </w:p>
    <w:p w14:paraId="598B8BB9">
      <w:pPr>
        <w:pStyle w:val="3"/>
        <w:ind w:firstLine="0" w:firstLineChars="0"/>
        <w:rPr>
          <w:rFonts w:ascii="Times New Roman" w:hAnsi="Times New Roman" w:cs="Times New Roman"/>
          <w:sz w:val="32"/>
        </w:rPr>
      </w:pPr>
      <w:bookmarkStart w:id="710" w:name="_Toc4439"/>
      <w:r>
        <w:rPr>
          <w:rFonts w:ascii="Times New Roman" w:hAnsi="Times New Roman" w:cs="Times New Roman"/>
          <w:sz w:val="32"/>
        </w:rPr>
        <w:t>交通运输保障</w:t>
      </w:r>
      <w:bookmarkEnd w:id="710"/>
    </w:p>
    <w:p w14:paraId="73F0BEC4">
      <w:pPr>
        <w:ind w:firstLine="632"/>
        <w:rPr>
          <w:rFonts w:ascii="Times New Roman" w:hAnsi="Times New Roman" w:cs="Times New Roman"/>
          <w:sz w:val="32"/>
        </w:rPr>
      </w:pPr>
      <w:r>
        <w:rPr>
          <w:rFonts w:ascii="Times New Roman" w:hAnsi="Times New Roman" w:cs="Times New Roman"/>
          <w:sz w:val="32"/>
        </w:rPr>
        <w:t>发生重大、特别重大道路交通事故后，县人民政府及公安机关应对道路交通事故现场进行道路交通管制，根据需要开设应急救援特别通道，确保救援物资、器材和人员运送及时到位，满足应急处置工作需要。</w:t>
      </w:r>
    </w:p>
    <w:p w14:paraId="605BD262">
      <w:pPr>
        <w:pStyle w:val="3"/>
        <w:ind w:firstLine="0" w:firstLineChars="0"/>
        <w:rPr>
          <w:rFonts w:ascii="Times New Roman" w:hAnsi="Times New Roman" w:cs="Times New Roman"/>
          <w:sz w:val="32"/>
        </w:rPr>
      </w:pPr>
      <w:bookmarkStart w:id="711" w:name="_Toc10900"/>
      <w:r>
        <w:rPr>
          <w:rFonts w:ascii="Times New Roman" w:hAnsi="Times New Roman" w:cs="Times New Roman"/>
          <w:sz w:val="32"/>
        </w:rPr>
        <w:t>通信与信息保障</w:t>
      </w:r>
      <w:bookmarkEnd w:id="711"/>
    </w:p>
    <w:p w14:paraId="544B0BE5">
      <w:pPr>
        <w:ind w:firstLine="632"/>
        <w:rPr>
          <w:rFonts w:ascii="Times New Roman" w:hAnsi="Times New Roman" w:cs="Times New Roman"/>
          <w:sz w:val="32"/>
        </w:rPr>
      </w:pPr>
      <w:r>
        <w:rPr>
          <w:rFonts w:ascii="Times New Roman" w:hAnsi="Times New Roman" w:cs="Times New Roman"/>
          <w:sz w:val="32"/>
        </w:rPr>
        <w:t>县人民政府要建立健全道路交通事故应急救援信息平台和数据库，完善应急救援信息资源共享机制。各级通信管理部门要及时组织有关电信运营企业，保障道路交通事故应急处置过程中通信畅通，必要时在现场开通应急通信设施。</w:t>
      </w:r>
    </w:p>
    <w:p w14:paraId="6296B7C9">
      <w:pPr>
        <w:pStyle w:val="3"/>
        <w:ind w:firstLine="0" w:firstLineChars="0"/>
        <w:rPr>
          <w:rFonts w:ascii="Times New Roman" w:hAnsi="Times New Roman" w:cs="Times New Roman"/>
          <w:sz w:val="32"/>
        </w:rPr>
      </w:pPr>
      <w:bookmarkStart w:id="712" w:name="_Toc31436"/>
      <w:r>
        <w:rPr>
          <w:rFonts w:ascii="Times New Roman" w:hAnsi="Times New Roman" w:cs="Times New Roman"/>
          <w:sz w:val="32"/>
        </w:rPr>
        <w:t>治安维护</w:t>
      </w:r>
      <w:bookmarkEnd w:id="712"/>
    </w:p>
    <w:p w14:paraId="2D35B5BF">
      <w:pPr>
        <w:ind w:firstLine="632"/>
        <w:rPr>
          <w:rFonts w:ascii="Times New Roman" w:hAnsi="Times New Roman" w:cs="Times New Roman"/>
          <w:sz w:val="32"/>
        </w:rPr>
      </w:pPr>
      <w:r>
        <w:rPr>
          <w:rFonts w:ascii="Times New Roman" w:hAnsi="Times New Roman" w:cs="Times New Roman"/>
          <w:sz w:val="32"/>
        </w:rPr>
        <w:t>公安机关要按照有关应急预案要求或事故现场指挥部的指令，组织实施重要区域的治安警戒和道路交通管制。</w:t>
      </w:r>
    </w:p>
    <w:p w14:paraId="4DCA1BDA">
      <w:pPr>
        <w:pStyle w:val="3"/>
        <w:ind w:firstLine="0" w:firstLineChars="0"/>
        <w:rPr>
          <w:rFonts w:ascii="Times New Roman" w:hAnsi="Times New Roman" w:cs="Times New Roman"/>
          <w:sz w:val="32"/>
        </w:rPr>
      </w:pPr>
      <w:bookmarkStart w:id="713" w:name="_Toc841"/>
      <w:r>
        <w:rPr>
          <w:rFonts w:ascii="Times New Roman" w:hAnsi="Times New Roman" w:cs="Times New Roman"/>
          <w:sz w:val="32"/>
        </w:rPr>
        <w:t>科技支撑</w:t>
      </w:r>
      <w:bookmarkEnd w:id="713"/>
    </w:p>
    <w:p w14:paraId="6844A631">
      <w:pPr>
        <w:ind w:firstLine="632"/>
        <w:rPr>
          <w:rFonts w:ascii="Times New Roman" w:hAnsi="Times New Roman" w:cs="Times New Roman"/>
          <w:sz w:val="32"/>
        </w:rPr>
      </w:pPr>
      <w:r>
        <w:rPr>
          <w:rFonts w:ascii="Times New Roman" w:hAnsi="Times New Roman" w:cs="Times New Roman"/>
          <w:sz w:val="32"/>
        </w:rPr>
        <w:t>县政府要充分利用交通安全技术支撑体系的专家和机构，研究道路交通事故（事件）应急救援重大问题，开发应急救援技术和装备，提高技术保障水平。</w:t>
      </w:r>
    </w:p>
    <w:p w14:paraId="0CFEE403">
      <w:pPr>
        <w:pStyle w:val="2"/>
        <w:numPr>
          <w:ilvl w:val="0"/>
          <w:numId w:val="146"/>
        </w:numPr>
        <w:tabs>
          <w:tab w:val="left" w:pos="0"/>
        </w:tabs>
        <w:ind w:firstLine="0" w:firstLineChars="0"/>
        <w:rPr>
          <w:rFonts w:ascii="Times New Roman" w:hAnsi="Times New Roman" w:cs="Times New Roman"/>
          <w:sz w:val="32"/>
        </w:rPr>
      </w:pPr>
      <w:bookmarkStart w:id="714" w:name="_Toc22422"/>
      <w:r>
        <w:rPr>
          <w:rFonts w:ascii="Times New Roman" w:hAnsi="Times New Roman" w:cs="Times New Roman"/>
          <w:sz w:val="32"/>
        </w:rPr>
        <w:t>预案管理</w:t>
      </w:r>
      <w:bookmarkEnd w:id="714"/>
    </w:p>
    <w:p w14:paraId="42BF97A1">
      <w:pPr>
        <w:pStyle w:val="3"/>
        <w:ind w:firstLine="0" w:firstLineChars="0"/>
        <w:rPr>
          <w:rFonts w:ascii="Times New Roman" w:hAnsi="Times New Roman" w:cs="Times New Roman"/>
          <w:sz w:val="32"/>
        </w:rPr>
      </w:pPr>
      <w:bookmarkStart w:id="715" w:name="_Toc17880"/>
      <w:r>
        <w:rPr>
          <w:rFonts w:ascii="Times New Roman" w:hAnsi="Times New Roman" w:cs="Times New Roman"/>
          <w:sz w:val="32"/>
        </w:rPr>
        <w:t>预案修订</w:t>
      </w:r>
      <w:bookmarkEnd w:id="715"/>
    </w:p>
    <w:p w14:paraId="7609C972">
      <w:pPr>
        <w:ind w:firstLine="632"/>
        <w:rPr>
          <w:rFonts w:ascii="Times New Roman" w:hAnsi="Times New Roman" w:cs="Times New Roman"/>
          <w:sz w:val="32"/>
        </w:rPr>
      </w:pPr>
      <w:r>
        <w:rPr>
          <w:rFonts w:ascii="Times New Roman" w:hAnsi="Times New Roman" w:cs="Times New Roman"/>
          <w:sz w:val="32"/>
        </w:rPr>
        <w:t>县交通事故应急指挥部办公室应定期开展应急预案评估工作，分析评价预案内容的针对性、实用性和可操作性，实现应急预案的动态优化和科学规范管理。</w:t>
      </w:r>
    </w:p>
    <w:p w14:paraId="2392E79A">
      <w:pPr>
        <w:ind w:firstLine="632"/>
        <w:rPr>
          <w:rFonts w:ascii="Times New Roman" w:hAnsi="Times New Roman" w:cs="Times New Roman"/>
          <w:sz w:val="32"/>
        </w:rPr>
      </w:pPr>
      <w:r>
        <w:rPr>
          <w:rFonts w:ascii="Times New Roman" w:hAnsi="Times New Roman" w:cs="Times New Roman"/>
          <w:sz w:val="32"/>
        </w:rPr>
        <w:t>有下列情形之一的，应当及时修订本预案：</w:t>
      </w:r>
    </w:p>
    <w:p w14:paraId="1AEC475C">
      <w:pPr>
        <w:ind w:firstLine="632"/>
        <w:rPr>
          <w:rFonts w:ascii="Times New Roman" w:hAnsi="Times New Roman" w:cs="Times New Roman"/>
          <w:sz w:val="32"/>
        </w:rPr>
      </w:pPr>
      <w:r>
        <w:rPr>
          <w:rFonts w:ascii="Times New Roman" w:hAnsi="Times New Roman" w:cs="Times New Roman"/>
          <w:sz w:val="32"/>
        </w:rPr>
        <w:t>（1）有关法律法规、规章、标准、上位预案中的有关规定发生变化的；</w:t>
      </w:r>
    </w:p>
    <w:p w14:paraId="4F5E3E49">
      <w:pPr>
        <w:ind w:firstLine="632"/>
        <w:rPr>
          <w:rFonts w:ascii="Times New Roman" w:hAnsi="Times New Roman" w:cs="Times New Roman"/>
          <w:sz w:val="32"/>
        </w:rPr>
      </w:pPr>
      <w:r>
        <w:rPr>
          <w:rFonts w:ascii="Times New Roman" w:hAnsi="Times New Roman" w:cs="Times New Roman"/>
          <w:sz w:val="32"/>
        </w:rPr>
        <w:t>（2）应急指挥机构及其职责发生重大调整的；</w:t>
      </w:r>
    </w:p>
    <w:p w14:paraId="6FB914FD">
      <w:pPr>
        <w:ind w:firstLine="632"/>
        <w:rPr>
          <w:rFonts w:ascii="Times New Roman" w:hAnsi="Times New Roman" w:cs="Times New Roman"/>
          <w:sz w:val="32"/>
        </w:rPr>
      </w:pPr>
      <w:r>
        <w:rPr>
          <w:rFonts w:ascii="Times New Roman" w:hAnsi="Times New Roman" w:cs="Times New Roman"/>
          <w:sz w:val="32"/>
        </w:rPr>
        <w:t>（3）面临的风险发生重大变化的；</w:t>
      </w:r>
    </w:p>
    <w:p w14:paraId="78F34E2D">
      <w:pPr>
        <w:ind w:firstLine="632"/>
        <w:rPr>
          <w:rFonts w:ascii="Times New Roman" w:hAnsi="Times New Roman" w:cs="Times New Roman"/>
          <w:sz w:val="32"/>
        </w:rPr>
      </w:pPr>
      <w:r>
        <w:rPr>
          <w:rFonts w:ascii="Times New Roman" w:hAnsi="Times New Roman" w:cs="Times New Roman"/>
          <w:sz w:val="32"/>
        </w:rPr>
        <w:t>（4）重要应急资源发生重大变化的；</w:t>
      </w:r>
    </w:p>
    <w:p w14:paraId="4953B150">
      <w:pPr>
        <w:ind w:firstLine="632"/>
        <w:rPr>
          <w:rFonts w:ascii="Times New Roman" w:hAnsi="Times New Roman" w:cs="Times New Roman"/>
          <w:sz w:val="32"/>
        </w:rPr>
      </w:pPr>
      <w:r>
        <w:rPr>
          <w:rFonts w:ascii="Times New Roman" w:hAnsi="Times New Roman" w:cs="Times New Roman"/>
          <w:sz w:val="32"/>
        </w:rPr>
        <w:t>（5）预案中的其他重要信息发生变化的；</w:t>
      </w:r>
    </w:p>
    <w:p w14:paraId="1E1D6463">
      <w:pPr>
        <w:ind w:firstLine="632"/>
        <w:rPr>
          <w:rFonts w:ascii="Times New Roman" w:hAnsi="Times New Roman" w:cs="Times New Roman"/>
          <w:sz w:val="32"/>
        </w:rPr>
      </w:pPr>
      <w:r>
        <w:rPr>
          <w:rFonts w:ascii="Times New Roman" w:hAnsi="Times New Roman" w:cs="Times New Roman"/>
          <w:sz w:val="32"/>
        </w:rPr>
        <w:t>（6）在突发事件实际应对和应急演练中发现问题需要作出重大调整的；</w:t>
      </w:r>
    </w:p>
    <w:p w14:paraId="4B2E3135">
      <w:pPr>
        <w:ind w:firstLine="632"/>
        <w:rPr>
          <w:rFonts w:ascii="Times New Roman" w:hAnsi="Times New Roman" w:cs="Times New Roman"/>
          <w:sz w:val="32"/>
        </w:rPr>
      </w:pPr>
      <w:r>
        <w:rPr>
          <w:rFonts w:ascii="Times New Roman" w:hAnsi="Times New Roman" w:cs="Times New Roman"/>
          <w:sz w:val="32"/>
        </w:rPr>
        <w:t>（7）应急预案制定单位认为应当修订的其他情况。</w:t>
      </w:r>
    </w:p>
    <w:p w14:paraId="6116004B">
      <w:pPr>
        <w:pStyle w:val="3"/>
        <w:ind w:firstLine="0" w:firstLineChars="0"/>
        <w:rPr>
          <w:rFonts w:ascii="Times New Roman" w:hAnsi="Times New Roman" w:cs="Times New Roman"/>
          <w:sz w:val="32"/>
        </w:rPr>
      </w:pPr>
      <w:bookmarkStart w:id="716" w:name="_Toc23623"/>
      <w:r>
        <w:rPr>
          <w:rFonts w:ascii="Times New Roman" w:hAnsi="Times New Roman" w:cs="Times New Roman"/>
          <w:sz w:val="32"/>
        </w:rPr>
        <w:t>宣传和培训</w:t>
      </w:r>
      <w:bookmarkEnd w:id="716"/>
    </w:p>
    <w:p w14:paraId="1AB28BBE">
      <w:pPr>
        <w:ind w:firstLine="632"/>
        <w:rPr>
          <w:rFonts w:ascii="Times New Roman" w:hAnsi="Times New Roman" w:cs="Times New Roman"/>
          <w:sz w:val="32"/>
        </w:rPr>
      </w:pPr>
      <w:r>
        <w:rPr>
          <w:rFonts w:ascii="Times New Roman" w:hAnsi="Times New Roman" w:cs="Times New Roman"/>
          <w:sz w:val="32"/>
        </w:rPr>
        <w:t>县交通事故应急指挥部各成员单位及各乡镇人民政府结合职责分工，定期组织开展常规培训或专业培训，将有关道路交通事故应急管理的课程纳入内部培训计划，增强各级领导干部的应急意识，提高防范能力和应急指挥与处置能力。同时，加强道路交通安全宣传教育，不断提高广大交通参与者的道路交通安全意识。</w:t>
      </w:r>
    </w:p>
    <w:p w14:paraId="425D2E90">
      <w:pPr>
        <w:pStyle w:val="3"/>
        <w:ind w:firstLine="0" w:firstLineChars="0"/>
        <w:rPr>
          <w:rFonts w:ascii="Times New Roman" w:hAnsi="Times New Roman" w:cs="Times New Roman"/>
          <w:sz w:val="32"/>
        </w:rPr>
      </w:pPr>
      <w:bookmarkStart w:id="717" w:name="_Toc19785"/>
      <w:r>
        <w:rPr>
          <w:rFonts w:ascii="Times New Roman" w:hAnsi="Times New Roman" w:cs="Times New Roman"/>
          <w:sz w:val="32"/>
        </w:rPr>
        <w:t>应急演练</w:t>
      </w:r>
      <w:bookmarkEnd w:id="717"/>
    </w:p>
    <w:p w14:paraId="7B74A84A">
      <w:pPr>
        <w:ind w:firstLine="632"/>
        <w:rPr>
          <w:rFonts w:ascii="Times New Roman" w:hAnsi="Times New Roman" w:cs="Times New Roman"/>
          <w:sz w:val="32"/>
        </w:rPr>
      </w:pPr>
      <w:r>
        <w:rPr>
          <w:rFonts w:ascii="Times New Roman" w:hAnsi="Times New Roman" w:cs="Times New Roman"/>
          <w:sz w:val="32"/>
        </w:rPr>
        <w:t>县交通事故应急指挥部办公室会同有关部门定期组织应急演练。各地应根据本地重点，经常性组织应急演练，演练结束后应及时进行评估，分析问题，对应急预案提出修订意见。</w:t>
      </w:r>
    </w:p>
    <w:p w14:paraId="4C868E5E">
      <w:pPr>
        <w:pStyle w:val="3"/>
        <w:ind w:firstLine="0" w:firstLineChars="0"/>
        <w:rPr>
          <w:rFonts w:ascii="Times New Roman" w:hAnsi="Times New Roman" w:cs="Times New Roman"/>
          <w:sz w:val="32"/>
        </w:rPr>
      </w:pPr>
      <w:bookmarkStart w:id="718" w:name="_Toc5506"/>
      <w:r>
        <w:rPr>
          <w:rFonts w:ascii="Times New Roman" w:hAnsi="Times New Roman" w:cs="Times New Roman"/>
          <w:sz w:val="32"/>
        </w:rPr>
        <w:t>预案实施</w:t>
      </w:r>
      <w:bookmarkEnd w:id="718"/>
    </w:p>
    <w:p w14:paraId="53088BE1">
      <w:pPr>
        <w:ind w:firstLine="632"/>
        <w:rPr>
          <w:rFonts w:ascii="Times New Roman" w:hAnsi="Times New Roman" w:cs="Times New Roman"/>
          <w:sz w:val="32"/>
        </w:rPr>
      </w:pPr>
      <w:r>
        <w:rPr>
          <w:rFonts w:ascii="Times New Roman" w:hAnsi="Times New Roman" w:cs="Times New Roman"/>
          <w:sz w:val="32"/>
        </w:rPr>
        <w:t>本预案由集贤县道路交通事故应急指挥部办公室负责解释。</w:t>
      </w:r>
    </w:p>
    <w:p w14:paraId="471A5B25">
      <w:pPr>
        <w:ind w:firstLine="632"/>
        <w:rPr>
          <w:rFonts w:ascii="Times New Roman" w:hAnsi="Times New Roman" w:cs="Times New Roman"/>
          <w:sz w:val="32"/>
        </w:rPr>
      </w:pPr>
      <w:r>
        <w:rPr>
          <w:rFonts w:ascii="Times New Roman" w:hAnsi="Times New Roman" w:cs="Times New Roman"/>
          <w:sz w:val="32"/>
        </w:rPr>
        <w:t>本预案自发布之日起施行。</w:t>
      </w:r>
    </w:p>
    <w:p w14:paraId="57ED477C">
      <w:pPr>
        <w:ind w:firstLine="632"/>
        <w:rPr>
          <w:rFonts w:ascii="Times New Roman" w:hAnsi="Times New Roman" w:cs="Times New Roman"/>
          <w:sz w:val="32"/>
        </w:rPr>
      </w:pPr>
      <w:r>
        <w:rPr>
          <w:rFonts w:ascii="Times New Roman" w:hAnsi="Times New Roman" w:cs="Times New Roman"/>
          <w:sz w:val="32"/>
        </w:rPr>
        <w:br w:type="page"/>
      </w:r>
    </w:p>
    <w:p w14:paraId="00B56B79">
      <w:pPr>
        <w:pStyle w:val="2"/>
        <w:numPr>
          <w:ilvl w:val="0"/>
          <w:numId w:val="0"/>
        </w:numPr>
        <w:rPr>
          <w:rFonts w:ascii="Times New Roman" w:hAnsi="Times New Roman" w:cs="Times New Roman"/>
          <w:sz w:val="32"/>
        </w:rPr>
      </w:pPr>
      <w:bookmarkStart w:id="719" w:name="_Toc26207"/>
      <w:bookmarkStart w:id="720" w:name="_Toc17601"/>
      <w:r>
        <w:rPr>
          <w:rFonts w:ascii="Times New Roman" w:hAnsi="Times New Roman" w:cs="Times New Roman"/>
          <w:sz w:val="32"/>
        </w:rPr>
        <w:t>附件1：道路交通事故分级标准</w:t>
      </w:r>
      <w:bookmarkEnd w:id="719"/>
      <w:bookmarkEnd w:id="720"/>
    </w:p>
    <w:p w14:paraId="7D899E3C">
      <w:pPr>
        <w:pStyle w:val="20"/>
        <w:widowControl/>
        <w:shd w:val="clear" w:color="auto" w:fill="FFFFFF"/>
        <w:spacing w:beforeAutospacing="0" w:afterAutospacing="0" w:line="560" w:lineRule="exact"/>
        <w:ind w:firstLine="632"/>
        <w:rPr>
          <w:rFonts w:ascii="Times New Roman" w:hAnsi="Times New Roman" w:eastAsia="楷体_GB2312"/>
          <w:b/>
          <w:bCs/>
          <w:color w:val="444444"/>
          <w:sz w:val="32"/>
          <w:shd w:val="clear" w:color="auto" w:fill="FFFFFF"/>
        </w:rPr>
      </w:pPr>
      <w:r>
        <w:rPr>
          <w:rFonts w:ascii="Times New Roman" w:hAnsi="Times New Roman" w:eastAsia="楷体_GB2312"/>
          <w:b/>
          <w:bCs/>
          <w:color w:val="444444"/>
          <w:sz w:val="32"/>
          <w:shd w:val="clear" w:color="auto" w:fill="FFFFFF"/>
        </w:rPr>
        <w:t>（一）特别重大道路交通事故（Ⅰ级）</w:t>
      </w:r>
    </w:p>
    <w:p w14:paraId="7220AA2E">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特别重大道路交通事故，是指出现以下情形之</w:t>
      </w:r>
    </w:p>
    <w:p w14:paraId="11E1F01A">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（1）造成30人以上死亡，或100人以上重伤的；</w:t>
      </w:r>
    </w:p>
    <w:p w14:paraId="7A3A0FBF">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（2）直接经济损失1亿元以上的；</w:t>
      </w:r>
    </w:p>
    <w:p w14:paraId="31FC55DB">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（3）因地震、山体崩塌、滑坡、泥石流等自然灾害或其他原因，造成高速公路路基坍陷、桥梁毁损或形成路阻，经抢修48小时无法恢复通车的；</w:t>
      </w:r>
    </w:p>
    <w:p w14:paraId="78024454">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（4）运输剧毒化学品、放射性物质的车辆发生泄漏或者其他道路交通事故引发不稳定事件，已经或可能造成特别重大危害和损失，致使高速公路遭受破坏，造成高速公路中断通行48小时以上的；</w:t>
      </w:r>
    </w:p>
    <w:p w14:paraId="3BBE7E10">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（5）发生恐怖袭击事件、安全事故、群体性事件，严重影响高速公路运营安全，已经或可能造成特别重大危害和损失的；</w:t>
      </w:r>
    </w:p>
    <w:p w14:paraId="468B3A19">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（6）事态发展严重，产生特别严重社会影响的；</w:t>
      </w:r>
    </w:p>
    <w:p w14:paraId="70107376">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（7）国务院认定为特别重大道路交通事故的。</w:t>
      </w:r>
    </w:p>
    <w:p w14:paraId="6651CD63">
      <w:pPr>
        <w:pStyle w:val="20"/>
        <w:widowControl/>
        <w:shd w:val="clear" w:color="auto" w:fill="FFFFFF"/>
        <w:spacing w:beforeAutospacing="0" w:afterAutospacing="0" w:line="560" w:lineRule="exact"/>
        <w:ind w:firstLine="632"/>
        <w:rPr>
          <w:rFonts w:ascii="Times New Roman" w:hAnsi="Times New Roman" w:eastAsia="楷体_GB2312"/>
          <w:b/>
          <w:bCs/>
          <w:color w:val="444444"/>
          <w:sz w:val="32"/>
          <w:shd w:val="clear" w:color="auto" w:fill="FFFFFF"/>
        </w:rPr>
      </w:pPr>
      <w:r>
        <w:rPr>
          <w:rFonts w:ascii="Times New Roman" w:hAnsi="Times New Roman" w:eastAsia="楷体_GB2312"/>
          <w:b/>
          <w:bCs/>
          <w:color w:val="444444"/>
          <w:sz w:val="32"/>
          <w:shd w:val="clear" w:color="auto" w:fill="FFFFFF"/>
        </w:rPr>
        <w:t>（二）重大道路交通事故（Ⅱ级）</w:t>
      </w:r>
    </w:p>
    <w:p w14:paraId="7ABE97E9">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重大道路交通事故，是指出现以下情形之一：</w:t>
      </w:r>
    </w:p>
    <w:p w14:paraId="3667BC80">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（1）造成10人以上30人以下死亡，或50人以上100人以下重伤的；</w:t>
      </w:r>
    </w:p>
    <w:p w14:paraId="496DE30B">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（2）直接经济损失在5000万元以上、1亿元以下的；</w:t>
      </w:r>
    </w:p>
    <w:p w14:paraId="40380DC4">
      <w:pPr>
        <w:spacing w:line="560" w:lineRule="exact"/>
        <w:ind w:firstLine="480" w:firstLineChars="0"/>
        <w:textAlignment w:val="baseline"/>
        <w:rPr>
          <w:rFonts w:ascii="Times New Roman" w:hAnsi="Times New Roman" w:cs="Times New Roman"/>
          <w:sz w:val="32"/>
        </w:rPr>
      </w:pPr>
    </w:p>
    <w:p w14:paraId="682ADACA">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（3）因地震、山体崩塌、滑坡、泥石流等自然灾害或其他原因，造成高速公路路基坍陷、桥梁毁损或形成路阻，经抢修24小时无法恢复通车的；</w:t>
      </w:r>
    </w:p>
    <w:p w14:paraId="207A31E9">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（4）运输剧毒化学品、放射性物质的车辆发生泄漏或者其他道路交通事故引发不稳定事件，已经或可能造成重大危害和损失；</w:t>
      </w:r>
    </w:p>
    <w:p w14:paraId="79066C5E">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（5）发生恐怖袭击事件、安全事故、群体性事件，严重影响高速公路运营安全，已经或可能造成重大危害和损失的；</w:t>
      </w:r>
    </w:p>
    <w:p w14:paraId="3D69BC14">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（6）事故造成严重社会影响，超出县政府应急处置能力的；</w:t>
      </w:r>
    </w:p>
    <w:p w14:paraId="495A84D2">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（7）省级人民政府认定为重大道路交通事故（事件）的。</w:t>
      </w:r>
    </w:p>
    <w:p w14:paraId="03F5C874">
      <w:pPr>
        <w:pStyle w:val="20"/>
        <w:widowControl/>
        <w:shd w:val="clear" w:color="auto" w:fill="FFFFFF"/>
        <w:spacing w:beforeAutospacing="0" w:afterAutospacing="0" w:line="560" w:lineRule="exact"/>
        <w:ind w:firstLine="632"/>
        <w:rPr>
          <w:rFonts w:ascii="Times New Roman" w:hAnsi="Times New Roman" w:eastAsia="楷体_GB2312"/>
          <w:b/>
          <w:bCs/>
          <w:color w:val="444444"/>
          <w:sz w:val="32"/>
          <w:shd w:val="clear" w:color="auto" w:fill="FFFFFF"/>
        </w:rPr>
      </w:pPr>
      <w:r>
        <w:rPr>
          <w:rFonts w:ascii="Times New Roman" w:hAnsi="Times New Roman" w:eastAsia="楷体_GB2312"/>
          <w:b/>
          <w:bCs/>
          <w:color w:val="444444"/>
          <w:sz w:val="32"/>
          <w:shd w:val="clear" w:color="auto" w:fill="FFFFFF"/>
        </w:rPr>
        <w:t>（三）较大道路交通事故（Ⅲ级）</w:t>
      </w:r>
    </w:p>
    <w:p w14:paraId="5730D1AF">
      <w:pPr>
        <w:pStyle w:val="20"/>
        <w:widowControl/>
        <w:shd w:val="clear" w:color="auto" w:fill="FFFFFF"/>
        <w:spacing w:beforeAutospacing="0" w:afterAutospacing="0" w:line="560" w:lineRule="exact"/>
        <w:ind w:firstLine="632"/>
        <w:rPr>
          <w:rFonts w:ascii="Times New Roman" w:hAnsi="Times New Roman"/>
          <w:sz w:val="32"/>
        </w:rPr>
      </w:pPr>
      <w:r>
        <w:rPr>
          <w:rFonts w:ascii="Times New Roman" w:hAnsi="Times New Roman"/>
          <w:sz w:val="32"/>
        </w:rPr>
        <w:t>较大道路交通事故，是指出现以下情形之一：</w:t>
      </w:r>
    </w:p>
    <w:p w14:paraId="487BEEEE">
      <w:pPr>
        <w:pStyle w:val="20"/>
        <w:widowControl/>
        <w:shd w:val="clear" w:color="auto" w:fill="FFFFFF"/>
        <w:spacing w:beforeAutospacing="0" w:afterAutospacing="0" w:line="560" w:lineRule="exact"/>
        <w:ind w:firstLine="632"/>
        <w:rPr>
          <w:rFonts w:ascii="Times New Roman" w:hAnsi="Times New Roman"/>
          <w:sz w:val="32"/>
        </w:rPr>
      </w:pPr>
      <w:r>
        <w:rPr>
          <w:rFonts w:ascii="Times New Roman" w:hAnsi="Times New Roman"/>
          <w:sz w:val="32"/>
        </w:rPr>
        <w:t>（1）造成3人以上10人以下死亡，或10人以上50人以下重伤的；</w:t>
      </w:r>
    </w:p>
    <w:p w14:paraId="21878599">
      <w:pPr>
        <w:pStyle w:val="20"/>
        <w:widowControl/>
        <w:shd w:val="clear" w:color="auto" w:fill="FFFFFF"/>
        <w:spacing w:beforeAutospacing="0" w:afterAutospacing="0" w:line="560" w:lineRule="exact"/>
        <w:ind w:firstLine="632"/>
        <w:rPr>
          <w:rFonts w:ascii="Times New Roman" w:hAnsi="Times New Roman"/>
          <w:sz w:val="32"/>
        </w:rPr>
      </w:pPr>
      <w:r>
        <w:rPr>
          <w:rFonts w:ascii="Times New Roman" w:hAnsi="Times New Roman"/>
          <w:sz w:val="32"/>
        </w:rPr>
        <w:t>（2）直接经济损失在1000万元以上5000万以下的；</w:t>
      </w:r>
    </w:p>
    <w:p w14:paraId="14C31099">
      <w:pPr>
        <w:pStyle w:val="20"/>
        <w:widowControl/>
        <w:shd w:val="clear" w:color="auto" w:fill="FFFFFF"/>
        <w:spacing w:beforeAutospacing="0" w:afterAutospacing="0" w:line="560" w:lineRule="exact"/>
        <w:ind w:firstLine="632"/>
        <w:rPr>
          <w:rFonts w:ascii="Times New Roman" w:hAnsi="Times New Roman"/>
          <w:sz w:val="32"/>
        </w:rPr>
      </w:pPr>
      <w:r>
        <w:rPr>
          <w:rFonts w:ascii="Times New Roman" w:hAnsi="Times New Roman"/>
          <w:sz w:val="32"/>
        </w:rPr>
        <w:t>（3）因地震、山体崩塌、滑坡、泥石流等自然灾害或其他原因，造成高速公路路基坍陷、桥梁毁损或形成路阻，经抢修12小时无法恢复通车的；</w:t>
      </w:r>
    </w:p>
    <w:p w14:paraId="1967D159">
      <w:pPr>
        <w:pStyle w:val="20"/>
        <w:widowControl/>
        <w:shd w:val="clear" w:color="auto" w:fill="FFFFFF"/>
        <w:spacing w:beforeAutospacing="0" w:afterAutospacing="0" w:line="560" w:lineRule="exact"/>
        <w:ind w:firstLine="632"/>
        <w:rPr>
          <w:rFonts w:ascii="Times New Roman" w:hAnsi="Times New Roman"/>
          <w:sz w:val="32"/>
        </w:rPr>
      </w:pPr>
      <w:r>
        <w:rPr>
          <w:rFonts w:ascii="Times New Roman" w:hAnsi="Times New Roman"/>
          <w:sz w:val="32"/>
        </w:rPr>
        <w:t>（4）运输剧毒化学品、放射性物质的车辆发生泄漏或者其他道路交通事故引发不稳定事件，已经或可能造成较大危害和损失，致使高速公路遭受破坏，造成高速公路中断通行12小时以上的；</w:t>
      </w:r>
    </w:p>
    <w:p w14:paraId="77787BED">
      <w:pPr>
        <w:pStyle w:val="20"/>
        <w:widowControl/>
        <w:shd w:val="clear" w:color="auto" w:fill="FFFFFF"/>
        <w:spacing w:beforeAutospacing="0" w:afterAutospacing="0" w:line="560" w:lineRule="exact"/>
        <w:ind w:firstLine="632"/>
        <w:rPr>
          <w:rFonts w:ascii="Times New Roman" w:hAnsi="Times New Roman"/>
          <w:sz w:val="32"/>
        </w:rPr>
      </w:pPr>
      <w:r>
        <w:rPr>
          <w:rFonts w:ascii="Times New Roman" w:hAnsi="Times New Roman"/>
          <w:sz w:val="32"/>
        </w:rPr>
        <w:t>（5）发生恐怖袭击事件、安全事故、群体性事件，严重影响高速公路运营安全，已经或可能造成较大危害和损失的；</w:t>
      </w:r>
    </w:p>
    <w:p w14:paraId="7BCE6E3D">
      <w:pPr>
        <w:pStyle w:val="20"/>
        <w:widowControl/>
        <w:shd w:val="clear" w:color="auto" w:fill="FFFFFF"/>
        <w:spacing w:beforeAutospacing="0" w:afterAutospacing="0" w:line="560" w:lineRule="exact"/>
        <w:ind w:firstLine="632"/>
        <w:rPr>
          <w:rFonts w:ascii="Times New Roman" w:hAnsi="Times New Roman"/>
          <w:sz w:val="32"/>
        </w:rPr>
      </w:pPr>
      <w:r>
        <w:rPr>
          <w:rFonts w:ascii="Times New Roman" w:hAnsi="Times New Roman"/>
          <w:sz w:val="32"/>
        </w:rPr>
        <w:t>（6）事故造成较大社会影响，超出县级政府应急处置能力的；</w:t>
      </w:r>
    </w:p>
    <w:p w14:paraId="64984AC1">
      <w:pPr>
        <w:pStyle w:val="20"/>
        <w:widowControl/>
        <w:shd w:val="clear" w:color="auto" w:fill="FFFFFF"/>
        <w:spacing w:beforeAutospacing="0" w:afterAutospacing="0" w:line="560" w:lineRule="exact"/>
        <w:ind w:firstLine="632"/>
        <w:rPr>
          <w:rFonts w:ascii="Times New Roman" w:hAnsi="Times New Roman"/>
          <w:sz w:val="32"/>
        </w:rPr>
      </w:pPr>
      <w:r>
        <w:rPr>
          <w:rFonts w:ascii="Times New Roman" w:hAnsi="Times New Roman"/>
          <w:sz w:val="32"/>
        </w:rPr>
        <w:t>（7）设区的市级人民政府认定为较大道路交通事故的。</w:t>
      </w:r>
    </w:p>
    <w:p w14:paraId="6BA5CB19">
      <w:pPr>
        <w:pStyle w:val="20"/>
        <w:widowControl/>
        <w:shd w:val="clear" w:color="auto" w:fill="FFFFFF"/>
        <w:spacing w:beforeAutospacing="0" w:afterAutospacing="0" w:line="560" w:lineRule="exact"/>
        <w:ind w:firstLine="632"/>
        <w:rPr>
          <w:rFonts w:ascii="Times New Roman" w:hAnsi="Times New Roman" w:eastAsia="楷体_GB2312"/>
          <w:b/>
          <w:bCs/>
          <w:color w:val="444444"/>
          <w:sz w:val="32"/>
          <w:shd w:val="clear" w:color="auto" w:fill="FFFFFF"/>
        </w:rPr>
      </w:pPr>
      <w:r>
        <w:rPr>
          <w:rFonts w:ascii="Times New Roman" w:hAnsi="Times New Roman" w:eastAsia="楷体_GB2312"/>
          <w:b/>
          <w:bCs/>
          <w:color w:val="444444"/>
          <w:sz w:val="32"/>
          <w:shd w:val="clear" w:color="auto" w:fill="FFFFFF"/>
        </w:rPr>
        <w:t>（四）一般道路交通事故（Ⅳ级）</w:t>
      </w:r>
    </w:p>
    <w:p w14:paraId="51B76A2F">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一般道路交通事故，是指出现以下情形之一：</w:t>
      </w:r>
    </w:p>
    <w:p w14:paraId="6512DD42">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（1）造成3人以下死亡，或者10人以下重伤的；</w:t>
      </w:r>
    </w:p>
    <w:p w14:paraId="432586B1">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（2）直接经济损失在1000万元以下的；</w:t>
      </w:r>
    </w:p>
    <w:p w14:paraId="503FC7F0">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（3）因地震、山体崩塌、滑坡、泥石流等自然灾害或其他原因，造成高速公路路基坍陷、桥梁毁损或形成路阻，经抢修12小时内可以恢复通车的；</w:t>
      </w:r>
    </w:p>
    <w:p w14:paraId="29D26967">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（4）运输剧毒化学品、放射性物质的车辆发生泄漏或者其他道路交通事故引发不稳定事件，已经或可能造成危害和损失，致使高速公路遭受破坏，造成高速公路中断通行，12小时内可以恢复通行的；</w:t>
      </w:r>
    </w:p>
    <w:p w14:paraId="42A18254">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（5）发生影响高速公路运营安全，短时间难以恢复正常秩序的恐怖袭击事件、安全事故、群体性事件等；</w:t>
      </w:r>
    </w:p>
    <w:p w14:paraId="6521E77B">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（6）事故（事件）产生一定社会影响的；</w:t>
      </w:r>
    </w:p>
    <w:p w14:paraId="048C312E">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（7）县级人民政府认定为一般道路交通事故的。</w:t>
      </w:r>
    </w:p>
    <w:p w14:paraId="66050934">
      <w:pPr>
        <w:ind w:firstLine="632"/>
        <w:rPr>
          <w:rFonts w:ascii="Times New Roman" w:hAnsi="Times New Roman" w:cs="Times New Roman"/>
        </w:rPr>
      </w:pPr>
      <w:r>
        <w:rPr>
          <w:rFonts w:ascii="Times New Roman" w:hAnsi="Times New Roman" w:cs="Times New Roman"/>
          <w:sz w:val="32"/>
        </w:rPr>
        <w:t>上述分级标准有关数量的表述中，“以上”含本数，“以下”不含本数。</w:t>
      </w:r>
    </w:p>
    <w:p w14:paraId="77AECD04">
      <w:pPr>
        <w:pStyle w:val="15"/>
        <w:ind w:left="0" w:leftChars="0" w:firstLine="0" w:firstLineChars="0"/>
        <w:rPr>
          <w:rFonts w:ascii="Times New Roman" w:hAnsi="Times New Roman" w:cs="Times New Roman"/>
        </w:rPr>
        <w:sectPr>
          <w:footerReference r:id="rId64" w:type="default"/>
          <w:footerReference r:id="rId65" w:type="even"/>
          <w:pgSz w:w="11906" w:h="16838"/>
          <w:pgMar w:top="2098" w:right="1474" w:bottom="1984" w:left="1587" w:header="624" w:footer="1134" w:gutter="0"/>
          <w:pgNumType w:start="1"/>
          <w:cols w:space="0" w:num="1"/>
          <w:docGrid w:type="linesAndChars" w:linePitch="579" w:charSpace="-842"/>
        </w:sectPr>
      </w:pPr>
    </w:p>
    <w:p w14:paraId="729A5F19">
      <w:pPr>
        <w:ind w:firstLine="552"/>
        <w:rPr>
          <w:rFonts w:ascii="Times New Roman" w:hAnsi="Times New Roman" w:cs="Times New Roman"/>
        </w:rPr>
      </w:pPr>
    </w:p>
    <w:p w14:paraId="0C9CD972">
      <w:pPr>
        <w:ind w:firstLine="552"/>
        <w:rPr>
          <w:rFonts w:ascii="Times New Roman" w:hAnsi="Times New Roman" w:cs="Times New Roman"/>
        </w:rPr>
      </w:pPr>
    </w:p>
    <w:p w14:paraId="115FC421">
      <w:pPr>
        <w:pStyle w:val="13"/>
        <w:ind w:firstLine="632"/>
        <w:rPr>
          <w:rFonts w:ascii="Times New Roman" w:hAnsi="Times New Roman" w:cs="Times New Roman"/>
        </w:rPr>
      </w:pPr>
    </w:p>
    <w:p w14:paraId="0297DFB6">
      <w:pPr>
        <w:ind w:firstLine="552"/>
        <w:rPr>
          <w:rFonts w:ascii="Times New Roman" w:hAnsi="Times New Roman" w:cs="Times New Roman"/>
        </w:rPr>
      </w:pPr>
    </w:p>
    <w:p w14:paraId="631EE0FD">
      <w:pPr>
        <w:ind w:firstLine="0" w:firstLineChars="0"/>
        <w:jc w:val="center"/>
        <w:rPr>
          <w:rFonts w:ascii="Times New Roman" w:hAnsi="Times New Roman" w:eastAsia="楷体" w:cs="Times New Roman"/>
          <w:b/>
          <w:bCs/>
          <w:sz w:val="72"/>
          <w:szCs w:val="72"/>
        </w:rPr>
      </w:pPr>
      <w:r>
        <w:rPr>
          <w:rFonts w:ascii="Times New Roman" w:hAnsi="Times New Roman" w:eastAsia="方正小标宋简体" w:cs="Times New Roman"/>
          <w:bCs/>
          <w:color w:val="000000"/>
          <w:spacing w:val="-6"/>
          <w:kern w:val="0"/>
          <w:sz w:val="52"/>
          <w:szCs w:val="52"/>
          <w:lang w:bidi="ar"/>
        </w:rPr>
        <w:t>集贤县建筑施工生产安全事故应急预案</w:t>
      </w:r>
    </w:p>
    <w:p w14:paraId="650D81DF">
      <w:pPr>
        <w:pStyle w:val="11"/>
        <w:ind w:firstLine="0" w:firstLineChars="0"/>
        <w:jc w:val="center"/>
        <w:rPr>
          <w:rFonts w:ascii="Times New Roman" w:hAnsi="Times New Roman" w:eastAsia="楷体_GB2312" w:cs="Times New Roman"/>
          <w:b/>
          <w:sz w:val="52"/>
          <w:szCs w:val="52"/>
        </w:rPr>
      </w:pPr>
      <w:r>
        <w:rPr>
          <w:rFonts w:hint="eastAsia" w:ascii="仿宋_GB2312" w:hAnsi="仿宋_GB2312" w:cs="仿宋_GB2312"/>
          <w:bCs/>
          <w:sz w:val="48"/>
          <w:szCs w:val="48"/>
        </w:rPr>
        <w:t>（修订稿）</w:t>
      </w:r>
    </w:p>
    <w:p w14:paraId="56790A08">
      <w:pPr>
        <w:pStyle w:val="11"/>
        <w:ind w:firstLine="0" w:firstLineChars="0"/>
        <w:jc w:val="center"/>
        <w:rPr>
          <w:rFonts w:ascii="Times New Roman" w:hAnsi="Times New Roman" w:eastAsia="黑体" w:cs="Times New Roman"/>
          <w:sz w:val="52"/>
          <w:szCs w:val="52"/>
        </w:rPr>
      </w:pPr>
    </w:p>
    <w:p w14:paraId="4A8DEF4B">
      <w:pPr>
        <w:pStyle w:val="11"/>
        <w:ind w:firstLine="0" w:firstLineChars="0"/>
        <w:jc w:val="center"/>
        <w:rPr>
          <w:rFonts w:ascii="Times New Roman" w:hAnsi="Times New Roman" w:eastAsia="黑体" w:cs="Times New Roman"/>
          <w:sz w:val="52"/>
          <w:szCs w:val="52"/>
        </w:rPr>
      </w:pPr>
    </w:p>
    <w:p w14:paraId="50BD4802">
      <w:pPr>
        <w:pStyle w:val="11"/>
        <w:ind w:firstLine="0" w:firstLineChars="0"/>
        <w:jc w:val="center"/>
        <w:rPr>
          <w:rFonts w:ascii="Times New Roman" w:hAnsi="Times New Roman" w:eastAsia="黑体" w:cs="Times New Roman"/>
          <w:sz w:val="52"/>
          <w:szCs w:val="52"/>
        </w:rPr>
      </w:pPr>
    </w:p>
    <w:p w14:paraId="28E53A06">
      <w:pPr>
        <w:pStyle w:val="11"/>
        <w:ind w:firstLine="0" w:firstLineChars="0"/>
        <w:jc w:val="center"/>
        <w:rPr>
          <w:rFonts w:ascii="Times New Roman" w:hAnsi="Times New Roman" w:eastAsia="黑体" w:cs="Times New Roman"/>
          <w:sz w:val="52"/>
          <w:szCs w:val="52"/>
        </w:rPr>
      </w:pPr>
    </w:p>
    <w:p w14:paraId="17815C8F">
      <w:pPr>
        <w:pStyle w:val="11"/>
        <w:ind w:firstLine="0" w:firstLineChars="0"/>
        <w:jc w:val="center"/>
        <w:rPr>
          <w:rFonts w:ascii="Times New Roman" w:hAnsi="Times New Roman" w:eastAsia="楷体_GB2312" w:cs="Times New Roman"/>
          <w:spacing w:val="-12"/>
          <w:sz w:val="44"/>
          <w:szCs w:val="44"/>
        </w:rPr>
      </w:pPr>
    </w:p>
    <w:p w14:paraId="211440A2">
      <w:pPr>
        <w:pStyle w:val="11"/>
        <w:ind w:firstLine="0" w:firstLineChars="0"/>
        <w:jc w:val="center"/>
        <w:rPr>
          <w:rFonts w:ascii="Times New Roman" w:hAnsi="Times New Roman" w:eastAsia="楷体_GB2312" w:cs="Times New Roman"/>
          <w:spacing w:val="-12"/>
          <w:sz w:val="44"/>
          <w:szCs w:val="44"/>
        </w:rPr>
      </w:pPr>
    </w:p>
    <w:p w14:paraId="6150223C">
      <w:pPr>
        <w:pStyle w:val="11"/>
        <w:ind w:firstLine="0" w:firstLineChars="0"/>
        <w:jc w:val="center"/>
        <w:rPr>
          <w:rFonts w:ascii="Times New Roman" w:hAnsi="Times New Roman" w:eastAsia="楷体_GB2312" w:cs="Times New Roman"/>
          <w:spacing w:val="-12"/>
          <w:sz w:val="44"/>
          <w:szCs w:val="44"/>
        </w:rPr>
      </w:pPr>
    </w:p>
    <w:p w14:paraId="0471DC34">
      <w:pPr>
        <w:pStyle w:val="11"/>
        <w:ind w:firstLine="0" w:firstLineChars="0"/>
        <w:jc w:val="center"/>
        <w:rPr>
          <w:rFonts w:ascii="Times New Roman" w:hAnsi="Times New Roman" w:eastAsia="楷体_GB2312" w:cs="Times New Roman"/>
          <w:spacing w:val="-12"/>
          <w:sz w:val="44"/>
          <w:szCs w:val="44"/>
        </w:rPr>
      </w:pPr>
    </w:p>
    <w:p w14:paraId="4BB4568B">
      <w:pPr>
        <w:ind w:firstLine="0" w:firstLineChars="0"/>
        <w:jc w:val="center"/>
        <w:rPr>
          <w:rFonts w:ascii="Times New Roman" w:hAnsi="Times New Roman" w:cs="Times New Roman"/>
          <w:bCs/>
          <w:spacing w:val="-6"/>
          <w:sz w:val="36"/>
          <w:szCs w:val="24"/>
          <w:lang w:bidi="ar"/>
        </w:rPr>
      </w:pPr>
      <w:r>
        <w:rPr>
          <w:rFonts w:ascii="Times New Roman" w:hAnsi="Times New Roman" w:cs="Times New Roman"/>
          <w:bCs/>
          <w:spacing w:val="-6"/>
          <w:sz w:val="36"/>
          <w:szCs w:val="24"/>
          <w:lang w:bidi="ar"/>
        </w:rPr>
        <w:t>集贤县人民政府 编制</w:t>
      </w:r>
    </w:p>
    <w:p w14:paraId="1366074D">
      <w:pPr>
        <w:ind w:firstLine="0" w:firstLineChars="0"/>
        <w:jc w:val="center"/>
        <w:rPr>
          <w:rFonts w:ascii="Times New Roman" w:hAnsi="Times New Roman" w:cs="Times New Roman"/>
          <w:bCs/>
          <w:spacing w:val="-6"/>
          <w:sz w:val="36"/>
          <w:szCs w:val="24"/>
          <w:lang w:bidi="ar"/>
        </w:rPr>
      </w:pPr>
      <w:r>
        <w:rPr>
          <w:rFonts w:ascii="Times New Roman" w:hAnsi="Times New Roman" w:cs="Times New Roman"/>
          <w:bCs/>
          <w:spacing w:val="-6"/>
          <w:sz w:val="36"/>
          <w:szCs w:val="24"/>
          <w:lang w:bidi="ar"/>
        </w:rPr>
        <w:t>2025年5月</w:t>
      </w:r>
    </w:p>
    <w:p w14:paraId="47F5A3D5">
      <w:pPr>
        <w:ind w:firstLine="688"/>
        <w:rPr>
          <w:rFonts w:ascii="Times New Roman" w:hAnsi="Times New Roman" w:cs="Times New Roman"/>
          <w:bCs/>
          <w:spacing w:val="-6"/>
          <w:sz w:val="36"/>
          <w:szCs w:val="24"/>
          <w:lang w:bidi="ar"/>
        </w:rPr>
      </w:pPr>
      <w:r>
        <w:rPr>
          <w:rFonts w:ascii="Times New Roman" w:hAnsi="Times New Roman" w:cs="Times New Roman"/>
          <w:bCs/>
          <w:spacing w:val="-6"/>
          <w:sz w:val="36"/>
          <w:szCs w:val="24"/>
          <w:lang w:bidi="ar"/>
        </w:rPr>
        <w:br w:type="page"/>
      </w:r>
    </w:p>
    <w:p w14:paraId="29EE9B32">
      <w:pPr>
        <w:pStyle w:val="29"/>
        <w:rPr>
          <w:rFonts w:ascii="Times New Roman" w:hAnsi="Times New Roman" w:cs="Times New Roman"/>
          <w:sz w:val="36"/>
          <w:szCs w:val="36"/>
        </w:rPr>
        <w:sectPr>
          <w:headerReference r:id="rId66" w:type="default"/>
          <w:footerReference r:id="rId68" w:type="default"/>
          <w:headerReference r:id="rId67" w:type="even"/>
          <w:footerReference r:id="rId69" w:type="even"/>
          <w:pgSz w:w="11906" w:h="16838"/>
          <w:pgMar w:top="2098" w:right="1474" w:bottom="1984" w:left="1587" w:header="624" w:footer="1134" w:gutter="0"/>
          <w:pgNumType w:start="1"/>
          <w:cols w:space="0" w:num="1"/>
          <w:docGrid w:type="linesAndChars" w:linePitch="579" w:charSpace="-842"/>
        </w:sectPr>
      </w:pPr>
    </w:p>
    <w:sdt>
      <w:sdtPr>
        <w:rPr>
          <w:rFonts w:ascii="Times New Roman" w:hAnsi="Times New Roman" w:eastAsia="微软雅黑" w:cs="Times New Roman"/>
          <w:b/>
          <w:bCs/>
          <w:sz w:val="36"/>
          <w:szCs w:val="36"/>
        </w:rPr>
        <w:id w:val="147473672"/>
        <w15:color w:val="DBDBDB"/>
        <w:docPartObj>
          <w:docPartGallery w:val="Table of Contents"/>
          <w:docPartUnique/>
        </w:docPartObj>
      </w:sdtPr>
      <w:sdtEndPr>
        <w:rPr>
          <w:rFonts w:ascii="Times New Roman" w:hAnsi="Times New Roman" w:eastAsia="仿宋" w:cs="Times New Roman"/>
          <w:b/>
          <w:bCs/>
          <w:sz w:val="32"/>
          <w:szCs w:val="32"/>
        </w:rPr>
      </w:sdtEndPr>
      <w:sdtContent>
        <w:p w14:paraId="34354AFF">
          <w:pPr>
            <w:ind w:firstLine="0" w:firstLineChars="0"/>
            <w:jc w:val="center"/>
            <w:rPr>
              <w:rFonts w:ascii="Times New Roman" w:hAnsi="Times New Roman" w:cs="Times New Roman"/>
            </w:rPr>
          </w:pPr>
          <w:r>
            <w:rPr>
              <w:rFonts w:ascii="Times New Roman" w:hAnsi="Times New Roman" w:eastAsia="微软雅黑" w:cs="Times New Roman"/>
              <w:b/>
              <w:bCs/>
              <w:sz w:val="36"/>
              <w:szCs w:val="36"/>
            </w:rPr>
            <w:t>目  录</w:t>
          </w:r>
        </w:p>
        <w:p w14:paraId="6A987BC4">
          <w:pPr>
            <w:pStyle w:val="18"/>
            <w:rPr>
              <w:rFonts w:ascii="Times New Roman" w:hAnsi="Times New Roman" w:cs="Times New Roman"/>
              <w:sz w:val="32"/>
            </w:rPr>
          </w:pPr>
          <w:r>
            <w:rPr>
              <w:rFonts w:ascii="Times New Roman" w:hAnsi="Times New Roman" w:cs="Times New Roman"/>
              <w:sz w:val="32"/>
            </w:rPr>
            <w:fldChar w:fldCharType="begin"/>
          </w:r>
          <w:r>
            <w:rPr>
              <w:rFonts w:ascii="Times New Roman" w:hAnsi="Times New Roman" w:cs="Times New Roman"/>
              <w:sz w:val="32"/>
            </w:rPr>
            <w:instrText xml:space="preserve">TOC \o "1-2" \h \u </w:instrText>
          </w:r>
          <w:r>
            <w:rPr>
              <w:rFonts w:ascii="Times New Roman" w:hAnsi="Times New Roman" w:cs="Times New Roman"/>
              <w:sz w:val="32"/>
            </w:rPr>
            <w:fldChar w:fldCharType="separate"/>
          </w:r>
          <w:r>
            <w:fldChar w:fldCharType="begin"/>
          </w:r>
          <w:r>
            <w:instrText xml:space="preserve"> HYPERLINK \l "_Toc21585" </w:instrText>
          </w:r>
          <w:r>
            <w:fldChar w:fldCharType="separate"/>
          </w:r>
          <w:r>
            <w:rPr>
              <w:rFonts w:ascii="Times New Roman" w:hAnsi="Times New Roman" w:eastAsia="仿宋" w:cs="Times New Roman"/>
              <w:sz w:val="32"/>
            </w:rPr>
            <w:t xml:space="preserve">1 </w:t>
          </w:r>
          <w:r>
            <w:rPr>
              <w:rFonts w:ascii="Times New Roman" w:hAnsi="Times New Roman" w:cs="Times New Roman"/>
              <w:sz w:val="32"/>
            </w:rPr>
            <w:t>总则</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_Toc21585 \h </w:instrText>
          </w:r>
          <w:r>
            <w:rPr>
              <w:rFonts w:ascii="Times New Roman" w:hAnsi="Times New Roman" w:cs="Times New Roman"/>
              <w:sz w:val="32"/>
            </w:rPr>
            <w:fldChar w:fldCharType="separate"/>
          </w:r>
          <w:r>
            <w:rPr>
              <w:rFonts w:ascii="Times New Roman" w:hAnsi="Times New Roman" w:cs="Times New Roman"/>
              <w:sz w:val="32"/>
            </w:rPr>
            <w:t>1</w:t>
          </w:r>
          <w:r>
            <w:rPr>
              <w:rFonts w:ascii="Times New Roman" w:hAnsi="Times New Roman" w:cs="Times New Roman"/>
              <w:sz w:val="32"/>
            </w:rPr>
            <w:fldChar w:fldCharType="end"/>
          </w:r>
          <w:r>
            <w:rPr>
              <w:rFonts w:ascii="Times New Roman" w:hAnsi="Times New Roman" w:cs="Times New Roman"/>
              <w:sz w:val="32"/>
            </w:rPr>
            <w:fldChar w:fldCharType="end"/>
          </w:r>
        </w:p>
        <w:p w14:paraId="028A3DCD">
          <w:pPr>
            <w:pStyle w:val="19"/>
            <w:tabs>
              <w:tab w:val="right" w:leader="dot" w:pos="8845"/>
            </w:tabs>
            <w:ind w:firstLine="552"/>
            <w:rPr>
              <w:rFonts w:ascii="Times New Roman" w:hAnsi="Times New Roman" w:cs="Times New Roman"/>
              <w:sz w:val="32"/>
            </w:rPr>
          </w:pPr>
          <w:r>
            <w:fldChar w:fldCharType="begin"/>
          </w:r>
          <w:r>
            <w:instrText xml:space="preserve"> HYPERLINK \l "_Toc18032" </w:instrText>
          </w:r>
          <w:r>
            <w:fldChar w:fldCharType="separate"/>
          </w:r>
          <w:r>
            <w:rPr>
              <w:rFonts w:ascii="Times New Roman" w:hAnsi="Times New Roman" w:eastAsia="仿宋" w:cs="Times New Roman"/>
              <w:bCs/>
              <w:sz w:val="32"/>
            </w:rPr>
            <w:t xml:space="preserve">1.1 </w:t>
          </w:r>
          <w:r>
            <w:rPr>
              <w:rFonts w:ascii="Times New Roman" w:hAnsi="Times New Roman" w:cs="Times New Roman"/>
              <w:sz w:val="32"/>
            </w:rPr>
            <w:t>编制目的</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_Toc18032 \h </w:instrText>
          </w:r>
          <w:r>
            <w:rPr>
              <w:rFonts w:ascii="Times New Roman" w:hAnsi="Times New Roman" w:cs="Times New Roman"/>
              <w:sz w:val="32"/>
            </w:rPr>
            <w:fldChar w:fldCharType="separate"/>
          </w:r>
          <w:r>
            <w:rPr>
              <w:rFonts w:ascii="Times New Roman" w:hAnsi="Times New Roman" w:cs="Times New Roman"/>
              <w:sz w:val="32"/>
            </w:rPr>
            <w:t>1</w:t>
          </w:r>
          <w:r>
            <w:rPr>
              <w:rFonts w:ascii="Times New Roman" w:hAnsi="Times New Roman" w:cs="Times New Roman"/>
              <w:sz w:val="32"/>
            </w:rPr>
            <w:fldChar w:fldCharType="end"/>
          </w:r>
          <w:r>
            <w:rPr>
              <w:rFonts w:ascii="Times New Roman" w:hAnsi="Times New Roman" w:cs="Times New Roman"/>
              <w:sz w:val="32"/>
            </w:rPr>
            <w:fldChar w:fldCharType="end"/>
          </w:r>
        </w:p>
        <w:p w14:paraId="77E7CEFC">
          <w:pPr>
            <w:pStyle w:val="19"/>
            <w:tabs>
              <w:tab w:val="right" w:leader="dot" w:pos="8845"/>
            </w:tabs>
            <w:ind w:firstLine="552"/>
            <w:rPr>
              <w:rFonts w:ascii="Times New Roman" w:hAnsi="Times New Roman" w:cs="Times New Roman"/>
              <w:sz w:val="32"/>
            </w:rPr>
          </w:pPr>
          <w:r>
            <w:fldChar w:fldCharType="begin"/>
          </w:r>
          <w:r>
            <w:instrText xml:space="preserve"> HYPERLINK \l "_Toc29106" </w:instrText>
          </w:r>
          <w:r>
            <w:fldChar w:fldCharType="separate"/>
          </w:r>
          <w:r>
            <w:rPr>
              <w:rFonts w:ascii="Times New Roman" w:hAnsi="Times New Roman" w:eastAsia="仿宋" w:cs="Times New Roman"/>
              <w:bCs/>
              <w:sz w:val="32"/>
            </w:rPr>
            <w:t xml:space="preserve">1.2 </w:t>
          </w:r>
          <w:r>
            <w:rPr>
              <w:rFonts w:ascii="Times New Roman" w:hAnsi="Times New Roman" w:cs="Times New Roman"/>
              <w:sz w:val="32"/>
            </w:rPr>
            <w:t>编制依据</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_Toc29106 \h </w:instrText>
          </w:r>
          <w:r>
            <w:rPr>
              <w:rFonts w:ascii="Times New Roman" w:hAnsi="Times New Roman" w:cs="Times New Roman"/>
              <w:sz w:val="32"/>
            </w:rPr>
            <w:fldChar w:fldCharType="separate"/>
          </w:r>
          <w:r>
            <w:rPr>
              <w:rFonts w:ascii="Times New Roman" w:hAnsi="Times New Roman" w:cs="Times New Roman"/>
              <w:sz w:val="32"/>
            </w:rPr>
            <w:t>1</w:t>
          </w:r>
          <w:r>
            <w:rPr>
              <w:rFonts w:ascii="Times New Roman" w:hAnsi="Times New Roman" w:cs="Times New Roman"/>
              <w:sz w:val="32"/>
            </w:rPr>
            <w:fldChar w:fldCharType="end"/>
          </w:r>
          <w:r>
            <w:rPr>
              <w:rFonts w:ascii="Times New Roman" w:hAnsi="Times New Roman" w:cs="Times New Roman"/>
              <w:sz w:val="32"/>
            </w:rPr>
            <w:fldChar w:fldCharType="end"/>
          </w:r>
        </w:p>
        <w:p w14:paraId="29990906">
          <w:pPr>
            <w:pStyle w:val="19"/>
            <w:tabs>
              <w:tab w:val="right" w:leader="dot" w:pos="8845"/>
            </w:tabs>
            <w:ind w:firstLine="552"/>
            <w:rPr>
              <w:rFonts w:ascii="Times New Roman" w:hAnsi="Times New Roman" w:cs="Times New Roman"/>
              <w:sz w:val="32"/>
            </w:rPr>
          </w:pPr>
          <w:r>
            <w:fldChar w:fldCharType="begin"/>
          </w:r>
          <w:r>
            <w:instrText xml:space="preserve"> HYPERLINK \l "_Toc5310" </w:instrText>
          </w:r>
          <w:r>
            <w:fldChar w:fldCharType="separate"/>
          </w:r>
          <w:r>
            <w:rPr>
              <w:rFonts w:ascii="Times New Roman" w:hAnsi="Times New Roman" w:eastAsia="仿宋" w:cs="Times New Roman"/>
              <w:bCs/>
              <w:sz w:val="32"/>
            </w:rPr>
            <w:t xml:space="preserve">1.3 </w:t>
          </w:r>
          <w:r>
            <w:rPr>
              <w:rFonts w:ascii="Times New Roman" w:hAnsi="Times New Roman" w:cs="Times New Roman"/>
              <w:sz w:val="32"/>
            </w:rPr>
            <w:t>适用范围</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_Toc5310 \h </w:instrText>
          </w:r>
          <w:r>
            <w:rPr>
              <w:rFonts w:ascii="Times New Roman" w:hAnsi="Times New Roman" w:cs="Times New Roman"/>
              <w:sz w:val="32"/>
            </w:rPr>
            <w:fldChar w:fldCharType="separate"/>
          </w:r>
          <w:r>
            <w:rPr>
              <w:rFonts w:ascii="Times New Roman" w:hAnsi="Times New Roman" w:cs="Times New Roman"/>
              <w:sz w:val="32"/>
            </w:rPr>
            <w:t>1</w:t>
          </w:r>
          <w:r>
            <w:rPr>
              <w:rFonts w:ascii="Times New Roman" w:hAnsi="Times New Roman" w:cs="Times New Roman"/>
              <w:sz w:val="32"/>
            </w:rPr>
            <w:fldChar w:fldCharType="end"/>
          </w:r>
          <w:r>
            <w:rPr>
              <w:rFonts w:ascii="Times New Roman" w:hAnsi="Times New Roman" w:cs="Times New Roman"/>
              <w:sz w:val="32"/>
            </w:rPr>
            <w:fldChar w:fldCharType="end"/>
          </w:r>
        </w:p>
        <w:p w14:paraId="06711A03">
          <w:pPr>
            <w:pStyle w:val="19"/>
            <w:tabs>
              <w:tab w:val="right" w:leader="dot" w:pos="8845"/>
            </w:tabs>
            <w:ind w:firstLine="552"/>
            <w:rPr>
              <w:rFonts w:ascii="Times New Roman" w:hAnsi="Times New Roman" w:cs="Times New Roman"/>
              <w:sz w:val="32"/>
            </w:rPr>
          </w:pPr>
          <w:r>
            <w:fldChar w:fldCharType="begin"/>
          </w:r>
          <w:r>
            <w:instrText xml:space="preserve"> HYPERLINK \l "_Toc15" </w:instrText>
          </w:r>
          <w:r>
            <w:fldChar w:fldCharType="separate"/>
          </w:r>
          <w:r>
            <w:rPr>
              <w:rFonts w:ascii="Times New Roman" w:hAnsi="Times New Roman" w:eastAsia="仿宋" w:cs="Times New Roman"/>
              <w:bCs/>
              <w:sz w:val="32"/>
            </w:rPr>
            <w:t xml:space="preserve">1.4 </w:t>
          </w:r>
          <w:r>
            <w:rPr>
              <w:rFonts w:ascii="Times New Roman" w:hAnsi="Times New Roman" w:cs="Times New Roman"/>
              <w:sz w:val="32"/>
            </w:rPr>
            <w:t>工作原则</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_Toc15 \h </w:instrText>
          </w:r>
          <w:r>
            <w:rPr>
              <w:rFonts w:ascii="Times New Roman" w:hAnsi="Times New Roman" w:cs="Times New Roman"/>
              <w:sz w:val="32"/>
            </w:rPr>
            <w:fldChar w:fldCharType="separate"/>
          </w:r>
          <w:r>
            <w:rPr>
              <w:rFonts w:ascii="Times New Roman" w:hAnsi="Times New Roman" w:cs="Times New Roman"/>
              <w:sz w:val="32"/>
            </w:rPr>
            <w:t>1</w:t>
          </w:r>
          <w:r>
            <w:rPr>
              <w:rFonts w:ascii="Times New Roman" w:hAnsi="Times New Roman" w:cs="Times New Roman"/>
              <w:sz w:val="32"/>
            </w:rPr>
            <w:fldChar w:fldCharType="end"/>
          </w:r>
          <w:r>
            <w:rPr>
              <w:rFonts w:ascii="Times New Roman" w:hAnsi="Times New Roman" w:cs="Times New Roman"/>
              <w:sz w:val="32"/>
            </w:rPr>
            <w:fldChar w:fldCharType="end"/>
          </w:r>
        </w:p>
        <w:p w14:paraId="0A930203">
          <w:pPr>
            <w:pStyle w:val="19"/>
            <w:tabs>
              <w:tab w:val="right" w:leader="dot" w:pos="8845"/>
            </w:tabs>
            <w:ind w:firstLine="552"/>
            <w:rPr>
              <w:rFonts w:ascii="Times New Roman" w:hAnsi="Times New Roman" w:cs="Times New Roman"/>
              <w:sz w:val="32"/>
            </w:rPr>
          </w:pPr>
          <w:r>
            <w:fldChar w:fldCharType="begin"/>
          </w:r>
          <w:r>
            <w:instrText xml:space="preserve"> HYPERLINK \l "_Toc14319" </w:instrText>
          </w:r>
          <w:r>
            <w:fldChar w:fldCharType="separate"/>
          </w:r>
          <w:r>
            <w:rPr>
              <w:rFonts w:ascii="Times New Roman" w:hAnsi="Times New Roman" w:eastAsia="仿宋" w:cs="Times New Roman"/>
              <w:bCs/>
              <w:sz w:val="32"/>
            </w:rPr>
            <w:t xml:space="preserve">1.5 </w:t>
          </w:r>
          <w:r>
            <w:rPr>
              <w:rFonts w:ascii="Times New Roman" w:hAnsi="Times New Roman" w:cs="Times New Roman"/>
              <w:sz w:val="32"/>
            </w:rPr>
            <w:t>事件分级</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_Toc14319 \h </w:instrText>
          </w:r>
          <w:r>
            <w:rPr>
              <w:rFonts w:ascii="Times New Roman" w:hAnsi="Times New Roman" w:cs="Times New Roman"/>
              <w:sz w:val="32"/>
            </w:rPr>
            <w:fldChar w:fldCharType="separate"/>
          </w:r>
          <w:r>
            <w:rPr>
              <w:rFonts w:ascii="Times New Roman" w:hAnsi="Times New Roman" w:cs="Times New Roman"/>
              <w:sz w:val="32"/>
            </w:rPr>
            <w:t>2</w:t>
          </w:r>
          <w:r>
            <w:rPr>
              <w:rFonts w:ascii="Times New Roman" w:hAnsi="Times New Roman" w:cs="Times New Roman"/>
              <w:sz w:val="32"/>
            </w:rPr>
            <w:fldChar w:fldCharType="end"/>
          </w:r>
          <w:r>
            <w:rPr>
              <w:rFonts w:ascii="Times New Roman" w:hAnsi="Times New Roman" w:cs="Times New Roman"/>
              <w:sz w:val="32"/>
            </w:rPr>
            <w:fldChar w:fldCharType="end"/>
          </w:r>
        </w:p>
        <w:p w14:paraId="453F21CB">
          <w:pPr>
            <w:pStyle w:val="18"/>
            <w:rPr>
              <w:rFonts w:ascii="Times New Roman" w:hAnsi="Times New Roman" w:cs="Times New Roman"/>
              <w:sz w:val="32"/>
            </w:rPr>
          </w:pPr>
          <w:r>
            <w:fldChar w:fldCharType="begin"/>
          </w:r>
          <w:r>
            <w:instrText xml:space="preserve"> HYPERLINK \l "_Toc32068" </w:instrText>
          </w:r>
          <w:r>
            <w:fldChar w:fldCharType="separate"/>
          </w:r>
          <w:r>
            <w:rPr>
              <w:rFonts w:ascii="Times New Roman" w:hAnsi="Times New Roman" w:eastAsia="仿宋" w:cs="Times New Roman"/>
              <w:sz w:val="32"/>
            </w:rPr>
            <w:t xml:space="preserve">2 </w:t>
          </w:r>
          <w:r>
            <w:rPr>
              <w:rFonts w:ascii="Times New Roman" w:hAnsi="Times New Roman" w:cs="Times New Roman"/>
              <w:sz w:val="32"/>
            </w:rPr>
            <w:t>组织指挥体系</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_Toc32068 \h </w:instrText>
          </w:r>
          <w:r>
            <w:rPr>
              <w:rFonts w:ascii="Times New Roman" w:hAnsi="Times New Roman" w:cs="Times New Roman"/>
              <w:sz w:val="32"/>
            </w:rPr>
            <w:fldChar w:fldCharType="separate"/>
          </w:r>
          <w:r>
            <w:rPr>
              <w:rFonts w:ascii="Times New Roman" w:hAnsi="Times New Roman" w:cs="Times New Roman"/>
              <w:sz w:val="32"/>
            </w:rPr>
            <w:t>3</w:t>
          </w:r>
          <w:r>
            <w:rPr>
              <w:rFonts w:ascii="Times New Roman" w:hAnsi="Times New Roman" w:cs="Times New Roman"/>
              <w:sz w:val="32"/>
            </w:rPr>
            <w:fldChar w:fldCharType="end"/>
          </w:r>
          <w:r>
            <w:rPr>
              <w:rFonts w:ascii="Times New Roman" w:hAnsi="Times New Roman" w:cs="Times New Roman"/>
              <w:sz w:val="32"/>
            </w:rPr>
            <w:fldChar w:fldCharType="end"/>
          </w:r>
        </w:p>
        <w:p w14:paraId="41D5F405">
          <w:pPr>
            <w:pStyle w:val="19"/>
            <w:tabs>
              <w:tab w:val="right" w:leader="dot" w:pos="8845"/>
            </w:tabs>
            <w:ind w:firstLine="552"/>
            <w:rPr>
              <w:rFonts w:ascii="Times New Roman" w:hAnsi="Times New Roman" w:cs="Times New Roman"/>
              <w:sz w:val="32"/>
            </w:rPr>
          </w:pPr>
          <w:r>
            <w:fldChar w:fldCharType="begin"/>
          </w:r>
          <w:r>
            <w:instrText xml:space="preserve"> HYPERLINK \l "_Toc5913" </w:instrText>
          </w:r>
          <w:r>
            <w:fldChar w:fldCharType="separate"/>
          </w:r>
          <w:r>
            <w:rPr>
              <w:rFonts w:ascii="Times New Roman" w:hAnsi="Times New Roman" w:eastAsia="仿宋" w:cs="Times New Roman"/>
              <w:bCs/>
              <w:sz w:val="32"/>
            </w:rPr>
            <w:t xml:space="preserve">2.1 </w:t>
          </w:r>
          <w:r>
            <w:rPr>
              <w:rFonts w:ascii="Times New Roman" w:hAnsi="Times New Roman" w:cs="Times New Roman"/>
              <w:sz w:val="32"/>
            </w:rPr>
            <w:t>应急组织机构及职责</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_Toc5913 \h </w:instrText>
          </w:r>
          <w:r>
            <w:rPr>
              <w:rFonts w:ascii="Times New Roman" w:hAnsi="Times New Roman" w:cs="Times New Roman"/>
              <w:sz w:val="32"/>
            </w:rPr>
            <w:fldChar w:fldCharType="separate"/>
          </w:r>
          <w:r>
            <w:rPr>
              <w:rFonts w:ascii="Times New Roman" w:hAnsi="Times New Roman" w:cs="Times New Roman"/>
              <w:sz w:val="32"/>
            </w:rPr>
            <w:t>3</w:t>
          </w:r>
          <w:r>
            <w:rPr>
              <w:rFonts w:ascii="Times New Roman" w:hAnsi="Times New Roman" w:cs="Times New Roman"/>
              <w:sz w:val="32"/>
            </w:rPr>
            <w:fldChar w:fldCharType="end"/>
          </w:r>
          <w:r>
            <w:rPr>
              <w:rFonts w:ascii="Times New Roman" w:hAnsi="Times New Roman" w:cs="Times New Roman"/>
              <w:sz w:val="32"/>
            </w:rPr>
            <w:fldChar w:fldCharType="end"/>
          </w:r>
        </w:p>
        <w:p w14:paraId="72F446E2">
          <w:pPr>
            <w:pStyle w:val="19"/>
            <w:tabs>
              <w:tab w:val="right" w:leader="dot" w:pos="8845"/>
            </w:tabs>
            <w:ind w:firstLine="552"/>
            <w:rPr>
              <w:rFonts w:ascii="Times New Roman" w:hAnsi="Times New Roman" w:cs="Times New Roman"/>
              <w:sz w:val="32"/>
            </w:rPr>
          </w:pPr>
          <w:r>
            <w:fldChar w:fldCharType="begin"/>
          </w:r>
          <w:r>
            <w:instrText xml:space="preserve"> HYPERLINK \l "_Toc14865" </w:instrText>
          </w:r>
          <w:r>
            <w:fldChar w:fldCharType="separate"/>
          </w:r>
          <w:r>
            <w:rPr>
              <w:rFonts w:ascii="Times New Roman" w:hAnsi="Times New Roman" w:eastAsia="仿宋" w:cs="Times New Roman"/>
              <w:bCs/>
              <w:sz w:val="32"/>
            </w:rPr>
            <w:t xml:space="preserve">2.2 </w:t>
          </w:r>
          <w:r>
            <w:rPr>
              <w:rFonts w:ascii="Times New Roman" w:hAnsi="Times New Roman" w:cs="Times New Roman"/>
              <w:sz w:val="32"/>
            </w:rPr>
            <w:t>现场指挥机构及职责</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_Toc14865 \h </w:instrText>
          </w:r>
          <w:r>
            <w:rPr>
              <w:rFonts w:ascii="Times New Roman" w:hAnsi="Times New Roman" w:cs="Times New Roman"/>
              <w:sz w:val="32"/>
            </w:rPr>
            <w:fldChar w:fldCharType="separate"/>
          </w:r>
          <w:r>
            <w:rPr>
              <w:rFonts w:ascii="Times New Roman" w:hAnsi="Times New Roman" w:cs="Times New Roman"/>
              <w:sz w:val="32"/>
            </w:rPr>
            <w:t>5</w:t>
          </w:r>
          <w:r>
            <w:rPr>
              <w:rFonts w:ascii="Times New Roman" w:hAnsi="Times New Roman" w:cs="Times New Roman"/>
              <w:sz w:val="32"/>
            </w:rPr>
            <w:fldChar w:fldCharType="end"/>
          </w:r>
          <w:r>
            <w:rPr>
              <w:rFonts w:ascii="Times New Roman" w:hAnsi="Times New Roman" w:cs="Times New Roman"/>
              <w:sz w:val="32"/>
            </w:rPr>
            <w:fldChar w:fldCharType="end"/>
          </w:r>
        </w:p>
        <w:p w14:paraId="38931CE3">
          <w:pPr>
            <w:pStyle w:val="19"/>
            <w:tabs>
              <w:tab w:val="right" w:leader="dot" w:pos="8845"/>
            </w:tabs>
            <w:ind w:firstLine="552"/>
            <w:rPr>
              <w:rFonts w:ascii="Times New Roman" w:hAnsi="Times New Roman" w:cs="Times New Roman"/>
              <w:sz w:val="32"/>
            </w:rPr>
          </w:pPr>
          <w:r>
            <w:fldChar w:fldCharType="begin"/>
          </w:r>
          <w:r>
            <w:instrText xml:space="preserve"> HYPERLINK \l "_Toc13810" </w:instrText>
          </w:r>
          <w:r>
            <w:fldChar w:fldCharType="separate"/>
          </w:r>
          <w:r>
            <w:rPr>
              <w:rFonts w:ascii="Times New Roman" w:hAnsi="Times New Roman" w:eastAsia="仿宋" w:cs="Times New Roman"/>
              <w:bCs/>
              <w:sz w:val="32"/>
            </w:rPr>
            <w:t xml:space="preserve">2.3 </w:t>
          </w:r>
          <w:r>
            <w:rPr>
              <w:rFonts w:ascii="Times New Roman" w:hAnsi="Times New Roman" w:cs="Times New Roman"/>
              <w:sz w:val="32"/>
            </w:rPr>
            <w:t>生产经营单位应急组织及职责</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_Toc13810 \h </w:instrText>
          </w:r>
          <w:r>
            <w:rPr>
              <w:rFonts w:ascii="Times New Roman" w:hAnsi="Times New Roman" w:cs="Times New Roman"/>
              <w:sz w:val="32"/>
            </w:rPr>
            <w:fldChar w:fldCharType="separate"/>
          </w:r>
          <w:r>
            <w:rPr>
              <w:rFonts w:ascii="Times New Roman" w:hAnsi="Times New Roman" w:cs="Times New Roman"/>
              <w:sz w:val="32"/>
            </w:rPr>
            <w:t>7</w:t>
          </w:r>
          <w:r>
            <w:rPr>
              <w:rFonts w:ascii="Times New Roman" w:hAnsi="Times New Roman" w:cs="Times New Roman"/>
              <w:sz w:val="32"/>
            </w:rPr>
            <w:fldChar w:fldCharType="end"/>
          </w:r>
          <w:r>
            <w:rPr>
              <w:rFonts w:ascii="Times New Roman" w:hAnsi="Times New Roman" w:cs="Times New Roman"/>
              <w:sz w:val="32"/>
            </w:rPr>
            <w:fldChar w:fldCharType="end"/>
          </w:r>
        </w:p>
        <w:p w14:paraId="3C22B28C">
          <w:pPr>
            <w:pStyle w:val="18"/>
            <w:rPr>
              <w:rFonts w:ascii="Times New Roman" w:hAnsi="Times New Roman" w:cs="Times New Roman"/>
              <w:sz w:val="32"/>
            </w:rPr>
          </w:pPr>
          <w:r>
            <w:fldChar w:fldCharType="begin"/>
          </w:r>
          <w:r>
            <w:instrText xml:space="preserve"> HYPERLINK \l "_Toc12646" </w:instrText>
          </w:r>
          <w:r>
            <w:fldChar w:fldCharType="separate"/>
          </w:r>
          <w:r>
            <w:rPr>
              <w:rFonts w:ascii="Times New Roman" w:hAnsi="Times New Roman" w:eastAsia="仿宋" w:cs="Times New Roman"/>
              <w:sz w:val="32"/>
            </w:rPr>
            <w:t xml:space="preserve">3 </w:t>
          </w:r>
          <w:r>
            <w:rPr>
              <w:rFonts w:ascii="Times New Roman" w:hAnsi="Times New Roman" w:cs="Times New Roman"/>
              <w:sz w:val="32"/>
            </w:rPr>
            <w:t>预防和预警机制</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_Toc12646 \h </w:instrText>
          </w:r>
          <w:r>
            <w:rPr>
              <w:rFonts w:ascii="Times New Roman" w:hAnsi="Times New Roman" w:cs="Times New Roman"/>
              <w:sz w:val="32"/>
            </w:rPr>
            <w:fldChar w:fldCharType="separate"/>
          </w:r>
          <w:r>
            <w:rPr>
              <w:rFonts w:ascii="Times New Roman" w:hAnsi="Times New Roman" w:cs="Times New Roman"/>
              <w:sz w:val="32"/>
            </w:rPr>
            <w:t>7</w:t>
          </w:r>
          <w:r>
            <w:rPr>
              <w:rFonts w:ascii="Times New Roman" w:hAnsi="Times New Roman" w:cs="Times New Roman"/>
              <w:sz w:val="32"/>
            </w:rPr>
            <w:fldChar w:fldCharType="end"/>
          </w:r>
          <w:r>
            <w:rPr>
              <w:rFonts w:ascii="Times New Roman" w:hAnsi="Times New Roman" w:cs="Times New Roman"/>
              <w:sz w:val="32"/>
            </w:rPr>
            <w:fldChar w:fldCharType="end"/>
          </w:r>
        </w:p>
        <w:p w14:paraId="29795BD2">
          <w:pPr>
            <w:pStyle w:val="19"/>
            <w:tabs>
              <w:tab w:val="right" w:leader="dot" w:pos="8845"/>
            </w:tabs>
            <w:ind w:firstLine="552"/>
            <w:rPr>
              <w:rFonts w:ascii="Times New Roman" w:hAnsi="Times New Roman" w:cs="Times New Roman"/>
              <w:sz w:val="32"/>
            </w:rPr>
          </w:pPr>
          <w:r>
            <w:fldChar w:fldCharType="begin"/>
          </w:r>
          <w:r>
            <w:instrText xml:space="preserve"> HYPERLINK \l "_Toc22902" </w:instrText>
          </w:r>
          <w:r>
            <w:fldChar w:fldCharType="separate"/>
          </w:r>
          <w:r>
            <w:rPr>
              <w:rFonts w:ascii="Times New Roman" w:hAnsi="Times New Roman" w:eastAsia="仿宋" w:cs="Times New Roman"/>
              <w:bCs/>
              <w:sz w:val="32"/>
            </w:rPr>
            <w:t xml:space="preserve">3.1 </w:t>
          </w:r>
          <w:r>
            <w:rPr>
              <w:rFonts w:ascii="Times New Roman" w:hAnsi="Times New Roman" w:cs="Times New Roman"/>
              <w:sz w:val="32"/>
            </w:rPr>
            <w:t>预防机制</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_Toc22902 \h </w:instrText>
          </w:r>
          <w:r>
            <w:rPr>
              <w:rFonts w:ascii="Times New Roman" w:hAnsi="Times New Roman" w:cs="Times New Roman"/>
              <w:sz w:val="32"/>
            </w:rPr>
            <w:fldChar w:fldCharType="separate"/>
          </w:r>
          <w:r>
            <w:rPr>
              <w:rFonts w:ascii="Times New Roman" w:hAnsi="Times New Roman" w:cs="Times New Roman"/>
              <w:sz w:val="32"/>
            </w:rPr>
            <w:t>7</w:t>
          </w:r>
          <w:r>
            <w:rPr>
              <w:rFonts w:ascii="Times New Roman" w:hAnsi="Times New Roman" w:cs="Times New Roman"/>
              <w:sz w:val="32"/>
            </w:rPr>
            <w:fldChar w:fldCharType="end"/>
          </w:r>
          <w:r>
            <w:rPr>
              <w:rFonts w:ascii="Times New Roman" w:hAnsi="Times New Roman" w:cs="Times New Roman"/>
              <w:sz w:val="32"/>
            </w:rPr>
            <w:fldChar w:fldCharType="end"/>
          </w:r>
        </w:p>
        <w:p w14:paraId="11427700">
          <w:pPr>
            <w:pStyle w:val="19"/>
            <w:tabs>
              <w:tab w:val="right" w:leader="dot" w:pos="8845"/>
            </w:tabs>
            <w:ind w:firstLine="552"/>
            <w:rPr>
              <w:rFonts w:ascii="Times New Roman" w:hAnsi="Times New Roman" w:cs="Times New Roman"/>
              <w:sz w:val="32"/>
            </w:rPr>
          </w:pPr>
          <w:r>
            <w:fldChar w:fldCharType="begin"/>
          </w:r>
          <w:r>
            <w:instrText xml:space="preserve"> HYPERLINK \l "_Toc6893" </w:instrText>
          </w:r>
          <w:r>
            <w:fldChar w:fldCharType="separate"/>
          </w:r>
          <w:r>
            <w:rPr>
              <w:rFonts w:ascii="Times New Roman" w:hAnsi="Times New Roman" w:eastAsia="仿宋" w:cs="Times New Roman"/>
              <w:bCs/>
              <w:sz w:val="32"/>
            </w:rPr>
            <w:t xml:space="preserve">3.2 </w:t>
          </w:r>
          <w:r>
            <w:rPr>
              <w:rFonts w:ascii="Times New Roman" w:hAnsi="Times New Roman" w:cs="Times New Roman"/>
              <w:sz w:val="32"/>
            </w:rPr>
            <w:t>预警方式</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_Toc6893 \h </w:instrText>
          </w:r>
          <w:r>
            <w:rPr>
              <w:rFonts w:ascii="Times New Roman" w:hAnsi="Times New Roman" w:cs="Times New Roman"/>
              <w:sz w:val="32"/>
            </w:rPr>
            <w:fldChar w:fldCharType="separate"/>
          </w:r>
          <w:r>
            <w:rPr>
              <w:rFonts w:ascii="Times New Roman" w:hAnsi="Times New Roman" w:cs="Times New Roman"/>
              <w:sz w:val="32"/>
            </w:rPr>
            <w:t>8</w:t>
          </w:r>
          <w:r>
            <w:rPr>
              <w:rFonts w:ascii="Times New Roman" w:hAnsi="Times New Roman" w:cs="Times New Roman"/>
              <w:sz w:val="32"/>
            </w:rPr>
            <w:fldChar w:fldCharType="end"/>
          </w:r>
          <w:r>
            <w:rPr>
              <w:rFonts w:ascii="Times New Roman" w:hAnsi="Times New Roman" w:cs="Times New Roman"/>
              <w:sz w:val="32"/>
            </w:rPr>
            <w:fldChar w:fldCharType="end"/>
          </w:r>
        </w:p>
        <w:p w14:paraId="10024944">
          <w:pPr>
            <w:pStyle w:val="19"/>
            <w:tabs>
              <w:tab w:val="right" w:leader="dot" w:pos="8845"/>
            </w:tabs>
            <w:ind w:firstLine="552"/>
            <w:rPr>
              <w:rFonts w:ascii="Times New Roman" w:hAnsi="Times New Roman" w:cs="Times New Roman"/>
              <w:sz w:val="32"/>
            </w:rPr>
          </w:pPr>
          <w:r>
            <w:fldChar w:fldCharType="begin"/>
          </w:r>
          <w:r>
            <w:instrText xml:space="preserve"> HYPERLINK \l "_Toc20162" </w:instrText>
          </w:r>
          <w:r>
            <w:fldChar w:fldCharType="separate"/>
          </w:r>
          <w:r>
            <w:rPr>
              <w:rFonts w:ascii="Times New Roman" w:hAnsi="Times New Roman" w:eastAsia="仿宋" w:cs="Times New Roman"/>
              <w:bCs/>
              <w:sz w:val="32"/>
            </w:rPr>
            <w:t xml:space="preserve">3.3 </w:t>
          </w:r>
          <w:r>
            <w:rPr>
              <w:rFonts w:ascii="Times New Roman" w:hAnsi="Times New Roman" w:cs="Times New Roman"/>
              <w:sz w:val="32"/>
            </w:rPr>
            <w:t>预警发布</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_Toc20162 \h </w:instrText>
          </w:r>
          <w:r>
            <w:rPr>
              <w:rFonts w:ascii="Times New Roman" w:hAnsi="Times New Roman" w:cs="Times New Roman"/>
              <w:sz w:val="32"/>
            </w:rPr>
            <w:fldChar w:fldCharType="separate"/>
          </w:r>
          <w:r>
            <w:rPr>
              <w:rFonts w:ascii="Times New Roman" w:hAnsi="Times New Roman" w:cs="Times New Roman"/>
              <w:sz w:val="32"/>
            </w:rPr>
            <w:t>9</w:t>
          </w:r>
          <w:r>
            <w:rPr>
              <w:rFonts w:ascii="Times New Roman" w:hAnsi="Times New Roman" w:cs="Times New Roman"/>
              <w:sz w:val="32"/>
            </w:rPr>
            <w:fldChar w:fldCharType="end"/>
          </w:r>
          <w:r>
            <w:rPr>
              <w:rFonts w:ascii="Times New Roman" w:hAnsi="Times New Roman" w:cs="Times New Roman"/>
              <w:sz w:val="32"/>
            </w:rPr>
            <w:fldChar w:fldCharType="end"/>
          </w:r>
        </w:p>
        <w:p w14:paraId="528DD5B3">
          <w:pPr>
            <w:pStyle w:val="19"/>
            <w:tabs>
              <w:tab w:val="right" w:leader="dot" w:pos="8845"/>
            </w:tabs>
            <w:ind w:firstLine="552"/>
            <w:rPr>
              <w:rFonts w:ascii="Times New Roman" w:hAnsi="Times New Roman" w:cs="Times New Roman"/>
              <w:sz w:val="32"/>
            </w:rPr>
          </w:pPr>
          <w:r>
            <w:fldChar w:fldCharType="begin"/>
          </w:r>
          <w:r>
            <w:instrText xml:space="preserve"> HYPERLINK \l "_Toc6918" </w:instrText>
          </w:r>
          <w:r>
            <w:fldChar w:fldCharType="separate"/>
          </w:r>
          <w:r>
            <w:rPr>
              <w:rFonts w:ascii="Times New Roman" w:hAnsi="Times New Roman" w:eastAsia="仿宋" w:cs="Times New Roman"/>
              <w:bCs/>
              <w:sz w:val="32"/>
            </w:rPr>
            <w:t xml:space="preserve">3.4 </w:t>
          </w:r>
          <w:r>
            <w:rPr>
              <w:rFonts w:ascii="Times New Roman" w:hAnsi="Times New Roman" w:cs="Times New Roman"/>
              <w:sz w:val="32"/>
            </w:rPr>
            <w:t>预警行动</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_Toc6918 \h </w:instrText>
          </w:r>
          <w:r>
            <w:rPr>
              <w:rFonts w:ascii="Times New Roman" w:hAnsi="Times New Roman" w:cs="Times New Roman"/>
              <w:sz w:val="32"/>
            </w:rPr>
            <w:fldChar w:fldCharType="separate"/>
          </w:r>
          <w:r>
            <w:rPr>
              <w:rFonts w:ascii="Times New Roman" w:hAnsi="Times New Roman" w:cs="Times New Roman"/>
              <w:sz w:val="32"/>
            </w:rPr>
            <w:t>9</w:t>
          </w:r>
          <w:r>
            <w:rPr>
              <w:rFonts w:ascii="Times New Roman" w:hAnsi="Times New Roman" w:cs="Times New Roman"/>
              <w:sz w:val="32"/>
            </w:rPr>
            <w:fldChar w:fldCharType="end"/>
          </w:r>
          <w:r>
            <w:rPr>
              <w:rFonts w:ascii="Times New Roman" w:hAnsi="Times New Roman" w:cs="Times New Roman"/>
              <w:sz w:val="32"/>
            </w:rPr>
            <w:fldChar w:fldCharType="end"/>
          </w:r>
        </w:p>
        <w:p w14:paraId="07AA2937">
          <w:pPr>
            <w:pStyle w:val="19"/>
            <w:tabs>
              <w:tab w:val="right" w:leader="dot" w:pos="8845"/>
            </w:tabs>
            <w:ind w:firstLine="552"/>
            <w:rPr>
              <w:rFonts w:ascii="Times New Roman" w:hAnsi="Times New Roman" w:cs="Times New Roman"/>
              <w:sz w:val="32"/>
            </w:rPr>
          </w:pPr>
          <w:r>
            <w:fldChar w:fldCharType="begin"/>
          </w:r>
          <w:r>
            <w:instrText xml:space="preserve"> HYPERLINK \l "_Toc19871" </w:instrText>
          </w:r>
          <w:r>
            <w:fldChar w:fldCharType="separate"/>
          </w:r>
          <w:r>
            <w:rPr>
              <w:rFonts w:ascii="Times New Roman" w:hAnsi="Times New Roman" w:eastAsia="仿宋" w:cs="Times New Roman"/>
              <w:bCs/>
              <w:sz w:val="32"/>
            </w:rPr>
            <w:t xml:space="preserve">3.5 </w:t>
          </w:r>
          <w:r>
            <w:rPr>
              <w:rFonts w:ascii="Times New Roman" w:hAnsi="Times New Roman" w:cs="Times New Roman"/>
              <w:sz w:val="32"/>
            </w:rPr>
            <w:t>预警解除</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_Toc19871 \h </w:instrText>
          </w:r>
          <w:r>
            <w:rPr>
              <w:rFonts w:ascii="Times New Roman" w:hAnsi="Times New Roman" w:cs="Times New Roman"/>
              <w:sz w:val="32"/>
            </w:rPr>
            <w:fldChar w:fldCharType="separate"/>
          </w:r>
          <w:r>
            <w:rPr>
              <w:rFonts w:ascii="Times New Roman" w:hAnsi="Times New Roman" w:cs="Times New Roman"/>
              <w:sz w:val="32"/>
            </w:rPr>
            <w:t>10</w:t>
          </w:r>
          <w:r>
            <w:rPr>
              <w:rFonts w:ascii="Times New Roman" w:hAnsi="Times New Roman" w:cs="Times New Roman"/>
              <w:sz w:val="32"/>
            </w:rPr>
            <w:fldChar w:fldCharType="end"/>
          </w:r>
          <w:r>
            <w:rPr>
              <w:rFonts w:ascii="Times New Roman" w:hAnsi="Times New Roman" w:cs="Times New Roman"/>
              <w:sz w:val="32"/>
            </w:rPr>
            <w:fldChar w:fldCharType="end"/>
          </w:r>
        </w:p>
        <w:p w14:paraId="3CFE315F">
          <w:pPr>
            <w:pStyle w:val="18"/>
            <w:rPr>
              <w:rFonts w:ascii="Times New Roman" w:hAnsi="Times New Roman" w:cs="Times New Roman"/>
              <w:sz w:val="32"/>
            </w:rPr>
          </w:pPr>
          <w:r>
            <w:fldChar w:fldCharType="begin"/>
          </w:r>
          <w:r>
            <w:instrText xml:space="preserve"> HYPERLINK \l "_Toc17303" </w:instrText>
          </w:r>
          <w:r>
            <w:fldChar w:fldCharType="separate"/>
          </w:r>
          <w:r>
            <w:rPr>
              <w:rFonts w:ascii="Times New Roman" w:hAnsi="Times New Roman" w:eastAsia="仿宋" w:cs="Times New Roman"/>
              <w:sz w:val="32"/>
            </w:rPr>
            <w:t xml:space="preserve">4 </w:t>
          </w:r>
          <w:r>
            <w:rPr>
              <w:rFonts w:ascii="Times New Roman" w:hAnsi="Times New Roman" w:cs="Times New Roman"/>
              <w:sz w:val="32"/>
            </w:rPr>
            <w:t>应急响应</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_Toc17303 \h </w:instrText>
          </w:r>
          <w:r>
            <w:rPr>
              <w:rFonts w:ascii="Times New Roman" w:hAnsi="Times New Roman" w:cs="Times New Roman"/>
              <w:sz w:val="32"/>
            </w:rPr>
            <w:fldChar w:fldCharType="separate"/>
          </w:r>
          <w:r>
            <w:rPr>
              <w:rFonts w:ascii="Times New Roman" w:hAnsi="Times New Roman" w:cs="Times New Roman"/>
              <w:sz w:val="32"/>
            </w:rPr>
            <w:t>11</w:t>
          </w:r>
          <w:r>
            <w:rPr>
              <w:rFonts w:ascii="Times New Roman" w:hAnsi="Times New Roman" w:cs="Times New Roman"/>
              <w:sz w:val="32"/>
            </w:rPr>
            <w:fldChar w:fldCharType="end"/>
          </w:r>
          <w:r>
            <w:rPr>
              <w:rFonts w:ascii="Times New Roman" w:hAnsi="Times New Roman" w:cs="Times New Roman"/>
              <w:sz w:val="32"/>
            </w:rPr>
            <w:fldChar w:fldCharType="end"/>
          </w:r>
        </w:p>
        <w:p w14:paraId="5EE43947">
          <w:pPr>
            <w:pStyle w:val="19"/>
            <w:tabs>
              <w:tab w:val="right" w:leader="dot" w:pos="8845"/>
            </w:tabs>
            <w:ind w:firstLine="552"/>
            <w:rPr>
              <w:rFonts w:ascii="Times New Roman" w:hAnsi="Times New Roman" w:cs="Times New Roman"/>
              <w:sz w:val="32"/>
            </w:rPr>
          </w:pPr>
          <w:r>
            <w:fldChar w:fldCharType="begin"/>
          </w:r>
          <w:r>
            <w:instrText xml:space="preserve"> HYPERLINK \l "_Toc31893" </w:instrText>
          </w:r>
          <w:r>
            <w:fldChar w:fldCharType="separate"/>
          </w:r>
          <w:r>
            <w:rPr>
              <w:rFonts w:ascii="Times New Roman" w:hAnsi="Times New Roman" w:eastAsia="仿宋" w:cs="Times New Roman"/>
              <w:bCs/>
              <w:sz w:val="32"/>
            </w:rPr>
            <w:t xml:space="preserve">4.1 </w:t>
          </w:r>
          <w:r>
            <w:rPr>
              <w:rFonts w:ascii="Times New Roman" w:hAnsi="Times New Roman" w:cs="Times New Roman"/>
              <w:sz w:val="32"/>
            </w:rPr>
            <w:t>信息报告</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_Toc31893 \h </w:instrText>
          </w:r>
          <w:r>
            <w:rPr>
              <w:rFonts w:ascii="Times New Roman" w:hAnsi="Times New Roman" w:cs="Times New Roman"/>
              <w:sz w:val="32"/>
            </w:rPr>
            <w:fldChar w:fldCharType="separate"/>
          </w:r>
          <w:r>
            <w:rPr>
              <w:rFonts w:ascii="Times New Roman" w:hAnsi="Times New Roman" w:cs="Times New Roman"/>
              <w:sz w:val="32"/>
            </w:rPr>
            <w:t>11</w:t>
          </w:r>
          <w:r>
            <w:rPr>
              <w:rFonts w:ascii="Times New Roman" w:hAnsi="Times New Roman" w:cs="Times New Roman"/>
              <w:sz w:val="32"/>
            </w:rPr>
            <w:fldChar w:fldCharType="end"/>
          </w:r>
          <w:r>
            <w:rPr>
              <w:rFonts w:ascii="Times New Roman" w:hAnsi="Times New Roman" w:cs="Times New Roman"/>
              <w:sz w:val="32"/>
            </w:rPr>
            <w:fldChar w:fldCharType="end"/>
          </w:r>
        </w:p>
        <w:p w14:paraId="27DA8A52">
          <w:pPr>
            <w:pStyle w:val="19"/>
            <w:tabs>
              <w:tab w:val="right" w:leader="dot" w:pos="8845"/>
            </w:tabs>
            <w:ind w:firstLine="552"/>
            <w:rPr>
              <w:rFonts w:ascii="Times New Roman" w:hAnsi="Times New Roman" w:cs="Times New Roman"/>
              <w:sz w:val="32"/>
            </w:rPr>
          </w:pPr>
          <w:r>
            <w:fldChar w:fldCharType="begin"/>
          </w:r>
          <w:r>
            <w:instrText xml:space="preserve"> HYPERLINK \l "_Toc29784" </w:instrText>
          </w:r>
          <w:r>
            <w:fldChar w:fldCharType="separate"/>
          </w:r>
          <w:r>
            <w:rPr>
              <w:rFonts w:ascii="Times New Roman" w:hAnsi="Times New Roman" w:eastAsia="仿宋" w:cs="Times New Roman"/>
              <w:bCs/>
              <w:sz w:val="32"/>
            </w:rPr>
            <w:t xml:space="preserve">4.2 </w:t>
          </w:r>
          <w:r>
            <w:rPr>
              <w:rFonts w:ascii="Times New Roman" w:hAnsi="Times New Roman" w:cs="Times New Roman"/>
              <w:sz w:val="32"/>
            </w:rPr>
            <w:t>先期处置</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_Toc29784 \h </w:instrText>
          </w:r>
          <w:r>
            <w:rPr>
              <w:rFonts w:ascii="Times New Roman" w:hAnsi="Times New Roman" w:cs="Times New Roman"/>
              <w:sz w:val="32"/>
            </w:rPr>
            <w:fldChar w:fldCharType="separate"/>
          </w:r>
          <w:r>
            <w:rPr>
              <w:rFonts w:ascii="Times New Roman" w:hAnsi="Times New Roman" w:cs="Times New Roman"/>
              <w:sz w:val="32"/>
            </w:rPr>
            <w:t>12</w:t>
          </w:r>
          <w:r>
            <w:rPr>
              <w:rFonts w:ascii="Times New Roman" w:hAnsi="Times New Roman" w:cs="Times New Roman"/>
              <w:sz w:val="32"/>
            </w:rPr>
            <w:fldChar w:fldCharType="end"/>
          </w:r>
          <w:r>
            <w:rPr>
              <w:rFonts w:ascii="Times New Roman" w:hAnsi="Times New Roman" w:cs="Times New Roman"/>
              <w:sz w:val="32"/>
            </w:rPr>
            <w:fldChar w:fldCharType="end"/>
          </w:r>
        </w:p>
        <w:p w14:paraId="07B5A8D9">
          <w:pPr>
            <w:pStyle w:val="19"/>
            <w:tabs>
              <w:tab w:val="right" w:leader="dot" w:pos="8845"/>
            </w:tabs>
            <w:ind w:firstLine="552"/>
            <w:rPr>
              <w:rFonts w:ascii="Times New Roman" w:hAnsi="Times New Roman" w:cs="Times New Roman"/>
              <w:sz w:val="32"/>
            </w:rPr>
          </w:pPr>
          <w:r>
            <w:fldChar w:fldCharType="begin"/>
          </w:r>
          <w:r>
            <w:instrText xml:space="preserve"> HYPERLINK \l "_Toc2695" </w:instrText>
          </w:r>
          <w:r>
            <w:fldChar w:fldCharType="separate"/>
          </w:r>
          <w:r>
            <w:rPr>
              <w:rFonts w:ascii="Times New Roman" w:hAnsi="Times New Roman" w:eastAsia="仿宋" w:cs="Times New Roman"/>
              <w:bCs/>
              <w:sz w:val="32"/>
            </w:rPr>
            <w:t xml:space="preserve">4.3 </w:t>
          </w:r>
          <w:r>
            <w:rPr>
              <w:rFonts w:ascii="Times New Roman" w:hAnsi="Times New Roman" w:cs="Times New Roman"/>
              <w:sz w:val="32"/>
            </w:rPr>
            <w:t>响应启动</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_Toc2695 \h </w:instrText>
          </w:r>
          <w:r>
            <w:rPr>
              <w:rFonts w:ascii="Times New Roman" w:hAnsi="Times New Roman" w:cs="Times New Roman"/>
              <w:sz w:val="32"/>
            </w:rPr>
            <w:fldChar w:fldCharType="separate"/>
          </w:r>
          <w:r>
            <w:rPr>
              <w:rFonts w:ascii="Times New Roman" w:hAnsi="Times New Roman" w:cs="Times New Roman"/>
              <w:sz w:val="32"/>
            </w:rPr>
            <w:t>12</w:t>
          </w:r>
          <w:r>
            <w:rPr>
              <w:rFonts w:ascii="Times New Roman" w:hAnsi="Times New Roman" w:cs="Times New Roman"/>
              <w:sz w:val="32"/>
            </w:rPr>
            <w:fldChar w:fldCharType="end"/>
          </w:r>
          <w:r>
            <w:rPr>
              <w:rFonts w:ascii="Times New Roman" w:hAnsi="Times New Roman" w:cs="Times New Roman"/>
              <w:sz w:val="32"/>
            </w:rPr>
            <w:fldChar w:fldCharType="end"/>
          </w:r>
        </w:p>
        <w:p w14:paraId="16439D97">
          <w:pPr>
            <w:pStyle w:val="19"/>
            <w:tabs>
              <w:tab w:val="right" w:leader="dot" w:pos="8845"/>
            </w:tabs>
            <w:ind w:firstLine="552"/>
            <w:rPr>
              <w:rFonts w:ascii="Times New Roman" w:hAnsi="Times New Roman" w:cs="Times New Roman"/>
              <w:sz w:val="32"/>
            </w:rPr>
          </w:pPr>
          <w:r>
            <w:fldChar w:fldCharType="begin"/>
          </w:r>
          <w:r>
            <w:instrText xml:space="preserve"> HYPERLINK \l "_Toc24197" </w:instrText>
          </w:r>
          <w:r>
            <w:fldChar w:fldCharType="separate"/>
          </w:r>
          <w:r>
            <w:rPr>
              <w:rFonts w:ascii="Times New Roman" w:hAnsi="Times New Roman" w:eastAsia="仿宋" w:cs="Times New Roman"/>
              <w:bCs/>
              <w:sz w:val="32"/>
            </w:rPr>
            <w:t xml:space="preserve">4.4 </w:t>
          </w:r>
          <w:r>
            <w:rPr>
              <w:rFonts w:ascii="Times New Roman" w:hAnsi="Times New Roman" w:cs="Times New Roman"/>
              <w:sz w:val="32"/>
            </w:rPr>
            <w:t>处置措施</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_Toc24197 \h </w:instrText>
          </w:r>
          <w:r>
            <w:rPr>
              <w:rFonts w:ascii="Times New Roman" w:hAnsi="Times New Roman" w:cs="Times New Roman"/>
              <w:sz w:val="32"/>
            </w:rPr>
            <w:fldChar w:fldCharType="separate"/>
          </w:r>
          <w:r>
            <w:rPr>
              <w:rFonts w:ascii="Times New Roman" w:hAnsi="Times New Roman" w:cs="Times New Roman"/>
              <w:sz w:val="32"/>
            </w:rPr>
            <w:t>13</w:t>
          </w:r>
          <w:r>
            <w:rPr>
              <w:rFonts w:ascii="Times New Roman" w:hAnsi="Times New Roman" w:cs="Times New Roman"/>
              <w:sz w:val="32"/>
            </w:rPr>
            <w:fldChar w:fldCharType="end"/>
          </w:r>
          <w:r>
            <w:rPr>
              <w:rFonts w:ascii="Times New Roman" w:hAnsi="Times New Roman" w:cs="Times New Roman"/>
              <w:sz w:val="32"/>
            </w:rPr>
            <w:fldChar w:fldCharType="end"/>
          </w:r>
        </w:p>
        <w:p w14:paraId="550BA3E9">
          <w:pPr>
            <w:pStyle w:val="19"/>
            <w:tabs>
              <w:tab w:val="right" w:leader="dot" w:pos="8845"/>
            </w:tabs>
            <w:ind w:firstLine="552"/>
            <w:rPr>
              <w:rFonts w:ascii="Times New Roman" w:hAnsi="Times New Roman" w:cs="Times New Roman"/>
              <w:sz w:val="32"/>
            </w:rPr>
          </w:pPr>
          <w:r>
            <w:fldChar w:fldCharType="begin"/>
          </w:r>
          <w:r>
            <w:instrText xml:space="preserve"> HYPERLINK \l "_Toc12827" </w:instrText>
          </w:r>
          <w:r>
            <w:fldChar w:fldCharType="separate"/>
          </w:r>
          <w:r>
            <w:rPr>
              <w:rFonts w:ascii="Times New Roman" w:hAnsi="Times New Roman" w:eastAsia="仿宋" w:cs="Times New Roman"/>
              <w:bCs/>
              <w:sz w:val="32"/>
            </w:rPr>
            <w:t xml:space="preserve">4.5 </w:t>
          </w:r>
          <w:r>
            <w:rPr>
              <w:rFonts w:ascii="Times New Roman" w:hAnsi="Times New Roman" w:cs="Times New Roman"/>
              <w:sz w:val="32"/>
            </w:rPr>
            <w:t>扩大响应</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_Toc12827 \h </w:instrText>
          </w:r>
          <w:r>
            <w:rPr>
              <w:rFonts w:ascii="Times New Roman" w:hAnsi="Times New Roman" w:cs="Times New Roman"/>
              <w:sz w:val="32"/>
            </w:rPr>
            <w:fldChar w:fldCharType="separate"/>
          </w:r>
          <w:r>
            <w:rPr>
              <w:rFonts w:ascii="Times New Roman" w:hAnsi="Times New Roman" w:cs="Times New Roman"/>
              <w:sz w:val="32"/>
            </w:rPr>
            <w:t>15</w:t>
          </w:r>
          <w:r>
            <w:rPr>
              <w:rFonts w:ascii="Times New Roman" w:hAnsi="Times New Roman" w:cs="Times New Roman"/>
              <w:sz w:val="32"/>
            </w:rPr>
            <w:fldChar w:fldCharType="end"/>
          </w:r>
          <w:r>
            <w:rPr>
              <w:rFonts w:ascii="Times New Roman" w:hAnsi="Times New Roman" w:cs="Times New Roman"/>
              <w:sz w:val="32"/>
            </w:rPr>
            <w:fldChar w:fldCharType="end"/>
          </w:r>
        </w:p>
        <w:p w14:paraId="12F1D4BE">
          <w:pPr>
            <w:pStyle w:val="19"/>
            <w:tabs>
              <w:tab w:val="right" w:leader="dot" w:pos="8845"/>
            </w:tabs>
            <w:ind w:firstLine="552"/>
            <w:rPr>
              <w:rFonts w:ascii="Times New Roman" w:hAnsi="Times New Roman" w:cs="Times New Roman"/>
              <w:sz w:val="32"/>
            </w:rPr>
          </w:pPr>
          <w:r>
            <w:fldChar w:fldCharType="begin"/>
          </w:r>
          <w:r>
            <w:instrText xml:space="preserve"> HYPERLINK \l "_Toc20251" </w:instrText>
          </w:r>
          <w:r>
            <w:fldChar w:fldCharType="separate"/>
          </w:r>
          <w:r>
            <w:rPr>
              <w:rFonts w:ascii="Times New Roman" w:hAnsi="Times New Roman" w:eastAsia="仿宋" w:cs="Times New Roman"/>
              <w:bCs/>
              <w:sz w:val="32"/>
            </w:rPr>
            <w:t xml:space="preserve">4.6 </w:t>
          </w:r>
          <w:r>
            <w:rPr>
              <w:rFonts w:ascii="Times New Roman" w:hAnsi="Times New Roman" w:cs="Times New Roman"/>
              <w:sz w:val="32"/>
            </w:rPr>
            <w:t>响应结束</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_Toc20251 \h </w:instrText>
          </w:r>
          <w:r>
            <w:rPr>
              <w:rFonts w:ascii="Times New Roman" w:hAnsi="Times New Roman" w:cs="Times New Roman"/>
              <w:sz w:val="32"/>
            </w:rPr>
            <w:fldChar w:fldCharType="separate"/>
          </w:r>
          <w:r>
            <w:rPr>
              <w:rFonts w:ascii="Times New Roman" w:hAnsi="Times New Roman" w:cs="Times New Roman"/>
              <w:sz w:val="32"/>
            </w:rPr>
            <w:t>15</w:t>
          </w:r>
          <w:r>
            <w:rPr>
              <w:rFonts w:ascii="Times New Roman" w:hAnsi="Times New Roman" w:cs="Times New Roman"/>
              <w:sz w:val="32"/>
            </w:rPr>
            <w:fldChar w:fldCharType="end"/>
          </w:r>
          <w:r>
            <w:rPr>
              <w:rFonts w:ascii="Times New Roman" w:hAnsi="Times New Roman" w:cs="Times New Roman"/>
              <w:sz w:val="32"/>
            </w:rPr>
            <w:fldChar w:fldCharType="end"/>
          </w:r>
        </w:p>
        <w:p w14:paraId="16E8D747">
          <w:pPr>
            <w:pStyle w:val="19"/>
            <w:tabs>
              <w:tab w:val="right" w:leader="dot" w:pos="8845"/>
            </w:tabs>
            <w:ind w:firstLine="552"/>
            <w:rPr>
              <w:rFonts w:ascii="Times New Roman" w:hAnsi="Times New Roman" w:cs="Times New Roman"/>
              <w:sz w:val="32"/>
            </w:rPr>
          </w:pPr>
          <w:r>
            <w:fldChar w:fldCharType="begin"/>
          </w:r>
          <w:r>
            <w:instrText xml:space="preserve"> HYPERLINK \l "_Toc23936" </w:instrText>
          </w:r>
          <w:r>
            <w:fldChar w:fldCharType="separate"/>
          </w:r>
          <w:r>
            <w:rPr>
              <w:rFonts w:ascii="Times New Roman" w:hAnsi="Times New Roman" w:eastAsia="仿宋" w:cs="Times New Roman"/>
              <w:bCs/>
              <w:sz w:val="32"/>
            </w:rPr>
            <w:t xml:space="preserve">4.7 </w:t>
          </w:r>
          <w:r>
            <w:rPr>
              <w:rFonts w:ascii="Times New Roman" w:hAnsi="Times New Roman" w:cs="Times New Roman"/>
              <w:sz w:val="32"/>
            </w:rPr>
            <w:t>信息发布</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_Toc23936 \h </w:instrText>
          </w:r>
          <w:r>
            <w:rPr>
              <w:rFonts w:ascii="Times New Roman" w:hAnsi="Times New Roman" w:cs="Times New Roman"/>
              <w:sz w:val="32"/>
            </w:rPr>
            <w:fldChar w:fldCharType="separate"/>
          </w:r>
          <w:r>
            <w:rPr>
              <w:rFonts w:ascii="Times New Roman" w:hAnsi="Times New Roman" w:cs="Times New Roman"/>
              <w:sz w:val="32"/>
            </w:rPr>
            <w:t>15</w:t>
          </w:r>
          <w:r>
            <w:rPr>
              <w:rFonts w:ascii="Times New Roman" w:hAnsi="Times New Roman" w:cs="Times New Roman"/>
              <w:sz w:val="32"/>
            </w:rPr>
            <w:fldChar w:fldCharType="end"/>
          </w:r>
          <w:r>
            <w:rPr>
              <w:rFonts w:ascii="Times New Roman" w:hAnsi="Times New Roman" w:cs="Times New Roman"/>
              <w:sz w:val="32"/>
            </w:rPr>
            <w:fldChar w:fldCharType="end"/>
          </w:r>
        </w:p>
        <w:p w14:paraId="43DD397B">
          <w:pPr>
            <w:pStyle w:val="18"/>
            <w:rPr>
              <w:rFonts w:ascii="Times New Roman" w:hAnsi="Times New Roman" w:cs="Times New Roman"/>
              <w:sz w:val="32"/>
            </w:rPr>
          </w:pPr>
          <w:r>
            <w:fldChar w:fldCharType="begin"/>
          </w:r>
          <w:r>
            <w:instrText xml:space="preserve"> HYPERLINK \l "_Toc15376" </w:instrText>
          </w:r>
          <w:r>
            <w:fldChar w:fldCharType="separate"/>
          </w:r>
          <w:r>
            <w:rPr>
              <w:rFonts w:ascii="Times New Roman" w:hAnsi="Times New Roman" w:eastAsia="仿宋" w:cs="Times New Roman"/>
              <w:sz w:val="32"/>
            </w:rPr>
            <w:t xml:space="preserve">5 </w:t>
          </w:r>
          <w:r>
            <w:rPr>
              <w:rFonts w:ascii="Times New Roman" w:hAnsi="Times New Roman" w:cs="Times New Roman"/>
              <w:sz w:val="32"/>
            </w:rPr>
            <w:t>后期处置</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_Toc15376 \h </w:instrText>
          </w:r>
          <w:r>
            <w:rPr>
              <w:rFonts w:ascii="Times New Roman" w:hAnsi="Times New Roman" w:cs="Times New Roman"/>
              <w:sz w:val="32"/>
            </w:rPr>
            <w:fldChar w:fldCharType="separate"/>
          </w:r>
          <w:r>
            <w:rPr>
              <w:rFonts w:ascii="Times New Roman" w:hAnsi="Times New Roman" w:cs="Times New Roman"/>
              <w:sz w:val="32"/>
            </w:rPr>
            <w:t>16</w:t>
          </w:r>
          <w:r>
            <w:rPr>
              <w:rFonts w:ascii="Times New Roman" w:hAnsi="Times New Roman" w:cs="Times New Roman"/>
              <w:sz w:val="32"/>
            </w:rPr>
            <w:fldChar w:fldCharType="end"/>
          </w:r>
          <w:r>
            <w:rPr>
              <w:rFonts w:ascii="Times New Roman" w:hAnsi="Times New Roman" w:cs="Times New Roman"/>
              <w:sz w:val="32"/>
            </w:rPr>
            <w:fldChar w:fldCharType="end"/>
          </w:r>
        </w:p>
        <w:p w14:paraId="2F2F13A6">
          <w:pPr>
            <w:pStyle w:val="19"/>
            <w:tabs>
              <w:tab w:val="right" w:leader="dot" w:pos="8845"/>
            </w:tabs>
            <w:ind w:firstLine="552"/>
            <w:rPr>
              <w:rFonts w:ascii="Times New Roman" w:hAnsi="Times New Roman" w:cs="Times New Roman"/>
              <w:sz w:val="32"/>
            </w:rPr>
          </w:pPr>
          <w:r>
            <w:fldChar w:fldCharType="begin"/>
          </w:r>
          <w:r>
            <w:instrText xml:space="preserve"> HYPERLINK \l "_Toc5460" </w:instrText>
          </w:r>
          <w:r>
            <w:fldChar w:fldCharType="separate"/>
          </w:r>
          <w:r>
            <w:rPr>
              <w:rFonts w:ascii="Times New Roman" w:hAnsi="Times New Roman" w:eastAsia="仿宋" w:cs="Times New Roman"/>
              <w:bCs/>
              <w:sz w:val="32"/>
            </w:rPr>
            <w:t xml:space="preserve">5.1 </w:t>
          </w:r>
          <w:r>
            <w:rPr>
              <w:rFonts w:ascii="Times New Roman" w:hAnsi="Times New Roman" w:cs="Times New Roman"/>
              <w:sz w:val="32"/>
            </w:rPr>
            <w:t>善后处置与现场恢复</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_Toc5460 \h </w:instrText>
          </w:r>
          <w:r>
            <w:rPr>
              <w:rFonts w:ascii="Times New Roman" w:hAnsi="Times New Roman" w:cs="Times New Roman"/>
              <w:sz w:val="32"/>
            </w:rPr>
            <w:fldChar w:fldCharType="separate"/>
          </w:r>
          <w:r>
            <w:rPr>
              <w:rFonts w:ascii="Times New Roman" w:hAnsi="Times New Roman" w:cs="Times New Roman"/>
              <w:sz w:val="32"/>
            </w:rPr>
            <w:t>16</w:t>
          </w:r>
          <w:r>
            <w:rPr>
              <w:rFonts w:ascii="Times New Roman" w:hAnsi="Times New Roman" w:cs="Times New Roman"/>
              <w:sz w:val="32"/>
            </w:rPr>
            <w:fldChar w:fldCharType="end"/>
          </w:r>
          <w:r>
            <w:rPr>
              <w:rFonts w:ascii="Times New Roman" w:hAnsi="Times New Roman" w:cs="Times New Roman"/>
              <w:sz w:val="32"/>
            </w:rPr>
            <w:fldChar w:fldCharType="end"/>
          </w:r>
        </w:p>
        <w:p w14:paraId="290F289A">
          <w:pPr>
            <w:pStyle w:val="19"/>
            <w:tabs>
              <w:tab w:val="right" w:leader="dot" w:pos="8845"/>
            </w:tabs>
            <w:ind w:firstLine="552"/>
            <w:rPr>
              <w:rFonts w:ascii="Times New Roman" w:hAnsi="Times New Roman" w:cs="Times New Roman"/>
              <w:sz w:val="32"/>
            </w:rPr>
          </w:pPr>
          <w:r>
            <w:fldChar w:fldCharType="begin"/>
          </w:r>
          <w:r>
            <w:instrText xml:space="preserve"> HYPERLINK \l "_Toc13343" </w:instrText>
          </w:r>
          <w:r>
            <w:fldChar w:fldCharType="separate"/>
          </w:r>
          <w:r>
            <w:rPr>
              <w:rFonts w:ascii="Times New Roman" w:hAnsi="Times New Roman" w:eastAsia="仿宋" w:cs="Times New Roman"/>
              <w:bCs/>
              <w:sz w:val="32"/>
            </w:rPr>
            <w:t xml:space="preserve">5.2 </w:t>
          </w:r>
          <w:r>
            <w:rPr>
              <w:rFonts w:ascii="Times New Roman" w:hAnsi="Times New Roman" w:cs="Times New Roman"/>
              <w:sz w:val="32"/>
            </w:rPr>
            <w:t>调查总结与评估</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_Toc13343 \h </w:instrText>
          </w:r>
          <w:r>
            <w:rPr>
              <w:rFonts w:ascii="Times New Roman" w:hAnsi="Times New Roman" w:cs="Times New Roman"/>
              <w:sz w:val="32"/>
            </w:rPr>
            <w:fldChar w:fldCharType="separate"/>
          </w:r>
          <w:r>
            <w:rPr>
              <w:rFonts w:ascii="Times New Roman" w:hAnsi="Times New Roman" w:cs="Times New Roman"/>
              <w:sz w:val="32"/>
            </w:rPr>
            <w:t>16</w:t>
          </w:r>
          <w:r>
            <w:rPr>
              <w:rFonts w:ascii="Times New Roman" w:hAnsi="Times New Roman" w:cs="Times New Roman"/>
              <w:sz w:val="32"/>
            </w:rPr>
            <w:fldChar w:fldCharType="end"/>
          </w:r>
          <w:r>
            <w:rPr>
              <w:rFonts w:ascii="Times New Roman" w:hAnsi="Times New Roman" w:cs="Times New Roman"/>
              <w:sz w:val="32"/>
            </w:rPr>
            <w:fldChar w:fldCharType="end"/>
          </w:r>
        </w:p>
        <w:p w14:paraId="7BBA15CA">
          <w:pPr>
            <w:pStyle w:val="18"/>
            <w:rPr>
              <w:rFonts w:ascii="Times New Roman" w:hAnsi="Times New Roman" w:cs="Times New Roman"/>
              <w:sz w:val="32"/>
            </w:rPr>
          </w:pPr>
          <w:r>
            <w:fldChar w:fldCharType="begin"/>
          </w:r>
          <w:r>
            <w:instrText xml:space="preserve"> HYPERLINK \l "_Toc31662" </w:instrText>
          </w:r>
          <w:r>
            <w:fldChar w:fldCharType="separate"/>
          </w:r>
          <w:r>
            <w:rPr>
              <w:rFonts w:ascii="Times New Roman" w:hAnsi="Times New Roman" w:eastAsia="仿宋" w:cs="Times New Roman"/>
              <w:sz w:val="32"/>
            </w:rPr>
            <w:t xml:space="preserve">6 </w:t>
          </w:r>
          <w:r>
            <w:rPr>
              <w:rFonts w:ascii="Times New Roman" w:hAnsi="Times New Roman" w:cs="Times New Roman"/>
              <w:sz w:val="32"/>
            </w:rPr>
            <w:t>保障措施</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_Toc31662 \h </w:instrText>
          </w:r>
          <w:r>
            <w:rPr>
              <w:rFonts w:ascii="Times New Roman" w:hAnsi="Times New Roman" w:cs="Times New Roman"/>
              <w:sz w:val="32"/>
            </w:rPr>
            <w:fldChar w:fldCharType="separate"/>
          </w:r>
          <w:r>
            <w:rPr>
              <w:rFonts w:ascii="Times New Roman" w:hAnsi="Times New Roman" w:cs="Times New Roman"/>
              <w:sz w:val="32"/>
            </w:rPr>
            <w:t>17</w:t>
          </w:r>
          <w:r>
            <w:rPr>
              <w:rFonts w:ascii="Times New Roman" w:hAnsi="Times New Roman" w:cs="Times New Roman"/>
              <w:sz w:val="32"/>
            </w:rPr>
            <w:fldChar w:fldCharType="end"/>
          </w:r>
          <w:r>
            <w:rPr>
              <w:rFonts w:ascii="Times New Roman" w:hAnsi="Times New Roman" w:cs="Times New Roman"/>
              <w:sz w:val="32"/>
            </w:rPr>
            <w:fldChar w:fldCharType="end"/>
          </w:r>
        </w:p>
        <w:p w14:paraId="141C97E7">
          <w:pPr>
            <w:pStyle w:val="19"/>
            <w:tabs>
              <w:tab w:val="right" w:leader="dot" w:pos="8845"/>
            </w:tabs>
            <w:ind w:firstLine="552"/>
            <w:rPr>
              <w:rFonts w:ascii="Times New Roman" w:hAnsi="Times New Roman" w:cs="Times New Roman"/>
              <w:sz w:val="32"/>
            </w:rPr>
          </w:pPr>
          <w:r>
            <w:fldChar w:fldCharType="begin"/>
          </w:r>
          <w:r>
            <w:instrText xml:space="preserve"> HYPERLINK \l "_Toc3614" </w:instrText>
          </w:r>
          <w:r>
            <w:fldChar w:fldCharType="separate"/>
          </w:r>
          <w:r>
            <w:rPr>
              <w:rFonts w:ascii="Times New Roman" w:hAnsi="Times New Roman" w:eastAsia="仿宋" w:cs="Times New Roman"/>
              <w:bCs/>
              <w:sz w:val="32"/>
            </w:rPr>
            <w:t xml:space="preserve">6.1 </w:t>
          </w:r>
          <w:r>
            <w:rPr>
              <w:rFonts w:ascii="Times New Roman" w:hAnsi="Times New Roman" w:cs="Times New Roman"/>
              <w:sz w:val="32"/>
            </w:rPr>
            <w:t>应急组织保障</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_Toc3614 \h </w:instrText>
          </w:r>
          <w:r>
            <w:rPr>
              <w:rFonts w:ascii="Times New Roman" w:hAnsi="Times New Roman" w:cs="Times New Roman"/>
              <w:sz w:val="32"/>
            </w:rPr>
            <w:fldChar w:fldCharType="separate"/>
          </w:r>
          <w:r>
            <w:rPr>
              <w:rFonts w:ascii="Times New Roman" w:hAnsi="Times New Roman" w:cs="Times New Roman"/>
              <w:sz w:val="32"/>
            </w:rPr>
            <w:t>17</w:t>
          </w:r>
          <w:r>
            <w:rPr>
              <w:rFonts w:ascii="Times New Roman" w:hAnsi="Times New Roman" w:cs="Times New Roman"/>
              <w:sz w:val="32"/>
            </w:rPr>
            <w:fldChar w:fldCharType="end"/>
          </w:r>
          <w:r>
            <w:rPr>
              <w:rFonts w:ascii="Times New Roman" w:hAnsi="Times New Roman" w:cs="Times New Roman"/>
              <w:sz w:val="32"/>
            </w:rPr>
            <w:fldChar w:fldCharType="end"/>
          </w:r>
        </w:p>
        <w:p w14:paraId="5B4F8E46">
          <w:pPr>
            <w:pStyle w:val="19"/>
            <w:tabs>
              <w:tab w:val="right" w:leader="dot" w:pos="8845"/>
            </w:tabs>
            <w:ind w:firstLine="552"/>
            <w:rPr>
              <w:rFonts w:ascii="Times New Roman" w:hAnsi="Times New Roman" w:cs="Times New Roman"/>
              <w:sz w:val="32"/>
            </w:rPr>
          </w:pPr>
          <w:r>
            <w:fldChar w:fldCharType="begin"/>
          </w:r>
          <w:r>
            <w:instrText xml:space="preserve"> HYPERLINK \l "_Toc23716" </w:instrText>
          </w:r>
          <w:r>
            <w:fldChar w:fldCharType="separate"/>
          </w:r>
          <w:r>
            <w:rPr>
              <w:rFonts w:ascii="Times New Roman" w:hAnsi="Times New Roman" w:eastAsia="仿宋" w:cs="Times New Roman"/>
              <w:bCs/>
              <w:sz w:val="32"/>
            </w:rPr>
            <w:t xml:space="preserve">6.2 </w:t>
          </w:r>
          <w:r>
            <w:rPr>
              <w:rFonts w:ascii="Times New Roman" w:hAnsi="Times New Roman" w:cs="Times New Roman"/>
              <w:sz w:val="32"/>
            </w:rPr>
            <w:t>应急队伍保障</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_Toc23716 \h </w:instrText>
          </w:r>
          <w:r>
            <w:rPr>
              <w:rFonts w:ascii="Times New Roman" w:hAnsi="Times New Roman" w:cs="Times New Roman"/>
              <w:sz w:val="32"/>
            </w:rPr>
            <w:fldChar w:fldCharType="separate"/>
          </w:r>
          <w:r>
            <w:rPr>
              <w:rFonts w:ascii="Times New Roman" w:hAnsi="Times New Roman" w:cs="Times New Roman"/>
              <w:sz w:val="32"/>
            </w:rPr>
            <w:t>17</w:t>
          </w:r>
          <w:r>
            <w:rPr>
              <w:rFonts w:ascii="Times New Roman" w:hAnsi="Times New Roman" w:cs="Times New Roman"/>
              <w:sz w:val="32"/>
            </w:rPr>
            <w:fldChar w:fldCharType="end"/>
          </w:r>
          <w:r>
            <w:rPr>
              <w:rFonts w:ascii="Times New Roman" w:hAnsi="Times New Roman" w:cs="Times New Roman"/>
              <w:sz w:val="32"/>
            </w:rPr>
            <w:fldChar w:fldCharType="end"/>
          </w:r>
        </w:p>
        <w:p w14:paraId="2873B272">
          <w:pPr>
            <w:pStyle w:val="19"/>
            <w:tabs>
              <w:tab w:val="right" w:leader="dot" w:pos="8845"/>
            </w:tabs>
            <w:ind w:firstLine="552"/>
            <w:rPr>
              <w:rFonts w:ascii="Times New Roman" w:hAnsi="Times New Roman" w:cs="Times New Roman"/>
              <w:sz w:val="32"/>
            </w:rPr>
          </w:pPr>
          <w:r>
            <w:fldChar w:fldCharType="begin"/>
          </w:r>
          <w:r>
            <w:instrText xml:space="preserve"> HYPERLINK \l "_Toc23556" </w:instrText>
          </w:r>
          <w:r>
            <w:fldChar w:fldCharType="separate"/>
          </w:r>
          <w:r>
            <w:rPr>
              <w:rFonts w:ascii="Times New Roman" w:hAnsi="Times New Roman" w:eastAsia="仿宋" w:cs="Times New Roman"/>
              <w:bCs/>
              <w:sz w:val="32"/>
            </w:rPr>
            <w:t xml:space="preserve">6.3 </w:t>
          </w:r>
          <w:r>
            <w:rPr>
              <w:rFonts w:ascii="Times New Roman" w:hAnsi="Times New Roman" w:cs="Times New Roman"/>
              <w:sz w:val="32"/>
            </w:rPr>
            <w:t>物资与设备保障</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_Toc23556 \h </w:instrText>
          </w:r>
          <w:r>
            <w:rPr>
              <w:rFonts w:ascii="Times New Roman" w:hAnsi="Times New Roman" w:cs="Times New Roman"/>
              <w:sz w:val="32"/>
            </w:rPr>
            <w:fldChar w:fldCharType="separate"/>
          </w:r>
          <w:r>
            <w:rPr>
              <w:rFonts w:ascii="Times New Roman" w:hAnsi="Times New Roman" w:cs="Times New Roman"/>
              <w:sz w:val="32"/>
            </w:rPr>
            <w:t>17</w:t>
          </w:r>
          <w:r>
            <w:rPr>
              <w:rFonts w:ascii="Times New Roman" w:hAnsi="Times New Roman" w:cs="Times New Roman"/>
              <w:sz w:val="32"/>
            </w:rPr>
            <w:fldChar w:fldCharType="end"/>
          </w:r>
          <w:r>
            <w:rPr>
              <w:rFonts w:ascii="Times New Roman" w:hAnsi="Times New Roman" w:cs="Times New Roman"/>
              <w:sz w:val="32"/>
            </w:rPr>
            <w:fldChar w:fldCharType="end"/>
          </w:r>
        </w:p>
        <w:p w14:paraId="12457546">
          <w:pPr>
            <w:pStyle w:val="19"/>
            <w:tabs>
              <w:tab w:val="right" w:leader="dot" w:pos="8845"/>
            </w:tabs>
            <w:ind w:firstLine="552"/>
            <w:rPr>
              <w:rFonts w:ascii="Times New Roman" w:hAnsi="Times New Roman" w:cs="Times New Roman"/>
              <w:sz w:val="32"/>
            </w:rPr>
          </w:pPr>
          <w:r>
            <w:fldChar w:fldCharType="begin"/>
          </w:r>
          <w:r>
            <w:instrText xml:space="preserve"> HYPERLINK \l "_Toc26556" </w:instrText>
          </w:r>
          <w:r>
            <w:fldChar w:fldCharType="separate"/>
          </w:r>
          <w:r>
            <w:rPr>
              <w:rFonts w:ascii="Times New Roman" w:hAnsi="Times New Roman" w:eastAsia="仿宋" w:cs="Times New Roman"/>
              <w:bCs/>
              <w:sz w:val="32"/>
            </w:rPr>
            <w:t xml:space="preserve">6.4 </w:t>
          </w:r>
          <w:r>
            <w:rPr>
              <w:rFonts w:ascii="Times New Roman" w:hAnsi="Times New Roman" w:cs="Times New Roman"/>
              <w:sz w:val="32"/>
            </w:rPr>
            <w:t>资金保障</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_Toc26556 \h </w:instrText>
          </w:r>
          <w:r>
            <w:rPr>
              <w:rFonts w:ascii="Times New Roman" w:hAnsi="Times New Roman" w:cs="Times New Roman"/>
              <w:sz w:val="32"/>
            </w:rPr>
            <w:fldChar w:fldCharType="separate"/>
          </w:r>
          <w:r>
            <w:rPr>
              <w:rFonts w:ascii="Times New Roman" w:hAnsi="Times New Roman" w:cs="Times New Roman"/>
              <w:sz w:val="32"/>
            </w:rPr>
            <w:t>17</w:t>
          </w:r>
          <w:r>
            <w:rPr>
              <w:rFonts w:ascii="Times New Roman" w:hAnsi="Times New Roman" w:cs="Times New Roman"/>
              <w:sz w:val="32"/>
            </w:rPr>
            <w:fldChar w:fldCharType="end"/>
          </w:r>
          <w:r>
            <w:rPr>
              <w:rFonts w:ascii="Times New Roman" w:hAnsi="Times New Roman" w:cs="Times New Roman"/>
              <w:sz w:val="32"/>
            </w:rPr>
            <w:fldChar w:fldCharType="end"/>
          </w:r>
        </w:p>
        <w:p w14:paraId="38CF1338">
          <w:pPr>
            <w:pStyle w:val="19"/>
            <w:tabs>
              <w:tab w:val="right" w:leader="dot" w:pos="8845"/>
            </w:tabs>
            <w:ind w:firstLine="552"/>
            <w:rPr>
              <w:rFonts w:ascii="Times New Roman" w:hAnsi="Times New Roman" w:cs="Times New Roman"/>
              <w:sz w:val="32"/>
            </w:rPr>
          </w:pPr>
          <w:r>
            <w:fldChar w:fldCharType="begin"/>
          </w:r>
          <w:r>
            <w:instrText xml:space="preserve"> HYPERLINK \l "_Toc1790" </w:instrText>
          </w:r>
          <w:r>
            <w:fldChar w:fldCharType="separate"/>
          </w:r>
          <w:r>
            <w:rPr>
              <w:rFonts w:ascii="Times New Roman" w:hAnsi="Times New Roman" w:eastAsia="仿宋" w:cs="Times New Roman"/>
              <w:bCs/>
              <w:sz w:val="32"/>
            </w:rPr>
            <w:t xml:space="preserve">6.5 </w:t>
          </w:r>
          <w:r>
            <w:rPr>
              <w:rFonts w:ascii="Times New Roman" w:hAnsi="Times New Roman" w:cs="Times New Roman"/>
              <w:sz w:val="32"/>
            </w:rPr>
            <w:t>医疗卫生保障</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_Toc1790 \h </w:instrText>
          </w:r>
          <w:r>
            <w:rPr>
              <w:rFonts w:ascii="Times New Roman" w:hAnsi="Times New Roman" w:cs="Times New Roman"/>
              <w:sz w:val="32"/>
            </w:rPr>
            <w:fldChar w:fldCharType="separate"/>
          </w:r>
          <w:r>
            <w:rPr>
              <w:rFonts w:ascii="Times New Roman" w:hAnsi="Times New Roman" w:cs="Times New Roman"/>
              <w:sz w:val="32"/>
            </w:rPr>
            <w:t>18</w:t>
          </w:r>
          <w:r>
            <w:rPr>
              <w:rFonts w:ascii="Times New Roman" w:hAnsi="Times New Roman" w:cs="Times New Roman"/>
              <w:sz w:val="32"/>
            </w:rPr>
            <w:fldChar w:fldCharType="end"/>
          </w:r>
          <w:r>
            <w:rPr>
              <w:rFonts w:ascii="Times New Roman" w:hAnsi="Times New Roman" w:cs="Times New Roman"/>
              <w:sz w:val="32"/>
            </w:rPr>
            <w:fldChar w:fldCharType="end"/>
          </w:r>
        </w:p>
        <w:p w14:paraId="00567289">
          <w:pPr>
            <w:pStyle w:val="19"/>
            <w:tabs>
              <w:tab w:val="right" w:leader="dot" w:pos="8845"/>
            </w:tabs>
            <w:ind w:firstLine="552"/>
            <w:rPr>
              <w:rFonts w:ascii="Times New Roman" w:hAnsi="Times New Roman" w:cs="Times New Roman"/>
              <w:sz w:val="32"/>
            </w:rPr>
          </w:pPr>
          <w:r>
            <w:fldChar w:fldCharType="begin"/>
          </w:r>
          <w:r>
            <w:instrText xml:space="preserve"> HYPERLINK \l "_Toc553" </w:instrText>
          </w:r>
          <w:r>
            <w:fldChar w:fldCharType="separate"/>
          </w:r>
          <w:r>
            <w:rPr>
              <w:rFonts w:ascii="Times New Roman" w:hAnsi="Times New Roman" w:eastAsia="仿宋" w:cs="Times New Roman"/>
              <w:bCs/>
              <w:sz w:val="32"/>
            </w:rPr>
            <w:t xml:space="preserve">6.6 </w:t>
          </w:r>
          <w:r>
            <w:rPr>
              <w:rFonts w:ascii="Times New Roman" w:hAnsi="Times New Roman" w:cs="Times New Roman"/>
              <w:sz w:val="32"/>
            </w:rPr>
            <w:t>交通与治安保障</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_Toc553 \h </w:instrText>
          </w:r>
          <w:r>
            <w:rPr>
              <w:rFonts w:ascii="Times New Roman" w:hAnsi="Times New Roman" w:cs="Times New Roman"/>
              <w:sz w:val="32"/>
            </w:rPr>
            <w:fldChar w:fldCharType="separate"/>
          </w:r>
          <w:r>
            <w:rPr>
              <w:rFonts w:ascii="Times New Roman" w:hAnsi="Times New Roman" w:cs="Times New Roman"/>
              <w:sz w:val="32"/>
            </w:rPr>
            <w:t>18</w:t>
          </w:r>
          <w:r>
            <w:rPr>
              <w:rFonts w:ascii="Times New Roman" w:hAnsi="Times New Roman" w:cs="Times New Roman"/>
              <w:sz w:val="32"/>
            </w:rPr>
            <w:fldChar w:fldCharType="end"/>
          </w:r>
          <w:r>
            <w:rPr>
              <w:rFonts w:ascii="Times New Roman" w:hAnsi="Times New Roman" w:cs="Times New Roman"/>
              <w:sz w:val="32"/>
            </w:rPr>
            <w:fldChar w:fldCharType="end"/>
          </w:r>
        </w:p>
        <w:p w14:paraId="230D91B9">
          <w:pPr>
            <w:pStyle w:val="18"/>
            <w:rPr>
              <w:rFonts w:ascii="Times New Roman" w:hAnsi="Times New Roman" w:cs="Times New Roman"/>
              <w:sz w:val="32"/>
            </w:rPr>
          </w:pPr>
          <w:r>
            <w:fldChar w:fldCharType="begin"/>
          </w:r>
          <w:r>
            <w:instrText xml:space="preserve"> HYPERLINK \l "_Toc25924" </w:instrText>
          </w:r>
          <w:r>
            <w:fldChar w:fldCharType="separate"/>
          </w:r>
          <w:r>
            <w:rPr>
              <w:rFonts w:ascii="Times New Roman" w:hAnsi="Times New Roman" w:eastAsia="仿宋" w:cs="Times New Roman"/>
              <w:sz w:val="32"/>
            </w:rPr>
            <w:t xml:space="preserve">7 </w:t>
          </w:r>
          <w:r>
            <w:rPr>
              <w:rFonts w:ascii="Times New Roman" w:hAnsi="Times New Roman" w:cs="Times New Roman"/>
              <w:sz w:val="32"/>
            </w:rPr>
            <w:t>预案管理</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_Toc25924 \h </w:instrText>
          </w:r>
          <w:r>
            <w:rPr>
              <w:rFonts w:ascii="Times New Roman" w:hAnsi="Times New Roman" w:cs="Times New Roman"/>
              <w:sz w:val="32"/>
            </w:rPr>
            <w:fldChar w:fldCharType="separate"/>
          </w:r>
          <w:r>
            <w:rPr>
              <w:rFonts w:ascii="Times New Roman" w:hAnsi="Times New Roman" w:cs="Times New Roman"/>
              <w:sz w:val="32"/>
            </w:rPr>
            <w:t>18</w:t>
          </w:r>
          <w:r>
            <w:rPr>
              <w:rFonts w:ascii="Times New Roman" w:hAnsi="Times New Roman" w:cs="Times New Roman"/>
              <w:sz w:val="32"/>
            </w:rPr>
            <w:fldChar w:fldCharType="end"/>
          </w:r>
          <w:r>
            <w:rPr>
              <w:rFonts w:ascii="Times New Roman" w:hAnsi="Times New Roman" w:cs="Times New Roman"/>
              <w:sz w:val="32"/>
            </w:rPr>
            <w:fldChar w:fldCharType="end"/>
          </w:r>
        </w:p>
        <w:p w14:paraId="087672B2">
          <w:pPr>
            <w:pStyle w:val="19"/>
            <w:tabs>
              <w:tab w:val="right" w:leader="dot" w:pos="8845"/>
            </w:tabs>
            <w:ind w:firstLine="552"/>
            <w:rPr>
              <w:rFonts w:ascii="Times New Roman" w:hAnsi="Times New Roman" w:cs="Times New Roman"/>
              <w:sz w:val="32"/>
            </w:rPr>
          </w:pPr>
          <w:r>
            <w:fldChar w:fldCharType="begin"/>
          </w:r>
          <w:r>
            <w:instrText xml:space="preserve"> HYPERLINK \l "_Toc24525" </w:instrText>
          </w:r>
          <w:r>
            <w:fldChar w:fldCharType="separate"/>
          </w:r>
          <w:r>
            <w:rPr>
              <w:rFonts w:ascii="Times New Roman" w:hAnsi="Times New Roman" w:eastAsia="仿宋" w:cs="Times New Roman"/>
              <w:bCs/>
              <w:sz w:val="32"/>
            </w:rPr>
            <w:t xml:space="preserve">7.1 </w:t>
          </w:r>
          <w:r>
            <w:rPr>
              <w:rFonts w:ascii="Times New Roman" w:hAnsi="Times New Roman" w:cs="Times New Roman"/>
              <w:sz w:val="32"/>
            </w:rPr>
            <w:t>预案修订</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_Toc24525 \h </w:instrText>
          </w:r>
          <w:r>
            <w:rPr>
              <w:rFonts w:ascii="Times New Roman" w:hAnsi="Times New Roman" w:cs="Times New Roman"/>
              <w:sz w:val="32"/>
            </w:rPr>
            <w:fldChar w:fldCharType="separate"/>
          </w:r>
          <w:r>
            <w:rPr>
              <w:rFonts w:ascii="Times New Roman" w:hAnsi="Times New Roman" w:cs="Times New Roman"/>
              <w:sz w:val="32"/>
            </w:rPr>
            <w:t>18</w:t>
          </w:r>
          <w:r>
            <w:rPr>
              <w:rFonts w:ascii="Times New Roman" w:hAnsi="Times New Roman" w:cs="Times New Roman"/>
              <w:sz w:val="32"/>
            </w:rPr>
            <w:fldChar w:fldCharType="end"/>
          </w:r>
          <w:r>
            <w:rPr>
              <w:rFonts w:ascii="Times New Roman" w:hAnsi="Times New Roman" w:cs="Times New Roman"/>
              <w:sz w:val="32"/>
            </w:rPr>
            <w:fldChar w:fldCharType="end"/>
          </w:r>
        </w:p>
        <w:p w14:paraId="7DA50398">
          <w:pPr>
            <w:pStyle w:val="19"/>
            <w:tabs>
              <w:tab w:val="right" w:leader="dot" w:pos="8845"/>
            </w:tabs>
            <w:ind w:firstLine="552"/>
            <w:rPr>
              <w:rFonts w:ascii="Times New Roman" w:hAnsi="Times New Roman" w:cs="Times New Roman"/>
              <w:sz w:val="32"/>
            </w:rPr>
          </w:pPr>
          <w:r>
            <w:fldChar w:fldCharType="begin"/>
          </w:r>
          <w:r>
            <w:instrText xml:space="preserve"> HYPERLINK \l "_Toc24467" </w:instrText>
          </w:r>
          <w:r>
            <w:fldChar w:fldCharType="separate"/>
          </w:r>
          <w:r>
            <w:rPr>
              <w:rFonts w:ascii="Times New Roman" w:hAnsi="Times New Roman" w:eastAsia="仿宋" w:cs="Times New Roman"/>
              <w:bCs/>
              <w:sz w:val="32"/>
            </w:rPr>
            <w:t xml:space="preserve">7.2 </w:t>
          </w:r>
          <w:r>
            <w:rPr>
              <w:rFonts w:ascii="Times New Roman" w:hAnsi="Times New Roman" w:cs="Times New Roman"/>
              <w:sz w:val="32"/>
            </w:rPr>
            <w:t>宣传和培训</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_Toc24467 \h </w:instrText>
          </w:r>
          <w:r>
            <w:rPr>
              <w:rFonts w:ascii="Times New Roman" w:hAnsi="Times New Roman" w:cs="Times New Roman"/>
              <w:sz w:val="32"/>
            </w:rPr>
            <w:fldChar w:fldCharType="separate"/>
          </w:r>
          <w:r>
            <w:rPr>
              <w:rFonts w:ascii="Times New Roman" w:hAnsi="Times New Roman" w:cs="Times New Roman"/>
              <w:sz w:val="32"/>
            </w:rPr>
            <w:t>19</w:t>
          </w:r>
          <w:r>
            <w:rPr>
              <w:rFonts w:ascii="Times New Roman" w:hAnsi="Times New Roman" w:cs="Times New Roman"/>
              <w:sz w:val="32"/>
            </w:rPr>
            <w:fldChar w:fldCharType="end"/>
          </w:r>
          <w:r>
            <w:rPr>
              <w:rFonts w:ascii="Times New Roman" w:hAnsi="Times New Roman" w:cs="Times New Roman"/>
              <w:sz w:val="32"/>
            </w:rPr>
            <w:fldChar w:fldCharType="end"/>
          </w:r>
        </w:p>
        <w:p w14:paraId="07D6D3DD">
          <w:pPr>
            <w:pStyle w:val="19"/>
            <w:tabs>
              <w:tab w:val="right" w:leader="dot" w:pos="8845"/>
            </w:tabs>
            <w:ind w:firstLine="552"/>
            <w:rPr>
              <w:rFonts w:ascii="Times New Roman" w:hAnsi="Times New Roman" w:cs="Times New Roman"/>
              <w:sz w:val="32"/>
            </w:rPr>
          </w:pPr>
          <w:r>
            <w:fldChar w:fldCharType="begin"/>
          </w:r>
          <w:r>
            <w:instrText xml:space="preserve"> HYPERLINK \l "_Toc16716" </w:instrText>
          </w:r>
          <w:r>
            <w:fldChar w:fldCharType="separate"/>
          </w:r>
          <w:r>
            <w:rPr>
              <w:rFonts w:ascii="Times New Roman" w:hAnsi="Times New Roman" w:eastAsia="仿宋" w:cs="Times New Roman"/>
              <w:bCs/>
              <w:sz w:val="32"/>
            </w:rPr>
            <w:t xml:space="preserve">7.3 </w:t>
          </w:r>
          <w:r>
            <w:rPr>
              <w:rFonts w:ascii="Times New Roman" w:hAnsi="Times New Roman" w:cs="Times New Roman"/>
              <w:sz w:val="32"/>
            </w:rPr>
            <w:t>应急演练</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_Toc16716 \h </w:instrText>
          </w:r>
          <w:r>
            <w:rPr>
              <w:rFonts w:ascii="Times New Roman" w:hAnsi="Times New Roman" w:cs="Times New Roman"/>
              <w:sz w:val="32"/>
            </w:rPr>
            <w:fldChar w:fldCharType="separate"/>
          </w:r>
          <w:r>
            <w:rPr>
              <w:rFonts w:ascii="Times New Roman" w:hAnsi="Times New Roman" w:cs="Times New Roman"/>
              <w:sz w:val="32"/>
            </w:rPr>
            <w:t>19</w:t>
          </w:r>
          <w:r>
            <w:rPr>
              <w:rFonts w:ascii="Times New Roman" w:hAnsi="Times New Roman" w:cs="Times New Roman"/>
              <w:sz w:val="32"/>
            </w:rPr>
            <w:fldChar w:fldCharType="end"/>
          </w:r>
          <w:r>
            <w:rPr>
              <w:rFonts w:ascii="Times New Roman" w:hAnsi="Times New Roman" w:cs="Times New Roman"/>
              <w:sz w:val="32"/>
            </w:rPr>
            <w:fldChar w:fldCharType="end"/>
          </w:r>
        </w:p>
        <w:p w14:paraId="79C3103A">
          <w:pPr>
            <w:pStyle w:val="19"/>
            <w:tabs>
              <w:tab w:val="right" w:leader="dot" w:pos="8845"/>
            </w:tabs>
            <w:ind w:firstLine="552"/>
            <w:rPr>
              <w:rFonts w:ascii="Times New Roman" w:hAnsi="Times New Roman" w:cs="Times New Roman"/>
              <w:sz w:val="32"/>
            </w:rPr>
          </w:pPr>
          <w:r>
            <w:fldChar w:fldCharType="begin"/>
          </w:r>
          <w:r>
            <w:instrText xml:space="preserve"> HYPERLINK \l "_Toc11124" </w:instrText>
          </w:r>
          <w:r>
            <w:fldChar w:fldCharType="separate"/>
          </w:r>
          <w:r>
            <w:rPr>
              <w:rFonts w:ascii="Times New Roman" w:hAnsi="Times New Roman" w:eastAsia="仿宋" w:cs="Times New Roman"/>
              <w:bCs/>
              <w:sz w:val="32"/>
            </w:rPr>
            <w:t xml:space="preserve">7.4 </w:t>
          </w:r>
          <w:r>
            <w:rPr>
              <w:rFonts w:ascii="Times New Roman" w:hAnsi="Times New Roman" w:cs="Times New Roman"/>
              <w:sz w:val="32"/>
            </w:rPr>
            <w:t>预案实施</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_Toc11124 \h </w:instrText>
          </w:r>
          <w:r>
            <w:rPr>
              <w:rFonts w:ascii="Times New Roman" w:hAnsi="Times New Roman" w:cs="Times New Roman"/>
              <w:sz w:val="32"/>
            </w:rPr>
            <w:fldChar w:fldCharType="separate"/>
          </w:r>
          <w:r>
            <w:rPr>
              <w:rFonts w:ascii="Times New Roman" w:hAnsi="Times New Roman" w:cs="Times New Roman"/>
              <w:sz w:val="32"/>
            </w:rPr>
            <w:t>20</w:t>
          </w:r>
          <w:r>
            <w:rPr>
              <w:rFonts w:ascii="Times New Roman" w:hAnsi="Times New Roman" w:cs="Times New Roman"/>
              <w:sz w:val="32"/>
            </w:rPr>
            <w:fldChar w:fldCharType="end"/>
          </w:r>
          <w:r>
            <w:rPr>
              <w:rFonts w:ascii="Times New Roman" w:hAnsi="Times New Roman" w:cs="Times New Roman"/>
              <w:sz w:val="32"/>
            </w:rPr>
            <w:fldChar w:fldCharType="end"/>
          </w:r>
        </w:p>
        <w:p w14:paraId="43FE82D3">
          <w:pPr>
            <w:pStyle w:val="18"/>
            <w:rPr>
              <w:rFonts w:ascii="Times New Roman" w:hAnsi="Times New Roman" w:cs="Times New Roman"/>
              <w:sz w:val="32"/>
            </w:rPr>
          </w:pPr>
          <w:r>
            <w:fldChar w:fldCharType="begin"/>
          </w:r>
          <w:r>
            <w:instrText xml:space="preserve"> HYPERLINK \l "_Toc26550" </w:instrText>
          </w:r>
          <w:r>
            <w:fldChar w:fldCharType="separate"/>
          </w:r>
          <w:r>
            <w:rPr>
              <w:rFonts w:ascii="Times New Roman" w:hAnsi="Times New Roman" w:cs="Times New Roman"/>
              <w:sz w:val="32"/>
            </w:rPr>
            <w:t>附件1：建筑施工生产安全事故分级标准</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_Toc26550 \h </w:instrText>
          </w:r>
          <w:r>
            <w:rPr>
              <w:rFonts w:ascii="Times New Roman" w:hAnsi="Times New Roman" w:cs="Times New Roman"/>
              <w:sz w:val="32"/>
            </w:rPr>
            <w:fldChar w:fldCharType="separate"/>
          </w:r>
          <w:r>
            <w:rPr>
              <w:rFonts w:ascii="Times New Roman" w:hAnsi="Times New Roman" w:cs="Times New Roman"/>
              <w:sz w:val="32"/>
            </w:rPr>
            <w:t>21</w:t>
          </w:r>
          <w:r>
            <w:rPr>
              <w:rFonts w:ascii="Times New Roman" w:hAnsi="Times New Roman" w:cs="Times New Roman"/>
              <w:sz w:val="32"/>
            </w:rPr>
            <w:fldChar w:fldCharType="end"/>
          </w:r>
          <w:r>
            <w:rPr>
              <w:rFonts w:ascii="Times New Roman" w:hAnsi="Times New Roman" w:cs="Times New Roman"/>
              <w:sz w:val="32"/>
            </w:rPr>
            <w:fldChar w:fldCharType="end"/>
          </w:r>
        </w:p>
        <w:p w14:paraId="169689F8">
          <w:pPr>
            <w:pStyle w:val="15"/>
            <w:ind w:left="0" w:leftChars="0" w:firstLine="0" w:firstLineChars="0"/>
            <w:rPr>
              <w:rFonts w:ascii="Times New Roman" w:hAnsi="Times New Roman" w:eastAsia="仿宋" w:cs="Times New Roman"/>
              <w:b/>
              <w:sz w:val="32"/>
            </w:rPr>
          </w:pPr>
          <w:r>
            <w:rPr>
              <w:rFonts w:ascii="Times New Roman" w:hAnsi="Times New Roman" w:cs="Times New Roman"/>
              <w:sz w:val="32"/>
            </w:rPr>
            <w:fldChar w:fldCharType="end"/>
          </w:r>
        </w:p>
      </w:sdtContent>
    </w:sdt>
    <w:p w14:paraId="4071BBFC">
      <w:pPr>
        <w:pStyle w:val="2"/>
        <w:numPr>
          <w:ilvl w:val="0"/>
          <w:numId w:val="147"/>
        </w:numPr>
        <w:tabs>
          <w:tab w:val="left" w:pos="0"/>
        </w:tabs>
        <w:ind w:firstLine="0" w:firstLineChars="0"/>
        <w:rPr>
          <w:rFonts w:ascii="Times New Roman" w:hAnsi="Times New Roman" w:cs="Times New Roman"/>
          <w:sz w:val="32"/>
        </w:rPr>
      </w:pPr>
      <w:bookmarkStart w:id="721" w:name="_Toc21585"/>
      <w:r>
        <w:rPr>
          <w:rFonts w:ascii="Times New Roman" w:hAnsi="Times New Roman" w:cs="Times New Roman"/>
          <w:sz w:val="32"/>
        </w:rPr>
        <w:t>总则</w:t>
      </w:r>
      <w:bookmarkEnd w:id="721"/>
    </w:p>
    <w:p w14:paraId="6EBDF722">
      <w:pPr>
        <w:pStyle w:val="3"/>
        <w:ind w:firstLine="0" w:firstLineChars="0"/>
        <w:rPr>
          <w:rFonts w:ascii="Times New Roman" w:hAnsi="Times New Roman" w:cs="Times New Roman"/>
          <w:sz w:val="32"/>
        </w:rPr>
      </w:pPr>
      <w:bookmarkStart w:id="722" w:name="_Toc18032"/>
      <w:r>
        <w:rPr>
          <w:rFonts w:ascii="Times New Roman" w:hAnsi="Times New Roman" w:cs="Times New Roman"/>
          <w:sz w:val="32"/>
        </w:rPr>
        <w:t>编制目的</w:t>
      </w:r>
      <w:bookmarkEnd w:id="722"/>
    </w:p>
    <w:p w14:paraId="355758CB">
      <w:pPr>
        <w:ind w:firstLine="632"/>
        <w:rPr>
          <w:rFonts w:ascii="Times New Roman" w:hAnsi="Times New Roman" w:cs="Times New Roman"/>
          <w:sz w:val="32"/>
        </w:rPr>
      </w:pPr>
      <w:r>
        <w:rPr>
          <w:rFonts w:ascii="Times New Roman" w:hAnsi="Times New Roman" w:cs="Times New Roman"/>
          <w:sz w:val="32"/>
        </w:rPr>
        <w:t>为规范我县建设工程施工安全事故应急反应和处置机制，提高应对建设工程施工过程中发生安全生产事故的快速反应能力，最大限度地减少人员伤亡、财产损失以及不良社会影响，维护社会稳定，特制定本预案。</w:t>
      </w:r>
    </w:p>
    <w:p w14:paraId="47DB0656">
      <w:pPr>
        <w:pStyle w:val="3"/>
        <w:ind w:firstLine="0" w:firstLineChars="0"/>
        <w:rPr>
          <w:rFonts w:ascii="Times New Roman" w:hAnsi="Times New Roman" w:cs="Times New Roman"/>
          <w:sz w:val="32"/>
        </w:rPr>
      </w:pPr>
      <w:bookmarkStart w:id="723" w:name="_Toc29106"/>
      <w:r>
        <w:rPr>
          <w:rFonts w:ascii="Times New Roman" w:hAnsi="Times New Roman" w:cs="Times New Roman"/>
          <w:sz w:val="32"/>
        </w:rPr>
        <w:t>编制依据</w:t>
      </w:r>
      <w:bookmarkEnd w:id="723"/>
    </w:p>
    <w:p w14:paraId="01A463F4">
      <w:pPr>
        <w:ind w:firstLine="632"/>
        <w:rPr>
          <w:rFonts w:ascii="Times New Roman" w:hAnsi="Times New Roman" w:cs="Times New Roman"/>
          <w:sz w:val="32"/>
        </w:rPr>
      </w:pPr>
      <w:r>
        <w:rPr>
          <w:rFonts w:ascii="Times New Roman" w:hAnsi="Times New Roman" w:cs="Times New Roman"/>
          <w:sz w:val="32"/>
        </w:rPr>
        <w:t>依据《中华人民共和国突发事件应对法》《中华人民共和国安全生产法》《生产安全事故应急条例》《建设工程安全生产管理条例》《生产安全事故报告和调查处理条例》《生产安全事故应急预案管理办法》《黑龙江省突发事件应急预案管理办法》《黑龙江省房屋建筑和市政基础设施安全事故应急预案》《集贤县突发事件总体应急预案》等法律法规、相关文件制定本预案。</w:t>
      </w:r>
    </w:p>
    <w:p w14:paraId="06BB83D1">
      <w:pPr>
        <w:pStyle w:val="3"/>
        <w:ind w:firstLine="0" w:firstLineChars="0"/>
        <w:rPr>
          <w:rFonts w:ascii="Times New Roman" w:hAnsi="Times New Roman" w:cs="Times New Roman"/>
          <w:sz w:val="32"/>
        </w:rPr>
      </w:pPr>
      <w:bookmarkStart w:id="724" w:name="_Toc5310"/>
      <w:r>
        <w:rPr>
          <w:rFonts w:ascii="Times New Roman" w:hAnsi="Times New Roman" w:cs="Times New Roman"/>
          <w:sz w:val="32"/>
        </w:rPr>
        <w:t>适用范围</w:t>
      </w:r>
      <w:bookmarkEnd w:id="724"/>
    </w:p>
    <w:p w14:paraId="2EB1665A">
      <w:pPr>
        <w:ind w:firstLine="632"/>
        <w:rPr>
          <w:rFonts w:ascii="Times New Roman" w:hAnsi="Times New Roman" w:cs="Times New Roman"/>
          <w:sz w:val="32"/>
        </w:rPr>
      </w:pPr>
      <w:r>
        <w:rPr>
          <w:rFonts w:ascii="Times New Roman" w:hAnsi="Times New Roman" w:cs="Times New Roman"/>
          <w:sz w:val="32"/>
        </w:rPr>
        <w:t>适用于我县行政区域范围内房屋建筑和市政基础设施新建、扩建、改建工程（以下简称在建工程）施工过程中，造成人身伤亡或者导致重大经济损失的生产安全事故的应急处置工作。</w:t>
      </w:r>
    </w:p>
    <w:p w14:paraId="2467B7B5">
      <w:pPr>
        <w:pStyle w:val="3"/>
        <w:ind w:firstLine="0" w:firstLineChars="0"/>
        <w:rPr>
          <w:rFonts w:ascii="Times New Roman" w:hAnsi="Times New Roman" w:cs="Times New Roman"/>
          <w:sz w:val="32"/>
        </w:rPr>
      </w:pPr>
      <w:bookmarkStart w:id="725" w:name="_Toc15"/>
      <w:r>
        <w:rPr>
          <w:rFonts w:ascii="Times New Roman" w:hAnsi="Times New Roman" w:cs="Times New Roman"/>
          <w:sz w:val="32"/>
        </w:rPr>
        <w:t>工作原则</w:t>
      </w:r>
      <w:bookmarkEnd w:id="725"/>
    </w:p>
    <w:p w14:paraId="6EC15C49">
      <w:pPr>
        <w:ind w:firstLine="632"/>
        <w:rPr>
          <w:rFonts w:ascii="Times New Roman" w:hAnsi="Times New Roman" w:cs="Times New Roman"/>
          <w:sz w:val="32"/>
        </w:rPr>
      </w:pPr>
      <w:r>
        <w:rPr>
          <w:rFonts w:ascii="Times New Roman" w:hAnsi="Times New Roman" w:cs="Times New Roman"/>
          <w:sz w:val="32"/>
        </w:rPr>
        <w:t>（1）坚持人民至上、生命至上。牢固树立以人民为中心的发展思想和人民至上、生命至上、安全第一的理念，把保障人民群众生命财产安全放在第一位，最大程度地降低建设工程安全生产事故风险。</w:t>
      </w:r>
    </w:p>
    <w:p w14:paraId="22FD6845">
      <w:pPr>
        <w:ind w:firstLine="632"/>
        <w:rPr>
          <w:rFonts w:ascii="Times New Roman" w:hAnsi="Times New Roman" w:cs="Times New Roman"/>
          <w:sz w:val="32"/>
        </w:rPr>
      </w:pPr>
      <w:r>
        <w:rPr>
          <w:rFonts w:ascii="Times New Roman" w:hAnsi="Times New Roman" w:cs="Times New Roman"/>
          <w:sz w:val="32"/>
        </w:rPr>
        <w:t>（2）坚持统一领导，分级负责。在县政府的统一领导下，由县住房和城乡建设局协调、指导相关企业根据事故等级、类型和职责分工，明确应急机构职责，落实应急处置责任，建立健全分级负责、条块结合、属地为主的建设工程质量安全事故分级响应机制。充分发挥指导和协调作用，调动各方社会资源，采取有力措施，将事故的危害控制在最小范围。</w:t>
      </w:r>
    </w:p>
    <w:p w14:paraId="3E076758">
      <w:pPr>
        <w:ind w:firstLine="632"/>
        <w:rPr>
          <w:rFonts w:ascii="Times New Roman" w:hAnsi="Times New Roman" w:cs="Times New Roman"/>
          <w:sz w:val="32"/>
        </w:rPr>
      </w:pPr>
      <w:r>
        <w:rPr>
          <w:rFonts w:ascii="Times New Roman" w:hAnsi="Times New Roman" w:cs="Times New Roman"/>
          <w:sz w:val="32"/>
        </w:rPr>
        <w:t>（3）坚持预防为主，夯实基础。坚持预防与应急相结合，常态与非常态相结合，做好应急准备，落实各项防范措施，防患于未然。着力防范化解重大安全风险，坚决遏制建设工程重特大事故，不断增强工程建设行业应急意识和自救互救技能。</w:t>
      </w:r>
    </w:p>
    <w:p w14:paraId="2DE46AD5">
      <w:pPr>
        <w:ind w:firstLine="632"/>
        <w:rPr>
          <w:rFonts w:ascii="Times New Roman" w:hAnsi="Times New Roman" w:cs="Times New Roman"/>
          <w:sz w:val="32"/>
        </w:rPr>
      </w:pPr>
      <w:r>
        <w:rPr>
          <w:rFonts w:ascii="Times New Roman" w:hAnsi="Times New Roman" w:cs="Times New Roman"/>
          <w:sz w:val="32"/>
        </w:rPr>
        <w:t>（4）坚持快速反应、协同应对。加强以行业救援队伍为主力、以社会救援队伍为辅助、以基层应急队伍为补充、以应急专家队伍为支撑的应急力量体系建设，健全各类救援力量快速反应、联动协调机制，科学高效处置建设工程安全生产事故。</w:t>
      </w:r>
    </w:p>
    <w:p w14:paraId="1395E425">
      <w:pPr>
        <w:pStyle w:val="3"/>
        <w:ind w:firstLine="0" w:firstLineChars="0"/>
        <w:rPr>
          <w:rFonts w:ascii="Times New Roman" w:hAnsi="Times New Roman" w:cs="Times New Roman"/>
          <w:sz w:val="32"/>
        </w:rPr>
      </w:pPr>
      <w:bookmarkStart w:id="726" w:name="_Toc14319"/>
      <w:r>
        <w:rPr>
          <w:rFonts w:ascii="Times New Roman" w:hAnsi="Times New Roman" w:cs="Times New Roman"/>
          <w:sz w:val="32"/>
        </w:rPr>
        <w:t>事件分级</w:t>
      </w:r>
      <w:bookmarkEnd w:id="726"/>
    </w:p>
    <w:p w14:paraId="5B563AB6">
      <w:pPr>
        <w:ind w:firstLine="632"/>
        <w:rPr>
          <w:rFonts w:ascii="Times New Roman" w:hAnsi="Times New Roman" w:cs="Times New Roman"/>
          <w:sz w:val="32"/>
        </w:rPr>
      </w:pPr>
      <w:r>
        <w:rPr>
          <w:rFonts w:ascii="Times New Roman" w:hAnsi="Times New Roman" w:cs="Times New Roman"/>
          <w:sz w:val="32"/>
        </w:rPr>
        <w:t>根据可能造成的危害性、紧急程度和发展态势，参照《生产安全事故报告和调查处理条例》（国务院令第493号）规定，建筑施工生产安全事故等级分为四级：特别重大事故（I级）、重大事故（Ⅱ级）、较大事故（Ⅲ级）和一般事故（Ⅳ级）。分级标准见附件1。</w:t>
      </w:r>
    </w:p>
    <w:p w14:paraId="014A738B">
      <w:pPr>
        <w:pStyle w:val="2"/>
        <w:numPr>
          <w:ilvl w:val="0"/>
          <w:numId w:val="147"/>
        </w:numPr>
        <w:tabs>
          <w:tab w:val="left" w:pos="0"/>
        </w:tabs>
        <w:ind w:firstLine="0" w:firstLineChars="0"/>
        <w:rPr>
          <w:rFonts w:ascii="Times New Roman" w:hAnsi="Times New Roman" w:cs="Times New Roman"/>
          <w:sz w:val="32"/>
        </w:rPr>
      </w:pPr>
      <w:bookmarkStart w:id="727" w:name="_Toc32068"/>
      <w:r>
        <w:rPr>
          <w:rFonts w:ascii="Times New Roman" w:hAnsi="Times New Roman" w:cs="Times New Roman"/>
          <w:sz w:val="32"/>
        </w:rPr>
        <w:t>组织指挥体系</w:t>
      </w:r>
      <w:bookmarkEnd w:id="727"/>
    </w:p>
    <w:p w14:paraId="0452718B">
      <w:pPr>
        <w:pStyle w:val="3"/>
        <w:ind w:firstLine="0" w:firstLineChars="0"/>
        <w:rPr>
          <w:rFonts w:ascii="Times New Roman" w:hAnsi="Times New Roman" w:cs="Times New Roman"/>
          <w:sz w:val="32"/>
        </w:rPr>
      </w:pPr>
      <w:bookmarkStart w:id="728" w:name="_Toc5913"/>
      <w:bookmarkStart w:id="729" w:name="_Toc10109"/>
      <w:bookmarkStart w:id="730" w:name="_Toc477417841"/>
      <w:bookmarkStart w:id="731" w:name="_Toc23363"/>
      <w:bookmarkStart w:id="732" w:name="_Toc352951583"/>
      <w:bookmarkStart w:id="733" w:name="_Toc367181561"/>
      <w:bookmarkStart w:id="734" w:name="_Toc23598"/>
      <w:bookmarkStart w:id="735" w:name="_Toc4386"/>
      <w:bookmarkStart w:id="736" w:name="_Toc16088"/>
      <w:bookmarkStart w:id="737" w:name="_Toc30013"/>
      <w:r>
        <w:rPr>
          <w:rFonts w:ascii="Times New Roman" w:hAnsi="Times New Roman" w:cs="Times New Roman"/>
          <w:sz w:val="32"/>
        </w:rPr>
        <w:t>应急组织机构及职责</w:t>
      </w:r>
      <w:bookmarkEnd w:id="728"/>
    </w:p>
    <w:p w14:paraId="63BD38AC">
      <w:pPr>
        <w:pStyle w:val="4"/>
        <w:numPr>
          <w:ilvl w:val="2"/>
          <w:numId w:val="147"/>
        </w:numPr>
        <w:tabs>
          <w:tab w:val="left" w:pos="0"/>
        </w:tabs>
        <w:ind w:firstLine="0" w:firstLineChars="0"/>
        <w:rPr>
          <w:rFonts w:ascii="Times New Roman" w:hAnsi="Times New Roman" w:cs="Times New Roman"/>
          <w:sz w:val="32"/>
        </w:rPr>
      </w:pPr>
      <w:r>
        <w:rPr>
          <w:rFonts w:ascii="Times New Roman" w:hAnsi="Times New Roman" w:cs="Times New Roman"/>
          <w:sz w:val="32"/>
        </w:rPr>
        <w:t>应急指挥部及职责</w:t>
      </w:r>
    </w:p>
    <w:p w14:paraId="53C0CCD3">
      <w:pPr>
        <w:ind w:firstLine="632"/>
        <w:rPr>
          <w:rFonts w:ascii="Times New Roman" w:hAnsi="Times New Roman" w:cs="Times New Roman"/>
          <w:sz w:val="32"/>
        </w:rPr>
      </w:pPr>
      <w:r>
        <w:rPr>
          <w:rFonts w:ascii="Times New Roman" w:hAnsi="Times New Roman" w:cs="Times New Roman"/>
          <w:sz w:val="32"/>
        </w:rPr>
        <w:t>集贤县人民政府设立县建筑施工安全事故应急指挥部（以下简称县建筑应急指挥部）作为本县建筑施工安全事故应急处置的专项指挥机构，主要负责统一规划和统筹安排建筑施工安全事故的预防和应急处置工作。</w:t>
      </w:r>
    </w:p>
    <w:p w14:paraId="0BCAFCCF">
      <w:pPr>
        <w:ind w:firstLine="632"/>
        <w:rPr>
          <w:rFonts w:ascii="Times New Roman" w:hAnsi="Times New Roman" w:cs="Times New Roman"/>
          <w:sz w:val="32"/>
        </w:rPr>
      </w:pPr>
      <w:r>
        <w:rPr>
          <w:rFonts w:ascii="Times New Roman" w:hAnsi="Times New Roman" w:cs="Times New Roman"/>
          <w:sz w:val="32"/>
        </w:rPr>
        <w:t>指挥部总指挥由县政府分管城乡建设的副县长担任，县住房和城乡建设局局长、县应急管理局局长担任副总指挥，指挥部成员单位由县应急管理局、县公安局、县交通运输局、县消防救援大队、县卫生健康局等相关部门和单位组成，根据工作需要，可增加有关部门和单位负责同志参加。</w:t>
      </w:r>
    </w:p>
    <w:p w14:paraId="6CFE4B17">
      <w:pPr>
        <w:pStyle w:val="4"/>
        <w:numPr>
          <w:ilvl w:val="2"/>
          <w:numId w:val="147"/>
        </w:numPr>
        <w:tabs>
          <w:tab w:val="left" w:pos="0"/>
        </w:tabs>
        <w:ind w:firstLine="0" w:firstLineChars="0"/>
        <w:rPr>
          <w:rFonts w:ascii="Times New Roman" w:hAnsi="Times New Roman" w:cs="Times New Roman"/>
          <w:sz w:val="32"/>
        </w:rPr>
      </w:pPr>
      <w:r>
        <w:rPr>
          <w:rFonts w:ascii="Times New Roman" w:hAnsi="Times New Roman" w:cs="Times New Roman"/>
          <w:sz w:val="32"/>
        </w:rPr>
        <w:t>指挥部办公室及职责</w:t>
      </w:r>
    </w:p>
    <w:p w14:paraId="10361CC9">
      <w:pPr>
        <w:ind w:firstLine="632"/>
        <w:rPr>
          <w:rFonts w:ascii="Times New Roman" w:hAnsi="Times New Roman" w:cs="Times New Roman"/>
          <w:sz w:val="32"/>
        </w:rPr>
      </w:pPr>
      <w:r>
        <w:rPr>
          <w:rFonts w:ascii="Times New Roman" w:hAnsi="Times New Roman" w:cs="Times New Roman"/>
          <w:sz w:val="32"/>
        </w:rPr>
        <w:t>县建筑施工安全事故应急指挥部办公室（以下简称指挥部办公室）设在县住房和城乡建设局，办公室主任由县住房和城乡建设局局长兼任。主要负责县建筑应急指挥部日常工作，以及建筑施工安全事故的统一接警和信息研判、报送工作；负责较大及以上建筑安全事故的应急处置综合协调及其相关组织管理工作。</w:t>
      </w:r>
    </w:p>
    <w:p w14:paraId="0C68C03F">
      <w:pPr>
        <w:ind w:firstLine="632"/>
        <w:rPr>
          <w:rFonts w:ascii="Times New Roman" w:hAnsi="Times New Roman" w:cs="Times New Roman"/>
          <w:sz w:val="32"/>
        </w:rPr>
      </w:pPr>
      <w:r>
        <w:rPr>
          <w:rFonts w:ascii="Times New Roman" w:hAnsi="Times New Roman" w:cs="Times New Roman"/>
          <w:sz w:val="32"/>
        </w:rPr>
        <w:t>指挥部办公室组织建立建筑施工生产安全事故应急专家组，由建筑行业、应急行业相关专业技术人员组成，对建筑施工安全事故的发生和发展趋势、救灾方案、处置办法、灾害损失和恢复方案等进行研究评估，并提出相关建议。</w:t>
      </w:r>
    </w:p>
    <w:p w14:paraId="074BB42F">
      <w:pPr>
        <w:ind w:firstLine="632"/>
        <w:rPr>
          <w:rFonts w:ascii="Times New Roman" w:hAnsi="Times New Roman" w:cs="Times New Roman"/>
        </w:rPr>
      </w:pPr>
      <w:r>
        <w:rPr>
          <w:rFonts w:ascii="Times New Roman" w:hAnsi="Times New Roman" w:cs="Times New Roman"/>
          <w:sz w:val="32"/>
        </w:rPr>
        <w:t>各乡镇人民政府应建立健全相应的建筑施工安全事故应急组织体系，确保有关应急指示及措施及时上传下达。</w:t>
      </w:r>
    </w:p>
    <w:p w14:paraId="4C3ACC82">
      <w:pPr>
        <w:pStyle w:val="4"/>
        <w:numPr>
          <w:ilvl w:val="2"/>
          <w:numId w:val="147"/>
        </w:numPr>
        <w:tabs>
          <w:tab w:val="left" w:pos="0"/>
        </w:tabs>
        <w:ind w:firstLine="0" w:firstLineChars="0"/>
        <w:rPr>
          <w:rFonts w:ascii="Times New Roman" w:hAnsi="Times New Roman" w:cs="Times New Roman"/>
          <w:sz w:val="32"/>
        </w:rPr>
      </w:pPr>
      <w:r>
        <w:rPr>
          <w:rFonts w:ascii="Times New Roman" w:hAnsi="Times New Roman" w:cs="Times New Roman"/>
          <w:sz w:val="32"/>
        </w:rPr>
        <w:t>成员单位组成及职责</w:t>
      </w:r>
    </w:p>
    <w:p w14:paraId="5C791E68">
      <w:pPr>
        <w:ind w:firstLine="634"/>
        <w:rPr>
          <w:rFonts w:ascii="Times New Roman" w:hAnsi="Times New Roman" w:cs="Times New Roman"/>
          <w:sz w:val="32"/>
        </w:rPr>
      </w:pPr>
      <w:r>
        <w:rPr>
          <w:rFonts w:ascii="Times New Roman" w:hAnsi="Times New Roman" w:cs="Times New Roman"/>
          <w:b/>
          <w:bCs/>
          <w:sz w:val="32"/>
        </w:rPr>
        <w:t>县住房和城乡建设局：</w:t>
      </w:r>
      <w:r>
        <w:rPr>
          <w:rFonts w:ascii="Times New Roman" w:hAnsi="Times New Roman" w:cs="Times New Roman"/>
          <w:sz w:val="32"/>
        </w:rPr>
        <w:t>负责组织落实县建筑施工安全事故应急指挥部决定，协调和调动成员单位应对建筑生产安全事故相关工作；指导建筑施工单位做好建筑安全事故先期应急处置工作；负责组织建筑工程专家参与事件处置、调查、抢险、抢修；在职责范围内做好建筑安全事故调查工作。</w:t>
      </w:r>
    </w:p>
    <w:p w14:paraId="3AE84331">
      <w:pPr>
        <w:ind w:firstLine="634"/>
        <w:rPr>
          <w:rFonts w:ascii="Times New Roman" w:hAnsi="Times New Roman" w:cs="Times New Roman"/>
          <w:sz w:val="32"/>
        </w:rPr>
      </w:pPr>
      <w:r>
        <w:rPr>
          <w:rFonts w:ascii="Times New Roman" w:hAnsi="Times New Roman" w:cs="Times New Roman"/>
          <w:b/>
          <w:bCs/>
          <w:sz w:val="32"/>
        </w:rPr>
        <w:t>县应急管理局：</w:t>
      </w:r>
      <w:r>
        <w:rPr>
          <w:rFonts w:ascii="Times New Roman" w:hAnsi="Times New Roman" w:cs="Times New Roman"/>
          <w:sz w:val="32"/>
        </w:rPr>
        <w:t>负责指导建筑施工单位安全生产监督管理工作；调度、协调专业应急救援力量参与建筑安全事故应急救援和处置；组织或参与事故的调查和处理工作。</w:t>
      </w:r>
    </w:p>
    <w:p w14:paraId="0912FC38">
      <w:pPr>
        <w:ind w:firstLine="634"/>
        <w:rPr>
          <w:rFonts w:ascii="Times New Roman" w:hAnsi="Times New Roman" w:cs="Times New Roman"/>
          <w:sz w:val="32"/>
        </w:rPr>
      </w:pPr>
      <w:r>
        <w:rPr>
          <w:rFonts w:ascii="Times New Roman" w:hAnsi="Times New Roman" w:cs="Times New Roman"/>
          <w:b/>
          <w:bCs/>
          <w:sz w:val="32"/>
        </w:rPr>
        <w:t>县委宣传部：</w:t>
      </w:r>
      <w:r>
        <w:rPr>
          <w:rFonts w:ascii="Times New Roman" w:hAnsi="Times New Roman" w:cs="Times New Roman"/>
          <w:sz w:val="32"/>
        </w:rPr>
        <w:t>整理收集事故主管单位提供的事故处理动态信息，负责组织事故有关报道；组织新闻媒体通报危机信息和救援情况，正确引导社会舆论。</w:t>
      </w:r>
    </w:p>
    <w:p w14:paraId="70340B66">
      <w:pPr>
        <w:ind w:firstLine="634"/>
        <w:rPr>
          <w:rFonts w:ascii="Times New Roman" w:hAnsi="Times New Roman" w:cs="Times New Roman"/>
          <w:sz w:val="32"/>
        </w:rPr>
      </w:pPr>
      <w:r>
        <w:rPr>
          <w:rFonts w:ascii="Times New Roman" w:hAnsi="Times New Roman" w:cs="Times New Roman"/>
          <w:b/>
          <w:bCs/>
          <w:sz w:val="32"/>
        </w:rPr>
        <w:t>县公安局：</w:t>
      </w:r>
      <w:r>
        <w:rPr>
          <w:rFonts w:ascii="Times New Roman" w:hAnsi="Times New Roman" w:cs="Times New Roman"/>
          <w:sz w:val="32"/>
        </w:rPr>
        <w:t>负责组织落实建筑施工生产安全事故现场的治安、交通秩序维护，为开展抢险救援开辟绿色通道；对涉嫌犯罪的，依法采取强制措施和侦查措施，犯罪嫌疑人逃匿的，迅速开展追捕归案工作。</w:t>
      </w:r>
    </w:p>
    <w:p w14:paraId="730A2FE4">
      <w:pPr>
        <w:ind w:firstLine="634"/>
        <w:rPr>
          <w:rFonts w:ascii="Times New Roman" w:hAnsi="Times New Roman" w:cs="Times New Roman"/>
          <w:sz w:val="32"/>
        </w:rPr>
      </w:pPr>
      <w:r>
        <w:rPr>
          <w:rFonts w:ascii="Times New Roman" w:hAnsi="Times New Roman" w:cs="Times New Roman"/>
          <w:b/>
          <w:bCs/>
          <w:sz w:val="32"/>
        </w:rPr>
        <w:t>县卫生健康局：</w:t>
      </w:r>
      <w:r>
        <w:rPr>
          <w:rFonts w:ascii="Times New Roman" w:hAnsi="Times New Roman" w:cs="Times New Roman"/>
          <w:sz w:val="32"/>
        </w:rPr>
        <w:t>负责组织、协调、指导建筑施工生产安全事故紧急医学救援、伤员医疗救治工作；做好事故发生地疫情监测预警，防止疫情、疾病的传播和蔓延。</w:t>
      </w:r>
    </w:p>
    <w:p w14:paraId="321FF4A5">
      <w:pPr>
        <w:ind w:firstLine="634"/>
        <w:rPr>
          <w:rFonts w:ascii="Times New Roman" w:hAnsi="Times New Roman" w:cs="Times New Roman"/>
          <w:sz w:val="32"/>
        </w:rPr>
      </w:pPr>
      <w:r>
        <w:rPr>
          <w:rFonts w:ascii="Times New Roman" w:hAnsi="Times New Roman" w:cs="Times New Roman"/>
          <w:b/>
          <w:bCs/>
          <w:sz w:val="32"/>
        </w:rPr>
        <w:t>县交通运输局：</w:t>
      </w:r>
      <w:r>
        <w:rPr>
          <w:rFonts w:ascii="Times New Roman" w:hAnsi="Times New Roman" w:cs="Times New Roman"/>
          <w:sz w:val="32"/>
        </w:rPr>
        <w:t>负责配合公安交管部门协调建筑施工生产安全事故应急处置过程中的交通保畅、车辆保障等工作，保障应急救援人员、装备、物资等及时运送。</w:t>
      </w:r>
    </w:p>
    <w:p w14:paraId="48B18ED2">
      <w:pPr>
        <w:ind w:firstLine="634"/>
        <w:rPr>
          <w:rFonts w:ascii="Times New Roman" w:hAnsi="Times New Roman" w:cs="Times New Roman"/>
          <w:sz w:val="32"/>
        </w:rPr>
      </w:pPr>
      <w:r>
        <w:rPr>
          <w:rFonts w:ascii="Times New Roman" w:hAnsi="Times New Roman" w:cs="Times New Roman"/>
          <w:b/>
          <w:bCs/>
          <w:sz w:val="32"/>
        </w:rPr>
        <w:t>县消防救援大队：</w:t>
      </w:r>
      <w:r>
        <w:rPr>
          <w:rFonts w:ascii="Times New Roman" w:hAnsi="Times New Roman" w:cs="Times New Roman"/>
          <w:sz w:val="32"/>
        </w:rPr>
        <w:t>负责组织实施建筑安全事故及次生灾害等事故抢险救援工作。</w:t>
      </w:r>
    </w:p>
    <w:p w14:paraId="719DC132">
      <w:pPr>
        <w:ind w:firstLine="634"/>
        <w:rPr>
          <w:rFonts w:ascii="Times New Roman" w:hAnsi="Times New Roman" w:cs="Times New Roman"/>
          <w:sz w:val="32"/>
        </w:rPr>
      </w:pPr>
      <w:r>
        <w:rPr>
          <w:rFonts w:ascii="Times New Roman" w:hAnsi="Times New Roman" w:cs="Times New Roman"/>
          <w:b/>
          <w:bCs/>
          <w:sz w:val="32"/>
        </w:rPr>
        <w:t>县武警中队：</w:t>
      </w:r>
      <w:r>
        <w:rPr>
          <w:rFonts w:ascii="Times New Roman" w:hAnsi="Times New Roman" w:cs="Times New Roman"/>
          <w:sz w:val="32"/>
        </w:rPr>
        <w:t>根据需要，参与事故应急救援、人员疏散和物资转移工作。</w:t>
      </w:r>
    </w:p>
    <w:p w14:paraId="29D681B0">
      <w:pPr>
        <w:ind w:firstLine="634"/>
        <w:rPr>
          <w:rFonts w:ascii="Times New Roman" w:hAnsi="Times New Roman" w:cs="Times New Roman"/>
          <w:sz w:val="32"/>
        </w:rPr>
      </w:pPr>
      <w:r>
        <w:rPr>
          <w:rFonts w:ascii="Times New Roman" w:hAnsi="Times New Roman" w:cs="Times New Roman"/>
          <w:b/>
          <w:bCs/>
          <w:sz w:val="32"/>
        </w:rPr>
        <w:t>乡镇人民政府：</w:t>
      </w:r>
      <w:r>
        <w:rPr>
          <w:rFonts w:ascii="Times New Roman" w:hAnsi="Times New Roman" w:cs="Times New Roman"/>
          <w:sz w:val="32"/>
        </w:rPr>
        <w:t>负责组织、协调应由属地主责处置的建筑安全突发事件；当发生应由县建筑施工安全事故应急指挥部主责处置的建筑施工安全事件时，负责组织做好事件应急先期处置和后勤保障等工作，并在县建筑应急指挥部统一指挥下完成其他相关工作任务。</w:t>
      </w:r>
    </w:p>
    <w:p w14:paraId="570C24C5">
      <w:pPr>
        <w:ind w:firstLine="632"/>
        <w:rPr>
          <w:rFonts w:ascii="Times New Roman" w:hAnsi="Times New Roman" w:cs="Times New Roman"/>
        </w:rPr>
      </w:pPr>
      <w:r>
        <w:rPr>
          <w:rFonts w:ascii="Times New Roman" w:hAnsi="Times New Roman" w:cs="Times New Roman"/>
          <w:sz w:val="32"/>
        </w:rPr>
        <w:t>其他未列入成员的单位应按照各自职能职责，做好应急处置和保障工作，根据县建筑施工安全事故应急指挥部指令参与应急处置相关工作。</w:t>
      </w:r>
    </w:p>
    <w:bookmarkEnd w:id="729"/>
    <w:bookmarkEnd w:id="730"/>
    <w:bookmarkEnd w:id="731"/>
    <w:bookmarkEnd w:id="732"/>
    <w:bookmarkEnd w:id="733"/>
    <w:bookmarkEnd w:id="734"/>
    <w:bookmarkEnd w:id="735"/>
    <w:bookmarkEnd w:id="736"/>
    <w:bookmarkEnd w:id="737"/>
    <w:p w14:paraId="0894786F">
      <w:pPr>
        <w:pStyle w:val="3"/>
        <w:ind w:firstLine="0" w:firstLineChars="0"/>
        <w:rPr>
          <w:rFonts w:ascii="Times New Roman" w:hAnsi="Times New Roman" w:cs="Times New Roman"/>
          <w:sz w:val="32"/>
        </w:rPr>
      </w:pPr>
      <w:bookmarkStart w:id="738" w:name="_Toc11909"/>
      <w:bookmarkStart w:id="739" w:name="_Toc14865"/>
      <w:r>
        <w:rPr>
          <w:rFonts w:ascii="Times New Roman" w:hAnsi="Times New Roman" w:cs="Times New Roman"/>
          <w:sz w:val="32"/>
        </w:rPr>
        <w:t>现场指挥</w:t>
      </w:r>
      <w:bookmarkEnd w:id="738"/>
      <w:r>
        <w:rPr>
          <w:rFonts w:ascii="Times New Roman" w:hAnsi="Times New Roman" w:cs="Times New Roman"/>
          <w:sz w:val="32"/>
        </w:rPr>
        <w:t>机构及职责</w:t>
      </w:r>
      <w:bookmarkEnd w:id="739"/>
    </w:p>
    <w:p w14:paraId="3E6F2549">
      <w:pPr>
        <w:ind w:firstLine="632"/>
        <w:rPr>
          <w:rFonts w:ascii="Times New Roman" w:hAnsi="Times New Roman" w:cs="Times New Roman"/>
          <w:sz w:val="32"/>
        </w:rPr>
      </w:pPr>
      <w:r>
        <w:rPr>
          <w:rFonts w:ascii="Times New Roman" w:hAnsi="Times New Roman" w:cs="Times New Roman"/>
          <w:sz w:val="32"/>
        </w:rPr>
        <w:t>事故发生后，县建筑应急指挥部根据应急响应级别，成立现场指挥部，现场总指挥由县建筑应急指挥部总指挥或其指定负责人担任，成员由县建筑应急指挥部有关成员单位和事发地乡镇人民政府组成。主要负责组织、指挥、协调各方面应急力量实施应急处置。根据事件等级和处置情况，及时向县建筑应急指挥部报告有关事项。</w:t>
      </w:r>
    </w:p>
    <w:p w14:paraId="1C7CCBD4">
      <w:pPr>
        <w:ind w:firstLine="632"/>
        <w:rPr>
          <w:rFonts w:ascii="Times New Roman" w:hAnsi="Times New Roman" w:cs="Times New Roman"/>
          <w:sz w:val="32"/>
        </w:rPr>
      </w:pPr>
      <w:r>
        <w:rPr>
          <w:rFonts w:ascii="Times New Roman" w:hAnsi="Times New Roman" w:cs="Times New Roman"/>
          <w:sz w:val="32"/>
        </w:rPr>
        <w:t>现场指挥部根据事故现场的实际情况，由县住房和城乡建设局牵头，成立现场工作组，迅速开展应急处置工作。</w:t>
      </w:r>
    </w:p>
    <w:p w14:paraId="49724470">
      <w:pPr>
        <w:ind w:firstLine="632"/>
        <w:rPr>
          <w:rFonts w:ascii="Times New Roman" w:hAnsi="Times New Roman" w:cs="Times New Roman"/>
          <w:sz w:val="32"/>
        </w:rPr>
      </w:pPr>
      <w:r>
        <w:rPr>
          <w:rFonts w:ascii="Times New Roman" w:hAnsi="Times New Roman" w:cs="Times New Roman"/>
          <w:sz w:val="32"/>
        </w:rPr>
        <w:t>（1）综合协调组：由县住房和城乡建设局牵头，成员由县应急管理局、事发地乡镇人民政府和事故单位组成。主要负责查明事故情况，上报事故信息，协调开展应急处置工作。</w:t>
      </w:r>
    </w:p>
    <w:p w14:paraId="76B0EC1B">
      <w:pPr>
        <w:ind w:firstLine="632"/>
        <w:rPr>
          <w:rFonts w:ascii="Times New Roman" w:hAnsi="Times New Roman" w:cs="Times New Roman"/>
          <w:sz w:val="32"/>
        </w:rPr>
      </w:pPr>
      <w:r>
        <w:rPr>
          <w:rFonts w:ascii="Times New Roman" w:hAnsi="Times New Roman" w:cs="Times New Roman"/>
          <w:sz w:val="32"/>
        </w:rPr>
        <w:t>（2）抢险救援组：由县应急管理局牵头，成员由县公安局、县消防救援大队等单位组成。主要负责控制或消除引发事故的危险源，营救受困人员；掌握事故发展动态，随时与指挥部沟通汇报。</w:t>
      </w:r>
    </w:p>
    <w:p w14:paraId="7B3B11D9">
      <w:pPr>
        <w:ind w:firstLine="632"/>
        <w:rPr>
          <w:rFonts w:ascii="Times New Roman" w:hAnsi="Times New Roman" w:cs="Times New Roman"/>
          <w:sz w:val="32"/>
        </w:rPr>
      </w:pPr>
      <w:r>
        <w:rPr>
          <w:rFonts w:ascii="Times New Roman" w:hAnsi="Times New Roman" w:cs="Times New Roman"/>
          <w:sz w:val="32"/>
        </w:rPr>
        <w:t>（3）医疗救护组：由县卫生健康局牵头，成员由相关急救机构及接诊医院组成。</w:t>
      </w:r>
      <w:r>
        <w:rPr>
          <w:rFonts w:hint="eastAsia" w:ascii="Times New Roman" w:hAnsi="Times New Roman" w:cs="Times New Roman"/>
          <w:sz w:val="32"/>
        </w:rPr>
        <w:t>主要负责</w:t>
      </w:r>
      <w:r>
        <w:rPr>
          <w:rFonts w:ascii="Times New Roman" w:hAnsi="Times New Roman" w:cs="Times New Roman"/>
          <w:sz w:val="32"/>
        </w:rPr>
        <w:t>组织医疗力量开展伤员救治和心理抚慰工作，及时将伤员转运到指定医院；统计伤亡人员情况；协调落实医疗救治措施等。</w:t>
      </w:r>
    </w:p>
    <w:p w14:paraId="5FCCCE73">
      <w:pPr>
        <w:ind w:firstLine="632"/>
        <w:rPr>
          <w:rFonts w:ascii="Times New Roman" w:hAnsi="Times New Roman" w:cs="Times New Roman"/>
          <w:sz w:val="32"/>
        </w:rPr>
      </w:pPr>
      <w:r>
        <w:rPr>
          <w:rFonts w:ascii="Times New Roman" w:hAnsi="Times New Roman" w:cs="Times New Roman"/>
          <w:sz w:val="32"/>
        </w:rPr>
        <w:t>（4）警戒疏散组：由县公安局牵头，成员由事发地乡镇人民政府、事发地乡镇派出所等单位组成。负责现场及周边交通管制、疏导，禁止无关人员和车辆进入警戒区域，并在现场及周边区域进行治安巡逻；保障各应急处置单位赶赴现场绿色通道。</w:t>
      </w:r>
    </w:p>
    <w:p w14:paraId="784A65E1">
      <w:pPr>
        <w:ind w:firstLine="632"/>
        <w:rPr>
          <w:rFonts w:ascii="Times New Roman" w:hAnsi="Times New Roman" w:cs="Times New Roman"/>
          <w:sz w:val="32"/>
        </w:rPr>
      </w:pPr>
      <w:r>
        <w:rPr>
          <w:rFonts w:ascii="Times New Roman" w:hAnsi="Times New Roman" w:cs="Times New Roman"/>
          <w:sz w:val="32"/>
        </w:rPr>
        <w:t>（5）后勤保障组：由事发地乡镇政府牵头，成员由县住房和城乡建设局、县民政局和事故单位组成。主要负责突发应急事件处置工作所需物资、经费的汇总、上报工作；负责应急期间的后勤保障工作；负责事故损失的汇总、上报工作。</w:t>
      </w:r>
    </w:p>
    <w:p w14:paraId="047D814C">
      <w:pPr>
        <w:ind w:firstLine="632"/>
        <w:rPr>
          <w:rFonts w:ascii="Times New Roman" w:hAnsi="Times New Roman" w:cs="Times New Roman"/>
          <w:sz w:val="32"/>
        </w:rPr>
      </w:pPr>
      <w:r>
        <w:rPr>
          <w:rFonts w:ascii="Times New Roman" w:hAnsi="Times New Roman" w:cs="Times New Roman"/>
          <w:sz w:val="32"/>
        </w:rPr>
        <w:t>（6）事故调查组：由县住房和城乡建设局，成员由县应急管理局、事发地乡镇人民政府等单位组成，主要负责组织或配合上级有关部门组织事故调查组，进行事故调查，组织技术专家分析事故原因；搜集事故现场的有关物证、资料，绘制事故示意图，保护现场和证据。</w:t>
      </w:r>
    </w:p>
    <w:p w14:paraId="78910607">
      <w:pPr>
        <w:ind w:firstLine="632"/>
        <w:rPr>
          <w:rFonts w:ascii="Times New Roman" w:hAnsi="Times New Roman" w:cs="Times New Roman"/>
          <w:sz w:val="32"/>
        </w:rPr>
      </w:pPr>
      <w:r>
        <w:rPr>
          <w:rFonts w:ascii="Times New Roman" w:hAnsi="Times New Roman" w:cs="Times New Roman"/>
          <w:sz w:val="32"/>
        </w:rPr>
        <w:t>（7）应急专家组：主要负责按照县建筑应急指挥部的要求对事故处理进行研究分析，提供咨询或建议，对应急救援提供技术支援，参与事故调查，对事故调查提出咨询意见。</w:t>
      </w:r>
    </w:p>
    <w:p w14:paraId="4E3A49B6">
      <w:pPr>
        <w:pStyle w:val="3"/>
        <w:ind w:firstLine="0" w:firstLineChars="0"/>
        <w:rPr>
          <w:rFonts w:ascii="Times New Roman" w:hAnsi="Times New Roman" w:cs="Times New Roman"/>
          <w:sz w:val="32"/>
        </w:rPr>
      </w:pPr>
      <w:bookmarkStart w:id="740" w:name="_Toc13810"/>
      <w:r>
        <w:rPr>
          <w:rFonts w:ascii="Times New Roman" w:hAnsi="Times New Roman" w:cs="Times New Roman"/>
          <w:sz w:val="32"/>
        </w:rPr>
        <w:t>生产经营单位应急组织及职责</w:t>
      </w:r>
      <w:bookmarkEnd w:id="740"/>
    </w:p>
    <w:p w14:paraId="14D061D7">
      <w:pPr>
        <w:ind w:firstLine="632"/>
        <w:rPr>
          <w:rFonts w:ascii="Times New Roman" w:hAnsi="Times New Roman" w:cs="Times New Roman"/>
          <w:sz w:val="32"/>
        </w:rPr>
      </w:pPr>
      <w:r>
        <w:rPr>
          <w:rFonts w:ascii="Times New Roman" w:hAnsi="Times New Roman" w:cs="Times New Roman"/>
          <w:sz w:val="32"/>
        </w:rPr>
        <w:t>建筑施工生产经营单位应严格按照《中华人民共和国突发事件应对法》《中华人民共和国安全生产法》《安全生产事故应急条例》等法律法规要求履行法定职责和义务，制定本单位建设工程安全生产事故应急预案，配备相应的应急救援人员和装备，组织应急救援培训与演练，按规定及时报告事故信息，组织本单位救援力量在第一时间开展应急救援先期处置。</w:t>
      </w:r>
    </w:p>
    <w:p w14:paraId="288C7398">
      <w:pPr>
        <w:pStyle w:val="2"/>
        <w:numPr>
          <w:ilvl w:val="0"/>
          <w:numId w:val="147"/>
        </w:numPr>
        <w:tabs>
          <w:tab w:val="left" w:pos="0"/>
        </w:tabs>
        <w:ind w:firstLine="0" w:firstLineChars="0"/>
        <w:rPr>
          <w:rFonts w:ascii="Times New Roman" w:hAnsi="Times New Roman" w:cs="Times New Roman"/>
          <w:sz w:val="32"/>
        </w:rPr>
      </w:pPr>
      <w:bookmarkStart w:id="741" w:name="_Toc12646"/>
      <w:r>
        <w:rPr>
          <w:rFonts w:ascii="Times New Roman" w:hAnsi="Times New Roman" w:cs="Times New Roman"/>
          <w:sz w:val="32"/>
        </w:rPr>
        <w:t>预防和预警机制</w:t>
      </w:r>
      <w:bookmarkEnd w:id="741"/>
    </w:p>
    <w:p w14:paraId="363EB194">
      <w:pPr>
        <w:pStyle w:val="3"/>
        <w:ind w:firstLine="0" w:firstLineChars="0"/>
        <w:rPr>
          <w:rFonts w:ascii="Times New Roman" w:hAnsi="Times New Roman" w:cs="Times New Roman"/>
          <w:sz w:val="32"/>
        </w:rPr>
      </w:pPr>
      <w:bookmarkStart w:id="742" w:name="_Toc22902"/>
      <w:r>
        <w:rPr>
          <w:rFonts w:ascii="Times New Roman" w:hAnsi="Times New Roman" w:cs="Times New Roman"/>
          <w:sz w:val="32"/>
        </w:rPr>
        <w:t>预防机制</w:t>
      </w:r>
      <w:bookmarkEnd w:id="742"/>
    </w:p>
    <w:p w14:paraId="010F50FC">
      <w:pPr>
        <w:ind w:firstLine="632"/>
        <w:rPr>
          <w:rFonts w:ascii="Times New Roman" w:hAnsi="Times New Roman" w:cs="Times New Roman"/>
          <w:sz w:val="32"/>
        </w:rPr>
      </w:pPr>
      <w:r>
        <w:rPr>
          <w:rFonts w:ascii="Times New Roman" w:hAnsi="Times New Roman" w:cs="Times New Roman"/>
          <w:sz w:val="32"/>
        </w:rPr>
        <w:t>县住房和城乡建设局应健全隐患排查机制与气象、自然灾害信息获取机制，对收集的各类信息进行统计、汇总和分析后，及时采取措施消除隐患；对各自监管范围内危险性较大的分部分项工程定期检查，建立监控台账，对存在安全隐患的危险性较大的分部分项工程及时提出整改措施，消除安全隐患；督促施工单位根据地质条件、可能引发灾害的类型及危害程度，建立基本情况和重大危险有害因素数据库，实施日常监督管理，并落实好评估备案工作。</w:t>
      </w:r>
    </w:p>
    <w:p w14:paraId="5E13D4A7">
      <w:pPr>
        <w:pStyle w:val="3"/>
        <w:ind w:firstLine="0" w:firstLineChars="0"/>
        <w:rPr>
          <w:rFonts w:ascii="Times New Roman" w:hAnsi="Times New Roman" w:cs="Times New Roman"/>
          <w:sz w:val="32"/>
        </w:rPr>
      </w:pPr>
      <w:bookmarkStart w:id="743" w:name="_Toc6893"/>
      <w:r>
        <w:rPr>
          <w:rFonts w:ascii="Times New Roman" w:hAnsi="Times New Roman" w:cs="Times New Roman"/>
          <w:sz w:val="32"/>
        </w:rPr>
        <w:t>预警方式</w:t>
      </w:r>
      <w:bookmarkEnd w:id="743"/>
    </w:p>
    <w:p w14:paraId="1FC5CCF4">
      <w:pPr>
        <w:ind w:firstLine="632"/>
        <w:rPr>
          <w:rFonts w:ascii="Times New Roman" w:hAnsi="Times New Roman" w:cs="Times New Roman"/>
          <w:sz w:val="32"/>
        </w:rPr>
      </w:pPr>
      <w:r>
        <w:rPr>
          <w:rFonts w:ascii="Times New Roman" w:hAnsi="Times New Roman" w:cs="Times New Roman"/>
          <w:sz w:val="32"/>
        </w:rPr>
        <w:t>结合日常监测、常规巡查、隐患排查手段及上级文件通知的要求，将建筑施工生产安全事故预警分为监测预警、巡视预警和综合预警。</w:t>
      </w:r>
    </w:p>
    <w:p w14:paraId="4A2225DD">
      <w:pPr>
        <w:pStyle w:val="4"/>
        <w:numPr>
          <w:ilvl w:val="2"/>
          <w:numId w:val="147"/>
        </w:numPr>
        <w:tabs>
          <w:tab w:val="left" w:pos="0"/>
        </w:tabs>
        <w:ind w:firstLine="0" w:firstLineChars="0"/>
        <w:rPr>
          <w:rFonts w:ascii="Times New Roman" w:hAnsi="Times New Roman" w:cs="Times New Roman"/>
          <w:sz w:val="32"/>
        </w:rPr>
      </w:pPr>
      <w:r>
        <w:rPr>
          <w:rFonts w:ascii="Times New Roman" w:hAnsi="Times New Roman" w:cs="Times New Roman"/>
          <w:sz w:val="32"/>
        </w:rPr>
        <w:t>监测预警</w:t>
      </w:r>
    </w:p>
    <w:p w14:paraId="774B23D1">
      <w:pPr>
        <w:ind w:firstLine="632"/>
        <w:rPr>
          <w:rFonts w:ascii="Times New Roman" w:hAnsi="Times New Roman" w:cs="Times New Roman"/>
          <w:sz w:val="32"/>
        </w:rPr>
      </w:pPr>
      <w:r>
        <w:rPr>
          <w:rFonts w:ascii="Times New Roman" w:hAnsi="Times New Roman" w:cs="Times New Roman"/>
          <w:sz w:val="32"/>
        </w:rPr>
        <w:t>监测预警主要包括以下内容：</w:t>
      </w:r>
    </w:p>
    <w:p w14:paraId="4703C332">
      <w:pPr>
        <w:ind w:firstLine="632"/>
        <w:rPr>
          <w:rFonts w:ascii="Times New Roman" w:hAnsi="Times New Roman" w:cs="Times New Roman"/>
          <w:sz w:val="32"/>
        </w:rPr>
      </w:pPr>
      <w:r>
        <w:rPr>
          <w:rFonts w:ascii="Times New Roman" w:hAnsi="Times New Roman" w:cs="Times New Roman"/>
          <w:sz w:val="32"/>
        </w:rPr>
        <w:t>（1）应密切关注气象预警信息，对有可能导致建筑施工生产安全事故发生的极端天气和自然灾害，及时发布预警信息。</w:t>
      </w:r>
    </w:p>
    <w:p w14:paraId="5FDF051B">
      <w:pPr>
        <w:ind w:firstLine="632"/>
        <w:rPr>
          <w:rFonts w:ascii="Times New Roman" w:hAnsi="Times New Roman" w:cs="Times New Roman"/>
          <w:sz w:val="32"/>
        </w:rPr>
      </w:pPr>
      <w:r>
        <w:rPr>
          <w:rFonts w:ascii="Times New Roman" w:hAnsi="Times New Roman" w:cs="Times New Roman"/>
          <w:sz w:val="32"/>
        </w:rPr>
        <w:t>（2）加强信息共享，对各部门或单位监测到的相关信息进行分析，对可能导致建筑施工生产安全事故的，及时发布预警信息。</w:t>
      </w:r>
    </w:p>
    <w:p w14:paraId="755DEE3C">
      <w:pPr>
        <w:pStyle w:val="4"/>
        <w:numPr>
          <w:ilvl w:val="2"/>
          <w:numId w:val="147"/>
        </w:numPr>
        <w:tabs>
          <w:tab w:val="left" w:pos="0"/>
        </w:tabs>
        <w:ind w:firstLine="0" w:firstLineChars="0"/>
        <w:rPr>
          <w:rFonts w:ascii="Times New Roman" w:hAnsi="Times New Roman" w:cs="Times New Roman"/>
          <w:sz w:val="32"/>
        </w:rPr>
      </w:pPr>
      <w:r>
        <w:rPr>
          <w:rFonts w:ascii="Times New Roman" w:hAnsi="Times New Roman" w:cs="Times New Roman"/>
          <w:sz w:val="32"/>
        </w:rPr>
        <w:t>巡视预警</w:t>
      </w:r>
    </w:p>
    <w:p w14:paraId="70B9A2FC">
      <w:pPr>
        <w:ind w:firstLine="632"/>
        <w:rPr>
          <w:rFonts w:ascii="Times New Roman" w:hAnsi="Times New Roman" w:cs="Times New Roman"/>
          <w:sz w:val="32"/>
        </w:rPr>
      </w:pPr>
      <w:r>
        <w:rPr>
          <w:rFonts w:ascii="Times New Roman" w:hAnsi="Times New Roman" w:cs="Times New Roman"/>
          <w:sz w:val="32"/>
        </w:rPr>
        <w:t>巡视预警主要包括以下方面：</w:t>
      </w:r>
    </w:p>
    <w:p w14:paraId="72F71663">
      <w:pPr>
        <w:ind w:firstLine="632"/>
        <w:rPr>
          <w:rFonts w:ascii="Times New Roman" w:hAnsi="Times New Roman" w:cs="Times New Roman"/>
          <w:sz w:val="32"/>
        </w:rPr>
      </w:pPr>
      <w:r>
        <w:rPr>
          <w:rFonts w:ascii="Times New Roman" w:hAnsi="Times New Roman" w:cs="Times New Roman"/>
          <w:sz w:val="32"/>
        </w:rPr>
        <w:t>（1）县住房和城乡建设局在本部门开展隐患排查工作发现重大隐患时，应立即要求被查出重大隐患的项目停工整改，适时召开分析研判会议，根据研判结果，发布预警信息，并开展全县范围内该类重大隐患的排查工作。</w:t>
      </w:r>
    </w:p>
    <w:p w14:paraId="2E80D78D">
      <w:pPr>
        <w:ind w:firstLine="632"/>
        <w:rPr>
          <w:rFonts w:ascii="Times New Roman" w:hAnsi="Times New Roman" w:cs="Times New Roman"/>
          <w:sz w:val="32"/>
        </w:rPr>
      </w:pPr>
      <w:r>
        <w:rPr>
          <w:rFonts w:ascii="Times New Roman" w:hAnsi="Times New Roman" w:cs="Times New Roman"/>
          <w:sz w:val="32"/>
        </w:rPr>
        <w:t>（2）其他负有安全监管职责的单位和部门应加强日常隐患排查工作，将日常排查出的隐患及时通报指挥部办公室，由县建筑应急指挥部根据隐患的具体情况，发布预警信息。</w:t>
      </w:r>
    </w:p>
    <w:p w14:paraId="7F355A4E">
      <w:pPr>
        <w:pStyle w:val="4"/>
        <w:numPr>
          <w:ilvl w:val="2"/>
          <w:numId w:val="147"/>
        </w:numPr>
        <w:tabs>
          <w:tab w:val="left" w:pos="0"/>
        </w:tabs>
        <w:ind w:firstLine="0" w:firstLineChars="0"/>
        <w:rPr>
          <w:rFonts w:ascii="Times New Roman" w:hAnsi="Times New Roman" w:cs="Times New Roman"/>
          <w:sz w:val="32"/>
        </w:rPr>
      </w:pPr>
      <w:r>
        <w:rPr>
          <w:rFonts w:ascii="Times New Roman" w:hAnsi="Times New Roman" w:cs="Times New Roman"/>
          <w:sz w:val="32"/>
        </w:rPr>
        <w:t>综合预警</w:t>
      </w:r>
    </w:p>
    <w:p w14:paraId="73C46FA5">
      <w:pPr>
        <w:ind w:firstLine="632"/>
        <w:rPr>
          <w:rFonts w:ascii="Times New Roman" w:hAnsi="Times New Roman" w:cs="Times New Roman"/>
          <w:sz w:val="32"/>
        </w:rPr>
      </w:pPr>
      <w:r>
        <w:rPr>
          <w:rFonts w:ascii="Times New Roman" w:hAnsi="Times New Roman" w:cs="Times New Roman"/>
          <w:sz w:val="32"/>
        </w:rPr>
        <w:t>综合预警主要包括以下方面：</w:t>
      </w:r>
    </w:p>
    <w:p w14:paraId="249B8290">
      <w:pPr>
        <w:ind w:firstLine="632"/>
        <w:rPr>
          <w:rFonts w:ascii="Times New Roman" w:hAnsi="Times New Roman" w:cs="Times New Roman"/>
          <w:sz w:val="32"/>
        </w:rPr>
      </w:pPr>
      <w:r>
        <w:rPr>
          <w:rFonts w:ascii="Times New Roman" w:hAnsi="Times New Roman" w:cs="Times New Roman"/>
          <w:sz w:val="32"/>
        </w:rPr>
        <w:t>（1）根据国家、省、市或相关上级单位发布的文件、通知及要求，及时发布预警信息。</w:t>
      </w:r>
    </w:p>
    <w:p w14:paraId="26E20EC8">
      <w:pPr>
        <w:ind w:firstLine="632"/>
        <w:rPr>
          <w:rFonts w:ascii="Times New Roman" w:hAnsi="Times New Roman" w:cs="Times New Roman"/>
          <w:sz w:val="32"/>
        </w:rPr>
      </w:pPr>
      <w:r>
        <w:rPr>
          <w:rFonts w:ascii="Times New Roman" w:hAnsi="Times New Roman" w:cs="Times New Roman"/>
          <w:sz w:val="32"/>
        </w:rPr>
        <w:t>（2）结合重要时间节点或时段，如重要活动、会议期间、重大节假日等，及时发布相应通知或预警信息。</w:t>
      </w:r>
    </w:p>
    <w:p w14:paraId="13C6C798">
      <w:pPr>
        <w:ind w:firstLine="632"/>
        <w:rPr>
          <w:rFonts w:ascii="Times New Roman" w:hAnsi="Times New Roman" w:cs="Times New Roman"/>
          <w:sz w:val="32"/>
        </w:rPr>
      </w:pPr>
      <w:r>
        <w:rPr>
          <w:rFonts w:ascii="Times New Roman" w:hAnsi="Times New Roman" w:cs="Times New Roman"/>
          <w:sz w:val="32"/>
        </w:rPr>
        <w:t>（3）根据以往建筑施工生产安全事故出现的季节、月份、地点等进行综合会商，研判分析，根据需要及时发布预警信息。</w:t>
      </w:r>
    </w:p>
    <w:p w14:paraId="7F0ED1FE">
      <w:pPr>
        <w:ind w:firstLine="632"/>
        <w:rPr>
          <w:rFonts w:ascii="Times New Roman" w:hAnsi="Times New Roman" w:cs="Times New Roman"/>
          <w:sz w:val="32"/>
        </w:rPr>
      </w:pPr>
      <w:r>
        <w:rPr>
          <w:rFonts w:ascii="Times New Roman" w:hAnsi="Times New Roman" w:cs="Times New Roman"/>
          <w:sz w:val="32"/>
        </w:rPr>
        <w:t>（4）我县范围内出现一起一般建筑施工生产安全事故、全国出现一起重大以上建筑施工生产安全事故或在一段时间内多个地区出现较大以上建筑施工生产安全事故时，结合我县实际，根据需要及时发布预警信息。</w:t>
      </w:r>
    </w:p>
    <w:p w14:paraId="763C1BA4">
      <w:pPr>
        <w:pStyle w:val="3"/>
        <w:ind w:firstLine="0" w:firstLineChars="0"/>
        <w:rPr>
          <w:rFonts w:ascii="Times New Roman" w:hAnsi="Times New Roman" w:cs="Times New Roman"/>
          <w:sz w:val="32"/>
        </w:rPr>
      </w:pPr>
      <w:bookmarkStart w:id="744" w:name="_Toc20162"/>
      <w:r>
        <w:rPr>
          <w:rFonts w:ascii="Times New Roman" w:hAnsi="Times New Roman" w:cs="Times New Roman"/>
          <w:sz w:val="32"/>
        </w:rPr>
        <w:t>预警发布</w:t>
      </w:r>
      <w:bookmarkEnd w:id="744"/>
    </w:p>
    <w:p w14:paraId="5F41CBC4">
      <w:pPr>
        <w:ind w:firstLine="632"/>
        <w:rPr>
          <w:rFonts w:ascii="Times New Roman" w:hAnsi="Times New Roman" w:cs="Times New Roman"/>
          <w:sz w:val="32"/>
        </w:rPr>
      </w:pPr>
      <w:r>
        <w:rPr>
          <w:rFonts w:ascii="Times New Roman" w:hAnsi="Times New Roman" w:cs="Times New Roman"/>
          <w:sz w:val="32"/>
        </w:rPr>
        <w:t>县住房和城乡建设局负责自身监管范围内建设工程建筑施工生产安全事故预警信息的发布。需要向公众发布的预警信息，由县委宣传部指导相关预警信息发布工作。</w:t>
      </w:r>
    </w:p>
    <w:p w14:paraId="4533E1F4">
      <w:pPr>
        <w:ind w:firstLine="632"/>
        <w:rPr>
          <w:rFonts w:ascii="Times New Roman" w:hAnsi="Times New Roman" w:cs="Times New Roman"/>
          <w:sz w:val="32"/>
        </w:rPr>
      </w:pPr>
      <w:r>
        <w:rPr>
          <w:rFonts w:ascii="Times New Roman" w:hAnsi="Times New Roman" w:cs="Times New Roman"/>
          <w:sz w:val="32"/>
        </w:rPr>
        <w:t>预警信息发布的主要内容包括：发布机关、发布时间、可能影响范围、警示事项、应采取的措施和咨询渠道等。预警信息可通过系统内部应急指挥平台、传真、短信、微信等途径发布。根据需要，也可通过电视、广播、网络等途径发布。</w:t>
      </w:r>
    </w:p>
    <w:p w14:paraId="14266581">
      <w:pPr>
        <w:pStyle w:val="3"/>
        <w:ind w:firstLine="0" w:firstLineChars="0"/>
        <w:rPr>
          <w:rFonts w:ascii="Times New Roman" w:hAnsi="Times New Roman" w:cs="Times New Roman"/>
          <w:sz w:val="32"/>
        </w:rPr>
      </w:pPr>
      <w:bookmarkStart w:id="745" w:name="_Toc6918"/>
      <w:r>
        <w:rPr>
          <w:rFonts w:ascii="Times New Roman" w:hAnsi="Times New Roman" w:cs="Times New Roman"/>
          <w:sz w:val="32"/>
        </w:rPr>
        <w:t>预警行动</w:t>
      </w:r>
      <w:bookmarkEnd w:id="745"/>
    </w:p>
    <w:p w14:paraId="1D2E65DE">
      <w:pPr>
        <w:ind w:firstLine="632"/>
        <w:rPr>
          <w:rFonts w:ascii="Times New Roman" w:hAnsi="Times New Roman" w:cs="Times New Roman"/>
          <w:sz w:val="32"/>
        </w:rPr>
      </w:pPr>
      <w:r>
        <w:rPr>
          <w:rFonts w:ascii="Times New Roman" w:hAnsi="Times New Roman" w:cs="Times New Roman"/>
          <w:sz w:val="32"/>
        </w:rPr>
        <w:t>预警信息发布以后，县建筑应急指挥部及相关成员单位可视情况采取以下一项或多项措施：</w:t>
      </w:r>
    </w:p>
    <w:p w14:paraId="0E3F5A38">
      <w:pPr>
        <w:ind w:firstLine="632"/>
        <w:rPr>
          <w:rFonts w:ascii="Times New Roman" w:hAnsi="Times New Roman" w:cs="Times New Roman"/>
          <w:sz w:val="32"/>
        </w:rPr>
      </w:pPr>
      <w:r>
        <w:rPr>
          <w:rFonts w:ascii="Times New Roman" w:hAnsi="Times New Roman" w:cs="Times New Roman"/>
          <w:sz w:val="32"/>
        </w:rPr>
        <w:t>（1）做好启动应急预案的准备；</w:t>
      </w:r>
    </w:p>
    <w:p w14:paraId="13AA2137">
      <w:pPr>
        <w:ind w:firstLine="632"/>
        <w:rPr>
          <w:rFonts w:ascii="Times New Roman" w:hAnsi="Times New Roman" w:cs="Times New Roman"/>
          <w:sz w:val="32"/>
        </w:rPr>
      </w:pPr>
      <w:r>
        <w:rPr>
          <w:rFonts w:ascii="Times New Roman" w:hAnsi="Times New Roman" w:cs="Times New Roman"/>
          <w:sz w:val="32"/>
        </w:rPr>
        <w:t>（2）公布信息接报和咨询电话，及时收集和上报有关信息；</w:t>
      </w:r>
    </w:p>
    <w:p w14:paraId="09925D50">
      <w:pPr>
        <w:ind w:firstLine="632"/>
        <w:rPr>
          <w:rFonts w:ascii="Times New Roman" w:hAnsi="Times New Roman" w:cs="Times New Roman"/>
          <w:sz w:val="32"/>
        </w:rPr>
      </w:pPr>
      <w:r>
        <w:rPr>
          <w:rFonts w:ascii="Times New Roman" w:hAnsi="Times New Roman" w:cs="Times New Roman"/>
          <w:sz w:val="32"/>
        </w:rPr>
        <w:t>（3）组织有关部门和机构、专业技术人员、专家，对建筑施工生产安全事故信息进行分析评估，预测建筑施工生产安全事故发生可能性的大小、影响范围，根据需要向社会发布与公众有关的建筑施工生产安全事故预测信息和分析评估结果；</w:t>
      </w:r>
    </w:p>
    <w:p w14:paraId="477CB4D1">
      <w:pPr>
        <w:ind w:firstLine="632"/>
        <w:rPr>
          <w:rFonts w:ascii="Times New Roman" w:hAnsi="Times New Roman" w:cs="Times New Roman"/>
          <w:sz w:val="32"/>
        </w:rPr>
      </w:pPr>
      <w:r>
        <w:rPr>
          <w:rFonts w:ascii="Times New Roman" w:hAnsi="Times New Roman" w:cs="Times New Roman"/>
          <w:sz w:val="32"/>
        </w:rPr>
        <w:t>（4）组织巡查，加大隐患排查力度；</w:t>
      </w:r>
    </w:p>
    <w:p w14:paraId="13CF6483">
      <w:pPr>
        <w:ind w:firstLine="632"/>
        <w:rPr>
          <w:rFonts w:ascii="Times New Roman" w:hAnsi="Times New Roman" w:cs="Times New Roman"/>
          <w:sz w:val="32"/>
        </w:rPr>
      </w:pPr>
      <w:r>
        <w:rPr>
          <w:rFonts w:ascii="Times New Roman" w:hAnsi="Times New Roman" w:cs="Times New Roman"/>
          <w:sz w:val="32"/>
        </w:rPr>
        <w:t>（5）通知相关单位、救援队伍进入戒备和随时待命状态；</w:t>
      </w:r>
    </w:p>
    <w:p w14:paraId="6175BF72">
      <w:pPr>
        <w:ind w:firstLine="632"/>
        <w:rPr>
          <w:rFonts w:ascii="Times New Roman" w:hAnsi="Times New Roman" w:cs="Times New Roman"/>
          <w:sz w:val="32"/>
        </w:rPr>
      </w:pPr>
      <w:r>
        <w:rPr>
          <w:rFonts w:ascii="Times New Roman" w:hAnsi="Times New Roman" w:cs="Times New Roman"/>
          <w:sz w:val="32"/>
        </w:rPr>
        <w:t>（6）采取局部或全面停工措施；</w:t>
      </w:r>
    </w:p>
    <w:p w14:paraId="38ACEE06">
      <w:pPr>
        <w:ind w:firstLine="632"/>
        <w:rPr>
          <w:rFonts w:ascii="Times New Roman" w:hAnsi="Times New Roman" w:cs="Times New Roman"/>
          <w:sz w:val="32"/>
        </w:rPr>
      </w:pPr>
      <w:r>
        <w:rPr>
          <w:rFonts w:ascii="Times New Roman" w:hAnsi="Times New Roman" w:cs="Times New Roman"/>
          <w:sz w:val="32"/>
        </w:rPr>
        <w:t>（7）调集应急救援所需物资、装备、设备和机械，并确保其随时可以投入正常使用；</w:t>
      </w:r>
    </w:p>
    <w:p w14:paraId="10E820BE">
      <w:pPr>
        <w:ind w:firstLine="632"/>
        <w:rPr>
          <w:rFonts w:ascii="Times New Roman" w:hAnsi="Times New Roman" w:cs="Times New Roman"/>
          <w:sz w:val="32"/>
        </w:rPr>
      </w:pPr>
      <w:r>
        <w:rPr>
          <w:rFonts w:ascii="Times New Roman" w:hAnsi="Times New Roman" w:cs="Times New Roman"/>
          <w:sz w:val="32"/>
        </w:rPr>
        <w:t>（8）针对可能造成的危害，封闭、隔离或者限制使用有关场所，中止可能导致危害扩大的行为和活动；</w:t>
      </w:r>
    </w:p>
    <w:p w14:paraId="759D49B6">
      <w:pPr>
        <w:ind w:firstLine="632"/>
        <w:rPr>
          <w:rFonts w:ascii="Times New Roman" w:hAnsi="Times New Roman" w:cs="Times New Roman"/>
          <w:sz w:val="32"/>
        </w:rPr>
      </w:pPr>
      <w:r>
        <w:rPr>
          <w:rFonts w:ascii="Times New Roman" w:hAnsi="Times New Roman" w:cs="Times New Roman"/>
          <w:sz w:val="32"/>
        </w:rPr>
        <w:t>（9）向相关单位采取有关特定措施以及避免和减轻危害的建议。</w:t>
      </w:r>
    </w:p>
    <w:p w14:paraId="0B89AACF">
      <w:pPr>
        <w:pStyle w:val="3"/>
        <w:ind w:firstLine="0" w:firstLineChars="0"/>
        <w:rPr>
          <w:rFonts w:ascii="Times New Roman" w:hAnsi="Times New Roman" w:cs="Times New Roman"/>
          <w:sz w:val="32"/>
        </w:rPr>
      </w:pPr>
      <w:bookmarkStart w:id="746" w:name="_Toc19871"/>
      <w:r>
        <w:rPr>
          <w:rFonts w:ascii="Times New Roman" w:hAnsi="Times New Roman" w:cs="Times New Roman"/>
          <w:sz w:val="32"/>
        </w:rPr>
        <w:t>预警解除</w:t>
      </w:r>
      <w:bookmarkEnd w:id="746"/>
    </w:p>
    <w:p w14:paraId="00EB3D3B">
      <w:pPr>
        <w:ind w:firstLine="632"/>
        <w:rPr>
          <w:rFonts w:ascii="Times New Roman" w:hAnsi="Times New Roman" w:cs="Times New Roman"/>
          <w:sz w:val="32"/>
        </w:rPr>
      </w:pPr>
      <w:r>
        <w:rPr>
          <w:rFonts w:ascii="Times New Roman" w:hAnsi="Times New Roman" w:cs="Times New Roman"/>
          <w:sz w:val="32"/>
        </w:rPr>
        <w:t>根据实时情况以及专家论证结论，确定事态得到控制、影响得到消除的，经县建筑应急指挥部主要领导批准，县住房和城乡建设局宣布解除预警，适时终止相关措施。</w:t>
      </w:r>
    </w:p>
    <w:p w14:paraId="322CF479">
      <w:pPr>
        <w:pStyle w:val="2"/>
        <w:numPr>
          <w:ilvl w:val="0"/>
          <w:numId w:val="147"/>
        </w:numPr>
        <w:tabs>
          <w:tab w:val="left" w:pos="0"/>
        </w:tabs>
        <w:ind w:firstLine="0" w:firstLineChars="0"/>
        <w:rPr>
          <w:rFonts w:ascii="Times New Roman" w:hAnsi="Times New Roman" w:cs="Times New Roman"/>
          <w:sz w:val="32"/>
        </w:rPr>
      </w:pPr>
      <w:bookmarkStart w:id="747" w:name="_Toc17303"/>
      <w:r>
        <w:rPr>
          <w:rFonts w:ascii="Times New Roman" w:hAnsi="Times New Roman" w:cs="Times New Roman"/>
          <w:sz w:val="32"/>
        </w:rPr>
        <w:t>应急响应</w:t>
      </w:r>
      <w:bookmarkEnd w:id="747"/>
    </w:p>
    <w:p w14:paraId="1E28C452">
      <w:pPr>
        <w:pStyle w:val="3"/>
        <w:ind w:firstLine="0" w:firstLineChars="0"/>
        <w:rPr>
          <w:rFonts w:ascii="Times New Roman" w:hAnsi="Times New Roman" w:cs="Times New Roman"/>
          <w:sz w:val="32"/>
        </w:rPr>
      </w:pPr>
      <w:bookmarkStart w:id="748" w:name="_Toc31893"/>
      <w:r>
        <w:rPr>
          <w:rFonts w:ascii="Times New Roman" w:hAnsi="Times New Roman" w:cs="Times New Roman"/>
          <w:sz w:val="32"/>
        </w:rPr>
        <w:t>信息报告</w:t>
      </w:r>
      <w:bookmarkEnd w:id="748"/>
    </w:p>
    <w:p w14:paraId="440B3625">
      <w:pPr>
        <w:ind w:firstLine="632"/>
        <w:rPr>
          <w:rFonts w:ascii="Times New Roman" w:hAnsi="Times New Roman" w:cs="Times New Roman"/>
          <w:sz w:val="32"/>
        </w:rPr>
      </w:pPr>
      <w:r>
        <w:rPr>
          <w:rFonts w:ascii="Times New Roman" w:hAnsi="Times New Roman" w:cs="Times New Roman"/>
          <w:sz w:val="32"/>
        </w:rPr>
        <w:t>事故信息的报送应当做到客观、真实、及时、完整，不得迟报、漏报、瞒报或者谎报。</w:t>
      </w:r>
    </w:p>
    <w:p w14:paraId="6C9964DE">
      <w:pPr>
        <w:pStyle w:val="4"/>
        <w:numPr>
          <w:ilvl w:val="2"/>
          <w:numId w:val="147"/>
        </w:numPr>
        <w:tabs>
          <w:tab w:val="left" w:pos="0"/>
        </w:tabs>
        <w:ind w:firstLine="0" w:firstLineChars="0"/>
        <w:rPr>
          <w:rFonts w:ascii="Times New Roman" w:hAnsi="Times New Roman" w:cs="Times New Roman"/>
          <w:sz w:val="32"/>
        </w:rPr>
      </w:pPr>
      <w:r>
        <w:rPr>
          <w:rFonts w:ascii="Times New Roman" w:hAnsi="Times New Roman" w:cs="Times New Roman"/>
          <w:sz w:val="32"/>
        </w:rPr>
        <w:t>建筑施工企业事故报告要求</w:t>
      </w:r>
    </w:p>
    <w:p w14:paraId="29FA9425">
      <w:pPr>
        <w:ind w:firstLine="632"/>
        <w:rPr>
          <w:rFonts w:ascii="Times New Roman" w:hAnsi="Times New Roman" w:cs="Times New Roman"/>
          <w:sz w:val="32"/>
        </w:rPr>
      </w:pPr>
      <w:r>
        <w:rPr>
          <w:rFonts w:ascii="Times New Roman" w:hAnsi="Times New Roman" w:cs="Times New Roman"/>
          <w:sz w:val="32"/>
        </w:rPr>
        <w:t>事故发生后，事故现场有关人员应当立即向本单位负责人报告；施工企业负责人接到报告后，应当于1小时内向事故发生地县级以上人民政府、住房城乡建设主管部门及安全生产监督管理等有关部门报告。情况紧急时，事故现场有关人员可以直接向事故发生地县级以上人民政府、住房城乡建设主管部门及安全生产监督管理等有关部门报告。实行施工总承包的房屋市政工程，由总承包单位负责上报事故。</w:t>
      </w:r>
    </w:p>
    <w:p w14:paraId="0DCA294E">
      <w:pPr>
        <w:pStyle w:val="4"/>
        <w:numPr>
          <w:ilvl w:val="2"/>
          <w:numId w:val="147"/>
        </w:numPr>
        <w:tabs>
          <w:tab w:val="left" w:pos="0"/>
        </w:tabs>
        <w:ind w:firstLine="0" w:firstLineChars="0"/>
        <w:rPr>
          <w:rFonts w:ascii="Times New Roman" w:hAnsi="Times New Roman" w:cs="Times New Roman"/>
          <w:sz w:val="32"/>
        </w:rPr>
      </w:pPr>
      <w:r>
        <w:rPr>
          <w:rFonts w:ascii="Times New Roman" w:hAnsi="Times New Roman" w:cs="Times New Roman"/>
          <w:sz w:val="32"/>
        </w:rPr>
        <w:t>住房城乡建设主管部门事故报告要求</w:t>
      </w:r>
    </w:p>
    <w:p w14:paraId="1307165A">
      <w:pPr>
        <w:ind w:firstLine="632"/>
        <w:rPr>
          <w:rFonts w:ascii="Times New Roman" w:hAnsi="Times New Roman" w:cs="Times New Roman"/>
          <w:sz w:val="32"/>
        </w:rPr>
      </w:pPr>
      <w:r>
        <w:rPr>
          <w:rFonts w:ascii="Times New Roman" w:hAnsi="Times New Roman" w:cs="Times New Roman"/>
          <w:sz w:val="32"/>
        </w:rPr>
        <w:t>事故发生地住房城乡建设主管部门在事故发生后或接报后，迅速核实事故有关情况，立即报告同级人民政府和上一级住房城乡建设主管部门，并通知当地安全生产监督管理部门。住房城乡建设主管部门按照规定逐级上报事故情况，每级上报的时间不得超过2小时（必要时，住房城乡建设主管部门可以越级上报事故情况）。</w:t>
      </w:r>
    </w:p>
    <w:p w14:paraId="08043A1D">
      <w:pPr>
        <w:pStyle w:val="4"/>
        <w:numPr>
          <w:ilvl w:val="2"/>
          <w:numId w:val="147"/>
        </w:numPr>
        <w:tabs>
          <w:tab w:val="left" w:pos="0"/>
        </w:tabs>
        <w:ind w:firstLine="0" w:firstLineChars="0"/>
        <w:rPr>
          <w:rFonts w:ascii="Times New Roman" w:hAnsi="Times New Roman" w:cs="Times New Roman"/>
          <w:sz w:val="32"/>
        </w:rPr>
      </w:pPr>
      <w:r>
        <w:rPr>
          <w:rFonts w:ascii="Times New Roman" w:hAnsi="Times New Roman" w:cs="Times New Roman"/>
          <w:sz w:val="32"/>
        </w:rPr>
        <w:t>事故报告内容</w:t>
      </w:r>
    </w:p>
    <w:p w14:paraId="5B144B5A">
      <w:pPr>
        <w:ind w:firstLine="632"/>
        <w:rPr>
          <w:rFonts w:ascii="Times New Roman" w:hAnsi="Times New Roman" w:cs="Times New Roman"/>
          <w:sz w:val="32"/>
        </w:rPr>
      </w:pPr>
      <w:r>
        <w:rPr>
          <w:rFonts w:ascii="Times New Roman" w:hAnsi="Times New Roman" w:cs="Times New Roman"/>
          <w:sz w:val="32"/>
        </w:rPr>
        <w:t>（1）事故发生的时间、地点和工程项目名称、有关单位概况；</w:t>
      </w:r>
    </w:p>
    <w:p w14:paraId="4239808B">
      <w:pPr>
        <w:ind w:firstLine="632"/>
        <w:rPr>
          <w:rFonts w:ascii="Times New Roman" w:hAnsi="Times New Roman" w:cs="Times New Roman"/>
          <w:sz w:val="32"/>
        </w:rPr>
      </w:pPr>
      <w:r>
        <w:rPr>
          <w:rFonts w:ascii="Times New Roman" w:hAnsi="Times New Roman" w:cs="Times New Roman"/>
          <w:sz w:val="32"/>
        </w:rPr>
        <w:t>（2）事故的简要经过；</w:t>
      </w:r>
    </w:p>
    <w:p w14:paraId="1B22C9F2">
      <w:pPr>
        <w:ind w:firstLine="632"/>
        <w:rPr>
          <w:rFonts w:ascii="Times New Roman" w:hAnsi="Times New Roman" w:cs="Times New Roman"/>
          <w:sz w:val="32"/>
        </w:rPr>
      </w:pPr>
      <w:r>
        <w:rPr>
          <w:rFonts w:ascii="Times New Roman" w:hAnsi="Times New Roman" w:cs="Times New Roman"/>
          <w:sz w:val="32"/>
        </w:rPr>
        <w:t>（3）事故已经造成或者可能造成的伤亡人数（包括下落不明的人数）和初步估计的直接经济损失；</w:t>
      </w:r>
    </w:p>
    <w:p w14:paraId="71FE6CE6">
      <w:pPr>
        <w:ind w:firstLine="632"/>
        <w:rPr>
          <w:rFonts w:ascii="Times New Roman" w:hAnsi="Times New Roman" w:cs="Times New Roman"/>
          <w:sz w:val="32"/>
        </w:rPr>
      </w:pPr>
      <w:r>
        <w:rPr>
          <w:rFonts w:ascii="Times New Roman" w:hAnsi="Times New Roman" w:cs="Times New Roman"/>
          <w:sz w:val="32"/>
        </w:rPr>
        <w:t>（4）事故的初步原因；</w:t>
      </w:r>
    </w:p>
    <w:p w14:paraId="369A71F7">
      <w:pPr>
        <w:ind w:firstLine="632"/>
        <w:rPr>
          <w:rFonts w:ascii="Times New Roman" w:hAnsi="Times New Roman" w:cs="Times New Roman"/>
          <w:sz w:val="32"/>
        </w:rPr>
      </w:pPr>
      <w:r>
        <w:rPr>
          <w:rFonts w:ascii="Times New Roman" w:hAnsi="Times New Roman" w:cs="Times New Roman"/>
          <w:sz w:val="32"/>
        </w:rPr>
        <w:t>（5）事故发生后采取的措施及事故控制情况；</w:t>
      </w:r>
    </w:p>
    <w:p w14:paraId="003BD9F6">
      <w:pPr>
        <w:ind w:firstLine="632"/>
        <w:rPr>
          <w:rFonts w:ascii="Times New Roman" w:hAnsi="Times New Roman" w:cs="Times New Roman"/>
          <w:sz w:val="32"/>
        </w:rPr>
      </w:pPr>
      <w:r>
        <w:rPr>
          <w:rFonts w:ascii="Times New Roman" w:hAnsi="Times New Roman" w:cs="Times New Roman"/>
          <w:sz w:val="32"/>
        </w:rPr>
        <w:t>（6）事故报告单位或报告人员；</w:t>
      </w:r>
    </w:p>
    <w:p w14:paraId="122726AE">
      <w:pPr>
        <w:ind w:firstLine="632"/>
        <w:rPr>
          <w:rFonts w:ascii="Times New Roman" w:hAnsi="Times New Roman" w:cs="Times New Roman"/>
          <w:sz w:val="32"/>
        </w:rPr>
      </w:pPr>
      <w:r>
        <w:rPr>
          <w:rFonts w:ascii="Times New Roman" w:hAnsi="Times New Roman" w:cs="Times New Roman"/>
          <w:sz w:val="32"/>
        </w:rPr>
        <w:t>（7）其他应当报告的情况。</w:t>
      </w:r>
    </w:p>
    <w:p w14:paraId="51D0C425">
      <w:pPr>
        <w:ind w:firstLine="632"/>
        <w:rPr>
          <w:rFonts w:ascii="Times New Roman" w:hAnsi="Times New Roman" w:cs="Times New Roman"/>
          <w:sz w:val="32"/>
        </w:rPr>
      </w:pPr>
      <w:r>
        <w:rPr>
          <w:rFonts w:ascii="Times New Roman" w:hAnsi="Times New Roman" w:cs="Times New Roman"/>
          <w:sz w:val="32"/>
        </w:rPr>
        <w:t>事故报告后出现新情况，以及事故发生之日起30日内伤亡人数发生变化的，应当及时补报。</w:t>
      </w:r>
    </w:p>
    <w:p w14:paraId="423E9CE4">
      <w:pPr>
        <w:pStyle w:val="3"/>
        <w:ind w:firstLine="0" w:firstLineChars="0"/>
        <w:rPr>
          <w:rFonts w:ascii="Times New Roman" w:hAnsi="Times New Roman" w:cs="Times New Roman"/>
          <w:sz w:val="32"/>
        </w:rPr>
      </w:pPr>
      <w:bookmarkStart w:id="749" w:name="_Toc29784"/>
      <w:r>
        <w:rPr>
          <w:rFonts w:ascii="Times New Roman" w:hAnsi="Times New Roman" w:cs="Times New Roman"/>
          <w:sz w:val="32"/>
        </w:rPr>
        <w:t>先期处置</w:t>
      </w:r>
      <w:bookmarkEnd w:id="749"/>
    </w:p>
    <w:p w14:paraId="5C96C2A6">
      <w:pPr>
        <w:ind w:firstLine="632"/>
        <w:rPr>
          <w:rFonts w:ascii="Times New Roman" w:hAnsi="Times New Roman" w:cs="Times New Roman"/>
          <w:sz w:val="32"/>
        </w:rPr>
      </w:pPr>
      <w:r>
        <w:rPr>
          <w:rFonts w:ascii="Times New Roman" w:hAnsi="Times New Roman" w:cs="Times New Roman"/>
          <w:sz w:val="32"/>
        </w:rPr>
        <w:t>建筑施工生产安全事故发生后，事发单位要立即启动本单位应急预案，组织调动本单位应急队伍、设备和物资开展先期处置工作，避免事态进一步扩大，应准备与应急处置有关的基础资料、图纸及需要增援补充的物资设备清单，尽全力为实施应急处置、开展救援等工作提供各种便利条件。</w:t>
      </w:r>
    </w:p>
    <w:p w14:paraId="62D20DF4">
      <w:pPr>
        <w:ind w:firstLine="632"/>
        <w:rPr>
          <w:rFonts w:ascii="Times New Roman" w:hAnsi="Times New Roman" w:cs="Times New Roman"/>
          <w:sz w:val="32"/>
        </w:rPr>
      </w:pPr>
      <w:r>
        <w:rPr>
          <w:rFonts w:ascii="Times New Roman" w:hAnsi="Times New Roman" w:cs="Times New Roman"/>
          <w:sz w:val="32"/>
        </w:rPr>
        <w:t>接报的相关部门或预案成员单位在核实建筑施工生产安全事故情况后应立即将事故信息报送县指挥部办公室，同时召集有关专家进行会商、研判，制定有效的先期处置方案，随后立即组织、协调相关队伍、设备和物资赶赴现场进行先期处置，控制事态发展，严防次生、衍生事故发生。</w:t>
      </w:r>
    </w:p>
    <w:p w14:paraId="7DDBA9F0">
      <w:pPr>
        <w:pStyle w:val="3"/>
        <w:ind w:firstLine="0" w:firstLineChars="0"/>
        <w:rPr>
          <w:rFonts w:ascii="Times New Roman" w:hAnsi="Times New Roman" w:cs="Times New Roman"/>
          <w:sz w:val="32"/>
        </w:rPr>
      </w:pPr>
      <w:bookmarkStart w:id="750" w:name="_Toc2695"/>
      <w:r>
        <w:rPr>
          <w:rFonts w:ascii="Times New Roman" w:hAnsi="Times New Roman" w:cs="Times New Roman"/>
          <w:sz w:val="32"/>
        </w:rPr>
        <w:t>响应启动</w:t>
      </w:r>
      <w:bookmarkEnd w:id="750"/>
    </w:p>
    <w:p w14:paraId="57FBB389">
      <w:pPr>
        <w:ind w:firstLine="632"/>
        <w:rPr>
          <w:rFonts w:ascii="Times New Roman" w:hAnsi="Times New Roman" w:cs="Times New Roman"/>
          <w:sz w:val="32"/>
        </w:rPr>
      </w:pPr>
      <w:r>
        <w:rPr>
          <w:rFonts w:ascii="Times New Roman" w:hAnsi="Times New Roman" w:cs="Times New Roman"/>
          <w:sz w:val="32"/>
        </w:rPr>
        <w:t>当先期处置工作未能对事态进行有效控制，指挥部办公室报请县建筑应急指挥部总指挥，经批准后启动本预案应急响应。县建筑应急指挥部总指挥赶赴或指派相关负责同志赶赴现场担任现场总指挥，指示相关成员单位进驻指定的应急指挥场所或赶赴现场。</w:t>
      </w:r>
    </w:p>
    <w:p w14:paraId="5E5681B3">
      <w:pPr>
        <w:ind w:firstLine="632"/>
        <w:rPr>
          <w:rFonts w:ascii="Times New Roman" w:hAnsi="Times New Roman" w:cs="Times New Roman"/>
          <w:sz w:val="32"/>
        </w:rPr>
      </w:pPr>
      <w:r>
        <w:rPr>
          <w:rFonts w:ascii="Times New Roman" w:hAnsi="Times New Roman" w:cs="Times New Roman"/>
          <w:sz w:val="32"/>
        </w:rPr>
        <w:t>现场总指挥到达现场后，成立现场指挥部，组建必要的现场工作组，指挥现场处置工作。县建筑应急指挥部根据建筑施工生产安全事故情况、现场指挥部反馈情况、各成员单位实际处置情况及相关新闻媒体报道情况，适时进行会商，制定相关解决方案。各工作组根据自身职责，按照现场指挥部要求，调集应急力量和资源，全力开展应急处置工作，减少建筑施工生产安全事故造成的危害，防止事态进一步扩大。</w:t>
      </w:r>
    </w:p>
    <w:p w14:paraId="009223EB">
      <w:pPr>
        <w:pStyle w:val="3"/>
        <w:ind w:firstLine="0" w:firstLineChars="0"/>
        <w:rPr>
          <w:rFonts w:ascii="Times New Roman" w:hAnsi="Times New Roman" w:cs="Times New Roman"/>
          <w:sz w:val="32"/>
        </w:rPr>
      </w:pPr>
      <w:bookmarkStart w:id="751" w:name="_Toc24197"/>
      <w:r>
        <w:rPr>
          <w:rFonts w:ascii="Times New Roman" w:hAnsi="Times New Roman" w:cs="Times New Roman"/>
          <w:sz w:val="32"/>
        </w:rPr>
        <w:t>处置措施</w:t>
      </w:r>
      <w:bookmarkEnd w:id="751"/>
    </w:p>
    <w:p w14:paraId="6B3DF45E">
      <w:pPr>
        <w:ind w:firstLine="632"/>
        <w:rPr>
          <w:rFonts w:ascii="Times New Roman" w:hAnsi="Times New Roman" w:cs="Times New Roman"/>
          <w:sz w:val="32"/>
        </w:rPr>
      </w:pPr>
      <w:r>
        <w:rPr>
          <w:rFonts w:ascii="Times New Roman" w:hAnsi="Times New Roman" w:cs="Times New Roman"/>
          <w:sz w:val="32"/>
        </w:rPr>
        <w:t>在建筑施工生产安全事故应急处置过程中，根据现场需要，现场指挥部可采取以下一项或多项措施进行处置。</w:t>
      </w:r>
    </w:p>
    <w:p w14:paraId="2A195D50">
      <w:pPr>
        <w:ind w:firstLine="632"/>
        <w:rPr>
          <w:rFonts w:ascii="Times New Roman" w:hAnsi="Times New Roman" w:cs="Times New Roman"/>
          <w:sz w:val="32"/>
        </w:rPr>
      </w:pPr>
      <w:r>
        <w:rPr>
          <w:rFonts w:ascii="Times New Roman" w:hAnsi="Times New Roman" w:cs="Times New Roman"/>
          <w:sz w:val="32"/>
        </w:rPr>
        <w:t>（1）设置警戒区域。警戒疏散组在建筑施工生产安全事故现场及周边设置警戒区，对进入建筑施工生产安全事故现场的人员、车辆等实施管控，维护事发现场及周边的治安秩序。</w:t>
      </w:r>
    </w:p>
    <w:p w14:paraId="2EB60108">
      <w:pPr>
        <w:ind w:firstLine="632"/>
        <w:rPr>
          <w:rFonts w:ascii="Times New Roman" w:hAnsi="Times New Roman" w:cs="Times New Roman"/>
          <w:sz w:val="32"/>
        </w:rPr>
      </w:pPr>
      <w:r>
        <w:rPr>
          <w:rFonts w:ascii="Times New Roman" w:hAnsi="Times New Roman" w:cs="Times New Roman"/>
          <w:sz w:val="32"/>
        </w:rPr>
        <w:t>（2）交通管制和疏导。因建筑施工生产安全事故影响相关道路正常通行的，警戒疏散组应及时对受影响路段采取交通疏导措施，必要时实施交通管制，预防次生事故发生。因抢险救援需要占用相关道路时，对占用道路实施交通疏导或管制，为应急处置人员、车辆及物资开辟快速到达事发现场的安全通道。</w:t>
      </w:r>
    </w:p>
    <w:p w14:paraId="3E0E9429">
      <w:pPr>
        <w:ind w:firstLine="632"/>
        <w:rPr>
          <w:rFonts w:ascii="Times New Roman" w:hAnsi="Times New Roman" w:cs="Times New Roman"/>
          <w:sz w:val="32"/>
        </w:rPr>
      </w:pPr>
      <w:r>
        <w:rPr>
          <w:rFonts w:ascii="Times New Roman" w:hAnsi="Times New Roman" w:cs="Times New Roman"/>
          <w:sz w:val="32"/>
        </w:rPr>
        <w:t>（3）风险监测。根据建筑施工生产安全事故的性质、险情状况和抢险需要，现场指挥部组织专业监测机构，对事发现场及受影响范围的地形、建筑物、构筑物情况进行监测，并将监测情况及时提交现场指挥部。</w:t>
      </w:r>
    </w:p>
    <w:p w14:paraId="3B6FEE55">
      <w:pPr>
        <w:ind w:firstLine="632"/>
        <w:rPr>
          <w:rFonts w:ascii="Times New Roman" w:hAnsi="Times New Roman" w:cs="Times New Roman"/>
          <w:sz w:val="32"/>
        </w:rPr>
      </w:pPr>
      <w:r>
        <w:rPr>
          <w:rFonts w:ascii="Times New Roman" w:hAnsi="Times New Roman" w:cs="Times New Roman"/>
          <w:sz w:val="32"/>
        </w:rPr>
        <w:t>（4）专家会商。专家组针对应急处置中出现的技术类问题或风险源监测数据，及时进行会商，形成专家意见，确定解决方案，并指导相关单位实施。</w:t>
      </w:r>
    </w:p>
    <w:p w14:paraId="69069D01">
      <w:pPr>
        <w:ind w:firstLine="632"/>
        <w:rPr>
          <w:rFonts w:ascii="Times New Roman" w:hAnsi="Times New Roman" w:cs="Times New Roman"/>
          <w:sz w:val="32"/>
        </w:rPr>
      </w:pPr>
      <w:r>
        <w:rPr>
          <w:rFonts w:ascii="Times New Roman" w:hAnsi="Times New Roman" w:cs="Times New Roman"/>
          <w:sz w:val="32"/>
        </w:rPr>
        <w:t>（5）隐患排查。抢险救援组组织、协调建筑施工生产安全事故点周边管线、设施、建筑物及构筑物产权单位根据发生事故类型，迅速开展必要隐患排查工作，确认受影响管线、设施、建筑物及构筑物的数量、位置及状态，制定防止次生、衍生事故发生的方案，尽可能防止次生、衍生事故的发生。</w:t>
      </w:r>
    </w:p>
    <w:p w14:paraId="571ACAA8">
      <w:pPr>
        <w:ind w:firstLine="632"/>
        <w:rPr>
          <w:rFonts w:ascii="Times New Roman" w:hAnsi="Times New Roman" w:cs="Times New Roman"/>
          <w:sz w:val="32"/>
        </w:rPr>
      </w:pPr>
      <w:r>
        <w:rPr>
          <w:rFonts w:ascii="Times New Roman" w:hAnsi="Times New Roman" w:cs="Times New Roman"/>
          <w:sz w:val="32"/>
        </w:rPr>
        <w:t>（6）抢修和关停。因建筑施工生产安全事故导致管线设施、建筑物及构筑物损坏的，在不影响应急处置工作正常开展的前提下，抢险救援组立即组织相关单位对损坏的管线设施、建筑物及构筑物进行抢修；对短时间内难以修复的，相关主管预案成员单位组织其产权单位在确保安全的情况下采取紧急关停措施，并做好受影响范围内单位和居民的沟通和解释工作。</w:t>
      </w:r>
    </w:p>
    <w:p w14:paraId="0199D1FA">
      <w:pPr>
        <w:ind w:firstLine="632"/>
        <w:rPr>
          <w:rFonts w:ascii="Times New Roman" w:hAnsi="Times New Roman" w:cs="Times New Roman"/>
          <w:sz w:val="32"/>
        </w:rPr>
      </w:pPr>
      <w:r>
        <w:rPr>
          <w:rFonts w:ascii="Times New Roman" w:hAnsi="Times New Roman" w:cs="Times New Roman"/>
          <w:sz w:val="32"/>
        </w:rPr>
        <w:t>（7）安全疏散。根据建筑施工生产安全事故的类别、规模和危害程度，当建筑施工生产安全事故对周边建筑物、构筑物安全造成影响时，现场指挥部应设立安全避险区域，警戒疏散组组织危险建筑物内的人员转移到安全避险区域并做好相关安置工作。</w:t>
      </w:r>
    </w:p>
    <w:p w14:paraId="00FD3FF7">
      <w:pPr>
        <w:ind w:firstLine="632"/>
        <w:rPr>
          <w:rFonts w:ascii="Times New Roman" w:hAnsi="Times New Roman" w:cs="Times New Roman"/>
          <w:sz w:val="32"/>
        </w:rPr>
      </w:pPr>
      <w:r>
        <w:rPr>
          <w:rFonts w:ascii="Times New Roman" w:hAnsi="Times New Roman" w:cs="Times New Roman"/>
          <w:sz w:val="32"/>
        </w:rPr>
        <w:t>（8）医疗救助。医疗救护组在第一时间对营救出的受伤人员进行急救、初步判定伤情并及时转运到医院，最大可能地减少人员伤亡，公安交管部门为转运工作进行交通疏导。</w:t>
      </w:r>
    </w:p>
    <w:p w14:paraId="6886DE06">
      <w:pPr>
        <w:pStyle w:val="3"/>
        <w:ind w:firstLine="0" w:firstLineChars="0"/>
        <w:rPr>
          <w:rFonts w:ascii="Times New Roman" w:hAnsi="Times New Roman" w:cs="Times New Roman"/>
          <w:sz w:val="32"/>
        </w:rPr>
      </w:pPr>
      <w:bookmarkStart w:id="752" w:name="_Toc12827"/>
      <w:r>
        <w:rPr>
          <w:rFonts w:ascii="Times New Roman" w:hAnsi="Times New Roman" w:cs="Times New Roman"/>
          <w:sz w:val="32"/>
        </w:rPr>
        <w:t>扩大响应</w:t>
      </w:r>
      <w:bookmarkEnd w:id="752"/>
    </w:p>
    <w:p w14:paraId="55FA78CA">
      <w:pPr>
        <w:ind w:firstLine="632"/>
        <w:rPr>
          <w:rFonts w:ascii="Times New Roman" w:hAnsi="Times New Roman" w:cs="Times New Roman"/>
          <w:sz w:val="32"/>
        </w:rPr>
      </w:pPr>
      <w:r>
        <w:rPr>
          <w:rFonts w:ascii="Times New Roman" w:hAnsi="Times New Roman" w:cs="Times New Roman"/>
          <w:sz w:val="32"/>
        </w:rPr>
        <w:t>若事态进一步扩大，县建筑应急指挥部依靠自身力量无法对事态进行有效控制，或发生重大、特别重大的建筑施工生产安全事故时，县建筑应急指挥部在启动本预案的同时，按程序将信息上报至上级人民政府。在上级应急指挥机构的领导下，积极配合上级应急指挥机构做好应急处置工作。</w:t>
      </w:r>
    </w:p>
    <w:p w14:paraId="2A3D3355">
      <w:pPr>
        <w:pStyle w:val="3"/>
        <w:ind w:firstLine="0" w:firstLineChars="0"/>
        <w:rPr>
          <w:rFonts w:ascii="Times New Roman" w:hAnsi="Times New Roman" w:cs="Times New Roman"/>
          <w:sz w:val="32"/>
        </w:rPr>
      </w:pPr>
      <w:bookmarkStart w:id="753" w:name="_Toc20251"/>
      <w:r>
        <w:rPr>
          <w:rFonts w:ascii="Times New Roman" w:hAnsi="Times New Roman" w:cs="Times New Roman"/>
          <w:sz w:val="32"/>
        </w:rPr>
        <w:t>响应结束</w:t>
      </w:r>
      <w:bookmarkEnd w:id="753"/>
    </w:p>
    <w:p w14:paraId="6930CF02">
      <w:pPr>
        <w:ind w:firstLine="632"/>
        <w:rPr>
          <w:rFonts w:ascii="Times New Roman" w:hAnsi="Times New Roman" w:cs="Times New Roman"/>
          <w:sz w:val="32"/>
        </w:rPr>
      </w:pPr>
      <w:r>
        <w:rPr>
          <w:rFonts w:ascii="Times New Roman" w:hAnsi="Times New Roman" w:cs="Times New Roman"/>
          <w:sz w:val="32"/>
        </w:rPr>
        <w:t>当现场遇险人员全部获救，伤亡人数已经核清，应急处置工作基本结束，次生或衍生事故隐患等危险因素消除，由县指挥部办公室提出终止应急响应建议，经县建筑应急指挥部总指挥批准后，宣布应急响应结束；由上级应急指挥机构负责处置的建筑施工生产安全事故，在上级应急指挥部宣布应急响应结束时，本预案响应即告结束。</w:t>
      </w:r>
    </w:p>
    <w:p w14:paraId="69C9AC3C">
      <w:pPr>
        <w:pStyle w:val="3"/>
        <w:ind w:firstLine="0" w:firstLineChars="0"/>
        <w:rPr>
          <w:rFonts w:ascii="Times New Roman" w:hAnsi="Times New Roman" w:cs="Times New Roman"/>
          <w:sz w:val="32"/>
        </w:rPr>
      </w:pPr>
      <w:bookmarkStart w:id="754" w:name="_Toc23936"/>
      <w:r>
        <w:rPr>
          <w:rFonts w:ascii="Times New Roman" w:hAnsi="Times New Roman" w:cs="Times New Roman"/>
          <w:sz w:val="32"/>
        </w:rPr>
        <w:t>信息发布</w:t>
      </w:r>
      <w:bookmarkEnd w:id="754"/>
    </w:p>
    <w:p w14:paraId="2E57B99E">
      <w:pPr>
        <w:ind w:firstLine="632"/>
        <w:rPr>
          <w:rFonts w:ascii="Times New Roman" w:hAnsi="Times New Roman" w:cs="Times New Roman"/>
          <w:sz w:val="32"/>
        </w:rPr>
      </w:pPr>
      <w:r>
        <w:rPr>
          <w:rFonts w:ascii="Times New Roman" w:hAnsi="Times New Roman" w:cs="Times New Roman"/>
          <w:sz w:val="32"/>
        </w:rPr>
        <w:t>建筑施工生产安全事故信息发布工作在县委宣传部的指导下，</w:t>
      </w:r>
      <w:r>
        <w:rPr>
          <w:rFonts w:hint="eastAsia" w:ascii="Times New Roman" w:hAnsi="Times New Roman" w:cs="Times New Roman"/>
          <w:sz w:val="32"/>
        </w:rPr>
        <w:t>依法</w:t>
      </w:r>
      <w:r>
        <w:rPr>
          <w:rFonts w:ascii="Times New Roman" w:hAnsi="Times New Roman" w:cs="Times New Roman"/>
          <w:sz w:val="32"/>
        </w:rPr>
        <w:t>授权发布。信息发布工作可通过发布新闻通稿、接受记者采访、举办新闻发布会、媒体通气会等方式，主动、准确、客观地向社会发布相关信息，回应社会关切，澄清不实信息，正确引导社会舆论。信息发布内容包括事故原因、损害程度、影响范围、应对措施、需要公众配合采取的措施、公众防范常识和事故调查处理进展情况等。</w:t>
      </w:r>
    </w:p>
    <w:p w14:paraId="74432ADB">
      <w:pPr>
        <w:pStyle w:val="2"/>
        <w:numPr>
          <w:ilvl w:val="0"/>
          <w:numId w:val="147"/>
        </w:numPr>
        <w:tabs>
          <w:tab w:val="left" w:pos="0"/>
        </w:tabs>
        <w:ind w:firstLine="0" w:firstLineChars="0"/>
        <w:rPr>
          <w:rFonts w:ascii="Times New Roman" w:hAnsi="Times New Roman" w:cs="Times New Roman"/>
          <w:sz w:val="32"/>
        </w:rPr>
      </w:pPr>
      <w:bookmarkStart w:id="755" w:name="_Toc15376"/>
      <w:r>
        <w:rPr>
          <w:rFonts w:ascii="Times New Roman" w:hAnsi="Times New Roman" w:cs="Times New Roman"/>
          <w:sz w:val="32"/>
        </w:rPr>
        <w:t>后期处置</w:t>
      </w:r>
      <w:bookmarkEnd w:id="755"/>
    </w:p>
    <w:p w14:paraId="638D4B21">
      <w:pPr>
        <w:pStyle w:val="3"/>
        <w:ind w:firstLine="0" w:firstLineChars="0"/>
        <w:rPr>
          <w:rFonts w:ascii="Times New Roman" w:hAnsi="Times New Roman" w:cs="Times New Roman"/>
          <w:sz w:val="32"/>
        </w:rPr>
      </w:pPr>
      <w:bookmarkStart w:id="756" w:name="_Toc5460"/>
      <w:r>
        <w:rPr>
          <w:rFonts w:ascii="Times New Roman" w:hAnsi="Times New Roman" w:cs="Times New Roman"/>
          <w:sz w:val="32"/>
        </w:rPr>
        <w:t>善后处置与现场恢复</w:t>
      </w:r>
      <w:bookmarkEnd w:id="756"/>
    </w:p>
    <w:p w14:paraId="40CE02A2">
      <w:pPr>
        <w:ind w:firstLine="632"/>
        <w:rPr>
          <w:rFonts w:ascii="Times New Roman" w:hAnsi="Times New Roman" w:cs="Times New Roman"/>
          <w:sz w:val="32"/>
        </w:rPr>
      </w:pPr>
      <w:r>
        <w:rPr>
          <w:rFonts w:ascii="Times New Roman" w:hAnsi="Times New Roman" w:cs="Times New Roman"/>
          <w:sz w:val="32"/>
        </w:rPr>
        <w:t>县人民政府组织相关预案成员单位对伤亡人员依法依规开展抚恤、补偿和法律援助等善后处置工作。在应急处置过程中被征用的物资、装备、运输工具、通信设备等应及时归还，消耗或损坏无法归还的，按照有关规定进行赔偿或补偿，经费由建筑施工生产安全事故责任单位承担。相关部门、单位应尽快消除建筑施工生产安全事故影响，恢复正常生产、生活秩序。</w:t>
      </w:r>
    </w:p>
    <w:p w14:paraId="08EAC8BE">
      <w:pPr>
        <w:pStyle w:val="3"/>
        <w:ind w:firstLine="0" w:firstLineChars="0"/>
        <w:rPr>
          <w:rFonts w:ascii="Times New Roman" w:hAnsi="Times New Roman" w:cs="Times New Roman"/>
          <w:sz w:val="32"/>
        </w:rPr>
      </w:pPr>
      <w:bookmarkStart w:id="757" w:name="_Toc13343"/>
      <w:r>
        <w:rPr>
          <w:rFonts w:ascii="Times New Roman" w:hAnsi="Times New Roman" w:cs="Times New Roman"/>
          <w:sz w:val="32"/>
        </w:rPr>
        <w:t>调查总结与评估</w:t>
      </w:r>
      <w:bookmarkEnd w:id="757"/>
    </w:p>
    <w:p w14:paraId="1AA8586C">
      <w:pPr>
        <w:ind w:firstLine="632"/>
        <w:rPr>
          <w:rFonts w:ascii="Times New Roman" w:hAnsi="Times New Roman" w:cs="Times New Roman"/>
          <w:sz w:val="32"/>
        </w:rPr>
      </w:pPr>
      <w:r>
        <w:rPr>
          <w:rFonts w:ascii="Times New Roman" w:hAnsi="Times New Roman" w:cs="Times New Roman"/>
          <w:sz w:val="32"/>
        </w:rPr>
        <w:t>建筑施工生产安全事故的调查、总结和评估按《生产安全事故报告和调查处理条例》等有关规定进行，查清事故的经过、原因和损失，查明事故性质，认定事故责任，总结事故教训，提出防范整改措施，并依法追究有关单位和人员责任。</w:t>
      </w:r>
    </w:p>
    <w:p w14:paraId="226843CF">
      <w:pPr>
        <w:ind w:firstLine="632"/>
        <w:rPr>
          <w:rFonts w:ascii="Times New Roman" w:hAnsi="Times New Roman" w:cs="Times New Roman"/>
          <w:sz w:val="32"/>
        </w:rPr>
      </w:pPr>
      <w:r>
        <w:rPr>
          <w:rFonts w:ascii="Times New Roman" w:hAnsi="Times New Roman" w:cs="Times New Roman"/>
          <w:sz w:val="32"/>
        </w:rPr>
        <w:t>县建筑施工生产安全事故应急指挥部主要负责一般建筑施工生产安全事故评估总结工作，并协助进行较大以上建筑施工生产安全事故的评估总结工作。总结评估报告主要包括以下内容：事故基本情况，事故原因、发展过程及造成后果（包括人员伤亡、经济损失、环境污染）的分析、评价，采取的主要应急响应措施及其有效性，主要经验教训和事故责任认定及其处理结果等。</w:t>
      </w:r>
    </w:p>
    <w:p w14:paraId="4C502AC5">
      <w:pPr>
        <w:pStyle w:val="2"/>
        <w:numPr>
          <w:ilvl w:val="0"/>
          <w:numId w:val="147"/>
        </w:numPr>
        <w:tabs>
          <w:tab w:val="left" w:pos="0"/>
        </w:tabs>
        <w:ind w:firstLine="0" w:firstLineChars="0"/>
        <w:rPr>
          <w:rFonts w:ascii="Times New Roman" w:hAnsi="Times New Roman" w:cs="Times New Roman"/>
          <w:sz w:val="32"/>
        </w:rPr>
      </w:pPr>
      <w:bookmarkStart w:id="758" w:name="_Toc31662"/>
      <w:r>
        <w:rPr>
          <w:rFonts w:ascii="Times New Roman" w:hAnsi="Times New Roman" w:cs="Times New Roman"/>
          <w:sz w:val="32"/>
        </w:rPr>
        <w:t>保障措施</w:t>
      </w:r>
      <w:bookmarkEnd w:id="758"/>
    </w:p>
    <w:p w14:paraId="05EF3A37">
      <w:pPr>
        <w:pStyle w:val="3"/>
        <w:ind w:firstLine="0" w:firstLineChars="0"/>
        <w:rPr>
          <w:rFonts w:ascii="Times New Roman" w:hAnsi="Times New Roman" w:cs="Times New Roman"/>
          <w:sz w:val="32"/>
        </w:rPr>
      </w:pPr>
      <w:bookmarkStart w:id="759" w:name="_Toc3614"/>
      <w:r>
        <w:rPr>
          <w:rFonts w:ascii="Times New Roman" w:hAnsi="Times New Roman" w:cs="Times New Roman"/>
          <w:sz w:val="32"/>
        </w:rPr>
        <w:t>应急组织保障</w:t>
      </w:r>
      <w:bookmarkEnd w:id="759"/>
    </w:p>
    <w:p w14:paraId="088DB12F">
      <w:pPr>
        <w:ind w:firstLine="632"/>
        <w:rPr>
          <w:rFonts w:ascii="Times New Roman" w:hAnsi="Times New Roman" w:cs="Times New Roman"/>
          <w:sz w:val="32"/>
        </w:rPr>
      </w:pPr>
      <w:r>
        <w:rPr>
          <w:rFonts w:ascii="Times New Roman" w:hAnsi="Times New Roman" w:cs="Times New Roman"/>
          <w:sz w:val="32"/>
        </w:rPr>
        <w:t>县建筑施工安全事故应急指挥部应组织相关成员单位落实部门负责、协作联动、信息共享等机制，并对相关人员开展教育和培训。</w:t>
      </w:r>
    </w:p>
    <w:p w14:paraId="1E4B4118">
      <w:pPr>
        <w:pStyle w:val="3"/>
        <w:ind w:firstLine="0" w:firstLineChars="0"/>
        <w:rPr>
          <w:rFonts w:ascii="Times New Roman" w:hAnsi="Times New Roman" w:cs="Times New Roman"/>
          <w:sz w:val="32"/>
        </w:rPr>
      </w:pPr>
      <w:bookmarkStart w:id="760" w:name="_Toc23716"/>
      <w:r>
        <w:rPr>
          <w:rFonts w:ascii="Times New Roman" w:hAnsi="Times New Roman" w:cs="Times New Roman"/>
          <w:sz w:val="32"/>
        </w:rPr>
        <w:t>应急队伍保障</w:t>
      </w:r>
      <w:bookmarkEnd w:id="760"/>
    </w:p>
    <w:p w14:paraId="1639BB4E">
      <w:pPr>
        <w:ind w:firstLine="632"/>
        <w:rPr>
          <w:rFonts w:ascii="Times New Roman" w:hAnsi="Times New Roman" w:cs="Times New Roman"/>
          <w:sz w:val="32"/>
        </w:rPr>
      </w:pPr>
      <w:r>
        <w:rPr>
          <w:rFonts w:ascii="Times New Roman" w:hAnsi="Times New Roman" w:cs="Times New Roman"/>
          <w:sz w:val="32"/>
        </w:rPr>
        <w:t>县住房和城乡建设局应要求建筑施工企业建立应急队伍，鼓励与专业救援队伍签订应急救援协议，提高建设工程施工单位先期处置和应急救援能力，同时依托相关建筑施工企业的专业力量，建立本部门建设工程应急队伍。相关部门、施工单位应组织本部门（单位）应急队伍在公安、消防、医疗等应急力量的协助配合下定期开展技能培训和应急演练，提高应急救援能力。</w:t>
      </w:r>
    </w:p>
    <w:p w14:paraId="7FFFDD5E">
      <w:pPr>
        <w:pStyle w:val="3"/>
        <w:ind w:firstLine="0" w:firstLineChars="0"/>
        <w:rPr>
          <w:rFonts w:ascii="Times New Roman" w:hAnsi="Times New Roman" w:cs="Times New Roman"/>
          <w:sz w:val="32"/>
        </w:rPr>
      </w:pPr>
      <w:bookmarkStart w:id="761" w:name="_Toc23556"/>
      <w:r>
        <w:rPr>
          <w:rFonts w:ascii="Times New Roman" w:hAnsi="Times New Roman" w:cs="Times New Roman"/>
          <w:sz w:val="32"/>
        </w:rPr>
        <w:t>物资与设备保障</w:t>
      </w:r>
      <w:bookmarkEnd w:id="761"/>
    </w:p>
    <w:p w14:paraId="03A98D46">
      <w:pPr>
        <w:ind w:firstLine="632"/>
        <w:rPr>
          <w:rFonts w:ascii="Times New Roman" w:hAnsi="Times New Roman" w:cs="Times New Roman"/>
          <w:sz w:val="32"/>
        </w:rPr>
      </w:pPr>
      <w:r>
        <w:rPr>
          <w:rFonts w:ascii="Times New Roman" w:hAnsi="Times New Roman" w:cs="Times New Roman"/>
          <w:sz w:val="32"/>
        </w:rPr>
        <w:t>县建筑施工安全事故应急指挥部成员单位、各建设工程施工单位应储备应急物资、设备及装备，建立台账和应急资源信息共享互通机制。在各类建筑施工生产安全事故应急处置时，由县建筑施工安全事故应急指挥部进行统一调配，为应急处置提供物资与设备支持。</w:t>
      </w:r>
    </w:p>
    <w:p w14:paraId="12CBEEA2">
      <w:pPr>
        <w:pStyle w:val="3"/>
        <w:ind w:firstLine="0" w:firstLineChars="0"/>
        <w:rPr>
          <w:rFonts w:ascii="Times New Roman" w:hAnsi="Times New Roman" w:cs="Times New Roman"/>
          <w:sz w:val="32"/>
        </w:rPr>
      </w:pPr>
      <w:bookmarkStart w:id="762" w:name="_Toc26556"/>
      <w:r>
        <w:rPr>
          <w:rFonts w:ascii="Times New Roman" w:hAnsi="Times New Roman" w:cs="Times New Roman"/>
          <w:sz w:val="32"/>
        </w:rPr>
        <w:t>资金保障</w:t>
      </w:r>
      <w:bookmarkEnd w:id="762"/>
    </w:p>
    <w:p w14:paraId="3348885F">
      <w:pPr>
        <w:ind w:firstLine="632"/>
        <w:rPr>
          <w:rFonts w:ascii="Times New Roman" w:hAnsi="Times New Roman" w:cs="Times New Roman"/>
          <w:sz w:val="32"/>
        </w:rPr>
      </w:pPr>
      <w:r>
        <w:rPr>
          <w:rFonts w:ascii="Times New Roman" w:hAnsi="Times New Roman" w:cs="Times New Roman"/>
          <w:sz w:val="32"/>
        </w:rPr>
        <w:t>建设工程行政主管部门根据建筑施工生产安全事故应急处置的实际情况，提出需要资金保障的事项，按规定程序报批。紧急情况下，县财政局可根据县政府主要负责同志指示精神，按照特事特办的原则安排支出或拨付资金。</w:t>
      </w:r>
    </w:p>
    <w:p w14:paraId="65E84F27">
      <w:pPr>
        <w:ind w:firstLine="632"/>
        <w:rPr>
          <w:rFonts w:ascii="Times New Roman" w:hAnsi="Times New Roman" w:cs="Times New Roman"/>
          <w:sz w:val="32"/>
        </w:rPr>
      </w:pPr>
      <w:r>
        <w:rPr>
          <w:rFonts w:ascii="Times New Roman" w:hAnsi="Times New Roman" w:cs="Times New Roman"/>
          <w:sz w:val="32"/>
        </w:rPr>
        <w:t>建设工程行政主管部门监督建设工程项目工伤保险缴纳情况，保证建筑施工生产安全事故工伤保险资金足额缴纳。</w:t>
      </w:r>
    </w:p>
    <w:p w14:paraId="65BA7D6B">
      <w:pPr>
        <w:pStyle w:val="3"/>
        <w:ind w:firstLine="0" w:firstLineChars="0"/>
        <w:rPr>
          <w:rFonts w:ascii="Times New Roman" w:hAnsi="Times New Roman" w:cs="Times New Roman"/>
          <w:sz w:val="32"/>
        </w:rPr>
      </w:pPr>
      <w:bookmarkStart w:id="763" w:name="_Toc1790"/>
      <w:r>
        <w:rPr>
          <w:rFonts w:ascii="Times New Roman" w:hAnsi="Times New Roman" w:cs="Times New Roman"/>
          <w:sz w:val="32"/>
        </w:rPr>
        <w:t>医疗卫生保障</w:t>
      </w:r>
      <w:bookmarkEnd w:id="763"/>
    </w:p>
    <w:p w14:paraId="0F729612">
      <w:pPr>
        <w:ind w:firstLine="632"/>
        <w:rPr>
          <w:rFonts w:ascii="Times New Roman" w:hAnsi="Times New Roman" w:cs="Times New Roman"/>
          <w:sz w:val="32"/>
        </w:rPr>
      </w:pPr>
      <w:r>
        <w:rPr>
          <w:rFonts w:ascii="Times New Roman" w:hAnsi="Times New Roman" w:cs="Times New Roman"/>
          <w:sz w:val="32"/>
        </w:rPr>
        <w:t>县卫生健康局应制定相应的医疗器材、医疗应急专家队伍和医疗应急处置队伍调用方案，协调相关医疗机构、队伍参与建筑施工生产安全事故应急处置，尽最大可能减少人员伤亡。县住房和城乡建设局应督导相关建设工程施工单位与医疗机构签订医疗救助协议。</w:t>
      </w:r>
    </w:p>
    <w:p w14:paraId="477C0E4E">
      <w:pPr>
        <w:pStyle w:val="3"/>
        <w:ind w:firstLine="0" w:firstLineChars="0"/>
        <w:rPr>
          <w:rFonts w:ascii="Times New Roman" w:hAnsi="Times New Roman" w:cs="Times New Roman"/>
          <w:sz w:val="32"/>
        </w:rPr>
      </w:pPr>
      <w:r>
        <w:rPr>
          <w:rFonts w:ascii="Times New Roman" w:hAnsi="Times New Roman" w:cs="Times New Roman"/>
          <w:sz w:val="32"/>
        </w:rPr>
        <w:t>交通与治安保障</w:t>
      </w:r>
    </w:p>
    <w:p w14:paraId="63E13150">
      <w:pPr>
        <w:ind w:firstLine="632"/>
        <w:rPr>
          <w:rFonts w:ascii="Times New Roman" w:hAnsi="Times New Roman" w:cs="Times New Roman"/>
          <w:sz w:val="32"/>
        </w:rPr>
      </w:pPr>
      <w:r>
        <w:rPr>
          <w:rFonts w:ascii="Times New Roman" w:hAnsi="Times New Roman" w:cs="Times New Roman"/>
          <w:sz w:val="32"/>
        </w:rPr>
        <w:t>县交警大队负责及时对受事故影响不能正常通行的相关道路进行交通疏导，必要时实施交通管制。因抢险救援需要占用相关道路时，负责对占用道路实施交通疏导或管制，为应急救援人员、车辆及物资开辟快速到达事发现场的安全通道。</w:t>
      </w:r>
    </w:p>
    <w:p w14:paraId="2BC426F2">
      <w:pPr>
        <w:ind w:firstLine="632"/>
        <w:rPr>
          <w:rFonts w:ascii="Times New Roman" w:hAnsi="Times New Roman" w:cs="Times New Roman"/>
          <w:sz w:val="32"/>
        </w:rPr>
      </w:pPr>
      <w:r>
        <w:rPr>
          <w:rFonts w:ascii="Times New Roman" w:hAnsi="Times New Roman" w:cs="Times New Roman"/>
          <w:sz w:val="32"/>
        </w:rPr>
        <w:t>县公安局负责设置警戒区域，控制和保护建筑施工生产安全事故救援现场，并根据需要组织受影响群众迅速疏散；维护建筑施工生产安全事故现场秩序及所在区域社会公共秩序，加强重要区域、敏感区域、重要建设工程的防范保护，为应急救援人员处置建筑施工生产安全事故提供保障。</w:t>
      </w:r>
    </w:p>
    <w:p w14:paraId="3D2F4A53">
      <w:pPr>
        <w:pStyle w:val="2"/>
        <w:numPr>
          <w:ilvl w:val="0"/>
          <w:numId w:val="147"/>
        </w:numPr>
        <w:tabs>
          <w:tab w:val="left" w:pos="0"/>
        </w:tabs>
        <w:ind w:firstLine="0" w:firstLineChars="0"/>
        <w:rPr>
          <w:rFonts w:ascii="Times New Roman" w:hAnsi="Times New Roman" w:cs="Times New Roman"/>
          <w:sz w:val="32"/>
        </w:rPr>
      </w:pPr>
      <w:bookmarkStart w:id="764" w:name="_Toc25924"/>
      <w:r>
        <w:rPr>
          <w:rFonts w:ascii="Times New Roman" w:hAnsi="Times New Roman" w:cs="Times New Roman"/>
          <w:sz w:val="32"/>
        </w:rPr>
        <w:t>预案管理</w:t>
      </w:r>
      <w:bookmarkEnd w:id="764"/>
    </w:p>
    <w:p w14:paraId="0CD1C76D">
      <w:pPr>
        <w:pStyle w:val="3"/>
        <w:ind w:firstLine="0" w:firstLineChars="0"/>
        <w:rPr>
          <w:rFonts w:ascii="Times New Roman" w:hAnsi="Times New Roman" w:cs="Times New Roman"/>
          <w:sz w:val="32"/>
        </w:rPr>
      </w:pPr>
      <w:bookmarkStart w:id="765" w:name="_Toc24525"/>
      <w:r>
        <w:rPr>
          <w:rFonts w:ascii="Times New Roman" w:hAnsi="Times New Roman" w:cs="Times New Roman"/>
          <w:sz w:val="32"/>
        </w:rPr>
        <w:t>预案修订</w:t>
      </w:r>
      <w:bookmarkEnd w:id="765"/>
    </w:p>
    <w:p w14:paraId="34969A9B">
      <w:pPr>
        <w:ind w:firstLine="632"/>
        <w:rPr>
          <w:rFonts w:ascii="Times New Roman" w:hAnsi="Times New Roman" w:cs="Times New Roman"/>
          <w:sz w:val="32"/>
        </w:rPr>
      </w:pPr>
      <w:r>
        <w:rPr>
          <w:rFonts w:ascii="Times New Roman" w:hAnsi="Times New Roman" w:cs="Times New Roman"/>
          <w:sz w:val="32"/>
        </w:rPr>
        <w:t>县建筑施工安全事故应急指挥部办公室应定期开展应急预案评估工作，分析评价预案内容的针对性、实用性和可操作性，实现应急预案的动态优化和科学规范管理。</w:t>
      </w:r>
    </w:p>
    <w:p w14:paraId="2D345A3D">
      <w:pPr>
        <w:ind w:firstLine="632"/>
        <w:rPr>
          <w:rFonts w:ascii="Times New Roman" w:hAnsi="Times New Roman" w:cs="Times New Roman"/>
          <w:sz w:val="32"/>
        </w:rPr>
      </w:pPr>
      <w:r>
        <w:rPr>
          <w:rFonts w:ascii="Times New Roman" w:hAnsi="Times New Roman" w:cs="Times New Roman"/>
          <w:sz w:val="32"/>
        </w:rPr>
        <w:t>有下列情形之一的，应当及时修订本预案：</w:t>
      </w:r>
    </w:p>
    <w:p w14:paraId="48458390">
      <w:pPr>
        <w:ind w:firstLine="632"/>
        <w:rPr>
          <w:rFonts w:ascii="Times New Roman" w:hAnsi="Times New Roman" w:cs="Times New Roman"/>
          <w:sz w:val="32"/>
        </w:rPr>
      </w:pPr>
      <w:r>
        <w:rPr>
          <w:rFonts w:ascii="Times New Roman" w:hAnsi="Times New Roman" w:cs="Times New Roman"/>
          <w:sz w:val="32"/>
        </w:rPr>
        <w:t>（1）有关法律法规、规章、标准、上位预案中的有关规定发生变化的；</w:t>
      </w:r>
    </w:p>
    <w:p w14:paraId="6FD17BA3">
      <w:pPr>
        <w:ind w:firstLine="632"/>
        <w:rPr>
          <w:rFonts w:ascii="Times New Roman" w:hAnsi="Times New Roman" w:cs="Times New Roman"/>
          <w:sz w:val="32"/>
        </w:rPr>
      </w:pPr>
      <w:r>
        <w:rPr>
          <w:rFonts w:ascii="Times New Roman" w:hAnsi="Times New Roman" w:cs="Times New Roman"/>
          <w:sz w:val="32"/>
        </w:rPr>
        <w:t>（2）应急指挥机构及其职责发生重大调整的；</w:t>
      </w:r>
    </w:p>
    <w:p w14:paraId="1320DFD1">
      <w:pPr>
        <w:ind w:firstLine="632"/>
        <w:rPr>
          <w:rFonts w:ascii="Times New Roman" w:hAnsi="Times New Roman" w:cs="Times New Roman"/>
          <w:sz w:val="32"/>
        </w:rPr>
      </w:pPr>
      <w:r>
        <w:rPr>
          <w:rFonts w:ascii="Times New Roman" w:hAnsi="Times New Roman" w:cs="Times New Roman"/>
          <w:sz w:val="32"/>
        </w:rPr>
        <w:t>（3）面临的风险发生重大变化的；</w:t>
      </w:r>
    </w:p>
    <w:p w14:paraId="459FBEE7">
      <w:pPr>
        <w:ind w:firstLine="632"/>
        <w:rPr>
          <w:rFonts w:ascii="Times New Roman" w:hAnsi="Times New Roman" w:cs="Times New Roman"/>
          <w:sz w:val="32"/>
        </w:rPr>
      </w:pPr>
      <w:r>
        <w:rPr>
          <w:rFonts w:ascii="Times New Roman" w:hAnsi="Times New Roman" w:cs="Times New Roman"/>
          <w:sz w:val="32"/>
        </w:rPr>
        <w:t>（4）重要应急资源发生重大变化的；</w:t>
      </w:r>
    </w:p>
    <w:p w14:paraId="0F35F636">
      <w:pPr>
        <w:ind w:firstLine="632"/>
        <w:rPr>
          <w:rFonts w:ascii="Times New Roman" w:hAnsi="Times New Roman" w:cs="Times New Roman"/>
          <w:sz w:val="32"/>
        </w:rPr>
      </w:pPr>
      <w:r>
        <w:rPr>
          <w:rFonts w:ascii="Times New Roman" w:hAnsi="Times New Roman" w:cs="Times New Roman"/>
          <w:sz w:val="32"/>
        </w:rPr>
        <w:t>（5）预案中的其他重要信息发生变化的；</w:t>
      </w:r>
    </w:p>
    <w:p w14:paraId="5EDC046F">
      <w:pPr>
        <w:ind w:firstLine="632"/>
        <w:rPr>
          <w:rFonts w:ascii="Times New Roman" w:hAnsi="Times New Roman" w:cs="Times New Roman"/>
          <w:sz w:val="32"/>
        </w:rPr>
      </w:pPr>
      <w:r>
        <w:rPr>
          <w:rFonts w:ascii="Times New Roman" w:hAnsi="Times New Roman" w:cs="Times New Roman"/>
          <w:sz w:val="32"/>
        </w:rPr>
        <w:t>（6）在突发事件实际应对和应急演练中发现问题需要作出重大调整的；</w:t>
      </w:r>
    </w:p>
    <w:p w14:paraId="67C8167A">
      <w:pPr>
        <w:ind w:firstLine="632"/>
        <w:rPr>
          <w:rFonts w:ascii="Times New Roman" w:hAnsi="Times New Roman" w:cs="Times New Roman"/>
          <w:sz w:val="32"/>
        </w:rPr>
      </w:pPr>
      <w:r>
        <w:rPr>
          <w:rFonts w:ascii="Times New Roman" w:hAnsi="Times New Roman" w:cs="Times New Roman"/>
          <w:sz w:val="32"/>
        </w:rPr>
        <w:t>（7）应急预案制定单位认为应当修订的其他情况。</w:t>
      </w:r>
    </w:p>
    <w:p w14:paraId="6CE11ED8">
      <w:pPr>
        <w:pStyle w:val="3"/>
        <w:ind w:firstLine="0" w:firstLineChars="0"/>
        <w:rPr>
          <w:rFonts w:ascii="Times New Roman" w:hAnsi="Times New Roman" w:cs="Times New Roman"/>
          <w:sz w:val="32"/>
        </w:rPr>
      </w:pPr>
      <w:bookmarkStart w:id="766" w:name="_Toc24467"/>
      <w:r>
        <w:rPr>
          <w:rFonts w:ascii="Times New Roman" w:hAnsi="Times New Roman" w:cs="Times New Roman"/>
          <w:sz w:val="32"/>
        </w:rPr>
        <w:t>宣传和培训</w:t>
      </w:r>
      <w:bookmarkEnd w:id="766"/>
    </w:p>
    <w:p w14:paraId="504F546D">
      <w:pPr>
        <w:ind w:firstLine="632"/>
        <w:rPr>
          <w:rFonts w:ascii="Times New Roman" w:hAnsi="Times New Roman" w:cs="Times New Roman"/>
          <w:sz w:val="32"/>
        </w:rPr>
      </w:pPr>
      <w:r>
        <w:rPr>
          <w:rFonts w:ascii="Times New Roman" w:hAnsi="Times New Roman" w:cs="Times New Roman"/>
          <w:sz w:val="32"/>
        </w:rPr>
        <w:t>县住房和城乡建设局应充分利用新闻媒体、网站、单位内部刊物等多种形式，对建筑业从业人员广泛开展建设工程施工突发事故应急相关知识的宣传和教育。</w:t>
      </w:r>
    </w:p>
    <w:p w14:paraId="28C29B63">
      <w:pPr>
        <w:pStyle w:val="3"/>
        <w:ind w:firstLine="0" w:firstLineChars="0"/>
        <w:rPr>
          <w:rFonts w:ascii="Times New Roman" w:hAnsi="Times New Roman" w:cs="Times New Roman"/>
          <w:sz w:val="32"/>
        </w:rPr>
      </w:pPr>
      <w:bookmarkStart w:id="767" w:name="_Toc16716"/>
      <w:r>
        <w:rPr>
          <w:rFonts w:ascii="Times New Roman" w:hAnsi="Times New Roman" w:cs="Times New Roman"/>
          <w:sz w:val="32"/>
        </w:rPr>
        <w:t>应急演练</w:t>
      </w:r>
      <w:bookmarkEnd w:id="767"/>
    </w:p>
    <w:p w14:paraId="1DBF6CF4">
      <w:pPr>
        <w:ind w:firstLine="632"/>
        <w:rPr>
          <w:rFonts w:ascii="Times New Roman" w:hAnsi="Times New Roman" w:cs="Times New Roman"/>
          <w:sz w:val="32"/>
        </w:rPr>
      </w:pPr>
      <w:r>
        <w:rPr>
          <w:rFonts w:ascii="Times New Roman" w:hAnsi="Times New Roman" w:cs="Times New Roman"/>
          <w:sz w:val="32"/>
        </w:rPr>
        <w:t>县建筑应急指挥部办公室应适时组织开展不同形式的建设工程施工突发事故应急演练。通过演练，进一步检验预案，磨合指挥协调机制，熟练各单位间的协调配合，确保发生建设工程施工突发事故后能快速有效处置。</w:t>
      </w:r>
    </w:p>
    <w:p w14:paraId="533CA1AB">
      <w:pPr>
        <w:ind w:firstLine="632"/>
        <w:rPr>
          <w:rFonts w:ascii="Times New Roman" w:hAnsi="Times New Roman" w:cs="Times New Roman"/>
          <w:sz w:val="32"/>
        </w:rPr>
      </w:pPr>
      <w:r>
        <w:rPr>
          <w:rFonts w:ascii="Times New Roman" w:hAnsi="Times New Roman" w:cs="Times New Roman"/>
          <w:sz w:val="32"/>
        </w:rPr>
        <w:t>县住房和城乡建设局应组织本辖区在建工程参建单位开展建设工程施工突发事故应急演练，切实提高应急救援能力。各施工企业应当根据自身情况，定期组织应急演练，演练结束后应及时进行总结。</w:t>
      </w:r>
    </w:p>
    <w:p w14:paraId="5CF0BBBA">
      <w:pPr>
        <w:pStyle w:val="3"/>
        <w:ind w:firstLine="0" w:firstLineChars="0"/>
        <w:rPr>
          <w:rFonts w:ascii="Times New Roman" w:hAnsi="Times New Roman" w:cs="Times New Roman"/>
          <w:sz w:val="32"/>
        </w:rPr>
      </w:pPr>
      <w:bookmarkStart w:id="768" w:name="_Toc11124"/>
      <w:r>
        <w:rPr>
          <w:rFonts w:ascii="Times New Roman" w:hAnsi="Times New Roman" w:cs="Times New Roman"/>
          <w:sz w:val="32"/>
        </w:rPr>
        <w:t>预案实施</w:t>
      </w:r>
      <w:bookmarkEnd w:id="768"/>
    </w:p>
    <w:p w14:paraId="02FDD81B">
      <w:pPr>
        <w:ind w:firstLine="632"/>
        <w:rPr>
          <w:rFonts w:ascii="Times New Roman" w:hAnsi="Times New Roman" w:cs="Times New Roman"/>
          <w:sz w:val="32"/>
        </w:rPr>
      </w:pPr>
      <w:r>
        <w:rPr>
          <w:rFonts w:ascii="Times New Roman" w:hAnsi="Times New Roman" w:cs="Times New Roman"/>
          <w:sz w:val="32"/>
        </w:rPr>
        <w:t>本预案由集贤县建筑施工安全事故应急指挥部办公室负责解释。</w:t>
      </w:r>
    </w:p>
    <w:p w14:paraId="3D75415D">
      <w:pPr>
        <w:ind w:firstLine="632"/>
        <w:rPr>
          <w:rFonts w:ascii="Times New Roman" w:hAnsi="Times New Roman" w:cs="Times New Roman"/>
          <w:sz w:val="32"/>
        </w:rPr>
      </w:pPr>
      <w:r>
        <w:rPr>
          <w:rFonts w:ascii="Times New Roman" w:hAnsi="Times New Roman" w:cs="Times New Roman"/>
          <w:sz w:val="32"/>
        </w:rPr>
        <w:t>本预案自发布之日起施行。</w:t>
      </w:r>
    </w:p>
    <w:p w14:paraId="5FF106C6">
      <w:pPr>
        <w:ind w:firstLine="632"/>
        <w:rPr>
          <w:rFonts w:ascii="Times New Roman" w:hAnsi="Times New Roman" w:cs="Times New Roman"/>
          <w:sz w:val="32"/>
        </w:rPr>
      </w:pPr>
      <w:r>
        <w:rPr>
          <w:rFonts w:ascii="Times New Roman" w:hAnsi="Times New Roman" w:cs="Times New Roman"/>
          <w:sz w:val="32"/>
        </w:rPr>
        <w:br w:type="page"/>
      </w:r>
    </w:p>
    <w:p w14:paraId="6A54C92D">
      <w:pPr>
        <w:pStyle w:val="2"/>
        <w:numPr>
          <w:ilvl w:val="0"/>
          <w:numId w:val="0"/>
        </w:numPr>
        <w:rPr>
          <w:rFonts w:ascii="Times New Roman" w:hAnsi="Times New Roman" w:cs="Times New Roman"/>
          <w:sz w:val="32"/>
        </w:rPr>
      </w:pPr>
      <w:bookmarkStart w:id="769" w:name="_Toc26550"/>
      <w:r>
        <w:rPr>
          <w:rFonts w:ascii="Times New Roman" w:hAnsi="Times New Roman" w:cs="Times New Roman"/>
          <w:sz w:val="32"/>
        </w:rPr>
        <w:t>附件1：建筑施工生产安全事故分级标准</w:t>
      </w:r>
      <w:bookmarkEnd w:id="769"/>
    </w:p>
    <w:p w14:paraId="687D4DA4">
      <w:pPr>
        <w:pStyle w:val="20"/>
        <w:widowControl/>
        <w:shd w:val="clear" w:color="auto" w:fill="FFFFFF"/>
        <w:spacing w:beforeAutospacing="0" w:afterAutospacing="0" w:line="560" w:lineRule="exact"/>
        <w:ind w:firstLine="632"/>
        <w:rPr>
          <w:rFonts w:ascii="Times New Roman" w:hAnsi="Times New Roman" w:eastAsia="楷体_GB2312"/>
          <w:b/>
          <w:bCs/>
          <w:color w:val="444444"/>
          <w:sz w:val="32"/>
          <w:shd w:val="clear" w:color="auto" w:fill="FFFFFF"/>
        </w:rPr>
      </w:pPr>
      <w:r>
        <w:rPr>
          <w:rFonts w:ascii="Times New Roman" w:hAnsi="Times New Roman" w:eastAsia="楷体_GB2312"/>
          <w:b/>
          <w:bCs/>
          <w:color w:val="444444"/>
          <w:sz w:val="32"/>
          <w:shd w:val="clear" w:color="auto" w:fill="FFFFFF"/>
        </w:rPr>
        <w:t>（一）特别重大生产安全事故</w:t>
      </w:r>
      <w:r>
        <w:rPr>
          <w:rFonts w:hint="eastAsia" w:ascii="Times New Roman" w:hAnsi="Times New Roman" w:eastAsia="楷体_GB2312"/>
          <w:b/>
          <w:bCs/>
          <w:color w:val="444444"/>
          <w:sz w:val="32"/>
          <w:shd w:val="clear" w:color="auto" w:fill="FFFFFF"/>
        </w:rPr>
        <w:t>（</w:t>
      </w:r>
      <w:r>
        <w:rPr>
          <w:rFonts w:ascii="Times New Roman" w:hAnsi="Times New Roman" w:eastAsia="楷体_GB2312"/>
          <w:b/>
          <w:bCs/>
          <w:color w:val="444444"/>
          <w:sz w:val="32"/>
          <w:shd w:val="clear" w:color="auto" w:fill="FFFFFF"/>
        </w:rPr>
        <w:t>I级</w:t>
      </w:r>
      <w:r>
        <w:rPr>
          <w:rFonts w:hint="eastAsia" w:ascii="Times New Roman" w:hAnsi="Times New Roman" w:eastAsia="楷体_GB2312"/>
          <w:b/>
          <w:bCs/>
          <w:color w:val="444444"/>
          <w:sz w:val="32"/>
          <w:shd w:val="clear" w:color="auto" w:fill="FFFFFF"/>
        </w:rPr>
        <w:t>）</w:t>
      </w:r>
    </w:p>
    <w:p w14:paraId="48E947F3">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（1）在建工程施工过程中，发生一次死亡30人以上，或一次造成直接经济损失1亿元以上的事故。</w:t>
      </w:r>
    </w:p>
    <w:p w14:paraId="7CF1046C">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（2）既有建筑和市政设施出现非不可抗力因素导致的重大险情，发生或可能发生一次死亡30人以上，或一次造成直接经济损失1亿元以上的事故。</w:t>
      </w:r>
    </w:p>
    <w:p w14:paraId="4FFEF008">
      <w:pPr>
        <w:pStyle w:val="20"/>
        <w:widowControl/>
        <w:shd w:val="clear" w:color="auto" w:fill="FFFFFF"/>
        <w:spacing w:beforeAutospacing="0" w:afterAutospacing="0" w:line="560" w:lineRule="exact"/>
        <w:ind w:firstLine="632"/>
        <w:rPr>
          <w:rFonts w:ascii="Times New Roman" w:hAnsi="Times New Roman" w:eastAsia="楷体_GB2312"/>
          <w:b/>
          <w:bCs/>
          <w:color w:val="444444"/>
          <w:sz w:val="32"/>
          <w:shd w:val="clear" w:color="auto" w:fill="FFFFFF"/>
        </w:rPr>
      </w:pPr>
      <w:r>
        <w:rPr>
          <w:rFonts w:ascii="Times New Roman" w:hAnsi="Times New Roman" w:eastAsia="楷体_GB2312"/>
          <w:b/>
          <w:bCs/>
          <w:color w:val="444444"/>
          <w:sz w:val="32"/>
          <w:shd w:val="clear" w:color="auto" w:fill="FFFFFF"/>
        </w:rPr>
        <w:t>（二）重大生产安全事故</w:t>
      </w:r>
      <w:r>
        <w:rPr>
          <w:rFonts w:hint="eastAsia" w:ascii="Times New Roman" w:hAnsi="Times New Roman" w:eastAsia="楷体_GB2312"/>
          <w:b/>
          <w:bCs/>
          <w:color w:val="444444"/>
          <w:sz w:val="32"/>
          <w:shd w:val="clear" w:color="auto" w:fill="FFFFFF"/>
        </w:rPr>
        <w:t>（</w:t>
      </w:r>
      <w:r>
        <w:rPr>
          <w:rFonts w:ascii="Times New Roman" w:hAnsi="Times New Roman" w:eastAsia="楷体_GB2312"/>
          <w:b/>
          <w:bCs/>
          <w:color w:val="444444"/>
          <w:sz w:val="32"/>
          <w:shd w:val="clear" w:color="auto" w:fill="FFFFFF"/>
        </w:rPr>
        <w:t>Ⅱ级</w:t>
      </w:r>
      <w:r>
        <w:rPr>
          <w:rFonts w:hint="eastAsia" w:ascii="Times New Roman" w:hAnsi="Times New Roman" w:eastAsia="楷体_GB2312"/>
          <w:b/>
          <w:bCs/>
          <w:color w:val="444444"/>
          <w:sz w:val="32"/>
          <w:shd w:val="clear" w:color="auto" w:fill="FFFFFF"/>
        </w:rPr>
        <w:t>）</w:t>
      </w:r>
    </w:p>
    <w:p w14:paraId="662B6F65">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（1）在建工程施工过程中，发生一次死亡10人以上、30人以下，或一次造成直接经济损失5000万元以上、1亿元以下的事故。</w:t>
      </w:r>
    </w:p>
    <w:p w14:paraId="24CE8714">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（2）既有建筑和市政设施出现非不可抗力因素导致的重大险情，发生或可能发生一次死亡10人以上、30人以下，或一次造成直接经济损失5000万元以上、1亿元以下的事故。</w:t>
      </w:r>
    </w:p>
    <w:p w14:paraId="5999E728">
      <w:pPr>
        <w:pStyle w:val="20"/>
        <w:widowControl/>
        <w:shd w:val="clear" w:color="auto" w:fill="FFFFFF"/>
        <w:spacing w:beforeAutospacing="0" w:afterAutospacing="0" w:line="560" w:lineRule="exact"/>
        <w:ind w:firstLine="632"/>
        <w:rPr>
          <w:rFonts w:ascii="Times New Roman" w:hAnsi="Times New Roman" w:eastAsia="楷体_GB2312"/>
          <w:b/>
          <w:bCs/>
          <w:color w:val="444444"/>
          <w:sz w:val="32"/>
          <w:shd w:val="clear" w:color="auto" w:fill="FFFFFF"/>
        </w:rPr>
      </w:pPr>
      <w:r>
        <w:rPr>
          <w:rFonts w:ascii="Times New Roman" w:hAnsi="Times New Roman" w:eastAsia="楷体_GB2312"/>
          <w:b/>
          <w:bCs/>
          <w:color w:val="444444"/>
          <w:sz w:val="32"/>
          <w:shd w:val="clear" w:color="auto" w:fill="FFFFFF"/>
        </w:rPr>
        <w:t>（三）较大生产安全事故</w:t>
      </w:r>
      <w:r>
        <w:rPr>
          <w:rFonts w:hint="eastAsia" w:ascii="Times New Roman" w:hAnsi="Times New Roman" w:eastAsia="楷体_GB2312"/>
          <w:b/>
          <w:bCs/>
          <w:color w:val="444444"/>
          <w:sz w:val="32"/>
          <w:shd w:val="clear" w:color="auto" w:fill="FFFFFF"/>
        </w:rPr>
        <w:t>（</w:t>
      </w:r>
      <w:r>
        <w:rPr>
          <w:rFonts w:ascii="Times New Roman" w:hAnsi="Times New Roman" w:eastAsia="楷体_GB2312"/>
          <w:b/>
          <w:bCs/>
          <w:color w:val="444444"/>
          <w:sz w:val="32"/>
          <w:shd w:val="clear" w:color="auto" w:fill="FFFFFF"/>
        </w:rPr>
        <w:t>Ⅲ级</w:t>
      </w:r>
      <w:r>
        <w:rPr>
          <w:rFonts w:hint="eastAsia" w:ascii="Times New Roman" w:hAnsi="Times New Roman" w:eastAsia="楷体_GB2312"/>
          <w:b/>
          <w:bCs/>
          <w:color w:val="444444"/>
          <w:sz w:val="32"/>
          <w:shd w:val="clear" w:color="auto" w:fill="FFFFFF"/>
        </w:rPr>
        <w:t>）</w:t>
      </w:r>
    </w:p>
    <w:p w14:paraId="6BD12568">
      <w:pPr>
        <w:pStyle w:val="20"/>
        <w:widowControl/>
        <w:shd w:val="clear" w:color="auto" w:fill="FFFFFF"/>
        <w:spacing w:beforeAutospacing="0" w:afterAutospacing="0" w:line="560" w:lineRule="exact"/>
        <w:ind w:firstLine="632"/>
        <w:rPr>
          <w:rFonts w:ascii="Times New Roman" w:hAnsi="Times New Roman"/>
          <w:sz w:val="32"/>
        </w:rPr>
      </w:pPr>
      <w:r>
        <w:rPr>
          <w:rFonts w:ascii="Times New Roman" w:hAnsi="Times New Roman"/>
          <w:sz w:val="32"/>
        </w:rPr>
        <w:t>（1）在建工程施工过程中，发生一次死亡3人以上、10人以下，或一次造成直接经济损失1000万元以上、5000万元以下的事故。</w:t>
      </w:r>
    </w:p>
    <w:p w14:paraId="01FAF508">
      <w:pPr>
        <w:pStyle w:val="20"/>
        <w:widowControl/>
        <w:shd w:val="clear" w:color="auto" w:fill="FFFFFF"/>
        <w:spacing w:beforeAutospacing="0" w:afterAutospacing="0" w:line="560" w:lineRule="exact"/>
        <w:ind w:firstLine="632"/>
        <w:rPr>
          <w:rFonts w:ascii="Times New Roman" w:hAnsi="Times New Roman"/>
          <w:sz w:val="32"/>
        </w:rPr>
      </w:pPr>
      <w:r>
        <w:rPr>
          <w:rFonts w:ascii="Times New Roman" w:hAnsi="Times New Roman"/>
          <w:sz w:val="32"/>
        </w:rPr>
        <w:t>（2）既有建筑和市政设施出现非不可抗力因素导致的重大险情，发生或可能发生一次死亡3人以上、10人以下，或一次造成直接经济损失1000万元以上、5000万元以下的事故。</w:t>
      </w:r>
    </w:p>
    <w:p w14:paraId="555AF118">
      <w:pPr>
        <w:pStyle w:val="20"/>
        <w:widowControl/>
        <w:shd w:val="clear" w:color="auto" w:fill="FFFFFF"/>
        <w:spacing w:beforeAutospacing="0" w:afterAutospacing="0" w:line="560" w:lineRule="exact"/>
        <w:ind w:firstLine="632"/>
        <w:rPr>
          <w:rFonts w:ascii="Times New Roman" w:hAnsi="Times New Roman" w:eastAsia="楷体_GB2312"/>
          <w:b/>
          <w:bCs/>
          <w:color w:val="444444"/>
          <w:sz w:val="32"/>
          <w:shd w:val="clear" w:color="auto" w:fill="FFFFFF"/>
        </w:rPr>
      </w:pPr>
    </w:p>
    <w:p w14:paraId="679A6249">
      <w:pPr>
        <w:pStyle w:val="20"/>
        <w:widowControl/>
        <w:shd w:val="clear" w:color="auto" w:fill="FFFFFF"/>
        <w:spacing w:beforeAutospacing="0" w:afterAutospacing="0" w:line="560" w:lineRule="exact"/>
        <w:ind w:firstLine="632"/>
        <w:rPr>
          <w:rFonts w:ascii="Times New Roman" w:hAnsi="Times New Roman" w:eastAsia="楷体_GB2312"/>
          <w:b/>
          <w:bCs/>
          <w:color w:val="444444"/>
          <w:sz w:val="32"/>
          <w:shd w:val="clear" w:color="auto" w:fill="FFFFFF"/>
        </w:rPr>
      </w:pPr>
      <w:r>
        <w:rPr>
          <w:rFonts w:ascii="Times New Roman" w:hAnsi="Times New Roman" w:eastAsia="楷体_GB2312"/>
          <w:b/>
          <w:bCs/>
          <w:color w:val="444444"/>
          <w:sz w:val="32"/>
          <w:shd w:val="clear" w:color="auto" w:fill="FFFFFF"/>
        </w:rPr>
        <w:t>（四）一般生产安全事故</w:t>
      </w:r>
      <w:r>
        <w:rPr>
          <w:rFonts w:hint="eastAsia" w:ascii="Times New Roman" w:hAnsi="Times New Roman" w:eastAsia="楷体_GB2312"/>
          <w:b/>
          <w:bCs/>
          <w:color w:val="444444"/>
          <w:sz w:val="32"/>
          <w:shd w:val="clear" w:color="auto" w:fill="FFFFFF"/>
        </w:rPr>
        <w:t>（</w:t>
      </w:r>
      <w:r>
        <w:rPr>
          <w:rFonts w:ascii="Times New Roman" w:hAnsi="Times New Roman" w:eastAsia="楷体_GB2312"/>
          <w:b/>
          <w:bCs/>
          <w:color w:val="444444"/>
          <w:sz w:val="32"/>
          <w:shd w:val="clear" w:color="auto" w:fill="FFFFFF"/>
        </w:rPr>
        <w:t>Ⅳ级</w:t>
      </w:r>
      <w:r>
        <w:rPr>
          <w:rFonts w:hint="eastAsia" w:ascii="Times New Roman" w:hAnsi="Times New Roman" w:eastAsia="楷体_GB2312"/>
          <w:b/>
          <w:bCs/>
          <w:color w:val="444444"/>
          <w:sz w:val="32"/>
          <w:shd w:val="clear" w:color="auto" w:fill="FFFFFF"/>
        </w:rPr>
        <w:t>）</w:t>
      </w:r>
    </w:p>
    <w:p w14:paraId="0049C774">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（1）在建工程施工过程中，发生一次死亡3人以下，或一次造成直接经济损失1000万元以下的事故。</w:t>
      </w:r>
    </w:p>
    <w:p w14:paraId="3C988A3A">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（2）既有建筑和市政设施出现非不可抗力因素导致的重大险情，发生或可能发生一次死亡3人以下，或一次造成直接经济损失1000万元以下的事故。</w:t>
      </w:r>
    </w:p>
    <w:p w14:paraId="5425CB3D">
      <w:pPr>
        <w:ind w:firstLine="632"/>
        <w:rPr>
          <w:rFonts w:ascii="Times New Roman" w:hAnsi="Times New Roman" w:cs="Times New Roman"/>
        </w:rPr>
      </w:pPr>
      <w:r>
        <w:rPr>
          <w:rFonts w:ascii="Times New Roman" w:hAnsi="Times New Roman" w:cs="Times New Roman"/>
          <w:sz w:val="32"/>
        </w:rPr>
        <w:t>上述分级标准有关数量的表述中，“以上”含本数，“以下”不含本数。</w:t>
      </w:r>
    </w:p>
    <w:p w14:paraId="26D40B9B">
      <w:pPr>
        <w:pStyle w:val="15"/>
        <w:ind w:left="0" w:leftChars="0" w:firstLine="0" w:firstLineChars="0"/>
        <w:rPr>
          <w:rFonts w:ascii="Times New Roman" w:hAnsi="Times New Roman" w:cs="Times New Roman"/>
        </w:rPr>
        <w:sectPr>
          <w:footerReference r:id="rId70" w:type="default"/>
          <w:footerReference r:id="rId71" w:type="even"/>
          <w:pgSz w:w="11906" w:h="16838"/>
          <w:pgMar w:top="2098" w:right="1474" w:bottom="1984" w:left="1587" w:header="624" w:footer="1134" w:gutter="0"/>
          <w:pgNumType w:start="1"/>
          <w:cols w:space="0" w:num="1"/>
          <w:docGrid w:type="linesAndChars" w:linePitch="579" w:charSpace="-842"/>
        </w:sectPr>
      </w:pPr>
    </w:p>
    <w:p w14:paraId="24720B7D">
      <w:pPr>
        <w:ind w:firstLine="552"/>
        <w:rPr>
          <w:rFonts w:ascii="Times New Roman" w:hAnsi="Times New Roman" w:cs="Times New Roman"/>
        </w:rPr>
      </w:pPr>
    </w:p>
    <w:p w14:paraId="15440C97">
      <w:pPr>
        <w:ind w:firstLine="552"/>
        <w:rPr>
          <w:rFonts w:ascii="Times New Roman" w:hAnsi="Times New Roman" w:cs="Times New Roman"/>
        </w:rPr>
      </w:pPr>
    </w:p>
    <w:p w14:paraId="44BFB531">
      <w:pPr>
        <w:pStyle w:val="13"/>
        <w:ind w:firstLine="632"/>
        <w:rPr>
          <w:rFonts w:ascii="Times New Roman" w:hAnsi="Times New Roman" w:cs="Times New Roman"/>
        </w:rPr>
      </w:pPr>
    </w:p>
    <w:p w14:paraId="5A9F4393">
      <w:pPr>
        <w:ind w:firstLine="552"/>
        <w:rPr>
          <w:rFonts w:ascii="Times New Roman" w:hAnsi="Times New Roman" w:cs="Times New Roman"/>
        </w:rPr>
      </w:pPr>
    </w:p>
    <w:p w14:paraId="043DBEC6">
      <w:pPr>
        <w:ind w:firstLine="0" w:firstLineChars="0"/>
        <w:jc w:val="center"/>
        <w:rPr>
          <w:rFonts w:ascii="Times New Roman" w:hAnsi="Times New Roman" w:eastAsia="楷体" w:cs="Times New Roman"/>
          <w:b/>
          <w:bCs/>
          <w:sz w:val="72"/>
          <w:szCs w:val="72"/>
        </w:rPr>
      </w:pPr>
      <w:r>
        <w:rPr>
          <w:rFonts w:ascii="Times New Roman" w:hAnsi="Times New Roman" w:eastAsia="方正小标宋简体" w:cs="Times New Roman"/>
          <w:bCs/>
          <w:color w:val="000000"/>
          <w:spacing w:val="-6"/>
          <w:kern w:val="0"/>
          <w:sz w:val="52"/>
          <w:szCs w:val="52"/>
          <w:lang w:bidi="ar"/>
        </w:rPr>
        <w:t>集贤县城镇供水突发事件应急预案</w:t>
      </w:r>
    </w:p>
    <w:p w14:paraId="2043637E">
      <w:pPr>
        <w:pStyle w:val="11"/>
        <w:ind w:firstLine="0" w:firstLineChars="0"/>
        <w:jc w:val="center"/>
        <w:rPr>
          <w:rFonts w:ascii="Times New Roman" w:hAnsi="Times New Roman" w:eastAsia="楷体_GB2312" w:cs="Times New Roman"/>
          <w:b/>
          <w:sz w:val="52"/>
          <w:szCs w:val="52"/>
        </w:rPr>
      </w:pPr>
      <w:r>
        <w:rPr>
          <w:rFonts w:hint="eastAsia" w:ascii="仿宋_GB2312" w:hAnsi="仿宋_GB2312" w:cs="仿宋_GB2312"/>
          <w:bCs/>
          <w:sz w:val="48"/>
          <w:szCs w:val="48"/>
        </w:rPr>
        <w:t>（修订稿）</w:t>
      </w:r>
    </w:p>
    <w:p w14:paraId="443714C8">
      <w:pPr>
        <w:pStyle w:val="11"/>
        <w:ind w:firstLine="0" w:firstLineChars="0"/>
        <w:jc w:val="center"/>
        <w:rPr>
          <w:rFonts w:ascii="Times New Roman" w:hAnsi="Times New Roman" w:eastAsia="黑体" w:cs="Times New Roman"/>
          <w:sz w:val="52"/>
          <w:szCs w:val="52"/>
        </w:rPr>
      </w:pPr>
    </w:p>
    <w:p w14:paraId="5E775027">
      <w:pPr>
        <w:pStyle w:val="11"/>
        <w:ind w:firstLine="0" w:firstLineChars="0"/>
        <w:jc w:val="center"/>
        <w:rPr>
          <w:rFonts w:ascii="Times New Roman" w:hAnsi="Times New Roman" w:eastAsia="黑体" w:cs="Times New Roman"/>
          <w:sz w:val="52"/>
          <w:szCs w:val="52"/>
        </w:rPr>
      </w:pPr>
    </w:p>
    <w:p w14:paraId="0655CF84">
      <w:pPr>
        <w:pStyle w:val="11"/>
        <w:ind w:firstLine="0" w:firstLineChars="0"/>
        <w:jc w:val="center"/>
        <w:rPr>
          <w:rFonts w:ascii="Times New Roman" w:hAnsi="Times New Roman" w:eastAsia="黑体" w:cs="Times New Roman"/>
          <w:sz w:val="52"/>
          <w:szCs w:val="52"/>
        </w:rPr>
      </w:pPr>
    </w:p>
    <w:p w14:paraId="6F201993">
      <w:pPr>
        <w:pStyle w:val="11"/>
        <w:ind w:firstLine="0" w:firstLineChars="0"/>
        <w:jc w:val="center"/>
        <w:rPr>
          <w:rFonts w:ascii="Times New Roman" w:hAnsi="Times New Roman" w:eastAsia="黑体" w:cs="Times New Roman"/>
          <w:sz w:val="52"/>
          <w:szCs w:val="52"/>
        </w:rPr>
      </w:pPr>
    </w:p>
    <w:p w14:paraId="235560AC">
      <w:pPr>
        <w:pStyle w:val="11"/>
        <w:ind w:firstLine="0" w:firstLineChars="0"/>
        <w:jc w:val="center"/>
        <w:rPr>
          <w:rFonts w:ascii="Times New Roman" w:hAnsi="Times New Roman" w:eastAsia="楷体_GB2312" w:cs="Times New Roman"/>
          <w:spacing w:val="-12"/>
          <w:sz w:val="44"/>
          <w:szCs w:val="44"/>
        </w:rPr>
      </w:pPr>
    </w:p>
    <w:p w14:paraId="68F5B451">
      <w:pPr>
        <w:pStyle w:val="11"/>
        <w:ind w:firstLine="0" w:firstLineChars="0"/>
        <w:jc w:val="center"/>
        <w:rPr>
          <w:rFonts w:ascii="Times New Roman" w:hAnsi="Times New Roman" w:eastAsia="楷体_GB2312" w:cs="Times New Roman"/>
          <w:spacing w:val="-12"/>
          <w:sz w:val="44"/>
          <w:szCs w:val="44"/>
        </w:rPr>
      </w:pPr>
    </w:p>
    <w:p w14:paraId="061415C6">
      <w:pPr>
        <w:pStyle w:val="11"/>
        <w:ind w:firstLine="0" w:firstLineChars="0"/>
        <w:jc w:val="center"/>
        <w:rPr>
          <w:rFonts w:ascii="Times New Roman" w:hAnsi="Times New Roman" w:eastAsia="楷体_GB2312" w:cs="Times New Roman"/>
          <w:spacing w:val="-12"/>
          <w:sz w:val="44"/>
          <w:szCs w:val="44"/>
        </w:rPr>
      </w:pPr>
    </w:p>
    <w:p w14:paraId="7CDDB3F7">
      <w:pPr>
        <w:pStyle w:val="11"/>
        <w:ind w:firstLine="0" w:firstLineChars="0"/>
        <w:jc w:val="center"/>
        <w:rPr>
          <w:rFonts w:ascii="Times New Roman" w:hAnsi="Times New Roman" w:eastAsia="楷体_GB2312" w:cs="Times New Roman"/>
          <w:spacing w:val="-12"/>
          <w:sz w:val="44"/>
          <w:szCs w:val="44"/>
        </w:rPr>
      </w:pPr>
    </w:p>
    <w:p w14:paraId="5099D689">
      <w:pPr>
        <w:ind w:firstLine="0" w:firstLineChars="0"/>
        <w:jc w:val="center"/>
        <w:rPr>
          <w:rFonts w:ascii="Times New Roman" w:hAnsi="Times New Roman" w:cs="Times New Roman"/>
          <w:bCs/>
          <w:spacing w:val="-6"/>
          <w:sz w:val="36"/>
          <w:szCs w:val="24"/>
          <w:lang w:bidi="ar"/>
        </w:rPr>
      </w:pPr>
      <w:r>
        <w:rPr>
          <w:rFonts w:ascii="Times New Roman" w:hAnsi="Times New Roman" w:cs="Times New Roman"/>
          <w:bCs/>
          <w:spacing w:val="-6"/>
          <w:sz w:val="36"/>
          <w:szCs w:val="24"/>
          <w:lang w:bidi="ar"/>
        </w:rPr>
        <w:t>集贤县人民政府 编制</w:t>
      </w:r>
    </w:p>
    <w:p w14:paraId="29EC4DFE">
      <w:pPr>
        <w:ind w:firstLine="0" w:firstLineChars="0"/>
        <w:jc w:val="center"/>
        <w:rPr>
          <w:rFonts w:ascii="Times New Roman" w:hAnsi="Times New Roman" w:cs="Times New Roman"/>
          <w:bCs/>
          <w:spacing w:val="-6"/>
          <w:sz w:val="36"/>
          <w:szCs w:val="24"/>
          <w:lang w:bidi="ar"/>
        </w:rPr>
      </w:pPr>
      <w:r>
        <w:rPr>
          <w:rFonts w:ascii="Times New Roman" w:hAnsi="Times New Roman" w:cs="Times New Roman"/>
          <w:bCs/>
          <w:spacing w:val="-6"/>
          <w:sz w:val="36"/>
          <w:szCs w:val="24"/>
          <w:lang w:bidi="ar"/>
        </w:rPr>
        <w:t>2025年5月</w:t>
      </w:r>
    </w:p>
    <w:p w14:paraId="5F5B7729">
      <w:pPr>
        <w:ind w:firstLine="688"/>
        <w:rPr>
          <w:rFonts w:ascii="Times New Roman" w:hAnsi="Times New Roman" w:cs="Times New Roman"/>
          <w:bCs/>
          <w:spacing w:val="-6"/>
          <w:sz w:val="36"/>
          <w:szCs w:val="24"/>
          <w:lang w:bidi="ar"/>
        </w:rPr>
      </w:pPr>
      <w:r>
        <w:rPr>
          <w:rFonts w:ascii="Times New Roman" w:hAnsi="Times New Roman" w:cs="Times New Roman"/>
          <w:bCs/>
          <w:spacing w:val="-6"/>
          <w:sz w:val="36"/>
          <w:szCs w:val="24"/>
          <w:lang w:bidi="ar"/>
        </w:rPr>
        <w:br w:type="page"/>
      </w:r>
    </w:p>
    <w:p w14:paraId="6DEA4C33">
      <w:pPr>
        <w:pStyle w:val="29"/>
        <w:rPr>
          <w:rFonts w:ascii="Times New Roman" w:hAnsi="Times New Roman" w:cs="Times New Roman"/>
          <w:sz w:val="36"/>
          <w:szCs w:val="36"/>
        </w:rPr>
        <w:sectPr>
          <w:headerReference r:id="rId72" w:type="default"/>
          <w:footerReference r:id="rId74" w:type="default"/>
          <w:headerReference r:id="rId73" w:type="even"/>
          <w:footerReference r:id="rId75" w:type="even"/>
          <w:pgSz w:w="11906" w:h="16838"/>
          <w:pgMar w:top="2098" w:right="1474" w:bottom="1984" w:left="1587" w:header="624" w:footer="1134" w:gutter="0"/>
          <w:pgNumType w:start="1"/>
          <w:cols w:space="0" w:num="1"/>
          <w:docGrid w:type="linesAndChars" w:linePitch="579" w:charSpace="-842"/>
        </w:sectPr>
      </w:pPr>
    </w:p>
    <w:sdt>
      <w:sdtPr>
        <w:rPr>
          <w:rFonts w:ascii="Times New Roman" w:hAnsi="Times New Roman" w:eastAsia="微软雅黑" w:cs="Times New Roman"/>
          <w:b/>
          <w:bCs/>
          <w:sz w:val="36"/>
          <w:szCs w:val="36"/>
        </w:rPr>
        <w:id w:val="147473074"/>
        <w15:color w:val="DBDBDB"/>
        <w:docPartObj>
          <w:docPartGallery w:val="Table of Contents"/>
          <w:docPartUnique/>
        </w:docPartObj>
      </w:sdtPr>
      <w:sdtEndPr>
        <w:rPr>
          <w:rFonts w:ascii="Times New Roman" w:hAnsi="Times New Roman" w:eastAsia="仿宋" w:cs="Times New Roman"/>
          <w:b/>
          <w:bCs/>
          <w:sz w:val="32"/>
          <w:szCs w:val="32"/>
        </w:rPr>
      </w:sdtEndPr>
      <w:sdtContent>
        <w:p w14:paraId="31D79DAD">
          <w:pPr>
            <w:ind w:firstLine="0" w:firstLineChars="0"/>
            <w:jc w:val="center"/>
            <w:rPr>
              <w:rFonts w:ascii="Times New Roman" w:hAnsi="Times New Roman" w:cs="Times New Roman"/>
            </w:rPr>
          </w:pPr>
          <w:r>
            <w:rPr>
              <w:rFonts w:ascii="Times New Roman" w:hAnsi="Times New Roman" w:eastAsia="微软雅黑" w:cs="Times New Roman"/>
              <w:b/>
              <w:bCs/>
              <w:sz w:val="36"/>
              <w:szCs w:val="36"/>
            </w:rPr>
            <w:t>目  录</w:t>
          </w:r>
        </w:p>
        <w:p w14:paraId="6BD4CD20">
          <w:pPr>
            <w:pStyle w:val="18"/>
            <w:rPr>
              <w:rFonts w:ascii="Times New Roman" w:hAnsi="Times New Roman" w:cs="Times New Roman"/>
              <w:sz w:val="32"/>
            </w:rPr>
          </w:pPr>
          <w:r>
            <w:rPr>
              <w:rFonts w:ascii="Times New Roman" w:hAnsi="Times New Roman" w:cs="Times New Roman"/>
              <w:sz w:val="32"/>
            </w:rPr>
            <w:fldChar w:fldCharType="begin"/>
          </w:r>
          <w:r>
            <w:rPr>
              <w:rFonts w:ascii="Times New Roman" w:hAnsi="Times New Roman" w:cs="Times New Roman"/>
              <w:sz w:val="32"/>
            </w:rPr>
            <w:instrText xml:space="preserve">TOC \o "1-2" \h \u </w:instrText>
          </w:r>
          <w:r>
            <w:rPr>
              <w:rFonts w:ascii="Times New Roman" w:hAnsi="Times New Roman" w:cs="Times New Roman"/>
              <w:sz w:val="32"/>
            </w:rPr>
            <w:fldChar w:fldCharType="separate"/>
          </w:r>
          <w:r>
            <w:fldChar w:fldCharType="begin"/>
          </w:r>
          <w:r>
            <w:instrText xml:space="preserve"> HYPERLINK \l "_Toc32295" </w:instrText>
          </w:r>
          <w:r>
            <w:fldChar w:fldCharType="separate"/>
          </w:r>
          <w:r>
            <w:rPr>
              <w:rFonts w:ascii="Times New Roman" w:hAnsi="Times New Roman" w:eastAsia="仿宋" w:cs="Times New Roman"/>
              <w:sz w:val="32"/>
            </w:rPr>
            <w:t xml:space="preserve">1 </w:t>
          </w:r>
          <w:r>
            <w:rPr>
              <w:rFonts w:ascii="Times New Roman" w:hAnsi="Times New Roman" w:cs="Times New Roman"/>
              <w:sz w:val="32"/>
            </w:rPr>
            <w:t>总则</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_Toc32295 \h </w:instrText>
          </w:r>
          <w:r>
            <w:rPr>
              <w:rFonts w:ascii="Times New Roman" w:hAnsi="Times New Roman" w:cs="Times New Roman"/>
              <w:sz w:val="32"/>
            </w:rPr>
            <w:fldChar w:fldCharType="separate"/>
          </w:r>
          <w:r>
            <w:rPr>
              <w:rFonts w:ascii="Times New Roman" w:hAnsi="Times New Roman" w:cs="Times New Roman"/>
              <w:sz w:val="32"/>
            </w:rPr>
            <w:t>1</w:t>
          </w:r>
          <w:r>
            <w:rPr>
              <w:rFonts w:ascii="Times New Roman" w:hAnsi="Times New Roman" w:cs="Times New Roman"/>
              <w:sz w:val="32"/>
            </w:rPr>
            <w:fldChar w:fldCharType="end"/>
          </w:r>
          <w:r>
            <w:rPr>
              <w:rFonts w:ascii="Times New Roman" w:hAnsi="Times New Roman" w:cs="Times New Roman"/>
              <w:sz w:val="32"/>
            </w:rPr>
            <w:fldChar w:fldCharType="end"/>
          </w:r>
        </w:p>
        <w:p w14:paraId="008EF90D">
          <w:pPr>
            <w:pStyle w:val="19"/>
            <w:tabs>
              <w:tab w:val="right" w:leader="dot" w:pos="8845"/>
            </w:tabs>
            <w:ind w:firstLine="552"/>
            <w:rPr>
              <w:rFonts w:ascii="Times New Roman" w:hAnsi="Times New Roman" w:cs="Times New Roman"/>
              <w:sz w:val="32"/>
            </w:rPr>
          </w:pPr>
          <w:r>
            <w:fldChar w:fldCharType="begin"/>
          </w:r>
          <w:r>
            <w:instrText xml:space="preserve"> HYPERLINK \l "_Toc24951" </w:instrText>
          </w:r>
          <w:r>
            <w:fldChar w:fldCharType="separate"/>
          </w:r>
          <w:r>
            <w:rPr>
              <w:rFonts w:ascii="Times New Roman" w:hAnsi="Times New Roman" w:eastAsia="仿宋" w:cs="Times New Roman"/>
              <w:bCs/>
              <w:sz w:val="32"/>
            </w:rPr>
            <w:t xml:space="preserve">1.1 </w:t>
          </w:r>
          <w:r>
            <w:rPr>
              <w:rFonts w:ascii="Times New Roman" w:hAnsi="Times New Roman" w:cs="Times New Roman"/>
              <w:sz w:val="32"/>
            </w:rPr>
            <w:t>编制目的</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_Toc24951 \h </w:instrText>
          </w:r>
          <w:r>
            <w:rPr>
              <w:rFonts w:ascii="Times New Roman" w:hAnsi="Times New Roman" w:cs="Times New Roman"/>
              <w:sz w:val="32"/>
            </w:rPr>
            <w:fldChar w:fldCharType="separate"/>
          </w:r>
          <w:r>
            <w:rPr>
              <w:rFonts w:ascii="Times New Roman" w:hAnsi="Times New Roman" w:cs="Times New Roman"/>
              <w:sz w:val="32"/>
            </w:rPr>
            <w:t>1</w:t>
          </w:r>
          <w:r>
            <w:rPr>
              <w:rFonts w:ascii="Times New Roman" w:hAnsi="Times New Roman" w:cs="Times New Roman"/>
              <w:sz w:val="32"/>
            </w:rPr>
            <w:fldChar w:fldCharType="end"/>
          </w:r>
          <w:r>
            <w:rPr>
              <w:rFonts w:ascii="Times New Roman" w:hAnsi="Times New Roman" w:cs="Times New Roman"/>
              <w:sz w:val="32"/>
            </w:rPr>
            <w:fldChar w:fldCharType="end"/>
          </w:r>
        </w:p>
        <w:p w14:paraId="07B4BCB3">
          <w:pPr>
            <w:pStyle w:val="19"/>
            <w:tabs>
              <w:tab w:val="right" w:leader="dot" w:pos="8845"/>
            </w:tabs>
            <w:ind w:firstLine="552"/>
            <w:rPr>
              <w:rFonts w:ascii="Times New Roman" w:hAnsi="Times New Roman" w:cs="Times New Roman"/>
              <w:sz w:val="32"/>
            </w:rPr>
          </w:pPr>
          <w:r>
            <w:fldChar w:fldCharType="begin"/>
          </w:r>
          <w:r>
            <w:instrText xml:space="preserve"> HYPERLINK \l "_Toc27151" </w:instrText>
          </w:r>
          <w:r>
            <w:fldChar w:fldCharType="separate"/>
          </w:r>
          <w:r>
            <w:rPr>
              <w:rFonts w:ascii="Times New Roman" w:hAnsi="Times New Roman" w:eastAsia="仿宋" w:cs="Times New Roman"/>
              <w:bCs/>
              <w:sz w:val="32"/>
            </w:rPr>
            <w:t xml:space="preserve">1.2 </w:t>
          </w:r>
          <w:r>
            <w:rPr>
              <w:rFonts w:ascii="Times New Roman" w:hAnsi="Times New Roman" w:cs="Times New Roman"/>
              <w:sz w:val="32"/>
            </w:rPr>
            <w:t>编制依据</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_Toc27151 \h </w:instrText>
          </w:r>
          <w:r>
            <w:rPr>
              <w:rFonts w:ascii="Times New Roman" w:hAnsi="Times New Roman" w:cs="Times New Roman"/>
              <w:sz w:val="32"/>
            </w:rPr>
            <w:fldChar w:fldCharType="separate"/>
          </w:r>
          <w:r>
            <w:rPr>
              <w:rFonts w:ascii="Times New Roman" w:hAnsi="Times New Roman" w:cs="Times New Roman"/>
              <w:sz w:val="32"/>
            </w:rPr>
            <w:t>1</w:t>
          </w:r>
          <w:r>
            <w:rPr>
              <w:rFonts w:ascii="Times New Roman" w:hAnsi="Times New Roman" w:cs="Times New Roman"/>
              <w:sz w:val="32"/>
            </w:rPr>
            <w:fldChar w:fldCharType="end"/>
          </w:r>
          <w:r>
            <w:rPr>
              <w:rFonts w:ascii="Times New Roman" w:hAnsi="Times New Roman" w:cs="Times New Roman"/>
              <w:sz w:val="32"/>
            </w:rPr>
            <w:fldChar w:fldCharType="end"/>
          </w:r>
        </w:p>
        <w:p w14:paraId="0B33FDD1">
          <w:pPr>
            <w:pStyle w:val="19"/>
            <w:tabs>
              <w:tab w:val="right" w:leader="dot" w:pos="8845"/>
            </w:tabs>
            <w:ind w:firstLine="552"/>
            <w:rPr>
              <w:rFonts w:ascii="Times New Roman" w:hAnsi="Times New Roman" w:cs="Times New Roman"/>
              <w:sz w:val="32"/>
            </w:rPr>
          </w:pPr>
          <w:r>
            <w:fldChar w:fldCharType="begin"/>
          </w:r>
          <w:r>
            <w:instrText xml:space="preserve"> HYPERLINK \l "_Toc22047" </w:instrText>
          </w:r>
          <w:r>
            <w:fldChar w:fldCharType="separate"/>
          </w:r>
          <w:r>
            <w:rPr>
              <w:rFonts w:ascii="Times New Roman" w:hAnsi="Times New Roman" w:eastAsia="仿宋" w:cs="Times New Roman"/>
              <w:bCs/>
              <w:sz w:val="32"/>
            </w:rPr>
            <w:t xml:space="preserve">1.3 </w:t>
          </w:r>
          <w:r>
            <w:rPr>
              <w:rFonts w:ascii="Times New Roman" w:hAnsi="Times New Roman" w:cs="Times New Roman"/>
              <w:sz w:val="32"/>
            </w:rPr>
            <w:t>适用范围</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_Toc22047 \h </w:instrText>
          </w:r>
          <w:r>
            <w:rPr>
              <w:rFonts w:ascii="Times New Roman" w:hAnsi="Times New Roman" w:cs="Times New Roman"/>
              <w:sz w:val="32"/>
            </w:rPr>
            <w:fldChar w:fldCharType="separate"/>
          </w:r>
          <w:r>
            <w:rPr>
              <w:rFonts w:ascii="Times New Roman" w:hAnsi="Times New Roman" w:cs="Times New Roman"/>
              <w:sz w:val="32"/>
            </w:rPr>
            <w:t>1</w:t>
          </w:r>
          <w:r>
            <w:rPr>
              <w:rFonts w:ascii="Times New Roman" w:hAnsi="Times New Roman" w:cs="Times New Roman"/>
              <w:sz w:val="32"/>
            </w:rPr>
            <w:fldChar w:fldCharType="end"/>
          </w:r>
          <w:r>
            <w:rPr>
              <w:rFonts w:ascii="Times New Roman" w:hAnsi="Times New Roman" w:cs="Times New Roman"/>
              <w:sz w:val="32"/>
            </w:rPr>
            <w:fldChar w:fldCharType="end"/>
          </w:r>
        </w:p>
        <w:p w14:paraId="784BB962">
          <w:pPr>
            <w:pStyle w:val="19"/>
            <w:tabs>
              <w:tab w:val="right" w:leader="dot" w:pos="8845"/>
            </w:tabs>
            <w:ind w:firstLine="552"/>
            <w:rPr>
              <w:rFonts w:ascii="Times New Roman" w:hAnsi="Times New Roman" w:cs="Times New Roman"/>
              <w:sz w:val="32"/>
            </w:rPr>
          </w:pPr>
          <w:r>
            <w:fldChar w:fldCharType="begin"/>
          </w:r>
          <w:r>
            <w:instrText xml:space="preserve"> HYPERLINK \l "_Toc26651" </w:instrText>
          </w:r>
          <w:r>
            <w:fldChar w:fldCharType="separate"/>
          </w:r>
          <w:r>
            <w:rPr>
              <w:rFonts w:ascii="Times New Roman" w:hAnsi="Times New Roman" w:eastAsia="仿宋" w:cs="Times New Roman"/>
              <w:bCs/>
              <w:sz w:val="32"/>
            </w:rPr>
            <w:t xml:space="preserve">1.4 </w:t>
          </w:r>
          <w:r>
            <w:rPr>
              <w:rFonts w:ascii="Times New Roman" w:hAnsi="Times New Roman" w:cs="Times New Roman"/>
              <w:sz w:val="32"/>
            </w:rPr>
            <w:t>工作原则</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_Toc26651 \h </w:instrText>
          </w:r>
          <w:r>
            <w:rPr>
              <w:rFonts w:ascii="Times New Roman" w:hAnsi="Times New Roman" w:cs="Times New Roman"/>
              <w:sz w:val="32"/>
            </w:rPr>
            <w:fldChar w:fldCharType="separate"/>
          </w:r>
          <w:r>
            <w:rPr>
              <w:rFonts w:ascii="Times New Roman" w:hAnsi="Times New Roman" w:cs="Times New Roman"/>
              <w:sz w:val="32"/>
            </w:rPr>
            <w:t>2</w:t>
          </w:r>
          <w:r>
            <w:rPr>
              <w:rFonts w:ascii="Times New Roman" w:hAnsi="Times New Roman" w:cs="Times New Roman"/>
              <w:sz w:val="32"/>
            </w:rPr>
            <w:fldChar w:fldCharType="end"/>
          </w:r>
          <w:r>
            <w:rPr>
              <w:rFonts w:ascii="Times New Roman" w:hAnsi="Times New Roman" w:cs="Times New Roman"/>
              <w:sz w:val="32"/>
            </w:rPr>
            <w:fldChar w:fldCharType="end"/>
          </w:r>
        </w:p>
        <w:p w14:paraId="6F2C66DF">
          <w:pPr>
            <w:pStyle w:val="19"/>
            <w:tabs>
              <w:tab w:val="right" w:leader="dot" w:pos="8845"/>
            </w:tabs>
            <w:ind w:firstLine="552"/>
            <w:rPr>
              <w:rFonts w:ascii="Times New Roman" w:hAnsi="Times New Roman" w:cs="Times New Roman"/>
              <w:sz w:val="32"/>
            </w:rPr>
          </w:pPr>
          <w:r>
            <w:fldChar w:fldCharType="begin"/>
          </w:r>
          <w:r>
            <w:instrText xml:space="preserve"> HYPERLINK \l "_Toc14477" </w:instrText>
          </w:r>
          <w:r>
            <w:fldChar w:fldCharType="separate"/>
          </w:r>
          <w:r>
            <w:rPr>
              <w:rFonts w:ascii="Times New Roman" w:hAnsi="Times New Roman" w:eastAsia="仿宋" w:cs="Times New Roman"/>
              <w:bCs/>
              <w:sz w:val="32"/>
            </w:rPr>
            <w:t xml:space="preserve">1.5 </w:t>
          </w:r>
          <w:r>
            <w:rPr>
              <w:rFonts w:ascii="Times New Roman" w:hAnsi="Times New Roman" w:cs="Times New Roman"/>
              <w:sz w:val="32"/>
            </w:rPr>
            <w:t>事件分级</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_Toc14477 \h </w:instrText>
          </w:r>
          <w:r>
            <w:rPr>
              <w:rFonts w:ascii="Times New Roman" w:hAnsi="Times New Roman" w:cs="Times New Roman"/>
              <w:sz w:val="32"/>
            </w:rPr>
            <w:fldChar w:fldCharType="separate"/>
          </w:r>
          <w:r>
            <w:rPr>
              <w:rFonts w:ascii="Times New Roman" w:hAnsi="Times New Roman" w:cs="Times New Roman"/>
              <w:sz w:val="32"/>
            </w:rPr>
            <w:t>3</w:t>
          </w:r>
          <w:r>
            <w:rPr>
              <w:rFonts w:ascii="Times New Roman" w:hAnsi="Times New Roman" w:cs="Times New Roman"/>
              <w:sz w:val="32"/>
            </w:rPr>
            <w:fldChar w:fldCharType="end"/>
          </w:r>
          <w:r>
            <w:rPr>
              <w:rFonts w:ascii="Times New Roman" w:hAnsi="Times New Roman" w:cs="Times New Roman"/>
              <w:sz w:val="32"/>
            </w:rPr>
            <w:fldChar w:fldCharType="end"/>
          </w:r>
        </w:p>
        <w:p w14:paraId="15FBE8A5">
          <w:pPr>
            <w:pStyle w:val="18"/>
            <w:rPr>
              <w:rFonts w:ascii="Times New Roman" w:hAnsi="Times New Roman" w:cs="Times New Roman"/>
              <w:sz w:val="32"/>
            </w:rPr>
          </w:pPr>
          <w:r>
            <w:fldChar w:fldCharType="begin"/>
          </w:r>
          <w:r>
            <w:instrText xml:space="preserve"> HYPERLINK \l "_Toc4555" </w:instrText>
          </w:r>
          <w:r>
            <w:fldChar w:fldCharType="separate"/>
          </w:r>
          <w:r>
            <w:rPr>
              <w:rFonts w:ascii="Times New Roman" w:hAnsi="Times New Roman" w:eastAsia="仿宋" w:cs="Times New Roman"/>
              <w:sz w:val="32"/>
            </w:rPr>
            <w:t xml:space="preserve">2 </w:t>
          </w:r>
          <w:r>
            <w:rPr>
              <w:rFonts w:ascii="Times New Roman" w:hAnsi="Times New Roman" w:cs="Times New Roman"/>
              <w:sz w:val="32"/>
            </w:rPr>
            <w:t>组织指挥体系</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_Toc4555 \h </w:instrText>
          </w:r>
          <w:r>
            <w:rPr>
              <w:rFonts w:ascii="Times New Roman" w:hAnsi="Times New Roman" w:cs="Times New Roman"/>
              <w:sz w:val="32"/>
            </w:rPr>
            <w:fldChar w:fldCharType="separate"/>
          </w:r>
          <w:r>
            <w:rPr>
              <w:rFonts w:ascii="Times New Roman" w:hAnsi="Times New Roman" w:cs="Times New Roman"/>
              <w:sz w:val="32"/>
            </w:rPr>
            <w:t>3</w:t>
          </w:r>
          <w:r>
            <w:rPr>
              <w:rFonts w:ascii="Times New Roman" w:hAnsi="Times New Roman" w:cs="Times New Roman"/>
              <w:sz w:val="32"/>
            </w:rPr>
            <w:fldChar w:fldCharType="end"/>
          </w:r>
          <w:r>
            <w:rPr>
              <w:rFonts w:ascii="Times New Roman" w:hAnsi="Times New Roman" w:cs="Times New Roman"/>
              <w:sz w:val="32"/>
            </w:rPr>
            <w:fldChar w:fldCharType="end"/>
          </w:r>
        </w:p>
        <w:p w14:paraId="54C385D1">
          <w:pPr>
            <w:pStyle w:val="19"/>
            <w:tabs>
              <w:tab w:val="right" w:leader="dot" w:pos="8845"/>
            </w:tabs>
            <w:ind w:firstLine="552"/>
            <w:rPr>
              <w:rFonts w:ascii="Times New Roman" w:hAnsi="Times New Roman" w:cs="Times New Roman"/>
              <w:sz w:val="32"/>
            </w:rPr>
          </w:pPr>
          <w:r>
            <w:fldChar w:fldCharType="begin"/>
          </w:r>
          <w:r>
            <w:instrText xml:space="preserve"> HYPERLINK \l "_Toc26399" </w:instrText>
          </w:r>
          <w:r>
            <w:fldChar w:fldCharType="separate"/>
          </w:r>
          <w:r>
            <w:rPr>
              <w:rFonts w:ascii="Times New Roman" w:hAnsi="Times New Roman" w:eastAsia="仿宋" w:cs="Times New Roman"/>
              <w:bCs/>
              <w:sz w:val="32"/>
            </w:rPr>
            <w:t xml:space="preserve">2.1 </w:t>
          </w:r>
          <w:r>
            <w:rPr>
              <w:rFonts w:ascii="Times New Roman" w:hAnsi="Times New Roman" w:cs="Times New Roman"/>
              <w:sz w:val="32"/>
            </w:rPr>
            <w:t>应急组织机构及职责</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_Toc26399 \h </w:instrText>
          </w:r>
          <w:r>
            <w:rPr>
              <w:rFonts w:ascii="Times New Roman" w:hAnsi="Times New Roman" w:cs="Times New Roman"/>
              <w:sz w:val="32"/>
            </w:rPr>
            <w:fldChar w:fldCharType="separate"/>
          </w:r>
          <w:r>
            <w:rPr>
              <w:rFonts w:ascii="Times New Roman" w:hAnsi="Times New Roman" w:cs="Times New Roman"/>
              <w:sz w:val="32"/>
            </w:rPr>
            <w:t>3</w:t>
          </w:r>
          <w:r>
            <w:rPr>
              <w:rFonts w:ascii="Times New Roman" w:hAnsi="Times New Roman" w:cs="Times New Roman"/>
              <w:sz w:val="32"/>
            </w:rPr>
            <w:fldChar w:fldCharType="end"/>
          </w:r>
          <w:r>
            <w:rPr>
              <w:rFonts w:ascii="Times New Roman" w:hAnsi="Times New Roman" w:cs="Times New Roman"/>
              <w:sz w:val="32"/>
            </w:rPr>
            <w:fldChar w:fldCharType="end"/>
          </w:r>
        </w:p>
        <w:p w14:paraId="28C1A288">
          <w:pPr>
            <w:pStyle w:val="19"/>
            <w:tabs>
              <w:tab w:val="right" w:leader="dot" w:pos="8845"/>
            </w:tabs>
            <w:ind w:firstLine="552"/>
            <w:rPr>
              <w:rFonts w:ascii="Times New Roman" w:hAnsi="Times New Roman" w:cs="Times New Roman"/>
              <w:sz w:val="32"/>
            </w:rPr>
          </w:pPr>
          <w:r>
            <w:fldChar w:fldCharType="begin"/>
          </w:r>
          <w:r>
            <w:instrText xml:space="preserve"> HYPERLINK \l "_Toc15782" </w:instrText>
          </w:r>
          <w:r>
            <w:fldChar w:fldCharType="separate"/>
          </w:r>
          <w:r>
            <w:rPr>
              <w:rFonts w:ascii="Times New Roman" w:hAnsi="Times New Roman" w:eastAsia="仿宋" w:cs="Times New Roman"/>
              <w:bCs/>
              <w:sz w:val="32"/>
            </w:rPr>
            <w:t xml:space="preserve">2.2 </w:t>
          </w:r>
          <w:r>
            <w:rPr>
              <w:rFonts w:ascii="Times New Roman" w:hAnsi="Times New Roman" w:cs="Times New Roman"/>
              <w:sz w:val="32"/>
            </w:rPr>
            <w:t>现场指挥机构及职责</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_Toc15782 \h </w:instrText>
          </w:r>
          <w:r>
            <w:rPr>
              <w:rFonts w:ascii="Times New Roman" w:hAnsi="Times New Roman" w:cs="Times New Roman"/>
              <w:sz w:val="32"/>
            </w:rPr>
            <w:fldChar w:fldCharType="separate"/>
          </w:r>
          <w:r>
            <w:rPr>
              <w:rFonts w:ascii="Times New Roman" w:hAnsi="Times New Roman" w:cs="Times New Roman"/>
              <w:sz w:val="32"/>
            </w:rPr>
            <w:t>6</w:t>
          </w:r>
          <w:r>
            <w:rPr>
              <w:rFonts w:ascii="Times New Roman" w:hAnsi="Times New Roman" w:cs="Times New Roman"/>
              <w:sz w:val="32"/>
            </w:rPr>
            <w:fldChar w:fldCharType="end"/>
          </w:r>
          <w:r>
            <w:rPr>
              <w:rFonts w:ascii="Times New Roman" w:hAnsi="Times New Roman" w:cs="Times New Roman"/>
              <w:sz w:val="32"/>
            </w:rPr>
            <w:fldChar w:fldCharType="end"/>
          </w:r>
        </w:p>
        <w:p w14:paraId="62FFBD88">
          <w:pPr>
            <w:pStyle w:val="18"/>
            <w:rPr>
              <w:rFonts w:ascii="Times New Roman" w:hAnsi="Times New Roman" w:cs="Times New Roman"/>
              <w:sz w:val="32"/>
            </w:rPr>
          </w:pPr>
          <w:r>
            <w:fldChar w:fldCharType="begin"/>
          </w:r>
          <w:r>
            <w:instrText xml:space="preserve"> HYPERLINK \l "_Toc31417" </w:instrText>
          </w:r>
          <w:r>
            <w:fldChar w:fldCharType="separate"/>
          </w:r>
          <w:r>
            <w:rPr>
              <w:rFonts w:ascii="Times New Roman" w:hAnsi="Times New Roman" w:eastAsia="仿宋" w:cs="Times New Roman"/>
              <w:sz w:val="32"/>
            </w:rPr>
            <w:t xml:space="preserve">3 </w:t>
          </w:r>
          <w:r>
            <w:rPr>
              <w:rFonts w:ascii="Times New Roman" w:hAnsi="Times New Roman" w:cs="Times New Roman"/>
              <w:sz w:val="32"/>
            </w:rPr>
            <w:t>预测预警</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_Toc31417 \h </w:instrText>
          </w:r>
          <w:r>
            <w:rPr>
              <w:rFonts w:ascii="Times New Roman" w:hAnsi="Times New Roman" w:cs="Times New Roman"/>
              <w:sz w:val="32"/>
            </w:rPr>
            <w:fldChar w:fldCharType="separate"/>
          </w:r>
          <w:r>
            <w:rPr>
              <w:rFonts w:ascii="Times New Roman" w:hAnsi="Times New Roman" w:cs="Times New Roman"/>
              <w:sz w:val="32"/>
            </w:rPr>
            <w:t>8</w:t>
          </w:r>
          <w:r>
            <w:rPr>
              <w:rFonts w:ascii="Times New Roman" w:hAnsi="Times New Roman" w:cs="Times New Roman"/>
              <w:sz w:val="32"/>
            </w:rPr>
            <w:fldChar w:fldCharType="end"/>
          </w:r>
          <w:r>
            <w:rPr>
              <w:rFonts w:ascii="Times New Roman" w:hAnsi="Times New Roman" w:cs="Times New Roman"/>
              <w:sz w:val="32"/>
            </w:rPr>
            <w:fldChar w:fldCharType="end"/>
          </w:r>
        </w:p>
        <w:p w14:paraId="0EA1B9A8">
          <w:pPr>
            <w:pStyle w:val="19"/>
            <w:tabs>
              <w:tab w:val="right" w:leader="dot" w:pos="8845"/>
            </w:tabs>
            <w:ind w:firstLine="552"/>
            <w:rPr>
              <w:rFonts w:ascii="Times New Roman" w:hAnsi="Times New Roman" w:cs="Times New Roman"/>
              <w:sz w:val="32"/>
            </w:rPr>
          </w:pPr>
          <w:r>
            <w:fldChar w:fldCharType="begin"/>
          </w:r>
          <w:r>
            <w:instrText xml:space="preserve"> HYPERLINK \l "_Toc29949" </w:instrText>
          </w:r>
          <w:r>
            <w:fldChar w:fldCharType="separate"/>
          </w:r>
          <w:r>
            <w:rPr>
              <w:rFonts w:ascii="Times New Roman" w:hAnsi="Times New Roman" w:eastAsia="仿宋" w:cs="Times New Roman"/>
              <w:bCs/>
              <w:sz w:val="32"/>
            </w:rPr>
            <w:t xml:space="preserve">3.1 </w:t>
          </w:r>
          <w:r>
            <w:rPr>
              <w:rFonts w:ascii="Times New Roman" w:hAnsi="Times New Roman" w:cs="Times New Roman"/>
              <w:sz w:val="32"/>
            </w:rPr>
            <w:t>预测监测</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_Toc29949 \h </w:instrText>
          </w:r>
          <w:r>
            <w:rPr>
              <w:rFonts w:ascii="Times New Roman" w:hAnsi="Times New Roman" w:cs="Times New Roman"/>
              <w:sz w:val="32"/>
            </w:rPr>
            <w:fldChar w:fldCharType="separate"/>
          </w:r>
          <w:r>
            <w:rPr>
              <w:rFonts w:ascii="Times New Roman" w:hAnsi="Times New Roman" w:cs="Times New Roman"/>
              <w:sz w:val="32"/>
            </w:rPr>
            <w:t>8</w:t>
          </w:r>
          <w:r>
            <w:rPr>
              <w:rFonts w:ascii="Times New Roman" w:hAnsi="Times New Roman" w:cs="Times New Roman"/>
              <w:sz w:val="32"/>
            </w:rPr>
            <w:fldChar w:fldCharType="end"/>
          </w:r>
          <w:r>
            <w:rPr>
              <w:rFonts w:ascii="Times New Roman" w:hAnsi="Times New Roman" w:cs="Times New Roman"/>
              <w:sz w:val="32"/>
            </w:rPr>
            <w:fldChar w:fldCharType="end"/>
          </w:r>
        </w:p>
        <w:p w14:paraId="363548EB">
          <w:pPr>
            <w:pStyle w:val="19"/>
            <w:tabs>
              <w:tab w:val="right" w:leader="dot" w:pos="8845"/>
            </w:tabs>
            <w:ind w:firstLine="552"/>
            <w:rPr>
              <w:rFonts w:ascii="Times New Roman" w:hAnsi="Times New Roman" w:cs="Times New Roman"/>
              <w:sz w:val="32"/>
            </w:rPr>
          </w:pPr>
          <w:r>
            <w:fldChar w:fldCharType="begin"/>
          </w:r>
          <w:r>
            <w:instrText xml:space="preserve"> HYPERLINK \l "_Toc22375" </w:instrText>
          </w:r>
          <w:r>
            <w:fldChar w:fldCharType="separate"/>
          </w:r>
          <w:r>
            <w:rPr>
              <w:rFonts w:ascii="Times New Roman" w:hAnsi="Times New Roman" w:eastAsia="仿宋" w:cs="Times New Roman"/>
              <w:bCs/>
              <w:sz w:val="32"/>
            </w:rPr>
            <w:t xml:space="preserve">3.2 </w:t>
          </w:r>
          <w:r>
            <w:rPr>
              <w:rFonts w:ascii="Times New Roman" w:hAnsi="Times New Roman" w:cs="Times New Roman"/>
              <w:sz w:val="32"/>
            </w:rPr>
            <w:t>预警分级</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_Toc22375 \h </w:instrText>
          </w:r>
          <w:r>
            <w:rPr>
              <w:rFonts w:ascii="Times New Roman" w:hAnsi="Times New Roman" w:cs="Times New Roman"/>
              <w:sz w:val="32"/>
            </w:rPr>
            <w:fldChar w:fldCharType="separate"/>
          </w:r>
          <w:r>
            <w:rPr>
              <w:rFonts w:ascii="Times New Roman" w:hAnsi="Times New Roman" w:cs="Times New Roman"/>
              <w:sz w:val="32"/>
            </w:rPr>
            <w:t>8</w:t>
          </w:r>
          <w:r>
            <w:rPr>
              <w:rFonts w:ascii="Times New Roman" w:hAnsi="Times New Roman" w:cs="Times New Roman"/>
              <w:sz w:val="32"/>
            </w:rPr>
            <w:fldChar w:fldCharType="end"/>
          </w:r>
          <w:r>
            <w:rPr>
              <w:rFonts w:ascii="Times New Roman" w:hAnsi="Times New Roman" w:cs="Times New Roman"/>
              <w:sz w:val="32"/>
            </w:rPr>
            <w:fldChar w:fldCharType="end"/>
          </w:r>
        </w:p>
        <w:p w14:paraId="54A706B8">
          <w:pPr>
            <w:pStyle w:val="19"/>
            <w:tabs>
              <w:tab w:val="right" w:leader="dot" w:pos="8845"/>
            </w:tabs>
            <w:ind w:firstLine="552"/>
            <w:rPr>
              <w:rFonts w:ascii="Times New Roman" w:hAnsi="Times New Roman" w:cs="Times New Roman"/>
              <w:sz w:val="32"/>
            </w:rPr>
          </w:pPr>
          <w:r>
            <w:fldChar w:fldCharType="begin"/>
          </w:r>
          <w:r>
            <w:instrText xml:space="preserve"> HYPERLINK \l "_Toc19318" </w:instrText>
          </w:r>
          <w:r>
            <w:fldChar w:fldCharType="separate"/>
          </w:r>
          <w:r>
            <w:rPr>
              <w:rFonts w:ascii="Times New Roman" w:hAnsi="Times New Roman" w:eastAsia="仿宋" w:cs="Times New Roman"/>
              <w:bCs/>
              <w:sz w:val="32"/>
            </w:rPr>
            <w:t xml:space="preserve">3.3 </w:t>
          </w:r>
          <w:r>
            <w:rPr>
              <w:rFonts w:ascii="Times New Roman" w:hAnsi="Times New Roman" w:cs="Times New Roman"/>
              <w:sz w:val="32"/>
            </w:rPr>
            <w:t>预警发布</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_Toc19318 \h </w:instrText>
          </w:r>
          <w:r>
            <w:rPr>
              <w:rFonts w:ascii="Times New Roman" w:hAnsi="Times New Roman" w:cs="Times New Roman"/>
              <w:sz w:val="32"/>
            </w:rPr>
            <w:fldChar w:fldCharType="separate"/>
          </w:r>
          <w:r>
            <w:rPr>
              <w:rFonts w:ascii="Times New Roman" w:hAnsi="Times New Roman" w:cs="Times New Roman"/>
              <w:sz w:val="32"/>
            </w:rPr>
            <w:t>8</w:t>
          </w:r>
          <w:r>
            <w:rPr>
              <w:rFonts w:ascii="Times New Roman" w:hAnsi="Times New Roman" w:cs="Times New Roman"/>
              <w:sz w:val="32"/>
            </w:rPr>
            <w:fldChar w:fldCharType="end"/>
          </w:r>
          <w:r>
            <w:rPr>
              <w:rFonts w:ascii="Times New Roman" w:hAnsi="Times New Roman" w:cs="Times New Roman"/>
              <w:sz w:val="32"/>
            </w:rPr>
            <w:fldChar w:fldCharType="end"/>
          </w:r>
        </w:p>
        <w:p w14:paraId="7E552EAA">
          <w:pPr>
            <w:pStyle w:val="19"/>
            <w:tabs>
              <w:tab w:val="right" w:leader="dot" w:pos="8845"/>
            </w:tabs>
            <w:ind w:firstLine="552"/>
            <w:rPr>
              <w:rFonts w:ascii="Times New Roman" w:hAnsi="Times New Roman" w:cs="Times New Roman"/>
              <w:sz w:val="32"/>
            </w:rPr>
          </w:pPr>
          <w:r>
            <w:fldChar w:fldCharType="begin"/>
          </w:r>
          <w:r>
            <w:instrText xml:space="preserve"> HYPERLINK \l "_Toc12440" </w:instrText>
          </w:r>
          <w:r>
            <w:fldChar w:fldCharType="separate"/>
          </w:r>
          <w:r>
            <w:rPr>
              <w:rFonts w:ascii="Times New Roman" w:hAnsi="Times New Roman" w:eastAsia="仿宋" w:cs="Times New Roman"/>
              <w:bCs/>
              <w:sz w:val="32"/>
            </w:rPr>
            <w:t xml:space="preserve">3.4 </w:t>
          </w:r>
          <w:r>
            <w:rPr>
              <w:rFonts w:ascii="Times New Roman" w:hAnsi="Times New Roman" w:cs="Times New Roman"/>
              <w:sz w:val="32"/>
            </w:rPr>
            <w:t>预警措施</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_Toc12440 \h </w:instrText>
          </w:r>
          <w:r>
            <w:rPr>
              <w:rFonts w:ascii="Times New Roman" w:hAnsi="Times New Roman" w:cs="Times New Roman"/>
              <w:sz w:val="32"/>
            </w:rPr>
            <w:fldChar w:fldCharType="separate"/>
          </w:r>
          <w:r>
            <w:rPr>
              <w:rFonts w:ascii="Times New Roman" w:hAnsi="Times New Roman" w:cs="Times New Roman"/>
              <w:sz w:val="32"/>
            </w:rPr>
            <w:t>9</w:t>
          </w:r>
          <w:r>
            <w:rPr>
              <w:rFonts w:ascii="Times New Roman" w:hAnsi="Times New Roman" w:cs="Times New Roman"/>
              <w:sz w:val="32"/>
            </w:rPr>
            <w:fldChar w:fldCharType="end"/>
          </w:r>
          <w:r>
            <w:rPr>
              <w:rFonts w:ascii="Times New Roman" w:hAnsi="Times New Roman" w:cs="Times New Roman"/>
              <w:sz w:val="32"/>
            </w:rPr>
            <w:fldChar w:fldCharType="end"/>
          </w:r>
        </w:p>
        <w:p w14:paraId="4F43C069">
          <w:pPr>
            <w:pStyle w:val="19"/>
            <w:tabs>
              <w:tab w:val="right" w:leader="dot" w:pos="8845"/>
            </w:tabs>
            <w:ind w:firstLine="552"/>
            <w:rPr>
              <w:rFonts w:ascii="Times New Roman" w:hAnsi="Times New Roman" w:cs="Times New Roman"/>
              <w:sz w:val="32"/>
            </w:rPr>
          </w:pPr>
          <w:r>
            <w:fldChar w:fldCharType="begin"/>
          </w:r>
          <w:r>
            <w:instrText xml:space="preserve"> HYPERLINK \l "_Toc17333" </w:instrText>
          </w:r>
          <w:r>
            <w:fldChar w:fldCharType="separate"/>
          </w:r>
          <w:r>
            <w:rPr>
              <w:rFonts w:ascii="Times New Roman" w:hAnsi="Times New Roman" w:eastAsia="仿宋" w:cs="Times New Roman"/>
              <w:bCs/>
              <w:sz w:val="32"/>
            </w:rPr>
            <w:t xml:space="preserve">3.5 </w:t>
          </w:r>
          <w:r>
            <w:rPr>
              <w:rFonts w:ascii="Times New Roman" w:hAnsi="Times New Roman" w:cs="Times New Roman"/>
              <w:sz w:val="32"/>
            </w:rPr>
            <w:t>响应准备</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_Toc17333 \h </w:instrText>
          </w:r>
          <w:r>
            <w:rPr>
              <w:rFonts w:ascii="Times New Roman" w:hAnsi="Times New Roman" w:cs="Times New Roman"/>
              <w:sz w:val="32"/>
            </w:rPr>
            <w:fldChar w:fldCharType="separate"/>
          </w:r>
          <w:r>
            <w:rPr>
              <w:rFonts w:ascii="Times New Roman" w:hAnsi="Times New Roman" w:cs="Times New Roman"/>
              <w:sz w:val="32"/>
            </w:rPr>
            <w:t>10</w:t>
          </w:r>
          <w:r>
            <w:rPr>
              <w:rFonts w:ascii="Times New Roman" w:hAnsi="Times New Roman" w:cs="Times New Roman"/>
              <w:sz w:val="32"/>
            </w:rPr>
            <w:fldChar w:fldCharType="end"/>
          </w:r>
          <w:r>
            <w:rPr>
              <w:rFonts w:ascii="Times New Roman" w:hAnsi="Times New Roman" w:cs="Times New Roman"/>
              <w:sz w:val="32"/>
            </w:rPr>
            <w:fldChar w:fldCharType="end"/>
          </w:r>
        </w:p>
        <w:p w14:paraId="2070846A">
          <w:pPr>
            <w:pStyle w:val="19"/>
            <w:tabs>
              <w:tab w:val="right" w:leader="dot" w:pos="8845"/>
            </w:tabs>
            <w:ind w:firstLine="552"/>
            <w:rPr>
              <w:rFonts w:ascii="Times New Roman" w:hAnsi="Times New Roman" w:cs="Times New Roman"/>
              <w:sz w:val="32"/>
            </w:rPr>
          </w:pPr>
          <w:r>
            <w:fldChar w:fldCharType="begin"/>
          </w:r>
          <w:r>
            <w:instrText xml:space="preserve"> HYPERLINK \l "_Toc28547" </w:instrText>
          </w:r>
          <w:r>
            <w:fldChar w:fldCharType="separate"/>
          </w:r>
          <w:r>
            <w:rPr>
              <w:rFonts w:ascii="Times New Roman" w:hAnsi="Times New Roman" w:eastAsia="仿宋" w:cs="Times New Roman"/>
              <w:bCs/>
              <w:sz w:val="32"/>
            </w:rPr>
            <w:t xml:space="preserve">3.6 </w:t>
          </w:r>
          <w:r>
            <w:rPr>
              <w:rFonts w:ascii="Times New Roman" w:hAnsi="Times New Roman" w:cs="Times New Roman"/>
              <w:sz w:val="32"/>
            </w:rPr>
            <w:t>预警级别调整和解除</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_Toc28547 \h </w:instrText>
          </w:r>
          <w:r>
            <w:rPr>
              <w:rFonts w:ascii="Times New Roman" w:hAnsi="Times New Roman" w:cs="Times New Roman"/>
              <w:sz w:val="32"/>
            </w:rPr>
            <w:fldChar w:fldCharType="separate"/>
          </w:r>
          <w:r>
            <w:rPr>
              <w:rFonts w:ascii="Times New Roman" w:hAnsi="Times New Roman" w:cs="Times New Roman"/>
              <w:sz w:val="32"/>
            </w:rPr>
            <w:t>11</w:t>
          </w:r>
          <w:r>
            <w:rPr>
              <w:rFonts w:ascii="Times New Roman" w:hAnsi="Times New Roman" w:cs="Times New Roman"/>
              <w:sz w:val="32"/>
            </w:rPr>
            <w:fldChar w:fldCharType="end"/>
          </w:r>
          <w:r>
            <w:rPr>
              <w:rFonts w:ascii="Times New Roman" w:hAnsi="Times New Roman" w:cs="Times New Roman"/>
              <w:sz w:val="32"/>
            </w:rPr>
            <w:fldChar w:fldCharType="end"/>
          </w:r>
        </w:p>
        <w:p w14:paraId="37870117">
          <w:pPr>
            <w:pStyle w:val="18"/>
            <w:rPr>
              <w:rFonts w:ascii="Times New Roman" w:hAnsi="Times New Roman" w:cs="Times New Roman"/>
              <w:sz w:val="32"/>
            </w:rPr>
          </w:pPr>
          <w:r>
            <w:fldChar w:fldCharType="begin"/>
          </w:r>
          <w:r>
            <w:instrText xml:space="preserve"> HYPERLINK \l "_Toc30360" </w:instrText>
          </w:r>
          <w:r>
            <w:fldChar w:fldCharType="separate"/>
          </w:r>
          <w:r>
            <w:rPr>
              <w:rFonts w:ascii="Times New Roman" w:hAnsi="Times New Roman" w:eastAsia="仿宋" w:cs="Times New Roman"/>
              <w:sz w:val="32"/>
            </w:rPr>
            <w:t xml:space="preserve">4 </w:t>
          </w:r>
          <w:r>
            <w:rPr>
              <w:rFonts w:ascii="Times New Roman" w:hAnsi="Times New Roman" w:cs="Times New Roman"/>
              <w:sz w:val="32"/>
            </w:rPr>
            <w:t>应急响应</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_Toc30360 \h </w:instrText>
          </w:r>
          <w:r>
            <w:rPr>
              <w:rFonts w:ascii="Times New Roman" w:hAnsi="Times New Roman" w:cs="Times New Roman"/>
              <w:sz w:val="32"/>
            </w:rPr>
            <w:fldChar w:fldCharType="separate"/>
          </w:r>
          <w:r>
            <w:rPr>
              <w:rFonts w:ascii="Times New Roman" w:hAnsi="Times New Roman" w:cs="Times New Roman"/>
              <w:sz w:val="32"/>
            </w:rPr>
            <w:t>11</w:t>
          </w:r>
          <w:r>
            <w:rPr>
              <w:rFonts w:ascii="Times New Roman" w:hAnsi="Times New Roman" w:cs="Times New Roman"/>
              <w:sz w:val="32"/>
            </w:rPr>
            <w:fldChar w:fldCharType="end"/>
          </w:r>
          <w:r>
            <w:rPr>
              <w:rFonts w:ascii="Times New Roman" w:hAnsi="Times New Roman" w:cs="Times New Roman"/>
              <w:sz w:val="32"/>
            </w:rPr>
            <w:fldChar w:fldCharType="end"/>
          </w:r>
        </w:p>
        <w:p w14:paraId="7DAEFA18">
          <w:pPr>
            <w:pStyle w:val="19"/>
            <w:tabs>
              <w:tab w:val="right" w:leader="dot" w:pos="8845"/>
            </w:tabs>
            <w:ind w:firstLine="552"/>
            <w:rPr>
              <w:rFonts w:ascii="Times New Roman" w:hAnsi="Times New Roman" w:cs="Times New Roman"/>
              <w:sz w:val="32"/>
            </w:rPr>
          </w:pPr>
          <w:r>
            <w:fldChar w:fldCharType="begin"/>
          </w:r>
          <w:r>
            <w:instrText xml:space="preserve"> HYPERLINK \l "_Toc21518" </w:instrText>
          </w:r>
          <w:r>
            <w:fldChar w:fldCharType="separate"/>
          </w:r>
          <w:r>
            <w:rPr>
              <w:rFonts w:ascii="Times New Roman" w:hAnsi="Times New Roman" w:eastAsia="仿宋" w:cs="Times New Roman"/>
              <w:bCs/>
              <w:sz w:val="32"/>
            </w:rPr>
            <w:t xml:space="preserve">4.1 </w:t>
          </w:r>
          <w:r>
            <w:rPr>
              <w:rFonts w:ascii="Times New Roman" w:hAnsi="Times New Roman" w:cs="Times New Roman"/>
              <w:sz w:val="32"/>
            </w:rPr>
            <w:t>响应分级</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_Toc21518 \h </w:instrText>
          </w:r>
          <w:r>
            <w:rPr>
              <w:rFonts w:ascii="Times New Roman" w:hAnsi="Times New Roman" w:cs="Times New Roman"/>
              <w:sz w:val="32"/>
            </w:rPr>
            <w:fldChar w:fldCharType="separate"/>
          </w:r>
          <w:r>
            <w:rPr>
              <w:rFonts w:ascii="Times New Roman" w:hAnsi="Times New Roman" w:cs="Times New Roman"/>
              <w:sz w:val="32"/>
            </w:rPr>
            <w:t>11</w:t>
          </w:r>
          <w:r>
            <w:rPr>
              <w:rFonts w:ascii="Times New Roman" w:hAnsi="Times New Roman" w:cs="Times New Roman"/>
              <w:sz w:val="32"/>
            </w:rPr>
            <w:fldChar w:fldCharType="end"/>
          </w:r>
          <w:r>
            <w:rPr>
              <w:rFonts w:ascii="Times New Roman" w:hAnsi="Times New Roman" w:cs="Times New Roman"/>
              <w:sz w:val="32"/>
            </w:rPr>
            <w:fldChar w:fldCharType="end"/>
          </w:r>
        </w:p>
        <w:p w14:paraId="0F2DA7EE">
          <w:pPr>
            <w:pStyle w:val="19"/>
            <w:tabs>
              <w:tab w:val="right" w:leader="dot" w:pos="8845"/>
            </w:tabs>
            <w:ind w:firstLine="552"/>
            <w:rPr>
              <w:rFonts w:ascii="Times New Roman" w:hAnsi="Times New Roman" w:cs="Times New Roman"/>
              <w:sz w:val="32"/>
            </w:rPr>
          </w:pPr>
          <w:r>
            <w:fldChar w:fldCharType="begin"/>
          </w:r>
          <w:r>
            <w:instrText xml:space="preserve"> HYPERLINK \l "_Toc27905" </w:instrText>
          </w:r>
          <w:r>
            <w:fldChar w:fldCharType="separate"/>
          </w:r>
          <w:r>
            <w:rPr>
              <w:rFonts w:ascii="Times New Roman" w:hAnsi="Times New Roman" w:eastAsia="仿宋" w:cs="Times New Roman"/>
              <w:bCs/>
              <w:sz w:val="32"/>
            </w:rPr>
            <w:t xml:space="preserve">4.2 </w:t>
          </w:r>
          <w:r>
            <w:rPr>
              <w:rFonts w:ascii="Times New Roman" w:hAnsi="Times New Roman" w:cs="Times New Roman"/>
              <w:sz w:val="32"/>
            </w:rPr>
            <w:t>信息报告</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_Toc27905 \h </w:instrText>
          </w:r>
          <w:r>
            <w:rPr>
              <w:rFonts w:ascii="Times New Roman" w:hAnsi="Times New Roman" w:cs="Times New Roman"/>
              <w:sz w:val="32"/>
            </w:rPr>
            <w:fldChar w:fldCharType="separate"/>
          </w:r>
          <w:r>
            <w:rPr>
              <w:rFonts w:ascii="Times New Roman" w:hAnsi="Times New Roman" w:cs="Times New Roman"/>
              <w:sz w:val="32"/>
            </w:rPr>
            <w:t>13</w:t>
          </w:r>
          <w:r>
            <w:rPr>
              <w:rFonts w:ascii="Times New Roman" w:hAnsi="Times New Roman" w:cs="Times New Roman"/>
              <w:sz w:val="32"/>
            </w:rPr>
            <w:fldChar w:fldCharType="end"/>
          </w:r>
          <w:r>
            <w:rPr>
              <w:rFonts w:ascii="Times New Roman" w:hAnsi="Times New Roman" w:cs="Times New Roman"/>
              <w:sz w:val="32"/>
            </w:rPr>
            <w:fldChar w:fldCharType="end"/>
          </w:r>
        </w:p>
        <w:p w14:paraId="6D6707CE">
          <w:pPr>
            <w:pStyle w:val="19"/>
            <w:tabs>
              <w:tab w:val="right" w:leader="dot" w:pos="8845"/>
            </w:tabs>
            <w:ind w:firstLine="552"/>
            <w:rPr>
              <w:rFonts w:ascii="Times New Roman" w:hAnsi="Times New Roman" w:cs="Times New Roman"/>
              <w:sz w:val="32"/>
            </w:rPr>
          </w:pPr>
          <w:r>
            <w:fldChar w:fldCharType="begin"/>
          </w:r>
          <w:r>
            <w:instrText xml:space="preserve"> HYPERLINK \l "_Toc12760" </w:instrText>
          </w:r>
          <w:r>
            <w:fldChar w:fldCharType="separate"/>
          </w:r>
          <w:r>
            <w:rPr>
              <w:rFonts w:ascii="Times New Roman" w:hAnsi="Times New Roman" w:eastAsia="仿宋" w:cs="Times New Roman"/>
              <w:bCs/>
              <w:sz w:val="32"/>
            </w:rPr>
            <w:t xml:space="preserve">4.3 </w:t>
          </w:r>
          <w:r>
            <w:rPr>
              <w:rFonts w:ascii="Times New Roman" w:hAnsi="Times New Roman" w:cs="Times New Roman"/>
              <w:sz w:val="32"/>
            </w:rPr>
            <w:t>应急处置</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_Toc12760 \h </w:instrText>
          </w:r>
          <w:r>
            <w:rPr>
              <w:rFonts w:ascii="Times New Roman" w:hAnsi="Times New Roman" w:cs="Times New Roman"/>
              <w:sz w:val="32"/>
            </w:rPr>
            <w:fldChar w:fldCharType="separate"/>
          </w:r>
          <w:r>
            <w:rPr>
              <w:rFonts w:ascii="Times New Roman" w:hAnsi="Times New Roman" w:cs="Times New Roman"/>
              <w:sz w:val="32"/>
            </w:rPr>
            <w:t>16</w:t>
          </w:r>
          <w:r>
            <w:rPr>
              <w:rFonts w:ascii="Times New Roman" w:hAnsi="Times New Roman" w:cs="Times New Roman"/>
              <w:sz w:val="32"/>
            </w:rPr>
            <w:fldChar w:fldCharType="end"/>
          </w:r>
          <w:r>
            <w:rPr>
              <w:rFonts w:ascii="Times New Roman" w:hAnsi="Times New Roman" w:cs="Times New Roman"/>
              <w:sz w:val="32"/>
            </w:rPr>
            <w:fldChar w:fldCharType="end"/>
          </w:r>
        </w:p>
        <w:p w14:paraId="32E0841D">
          <w:pPr>
            <w:pStyle w:val="19"/>
            <w:tabs>
              <w:tab w:val="right" w:leader="dot" w:pos="8845"/>
            </w:tabs>
            <w:ind w:firstLine="552"/>
            <w:rPr>
              <w:rFonts w:ascii="Times New Roman" w:hAnsi="Times New Roman" w:cs="Times New Roman"/>
              <w:sz w:val="32"/>
            </w:rPr>
          </w:pPr>
          <w:r>
            <w:fldChar w:fldCharType="begin"/>
          </w:r>
          <w:r>
            <w:instrText xml:space="preserve"> HYPERLINK \l "_Toc2351" </w:instrText>
          </w:r>
          <w:r>
            <w:fldChar w:fldCharType="separate"/>
          </w:r>
          <w:r>
            <w:rPr>
              <w:rFonts w:ascii="Times New Roman" w:hAnsi="Times New Roman" w:eastAsia="仿宋" w:cs="Times New Roman"/>
              <w:bCs/>
              <w:sz w:val="32"/>
            </w:rPr>
            <w:t xml:space="preserve">4.4 </w:t>
          </w:r>
          <w:r>
            <w:rPr>
              <w:rFonts w:ascii="Times New Roman" w:hAnsi="Times New Roman" w:cs="Times New Roman"/>
              <w:sz w:val="32"/>
            </w:rPr>
            <w:t>应急终止</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_Toc2351 \h </w:instrText>
          </w:r>
          <w:r>
            <w:rPr>
              <w:rFonts w:ascii="Times New Roman" w:hAnsi="Times New Roman" w:cs="Times New Roman"/>
              <w:sz w:val="32"/>
            </w:rPr>
            <w:fldChar w:fldCharType="separate"/>
          </w:r>
          <w:r>
            <w:rPr>
              <w:rFonts w:ascii="Times New Roman" w:hAnsi="Times New Roman" w:cs="Times New Roman"/>
              <w:sz w:val="32"/>
            </w:rPr>
            <w:t>20</w:t>
          </w:r>
          <w:r>
            <w:rPr>
              <w:rFonts w:ascii="Times New Roman" w:hAnsi="Times New Roman" w:cs="Times New Roman"/>
              <w:sz w:val="32"/>
            </w:rPr>
            <w:fldChar w:fldCharType="end"/>
          </w:r>
          <w:r>
            <w:rPr>
              <w:rFonts w:ascii="Times New Roman" w:hAnsi="Times New Roman" w:cs="Times New Roman"/>
              <w:sz w:val="32"/>
            </w:rPr>
            <w:fldChar w:fldCharType="end"/>
          </w:r>
        </w:p>
        <w:p w14:paraId="655B19F4">
          <w:pPr>
            <w:pStyle w:val="18"/>
            <w:rPr>
              <w:rFonts w:ascii="Times New Roman" w:hAnsi="Times New Roman" w:cs="Times New Roman"/>
              <w:sz w:val="32"/>
            </w:rPr>
          </w:pPr>
          <w:r>
            <w:fldChar w:fldCharType="begin"/>
          </w:r>
          <w:r>
            <w:instrText xml:space="preserve"> HYPERLINK \l "_Toc21183" </w:instrText>
          </w:r>
          <w:r>
            <w:fldChar w:fldCharType="separate"/>
          </w:r>
          <w:r>
            <w:rPr>
              <w:rFonts w:ascii="Times New Roman" w:hAnsi="Times New Roman" w:eastAsia="仿宋" w:cs="Times New Roman"/>
              <w:sz w:val="32"/>
            </w:rPr>
            <w:t xml:space="preserve">5 </w:t>
          </w:r>
          <w:r>
            <w:rPr>
              <w:rFonts w:ascii="Times New Roman" w:hAnsi="Times New Roman" w:cs="Times New Roman"/>
              <w:sz w:val="32"/>
            </w:rPr>
            <w:t>后期处置</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_Toc21183 \h </w:instrText>
          </w:r>
          <w:r>
            <w:rPr>
              <w:rFonts w:ascii="Times New Roman" w:hAnsi="Times New Roman" w:cs="Times New Roman"/>
              <w:sz w:val="32"/>
            </w:rPr>
            <w:fldChar w:fldCharType="separate"/>
          </w:r>
          <w:r>
            <w:rPr>
              <w:rFonts w:ascii="Times New Roman" w:hAnsi="Times New Roman" w:cs="Times New Roman"/>
              <w:sz w:val="32"/>
            </w:rPr>
            <w:t>21</w:t>
          </w:r>
          <w:r>
            <w:rPr>
              <w:rFonts w:ascii="Times New Roman" w:hAnsi="Times New Roman" w:cs="Times New Roman"/>
              <w:sz w:val="32"/>
            </w:rPr>
            <w:fldChar w:fldCharType="end"/>
          </w:r>
          <w:r>
            <w:rPr>
              <w:rFonts w:ascii="Times New Roman" w:hAnsi="Times New Roman" w:cs="Times New Roman"/>
              <w:sz w:val="32"/>
            </w:rPr>
            <w:fldChar w:fldCharType="end"/>
          </w:r>
        </w:p>
        <w:p w14:paraId="4A92F7A4">
          <w:pPr>
            <w:pStyle w:val="19"/>
            <w:tabs>
              <w:tab w:val="right" w:leader="dot" w:pos="8845"/>
            </w:tabs>
            <w:ind w:firstLine="552"/>
            <w:rPr>
              <w:rFonts w:ascii="Times New Roman" w:hAnsi="Times New Roman" w:cs="Times New Roman"/>
              <w:sz w:val="32"/>
            </w:rPr>
          </w:pPr>
          <w:r>
            <w:fldChar w:fldCharType="begin"/>
          </w:r>
          <w:r>
            <w:instrText xml:space="preserve"> HYPERLINK \l "_Toc962" </w:instrText>
          </w:r>
          <w:r>
            <w:fldChar w:fldCharType="separate"/>
          </w:r>
          <w:r>
            <w:rPr>
              <w:rFonts w:ascii="Times New Roman" w:hAnsi="Times New Roman" w:eastAsia="仿宋" w:cs="Times New Roman"/>
              <w:bCs/>
              <w:sz w:val="32"/>
            </w:rPr>
            <w:t xml:space="preserve">5.1 </w:t>
          </w:r>
          <w:r>
            <w:rPr>
              <w:rFonts w:ascii="Times New Roman" w:hAnsi="Times New Roman" w:cs="Times New Roman"/>
              <w:sz w:val="32"/>
            </w:rPr>
            <w:t>善后处置</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_Toc962 \h </w:instrText>
          </w:r>
          <w:r>
            <w:rPr>
              <w:rFonts w:ascii="Times New Roman" w:hAnsi="Times New Roman" w:cs="Times New Roman"/>
              <w:sz w:val="32"/>
            </w:rPr>
            <w:fldChar w:fldCharType="separate"/>
          </w:r>
          <w:r>
            <w:rPr>
              <w:rFonts w:ascii="Times New Roman" w:hAnsi="Times New Roman" w:cs="Times New Roman"/>
              <w:sz w:val="32"/>
            </w:rPr>
            <w:t>21</w:t>
          </w:r>
          <w:r>
            <w:rPr>
              <w:rFonts w:ascii="Times New Roman" w:hAnsi="Times New Roman" w:cs="Times New Roman"/>
              <w:sz w:val="32"/>
            </w:rPr>
            <w:fldChar w:fldCharType="end"/>
          </w:r>
          <w:r>
            <w:rPr>
              <w:rFonts w:ascii="Times New Roman" w:hAnsi="Times New Roman" w:cs="Times New Roman"/>
              <w:sz w:val="32"/>
            </w:rPr>
            <w:fldChar w:fldCharType="end"/>
          </w:r>
        </w:p>
        <w:p w14:paraId="36B001D3">
          <w:pPr>
            <w:pStyle w:val="19"/>
            <w:tabs>
              <w:tab w:val="right" w:leader="dot" w:pos="8845"/>
            </w:tabs>
            <w:ind w:firstLine="552"/>
            <w:rPr>
              <w:rFonts w:ascii="Times New Roman" w:hAnsi="Times New Roman" w:cs="Times New Roman"/>
              <w:sz w:val="32"/>
            </w:rPr>
          </w:pPr>
          <w:r>
            <w:fldChar w:fldCharType="begin"/>
          </w:r>
          <w:r>
            <w:instrText xml:space="preserve"> HYPERLINK \l "_Toc4689" </w:instrText>
          </w:r>
          <w:r>
            <w:fldChar w:fldCharType="separate"/>
          </w:r>
          <w:r>
            <w:rPr>
              <w:rFonts w:ascii="Times New Roman" w:hAnsi="Times New Roman" w:eastAsia="仿宋" w:cs="Times New Roman"/>
              <w:bCs/>
              <w:sz w:val="32"/>
            </w:rPr>
            <w:t xml:space="preserve">5.2 </w:t>
          </w:r>
          <w:r>
            <w:rPr>
              <w:rFonts w:ascii="Times New Roman" w:hAnsi="Times New Roman" w:cs="Times New Roman"/>
              <w:sz w:val="32"/>
            </w:rPr>
            <w:t>调查评估</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_Toc4689 \h </w:instrText>
          </w:r>
          <w:r>
            <w:rPr>
              <w:rFonts w:ascii="Times New Roman" w:hAnsi="Times New Roman" w:cs="Times New Roman"/>
              <w:sz w:val="32"/>
            </w:rPr>
            <w:fldChar w:fldCharType="separate"/>
          </w:r>
          <w:r>
            <w:rPr>
              <w:rFonts w:ascii="Times New Roman" w:hAnsi="Times New Roman" w:cs="Times New Roman"/>
              <w:sz w:val="32"/>
            </w:rPr>
            <w:t>21</w:t>
          </w:r>
          <w:r>
            <w:rPr>
              <w:rFonts w:ascii="Times New Roman" w:hAnsi="Times New Roman" w:cs="Times New Roman"/>
              <w:sz w:val="32"/>
            </w:rPr>
            <w:fldChar w:fldCharType="end"/>
          </w:r>
          <w:r>
            <w:rPr>
              <w:rFonts w:ascii="Times New Roman" w:hAnsi="Times New Roman" w:cs="Times New Roman"/>
              <w:sz w:val="32"/>
            </w:rPr>
            <w:fldChar w:fldCharType="end"/>
          </w:r>
        </w:p>
        <w:p w14:paraId="19EB4BE6">
          <w:pPr>
            <w:pStyle w:val="18"/>
            <w:rPr>
              <w:rFonts w:ascii="Times New Roman" w:hAnsi="Times New Roman" w:cs="Times New Roman"/>
              <w:sz w:val="32"/>
            </w:rPr>
          </w:pPr>
          <w:r>
            <w:fldChar w:fldCharType="begin"/>
          </w:r>
          <w:r>
            <w:instrText xml:space="preserve"> HYPERLINK \l "_Toc25038" </w:instrText>
          </w:r>
          <w:r>
            <w:fldChar w:fldCharType="separate"/>
          </w:r>
          <w:r>
            <w:rPr>
              <w:rFonts w:ascii="Times New Roman" w:hAnsi="Times New Roman" w:eastAsia="仿宋" w:cs="Times New Roman"/>
              <w:sz w:val="32"/>
            </w:rPr>
            <w:t xml:space="preserve">6 </w:t>
          </w:r>
          <w:r>
            <w:rPr>
              <w:rFonts w:ascii="Times New Roman" w:hAnsi="Times New Roman" w:cs="Times New Roman"/>
              <w:sz w:val="32"/>
            </w:rPr>
            <w:t>应急保障</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_Toc25038 \h </w:instrText>
          </w:r>
          <w:r>
            <w:rPr>
              <w:rFonts w:ascii="Times New Roman" w:hAnsi="Times New Roman" w:cs="Times New Roman"/>
              <w:sz w:val="32"/>
            </w:rPr>
            <w:fldChar w:fldCharType="separate"/>
          </w:r>
          <w:r>
            <w:rPr>
              <w:rFonts w:ascii="Times New Roman" w:hAnsi="Times New Roman" w:cs="Times New Roman"/>
              <w:sz w:val="32"/>
            </w:rPr>
            <w:t>22</w:t>
          </w:r>
          <w:r>
            <w:rPr>
              <w:rFonts w:ascii="Times New Roman" w:hAnsi="Times New Roman" w:cs="Times New Roman"/>
              <w:sz w:val="32"/>
            </w:rPr>
            <w:fldChar w:fldCharType="end"/>
          </w:r>
          <w:r>
            <w:rPr>
              <w:rFonts w:ascii="Times New Roman" w:hAnsi="Times New Roman" w:cs="Times New Roman"/>
              <w:sz w:val="32"/>
            </w:rPr>
            <w:fldChar w:fldCharType="end"/>
          </w:r>
        </w:p>
        <w:p w14:paraId="03CBEA4C">
          <w:pPr>
            <w:pStyle w:val="19"/>
            <w:tabs>
              <w:tab w:val="right" w:leader="dot" w:pos="8845"/>
            </w:tabs>
            <w:ind w:firstLine="552"/>
            <w:rPr>
              <w:rFonts w:ascii="Times New Roman" w:hAnsi="Times New Roman" w:cs="Times New Roman"/>
              <w:sz w:val="32"/>
            </w:rPr>
          </w:pPr>
          <w:r>
            <w:fldChar w:fldCharType="begin"/>
          </w:r>
          <w:r>
            <w:instrText xml:space="preserve"> HYPERLINK \l "_Toc8714" </w:instrText>
          </w:r>
          <w:r>
            <w:fldChar w:fldCharType="separate"/>
          </w:r>
          <w:r>
            <w:rPr>
              <w:rFonts w:ascii="Times New Roman" w:hAnsi="Times New Roman" w:eastAsia="仿宋" w:cs="Times New Roman"/>
              <w:bCs/>
              <w:sz w:val="32"/>
            </w:rPr>
            <w:t xml:space="preserve">6.1 </w:t>
          </w:r>
          <w:r>
            <w:rPr>
              <w:rFonts w:ascii="Times New Roman" w:hAnsi="Times New Roman" w:cs="Times New Roman"/>
              <w:sz w:val="32"/>
            </w:rPr>
            <w:t>通信信息保障</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_Toc8714 \h </w:instrText>
          </w:r>
          <w:r>
            <w:rPr>
              <w:rFonts w:ascii="Times New Roman" w:hAnsi="Times New Roman" w:cs="Times New Roman"/>
              <w:sz w:val="32"/>
            </w:rPr>
            <w:fldChar w:fldCharType="separate"/>
          </w:r>
          <w:r>
            <w:rPr>
              <w:rFonts w:ascii="Times New Roman" w:hAnsi="Times New Roman" w:cs="Times New Roman"/>
              <w:sz w:val="32"/>
            </w:rPr>
            <w:t>22</w:t>
          </w:r>
          <w:r>
            <w:rPr>
              <w:rFonts w:ascii="Times New Roman" w:hAnsi="Times New Roman" w:cs="Times New Roman"/>
              <w:sz w:val="32"/>
            </w:rPr>
            <w:fldChar w:fldCharType="end"/>
          </w:r>
          <w:r>
            <w:rPr>
              <w:rFonts w:ascii="Times New Roman" w:hAnsi="Times New Roman" w:cs="Times New Roman"/>
              <w:sz w:val="32"/>
            </w:rPr>
            <w:fldChar w:fldCharType="end"/>
          </w:r>
        </w:p>
        <w:p w14:paraId="5DB8ECCD">
          <w:pPr>
            <w:pStyle w:val="19"/>
            <w:tabs>
              <w:tab w:val="right" w:leader="dot" w:pos="8845"/>
            </w:tabs>
            <w:ind w:firstLine="552"/>
            <w:rPr>
              <w:rFonts w:ascii="Times New Roman" w:hAnsi="Times New Roman" w:cs="Times New Roman"/>
              <w:sz w:val="32"/>
            </w:rPr>
          </w:pPr>
          <w:r>
            <w:fldChar w:fldCharType="begin"/>
          </w:r>
          <w:r>
            <w:instrText xml:space="preserve"> HYPERLINK \l "_Toc13490" </w:instrText>
          </w:r>
          <w:r>
            <w:fldChar w:fldCharType="separate"/>
          </w:r>
          <w:r>
            <w:rPr>
              <w:rFonts w:ascii="Times New Roman" w:hAnsi="Times New Roman" w:eastAsia="仿宋" w:cs="Times New Roman"/>
              <w:bCs/>
              <w:sz w:val="32"/>
            </w:rPr>
            <w:t xml:space="preserve">6.2 </w:t>
          </w:r>
          <w:r>
            <w:rPr>
              <w:rFonts w:ascii="Times New Roman" w:hAnsi="Times New Roman" w:cs="Times New Roman"/>
              <w:sz w:val="32"/>
            </w:rPr>
            <w:t>交通运输保障</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_Toc13490 \h </w:instrText>
          </w:r>
          <w:r>
            <w:rPr>
              <w:rFonts w:ascii="Times New Roman" w:hAnsi="Times New Roman" w:cs="Times New Roman"/>
              <w:sz w:val="32"/>
            </w:rPr>
            <w:fldChar w:fldCharType="separate"/>
          </w:r>
          <w:r>
            <w:rPr>
              <w:rFonts w:ascii="Times New Roman" w:hAnsi="Times New Roman" w:cs="Times New Roman"/>
              <w:sz w:val="32"/>
            </w:rPr>
            <w:t>22</w:t>
          </w:r>
          <w:r>
            <w:rPr>
              <w:rFonts w:ascii="Times New Roman" w:hAnsi="Times New Roman" w:cs="Times New Roman"/>
              <w:sz w:val="32"/>
            </w:rPr>
            <w:fldChar w:fldCharType="end"/>
          </w:r>
          <w:r>
            <w:rPr>
              <w:rFonts w:ascii="Times New Roman" w:hAnsi="Times New Roman" w:cs="Times New Roman"/>
              <w:sz w:val="32"/>
            </w:rPr>
            <w:fldChar w:fldCharType="end"/>
          </w:r>
        </w:p>
        <w:p w14:paraId="51558E20">
          <w:pPr>
            <w:pStyle w:val="19"/>
            <w:tabs>
              <w:tab w:val="right" w:leader="dot" w:pos="8845"/>
            </w:tabs>
            <w:ind w:firstLine="552"/>
            <w:rPr>
              <w:rFonts w:ascii="Times New Roman" w:hAnsi="Times New Roman" w:cs="Times New Roman"/>
              <w:sz w:val="32"/>
            </w:rPr>
          </w:pPr>
          <w:r>
            <w:fldChar w:fldCharType="begin"/>
          </w:r>
          <w:r>
            <w:instrText xml:space="preserve"> HYPERLINK \l "_Toc9298" </w:instrText>
          </w:r>
          <w:r>
            <w:fldChar w:fldCharType="separate"/>
          </w:r>
          <w:r>
            <w:rPr>
              <w:rFonts w:ascii="Times New Roman" w:hAnsi="Times New Roman" w:eastAsia="仿宋" w:cs="Times New Roman"/>
              <w:bCs/>
              <w:sz w:val="32"/>
            </w:rPr>
            <w:t xml:space="preserve">6.3 </w:t>
          </w:r>
          <w:r>
            <w:rPr>
              <w:rFonts w:ascii="Times New Roman" w:hAnsi="Times New Roman" w:cs="Times New Roman"/>
              <w:sz w:val="32"/>
            </w:rPr>
            <w:t>医疗卫生保障</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_Toc9298 \h </w:instrText>
          </w:r>
          <w:r>
            <w:rPr>
              <w:rFonts w:ascii="Times New Roman" w:hAnsi="Times New Roman" w:cs="Times New Roman"/>
              <w:sz w:val="32"/>
            </w:rPr>
            <w:fldChar w:fldCharType="separate"/>
          </w:r>
          <w:r>
            <w:rPr>
              <w:rFonts w:ascii="Times New Roman" w:hAnsi="Times New Roman" w:cs="Times New Roman"/>
              <w:sz w:val="32"/>
            </w:rPr>
            <w:t>22</w:t>
          </w:r>
          <w:r>
            <w:rPr>
              <w:rFonts w:ascii="Times New Roman" w:hAnsi="Times New Roman" w:cs="Times New Roman"/>
              <w:sz w:val="32"/>
            </w:rPr>
            <w:fldChar w:fldCharType="end"/>
          </w:r>
          <w:r>
            <w:rPr>
              <w:rFonts w:ascii="Times New Roman" w:hAnsi="Times New Roman" w:cs="Times New Roman"/>
              <w:sz w:val="32"/>
            </w:rPr>
            <w:fldChar w:fldCharType="end"/>
          </w:r>
        </w:p>
        <w:p w14:paraId="378273EF">
          <w:pPr>
            <w:pStyle w:val="19"/>
            <w:tabs>
              <w:tab w:val="right" w:leader="dot" w:pos="8845"/>
            </w:tabs>
            <w:ind w:firstLine="552"/>
            <w:rPr>
              <w:rFonts w:ascii="Times New Roman" w:hAnsi="Times New Roman" w:cs="Times New Roman"/>
              <w:sz w:val="32"/>
            </w:rPr>
          </w:pPr>
          <w:r>
            <w:fldChar w:fldCharType="begin"/>
          </w:r>
          <w:r>
            <w:instrText xml:space="preserve"> HYPERLINK \l "_Toc14741" </w:instrText>
          </w:r>
          <w:r>
            <w:fldChar w:fldCharType="separate"/>
          </w:r>
          <w:r>
            <w:rPr>
              <w:rFonts w:ascii="Times New Roman" w:hAnsi="Times New Roman" w:eastAsia="仿宋" w:cs="Times New Roman"/>
              <w:bCs/>
              <w:sz w:val="32"/>
            </w:rPr>
            <w:t xml:space="preserve">6.4 </w:t>
          </w:r>
          <w:r>
            <w:rPr>
              <w:rFonts w:ascii="Times New Roman" w:hAnsi="Times New Roman" w:cs="Times New Roman"/>
              <w:sz w:val="32"/>
            </w:rPr>
            <w:t>物资经费保障</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_Toc14741 \h </w:instrText>
          </w:r>
          <w:r>
            <w:rPr>
              <w:rFonts w:ascii="Times New Roman" w:hAnsi="Times New Roman" w:cs="Times New Roman"/>
              <w:sz w:val="32"/>
            </w:rPr>
            <w:fldChar w:fldCharType="separate"/>
          </w:r>
          <w:r>
            <w:rPr>
              <w:rFonts w:ascii="Times New Roman" w:hAnsi="Times New Roman" w:cs="Times New Roman"/>
              <w:sz w:val="32"/>
            </w:rPr>
            <w:t>23</w:t>
          </w:r>
          <w:r>
            <w:rPr>
              <w:rFonts w:ascii="Times New Roman" w:hAnsi="Times New Roman" w:cs="Times New Roman"/>
              <w:sz w:val="32"/>
            </w:rPr>
            <w:fldChar w:fldCharType="end"/>
          </w:r>
          <w:r>
            <w:rPr>
              <w:rFonts w:ascii="Times New Roman" w:hAnsi="Times New Roman" w:cs="Times New Roman"/>
              <w:sz w:val="32"/>
            </w:rPr>
            <w:fldChar w:fldCharType="end"/>
          </w:r>
        </w:p>
        <w:p w14:paraId="01213F3B">
          <w:pPr>
            <w:pStyle w:val="19"/>
            <w:tabs>
              <w:tab w:val="right" w:leader="dot" w:pos="8845"/>
            </w:tabs>
            <w:ind w:firstLine="552"/>
            <w:rPr>
              <w:rFonts w:ascii="Times New Roman" w:hAnsi="Times New Roman" w:cs="Times New Roman"/>
              <w:sz w:val="32"/>
            </w:rPr>
          </w:pPr>
          <w:r>
            <w:fldChar w:fldCharType="begin"/>
          </w:r>
          <w:r>
            <w:instrText xml:space="preserve"> HYPERLINK \l "_Toc31894" </w:instrText>
          </w:r>
          <w:r>
            <w:fldChar w:fldCharType="separate"/>
          </w:r>
          <w:r>
            <w:rPr>
              <w:rFonts w:ascii="Times New Roman" w:hAnsi="Times New Roman" w:eastAsia="仿宋" w:cs="Times New Roman"/>
              <w:bCs/>
              <w:sz w:val="32"/>
            </w:rPr>
            <w:t xml:space="preserve">6.5 </w:t>
          </w:r>
          <w:r>
            <w:rPr>
              <w:rFonts w:ascii="Times New Roman" w:hAnsi="Times New Roman" w:cs="Times New Roman"/>
              <w:sz w:val="32"/>
            </w:rPr>
            <w:t>技术保障</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_Toc31894 \h </w:instrText>
          </w:r>
          <w:r>
            <w:rPr>
              <w:rFonts w:ascii="Times New Roman" w:hAnsi="Times New Roman" w:cs="Times New Roman"/>
              <w:sz w:val="32"/>
            </w:rPr>
            <w:fldChar w:fldCharType="separate"/>
          </w:r>
          <w:r>
            <w:rPr>
              <w:rFonts w:ascii="Times New Roman" w:hAnsi="Times New Roman" w:cs="Times New Roman"/>
              <w:sz w:val="32"/>
            </w:rPr>
            <w:t>23</w:t>
          </w:r>
          <w:r>
            <w:rPr>
              <w:rFonts w:ascii="Times New Roman" w:hAnsi="Times New Roman" w:cs="Times New Roman"/>
              <w:sz w:val="32"/>
            </w:rPr>
            <w:fldChar w:fldCharType="end"/>
          </w:r>
          <w:r>
            <w:rPr>
              <w:rFonts w:ascii="Times New Roman" w:hAnsi="Times New Roman" w:cs="Times New Roman"/>
              <w:sz w:val="32"/>
            </w:rPr>
            <w:fldChar w:fldCharType="end"/>
          </w:r>
        </w:p>
        <w:p w14:paraId="31833CEE">
          <w:pPr>
            <w:pStyle w:val="19"/>
            <w:tabs>
              <w:tab w:val="right" w:leader="dot" w:pos="8845"/>
            </w:tabs>
            <w:ind w:firstLine="552"/>
            <w:rPr>
              <w:rFonts w:ascii="Times New Roman" w:hAnsi="Times New Roman" w:cs="Times New Roman"/>
              <w:sz w:val="32"/>
            </w:rPr>
          </w:pPr>
          <w:r>
            <w:fldChar w:fldCharType="begin"/>
          </w:r>
          <w:r>
            <w:instrText xml:space="preserve"> HYPERLINK \l "_Toc23974" </w:instrText>
          </w:r>
          <w:r>
            <w:fldChar w:fldCharType="separate"/>
          </w:r>
          <w:r>
            <w:rPr>
              <w:rFonts w:ascii="Times New Roman" w:hAnsi="Times New Roman" w:eastAsia="仿宋" w:cs="Times New Roman"/>
              <w:bCs/>
              <w:sz w:val="32"/>
            </w:rPr>
            <w:t xml:space="preserve">6.6 </w:t>
          </w:r>
          <w:r>
            <w:rPr>
              <w:rFonts w:ascii="Times New Roman" w:hAnsi="Times New Roman" w:cs="Times New Roman"/>
              <w:sz w:val="32"/>
            </w:rPr>
            <w:t>宣传保障</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_Toc23974 \h </w:instrText>
          </w:r>
          <w:r>
            <w:rPr>
              <w:rFonts w:ascii="Times New Roman" w:hAnsi="Times New Roman" w:cs="Times New Roman"/>
              <w:sz w:val="32"/>
            </w:rPr>
            <w:fldChar w:fldCharType="separate"/>
          </w:r>
          <w:r>
            <w:rPr>
              <w:rFonts w:ascii="Times New Roman" w:hAnsi="Times New Roman" w:cs="Times New Roman"/>
              <w:sz w:val="32"/>
            </w:rPr>
            <w:t>23</w:t>
          </w:r>
          <w:r>
            <w:rPr>
              <w:rFonts w:ascii="Times New Roman" w:hAnsi="Times New Roman" w:cs="Times New Roman"/>
              <w:sz w:val="32"/>
            </w:rPr>
            <w:fldChar w:fldCharType="end"/>
          </w:r>
          <w:r>
            <w:rPr>
              <w:rFonts w:ascii="Times New Roman" w:hAnsi="Times New Roman" w:cs="Times New Roman"/>
              <w:sz w:val="32"/>
            </w:rPr>
            <w:fldChar w:fldCharType="end"/>
          </w:r>
        </w:p>
        <w:p w14:paraId="5A1FF894">
          <w:pPr>
            <w:pStyle w:val="18"/>
            <w:rPr>
              <w:rFonts w:ascii="Times New Roman" w:hAnsi="Times New Roman" w:cs="Times New Roman"/>
              <w:sz w:val="32"/>
            </w:rPr>
          </w:pPr>
          <w:r>
            <w:fldChar w:fldCharType="begin"/>
          </w:r>
          <w:r>
            <w:instrText xml:space="preserve"> HYPERLINK \l "_Toc25838" </w:instrText>
          </w:r>
          <w:r>
            <w:fldChar w:fldCharType="separate"/>
          </w:r>
          <w:r>
            <w:rPr>
              <w:rFonts w:ascii="Times New Roman" w:hAnsi="Times New Roman" w:eastAsia="仿宋" w:cs="Times New Roman"/>
              <w:sz w:val="32"/>
            </w:rPr>
            <w:t xml:space="preserve">7 </w:t>
          </w:r>
          <w:r>
            <w:rPr>
              <w:rFonts w:ascii="Times New Roman" w:hAnsi="Times New Roman" w:cs="Times New Roman"/>
              <w:sz w:val="32"/>
            </w:rPr>
            <w:t>培训和演练</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_Toc25838 \h </w:instrText>
          </w:r>
          <w:r>
            <w:rPr>
              <w:rFonts w:ascii="Times New Roman" w:hAnsi="Times New Roman" w:cs="Times New Roman"/>
              <w:sz w:val="32"/>
            </w:rPr>
            <w:fldChar w:fldCharType="separate"/>
          </w:r>
          <w:r>
            <w:rPr>
              <w:rFonts w:ascii="Times New Roman" w:hAnsi="Times New Roman" w:cs="Times New Roman"/>
              <w:sz w:val="32"/>
            </w:rPr>
            <w:t>24</w:t>
          </w:r>
          <w:r>
            <w:rPr>
              <w:rFonts w:ascii="Times New Roman" w:hAnsi="Times New Roman" w:cs="Times New Roman"/>
              <w:sz w:val="32"/>
            </w:rPr>
            <w:fldChar w:fldCharType="end"/>
          </w:r>
          <w:r>
            <w:rPr>
              <w:rFonts w:ascii="Times New Roman" w:hAnsi="Times New Roman" w:cs="Times New Roman"/>
              <w:sz w:val="32"/>
            </w:rPr>
            <w:fldChar w:fldCharType="end"/>
          </w:r>
        </w:p>
        <w:p w14:paraId="558A9937">
          <w:pPr>
            <w:pStyle w:val="19"/>
            <w:tabs>
              <w:tab w:val="right" w:leader="dot" w:pos="8845"/>
            </w:tabs>
            <w:ind w:firstLine="552"/>
            <w:rPr>
              <w:rFonts w:ascii="Times New Roman" w:hAnsi="Times New Roman" w:cs="Times New Roman"/>
              <w:sz w:val="32"/>
            </w:rPr>
          </w:pPr>
          <w:r>
            <w:fldChar w:fldCharType="begin"/>
          </w:r>
          <w:r>
            <w:instrText xml:space="preserve"> HYPERLINK \l "_Toc5533" </w:instrText>
          </w:r>
          <w:r>
            <w:fldChar w:fldCharType="separate"/>
          </w:r>
          <w:r>
            <w:rPr>
              <w:rFonts w:ascii="Times New Roman" w:hAnsi="Times New Roman" w:eastAsia="仿宋" w:cs="Times New Roman"/>
              <w:bCs/>
              <w:sz w:val="32"/>
            </w:rPr>
            <w:t xml:space="preserve">7.1 </w:t>
          </w:r>
          <w:r>
            <w:rPr>
              <w:rFonts w:ascii="Times New Roman" w:hAnsi="Times New Roman" w:cs="Times New Roman"/>
              <w:sz w:val="32"/>
            </w:rPr>
            <w:t>宣传教育和业务培训</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_Toc5533 \h </w:instrText>
          </w:r>
          <w:r>
            <w:rPr>
              <w:rFonts w:ascii="Times New Roman" w:hAnsi="Times New Roman" w:cs="Times New Roman"/>
              <w:sz w:val="32"/>
            </w:rPr>
            <w:fldChar w:fldCharType="separate"/>
          </w:r>
          <w:r>
            <w:rPr>
              <w:rFonts w:ascii="Times New Roman" w:hAnsi="Times New Roman" w:cs="Times New Roman"/>
              <w:sz w:val="32"/>
            </w:rPr>
            <w:t>24</w:t>
          </w:r>
          <w:r>
            <w:rPr>
              <w:rFonts w:ascii="Times New Roman" w:hAnsi="Times New Roman" w:cs="Times New Roman"/>
              <w:sz w:val="32"/>
            </w:rPr>
            <w:fldChar w:fldCharType="end"/>
          </w:r>
          <w:r>
            <w:rPr>
              <w:rFonts w:ascii="Times New Roman" w:hAnsi="Times New Roman" w:cs="Times New Roman"/>
              <w:sz w:val="32"/>
            </w:rPr>
            <w:fldChar w:fldCharType="end"/>
          </w:r>
        </w:p>
        <w:p w14:paraId="1BF467DD">
          <w:pPr>
            <w:pStyle w:val="19"/>
            <w:tabs>
              <w:tab w:val="right" w:leader="dot" w:pos="8845"/>
            </w:tabs>
            <w:ind w:firstLine="552"/>
            <w:rPr>
              <w:rFonts w:ascii="Times New Roman" w:hAnsi="Times New Roman" w:cs="Times New Roman"/>
              <w:sz w:val="32"/>
            </w:rPr>
          </w:pPr>
          <w:r>
            <w:fldChar w:fldCharType="begin"/>
          </w:r>
          <w:r>
            <w:instrText xml:space="preserve"> HYPERLINK \l "_Toc7725" </w:instrText>
          </w:r>
          <w:r>
            <w:fldChar w:fldCharType="separate"/>
          </w:r>
          <w:r>
            <w:rPr>
              <w:rFonts w:ascii="Times New Roman" w:hAnsi="Times New Roman" w:eastAsia="仿宋" w:cs="Times New Roman"/>
              <w:bCs/>
              <w:sz w:val="32"/>
            </w:rPr>
            <w:t xml:space="preserve">7.2 </w:t>
          </w:r>
          <w:r>
            <w:rPr>
              <w:rFonts w:ascii="Times New Roman" w:hAnsi="Times New Roman" w:cs="Times New Roman"/>
              <w:sz w:val="32"/>
            </w:rPr>
            <w:t>预案演练</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_Toc7725 \h </w:instrText>
          </w:r>
          <w:r>
            <w:rPr>
              <w:rFonts w:ascii="Times New Roman" w:hAnsi="Times New Roman" w:cs="Times New Roman"/>
              <w:sz w:val="32"/>
            </w:rPr>
            <w:fldChar w:fldCharType="separate"/>
          </w:r>
          <w:r>
            <w:rPr>
              <w:rFonts w:ascii="Times New Roman" w:hAnsi="Times New Roman" w:cs="Times New Roman"/>
              <w:sz w:val="32"/>
            </w:rPr>
            <w:t>24</w:t>
          </w:r>
          <w:r>
            <w:rPr>
              <w:rFonts w:ascii="Times New Roman" w:hAnsi="Times New Roman" w:cs="Times New Roman"/>
              <w:sz w:val="32"/>
            </w:rPr>
            <w:fldChar w:fldCharType="end"/>
          </w:r>
          <w:r>
            <w:rPr>
              <w:rFonts w:ascii="Times New Roman" w:hAnsi="Times New Roman" w:cs="Times New Roman"/>
              <w:sz w:val="32"/>
            </w:rPr>
            <w:fldChar w:fldCharType="end"/>
          </w:r>
        </w:p>
        <w:p w14:paraId="4732CF2B">
          <w:pPr>
            <w:pStyle w:val="18"/>
            <w:rPr>
              <w:rFonts w:ascii="Times New Roman" w:hAnsi="Times New Roman" w:cs="Times New Roman"/>
              <w:sz w:val="32"/>
            </w:rPr>
          </w:pPr>
          <w:r>
            <w:fldChar w:fldCharType="begin"/>
          </w:r>
          <w:r>
            <w:instrText xml:space="preserve"> HYPERLINK \l "_Toc10769" </w:instrText>
          </w:r>
          <w:r>
            <w:fldChar w:fldCharType="separate"/>
          </w:r>
          <w:r>
            <w:rPr>
              <w:rFonts w:ascii="Times New Roman" w:hAnsi="Times New Roman" w:eastAsia="仿宋" w:cs="Times New Roman"/>
              <w:sz w:val="32"/>
            </w:rPr>
            <w:t xml:space="preserve">8 </w:t>
          </w:r>
          <w:r>
            <w:rPr>
              <w:rFonts w:ascii="Times New Roman" w:hAnsi="Times New Roman" w:cs="Times New Roman"/>
              <w:sz w:val="32"/>
            </w:rPr>
            <w:t>预案管理</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_Toc10769 \h </w:instrText>
          </w:r>
          <w:r>
            <w:rPr>
              <w:rFonts w:ascii="Times New Roman" w:hAnsi="Times New Roman" w:cs="Times New Roman"/>
              <w:sz w:val="32"/>
            </w:rPr>
            <w:fldChar w:fldCharType="separate"/>
          </w:r>
          <w:r>
            <w:rPr>
              <w:rFonts w:ascii="Times New Roman" w:hAnsi="Times New Roman" w:cs="Times New Roman"/>
              <w:sz w:val="32"/>
            </w:rPr>
            <w:t>25</w:t>
          </w:r>
          <w:r>
            <w:rPr>
              <w:rFonts w:ascii="Times New Roman" w:hAnsi="Times New Roman" w:cs="Times New Roman"/>
              <w:sz w:val="32"/>
            </w:rPr>
            <w:fldChar w:fldCharType="end"/>
          </w:r>
          <w:r>
            <w:rPr>
              <w:rFonts w:ascii="Times New Roman" w:hAnsi="Times New Roman" w:cs="Times New Roman"/>
              <w:sz w:val="32"/>
            </w:rPr>
            <w:fldChar w:fldCharType="end"/>
          </w:r>
        </w:p>
        <w:p w14:paraId="450F7884">
          <w:pPr>
            <w:pStyle w:val="19"/>
            <w:tabs>
              <w:tab w:val="right" w:leader="dot" w:pos="8845"/>
            </w:tabs>
            <w:ind w:firstLine="552"/>
            <w:rPr>
              <w:rFonts w:ascii="Times New Roman" w:hAnsi="Times New Roman" w:cs="Times New Roman"/>
              <w:sz w:val="32"/>
            </w:rPr>
          </w:pPr>
          <w:r>
            <w:fldChar w:fldCharType="begin"/>
          </w:r>
          <w:r>
            <w:instrText xml:space="preserve"> HYPERLINK \l "_Toc30041" </w:instrText>
          </w:r>
          <w:r>
            <w:fldChar w:fldCharType="separate"/>
          </w:r>
          <w:r>
            <w:rPr>
              <w:rFonts w:ascii="Times New Roman" w:hAnsi="Times New Roman" w:eastAsia="仿宋" w:cs="Times New Roman"/>
              <w:bCs/>
              <w:sz w:val="32"/>
            </w:rPr>
            <w:t xml:space="preserve">8.1 </w:t>
          </w:r>
          <w:r>
            <w:rPr>
              <w:rFonts w:ascii="Times New Roman" w:hAnsi="Times New Roman" w:cs="Times New Roman"/>
              <w:sz w:val="32"/>
            </w:rPr>
            <w:t>预案修订</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_Toc30041 \h </w:instrText>
          </w:r>
          <w:r>
            <w:rPr>
              <w:rFonts w:ascii="Times New Roman" w:hAnsi="Times New Roman" w:cs="Times New Roman"/>
              <w:sz w:val="32"/>
            </w:rPr>
            <w:fldChar w:fldCharType="separate"/>
          </w:r>
          <w:r>
            <w:rPr>
              <w:rFonts w:ascii="Times New Roman" w:hAnsi="Times New Roman" w:cs="Times New Roman"/>
              <w:sz w:val="32"/>
            </w:rPr>
            <w:t>25</w:t>
          </w:r>
          <w:r>
            <w:rPr>
              <w:rFonts w:ascii="Times New Roman" w:hAnsi="Times New Roman" w:cs="Times New Roman"/>
              <w:sz w:val="32"/>
            </w:rPr>
            <w:fldChar w:fldCharType="end"/>
          </w:r>
          <w:r>
            <w:rPr>
              <w:rFonts w:ascii="Times New Roman" w:hAnsi="Times New Roman" w:cs="Times New Roman"/>
              <w:sz w:val="32"/>
            </w:rPr>
            <w:fldChar w:fldCharType="end"/>
          </w:r>
        </w:p>
        <w:p w14:paraId="5042F9B9">
          <w:pPr>
            <w:pStyle w:val="19"/>
            <w:tabs>
              <w:tab w:val="right" w:leader="dot" w:pos="8845"/>
            </w:tabs>
            <w:ind w:firstLine="552"/>
            <w:rPr>
              <w:rFonts w:ascii="Times New Roman" w:hAnsi="Times New Roman" w:cs="Times New Roman"/>
              <w:sz w:val="32"/>
            </w:rPr>
          </w:pPr>
          <w:r>
            <w:fldChar w:fldCharType="begin"/>
          </w:r>
          <w:r>
            <w:instrText xml:space="preserve"> HYPERLINK \l "_Toc26519" </w:instrText>
          </w:r>
          <w:r>
            <w:fldChar w:fldCharType="separate"/>
          </w:r>
          <w:r>
            <w:rPr>
              <w:rFonts w:ascii="Times New Roman" w:hAnsi="Times New Roman" w:eastAsia="仿宋" w:cs="Times New Roman"/>
              <w:bCs/>
              <w:sz w:val="32"/>
            </w:rPr>
            <w:t xml:space="preserve">8.2 </w:t>
          </w:r>
          <w:r>
            <w:rPr>
              <w:rFonts w:ascii="Times New Roman" w:hAnsi="Times New Roman" w:cs="Times New Roman"/>
              <w:sz w:val="32"/>
            </w:rPr>
            <w:t>预案实施</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_Toc26519 \h </w:instrText>
          </w:r>
          <w:r>
            <w:rPr>
              <w:rFonts w:ascii="Times New Roman" w:hAnsi="Times New Roman" w:cs="Times New Roman"/>
              <w:sz w:val="32"/>
            </w:rPr>
            <w:fldChar w:fldCharType="separate"/>
          </w:r>
          <w:r>
            <w:rPr>
              <w:rFonts w:ascii="Times New Roman" w:hAnsi="Times New Roman" w:cs="Times New Roman"/>
              <w:sz w:val="32"/>
            </w:rPr>
            <w:t>25</w:t>
          </w:r>
          <w:r>
            <w:rPr>
              <w:rFonts w:ascii="Times New Roman" w:hAnsi="Times New Roman" w:cs="Times New Roman"/>
              <w:sz w:val="32"/>
            </w:rPr>
            <w:fldChar w:fldCharType="end"/>
          </w:r>
          <w:r>
            <w:rPr>
              <w:rFonts w:ascii="Times New Roman" w:hAnsi="Times New Roman" w:cs="Times New Roman"/>
              <w:sz w:val="32"/>
            </w:rPr>
            <w:fldChar w:fldCharType="end"/>
          </w:r>
        </w:p>
        <w:p w14:paraId="61326DF0">
          <w:pPr>
            <w:pStyle w:val="18"/>
            <w:rPr>
              <w:rFonts w:ascii="Times New Roman" w:hAnsi="Times New Roman" w:cs="Times New Roman"/>
            </w:rPr>
          </w:pPr>
          <w:r>
            <w:fldChar w:fldCharType="begin"/>
          </w:r>
          <w:r>
            <w:instrText xml:space="preserve"> HYPERLINK \l "_Toc29134" </w:instrText>
          </w:r>
          <w:r>
            <w:fldChar w:fldCharType="separate"/>
          </w:r>
          <w:r>
            <w:rPr>
              <w:rFonts w:ascii="Times New Roman" w:hAnsi="Times New Roman" w:cs="Times New Roman"/>
              <w:sz w:val="32"/>
            </w:rPr>
            <w:t>附件1：城镇供水突发事件分级标准</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_Toc29134 \h </w:instrText>
          </w:r>
          <w:r>
            <w:rPr>
              <w:rFonts w:ascii="Times New Roman" w:hAnsi="Times New Roman" w:cs="Times New Roman"/>
              <w:sz w:val="32"/>
            </w:rPr>
            <w:fldChar w:fldCharType="separate"/>
          </w:r>
          <w:r>
            <w:rPr>
              <w:rFonts w:ascii="Times New Roman" w:hAnsi="Times New Roman" w:cs="Times New Roman"/>
              <w:sz w:val="32"/>
            </w:rPr>
            <w:t>26</w:t>
          </w:r>
          <w:r>
            <w:rPr>
              <w:rFonts w:ascii="Times New Roman" w:hAnsi="Times New Roman" w:cs="Times New Roman"/>
              <w:sz w:val="32"/>
            </w:rPr>
            <w:fldChar w:fldCharType="end"/>
          </w:r>
          <w:r>
            <w:rPr>
              <w:rFonts w:ascii="Times New Roman" w:hAnsi="Times New Roman" w:cs="Times New Roman"/>
              <w:sz w:val="32"/>
            </w:rPr>
            <w:fldChar w:fldCharType="end"/>
          </w:r>
        </w:p>
        <w:p w14:paraId="1DBE9F29">
          <w:pPr>
            <w:pStyle w:val="15"/>
            <w:ind w:left="0" w:leftChars="0" w:firstLine="0" w:firstLineChars="0"/>
            <w:rPr>
              <w:rFonts w:ascii="Times New Roman" w:hAnsi="Times New Roman" w:eastAsia="仿宋" w:cs="Times New Roman"/>
              <w:b/>
              <w:sz w:val="32"/>
            </w:rPr>
          </w:pPr>
          <w:r>
            <w:rPr>
              <w:rFonts w:ascii="Times New Roman" w:hAnsi="Times New Roman" w:cs="Times New Roman"/>
            </w:rPr>
            <w:fldChar w:fldCharType="end"/>
          </w:r>
        </w:p>
      </w:sdtContent>
    </w:sdt>
    <w:p w14:paraId="38788040">
      <w:pPr>
        <w:pStyle w:val="15"/>
        <w:ind w:left="0" w:leftChars="0" w:firstLine="0" w:firstLineChars="0"/>
        <w:rPr>
          <w:rFonts w:ascii="Times New Roman" w:hAnsi="Times New Roman" w:eastAsia="仿宋" w:cs="Times New Roman"/>
          <w:b/>
          <w:sz w:val="32"/>
        </w:rPr>
      </w:pPr>
    </w:p>
    <w:p w14:paraId="141BBC6E">
      <w:pPr>
        <w:ind w:firstLine="552"/>
        <w:rPr>
          <w:rFonts w:ascii="Times New Roman" w:hAnsi="Times New Roman" w:cs="Times New Roman"/>
        </w:rPr>
        <w:sectPr>
          <w:footerReference r:id="rId76" w:type="default"/>
          <w:footerReference r:id="rId77" w:type="even"/>
          <w:pgSz w:w="11906" w:h="16838"/>
          <w:pgMar w:top="2098" w:right="1474" w:bottom="1984" w:left="1587" w:header="624" w:footer="1134" w:gutter="0"/>
          <w:pgNumType w:fmt="upperRoman" w:start="1"/>
          <w:cols w:space="0" w:num="1"/>
          <w:docGrid w:type="linesAndChars" w:linePitch="579" w:charSpace="-842"/>
        </w:sectPr>
      </w:pPr>
    </w:p>
    <w:p w14:paraId="7120AEE9">
      <w:pPr>
        <w:pStyle w:val="2"/>
        <w:numPr>
          <w:ilvl w:val="0"/>
          <w:numId w:val="148"/>
        </w:numPr>
        <w:tabs>
          <w:tab w:val="left" w:pos="0"/>
        </w:tabs>
        <w:ind w:firstLine="0" w:firstLineChars="0"/>
        <w:rPr>
          <w:rFonts w:ascii="Times New Roman" w:hAnsi="Times New Roman" w:cs="Times New Roman"/>
          <w:sz w:val="32"/>
        </w:rPr>
      </w:pPr>
      <w:bookmarkStart w:id="770" w:name="_Toc32295"/>
      <w:r>
        <w:rPr>
          <w:rFonts w:ascii="Times New Roman" w:hAnsi="Times New Roman" w:cs="Times New Roman"/>
          <w:sz w:val="32"/>
        </w:rPr>
        <w:t>总则</w:t>
      </w:r>
      <w:bookmarkEnd w:id="770"/>
    </w:p>
    <w:p w14:paraId="66FE7CC6">
      <w:pPr>
        <w:pStyle w:val="3"/>
        <w:ind w:firstLine="0" w:firstLineChars="0"/>
        <w:rPr>
          <w:rFonts w:ascii="Times New Roman" w:hAnsi="Times New Roman" w:cs="Times New Roman"/>
          <w:sz w:val="32"/>
        </w:rPr>
      </w:pPr>
      <w:bookmarkStart w:id="771" w:name="_Toc24951"/>
      <w:r>
        <w:rPr>
          <w:rFonts w:ascii="Times New Roman" w:hAnsi="Times New Roman" w:cs="Times New Roman"/>
          <w:sz w:val="32"/>
        </w:rPr>
        <w:t>编制目的</w:t>
      </w:r>
      <w:bookmarkEnd w:id="771"/>
    </w:p>
    <w:p w14:paraId="626C2D9A">
      <w:pPr>
        <w:ind w:firstLine="632"/>
        <w:rPr>
          <w:rFonts w:ascii="Times New Roman" w:hAnsi="Times New Roman" w:cs="Times New Roman"/>
          <w:sz w:val="32"/>
        </w:rPr>
      </w:pPr>
      <w:r>
        <w:rPr>
          <w:rFonts w:ascii="Times New Roman" w:hAnsi="Times New Roman" w:cs="Times New Roman"/>
          <w:sz w:val="32"/>
        </w:rPr>
        <w:t>为迅速、有序、高效、安全、妥善地处置好城镇供水过程中出现的各类突发事件，及时控制事态发展，最大限度地减少损失，保护公共财产和人民利益，保障城镇居民的人身健康和生命安全，确保城镇供水安全可靠，保障我县经济稳固、可持续发展，维护社会稳定，制定本预案。</w:t>
      </w:r>
    </w:p>
    <w:p w14:paraId="3F179C52">
      <w:pPr>
        <w:pStyle w:val="3"/>
        <w:ind w:firstLine="0" w:firstLineChars="0"/>
        <w:rPr>
          <w:rFonts w:ascii="Times New Roman" w:hAnsi="Times New Roman" w:cs="Times New Roman"/>
          <w:sz w:val="32"/>
        </w:rPr>
      </w:pPr>
      <w:bookmarkStart w:id="772" w:name="_Toc27151"/>
      <w:r>
        <w:rPr>
          <w:rFonts w:ascii="Times New Roman" w:hAnsi="Times New Roman" w:cs="Times New Roman"/>
          <w:sz w:val="32"/>
        </w:rPr>
        <w:t>编制依据</w:t>
      </w:r>
      <w:bookmarkEnd w:id="772"/>
    </w:p>
    <w:p w14:paraId="651EC225">
      <w:pPr>
        <w:ind w:firstLine="632"/>
        <w:rPr>
          <w:rFonts w:ascii="Times New Roman" w:hAnsi="Times New Roman" w:cs="Times New Roman"/>
          <w:sz w:val="32"/>
        </w:rPr>
      </w:pPr>
      <w:r>
        <w:rPr>
          <w:rFonts w:ascii="Times New Roman" w:hAnsi="Times New Roman" w:cs="Times New Roman"/>
          <w:sz w:val="32"/>
        </w:rPr>
        <w:t>依据《中华人民共和国突发事件应对法》《中华人民共和国安全生产法》《中华人民共和国水法》《中华人民共和国水污染防治法》《中华人民共和国城镇供水条例》《黑龙江省突发事件应急预案管理办法》《黑龙江省实施</w:t>
      </w:r>
      <w:r>
        <w:rPr>
          <w:rFonts w:hint="eastAsia" w:ascii="Times New Roman" w:hAnsi="Times New Roman" w:cs="Times New Roman"/>
          <w:sz w:val="32"/>
        </w:rPr>
        <w:t>&lt;</w:t>
      </w:r>
      <w:r>
        <w:rPr>
          <w:rFonts w:ascii="Times New Roman" w:hAnsi="Times New Roman" w:cs="Times New Roman"/>
          <w:sz w:val="32"/>
        </w:rPr>
        <w:t>城镇供水条例</w:t>
      </w:r>
      <w:r>
        <w:rPr>
          <w:rFonts w:hint="eastAsia" w:ascii="Times New Roman" w:hAnsi="Times New Roman" w:cs="Times New Roman"/>
          <w:sz w:val="32"/>
        </w:rPr>
        <w:t>&gt;</w:t>
      </w:r>
      <w:r>
        <w:rPr>
          <w:rFonts w:ascii="Times New Roman" w:hAnsi="Times New Roman" w:cs="Times New Roman"/>
          <w:sz w:val="32"/>
        </w:rPr>
        <w:t>办法》《集贤县突发事件总体应急预案》等法律法规、相关文件制定本预案。</w:t>
      </w:r>
    </w:p>
    <w:p w14:paraId="45BA0090">
      <w:pPr>
        <w:pStyle w:val="3"/>
        <w:ind w:firstLine="0" w:firstLineChars="0"/>
        <w:rPr>
          <w:rFonts w:ascii="Times New Roman" w:hAnsi="Times New Roman" w:cs="Times New Roman"/>
          <w:sz w:val="32"/>
        </w:rPr>
      </w:pPr>
      <w:bookmarkStart w:id="773" w:name="_Toc22047"/>
      <w:r>
        <w:rPr>
          <w:rFonts w:ascii="Times New Roman" w:hAnsi="Times New Roman" w:cs="Times New Roman"/>
          <w:sz w:val="32"/>
        </w:rPr>
        <w:t>适用范围</w:t>
      </w:r>
      <w:bookmarkEnd w:id="773"/>
    </w:p>
    <w:p w14:paraId="48C87A9C">
      <w:pPr>
        <w:ind w:firstLine="632"/>
        <w:rPr>
          <w:rFonts w:ascii="Times New Roman" w:hAnsi="Times New Roman" w:cs="Times New Roman"/>
          <w:sz w:val="32"/>
        </w:rPr>
      </w:pPr>
      <w:r>
        <w:rPr>
          <w:rFonts w:ascii="Times New Roman" w:hAnsi="Times New Roman" w:cs="Times New Roman"/>
          <w:sz w:val="32"/>
        </w:rPr>
        <w:t>适用于我县行政区域范围内发生的城镇供水突发事件应急处置工作。</w:t>
      </w:r>
    </w:p>
    <w:p w14:paraId="29A9017D">
      <w:pPr>
        <w:ind w:firstLine="632"/>
        <w:rPr>
          <w:rFonts w:ascii="Times New Roman" w:hAnsi="Times New Roman" w:cs="Times New Roman"/>
          <w:sz w:val="32"/>
        </w:rPr>
      </w:pPr>
      <w:r>
        <w:rPr>
          <w:rFonts w:ascii="Times New Roman" w:hAnsi="Times New Roman" w:cs="Times New Roman"/>
          <w:sz w:val="32"/>
        </w:rPr>
        <w:t>供水突发事件是指由于水源或供水设施遭受污染、发生不可抗拒自然灾害事件、取水水库大坝发生垮塌、断裂等，导致水源枯竭、供水系统设施设备发生事故引起的突发性事件、主要输供水主干管和配水系统管网发生爆管造成局部地区受淹、传染性疾病暴发、战争和恐怖活动等各种自然灾害、事故等引起的供水突发事件。</w:t>
      </w:r>
    </w:p>
    <w:p w14:paraId="5B76871F">
      <w:pPr>
        <w:pStyle w:val="3"/>
        <w:ind w:firstLine="0" w:firstLineChars="0"/>
        <w:rPr>
          <w:rFonts w:ascii="Times New Roman" w:hAnsi="Times New Roman" w:cs="Times New Roman"/>
          <w:sz w:val="32"/>
        </w:rPr>
      </w:pPr>
      <w:bookmarkStart w:id="774" w:name="_Toc26651"/>
      <w:r>
        <w:rPr>
          <w:rFonts w:ascii="Times New Roman" w:hAnsi="Times New Roman" w:cs="Times New Roman"/>
          <w:sz w:val="32"/>
        </w:rPr>
        <w:t>工作原则</w:t>
      </w:r>
      <w:bookmarkEnd w:id="774"/>
    </w:p>
    <w:p w14:paraId="4BCB797F">
      <w:pPr>
        <w:ind w:firstLine="632"/>
        <w:rPr>
          <w:rFonts w:ascii="Times New Roman" w:hAnsi="Times New Roman" w:cs="Times New Roman"/>
          <w:sz w:val="32"/>
        </w:rPr>
      </w:pPr>
      <w:r>
        <w:rPr>
          <w:rFonts w:ascii="Times New Roman" w:hAnsi="Times New Roman" w:cs="Times New Roman"/>
          <w:sz w:val="32"/>
        </w:rPr>
        <w:t>（1）以人为本，预防为主。把保障公众生活用水、身体健康和生命财产安全作为应急工作的出发点和落脚点，加强对水质的监测、监控和管理，提高应急科技水平，增强及早发现、及时处置突发事件的能力，尽量避免或减少突发供水危机事件的发生。</w:t>
      </w:r>
    </w:p>
    <w:p w14:paraId="22E5F1B6">
      <w:pPr>
        <w:ind w:firstLine="632"/>
        <w:rPr>
          <w:rFonts w:ascii="Times New Roman" w:hAnsi="Times New Roman" w:cs="Times New Roman"/>
          <w:sz w:val="32"/>
        </w:rPr>
      </w:pPr>
      <w:r>
        <w:rPr>
          <w:rFonts w:ascii="Times New Roman" w:hAnsi="Times New Roman" w:cs="Times New Roman"/>
          <w:sz w:val="32"/>
        </w:rPr>
        <w:t>（2）统一领导，分级负责。在县政府的统一领导下，各有关单位和部门各司其职，建立统一指挥、分工明确、反应灵敏、协调有序、运行高效的应急工作机制。针对供水突发事件级别，采取应对措施，充分发挥各部门职能作用和县自来水公司的行内资源，形成优势互补、资源共享的供水突发事件联动处置机制。</w:t>
      </w:r>
    </w:p>
    <w:p w14:paraId="27D380D0">
      <w:pPr>
        <w:ind w:firstLine="632"/>
        <w:rPr>
          <w:rFonts w:ascii="Times New Roman" w:hAnsi="Times New Roman" w:cs="Times New Roman"/>
          <w:sz w:val="32"/>
        </w:rPr>
      </w:pPr>
      <w:r>
        <w:rPr>
          <w:rFonts w:ascii="Times New Roman" w:hAnsi="Times New Roman" w:cs="Times New Roman"/>
          <w:sz w:val="32"/>
        </w:rPr>
        <w:t>（3）快速反应，联动处置。加强以属地管理为主的应急处置队伍建设，建立联动协调制度，充分发挥城镇、社区、企事业单位、社会团体和志愿者队伍的作用，依靠公众力量，形成统一指挥、反应灵敏、功能齐全、协调有序、运转高效的应急管理机制。</w:t>
      </w:r>
    </w:p>
    <w:p w14:paraId="73828F72">
      <w:pPr>
        <w:ind w:firstLine="632"/>
        <w:rPr>
          <w:rFonts w:ascii="Times New Roman" w:hAnsi="Times New Roman" w:cs="Times New Roman"/>
          <w:sz w:val="32"/>
        </w:rPr>
      </w:pPr>
      <w:r>
        <w:rPr>
          <w:rFonts w:ascii="Times New Roman" w:hAnsi="Times New Roman" w:cs="Times New Roman"/>
          <w:sz w:val="32"/>
        </w:rPr>
        <w:t>（4）资源整合，专群结合。按照资源整合和降低成本的要求，实现组织、资源、信息的有机整合。充分发挥专家在突发公共事件的信息研判、决策咨询、专业救援、应急抢险、事件评估等方面的作用。有序组织和广泛动员社会力量参与突发公共事件应急处置工作。</w:t>
      </w:r>
    </w:p>
    <w:p w14:paraId="30427F0B">
      <w:pPr>
        <w:ind w:firstLine="632"/>
        <w:rPr>
          <w:rFonts w:ascii="Times New Roman" w:hAnsi="Times New Roman" w:cs="Times New Roman"/>
          <w:sz w:val="32"/>
        </w:rPr>
      </w:pPr>
      <w:r>
        <w:rPr>
          <w:rFonts w:ascii="Times New Roman" w:hAnsi="Times New Roman" w:cs="Times New Roman"/>
          <w:sz w:val="32"/>
        </w:rPr>
        <w:t>（5）依法规范，加强管理。依据有关法律法规和规章，加强应急管理，促进应对突发公共事件的工作规范化、制度化、法制化，切实维护公众的合法权益。加强宣传和教育培训工作，提高公众自救、互救和应对各类突发公共事件的综合素质。</w:t>
      </w:r>
    </w:p>
    <w:p w14:paraId="194074CF">
      <w:pPr>
        <w:pStyle w:val="3"/>
        <w:ind w:firstLine="0" w:firstLineChars="0"/>
        <w:rPr>
          <w:rFonts w:ascii="Times New Roman" w:hAnsi="Times New Roman" w:cs="Times New Roman"/>
          <w:sz w:val="32"/>
        </w:rPr>
      </w:pPr>
      <w:bookmarkStart w:id="775" w:name="_Toc14477"/>
      <w:r>
        <w:rPr>
          <w:rFonts w:ascii="Times New Roman" w:hAnsi="Times New Roman" w:cs="Times New Roman"/>
          <w:sz w:val="32"/>
        </w:rPr>
        <w:t>事件分级</w:t>
      </w:r>
      <w:bookmarkEnd w:id="775"/>
    </w:p>
    <w:p w14:paraId="24B17D11">
      <w:pPr>
        <w:ind w:firstLine="632"/>
        <w:rPr>
          <w:rFonts w:ascii="Times New Roman" w:hAnsi="Times New Roman" w:cs="Times New Roman"/>
          <w:sz w:val="32"/>
        </w:rPr>
      </w:pPr>
      <w:r>
        <w:rPr>
          <w:rFonts w:ascii="Times New Roman" w:hAnsi="Times New Roman" w:cs="Times New Roman"/>
          <w:sz w:val="32"/>
        </w:rPr>
        <w:t>根据城镇供水突发事件按照其可控性、影响城镇供水居民人口数量和供水范围的严重程度等级分为四级：特别重大事故（I级）、重大事故（Ⅱ级）、较大事故（Ⅲ级）和一般事故（Ⅳ级）。分级标准见附件1。</w:t>
      </w:r>
    </w:p>
    <w:p w14:paraId="448B9D75">
      <w:pPr>
        <w:pStyle w:val="2"/>
        <w:numPr>
          <w:ilvl w:val="0"/>
          <w:numId w:val="148"/>
        </w:numPr>
        <w:tabs>
          <w:tab w:val="left" w:pos="0"/>
        </w:tabs>
        <w:ind w:firstLine="0" w:firstLineChars="0"/>
        <w:rPr>
          <w:rFonts w:ascii="Times New Roman" w:hAnsi="Times New Roman" w:cs="Times New Roman"/>
          <w:sz w:val="32"/>
        </w:rPr>
      </w:pPr>
      <w:bookmarkStart w:id="776" w:name="_Toc4555"/>
      <w:r>
        <w:rPr>
          <w:rFonts w:ascii="Times New Roman" w:hAnsi="Times New Roman" w:cs="Times New Roman"/>
          <w:sz w:val="32"/>
        </w:rPr>
        <w:t>组织指挥体系</w:t>
      </w:r>
      <w:bookmarkEnd w:id="776"/>
    </w:p>
    <w:p w14:paraId="2121EE21">
      <w:pPr>
        <w:pStyle w:val="3"/>
        <w:ind w:firstLine="0" w:firstLineChars="0"/>
        <w:rPr>
          <w:rFonts w:ascii="Times New Roman" w:hAnsi="Times New Roman" w:cs="Times New Roman"/>
          <w:sz w:val="32"/>
        </w:rPr>
      </w:pPr>
      <w:bookmarkStart w:id="777" w:name="_Toc26399"/>
      <w:r>
        <w:rPr>
          <w:rFonts w:ascii="Times New Roman" w:hAnsi="Times New Roman" w:cs="Times New Roman"/>
          <w:sz w:val="32"/>
        </w:rPr>
        <w:t>应急组织机构及职责</w:t>
      </w:r>
      <w:bookmarkEnd w:id="777"/>
    </w:p>
    <w:p w14:paraId="4E1B5605">
      <w:pPr>
        <w:pStyle w:val="4"/>
        <w:numPr>
          <w:ilvl w:val="2"/>
          <w:numId w:val="148"/>
        </w:numPr>
        <w:tabs>
          <w:tab w:val="left" w:pos="0"/>
        </w:tabs>
        <w:ind w:firstLine="0" w:firstLineChars="0"/>
        <w:rPr>
          <w:rFonts w:ascii="Times New Roman" w:hAnsi="Times New Roman" w:cs="Times New Roman"/>
          <w:sz w:val="32"/>
        </w:rPr>
      </w:pPr>
      <w:r>
        <w:rPr>
          <w:rFonts w:ascii="Times New Roman" w:hAnsi="Times New Roman" w:cs="Times New Roman"/>
          <w:sz w:val="32"/>
        </w:rPr>
        <w:t>应急指挥部及职责</w:t>
      </w:r>
    </w:p>
    <w:p w14:paraId="0277EF4C">
      <w:pPr>
        <w:ind w:firstLine="632"/>
        <w:rPr>
          <w:rFonts w:ascii="Times New Roman" w:hAnsi="Times New Roman" w:cs="Times New Roman"/>
          <w:sz w:val="32"/>
        </w:rPr>
      </w:pPr>
      <w:r>
        <w:rPr>
          <w:rFonts w:ascii="Times New Roman" w:hAnsi="Times New Roman" w:cs="Times New Roman"/>
          <w:sz w:val="32"/>
        </w:rPr>
        <w:t>集贤县人民政府设立县城镇供水突发事件应急指挥部（以下简称“县供水应急指挥部”）作为本县城镇供水突发事件应急处置的专项指挥机构，主要负责指挥和协调全县供水突发事件的处置；对相关供水事件应急处置做出决策，下达指令，视情况向上级有关部门或单位报告；根据应急事件的发展趋势和处置效果，及时调整应急处置行动等工作。</w:t>
      </w:r>
    </w:p>
    <w:p w14:paraId="4A264A9D">
      <w:pPr>
        <w:ind w:firstLine="632"/>
        <w:rPr>
          <w:rFonts w:ascii="Times New Roman" w:hAnsi="Times New Roman" w:cs="Times New Roman"/>
          <w:sz w:val="32"/>
        </w:rPr>
      </w:pPr>
      <w:r>
        <w:rPr>
          <w:rFonts w:ascii="Times New Roman" w:hAnsi="Times New Roman" w:cs="Times New Roman"/>
          <w:sz w:val="32"/>
        </w:rPr>
        <w:t>县供水应急指挥部总指挥由县政府分管城乡建设的副县长担任，县住房和城乡建设局局长、县自来水公司总经理担任副总指挥，指挥部成员单位主要由县委宣传部、县发展和改革局、县应急管理局、县公安局、县交通运输局、双鸭山市集贤生态环境局、县水务局、县卫生健康局、县消防救援大队、县自来水公司等相关部门和单位组成，根据工作需要，可增加有关部门和单位负责同志参加。</w:t>
      </w:r>
    </w:p>
    <w:p w14:paraId="104238F2">
      <w:pPr>
        <w:pStyle w:val="4"/>
        <w:numPr>
          <w:ilvl w:val="2"/>
          <w:numId w:val="148"/>
        </w:numPr>
        <w:tabs>
          <w:tab w:val="left" w:pos="0"/>
        </w:tabs>
        <w:ind w:firstLine="0" w:firstLineChars="0"/>
        <w:rPr>
          <w:rFonts w:ascii="Times New Roman" w:hAnsi="Times New Roman" w:cs="Times New Roman"/>
          <w:sz w:val="32"/>
        </w:rPr>
      </w:pPr>
      <w:r>
        <w:rPr>
          <w:rFonts w:ascii="Times New Roman" w:hAnsi="Times New Roman" w:cs="Times New Roman"/>
          <w:sz w:val="32"/>
        </w:rPr>
        <w:t>指挥部办公室及职责</w:t>
      </w:r>
    </w:p>
    <w:p w14:paraId="0BE801E4">
      <w:pPr>
        <w:ind w:firstLine="632"/>
        <w:rPr>
          <w:rFonts w:ascii="Times New Roman" w:hAnsi="Times New Roman" w:cs="Times New Roman"/>
          <w:sz w:val="32"/>
        </w:rPr>
      </w:pPr>
      <w:r>
        <w:rPr>
          <w:rFonts w:ascii="Times New Roman" w:hAnsi="Times New Roman" w:cs="Times New Roman"/>
          <w:sz w:val="32"/>
        </w:rPr>
        <w:t>县供水应急指挥部办公室（以下简称指挥部办公室）设在县自来水公司，办公室主任由县自来水公司总经理兼任。</w:t>
      </w:r>
    </w:p>
    <w:p w14:paraId="5572C765">
      <w:pPr>
        <w:ind w:firstLine="632"/>
        <w:rPr>
          <w:rFonts w:ascii="Times New Roman" w:hAnsi="Times New Roman" w:cs="Times New Roman"/>
          <w:sz w:val="32"/>
        </w:rPr>
      </w:pPr>
      <w:r>
        <w:rPr>
          <w:rFonts w:ascii="Times New Roman" w:hAnsi="Times New Roman" w:cs="Times New Roman"/>
          <w:sz w:val="32"/>
        </w:rPr>
        <w:t>主要负责落实县供水应急指挥部的指令，制定和修订应急响应方案；受理和收集有关供水事件信息并及时上报；发生供水事故时，负责甄别供水事故级别，初步提出实施预警和启动应急预案的建议；应急响应期间，负责指挥部成员单位和专家工作组之间的联络，根据分工组织开展水质、水量的监测和处置工作；完成县供水应急指挥部交办其他有关应急工作任务。</w:t>
      </w:r>
    </w:p>
    <w:p w14:paraId="2403FA85">
      <w:pPr>
        <w:pStyle w:val="4"/>
        <w:numPr>
          <w:ilvl w:val="2"/>
          <w:numId w:val="148"/>
        </w:numPr>
        <w:tabs>
          <w:tab w:val="left" w:pos="0"/>
        </w:tabs>
        <w:ind w:firstLine="0" w:firstLineChars="0"/>
        <w:rPr>
          <w:rFonts w:ascii="Times New Roman" w:hAnsi="Times New Roman" w:cs="Times New Roman"/>
          <w:sz w:val="32"/>
        </w:rPr>
      </w:pPr>
      <w:r>
        <w:rPr>
          <w:rFonts w:ascii="Times New Roman" w:hAnsi="Times New Roman" w:cs="Times New Roman"/>
          <w:sz w:val="32"/>
        </w:rPr>
        <w:t>成员单位组成及职责</w:t>
      </w:r>
    </w:p>
    <w:p w14:paraId="2EA71AB7">
      <w:pPr>
        <w:spacing w:line="560" w:lineRule="exact"/>
        <w:ind w:firstLine="634"/>
        <w:rPr>
          <w:rFonts w:ascii="Times New Roman" w:hAnsi="Times New Roman" w:cs="Times New Roman"/>
          <w:sz w:val="32"/>
        </w:rPr>
      </w:pPr>
      <w:r>
        <w:rPr>
          <w:rFonts w:ascii="Times New Roman" w:hAnsi="Times New Roman" w:cs="Times New Roman"/>
          <w:b/>
          <w:bCs/>
          <w:sz w:val="32"/>
        </w:rPr>
        <w:t>县委宣传部：</w:t>
      </w:r>
      <w:r>
        <w:rPr>
          <w:rFonts w:ascii="Times New Roman" w:hAnsi="Times New Roman" w:cs="Times New Roman"/>
          <w:sz w:val="32"/>
        </w:rPr>
        <w:t>负责指导、协调供水突发事件的新闻报道，会同有关部门做好信息发布和舆论引导工作。</w:t>
      </w:r>
    </w:p>
    <w:p w14:paraId="33EDF984">
      <w:pPr>
        <w:spacing w:line="560" w:lineRule="exact"/>
        <w:ind w:firstLine="634"/>
        <w:rPr>
          <w:rFonts w:ascii="Times New Roman" w:hAnsi="Times New Roman" w:cs="Times New Roman"/>
          <w:sz w:val="32"/>
        </w:rPr>
      </w:pPr>
      <w:r>
        <w:rPr>
          <w:rFonts w:ascii="Times New Roman" w:hAnsi="Times New Roman" w:cs="Times New Roman"/>
          <w:b/>
          <w:bCs/>
          <w:sz w:val="32"/>
        </w:rPr>
        <w:t>县住房和城乡建设局：</w:t>
      </w:r>
      <w:r>
        <w:rPr>
          <w:rFonts w:ascii="Times New Roman" w:hAnsi="Times New Roman" w:cs="Times New Roman"/>
          <w:sz w:val="32"/>
        </w:rPr>
        <w:t>负责根据县供水应急指挥部的指示，组织专家赴事件发生地开展组织应急工作；负责组织对县管道路、排水设施的抢修，保证道路畅通；协调事件相关部门开展应急检修、抢险、排险、快速修复和恢复重建工作；组织应急供水；按照县供水应急指挥部的指示，组织专业技术力量对事件进行调查。</w:t>
      </w:r>
    </w:p>
    <w:p w14:paraId="601B5C31">
      <w:pPr>
        <w:spacing w:line="560" w:lineRule="exact"/>
        <w:ind w:firstLine="634"/>
        <w:rPr>
          <w:rFonts w:ascii="Times New Roman" w:hAnsi="Times New Roman" w:cs="Times New Roman"/>
          <w:sz w:val="32"/>
        </w:rPr>
      </w:pPr>
      <w:r>
        <w:rPr>
          <w:rFonts w:ascii="Times New Roman" w:hAnsi="Times New Roman" w:cs="Times New Roman"/>
          <w:b/>
          <w:bCs/>
          <w:sz w:val="32"/>
        </w:rPr>
        <w:t>县应急管理局：</w:t>
      </w:r>
      <w:r>
        <w:rPr>
          <w:rFonts w:ascii="Times New Roman" w:hAnsi="Times New Roman" w:cs="Times New Roman"/>
          <w:sz w:val="32"/>
        </w:rPr>
        <w:t>负责组织、协调水旱灾害的救助工作，管理、分配救助应急群众的款物，并监督使用；组织核查灾情，统一发布应急工作情况，及时向县供水应急指挥部提供救灾信息。</w:t>
      </w:r>
    </w:p>
    <w:p w14:paraId="4E0BD0C2">
      <w:pPr>
        <w:spacing w:line="560" w:lineRule="exact"/>
        <w:ind w:firstLine="634"/>
        <w:rPr>
          <w:rFonts w:ascii="Times New Roman" w:hAnsi="Times New Roman" w:cs="Times New Roman"/>
          <w:sz w:val="32"/>
        </w:rPr>
      </w:pPr>
      <w:r>
        <w:rPr>
          <w:rFonts w:ascii="Times New Roman" w:hAnsi="Times New Roman" w:cs="Times New Roman"/>
          <w:b/>
          <w:bCs/>
          <w:sz w:val="32"/>
        </w:rPr>
        <w:t>县公安局：</w:t>
      </w:r>
      <w:r>
        <w:rPr>
          <w:rFonts w:ascii="Times New Roman" w:hAnsi="Times New Roman" w:cs="Times New Roman"/>
          <w:sz w:val="32"/>
        </w:rPr>
        <w:t>负责维护供水突发事件期间治安秩序，参与抢险救援和人员疏散，维护道路交通秩序，确保救援车辆快速通行，协助处置群体性事件，依法查处各类违法犯罪活动。</w:t>
      </w:r>
    </w:p>
    <w:p w14:paraId="2F78110F">
      <w:pPr>
        <w:spacing w:line="560" w:lineRule="exact"/>
        <w:ind w:firstLine="634"/>
        <w:rPr>
          <w:rFonts w:ascii="Times New Roman" w:hAnsi="Times New Roman" w:cs="Times New Roman"/>
          <w:sz w:val="32"/>
        </w:rPr>
      </w:pPr>
      <w:r>
        <w:rPr>
          <w:rFonts w:ascii="Times New Roman" w:hAnsi="Times New Roman" w:cs="Times New Roman"/>
          <w:b/>
          <w:bCs/>
          <w:sz w:val="32"/>
        </w:rPr>
        <w:t>县财政局：</w:t>
      </w:r>
      <w:r>
        <w:rPr>
          <w:rFonts w:ascii="Times New Roman" w:hAnsi="Times New Roman" w:cs="Times New Roman"/>
          <w:sz w:val="32"/>
        </w:rPr>
        <w:t>保障必要的经费开支，确保突发事件处置所需装备、器材等物资的经费供给，并做好经费使用情况的监督检查工作。</w:t>
      </w:r>
    </w:p>
    <w:p w14:paraId="56290256">
      <w:pPr>
        <w:spacing w:line="560" w:lineRule="exact"/>
        <w:ind w:firstLine="634"/>
        <w:rPr>
          <w:rFonts w:ascii="Times New Roman" w:hAnsi="Times New Roman" w:cs="Times New Roman"/>
          <w:sz w:val="32"/>
        </w:rPr>
      </w:pPr>
      <w:r>
        <w:rPr>
          <w:rFonts w:ascii="Times New Roman" w:hAnsi="Times New Roman" w:cs="Times New Roman"/>
          <w:b/>
          <w:bCs/>
          <w:sz w:val="32"/>
        </w:rPr>
        <w:t>双鸭山市集贤生态环境局</w:t>
      </w:r>
      <w:r>
        <w:rPr>
          <w:rFonts w:ascii="Times New Roman" w:hAnsi="Times New Roman" w:cs="Times New Roman"/>
          <w:sz w:val="32"/>
        </w:rPr>
        <w:t>：负责水源环境污染的应急监测工作，组织协调水源地环境污染事故的调查处理；组织专家提出环境污染消除和治理的建议并监督实施，防止环境污染进一步扩大或转移；及时报告环境污染的有关信息。</w:t>
      </w:r>
    </w:p>
    <w:p w14:paraId="6AF22F97">
      <w:pPr>
        <w:spacing w:line="560" w:lineRule="exact"/>
        <w:ind w:firstLine="634"/>
        <w:rPr>
          <w:rFonts w:ascii="Times New Roman" w:hAnsi="Times New Roman" w:cs="Times New Roman"/>
          <w:sz w:val="32"/>
        </w:rPr>
      </w:pPr>
      <w:r>
        <w:rPr>
          <w:rFonts w:ascii="Times New Roman" w:hAnsi="Times New Roman" w:cs="Times New Roman"/>
          <w:b/>
          <w:bCs/>
          <w:sz w:val="32"/>
        </w:rPr>
        <w:t>县交通运输局：</w:t>
      </w:r>
      <w:r>
        <w:rPr>
          <w:rFonts w:ascii="Times New Roman" w:hAnsi="Times New Roman" w:cs="Times New Roman"/>
          <w:sz w:val="32"/>
        </w:rPr>
        <w:t>负责协调做好应急救援装备、物资和人员疏散等运输保障工作；参与由交通运输事故造成的 城镇水突发事件的应急处置和调查处理；负责指导配合供水紧急事件处置过程中涉及公路损毁、抢修破路等事宜的应急处理。</w:t>
      </w:r>
    </w:p>
    <w:p w14:paraId="67DF6DE1">
      <w:pPr>
        <w:spacing w:line="560" w:lineRule="exact"/>
        <w:ind w:firstLine="634"/>
        <w:rPr>
          <w:rFonts w:ascii="Times New Roman" w:hAnsi="Times New Roman" w:cs="Times New Roman"/>
          <w:sz w:val="32"/>
        </w:rPr>
      </w:pPr>
      <w:r>
        <w:rPr>
          <w:rFonts w:ascii="Times New Roman" w:hAnsi="Times New Roman" w:cs="Times New Roman"/>
          <w:b/>
          <w:bCs/>
          <w:sz w:val="32"/>
        </w:rPr>
        <w:t>县水务局：</w:t>
      </w:r>
      <w:r>
        <w:rPr>
          <w:rFonts w:ascii="Times New Roman" w:hAnsi="Times New Roman" w:cs="Times New Roman"/>
          <w:sz w:val="32"/>
        </w:rPr>
        <w:t>负责协调、监督、检查、指导全县城镇应急供水工作；负责水资源的统一调度和管理，做好供水应急保障工作。</w:t>
      </w:r>
    </w:p>
    <w:p w14:paraId="58B9D27C">
      <w:pPr>
        <w:spacing w:line="560" w:lineRule="exact"/>
        <w:ind w:firstLine="634"/>
        <w:rPr>
          <w:rFonts w:ascii="Times New Roman" w:hAnsi="Times New Roman" w:cs="Times New Roman"/>
          <w:sz w:val="32"/>
        </w:rPr>
      </w:pPr>
      <w:r>
        <w:rPr>
          <w:rFonts w:ascii="Times New Roman" w:hAnsi="Times New Roman" w:cs="Times New Roman"/>
          <w:b/>
          <w:bCs/>
          <w:sz w:val="32"/>
        </w:rPr>
        <w:t>县卫生健康局：</w:t>
      </w:r>
      <w:r>
        <w:rPr>
          <w:rFonts w:ascii="Times New Roman" w:hAnsi="Times New Roman" w:cs="Times New Roman"/>
          <w:sz w:val="32"/>
        </w:rPr>
        <w:t>负责供水水质卫生监测，提出应对措施及建议；组织和指导医疗单位做好医疗救治工作，并根据需要调派医务人员、医药物资、医疗设备进行支援。</w:t>
      </w:r>
    </w:p>
    <w:p w14:paraId="7B33DAAC">
      <w:pPr>
        <w:spacing w:line="560" w:lineRule="exact"/>
        <w:ind w:firstLine="634"/>
        <w:rPr>
          <w:rFonts w:ascii="Times New Roman" w:hAnsi="Times New Roman" w:cs="Times New Roman"/>
          <w:sz w:val="32"/>
        </w:rPr>
      </w:pPr>
      <w:r>
        <w:rPr>
          <w:rFonts w:ascii="Times New Roman" w:hAnsi="Times New Roman" w:cs="Times New Roman"/>
          <w:b/>
          <w:bCs/>
          <w:sz w:val="32"/>
        </w:rPr>
        <w:t>县消防救援大队：</w:t>
      </w:r>
      <w:r>
        <w:rPr>
          <w:rFonts w:ascii="Times New Roman" w:hAnsi="Times New Roman" w:cs="Times New Roman"/>
          <w:sz w:val="32"/>
        </w:rPr>
        <w:t>按照上级指示，参与协助应急处置有关工作，主要负责协助参与工程抢险、排险以及城镇应急送水等应急供水任务。</w:t>
      </w:r>
    </w:p>
    <w:p w14:paraId="40AB01E7">
      <w:pPr>
        <w:spacing w:line="560" w:lineRule="exact"/>
        <w:ind w:firstLine="634"/>
        <w:rPr>
          <w:rFonts w:ascii="Times New Roman" w:hAnsi="Times New Roman" w:cs="Times New Roman"/>
          <w:sz w:val="32"/>
        </w:rPr>
      </w:pPr>
      <w:r>
        <w:rPr>
          <w:rFonts w:ascii="Times New Roman" w:hAnsi="Times New Roman" w:cs="Times New Roman"/>
          <w:b/>
          <w:bCs/>
          <w:sz w:val="32"/>
        </w:rPr>
        <w:t>国家电网集贤分公司：</w:t>
      </w:r>
      <w:r>
        <w:rPr>
          <w:rFonts w:ascii="Times New Roman" w:hAnsi="Times New Roman" w:cs="Times New Roman"/>
          <w:sz w:val="32"/>
        </w:rPr>
        <w:t>负责为供水突发事故应急抢修提供电力供应，为应急供水提供电力保障。</w:t>
      </w:r>
    </w:p>
    <w:p w14:paraId="07FC44DC">
      <w:pPr>
        <w:spacing w:line="560" w:lineRule="exact"/>
        <w:ind w:firstLine="634"/>
        <w:rPr>
          <w:rFonts w:ascii="Times New Roman" w:hAnsi="Times New Roman" w:cs="Times New Roman"/>
          <w:sz w:val="32"/>
        </w:rPr>
      </w:pPr>
      <w:r>
        <w:rPr>
          <w:rFonts w:ascii="Times New Roman" w:hAnsi="Times New Roman" w:cs="Times New Roman"/>
          <w:b/>
          <w:bCs/>
          <w:sz w:val="32"/>
        </w:rPr>
        <w:t>各镇人民政府：</w:t>
      </w:r>
      <w:r>
        <w:rPr>
          <w:rFonts w:ascii="Times New Roman" w:hAnsi="Times New Roman" w:cs="Times New Roman"/>
          <w:sz w:val="32"/>
        </w:rPr>
        <w:t>负责在县政府统一领导下，组织、协调本行政区域内城镇供水突发事件的预警、应急、后期处理工作；同时，按照本预案结合本地实际编制本级城镇供水突发事件应急预案，组织应急救援体系建设和预案演练，切实做好本行政区域内供水突发事件应急处置工作。</w:t>
      </w:r>
    </w:p>
    <w:p w14:paraId="3FD2BD30">
      <w:pPr>
        <w:spacing w:line="560" w:lineRule="exact"/>
        <w:ind w:firstLine="634"/>
        <w:rPr>
          <w:rFonts w:ascii="Times New Roman" w:hAnsi="Times New Roman" w:cs="Times New Roman"/>
          <w:sz w:val="32"/>
        </w:rPr>
      </w:pPr>
      <w:r>
        <w:rPr>
          <w:rFonts w:ascii="Times New Roman" w:hAnsi="Times New Roman" w:cs="Times New Roman"/>
          <w:b/>
          <w:bCs/>
          <w:sz w:val="32"/>
        </w:rPr>
        <w:t>县自来水公司：</w:t>
      </w:r>
      <w:r>
        <w:rPr>
          <w:rFonts w:ascii="Times New Roman" w:hAnsi="Times New Roman" w:cs="Times New Roman"/>
          <w:sz w:val="32"/>
        </w:rPr>
        <w:t>结合本单位的实际情况，建立健全企业应急指挥机制，制定本单位的应急预案体系，建立与企业经营规模相适应的应急抢险队伍，配备应急救援抢险设备，负责做好供水突发事件即时处置和自身能力范围内的应急处置工作。</w:t>
      </w:r>
    </w:p>
    <w:p w14:paraId="06E129B4">
      <w:pPr>
        <w:ind w:firstLine="632"/>
        <w:rPr>
          <w:rFonts w:ascii="Times New Roman" w:hAnsi="Times New Roman" w:cs="Times New Roman"/>
        </w:rPr>
      </w:pPr>
      <w:r>
        <w:rPr>
          <w:rFonts w:ascii="Times New Roman" w:hAnsi="Times New Roman" w:cs="Times New Roman"/>
          <w:sz w:val="32"/>
        </w:rPr>
        <w:t>其他未列入成员的单位应按照各自职能职责，做好应急处置和保障工作，根据县建筑施工安全事故应急指挥部指令参与应急处置相关工作。</w:t>
      </w:r>
    </w:p>
    <w:p w14:paraId="359F4460">
      <w:pPr>
        <w:pStyle w:val="3"/>
        <w:ind w:firstLine="0" w:firstLineChars="0"/>
        <w:rPr>
          <w:rFonts w:ascii="Times New Roman" w:hAnsi="Times New Roman" w:cs="Times New Roman"/>
          <w:sz w:val="32"/>
        </w:rPr>
      </w:pPr>
      <w:bookmarkStart w:id="778" w:name="_Toc15782"/>
      <w:r>
        <w:rPr>
          <w:rFonts w:ascii="Times New Roman" w:hAnsi="Times New Roman" w:cs="Times New Roman"/>
          <w:sz w:val="32"/>
        </w:rPr>
        <w:t>现场指挥机构及职责</w:t>
      </w:r>
      <w:bookmarkEnd w:id="778"/>
    </w:p>
    <w:p w14:paraId="6A6F984F">
      <w:pPr>
        <w:ind w:firstLine="632"/>
        <w:rPr>
          <w:rFonts w:ascii="Times New Roman" w:hAnsi="Times New Roman" w:cs="Times New Roman"/>
          <w:sz w:val="32"/>
        </w:rPr>
      </w:pPr>
      <w:r>
        <w:rPr>
          <w:rFonts w:ascii="Times New Roman" w:hAnsi="Times New Roman" w:cs="Times New Roman"/>
          <w:sz w:val="32"/>
        </w:rPr>
        <w:t>县供水应急指挥部根据现场应急处置工作需要，视情成立现场应急指挥部，现场总指挥由县供水应急指挥部总指挥临时任命。现场应急指挥部成员由县供水应急指挥部各成员单位有关负责同志组成。</w:t>
      </w:r>
    </w:p>
    <w:p w14:paraId="6095C6A1">
      <w:pPr>
        <w:ind w:firstLine="632"/>
        <w:rPr>
          <w:rFonts w:ascii="Times New Roman" w:hAnsi="Times New Roman" w:cs="Times New Roman"/>
          <w:sz w:val="32"/>
        </w:rPr>
      </w:pPr>
      <w:r>
        <w:rPr>
          <w:rFonts w:ascii="Times New Roman" w:hAnsi="Times New Roman" w:cs="Times New Roman"/>
          <w:sz w:val="32"/>
        </w:rPr>
        <w:t>现场应急指挥部下设6个现场工作小组，即：供水抢修组、医疗救护组、治安警戒组、应急保障组、新闻报道组、善后处置组。</w:t>
      </w:r>
    </w:p>
    <w:p w14:paraId="62A6A30D">
      <w:pPr>
        <w:ind w:firstLine="634"/>
        <w:rPr>
          <w:rFonts w:ascii="Times New Roman" w:hAnsi="Times New Roman" w:cs="Times New Roman"/>
          <w:sz w:val="32"/>
        </w:rPr>
      </w:pPr>
      <w:r>
        <w:rPr>
          <w:rFonts w:ascii="Times New Roman" w:hAnsi="Times New Roman" w:cs="Times New Roman"/>
          <w:b/>
          <w:bCs/>
          <w:sz w:val="32"/>
        </w:rPr>
        <w:t>供水抢修组：</w:t>
      </w:r>
      <w:r>
        <w:rPr>
          <w:rFonts w:ascii="Times New Roman" w:hAnsi="Times New Roman" w:cs="Times New Roman"/>
          <w:sz w:val="32"/>
        </w:rPr>
        <w:t>由县住房和城乡建设局牵头，成员包括县应急管理局、县消防救援大队、县自来水公司等单位，主要负责掌握事件现场动态，制定抢险、抢修、救援方案，指挥、调集专业应急队伍、装备和物资，及时向现场指挥部反馈事故发展和处置情况，并按现场指挥部决定落实工作措施。</w:t>
      </w:r>
    </w:p>
    <w:p w14:paraId="300078AA">
      <w:pPr>
        <w:ind w:firstLine="634"/>
        <w:rPr>
          <w:rFonts w:ascii="Times New Roman" w:hAnsi="Times New Roman" w:cs="Times New Roman"/>
          <w:sz w:val="32"/>
        </w:rPr>
      </w:pPr>
      <w:r>
        <w:rPr>
          <w:rFonts w:ascii="Times New Roman" w:hAnsi="Times New Roman" w:cs="Times New Roman"/>
          <w:b/>
          <w:bCs/>
          <w:sz w:val="32"/>
        </w:rPr>
        <w:t>治安警戒组：</w:t>
      </w:r>
      <w:r>
        <w:rPr>
          <w:rFonts w:ascii="Times New Roman" w:hAnsi="Times New Roman" w:cs="Times New Roman"/>
          <w:sz w:val="32"/>
        </w:rPr>
        <w:t>由县公安局牵头，主要负责根据事件情况和安全管理要求，提出警戒方案，迅速划出警戒区域，做好现场人员疏散工作；严格按照方案要求（封锁或控制人员、车辆进出警戒区域）依法实施警戒，密切注意警戒区内外情况变化并及时报告现场指挥部。</w:t>
      </w:r>
    </w:p>
    <w:p w14:paraId="4A753F27">
      <w:pPr>
        <w:ind w:firstLine="634"/>
        <w:rPr>
          <w:rFonts w:ascii="Times New Roman" w:hAnsi="Times New Roman" w:cs="Times New Roman"/>
          <w:sz w:val="32"/>
        </w:rPr>
      </w:pPr>
      <w:r>
        <w:rPr>
          <w:rFonts w:ascii="Times New Roman" w:hAnsi="Times New Roman" w:cs="Times New Roman"/>
          <w:b/>
          <w:bCs/>
          <w:sz w:val="32"/>
        </w:rPr>
        <w:t>医疗救护组：</w:t>
      </w:r>
      <w:r>
        <w:rPr>
          <w:rFonts w:ascii="Times New Roman" w:hAnsi="Times New Roman" w:cs="Times New Roman"/>
          <w:sz w:val="32"/>
        </w:rPr>
        <w:t>由县卫生健康局牵头，主要负责准备抢险所需医疗设备（药品、救护车等），及时全力抢救伤员。</w:t>
      </w:r>
    </w:p>
    <w:p w14:paraId="4070E1FE">
      <w:pPr>
        <w:ind w:firstLine="634"/>
        <w:rPr>
          <w:rFonts w:ascii="Times New Roman" w:hAnsi="Times New Roman" w:cs="Times New Roman"/>
          <w:sz w:val="32"/>
        </w:rPr>
      </w:pPr>
      <w:r>
        <w:rPr>
          <w:rFonts w:ascii="Times New Roman" w:hAnsi="Times New Roman" w:cs="Times New Roman"/>
          <w:b/>
          <w:bCs/>
          <w:sz w:val="32"/>
        </w:rPr>
        <w:t>应急保障组：</w:t>
      </w:r>
      <w:r>
        <w:rPr>
          <w:rFonts w:ascii="Times New Roman" w:hAnsi="Times New Roman" w:cs="Times New Roman"/>
          <w:sz w:val="32"/>
        </w:rPr>
        <w:t>由县应急管理局牵头，成员包括县发展和改革局、县交通运输局等单位，主要负责保障城镇供水突发事件应急救援资金、物资、设备；负责城镇供水突发事件应急处置道路运输组织协调工作。</w:t>
      </w:r>
    </w:p>
    <w:p w14:paraId="0F0F0C3F">
      <w:pPr>
        <w:ind w:firstLine="634"/>
        <w:rPr>
          <w:rFonts w:ascii="Times New Roman" w:hAnsi="Times New Roman" w:cs="Times New Roman"/>
          <w:sz w:val="32"/>
        </w:rPr>
      </w:pPr>
      <w:r>
        <w:rPr>
          <w:rFonts w:ascii="Times New Roman" w:hAnsi="Times New Roman" w:cs="Times New Roman"/>
          <w:b/>
          <w:bCs/>
          <w:sz w:val="32"/>
        </w:rPr>
        <w:t>新闻报道组：</w:t>
      </w:r>
      <w:r>
        <w:rPr>
          <w:rFonts w:ascii="Times New Roman" w:hAnsi="Times New Roman" w:cs="Times New Roman"/>
          <w:sz w:val="32"/>
        </w:rPr>
        <w:t>由县委宣传部牵头，成员包括县融媒体中心、县自来水公司等单位，主要负责对外发布突发事件的相关新闻信息。</w:t>
      </w:r>
    </w:p>
    <w:p w14:paraId="29152D44">
      <w:pPr>
        <w:ind w:firstLine="634"/>
        <w:rPr>
          <w:rFonts w:ascii="Times New Roman" w:hAnsi="Times New Roman" w:cs="Times New Roman"/>
          <w:sz w:val="32"/>
        </w:rPr>
      </w:pPr>
      <w:r>
        <w:rPr>
          <w:rFonts w:ascii="Times New Roman" w:hAnsi="Times New Roman" w:cs="Times New Roman"/>
          <w:b/>
          <w:bCs/>
          <w:sz w:val="32"/>
        </w:rPr>
        <w:t>善后处置组：</w:t>
      </w:r>
      <w:r>
        <w:rPr>
          <w:rFonts w:ascii="Times New Roman" w:hAnsi="Times New Roman" w:cs="Times New Roman"/>
          <w:sz w:val="32"/>
        </w:rPr>
        <w:t>由县自来水公司牵头，成员包括县住房和城乡建设局、县应急管理局等单位，主要负责事故调查和企业恢复生产等善后工作。</w:t>
      </w:r>
    </w:p>
    <w:p w14:paraId="036539E1">
      <w:pPr>
        <w:pStyle w:val="2"/>
        <w:numPr>
          <w:ilvl w:val="0"/>
          <w:numId w:val="148"/>
        </w:numPr>
        <w:tabs>
          <w:tab w:val="left" w:pos="0"/>
        </w:tabs>
        <w:ind w:firstLine="0" w:firstLineChars="0"/>
        <w:rPr>
          <w:rFonts w:ascii="Times New Roman" w:hAnsi="Times New Roman" w:cs="Times New Roman"/>
          <w:sz w:val="32"/>
        </w:rPr>
      </w:pPr>
      <w:bookmarkStart w:id="779" w:name="_Toc31417"/>
      <w:r>
        <w:rPr>
          <w:rFonts w:ascii="Times New Roman" w:hAnsi="Times New Roman" w:cs="Times New Roman"/>
          <w:sz w:val="32"/>
        </w:rPr>
        <w:t>预测预警</w:t>
      </w:r>
      <w:bookmarkEnd w:id="779"/>
    </w:p>
    <w:p w14:paraId="2B05DB32">
      <w:pPr>
        <w:pStyle w:val="3"/>
        <w:ind w:firstLine="0" w:firstLineChars="0"/>
        <w:rPr>
          <w:rFonts w:ascii="Times New Roman" w:hAnsi="Times New Roman" w:cs="Times New Roman"/>
          <w:sz w:val="32"/>
        </w:rPr>
      </w:pPr>
      <w:bookmarkStart w:id="780" w:name="_Toc29949"/>
      <w:r>
        <w:rPr>
          <w:rFonts w:ascii="Times New Roman" w:hAnsi="Times New Roman" w:cs="Times New Roman"/>
          <w:sz w:val="32"/>
        </w:rPr>
        <w:t>预测监测</w:t>
      </w:r>
      <w:bookmarkEnd w:id="780"/>
    </w:p>
    <w:p w14:paraId="5AC30318">
      <w:pPr>
        <w:ind w:firstLine="632"/>
        <w:rPr>
          <w:rFonts w:ascii="Times New Roman" w:hAnsi="Times New Roman" w:cs="Times New Roman"/>
          <w:sz w:val="32"/>
        </w:rPr>
      </w:pPr>
      <w:r>
        <w:rPr>
          <w:rFonts w:ascii="Times New Roman" w:hAnsi="Times New Roman" w:cs="Times New Roman"/>
          <w:sz w:val="32"/>
        </w:rPr>
        <w:t>县住房和城乡建设局负责建立健全城镇供水突发事件监测、预测、预警系统，加强对有关信息的收集、风险分析和动态地监测预测，做到早发现、早报告、早处置。双鸭山集贤生态环境局负责河流水体水质监测，沿河污染物排放的监督检查；县卫生健康局负责城镇供水水质监测，对城镇供水水质进行检验、资料收集、汇总分析并做出报告。</w:t>
      </w:r>
    </w:p>
    <w:p w14:paraId="42F4A382">
      <w:pPr>
        <w:ind w:firstLine="632"/>
        <w:rPr>
          <w:rFonts w:ascii="Times New Roman" w:hAnsi="Times New Roman" w:cs="Times New Roman"/>
          <w:sz w:val="32"/>
        </w:rPr>
      </w:pPr>
      <w:r>
        <w:rPr>
          <w:rFonts w:ascii="Times New Roman" w:hAnsi="Times New Roman" w:cs="Times New Roman"/>
          <w:sz w:val="32"/>
        </w:rPr>
        <w:t>县自来水公司要加强对供水范围内设施监控，确保供水能力和供水水质，对有关可能导致供水突发事件的信息，应密切关注，及时进行分析，研究确定应急措施，事态严重时及时向有关部门、应急救援机构和专家通报情况，做好应急准备工作。</w:t>
      </w:r>
    </w:p>
    <w:p w14:paraId="1BF2600F">
      <w:pPr>
        <w:pStyle w:val="3"/>
        <w:ind w:firstLine="0" w:firstLineChars="0"/>
        <w:rPr>
          <w:rFonts w:ascii="Times New Roman" w:hAnsi="Times New Roman" w:cs="Times New Roman"/>
          <w:sz w:val="32"/>
        </w:rPr>
      </w:pPr>
      <w:bookmarkStart w:id="781" w:name="_Toc22375"/>
      <w:bookmarkStart w:id="782" w:name="_Toc7826"/>
      <w:r>
        <w:rPr>
          <w:rFonts w:ascii="Times New Roman" w:hAnsi="Times New Roman" w:cs="Times New Roman"/>
          <w:sz w:val="32"/>
        </w:rPr>
        <w:t>预警分级</w:t>
      </w:r>
      <w:bookmarkEnd w:id="781"/>
      <w:bookmarkEnd w:id="782"/>
    </w:p>
    <w:p w14:paraId="05BCCC89">
      <w:pPr>
        <w:ind w:firstLine="632"/>
        <w:rPr>
          <w:rFonts w:ascii="Times New Roman" w:hAnsi="Times New Roman" w:cs="Times New Roman"/>
          <w:sz w:val="32"/>
        </w:rPr>
      </w:pPr>
      <w:r>
        <w:rPr>
          <w:rFonts w:ascii="Times New Roman" w:hAnsi="Times New Roman" w:cs="Times New Roman"/>
          <w:sz w:val="32"/>
        </w:rPr>
        <w:t>根据城镇供水突发事件严重性、紧急程度和影响的范围，突发供水事件的预警级别对应划分为Ⅰ级和Ⅱ级两个级别。</w:t>
      </w:r>
    </w:p>
    <w:p w14:paraId="1BFC0073">
      <w:pPr>
        <w:pStyle w:val="3"/>
        <w:ind w:firstLine="0" w:firstLineChars="0"/>
        <w:rPr>
          <w:rFonts w:ascii="Times New Roman" w:hAnsi="Times New Roman" w:cs="Times New Roman"/>
          <w:sz w:val="32"/>
        </w:rPr>
      </w:pPr>
      <w:bookmarkStart w:id="783" w:name="_Toc24045"/>
      <w:bookmarkStart w:id="784" w:name="_Toc19318"/>
      <w:r>
        <w:rPr>
          <w:rFonts w:ascii="Times New Roman" w:hAnsi="Times New Roman" w:cs="Times New Roman"/>
          <w:sz w:val="32"/>
        </w:rPr>
        <w:t>预警发布</w:t>
      </w:r>
      <w:bookmarkEnd w:id="783"/>
      <w:bookmarkEnd w:id="784"/>
    </w:p>
    <w:p w14:paraId="3CFEB2D1">
      <w:pPr>
        <w:ind w:firstLine="632"/>
        <w:rPr>
          <w:rFonts w:ascii="Times New Roman" w:hAnsi="Times New Roman" w:cs="Times New Roman"/>
          <w:sz w:val="32"/>
        </w:rPr>
      </w:pPr>
      <w:r>
        <w:rPr>
          <w:rFonts w:ascii="Times New Roman" w:hAnsi="Times New Roman" w:cs="Times New Roman"/>
          <w:sz w:val="32"/>
        </w:rPr>
        <w:t>对需要向社会发布预警的城镇供水突发事件，应根据紧急和危害程度，依托现有预警信息发布平台，按照有关规定，及时向社会发布、调整和解除预警信息。</w:t>
      </w:r>
    </w:p>
    <w:p w14:paraId="0A45F23E">
      <w:pPr>
        <w:ind w:firstLine="632"/>
        <w:rPr>
          <w:rFonts w:ascii="Times New Roman" w:hAnsi="Times New Roman" w:cs="Times New Roman"/>
          <w:sz w:val="32"/>
        </w:rPr>
      </w:pPr>
      <w:r>
        <w:rPr>
          <w:rFonts w:ascii="Times New Roman" w:hAnsi="Times New Roman" w:cs="Times New Roman"/>
          <w:sz w:val="32"/>
        </w:rPr>
        <w:t>Ⅰ级预警报请集贤县人民政府发布，Ⅱ级预警由县供水应急指挥部负责发布。根据事态的发展情况和采取措施的效果，预警级别可以升级、降级或解除。</w:t>
      </w:r>
    </w:p>
    <w:p w14:paraId="6455BC33">
      <w:pPr>
        <w:pStyle w:val="3"/>
        <w:ind w:firstLine="0" w:firstLineChars="0"/>
        <w:rPr>
          <w:rFonts w:ascii="Times New Roman" w:hAnsi="Times New Roman" w:cs="Times New Roman"/>
          <w:sz w:val="32"/>
        </w:rPr>
      </w:pPr>
      <w:bookmarkStart w:id="785" w:name="_Toc21898"/>
      <w:bookmarkStart w:id="786" w:name="_Toc12440"/>
      <w:r>
        <w:rPr>
          <w:rFonts w:ascii="Times New Roman" w:hAnsi="Times New Roman" w:cs="Times New Roman"/>
          <w:sz w:val="32"/>
        </w:rPr>
        <w:t>预警措施</w:t>
      </w:r>
      <w:bookmarkEnd w:id="785"/>
      <w:bookmarkEnd w:id="786"/>
    </w:p>
    <w:p w14:paraId="2EB1747A">
      <w:pPr>
        <w:pStyle w:val="4"/>
        <w:numPr>
          <w:ilvl w:val="2"/>
          <w:numId w:val="148"/>
        </w:numPr>
        <w:tabs>
          <w:tab w:val="left" w:pos="0"/>
        </w:tabs>
        <w:ind w:firstLine="0" w:firstLineChars="0"/>
        <w:rPr>
          <w:rFonts w:ascii="Times New Roman" w:hAnsi="Times New Roman" w:cs="Times New Roman"/>
          <w:sz w:val="32"/>
        </w:rPr>
      </w:pPr>
      <w:bookmarkStart w:id="787" w:name="_Toc790"/>
      <w:bookmarkStart w:id="788" w:name="_Toc14692"/>
      <w:r>
        <w:rPr>
          <w:rFonts w:ascii="Times New Roman" w:hAnsi="Times New Roman" w:cs="Times New Roman"/>
          <w:sz w:val="32"/>
        </w:rPr>
        <w:t>Ⅱ级预警措施</w:t>
      </w:r>
      <w:bookmarkEnd w:id="787"/>
      <w:bookmarkEnd w:id="788"/>
    </w:p>
    <w:p w14:paraId="701CEC02">
      <w:pPr>
        <w:ind w:firstLine="632"/>
        <w:rPr>
          <w:rFonts w:ascii="Times New Roman" w:hAnsi="Times New Roman" w:cs="Times New Roman"/>
          <w:sz w:val="32"/>
        </w:rPr>
      </w:pPr>
      <w:r>
        <w:rPr>
          <w:rFonts w:ascii="Times New Roman" w:hAnsi="Times New Roman" w:cs="Times New Roman"/>
          <w:sz w:val="32"/>
        </w:rPr>
        <w:t>（1）立即启动有关应急预案，发布预警公告；</w:t>
      </w:r>
    </w:p>
    <w:p w14:paraId="1652610C">
      <w:pPr>
        <w:ind w:firstLine="632"/>
        <w:rPr>
          <w:rFonts w:ascii="Times New Roman" w:hAnsi="Times New Roman" w:cs="Times New Roman"/>
          <w:sz w:val="32"/>
        </w:rPr>
      </w:pPr>
      <w:r>
        <w:rPr>
          <w:rFonts w:ascii="Times New Roman" w:hAnsi="Times New Roman" w:cs="Times New Roman"/>
          <w:sz w:val="32"/>
        </w:rPr>
        <w:t>（2）责令有关部门、专业机构、监测网点和负有特定职责的人员及时收集、报告有关信息，向社会公布反映突发事件信息的渠道，加强对突发事件发生、发展情况的监测、预报和预警工作；</w:t>
      </w:r>
    </w:p>
    <w:p w14:paraId="46B23BD4">
      <w:pPr>
        <w:ind w:firstLine="632"/>
        <w:rPr>
          <w:rFonts w:ascii="Times New Roman" w:hAnsi="Times New Roman" w:cs="Times New Roman"/>
          <w:sz w:val="32"/>
        </w:rPr>
      </w:pPr>
      <w:r>
        <w:rPr>
          <w:rFonts w:ascii="Times New Roman" w:hAnsi="Times New Roman" w:cs="Times New Roman"/>
          <w:sz w:val="32"/>
        </w:rPr>
        <w:t>（3）组织有关部门和机构、专业技术人员、有关专家学者，随时对突发事件信息进行分析评估，预测发生突发事件可能性的大小、影响范围和强度以及可能发生的突发事件的级别；</w:t>
      </w:r>
    </w:p>
    <w:p w14:paraId="2A426D08">
      <w:pPr>
        <w:ind w:firstLine="632"/>
        <w:rPr>
          <w:rFonts w:ascii="Times New Roman" w:hAnsi="Times New Roman" w:cs="Times New Roman"/>
          <w:sz w:val="32"/>
        </w:rPr>
      </w:pPr>
      <w:r>
        <w:rPr>
          <w:rFonts w:ascii="Times New Roman" w:hAnsi="Times New Roman" w:cs="Times New Roman"/>
          <w:sz w:val="32"/>
        </w:rPr>
        <w:t>（4）定时向社会发布与公众有关的突发事件预测信息和分析评估结果，并对有关信息的报道工作进行管控；</w:t>
      </w:r>
    </w:p>
    <w:p w14:paraId="69B48832">
      <w:pPr>
        <w:ind w:firstLine="632"/>
        <w:rPr>
          <w:rFonts w:ascii="Times New Roman" w:hAnsi="Times New Roman" w:cs="Times New Roman"/>
          <w:sz w:val="32"/>
        </w:rPr>
      </w:pPr>
      <w:r>
        <w:rPr>
          <w:rFonts w:ascii="Times New Roman" w:hAnsi="Times New Roman" w:cs="Times New Roman"/>
          <w:sz w:val="32"/>
        </w:rPr>
        <w:t>（5）及时按照有关规定向社会发布可能受到突发事件危害的警告，宣传避免、减轻危害的常识，公布咨询电话。</w:t>
      </w:r>
    </w:p>
    <w:p w14:paraId="2D53FB2A">
      <w:pPr>
        <w:pStyle w:val="4"/>
        <w:numPr>
          <w:ilvl w:val="2"/>
          <w:numId w:val="148"/>
        </w:numPr>
        <w:tabs>
          <w:tab w:val="left" w:pos="0"/>
        </w:tabs>
        <w:ind w:firstLine="0" w:firstLineChars="0"/>
        <w:rPr>
          <w:rFonts w:ascii="Times New Roman" w:hAnsi="Times New Roman" w:cs="Times New Roman"/>
          <w:sz w:val="32"/>
        </w:rPr>
      </w:pPr>
      <w:bookmarkStart w:id="789" w:name="_Toc3352"/>
      <w:bookmarkStart w:id="790" w:name="_Toc23799"/>
      <w:r>
        <w:rPr>
          <w:rFonts w:ascii="Times New Roman" w:hAnsi="Times New Roman" w:cs="Times New Roman"/>
          <w:sz w:val="32"/>
        </w:rPr>
        <w:t>Ⅰ级预警措施</w:t>
      </w:r>
      <w:bookmarkEnd w:id="789"/>
      <w:bookmarkEnd w:id="790"/>
    </w:p>
    <w:p w14:paraId="363E2CF3">
      <w:pPr>
        <w:ind w:firstLine="632"/>
        <w:rPr>
          <w:rFonts w:ascii="Times New Roman" w:hAnsi="Times New Roman" w:cs="Times New Roman"/>
          <w:sz w:val="32"/>
        </w:rPr>
      </w:pPr>
      <w:r>
        <w:rPr>
          <w:rFonts w:ascii="Times New Roman" w:hAnsi="Times New Roman" w:cs="Times New Roman"/>
          <w:sz w:val="32"/>
        </w:rPr>
        <w:t>（1）指令应急救援队伍、负有特定职责的人员进入待命状态，并动员后备人员做好参加应急救援和处置工作的准备；</w:t>
      </w:r>
    </w:p>
    <w:p w14:paraId="0F464F32">
      <w:pPr>
        <w:ind w:firstLine="632"/>
        <w:rPr>
          <w:rFonts w:ascii="Times New Roman" w:hAnsi="Times New Roman" w:cs="Times New Roman"/>
          <w:sz w:val="32"/>
        </w:rPr>
      </w:pPr>
      <w:r>
        <w:rPr>
          <w:rFonts w:ascii="Times New Roman" w:hAnsi="Times New Roman" w:cs="Times New Roman"/>
          <w:sz w:val="32"/>
        </w:rPr>
        <w:t>（2）调集应急救援所需物资、设备、工具，准备应急设施和避难场所，并确保其处于良好状态、随时可以投入正常使用；</w:t>
      </w:r>
    </w:p>
    <w:p w14:paraId="51D6BE61">
      <w:pPr>
        <w:ind w:firstLine="632"/>
        <w:rPr>
          <w:rFonts w:ascii="Times New Roman" w:hAnsi="Times New Roman" w:cs="Times New Roman"/>
          <w:sz w:val="32"/>
        </w:rPr>
      </w:pPr>
      <w:r>
        <w:rPr>
          <w:rFonts w:ascii="Times New Roman" w:hAnsi="Times New Roman" w:cs="Times New Roman"/>
          <w:sz w:val="32"/>
        </w:rPr>
        <w:t>（3）加强对重点单位、重要部位和重要基础设施的安全保卫，维护社会治安秩序；</w:t>
      </w:r>
    </w:p>
    <w:p w14:paraId="7E2C6BFD">
      <w:pPr>
        <w:ind w:firstLine="632"/>
        <w:rPr>
          <w:rFonts w:ascii="Times New Roman" w:hAnsi="Times New Roman" w:cs="Times New Roman"/>
          <w:sz w:val="32"/>
        </w:rPr>
      </w:pPr>
      <w:r>
        <w:rPr>
          <w:rFonts w:ascii="Times New Roman" w:hAnsi="Times New Roman" w:cs="Times New Roman"/>
          <w:sz w:val="32"/>
        </w:rPr>
        <w:t>（4）采取必要措施，确保交通、通信、供水、排水、供电等公共设施的安全和正常运行；</w:t>
      </w:r>
    </w:p>
    <w:p w14:paraId="44CA8F99">
      <w:pPr>
        <w:ind w:firstLine="632"/>
        <w:rPr>
          <w:rFonts w:ascii="Times New Roman" w:hAnsi="Times New Roman" w:cs="Times New Roman"/>
          <w:sz w:val="32"/>
        </w:rPr>
      </w:pPr>
      <w:r>
        <w:rPr>
          <w:rFonts w:ascii="Times New Roman" w:hAnsi="Times New Roman" w:cs="Times New Roman"/>
          <w:sz w:val="32"/>
        </w:rPr>
        <w:t>（5）及时向社会发布有关避免或者减轻危害的建议、劝告；</w:t>
      </w:r>
    </w:p>
    <w:p w14:paraId="63FC8AAA">
      <w:pPr>
        <w:ind w:firstLine="632"/>
        <w:rPr>
          <w:rFonts w:ascii="Times New Roman" w:hAnsi="Times New Roman" w:cs="Times New Roman"/>
          <w:sz w:val="32"/>
        </w:rPr>
      </w:pPr>
      <w:r>
        <w:rPr>
          <w:rFonts w:ascii="Times New Roman" w:hAnsi="Times New Roman" w:cs="Times New Roman"/>
          <w:sz w:val="32"/>
        </w:rPr>
        <w:t>（6）转移、疏散或者撤离易受突发事件危害的人员并予以妥善安置和转移重要财产；</w:t>
      </w:r>
    </w:p>
    <w:p w14:paraId="3C0AA59F">
      <w:pPr>
        <w:ind w:firstLine="632"/>
        <w:rPr>
          <w:rFonts w:ascii="Times New Roman" w:hAnsi="Times New Roman" w:cs="Times New Roman"/>
          <w:sz w:val="32"/>
        </w:rPr>
      </w:pPr>
      <w:r>
        <w:rPr>
          <w:rFonts w:ascii="Times New Roman" w:hAnsi="Times New Roman" w:cs="Times New Roman"/>
          <w:sz w:val="32"/>
        </w:rPr>
        <w:t>（7）关闭或者限制使用易受突发事件危害的场所，控制或者限制容易导致危害扩大的公共场所的活动；</w:t>
      </w:r>
    </w:p>
    <w:p w14:paraId="5ECE2B4C">
      <w:pPr>
        <w:ind w:firstLine="632"/>
        <w:rPr>
          <w:rFonts w:ascii="Times New Roman" w:hAnsi="Times New Roman" w:cs="Times New Roman"/>
          <w:sz w:val="32"/>
        </w:rPr>
      </w:pPr>
      <w:r>
        <w:rPr>
          <w:rFonts w:ascii="Times New Roman" w:hAnsi="Times New Roman" w:cs="Times New Roman"/>
          <w:sz w:val="32"/>
        </w:rPr>
        <w:t>（8）法律法规、规章规定的其他必要的防范性、保护性措施。</w:t>
      </w:r>
    </w:p>
    <w:p w14:paraId="74786337">
      <w:pPr>
        <w:pStyle w:val="3"/>
        <w:ind w:firstLine="0" w:firstLineChars="0"/>
        <w:rPr>
          <w:rFonts w:ascii="Times New Roman" w:hAnsi="Times New Roman" w:cs="Times New Roman"/>
          <w:sz w:val="32"/>
        </w:rPr>
      </w:pPr>
      <w:bookmarkStart w:id="791" w:name="_Toc5920"/>
      <w:bookmarkEnd w:id="791"/>
      <w:bookmarkStart w:id="792" w:name="_Toc2233"/>
      <w:bookmarkStart w:id="793" w:name="_Toc17333"/>
      <w:r>
        <w:rPr>
          <w:rFonts w:ascii="Times New Roman" w:hAnsi="Times New Roman" w:cs="Times New Roman"/>
          <w:sz w:val="32"/>
        </w:rPr>
        <w:t>响应准备</w:t>
      </w:r>
      <w:bookmarkEnd w:id="792"/>
      <w:bookmarkEnd w:id="793"/>
    </w:p>
    <w:p w14:paraId="128DFAEE">
      <w:pPr>
        <w:ind w:firstLine="632"/>
        <w:rPr>
          <w:rFonts w:ascii="Times New Roman" w:hAnsi="Times New Roman" w:cs="Times New Roman"/>
          <w:sz w:val="32"/>
        </w:rPr>
      </w:pPr>
      <w:r>
        <w:rPr>
          <w:rFonts w:ascii="Times New Roman" w:hAnsi="Times New Roman" w:cs="Times New Roman"/>
          <w:sz w:val="32"/>
        </w:rPr>
        <w:t>（1）做好思想准备。加强宣传，增强全民预防城镇供水突发事件和自我保护的意识，做好应急供水的思想准备。</w:t>
      </w:r>
    </w:p>
    <w:p w14:paraId="5919F493">
      <w:pPr>
        <w:ind w:firstLine="632"/>
        <w:rPr>
          <w:rFonts w:ascii="Times New Roman" w:hAnsi="Times New Roman" w:cs="Times New Roman"/>
          <w:sz w:val="32"/>
        </w:rPr>
      </w:pPr>
      <w:r>
        <w:rPr>
          <w:rFonts w:ascii="Times New Roman" w:hAnsi="Times New Roman" w:cs="Times New Roman"/>
          <w:sz w:val="32"/>
        </w:rPr>
        <w:t>（2）做好组织准备。建立健全城镇应急供水组织指挥机构，落实应急供水责任人、应急供水队伍和供水突发事件易发重点区域的监测网络，加强应急供水专业机动抢险队和应急供水服务组织的建设。</w:t>
      </w:r>
    </w:p>
    <w:p w14:paraId="16D06312">
      <w:pPr>
        <w:ind w:firstLine="632"/>
        <w:rPr>
          <w:rFonts w:ascii="Times New Roman" w:hAnsi="Times New Roman" w:cs="Times New Roman"/>
          <w:sz w:val="32"/>
        </w:rPr>
      </w:pPr>
      <w:r>
        <w:rPr>
          <w:rFonts w:ascii="Times New Roman" w:hAnsi="Times New Roman" w:cs="Times New Roman"/>
          <w:sz w:val="32"/>
        </w:rPr>
        <w:t>（3）做好工程准备。按时完成水毁、旱损工程修复和水源工程建设任务，对存在隐患的水库、堤防、涵闸、泵站、输配水设施等各类工程设施进行应急除险加固。</w:t>
      </w:r>
    </w:p>
    <w:p w14:paraId="3555F055">
      <w:pPr>
        <w:ind w:firstLine="632"/>
        <w:rPr>
          <w:rFonts w:ascii="Times New Roman" w:hAnsi="Times New Roman" w:cs="Times New Roman"/>
          <w:sz w:val="32"/>
        </w:rPr>
      </w:pPr>
      <w:r>
        <w:rPr>
          <w:rFonts w:ascii="Times New Roman" w:hAnsi="Times New Roman" w:cs="Times New Roman"/>
          <w:sz w:val="32"/>
        </w:rPr>
        <w:t>（4）做好物资准备。按照分级负责的原则，储备必需的应急供水物资，合理配置种类，在供水突发事件易发重点区域应储备一定数量的抢险物资。</w:t>
      </w:r>
    </w:p>
    <w:p w14:paraId="4B6F9F63">
      <w:pPr>
        <w:ind w:firstLine="632"/>
        <w:rPr>
          <w:rFonts w:ascii="Times New Roman" w:hAnsi="Times New Roman" w:cs="Times New Roman"/>
          <w:sz w:val="32"/>
        </w:rPr>
      </w:pPr>
      <w:r>
        <w:rPr>
          <w:rFonts w:ascii="Times New Roman" w:hAnsi="Times New Roman" w:cs="Times New Roman"/>
          <w:sz w:val="32"/>
        </w:rPr>
        <w:t>（5）做好通信准备。保证预警反馈系统的运行完好，充分利用公网，确保雨情、水情、灾情信息和指挥调度指令的及时传递。健全水文、气象测报站网，确保雨情、水情、工情、灾情信息和指挥调度指令的及时传递及下达。</w:t>
      </w:r>
    </w:p>
    <w:p w14:paraId="360CC497">
      <w:pPr>
        <w:ind w:firstLine="632"/>
        <w:rPr>
          <w:rFonts w:ascii="Times New Roman" w:hAnsi="Times New Roman" w:cs="Times New Roman"/>
          <w:sz w:val="32"/>
        </w:rPr>
      </w:pPr>
      <w:r>
        <w:rPr>
          <w:rFonts w:ascii="Times New Roman" w:hAnsi="Times New Roman" w:cs="Times New Roman"/>
          <w:sz w:val="32"/>
        </w:rPr>
        <w:t>（6）做好城镇供水检查。以查组织、查工程设施、查预案、查物资为主要内容分级检查。发现薄弱环节，明确责任、限时整改。对未经审批并严重影响城镇供水的项目，依法强行拆除。</w:t>
      </w:r>
    </w:p>
    <w:p w14:paraId="45BB83A1">
      <w:pPr>
        <w:pStyle w:val="3"/>
        <w:ind w:firstLine="0" w:firstLineChars="0"/>
        <w:rPr>
          <w:rFonts w:ascii="Times New Roman" w:hAnsi="Times New Roman" w:cs="Times New Roman"/>
          <w:sz w:val="32"/>
        </w:rPr>
      </w:pPr>
      <w:bookmarkStart w:id="794" w:name="_Toc17696"/>
      <w:bookmarkEnd w:id="794"/>
      <w:bookmarkStart w:id="795" w:name="_Toc28547"/>
      <w:bookmarkStart w:id="796" w:name="_Toc30322"/>
      <w:r>
        <w:rPr>
          <w:rFonts w:ascii="Times New Roman" w:hAnsi="Times New Roman" w:cs="Times New Roman"/>
          <w:sz w:val="32"/>
        </w:rPr>
        <w:t>预警级别调整和解除</w:t>
      </w:r>
      <w:bookmarkEnd w:id="795"/>
      <w:bookmarkEnd w:id="796"/>
    </w:p>
    <w:p w14:paraId="012AA19D">
      <w:pPr>
        <w:ind w:firstLine="632"/>
        <w:rPr>
          <w:rFonts w:ascii="Times New Roman" w:hAnsi="Times New Roman" w:cs="Times New Roman"/>
          <w:sz w:val="32"/>
        </w:rPr>
      </w:pPr>
      <w:r>
        <w:rPr>
          <w:rFonts w:ascii="Times New Roman" w:hAnsi="Times New Roman" w:cs="Times New Roman"/>
          <w:sz w:val="32"/>
        </w:rPr>
        <w:t>发布预警信息的政府根据事态的发展，按照有关规定适时调整预警级别，及时更新发布预警信息。上级人民政府认为下级政府发布的预警信息不恰当的，应责令下级人民政府改正或直接发布有关预警信息。</w:t>
      </w:r>
    </w:p>
    <w:p w14:paraId="2D72C239">
      <w:pPr>
        <w:ind w:firstLine="632"/>
        <w:rPr>
          <w:rFonts w:ascii="Times New Roman" w:hAnsi="Times New Roman" w:cs="Times New Roman"/>
          <w:sz w:val="32"/>
        </w:rPr>
      </w:pPr>
      <w:r>
        <w:rPr>
          <w:rFonts w:ascii="Times New Roman" w:hAnsi="Times New Roman" w:cs="Times New Roman"/>
          <w:sz w:val="32"/>
        </w:rPr>
        <w:t>有事实证明不可能发生突发事件或者危险已经解除的，预警发布信息的人民政府应当立即在原公布范围内宣布解除警报，终止预警期，并解除已经采取的有关措施。</w:t>
      </w:r>
    </w:p>
    <w:p w14:paraId="598C204B">
      <w:pPr>
        <w:pStyle w:val="2"/>
        <w:numPr>
          <w:ilvl w:val="0"/>
          <w:numId w:val="148"/>
        </w:numPr>
        <w:tabs>
          <w:tab w:val="left" w:pos="0"/>
        </w:tabs>
        <w:ind w:firstLine="0" w:firstLineChars="0"/>
        <w:rPr>
          <w:rFonts w:ascii="Times New Roman" w:hAnsi="Times New Roman" w:cs="Times New Roman"/>
          <w:sz w:val="32"/>
        </w:rPr>
      </w:pPr>
      <w:bookmarkStart w:id="797" w:name="_Toc30360"/>
      <w:r>
        <w:rPr>
          <w:rFonts w:ascii="Times New Roman" w:hAnsi="Times New Roman" w:cs="Times New Roman"/>
          <w:sz w:val="32"/>
        </w:rPr>
        <w:t>应急响应</w:t>
      </w:r>
      <w:bookmarkEnd w:id="797"/>
    </w:p>
    <w:p w14:paraId="24268D96">
      <w:pPr>
        <w:pStyle w:val="3"/>
        <w:ind w:firstLine="0" w:firstLineChars="0"/>
        <w:rPr>
          <w:rFonts w:ascii="Times New Roman" w:hAnsi="Times New Roman" w:cs="Times New Roman"/>
          <w:sz w:val="32"/>
        </w:rPr>
      </w:pPr>
      <w:bookmarkStart w:id="798" w:name="_Toc9278"/>
      <w:bookmarkStart w:id="799" w:name="_Toc21518"/>
      <w:r>
        <w:rPr>
          <w:rFonts w:ascii="Times New Roman" w:hAnsi="Times New Roman" w:cs="Times New Roman"/>
          <w:sz w:val="32"/>
        </w:rPr>
        <w:t>响应分级</w:t>
      </w:r>
      <w:bookmarkEnd w:id="798"/>
      <w:bookmarkEnd w:id="799"/>
    </w:p>
    <w:p w14:paraId="27CB4C93">
      <w:pPr>
        <w:ind w:firstLine="632"/>
        <w:rPr>
          <w:rFonts w:ascii="Times New Roman" w:hAnsi="Times New Roman" w:cs="Times New Roman"/>
          <w:sz w:val="32"/>
        </w:rPr>
      </w:pPr>
      <w:r>
        <w:rPr>
          <w:rFonts w:ascii="Times New Roman" w:hAnsi="Times New Roman" w:cs="Times New Roman"/>
          <w:sz w:val="32"/>
        </w:rPr>
        <w:t>城镇供水突发事件按照其性质、严重程度和影响范围等因素，与事件分级相对应，应急响应由低到高划分为三个等级，即：Ⅲ级（一般）、Ⅱ级（较大）、Ⅰ级（重大）。</w:t>
      </w:r>
    </w:p>
    <w:p w14:paraId="2F955914">
      <w:pPr>
        <w:pStyle w:val="4"/>
        <w:numPr>
          <w:ilvl w:val="2"/>
          <w:numId w:val="148"/>
        </w:numPr>
        <w:tabs>
          <w:tab w:val="left" w:pos="0"/>
        </w:tabs>
        <w:ind w:firstLine="0" w:firstLineChars="0"/>
        <w:rPr>
          <w:rFonts w:ascii="Times New Roman" w:hAnsi="Times New Roman" w:cs="Times New Roman"/>
          <w:sz w:val="32"/>
        </w:rPr>
      </w:pPr>
      <w:bookmarkStart w:id="800" w:name="_Toc22672"/>
      <w:bookmarkStart w:id="801" w:name="_Toc17014"/>
      <w:r>
        <w:rPr>
          <w:rFonts w:ascii="Times New Roman" w:hAnsi="Times New Roman" w:cs="Times New Roman"/>
          <w:sz w:val="32"/>
        </w:rPr>
        <w:t>响应条件</w:t>
      </w:r>
      <w:bookmarkEnd w:id="800"/>
      <w:bookmarkEnd w:id="801"/>
    </w:p>
    <w:p w14:paraId="29C2D0DB">
      <w:pPr>
        <w:ind w:firstLine="632"/>
        <w:rPr>
          <w:rFonts w:ascii="Times New Roman" w:hAnsi="Times New Roman" w:cs="Times New Roman"/>
          <w:sz w:val="32"/>
        </w:rPr>
      </w:pPr>
      <w:r>
        <w:rPr>
          <w:rFonts w:ascii="Times New Roman" w:hAnsi="Times New Roman" w:cs="Times New Roman"/>
          <w:sz w:val="32"/>
        </w:rPr>
        <w:t>（1）Ⅲ级（一般）响应</w:t>
      </w:r>
    </w:p>
    <w:p w14:paraId="052C4F86">
      <w:pPr>
        <w:ind w:firstLine="632"/>
        <w:rPr>
          <w:rFonts w:ascii="Times New Roman" w:hAnsi="Times New Roman" w:cs="Times New Roman"/>
          <w:sz w:val="32"/>
        </w:rPr>
      </w:pPr>
      <w:r>
        <w:rPr>
          <w:rFonts w:ascii="Times New Roman" w:hAnsi="Times New Roman" w:cs="Times New Roman"/>
          <w:sz w:val="32"/>
        </w:rPr>
        <w:t>符合下列条件之一的，启动Ⅲ级响应：</w:t>
      </w:r>
    </w:p>
    <w:p w14:paraId="0DF28251">
      <w:pPr>
        <w:ind w:firstLine="632"/>
        <w:rPr>
          <w:rFonts w:ascii="Times New Roman" w:hAnsi="Times New Roman" w:cs="Times New Roman"/>
          <w:sz w:val="32"/>
        </w:rPr>
      </w:pPr>
      <w:r>
        <w:rPr>
          <w:rFonts w:ascii="Times New Roman" w:hAnsi="Times New Roman" w:cs="Times New Roman"/>
          <w:sz w:val="32"/>
        </w:rPr>
        <w:t>①造成3人以下死亡（含失踪）；或10人以下重伤的；</w:t>
      </w:r>
    </w:p>
    <w:p w14:paraId="6F4CACB6">
      <w:pPr>
        <w:ind w:firstLine="632"/>
        <w:rPr>
          <w:rFonts w:ascii="Times New Roman" w:hAnsi="Times New Roman" w:cs="Times New Roman"/>
          <w:sz w:val="32"/>
        </w:rPr>
      </w:pPr>
      <w:r>
        <w:rPr>
          <w:rFonts w:ascii="Times New Roman" w:hAnsi="Times New Roman" w:cs="Times New Roman"/>
          <w:sz w:val="32"/>
        </w:rPr>
        <w:t>②5000户以上、1万户以下居民用户连续停水24小时以上；</w:t>
      </w:r>
    </w:p>
    <w:p w14:paraId="045FF09D">
      <w:pPr>
        <w:ind w:firstLine="632"/>
        <w:rPr>
          <w:rFonts w:ascii="Times New Roman" w:hAnsi="Times New Roman" w:cs="Times New Roman"/>
          <w:sz w:val="32"/>
        </w:rPr>
      </w:pPr>
      <w:r>
        <w:rPr>
          <w:rFonts w:ascii="Times New Roman" w:hAnsi="Times New Roman" w:cs="Times New Roman"/>
          <w:sz w:val="32"/>
        </w:rPr>
        <w:t>③直接经济损失1000万以下的。</w:t>
      </w:r>
    </w:p>
    <w:p w14:paraId="36ADA5D6">
      <w:pPr>
        <w:ind w:firstLine="632"/>
        <w:rPr>
          <w:rFonts w:ascii="Times New Roman" w:hAnsi="Times New Roman" w:cs="Times New Roman"/>
          <w:sz w:val="32"/>
        </w:rPr>
      </w:pPr>
      <w:r>
        <w:rPr>
          <w:rFonts w:ascii="Times New Roman" w:hAnsi="Times New Roman" w:cs="Times New Roman"/>
          <w:sz w:val="32"/>
        </w:rPr>
        <w:t>（2）Ⅱ级（较大）响应</w:t>
      </w:r>
    </w:p>
    <w:p w14:paraId="71B35365">
      <w:pPr>
        <w:ind w:firstLine="632"/>
        <w:rPr>
          <w:rFonts w:ascii="Times New Roman" w:hAnsi="Times New Roman" w:cs="Times New Roman"/>
          <w:sz w:val="32"/>
        </w:rPr>
      </w:pPr>
      <w:r>
        <w:rPr>
          <w:rFonts w:ascii="Times New Roman" w:hAnsi="Times New Roman" w:cs="Times New Roman"/>
          <w:sz w:val="32"/>
        </w:rPr>
        <w:t>符合下列条件之一的，启动Ⅱ级响应：</w:t>
      </w:r>
    </w:p>
    <w:p w14:paraId="3B543F29">
      <w:pPr>
        <w:ind w:firstLine="632"/>
        <w:rPr>
          <w:rFonts w:ascii="Times New Roman" w:hAnsi="Times New Roman" w:cs="Times New Roman"/>
          <w:sz w:val="32"/>
        </w:rPr>
      </w:pPr>
      <w:r>
        <w:rPr>
          <w:rFonts w:ascii="Times New Roman" w:hAnsi="Times New Roman" w:cs="Times New Roman"/>
          <w:sz w:val="32"/>
        </w:rPr>
        <w:t>①造成3人以上10人以下死亡（含失踪）或10人以上50人以下重伤；</w:t>
      </w:r>
    </w:p>
    <w:p w14:paraId="3E935A6C">
      <w:pPr>
        <w:ind w:firstLine="632"/>
        <w:rPr>
          <w:rFonts w:ascii="Times New Roman" w:hAnsi="Times New Roman" w:cs="Times New Roman"/>
          <w:sz w:val="32"/>
        </w:rPr>
      </w:pPr>
      <w:r>
        <w:rPr>
          <w:rFonts w:ascii="Times New Roman" w:hAnsi="Times New Roman" w:cs="Times New Roman"/>
          <w:sz w:val="32"/>
        </w:rPr>
        <w:t>②计划外造成1万户以上3万户以下居民用户连续停水24小时以上；</w:t>
      </w:r>
    </w:p>
    <w:p w14:paraId="31046DB4">
      <w:pPr>
        <w:ind w:firstLine="632"/>
        <w:rPr>
          <w:rFonts w:ascii="Times New Roman" w:hAnsi="Times New Roman" w:cs="Times New Roman"/>
          <w:sz w:val="32"/>
        </w:rPr>
      </w:pPr>
      <w:r>
        <w:rPr>
          <w:rFonts w:ascii="Times New Roman" w:hAnsi="Times New Roman" w:cs="Times New Roman"/>
          <w:sz w:val="32"/>
        </w:rPr>
        <w:t>③直接经济损失1000万以上5000万元以下的。</w:t>
      </w:r>
    </w:p>
    <w:p w14:paraId="7CE7F920">
      <w:pPr>
        <w:ind w:firstLine="632"/>
        <w:rPr>
          <w:rFonts w:ascii="Times New Roman" w:hAnsi="Times New Roman" w:cs="Times New Roman"/>
          <w:sz w:val="32"/>
        </w:rPr>
      </w:pPr>
      <w:r>
        <w:rPr>
          <w:rFonts w:ascii="Times New Roman" w:hAnsi="Times New Roman" w:cs="Times New Roman"/>
          <w:sz w:val="32"/>
        </w:rPr>
        <w:t>（3）Ⅰ级（重大）响应</w:t>
      </w:r>
    </w:p>
    <w:p w14:paraId="05915891">
      <w:pPr>
        <w:ind w:firstLine="632"/>
        <w:rPr>
          <w:rFonts w:ascii="Times New Roman" w:hAnsi="Times New Roman" w:cs="Times New Roman"/>
          <w:sz w:val="32"/>
        </w:rPr>
      </w:pPr>
      <w:r>
        <w:rPr>
          <w:rFonts w:ascii="Times New Roman" w:hAnsi="Times New Roman" w:cs="Times New Roman"/>
          <w:sz w:val="32"/>
        </w:rPr>
        <w:t>符合下列条件之一的，启动Ⅰ级响应：</w:t>
      </w:r>
    </w:p>
    <w:p w14:paraId="2545BD21">
      <w:pPr>
        <w:ind w:firstLine="632"/>
        <w:rPr>
          <w:rFonts w:ascii="Times New Roman" w:hAnsi="Times New Roman" w:cs="Times New Roman"/>
          <w:sz w:val="32"/>
        </w:rPr>
      </w:pPr>
      <w:r>
        <w:rPr>
          <w:rFonts w:ascii="Times New Roman" w:hAnsi="Times New Roman" w:cs="Times New Roman"/>
          <w:sz w:val="32"/>
        </w:rPr>
        <w:t>①造成10人以上死亡（失踪），或50人以上重伤；</w:t>
      </w:r>
    </w:p>
    <w:p w14:paraId="48EBDAE9">
      <w:pPr>
        <w:ind w:firstLine="632"/>
        <w:rPr>
          <w:rFonts w:ascii="Times New Roman" w:hAnsi="Times New Roman" w:cs="Times New Roman"/>
          <w:sz w:val="32"/>
        </w:rPr>
      </w:pPr>
      <w:r>
        <w:rPr>
          <w:rFonts w:ascii="Times New Roman" w:hAnsi="Times New Roman" w:cs="Times New Roman"/>
          <w:sz w:val="32"/>
        </w:rPr>
        <w:t>②计划外造成3万户以上居民用户连续停水24小时以上；</w:t>
      </w:r>
    </w:p>
    <w:p w14:paraId="302A7904">
      <w:pPr>
        <w:ind w:firstLine="632"/>
        <w:rPr>
          <w:rFonts w:ascii="Times New Roman" w:hAnsi="Times New Roman" w:cs="Times New Roman"/>
          <w:sz w:val="32"/>
        </w:rPr>
      </w:pPr>
      <w:r>
        <w:rPr>
          <w:rFonts w:ascii="Times New Roman" w:hAnsi="Times New Roman" w:cs="Times New Roman"/>
          <w:sz w:val="32"/>
        </w:rPr>
        <w:t>③直接经济损失5000万元以上的。</w:t>
      </w:r>
    </w:p>
    <w:p w14:paraId="37478FEA">
      <w:pPr>
        <w:pStyle w:val="4"/>
        <w:numPr>
          <w:ilvl w:val="2"/>
          <w:numId w:val="148"/>
        </w:numPr>
        <w:tabs>
          <w:tab w:val="left" w:pos="0"/>
        </w:tabs>
        <w:ind w:firstLine="0" w:firstLineChars="0"/>
        <w:rPr>
          <w:rFonts w:ascii="Times New Roman" w:hAnsi="Times New Roman" w:cs="Times New Roman"/>
          <w:sz w:val="32"/>
        </w:rPr>
      </w:pPr>
      <w:bookmarkStart w:id="802" w:name="_Toc8298"/>
      <w:bookmarkStart w:id="803" w:name="_Toc27944"/>
      <w:r>
        <w:rPr>
          <w:rFonts w:ascii="Times New Roman" w:hAnsi="Times New Roman" w:cs="Times New Roman"/>
          <w:sz w:val="32"/>
        </w:rPr>
        <w:t>响应措施</w:t>
      </w:r>
      <w:bookmarkEnd w:id="802"/>
      <w:bookmarkEnd w:id="803"/>
    </w:p>
    <w:p w14:paraId="1416D91B">
      <w:pPr>
        <w:ind w:firstLine="632"/>
        <w:rPr>
          <w:rFonts w:ascii="Times New Roman" w:hAnsi="Times New Roman" w:cs="Times New Roman"/>
          <w:sz w:val="32"/>
        </w:rPr>
      </w:pPr>
      <w:r>
        <w:rPr>
          <w:rFonts w:ascii="Times New Roman" w:hAnsi="Times New Roman" w:cs="Times New Roman"/>
          <w:sz w:val="32"/>
        </w:rPr>
        <w:t>（1）Ⅲ级响应措施：事发地乡镇人民政府和县自来水公司应立即采取措施，启动本级相关应急预案全力进行处置，及时控制事态，减少损失，同时组织力量对事件性质、类别、危害程度、影响范围等进行评估，并向指挥部办公室报告。在超出本级应急处置能力时，应及时向指挥部办公室请求扩大应急。指挥部办公室密切关注事态发展，必要时给予应急处置指导和支持。</w:t>
      </w:r>
    </w:p>
    <w:p w14:paraId="57E4AFEF">
      <w:pPr>
        <w:ind w:firstLine="632"/>
        <w:rPr>
          <w:rFonts w:ascii="Times New Roman" w:hAnsi="Times New Roman" w:cs="Times New Roman"/>
          <w:sz w:val="32"/>
        </w:rPr>
      </w:pPr>
      <w:r>
        <w:rPr>
          <w:rFonts w:ascii="Times New Roman" w:hAnsi="Times New Roman" w:cs="Times New Roman"/>
          <w:sz w:val="32"/>
        </w:rPr>
        <w:t>（2）Ⅱ级响应措施：由指挥部办公室提出启动Ⅱ级应急响应建议，报县供水应急指挥部总指挥批准启动本预案。县供水应急指挥部协调相关成员单位立即赶赴现场成立现场指挥部，开展抢险应急处置工作，组织调动县自来水公司、事发地乡镇人民政府，以及县相关专业应急救援队伍和资源进行协同处置。必要时，组织专家对突发事件提出应急处置方案，或报请双鸭山市政府派出工作指导组帮助事故应急处置工作；县自来水公司采取应急供水措施予以配合。</w:t>
      </w:r>
    </w:p>
    <w:p w14:paraId="08BC55C8">
      <w:pPr>
        <w:ind w:firstLine="632"/>
        <w:rPr>
          <w:rFonts w:ascii="Times New Roman" w:hAnsi="Times New Roman" w:cs="Times New Roman"/>
          <w:sz w:val="32"/>
        </w:rPr>
      </w:pPr>
      <w:r>
        <w:rPr>
          <w:rFonts w:ascii="Times New Roman" w:hAnsi="Times New Roman" w:cs="Times New Roman"/>
          <w:sz w:val="32"/>
        </w:rPr>
        <w:t>（3）Ⅰ级响应措施：由县供水应急指挥部总指挥报县人民政府主要负责同志同意启动本预案，并宣布城镇供水进入应急警戒状态，同时立即上报双鸭山市政府，接受双鸭山市政府统一指挥，上移指挥权。指挥部各成员单位立即按职责开展各项工作；限制城市建筑、洗车、绿化、娱乐、洗浴行业用水，削减工业用水；县自来水公司采取应急供水措施。</w:t>
      </w:r>
    </w:p>
    <w:p w14:paraId="08C32DA6">
      <w:pPr>
        <w:pStyle w:val="3"/>
        <w:ind w:firstLine="0" w:firstLineChars="0"/>
        <w:rPr>
          <w:rFonts w:ascii="Times New Roman" w:hAnsi="Times New Roman" w:cs="Times New Roman"/>
          <w:sz w:val="32"/>
        </w:rPr>
      </w:pPr>
      <w:bookmarkStart w:id="804" w:name="_Toc25311"/>
      <w:bookmarkEnd w:id="804"/>
      <w:bookmarkStart w:id="805" w:name="_Toc27905"/>
      <w:bookmarkStart w:id="806" w:name="_Toc9771"/>
      <w:r>
        <w:rPr>
          <w:rFonts w:ascii="Times New Roman" w:hAnsi="Times New Roman" w:cs="Times New Roman"/>
          <w:sz w:val="32"/>
        </w:rPr>
        <w:t>信息报告</w:t>
      </w:r>
      <w:bookmarkEnd w:id="805"/>
      <w:bookmarkEnd w:id="806"/>
    </w:p>
    <w:p w14:paraId="3C775C22">
      <w:pPr>
        <w:pStyle w:val="4"/>
        <w:numPr>
          <w:ilvl w:val="2"/>
          <w:numId w:val="148"/>
        </w:numPr>
        <w:tabs>
          <w:tab w:val="left" w:pos="0"/>
        </w:tabs>
        <w:ind w:firstLine="0" w:firstLineChars="0"/>
        <w:rPr>
          <w:rFonts w:ascii="Times New Roman" w:hAnsi="Times New Roman" w:cs="Times New Roman"/>
          <w:sz w:val="32"/>
        </w:rPr>
      </w:pPr>
      <w:bookmarkStart w:id="807" w:name="_Toc13422"/>
      <w:r>
        <w:rPr>
          <w:rFonts w:ascii="Times New Roman" w:hAnsi="Times New Roman" w:cs="Times New Roman"/>
          <w:sz w:val="32"/>
        </w:rPr>
        <w:t>信息报告程序</w:t>
      </w:r>
      <w:bookmarkEnd w:id="807"/>
    </w:p>
    <w:p w14:paraId="4CAA08BE">
      <w:pPr>
        <w:ind w:firstLine="632"/>
        <w:rPr>
          <w:rFonts w:ascii="Times New Roman" w:hAnsi="Times New Roman" w:cs="Times New Roman"/>
          <w:sz w:val="32"/>
        </w:rPr>
      </w:pPr>
      <w:r>
        <w:rPr>
          <w:rFonts w:ascii="Times New Roman" w:hAnsi="Times New Roman" w:cs="Times New Roman"/>
          <w:sz w:val="32"/>
        </w:rPr>
        <w:t>城镇供水突发事件发生后，现场任何公民均有责任和义务立即向本地区负责供水主管部门报告。</w:t>
      </w:r>
    </w:p>
    <w:p w14:paraId="0C6DA785">
      <w:pPr>
        <w:ind w:firstLine="632"/>
        <w:rPr>
          <w:rFonts w:ascii="Times New Roman" w:hAnsi="Times New Roman" w:cs="Times New Roman"/>
          <w:sz w:val="32"/>
        </w:rPr>
      </w:pPr>
      <w:r>
        <w:rPr>
          <w:rFonts w:ascii="Times New Roman" w:hAnsi="Times New Roman" w:cs="Times New Roman"/>
          <w:sz w:val="32"/>
        </w:rPr>
        <w:t>负责供水主管部门在发现或接到供水突发事件发生报告后，要立即采取先期处置措施，并在30分钟内向所在地乡镇人民政府报告。在应急处置过程中，要及时续报有关情况。</w:t>
      </w:r>
    </w:p>
    <w:p w14:paraId="5F615020">
      <w:pPr>
        <w:ind w:firstLine="632"/>
        <w:rPr>
          <w:rFonts w:ascii="Times New Roman" w:hAnsi="Times New Roman" w:cs="Times New Roman"/>
          <w:sz w:val="32"/>
        </w:rPr>
      </w:pPr>
      <w:r>
        <w:rPr>
          <w:rFonts w:ascii="Times New Roman" w:hAnsi="Times New Roman" w:cs="Times New Roman"/>
          <w:sz w:val="32"/>
        </w:rPr>
        <w:t>事发地乡镇人民政府接到供水突发事件报警后，在第一时间做好应急处置工作。迅速了解和汇总相关信息，甄别供水突发事件等级与发展趋势。在发生1小时内由事发地乡镇人民政府向县供水应急指挥部办公室报告事件情况。</w:t>
      </w:r>
    </w:p>
    <w:p w14:paraId="2B9E3E38">
      <w:pPr>
        <w:ind w:firstLine="632"/>
        <w:rPr>
          <w:rFonts w:ascii="Times New Roman" w:hAnsi="Times New Roman" w:cs="Times New Roman"/>
          <w:sz w:val="32"/>
        </w:rPr>
      </w:pPr>
      <w:r>
        <w:rPr>
          <w:rFonts w:ascii="Times New Roman" w:hAnsi="Times New Roman" w:cs="Times New Roman"/>
          <w:sz w:val="32"/>
        </w:rPr>
        <w:t>县供水应急指挥部办公室接报后按照灾害危害程度及时进行分析研判，若认定为一般及以上城镇供水突发事件，按照有关规定及时向县委、县政府总值班室、县供水应急指挥部主要负责同志报告，并通报其他相关单位；若确认为重大、特别重大供水突发事件，立即向双鸭山市人民政府报告。</w:t>
      </w:r>
    </w:p>
    <w:p w14:paraId="586C639E">
      <w:pPr>
        <w:pStyle w:val="4"/>
        <w:numPr>
          <w:ilvl w:val="2"/>
          <w:numId w:val="148"/>
        </w:numPr>
        <w:tabs>
          <w:tab w:val="left" w:pos="0"/>
        </w:tabs>
        <w:ind w:firstLine="0" w:firstLineChars="0"/>
        <w:rPr>
          <w:rFonts w:ascii="Times New Roman" w:hAnsi="Times New Roman" w:cs="Times New Roman"/>
          <w:sz w:val="32"/>
        </w:rPr>
      </w:pPr>
      <w:bookmarkStart w:id="808" w:name="_Toc14891"/>
      <w:bookmarkStart w:id="809" w:name="_Toc17584"/>
      <w:r>
        <w:rPr>
          <w:rFonts w:ascii="Times New Roman" w:hAnsi="Times New Roman" w:cs="Times New Roman"/>
          <w:sz w:val="32"/>
        </w:rPr>
        <w:t>信息报告内容</w:t>
      </w:r>
      <w:bookmarkEnd w:id="808"/>
      <w:bookmarkEnd w:id="809"/>
    </w:p>
    <w:p w14:paraId="1DF85585">
      <w:pPr>
        <w:ind w:firstLine="632"/>
        <w:rPr>
          <w:rFonts w:ascii="Times New Roman" w:hAnsi="Times New Roman" w:cs="Times New Roman"/>
          <w:sz w:val="32"/>
        </w:rPr>
      </w:pPr>
      <w:r>
        <w:rPr>
          <w:rFonts w:ascii="Times New Roman" w:hAnsi="Times New Roman" w:cs="Times New Roman"/>
          <w:sz w:val="32"/>
        </w:rPr>
        <w:t>报告应尽可能包括以下内容：</w:t>
      </w:r>
    </w:p>
    <w:p w14:paraId="27CC07CE">
      <w:pPr>
        <w:ind w:firstLine="632"/>
        <w:rPr>
          <w:rFonts w:ascii="Times New Roman" w:hAnsi="Times New Roman" w:cs="Times New Roman"/>
          <w:sz w:val="32"/>
        </w:rPr>
      </w:pPr>
      <w:r>
        <w:rPr>
          <w:rFonts w:ascii="Times New Roman" w:hAnsi="Times New Roman" w:cs="Times New Roman"/>
          <w:sz w:val="32"/>
        </w:rPr>
        <w:t>（1）发生事件的时间、地点、信息来源、事件性质，简要经过，初步判断事件原因；</w:t>
      </w:r>
    </w:p>
    <w:p w14:paraId="6C2E2EB7">
      <w:pPr>
        <w:ind w:firstLine="632"/>
        <w:rPr>
          <w:rFonts w:ascii="Times New Roman" w:hAnsi="Times New Roman" w:cs="Times New Roman"/>
          <w:sz w:val="32"/>
        </w:rPr>
      </w:pPr>
      <w:r>
        <w:rPr>
          <w:rFonts w:ascii="Times New Roman" w:hAnsi="Times New Roman" w:cs="Times New Roman"/>
          <w:sz w:val="32"/>
        </w:rPr>
        <w:t>（2）事件造成的危害程度，影响用户（减压、无水）范围，人员伤亡情况，事件发展趋势；</w:t>
      </w:r>
    </w:p>
    <w:p w14:paraId="7978AE24">
      <w:pPr>
        <w:ind w:firstLine="632"/>
        <w:rPr>
          <w:rFonts w:ascii="Times New Roman" w:hAnsi="Times New Roman" w:cs="Times New Roman"/>
          <w:sz w:val="32"/>
        </w:rPr>
      </w:pPr>
      <w:r>
        <w:rPr>
          <w:rFonts w:ascii="Times New Roman" w:hAnsi="Times New Roman" w:cs="Times New Roman"/>
          <w:sz w:val="32"/>
        </w:rPr>
        <w:t>（3）事件发生后采取的先期处置措施及事件控制情况；</w:t>
      </w:r>
    </w:p>
    <w:p w14:paraId="4DABCB3B">
      <w:pPr>
        <w:ind w:firstLine="632"/>
        <w:rPr>
          <w:rFonts w:ascii="Times New Roman" w:hAnsi="Times New Roman" w:cs="Times New Roman"/>
          <w:sz w:val="32"/>
        </w:rPr>
      </w:pPr>
      <w:r>
        <w:rPr>
          <w:rFonts w:ascii="Times New Roman" w:hAnsi="Times New Roman" w:cs="Times New Roman"/>
          <w:sz w:val="32"/>
        </w:rPr>
        <w:t>（4）需要有关部门和单位协助抢救和处理的相关事宜及其他需上报的事项；</w:t>
      </w:r>
    </w:p>
    <w:p w14:paraId="5C014CBF">
      <w:pPr>
        <w:ind w:firstLine="632"/>
        <w:rPr>
          <w:rFonts w:ascii="Times New Roman" w:hAnsi="Times New Roman" w:cs="Times New Roman"/>
          <w:sz w:val="32"/>
        </w:rPr>
      </w:pPr>
      <w:r>
        <w:rPr>
          <w:rFonts w:ascii="Times New Roman" w:hAnsi="Times New Roman" w:cs="Times New Roman"/>
          <w:sz w:val="32"/>
        </w:rPr>
        <w:t>（5）事件报告单位负责人签字或加盖单位印章。</w:t>
      </w:r>
    </w:p>
    <w:p w14:paraId="05526E7B">
      <w:pPr>
        <w:pStyle w:val="4"/>
        <w:numPr>
          <w:ilvl w:val="2"/>
          <w:numId w:val="148"/>
        </w:numPr>
        <w:tabs>
          <w:tab w:val="left" w:pos="0"/>
        </w:tabs>
        <w:ind w:firstLine="0" w:firstLineChars="0"/>
        <w:rPr>
          <w:rFonts w:ascii="Times New Roman" w:hAnsi="Times New Roman" w:cs="Times New Roman"/>
          <w:sz w:val="32"/>
        </w:rPr>
      </w:pPr>
      <w:bookmarkStart w:id="810" w:name="_Toc5223"/>
      <w:bookmarkStart w:id="811" w:name="_Toc28158"/>
      <w:r>
        <w:rPr>
          <w:rFonts w:ascii="Times New Roman" w:hAnsi="Times New Roman" w:cs="Times New Roman"/>
          <w:sz w:val="32"/>
        </w:rPr>
        <w:t>信息共享和处置</w:t>
      </w:r>
      <w:bookmarkEnd w:id="810"/>
      <w:bookmarkEnd w:id="811"/>
    </w:p>
    <w:p w14:paraId="2B24FB1D">
      <w:pPr>
        <w:ind w:firstLine="632"/>
        <w:rPr>
          <w:rFonts w:ascii="Times New Roman" w:hAnsi="Times New Roman" w:cs="Times New Roman"/>
          <w:sz w:val="32"/>
        </w:rPr>
      </w:pPr>
      <w:r>
        <w:rPr>
          <w:rFonts w:ascii="Times New Roman" w:hAnsi="Times New Roman" w:cs="Times New Roman"/>
          <w:sz w:val="32"/>
        </w:rPr>
        <w:t>（1）信息共享和处理原则。城镇供水突发事件信息共享和处理的基本原则主要应包括“迅速、准确和直报”三原则：</w:t>
      </w:r>
    </w:p>
    <w:p w14:paraId="2C9950A9">
      <w:pPr>
        <w:ind w:firstLine="632"/>
        <w:rPr>
          <w:rFonts w:ascii="Times New Roman" w:hAnsi="Times New Roman" w:cs="Times New Roman"/>
          <w:sz w:val="32"/>
        </w:rPr>
      </w:pPr>
      <w:r>
        <w:rPr>
          <w:rFonts w:ascii="Times New Roman" w:hAnsi="Times New Roman" w:cs="Times New Roman"/>
          <w:sz w:val="32"/>
        </w:rPr>
        <w:t>①迅速：最先接到供水突发事件信息的单位应在第一时间报告；</w:t>
      </w:r>
    </w:p>
    <w:p w14:paraId="3FC4AAAB">
      <w:pPr>
        <w:ind w:firstLine="632"/>
        <w:rPr>
          <w:rFonts w:ascii="Times New Roman" w:hAnsi="Times New Roman" w:cs="Times New Roman"/>
          <w:sz w:val="32"/>
        </w:rPr>
      </w:pPr>
      <w:r>
        <w:rPr>
          <w:rFonts w:ascii="Times New Roman" w:hAnsi="Times New Roman" w:cs="Times New Roman"/>
          <w:sz w:val="32"/>
        </w:rPr>
        <w:t>②准确：报告内容要客观真实，不应主观臆断；</w:t>
      </w:r>
    </w:p>
    <w:p w14:paraId="5142B244">
      <w:pPr>
        <w:ind w:firstLine="632"/>
        <w:rPr>
          <w:rFonts w:ascii="Times New Roman" w:hAnsi="Times New Roman" w:cs="Times New Roman"/>
          <w:sz w:val="32"/>
        </w:rPr>
      </w:pPr>
      <w:r>
        <w:rPr>
          <w:rFonts w:ascii="Times New Roman" w:hAnsi="Times New Roman" w:cs="Times New Roman"/>
          <w:sz w:val="32"/>
        </w:rPr>
        <w:t>③直报：发生严重、特别严重城镇供水突发事件，最先接到供水突发事件信息的单位应报告应急指挥机构，由应急指挥机构报上一级应急指挥机构。</w:t>
      </w:r>
    </w:p>
    <w:p w14:paraId="541ED345">
      <w:pPr>
        <w:ind w:firstLine="632"/>
        <w:rPr>
          <w:rFonts w:ascii="Times New Roman" w:hAnsi="Times New Roman" w:cs="Times New Roman"/>
          <w:sz w:val="32"/>
        </w:rPr>
      </w:pPr>
      <w:r>
        <w:rPr>
          <w:rFonts w:ascii="Times New Roman" w:hAnsi="Times New Roman" w:cs="Times New Roman"/>
          <w:sz w:val="32"/>
        </w:rPr>
        <w:t>（2）信息共享和处理内容</w:t>
      </w:r>
    </w:p>
    <w:p w14:paraId="4A52BBD5">
      <w:pPr>
        <w:ind w:firstLine="632"/>
        <w:rPr>
          <w:rFonts w:ascii="Times New Roman" w:hAnsi="Times New Roman" w:cs="Times New Roman"/>
          <w:sz w:val="32"/>
        </w:rPr>
      </w:pPr>
      <w:r>
        <w:rPr>
          <w:rFonts w:ascii="Times New Roman" w:hAnsi="Times New Roman" w:cs="Times New Roman"/>
          <w:sz w:val="32"/>
        </w:rPr>
        <w:t>①接到城镇供水突发事件信息后，县供水应急指挥部办公室应立即核实其真实性，应判定事件类别和级别；无法核实其真实性的，应在1小时内指令事件发生地有关部门派员前往现场核实。</w:t>
      </w:r>
    </w:p>
    <w:p w14:paraId="0A5EC307">
      <w:pPr>
        <w:ind w:firstLine="632"/>
        <w:rPr>
          <w:rFonts w:ascii="Times New Roman" w:hAnsi="Times New Roman" w:cs="Times New Roman"/>
          <w:sz w:val="32"/>
        </w:rPr>
      </w:pPr>
      <w:r>
        <w:rPr>
          <w:rFonts w:ascii="Times New Roman" w:hAnsi="Times New Roman" w:cs="Times New Roman"/>
          <w:sz w:val="32"/>
        </w:rPr>
        <w:t>②供水突发事件一经确认，县供水应急指挥部办公室立即向县供水应急指挥部总指挥报告。</w:t>
      </w:r>
    </w:p>
    <w:p w14:paraId="726BEE96">
      <w:pPr>
        <w:ind w:firstLine="632"/>
        <w:rPr>
          <w:rFonts w:ascii="Times New Roman" w:hAnsi="Times New Roman" w:cs="Times New Roman"/>
          <w:sz w:val="32"/>
        </w:rPr>
      </w:pPr>
      <w:r>
        <w:rPr>
          <w:rFonts w:ascii="Times New Roman" w:hAnsi="Times New Roman" w:cs="Times New Roman"/>
          <w:sz w:val="32"/>
        </w:rPr>
        <w:t>③根据县供水应急指挥部办公室的报告，县供水应急指挥部视情决定启动应急预案。</w:t>
      </w:r>
    </w:p>
    <w:p w14:paraId="2F4D56AB">
      <w:pPr>
        <w:ind w:firstLine="632"/>
        <w:rPr>
          <w:rFonts w:ascii="Times New Roman" w:hAnsi="Times New Roman" w:cs="Times New Roman"/>
          <w:sz w:val="32"/>
        </w:rPr>
      </w:pPr>
      <w:r>
        <w:rPr>
          <w:rFonts w:ascii="Times New Roman" w:hAnsi="Times New Roman" w:cs="Times New Roman"/>
          <w:sz w:val="32"/>
        </w:rPr>
        <w:t>④县供水应急指挥部办公室应迅速通知专家工作组和专业抢险救援队伍做好应急准备，并应根据县供水应急指挥部指令赶赴事件现场。</w:t>
      </w:r>
    </w:p>
    <w:p w14:paraId="42F20FBD">
      <w:pPr>
        <w:ind w:firstLine="632"/>
        <w:rPr>
          <w:rFonts w:ascii="Times New Roman" w:hAnsi="Times New Roman" w:cs="Times New Roman"/>
          <w:sz w:val="32"/>
        </w:rPr>
      </w:pPr>
      <w:r>
        <w:rPr>
          <w:rFonts w:ascii="Times New Roman" w:hAnsi="Times New Roman" w:cs="Times New Roman"/>
          <w:sz w:val="32"/>
        </w:rPr>
        <w:t>⑤可能或发生Ⅰ级突发供水事件时，由县人民政府按程序及时通报相邻市、县。</w:t>
      </w:r>
    </w:p>
    <w:p w14:paraId="2B0ACED7">
      <w:pPr>
        <w:ind w:firstLine="632"/>
        <w:rPr>
          <w:rFonts w:ascii="Times New Roman" w:hAnsi="Times New Roman" w:cs="Times New Roman"/>
          <w:sz w:val="32"/>
        </w:rPr>
      </w:pPr>
      <w:r>
        <w:rPr>
          <w:rFonts w:ascii="Times New Roman" w:hAnsi="Times New Roman" w:cs="Times New Roman"/>
          <w:sz w:val="32"/>
        </w:rPr>
        <w:t>⑥可能或发生Ⅱ级突发供水事件，涉及或影响相邻市、县的，由县人民政府及时通报相邻地区；可能或发生Ⅲ级突发供水事件，涉及或影响到相邻市、县的，由县供水应急指挥部负责通报相邻地区。</w:t>
      </w:r>
    </w:p>
    <w:p w14:paraId="1635861E">
      <w:pPr>
        <w:pStyle w:val="3"/>
        <w:ind w:firstLine="0" w:firstLineChars="0"/>
        <w:rPr>
          <w:rFonts w:ascii="Times New Roman" w:hAnsi="Times New Roman" w:cs="Times New Roman"/>
          <w:sz w:val="32"/>
        </w:rPr>
      </w:pPr>
      <w:bookmarkStart w:id="812" w:name="_Toc4075"/>
      <w:bookmarkEnd w:id="812"/>
      <w:bookmarkStart w:id="813" w:name="_Toc12760"/>
      <w:bookmarkStart w:id="814" w:name="_Toc582"/>
      <w:r>
        <w:rPr>
          <w:rFonts w:ascii="Times New Roman" w:hAnsi="Times New Roman" w:cs="Times New Roman"/>
          <w:sz w:val="32"/>
        </w:rPr>
        <w:t>应急处置</w:t>
      </w:r>
      <w:bookmarkEnd w:id="813"/>
      <w:bookmarkEnd w:id="814"/>
    </w:p>
    <w:p w14:paraId="4D6CA34C">
      <w:pPr>
        <w:pStyle w:val="4"/>
        <w:numPr>
          <w:ilvl w:val="2"/>
          <w:numId w:val="148"/>
        </w:numPr>
        <w:tabs>
          <w:tab w:val="left" w:pos="0"/>
        </w:tabs>
        <w:ind w:firstLine="0" w:firstLineChars="0"/>
        <w:rPr>
          <w:rFonts w:ascii="Times New Roman" w:hAnsi="Times New Roman" w:cs="Times New Roman"/>
          <w:sz w:val="32"/>
        </w:rPr>
      </w:pPr>
      <w:bookmarkStart w:id="815" w:name="_Toc6590"/>
      <w:bookmarkStart w:id="816" w:name="_Toc31112"/>
      <w:r>
        <w:rPr>
          <w:rFonts w:ascii="Times New Roman" w:hAnsi="Times New Roman" w:cs="Times New Roman"/>
          <w:sz w:val="32"/>
        </w:rPr>
        <w:t>先期处置</w:t>
      </w:r>
      <w:bookmarkEnd w:id="815"/>
      <w:bookmarkEnd w:id="816"/>
    </w:p>
    <w:p w14:paraId="5BBFD4F6">
      <w:pPr>
        <w:ind w:firstLine="632"/>
        <w:rPr>
          <w:rFonts w:ascii="Times New Roman" w:hAnsi="Times New Roman" w:cs="Times New Roman"/>
          <w:sz w:val="32"/>
        </w:rPr>
      </w:pPr>
      <w:r>
        <w:rPr>
          <w:rFonts w:ascii="Times New Roman" w:hAnsi="Times New Roman" w:cs="Times New Roman"/>
          <w:sz w:val="32"/>
        </w:rPr>
        <w:t>（1）突发供水事件的评估</w:t>
      </w:r>
    </w:p>
    <w:p w14:paraId="0FF90C01">
      <w:pPr>
        <w:ind w:firstLine="632"/>
        <w:rPr>
          <w:rFonts w:ascii="Times New Roman" w:hAnsi="Times New Roman" w:cs="Times New Roman"/>
          <w:sz w:val="32"/>
        </w:rPr>
      </w:pPr>
      <w:r>
        <w:rPr>
          <w:rFonts w:ascii="Times New Roman" w:hAnsi="Times New Roman" w:cs="Times New Roman"/>
          <w:sz w:val="32"/>
        </w:rPr>
        <w:t>①评估内容：明确突发供水事件的性质和类别，预测可能的影响范围、发展趋势；确定突发事件的级别；评估应急处置措施是否得当，应急能力是否达到控制突发事件的需求等。</w:t>
      </w:r>
    </w:p>
    <w:p w14:paraId="40BE8EA3">
      <w:pPr>
        <w:ind w:firstLine="632"/>
        <w:rPr>
          <w:rFonts w:ascii="Times New Roman" w:hAnsi="Times New Roman" w:cs="Times New Roman"/>
          <w:sz w:val="32"/>
        </w:rPr>
      </w:pPr>
      <w:r>
        <w:rPr>
          <w:rFonts w:ascii="Times New Roman" w:hAnsi="Times New Roman" w:cs="Times New Roman"/>
          <w:sz w:val="32"/>
        </w:rPr>
        <w:t>②快速评估步骤：通过对突发供水事件发生地区进行现场调查、收集资料，并迅速对现有信息资料进行全面分析研究，提出评估意见，</w:t>
      </w:r>
    </w:p>
    <w:p w14:paraId="3B33A9F0">
      <w:pPr>
        <w:ind w:firstLine="632"/>
        <w:rPr>
          <w:rFonts w:ascii="Times New Roman" w:hAnsi="Times New Roman" w:cs="Times New Roman"/>
          <w:sz w:val="32"/>
        </w:rPr>
      </w:pPr>
      <w:r>
        <w:rPr>
          <w:rFonts w:ascii="Times New Roman" w:hAnsi="Times New Roman" w:cs="Times New Roman"/>
          <w:sz w:val="32"/>
        </w:rPr>
        <w:t>为技术应急和行政决策提供依据。</w:t>
      </w:r>
    </w:p>
    <w:p w14:paraId="1FB14A87">
      <w:pPr>
        <w:ind w:firstLine="632"/>
        <w:rPr>
          <w:rFonts w:ascii="Times New Roman" w:hAnsi="Times New Roman" w:cs="Times New Roman"/>
          <w:sz w:val="32"/>
        </w:rPr>
      </w:pPr>
      <w:r>
        <w:rPr>
          <w:rFonts w:ascii="Times New Roman" w:hAnsi="Times New Roman" w:cs="Times New Roman"/>
          <w:sz w:val="32"/>
        </w:rPr>
        <w:t>（2）突发供水事件的确认。Ⅰ级供水突发事件由双鸭山市人民政府负责组织专家进行确认；Ⅱ级和Ⅲ级供水突发事件由县供水应急指挥部负责组织专家进行确认。</w:t>
      </w:r>
    </w:p>
    <w:p w14:paraId="5B43B104">
      <w:pPr>
        <w:ind w:firstLine="632"/>
        <w:rPr>
          <w:rFonts w:ascii="Times New Roman" w:hAnsi="Times New Roman" w:cs="Times New Roman"/>
          <w:sz w:val="32"/>
        </w:rPr>
      </w:pPr>
      <w:r>
        <w:rPr>
          <w:rFonts w:ascii="Times New Roman" w:hAnsi="Times New Roman" w:cs="Times New Roman"/>
          <w:sz w:val="32"/>
        </w:rPr>
        <w:t>（3）先期处置措施。发生或即将发生突发供水事件的信息得到核实后，在尚未划定突发供水事件级别之前，事发地乡镇人民政府分管领导和有关单位负责人接报后，要立即赶赴现场，迅速组织开展应急救援工作，采取措施控制事态发展，并及时向上级人民政府报告。</w:t>
      </w:r>
    </w:p>
    <w:p w14:paraId="3B3CAA97">
      <w:pPr>
        <w:ind w:firstLine="632"/>
        <w:rPr>
          <w:rFonts w:ascii="Times New Roman" w:hAnsi="Times New Roman" w:cs="Times New Roman"/>
          <w:sz w:val="32"/>
        </w:rPr>
      </w:pPr>
      <w:r>
        <w:rPr>
          <w:rFonts w:ascii="Times New Roman" w:hAnsi="Times New Roman" w:cs="Times New Roman"/>
          <w:sz w:val="32"/>
        </w:rPr>
        <w:t>先期处置可采取以下应急措施：</w:t>
      </w:r>
    </w:p>
    <w:p w14:paraId="7E4BAB65">
      <w:pPr>
        <w:ind w:firstLine="632"/>
        <w:rPr>
          <w:rFonts w:ascii="Times New Roman" w:hAnsi="Times New Roman" w:cs="Times New Roman"/>
          <w:sz w:val="32"/>
        </w:rPr>
      </w:pPr>
      <w:r>
        <w:rPr>
          <w:rFonts w:ascii="Times New Roman" w:hAnsi="Times New Roman" w:cs="Times New Roman"/>
          <w:sz w:val="32"/>
        </w:rPr>
        <w:t>①实施紧急疏散和救援行动，组织群众开展自救互救；</w:t>
      </w:r>
    </w:p>
    <w:p w14:paraId="5FDF4701">
      <w:pPr>
        <w:ind w:firstLine="632"/>
        <w:rPr>
          <w:rFonts w:ascii="Times New Roman" w:hAnsi="Times New Roman" w:cs="Times New Roman"/>
          <w:sz w:val="32"/>
        </w:rPr>
      </w:pPr>
      <w:r>
        <w:rPr>
          <w:rFonts w:ascii="Times New Roman" w:hAnsi="Times New Roman" w:cs="Times New Roman"/>
          <w:sz w:val="32"/>
        </w:rPr>
        <w:t>②紧急调配行政区域内的应急资源用于应急处置；</w:t>
      </w:r>
    </w:p>
    <w:p w14:paraId="479005F2">
      <w:pPr>
        <w:ind w:firstLine="632"/>
        <w:rPr>
          <w:rFonts w:ascii="Times New Roman" w:hAnsi="Times New Roman" w:cs="Times New Roman"/>
          <w:sz w:val="32"/>
        </w:rPr>
      </w:pPr>
      <w:r>
        <w:rPr>
          <w:rFonts w:ascii="Times New Roman" w:hAnsi="Times New Roman" w:cs="Times New Roman"/>
          <w:sz w:val="32"/>
        </w:rPr>
        <w:t>③划定警戒区域，采取必要管制措施；</w:t>
      </w:r>
    </w:p>
    <w:p w14:paraId="65402E77">
      <w:pPr>
        <w:ind w:firstLine="632"/>
        <w:rPr>
          <w:rFonts w:ascii="Times New Roman" w:hAnsi="Times New Roman" w:cs="Times New Roman"/>
          <w:sz w:val="32"/>
        </w:rPr>
      </w:pPr>
      <w:r>
        <w:rPr>
          <w:rFonts w:ascii="Times New Roman" w:hAnsi="Times New Roman" w:cs="Times New Roman"/>
          <w:sz w:val="32"/>
        </w:rPr>
        <w:t>④实施动态监测，进一步调查核实情况；</w:t>
      </w:r>
    </w:p>
    <w:p w14:paraId="6A605C08">
      <w:pPr>
        <w:ind w:firstLine="632"/>
        <w:rPr>
          <w:rFonts w:ascii="Times New Roman" w:hAnsi="Times New Roman" w:cs="Times New Roman"/>
          <w:sz w:val="32"/>
        </w:rPr>
      </w:pPr>
      <w:r>
        <w:rPr>
          <w:rFonts w:ascii="Times New Roman" w:hAnsi="Times New Roman" w:cs="Times New Roman"/>
          <w:sz w:val="32"/>
        </w:rPr>
        <w:t>⑤向社会发出避险警告或预警信息；</w:t>
      </w:r>
    </w:p>
    <w:p w14:paraId="633B4B61">
      <w:pPr>
        <w:ind w:firstLine="632"/>
        <w:rPr>
          <w:rFonts w:ascii="Times New Roman" w:hAnsi="Times New Roman" w:cs="Times New Roman"/>
          <w:sz w:val="32"/>
        </w:rPr>
      </w:pPr>
      <w:r>
        <w:rPr>
          <w:rFonts w:ascii="Times New Roman" w:hAnsi="Times New Roman" w:cs="Times New Roman"/>
          <w:sz w:val="32"/>
        </w:rPr>
        <w:t>⑥有可能波及其他乡镇的，要及时通报；</w:t>
      </w:r>
    </w:p>
    <w:p w14:paraId="745733C1">
      <w:pPr>
        <w:ind w:firstLine="632"/>
        <w:rPr>
          <w:rFonts w:ascii="Times New Roman" w:hAnsi="Times New Roman" w:cs="Times New Roman"/>
          <w:sz w:val="32"/>
        </w:rPr>
      </w:pPr>
      <w:r>
        <w:rPr>
          <w:rFonts w:ascii="Times New Roman" w:hAnsi="Times New Roman" w:cs="Times New Roman"/>
          <w:sz w:val="32"/>
        </w:rPr>
        <w:t>⑦其他必要的先期处置措施。</w:t>
      </w:r>
    </w:p>
    <w:p w14:paraId="6ADAA580">
      <w:pPr>
        <w:pStyle w:val="4"/>
        <w:numPr>
          <w:ilvl w:val="2"/>
          <w:numId w:val="148"/>
        </w:numPr>
        <w:tabs>
          <w:tab w:val="left" w:pos="0"/>
        </w:tabs>
        <w:ind w:firstLine="0" w:firstLineChars="0"/>
        <w:rPr>
          <w:rFonts w:ascii="Times New Roman" w:hAnsi="Times New Roman" w:cs="Times New Roman"/>
          <w:sz w:val="32"/>
        </w:rPr>
      </w:pPr>
      <w:bookmarkStart w:id="817" w:name="_Toc2398"/>
      <w:bookmarkStart w:id="818" w:name="_Toc3685"/>
      <w:r>
        <w:rPr>
          <w:rFonts w:ascii="Times New Roman" w:hAnsi="Times New Roman" w:cs="Times New Roman"/>
          <w:sz w:val="32"/>
        </w:rPr>
        <w:t>扩大应急</w:t>
      </w:r>
      <w:bookmarkEnd w:id="817"/>
      <w:bookmarkEnd w:id="818"/>
    </w:p>
    <w:p w14:paraId="26CC50A7">
      <w:pPr>
        <w:ind w:firstLine="632"/>
        <w:rPr>
          <w:rFonts w:ascii="Times New Roman" w:hAnsi="Times New Roman" w:cs="Times New Roman"/>
          <w:sz w:val="32"/>
        </w:rPr>
      </w:pPr>
      <w:r>
        <w:rPr>
          <w:rFonts w:ascii="Times New Roman" w:hAnsi="Times New Roman" w:cs="Times New Roman"/>
          <w:sz w:val="32"/>
        </w:rPr>
        <w:t>（1）Ⅲ级扩大应急。在采取先期处置措施基础上，达到Ⅲ级突发供水事件标准的，由事发地乡镇人民政府负责处置，县人民政府及有关部门进行指导和协助。</w:t>
      </w:r>
    </w:p>
    <w:p w14:paraId="54360B86">
      <w:pPr>
        <w:ind w:firstLine="632"/>
        <w:rPr>
          <w:rFonts w:ascii="Times New Roman" w:hAnsi="Times New Roman" w:cs="Times New Roman"/>
          <w:sz w:val="32"/>
        </w:rPr>
      </w:pPr>
      <w:r>
        <w:rPr>
          <w:rFonts w:ascii="Times New Roman" w:hAnsi="Times New Roman" w:cs="Times New Roman"/>
          <w:sz w:val="32"/>
        </w:rPr>
        <w:t>（2）Ⅱ级扩大应急。在采取先期处置措施基础上，根据事发地乡镇人民政府的报告，达到Ⅱ级突发供水事件标准的，由县供水应急指挥部决定启动本预案及有关专项预案，采取进一步的措施进行处置：</w:t>
      </w:r>
    </w:p>
    <w:p w14:paraId="6678E838">
      <w:pPr>
        <w:ind w:firstLine="632"/>
        <w:rPr>
          <w:rFonts w:ascii="Times New Roman" w:hAnsi="Times New Roman" w:cs="Times New Roman"/>
          <w:sz w:val="32"/>
        </w:rPr>
      </w:pPr>
      <w:r>
        <w:rPr>
          <w:rFonts w:ascii="Times New Roman" w:hAnsi="Times New Roman" w:cs="Times New Roman"/>
          <w:sz w:val="32"/>
        </w:rPr>
        <w:t>①成立现场应急指挥部，召开指挥部工作会议；</w:t>
      </w:r>
    </w:p>
    <w:p w14:paraId="586E3451">
      <w:pPr>
        <w:ind w:firstLine="632"/>
        <w:rPr>
          <w:rFonts w:ascii="Times New Roman" w:hAnsi="Times New Roman" w:cs="Times New Roman"/>
          <w:sz w:val="32"/>
        </w:rPr>
      </w:pPr>
      <w:r>
        <w:rPr>
          <w:rFonts w:ascii="Times New Roman" w:hAnsi="Times New Roman" w:cs="Times New Roman"/>
          <w:sz w:val="32"/>
        </w:rPr>
        <w:t>②指挥部办公室负责现场信息的收集报告和联络协调工作；</w:t>
      </w:r>
    </w:p>
    <w:p w14:paraId="55A28A42">
      <w:pPr>
        <w:ind w:firstLine="632"/>
        <w:rPr>
          <w:rFonts w:ascii="Times New Roman" w:hAnsi="Times New Roman" w:cs="Times New Roman"/>
          <w:sz w:val="32"/>
        </w:rPr>
      </w:pPr>
      <w:r>
        <w:rPr>
          <w:rFonts w:ascii="Times New Roman" w:hAnsi="Times New Roman" w:cs="Times New Roman"/>
          <w:sz w:val="32"/>
        </w:rPr>
        <w:t>③发布启动有关应急预案的指令；</w:t>
      </w:r>
    </w:p>
    <w:p w14:paraId="5E59E9BB">
      <w:pPr>
        <w:ind w:firstLine="632"/>
        <w:rPr>
          <w:rFonts w:ascii="Times New Roman" w:hAnsi="Times New Roman" w:cs="Times New Roman"/>
          <w:sz w:val="32"/>
        </w:rPr>
      </w:pPr>
      <w:r>
        <w:rPr>
          <w:rFonts w:ascii="Times New Roman" w:hAnsi="Times New Roman" w:cs="Times New Roman"/>
          <w:sz w:val="32"/>
        </w:rPr>
        <w:t>④对事发地乡镇人民政府作出具体指示，责成县级有关部门采取相应的应急措施；</w:t>
      </w:r>
    </w:p>
    <w:p w14:paraId="6830FE34">
      <w:pPr>
        <w:ind w:firstLine="632"/>
        <w:rPr>
          <w:rFonts w:ascii="Times New Roman" w:hAnsi="Times New Roman" w:cs="Times New Roman"/>
          <w:sz w:val="32"/>
        </w:rPr>
      </w:pPr>
      <w:r>
        <w:rPr>
          <w:rFonts w:ascii="Times New Roman" w:hAnsi="Times New Roman" w:cs="Times New Roman"/>
          <w:sz w:val="32"/>
        </w:rPr>
        <w:t>⑤调集专业处置力量和抢险救援物资增援；</w:t>
      </w:r>
    </w:p>
    <w:p w14:paraId="7B5A4ABD">
      <w:pPr>
        <w:ind w:firstLine="632"/>
        <w:rPr>
          <w:rFonts w:ascii="Times New Roman" w:hAnsi="Times New Roman" w:cs="Times New Roman"/>
          <w:sz w:val="32"/>
        </w:rPr>
      </w:pPr>
      <w:r>
        <w:rPr>
          <w:rFonts w:ascii="Times New Roman" w:hAnsi="Times New Roman" w:cs="Times New Roman"/>
          <w:sz w:val="32"/>
        </w:rPr>
        <w:t>⑥根据突发供水事件的级别和发展态势，县供水应急指挥部副总指挥赶赴事发地靠前指挥。必要时，县供水应急指挥部总指挥到现场指挥；</w:t>
      </w:r>
    </w:p>
    <w:p w14:paraId="6601A05A">
      <w:pPr>
        <w:ind w:firstLine="632"/>
        <w:rPr>
          <w:rFonts w:ascii="Times New Roman" w:hAnsi="Times New Roman" w:cs="Times New Roman"/>
          <w:sz w:val="32"/>
        </w:rPr>
      </w:pPr>
      <w:r>
        <w:rPr>
          <w:rFonts w:ascii="Times New Roman" w:hAnsi="Times New Roman" w:cs="Times New Roman"/>
          <w:sz w:val="32"/>
        </w:rPr>
        <w:t>⑦向县委、县政府报告，向周边市、县通报情况。</w:t>
      </w:r>
    </w:p>
    <w:p w14:paraId="0AE8AF1F">
      <w:pPr>
        <w:ind w:firstLine="632"/>
        <w:rPr>
          <w:rFonts w:ascii="Times New Roman" w:hAnsi="Times New Roman" w:cs="Times New Roman"/>
          <w:sz w:val="32"/>
        </w:rPr>
      </w:pPr>
      <w:r>
        <w:rPr>
          <w:rFonts w:ascii="Times New Roman" w:hAnsi="Times New Roman" w:cs="Times New Roman"/>
          <w:sz w:val="32"/>
        </w:rPr>
        <w:t>⑨传达落实省委、省政府和市委、市政府领导的指示。</w:t>
      </w:r>
    </w:p>
    <w:p w14:paraId="1C42CA9A">
      <w:pPr>
        <w:ind w:firstLine="632"/>
        <w:rPr>
          <w:rFonts w:ascii="Times New Roman" w:hAnsi="Times New Roman" w:cs="Times New Roman"/>
          <w:sz w:val="32"/>
        </w:rPr>
      </w:pPr>
      <w:r>
        <w:rPr>
          <w:rFonts w:ascii="Times New Roman" w:hAnsi="Times New Roman" w:cs="Times New Roman"/>
          <w:sz w:val="32"/>
        </w:rPr>
        <w:t>（3）Ⅰ级扩大应急。达到Ⅰ级突发供水事件标准的，由县供水应急指挥部向双鸭山市</w:t>
      </w:r>
      <w:r>
        <w:rPr>
          <w:rFonts w:hint="eastAsia" w:ascii="Times New Roman" w:hAnsi="Times New Roman" w:cs="Times New Roman"/>
          <w:sz w:val="32"/>
        </w:rPr>
        <w:t>人民</w:t>
      </w:r>
      <w:r>
        <w:rPr>
          <w:rFonts w:ascii="Times New Roman" w:hAnsi="Times New Roman" w:cs="Times New Roman"/>
          <w:sz w:val="32"/>
        </w:rPr>
        <w:t>政府报告突发事件信息，最迟不应超过2小时。同时，应根据职责和规定的权限启动有关应急预案，及时、有效地进行处置，控制事态发展。待上级预案启动后，在上级应急领导机构的指挥下开展处置工作。</w:t>
      </w:r>
    </w:p>
    <w:p w14:paraId="2E1F0CCA">
      <w:pPr>
        <w:pStyle w:val="4"/>
        <w:numPr>
          <w:ilvl w:val="2"/>
          <w:numId w:val="148"/>
        </w:numPr>
        <w:tabs>
          <w:tab w:val="left" w:pos="0"/>
        </w:tabs>
        <w:ind w:firstLine="0" w:firstLineChars="0"/>
        <w:rPr>
          <w:rFonts w:ascii="Times New Roman" w:hAnsi="Times New Roman" w:cs="Times New Roman"/>
          <w:sz w:val="32"/>
        </w:rPr>
      </w:pPr>
      <w:bookmarkStart w:id="819" w:name="_Toc822"/>
      <w:bookmarkStart w:id="820" w:name="_Toc9310"/>
      <w:r>
        <w:rPr>
          <w:rFonts w:ascii="Times New Roman" w:hAnsi="Times New Roman" w:cs="Times New Roman"/>
          <w:sz w:val="32"/>
        </w:rPr>
        <w:t>指挥和协调</w:t>
      </w:r>
      <w:bookmarkEnd w:id="819"/>
      <w:bookmarkEnd w:id="820"/>
    </w:p>
    <w:p w14:paraId="6F0F74C3">
      <w:pPr>
        <w:ind w:firstLine="632"/>
        <w:rPr>
          <w:rFonts w:ascii="Times New Roman" w:hAnsi="Times New Roman" w:cs="Times New Roman"/>
          <w:sz w:val="32"/>
        </w:rPr>
      </w:pPr>
      <w:r>
        <w:rPr>
          <w:rFonts w:ascii="Times New Roman" w:hAnsi="Times New Roman" w:cs="Times New Roman"/>
          <w:sz w:val="32"/>
        </w:rPr>
        <w:t>进入Ⅰ级响应后，县供水应急指挥部在双鸭山市政府的统一领导和指挥下，按照预案有关规定实施应急救援。</w:t>
      </w:r>
    </w:p>
    <w:p w14:paraId="5BC04202">
      <w:pPr>
        <w:ind w:firstLine="632"/>
        <w:rPr>
          <w:rFonts w:ascii="Times New Roman" w:hAnsi="Times New Roman" w:cs="Times New Roman"/>
          <w:sz w:val="32"/>
        </w:rPr>
      </w:pPr>
      <w:r>
        <w:rPr>
          <w:rFonts w:ascii="Times New Roman" w:hAnsi="Times New Roman" w:cs="Times New Roman"/>
          <w:sz w:val="32"/>
        </w:rPr>
        <w:t>进入Ⅱ级响应后，县供水应急指挥部统一领导和指挥协调事件的应急处置工作。县供水应急指挥部办公室负责协调成员单位及其应急机构、救援队伍参与应急救援。相关机构按照各自应急预案提供支援或保障，有关应急队伍在现场指挥部统一指挥下，密切配合，共同实施救援和采取紧急处理行动。</w:t>
      </w:r>
    </w:p>
    <w:p w14:paraId="1EC1197F">
      <w:pPr>
        <w:pStyle w:val="4"/>
        <w:numPr>
          <w:ilvl w:val="2"/>
          <w:numId w:val="148"/>
        </w:numPr>
        <w:tabs>
          <w:tab w:val="left" w:pos="0"/>
        </w:tabs>
        <w:ind w:firstLine="0" w:firstLineChars="0"/>
        <w:rPr>
          <w:rFonts w:ascii="Times New Roman" w:hAnsi="Times New Roman" w:cs="Times New Roman"/>
          <w:sz w:val="32"/>
        </w:rPr>
      </w:pPr>
      <w:bookmarkStart w:id="821" w:name="_Toc15122"/>
      <w:bookmarkStart w:id="822" w:name="_Toc25429"/>
      <w:r>
        <w:rPr>
          <w:rFonts w:ascii="Times New Roman" w:hAnsi="Times New Roman" w:cs="Times New Roman"/>
          <w:sz w:val="32"/>
        </w:rPr>
        <w:t>紧急处置</w:t>
      </w:r>
      <w:bookmarkEnd w:id="821"/>
      <w:bookmarkEnd w:id="822"/>
    </w:p>
    <w:p w14:paraId="415CB41A">
      <w:pPr>
        <w:ind w:firstLine="632"/>
        <w:rPr>
          <w:rFonts w:ascii="Times New Roman" w:hAnsi="Times New Roman" w:cs="Times New Roman"/>
          <w:sz w:val="32"/>
        </w:rPr>
      </w:pPr>
      <w:r>
        <w:rPr>
          <w:rFonts w:ascii="Times New Roman" w:hAnsi="Times New Roman" w:cs="Times New Roman"/>
          <w:sz w:val="32"/>
        </w:rPr>
        <w:t>（1）城镇供水突发事件发生单位和归口管理部门以及应急指挥机构办公室，接报后应按下列规定处理：</w:t>
      </w:r>
    </w:p>
    <w:p w14:paraId="03A77325">
      <w:pPr>
        <w:ind w:firstLine="632"/>
        <w:rPr>
          <w:rFonts w:ascii="Times New Roman" w:hAnsi="Times New Roman" w:cs="Times New Roman"/>
          <w:sz w:val="32"/>
        </w:rPr>
      </w:pPr>
      <w:r>
        <w:rPr>
          <w:rFonts w:ascii="Times New Roman" w:hAnsi="Times New Roman" w:cs="Times New Roman"/>
          <w:sz w:val="32"/>
        </w:rPr>
        <w:t>①迅速采取有效应急措施、组织抢救，防止事件扩大；</w:t>
      </w:r>
    </w:p>
    <w:p w14:paraId="4D6053E9">
      <w:pPr>
        <w:ind w:firstLine="632"/>
        <w:rPr>
          <w:rFonts w:ascii="Times New Roman" w:hAnsi="Times New Roman" w:cs="Times New Roman"/>
          <w:sz w:val="32"/>
        </w:rPr>
      </w:pPr>
      <w:r>
        <w:rPr>
          <w:rFonts w:ascii="Times New Roman" w:hAnsi="Times New Roman" w:cs="Times New Roman"/>
          <w:sz w:val="32"/>
        </w:rPr>
        <w:t>②迅速派人赶赴事件现场，负责维护现场秩序和信息收集工作；</w:t>
      </w:r>
    </w:p>
    <w:p w14:paraId="0A9ACF0C">
      <w:pPr>
        <w:ind w:firstLine="632"/>
        <w:rPr>
          <w:rFonts w:ascii="Times New Roman" w:hAnsi="Times New Roman" w:cs="Times New Roman"/>
          <w:sz w:val="32"/>
        </w:rPr>
      </w:pPr>
      <w:r>
        <w:rPr>
          <w:rFonts w:ascii="Times New Roman" w:hAnsi="Times New Roman" w:cs="Times New Roman"/>
          <w:sz w:val="32"/>
        </w:rPr>
        <w:t>③服从应急指挥机构统一部署和指挥，协调组织抢险救灾和调查处理等事宜，按照各自的预案和处置规程，共同实施供水应急和紧急处置工作，并及时报告事态趋势及状况；</w:t>
      </w:r>
    </w:p>
    <w:p w14:paraId="4E796ACF">
      <w:pPr>
        <w:ind w:firstLine="632"/>
        <w:rPr>
          <w:rFonts w:ascii="Times New Roman" w:hAnsi="Times New Roman" w:cs="Times New Roman"/>
          <w:sz w:val="32"/>
        </w:rPr>
      </w:pPr>
      <w:r>
        <w:rPr>
          <w:rFonts w:ascii="Times New Roman" w:hAnsi="Times New Roman" w:cs="Times New Roman"/>
          <w:sz w:val="32"/>
        </w:rPr>
        <w:t>④供水突发事件的责任单位及归口管理部门应在事件发生后2小时内写出事件快报，报送应急指挥机构，如情况紧急可越级上报。</w:t>
      </w:r>
    </w:p>
    <w:p w14:paraId="43AF64C6">
      <w:pPr>
        <w:ind w:firstLine="632"/>
        <w:rPr>
          <w:rFonts w:ascii="Times New Roman" w:hAnsi="Times New Roman" w:cs="Times New Roman"/>
          <w:sz w:val="32"/>
        </w:rPr>
      </w:pPr>
      <w:r>
        <w:rPr>
          <w:rFonts w:ascii="Times New Roman" w:hAnsi="Times New Roman" w:cs="Times New Roman"/>
          <w:sz w:val="32"/>
        </w:rPr>
        <w:t>（2）当县级城镇供水突发事件当地应急力量不足时，应报请双鸭山市政府予以支援。</w:t>
      </w:r>
    </w:p>
    <w:p w14:paraId="27493FAE">
      <w:pPr>
        <w:pStyle w:val="4"/>
        <w:numPr>
          <w:ilvl w:val="2"/>
          <w:numId w:val="148"/>
        </w:numPr>
        <w:tabs>
          <w:tab w:val="left" w:pos="0"/>
        </w:tabs>
        <w:ind w:firstLine="0" w:firstLineChars="0"/>
        <w:rPr>
          <w:rFonts w:ascii="Times New Roman" w:hAnsi="Times New Roman" w:cs="Times New Roman"/>
          <w:sz w:val="32"/>
        </w:rPr>
      </w:pPr>
      <w:bookmarkStart w:id="823" w:name="_Toc32517"/>
      <w:bookmarkStart w:id="824" w:name="_Toc19899"/>
      <w:r>
        <w:rPr>
          <w:rFonts w:ascii="Times New Roman" w:hAnsi="Times New Roman" w:cs="Times New Roman"/>
          <w:sz w:val="32"/>
        </w:rPr>
        <w:t>治安维护</w:t>
      </w:r>
      <w:bookmarkEnd w:id="823"/>
      <w:bookmarkEnd w:id="824"/>
    </w:p>
    <w:p w14:paraId="0073E380">
      <w:pPr>
        <w:ind w:firstLine="632"/>
        <w:rPr>
          <w:rFonts w:ascii="Times New Roman" w:hAnsi="Times New Roman" w:cs="Times New Roman"/>
          <w:sz w:val="32"/>
        </w:rPr>
      </w:pPr>
      <w:r>
        <w:rPr>
          <w:rFonts w:ascii="Times New Roman" w:hAnsi="Times New Roman" w:cs="Times New Roman"/>
          <w:sz w:val="32"/>
        </w:rPr>
        <w:t>县公安局按照有关规定，参与应急处置和治安维护工作。要加强对重点地区、重点场所、重点人群、重要物资和设备的安全防护，依法严厉打击违法犯罪活动。必要时，依法采取有效管制措施，控制事态，维护社会秩序。</w:t>
      </w:r>
    </w:p>
    <w:p w14:paraId="211F15DF">
      <w:pPr>
        <w:pStyle w:val="4"/>
        <w:numPr>
          <w:ilvl w:val="2"/>
          <w:numId w:val="148"/>
        </w:numPr>
        <w:tabs>
          <w:tab w:val="left" w:pos="0"/>
        </w:tabs>
        <w:ind w:firstLine="0" w:firstLineChars="0"/>
        <w:rPr>
          <w:rFonts w:ascii="Times New Roman" w:hAnsi="Times New Roman" w:cs="Times New Roman"/>
          <w:sz w:val="32"/>
        </w:rPr>
      </w:pPr>
      <w:bookmarkStart w:id="825" w:name="_Toc7561"/>
      <w:bookmarkStart w:id="826" w:name="_Toc23256"/>
      <w:r>
        <w:rPr>
          <w:rFonts w:ascii="Times New Roman" w:hAnsi="Times New Roman" w:cs="Times New Roman"/>
          <w:sz w:val="32"/>
        </w:rPr>
        <w:t>人员防护</w:t>
      </w:r>
      <w:bookmarkEnd w:id="825"/>
      <w:bookmarkEnd w:id="826"/>
    </w:p>
    <w:p w14:paraId="277B7971">
      <w:pPr>
        <w:ind w:firstLine="632"/>
        <w:rPr>
          <w:rFonts w:ascii="Times New Roman" w:hAnsi="Times New Roman" w:cs="Times New Roman"/>
          <w:sz w:val="32"/>
        </w:rPr>
      </w:pPr>
      <w:r>
        <w:rPr>
          <w:rFonts w:ascii="Times New Roman" w:hAnsi="Times New Roman" w:cs="Times New Roman"/>
          <w:sz w:val="32"/>
        </w:rPr>
        <w:t>各乡镇人民政府要指定或建立与人口密度、城镇规模相适应的城镇供水突发事件应急避险场所，完善紧急疏散管理办法和程序，明确责任人，确保在紧急情况下公众安全、有序地转移或疏散。</w:t>
      </w:r>
    </w:p>
    <w:p w14:paraId="193EEB1A">
      <w:pPr>
        <w:ind w:firstLine="632"/>
        <w:rPr>
          <w:rFonts w:ascii="Times New Roman" w:hAnsi="Times New Roman" w:cs="Times New Roman"/>
          <w:sz w:val="32"/>
        </w:rPr>
      </w:pPr>
      <w:r>
        <w:rPr>
          <w:rFonts w:ascii="Times New Roman" w:hAnsi="Times New Roman" w:cs="Times New Roman"/>
          <w:sz w:val="32"/>
        </w:rPr>
        <w:t>根据不同类型城镇供水突发事件发生时对抢险救援人员危害性的不同，在抢险救援队伍进行应急抢险救援任务之前，为应急人员配备相应应急装备和防护装备，明确进入和离开事件现场的程序，确保应急人员的安全。</w:t>
      </w:r>
    </w:p>
    <w:p w14:paraId="34CE67BE">
      <w:pPr>
        <w:pStyle w:val="4"/>
        <w:numPr>
          <w:ilvl w:val="2"/>
          <w:numId w:val="148"/>
        </w:numPr>
        <w:tabs>
          <w:tab w:val="left" w:pos="0"/>
        </w:tabs>
        <w:ind w:firstLine="0" w:firstLineChars="0"/>
        <w:rPr>
          <w:rFonts w:ascii="Times New Roman" w:hAnsi="Times New Roman" w:cs="Times New Roman"/>
          <w:sz w:val="32"/>
        </w:rPr>
      </w:pPr>
      <w:bookmarkStart w:id="827" w:name="_Toc18434"/>
      <w:bookmarkStart w:id="828" w:name="_Toc15384"/>
      <w:r>
        <w:rPr>
          <w:rFonts w:ascii="Times New Roman" w:hAnsi="Times New Roman" w:cs="Times New Roman"/>
          <w:sz w:val="32"/>
        </w:rPr>
        <w:t>社会力量动员与参与</w:t>
      </w:r>
      <w:bookmarkEnd w:id="827"/>
      <w:bookmarkEnd w:id="828"/>
    </w:p>
    <w:p w14:paraId="7F873D87">
      <w:pPr>
        <w:ind w:firstLine="632"/>
        <w:rPr>
          <w:rFonts w:ascii="Times New Roman" w:hAnsi="Times New Roman" w:cs="Times New Roman"/>
          <w:sz w:val="32"/>
        </w:rPr>
      </w:pPr>
      <w:r>
        <w:rPr>
          <w:rFonts w:ascii="Times New Roman" w:hAnsi="Times New Roman" w:cs="Times New Roman"/>
          <w:sz w:val="32"/>
        </w:rPr>
        <w:t>如供水突发事件进一步升级，需要广大社会力量予以支援时，由县供水应急指挥部会同应急管理部门按照有关规定，确定社会力量动员范围、组织秩序、决策程序进行等，发动社会力量为当地群众提供资金和物资帮助。</w:t>
      </w:r>
    </w:p>
    <w:p w14:paraId="0BE95AB4">
      <w:pPr>
        <w:pStyle w:val="4"/>
        <w:numPr>
          <w:ilvl w:val="2"/>
          <w:numId w:val="148"/>
        </w:numPr>
        <w:tabs>
          <w:tab w:val="left" w:pos="0"/>
        </w:tabs>
        <w:ind w:firstLine="0" w:firstLineChars="0"/>
        <w:rPr>
          <w:rFonts w:ascii="Times New Roman" w:hAnsi="Times New Roman" w:cs="Times New Roman"/>
          <w:sz w:val="32"/>
        </w:rPr>
      </w:pPr>
      <w:bookmarkStart w:id="829" w:name="_Toc1675"/>
      <w:bookmarkStart w:id="830" w:name="_Toc5808"/>
      <w:r>
        <w:rPr>
          <w:rFonts w:ascii="Times New Roman" w:hAnsi="Times New Roman" w:cs="Times New Roman"/>
          <w:sz w:val="32"/>
        </w:rPr>
        <w:t>信息发布</w:t>
      </w:r>
      <w:bookmarkEnd w:id="829"/>
      <w:bookmarkEnd w:id="830"/>
    </w:p>
    <w:p w14:paraId="58778908">
      <w:pPr>
        <w:ind w:firstLine="632"/>
        <w:rPr>
          <w:rFonts w:ascii="Times New Roman" w:hAnsi="Times New Roman" w:cs="Times New Roman"/>
          <w:sz w:val="32"/>
        </w:rPr>
      </w:pPr>
      <w:r>
        <w:rPr>
          <w:rFonts w:ascii="Times New Roman" w:hAnsi="Times New Roman" w:cs="Times New Roman"/>
          <w:sz w:val="32"/>
        </w:rPr>
        <w:t>县委宣传部通过政府授权发布新闻稿、接受记者采访、举行新闻发布会、组织专家解读等方式，借助电视、广播、互联网等多种途径，主动、及时、准确、客观向社会发布城镇供水突发事件和应对工作信息，回应社会关切，澄清不实信息，正确引导社会舆论。信息发布内容包括事件原因、损害程度、影响范围、应对措施、需要公众配合采取的措施、公众防范常识和事件调查处理情况等。</w:t>
      </w:r>
    </w:p>
    <w:p w14:paraId="2B6102F1">
      <w:pPr>
        <w:pStyle w:val="3"/>
        <w:ind w:firstLine="0" w:firstLineChars="0"/>
        <w:rPr>
          <w:rFonts w:ascii="Times New Roman" w:hAnsi="Times New Roman" w:cs="Times New Roman"/>
          <w:sz w:val="32"/>
        </w:rPr>
      </w:pPr>
      <w:bookmarkStart w:id="831" w:name="_Toc5186"/>
      <w:bookmarkEnd w:id="831"/>
      <w:bookmarkStart w:id="832" w:name="_Toc2351"/>
      <w:bookmarkStart w:id="833" w:name="_Toc14207"/>
      <w:r>
        <w:rPr>
          <w:rFonts w:ascii="Times New Roman" w:hAnsi="Times New Roman" w:cs="Times New Roman"/>
          <w:sz w:val="32"/>
        </w:rPr>
        <w:t>应急终止</w:t>
      </w:r>
      <w:bookmarkEnd w:id="832"/>
      <w:bookmarkEnd w:id="833"/>
    </w:p>
    <w:p w14:paraId="0A725442">
      <w:pPr>
        <w:pStyle w:val="4"/>
        <w:numPr>
          <w:ilvl w:val="2"/>
          <w:numId w:val="148"/>
        </w:numPr>
        <w:tabs>
          <w:tab w:val="left" w:pos="0"/>
        </w:tabs>
        <w:ind w:firstLine="0" w:firstLineChars="0"/>
        <w:rPr>
          <w:rFonts w:ascii="Times New Roman" w:hAnsi="Times New Roman" w:cs="Times New Roman"/>
          <w:sz w:val="32"/>
        </w:rPr>
      </w:pPr>
      <w:bookmarkStart w:id="834" w:name="_Toc11178"/>
      <w:bookmarkStart w:id="835" w:name="_Toc21469"/>
      <w:r>
        <w:rPr>
          <w:rFonts w:ascii="Times New Roman" w:hAnsi="Times New Roman" w:cs="Times New Roman"/>
          <w:sz w:val="32"/>
        </w:rPr>
        <w:t>应急终止的条件</w:t>
      </w:r>
      <w:bookmarkEnd w:id="834"/>
      <w:bookmarkEnd w:id="835"/>
    </w:p>
    <w:p w14:paraId="59BACDF7">
      <w:pPr>
        <w:ind w:firstLine="632"/>
        <w:rPr>
          <w:rFonts w:ascii="Times New Roman" w:hAnsi="Times New Roman" w:cs="Times New Roman"/>
          <w:sz w:val="32"/>
        </w:rPr>
      </w:pPr>
      <w:r>
        <w:rPr>
          <w:rFonts w:ascii="Times New Roman" w:hAnsi="Times New Roman" w:cs="Times New Roman"/>
          <w:sz w:val="32"/>
        </w:rPr>
        <w:t>应急终止遵循“谁启动、谁负责”的原则。对于城镇供水突发事件，符合下列条件之一的，即满足应急终止条件：</w:t>
      </w:r>
    </w:p>
    <w:p w14:paraId="4D1245A3">
      <w:pPr>
        <w:ind w:firstLine="632"/>
        <w:rPr>
          <w:rFonts w:ascii="Times New Roman" w:hAnsi="Times New Roman" w:cs="Times New Roman"/>
          <w:sz w:val="32"/>
        </w:rPr>
      </w:pPr>
      <w:r>
        <w:rPr>
          <w:rFonts w:ascii="Times New Roman" w:hAnsi="Times New Roman" w:cs="Times New Roman"/>
          <w:sz w:val="32"/>
        </w:rPr>
        <w:t>（1）现场得到控制，应急处置工作结束或者有关危险因素已经消除；</w:t>
      </w:r>
    </w:p>
    <w:p w14:paraId="0DDBD502">
      <w:pPr>
        <w:ind w:firstLine="632"/>
        <w:rPr>
          <w:rFonts w:ascii="Times New Roman" w:hAnsi="Times New Roman" w:cs="Times New Roman"/>
          <w:sz w:val="32"/>
        </w:rPr>
      </w:pPr>
      <w:r>
        <w:rPr>
          <w:rFonts w:ascii="Times New Roman" w:hAnsi="Times New Roman" w:cs="Times New Roman"/>
          <w:sz w:val="32"/>
        </w:rPr>
        <w:t>（2）事件所造成的危害已经被彻底消除，无继发可能；可能造成的次生、衍生事件危害基本消除；</w:t>
      </w:r>
    </w:p>
    <w:p w14:paraId="50819BD2">
      <w:pPr>
        <w:ind w:firstLine="632"/>
        <w:rPr>
          <w:rFonts w:ascii="Times New Roman" w:hAnsi="Times New Roman" w:cs="Times New Roman"/>
          <w:sz w:val="32"/>
        </w:rPr>
      </w:pPr>
      <w:r>
        <w:rPr>
          <w:rFonts w:ascii="Times New Roman" w:hAnsi="Times New Roman" w:cs="Times New Roman"/>
          <w:sz w:val="32"/>
        </w:rPr>
        <w:t>（3）事件现场的各种专业应急处置行动已无继续的必要。</w:t>
      </w:r>
    </w:p>
    <w:p w14:paraId="4C668F65">
      <w:pPr>
        <w:pStyle w:val="4"/>
        <w:numPr>
          <w:ilvl w:val="2"/>
          <w:numId w:val="148"/>
        </w:numPr>
        <w:tabs>
          <w:tab w:val="left" w:pos="0"/>
        </w:tabs>
        <w:ind w:firstLine="0" w:firstLineChars="0"/>
        <w:rPr>
          <w:rFonts w:ascii="Times New Roman" w:hAnsi="Times New Roman" w:cs="Times New Roman"/>
          <w:sz w:val="32"/>
        </w:rPr>
      </w:pPr>
      <w:bookmarkStart w:id="836" w:name="_Toc3610"/>
      <w:bookmarkStart w:id="837" w:name="_Toc21058"/>
      <w:r>
        <w:rPr>
          <w:rFonts w:ascii="Times New Roman" w:hAnsi="Times New Roman" w:cs="Times New Roman"/>
          <w:sz w:val="32"/>
        </w:rPr>
        <w:t>应急终止程序</w:t>
      </w:r>
      <w:bookmarkEnd w:id="836"/>
      <w:bookmarkEnd w:id="837"/>
    </w:p>
    <w:p w14:paraId="3870484E">
      <w:pPr>
        <w:ind w:firstLine="632"/>
        <w:rPr>
          <w:rFonts w:ascii="Times New Roman" w:hAnsi="Times New Roman" w:cs="Times New Roman"/>
          <w:sz w:val="32"/>
        </w:rPr>
      </w:pPr>
      <w:r>
        <w:rPr>
          <w:rFonts w:ascii="Times New Roman" w:hAnsi="Times New Roman" w:cs="Times New Roman"/>
          <w:sz w:val="32"/>
        </w:rPr>
        <w:t>（1）Ⅰ级应急终止</w:t>
      </w:r>
    </w:p>
    <w:p w14:paraId="13C4DC66">
      <w:pPr>
        <w:ind w:firstLine="632"/>
        <w:rPr>
          <w:rFonts w:ascii="Times New Roman" w:hAnsi="Times New Roman" w:cs="Times New Roman"/>
          <w:sz w:val="32"/>
        </w:rPr>
      </w:pPr>
      <w:r>
        <w:rPr>
          <w:rFonts w:ascii="Times New Roman" w:hAnsi="Times New Roman" w:cs="Times New Roman"/>
          <w:sz w:val="32"/>
        </w:rPr>
        <w:t>①恢复正常供水后，由发布启动预案的县供水应急指挥部宣布结束，或者由县供水应急指挥部提出，经上级应急指挥机构审核批准后结束；</w:t>
      </w:r>
    </w:p>
    <w:p w14:paraId="52510384">
      <w:pPr>
        <w:ind w:firstLine="632"/>
        <w:rPr>
          <w:rFonts w:ascii="Times New Roman" w:hAnsi="Times New Roman" w:cs="Times New Roman"/>
          <w:sz w:val="32"/>
        </w:rPr>
      </w:pPr>
      <w:r>
        <w:rPr>
          <w:rFonts w:ascii="Times New Roman" w:hAnsi="Times New Roman" w:cs="Times New Roman"/>
          <w:sz w:val="32"/>
        </w:rPr>
        <w:t>②现场应急指挥部向所属各专业应急队伍下达应急终止命令；</w:t>
      </w:r>
    </w:p>
    <w:p w14:paraId="3D124CD8">
      <w:pPr>
        <w:ind w:firstLine="632"/>
        <w:rPr>
          <w:rFonts w:ascii="Times New Roman" w:hAnsi="Times New Roman" w:cs="Times New Roman"/>
          <w:sz w:val="32"/>
        </w:rPr>
      </w:pPr>
      <w:r>
        <w:rPr>
          <w:rFonts w:ascii="Times New Roman" w:hAnsi="Times New Roman" w:cs="Times New Roman"/>
          <w:sz w:val="32"/>
        </w:rPr>
        <w:t>③状态终止后，继续对事件进行跟踪监测和评估工作，直至其他补救措施无需继续进行为止。</w:t>
      </w:r>
    </w:p>
    <w:p w14:paraId="28A5431B">
      <w:pPr>
        <w:ind w:firstLine="632"/>
        <w:rPr>
          <w:rFonts w:ascii="Times New Roman" w:hAnsi="Times New Roman" w:cs="Times New Roman"/>
          <w:sz w:val="32"/>
        </w:rPr>
      </w:pPr>
      <w:r>
        <w:rPr>
          <w:rFonts w:ascii="Times New Roman" w:hAnsi="Times New Roman" w:cs="Times New Roman"/>
          <w:sz w:val="32"/>
        </w:rPr>
        <w:t>（2）Ⅱ、Ⅲ级应急终止</w:t>
      </w:r>
    </w:p>
    <w:p w14:paraId="482F30AC">
      <w:pPr>
        <w:ind w:firstLine="632"/>
        <w:rPr>
          <w:rFonts w:ascii="Times New Roman" w:hAnsi="Times New Roman" w:cs="Times New Roman"/>
          <w:sz w:val="32"/>
        </w:rPr>
      </w:pPr>
      <w:r>
        <w:rPr>
          <w:rFonts w:ascii="Times New Roman" w:hAnsi="Times New Roman" w:cs="Times New Roman"/>
          <w:sz w:val="32"/>
        </w:rPr>
        <w:t>①由现场救援指挥部确认终止时机，经现场救援指挥部总指挥批准；</w:t>
      </w:r>
    </w:p>
    <w:p w14:paraId="0DBA5752">
      <w:pPr>
        <w:ind w:firstLine="632"/>
        <w:rPr>
          <w:rFonts w:ascii="Times New Roman" w:hAnsi="Times New Roman" w:cs="Times New Roman"/>
          <w:sz w:val="32"/>
        </w:rPr>
      </w:pPr>
      <w:r>
        <w:rPr>
          <w:rFonts w:ascii="Times New Roman" w:hAnsi="Times New Roman" w:cs="Times New Roman"/>
          <w:sz w:val="32"/>
        </w:rPr>
        <w:t>②现场应急指挥部向所属各专业应急队伍下达应急终止命令；</w:t>
      </w:r>
    </w:p>
    <w:p w14:paraId="241B0222">
      <w:pPr>
        <w:ind w:firstLine="632"/>
        <w:rPr>
          <w:rFonts w:ascii="Times New Roman" w:hAnsi="Times New Roman" w:cs="Times New Roman"/>
          <w:sz w:val="32"/>
        </w:rPr>
      </w:pPr>
      <w:r>
        <w:rPr>
          <w:rFonts w:ascii="Times New Roman" w:hAnsi="Times New Roman" w:cs="Times New Roman"/>
          <w:sz w:val="32"/>
        </w:rPr>
        <w:t>③应急状态终止后，继续对事件进行跟踪监测和评估工作，直至其他补救措施无需继续进行为止。</w:t>
      </w:r>
    </w:p>
    <w:p w14:paraId="1A943A82">
      <w:pPr>
        <w:pStyle w:val="2"/>
        <w:numPr>
          <w:ilvl w:val="0"/>
          <w:numId w:val="148"/>
        </w:numPr>
        <w:tabs>
          <w:tab w:val="left" w:pos="0"/>
        </w:tabs>
        <w:ind w:firstLine="0" w:firstLineChars="0"/>
        <w:rPr>
          <w:rFonts w:ascii="Times New Roman" w:hAnsi="Times New Roman" w:cs="Times New Roman"/>
          <w:sz w:val="32"/>
        </w:rPr>
      </w:pPr>
      <w:bookmarkStart w:id="838" w:name="_Toc19620"/>
      <w:bookmarkStart w:id="839" w:name="_Toc21183"/>
      <w:r>
        <w:rPr>
          <w:rFonts w:ascii="Times New Roman" w:hAnsi="Times New Roman" w:cs="Times New Roman"/>
          <w:sz w:val="32"/>
        </w:rPr>
        <w:t>后期处置</w:t>
      </w:r>
      <w:bookmarkEnd w:id="838"/>
      <w:bookmarkEnd w:id="839"/>
    </w:p>
    <w:p w14:paraId="443D357E">
      <w:pPr>
        <w:pStyle w:val="3"/>
        <w:ind w:firstLine="0" w:firstLineChars="0"/>
        <w:rPr>
          <w:rFonts w:ascii="Times New Roman" w:hAnsi="Times New Roman" w:cs="Times New Roman"/>
          <w:sz w:val="32"/>
        </w:rPr>
      </w:pPr>
      <w:bookmarkStart w:id="840" w:name="_Toc6922"/>
      <w:bookmarkEnd w:id="840"/>
      <w:bookmarkStart w:id="841" w:name="_Toc962"/>
      <w:r>
        <w:rPr>
          <w:rFonts w:ascii="Times New Roman" w:hAnsi="Times New Roman" w:cs="Times New Roman"/>
          <w:sz w:val="32"/>
        </w:rPr>
        <w:t>善后处置</w:t>
      </w:r>
      <w:bookmarkEnd w:id="841"/>
    </w:p>
    <w:p w14:paraId="21C9B48F">
      <w:pPr>
        <w:ind w:firstLine="632"/>
        <w:rPr>
          <w:rFonts w:ascii="Times New Roman" w:hAnsi="Times New Roman" w:cs="Times New Roman"/>
          <w:sz w:val="32"/>
        </w:rPr>
      </w:pPr>
      <w:r>
        <w:rPr>
          <w:rFonts w:ascii="Times New Roman" w:hAnsi="Times New Roman" w:cs="Times New Roman"/>
          <w:sz w:val="32"/>
        </w:rPr>
        <w:t>县人民政府有关部门负责组织城镇供水突发事件的善后处置工作（包括人员安置、抚恤补偿、征用物资补偿、保险理赔、灾后重建、污染物收集处理等事项），妥善安置慰问受害人及受影响人员，尽快恢复正常秩序，确保社会稳定。</w:t>
      </w:r>
    </w:p>
    <w:p w14:paraId="538711C3">
      <w:pPr>
        <w:pStyle w:val="3"/>
        <w:ind w:firstLine="0" w:firstLineChars="0"/>
        <w:rPr>
          <w:rFonts w:ascii="Times New Roman" w:hAnsi="Times New Roman" w:cs="Times New Roman"/>
          <w:sz w:val="32"/>
        </w:rPr>
      </w:pPr>
      <w:bookmarkStart w:id="842" w:name="_Toc8297"/>
      <w:bookmarkEnd w:id="842"/>
      <w:bookmarkStart w:id="843" w:name="_Toc4590"/>
      <w:bookmarkStart w:id="844" w:name="_Toc4689"/>
      <w:r>
        <w:rPr>
          <w:rFonts w:ascii="Times New Roman" w:hAnsi="Times New Roman" w:cs="Times New Roman"/>
          <w:sz w:val="32"/>
        </w:rPr>
        <w:t>调查评估</w:t>
      </w:r>
      <w:bookmarkEnd w:id="843"/>
      <w:bookmarkEnd w:id="844"/>
    </w:p>
    <w:p w14:paraId="0E02B85C">
      <w:pPr>
        <w:ind w:firstLine="632"/>
        <w:rPr>
          <w:rFonts w:ascii="Times New Roman" w:hAnsi="Times New Roman" w:cs="Times New Roman"/>
          <w:sz w:val="32"/>
        </w:rPr>
      </w:pPr>
      <w:r>
        <w:rPr>
          <w:rFonts w:ascii="Times New Roman" w:hAnsi="Times New Roman" w:cs="Times New Roman"/>
          <w:sz w:val="32"/>
        </w:rPr>
        <w:t>突发事件调查处理工作按照国家有关规定执行。重大供水突发事件，由省政府或授权有关部门牵头组成调查组进行评估，县人民政府做好配合工作。</w:t>
      </w:r>
    </w:p>
    <w:p w14:paraId="398E530A">
      <w:pPr>
        <w:ind w:firstLine="632"/>
        <w:rPr>
          <w:rFonts w:ascii="Times New Roman" w:hAnsi="Times New Roman" w:cs="Times New Roman"/>
          <w:sz w:val="32"/>
        </w:rPr>
      </w:pPr>
      <w:r>
        <w:rPr>
          <w:rFonts w:ascii="Times New Roman" w:hAnsi="Times New Roman" w:cs="Times New Roman"/>
          <w:sz w:val="32"/>
        </w:rPr>
        <w:t>调查评估的主要内容有事件原因、性质、人员伤亡、影响范围、经济损失等情况，提出防范、整改措施和处理建议。</w:t>
      </w:r>
    </w:p>
    <w:p w14:paraId="6D255C4C">
      <w:pPr>
        <w:pStyle w:val="2"/>
        <w:numPr>
          <w:ilvl w:val="0"/>
          <w:numId w:val="148"/>
        </w:numPr>
        <w:tabs>
          <w:tab w:val="left" w:pos="0"/>
        </w:tabs>
        <w:ind w:firstLine="0" w:firstLineChars="0"/>
        <w:rPr>
          <w:rFonts w:ascii="Times New Roman" w:hAnsi="Times New Roman" w:cs="Times New Roman"/>
          <w:sz w:val="32"/>
        </w:rPr>
      </w:pPr>
      <w:bookmarkStart w:id="845" w:name="_Toc14656"/>
      <w:bookmarkStart w:id="846" w:name="_Toc25038"/>
      <w:r>
        <w:rPr>
          <w:rFonts w:ascii="Times New Roman" w:hAnsi="Times New Roman" w:cs="Times New Roman"/>
          <w:sz w:val="32"/>
        </w:rPr>
        <w:t>应急保障</w:t>
      </w:r>
      <w:bookmarkEnd w:id="845"/>
      <w:bookmarkEnd w:id="846"/>
    </w:p>
    <w:p w14:paraId="6E992EEE">
      <w:pPr>
        <w:ind w:firstLine="632"/>
        <w:rPr>
          <w:rFonts w:ascii="Times New Roman" w:hAnsi="Times New Roman" w:cs="Times New Roman"/>
          <w:sz w:val="32"/>
        </w:rPr>
      </w:pPr>
      <w:r>
        <w:rPr>
          <w:rFonts w:ascii="Times New Roman" w:hAnsi="Times New Roman" w:cs="Times New Roman"/>
          <w:sz w:val="32"/>
        </w:rPr>
        <w:t>县供水应急指挥部负责按照应急分工和本应急预案要求做好城镇供水突发事件的应急保障工作。</w:t>
      </w:r>
    </w:p>
    <w:p w14:paraId="782BB09F">
      <w:pPr>
        <w:pStyle w:val="3"/>
        <w:ind w:firstLine="0" w:firstLineChars="0"/>
        <w:rPr>
          <w:rFonts w:ascii="Times New Roman" w:hAnsi="Times New Roman" w:cs="Times New Roman"/>
          <w:sz w:val="32"/>
        </w:rPr>
      </w:pPr>
      <w:bookmarkStart w:id="847" w:name="_Toc8155"/>
      <w:bookmarkEnd w:id="847"/>
      <w:bookmarkStart w:id="848" w:name="_Toc18571"/>
      <w:bookmarkStart w:id="849" w:name="_Toc8714"/>
      <w:r>
        <w:rPr>
          <w:rFonts w:ascii="Times New Roman" w:hAnsi="Times New Roman" w:cs="Times New Roman"/>
          <w:sz w:val="32"/>
        </w:rPr>
        <w:t>通信信息保障</w:t>
      </w:r>
      <w:bookmarkEnd w:id="848"/>
      <w:bookmarkEnd w:id="849"/>
    </w:p>
    <w:p w14:paraId="09F456E9">
      <w:pPr>
        <w:ind w:firstLine="632"/>
        <w:rPr>
          <w:rFonts w:ascii="Times New Roman" w:hAnsi="Times New Roman" w:cs="Times New Roman"/>
          <w:sz w:val="32"/>
        </w:rPr>
      </w:pPr>
      <w:r>
        <w:rPr>
          <w:rFonts w:ascii="Times New Roman" w:hAnsi="Times New Roman" w:cs="Times New Roman"/>
          <w:sz w:val="32"/>
        </w:rPr>
        <w:t>建立健全城镇供水突发事件应急通信保障体系，完善公用通信网，以保证应急响应期间通信网络系统的正常工作；随时接收上级人民政府的指示和事件发生地的事件信息；县供水应急指挥部成员单位有关人员应24小时保持通信畅通。</w:t>
      </w:r>
    </w:p>
    <w:p w14:paraId="6BC9F957">
      <w:pPr>
        <w:pStyle w:val="3"/>
        <w:ind w:firstLine="0" w:firstLineChars="0"/>
        <w:rPr>
          <w:rFonts w:ascii="Times New Roman" w:hAnsi="Times New Roman" w:cs="Times New Roman"/>
          <w:sz w:val="32"/>
        </w:rPr>
      </w:pPr>
      <w:bookmarkStart w:id="850" w:name="_Toc6263"/>
      <w:bookmarkEnd w:id="850"/>
      <w:bookmarkStart w:id="851" w:name="_Toc27543"/>
      <w:bookmarkStart w:id="852" w:name="_Toc13490"/>
      <w:r>
        <w:rPr>
          <w:rFonts w:ascii="Times New Roman" w:hAnsi="Times New Roman" w:cs="Times New Roman"/>
          <w:sz w:val="32"/>
        </w:rPr>
        <w:t>交通运输保障</w:t>
      </w:r>
      <w:bookmarkEnd w:id="851"/>
      <w:bookmarkEnd w:id="852"/>
    </w:p>
    <w:p w14:paraId="67A07E98">
      <w:pPr>
        <w:ind w:firstLine="632"/>
        <w:rPr>
          <w:rFonts w:ascii="Times New Roman" w:hAnsi="Times New Roman" w:cs="Times New Roman"/>
          <w:sz w:val="32"/>
        </w:rPr>
      </w:pPr>
      <w:r>
        <w:rPr>
          <w:rFonts w:ascii="Times New Roman" w:hAnsi="Times New Roman" w:cs="Times New Roman"/>
          <w:sz w:val="32"/>
        </w:rPr>
        <w:t>县交通运输局会同有关部门要保证紧急情况下应急交通工具的优先安排、优先调度、优先放行，确保运输安全畅通；根据需要开设应急救援“绿色通道”，必要时可紧急动员和征用其他部门及社会的交通设施装备，确保应急物资和应急人员能够及时、安全运达。</w:t>
      </w:r>
    </w:p>
    <w:p w14:paraId="794E51DB">
      <w:pPr>
        <w:pStyle w:val="3"/>
        <w:ind w:firstLine="0" w:firstLineChars="0"/>
        <w:rPr>
          <w:rFonts w:ascii="Times New Roman" w:hAnsi="Times New Roman" w:cs="Times New Roman"/>
          <w:sz w:val="32"/>
        </w:rPr>
      </w:pPr>
      <w:bookmarkStart w:id="853" w:name="_Toc10731"/>
      <w:bookmarkEnd w:id="853"/>
      <w:bookmarkStart w:id="854" w:name="_Toc9298"/>
      <w:r>
        <w:rPr>
          <w:rFonts w:ascii="Times New Roman" w:hAnsi="Times New Roman" w:cs="Times New Roman"/>
          <w:sz w:val="32"/>
        </w:rPr>
        <w:t>医疗卫生保障</w:t>
      </w:r>
      <w:bookmarkEnd w:id="854"/>
    </w:p>
    <w:p w14:paraId="68071B33">
      <w:pPr>
        <w:ind w:firstLine="632"/>
        <w:rPr>
          <w:rFonts w:ascii="Times New Roman" w:hAnsi="Times New Roman" w:cs="Times New Roman"/>
          <w:sz w:val="32"/>
        </w:rPr>
      </w:pPr>
      <w:r>
        <w:rPr>
          <w:rFonts w:ascii="Times New Roman" w:hAnsi="Times New Roman" w:cs="Times New Roman"/>
          <w:sz w:val="32"/>
        </w:rPr>
        <w:t>县卫生健康局根据应急需要，快速组建医疗卫生应急专业技术队伍进入救灾现场，组织实施医疗救治工作和各项预防控制措施。县级有关医疗机构根据需要及时调集必需的药物、医疗器械等资源，支援现场救治和防疫。</w:t>
      </w:r>
    </w:p>
    <w:p w14:paraId="6F36F069">
      <w:pPr>
        <w:pStyle w:val="3"/>
        <w:ind w:firstLine="0" w:firstLineChars="0"/>
        <w:rPr>
          <w:rFonts w:ascii="Times New Roman" w:hAnsi="Times New Roman" w:cs="Times New Roman"/>
          <w:sz w:val="32"/>
        </w:rPr>
      </w:pPr>
      <w:bookmarkStart w:id="855" w:name="_Toc31851"/>
      <w:bookmarkEnd w:id="855"/>
      <w:bookmarkStart w:id="856" w:name="_Toc19548"/>
      <w:bookmarkStart w:id="857" w:name="_Toc14741"/>
      <w:r>
        <w:rPr>
          <w:rFonts w:ascii="Times New Roman" w:hAnsi="Times New Roman" w:cs="Times New Roman"/>
          <w:sz w:val="32"/>
        </w:rPr>
        <w:t>物资经费保障</w:t>
      </w:r>
      <w:bookmarkEnd w:id="856"/>
      <w:bookmarkEnd w:id="857"/>
    </w:p>
    <w:p w14:paraId="3A380311">
      <w:pPr>
        <w:ind w:firstLine="632"/>
        <w:rPr>
          <w:rFonts w:ascii="Times New Roman" w:hAnsi="Times New Roman" w:cs="Times New Roman"/>
          <w:sz w:val="32"/>
        </w:rPr>
      </w:pPr>
      <w:r>
        <w:rPr>
          <w:rFonts w:ascii="Times New Roman" w:hAnsi="Times New Roman" w:cs="Times New Roman"/>
          <w:sz w:val="32"/>
        </w:rPr>
        <w:t>财政部门依据有关规定落实供水突发事件应急处置工作所必需的资金保障；政府各有关部门做好应急救援物资和生活必需品的储存、调拨和紧急供应；县自来水公司每年为应急抢险设备及演练工作提供资金保障，配齐抢险物资、机械设备、机具、车辆等，确保在应对突发事件时抢险物资的供应。</w:t>
      </w:r>
    </w:p>
    <w:p w14:paraId="4C85ECE4">
      <w:pPr>
        <w:pStyle w:val="3"/>
        <w:ind w:firstLine="0" w:firstLineChars="0"/>
        <w:rPr>
          <w:rFonts w:ascii="Times New Roman" w:hAnsi="Times New Roman" w:cs="Times New Roman"/>
          <w:sz w:val="32"/>
        </w:rPr>
      </w:pPr>
      <w:bookmarkStart w:id="858" w:name="_Toc17988"/>
      <w:bookmarkEnd w:id="858"/>
      <w:bookmarkStart w:id="859" w:name="_Toc20271"/>
      <w:bookmarkStart w:id="860" w:name="_Toc31894"/>
      <w:r>
        <w:rPr>
          <w:rFonts w:ascii="Times New Roman" w:hAnsi="Times New Roman" w:cs="Times New Roman"/>
          <w:sz w:val="32"/>
        </w:rPr>
        <w:t>技术保障</w:t>
      </w:r>
      <w:bookmarkEnd w:id="859"/>
      <w:bookmarkEnd w:id="860"/>
    </w:p>
    <w:p w14:paraId="6B3BA7A2">
      <w:pPr>
        <w:ind w:firstLine="632"/>
        <w:rPr>
          <w:rFonts w:ascii="Times New Roman" w:hAnsi="Times New Roman" w:cs="Times New Roman"/>
        </w:rPr>
      </w:pPr>
      <w:r>
        <w:rPr>
          <w:rFonts w:ascii="Times New Roman" w:hAnsi="Times New Roman" w:cs="Times New Roman"/>
          <w:sz w:val="32"/>
        </w:rPr>
        <w:t>县人民政府各有关部门应开展供水应急工作管理模式、突发公共事件预测、预防、预警和应急处置等技术的研究，不断改进技术装备。县供水应急指挥部建立专家组，为应急处置提供决策咨询和服务。县自来水公司负责建立完善的技术文件、技术人才、技术措施保障体系。</w:t>
      </w:r>
    </w:p>
    <w:p w14:paraId="0C5C2DCB">
      <w:pPr>
        <w:pStyle w:val="3"/>
        <w:ind w:firstLine="0" w:firstLineChars="0"/>
        <w:rPr>
          <w:rFonts w:ascii="Times New Roman" w:hAnsi="Times New Roman" w:cs="Times New Roman"/>
          <w:sz w:val="32"/>
        </w:rPr>
      </w:pPr>
      <w:bookmarkStart w:id="861" w:name="_Toc25306"/>
      <w:bookmarkEnd w:id="861"/>
      <w:bookmarkStart w:id="862" w:name="_Toc16640"/>
      <w:bookmarkStart w:id="863" w:name="_Toc23974"/>
      <w:r>
        <w:rPr>
          <w:rFonts w:ascii="Times New Roman" w:hAnsi="Times New Roman" w:cs="Times New Roman"/>
          <w:sz w:val="32"/>
        </w:rPr>
        <w:t>宣传保障</w:t>
      </w:r>
      <w:bookmarkEnd w:id="862"/>
      <w:bookmarkEnd w:id="863"/>
    </w:p>
    <w:p w14:paraId="003B94DE">
      <w:pPr>
        <w:ind w:firstLine="632"/>
        <w:rPr>
          <w:rFonts w:ascii="Times New Roman" w:hAnsi="Times New Roman" w:cs="Times New Roman"/>
          <w:sz w:val="32"/>
        </w:rPr>
      </w:pPr>
      <w:r>
        <w:rPr>
          <w:rFonts w:ascii="Times New Roman" w:hAnsi="Times New Roman" w:cs="Times New Roman"/>
          <w:sz w:val="32"/>
        </w:rPr>
        <w:t>应急指挥机构应及时通过新闻媒体向社会发布应急预警、应急响应启动和应急救援等信息，满足居民知情权，争取社会的理解和支持。</w:t>
      </w:r>
    </w:p>
    <w:p w14:paraId="7E6AA79A">
      <w:pPr>
        <w:ind w:firstLine="632"/>
        <w:rPr>
          <w:rFonts w:ascii="Times New Roman" w:hAnsi="Times New Roman" w:cs="Times New Roman"/>
          <w:sz w:val="32"/>
        </w:rPr>
      </w:pPr>
      <w:r>
        <w:rPr>
          <w:rFonts w:ascii="Times New Roman" w:hAnsi="Times New Roman" w:cs="Times New Roman"/>
          <w:sz w:val="32"/>
        </w:rPr>
        <w:t>信息发布应及时、准确、权威。县自来水公司及其他单位和个人不得擅自传播与供水应急有关的信息。新闻媒体报道应客观、公正，并以正面报道为主。</w:t>
      </w:r>
    </w:p>
    <w:p w14:paraId="69BF3493">
      <w:pPr>
        <w:pStyle w:val="2"/>
        <w:numPr>
          <w:ilvl w:val="0"/>
          <w:numId w:val="148"/>
        </w:numPr>
        <w:tabs>
          <w:tab w:val="left" w:pos="0"/>
        </w:tabs>
        <w:ind w:firstLine="0" w:firstLineChars="0"/>
        <w:rPr>
          <w:rFonts w:ascii="Times New Roman" w:hAnsi="Times New Roman" w:cs="Times New Roman"/>
          <w:sz w:val="32"/>
        </w:rPr>
      </w:pPr>
      <w:bookmarkStart w:id="864" w:name="_Toc25838"/>
      <w:r>
        <w:rPr>
          <w:rFonts w:ascii="Times New Roman" w:hAnsi="Times New Roman" w:cs="Times New Roman"/>
          <w:sz w:val="32"/>
        </w:rPr>
        <w:t>培训和演练</w:t>
      </w:r>
      <w:bookmarkEnd w:id="864"/>
    </w:p>
    <w:p w14:paraId="282F82DE">
      <w:pPr>
        <w:pStyle w:val="3"/>
        <w:ind w:firstLine="0" w:firstLineChars="0"/>
        <w:rPr>
          <w:rFonts w:ascii="Times New Roman" w:hAnsi="Times New Roman" w:cs="Times New Roman"/>
          <w:sz w:val="32"/>
        </w:rPr>
      </w:pPr>
      <w:bookmarkStart w:id="865" w:name="_Toc19173"/>
      <w:bookmarkEnd w:id="865"/>
      <w:bookmarkStart w:id="866" w:name="_Toc5533"/>
      <w:bookmarkStart w:id="867" w:name="_Toc3767"/>
      <w:r>
        <w:rPr>
          <w:rFonts w:ascii="Times New Roman" w:hAnsi="Times New Roman" w:cs="Times New Roman"/>
          <w:sz w:val="32"/>
        </w:rPr>
        <w:t>宣传教育和业务培训</w:t>
      </w:r>
      <w:bookmarkEnd w:id="866"/>
      <w:bookmarkEnd w:id="867"/>
    </w:p>
    <w:p w14:paraId="22312337">
      <w:pPr>
        <w:pStyle w:val="4"/>
        <w:numPr>
          <w:ilvl w:val="2"/>
          <w:numId w:val="148"/>
        </w:numPr>
        <w:tabs>
          <w:tab w:val="left" w:pos="0"/>
        </w:tabs>
        <w:ind w:firstLine="0" w:firstLineChars="0"/>
        <w:rPr>
          <w:rFonts w:ascii="Times New Roman" w:hAnsi="Times New Roman" w:cs="Times New Roman"/>
          <w:sz w:val="32"/>
        </w:rPr>
      </w:pPr>
      <w:bookmarkStart w:id="868" w:name="_Toc24320"/>
      <w:bookmarkStart w:id="869" w:name="_Toc31845"/>
      <w:r>
        <w:rPr>
          <w:rFonts w:ascii="Times New Roman" w:hAnsi="Times New Roman" w:cs="Times New Roman"/>
          <w:sz w:val="32"/>
        </w:rPr>
        <w:t>宣传教育</w:t>
      </w:r>
      <w:bookmarkEnd w:id="868"/>
      <w:bookmarkEnd w:id="869"/>
    </w:p>
    <w:p w14:paraId="12B9E7D5">
      <w:pPr>
        <w:ind w:firstLine="632"/>
        <w:rPr>
          <w:rFonts w:ascii="Times New Roman" w:hAnsi="Times New Roman" w:cs="Times New Roman"/>
          <w:sz w:val="32"/>
        </w:rPr>
      </w:pPr>
      <w:r>
        <w:rPr>
          <w:rFonts w:ascii="Times New Roman" w:hAnsi="Times New Roman" w:cs="Times New Roman"/>
          <w:sz w:val="32"/>
        </w:rPr>
        <w:t>县供水应急指挥部应当组织编制公众应对供水突发事件技术教材和应急手册，充分利用广播、电视、互联网等媒介，广泛开展供水突发事件应急教育，普及应急基本知识和技能。</w:t>
      </w:r>
    </w:p>
    <w:p w14:paraId="2CF24CCC">
      <w:pPr>
        <w:pStyle w:val="4"/>
        <w:numPr>
          <w:ilvl w:val="2"/>
          <w:numId w:val="148"/>
        </w:numPr>
        <w:tabs>
          <w:tab w:val="left" w:pos="0"/>
        </w:tabs>
        <w:ind w:firstLine="0" w:firstLineChars="0"/>
        <w:rPr>
          <w:rFonts w:ascii="Times New Roman" w:hAnsi="Times New Roman" w:cs="Times New Roman"/>
          <w:sz w:val="32"/>
        </w:rPr>
      </w:pPr>
      <w:bookmarkStart w:id="870" w:name="_Toc6695"/>
      <w:bookmarkStart w:id="871" w:name="_Toc1127"/>
      <w:r>
        <w:rPr>
          <w:rFonts w:ascii="Times New Roman" w:hAnsi="Times New Roman" w:cs="Times New Roman"/>
          <w:sz w:val="32"/>
        </w:rPr>
        <w:t>业务培训</w:t>
      </w:r>
      <w:bookmarkEnd w:id="870"/>
      <w:bookmarkEnd w:id="871"/>
    </w:p>
    <w:p w14:paraId="7E29D432">
      <w:pPr>
        <w:ind w:firstLine="632"/>
        <w:rPr>
          <w:rFonts w:ascii="Times New Roman" w:hAnsi="Times New Roman" w:cs="Times New Roman"/>
          <w:sz w:val="32"/>
        </w:rPr>
      </w:pPr>
      <w:r>
        <w:rPr>
          <w:rFonts w:ascii="Times New Roman" w:hAnsi="Times New Roman" w:cs="Times New Roman"/>
          <w:sz w:val="32"/>
        </w:rPr>
        <w:t>县供水应急指挥部应针对供水突发事件特点，组织有关人员培训，熟悉应急处置程序，提高应对供水突发事件能力和水平，确保供水突发事件预防和应急措施准确到位。</w:t>
      </w:r>
    </w:p>
    <w:p w14:paraId="093B1A12">
      <w:pPr>
        <w:ind w:firstLine="632"/>
        <w:rPr>
          <w:rFonts w:ascii="Times New Roman" w:hAnsi="Times New Roman" w:cs="Times New Roman"/>
          <w:sz w:val="32"/>
        </w:rPr>
      </w:pPr>
      <w:r>
        <w:rPr>
          <w:rFonts w:ascii="Times New Roman" w:hAnsi="Times New Roman" w:cs="Times New Roman"/>
          <w:sz w:val="32"/>
        </w:rPr>
        <w:t>县自来水公司应加强对员工进行上岗前培训，确保从业人员具备必要的安全生产知识，掌握安全生产规章制度和安全操作规程，具备本岗位安全操作技能的能力；安全管理人员和特种作业人员必须持证上岗。</w:t>
      </w:r>
    </w:p>
    <w:p w14:paraId="2632A2ED">
      <w:pPr>
        <w:pStyle w:val="3"/>
        <w:ind w:firstLine="0" w:firstLineChars="0"/>
        <w:rPr>
          <w:rFonts w:ascii="Times New Roman" w:hAnsi="Times New Roman" w:cs="Times New Roman"/>
          <w:sz w:val="32"/>
        </w:rPr>
      </w:pPr>
      <w:bookmarkStart w:id="872" w:name="_Toc18370"/>
      <w:bookmarkEnd w:id="872"/>
      <w:bookmarkStart w:id="873" w:name="_Toc10399"/>
      <w:bookmarkStart w:id="874" w:name="_Toc7725"/>
      <w:r>
        <w:rPr>
          <w:rFonts w:ascii="Times New Roman" w:hAnsi="Times New Roman" w:cs="Times New Roman"/>
          <w:sz w:val="32"/>
        </w:rPr>
        <w:t>预案演练</w:t>
      </w:r>
      <w:bookmarkEnd w:id="873"/>
      <w:bookmarkEnd w:id="874"/>
    </w:p>
    <w:p w14:paraId="174AD6E6">
      <w:pPr>
        <w:ind w:firstLine="632"/>
        <w:rPr>
          <w:rFonts w:ascii="Times New Roman" w:hAnsi="Times New Roman" w:cs="Times New Roman"/>
          <w:sz w:val="32"/>
        </w:rPr>
      </w:pPr>
      <w:r>
        <w:rPr>
          <w:rFonts w:ascii="Times New Roman" w:hAnsi="Times New Roman" w:cs="Times New Roman"/>
          <w:sz w:val="32"/>
        </w:rPr>
        <w:t>县供水应急指挥部应做好预案演练计划，按照应急预案及相关预案的规定组织演练，做好各部门之间的协调配合及通信联络，确保紧急状态下有效沟通和统一指挥。</w:t>
      </w:r>
    </w:p>
    <w:p w14:paraId="1605CC03">
      <w:pPr>
        <w:ind w:firstLine="632"/>
        <w:rPr>
          <w:rFonts w:ascii="Times New Roman" w:hAnsi="Times New Roman" w:cs="Times New Roman"/>
          <w:sz w:val="32"/>
        </w:rPr>
      </w:pPr>
      <w:r>
        <w:rPr>
          <w:rFonts w:ascii="Times New Roman" w:hAnsi="Times New Roman" w:cs="Times New Roman"/>
          <w:sz w:val="32"/>
        </w:rPr>
        <w:t>县自来水公司每年至少组织一次供水事件应急演练，提高供水工作人员的抢险救灾能力，确保负责应急、抢修的队伍始终保持良好的工作准备状态。</w:t>
      </w:r>
    </w:p>
    <w:p w14:paraId="406449A3">
      <w:pPr>
        <w:pStyle w:val="2"/>
        <w:numPr>
          <w:ilvl w:val="0"/>
          <w:numId w:val="148"/>
        </w:numPr>
        <w:tabs>
          <w:tab w:val="left" w:pos="0"/>
        </w:tabs>
        <w:ind w:firstLine="0" w:firstLineChars="0"/>
        <w:rPr>
          <w:rFonts w:ascii="Times New Roman" w:hAnsi="Times New Roman" w:cs="Times New Roman"/>
          <w:sz w:val="32"/>
        </w:rPr>
      </w:pPr>
      <w:bookmarkStart w:id="875" w:name="_Toc10975"/>
      <w:bookmarkEnd w:id="875"/>
      <w:bookmarkStart w:id="876" w:name="_Toc10769"/>
      <w:r>
        <w:rPr>
          <w:rFonts w:ascii="Times New Roman" w:hAnsi="Times New Roman" w:cs="Times New Roman"/>
          <w:sz w:val="32"/>
        </w:rPr>
        <w:t>预案管理</w:t>
      </w:r>
      <w:bookmarkEnd w:id="876"/>
    </w:p>
    <w:p w14:paraId="5E90C62B">
      <w:pPr>
        <w:pStyle w:val="3"/>
        <w:ind w:firstLine="0" w:firstLineChars="0"/>
        <w:rPr>
          <w:rFonts w:ascii="Times New Roman" w:hAnsi="Times New Roman" w:cs="Times New Roman"/>
          <w:sz w:val="32"/>
        </w:rPr>
      </w:pPr>
      <w:bookmarkStart w:id="877" w:name="_Toc30041"/>
      <w:r>
        <w:rPr>
          <w:rFonts w:ascii="Times New Roman" w:hAnsi="Times New Roman" w:cs="Times New Roman"/>
          <w:sz w:val="32"/>
        </w:rPr>
        <w:t>预案修订</w:t>
      </w:r>
      <w:bookmarkEnd w:id="877"/>
    </w:p>
    <w:p w14:paraId="77EAC913">
      <w:pPr>
        <w:ind w:firstLine="632"/>
        <w:rPr>
          <w:rFonts w:ascii="Times New Roman" w:hAnsi="Times New Roman" w:cs="Times New Roman"/>
          <w:sz w:val="32"/>
        </w:rPr>
      </w:pPr>
      <w:r>
        <w:rPr>
          <w:rFonts w:ascii="Times New Roman" w:hAnsi="Times New Roman" w:cs="Times New Roman"/>
          <w:sz w:val="32"/>
        </w:rPr>
        <w:t>县供水应急指挥部办公室应定期开展应急预案评估工作，分析评价预案内容的针对性、实用性和可操作性，实现应急预案的动态优化和科学规范管理。</w:t>
      </w:r>
    </w:p>
    <w:p w14:paraId="028B31BC">
      <w:pPr>
        <w:ind w:firstLine="632"/>
        <w:rPr>
          <w:rFonts w:ascii="Times New Roman" w:hAnsi="Times New Roman" w:cs="Times New Roman"/>
          <w:sz w:val="32"/>
        </w:rPr>
      </w:pPr>
      <w:r>
        <w:rPr>
          <w:rFonts w:ascii="Times New Roman" w:hAnsi="Times New Roman" w:cs="Times New Roman"/>
          <w:sz w:val="32"/>
        </w:rPr>
        <w:t>有下列情形之一的，应当及时修订本预案：</w:t>
      </w:r>
    </w:p>
    <w:p w14:paraId="7911C84B">
      <w:pPr>
        <w:ind w:firstLine="632"/>
        <w:rPr>
          <w:rFonts w:ascii="Times New Roman" w:hAnsi="Times New Roman" w:cs="Times New Roman"/>
          <w:sz w:val="32"/>
        </w:rPr>
      </w:pPr>
      <w:r>
        <w:rPr>
          <w:rFonts w:ascii="Times New Roman" w:hAnsi="Times New Roman" w:cs="Times New Roman"/>
          <w:sz w:val="32"/>
        </w:rPr>
        <w:t>（1）有关法律法规、规章、标准、上位预案中的有关规定发生变化的；</w:t>
      </w:r>
    </w:p>
    <w:p w14:paraId="3CC77FA6">
      <w:pPr>
        <w:ind w:firstLine="632"/>
        <w:rPr>
          <w:rFonts w:ascii="Times New Roman" w:hAnsi="Times New Roman" w:cs="Times New Roman"/>
          <w:sz w:val="32"/>
        </w:rPr>
      </w:pPr>
      <w:r>
        <w:rPr>
          <w:rFonts w:ascii="Times New Roman" w:hAnsi="Times New Roman" w:cs="Times New Roman"/>
          <w:sz w:val="32"/>
        </w:rPr>
        <w:t>（2）应急指挥机构及其职责发生重大调整的；</w:t>
      </w:r>
    </w:p>
    <w:p w14:paraId="20CC52DC">
      <w:pPr>
        <w:ind w:firstLine="632"/>
        <w:rPr>
          <w:rFonts w:ascii="Times New Roman" w:hAnsi="Times New Roman" w:cs="Times New Roman"/>
          <w:sz w:val="32"/>
        </w:rPr>
      </w:pPr>
      <w:r>
        <w:rPr>
          <w:rFonts w:ascii="Times New Roman" w:hAnsi="Times New Roman" w:cs="Times New Roman"/>
          <w:sz w:val="32"/>
        </w:rPr>
        <w:t>（3）面临的风险发生重大变化的；</w:t>
      </w:r>
    </w:p>
    <w:p w14:paraId="67A3E270">
      <w:pPr>
        <w:ind w:firstLine="632"/>
        <w:rPr>
          <w:rFonts w:ascii="Times New Roman" w:hAnsi="Times New Roman" w:cs="Times New Roman"/>
          <w:sz w:val="32"/>
        </w:rPr>
      </w:pPr>
      <w:r>
        <w:rPr>
          <w:rFonts w:ascii="Times New Roman" w:hAnsi="Times New Roman" w:cs="Times New Roman"/>
          <w:sz w:val="32"/>
        </w:rPr>
        <w:t>（4）重要应急资源发生重大变化的；</w:t>
      </w:r>
    </w:p>
    <w:p w14:paraId="4779AA63">
      <w:pPr>
        <w:ind w:firstLine="632"/>
        <w:rPr>
          <w:rFonts w:ascii="Times New Roman" w:hAnsi="Times New Roman" w:cs="Times New Roman"/>
          <w:sz w:val="32"/>
        </w:rPr>
      </w:pPr>
      <w:r>
        <w:rPr>
          <w:rFonts w:ascii="Times New Roman" w:hAnsi="Times New Roman" w:cs="Times New Roman"/>
          <w:sz w:val="32"/>
        </w:rPr>
        <w:t>（5）预案中的其他重要信息发生变化的；</w:t>
      </w:r>
    </w:p>
    <w:p w14:paraId="68A25527">
      <w:pPr>
        <w:ind w:firstLine="632"/>
        <w:rPr>
          <w:rFonts w:ascii="Times New Roman" w:hAnsi="Times New Roman" w:cs="Times New Roman"/>
          <w:sz w:val="32"/>
        </w:rPr>
      </w:pPr>
      <w:r>
        <w:rPr>
          <w:rFonts w:ascii="Times New Roman" w:hAnsi="Times New Roman" w:cs="Times New Roman"/>
          <w:sz w:val="32"/>
        </w:rPr>
        <w:t>（6）在突发事件实际应对和应急演练中发现问题需要作出重大调整的；</w:t>
      </w:r>
    </w:p>
    <w:p w14:paraId="78242251">
      <w:pPr>
        <w:ind w:firstLine="632"/>
        <w:rPr>
          <w:rFonts w:ascii="Times New Roman" w:hAnsi="Times New Roman" w:cs="Times New Roman"/>
          <w:sz w:val="32"/>
        </w:rPr>
      </w:pPr>
      <w:r>
        <w:rPr>
          <w:rFonts w:ascii="Times New Roman" w:hAnsi="Times New Roman" w:cs="Times New Roman"/>
          <w:sz w:val="32"/>
        </w:rPr>
        <w:t>（7）应急预案制定单位认为应当修订的其他情况。</w:t>
      </w:r>
    </w:p>
    <w:p w14:paraId="103290AE">
      <w:pPr>
        <w:pStyle w:val="3"/>
        <w:ind w:firstLine="0" w:firstLineChars="0"/>
        <w:rPr>
          <w:rFonts w:ascii="Times New Roman" w:hAnsi="Times New Roman" w:cs="Times New Roman"/>
          <w:sz w:val="32"/>
        </w:rPr>
      </w:pPr>
      <w:bookmarkStart w:id="878" w:name="_Toc26519"/>
      <w:r>
        <w:rPr>
          <w:rFonts w:ascii="Times New Roman" w:hAnsi="Times New Roman" w:cs="Times New Roman"/>
          <w:sz w:val="32"/>
        </w:rPr>
        <w:t>预案实施</w:t>
      </w:r>
      <w:bookmarkEnd w:id="878"/>
    </w:p>
    <w:p w14:paraId="3F77CAA0">
      <w:pPr>
        <w:ind w:firstLine="632"/>
        <w:rPr>
          <w:rFonts w:ascii="Times New Roman" w:hAnsi="Times New Roman" w:cs="Times New Roman"/>
          <w:sz w:val="32"/>
        </w:rPr>
      </w:pPr>
      <w:r>
        <w:rPr>
          <w:rFonts w:ascii="Times New Roman" w:hAnsi="Times New Roman" w:cs="Times New Roman"/>
          <w:sz w:val="32"/>
        </w:rPr>
        <w:t>本预案由集贤县供水突发事件应急指挥部办公室负责解释。</w:t>
      </w:r>
    </w:p>
    <w:p w14:paraId="7B8D5E14">
      <w:pPr>
        <w:ind w:firstLine="632"/>
        <w:rPr>
          <w:rFonts w:ascii="Times New Roman" w:hAnsi="Times New Roman" w:cs="Times New Roman"/>
          <w:sz w:val="32"/>
        </w:rPr>
      </w:pPr>
      <w:r>
        <w:rPr>
          <w:rFonts w:ascii="Times New Roman" w:hAnsi="Times New Roman" w:cs="Times New Roman"/>
          <w:sz w:val="32"/>
        </w:rPr>
        <w:t>本预案自发布之日起施行。</w:t>
      </w:r>
    </w:p>
    <w:p w14:paraId="7B18D4A6">
      <w:pPr>
        <w:ind w:firstLine="632"/>
        <w:rPr>
          <w:rFonts w:ascii="Times New Roman" w:hAnsi="Times New Roman" w:cs="Times New Roman"/>
          <w:sz w:val="32"/>
        </w:rPr>
      </w:pPr>
      <w:r>
        <w:rPr>
          <w:rFonts w:ascii="Times New Roman" w:hAnsi="Times New Roman" w:cs="Times New Roman"/>
          <w:sz w:val="32"/>
        </w:rPr>
        <w:br w:type="page"/>
      </w:r>
    </w:p>
    <w:p w14:paraId="3C26F82D">
      <w:pPr>
        <w:pStyle w:val="2"/>
        <w:numPr>
          <w:ilvl w:val="0"/>
          <w:numId w:val="0"/>
        </w:numPr>
        <w:rPr>
          <w:rFonts w:ascii="Times New Roman" w:hAnsi="Times New Roman" w:cs="Times New Roman"/>
          <w:sz w:val="32"/>
        </w:rPr>
      </w:pPr>
      <w:bookmarkStart w:id="879" w:name="_Toc29134"/>
      <w:r>
        <w:rPr>
          <w:rFonts w:ascii="Times New Roman" w:hAnsi="Times New Roman" w:cs="Times New Roman"/>
          <w:sz w:val="32"/>
        </w:rPr>
        <w:t>附件1：城镇供水突发事件分级标准</w:t>
      </w:r>
      <w:bookmarkEnd w:id="879"/>
    </w:p>
    <w:p w14:paraId="3EAFC69B">
      <w:pPr>
        <w:pStyle w:val="20"/>
        <w:widowControl/>
        <w:shd w:val="clear" w:color="auto" w:fill="FFFFFF"/>
        <w:spacing w:beforeAutospacing="0" w:afterAutospacing="0" w:line="560" w:lineRule="exact"/>
        <w:ind w:firstLine="632"/>
        <w:rPr>
          <w:rFonts w:ascii="Times New Roman" w:hAnsi="Times New Roman" w:eastAsia="楷体_GB2312"/>
          <w:b/>
          <w:bCs/>
          <w:color w:val="444444"/>
          <w:sz w:val="32"/>
          <w:shd w:val="clear" w:color="auto" w:fill="FFFFFF"/>
        </w:rPr>
      </w:pPr>
      <w:r>
        <w:rPr>
          <w:rFonts w:ascii="Times New Roman" w:hAnsi="Times New Roman" w:eastAsia="楷体_GB2312"/>
          <w:b/>
          <w:bCs/>
          <w:color w:val="444444"/>
          <w:sz w:val="32"/>
          <w:shd w:val="clear" w:color="auto" w:fill="FFFFFF"/>
        </w:rPr>
        <w:t>（一）特别重大供水突发事件</w:t>
      </w:r>
      <w:r>
        <w:rPr>
          <w:rFonts w:hint="eastAsia" w:ascii="Times New Roman" w:hAnsi="Times New Roman" w:eastAsia="楷体_GB2312"/>
          <w:b/>
          <w:bCs/>
          <w:color w:val="444444"/>
          <w:sz w:val="32"/>
          <w:shd w:val="clear" w:color="auto" w:fill="FFFFFF"/>
        </w:rPr>
        <w:t>（</w:t>
      </w:r>
      <w:r>
        <w:rPr>
          <w:rFonts w:ascii="Times New Roman" w:hAnsi="Times New Roman" w:eastAsia="楷体_GB2312"/>
          <w:b/>
          <w:bCs/>
          <w:color w:val="444444"/>
          <w:sz w:val="32"/>
          <w:shd w:val="clear" w:color="auto" w:fill="FFFFFF"/>
        </w:rPr>
        <w:t>I级</w:t>
      </w:r>
      <w:r>
        <w:rPr>
          <w:rFonts w:hint="eastAsia" w:ascii="Times New Roman" w:hAnsi="Times New Roman" w:eastAsia="楷体_GB2312"/>
          <w:b/>
          <w:bCs/>
          <w:color w:val="444444"/>
          <w:sz w:val="32"/>
          <w:shd w:val="clear" w:color="auto" w:fill="FFFFFF"/>
        </w:rPr>
        <w:t>）</w:t>
      </w:r>
    </w:p>
    <w:p w14:paraId="50E0AC7D">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符合下列条件之一的，属于特别重大供水突发事件：</w:t>
      </w:r>
    </w:p>
    <w:p w14:paraId="7943C911">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（1）因供水突发事件主要风险因素影响，造成5万户以上居民连续停水24小时以上；</w:t>
      </w:r>
    </w:p>
    <w:p w14:paraId="2DEDB5D5">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（2）因供水突发事件直接造成30人以上死亡（含失踪），或者100人以上中毒（重伤）；</w:t>
      </w:r>
    </w:p>
    <w:p w14:paraId="74067DE8">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（3）造成直接经济损失1亿元以上。</w:t>
      </w:r>
    </w:p>
    <w:p w14:paraId="186824C0">
      <w:pPr>
        <w:pStyle w:val="20"/>
        <w:widowControl/>
        <w:shd w:val="clear" w:color="auto" w:fill="FFFFFF"/>
        <w:spacing w:beforeAutospacing="0" w:afterAutospacing="0" w:line="560" w:lineRule="exact"/>
        <w:ind w:firstLine="632"/>
        <w:rPr>
          <w:rFonts w:ascii="Times New Roman" w:hAnsi="Times New Roman" w:eastAsia="楷体_GB2312"/>
          <w:b/>
          <w:bCs/>
          <w:color w:val="444444"/>
          <w:sz w:val="32"/>
          <w:shd w:val="clear" w:color="auto" w:fill="FFFFFF"/>
        </w:rPr>
      </w:pPr>
      <w:r>
        <w:rPr>
          <w:rFonts w:ascii="Times New Roman" w:hAnsi="Times New Roman" w:eastAsia="楷体_GB2312"/>
          <w:b/>
          <w:bCs/>
          <w:color w:val="444444"/>
          <w:sz w:val="32"/>
          <w:shd w:val="clear" w:color="auto" w:fill="FFFFFF"/>
        </w:rPr>
        <w:t>（二）重大供水突发事件</w:t>
      </w:r>
      <w:r>
        <w:rPr>
          <w:rFonts w:hint="eastAsia" w:ascii="Times New Roman" w:hAnsi="Times New Roman" w:eastAsia="楷体_GB2312"/>
          <w:b/>
          <w:bCs/>
          <w:color w:val="444444"/>
          <w:sz w:val="32"/>
          <w:shd w:val="clear" w:color="auto" w:fill="FFFFFF"/>
        </w:rPr>
        <w:t>（</w:t>
      </w:r>
      <w:r>
        <w:rPr>
          <w:rFonts w:ascii="Times New Roman" w:hAnsi="Times New Roman" w:eastAsia="楷体_GB2312"/>
          <w:b/>
          <w:bCs/>
          <w:color w:val="444444"/>
          <w:sz w:val="32"/>
          <w:shd w:val="clear" w:color="auto" w:fill="FFFFFF"/>
        </w:rPr>
        <w:t>Ⅱ级</w:t>
      </w:r>
      <w:r>
        <w:rPr>
          <w:rFonts w:hint="eastAsia" w:ascii="Times New Roman" w:hAnsi="Times New Roman" w:eastAsia="楷体_GB2312"/>
          <w:b/>
          <w:bCs/>
          <w:color w:val="444444"/>
          <w:sz w:val="32"/>
          <w:shd w:val="clear" w:color="auto" w:fill="FFFFFF"/>
        </w:rPr>
        <w:t>）</w:t>
      </w:r>
    </w:p>
    <w:p w14:paraId="550485DA">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符合下列条件之一的，属于重大供水突发事件：</w:t>
      </w:r>
    </w:p>
    <w:p w14:paraId="2DC594CF">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（1）因供水突发事件主要风险因素影响，造成3万户以上、5万户以下居民连续停水24小时以上；</w:t>
      </w:r>
    </w:p>
    <w:p w14:paraId="3DA2B860">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（2）因供水突发事件直接造成10人以上30人以下死亡（含失踪），或者50人以上100人以下中毒（重伤）；</w:t>
      </w:r>
    </w:p>
    <w:p w14:paraId="3048E3D2">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（3）造成直接经济损失5000万元以上、1亿元以下。</w:t>
      </w:r>
    </w:p>
    <w:p w14:paraId="4D32B144">
      <w:pPr>
        <w:pStyle w:val="20"/>
        <w:widowControl/>
        <w:shd w:val="clear" w:color="auto" w:fill="FFFFFF"/>
        <w:spacing w:beforeAutospacing="0" w:afterAutospacing="0" w:line="560" w:lineRule="exact"/>
        <w:ind w:firstLine="632"/>
        <w:rPr>
          <w:rFonts w:ascii="Times New Roman" w:hAnsi="Times New Roman" w:eastAsia="楷体_GB2312"/>
          <w:b/>
          <w:bCs/>
          <w:color w:val="444444"/>
          <w:sz w:val="32"/>
          <w:shd w:val="clear" w:color="auto" w:fill="FFFFFF"/>
        </w:rPr>
      </w:pPr>
      <w:r>
        <w:rPr>
          <w:rFonts w:ascii="Times New Roman" w:hAnsi="Times New Roman" w:eastAsia="楷体_GB2312"/>
          <w:b/>
          <w:bCs/>
          <w:color w:val="444444"/>
          <w:sz w:val="32"/>
          <w:shd w:val="clear" w:color="auto" w:fill="FFFFFF"/>
        </w:rPr>
        <w:t>（三）较大供水突发事件</w:t>
      </w:r>
      <w:r>
        <w:rPr>
          <w:rFonts w:hint="eastAsia" w:ascii="Times New Roman" w:hAnsi="Times New Roman" w:eastAsia="楷体_GB2312"/>
          <w:b/>
          <w:bCs/>
          <w:color w:val="444444"/>
          <w:sz w:val="32"/>
          <w:shd w:val="clear" w:color="auto" w:fill="FFFFFF"/>
        </w:rPr>
        <w:t>（</w:t>
      </w:r>
      <w:r>
        <w:rPr>
          <w:rFonts w:ascii="Times New Roman" w:hAnsi="Times New Roman" w:eastAsia="楷体_GB2312"/>
          <w:b/>
          <w:bCs/>
          <w:color w:val="444444"/>
          <w:sz w:val="32"/>
          <w:shd w:val="clear" w:color="auto" w:fill="FFFFFF"/>
        </w:rPr>
        <w:t>Ⅲ级</w:t>
      </w:r>
      <w:r>
        <w:rPr>
          <w:rFonts w:hint="eastAsia" w:ascii="Times New Roman" w:hAnsi="Times New Roman" w:eastAsia="楷体_GB2312"/>
          <w:b/>
          <w:bCs/>
          <w:color w:val="444444"/>
          <w:sz w:val="32"/>
          <w:shd w:val="clear" w:color="auto" w:fill="FFFFFF"/>
        </w:rPr>
        <w:t>）</w:t>
      </w:r>
    </w:p>
    <w:p w14:paraId="37D2EE3D">
      <w:pPr>
        <w:pStyle w:val="20"/>
        <w:widowControl/>
        <w:shd w:val="clear" w:color="auto" w:fill="FFFFFF"/>
        <w:spacing w:beforeAutospacing="0" w:afterAutospacing="0" w:line="560" w:lineRule="exact"/>
        <w:ind w:firstLine="632"/>
        <w:rPr>
          <w:rFonts w:ascii="Times New Roman" w:hAnsi="Times New Roman"/>
          <w:sz w:val="32"/>
        </w:rPr>
      </w:pPr>
      <w:r>
        <w:rPr>
          <w:rFonts w:ascii="Times New Roman" w:hAnsi="Times New Roman"/>
          <w:sz w:val="32"/>
        </w:rPr>
        <w:t>符合下列条件之一的，属于较大供水突发事件：</w:t>
      </w:r>
    </w:p>
    <w:p w14:paraId="05F75C4C">
      <w:pPr>
        <w:pStyle w:val="20"/>
        <w:widowControl/>
        <w:shd w:val="clear" w:color="auto" w:fill="FFFFFF"/>
        <w:spacing w:beforeAutospacing="0" w:afterAutospacing="0" w:line="560" w:lineRule="exact"/>
        <w:ind w:firstLine="632"/>
        <w:rPr>
          <w:rFonts w:ascii="Times New Roman" w:hAnsi="Times New Roman"/>
          <w:sz w:val="32"/>
        </w:rPr>
      </w:pPr>
      <w:r>
        <w:rPr>
          <w:rFonts w:ascii="Times New Roman" w:hAnsi="Times New Roman"/>
          <w:sz w:val="32"/>
        </w:rPr>
        <w:t>（1）因供水突发事件主要风险因素影响，造成1万户以上、3万户以下居民连续停水24小时以上；</w:t>
      </w:r>
    </w:p>
    <w:p w14:paraId="1B21DE44">
      <w:pPr>
        <w:pStyle w:val="20"/>
        <w:widowControl/>
        <w:shd w:val="clear" w:color="auto" w:fill="FFFFFF"/>
        <w:spacing w:beforeAutospacing="0" w:afterAutospacing="0" w:line="560" w:lineRule="exact"/>
        <w:ind w:firstLine="632"/>
        <w:rPr>
          <w:rFonts w:ascii="Times New Roman" w:hAnsi="Times New Roman"/>
          <w:sz w:val="32"/>
        </w:rPr>
      </w:pPr>
      <w:r>
        <w:rPr>
          <w:rFonts w:ascii="Times New Roman" w:hAnsi="Times New Roman"/>
          <w:sz w:val="32"/>
        </w:rPr>
        <w:t>（2）因供水突发事件直接造成3人以上10人以下死亡（含失踪），或者10人以上50人以下中毒（重伤）；</w:t>
      </w:r>
    </w:p>
    <w:p w14:paraId="3FF6892E">
      <w:pPr>
        <w:pStyle w:val="20"/>
        <w:widowControl/>
        <w:shd w:val="clear" w:color="auto" w:fill="FFFFFF"/>
        <w:spacing w:beforeAutospacing="0" w:afterAutospacing="0" w:line="560" w:lineRule="exact"/>
        <w:ind w:firstLine="632"/>
        <w:rPr>
          <w:rFonts w:ascii="Times New Roman" w:hAnsi="Times New Roman"/>
          <w:sz w:val="32"/>
        </w:rPr>
      </w:pPr>
      <w:r>
        <w:rPr>
          <w:rFonts w:ascii="Times New Roman" w:hAnsi="Times New Roman"/>
          <w:sz w:val="32"/>
        </w:rPr>
        <w:t>（3）造成直接经济损失1000万元以上、5000万元以下。</w:t>
      </w:r>
    </w:p>
    <w:p w14:paraId="7D385B2C">
      <w:pPr>
        <w:pStyle w:val="20"/>
        <w:widowControl/>
        <w:shd w:val="clear" w:color="auto" w:fill="FFFFFF"/>
        <w:spacing w:beforeAutospacing="0" w:afterAutospacing="0" w:line="560" w:lineRule="exact"/>
        <w:ind w:firstLine="632"/>
        <w:rPr>
          <w:rFonts w:ascii="Times New Roman" w:hAnsi="Times New Roman" w:eastAsia="楷体_GB2312"/>
          <w:b/>
          <w:bCs/>
          <w:color w:val="444444"/>
          <w:sz w:val="32"/>
          <w:shd w:val="clear" w:color="auto" w:fill="FFFFFF"/>
        </w:rPr>
      </w:pPr>
      <w:r>
        <w:rPr>
          <w:rFonts w:ascii="Times New Roman" w:hAnsi="Times New Roman" w:eastAsia="楷体_GB2312"/>
          <w:b/>
          <w:bCs/>
          <w:color w:val="444444"/>
          <w:sz w:val="32"/>
          <w:shd w:val="clear" w:color="auto" w:fill="FFFFFF"/>
        </w:rPr>
        <w:t>（四）一般供水突发事件</w:t>
      </w:r>
      <w:r>
        <w:rPr>
          <w:rFonts w:hint="eastAsia" w:ascii="Times New Roman" w:hAnsi="Times New Roman" w:eastAsia="楷体_GB2312"/>
          <w:b/>
          <w:bCs/>
          <w:color w:val="444444"/>
          <w:sz w:val="32"/>
          <w:shd w:val="clear" w:color="auto" w:fill="FFFFFF"/>
        </w:rPr>
        <w:t>（</w:t>
      </w:r>
      <w:r>
        <w:rPr>
          <w:rFonts w:ascii="Times New Roman" w:hAnsi="Times New Roman" w:eastAsia="楷体_GB2312"/>
          <w:b/>
          <w:bCs/>
          <w:color w:val="444444"/>
          <w:sz w:val="32"/>
          <w:shd w:val="clear" w:color="auto" w:fill="FFFFFF"/>
        </w:rPr>
        <w:t>Ⅳ级</w:t>
      </w:r>
      <w:r>
        <w:rPr>
          <w:rFonts w:hint="eastAsia" w:ascii="Times New Roman" w:hAnsi="Times New Roman" w:eastAsia="楷体_GB2312"/>
          <w:b/>
          <w:bCs/>
          <w:color w:val="444444"/>
          <w:sz w:val="32"/>
          <w:shd w:val="clear" w:color="auto" w:fill="FFFFFF"/>
        </w:rPr>
        <w:t>）</w:t>
      </w:r>
    </w:p>
    <w:p w14:paraId="0F2DAE6F">
      <w:pPr>
        <w:ind w:firstLine="632"/>
        <w:rPr>
          <w:rFonts w:ascii="Times New Roman" w:hAnsi="Times New Roman" w:cs="Times New Roman"/>
          <w:sz w:val="32"/>
        </w:rPr>
      </w:pPr>
      <w:r>
        <w:rPr>
          <w:rFonts w:ascii="Times New Roman" w:hAnsi="Times New Roman" w:cs="Times New Roman"/>
          <w:sz w:val="32"/>
        </w:rPr>
        <w:t>符合下列条件之一的，属于一般供水突发事件：</w:t>
      </w:r>
    </w:p>
    <w:p w14:paraId="44F33D3D">
      <w:pPr>
        <w:ind w:firstLine="632"/>
        <w:rPr>
          <w:rFonts w:ascii="Times New Roman" w:hAnsi="Times New Roman" w:cs="Times New Roman"/>
          <w:sz w:val="32"/>
        </w:rPr>
      </w:pPr>
      <w:r>
        <w:rPr>
          <w:rFonts w:ascii="Times New Roman" w:hAnsi="Times New Roman" w:cs="Times New Roman"/>
          <w:sz w:val="32"/>
        </w:rPr>
        <w:t>（1）因供水突发事件主要风险因素影响，造成5000户以上、1万户以下居民连续停水24小时以上；</w:t>
      </w:r>
    </w:p>
    <w:p w14:paraId="66F2E25C">
      <w:pPr>
        <w:ind w:firstLine="632"/>
        <w:rPr>
          <w:rFonts w:ascii="Times New Roman" w:hAnsi="Times New Roman" w:cs="Times New Roman"/>
          <w:sz w:val="32"/>
        </w:rPr>
      </w:pPr>
      <w:r>
        <w:rPr>
          <w:rFonts w:ascii="Times New Roman" w:hAnsi="Times New Roman" w:cs="Times New Roman"/>
          <w:sz w:val="32"/>
        </w:rPr>
        <w:t>（2）因供水突发事件直接造成3人以下死亡（含失踪），或者10人以下中毒（重伤）；</w:t>
      </w:r>
    </w:p>
    <w:p w14:paraId="6AA1DDA4">
      <w:pPr>
        <w:ind w:firstLine="632"/>
        <w:rPr>
          <w:rFonts w:ascii="Times New Roman" w:hAnsi="Times New Roman" w:cs="Times New Roman"/>
        </w:rPr>
      </w:pPr>
      <w:r>
        <w:rPr>
          <w:rFonts w:ascii="Times New Roman" w:hAnsi="Times New Roman" w:cs="Times New Roman"/>
          <w:sz w:val="32"/>
        </w:rPr>
        <w:t>（3）造成直接经济损失500万元以上、1000万元以下。</w:t>
      </w:r>
    </w:p>
    <w:p w14:paraId="44A294DD">
      <w:pPr>
        <w:pStyle w:val="15"/>
        <w:ind w:left="0" w:leftChars="0" w:firstLine="0" w:firstLineChars="0"/>
        <w:rPr>
          <w:rFonts w:ascii="Times New Roman" w:hAnsi="Times New Roman" w:cs="Times New Roman"/>
        </w:rPr>
        <w:sectPr>
          <w:footerReference r:id="rId78" w:type="default"/>
          <w:footerReference r:id="rId79" w:type="even"/>
          <w:pgSz w:w="11906" w:h="16838"/>
          <w:pgMar w:top="2098" w:right="1474" w:bottom="1984" w:left="1587" w:header="624" w:footer="1134" w:gutter="0"/>
          <w:pgNumType w:start="1"/>
          <w:cols w:space="0" w:num="1"/>
          <w:docGrid w:type="linesAndChars" w:linePitch="579" w:charSpace="-842"/>
        </w:sectPr>
      </w:pPr>
    </w:p>
    <w:p w14:paraId="7C39658D">
      <w:pPr>
        <w:ind w:firstLine="552"/>
        <w:rPr>
          <w:rFonts w:ascii="Times New Roman" w:hAnsi="Times New Roman" w:cs="Times New Roman"/>
        </w:rPr>
      </w:pPr>
    </w:p>
    <w:p w14:paraId="26390020">
      <w:pPr>
        <w:ind w:firstLine="552"/>
        <w:rPr>
          <w:rFonts w:ascii="Times New Roman" w:hAnsi="Times New Roman" w:cs="Times New Roman"/>
        </w:rPr>
      </w:pPr>
    </w:p>
    <w:p w14:paraId="67458E44">
      <w:pPr>
        <w:pStyle w:val="13"/>
        <w:ind w:firstLine="632"/>
        <w:rPr>
          <w:rFonts w:ascii="Times New Roman" w:hAnsi="Times New Roman" w:cs="Times New Roman"/>
        </w:rPr>
      </w:pPr>
    </w:p>
    <w:p w14:paraId="22339BEB">
      <w:pPr>
        <w:ind w:firstLine="552"/>
        <w:rPr>
          <w:rFonts w:ascii="Times New Roman" w:hAnsi="Times New Roman" w:cs="Times New Roman"/>
        </w:rPr>
      </w:pPr>
    </w:p>
    <w:p w14:paraId="5F55BA90">
      <w:pPr>
        <w:ind w:firstLine="0" w:firstLineChars="0"/>
        <w:jc w:val="center"/>
        <w:rPr>
          <w:rFonts w:ascii="Times New Roman" w:hAnsi="Times New Roman" w:eastAsia="楷体" w:cs="Times New Roman"/>
          <w:b/>
          <w:bCs/>
          <w:sz w:val="72"/>
          <w:szCs w:val="72"/>
        </w:rPr>
      </w:pPr>
      <w:r>
        <w:rPr>
          <w:rFonts w:ascii="Times New Roman" w:hAnsi="Times New Roman" w:eastAsia="方正小标宋简体" w:cs="Times New Roman"/>
          <w:bCs/>
          <w:color w:val="000000"/>
          <w:spacing w:val="-6"/>
          <w:kern w:val="0"/>
          <w:sz w:val="52"/>
          <w:szCs w:val="52"/>
          <w:lang w:bidi="ar"/>
        </w:rPr>
        <w:t>集贤县</w:t>
      </w:r>
      <w:r>
        <w:rPr>
          <w:rFonts w:hint="eastAsia" w:ascii="Times New Roman" w:hAnsi="Times New Roman" w:eastAsia="方正小标宋简体" w:cs="Times New Roman"/>
          <w:bCs/>
          <w:color w:val="000000"/>
          <w:spacing w:val="-6"/>
          <w:kern w:val="0"/>
          <w:sz w:val="52"/>
          <w:szCs w:val="52"/>
          <w:lang w:bidi="ar"/>
        </w:rPr>
        <w:t>特种设备事故</w:t>
      </w:r>
      <w:r>
        <w:rPr>
          <w:rFonts w:ascii="Times New Roman" w:hAnsi="Times New Roman" w:eastAsia="方正小标宋简体" w:cs="Times New Roman"/>
          <w:bCs/>
          <w:color w:val="000000"/>
          <w:spacing w:val="-6"/>
          <w:kern w:val="0"/>
          <w:sz w:val="52"/>
          <w:szCs w:val="52"/>
          <w:lang w:bidi="ar"/>
        </w:rPr>
        <w:t>应急预案</w:t>
      </w:r>
    </w:p>
    <w:p w14:paraId="2E40B581">
      <w:pPr>
        <w:pStyle w:val="11"/>
        <w:ind w:firstLine="0" w:firstLineChars="0"/>
        <w:jc w:val="center"/>
        <w:rPr>
          <w:rFonts w:ascii="Times New Roman" w:hAnsi="Times New Roman" w:eastAsia="楷体_GB2312" w:cs="Times New Roman"/>
          <w:b/>
          <w:sz w:val="52"/>
          <w:szCs w:val="52"/>
        </w:rPr>
      </w:pPr>
      <w:r>
        <w:rPr>
          <w:rFonts w:hint="eastAsia" w:ascii="仿宋_GB2312" w:hAnsi="仿宋_GB2312" w:cs="仿宋_GB2312"/>
          <w:bCs/>
          <w:sz w:val="48"/>
          <w:szCs w:val="48"/>
        </w:rPr>
        <w:t>（修订稿）</w:t>
      </w:r>
    </w:p>
    <w:p w14:paraId="6E8FCD15">
      <w:pPr>
        <w:pStyle w:val="11"/>
        <w:ind w:firstLine="0" w:firstLineChars="0"/>
        <w:jc w:val="center"/>
        <w:rPr>
          <w:rFonts w:ascii="Times New Roman" w:hAnsi="Times New Roman" w:eastAsia="黑体" w:cs="Times New Roman"/>
          <w:sz w:val="52"/>
          <w:szCs w:val="52"/>
        </w:rPr>
      </w:pPr>
    </w:p>
    <w:p w14:paraId="3D8F2A98">
      <w:pPr>
        <w:pStyle w:val="11"/>
        <w:ind w:firstLine="0" w:firstLineChars="0"/>
        <w:jc w:val="center"/>
        <w:rPr>
          <w:rFonts w:ascii="Times New Roman" w:hAnsi="Times New Roman" w:eastAsia="黑体" w:cs="Times New Roman"/>
          <w:sz w:val="52"/>
          <w:szCs w:val="52"/>
        </w:rPr>
      </w:pPr>
    </w:p>
    <w:p w14:paraId="23249FA6">
      <w:pPr>
        <w:pStyle w:val="11"/>
        <w:ind w:firstLine="0" w:firstLineChars="0"/>
        <w:jc w:val="center"/>
        <w:rPr>
          <w:rFonts w:ascii="Times New Roman" w:hAnsi="Times New Roman" w:eastAsia="黑体" w:cs="Times New Roman"/>
          <w:sz w:val="52"/>
          <w:szCs w:val="52"/>
        </w:rPr>
      </w:pPr>
    </w:p>
    <w:p w14:paraId="5FB7EBAB">
      <w:pPr>
        <w:pStyle w:val="11"/>
        <w:ind w:firstLine="0" w:firstLineChars="0"/>
        <w:jc w:val="center"/>
        <w:rPr>
          <w:rFonts w:ascii="Times New Roman" w:hAnsi="Times New Roman" w:eastAsia="黑体" w:cs="Times New Roman"/>
          <w:sz w:val="52"/>
          <w:szCs w:val="52"/>
        </w:rPr>
      </w:pPr>
    </w:p>
    <w:p w14:paraId="100F5F2E">
      <w:pPr>
        <w:pStyle w:val="11"/>
        <w:ind w:firstLine="0" w:firstLineChars="0"/>
        <w:jc w:val="center"/>
        <w:rPr>
          <w:rFonts w:ascii="Times New Roman" w:hAnsi="Times New Roman" w:eastAsia="楷体_GB2312" w:cs="Times New Roman"/>
          <w:spacing w:val="-12"/>
          <w:sz w:val="44"/>
          <w:szCs w:val="44"/>
        </w:rPr>
      </w:pPr>
    </w:p>
    <w:p w14:paraId="41A993E6">
      <w:pPr>
        <w:pStyle w:val="11"/>
        <w:ind w:firstLine="0" w:firstLineChars="0"/>
        <w:jc w:val="center"/>
        <w:rPr>
          <w:rFonts w:ascii="Times New Roman" w:hAnsi="Times New Roman" w:eastAsia="楷体_GB2312" w:cs="Times New Roman"/>
          <w:spacing w:val="-12"/>
          <w:sz w:val="44"/>
          <w:szCs w:val="44"/>
        </w:rPr>
      </w:pPr>
    </w:p>
    <w:p w14:paraId="514956FE">
      <w:pPr>
        <w:pStyle w:val="11"/>
        <w:ind w:firstLine="0" w:firstLineChars="0"/>
        <w:jc w:val="center"/>
        <w:rPr>
          <w:rFonts w:ascii="Times New Roman" w:hAnsi="Times New Roman" w:eastAsia="楷体_GB2312" w:cs="Times New Roman"/>
          <w:spacing w:val="-12"/>
          <w:sz w:val="44"/>
          <w:szCs w:val="44"/>
        </w:rPr>
      </w:pPr>
    </w:p>
    <w:p w14:paraId="4A914976">
      <w:pPr>
        <w:pStyle w:val="11"/>
        <w:ind w:firstLine="0" w:firstLineChars="0"/>
        <w:jc w:val="center"/>
        <w:rPr>
          <w:rFonts w:ascii="Times New Roman" w:hAnsi="Times New Roman" w:eastAsia="楷体_GB2312" w:cs="Times New Roman"/>
          <w:spacing w:val="-12"/>
          <w:sz w:val="44"/>
          <w:szCs w:val="44"/>
        </w:rPr>
      </w:pPr>
    </w:p>
    <w:p w14:paraId="48A522A1">
      <w:pPr>
        <w:ind w:firstLine="0" w:firstLineChars="0"/>
        <w:jc w:val="center"/>
        <w:rPr>
          <w:rFonts w:ascii="Times New Roman" w:hAnsi="Times New Roman" w:cs="Times New Roman"/>
          <w:bCs/>
          <w:spacing w:val="-6"/>
          <w:sz w:val="36"/>
          <w:szCs w:val="24"/>
          <w:lang w:bidi="ar"/>
        </w:rPr>
      </w:pPr>
      <w:r>
        <w:rPr>
          <w:rFonts w:ascii="Times New Roman" w:hAnsi="Times New Roman" w:cs="Times New Roman"/>
          <w:bCs/>
          <w:spacing w:val="-6"/>
          <w:sz w:val="36"/>
          <w:szCs w:val="24"/>
          <w:lang w:bidi="ar"/>
        </w:rPr>
        <w:t>集贤</w:t>
      </w:r>
      <w:r>
        <w:rPr>
          <w:rFonts w:hint="eastAsia" w:ascii="Times New Roman" w:hAnsi="Times New Roman" w:cs="Times New Roman"/>
          <w:bCs/>
          <w:spacing w:val="-6"/>
          <w:sz w:val="36"/>
          <w:szCs w:val="24"/>
          <w:lang w:bidi="ar"/>
        </w:rPr>
        <w:t>县政府</w:t>
      </w:r>
      <w:r>
        <w:rPr>
          <w:rFonts w:ascii="Times New Roman" w:hAnsi="Times New Roman" w:cs="Times New Roman"/>
          <w:bCs/>
          <w:spacing w:val="-6"/>
          <w:sz w:val="36"/>
          <w:szCs w:val="24"/>
          <w:lang w:bidi="ar"/>
        </w:rPr>
        <w:t xml:space="preserve"> 编制</w:t>
      </w:r>
    </w:p>
    <w:p w14:paraId="144BC9C0">
      <w:pPr>
        <w:ind w:firstLine="0" w:firstLineChars="0"/>
        <w:jc w:val="center"/>
        <w:rPr>
          <w:rFonts w:ascii="Times New Roman" w:hAnsi="Times New Roman" w:cs="Times New Roman"/>
          <w:bCs/>
          <w:spacing w:val="-6"/>
          <w:sz w:val="36"/>
          <w:szCs w:val="24"/>
          <w:lang w:bidi="ar"/>
        </w:rPr>
      </w:pPr>
      <w:r>
        <w:rPr>
          <w:rFonts w:ascii="Times New Roman" w:hAnsi="Times New Roman" w:cs="Times New Roman"/>
          <w:bCs/>
          <w:spacing w:val="-6"/>
          <w:sz w:val="36"/>
          <w:szCs w:val="24"/>
          <w:lang w:bidi="ar"/>
        </w:rPr>
        <w:t>2025年5月</w:t>
      </w:r>
    </w:p>
    <w:p w14:paraId="11511B5E">
      <w:pPr>
        <w:ind w:firstLine="688"/>
        <w:rPr>
          <w:rFonts w:ascii="Times New Roman" w:hAnsi="Times New Roman" w:cs="Times New Roman"/>
          <w:bCs/>
          <w:spacing w:val="-6"/>
          <w:sz w:val="36"/>
          <w:szCs w:val="24"/>
          <w:lang w:bidi="ar"/>
        </w:rPr>
      </w:pPr>
      <w:r>
        <w:rPr>
          <w:rFonts w:ascii="Times New Roman" w:hAnsi="Times New Roman" w:cs="Times New Roman"/>
          <w:bCs/>
          <w:spacing w:val="-6"/>
          <w:sz w:val="36"/>
          <w:szCs w:val="24"/>
          <w:lang w:bidi="ar"/>
        </w:rPr>
        <w:br w:type="page"/>
      </w:r>
    </w:p>
    <w:p w14:paraId="0AA8BED3">
      <w:pPr>
        <w:pStyle w:val="29"/>
        <w:rPr>
          <w:rFonts w:ascii="Times New Roman" w:hAnsi="Times New Roman" w:cs="Times New Roman"/>
          <w:sz w:val="36"/>
          <w:szCs w:val="36"/>
        </w:rPr>
        <w:sectPr>
          <w:headerReference r:id="rId80" w:type="default"/>
          <w:footerReference r:id="rId82" w:type="default"/>
          <w:headerReference r:id="rId81" w:type="even"/>
          <w:footerReference r:id="rId83" w:type="even"/>
          <w:pgSz w:w="11906" w:h="16838"/>
          <w:pgMar w:top="2098" w:right="1474" w:bottom="1984" w:left="1587" w:header="624" w:footer="1134" w:gutter="0"/>
          <w:pgNumType w:start="1"/>
          <w:cols w:space="0" w:num="1"/>
          <w:docGrid w:type="linesAndChars" w:linePitch="579" w:charSpace="-842"/>
        </w:sectPr>
      </w:pPr>
    </w:p>
    <w:sdt>
      <w:sdtPr>
        <w:rPr>
          <w:rFonts w:ascii="Times New Roman" w:hAnsi="Times New Roman" w:eastAsia="微软雅黑" w:cs="Times New Roman"/>
          <w:b/>
          <w:bCs/>
          <w:sz w:val="36"/>
          <w:szCs w:val="36"/>
        </w:rPr>
        <w:id w:val="147473523"/>
        <w15:color w:val="DBDBDB"/>
        <w:docPartObj>
          <w:docPartGallery w:val="Table of Contents"/>
          <w:docPartUnique/>
        </w:docPartObj>
      </w:sdtPr>
      <w:sdtEndPr>
        <w:rPr>
          <w:rFonts w:ascii="Times New Roman" w:hAnsi="Times New Roman" w:eastAsia="仿宋" w:cs="Times New Roman"/>
          <w:b/>
          <w:bCs/>
          <w:sz w:val="32"/>
          <w:szCs w:val="32"/>
        </w:rPr>
      </w:sdtEndPr>
      <w:sdtContent>
        <w:p w14:paraId="7DADE83C">
          <w:pPr>
            <w:ind w:firstLine="0" w:firstLineChars="0"/>
            <w:jc w:val="center"/>
            <w:rPr>
              <w:rFonts w:ascii="Times New Roman" w:hAnsi="Times New Roman" w:cs="Times New Roman"/>
            </w:rPr>
          </w:pPr>
          <w:r>
            <w:rPr>
              <w:rFonts w:ascii="Times New Roman" w:hAnsi="Times New Roman" w:eastAsia="微软雅黑" w:cs="Times New Roman"/>
              <w:b/>
              <w:bCs/>
              <w:sz w:val="36"/>
              <w:szCs w:val="36"/>
            </w:rPr>
            <w:t>目  录</w:t>
          </w:r>
        </w:p>
        <w:p w14:paraId="7F72C44E">
          <w:pPr>
            <w:pStyle w:val="18"/>
            <w:rPr>
              <w:sz w:val="32"/>
            </w:rPr>
          </w:pPr>
          <w:r>
            <w:rPr>
              <w:rFonts w:ascii="Times New Roman" w:hAnsi="Times New Roman" w:cs="Times New Roman"/>
              <w:sz w:val="32"/>
            </w:rPr>
            <w:fldChar w:fldCharType="begin"/>
          </w:r>
          <w:r>
            <w:rPr>
              <w:rFonts w:ascii="Times New Roman" w:hAnsi="Times New Roman" w:cs="Times New Roman"/>
              <w:sz w:val="32"/>
            </w:rPr>
            <w:instrText xml:space="preserve">TOC \o "1-2" \h \u </w:instrText>
          </w:r>
          <w:r>
            <w:rPr>
              <w:rFonts w:ascii="Times New Roman" w:hAnsi="Times New Roman" w:cs="Times New Roman"/>
              <w:sz w:val="32"/>
            </w:rPr>
            <w:fldChar w:fldCharType="separate"/>
          </w:r>
          <w:r>
            <w:fldChar w:fldCharType="begin"/>
          </w:r>
          <w:r>
            <w:instrText xml:space="preserve"> HYPERLINK \l "_Toc560" </w:instrText>
          </w:r>
          <w:r>
            <w:fldChar w:fldCharType="separate"/>
          </w:r>
          <w:r>
            <w:rPr>
              <w:rFonts w:ascii="Times New Roman" w:hAnsi="Times New Roman" w:eastAsia="仿宋" w:cs="Times New Roman"/>
              <w:sz w:val="32"/>
            </w:rPr>
            <w:t xml:space="preserve">1 </w:t>
          </w:r>
          <w:r>
            <w:rPr>
              <w:rFonts w:ascii="Times New Roman" w:hAnsi="Times New Roman" w:cs="Times New Roman"/>
              <w:sz w:val="32"/>
            </w:rPr>
            <w:t>总则</w:t>
          </w:r>
          <w:r>
            <w:rPr>
              <w:sz w:val="32"/>
            </w:rPr>
            <w:tab/>
          </w:r>
          <w:r>
            <w:rPr>
              <w:sz w:val="32"/>
            </w:rPr>
            <w:fldChar w:fldCharType="begin"/>
          </w:r>
          <w:r>
            <w:rPr>
              <w:sz w:val="32"/>
            </w:rPr>
            <w:instrText xml:space="preserve"> PAGEREF _Toc560 \h </w:instrText>
          </w:r>
          <w:r>
            <w:rPr>
              <w:sz w:val="32"/>
            </w:rPr>
            <w:fldChar w:fldCharType="separate"/>
          </w:r>
          <w:r>
            <w:rPr>
              <w:sz w:val="32"/>
            </w:rPr>
            <w:t>1</w:t>
          </w:r>
          <w:r>
            <w:rPr>
              <w:sz w:val="32"/>
            </w:rPr>
            <w:fldChar w:fldCharType="end"/>
          </w:r>
          <w:r>
            <w:rPr>
              <w:sz w:val="32"/>
            </w:rPr>
            <w:fldChar w:fldCharType="end"/>
          </w:r>
        </w:p>
        <w:p w14:paraId="51FEB037">
          <w:pPr>
            <w:pStyle w:val="19"/>
            <w:tabs>
              <w:tab w:val="right" w:leader="dot" w:pos="8845"/>
            </w:tabs>
            <w:ind w:firstLine="552"/>
            <w:rPr>
              <w:sz w:val="32"/>
            </w:rPr>
          </w:pPr>
          <w:r>
            <w:fldChar w:fldCharType="begin"/>
          </w:r>
          <w:r>
            <w:instrText xml:space="preserve"> HYPERLINK \l "_Toc28271" </w:instrText>
          </w:r>
          <w:r>
            <w:fldChar w:fldCharType="separate"/>
          </w:r>
          <w:r>
            <w:rPr>
              <w:rFonts w:ascii="Times New Roman" w:hAnsi="Times New Roman" w:eastAsia="仿宋" w:cs="Times New Roman"/>
              <w:bCs/>
              <w:sz w:val="32"/>
            </w:rPr>
            <w:t xml:space="preserve">1.1 </w:t>
          </w:r>
          <w:r>
            <w:rPr>
              <w:rFonts w:ascii="Times New Roman" w:hAnsi="Times New Roman" w:cs="Times New Roman"/>
              <w:sz w:val="32"/>
            </w:rPr>
            <w:t>编制目的</w:t>
          </w:r>
          <w:r>
            <w:rPr>
              <w:sz w:val="32"/>
            </w:rPr>
            <w:tab/>
          </w:r>
          <w:r>
            <w:rPr>
              <w:sz w:val="32"/>
            </w:rPr>
            <w:fldChar w:fldCharType="begin"/>
          </w:r>
          <w:r>
            <w:rPr>
              <w:sz w:val="32"/>
            </w:rPr>
            <w:instrText xml:space="preserve"> PAGEREF _Toc28271 \h </w:instrText>
          </w:r>
          <w:r>
            <w:rPr>
              <w:sz w:val="32"/>
            </w:rPr>
            <w:fldChar w:fldCharType="separate"/>
          </w:r>
          <w:r>
            <w:rPr>
              <w:sz w:val="32"/>
            </w:rPr>
            <w:t>1</w:t>
          </w:r>
          <w:r>
            <w:rPr>
              <w:sz w:val="32"/>
            </w:rPr>
            <w:fldChar w:fldCharType="end"/>
          </w:r>
          <w:r>
            <w:rPr>
              <w:sz w:val="32"/>
            </w:rPr>
            <w:fldChar w:fldCharType="end"/>
          </w:r>
        </w:p>
        <w:p w14:paraId="41E88070">
          <w:pPr>
            <w:pStyle w:val="19"/>
            <w:tabs>
              <w:tab w:val="right" w:leader="dot" w:pos="8845"/>
            </w:tabs>
            <w:ind w:firstLine="552"/>
            <w:rPr>
              <w:sz w:val="32"/>
            </w:rPr>
          </w:pPr>
          <w:r>
            <w:fldChar w:fldCharType="begin"/>
          </w:r>
          <w:r>
            <w:instrText xml:space="preserve"> HYPERLINK \l "_Toc19740" </w:instrText>
          </w:r>
          <w:r>
            <w:fldChar w:fldCharType="separate"/>
          </w:r>
          <w:r>
            <w:rPr>
              <w:rFonts w:ascii="Times New Roman" w:hAnsi="Times New Roman" w:eastAsia="仿宋" w:cs="Times New Roman"/>
              <w:bCs/>
              <w:sz w:val="32"/>
            </w:rPr>
            <w:t xml:space="preserve">1.2 </w:t>
          </w:r>
          <w:r>
            <w:rPr>
              <w:rFonts w:ascii="Times New Roman" w:hAnsi="Times New Roman" w:cs="Times New Roman"/>
              <w:sz w:val="32"/>
            </w:rPr>
            <w:t>编制依据</w:t>
          </w:r>
          <w:r>
            <w:rPr>
              <w:sz w:val="32"/>
            </w:rPr>
            <w:tab/>
          </w:r>
          <w:r>
            <w:rPr>
              <w:sz w:val="32"/>
            </w:rPr>
            <w:fldChar w:fldCharType="begin"/>
          </w:r>
          <w:r>
            <w:rPr>
              <w:sz w:val="32"/>
            </w:rPr>
            <w:instrText xml:space="preserve"> PAGEREF _Toc19740 \h </w:instrText>
          </w:r>
          <w:r>
            <w:rPr>
              <w:sz w:val="32"/>
            </w:rPr>
            <w:fldChar w:fldCharType="separate"/>
          </w:r>
          <w:r>
            <w:rPr>
              <w:sz w:val="32"/>
            </w:rPr>
            <w:t>1</w:t>
          </w:r>
          <w:r>
            <w:rPr>
              <w:sz w:val="32"/>
            </w:rPr>
            <w:fldChar w:fldCharType="end"/>
          </w:r>
          <w:r>
            <w:rPr>
              <w:sz w:val="32"/>
            </w:rPr>
            <w:fldChar w:fldCharType="end"/>
          </w:r>
        </w:p>
        <w:p w14:paraId="397E2419">
          <w:pPr>
            <w:pStyle w:val="19"/>
            <w:tabs>
              <w:tab w:val="right" w:leader="dot" w:pos="8845"/>
            </w:tabs>
            <w:ind w:firstLine="552"/>
            <w:rPr>
              <w:sz w:val="32"/>
            </w:rPr>
          </w:pPr>
          <w:r>
            <w:fldChar w:fldCharType="begin"/>
          </w:r>
          <w:r>
            <w:instrText xml:space="preserve"> HYPERLINK \l "_Toc20358" </w:instrText>
          </w:r>
          <w:r>
            <w:fldChar w:fldCharType="separate"/>
          </w:r>
          <w:r>
            <w:rPr>
              <w:rFonts w:ascii="Times New Roman" w:hAnsi="Times New Roman" w:eastAsia="仿宋" w:cs="Times New Roman"/>
              <w:bCs/>
              <w:sz w:val="32"/>
            </w:rPr>
            <w:t xml:space="preserve">1.3 </w:t>
          </w:r>
          <w:r>
            <w:rPr>
              <w:rFonts w:ascii="Times New Roman" w:hAnsi="Times New Roman" w:cs="Times New Roman"/>
              <w:sz w:val="32"/>
            </w:rPr>
            <w:t>适用范围</w:t>
          </w:r>
          <w:r>
            <w:rPr>
              <w:sz w:val="32"/>
            </w:rPr>
            <w:tab/>
          </w:r>
          <w:r>
            <w:rPr>
              <w:sz w:val="32"/>
            </w:rPr>
            <w:fldChar w:fldCharType="begin"/>
          </w:r>
          <w:r>
            <w:rPr>
              <w:sz w:val="32"/>
            </w:rPr>
            <w:instrText xml:space="preserve"> PAGEREF _Toc20358 \h </w:instrText>
          </w:r>
          <w:r>
            <w:rPr>
              <w:sz w:val="32"/>
            </w:rPr>
            <w:fldChar w:fldCharType="separate"/>
          </w:r>
          <w:r>
            <w:rPr>
              <w:sz w:val="32"/>
            </w:rPr>
            <w:t>1</w:t>
          </w:r>
          <w:r>
            <w:rPr>
              <w:sz w:val="32"/>
            </w:rPr>
            <w:fldChar w:fldCharType="end"/>
          </w:r>
          <w:r>
            <w:rPr>
              <w:sz w:val="32"/>
            </w:rPr>
            <w:fldChar w:fldCharType="end"/>
          </w:r>
        </w:p>
        <w:p w14:paraId="08C66E75">
          <w:pPr>
            <w:pStyle w:val="19"/>
            <w:tabs>
              <w:tab w:val="right" w:leader="dot" w:pos="8845"/>
            </w:tabs>
            <w:ind w:firstLine="552"/>
            <w:rPr>
              <w:sz w:val="32"/>
            </w:rPr>
          </w:pPr>
          <w:r>
            <w:fldChar w:fldCharType="begin"/>
          </w:r>
          <w:r>
            <w:instrText xml:space="preserve"> HYPERLINK \l "_Toc4839" </w:instrText>
          </w:r>
          <w:r>
            <w:fldChar w:fldCharType="separate"/>
          </w:r>
          <w:r>
            <w:rPr>
              <w:rFonts w:ascii="Times New Roman" w:hAnsi="Times New Roman" w:eastAsia="仿宋" w:cs="Times New Roman"/>
              <w:bCs/>
              <w:sz w:val="32"/>
            </w:rPr>
            <w:t xml:space="preserve">1.4 </w:t>
          </w:r>
          <w:r>
            <w:rPr>
              <w:rFonts w:ascii="Times New Roman" w:hAnsi="Times New Roman" w:cs="Times New Roman"/>
              <w:sz w:val="32"/>
            </w:rPr>
            <w:t>工作原则</w:t>
          </w:r>
          <w:r>
            <w:rPr>
              <w:sz w:val="32"/>
            </w:rPr>
            <w:tab/>
          </w:r>
          <w:r>
            <w:rPr>
              <w:sz w:val="32"/>
            </w:rPr>
            <w:fldChar w:fldCharType="begin"/>
          </w:r>
          <w:r>
            <w:rPr>
              <w:sz w:val="32"/>
            </w:rPr>
            <w:instrText xml:space="preserve"> PAGEREF _Toc4839 \h </w:instrText>
          </w:r>
          <w:r>
            <w:rPr>
              <w:sz w:val="32"/>
            </w:rPr>
            <w:fldChar w:fldCharType="separate"/>
          </w:r>
          <w:r>
            <w:rPr>
              <w:sz w:val="32"/>
            </w:rPr>
            <w:t>1</w:t>
          </w:r>
          <w:r>
            <w:rPr>
              <w:sz w:val="32"/>
            </w:rPr>
            <w:fldChar w:fldCharType="end"/>
          </w:r>
          <w:r>
            <w:rPr>
              <w:sz w:val="32"/>
            </w:rPr>
            <w:fldChar w:fldCharType="end"/>
          </w:r>
        </w:p>
        <w:p w14:paraId="1010CD6A">
          <w:pPr>
            <w:pStyle w:val="19"/>
            <w:tabs>
              <w:tab w:val="right" w:leader="dot" w:pos="8845"/>
            </w:tabs>
            <w:ind w:firstLine="552"/>
            <w:rPr>
              <w:sz w:val="32"/>
            </w:rPr>
          </w:pPr>
          <w:r>
            <w:fldChar w:fldCharType="begin"/>
          </w:r>
          <w:r>
            <w:instrText xml:space="preserve"> HYPERLINK \l "_Toc14106" </w:instrText>
          </w:r>
          <w:r>
            <w:fldChar w:fldCharType="separate"/>
          </w:r>
          <w:r>
            <w:rPr>
              <w:rFonts w:ascii="Times New Roman" w:hAnsi="Times New Roman" w:eastAsia="仿宋" w:cs="Times New Roman"/>
              <w:bCs/>
              <w:sz w:val="32"/>
            </w:rPr>
            <w:t xml:space="preserve">1.5 </w:t>
          </w:r>
          <w:r>
            <w:rPr>
              <w:rFonts w:ascii="Times New Roman" w:hAnsi="Times New Roman" w:cs="Times New Roman"/>
              <w:sz w:val="32"/>
            </w:rPr>
            <w:t>事件分级</w:t>
          </w:r>
          <w:r>
            <w:rPr>
              <w:sz w:val="32"/>
            </w:rPr>
            <w:tab/>
          </w:r>
          <w:r>
            <w:rPr>
              <w:sz w:val="32"/>
            </w:rPr>
            <w:fldChar w:fldCharType="begin"/>
          </w:r>
          <w:r>
            <w:rPr>
              <w:sz w:val="32"/>
            </w:rPr>
            <w:instrText xml:space="preserve"> PAGEREF _Toc14106 \h </w:instrText>
          </w:r>
          <w:r>
            <w:rPr>
              <w:sz w:val="32"/>
            </w:rPr>
            <w:fldChar w:fldCharType="separate"/>
          </w:r>
          <w:r>
            <w:rPr>
              <w:sz w:val="32"/>
            </w:rPr>
            <w:t>3</w:t>
          </w:r>
          <w:r>
            <w:rPr>
              <w:sz w:val="32"/>
            </w:rPr>
            <w:fldChar w:fldCharType="end"/>
          </w:r>
          <w:r>
            <w:rPr>
              <w:sz w:val="32"/>
            </w:rPr>
            <w:fldChar w:fldCharType="end"/>
          </w:r>
        </w:p>
        <w:p w14:paraId="450784DD">
          <w:pPr>
            <w:pStyle w:val="18"/>
            <w:rPr>
              <w:sz w:val="32"/>
            </w:rPr>
          </w:pPr>
          <w:r>
            <w:fldChar w:fldCharType="begin"/>
          </w:r>
          <w:r>
            <w:instrText xml:space="preserve"> HYPERLINK \l "_Toc21740" </w:instrText>
          </w:r>
          <w:r>
            <w:fldChar w:fldCharType="separate"/>
          </w:r>
          <w:r>
            <w:rPr>
              <w:rFonts w:ascii="Times New Roman" w:hAnsi="Times New Roman" w:eastAsia="仿宋" w:cs="Times New Roman"/>
              <w:sz w:val="32"/>
            </w:rPr>
            <w:t xml:space="preserve">2 </w:t>
          </w:r>
          <w:r>
            <w:rPr>
              <w:rFonts w:ascii="Times New Roman" w:hAnsi="Times New Roman" w:cs="Times New Roman"/>
              <w:sz w:val="32"/>
            </w:rPr>
            <w:t>组织指挥体系</w:t>
          </w:r>
          <w:r>
            <w:rPr>
              <w:sz w:val="32"/>
            </w:rPr>
            <w:tab/>
          </w:r>
          <w:r>
            <w:rPr>
              <w:sz w:val="32"/>
            </w:rPr>
            <w:fldChar w:fldCharType="begin"/>
          </w:r>
          <w:r>
            <w:rPr>
              <w:sz w:val="32"/>
            </w:rPr>
            <w:instrText xml:space="preserve"> PAGEREF _Toc21740 \h </w:instrText>
          </w:r>
          <w:r>
            <w:rPr>
              <w:sz w:val="32"/>
            </w:rPr>
            <w:fldChar w:fldCharType="separate"/>
          </w:r>
          <w:r>
            <w:rPr>
              <w:sz w:val="32"/>
            </w:rPr>
            <w:t>3</w:t>
          </w:r>
          <w:r>
            <w:rPr>
              <w:sz w:val="32"/>
            </w:rPr>
            <w:fldChar w:fldCharType="end"/>
          </w:r>
          <w:r>
            <w:rPr>
              <w:sz w:val="32"/>
            </w:rPr>
            <w:fldChar w:fldCharType="end"/>
          </w:r>
        </w:p>
        <w:p w14:paraId="24D8A175">
          <w:pPr>
            <w:pStyle w:val="19"/>
            <w:tabs>
              <w:tab w:val="right" w:leader="dot" w:pos="8845"/>
            </w:tabs>
            <w:ind w:firstLine="552"/>
            <w:rPr>
              <w:sz w:val="32"/>
            </w:rPr>
          </w:pPr>
          <w:r>
            <w:fldChar w:fldCharType="begin"/>
          </w:r>
          <w:r>
            <w:instrText xml:space="preserve"> HYPERLINK \l "_Toc7138" </w:instrText>
          </w:r>
          <w:r>
            <w:fldChar w:fldCharType="separate"/>
          </w:r>
          <w:r>
            <w:rPr>
              <w:rFonts w:ascii="Times New Roman" w:hAnsi="Times New Roman" w:eastAsia="仿宋" w:cs="Times New Roman"/>
              <w:bCs/>
              <w:sz w:val="32"/>
            </w:rPr>
            <w:t xml:space="preserve">2.1 </w:t>
          </w:r>
          <w:r>
            <w:rPr>
              <w:rFonts w:ascii="Times New Roman" w:hAnsi="Times New Roman" w:cs="Times New Roman"/>
              <w:sz w:val="32"/>
            </w:rPr>
            <w:t>应急组织机构及职责</w:t>
          </w:r>
          <w:r>
            <w:rPr>
              <w:sz w:val="32"/>
            </w:rPr>
            <w:tab/>
          </w:r>
          <w:r>
            <w:rPr>
              <w:sz w:val="32"/>
            </w:rPr>
            <w:fldChar w:fldCharType="begin"/>
          </w:r>
          <w:r>
            <w:rPr>
              <w:sz w:val="32"/>
            </w:rPr>
            <w:instrText xml:space="preserve"> PAGEREF _Toc7138 \h </w:instrText>
          </w:r>
          <w:r>
            <w:rPr>
              <w:sz w:val="32"/>
            </w:rPr>
            <w:fldChar w:fldCharType="separate"/>
          </w:r>
          <w:r>
            <w:rPr>
              <w:sz w:val="32"/>
            </w:rPr>
            <w:t>3</w:t>
          </w:r>
          <w:r>
            <w:rPr>
              <w:sz w:val="32"/>
            </w:rPr>
            <w:fldChar w:fldCharType="end"/>
          </w:r>
          <w:r>
            <w:rPr>
              <w:sz w:val="32"/>
            </w:rPr>
            <w:fldChar w:fldCharType="end"/>
          </w:r>
        </w:p>
        <w:p w14:paraId="33E2E9B2">
          <w:pPr>
            <w:pStyle w:val="19"/>
            <w:tabs>
              <w:tab w:val="right" w:leader="dot" w:pos="8845"/>
            </w:tabs>
            <w:ind w:firstLine="552"/>
            <w:rPr>
              <w:sz w:val="32"/>
            </w:rPr>
          </w:pPr>
          <w:r>
            <w:fldChar w:fldCharType="begin"/>
          </w:r>
          <w:r>
            <w:instrText xml:space="preserve"> HYPERLINK \l "_Toc26285" </w:instrText>
          </w:r>
          <w:r>
            <w:fldChar w:fldCharType="separate"/>
          </w:r>
          <w:r>
            <w:rPr>
              <w:rFonts w:ascii="Times New Roman" w:hAnsi="Times New Roman" w:eastAsia="仿宋" w:cs="Times New Roman"/>
              <w:bCs/>
              <w:sz w:val="32"/>
            </w:rPr>
            <w:t xml:space="preserve">2.2 </w:t>
          </w:r>
          <w:r>
            <w:rPr>
              <w:rFonts w:ascii="Times New Roman" w:hAnsi="Times New Roman" w:cs="Times New Roman"/>
              <w:sz w:val="32"/>
            </w:rPr>
            <w:t>现场指挥机构及职责</w:t>
          </w:r>
          <w:r>
            <w:rPr>
              <w:sz w:val="32"/>
            </w:rPr>
            <w:tab/>
          </w:r>
          <w:r>
            <w:rPr>
              <w:sz w:val="32"/>
            </w:rPr>
            <w:fldChar w:fldCharType="begin"/>
          </w:r>
          <w:r>
            <w:rPr>
              <w:sz w:val="32"/>
            </w:rPr>
            <w:instrText xml:space="preserve"> PAGEREF _Toc26285 \h </w:instrText>
          </w:r>
          <w:r>
            <w:rPr>
              <w:sz w:val="32"/>
            </w:rPr>
            <w:fldChar w:fldCharType="separate"/>
          </w:r>
          <w:r>
            <w:rPr>
              <w:sz w:val="32"/>
            </w:rPr>
            <w:t>6</w:t>
          </w:r>
          <w:r>
            <w:rPr>
              <w:sz w:val="32"/>
            </w:rPr>
            <w:fldChar w:fldCharType="end"/>
          </w:r>
          <w:r>
            <w:rPr>
              <w:sz w:val="32"/>
            </w:rPr>
            <w:fldChar w:fldCharType="end"/>
          </w:r>
        </w:p>
        <w:p w14:paraId="1C23062D">
          <w:pPr>
            <w:pStyle w:val="19"/>
            <w:tabs>
              <w:tab w:val="right" w:leader="dot" w:pos="8845"/>
            </w:tabs>
            <w:ind w:firstLine="552"/>
            <w:rPr>
              <w:sz w:val="32"/>
            </w:rPr>
          </w:pPr>
          <w:r>
            <w:fldChar w:fldCharType="begin"/>
          </w:r>
          <w:r>
            <w:instrText xml:space="preserve"> HYPERLINK \l "_Toc25715" </w:instrText>
          </w:r>
          <w:r>
            <w:fldChar w:fldCharType="separate"/>
          </w:r>
          <w:r>
            <w:rPr>
              <w:rFonts w:ascii="Times New Roman" w:hAnsi="Times New Roman" w:eastAsia="仿宋" w:cs="Times New Roman"/>
              <w:bCs/>
              <w:sz w:val="32"/>
            </w:rPr>
            <w:t xml:space="preserve">2.3 </w:t>
          </w:r>
          <w:r>
            <w:rPr>
              <w:rFonts w:hint="eastAsia" w:ascii="Times New Roman" w:hAnsi="Times New Roman" w:cs="Times New Roman"/>
              <w:sz w:val="32"/>
            </w:rPr>
            <w:t>应急专家组及职责</w:t>
          </w:r>
          <w:r>
            <w:rPr>
              <w:sz w:val="32"/>
            </w:rPr>
            <w:tab/>
          </w:r>
          <w:r>
            <w:rPr>
              <w:sz w:val="32"/>
            </w:rPr>
            <w:fldChar w:fldCharType="begin"/>
          </w:r>
          <w:r>
            <w:rPr>
              <w:sz w:val="32"/>
            </w:rPr>
            <w:instrText xml:space="preserve"> PAGEREF _Toc25715 \h </w:instrText>
          </w:r>
          <w:r>
            <w:rPr>
              <w:sz w:val="32"/>
            </w:rPr>
            <w:fldChar w:fldCharType="separate"/>
          </w:r>
          <w:r>
            <w:rPr>
              <w:sz w:val="32"/>
            </w:rPr>
            <w:t>8</w:t>
          </w:r>
          <w:r>
            <w:rPr>
              <w:sz w:val="32"/>
            </w:rPr>
            <w:fldChar w:fldCharType="end"/>
          </w:r>
          <w:r>
            <w:rPr>
              <w:sz w:val="32"/>
            </w:rPr>
            <w:fldChar w:fldCharType="end"/>
          </w:r>
        </w:p>
        <w:p w14:paraId="78464E0A">
          <w:pPr>
            <w:pStyle w:val="19"/>
            <w:tabs>
              <w:tab w:val="right" w:leader="dot" w:pos="8845"/>
            </w:tabs>
            <w:ind w:firstLine="552"/>
            <w:rPr>
              <w:sz w:val="32"/>
            </w:rPr>
          </w:pPr>
          <w:r>
            <w:fldChar w:fldCharType="begin"/>
          </w:r>
          <w:r>
            <w:instrText xml:space="preserve"> HYPERLINK \l "_Toc22812" </w:instrText>
          </w:r>
          <w:r>
            <w:fldChar w:fldCharType="separate"/>
          </w:r>
          <w:r>
            <w:rPr>
              <w:rFonts w:ascii="Times New Roman" w:hAnsi="Times New Roman" w:eastAsia="仿宋" w:cs="Times New Roman"/>
              <w:bCs/>
              <w:sz w:val="32"/>
            </w:rPr>
            <w:t xml:space="preserve">2.4 </w:t>
          </w:r>
          <w:r>
            <w:rPr>
              <w:rFonts w:ascii="Times New Roman" w:hAnsi="Times New Roman" w:cs="Times New Roman"/>
              <w:sz w:val="32"/>
            </w:rPr>
            <w:t>生产经营单位应急组织及职责</w:t>
          </w:r>
          <w:r>
            <w:rPr>
              <w:sz w:val="32"/>
            </w:rPr>
            <w:tab/>
          </w:r>
          <w:r>
            <w:rPr>
              <w:sz w:val="32"/>
            </w:rPr>
            <w:fldChar w:fldCharType="begin"/>
          </w:r>
          <w:r>
            <w:rPr>
              <w:sz w:val="32"/>
            </w:rPr>
            <w:instrText xml:space="preserve"> PAGEREF _Toc22812 \h </w:instrText>
          </w:r>
          <w:r>
            <w:rPr>
              <w:sz w:val="32"/>
            </w:rPr>
            <w:fldChar w:fldCharType="separate"/>
          </w:r>
          <w:r>
            <w:rPr>
              <w:sz w:val="32"/>
            </w:rPr>
            <w:t>8</w:t>
          </w:r>
          <w:r>
            <w:rPr>
              <w:sz w:val="32"/>
            </w:rPr>
            <w:fldChar w:fldCharType="end"/>
          </w:r>
          <w:r>
            <w:rPr>
              <w:sz w:val="32"/>
            </w:rPr>
            <w:fldChar w:fldCharType="end"/>
          </w:r>
        </w:p>
        <w:p w14:paraId="02B61F53">
          <w:pPr>
            <w:pStyle w:val="18"/>
            <w:rPr>
              <w:sz w:val="32"/>
            </w:rPr>
          </w:pPr>
          <w:r>
            <w:fldChar w:fldCharType="begin"/>
          </w:r>
          <w:r>
            <w:instrText xml:space="preserve"> HYPERLINK \l "_Toc22498" </w:instrText>
          </w:r>
          <w:r>
            <w:fldChar w:fldCharType="separate"/>
          </w:r>
          <w:r>
            <w:rPr>
              <w:rFonts w:ascii="Times New Roman" w:hAnsi="Times New Roman" w:eastAsia="仿宋" w:cs="Times New Roman"/>
              <w:sz w:val="32"/>
            </w:rPr>
            <w:t xml:space="preserve">3 </w:t>
          </w:r>
          <w:r>
            <w:rPr>
              <w:rFonts w:ascii="Times New Roman" w:hAnsi="Times New Roman" w:cs="Times New Roman"/>
              <w:sz w:val="32"/>
            </w:rPr>
            <w:t>预防和预警机制</w:t>
          </w:r>
          <w:r>
            <w:rPr>
              <w:sz w:val="32"/>
            </w:rPr>
            <w:tab/>
          </w:r>
          <w:r>
            <w:rPr>
              <w:sz w:val="32"/>
            </w:rPr>
            <w:fldChar w:fldCharType="begin"/>
          </w:r>
          <w:r>
            <w:rPr>
              <w:sz w:val="32"/>
            </w:rPr>
            <w:instrText xml:space="preserve"> PAGEREF _Toc22498 \h </w:instrText>
          </w:r>
          <w:r>
            <w:rPr>
              <w:sz w:val="32"/>
            </w:rPr>
            <w:fldChar w:fldCharType="separate"/>
          </w:r>
          <w:r>
            <w:rPr>
              <w:sz w:val="32"/>
            </w:rPr>
            <w:t>8</w:t>
          </w:r>
          <w:r>
            <w:rPr>
              <w:sz w:val="32"/>
            </w:rPr>
            <w:fldChar w:fldCharType="end"/>
          </w:r>
          <w:r>
            <w:rPr>
              <w:sz w:val="32"/>
            </w:rPr>
            <w:fldChar w:fldCharType="end"/>
          </w:r>
        </w:p>
        <w:p w14:paraId="62BAF1BD">
          <w:pPr>
            <w:pStyle w:val="19"/>
            <w:tabs>
              <w:tab w:val="right" w:leader="dot" w:pos="8845"/>
            </w:tabs>
            <w:ind w:firstLine="552"/>
            <w:rPr>
              <w:sz w:val="32"/>
            </w:rPr>
          </w:pPr>
          <w:r>
            <w:fldChar w:fldCharType="begin"/>
          </w:r>
          <w:r>
            <w:instrText xml:space="preserve"> HYPERLINK \l "_Toc4410" </w:instrText>
          </w:r>
          <w:r>
            <w:fldChar w:fldCharType="separate"/>
          </w:r>
          <w:r>
            <w:rPr>
              <w:rFonts w:ascii="Times New Roman" w:hAnsi="Times New Roman" w:eastAsia="仿宋" w:cs="Times New Roman"/>
              <w:bCs/>
              <w:sz w:val="32"/>
            </w:rPr>
            <w:t xml:space="preserve">3.1 </w:t>
          </w:r>
          <w:r>
            <w:rPr>
              <w:rFonts w:ascii="Times New Roman" w:hAnsi="Times New Roman" w:cs="Times New Roman"/>
              <w:sz w:val="32"/>
            </w:rPr>
            <w:t>预防机制</w:t>
          </w:r>
          <w:r>
            <w:rPr>
              <w:sz w:val="32"/>
            </w:rPr>
            <w:tab/>
          </w:r>
          <w:r>
            <w:rPr>
              <w:sz w:val="32"/>
            </w:rPr>
            <w:fldChar w:fldCharType="begin"/>
          </w:r>
          <w:r>
            <w:rPr>
              <w:sz w:val="32"/>
            </w:rPr>
            <w:instrText xml:space="preserve"> PAGEREF _Toc4410 \h </w:instrText>
          </w:r>
          <w:r>
            <w:rPr>
              <w:sz w:val="32"/>
            </w:rPr>
            <w:fldChar w:fldCharType="separate"/>
          </w:r>
          <w:r>
            <w:rPr>
              <w:sz w:val="32"/>
            </w:rPr>
            <w:t>8</w:t>
          </w:r>
          <w:r>
            <w:rPr>
              <w:sz w:val="32"/>
            </w:rPr>
            <w:fldChar w:fldCharType="end"/>
          </w:r>
          <w:r>
            <w:rPr>
              <w:sz w:val="32"/>
            </w:rPr>
            <w:fldChar w:fldCharType="end"/>
          </w:r>
        </w:p>
        <w:p w14:paraId="097F0FE3">
          <w:pPr>
            <w:pStyle w:val="19"/>
            <w:tabs>
              <w:tab w:val="right" w:leader="dot" w:pos="8845"/>
            </w:tabs>
            <w:ind w:firstLine="552"/>
            <w:rPr>
              <w:sz w:val="32"/>
            </w:rPr>
          </w:pPr>
          <w:r>
            <w:fldChar w:fldCharType="begin"/>
          </w:r>
          <w:r>
            <w:instrText xml:space="preserve"> HYPERLINK \l "_Toc8295" </w:instrText>
          </w:r>
          <w:r>
            <w:fldChar w:fldCharType="separate"/>
          </w:r>
          <w:r>
            <w:rPr>
              <w:rFonts w:ascii="Times New Roman" w:hAnsi="Times New Roman" w:eastAsia="仿宋" w:cs="Times New Roman"/>
              <w:bCs/>
              <w:sz w:val="32"/>
            </w:rPr>
            <w:t xml:space="preserve">3.2 </w:t>
          </w:r>
          <w:r>
            <w:rPr>
              <w:rFonts w:ascii="Times New Roman" w:hAnsi="Times New Roman" w:cs="Times New Roman"/>
              <w:sz w:val="32"/>
            </w:rPr>
            <w:t>信息监测</w:t>
          </w:r>
          <w:r>
            <w:rPr>
              <w:sz w:val="32"/>
            </w:rPr>
            <w:tab/>
          </w:r>
          <w:r>
            <w:rPr>
              <w:sz w:val="32"/>
            </w:rPr>
            <w:fldChar w:fldCharType="begin"/>
          </w:r>
          <w:r>
            <w:rPr>
              <w:sz w:val="32"/>
            </w:rPr>
            <w:instrText xml:space="preserve"> PAGEREF _Toc8295 \h </w:instrText>
          </w:r>
          <w:r>
            <w:rPr>
              <w:sz w:val="32"/>
            </w:rPr>
            <w:fldChar w:fldCharType="separate"/>
          </w:r>
          <w:r>
            <w:rPr>
              <w:sz w:val="32"/>
            </w:rPr>
            <w:t>9</w:t>
          </w:r>
          <w:r>
            <w:rPr>
              <w:sz w:val="32"/>
            </w:rPr>
            <w:fldChar w:fldCharType="end"/>
          </w:r>
          <w:r>
            <w:rPr>
              <w:sz w:val="32"/>
            </w:rPr>
            <w:fldChar w:fldCharType="end"/>
          </w:r>
        </w:p>
        <w:p w14:paraId="3E362AAF">
          <w:pPr>
            <w:pStyle w:val="19"/>
            <w:tabs>
              <w:tab w:val="right" w:leader="dot" w:pos="8845"/>
            </w:tabs>
            <w:ind w:firstLine="552"/>
            <w:rPr>
              <w:sz w:val="32"/>
            </w:rPr>
          </w:pPr>
          <w:r>
            <w:fldChar w:fldCharType="begin"/>
          </w:r>
          <w:r>
            <w:instrText xml:space="preserve"> HYPERLINK \l "_Toc27827" </w:instrText>
          </w:r>
          <w:r>
            <w:fldChar w:fldCharType="separate"/>
          </w:r>
          <w:r>
            <w:rPr>
              <w:rFonts w:ascii="Times New Roman" w:hAnsi="Times New Roman" w:eastAsia="仿宋" w:cs="Times New Roman"/>
              <w:bCs/>
              <w:sz w:val="32"/>
            </w:rPr>
            <w:t xml:space="preserve">3.3 </w:t>
          </w:r>
          <w:r>
            <w:rPr>
              <w:rFonts w:ascii="Times New Roman" w:hAnsi="Times New Roman" w:cs="Times New Roman"/>
              <w:sz w:val="32"/>
            </w:rPr>
            <w:t>信息报告</w:t>
          </w:r>
          <w:r>
            <w:rPr>
              <w:sz w:val="32"/>
            </w:rPr>
            <w:tab/>
          </w:r>
          <w:r>
            <w:rPr>
              <w:sz w:val="32"/>
            </w:rPr>
            <w:fldChar w:fldCharType="begin"/>
          </w:r>
          <w:r>
            <w:rPr>
              <w:sz w:val="32"/>
            </w:rPr>
            <w:instrText xml:space="preserve"> PAGEREF _Toc27827 \h </w:instrText>
          </w:r>
          <w:r>
            <w:rPr>
              <w:sz w:val="32"/>
            </w:rPr>
            <w:fldChar w:fldCharType="separate"/>
          </w:r>
          <w:r>
            <w:rPr>
              <w:sz w:val="32"/>
            </w:rPr>
            <w:t>9</w:t>
          </w:r>
          <w:r>
            <w:rPr>
              <w:sz w:val="32"/>
            </w:rPr>
            <w:fldChar w:fldCharType="end"/>
          </w:r>
          <w:r>
            <w:rPr>
              <w:sz w:val="32"/>
            </w:rPr>
            <w:fldChar w:fldCharType="end"/>
          </w:r>
        </w:p>
        <w:p w14:paraId="49A40BB6">
          <w:pPr>
            <w:pStyle w:val="19"/>
            <w:tabs>
              <w:tab w:val="right" w:leader="dot" w:pos="8845"/>
            </w:tabs>
            <w:ind w:firstLine="552"/>
            <w:rPr>
              <w:sz w:val="32"/>
            </w:rPr>
          </w:pPr>
          <w:r>
            <w:fldChar w:fldCharType="begin"/>
          </w:r>
          <w:r>
            <w:instrText xml:space="preserve"> HYPERLINK \l "_Toc22532" </w:instrText>
          </w:r>
          <w:r>
            <w:fldChar w:fldCharType="separate"/>
          </w:r>
          <w:r>
            <w:rPr>
              <w:rFonts w:ascii="Times New Roman" w:hAnsi="Times New Roman" w:eastAsia="仿宋" w:cs="Times New Roman"/>
              <w:bCs/>
              <w:sz w:val="32"/>
            </w:rPr>
            <w:t xml:space="preserve">3.4 </w:t>
          </w:r>
          <w:r>
            <w:rPr>
              <w:rFonts w:ascii="Times New Roman" w:hAnsi="Times New Roman" w:cs="Times New Roman"/>
              <w:sz w:val="32"/>
            </w:rPr>
            <w:t>事故预警</w:t>
          </w:r>
          <w:r>
            <w:rPr>
              <w:sz w:val="32"/>
            </w:rPr>
            <w:tab/>
          </w:r>
          <w:r>
            <w:rPr>
              <w:sz w:val="32"/>
            </w:rPr>
            <w:fldChar w:fldCharType="begin"/>
          </w:r>
          <w:r>
            <w:rPr>
              <w:sz w:val="32"/>
            </w:rPr>
            <w:instrText xml:space="preserve"> PAGEREF _Toc22532 \h </w:instrText>
          </w:r>
          <w:r>
            <w:rPr>
              <w:sz w:val="32"/>
            </w:rPr>
            <w:fldChar w:fldCharType="separate"/>
          </w:r>
          <w:r>
            <w:rPr>
              <w:sz w:val="32"/>
            </w:rPr>
            <w:t>10</w:t>
          </w:r>
          <w:r>
            <w:rPr>
              <w:sz w:val="32"/>
            </w:rPr>
            <w:fldChar w:fldCharType="end"/>
          </w:r>
          <w:r>
            <w:rPr>
              <w:sz w:val="32"/>
            </w:rPr>
            <w:fldChar w:fldCharType="end"/>
          </w:r>
        </w:p>
        <w:p w14:paraId="7748387C">
          <w:pPr>
            <w:pStyle w:val="19"/>
            <w:tabs>
              <w:tab w:val="right" w:leader="dot" w:pos="8845"/>
            </w:tabs>
            <w:ind w:firstLine="552"/>
            <w:rPr>
              <w:sz w:val="32"/>
            </w:rPr>
          </w:pPr>
          <w:r>
            <w:fldChar w:fldCharType="begin"/>
          </w:r>
          <w:r>
            <w:instrText xml:space="preserve"> HYPERLINK \l "_Toc11364" </w:instrText>
          </w:r>
          <w:r>
            <w:fldChar w:fldCharType="separate"/>
          </w:r>
          <w:r>
            <w:rPr>
              <w:rFonts w:ascii="Times New Roman" w:hAnsi="Times New Roman" w:eastAsia="仿宋" w:cs="Times New Roman"/>
              <w:bCs/>
              <w:sz w:val="32"/>
            </w:rPr>
            <w:t xml:space="preserve">3.5 </w:t>
          </w:r>
          <w:r>
            <w:rPr>
              <w:rFonts w:ascii="Times New Roman" w:hAnsi="Times New Roman" w:cs="Times New Roman"/>
              <w:sz w:val="32"/>
            </w:rPr>
            <w:t>预警信息处置</w:t>
          </w:r>
          <w:r>
            <w:rPr>
              <w:sz w:val="32"/>
            </w:rPr>
            <w:tab/>
          </w:r>
          <w:r>
            <w:rPr>
              <w:sz w:val="32"/>
            </w:rPr>
            <w:fldChar w:fldCharType="begin"/>
          </w:r>
          <w:r>
            <w:rPr>
              <w:sz w:val="32"/>
            </w:rPr>
            <w:instrText xml:space="preserve"> PAGEREF _Toc11364 \h </w:instrText>
          </w:r>
          <w:r>
            <w:rPr>
              <w:sz w:val="32"/>
            </w:rPr>
            <w:fldChar w:fldCharType="separate"/>
          </w:r>
          <w:r>
            <w:rPr>
              <w:sz w:val="32"/>
            </w:rPr>
            <w:t>11</w:t>
          </w:r>
          <w:r>
            <w:rPr>
              <w:sz w:val="32"/>
            </w:rPr>
            <w:fldChar w:fldCharType="end"/>
          </w:r>
          <w:r>
            <w:rPr>
              <w:sz w:val="32"/>
            </w:rPr>
            <w:fldChar w:fldCharType="end"/>
          </w:r>
        </w:p>
        <w:p w14:paraId="187D3272">
          <w:pPr>
            <w:pStyle w:val="19"/>
            <w:tabs>
              <w:tab w:val="right" w:leader="dot" w:pos="8845"/>
            </w:tabs>
            <w:ind w:firstLine="552"/>
            <w:rPr>
              <w:sz w:val="32"/>
            </w:rPr>
          </w:pPr>
          <w:r>
            <w:fldChar w:fldCharType="begin"/>
          </w:r>
          <w:r>
            <w:instrText xml:space="preserve"> HYPERLINK \l "_Toc6017" </w:instrText>
          </w:r>
          <w:r>
            <w:fldChar w:fldCharType="separate"/>
          </w:r>
          <w:r>
            <w:rPr>
              <w:rFonts w:ascii="Times New Roman" w:hAnsi="Times New Roman" w:eastAsia="仿宋" w:cs="Times New Roman"/>
              <w:bCs/>
              <w:sz w:val="32"/>
            </w:rPr>
            <w:t xml:space="preserve">3.6 </w:t>
          </w:r>
          <w:r>
            <w:rPr>
              <w:rFonts w:hint="eastAsia" w:ascii="Times New Roman" w:hAnsi="Times New Roman" w:cs="Times New Roman"/>
              <w:sz w:val="32"/>
            </w:rPr>
            <w:t>预警</w:t>
          </w:r>
          <w:r>
            <w:rPr>
              <w:rFonts w:ascii="Times New Roman" w:hAnsi="Times New Roman" w:cs="Times New Roman"/>
              <w:sz w:val="32"/>
            </w:rPr>
            <w:t>解除</w:t>
          </w:r>
          <w:r>
            <w:rPr>
              <w:sz w:val="32"/>
            </w:rPr>
            <w:tab/>
          </w:r>
          <w:r>
            <w:rPr>
              <w:sz w:val="32"/>
            </w:rPr>
            <w:fldChar w:fldCharType="begin"/>
          </w:r>
          <w:r>
            <w:rPr>
              <w:sz w:val="32"/>
            </w:rPr>
            <w:instrText xml:space="preserve"> PAGEREF _Toc6017 \h </w:instrText>
          </w:r>
          <w:r>
            <w:rPr>
              <w:sz w:val="32"/>
            </w:rPr>
            <w:fldChar w:fldCharType="separate"/>
          </w:r>
          <w:r>
            <w:rPr>
              <w:sz w:val="32"/>
            </w:rPr>
            <w:t>12</w:t>
          </w:r>
          <w:r>
            <w:rPr>
              <w:sz w:val="32"/>
            </w:rPr>
            <w:fldChar w:fldCharType="end"/>
          </w:r>
          <w:r>
            <w:rPr>
              <w:sz w:val="32"/>
            </w:rPr>
            <w:fldChar w:fldCharType="end"/>
          </w:r>
        </w:p>
        <w:p w14:paraId="0F298BE4">
          <w:pPr>
            <w:pStyle w:val="18"/>
            <w:rPr>
              <w:sz w:val="32"/>
            </w:rPr>
          </w:pPr>
          <w:r>
            <w:fldChar w:fldCharType="begin"/>
          </w:r>
          <w:r>
            <w:instrText xml:space="preserve"> HYPERLINK \l "_Toc23522" </w:instrText>
          </w:r>
          <w:r>
            <w:fldChar w:fldCharType="separate"/>
          </w:r>
          <w:r>
            <w:rPr>
              <w:rFonts w:ascii="Times New Roman" w:hAnsi="Times New Roman" w:eastAsia="仿宋" w:cs="Times New Roman"/>
              <w:sz w:val="32"/>
            </w:rPr>
            <w:t xml:space="preserve">4 </w:t>
          </w:r>
          <w:r>
            <w:rPr>
              <w:rFonts w:ascii="Times New Roman" w:hAnsi="Times New Roman" w:cs="Times New Roman"/>
              <w:sz w:val="32"/>
            </w:rPr>
            <w:t>应急响应</w:t>
          </w:r>
          <w:r>
            <w:rPr>
              <w:sz w:val="32"/>
            </w:rPr>
            <w:tab/>
          </w:r>
          <w:r>
            <w:rPr>
              <w:sz w:val="32"/>
            </w:rPr>
            <w:fldChar w:fldCharType="begin"/>
          </w:r>
          <w:r>
            <w:rPr>
              <w:sz w:val="32"/>
            </w:rPr>
            <w:instrText xml:space="preserve"> PAGEREF _Toc23522 \h </w:instrText>
          </w:r>
          <w:r>
            <w:rPr>
              <w:sz w:val="32"/>
            </w:rPr>
            <w:fldChar w:fldCharType="separate"/>
          </w:r>
          <w:r>
            <w:rPr>
              <w:sz w:val="32"/>
            </w:rPr>
            <w:t>12</w:t>
          </w:r>
          <w:r>
            <w:rPr>
              <w:sz w:val="32"/>
            </w:rPr>
            <w:fldChar w:fldCharType="end"/>
          </w:r>
          <w:r>
            <w:rPr>
              <w:sz w:val="32"/>
            </w:rPr>
            <w:fldChar w:fldCharType="end"/>
          </w:r>
        </w:p>
        <w:p w14:paraId="50DE64E8">
          <w:pPr>
            <w:pStyle w:val="19"/>
            <w:tabs>
              <w:tab w:val="right" w:leader="dot" w:pos="8845"/>
            </w:tabs>
            <w:ind w:firstLine="552"/>
            <w:rPr>
              <w:sz w:val="32"/>
            </w:rPr>
          </w:pPr>
          <w:r>
            <w:fldChar w:fldCharType="begin"/>
          </w:r>
          <w:r>
            <w:instrText xml:space="preserve"> HYPERLINK \l "_Toc578" </w:instrText>
          </w:r>
          <w:r>
            <w:fldChar w:fldCharType="separate"/>
          </w:r>
          <w:r>
            <w:rPr>
              <w:rFonts w:ascii="Times New Roman" w:hAnsi="Times New Roman" w:eastAsia="仿宋" w:cs="Times New Roman"/>
              <w:bCs/>
              <w:sz w:val="32"/>
            </w:rPr>
            <w:t xml:space="preserve">4.1 </w:t>
          </w:r>
          <w:r>
            <w:rPr>
              <w:rFonts w:ascii="Times New Roman" w:hAnsi="Times New Roman" w:cs="Times New Roman"/>
              <w:sz w:val="32"/>
            </w:rPr>
            <w:t>事故报告程序</w:t>
          </w:r>
          <w:r>
            <w:rPr>
              <w:sz w:val="32"/>
            </w:rPr>
            <w:tab/>
          </w:r>
          <w:r>
            <w:rPr>
              <w:sz w:val="32"/>
            </w:rPr>
            <w:fldChar w:fldCharType="begin"/>
          </w:r>
          <w:r>
            <w:rPr>
              <w:sz w:val="32"/>
            </w:rPr>
            <w:instrText xml:space="preserve"> PAGEREF _Toc578 \h </w:instrText>
          </w:r>
          <w:r>
            <w:rPr>
              <w:sz w:val="32"/>
            </w:rPr>
            <w:fldChar w:fldCharType="separate"/>
          </w:r>
          <w:r>
            <w:rPr>
              <w:sz w:val="32"/>
            </w:rPr>
            <w:t>12</w:t>
          </w:r>
          <w:r>
            <w:rPr>
              <w:sz w:val="32"/>
            </w:rPr>
            <w:fldChar w:fldCharType="end"/>
          </w:r>
          <w:r>
            <w:rPr>
              <w:sz w:val="32"/>
            </w:rPr>
            <w:fldChar w:fldCharType="end"/>
          </w:r>
        </w:p>
        <w:p w14:paraId="168F017D">
          <w:pPr>
            <w:pStyle w:val="19"/>
            <w:tabs>
              <w:tab w:val="right" w:leader="dot" w:pos="8845"/>
            </w:tabs>
            <w:ind w:firstLine="552"/>
            <w:rPr>
              <w:sz w:val="32"/>
            </w:rPr>
          </w:pPr>
          <w:r>
            <w:fldChar w:fldCharType="begin"/>
          </w:r>
          <w:r>
            <w:instrText xml:space="preserve"> HYPERLINK \l "_Toc26247" </w:instrText>
          </w:r>
          <w:r>
            <w:fldChar w:fldCharType="separate"/>
          </w:r>
          <w:r>
            <w:rPr>
              <w:rFonts w:ascii="Times New Roman" w:hAnsi="Times New Roman" w:eastAsia="仿宋" w:cs="Times New Roman"/>
              <w:bCs/>
              <w:sz w:val="32"/>
            </w:rPr>
            <w:t xml:space="preserve">4.2 </w:t>
          </w:r>
          <w:r>
            <w:rPr>
              <w:rFonts w:ascii="Times New Roman" w:hAnsi="Times New Roman" w:cs="Times New Roman"/>
              <w:sz w:val="32"/>
            </w:rPr>
            <w:t>先期处置</w:t>
          </w:r>
          <w:r>
            <w:rPr>
              <w:sz w:val="32"/>
            </w:rPr>
            <w:tab/>
          </w:r>
          <w:r>
            <w:rPr>
              <w:sz w:val="32"/>
            </w:rPr>
            <w:fldChar w:fldCharType="begin"/>
          </w:r>
          <w:r>
            <w:rPr>
              <w:sz w:val="32"/>
            </w:rPr>
            <w:instrText xml:space="preserve"> PAGEREF _Toc26247 \h </w:instrText>
          </w:r>
          <w:r>
            <w:rPr>
              <w:sz w:val="32"/>
            </w:rPr>
            <w:fldChar w:fldCharType="separate"/>
          </w:r>
          <w:r>
            <w:rPr>
              <w:sz w:val="32"/>
            </w:rPr>
            <w:t>13</w:t>
          </w:r>
          <w:r>
            <w:rPr>
              <w:sz w:val="32"/>
            </w:rPr>
            <w:fldChar w:fldCharType="end"/>
          </w:r>
          <w:r>
            <w:rPr>
              <w:sz w:val="32"/>
            </w:rPr>
            <w:fldChar w:fldCharType="end"/>
          </w:r>
        </w:p>
        <w:p w14:paraId="7109567A">
          <w:pPr>
            <w:pStyle w:val="19"/>
            <w:tabs>
              <w:tab w:val="right" w:leader="dot" w:pos="8845"/>
            </w:tabs>
            <w:ind w:firstLine="552"/>
            <w:rPr>
              <w:sz w:val="32"/>
            </w:rPr>
          </w:pPr>
          <w:r>
            <w:fldChar w:fldCharType="begin"/>
          </w:r>
          <w:r>
            <w:instrText xml:space="preserve"> HYPERLINK \l "_Toc23995" </w:instrText>
          </w:r>
          <w:r>
            <w:fldChar w:fldCharType="separate"/>
          </w:r>
          <w:r>
            <w:rPr>
              <w:rFonts w:ascii="Times New Roman" w:hAnsi="Times New Roman" w:eastAsia="仿宋" w:cs="Times New Roman"/>
              <w:bCs/>
              <w:sz w:val="32"/>
            </w:rPr>
            <w:t xml:space="preserve">4.3 </w:t>
          </w:r>
          <w:r>
            <w:rPr>
              <w:rFonts w:ascii="Times New Roman" w:hAnsi="Times New Roman" w:cs="Times New Roman"/>
              <w:sz w:val="32"/>
            </w:rPr>
            <w:t>分级响应</w:t>
          </w:r>
          <w:r>
            <w:rPr>
              <w:sz w:val="32"/>
            </w:rPr>
            <w:tab/>
          </w:r>
          <w:r>
            <w:rPr>
              <w:sz w:val="32"/>
            </w:rPr>
            <w:fldChar w:fldCharType="begin"/>
          </w:r>
          <w:r>
            <w:rPr>
              <w:sz w:val="32"/>
            </w:rPr>
            <w:instrText xml:space="preserve"> PAGEREF _Toc23995 \h </w:instrText>
          </w:r>
          <w:r>
            <w:rPr>
              <w:sz w:val="32"/>
            </w:rPr>
            <w:fldChar w:fldCharType="separate"/>
          </w:r>
          <w:r>
            <w:rPr>
              <w:sz w:val="32"/>
            </w:rPr>
            <w:t>14</w:t>
          </w:r>
          <w:r>
            <w:rPr>
              <w:sz w:val="32"/>
            </w:rPr>
            <w:fldChar w:fldCharType="end"/>
          </w:r>
          <w:r>
            <w:rPr>
              <w:sz w:val="32"/>
            </w:rPr>
            <w:fldChar w:fldCharType="end"/>
          </w:r>
        </w:p>
        <w:p w14:paraId="1B5448EE">
          <w:pPr>
            <w:pStyle w:val="19"/>
            <w:tabs>
              <w:tab w:val="right" w:leader="dot" w:pos="8845"/>
            </w:tabs>
            <w:ind w:firstLine="552"/>
            <w:rPr>
              <w:sz w:val="32"/>
            </w:rPr>
          </w:pPr>
          <w:r>
            <w:fldChar w:fldCharType="begin"/>
          </w:r>
          <w:r>
            <w:instrText xml:space="preserve"> HYPERLINK \l "_Toc19850" </w:instrText>
          </w:r>
          <w:r>
            <w:fldChar w:fldCharType="separate"/>
          </w:r>
          <w:r>
            <w:rPr>
              <w:rFonts w:ascii="Times New Roman" w:hAnsi="Times New Roman" w:eastAsia="仿宋" w:cs="Times New Roman"/>
              <w:bCs/>
              <w:sz w:val="32"/>
            </w:rPr>
            <w:t xml:space="preserve">4.4 </w:t>
          </w:r>
          <w:r>
            <w:rPr>
              <w:rFonts w:ascii="Times New Roman" w:hAnsi="Times New Roman" w:cs="Times New Roman"/>
              <w:sz w:val="32"/>
            </w:rPr>
            <w:t>处置措施</w:t>
          </w:r>
          <w:r>
            <w:rPr>
              <w:sz w:val="32"/>
            </w:rPr>
            <w:tab/>
          </w:r>
          <w:r>
            <w:rPr>
              <w:sz w:val="32"/>
            </w:rPr>
            <w:fldChar w:fldCharType="begin"/>
          </w:r>
          <w:r>
            <w:rPr>
              <w:sz w:val="32"/>
            </w:rPr>
            <w:instrText xml:space="preserve"> PAGEREF _Toc19850 \h </w:instrText>
          </w:r>
          <w:r>
            <w:rPr>
              <w:sz w:val="32"/>
            </w:rPr>
            <w:fldChar w:fldCharType="separate"/>
          </w:r>
          <w:r>
            <w:rPr>
              <w:sz w:val="32"/>
            </w:rPr>
            <w:t>18</w:t>
          </w:r>
          <w:r>
            <w:rPr>
              <w:sz w:val="32"/>
            </w:rPr>
            <w:fldChar w:fldCharType="end"/>
          </w:r>
          <w:r>
            <w:rPr>
              <w:sz w:val="32"/>
            </w:rPr>
            <w:fldChar w:fldCharType="end"/>
          </w:r>
        </w:p>
        <w:p w14:paraId="7E6AC510">
          <w:pPr>
            <w:pStyle w:val="19"/>
            <w:tabs>
              <w:tab w:val="right" w:leader="dot" w:pos="8845"/>
            </w:tabs>
            <w:ind w:firstLine="552"/>
            <w:rPr>
              <w:sz w:val="32"/>
            </w:rPr>
          </w:pPr>
          <w:r>
            <w:fldChar w:fldCharType="begin"/>
          </w:r>
          <w:r>
            <w:instrText xml:space="preserve"> HYPERLINK \l "_Toc31116" </w:instrText>
          </w:r>
          <w:r>
            <w:fldChar w:fldCharType="separate"/>
          </w:r>
          <w:r>
            <w:rPr>
              <w:rFonts w:ascii="Times New Roman" w:hAnsi="Times New Roman" w:eastAsia="仿宋" w:cs="Times New Roman"/>
              <w:bCs/>
              <w:sz w:val="32"/>
            </w:rPr>
            <w:t xml:space="preserve">4.5 </w:t>
          </w:r>
          <w:r>
            <w:rPr>
              <w:rFonts w:ascii="Times New Roman" w:hAnsi="Times New Roman" w:cs="Times New Roman"/>
              <w:sz w:val="32"/>
            </w:rPr>
            <w:t>信息发布</w:t>
          </w:r>
          <w:r>
            <w:rPr>
              <w:sz w:val="32"/>
            </w:rPr>
            <w:tab/>
          </w:r>
          <w:r>
            <w:rPr>
              <w:sz w:val="32"/>
            </w:rPr>
            <w:fldChar w:fldCharType="begin"/>
          </w:r>
          <w:r>
            <w:rPr>
              <w:sz w:val="32"/>
            </w:rPr>
            <w:instrText xml:space="preserve"> PAGEREF _Toc31116 \h </w:instrText>
          </w:r>
          <w:r>
            <w:rPr>
              <w:sz w:val="32"/>
            </w:rPr>
            <w:fldChar w:fldCharType="separate"/>
          </w:r>
          <w:r>
            <w:rPr>
              <w:sz w:val="32"/>
            </w:rPr>
            <w:t>19</w:t>
          </w:r>
          <w:r>
            <w:rPr>
              <w:sz w:val="32"/>
            </w:rPr>
            <w:fldChar w:fldCharType="end"/>
          </w:r>
          <w:r>
            <w:rPr>
              <w:sz w:val="32"/>
            </w:rPr>
            <w:fldChar w:fldCharType="end"/>
          </w:r>
        </w:p>
        <w:p w14:paraId="7A71038B">
          <w:pPr>
            <w:pStyle w:val="19"/>
            <w:tabs>
              <w:tab w:val="right" w:leader="dot" w:pos="8845"/>
            </w:tabs>
            <w:ind w:firstLine="552"/>
            <w:rPr>
              <w:sz w:val="32"/>
            </w:rPr>
          </w:pPr>
          <w:r>
            <w:fldChar w:fldCharType="begin"/>
          </w:r>
          <w:r>
            <w:instrText xml:space="preserve"> HYPERLINK \l "_Toc20521" </w:instrText>
          </w:r>
          <w:r>
            <w:fldChar w:fldCharType="separate"/>
          </w:r>
          <w:r>
            <w:rPr>
              <w:rFonts w:ascii="Times New Roman" w:hAnsi="Times New Roman" w:eastAsia="仿宋" w:cs="Times New Roman"/>
              <w:bCs/>
              <w:sz w:val="32"/>
            </w:rPr>
            <w:t xml:space="preserve">4.6 </w:t>
          </w:r>
          <w:r>
            <w:rPr>
              <w:rFonts w:ascii="Times New Roman" w:hAnsi="Times New Roman" w:cs="Times New Roman"/>
              <w:sz w:val="32"/>
            </w:rPr>
            <w:t>扩大响应</w:t>
          </w:r>
          <w:r>
            <w:rPr>
              <w:sz w:val="32"/>
            </w:rPr>
            <w:tab/>
          </w:r>
          <w:r>
            <w:rPr>
              <w:sz w:val="32"/>
            </w:rPr>
            <w:fldChar w:fldCharType="begin"/>
          </w:r>
          <w:r>
            <w:rPr>
              <w:sz w:val="32"/>
            </w:rPr>
            <w:instrText xml:space="preserve"> PAGEREF _Toc20521 \h </w:instrText>
          </w:r>
          <w:r>
            <w:rPr>
              <w:sz w:val="32"/>
            </w:rPr>
            <w:fldChar w:fldCharType="separate"/>
          </w:r>
          <w:r>
            <w:rPr>
              <w:sz w:val="32"/>
            </w:rPr>
            <w:t>20</w:t>
          </w:r>
          <w:r>
            <w:rPr>
              <w:sz w:val="32"/>
            </w:rPr>
            <w:fldChar w:fldCharType="end"/>
          </w:r>
          <w:r>
            <w:rPr>
              <w:sz w:val="32"/>
            </w:rPr>
            <w:fldChar w:fldCharType="end"/>
          </w:r>
        </w:p>
        <w:p w14:paraId="70D59E2A">
          <w:pPr>
            <w:pStyle w:val="19"/>
            <w:tabs>
              <w:tab w:val="right" w:leader="dot" w:pos="8845"/>
            </w:tabs>
            <w:ind w:firstLine="552"/>
            <w:rPr>
              <w:sz w:val="32"/>
            </w:rPr>
          </w:pPr>
          <w:r>
            <w:fldChar w:fldCharType="begin"/>
          </w:r>
          <w:r>
            <w:instrText xml:space="preserve"> HYPERLINK \l "_Toc5524" </w:instrText>
          </w:r>
          <w:r>
            <w:fldChar w:fldCharType="separate"/>
          </w:r>
          <w:r>
            <w:rPr>
              <w:rFonts w:ascii="Times New Roman" w:hAnsi="Times New Roman" w:eastAsia="仿宋" w:cs="Times New Roman"/>
              <w:bCs/>
              <w:sz w:val="32"/>
            </w:rPr>
            <w:t xml:space="preserve">4.7 </w:t>
          </w:r>
          <w:r>
            <w:rPr>
              <w:rFonts w:ascii="Times New Roman" w:hAnsi="Times New Roman" w:cs="Times New Roman"/>
              <w:sz w:val="32"/>
            </w:rPr>
            <w:t>响应结束</w:t>
          </w:r>
          <w:r>
            <w:rPr>
              <w:sz w:val="32"/>
            </w:rPr>
            <w:tab/>
          </w:r>
          <w:r>
            <w:rPr>
              <w:sz w:val="32"/>
            </w:rPr>
            <w:fldChar w:fldCharType="begin"/>
          </w:r>
          <w:r>
            <w:rPr>
              <w:sz w:val="32"/>
            </w:rPr>
            <w:instrText xml:space="preserve"> PAGEREF _Toc5524 \h </w:instrText>
          </w:r>
          <w:r>
            <w:rPr>
              <w:sz w:val="32"/>
            </w:rPr>
            <w:fldChar w:fldCharType="separate"/>
          </w:r>
          <w:r>
            <w:rPr>
              <w:sz w:val="32"/>
            </w:rPr>
            <w:t>20</w:t>
          </w:r>
          <w:r>
            <w:rPr>
              <w:sz w:val="32"/>
            </w:rPr>
            <w:fldChar w:fldCharType="end"/>
          </w:r>
          <w:r>
            <w:rPr>
              <w:sz w:val="32"/>
            </w:rPr>
            <w:fldChar w:fldCharType="end"/>
          </w:r>
        </w:p>
        <w:p w14:paraId="505BB793">
          <w:pPr>
            <w:pStyle w:val="18"/>
            <w:rPr>
              <w:sz w:val="32"/>
            </w:rPr>
          </w:pPr>
          <w:r>
            <w:fldChar w:fldCharType="begin"/>
          </w:r>
          <w:r>
            <w:instrText xml:space="preserve"> HYPERLINK \l "_Toc7677" </w:instrText>
          </w:r>
          <w:r>
            <w:fldChar w:fldCharType="separate"/>
          </w:r>
          <w:r>
            <w:rPr>
              <w:rFonts w:ascii="Times New Roman" w:hAnsi="Times New Roman" w:eastAsia="仿宋" w:cs="Times New Roman"/>
              <w:sz w:val="32"/>
            </w:rPr>
            <w:t xml:space="preserve">5 </w:t>
          </w:r>
          <w:r>
            <w:rPr>
              <w:rFonts w:ascii="Times New Roman" w:hAnsi="Times New Roman" w:cs="Times New Roman"/>
              <w:sz w:val="32"/>
            </w:rPr>
            <w:t>后期处置</w:t>
          </w:r>
          <w:r>
            <w:rPr>
              <w:sz w:val="32"/>
            </w:rPr>
            <w:tab/>
          </w:r>
          <w:r>
            <w:rPr>
              <w:sz w:val="32"/>
            </w:rPr>
            <w:fldChar w:fldCharType="begin"/>
          </w:r>
          <w:r>
            <w:rPr>
              <w:sz w:val="32"/>
            </w:rPr>
            <w:instrText xml:space="preserve"> PAGEREF _Toc7677 \h </w:instrText>
          </w:r>
          <w:r>
            <w:rPr>
              <w:sz w:val="32"/>
            </w:rPr>
            <w:fldChar w:fldCharType="separate"/>
          </w:r>
          <w:r>
            <w:rPr>
              <w:sz w:val="32"/>
            </w:rPr>
            <w:t>20</w:t>
          </w:r>
          <w:r>
            <w:rPr>
              <w:sz w:val="32"/>
            </w:rPr>
            <w:fldChar w:fldCharType="end"/>
          </w:r>
          <w:r>
            <w:rPr>
              <w:sz w:val="32"/>
            </w:rPr>
            <w:fldChar w:fldCharType="end"/>
          </w:r>
        </w:p>
        <w:p w14:paraId="14D906FF">
          <w:pPr>
            <w:pStyle w:val="19"/>
            <w:tabs>
              <w:tab w:val="right" w:leader="dot" w:pos="8845"/>
            </w:tabs>
            <w:ind w:firstLine="552"/>
            <w:rPr>
              <w:sz w:val="32"/>
            </w:rPr>
          </w:pPr>
          <w:r>
            <w:fldChar w:fldCharType="begin"/>
          </w:r>
          <w:r>
            <w:instrText xml:space="preserve"> HYPERLINK \l "_Toc7541" </w:instrText>
          </w:r>
          <w:r>
            <w:fldChar w:fldCharType="separate"/>
          </w:r>
          <w:r>
            <w:rPr>
              <w:rFonts w:ascii="Times New Roman" w:hAnsi="Times New Roman" w:eastAsia="仿宋" w:cs="Times New Roman"/>
              <w:bCs/>
              <w:sz w:val="32"/>
            </w:rPr>
            <w:t xml:space="preserve">5.1 </w:t>
          </w:r>
          <w:r>
            <w:rPr>
              <w:rFonts w:ascii="Times New Roman" w:hAnsi="Times New Roman" w:cs="Times New Roman"/>
              <w:sz w:val="32"/>
            </w:rPr>
            <w:t>善后处置</w:t>
          </w:r>
          <w:r>
            <w:rPr>
              <w:sz w:val="32"/>
            </w:rPr>
            <w:tab/>
          </w:r>
          <w:r>
            <w:rPr>
              <w:sz w:val="32"/>
            </w:rPr>
            <w:fldChar w:fldCharType="begin"/>
          </w:r>
          <w:r>
            <w:rPr>
              <w:sz w:val="32"/>
            </w:rPr>
            <w:instrText xml:space="preserve"> PAGEREF _Toc7541 \h </w:instrText>
          </w:r>
          <w:r>
            <w:rPr>
              <w:sz w:val="32"/>
            </w:rPr>
            <w:fldChar w:fldCharType="separate"/>
          </w:r>
          <w:r>
            <w:rPr>
              <w:sz w:val="32"/>
            </w:rPr>
            <w:t>20</w:t>
          </w:r>
          <w:r>
            <w:rPr>
              <w:sz w:val="32"/>
            </w:rPr>
            <w:fldChar w:fldCharType="end"/>
          </w:r>
          <w:r>
            <w:rPr>
              <w:sz w:val="32"/>
            </w:rPr>
            <w:fldChar w:fldCharType="end"/>
          </w:r>
        </w:p>
        <w:p w14:paraId="7C57D3E1">
          <w:pPr>
            <w:pStyle w:val="19"/>
            <w:tabs>
              <w:tab w:val="right" w:leader="dot" w:pos="8845"/>
            </w:tabs>
            <w:ind w:firstLine="552"/>
            <w:rPr>
              <w:sz w:val="32"/>
            </w:rPr>
          </w:pPr>
          <w:r>
            <w:fldChar w:fldCharType="begin"/>
          </w:r>
          <w:r>
            <w:instrText xml:space="preserve"> HYPERLINK \l "_Toc11486" </w:instrText>
          </w:r>
          <w:r>
            <w:fldChar w:fldCharType="separate"/>
          </w:r>
          <w:r>
            <w:rPr>
              <w:rFonts w:ascii="Times New Roman" w:hAnsi="Times New Roman" w:eastAsia="仿宋" w:cs="Times New Roman"/>
              <w:bCs/>
              <w:sz w:val="32"/>
            </w:rPr>
            <w:t xml:space="preserve">5.2 </w:t>
          </w:r>
          <w:r>
            <w:rPr>
              <w:rFonts w:hint="eastAsia" w:ascii="Times New Roman" w:hAnsi="Times New Roman" w:cs="Times New Roman"/>
              <w:sz w:val="32"/>
            </w:rPr>
            <w:t>事故调查</w:t>
          </w:r>
          <w:r>
            <w:rPr>
              <w:sz w:val="32"/>
            </w:rPr>
            <w:tab/>
          </w:r>
          <w:r>
            <w:rPr>
              <w:sz w:val="32"/>
            </w:rPr>
            <w:fldChar w:fldCharType="begin"/>
          </w:r>
          <w:r>
            <w:rPr>
              <w:sz w:val="32"/>
            </w:rPr>
            <w:instrText xml:space="preserve"> PAGEREF _Toc11486 \h </w:instrText>
          </w:r>
          <w:r>
            <w:rPr>
              <w:sz w:val="32"/>
            </w:rPr>
            <w:fldChar w:fldCharType="separate"/>
          </w:r>
          <w:r>
            <w:rPr>
              <w:sz w:val="32"/>
            </w:rPr>
            <w:t>21</w:t>
          </w:r>
          <w:r>
            <w:rPr>
              <w:sz w:val="32"/>
            </w:rPr>
            <w:fldChar w:fldCharType="end"/>
          </w:r>
          <w:r>
            <w:rPr>
              <w:sz w:val="32"/>
            </w:rPr>
            <w:fldChar w:fldCharType="end"/>
          </w:r>
        </w:p>
        <w:p w14:paraId="1F0F064F">
          <w:pPr>
            <w:pStyle w:val="19"/>
            <w:tabs>
              <w:tab w:val="right" w:leader="dot" w:pos="8845"/>
            </w:tabs>
            <w:ind w:firstLine="552"/>
            <w:rPr>
              <w:sz w:val="32"/>
            </w:rPr>
          </w:pPr>
          <w:r>
            <w:fldChar w:fldCharType="begin"/>
          </w:r>
          <w:r>
            <w:instrText xml:space="preserve"> HYPERLINK \l "_Toc3426" </w:instrText>
          </w:r>
          <w:r>
            <w:fldChar w:fldCharType="separate"/>
          </w:r>
          <w:r>
            <w:rPr>
              <w:rFonts w:ascii="Times New Roman" w:hAnsi="Times New Roman" w:eastAsia="仿宋" w:cs="Times New Roman"/>
              <w:bCs/>
              <w:sz w:val="32"/>
            </w:rPr>
            <w:t xml:space="preserve">5.3 </w:t>
          </w:r>
          <w:r>
            <w:rPr>
              <w:rFonts w:hint="eastAsia" w:ascii="Times New Roman" w:hAnsi="Times New Roman" w:cs="Times New Roman"/>
              <w:sz w:val="32"/>
            </w:rPr>
            <w:t>恢复重建</w:t>
          </w:r>
          <w:r>
            <w:rPr>
              <w:sz w:val="32"/>
            </w:rPr>
            <w:tab/>
          </w:r>
          <w:r>
            <w:rPr>
              <w:sz w:val="32"/>
            </w:rPr>
            <w:fldChar w:fldCharType="begin"/>
          </w:r>
          <w:r>
            <w:rPr>
              <w:sz w:val="32"/>
            </w:rPr>
            <w:instrText xml:space="preserve"> PAGEREF _Toc3426 \h </w:instrText>
          </w:r>
          <w:r>
            <w:rPr>
              <w:sz w:val="32"/>
            </w:rPr>
            <w:fldChar w:fldCharType="separate"/>
          </w:r>
          <w:r>
            <w:rPr>
              <w:sz w:val="32"/>
            </w:rPr>
            <w:t>21</w:t>
          </w:r>
          <w:r>
            <w:rPr>
              <w:sz w:val="32"/>
            </w:rPr>
            <w:fldChar w:fldCharType="end"/>
          </w:r>
          <w:r>
            <w:rPr>
              <w:sz w:val="32"/>
            </w:rPr>
            <w:fldChar w:fldCharType="end"/>
          </w:r>
        </w:p>
        <w:p w14:paraId="548DC5C5">
          <w:pPr>
            <w:pStyle w:val="18"/>
            <w:rPr>
              <w:sz w:val="32"/>
            </w:rPr>
          </w:pPr>
          <w:r>
            <w:fldChar w:fldCharType="begin"/>
          </w:r>
          <w:r>
            <w:instrText xml:space="preserve"> HYPERLINK \l "_Toc22281" </w:instrText>
          </w:r>
          <w:r>
            <w:fldChar w:fldCharType="separate"/>
          </w:r>
          <w:r>
            <w:rPr>
              <w:rFonts w:ascii="Times New Roman" w:hAnsi="Times New Roman" w:eastAsia="仿宋" w:cs="Times New Roman"/>
              <w:sz w:val="32"/>
            </w:rPr>
            <w:t xml:space="preserve">6 </w:t>
          </w:r>
          <w:r>
            <w:rPr>
              <w:rFonts w:ascii="Times New Roman" w:hAnsi="Times New Roman" w:cs="Times New Roman"/>
              <w:sz w:val="32"/>
            </w:rPr>
            <w:t>保障措施</w:t>
          </w:r>
          <w:r>
            <w:rPr>
              <w:sz w:val="32"/>
            </w:rPr>
            <w:tab/>
          </w:r>
          <w:r>
            <w:rPr>
              <w:sz w:val="32"/>
            </w:rPr>
            <w:fldChar w:fldCharType="begin"/>
          </w:r>
          <w:r>
            <w:rPr>
              <w:sz w:val="32"/>
            </w:rPr>
            <w:instrText xml:space="preserve"> PAGEREF _Toc22281 \h </w:instrText>
          </w:r>
          <w:r>
            <w:rPr>
              <w:sz w:val="32"/>
            </w:rPr>
            <w:fldChar w:fldCharType="separate"/>
          </w:r>
          <w:r>
            <w:rPr>
              <w:sz w:val="32"/>
            </w:rPr>
            <w:t>21</w:t>
          </w:r>
          <w:r>
            <w:rPr>
              <w:sz w:val="32"/>
            </w:rPr>
            <w:fldChar w:fldCharType="end"/>
          </w:r>
          <w:r>
            <w:rPr>
              <w:sz w:val="32"/>
            </w:rPr>
            <w:fldChar w:fldCharType="end"/>
          </w:r>
        </w:p>
        <w:p w14:paraId="4C63BBEB">
          <w:pPr>
            <w:pStyle w:val="19"/>
            <w:tabs>
              <w:tab w:val="right" w:leader="dot" w:pos="8845"/>
            </w:tabs>
            <w:ind w:firstLine="552"/>
            <w:rPr>
              <w:sz w:val="32"/>
            </w:rPr>
          </w:pPr>
          <w:r>
            <w:fldChar w:fldCharType="begin"/>
          </w:r>
          <w:r>
            <w:instrText xml:space="preserve"> HYPERLINK \l "_Toc12845" </w:instrText>
          </w:r>
          <w:r>
            <w:fldChar w:fldCharType="separate"/>
          </w:r>
          <w:r>
            <w:rPr>
              <w:rFonts w:ascii="Times New Roman" w:hAnsi="Times New Roman" w:eastAsia="仿宋" w:cs="Times New Roman"/>
              <w:bCs/>
              <w:sz w:val="32"/>
            </w:rPr>
            <w:t xml:space="preserve">6.1 </w:t>
          </w:r>
          <w:r>
            <w:rPr>
              <w:rFonts w:ascii="Times New Roman" w:hAnsi="Times New Roman" w:cs="Times New Roman"/>
              <w:sz w:val="32"/>
            </w:rPr>
            <w:t>应急队伍保障</w:t>
          </w:r>
          <w:r>
            <w:rPr>
              <w:sz w:val="32"/>
            </w:rPr>
            <w:tab/>
          </w:r>
          <w:r>
            <w:rPr>
              <w:sz w:val="32"/>
            </w:rPr>
            <w:fldChar w:fldCharType="begin"/>
          </w:r>
          <w:r>
            <w:rPr>
              <w:sz w:val="32"/>
            </w:rPr>
            <w:instrText xml:space="preserve"> PAGEREF _Toc12845 \h </w:instrText>
          </w:r>
          <w:r>
            <w:rPr>
              <w:sz w:val="32"/>
            </w:rPr>
            <w:fldChar w:fldCharType="separate"/>
          </w:r>
          <w:r>
            <w:rPr>
              <w:sz w:val="32"/>
            </w:rPr>
            <w:t>21</w:t>
          </w:r>
          <w:r>
            <w:rPr>
              <w:sz w:val="32"/>
            </w:rPr>
            <w:fldChar w:fldCharType="end"/>
          </w:r>
          <w:r>
            <w:rPr>
              <w:sz w:val="32"/>
            </w:rPr>
            <w:fldChar w:fldCharType="end"/>
          </w:r>
        </w:p>
        <w:p w14:paraId="22020526">
          <w:pPr>
            <w:pStyle w:val="19"/>
            <w:tabs>
              <w:tab w:val="right" w:leader="dot" w:pos="8845"/>
            </w:tabs>
            <w:ind w:firstLine="552"/>
            <w:rPr>
              <w:sz w:val="32"/>
            </w:rPr>
          </w:pPr>
          <w:r>
            <w:fldChar w:fldCharType="begin"/>
          </w:r>
          <w:r>
            <w:instrText xml:space="preserve"> HYPERLINK \l "_Toc19306" </w:instrText>
          </w:r>
          <w:r>
            <w:fldChar w:fldCharType="separate"/>
          </w:r>
          <w:r>
            <w:rPr>
              <w:rFonts w:ascii="Times New Roman" w:hAnsi="Times New Roman" w:eastAsia="仿宋" w:cs="Times New Roman"/>
              <w:bCs/>
              <w:sz w:val="32"/>
            </w:rPr>
            <w:t xml:space="preserve">6.2 </w:t>
          </w:r>
          <w:r>
            <w:rPr>
              <w:rFonts w:ascii="Times New Roman" w:hAnsi="Times New Roman" w:cs="Times New Roman"/>
              <w:sz w:val="32"/>
            </w:rPr>
            <w:t>应急资金保障</w:t>
          </w:r>
          <w:r>
            <w:rPr>
              <w:sz w:val="32"/>
            </w:rPr>
            <w:tab/>
          </w:r>
          <w:r>
            <w:rPr>
              <w:sz w:val="32"/>
            </w:rPr>
            <w:fldChar w:fldCharType="begin"/>
          </w:r>
          <w:r>
            <w:rPr>
              <w:sz w:val="32"/>
            </w:rPr>
            <w:instrText xml:space="preserve"> PAGEREF _Toc19306 \h </w:instrText>
          </w:r>
          <w:r>
            <w:rPr>
              <w:sz w:val="32"/>
            </w:rPr>
            <w:fldChar w:fldCharType="separate"/>
          </w:r>
          <w:r>
            <w:rPr>
              <w:sz w:val="32"/>
            </w:rPr>
            <w:t>22</w:t>
          </w:r>
          <w:r>
            <w:rPr>
              <w:sz w:val="32"/>
            </w:rPr>
            <w:fldChar w:fldCharType="end"/>
          </w:r>
          <w:r>
            <w:rPr>
              <w:sz w:val="32"/>
            </w:rPr>
            <w:fldChar w:fldCharType="end"/>
          </w:r>
        </w:p>
        <w:p w14:paraId="09D67BE2">
          <w:pPr>
            <w:pStyle w:val="19"/>
            <w:tabs>
              <w:tab w:val="right" w:leader="dot" w:pos="8845"/>
            </w:tabs>
            <w:ind w:firstLine="552"/>
            <w:rPr>
              <w:sz w:val="32"/>
            </w:rPr>
          </w:pPr>
          <w:r>
            <w:fldChar w:fldCharType="begin"/>
          </w:r>
          <w:r>
            <w:instrText xml:space="preserve"> HYPERLINK \l "_Toc18154" </w:instrText>
          </w:r>
          <w:r>
            <w:fldChar w:fldCharType="separate"/>
          </w:r>
          <w:r>
            <w:rPr>
              <w:rFonts w:ascii="Times New Roman" w:hAnsi="Times New Roman" w:eastAsia="仿宋" w:cs="Times New Roman"/>
              <w:bCs/>
              <w:sz w:val="32"/>
            </w:rPr>
            <w:t xml:space="preserve">6.3 </w:t>
          </w:r>
          <w:r>
            <w:rPr>
              <w:rFonts w:ascii="Times New Roman" w:hAnsi="Times New Roman" w:cs="Times New Roman"/>
              <w:sz w:val="32"/>
            </w:rPr>
            <w:t>应急装备与物资保障</w:t>
          </w:r>
          <w:r>
            <w:rPr>
              <w:sz w:val="32"/>
            </w:rPr>
            <w:tab/>
          </w:r>
          <w:r>
            <w:rPr>
              <w:sz w:val="32"/>
            </w:rPr>
            <w:fldChar w:fldCharType="begin"/>
          </w:r>
          <w:r>
            <w:rPr>
              <w:sz w:val="32"/>
            </w:rPr>
            <w:instrText xml:space="preserve"> PAGEREF _Toc18154 \h </w:instrText>
          </w:r>
          <w:r>
            <w:rPr>
              <w:sz w:val="32"/>
            </w:rPr>
            <w:fldChar w:fldCharType="separate"/>
          </w:r>
          <w:r>
            <w:rPr>
              <w:sz w:val="32"/>
            </w:rPr>
            <w:t>22</w:t>
          </w:r>
          <w:r>
            <w:rPr>
              <w:sz w:val="32"/>
            </w:rPr>
            <w:fldChar w:fldCharType="end"/>
          </w:r>
          <w:r>
            <w:rPr>
              <w:sz w:val="32"/>
            </w:rPr>
            <w:fldChar w:fldCharType="end"/>
          </w:r>
        </w:p>
        <w:p w14:paraId="2CA37034">
          <w:pPr>
            <w:pStyle w:val="19"/>
            <w:tabs>
              <w:tab w:val="right" w:leader="dot" w:pos="8845"/>
            </w:tabs>
            <w:ind w:firstLine="552"/>
            <w:rPr>
              <w:sz w:val="32"/>
            </w:rPr>
          </w:pPr>
          <w:r>
            <w:fldChar w:fldCharType="begin"/>
          </w:r>
          <w:r>
            <w:instrText xml:space="preserve"> HYPERLINK \l "_Toc26931" </w:instrText>
          </w:r>
          <w:r>
            <w:fldChar w:fldCharType="separate"/>
          </w:r>
          <w:r>
            <w:rPr>
              <w:rFonts w:ascii="Times New Roman" w:hAnsi="Times New Roman" w:eastAsia="仿宋" w:cs="Times New Roman"/>
              <w:bCs/>
              <w:sz w:val="32"/>
            </w:rPr>
            <w:t xml:space="preserve">6.4 </w:t>
          </w:r>
          <w:r>
            <w:rPr>
              <w:rFonts w:ascii="Times New Roman" w:hAnsi="Times New Roman" w:cs="Times New Roman"/>
              <w:sz w:val="32"/>
            </w:rPr>
            <w:t>技术储备保障</w:t>
          </w:r>
          <w:r>
            <w:rPr>
              <w:sz w:val="32"/>
            </w:rPr>
            <w:tab/>
          </w:r>
          <w:r>
            <w:rPr>
              <w:sz w:val="32"/>
            </w:rPr>
            <w:fldChar w:fldCharType="begin"/>
          </w:r>
          <w:r>
            <w:rPr>
              <w:sz w:val="32"/>
            </w:rPr>
            <w:instrText xml:space="preserve"> PAGEREF _Toc26931 \h </w:instrText>
          </w:r>
          <w:r>
            <w:rPr>
              <w:sz w:val="32"/>
            </w:rPr>
            <w:fldChar w:fldCharType="separate"/>
          </w:r>
          <w:r>
            <w:rPr>
              <w:sz w:val="32"/>
            </w:rPr>
            <w:t>22</w:t>
          </w:r>
          <w:r>
            <w:rPr>
              <w:sz w:val="32"/>
            </w:rPr>
            <w:fldChar w:fldCharType="end"/>
          </w:r>
          <w:r>
            <w:rPr>
              <w:sz w:val="32"/>
            </w:rPr>
            <w:fldChar w:fldCharType="end"/>
          </w:r>
        </w:p>
        <w:p w14:paraId="1BF4D6E8">
          <w:pPr>
            <w:pStyle w:val="19"/>
            <w:tabs>
              <w:tab w:val="right" w:leader="dot" w:pos="8845"/>
            </w:tabs>
            <w:ind w:firstLine="552"/>
            <w:rPr>
              <w:sz w:val="32"/>
            </w:rPr>
          </w:pPr>
          <w:r>
            <w:fldChar w:fldCharType="begin"/>
          </w:r>
          <w:r>
            <w:instrText xml:space="preserve"> HYPERLINK \l "_Toc17583" </w:instrText>
          </w:r>
          <w:r>
            <w:fldChar w:fldCharType="separate"/>
          </w:r>
          <w:r>
            <w:rPr>
              <w:rFonts w:ascii="Times New Roman" w:hAnsi="Times New Roman" w:eastAsia="仿宋" w:cs="Times New Roman"/>
              <w:bCs/>
              <w:sz w:val="32"/>
            </w:rPr>
            <w:t xml:space="preserve">6.5 </w:t>
          </w:r>
          <w:r>
            <w:rPr>
              <w:rFonts w:ascii="Times New Roman" w:hAnsi="Times New Roman" w:cs="Times New Roman"/>
              <w:sz w:val="32"/>
            </w:rPr>
            <w:t>应急生活保障</w:t>
          </w:r>
          <w:r>
            <w:rPr>
              <w:sz w:val="32"/>
            </w:rPr>
            <w:tab/>
          </w:r>
          <w:r>
            <w:rPr>
              <w:sz w:val="32"/>
            </w:rPr>
            <w:fldChar w:fldCharType="begin"/>
          </w:r>
          <w:r>
            <w:rPr>
              <w:sz w:val="32"/>
            </w:rPr>
            <w:instrText xml:space="preserve"> PAGEREF _Toc17583 \h </w:instrText>
          </w:r>
          <w:r>
            <w:rPr>
              <w:sz w:val="32"/>
            </w:rPr>
            <w:fldChar w:fldCharType="separate"/>
          </w:r>
          <w:r>
            <w:rPr>
              <w:sz w:val="32"/>
            </w:rPr>
            <w:t>23</w:t>
          </w:r>
          <w:r>
            <w:rPr>
              <w:sz w:val="32"/>
            </w:rPr>
            <w:fldChar w:fldCharType="end"/>
          </w:r>
          <w:r>
            <w:rPr>
              <w:sz w:val="32"/>
            </w:rPr>
            <w:fldChar w:fldCharType="end"/>
          </w:r>
        </w:p>
        <w:p w14:paraId="6608759C">
          <w:pPr>
            <w:pStyle w:val="19"/>
            <w:tabs>
              <w:tab w:val="right" w:leader="dot" w:pos="8845"/>
            </w:tabs>
            <w:ind w:firstLine="552"/>
            <w:rPr>
              <w:sz w:val="32"/>
            </w:rPr>
          </w:pPr>
          <w:r>
            <w:fldChar w:fldCharType="begin"/>
          </w:r>
          <w:r>
            <w:instrText xml:space="preserve"> HYPERLINK \l "_Toc10534" </w:instrText>
          </w:r>
          <w:r>
            <w:fldChar w:fldCharType="separate"/>
          </w:r>
          <w:r>
            <w:rPr>
              <w:rFonts w:ascii="Times New Roman" w:hAnsi="Times New Roman" w:eastAsia="仿宋" w:cs="Times New Roman"/>
              <w:bCs/>
              <w:sz w:val="32"/>
            </w:rPr>
            <w:t xml:space="preserve">6.6 </w:t>
          </w:r>
          <w:r>
            <w:rPr>
              <w:rFonts w:ascii="Times New Roman" w:hAnsi="Times New Roman" w:cs="Times New Roman"/>
              <w:sz w:val="32"/>
            </w:rPr>
            <w:t>应急社会动员保障</w:t>
          </w:r>
          <w:r>
            <w:rPr>
              <w:sz w:val="32"/>
            </w:rPr>
            <w:tab/>
          </w:r>
          <w:r>
            <w:rPr>
              <w:sz w:val="32"/>
            </w:rPr>
            <w:fldChar w:fldCharType="begin"/>
          </w:r>
          <w:r>
            <w:rPr>
              <w:sz w:val="32"/>
            </w:rPr>
            <w:instrText xml:space="preserve"> PAGEREF _Toc10534 \h </w:instrText>
          </w:r>
          <w:r>
            <w:rPr>
              <w:sz w:val="32"/>
            </w:rPr>
            <w:fldChar w:fldCharType="separate"/>
          </w:r>
          <w:r>
            <w:rPr>
              <w:sz w:val="32"/>
            </w:rPr>
            <w:t>23</w:t>
          </w:r>
          <w:r>
            <w:rPr>
              <w:sz w:val="32"/>
            </w:rPr>
            <w:fldChar w:fldCharType="end"/>
          </w:r>
          <w:r>
            <w:rPr>
              <w:sz w:val="32"/>
            </w:rPr>
            <w:fldChar w:fldCharType="end"/>
          </w:r>
        </w:p>
        <w:p w14:paraId="20619405">
          <w:pPr>
            <w:pStyle w:val="18"/>
            <w:rPr>
              <w:sz w:val="32"/>
            </w:rPr>
          </w:pPr>
          <w:r>
            <w:fldChar w:fldCharType="begin"/>
          </w:r>
          <w:r>
            <w:instrText xml:space="preserve"> HYPERLINK \l "_Toc7470" </w:instrText>
          </w:r>
          <w:r>
            <w:fldChar w:fldCharType="separate"/>
          </w:r>
          <w:r>
            <w:rPr>
              <w:rFonts w:ascii="Times New Roman" w:hAnsi="Times New Roman" w:eastAsia="仿宋" w:cs="Times New Roman"/>
              <w:sz w:val="32"/>
            </w:rPr>
            <w:t xml:space="preserve">7 </w:t>
          </w:r>
          <w:r>
            <w:rPr>
              <w:rFonts w:ascii="Times New Roman" w:hAnsi="Times New Roman" w:cs="Times New Roman"/>
              <w:sz w:val="32"/>
            </w:rPr>
            <w:t>预案管理</w:t>
          </w:r>
          <w:r>
            <w:rPr>
              <w:sz w:val="32"/>
            </w:rPr>
            <w:tab/>
          </w:r>
          <w:r>
            <w:rPr>
              <w:sz w:val="32"/>
            </w:rPr>
            <w:fldChar w:fldCharType="begin"/>
          </w:r>
          <w:r>
            <w:rPr>
              <w:sz w:val="32"/>
            </w:rPr>
            <w:instrText xml:space="preserve"> PAGEREF _Toc7470 \h </w:instrText>
          </w:r>
          <w:r>
            <w:rPr>
              <w:sz w:val="32"/>
            </w:rPr>
            <w:fldChar w:fldCharType="separate"/>
          </w:r>
          <w:r>
            <w:rPr>
              <w:sz w:val="32"/>
            </w:rPr>
            <w:t>23</w:t>
          </w:r>
          <w:r>
            <w:rPr>
              <w:sz w:val="32"/>
            </w:rPr>
            <w:fldChar w:fldCharType="end"/>
          </w:r>
          <w:r>
            <w:rPr>
              <w:sz w:val="32"/>
            </w:rPr>
            <w:fldChar w:fldCharType="end"/>
          </w:r>
        </w:p>
        <w:p w14:paraId="44BFABF3">
          <w:pPr>
            <w:pStyle w:val="19"/>
            <w:tabs>
              <w:tab w:val="right" w:leader="dot" w:pos="8845"/>
            </w:tabs>
            <w:ind w:firstLine="552"/>
            <w:rPr>
              <w:sz w:val="32"/>
            </w:rPr>
          </w:pPr>
          <w:r>
            <w:fldChar w:fldCharType="begin"/>
          </w:r>
          <w:r>
            <w:instrText xml:space="preserve"> HYPERLINK \l "_Toc2624" </w:instrText>
          </w:r>
          <w:r>
            <w:fldChar w:fldCharType="separate"/>
          </w:r>
          <w:r>
            <w:rPr>
              <w:rFonts w:ascii="Times New Roman" w:hAnsi="Times New Roman" w:eastAsia="仿宋" w:cs="Times New Roman"/>
              <w:bCs/>
              <w:sz w:val="32"/>
            </w:rPr>
            <w:t xml:space="preserve">7.1 </w:t>
          </w:r>
          <w:r>
            <w:rPr>
              <w:rFonts w:ascii="Times New Roman" w:hAnsi="Times New Roman" w:cs="Times New Roman"/>
              <w:sz w:val="32"/>
            </w:rPr>
            <w:t>预案修订</w:t>
          </w:r>
          <w:r>
            <w:rPr>
              <w:sz w:val="32"/>
            </w:rPr>
            <w:tab/>
          </w:r>
          <w:r>
            <w:rPr>
              <w:sz w:val="32"/>
            </w:rPr>
            <w:fldChar w:fldCharType="begin"/>
          </w:r>
          <w:r>
            <w:rPr>
              <w:sz w:val="32"/>
            </w:rPr>
            <w:instrText xml:space="preserve"> PAGEREF _Toc2624 \h </w:instrText>
          </w:r>
          <w:r>
            <w:rPr>
              <w:sz w:val="32"/>
            </w:rPr>
            <w:fldChar w:fldCharType="separate"/>
          </w:r>
          <w:r>
            <w:rPr>
              <w:sz w:val="32"/>
            </w:rPr>
            <w:t>23</w:t>
          </w:r>
          <w:r>
            <w:rPr>
              <w:sz w:val="32"/>
            </w:rPr>
            <w:fldChar w:fldCharType="end"/>
          </w:r>
          <w:r>
            <w:rPr>
              <w:sz w:val="32"/>
            </w:rPr>
            <w:fldChar w:fldCharType="end"/>
          </w:r>
        </w:p>
        <w:p w14:paraId="60224EF3">
          <w:pPr>
            <w:pStyle w:val="19"/>
            <w:tabs>
              <w:tab w:val="right" w:leader="dot" w:pos="8845"/>
            </w:tabs>
            <w:ind w:firstLine="552"/>
            <w:rPr>
              <w:sz w:val="32"/>
            </w:rPr>
          </w:pPr>
          <w:r>
            <w:fldChar w:fldCharType="begin"/>
          </w:r>
          <w:r>
            <w:instrText xml:space="preserve"> HYPERLINK \l "_Toc7995" </w:instrText>
          </w:r>
          <w:r>
            <w:fldChar w:fldCharType="separate"/>
          </w:r>
          <w:r>
            <w:rPr>
              <w:rFonts w:ascii="Times New Roman" w:hAnsi="Times New Roman" w:eastAsia="仿宋" w:cs="Times New Roman"/>
              <w:bCs/>
              <w:sz w:val="32"/>
            </w:rPr>
            <w:t xml:space="preserve">7.2 </w:t>
          </w:r>
          <w:r>
            <w:rPr>
              <w:rFonts w:ascii="Times New Roman" w:hAnsi="Times New Roman" w:cs="Times New Roman"/>
              <w:sz w:val="32"/>
            </w:rPr>
            <w:t>宣传和培训</w:t>
          </w:r>
          <w:r>
            <w:rPr>
              <w:sz w:val="32"/>
            </w:rPr>
            <w:tab/>
          </w:r>
          <w:r>
            <w:rPr>
              <w:sz w:val="32"/>
            </w:rPr>
            <w:fldChar w:fldCharType="begin"/>
          </w:r>
          <w:r>
            <w:rPr>
              <w:sz w:val="32"/>
            </w:rPr>
            <w:instrText xml:space="preserve"> PAGEREF _Toc7995 \h </w:instrText>
          </w:r>
          <w:r>
            <w:rPr>
              <w:sz w:val="32"/>
            </w:rPr>
            <w:fldChar w:fldCharType="separate"/>
          </w:r>
          <w:r>
            <w:rPr>
              <w:sz w:val="32"/>
            </w:rPr>
            <w:t>24</w:t>
          </w:r>
          <w:r>
            <w:rPr>
              <w:sz w:val="32"/>
            </w:rPr>
            <w:fldChar w:fldCharType="end"/>
          </w:r>
          <w:r>
            <w:rPr>
              <w:sz w:val="32"/>
            </w:rPr>
            <w:fldChar w:fldCharType="end"/>
          </w:r>
        </w:p>
        <w:p w14:paraId="005B7590">
          <w:pPr>
            <w:pStyle w:val="19"/>
            <w:tabs>
              <w:tab w:val="right" w:leader="dot" w:pos="8845"/>
            </w:tabs>
            <w:ind w:firstLine="552"/>
            <w:rPr>
              <w:sz w:val="32"/>
            </w:rPr>
          </w:pPr>
          <w:r>
            <w:fldChar w:fldCharType="begin"/>
          </w:r>
          <w:r>
            <w:instrText xml:space="preserve"> HYPERLINK \l "_Toc25765" </w:instrText>
          </w:r>
          <w:r>
            <w:fldChar w:fldCharType="separate"/>
          </w:r>
          <w:r>
            <w:rPr>
              <w:rFonts w:ascii="Times New Roman" w:hAnsi="Times New Roman" w:eastAsia="仿宋" w:cs="Times New Roman"/>
              <w:bCs/>
              <w:sz w:val="32"/>
            </w:rPr>
            <w:t xml:space="preserve">7.3 </w:t>
          </w:r>
          <w:r>
            <w:rPr>
              <w:rFonts w:ascii="Times New Roman" w:hAnsi="Times New Roman" w:cs="Times New Roman"/>
              <w:sz w:val="32"/>
            </w:rPr>
            <w:t>应急演练</w:t>
          </w:r>
          <w:r>
            <w:rPr>
              <w:sz w:val="32"/>
            </w:rPr>
            <w:tab/>
          </w:r>
          <w:r>
            <w:rPr>
              <w:sz w:val="32"/>
            </w:rPr>
            <w:fldChar w:fldCharType="begin"/>
          </w:r>
          <w:r>
            <w:rPr>
              <w:sz w:val="32"/>
            </w:rPr>
            <w:instrText xml:space="preserve"> PAGEREF _Toc25765 \h </w:instrText>
          </w:r>
          <w:r>
            <w:rPr>
              <w:sz w:val="32"/>
            </w:rPr>
            <w:fldChar w:fldCharType="separate"/>
          </w:r>
          <w:r>
            <w:rPr>
              <w:sz w:val="32"/>
            </w:rPr>
            <w:t>24</w:t>
          </w:r>
          <w:r>
            <w:rPr>
              <w:sz w:val="32"/>
            </w:rPr>
            <w:fldChar w:fldCharType="end"/>
          </w:r>
          <w:r>
            <w:rPr>
              <w:sz w:val="32"/>
            </w:rPr>
            <w:fldChar w:fldCharType="end"/>
          </w:r>
        </w:p>
        <w:p w14:paraId="7504EA67">
          <w:pPr>
            <w:pStyle w:val="19"/>
            <w:tabs>
              <w:tab w:val="right" w:leader="dot" w:pos="8845"/>
            </w:tabs>
            <w:ind w:firstLine="552"/>
            <w:rPr>
              <w:sz w:val="32"/>
            </w:rPr>
          </w:pPr>
          <w:r>
            <w:fldChar w:fldCharType="begin"/>
          </w:r>
          <w:r>
            <w:instrText xml:space="preserve"> HYPERLINK \l "_Toc31878" </w:instrText>
          </w:r>
          <w:r>
            <w:fldChar w:fldCharType="separate"/>
          </w:r>
          <w:r>
            <w:rPr>
              <w:rFonts w:ascii="Times New Roman" w:hAnsi="Times New Roman" w:eastAsia="仿宋" w:cs="Times New Roman"/>
              <w:bCs/>
              <w:sz w:val="32"/>
            </w:rPr>
            <w:t xml:space="preserve">7.4 </w:t>
          </w:r>
          <w:r>
            <w:rPr>
              <w:rFonts w:ascii="Times New Roman" w:hAnsi="Times New Roman" w:cs="Times New Roman"/>
              <w:sz w:val="32"/>
            </w:rPr>
            <w:t>预案实施</w:t>
          </w:r>
          <w:r>
            <w:rPr>
              <w:sz w:val="32"/>
            </w:rPr>
            <w:tab/>
          </w:r>
          <w:r>
            <w:rPr>
              <w:sz w:val="32"/>
            </w:rPr>
            <w:fldChar w:fldCharType="begin"/>
          </w:r>
          <w:r>
            <w:rPr>
              <w:sz w:val="32"/>
            </w:rPr>
            <w:instrText xml:space="preserve"> PAGEREF _Toc31878 \h </w:instrText>
          </w:r>
          <w:r>
            <w:rPr>
              <w:sz w:val="32"/>
            </w:rPr>
            <w:fldChar w:fldCharType="separate"/>
          </w:r>
          <w:r>
            <w:rPr>
              <w:sz w:val="32"/>
            </w:rPr>
            <w:t>24</w:t>
          </w:r>
          <w:r>
            <w:rPr>
              <w:sz w:val="32"/>
            </w:rPr>
            <w:fldChar w:fldCharType="end"/>
          </w:r>
          <w:r>
            <w:rPr>
              <w:sz w:val="32"/>
            </w:rPr>
            <w:fldChar w:fldCharType="end"/>
          </w:r>
        </w:p>
        <w:p w14:paraId="1B65FF78">
          <w:pPr>
            <w:pStyle w:val="18"/>
            <w:rPr>
              <w:sz w:val="32"/>
            </w:rPr>
          </w:pPr>
          <w:r>
            <w:fldChar w:fldCharType="begin"/>
          </w:r>
          <w:r>
            <w:instrText xml:space="preserve"> HYPERLINK \l "_Toc23802" </w:instrText>
          </w:r>
          <w:r>
            <w:fldChar w:fldCharType="separate"/>
          </w:r>
          <w:r>
            <w:rPr>
              <w:rFonts w:ascii="Times New Roman" w:hAnsi="Times New Roman" w:cs="Times New Roman"/>
              <w:sz w:val="32"/>
            </w:rPr>
            <w:t>附件1：</w:t>
          </w:r>
          <w:r>
            <w:rPr>
              <w:rFonts w:hint="eastAsia" w:ascii="Times New Roman" w:hAnsi="Times New Roman" w:cs="Times New Roman"/>
              <w:sz w:val="32"/>
            </w:rPr>
            <w:t>特种设备</w:t>
          </w:r>
          <w:r>
            <w:rPr>
              <w:rFonts w:ascii="Times New Roman" w:hAnsi="Times New Roman" w:cs="Times New Roman"/>
              <w:sz w:val="32"/>
            </w:rPr>
            <w:t>事故分级标准</w:t>
          </w:r>
          <w:r>
            <w:rPr>
              <w:sz w:val="32"/>
            </w:rPr>
            <w:tab/>
          </w:r>
          <w:r>
            <w:rPr>
              <w:sz w:val="32"/>
            </w:rPr>
            <w:fldChar w:fldCharType="begin"/>
          </w:r>
          <w:r>
            <w:rPr>
              <w:sz w:val="32"/>
            </w:rPr>
            <w:instrText xml:space="preserve"> PAGEREF _Toc23802 \h </w:instrText>
          </w:r>
          <w:r>
            <w:rPr>
              <w:sz w:val="32"/>
            </w:rPr>
            <w:fldChar w:fldCharType="separate"/>
          </w:r>
          <w:r>
            <w:rPr>
              <w:sz w:val="32"/>
            </w:rPr>
            <w:t>25</w:t>
          </w:r>
          <w:r>
            <w:rPr>
              <w:sz w:val="32"/>
            </w:rPr>
            <w:fldChar w:fldCharType="end"/>
          </w:r>
          <w:r>
            <w:rPr>
              <w:sz w:val="32"/>
            </w:rPr>
            <w:fldChar w:fldCharType="end"/>
          </w:r>
        </w:p>
        <w:p w14:paraId="5AD2F8FE">
          <w:pPr>
            <w:pStyle w:val="15"/>
            <w:ind w:left="0" w:leftChars="0" w:firstLine="0" w:firstLineChars="0"/>
            <w:rPr>
              <w:rFonts w:ascii="Times New Roman" w:hAnsi="Times New Roman" w:eastAsia="仿宋" w:cs="Times New Roman"/>
              <w:b/>
              <w:sz w:val="32"/>
            </w:rPr>
          </w:pPr>
          <w:r>
            <w:rPr>
              <w:rFonts w:ascii="Times New Roman" w:hAnsi="Times New Roman" w:cs="Times New Roman"/>
              <w:sz w:val="32"/>
            </w:rPr>
            <w:fldChar w:fldCharType="end"/>
          </w:r>
        </w:p>
      </w:sdtContent>
    </w:sdt>
    <w:p w14:paraId="652021BA">
      <w:pPr>
        <w:pStyle w:val="2"/>
        <w:numPr>
          <w:ilvl w:val="0"/>
          <w:numId w:val="149"/>
        </w:numPr>
        <w:tabs>
          <w:tab w:val="left" w:pos="0"/>
        </w:tabs>
        <w:ind w:firstLine="0" w:firstLineChars="0"/>
        <w:rPr>
          <w:rFonts w:ascii="Times New Roman" w:hAnsi="Times New Roman" w:cs="Times New Roman"/>
          <w:sz w:val="32"/>
        </w:rPr>
      </w:pPr>
      <w:bookmarkStart w:id="880" w:name="_Toc560"/>
      <w:r>
        <w:rPr>
          <w:rFonts w:ascii="Times New Roman" w:hAnsi="Times New Roman" w:cs="Times New Roman"/>
          <w:sz w:val="32"/>
        </w:rPr>
        <w:t>总则</w:t>
      </w:r>
      <w:bookmarkEnd w:id="880"/>
    </w:p>
    <w:p w14:paraId="78CE35C3">
      <w:pPr>
        <w:pStyle w:val="3"/>
        <w:ind w:firstLine="0" w:firstLineChars="0"/>
        <w:rPr>
          <w:rFonts w:ascii="Times New Roman" w:hAnsi="Times New Roman" w:cs="Times New Roman"/>
          <w:sz w:val="32"/>
        </w:rPr>
      </w:pPr>
      <w:bookmarkStart w:id="881" w:name="_Toc28271"/>
      <w:r>
        <w:rPr>
          <w:rFonts w:ascii="Times New Roman" w:hAnsi="Times New Roman" w:cs="Times New Roman"/>
          <w:sz w:val="32"/>
        </w:rPr>
        <w:t>编制目的</w:t>
      </w:r>
      <w:bookmarkEnd w:id="881"/>
    </w:p>
    <w:p w14:paraId="1285FF5C">
      <w:pPr>
        <w:ind w:firstLine="632"/>
        <w:rPr>
          <w:rFonts w:ascii="Times New Roman" w:hAnsi="Times New Roman" w:cs="Times New Roman"/>
          <w:sz w:val="32"/>
        </w:rPr>
      </w:pPr>
      <w:r>
        <w:rPr>
          <w:rFonts w:ascii="Times New Roman" w:hAnsi="Times New Roman" w:cs="Times New Roman"/>
          <w:sz w:val="32"/>
        </w:rPr>
        <w:t>为</w:t>
      </w:r>
      <w:r>
        <w:rPr>
          <w:rFonts w:hint="eastAsia" w:ascii="Times New Roman" w:hAnsi="Times New Roman" w:cs="Times New Roman"/>
          <w:sz w:val="32"/>
        </w:rPr>
        <w:t>提高</w:t>
      </w:r>
      <w:r>
        <w:rPr>
          <w:rFonts w:ascii="Times New Roman" w:hAnsi="Times New Roman" w:cs="Times New Roman"/>
          <w:sz w:val="32"/>
        </w:rPr>
        <w:t>我县</w:t>
      </w:r>
      <w:r>
        <w:rPr>
          <w:rFonts w:hint="eastAsia" w:ascii="Times New Roman" w:hAnsi="Times New Roman" w:cs="Times New Roman"/>
          <w:sz w:val="32"/>
        </w:rPr>
        <w:t>行政区域范围内</w:t>
      </w:r>
      <w:r>
        <w:rPr>
          <w:rFonts w:ascii="Times New Roman" w:hAnsi="Times New Roman" w:cs="Times New Roman"/>
          <w:sz w:val="32"/>
        </w:rPr>
        <w:t>特种设备突发</w:t>
      </w:r>
      <w:r>
        <w:rPr>
          <w:rFonts w:hint="eastAsia" w:ascii="Times New Roman" w:hAnsi="Times New Roman" w:cs="Times New Roman"/>
          <w:sz w:val="32"/>
        </w:rPr>
        <w:t>事故时的</w:t>
      </w:r>
      <w:r>
        <w:rPr>
          <w:rFonts w:ascii="Times New Roman" w:hAnsi="Times New Roman" w:cs="Times New Roman"/>
          <w:sz w:val="32"/>
        </w:rPr>
        <w:t>应对能力，规范特种设备突发事件应急处置和响应程序，确保应急工作科学、高效、有序，最大限度减少特种设备突发事件造成的人员伤亡、财产损失和环境破坏，保障公众生命财产安全，维护社会稳定，特制定本预案。</w:t>
      </w:r>
    </w:p>
    <w:p w14:paraId="42039660">
      <w:pPr>
        <w:pStyle w:val="3"/>
        <w:ind w:firstLine="0" w:firstLineChars="0"/>
        <w:rPr>
          <w:rFonts w:ascii="Times New Roman" w:hAnsi="Times New Roman" w:cs="Times New Roman"/>
          <w:sz w:val="32"/>
        </w:rPr>
      </w:pPr>
      <w:bookmarkStart w:id="882" w:name="_Toc19740"/>
      <w:r>
        <w:rPr>
          <w:rFonts w:ascii="Times New Roman" w:hAnsi="Times New Roman" w:cs="Times New Roman"/>
          <w:sz w:val="32"/>
        </w:rPr>
        <w:t>编制依据</w:t>
      </w:r>
      <w:bookmarkEnd w:id="882"/>
    </w:p>
    <w:p w14:paraId="6FDDBC59">
      <w:pPr>
        <w:ind w:firstLine="632"/>
        <w:rPr>
          <w:rFonts w:ascii="Times New Roman" w:hAnsi="Times New Roman" w:cs="Times New Roman"/>
          <w:sz w:val="32"/>
        </w:rPr>
      </w:pPr>
      <w:r>
        <w:rPr>
          <w:rFonts w:ascii="Times New Roman" w:hAnsi="Times New Roman" w:cs="Times New Roman"/>
          <w:sz w:val="32"/>
        </w:rPr>
        <w:t>依据《中华人民共和国突发事件应对法》《中华人民共和国安全生产法》《中华人民共和国特种设备安全法》《特种设备安全监察条例》《生产安全事故应急条例》《生产安全事故报告和调查处理条例》《突发事件应急预案管理办法》《特种设备事故报告和调查处理规定》《市场监管突发事件应急管理办法》《特种设备事故报告和调查处理导则》《黑龙江省特种设备事故应急预案》《双鸭山市特种设备事故应急预案》《集贤县突发事件总体应急预案》等法律法规、相关文件制定本预案。</w:t>
      </w:r>
    </w:p>
    <w:p w14:paraId="0FE2B4F6">
      <w:pPr>
        <w:pStyle w:val="3"/>
        <w:ind w:firstLine="0" w:firstLineChars="0"/>
        <w:rPr>
          <w:rFonts w:ascii="Times New Roman" w:hAnsi="Times New Roman" w:cs="Times New Roman"/>
          <w:sz w:val="32"/>
        </w:rPr>
      </w:pPr>
      <w:bookmarkStart w:id="883" w:name="_Toc20358"/>
      <w:r>
        <w:rPr>
          <w:rFonts w:ascii="Times New Roman" w:hAnsi="Times New Roman" w:cs="Times New Roman"/>
          <w:sz w:val="32"/>
        </w:rPr>
        <w:t>适用范围</w:t>
      </w:r>
      <w:bookmarkEnd w:id="883"/>
    </w:p>
    <w:p w14:paraId="0A672192">
      <w:pPr>
        <w:ind w:firstLine="632"/>
        <w:rPr>
          <w:rFonts w:ascii="Times New Roman" w:hAnsi="Times New Roman" w:cs="Times New Roman"/>
          <w:sz w:val="32"/>
        </w:rPr>
      </w:pPr>
      <w:r>
        <w:rPr>
          <w:rFonts w:ascii="Times New Roman" w:hAnsi="Times New Roman" w:cs="Times New Roman"/>
          <w:sz w:val="32"/>
        </w:rPr>
        <w:t>本预案适用于</w:t>
      </w:r>
      <w:r>
        <w:rPr>
          <w:rFonts w:hint="eastAsia" w:ascii="Times New Roman" w:hAnsi="Times New Roman" w:cs="Times New Roman"/>
          <w:sz w:val="32"/>
        </w:rPr>
        <w:t>集贤县行政区域范围</w:t>
      </w:r>
      <w:r>
        <w:rPr>
          <w:rFonts w:ascii="Times New Roman" w:hAnsi="Times New Roman" w:cs="Times New Roman"/>
          <w:sz w:val="32"/>
        </w:rPr>
        <w:t>内，因特种设备本身或外在（人为）因素导致特种设备爆炸、损坏、失效、缺陷、故障而造成人员伤亡、财产损失的</w:t>
      </w:r>
      <w:r>
        <w:rPr>
          <w:rFonts w:hint="eastAsia" w:ascii="Times New Roman" w:hAnsi="Times New Roman" w:cs="Times New Roman"/>
          <w:sz w:val="32"/>
        </w:rPr>
        <w:t>特种设备事故应急处置工作</w:t>
      </w:r>
      <w:r>
        <w:rPr>
          <w:rFonts w:ascii="Times New Roman" w:hAnsi="Times New Roman" w:cs="Times New Roman"/>
          <w:sz w:val="32"/>
        </w:rPr>
        <w:t>。</w:t>
      </w:r>
    </w:p>
    <w:p w14:paraId="76522DA6">
      <w:pPr>
        <w:pStyle w:val="3"/>
        <w:ind w:firstLine="0" w:firstLineChars="0"/>
        <w:rPr>
          <w:rFonts w:ascii="Times New Roman" w:hAnsi="Times New Roman" w:cs="Times New Roman"/>
          <w:sz w:val="32"/>
        </w:rPr>
      </w:pPr>
      <w:bookmarkStart w:id="884" w:name="_Toc4839"/>
      <w:r>
        <w:rPr>
          <w:rFonts w:ascii="Times New Roman" w:hAnsi="Times New Roman" w:cs="Times New Roman"/>
          <w:sz w:val="32"/>
        </w:rPr>
        <w:t>工作原则</w:t>
      </w:r>
      <w:bookmarkEnd w:id="884"/>
    </w:p>
    <w:p w14:paraId="0CB67EAA">
      <w:pPr>
        <w:ind w:firstLine="632"/>
        <w:rPr>
          <w:rFonts w:ascii="Times New Roman" w:hAnsi="Times New Roman" w:cs="Times New Roman"/>
          <w:sz w:val="32"/>
        </w:rPr>
      </w:pPr>
      <w:r>
        <w:rPr>
          <w:rFonts w:ascii="Times New Roman" w:hAnsi="Times New Roman" w:cs="Times New Roman"/>
          <w:sz w:val="32"/>
        </w:rPr>
        <w:t>（1）人民至上，生命至上。坚持以人民为中心的发展思想，坚持底线思维，把保障公众健康和生命财产安全、最大限度减少特种设备</w:t>
      </w:r>
      <w:r>
        <w:rPr>
          <w:rFonts w:hint="eastAsia" w:ascii="Times New Roman" w:hAnsi="Times New Roman" w:cs="Times New Roman"/>
          <w:sz w:val="32"/>
        </w:rPr>
        <w:t>事故</w:t>
      </w:r>
      <w:r>
        <w:rPr>
          <w:rFonts w:ascii="Times New Roman" w:hAnsi="Times New Roman" w:cs="Times New Roman"/>
          <w:sz w:val="32"/>
        </w:rPr>
        <w:t>造成的人员伤亡、财产损失和环境破坏作为首要任务。充分发挥专业救援力量骨干作用和人民群众基础作用，切实加强应急救援人员的安全防护。</w:t>
      </w:r>
    </w:p>
    <w:p w14:paraId="15B5943D">
      <w:pPr>
        <w:ind w:firstLine="632"/>
        <w:rPr>
          <w:rFonts w:ascii="Times New Roman" w:hAnsi="Times New Roman" w:cs="Times New Roman"/>
          <w:sz w:val="32"/>
        </w:rPr>
      </w:pPr>
      <w:r>
        <w:rPr>
          <w:rFonts w:ascii="Times New Roman" w:hAnsi="Times New Roman" w:cs="Times New Roman"/>
          <w:sz w:val="32"/>
        </w:rPr>
        <w:t>（2）统一领导，分级负责。在</w:t>
      </w:r>
      <w:r>
        <w:rPr>
          <w:rFonts w:hint="eastAsia" w:ascii="Times New Roman" w:hAnsi="Times New Roman" w:cs="Times New Roman"/>
          <w:sz w:val="32"/>
        </w:rPr>
        <w:t>县委、县政府</w:t>
      </w:r>
      <w:r>
        <w:rPr>
          <w:rFonts w:ascii="Times New Roman" w:hAnsi="Times New Roman" w:cs="Times New Roman"/>
          <w:sz w:val="32"/>
        </w:rPr>
        <w:t>统一领导和指挥下，按照本预案有关要求，</w:t>
      </w:r>
      <w:r>
        <w:rPr>
          <w:rFonts w:hint="eastAsia" w:ascii="Times New Roman" w:hAnsi="Times New Roman" w:cs="Times New Roman"/>
          <w:sz w:val="32"/>
        </w:rPr>
        <w:t>各乡镇人民政府及有关部门按照职责权限，负责相应级别的特种设备事故的应急处置工作。同时，加强应急救援人员的安全防护，做好特种设备事故的预警和预防工作。</w:t>
      </w:r>
    </w:p>
    <w:p w14:paraId="0DD8ED58">
      <w:pPr>
        <w:ind w:firstLine="632"/>
        <w:rPr>
          <w:rFonts w:ascii="Times New Roman" w:hAnsi="Times New Roman" w:cs="Times New Roman"/>
          <w:sz w:val="32"/>
        </w:rPr>
      </w:pPr>
      <w:r>
        <w:rPr>
          <w:rFonts w:ascii="Times New Roman" w:hAnsi="Times New Roman" w:cs="Times New Roman"/>
          <w:sz w:val="32"/>
        </w:rPr>
        <w:t>（3）条块结合，属地为主。特种设备事故先期应急救援以事故发生地乡镇人民政府为主，</w:t>
      </w:r>
      <w:r>
        <w:rPr>
          <w:rFonts w:hint="eastAsia" w:ascii="Times New Roman" w:hAnsi="Times New Roman" w:cs="Times New Roman"/>
          <w:sz w:val="32"/>
        </w:rPr>
        <w:t>县政府</w:t>
      </w:r>
      <w:r>
        <w:rPr>
          <w:rFonts w:ascii="Times New Roman" w:hAnsi="Times New Roman" w:cs="Times New Roman"/>
          <w:sz w:val="32"/>
        </w:rPr>
        <w:t>有关部门和专家参与；形成党委政府领导下，各相关部门、企事业单位和社会力量积极参与的综合性特种设备</w:t>
      </w:r>
      <w:r>
        <w:rPr>
          <w:rFonts w:hint="eastAsia" w:ascii="Times New Roman" w:hAnsi="Times New Roman" w:cs="Times New Roman"/>
          <w:sz w:val="32"/>
        </w:rPr>
        <w:t>事故</w:t>
      </w:r>
      <w:r>
        <w:rPr>
          <w:rFonts w:ascii="Times New Roman" w:hAnsi="Times New Roman" w:cs="Times New Roman"/>
          <w:sz w:val="32"/>
        </w:rPr>
        <w:t>应急处置机制。</w:t>
      </w:r>
    </w:p>
    <w:p w14:paraId="2FB7964B">
      <w:pPr>
        <w:ind w:firstLine="632"/>
        <w:rPr>
          <w:rFonts w:ascii="Times New Roman" w:hAnsi="Times New Roman" w:cs="Times New Roman"/>
          <w:sz w:val="32"/>
        </w:rPr>
      </w:pPr>
      <w:r>
        <w:rPr>
          <w:rFonts w:ascii="Times New Roman" w:hAnsi="Times New Roman" w:cs="Times New Roman"/>
          <w:sz w:val="32"/>
        </w:rPr>
        <w:t>（4）科学处置，依法规范。充分发挥专家队伍和专业技术人员作用，</w:t>
      </w:r>
      <w:r>
        <w:rPr>
          <w:rFonts w:hint="eastAsia" w:ascii="Times New Roman" w:hAnsi="Times New Roman" w:cs="Times New Roman"/>
          <w:sz w:val="32"/>
        </w:rPr>
        <w:t>提升</w:t>
      </w:r>
      <w:r>
        <w:rPr>
          <w:rFonts w:ascii="Times New Roman" w:hAnsi="Times New Roman" w:cs="Times New Roman"/>
          <w:sz w:val="32"/>
        </w:rPr>
        <w:t>应对水平和指挥能力。依靠科技进步，不断改进和完善应急处置装备、设施和手段。规范和完善应急处置工作，严格按照相关法律法规要求，确保应急处置工作的科学性、有效性。</w:t>
      </w:r>
    </w:p>
    <w:p w14:paraId="4069C722">
      <w:pPr>
        <w:ind w:firstLine="632"/>
        <w:rPr>
          <w:rFonts w:ascii="Times New Roman" w:hAnsi="Times New Roman" w:cs="Times New Roman"/>
          <w:sz w:val="32"/>
        </w:rPr>
      </w:pPr>
      <w:r>
        <w:rPr>
          <w:rFonts w:ascii="Times New Roman" w:hAnsi="Times New Roman" w:cs="Times New Roman"/>
          <w:sz w:val="32"/>
        </w:rPr>
        <w:t>（5）快速反应，高效应对。事</w:t>
      </w:r>
      <w:r>
        <w:rPr>
          <w:rFonts w:hint="eastAsia" w:ascii="Times New Roman" w:hAnsi="Times New Roman" w:cs="Times New Roman"/>
          <w:sz w:val="32"/>
        </w:rPr>
        <w:t>故</w:t>
      </w:r>
      <w:r>
        <w:rPr>
          <w:rFonts w:ascii="Times New Roman" w:hAnsi="Times New Roman" w:cs="Times New Roman"/>
          <w:sz w:val="32"/>
        </w:rPr>
        <w:t>发生后，要力争在第一时间赶赴突发事件现场，第一时间启动应急预案，第一时间引导舆论。快速形成处置方案，迅速开展应对工作。整合社会资源，动员和发挥企事业单位、社会团体和志愿者队伍的作用，加强以属地管理为主的应急处置队伍建设。使用单位特种设备事故应急预案应与县政府</w:t>
      </w:r>
      <w:r>
        <w:rPr>
          <w:rFonts w:hint="eastAsia" w:ascii="Times New Roman" w:hAnsi="Times New Roman" w:cs="Times New Roman"/>
          <w:sz w:val="32"/>
        </w:rPr>
        <w:t>特种设备应急</w:t>
      </w:r>
      <w:r>
        <w:rPr>
          <w:rFonts w:ascii="Times New Roman" w:hAnsi="Times New Roman" w:cs="Times New Roman"/>
          <w:sz w:val="32"/>
        </w:rPr>
        <w:t>预案形成有效衔接，构建反应灵敏、协调有序、转动高效应急体系。</w:t>
      </w:r>
    </w:p>
    <w:p w14:paraId="72C7190B">
      <w:pPr>
        <w:pStyle w:val="3"/>
        <w:ind w:firstLine="0" w:firstLineChars="0"/>
        <w:rPr>
          <w:rFonts w:ascii="Times New Roman" w:hAnsi="Times New Roman" w:cs="Times New Roman"/>
          <w:sz w:val="32"/>
        </w:rPr>
      </w:pPr>
      <w:bookmarkStart w:id="885" w:name="_Toc14106"/>
      <w:r>
        <w:rPr>
          <w:rFonts w:ascii="Times New Roman" w:hAnsi="Times New Roman" w:cs="Times New Roman"/>
          <w:sz w:val="32"/>
        </w:rPr>
        <w:t>事件分级</w:t>
      </w:r>
      <w:bookmarkEnd w:id="885"/>
    </w:p>
    <w:p w14:paraId="12C8CF6E">
      <w:pPr>
        <w:ind w:firstLine="632"/>
        <w:rPr>
          <w:rFonts w:ascii="Times New Roman" w:hAnsi="Times New Roman" w:cs="Times New Roman"/>
          <w:sz w:val="32"/>
        </w:rPr>
      </w:pPr>
      <w:r>
        <w:rPr>
          <w:rFonts w:ascii="Times New Roman" w:hAnsi="Times New Roman" w:cs="Times New Roman"/>
          <w:sz w:val="32"/>
        </w:rPr>
        <w:t>根据可能造成的危害性、紧急程度和发展态势，参照《特种设备安全监察条例》</w:t>
      </w:r>
      <w:r>
        <w:rPr>
          <w:rFonts w:hint="eastAsia" w:ascii="Times New Roman" w:hAnsi="Times New Roman" w:cs="Times New Roman"/>
          <w:sz w:val="32"/>
        </w:rPr>
        <w:t>（国务院令第549号）</w:t>
      </w:r>
      <w:r>
        <w:rPr>
          <w:rFonts w:ascii="Times New Roman" w:hAnsi="Times New Roman" w:cs="Times New Roman"/>
          <w:sz w:val="32"/>
        </w:rPr>
        <w:t>规定，</w:t>
      </w:r>
      <w:r>
        <w:rPr>
          <w:rFonts w:hint="eastAsia" w:ascii="Times New Roman" w:hAnsi="Times New Roman" w:cs="Times New Roman"/>
          <w:sz w:val="32"/>
        </w:rPr>
        <w:t>特种设备</w:t>
      </w:r>
      <w:r>
        <w:rPr>
          <w:rFonts w:ascii="Times New Roman" w:hAnsi="Times New Roman" w:cs="Times New Roman"/>
          <w:sz w:val="32"/>
        </w:rPr>
        <w:t>事故等级分为四级：特别重大事故（I级）、重大事故（Ⅱ级）、较大事故（Ⅲ级）和一般事故（Ⅳ级）。分级标准见附件1。</w:t>
      </w:r>
    </w:p>
    <w:p w14:paraId="2EF3DC9C">
      <w:pPr>
        <w:pStyle w:val="2"/>
        <w:numPr>
          <w:ilvl w:val="0"/>
          <w:numId w:val="149"/>
        </w:numPr>
        <w:tabs>
          <w:tab w:val="left" w:pos="0"/>
        </w:tabs>
        <w:ind w:firstLine="0" w:firstLineChars="0"/>
        <w:rPr>
          <w:rFonts w:ascii="Times New Roman" w:hAnsi="Times New Roman" w:cs="Times New Roman"/>
          <w:sz w:val="32"/>
        </w:rPr>
      </w:pPr>
      <w:bookmarkStart w:id="886" w:name="_Toc21740"/>
      <w:r>
        <w:rPr>
          <w:rFonts w:ascii="Times New Roman" w:hAnsi="Times New Roman" w:cs="Times New Roman"/>
          <w:sz w:val="32"/>
        </w:rPr>
        <w:t>组织指挥体系</w:t>
      </w:r>
      <w:bookmarkEnd w:id="886"/>
    </w:p>
    <w:p w14:paraId="6CCE6F65">
      <w:pPr>
        <w:pStyle w:val="3"/>
        <w:ind w:firstLine="0" w:firstLineChars="0"/>
        <w:rPr>
          <w:rFonts w:ascii="Times New Roman" w:hAnsi="Times New Roman" w:cs="Times New Roman"/>
          <w:sz w:val="32"/>
        </w:rPr>
      </w:pPr>
      <w:bookmarkStart w:id="887" w:name="_Toc7138"/>
      <w:r>
        <w:rPr>
          <w:rFonts w:ascii="Times New Roman" w:hAnsi="Times New Roman" w:cs="Times New Roman"/>
          <w:sz w:val="32"/>
        </w:rPr>
        <w:t>应急组织机构及职责</w:t>
      </w:r>
      <w:bookmarkEnd w:id="887"/>
    </w:p>
    <w:p w14:paraId="532BCE18">
      <w:pPr>
        <w:pStyle w:val="4"/>
        <w:numPr>
          <w:ilvl w:val="2"/>
          <w:numId w:val="149"/>
        </w:numPr>
        <w:tabs>
          <w:tab w:val="left" w:pos="0"/>
        </w:tabs>
        <w:ind w:firstLine="0" w:firstLineChars="0"/>
        <w:rPr>
          <w:rFonts w:ascii="Times New Roman" w:hAnsi="Times New Roman" w:cs="Times New Roman"/>
          <w:sz w:val="32"/>
        </w:rPr>
      </w:pPr>
      <w:r>
        <w:rPr>
          <w:rFonts w:ascii="Times New Roman" w:hAnsi="Times New Roman" w:cs="Times New Roman"/>
          <w:sz w:val="32"/>
        </w:rPr>
        <w:t>应急指挥部及职责</w:t>
      </w:r>
    </w:p>
    <w:p w14:paraId="7FF620F1">
      <w:pPr>
        <w:ind w:firstLine="632"/>
        <w:rPr>
          <w:rFonts w:ascii="Times New Roman" w:hAnsi="Times New Roman" w:cs="Times New Roman"/>
          <w:sz w:val="32"/>
        </w:rPr>
      </w:pPr>
      <w:r>
        <w:rPr>
          <w:rFonts w:hint="eastAsia" w:ascii="Times New Roman" w:hAnsi="Times New Roman" w:cs="Times New Roman"/>
          <w:sz w:val="32"/>
        </w:rPr>
        <w:t>集贤县政府设</w:t>
      </w:r>
      <w:r>
        <w:rPr>
          <w:rFonts w:ascii="Times New Roman" w:hAnsi="Times New Roman" w:cs="Times New Roman"/>
          <w:sz w:val="32"/>
        </w:rPr>
        <w:t>立县特种设备事故应急指挥部（以下简称县应急指挥部）作为本县</w:t>
      </w:r>
      <w:r>
        <w:rPr>
          <w:rFonts w:hint="eastAsia" w:ascii="Times New Roman" w:hAnsi="Times New Roman" w:cs="Times New Roman"/>
          <w:sz w:val="32"/>
        </w:rPr>
        <w:t>特种设备</w:t>
      </w:r>
      <w:r>
        <w:rPr>
          <w:rFonts w:ascii="Times New Roman" w:hAnsi="Times New Roman" w:cs="Times New Roman"/>
          <w:sz w:val="32"/>
        </w:rPr>
        <w:t>事故应急处置的专项指挥机构，</w:t>
      </w:r>
      <w:r>
        <w:rPr>
          <w:rFonts w:hint="eastAsia" w:ascii="Times New Roman" w:hAnsi="Times New Roman" w:cs="Times New Roman"/>
          <w:sz w:val="32"/>
        </w:rPr>
        <w:t>县应急指挥部总指挥</w:t>
      </w:r>
      <w:r>
        <w:rPr>
          <w:rFonts w:ascii="Times New Roman" w:hAnsi="Times New Roman" w:cs="Times New Roman"/>
          <w:sz w:val="32"/>
        </w:rPr>
        <w:t>由</w:t>
      </w:r>
      <w:r>
        <w:rPr>
          <w:rFonts w:hint="eastAsia" w:ascii="Times New Roman" w:hAnsi="Times New Roman" w:cs="Times New Roman"/>
          <w:sz w:val="32"/>
        </w:rPr>
        <w:t>县</w:t>
      </w:r>
      <w:r>
        <w:rPr>
          <w:rFonts w:ascii="Times New Roman" w:hAnsi="Times New Roman" w:cs="Times New Roman"/>
          <w:sz w:val="32"/>
        </w:rPr>
        <w:t>政府分管副县长</w:t>
      </w:r>
      <w:r>
        <w:rPr>
          <w:rFonts w:hint="eastAsia" w:ascii="Times New Roman" w:hAnsi="Times New Roman" w:cs="Times New Roman"/>
          <w:sz w:val="32"/>
        </w:rPr>
        <w:t>担任</w:t>
      </w:r>
      <w:r>
        <w:rPr>
          <w:rFonts w:ascii="Times New Roman" w:hAnsi="Times New Roman" w:cs="Times New Roman"/>
          <w:sz w:val="32"/>
        </w:rPr>
        <w:t>，</w:t>
      </w:r>
      <w:r>
        <w:rPr>
          <w:rFonts w:hint="eastAsia" w:ascii="Times New Roman" w:hAnsi="Times New Roman" w:cs="Times New Roman"/>
          <w:sz w:val="32"/>
        </w:rPr>
        <w:t>副总指挥由县市场监督管理局</w:t>
      </w:r>
      <w:r>
        <w:rPr>
          <w:rFonts w:ascii="Times New Roman" w:hAnsi="Times New Roman" w:cs="Times New Roman"/>
          <w:sz w:val="32"/>
        </w:rPr>
        <w:t>局长</w:t>
      </w:r>
      <w:r>
        <w:rPr>
          <w:rFonts w:hint="eastAsia" w:ascii="Times New Roman" w:hAnsi="Times New Roman" w:cs="Times New Roman"/>
          <w:sz w:val="32"/>
        </w:rPr>
        <w:t>、县应急管理局局长担任</w:t>
      </w:r>
      <w:r>
        <w:rPr>
          <w:rFonts w:ascii="Times New Roman" w:hAnsi="Times New Roman" w:cs="Times New Roman"/>
          <w:sz w:val="32"/>
        </w:rPr>
        <w:t>，</w:t>
      </w:r>
      <w:r>
        <w:rPr>
          <w:rFonts w:hint="eastAsia" w:ascii="Times New Roman" w:hAnsi="Times New Roman" w:cs="Times New Roman"/>
          <w:sz w:val="32"/>
        </w:rPr>
        <w:t>成员单位由县</w:t>
      </w:r>
      <w:r>
        <w:rPr>
          <w:rFonts w:ascii="Times New Roman" w:hAnsi="Times New Roman" w:cs="Times New Roman"/>
          <w:sz w:val="32"/>
        </w:rPr>
        <w:t>委宣传部、</w:t>
      </w:r>
      <w:r>
        <w:rPr>
          <w:rFonts w:hint="eastAsia" w:ascii="Times New Roman" w:hAnsi="Times New Roman" w:cs="Times New Roman"/>
          <w:sz w:val="32"/>
        </w:rPr>
        <w:t>县市场监督管理局、县应急管理局、县</w:t>
      </w:r>
      <w:r>
        <w:rPr>
          <w:rFonts w:ascii="Times New Roman" w:hAnsi="Times New Roman" w:cs="Times New Roman"/>
          <w:sz w:val="32"/>
        </w:rPr>
        <w:t>公安局、</w:t>
      </w:r>
      <w:r>
        <w:rPr>
          <w:rFonts w:hint="eastAsia" w:ascii="Times New Roman" w:hAnsi="Times New Roman" w:cs="Times New Roman"/>
          <w:sz w:val="32"/>
        </w:rPr>
        <w:t>县</w:t>
      </w:r>
      <w:r>
        <w:rPr>
          <w:rFonts w:ascii="Times New Roman" w:hAnsi="Times New Roman" w:cs="Times New Roman"/>
          <w:sz w:val="32"/>
        </w:rPr>
        <w:t>财政局、</w:t>
      </w:r>
      <w:r>
        <w:rPr>
          <w:rFonts w:hint="eastAsia" w:ascii="Times New Roman" w:hAnsi="Times New Roman" w:cs="Times New Roman"/>
          <w:sz w:val="32"/>
        </w:rPr>
        <w:t>双鸭山市集贤</w:t>
      </w:r>
      <w:r>
        <w:rPr>
          <w:rFonts w:ascii="Times New Roman" w:hAnsi="Times New Roman" w:cs="Times New Roman"/>
          <w:sz w:val="32"/>
        </w:rPr>
        <w:t>生态环境局、</w:t>
      </w:r>
      <w:r>
        <w:rPr>
          <w:rFonts w:hint="eastAsia" w:ascii="Times New Roman" w:hAnsi="Times New Roman" w:cs="Times New Roman"/>
          <w:sz w:val="32"/>
        </w:rPr>
        <w:t>县</w:t>
      </w:r>
      <w:r>
        <w:rPr>
          <w:rFonts w:ascii="Times New Roman" w:hAnsi="Times New Roman" w:cs="Times New Roman"/>
          <w:sz w:val="32"/>
        </w:rPr>
        <w:t>住房和城乡建设局、</w:t>
      </w:r>
      <w:r>
        <w:rPr>
          <w:rFonts w:hint="eastAsia" w:ascii="Times New Roman" w:hAnsi="Times New Roman" w:cs="Times New Roman"/>
          <w:sz w:val="32"/>
        </w:rPr>
        <w:t>县</w:t>
      </w:r>
      <w:r>
        <w:rPr>
          <w:rFonts w:ascii="Times New Roman" w:hAnsi="Times New Roman" w:cs="Times New Roman"/>
          <w:sz w:val="32"/>
        </w:rPr>
        <w:t>交通运输局、</w:t>
      </w:r>
      <w:r>
        <w:rPr>
          <w:rFonts w:hint="eastAsia" w:ascii="Times New Roman" w:hAnsi="Times New Roman" w:cs="Times New Roman"/>
          <w:sz w:val="32"/>
        </w:rPr>
        <w:t>县</w:t>
      </w:r>
      <w:r>
        <w:rPr>
          <w:rFonts w:ascii="Times New Roman" w:hAnsi="Times New Roman" w:cs="Times New Roman"/>
          <w:sz w:val="32"/>
        </w:rPr>
        <w:t>文体广电和旅游局、</w:t>
      </w:r>
      <w:r>
        <w:rPr>
          <w:rFonts w:hint="eastAsia" w:ascii="Times New Roman" w:hAnsi="Times New Roman" w:cs="Times New Roman"/>
          <w:sz w:val="32"/>
        </w:rPr>
        <w:t>县</w:t>
      </w:r>
      <w:r>
        <w:rPr>
          <w:rFonts w:ascii="Times New Roman" w:hAnsi="Times New Roman" w:cs="Times New Roman"/>
          <w:sz w:val="32"/>
        </w:rPr>
        <w:t>卫生健康局、</w:t>
      </w:r>
      <w:r>
        <w:rPr>
          <w:rFonts w:hint="eastAsia" w:ascii="Times New Roman" w:hAnsi="Times New Roman" w:cs="Times New Roman"/>
          <w:sz w:val="32"/>
        </w:rPr>
        <w:t>县</w:t>
      </w:r>
      <w:r>
        <w:rPr>
          <w:rFonts w:ascii="Times New Roman" w:hAnsi="Times New Roman" w:cs="Times New Roman"/>
          <w:sz w:val="32"/>
        </w:rPr>
        <w:t>消防救援大队等</w:t>
      </w:r>
      <w:r>
        <w:rPr>
          <w:rFonts w:hint="eastAsia" w:ascii="Times New Roman" w:hAnsi="Times New Roman" w:cs="Times New Roman"/>
          <w:sz w:val="32"/>
        </w:rPr>
        <w:t>相关部门和</w:t>
      </w:r>
      <w:r>
        <w:rPr>
          <w:rFonts w:ascii="Times New Roman" w:hAnsi="Times New Roman" w:cs="Times New Roman"/>
          <w:sz w:val="32"/>
        </w:rPr>
        <w:t>单位</w:t>
      </w:r>
      <w:r>
        <w:rPr>
          <w:rFonts w:hint="eastAsia" w:ascii="Times New Roman" w:hAnsi="Times New Roman" w:cs="Times New Roman"/>
          <w:sz w:val="32"/>
        </w:rPr>
        <w:t>组成</w:t>
      </w:r>
      <w:r>
        <w:rPr>
          <w:rFonts w:ascii="Times New Roman" w:hAnsi="Times New Roman" w:cs="Times New Roman"/>
          <w:sz w:val="32"/>
        </w:rPr>
        <w:t>。</w:t>
      </w:r>
    </w:p>
    <w:p w14:paraId="14753329">
      <w:pPr>
        <w:ind w:firstLine="632"/>
        <w:rPr>
          <w:rFonts w:ascii="Times New Roman" w:hAnsi="Times New Roman" w:cs="Times New Roman"/>
          <w:sz w:val="32"/>
        </w:rPr>
      </w:pPr>
      <w:r>
        <w:rPr>
          <w:rFonts w:ascii="Times New Roman" w:hAnsi="Times New Roman" w:cs="Times New Roman"/>
          <w:sz w:val="32"/>
        </w:rPr>
        <w:t>根据工作需要，可增加有关部门和单位负责同志参加。以上成员单位设联络员1名，负责沟通联络工作。</w:t>
      </w:r>
    </w:p>
    <w:p w14:paraId="0B6C47B4">
      <w:pPr>
        <w:ind w:firstLine="634"/>
        <w:rPr>
          <w:rFonts w:ascii="Times New Roman" w:hAnsi="Times New Roman" w:cs="Times New Roman"/>
          <w:b/>
          <w:bCs/>
          <w:sz w:val="32"/>
        </w:rPr>
      </w:pPr>
      <w:r>
        <w:rPr>
          <w:rFonts w:hint="eastAsia" w:ascii="Times New Roman" w:hAnsi="Times New Roman" w:cs="Times New Roman"/>
          <w:b/>
          <w:bCs/>
          <w:sz w:val="32"/>
        </w:rPr>
        <w:t>主要职责为：</w:t>
      </w:r>
    </w:p>
    <w:p w14:paraId="4A2E8DCC">
      <w:pPr>
        <w:ind w:firstLine="632"/>
        <w:rPr>
          <w:rFonts w:ascii="Times New Roman" w:hAnsi="Times New Roman" w:cs="Times New Roman"/>
          <w:sz w:val="32"/>
        </w:rPr>
      </w:pPr>
      <w:r>
        <w:rPr>
          <w:rFonts w:hint="eastAsia" w:ascii="Times New Roman" w:hAnsi="Times New Roman" w:cs="Times New Roman"/>
          <w:sz w:val="32"/>
        </w:rPr>
        <w:t>（1）贯彻落实县委、县政府和上级主管部门关于特种设备事故应对工作的决策部署；</w:t>
      </w:r>
    </w:p>
    <w:p w14:paraId="11454113">
      <w:pPr>
        <w:ind w:firstLine="632"/>
        <w:rPr>
          <w:rFonts w:ascii="Times New Roman" w:hAnsi="Times New Roman" w:cs="Times New Roman"/>
          <w:sz w:val="32"/>
        </w:rPr>
      </w:pPr>
      <w:r>
        <w:rPr>
          <w:rFonts w:hint="eastAsia" w:ascii="Times New Roman" w:hAnsi="Times New Roman" w:cs="Times New Roman"/>
          <w:sz w:val="32"/>
        </w:rPr>
        <w:t>（2）指挥、协调我县行政区域范围内发生的特种设备一般事故应急处置工作，以及特种设备较大事故先期处置工作；</w:t>
      </w:r>
    </w:p>
    <w:p w14:paraId="1F743BCE">
      <w:pPr>
        <w:ind w:firstLine="632"/>
        <w:rPr>
          <w:rFonts w:ascii="Times New Roman" w:hAnsi="Times New Roman" w:cs="Times New Roman"/>
          <w:sz w:val="32"/>
        </w:rPr>
      </w:pPr>
      <w:r>
        <w:rPr>
          <w:rFonts w:hint="eastAsia" w:ascii="Times New Roman" w:hAnsi="Times New Roman" w:cs="Times New Roman"/>
          <w:sz w:val="32"/>
        </w:rPr>
        <w:t>（3）全面指挥负责由县政府牵头处置的特种设备事故现场应急救援工作，对事故现场应急救援工作中的有关事项作出决策。</w:t>
      </w:r>
    </w:p>
    <w:p w14:paraId="07EE5082">
      <w:pPr>
        <w:ind w:firstLine="632"/>
        <w:rPr>
          <w:rFonts w:ascii="Times New Roman" w:hAnsi="Times New Roman" w:cs="Times New Roman"/>
          <w:sz w:val="32"/>
        </w:rPr>
      </w:pPr>
      <w:r>
        <w:rPr>
          <w:rFonts w:hint="eastAsia" w:ascii="Times New Roman" w:hAnsi="Times New Roman" w:cs="Times New Roman"/>
          <w:sz w:val="32"/>
        </w:rPr>
        <w:t>（4）针对危害程度、抢险救援和善后处理状况，协调调度各类必要应急资源和力量。</w:t>
      </w:r>
    </w:p>
    <w:p w14:paraId="5DEBE9D5">
      <w:pPr>
        <w:pStyle w:val="4"/>
        <w:numPr>
          <w:ilvl w:val="2"/>
          <w:numId w:val="149"/>
        </w:numPr>
        <w:tabs>
          <w:tab w:val="left" w:pos="0"/>
        </w:tabs>
        <w:ind w:firstLine="0" w:firstLineChars="0"/>
        <w:rPr>
          <w:rFonts w:ascii="Times New Roman" w:hAnsi="Times New Roman" w:cs="Times New Roman"/>
          <w:sz w:val="32"/>
        </w:rPr>
      </w:pPr>
      <w:r>
        <w:rPr>
          <w:rFonts w:ascii="Times New Roman" w:hAnsi="Times New Roman" w:cs="Times New Roman"/>
          <w:sz w:val="32"/>
        </w:rPr>
        <w:t>指挥部办公室及职责</w:t>
      </w:r>
    </w:p>
    <w:p w14:paraId="51F11322">
      <w:pPr>
        <w:ind w:firstLine="632"/>
        <w:rPr>
          <w:rFonts w:ascii="Times New Roman" w:hAnsi="Times New Roman" w:cs="Times New Roman"/>
          <w:sz w:val="32"/>
        </w:rPr>
      </w:pPr>
      <w:r>
        <w:rPr>
          <w:rFonts w:ascii="Times New Roman" w:hAnsi="Times New Roman" w:cs="Times New Roman"/>
          <w:sz w:val="32"/>
        </w:rPr>
        <w:t>县</w:t>
      </w:r>
      <w:r>
        <w:rPr>
          <w:rFonts w:hint="eastAsia" w:ascii="Times New Roman" w:hAnsi="Times New Roman" w:cs="Times New Roman"/>
          <w:sz w:val="32"/>
        </w:rPr>
        <w:t>特种设备事故</w:t>
      </w:r>
      <w:r>
        <w:rPr>
          <w:rFonts w:ascii="Times New Roman" w:hAnsi="Times New Roman" w:cs="Times New Roman"/>
          <w:sz w:val="32"/>
        </w:rPr>
        <w:t>应急指挥部办公室（以下简称指挥部办公室）设在县</w:t>
      </w:r>
      <w:r>
        <w:rPr>
          <w:rFonts w:hint="eastAsia" w:ascii="Times New Roman" w:hAnsi="Times New Roman" w:cs="Times New Roman"/>
          <w:sz w:val="32"/>
        </w:rPr>
        <w:t>市场监督管理</w:t>
      </w:r>
      <w:r>
        <w:rPr>
          <w:rFonts w:ascii="Times New Roman" w:hAnsi="Times New Roman" w:cs="Times New Roman"/>
          <w:sz w:val="32"/>
        </w:rPr>
        <w:t>局，办公室主任由县</w:t>
      </w:r>
      <w:r>
        <w:rPr>
          <w:rFonts w:hint="eastAsia" w:ascii="Times New Roman" w:hAnsi="Times New Roman" w:cs="Times New Roman"/>
          <w:sz w:val="32"/>
        </w:rPr>
        <w:t>市场监督管理</w:t>
      </w:r>
      <w:r>
        <w:rPr>
          <w:rFonts w:ascii="Times New Roman" w:hAnsi="Times New Roman" w:cs="Times New Roman"/>
          <w:sz w:val="32"/>
        </w:rPr>
        <w:t>局局长兼任。</w:t>
      </w:r>
    </w:p>
    <w:p w14:paraId="1CEFC0E5">
      <w:pPr>
        <w:ind w:firstLine="632"/>
        <w:rPr>
          <w:rFonts w:ascii="Times New Roman" w:hAnsi="Times New Roman" w:cs="Times New Roman"/>
          <w:sz w:val="32"/>
        </w:rPr>
      </w:pPr>
      <w:r>
        <w:rPr>
          <w:rFonts w:ascii="Times New Roman" w:hAnsi="Times New Roman" w:cs="Times New Roman"/>
          <w:sz w:val="32"/>
        </w:rPr>
        <w:t>主要负责县应急指挥部日常工作，以及了解、收集和汇总</w:t>
      </w:r>
      <w:r>
        <w:rPr>
          <w:rFonts w:hint="eastAsia" w:ascii="Times New Roman" w:hAnsi="Times New Roman" w:cs="Times New Roman"/>
          <w:sz w:val="32"/>
        </w:rPr>
        <w:t>特种</w:t>
      </w:r>
      <w:r>
        <w:rPr>
          <w:rFonts w:ascii="Times New Roman" w:hAnsi="Times New Roman" w:cs="Times New Roman"/>
          <w:sz w:val="32"/>
        </w:rPr>
        <w:t>事故信息、损害情况并及时向县</w:t>
      </w:r>
      <w:r>
        <w:rPr>
          <w:rFonts w:hint="eastAsia" w:ascii="Times New Roman" w:hAnsi="Times New Roman" w:cs="Times New Roman"/>
          <w:sz w:val="32"/>
        </w:rPr>
        <w:t>应急</w:t>
      </w:r>
      <w:r>
        <w:rPr>
          <w:rFonts w:ascii="Times New Roman" w:hAnsi="Times New Roman" w:cs="Times New Roman"/>
          <w:sz w:val="32"/>
        </w:rPr>
        <w:t>指挥部报告；负责</w:t>
      </w:r>
      <w:r>
        <w:rPr>
          <w:rFonts w:hint="eastAsia" w:ascii="Times New Roman" w:hAnsi="Times New Roman" w:cs="Times New Roman"/>
          <w:sz w:val="32"/>
        </w:rPr>
        <w:t>特种设备事故</w:t>
      </w:r>
      <w:r>
        <w:rPr>
          <w:rFonts w:ascii="Times New Roman" w:hAnsi="Times New Roman" w:cs="Times New Roman"/>
          <w:sz w:val="32"/>
        </w:rPr>
        <w:t>的应急处置综合协调及其相关组织管理工作</w:t>
      </w:r>
      <w:r>
        <w:rPr>
          <w:rFonts w:hint="eastAsia" w:ascii="Times New Roman" w:hAnsi="Times New Roman" w:cs="Times New Roman"/>
          <w:sz w:val="32"/>
        </w:rPr>
        <w:t>；负责组织特种事故损害调查和快速评估等工作</w:t>
      </w:r>
      <w:r>
        <w:rPr>
          <w:rFonts w:ascii="Times New Roman" w:hAnsi="Times New Roman" w:cs="Times New Roman"/>
          <w:sz w:val="32"/>
        </w:rPr>
        <w:t>。</w:t>
      </w:r>
    </w:p>
    <w:p w14:paraId="3487D736">
      <w:pPr>
        <w:pStyle w:val="4"/>
        <w:numPr>
          <w:ilvl w:val="2"/>
          <w:numId w:val="149"/>
        </w:numPr>
        <w:tabs>
          <w:tab w:val="left" w:pos="0"/>
        </w:tabs>
        <w:ind w:firstLine="0" w:firstLineChars="0"/>
        <w:rPr>
          <w:rFonts w:ascii="Times New Roman" w:hAnsi="Times New Roman" w:cs="Times New Roman"/>
          <w:sz w:val="32"/>
        </w:rPr>
      </w:pPr>
      <w:r>
        <w:rPr>
          <w:rFonts w:ascii="Times New Roman" w:hAnsi="Times New Roman" w:cs="Times New Roman"/>
          <w:sz w:val="32"/>
        </w:rPr>
        <w:t>成员单位组成及职责</w:t>
      </w:r>
    </w:p>
    <w:p w14:paraId="17D6E9DB">
      <w:pPr>
        <w:ind w:firstLine="634"/>
        <w:rPr>
          <w:rFonts w:ascii="Times New Roman" w:hAnsi="Times New Roman" w:cs="Times New Roman"/>
          <w:sz w:val="32"/>
        </w:rPr>
      </w:pPr>
      <w:r>
        <w:rPr>
          <w:rFonts w:hint="eastAsia" w:ascii="Times New Roman" w:hAnsi="Times New Roman" w:cs="Times New Roman"/>
          <w:b/>
          <w:bCs/>
          <w:sz w:val="32"/>
        </w:rPr>
        <w:t>县委宣传部：</w:t>
      </w:r>
      <w:r>
        <w:rPr>
          <w:rFonts w:hint="eastAsia" w:ascii="Times New Roman" w:hAnsi="Times New Roman" w:cs="Times New Roman"/>
          <w:sz w:val="32"/>
        </w:rPr>
        <w:t>根据县应急指挥部统一部署，协调县融媒体中心做好宣传工作；负责指导有关部门发布特种设备事故信息，统筹做好网上舆论引导和舆情调控管控工作；必要时召开新闻发布会及时解疑释惑、澄清事实、批驳谣言。</w:t>
      </w:r>
    </w:p>
    <w:p w14:paraId="68F2AFCE">
      <w:pPr>
        <w:ind w:firstLine="634"/>
        <w:rPr>
          <w:rFonts w:ascii="Times New Roman" w:hAnsi="Times New Roman" w:cs="Times New Roman"/>
          <w:sz w:val="32"/>
        </w:rPr>
      </w:pPr>
      <w:r>
        <w:rPr>
          <w:rFonts w:hint="eastAsia" w:ascii="Times New Roman" w:hAnsi="Times New Roman" w:cs="Times New Roman"/>
          <w:b/>
          <w:bCs/>
          <w:sz w:val="32"/>
        </w:rPr>
        <w:t>县</w:t>
      </w:r>
      <w:r>
        <w:rPr>
          <w:rFonts w:ascii="Times New Roman" w:hAnsi="Times New Roman" w:cs="Times New Roman"/>
          <w:b/>
          <w:bCs/>
          <w:sz w:val="32"/>
        </w:rPr>
        <w:t>市场监管局</w:t>
      </w:r>
      <w:r>
        <w:rPr>
          <w:rFonts w:hint="eastAsia" w:ascii="Times New Roman" w:hAnsi="Times New Roman" w:cs="Times New Roman"/>
          <w:b/>
          <w:bCs/>
          <w:sz w:val="32"/>
        </w:rPr>
        <w:t>：</w:t>
      </w:r>
      <w:r>
        <w:rPr>
          <w:rFonts w:ascii="Times New Roman" w:hAnsi="Times New Roman" w:cs="Times New Roman"/>
          <w:sz w:val="32"/>
        </w:rPr>
        <w:t>负责协调有关部门参与本县特种设备事故的应急处置工作；组织专家参加救援，提供技术支撑；向县委</w:t>
      </w:r>
      <w:r>
        <w:rPr>
          <w:rFonts w:hint="eastAsia" w:ascii="Times New Roman" w:hAnsi="Times New Roman" w:cs="Times New Roman"/>
          <w:sz w:val="32"/>
        </w:rPr>
        <w:t>、</w:t>
      </w:r>
      <w:r>
        <w:rPr>
          <w:rFonts w:ascii="Times New Roman" w:hAnsi="Times New Roman" w:cs="Times New Roman"/>
          <w:sz w:val="32"/>
        </w:rPr>
        <w:t>县政府</w:t>
      </w:r>
      <w:r>
        <w:rPr>
          <w:rFonts w:hint="eastAsia" w:ascii="Times New Roman" w:hAnsi="Times New Roman" w:cs="Times New Roman"/>
          <w:sz w:val="32"/>
        </w:rPr>
        <w:t>及上级主管部门</w:t>
      </w:r>
      <w:r>
        <w:rPr>
          <w:rFonts w:ascii="Times New Roman" w:hAnsi="Times New Roman" w:cs="Times New Roman"/>
          <w:sz w:val="32"/>
        </w:rPr>
        <w:t>报告事故及其应急处置情况；指挥本系统开展应急处置工作；组织制定特种设备应急预案和</w:t>
      </w:r>
      <w:r>
        <w:rPr>
          <w:rFonts w:hint="eastAsia" w:ascii="Times New Roman" w:hAnsi="Times New Roman" w:cs="Times New Roman"/>
          <w:sz w:val="32"/>
        </w:rPr>
        <w:t>应急演练方案</w:t>
      </w:r>
      <w:r>
        <w:rPr>
          <w:rFonts w:ascii="Times New Roman" w:hAnsi="Times New Roman" w:cs="Times New Roman"/>
          <w:sz w:val="32"/>
        </w:rPr>
        <w:t>；督导开展各类特种设备事故应急预案和演练的制（修）订工作。</w:t>
      </w:r>
    </w:p>
    <w:p w14:paraId="0FC9DEBE">
      <w:pPr>
        <w:ind w:firstLine="634"/>
        <w:rPr>
          <w:rFonts w:ascii="Times New Roman" w:hAnsi="Times New Roman" w:cs="Times New Roman"/>
          <w:sz w:val="32"/>
        </w:rPr>
      </w:pPr>
      <w:r>
        <w:rPr>
          <w:rFonts w:hint="eastAsia" w:ascii="Times New Roman" w:hAnsi="Times New Roman" w:cs="Times New Roman"/>
          <w:b/>
          <w:bCs/>
          <w:sz w:val="32"/>
        </w:rPr>
        <w:t>县</w:t>
      </w:r>
      <w:r>
        <w:rPr>
          <w:rFonts w:ascii="Times New Roman" w:hAnsi="Times New Roman" w:cs="Times New Roman"/>
          <w:b/>
          <w:bCs/>
          <w:sz w:val="32"/>
        </w:rPr>
        <w:t>应急</w:t>
      </w:r>
      <w:r>
        <w:rPr>
          <w:rFonts w:hint="eastAsia" w:ascii="Times New Roman" w:hAnsi="Times New Roman" w:cs="Times New Roman"/>
          <w:b/>
          <w:bCs/>
          <w:sz w:val="32"/>
        </w:rPr>
        <w:t>管理</w:t>
      </w:r>
      <w:r>
        <w:rPr>
          <w:rFonts w:ascii="Times New Roman" w:hAnsi="Times New Roman" w:cs="Times New Roman"/>
          <w:b/>
          <w:bCs/>
          <w:sz w:val="32"/>
        </w:rPr>
        <w:t>局：</w:t>
      </w:r>
      <w:r>
        <w:rPr>
          <w:rFonts w:ascii="Times New Roman" w:hAnsi="Times New Roman" w:cs="Times New Roman"/>
          <w:sz w:val="32"/>
        </w:rPr>
        <w:t>负责协调危险化学品方面的专家参与特种设备事故现场的危险化学品应急处置工作；负责</w:t>
      </w:r>
      <w:r>
        <w:rPr>
          <w:rFonts w:hint="eastAsia" w:ascii="Times New Roman" w:hAnsi="Times New Roman" w:cs="Times New Roman"/>
          <w:sz w:val="32"/>
        </w:rPr>
        <w:t>协助研判事故发展态势并提出应对建议</w:t>
      </w:r>
      <w:r>
        <w:rPr>
          <w:rFonts w:ascii="Times New Roman" w:hAnsi="Times New Roman" w:cs="Times New Roman"/>
          <w:sz w:val="32"/>
        </w:rPr>
        <w:t>；配合其他部门或单位做好应急</w:t>
      </w:r>
      <w:r>
        <w:rPr>
          <w:rFonts w:hint="eastAsia" w:ascii="Times New Roman" w:hAnsi="Times New Roman" w:cs="Times New Roman"/>
          <w:sz w:val="32"/>
        </w:rPr>
        <w:t>处置</w:t>
      </w:r>
      <w:r>
        <w:rPr>
          <w:rFonts w:ascii="Times New Roman" w:hAnsi="Times New Roman" w:cs="Times New Roman"/>
          <w:sz w:val="32"/>
        </w:rPr>
        <w:t>工作。</w:t>
      </w:r>
    </w:p>
    <w:p w14:paraId="46111AC7">
      <w:pPr>
        <w:ind w:firstLine="634"/>
        <w:rPr>
          <w:rFonts w:ascii="Times New Roman" w:hAnsi="Times New Roman" w:cs="Times New Roman"/>
          <w:sz w:val="32"/>
        </w:rPr>
      </w:pPr>
      <w:r>
        <w:rPr>
          <w:rFonts w:hint="eastAsia" w:ascii="Times New Roman" w:hAnsi="Times New Roman" w:cs="Times New Roman"/>
          <w:b/>
          <w:bCs/>
          <w:sz w:val="32"/>
        </w:rPr>
        <w:t>县公安局：</w:t>
      </w:r>
      <w:r>
        <w:rPr>
          <w:rFonts w:ascii="Times New Roman" w:hAnsi="Times New Roman" w:cs="Times New Roman"/>
          <w:sz w:val="32"/>
        </w:rPr>
        <w:t>负责做好特种设备事故的应急救援准备、现场的应急治安保障工作。</w:t>
      </w:r>
    </w:p>
    <w:p w14:paraId="1AF92459">
      <w:pPr>
        <w:ind w:firstLine="634"/>
        <w:rPr>
          <w:rFonts w:ascii="Times New Roman" w:hAnsi="Times New Roman" w:cs="Times New Roman"/>
          <w:sz w:val="32"/>
        </w:rPr>
      </w:pPr>
      <w:r>
        <w:rPr>
          <w:rFonts w:hint="eastAsia" w:ascii="Times New Roman" w:hAnsi="Times New Roman" w:cs="Times New Roman"/>
          <w:b/>
          <w:bCs/>
          <w:sz w:val="32"/>
        </w:rPr>
        <w:t>县</w:t>
      </w:r>
      <w:r>
        <w:rPr>
          <w:rFonts w:ascii="Times New Roman" w:hAnsi="Times New Roman" w:cs="Times New Roman"/>
          <w:b/>
          <w:bCs/>
          <w:sz w:val="32"/>
        </w:rPr>
        <w:t>财政局：</w:t>
      </w:r>
      <w:r>
        <w:rPr>
          <w:rFonts w:ascii="Times New Roman" w:hAnsi="Times New Roman" w:cs="Times New Roman"/>
          <w:sz w:val="32"/>
        </w:rPr>
        <w:t>负责保障特种设备事故应急救援、调查处理</w:t>
      </w:r>
      <w:r>
        <w:rPr>
          <w:rFonts w:hint="eastAsia" w:ascii="Times New Roman" w:hAnsi="Times New Roman" w:cs="Times New Roman"/>
          <w:sz w:val="32"/>
        </w:rPr>
        <w:t>县</w:t>
      </w:r>
      <w:r>
        <w:rPr>
          <w:rFonts w:ascii="Times New Roman" w:hAnsi="Times New Roman" w:cs="Times New Roman"/>
          <w:sz w:val="32"/>
        </w:rPr>
        <w:t>级负担的工作经费。</w:t>
      </w:r>
    </w:p>
    <w:p w14:paraId="649455F6">
      <w:pPr>
        <w:ind w:firstLine="634"/>
        <w:rPr>
          <w:rFonts w:ascii="Times New Roman" w:hAnsi="Times New Roman" w:cs="Times New Roman"/>
          <w:sz w:val="32"/>
        </w:rPr>
      </w:pPr>
      <w:r>
        <w:rPr>
          <w:rFonts w:hint="eastAsia" w:ascii="Times New Roman" w:hAnsi="Times New Roman" w:cs="Times New Roman"/>
          <w:b/>
          <w:bCs/>
          <w:sz w:val="32"/>
        </w:rPr>
        <w:t>双鸭山市集贤</w:t>
      </w:r>
      <w:r>
        <w:rPr>
          <w:rFonts w:ascii="Times New Roman" w:hAnsi="Times New Roman" w:cs="Times New Roman"/>
          <w:b/>
          <w:bCs/>
          <w:sz w:val="32"/>
        </w:rPr>
        <w:t>生态环境局：</w:t>
      </w:r>
      <w:r>
        <w:rPr>
          <w:rFonts w:ascii="Times New Roman" w:hAnsi="Times New Roman" w:cs="Times New Roman"/>
          <w:sz w:val="32"/>
        </w:rPr>
        <w:t>负责协调特种设备事故环境监测工作，指导现场危险化学品的控制和处理，并提供技术支持。</w:t>
      </w:r>
    </w:p>
    <w:p w14:paraId="1C5BA7BB">
      <w:pPr>
        <w:ind w:firstLine="634"/>
        <w:rPr>
          <w:rFonts w:ascii="Times New Roman" w:hAnsi="Times New Roman" w:cs="Times New Roman"/>
          <w:sz w:val="32"/>
        </w:rPr>
      </w:pPr>
      <w:r>
        <w:rPr>
          <w:rFonts w:ascii="Times New Roman" w:hAnsi="Times New Roman" w:cs="Times New Roman"/>
          <w:b/>
          <w:bCs/>
          <w:sz w:val="32"/>
        </w:rPr>
        <w:t>县</w:t>
      </w:r>
      <w:r>
        <w:rPr>
          <w:rFonts w:hint="eastAsia" w:ascii="Times New Roman" w:hAnsi="Times New Roman" w:cs="Times New Roman"/>
          <w:b/>
          <w:bCs/>
          <w:sz w:val="32"/>
        </w:rPr>
        <w:t>交通运输</w:t>
      </w:r>
      <w:r>
        <w:rPr>
          <w:rFonts w:ascii="Times New Roman" w:hAnsi="Times New Roman" w:cs="Times New Roman"/>
          <w:b/>
          <w:bCs/>
          <w:sz w:val="32"/>
        </w:rPr>
        <w:t>局：</w:t>
      </w:r>
      <w:r>
        <w:rPr>
          <w:rFonts w:ascii="Times New Roman" w:hAnsi="Times New Roman" w:cs="Times New Roman"/>
          <w:sz w:val="32"/>
        </w:rPr>
        <w:t>负责参与协调交通系统特种设备（汽车罐车、罐式集装箱、车用气瓶等）事故应急和善后处置等工作</w:t>
      </w:r>
      <w:r>
        <w:rPr>
          <w:rFonts w:hint="eastAsia" w:ascii="Times New Roman" w:hAnsi="Times New Roman" w:cs="Times New Roman"/>
          <w:sz w:val="32"/>
        </w:rPr>
        <w:t>，</w:t>
      </w:r>
      <w:r>
        <w:rPr>
          <w:rFonts w:ascii="Times New Roman" w:hAnsi="Times New Roman" w:cs="Times New Roman"/>
          <w:sz w:val="32"/>
        </w:rPr>
        <w:t>以及</w:t>
      </w:r>
      <w:r>
        <w:rPr>
          <w:rFonts w:hint="eastAsia" w:ascii="Times New Roman" w:hAnsi="Times New Roman" w:cs="Times New Roman"/>
          <w:sz w:val="32"/>
        </w:rPr>
        <w:t>应急处置期间</w:t>
      </w:r>
      <w:r>
        <w:rPr>
          <w:rFonts w:ascii="Times New Roman" w:hAnsi="Times New Roman" w:cs="Times New Roman"/>
          <w:sz w:val="32"/>
        </w:rPr>
        <w:t>交通</w:t>
      </w:r>
      <w:r>
        <w:rPr>
          <w:rFonts w:hint="eastAsia" w:ascii="Times New Roman" w:hAnsi="Times New Roman" w:cs="Times New Roman"/>
          <w:sz w:val="32"/>
        </w:rPr>
        <w:t>运输保障</w:t>
      </w:r>
      <w:r>
        <w:rPr>
          <w:rFonts w:ascii="Times New Roman" w:hAnsi="Times New Roman" w:cs="Times New Roman"/>
          <w:sz w:val="32"/>
        </w:rPr>
        <w:t>等工作。</w:t>
      </w:r>
    </w:p>
    <w:p w14:paraId="297BC1DD">
      <w:pPr>
        <w:ind w:firstLine="634"/>
        <w:rPr>
          <w:rFonts w:ascii="Times New Roman" w:hAnsi="Times New Roman" w:cs="Times New Roman"/>
          <w:sz w:val="32"/>
        </w:rPr>
      </w:pPr>
      <w:r>
        <w:rPr>
          <w:rFonts w:ascii="Times New Roman" w:hAnsi="Times New Roman" w:cs="Times New Roman"/>
          <w:b/>
          <w:bCs/>
          <w:sz w:val="32"/>
        </w:rPr>
        <w:t>县住房和城乡建设局：</w:t>
      </w:r>
      <w:r>
        <w:rPr>
          <w:rFonts w:ascii="Times New Roman" w:hAnsi="Times New Roman" w:cs="Times New Roman"/>
          <w:sz w:val="32"/>
        </w:rPr>
        <w:t>负责参与协调房屋建筑工地和市政工程工地起重机械事故</w:t>
      </w:r>
      <w:r>
        <w:rPr>
          <w:rFonts w:hint="eastAsia" w:ascii="Times New Roman" w:hAnsi="Times New Roman" w:cs="Times New Roman"/>
          <w:sz w:val="32"/>
        </w:rPr>
        <w:t>、厂内机动车辆等特种设备事故</w:t>
      </w:r>
      <w:r>
        <w:rPr>
          <w:rFonts w:ascii="Times New Roman" w:hAnsi="Times New Roman" w:cs="Times New Roman"/>
          <w:sz w:val="32"/>
        </w:rPr>
        <w:t>的应急救援和善后处置等工作。</w:t>
      </w:r>
    </w:p>
    <w:p w14:paraId="6576301C">
      <w:pPr>
        <w:ind w:firstLine="634"/>
        <w:rPr>
          <w:rFonts w:ascii="Times New Roman" w:hAnsi="Times New Roman" w:cs="Times New Roman"/>
          <w:sz w:val="32"/>
        </w:rPr>
      </w:pPr>
      <w:r>
        <w:rPr>
          <w:rFonts w:ascii="Times New Roman" w:hAnsi="Times New Roman" w:cs="Times New Roman"/>
          <w:b/>
          <w:bCs/>
          <w:sz w:val="32"/>
        </w:rPr>
        <w:t>县文体广电和旅游局：</w:t>
      </w:r>
      <w:r>
        <w:rPr>
          <w:rFonts w:ascii="Times New Roman" w:hAnsi="Times New Roman" w:cs="Times New Roman"/>
          <w:sz w:val="32"/>
        </w:rPr>
        <w:t>负责配合相关部门协调A级旅游景区、景点特种设备事故应急救援工作。</w:t>
      </w:r>
    </w:p>
    <w:p w14:paraId="6475F365">
      <w:pPr>
        <w:ind w:firstLine="634"/>
        <w:rPr>
          <w:rFonts w:ascii="Times New Roman" w:hAnsi="Times New Roman" w:cs="Times New Roman"/>
          <w:sz w:val="32"/>
        </w:rPr>
      </w:pPr>
      <w:r>
        <w:rPr>
          <w:rFonts w:ascii="Times New Roman" w:hAnsi="Times New Roman" w:cs="Times New Roman"/>
          <w:b/>
          <w:bCs/>
          <w:sz w:val="32"/>
        </w:rPr>
        <w:t>县卫生健康局：</w:t>
      </w:r>
      <w:r>
        <w:rPr>
          <w:rFonts w:ascii="Times New Roman" w:hAnsi="Times New Roman" w:cs="Times New Roman"/>
          <w:sz w:val="32"/>
        </w:rPr>
        <w:t>负责</w:t>
      </w:r>
      <w:r>
        <w:rPr>
          <w:rFonts w:hint="eastAsia" w:ascii="Times New Roman" w:hAnsi="Times New Roman" w:cs="Times New Roman"/>
          <w:sz w:val="32"/>
        </w:rPr>
        <w:t>指挥协调医疗机构参与</w:t>
      </w:r>
      <w:r>
        <w:rPr>
          <w:rFonts w:ascii="Times New Roman" w:hAnsi="Times New Roman" w:cs="Times New Roman"/>
          <w:sz w:val="32"/>
        </w:rPr>
        <w:t>特种设备事故应急</w:t>
      </w:r>
      <w:r>
        <w:rPr>
          <w:rFonts w:hint="eastAsia" w:ascii="Times New Roman" w:hAnsi="Times New Roman" w:cs="Times New Roman"/>
          <w:sz w:val="32"/>
        </w:rPr>
        <w:t>处置中</w:t>
      </w:r>
      <w:r>
        <w:rPr>
          <w:rFonts w:ascii="Times New Roman" w:hAnsi="Times New Roman" w:cs="Times New Roman"/>
          <w:sz w:val="32"/>
        </w:rPr>
        <w:t>的紧急医学救援、伤员医疗救治工作。</w:t>
      </w:r>
    </w:p>
    <w:p w14:paraId="6BC84BBB">
      <w:pPr>
        <w:ind w:firstLine="634"/>
        <w:rPr>
          <w:rFonts w:ascii="Times New Roman" w:hAnsi="Times New Roman" w:cs="Times New Roman"/>
          <w:sz w:val="32"/>
        </w:rPr>
      </w:pPr>
      <w:r>
        <w:rPr>
          <w:rFonts w:ascii="Times New Roman" w:hAnsi="Times New Roman" w:cs="Times New Roman"/>
          <w:b/>
          <w:bCs/>
          <w:sz w:val="32"/>
        </w:rPr>
        <w:t>县消防救援大队：</w:t>
      </w:r>
      <w:r>
        <w:rPr>
          <w:rFonts w:ascii="Times New Roman" w:hAnsi="Times New Roman" w:cs="Times New Roman"/>
          <w:sz w:val="32"/>
        </w:rPr>
        <w:t>负责</w:t>
      </w:r>
      <w:r>
        <w:rPr>
          <w:rFonts w:hint="eastAsia" w:ascii="Times New Roman" w:hAnsi="Times New Roman" w:cs="Times New Roman"/>
          <w:sz w:val="32"/>
        </w:rPr>
        <w:t>参与事故引发</w:t>
      </w:r>
      <w:r>
        <w:rPr>
          <w:rFonts w:ascii="Times New Roman" w:hAnsi="Times New Roman" w:cs="Times New Roman"/>
          <w:sz w:val="32"/>
        </w:rPr>
        <w:t>火灾</w:t>
      </w:r>
      <w:r>
        <w:rPr>
          <w:rFonts w:hint="eastAsia" w:ascii="Times New Roman" w:hAnsi="Times New Roman" w:cs="Times New Roman"/>
          <w:sz w:val="32"/>
        </w:rPr>
        <w:t>的</w:t>
      </w:r>
      <w:r>
        <w:rPr>
          <w:rFonts w:ascii="Times New Roman" w:hAnsi="Times New Roman" w:cs="Times New Roman"/>
          <w:sz w:val="32"/>
        </w:rPr>
        <w:t>扑救工作，配合其他单位或部门做好应急救援工作。</w:t>
      </w:r>
    </w:p>
    <w:p w14:paraId="42949550">
      <w:pPr>
        <w:ind w:firstLine="634"/>
        <w:rPr>
          <w:rFonts w:ascii="Times New Roman" w:hAnsi="Times New Roman" w:cs="Times New Roman"/>
          <w:sz w:val="32"/>
        </w:rPr>
      </w:pPr>
      <w:r>
        <w:rPr>
          <w:rFonts w:ascii="Times New Roman" w:hAnsi="Times New Roman" w:cs="Times New Roman"/>
          <w:b/>
          <w:bCs/>
          <w:sz w:val="32"/>
        </w:rPr>
        <w:t>乡镇人民政府：</w:t>
      </w:r>
      <w:r>
        <w:rPr>
          <w:rFonts w:ascii="Times New Roman" w:hAnsi="Times New Roman" w:cs="Times New Roman"/>
          <w:sz w:val="32"/>
        </w:rPr>
        <w:t>负责组织做好</w:t>
      </w:r>
      <w:r>
        <w:rPr>
          <w:rFonts w:hint="eastAsia" w:ascii="Times New Roman" w:hAnsi="Times New Roman" w:cs="Times New Roman"/>
          <w:sz w:val="32"/>
        </w:rPr>
        <w:t>特种设备事故的</w:t>
      </w:r>
      <w:r>
        <w:rPr>
          <w:rFonts w:ascii="Times New Roman" w:hAnsi="Times New Roman" w:cs="Times New Roman"/>
          <w:sz w:val="32"/>
        </w:rPr>
        <w:t>先期处置和后勤保障等工作，并在县应急指挥部统一指挥下完成其他相关工作任务。</w:t>
      </w:r>
    </w:p>
    <w:p w14:paraId="3047471C">
      <w:pPr>
        <w:ind w:firstLine="632"/>
        <w:rPr>
          <w:rFonts w:ascii="Times New Roman" w:hAnsi="Times New Roman" w:cs="Times New Roman"/>
        </w:rPr>
      </w:pPr>
      <w:r>
        <w:rPr>
          <w:rFonts w:ascii="Times New Roman" w:hAnsi="Times New Roman" w:cs="Times New Roman"/>
          <w:sz w:val="32"/>
        </w:rPr>
        <w:t>其他未列入成员的单位应按照各自职能职责，做好应急处置和保障工作，根据县应急指挥部指令参与应急处置相关工作。</w:t>
      </w:r>
    </w:p>
    <w:p w14:paraId="1FFF8168">
      <w:pPr>
        <w:pStyle w:val="3"/>
        <w:ind w:firstLine="0" w:firstLineChars="0"/>
        <w:rPr>
          <w:rFonts w:ascii="Times New Roman" w:hAnsi="Times New Roman" w:cs="Times New Roman"/>
          <w:sz w:val="32"/>
        </w:rPr>
      </w:pPr>
      <w:bookmarkStart w:id="888" w:name="_Toc26285"/>
      <w:r>
        <w:rPr>
          <w:rFonts w:ascii="Times New Roman" w:hAnsi="Times New Roman" w:cs="Times New Roman"/>
          <w:sz w:val="32"/>
        </w:rPr>
        <w:t>现场指挥机构及职责</w:t>
      </w:r>
      <w:bookmarkEnd w:id="888"/>
    </w:p>
    <w:p w14:paraId="6A67F17E">
      <w:pPr>
        <w:ind w:firstLine="632"/>
        <w:rPr>
          <w:rFonts w:ascii="Times New Roman" w:hAnsi="Times New Roman" w:cs="Times New Roman"/>
          <w:sz w:val="32"/>
        </w:rPr>
      </w:pPr>
      <w:r>
        <w:rPr>
          <w:rFonts w:ascii="Times New Roman" w:hAnsi="Times New Roman" w:cs="Times New Roman"/>
          <w:sz w:val="32"/>
        </w:rPr>
        <w:t>事故发生后，县应急指挥部根据</w:t>
      </w:r>
      <w:r>
        <w:rPr>
          <w:rFonts w:hint="eastAsia" w:ascii="Times New Roman" w:hAnsi="Times New Roman" w:cs="Times New Roman"/>
          <w:sz w:val="32"/>
        </w:rPr>
        <w:t>特种设备事故情况</w:t>
      </w:r>
      <w:r>
        <w:rPr>
          <w:rFonts w:ascii="Times New Roman" w:hAnsi="Times New Roman" w:cs="Times New Roman"/>
          <w:sz w:val="32"/>
        </w:rPr>
        <w:t>，成立现场指挥部，现场总指挥由县应急指挥部总指挥或其指定负责人担任，成员由县应急指挥部有关成员单位和事发地乡镇人民政府组成。</w:t>
      </w:r>
    </w:p>
    <w:p w14:paraId="3F3A5264">
      <w:pPr>
        <w:ind w:firstLine="632"/>
        <w:rPr>
          <w:rFonts w:ascii="Times New Roman" w:hAnsi="Times New Roman" w:cs="Times New Roman"/>
          <w:sz w:val="32"/>
        </w:rPr>
      </w:pPr>
      <w:r>
        <w:rPr>
          <w:rFonts w:ascii="Times New Roman" w:hAnsi="Times New Roman" w:cs="Times New Roman"/>
          <w:sz w:val="32"/>
        </w:rPr>
        <w:t>主要负责组织、指挥、协调各方面应急力量实施应急处置。根据事件等级和处置情况，及时向县应急指挥部报告有关事项。</w:t>
      </w:r>
    </w:p>
    <w:p w14:paraId="66E0BF22">
      <w:pPr>
        <w:ind w:firstLine="632"/>
        <w:rPr>
          <w:rFonts w:ascii="Times New Roman" w:hAnsi="Times New Roman" w:cs="Times New Roman"/>
          <w:sz w:val="32"/>
        </w:rPr>
      </w:pPr>
      <w:r>
        <w:rPr>
          <w:rFonts w:ascii="Times New Roman" w:hAnsi="Times New Roman" w:cs="Times New Roman"/>
          <w:sz w:val="32"/>
        </w:rPr>
        <w:t>现场指挥部根据事故现场</w:t>
      </w:r>
      <w:r>
        <w:rPr>
          <w:rFonts w:hint="eastAsia" w:ascii="Times New Roman" w:hAnsi="Times New Roman" w:cs="Times New Roman"/>
          <w:sz w:val="32"/>
        </w:rPr>
        <w:t>需要</w:t>
      </w:r>
      <w:r>
        <w:rPr>
          <w:rFonts w:ascii="Times New Roman" w:hAnsi="Times New Roman" w:cs="Times New Roman"/>
          <w:sz w:val="32"/>
        </w:rPr>
        <w:t>，成立</w:t>
      </w:r>
      <w:r>
        <w:rPr>
          <w:rFonts w:hint="eastAsia" w:ascii="Times New Roman" w:hAnsi="Times New Roman" w:cs="Times New Roman"/>
          <w:sz w:val="32"/>
        </w:rPr>
        <w:t>若干</w:t>
      </w:r>
      <w:r>
        <w:rPr>
          <w:rFonts w:ascii="Times New Roman" w:hAnsi="Times New Roman" w:cs="Times New Roman"/>
          <w:sz w:val="32"/>
        </w:rPr>
        <w:t>现场工作组，负责事故现场应急处置工作的具体实施。</w:t>
      </w:r>
    </w:p>
    <w:p w14:paraId="417260FF">
      <w:pPr>
        <w:ind w:firstLine="632"/>
        <w:rPr>
          <w:rFonts w:ascii="Times New Roman" w:hAnsi="Times New Roman" w:cs="Times New Roman"/>
          <w:sz w:val="32"/>
        </w:rPr>
      </w:pPr>
      <w:r>
        <w:rPr>
          <w:rFonts w:ascii="Times New Roman" w:hAnsi="Times New Roman" w:cs="Times New Roman"/>
          <w:sz w:val="32"/>
        </w:rPr>
        <w:t>（1）综合协调组：由县市场</w:t>
      </w:r>
      <w:r>
        <w:rPr>
          <w:rFonts w:hint="eastAsia" w:ascii="Times New Roman" w:hAnsi="Times New Roman" w:cs="Times New Roman"/>
          <w:sz w:val="32"/>
        </w:rPr>
        <w:t>监督管理</w:t>
      </w:r>
      <w:r>
        <w:rPr>
          <w:rFonts w:ascii="Times New Roman" w:hAnsi="Times New Roman" w:cs="Times New Roman"/>
          <w:sz w:val="32"/>
        </w:rPr>
        <w:t>局牵头，县应急</w:t>
      </w:r>
      <w:r>
        <w:rPr>
          <w:rFonts w:hint="eastAsia" w:ascii="Times New Roman" w:hAnsi="Times New Roman" w:cs="Times New Roman"/>
          <w:sz w:val="32"/>
        </w:rPr>
        <w:t>管理</w:t>
      </w:r>
      <w:r>
        <w:rPr>
          <w:rFonts w:ascii="Times New Roman" w:hAnsi="Times New Roman" w:cs="Times New Roman"/>
          <w:sz w:val="32"/>
        </w:rPr>
        <w:t>局、县公安局、县财政局、县</w:t>
      </w:r>
      <w:r>
        <w:rPr>
          <w:rFonts w:hint="eastAsia" w:ascii="Times New Roman" w:hAnsi="Times New Roman" w:cs="Times New Roman"/>
          <w:sz w:val="32"/>
        </w:rPr>
        <w:t>住房和城乡建设</w:t>
      </w:r>
      <w:r>
        <w:rPr>
          <w:rFonts w:ascii="Times New Roman" w:hAnsi="Times New Roman" w:cs="Times New Roman"/>
          <w:sz w:val="32"/>
        </w:rPr>
        <w:t>局、县交通</w:t>
      </w:r>
      <w:r>
        <w:rPr>
          <w:rFonts w:hint="eastAsia" w:ascii="Times New Roman" w:hAnsi="Times New Roman" w:cs="Times New Roman"/>
          <w:sz w:val="32"/>
        </w:rPr>
        <w:t>运输</w:t>
      </w:r>
      <w:r>
        <w:rPr>
          <w:rFonts w:ascii="Times New Roman" w:hAnsi="Times New Roman" w:cs="Times New Roman"/>
          <w:sz w:val="32"/>
        </w:rPr>
        <w:t>局等成员单位组成，负责组织协调调配现场应急救援的人员、交通、电力、通讯和救灾物资装备，提供应急处置综合保障，及时向县政府和上级有关部门报送相关信息和应急处置进展情况。</w:t>
      </w:r>
    </w:p>
    <w:p w14:paraId="06C25A36">
      <w:pPr>
        <w:ind w:firstLine="632"/>
        <w:rPr>
          <w:rFonts w:ascii="Times New Roman" w:hAnsi="Times New Roman" w:cs="Times New Roman"/>
          <w:sz w:val="32"/>
        </w:rPr>
      </w:pPr>
      <w:r>
        <w:rPr>
          <w:rFonts w:ascii="Times New Roman" w:hAnsi="Times New Roman" w:cs="Times New Roman"/>
          <w:sz w:val="32"/>
        </w:rPr>
        <w:t>（2）抢险救援组：由县市场</w:t>
      </w:r>
      <w:r>
        <w:rPr>
          <w:rFonts w:hint="eastAsia" w:ascii="Times New Roman" w:hAnsi="Times New Roman" w:cs="Times New Roman"/>
          <w:sz w:val="32"/>
        </w:rPr>
        <w:t>监督管理</w:t>
      </w:r>
      <w:r>
        <w:rPr>
          <w:rFonts w:ascii="Times New Roman" w:hAnsi="Times New Roman" w:cs="Times New Roman"/>
          <w:sz w:val="32"/>
        </w:rPr>
        <w:t>局、县应急</w:t>
      </w:r>
      <w:r>
        <w:rPr>
          <w:rFonts w:hint="eastAsia" w:ascii="Times New Roman" w:hAnsi="Times New Roman" w:cs="Times New Roman"/>
          <w:sz w:val="32"/>
        </w:rPr>
        <w:t>管理</w:t>
      </w:r>
      <w:r>
        <w:rPr>
          <w:rFonts w:ascii="Times New Roman" w:hAnsi="Times New Roman" w:cs="Times New Roman"/>
          <w:sz w:val="32"/>
        </w:rPr>
        <w:t>局牵头，县</w:t>
      </w:r>
      <w:r>
        <w:rPr>
          <w:rFonts w:hint="eastAsia" w:ascii="Times New Roman" w:hAnsi="Times New Roman" w:cs="Times New Roman"/>
          <w:sz w:val="32"/>
        </w:rPr>
        <w:t>住房和城乡建设</w:t>
      </w:r>
      <w:r>
        <w:rPr>
          <w:rFonts w:ascii="Times New Roman" w:hAnsi="Times New Roman" w:cs="Times New Roman"/>
          <w:sz w:val="32"/>
        </w:rPr>
        <w:t>局、县交通</w:t>
      </w:r>
      <w:r>
        <w:rPr>
          <w:rFonts w:hint="eastAsia" w:ascii="Times New Roman" w:hAnsi="Times New Roman" w:cs="Times New Roman"/>
          <w:sz w:val="32"/>
        </w:rPr>
        <w:t>运输</w:t>
      </w:r>
      <w:r>
        <w:rPr>
          <w:rFonts w:ascii="Times New Roman" w:hAnsi="Times New Roman" w:cs="Times New Roman"/>
          <w:sz w:val="32"/>
        </w:rPr>
        <w:t>局、县</w:t>
      </w:r>
      <w:r>
        <w:rPr>
          <w:rFonts w:hint="eastAsia" w:ascii="Times New Roman" w:hAnsi="Times New Roman" w:cs="Times New Roman"/>
          <w:sz w:val="32"/>
        </w:rPr>
        <w:t>消防救援大队</w:t>
      </w:r>
      <w:r>
        <w:rPr>
          <w:rFonts w:ascii="Times New Roman" w:hAnsi="Times New Roman" w:cs="Times New Roman"/>
          <w:sz w:val="32"/>
        </w:rPr>
        <w:t>等成员单位和事故发生地人民政府、事故应急救援专家、事故发生单位的专业技术人员组成，负责查明事故性质、影响范围及可能造成的后果，拟定抢险救援方案，组织开展现场应急救援工作。</w:t>
      </w:r>
    </w:p>
    <w:p w14:paraId="48D7464D">
      <w:pPr>
        <w:ind w:firstLine="632"/>
        <w:rPr>
          <w:rFonts w:ascii="Times New Roman" w:hAnsi="Times New Roman" w:cs="Times New Roman"/>
          <w:sz w:val="32"/>
        </w:rPr>
      </w:pPr>
      <w:r>
        <w:rPr>
          <w:rFonts w:ascii="Times New Roman" w:hAnsi="Times New Roman" w:cs="Times New Roman"/>
          <w:sz w:val="32"/>
        </w:rPr>
        <w:t>（3）警戒疏散组：由县公安局牵头，</w:t>
      </w:r>
      <w:r>
        <w:rPr>
          <w:rFonts w:hint="eastAsia" w:ascii="Times New Roman" w:hAnsi="Times New Roman" w:cs="Times New Roman"/>
          <w:sz w:val="32"/>
        </w:rPr>
        <w:t>事发地乡镇派出所</w:t>
      </w:r>
      <w:r>
        <w:rPr>
          <w:rFonts w:ascii="Times New Roman" w:hAnsi="Times New Roman" w:cs="Times New Roman"/>
          <w:sz w:val="32"/>
        </w:rPr>
        <w:t>及</w:t>
      </w:r>
      <w:r>
        <w:rPr>
          <w:rFonts w:hint="eastAsia" w:ascii="Times New Roman" w:hAnsi="Times New Roman" w:cs="Times New Roman"/>
          <w:sz w:val="32"/>
        </w:rPr>
        <w:t>事发</w:t>
      </w:r>
      <w:r>
        <w:rPr>
          <w:rFonts w:ascii="Times New Roman" w:hAnsi="Times New Roman" w:cs="Times New Roman"/>
          <w:sz w:val="32"/>
        </w:rPr>
        <w:t>单位安全保卫机构组成，负责现场警戒保卫，维护治安和交通秩序，疏散人员和转移物资。</w:t>
      </w:r>
    </w:p>
    <w:p w14:paraId="09DDA6A9">
      <w:pPr>
        <w:ind w:firstLine="632"/>
        <w:rPr>
          <w:rFonts w:ascii="Times New Roman" w:hAnsi="Times New Roman" w:cs="Times New Roman"/>
          <w:sz w:val="32"/>
        </w:rPr>
      </w:pPr>
      <w:r>
        <w:rPr>
          <w:rFonts w:ascii="Times New Roman" w:hAnsi="Times New Roman" w:cs="Times New Roman"/>
          <w:sz w:val="32"/>
        </w:rPr>
        <w:t>（4）医疗救护组：由县</w:t>
      </w:r>
      <w:r>
        <w:rPr>
          <w:rFonts w:hint="eastAsia" w:ascii="Times New Roman" w:hAnsi="Times New Roman" w:cs="Times New Roman"/>
          <w:sz w:val="32"/>
        </w:rPr>
        <w:t>卫生健康</w:t>
      </w:r>
      <w:r>
        <w:rPr>
          <w:rFonts w:ascii="Times New Roman" w:hAnsi="Times New Roman" w:cs="Times New Roman"/>
          <w:sz w:val="32"/>
        </w:rPr>
        <w:t>局牵头，负责组织紧急医疗救护队伍，积极救治事故受伤人员。</w:t>
      </w:r>
    </w:p>
    <w:p w14:paraId="2CDC715B">
      <w:pPr>
        <w:ind w:firstLine="632"/>
        <w:rPr>
          <w:rFonts w:ascii="Times New Roman" w:hAnsi="Times New Roman" w:cs="Times New Roman"/>
          <w:sz w:val="32"/>
        </w:rPr>
      </w:pPr>
      <w:r>
        <w:rPr>
          <w:rFonts w:ascii="Times New Roman" w:hAnsi="Times New Roman" w:cs="Times New Roman"/>
          <w:sz w:val="32"/>
        </w:rPr>
        <w:t>（5）应急监测组：由</w:t>
      </w:r>
      <w:r>
        <w:rPr>
          <w:rFonts w:hint="eastAsia" w:ascii="Times New Roman" w:hAnsi="Times New Roman" w:cs="Times New Roman"/>
          <w:sz w:val="32"/>
        </w:rPr>
        <w:t>双鸭山市集贤生态环境局</w:t>
      </w:r>
      <w:r>
        <w:rPr>
          <w:rFonts w:ascii="Times New Roman" w:hAnsi="Times New Roman" w:cs="Times New Roman"/>
          <w:sz w:val="32"/>
        </w:rPr>
        <w:t>牵头，负责对易发生环境污染、大气污染、水体污染等次生灾害的区域进行监测，对相关设施采取紧急处置措施，向现场指挥部提出疏散人群范围的建议，防止事故危害扩大。</w:t>
      </w:r>
    </w:p>
    <w:p w14:paraId="58445449">
      <w:pPr>
        <w:ind w:firstLine="632"/>
        <w:rPr>
          <w:rFonts w:ascii="Times New Roman" w:hAnsi="Times New Roman" w:cs="Times New Roman"/>
          <w:sz w:val="32"/>
        </w:rPr>
      </w:pPr>
      <w:r>
        <w:rPr>
          <w:rFonts w:ascii="Times New Roman" w:hAnsi="Times New Roman" w:cs="Times New Roman"/>
          <w:sz w:val="32"/>
        </w:rPr>
        <w:t>（6）新闻报道组：由县委宣传部牵头，负责按照县应急指挥部办公室提供的权威信息，协调新闻媒体做好事故应急处置工作中的新闻报道，按规定向公众发布事故有关信息。</w:t>
      </w:r>
    </w:p>
    <w:p w14:paraId="59C45328">
      <w:pPr>
        <w:ind w:firstLine="632"/>
        <w:rPr>
          <w:rFonts w:ascii="Times New Roman" w:hAnsi="Times New Roman" w:cs="Times New Roman"/>
          <w:sz w:val="32"/>
        </w:rPr>
      </w:pPr>
      <w:r>
        <w:rPr>
          <w:rFonts w:ascii="Times New Roman" w:hAnsi="Times New Roman" w:cs="Times New Roman"/>
          <w:sz w:val="32"/>
        </w:rPr>
        <w:t>（</w:t>
      </w:r>
      <w:r>
        <w:rPr>
          <w:rFonts w:hint="eastAsia" w:ascii="Times New Roman" w:hAnsi="Times New Roman" w:cs="Times New Roman"/>
          <w:sz w:val="32"/>
        </w:rPr>
        <w:t>7</w:t>
      </w:r>
      <w:r>
        <w:rPr>
          <w:rFonts w:ascii="Times New Roman" w:hAnsi="Times New Roman" w:cs="Times New Roman"/>
          <w:sz w:val="32"/>
        </w:rPr>
        <w:t>）后勤保障组：负责紧急状况下人员的疏散安置工作；保障应急设备和所需物资的供应配发，现场抢险物资和运输用车的供给；组织实施社会救济，动员组织企事业单位、社会团体、社会志愿人员参与应急处置工作。</w:t>
      </w:r>
    </w:p>
    <w:p w14:paraId="435E524C">
      <w:pPr>
        <w:pStyle w:val="3"/>
        <w:ind w:firstLine="0" w:firstLineChars="0"/>
        <w:rPr>
          <w:rFonts w:ascii="Times New Roman" w:hAnsi="Times New Roman" w:cs="Times New Roman"/>
          <w:sz w:val="32"/>
        </w:rPr>
      </w:pPr>
      <w:r>
        <w:rPr>
          <w:rFonts w:hint="eastAsia" w:ascii="Times New Roman" w:hAnsi="Times New Roman" w:cs="Times New Roman"/>
          <w:sz w:val="32"/>
        </w:rPr>
        <w:t>应急专家组及职责</w:t>
      </w:r>
    </w:p>
    <w:p w14:paraId="30C3C9ED">
      <w:pPr>
        <w:ind w:firstLine="632"/>
        <w:rPr>
          <w:rFonts w:ascii="Times New Roman" w:hAnsi="Times New Roman" w:cs="Times New Roman"/>
          <w:sz w:val="32"/>
        </w:rPr>
      </w:pPr>
      <w:r>
        <w:rPr>
          <w:rFonts w:ascii="Times New Roman" w:hAnsi="Times New Roman" w:cs="Times New Roman"/>
          <w:sz w:val="32"/>
        </w:rPr>
        <w:t>县应急指挥部办公室负责组织建立特种设备事故应急专家组，由特种设备、应急行业相关专业技术人员组成</w:t>
      </w:r>
      <w:r>
        <w:rPr>
          <w:rFonts w:hint="eastAsia" w:ascii="Times New Roman" w:hAnsi="Times New Roman" w:cs="Times New Roman"/>
          <w:sz w:val="32"/>
        </w:rPr>
        <w:t>。</w:t>
      </w:r>
    </w:p>
    <w:p w14:paraId="47FB5472">
      <w:pPr>
        <w:ind w:firstLine="632"/>
        <w:rPr>
          <w:rFonts w:ascii="Times New Roman" w:hAnsi="Times New Roman" w:cs="Times New Roman"/>
          <w:sz w:val="32"/>
        </w:rPr>
      </w:pPr>
      <w:r>
        <w:rPr>
          <w:rFonts w:ascii="Times New Roman" w:hAnsi="Times New Roman" w:cs="Times New Roman"/>
          <w:sz w:val="32"/>
        </w:rPr>
        <w:t>主要负责在县应急指挥部及指挥部办公室领导下研究判断事故危害发展的趋势、程度，分析研判事故原因，提出应急救援措施和建议，为县应急指挥部的决策提供依据和方案，必要时，应急救援专家组直接参与应急处置工作。</w:t>
      </w:r>
    </w:p>
    <w:p w14:paraId="2C0A7ED1">
      <w:pPr>
        <w:pStyle w:val="3"/>
        <w:ind w:firstLine="0" w:firstLineChars="0"/>
        <w:rPr>
          <w:rFonts w:ascii="Times New Roman" w:hAnsi="Times New Roman" w:cs="Times New Roman"/>
          <w:sz w:val="32"/>
        </w:rPr>
      </w:pPr>
      <w:bookmarkStart w:id="889" w:name="_Toc22812"/>
      <w:r>
        <w:rPr>
          <w:rFonts w:ascii="Times New Roman" w:hAnsi="Times New Roman" w:cs="Times New Roman"/>
          <w:sz w:val="32"/>
        </w:rPr>
        <w:t>生产经营单位应急组织及职责</w:t>
      </w:r>
      <w:bookmarkEnd w:id="889"/>
    </w:p>
    <w:p w14:paraId="6314CE7D">
      <w:pPr>
        <w:ind w:firstLine="632"/>
        <w:rPr>
          <w:rFonts w:ascii="Times New Roman" w:hAnsi="Times New Roman" w:cs="Times New Roman"/>
          <w:sz w:val="32"/>
        </w:rPr>
      </w:pPr>
      <w:r>
        <w:rPr>
          <w:rFonts w:hint="eastAsia" w:ascii="Times New Roman" w:hAnsi="Times New Roman" w:cs="Times New Roman"/>
          <w:sz w:val="32"/>
        </w:rPr>
        <w:t>特种设备生产经营使用</w:t>
      </w:r>
      <w:r>
        <w:rPr>
          <w:rFonts w:ascii="Times New Roman" w:hAnsi="Times New Roman" w:cs="Times New Roman"/>
          <w:sz w:val="32"/>
        </w:rPr>
        <w:t>单位应严格按照《中华人民共和国突发事件应对法》《中华人民共和国</w:t>
      </w:r>
      <w:r>
        <w:rPr>
          <w:rFonts w:hint="eastAsia" w:ascii="Times New Roman" w:hAnsi="Times New Roman" w:cs="Times New Roman"/>
          <w:sz w:val="32"/>
        </w:rPr>
        <w:t>特种设备安全</w:t>
      </w:r>
      <w:r>
        <w:rPr>
          <w:rFonts w:ascii="Times New Roman" w:hAnsi="Times New Roman" w:cs="Times New Roman"/>
          <w:sz w:val="32"/>
        </w:rPr>
        <w:t>法》《特种设备安全监察条例》等法律法规要求履行法定职责和义务，制定本单位</w:t>
      </w:r>
      <w:r>
        <w:rPr>
          <w:rFonts w:hint="eastAsia" w:ascii="Times New Roman" w:hAnsi="Times New Roman" w:cs="Times New Roman"/>
          <w:sz w:val="32"/>
        </w:rPr>
        <w:t>特种设备</w:t>
      </w:r>
      <w:r>
        <w:rPr>
          <w:rFonts w:ascii="Times New Roman" w:hAnsi="Times New Roman" w:cs="Times New Roman"/>
          <w:sz w:val="32"/>
        </w:rPr>
        <w:t>事故应急预案，配备相应的应急救援人员和装备，组织应急救援培训与演练，按规定及时报告事故信息，组织本单位救援力量在第一时间开展应急救援先期处置。</w:t>
      </w:r>
    </w:p>
    <w:p w14:paraId="0F74692A">
      <w:pPr>
        <w:pStyle w:val="2"/>
        <w:numPr>
          <w:ilvl w:val="0"/>
          <w:numId w:val="149"/>
        </w:numPr>
        <w:tabs>
          <w:tab w:val="left" w:pos="0"/>
        </w:tabs>
        <w:ind w:firstLine="0" w:firstLineChars="0"/>
        <w:rPr>
          <w:rFonts w:ascii="Times New Roman" w:hAnsi="Times New Roman" w:cs="Times New Roman"/>
          <w:sz w:val="32"/>
        </w:rPr>
      </w:pPr>
      <w:bookmarkStart w:id="890" w:name="_Toc22498"/>
      <w:r>
        <w:rPr>
          <w:rFonts w:ascii="Times New Roman" w:hAnsi="Times New Roman" w:cs="Times New Roman"/>
          <w:sz w:val="32"/>
        </w:rPr>
        <w:t>预防和预警机制</w:t>
      </w:r>
      <w:bookmarkEnd w:id="890"/>
    </w:p>
    <w:p w14:paraId="61FF51EC">
      <w:pPr>
        <w:pStyle w:val="3"/>
        <w:ind w:firstLine="0" w:firstLineChars="0"/>
        <w:rPr>
          <w:rFonts w:ascii="Times New Roman" w:hAnsi="Times New Roman" w:cs="Times New Roman"/>
          <w:sz w:val="32"/>
        </w:rPr>
      </w:pPr>
      <w:bookmarkStart w:id="891" w:name="_Toc4410"/>
      <w:r>
        <w:rPr>
          <w:rFonts w:ascii="Times New Roman" w:hAnsi="Times New Roman" w:cs="Times New Roman"/>
          <w:sz w:val="32"/>
        </w:rPr>
        <w:t>预防机制</w:t>
      </w:r>
      <w:bookmarkEnd w:id="891"/>
    </w:p>
    <w:p w14:paraId="6654F871">
      <w:pPr>
        <w:ind w:firstLine="632"/>
        <w:rPr>
          <w:rFonts w:ascii="Times New Roman" w:hAnsi="Times New Roman" w:cs="Times New Roman"/>
          <w:sz w:val="32"/>
        </w:rPr>
      </w:pPr>
      <w:r>
        <w:rPr>
          <w:rFonts w:hint="eastAsia" w:ascii="Times New Roman" w:hAnsi="Times New Roman" w:cs="Times New Roman"/>
          <w:sz w:val="32"/>
        </w:rPr>
        <w:t>县市场监督管理局应</w:t>
      </w:r>
      <w:r>
        <w:rPr>
          <w:rFonts w:ascii="Times New Roman" w:hAnsi="Times New Roman" w:cs="Times New Roman"/>
          <w:sz w:val="32"/>
        </w:rPr>
        <w:t>加强对特种设备安全工作的领导，建立协调机制，督促指导</w:t>
      </w:r>
      <w:r>
        <w:rPr>
          <w:rFonts w:hint="eastAsia" w:ascii="Times New Roman" w:hAnsi="Times New Roman" w:cs="Times New Roman"/>
          <w:sz w:val="32"/>
        </w:rPr>
        <w:t>特种设备生产经营使用单位</w:t>
      </w:r>
      <w:r>
        <w:rPr>
          <w:rFonts w:ascii="Times New Roman" w:hAnsi="Times New Roman" w:cs="Times New Roman"/>
          <w:sz w:val="32"/>
        </w:rPr>
        <w:t>履行特种设备安全监督管理职责，协调解决特种设备安全监督管理中存在的问题。各相关行业管理部门按照“三个必须”责任制规定，督促指导本行业领域特种设备生产经营使用单位做好特种设备安全管理和风险隐患排查治理。</w:t>
      </w:r>
    </w:p>
    <w:p w14:paraId="1A55B063">
      <w:pPr>
        <w:ind w:firstLine="632"/>
        <w:rPr>
          <w:rFonts w:ascii="Times New Roman" w:hAnsi="Times New Roman" w:cs="Times New Roman"/>
          <w:sz w:val="32"/>
        </w:rPr>
      </w:pPr>
      <w:r>
        <w:rPr>
          <w:rFonts w:ascii="Times New Roman" w:hAnsi="Times New Roman" w:cs="Times New Roman"/>
          <w:sz w:val="32"/>
        </w:rPr>
        <w:t>依法督促特种设备生产经营使用单位认真开展问题隐患排查治理，依法查处各类特种设备使用管理中存在的违法违规行为，守牢特种设备安全底线。</w:t>
      </w:r>
    </w:p>
    <w:p w14:paraId="02528BE2">
      <w:pPr>
        <w:pStyle w:val="3"/>
        <w:ind w:firstLine="0" w:firstLineChars="0"/>
        <w:rPr>
          <w:rFonts w:ascii="Times New Roman" w:hAnsi="Times New Roman" w:cs="Times New Roman"/>
          <w:sz w:val="32"/>
        </w:rPr>
      </w:pPr>
      <w:bookmarkStart w:id="892" w:name="_Toc8295"/>
      <w:r>
        <w:rPr>
          <w:rFonts w:ascii="Times New Roman" w:hAnsi="Times New Roman" w:cs="Times New Roman"/>
          <w:sz w:val="32"/>
        </w:rPr>
        <w:t>信息监测</w:t>
      </w:r>
      <w:bookmarkEnd w:id="892"/>
    </w:p>
    <w:p w14:paraId="296526DC">
      <w:pPr>
        <w:ind w:firstLine="632"/>
        <w:rPr>
          <w:rFonts w:ascii="Times New Roman" w:hAnsi="Times New Roman" w:cs="Times New Roman"/>
          <w:sz w:val="32"/>
        </w:rPr>
      </w:pPr>
      <w:r>
        <w:rPr>
          <w:rFonts w:hint="eastAsia" w:ascii="Times New Roman" w:hAnsi="Times New Roman" w:cs="Times New Roman"/>
          <w:sz w:val="32"/>
        </w:rPr>
        <w:t>县市场监督管理局</w:t>
      </w:r>
      <w:r>
        <w:rPr>
          <w:rFonts w:ascii="Times New Roman" w:hAnsi="Times New Roman" w:cs="Times New Roman"/>
          <w:sz w:val="32"/>
        </w:rPr>
        <w:t>建立完善特种设备安全监察网络及“大数据”“信息化”等相关技术支撑平台，充分发挥特种设备安全监察机构、行政执法机构、检验检测机构、基层（乡镇、社区）市场监管所、生产经营使用单位和社会力量的作用，及时掌握特种设备安全状况。</w:t>
      </w:r>
    </w:p>
    <w:p w14:paraId="75007C68">
      <w:pPr>
        <w:pStyle w:val="3"/>
        <w:ind w:firstLine="0" w:firstLineChars="0"/>
        <w:rPr>
          <w:rFonts w:ascii="Times New Roman" w:hAnsi="Times New Roman" w:cs="Times New Roman"/>
          <w:sz w:val="32"/>
        </w:rPr>
      </w:pPr>
      <w:bookmarkStart w:id="893" w:name="_Toc27827"/>
      <w:r>
        <w:rPr>
          <w:rFonts w:ascii="Times New Roman" w:hAnsi="Times New Roman" w:cs="Times New Roman"/>
          <w:sz w:val="32"/>
        </w:rPr>
        <w:t>信息报告</w:t>
      </w:r>
      <w:bookmarkEnd w:id="893"/>
    </w:p>
    <w:p w14:paraId="2DB5042A">
      <w:pPr>
        <w:ind w:firstLine="632"/>
        <w:rPr>
          <w:rFonts w:ascii="Times New Roman" w:hAnsi="Times New Roman" w:cs="Times New Roman"/>
          <w:sz w:val="32"/>
        </w:rPr>
      </w:pPr>
      <w:r>
        <w:rPr>
          <w:rFonts w:hint="eastAsia" w:ascii="Times New Roman" w:hAnsi="Times New Roman" w:cs="Times New Roman"/>
          <w:sz w:val="32"/>
        </w:rPr>
        <w:t>当</w:t>
      </w:r>
      <w:r>
        <w:rPr>
          <w:rFonts w:ascii="Times New Roman" w:hAnsi="Times New Roman" w:cs="Times New Roman"/>
          <w:sz w:val="32"/>
        </w:rPr>
        <w:t>出现下列可能引发特种设备事故的情形</w:t>
      </w:r>
      <w:r>
        <w:rPr>
          <w:rFonts w:hint="eastAsia" w:ascii="Times New Roman" w:hAnsi="Times New Roman" w:cs="Times New Roman"/>
          <w:sz w:val="32"/>
        </w:rPr>
        <w:t>时</w:t>
      </w:r>
      <w:r>
        <w:rPr>
          <w:rFonts w:ascii="Times New Roman" w:hAnsi="Times New Roman" w:cs="Times New Roman"/>
          <w:sz w:val="32"/>
        </w:rPr>
        <w:t>，</w:t>
      </w:r>
      <w:r>
        <w:rPr>
          <w:rFonts w:hint="eastAsia" w:ascii="Times New Roman" w:hAnsi="Times New Roman" w:cs="Times New Roman"/>
          <w:sz w:val="32"/>
        </w:rPr>
        <w:t>特种设备生产经营使用单位及</w:t>
      </w:r>
      <w:r>
        <w:rPr>
          <w:rFonts w:ascii="Times New Roman" w:hAnsi="Times New Roman" w:cs="Times New Roman"/>
          <w:sz w:val="32"/>
        </w:rPr>
        <w:t>相关</w:t>
      </w:r>
      <w:r>
        <w:rPr>
          <w:rFonts w:hint="eastAsia" w:ascii="Times New Roman" w:hAnsi="Times New Roman" w:cs="Times New Roman"/>
          <w:sz w:val="32"/>
        </w:rPr>
        <w:t>行业主管</w:t>
      </w:r>
      <w:r>
        <w:rPr>
          <w:rFonts w:ascii="Times New Roman" w:hAnsi="Times New Roman" w:cs="Times New Roman"/>
          <w:sz w:val="32"/>
        </w:rPr>
        <w:t>部门应及时向</w:t>
      </w:r>
      <w:r>
        <w:rPr>
          <w:rFonts w:hint="eastAsia" w:ascii="Times New Roman" w:hAnsi="Times New Roman" w:cs="Times New Roman"/>
          <w:sz w:val="32"/>
        </w:rPr>
        <w:t>县应急指挥部办公室（县市场监督管理局）报告：</w:t>
      </w:r>
    </w:p>
    <w:p w14:paraId="7FED0AC3">
      <w:pPr>
        <w:ind w:firstLine="632"/>
        <w:rPr>
          <w:rFonts w:ascii="Times New Roman" w:hAnsi="Times New Roman" w:cs="Times New Roman"/>
          <w:sz w:val="32"/>
        </w:rPr>
      </w:pPr>
      <w:r>
        <w:rPr>
          <w:rFonts w:ascii="Times New Roman" w:hAnsi="Times New Roman" w:cs="Times New Roman"/>
          <w:sz w:val="32"/>
        </w:rPr>
        <w:t>（1）发现重大违法行为或者特种设备存在严重事故隐患的；</w:t>
      </w:r>
    </w:p>
    <w:p w14:paraId="2C10F53E">
      <w:pPr>
        <w:ind w:firstLine="632"/>
        <w:rPr>
          <w:rFonts w:ascii="Times New Roman" w:hAnsi="Times New Roman" w:cs="Times New Roman"/>
          <w:sz w:val="32"/>
        </w:rPr>
      </w:pPr>
      <w:r>
        <w:rPr>
          <w:rFonts w:ascii="Times New Roman" w:hAnsi="Times New Roman" w:cs="Times New Roman"/>
          <w:sz w:val="32"/>
        </w:rPr>
        <w:t>（2）发生地震、暴雨（雪）、大风、雷电、泥石流等各类自然灾害的；</w:t>
      </w:r>
    </w:p>
    <w:p w14:paraId="40FF55FC">
      <w:pPr>
        <w:ind w:firstLine="632"/>
        <w:rPr>
          <w:rFonts w:ascii="Times New Roman" w:hAnsi="Times New Roman" w:cs="Times New Roman"/>
          <w:sz w:val="32"/>
        </w:rPr>
      </w:pPr>
      <w:r>
        <w:rPr>
          <w:rFonts w:ascii="Times New Roman" w:hAnsi="Times New Roman" w:cs="Times New Roman"/>
          <w:sz w:val="32"/>
        </w:rPr>
        <w:t>（3）发现行业性、区域性、系统性特种设备安全风险的；</w:t>
      </w:r>
    </w:p>
    <w:p w14:paraId="3110D478">
      <w:pPr>
        <w:ind w:firstLine="632"/>
        <w:rPr>
          <w:rFonts w:ascii="Times New Roman" w:hAnsi="Times New Roman" w:cs="Times New Roman"/>
          <w:sz w:val="32"/>
        </w:rPr>
      </w:pPr>
      <w:r>
        <w:rPr>
          <w:rFonts w:ascii="Times New Roman" w:hAnsi="Times New Roman" w:cs="Times New Roman"/>
          <w:sz w:val="32"/>
        </w:rPr>
        <w:t>（4）发生其他灾害或险情的。</w:t>
      </w:r>
    </w:p>
    <w:p w14:paraId="33DB35EF">
      <w:pPr>
        <w:ind w:firstLine="632"/>
        <w:rPr>
          <w:rFonts w:ascii="Times New Roman" w:hAnsi="Times New Roman" w:cs="Times New Roman"/>
          <w:sz w:val="32"/>
        </w:rPr>
      </w:pPr>
      <w:r>
        <w:rPr>
          <w:rFonts w:ascii="Times New Roman" w:hAnsi="Times New Roman" w:cs="Times New Roman"/>
          <w:sz w:val="32"/>
        </w:rPr>
        <w:t>县应急指挥部办公室接到以上可能引发特种设备事故或特种设备严重事故隐患信息报告后，应当进行风险分析研判，提出处置建议，并按规定及时报送县应急指挥部</w:t>
      </w:r>
      <w:r>
        <w:rPr>
          <w:rFonts w:hint="eastAsia" w:ascii="Times New Roman" w:hAnsi="Times New Roman" w:cs="Times New Roman"/>
          <w:sz w:val="32"/>
        </w:rPr>
        <w:t>负责人</w:t>
      </w:r>
      <w:r>
        <w:rPr>
          <w:rFonts w:ascii="Times New Roman" w:hAnsi="Times New Roman" w:cs="Times New Roman"/>
          <w:sz w:val="32"/>
        </w:rPr>
        <w:t>。</w:t>
      </w:r>
    </w:p>
    <w:p w14:paraId="01CB65EB">
      <w:pPr>
        <w:pStyle w:val="3"/>
        <w:ind w:firstLine="0" w:firstLineChars="0"/>
        <w:rPr>
          <w:rFonts w:ascii="Times New Roman" w:hAnsi="Times New Roman" w:cs="Times New Roman"/>
          <w:sz w:val="32"/>
        </w:rPr>
      </w:pPr>
      <w:bookmarkStart w:id="894" w:name="_Toc22532"/>
      <w:r>
        <w:rPr>
          <w:rFonts w:ascii="Times New Roman" w:hAnsi="Times New Roman" w:cs="Times New Roman"/>
          <w:sz w:val="32"/>
        </w:rPr>
        <w:t>事故预警</w:t>
      </w:r>
      <w:bookmarkEnd w:id="894"/>
    </w:p>
    <w:p w14:paraId="283496D8">
      <w:pPr>
        <w:pStyle w:val="4"/>
        <w:numPr>
          <w:ilvl w:val="2"/>
          <w:numId w:val="149"/>
        </w:numPr>
        <w:tabs>
          <w:tab w:val="left" w:pos="0"/>
        </w:tabs>
        <w:ind w:firstLine="0" w:firstLineChars="0"/>
        <w:rPr>
          <w:rFonts w:ascii="Times New Roman" w:hAnsi="Times New Roman" w:cs="Times New Roman"/>
          <w:sz w:val="32"/>
        </w:rPr>
      </w:pPr>
      <w:r>
        <w:rPr>
          <w:rFonts w:ascii="Times New Roman" w:hAnsi="Times New Roman" w:cs="Times New Roman"/>
          <w:sz w:val="32"/>
        </w:rPr>
        <w:t>预警分级</w:t>
      </w:r>
    </w:p>
    <w:p w14:paraId="2A2A1C83">
      <w:pPr>
        <w:ind w:firstLine="632"/>
        <w:rPr>
          <w:rFonts w:ascii="Times New Roman" w:hAnsi="Times New Roman" w:cs="Times New Roman"/>
          <w:sz w:val="32"/>
        </w:rPr>
      </w:pPr>
      <w:r>
        <w:rPr>
          <w:rFonts w:ascii="Times New Roman" w:hAnsi="Times New Roman" w:cs="Times New Roman"/>
          <w:sz w:val="32"/>
        </w:rPr>
        <w:t>根据特种设备安全事故的紧急程度、可能造成的危害程度及发展态势，预警级别从高到低划分为四级：一级（特别</w:t>
      </w:r>
      <w:r>
        <w:rPr>
          <w:rFonts w:hint="eastAsia" w:ascii="Times New Roman" w:hAnsi="Times New Roman" w:cs="Times New Roman"/>
          <w:sz w:val="32"/>
        </w:rPr>
        <w:t>重大</w:t>
      </w:r>
      <w:r>
        <w:rPr>
          <w:rFonts w:ascii="Times New Roman" w:hAnsi="Times New Roman" w:cs="Times New Roman"/>
          <w:sz w:val="32"/>
        </w:rPr>
        <w:t>）、二级（</w:t>
      </w:r>
      <w:r>
        <w:rPr>
          <w:rFonts w:hint="eastAsia" w:ascii="Times New Roman" w:hAnsi="Times New Roman" w:cs="Times New Roman"/>
          <w:sz w:val="32"/>
        </w:rPr>
        <w:t>重大</w:t>
      </w:r>
      <w:r>
        <w:rPr>
          <w:rFonts w:ascii="Times New Roman" w:hAnsi="Times New Roman" w:cs="Times New Roman"/>
          <w:sz w:val="32"/>
        </w:rPr>
        <w:t>）、三级（</w:t>
      </w:r>
      <w:r>
        <w:rPr>
          <w:rFonts w:hint="eastAsia" w:ascii="Times New Roman" w:hAnsi="Times New Roman" w:cs="Times New Roman"/>
          <w:sz w:val="32"/>
        </w:rPr>
        <w:t>较大</w:t>
      </w:r>
      <w:r>
        <w:rPr>
          <w:rFonts w:ascii="Times New Roman" w:hAnsi="Times New Roman" w:cs="Times New Roman"/>
          <w:sz w:val="32"/>
        </w:rPr>
        <w:t>）、四级（一般），依次用红色、橙色、黄色、蓝色标识。</w:t>
      </w:r>
    </w:p>
    <w:p w14:paraId="72F2466D">
      <w:pPr>
        <w:pStyle w:val="4"/>
        <w:numPr>
          <w:ilvl w:val="2"/>
          <w:numId w:val="149"/>
        </w:numPr>
        <w:tabs>
          <w:tab w:val="left" w:pos="0"/>
        </w:tabs>
        <w:ind w:firstLine="0" w:firstLineChars="0"/>
        <w:rPr>
          <w:rFonts w:ascii="Times New Roman" w:hAnsi="Times New Roman" w:cs="Times New Roman"/>
          <w:sz w:val="32"/>
        </w:rPr>
      </w:pPr>
      <w:r>
        <w:rPr>
          <w:rFonts w:ascii="Times New Roman" w:hAnsi="Times New Roman" w:cs="Times New Roman"/>
          <w:sz w:val="32"/>
        </w:rPr>
        <w:t>预警发布层级</w:t>
      </w:r>
    </w:p>
    <w:p w14:paraId="0AC73501">
      <w:pPr>
        <w:ind w:firstLine="632"/>
        <w:rPr>
          <w:rFonts w:ascii="Times New Roman" w:hAnsi="Times New Roman" w:cs="Times New Roman"/>
          <w:sz w:val="32"/>
        </w:rPr>
      </w:pPr>
      <w:r>
        <w:rPr>
          <w:rFonts w:ascii="Times New Roman" w:hAnsi="Times New Roman" w:cs="Times New Roman"/>
          <w:sz w:val="32"/>
        </w:rPr>
        <w:t>依据相关规定，特种设备事故预警信息由事故发生地县级以上人民政府或县级以上人民政府授权的有关部门或单位发布。</w:t>
      </w:r>
    </w:p>
    <w:p w14:paraId="1D16B1C7">
      <w:pPr>
        <w:ind w:firstLine="632"/>
        <w:rPr>
          <w:rFonts w:ascii="Times New Roman" w:hAnsi="Times New Roman" w:cs="Times New Roman"/>
          <w:sz w:val="32"/>
        </w:rPr>
      </w:pPr>
      <w:r>
        <w:rPr>
          <w:rFonts w:ascii="Times New Roman" w:hAnsi="Times New Roman" w:cs="Times New Roman"/>
          <w:sz w:val="32"/>
        </w:rPr>
        <w:t>经研判，需要发布一、二级特种设备事故预警信息的，由县应急指挥部向县</w:t>
      </w:r>
      <w:r>
        <w:rPr>
          <w:rFonts w:hint="eastAsia" w:ascii="Times New Roman" w:hAnsi="Times New Roman" w:cs="Times New Roman"/>
          <w:sz w:val="32"/>
        </w:rPr>
        <w:t>政府主要负责同志</w:t>
      </w:r>
      <w:r>
        <w:rPr>
          <w:rFonts w:ascii="Times New Roman" w:hAnsi="Times New Roman" w:cs="Times New Roman"/>
          <w:sz w:val="32"/>
        </w:rPr>
        <w:t>提出发布预警信息或调整预警级别的建议，经县政府主要负责同志同意并按规定报批后，</w:t>
      </w:r>
      <w:r>
        <w:rPr>
          <w:rFonts w:hint="eastAsia" w:ascii="Times New Roman" w:hAnsi="Times New Roman" w:cs="Times New Roman"/>
          <w:sz w:val="32"/>
        </w:rPr>
        <w:t>在全县范围内</w:t>
      </w:r>
      <w:r>
        <w:rPr>
          <w:rFonts w:ascii="Times New Roman" w:hAnsi="Times New Roman" w:cs="Times New Roman"/>
          <w:sz w:val="32"/>
        </w:rPr>
        <w:t>发布预警信息。</w:t>
      </w:r>
    </w:p>
    <w:p w14:paraId="297936FA">
      <w:pPr>
        <w:ind w:firstLine="632"/>
        <w:rPr>
          <w:rFonts w:ascii="Times New Roman" w:hAnsi="Times New Roman" w:cs="Times New Roman"/>
          <w:sz w:val="32"/>
        </w:rPr>
      </w:pPr>
      <w:r>
        <w:rPr>
          <w:rFonts w:ascii="Times New Roman" w:hAnsi="Times New Roman" w:cs="Times New Roman"/>
          <w:sz w:val="32"/>
        </w:rPr>
        <w:t>经研判，需要发布三、四级特种设备事故预警信息的，由</w:t>
      </w:r>
      <w:r>
        <w:rPr>
          <w:rFonts w:hint="eastAsia" w:ascii="Times New Roman" w:hAnsi="Times New Roman" w:cs="Times New Roman"/>
          <w:sz w:val="32"/>
        </w:rPr>
        <w:t>县应急指挥部办公室向县应急指挥部总指挥提出发布预警信息的建议，经县应急指挥部总指挥同意并按规定报批后，向</w:t>
      </w:r>
      <w:r>
        <w:rPr>
          <w:rFonts w:ascii="Times New Roman" w:hAnsi="Times New Roman" w:cs="Times New Roman"/>
          <w:sz w:val="32"/>
        </w:rPr>
        <w:t>可能</w:t>
      </w:r>
      <w:r>
        <w:rPr>
          <w:rFonts w:hint="eastAsia" w:ascii="Times New Roman" w:hAnsi="Times New Roman" w:cs="Times New Roman"/>
          <w:sz w:val="32"/>
        </w:rPr>
        <w:t>受</w:t>
      </w:r>
      <w:r>
        <w:rPr>
          <w:rFonts w:ascii="Times New Roman" w:hAnsi="Times New Roman" w:cs="Times New Roman"/>
          <w:sz w:val="32"/>
        </w:rPr>
        <w:t>到特种设备事故危害</w:t>
      </w:r>
      <w:r>
        <w:rPr>
          <w:rFonts w:hint="eastAsia" w:ascii="Times New Roman" w:hAnsi="Times New Roman" w:cs="Times New Roman"/>
          <w:sz w:val="32"/>
        </w:rPr>
        <w:t>及影响</w:t>
      </w:r>
      <w:r>
        <w:rPr>
          <w:rFonts w:ascii="Times New Roman" w:hAnsi="Times New Roman" w:cs="Times New Roman"/>
          <w:sz w:val="32"/>
        </w:rPr>
        <w:t>的单位、人群发布预警信息。</w:t>
      </w:r>
    </w:p>
    <w:p w14:paraId="748A3A7E">
      <w:pPr>
        <w:pStyle w:val="4"/>
        <w:numPr>
          <w:ilvl w:val="2"/>
          <w:numId w:val="149"/>
        </w:numPr>
        <w:tabs>
          <w:tab w:val="left" w:pos="0"/>
        </w:tabs>
        <w:ind w:firstLine="0" w:firstLineChars="0"/>
        <w:rPr>
          <w:rFonts w:ascii="Times New Roman" w:hAnsi="Times New Roman" w:cs="Times New Roman"/>
          <w:sz w:val="32"/>
        </w:rPr>
      </w:pPr>
      <w:r>
        <w:rPr>
          <w:rFonts w:ascii="Times New Roman" w:hAnsi="Times New Roman" w:cs="Times New Roman"/>
          <w:sz w:val="32"/>
        </w:rPr>
        <w:t>预警发布内容</w:t>
      </w:r>
    </w:p>
    <w:p w14:paraId="5BD00835">
      <w:pPr>
        <w:ind w:firstLine="632"/>
        <w:rPr>
          <w:rFonts w:ascii="Times New Roman" w:hAnsi="Times New Roman" w:cs="Times New Roman"/>
          <w:sz w:val="32"/>
        </w:rPr>
      </w:pPr>
      <w:r>
        <w:rPr>
          <w:rFonts w:hint="eastAsia" w:ascii="Times New Roman" w:hAnsi="Times New Roman" w:cs="Times New Roman"/>
          <w:sz w:val="32"/>
        </w:rPr>
        <w:t>预警信息内容包括：</w:t>
      </w:r>
      <w:r>
        <w:rPr>
          <w:rFonts w:ascii="Times New Roman" w:hAnsi="Times New Roman" w:cs="Times New Roman"/>
          <w:sz w:val="32"/>
        </w:rPr>
        <w:t>预警区域（场所）、险情类别、预警级别、预警起始时间、可能影响范围、警示事项、事态发展、相关措施、咨询电话等内容。</w:t>
      </w:r>
    </w:p>
    <w:p w14:paraId="201FF20F">
      <w:pPr>
        <w:pStyle w:val="4"/>
        <w:numPr>
          <w:ilvl w:val="2"/>
          <w:numId w:val="149"/>
        </w:numPr>
        <w:tabs>
          <w:tab w:val="left" w:pos="0"/>
        </w:tabs>
        <w:ind w:firstLine="0" w:firstLineChars="0"/>
        <w:rPr>
          <w:rFonts w:ascii="Times New Roman" w:hAnsi="Times New Roman" w:cs="Times New Roman"/>
          <w:sz w:val="32"/>
        </w:rPr>
      </w:pPr>
      <w:r>
        <w:rPr>
          <w:rFonts w:ascii="Times New Roman" w:hAnsi="Times New Roman" w:cs="Times New Roman"/>
          <w:sz w:val="32"/>
        </w:rPr>
        <w:t>预警发布形式</w:t>
      </w:r>
    </w:p>
    <w:p w14:paraId="5C4F7C0E">
      <w:pPr>
        <w:ind w:firstLine="632"/>
        <w:rPr>
          <w:rFonts w:ascii="Times New Roman" w:hAnsi="Times New Roman" w:cs="Times New Roman"/>
          <w:sz w:val="32"/>
        </w:rPr>
      </w:pPr>
      <w:r>
        <w:rPr>
          <w:rFonts w:hint="eastAsia" w:ascii="Times New Roman" w:hAnsi="Times New Roman" w:cs="Times New Roman"/>
          <w:sz w:val="32"/>
        </w:rPr>
        <w:t>县应急指挥部办公室</w:t>
      </w:r>
      <w:r>
        <w:rPr>
          <w:rFonts w:ascii="Times New Roman" w:hAnsi="Times New Roman" w:cs="Times New Roman"/>
          <w:sz w:val="32"/>
        </w:rPr>
        <w:t>充分发挥突发事件预警信息发布平台系统作用，协调指导网信、广电、新闻、通信等部门通过广播、电视、互联网等媒介和通信运营企业，及时准确播放、刊载预警信息。对老、幼、病、残、孕等特殊人群、学校等特殊场所和可能存在的预警盲区，基层组织警报器、宣传车、大喇叭或组织人员逐户传递预警信息。</w:t>
      </w:r>
    </w:p>
    <w:p w14:paraId="36A8B3F2">
      <w:pPr>
        <w:pStyle w:val="3"/>
        <w:ind w:firstLine="0" w:firstLineChars="0"/>
        <w:rPr>
          <w:rFonts w:ascii="Times New Roman" w:hAnsi="Times New Roman" w:cs="Times New Roman"/>
          <w:sz w:val="32"/>
        </w:rPr>
      </w:pPr>
      <w:bookmarkStart w:id="895" w:name="_Toc11364"/>
      <w:r>
        <w:rPr>
          <w:rFonts w:ascii="Times New Roman" w:hAnsi="Times New Roman" w:cs="Times New Roman"/>
          <w:sz w:val="32"/>
        </w:rPr>
        <w:t>预警信息处置</w:t>
      </w:r>
      <w:bookmarkEnd w:id="895"/>
    </w:p>
    <w:p w14:paraId="258DF09A">
      <w:pPr>
        <w:ind w:firstLine="632"/>
        <w:rPr>
          <w:rFonts w:ascii="Times New Roman" w:hAnsi="Times New Roman" w:cs="Times New Roman"/>
          <w:sz w:val="32"/>
        </w:rPr>
      </w:pPr>
      <w:r>
        <w:rPr>
          <w:rFonts w:ascii="Times New Roman" w:hAnsi="Times New Roman" w:cs="Times New Roman"/>
          <w:sz w:val="32"/>
        </w:rPr>
        <w:t>预警信息发布后，</w:t>
      </w:r>
      <w:r>
        <w:rPr>
          <w:rFonts w:hint="eastAsia" w:ascii="Times New Roman" w:hAnsi="Times New Roman" w:cs="Times New Roman"/>
          <w:sz w:val="32"/>
        </w:rPr>
        <w:t>县应急指挥部、县特种设备事故处置相关部门及单位</w:t>
      </w:r>
      <w:r>
        <w:rPr>
          <w:rFonts w:ascii="Times New Roman" w:hAnsi="Times New Roman" w:cs="Times New Roman"/>
          <w:sz w:val="32"/>
        </w:rPr>
        <w:t>、</w:t>
      </w:r>
      <w:r>
        <w:rPr>
          <w:rFonts w:hint="eastAsia" w:ascii="Times New Roman" w:hAnsi="Times New Roman" w:cs="Times New Roman"/>
          <w:sz w:val="32"/>
        </w:rPr>
        <w:t>乡镇人民政府</w:t>
      </w:r>
      <w:r>
        <w:rPr>
          <w:rFonts w:ascii="Times New Roman" w:hAnsi="Times New Roman" w:cs="Times New Roman"/>
          <w:sz w:val="32"/>
        </w:rPr>
        <w:t>按照分级负责的原则，根据预警级别和实际情况，采取以下一项或多项措施：</w:t>
      </w:r>
    </w:p>
    <w:p w14:paraId="5CD3F70F">
      <w:pPr>
        <w:ind w:firstLine="632"/>
        <w:rPr>
          <w:rFonts w:ascii="Times New Roman" w:hAnsi="Times New Roman" w:cs="Times New Roman"/>
          <w:sz w:val="32"/>
        </w:rPr>
      </w:pPr>
      <w:r>
        <w:rPr>
          <w:rFonts w:ascii="Times New Roman" w:hAnsi="Times New Roman" w:cs="Times New Roman"/>
          <w:sz w:val="32"/>
        </w:rPr>
        <w:t>（1）做好启动应急预案的准备；</w:t>
      </w:r>
    </w:p>
    <w:p w14:paraId="1035D85A">
      <w:pPr>
        <w:ind w:firstLine="632"/>
        <w:rPr>
          <w:rFonts w:ascii="Times New Roman" w:hAnsi="Times New Roman" w:cs="Times New Roman"/>
          <w:sz w:val="32"/>
        </w:rPr>
      </w:pPr>
      <w:r>
        <w:rPr>
          <w:rFonts w:ascii="Times New Roman" w:hAnsi="Times New Roman" w:cs="Times New Roman"/>
          <w:sz w:val="32"/>
        </w:rPr>
        <w:t>（2）公布信息接报和咨询电话，及时收集和上报有关信息；</w:t>
      </w:r>
    </w:p>
    <w:p w14:paraId="6B39DC10">
      <w:pPr>
        <w:ind w:firstLine="632"/>
        <w:rPr>
          <w:rFonts w:ascii="Times New Roman" w:hAnsi="Times New Roman" w:cs="Times New Roman"/>
          <w:sz w:val="32"/>
        </w:rPr>
      </w:pPr>
      <w:r>
        <w:rPr>
          <w:rFonts w:ascii="Times New Roman" w:hAnsi="Times New Roman" w:cs="Times New Roman"/>
          <w:sz w:val="32"/>
        </w:rPr>
        <w:t>（3）组织有关部门和机构、专业技术人员、专家，对</w:t>
      </w:r>
      <w:r>
        <w:rPr>
          <w:rFonts w:hint="eastAsia" w:ascii="Times New Roman" w:hAnsi="Times New Roman" w:cs="Times New Roman"/>
          <w:sz w:val="32"/>
        </w:rPr>
        <w:t>特种设备</w:t>
      </w:r>
      <w:r>
        <w:rPr>
          <w:rFonts w:ascii="Times New Roman" w:hAnsi="Times New Roman" w:cs="Times New Roman"/>
          <w:sz w:val="32"/>
        </w:rPr>
        <w:t>事故信息进行分析评估，预测事故发生可能性的大小、影响范围，根据需要向社会发布与公众有关的事故预测信息和分析评估结果；</w:t>
      </w:r>
    </w:p>
    <w:p w14:paraId="08977FCD">
      <w:pPr>
        <w:ind w:firstLine="632"/>
        <w:rPr>
          <w:rFonts w:ascii="Times New Roman" w:hAnsi="Times New Roman" w:cs="Times New Roman"/>
          <w:sz w:val="32"/>
        </w:rPr>
      </w:pPr>
      <w:r>
        <w:rPr>
          <w:rFonts w:ascii="Times New Roman" w:hAnsi="Times New Roman" w:cs="Times New Roman"/>
          <w:sz w:val="32"/>
        </w:rPr>
        <w:t>（4）组织巡查，加大隐患排查力度；</w:t>
      </w:r>
    </w:p>
    <w:p w14:paraId="2D99123A">
      <w:pPr>
        <w:ind w:firstLine="632"/>
        <w:rPr>
          <w:rFonts w:ascii="Times New Roman" w:hAnsi="Times New Roman" w:cs="Times New Roman"/>
          <w:sz w:val="32"/>
        </w:rPr>
      </w:pPr>
      <w:r>
        <w:rPr>
          <w:rFonts w:ascii="Times New Roman" w:hAnsi="Times New Roman" w:cs="Times New Roman"/>
          <w:sz w:val="32"/>
        </w:rPr>
        <w:t>（5）通知相关单位、救援队伍进入戒备和随时待命状态；</w:t>
      </w:r>
    </w:p>
    <w:p w14:paraId="29677B0F">
      <w:pPr>
        <w:ind w:firstLine="632"/>
        <w:rPr>
          <w:rFonts w:ascii="Times New Roman" w:hAnsi="Times New Roman" w:cs="Times New Roman"/>
          <w:sz w:val="32"/>
        </w:rPr>
      </w:pPr>
      <w:r>
        <w:rPr>
          <w:rFonts w:ascii="Times New Roman" w:hAnsi="Times New Roman" w:cs="Times New Roman"/>
          <w:sz w:val="32"/>
        </w:rPr>
        <w:t>（6）采取局部或全面停工措施；</w:t>
      </w:r>
    </w:p>
    <w:p w14:paraId="65A7FDDC">
      <w:pPr>
        <w:ind w:firstLine="632"/>
        <w:rPr>
          <w:rFonts w:ascii="Times New Roman" w:hAnsi="Times New Roman" w:cs="Times New Roman"/>
          <w:sz w:val="32"/>
        </w:rPr>
      </w:pPr>
      <w:r>
        <w:rPr>
          <w:rFonts w:ascii="Times New Roman" w:hAnsi="Times New Roman" w:cs="Times New Roman"/>
          <w:sz w:val="32"/>
        </w:rPr>
        <w:t>（7）调集应急救援所需物资、装备、设备和机械，并确保其随时可以投入正常使用；</w:t>
      </w:r>
    </w:p>
    <w:p w14:paraId="21677C52">
      <w:pPr>
        <w:ind w:firstLine="632"/>
        <w:rPr>
          <w:rFonts w:ascii="Times New Roman" w:hAnsi="Times New Roman" w:cs="Times New Roman"/>
          <w:sz w:val="32"/>
        </w:rPr>
      </w:pPr>
      <w:r>
        <w:rPr>
          <w:rFonts w:ascii="Times New Roman" w:hAnsi="Times New Roman" w:cs="Times New Roman"/>
          <w:sz w:val="32"/>
        </w:rPr>
        <w:t>（8）针对可能造成的危害，封闭、隔离或者限制使用有关场所，中止可能导致危害扩大的行为和活动；</w:t>
      </w:r>
    </w:p>
    <w:p w14:paraId="2EAC3131">
      <w:pPr>
        <w:ind w:firstLine="632"/>
        <w:rPr>
          <w:rFonts w:ascii="Times New Roman" w:hAnsi="Times New Roman" w:cs="Times New Roman"/>
          <w:sz w:val="32"/>
        </w:rPr>
      </w:pPr>
      <w:r>
        <w:rPr>
          <w:rFonts w:ascii="Times New Roman" w:hAnsi="Times New Roman" w:cs="Times New Roman"/>
          <w:sz w:val="32"/>
        </w:rPr>
        <w:t>（9）向相关单位采取有关特定措施以及避免和减轻危害的建议。</w:t>
      </w:r>
    </w:p>
    <w:p w14:paraId="7B22386E">
      <w:pPr>
        <w:pStyle w:val="3"/>
        <w:ind w:firstLine="0" w:firstLineChars="0"/>
        <w:rPr>
          <w:rFonts w:ascii="Times New Roman" w:hAnsi="Times New Roman" w:cs="Times New Roman"/>
          <w:sz w:val="32"/>
        </w:rPr>
      </w:pPr>
      <w:bookmarkStart w:id="896" w:name="_Toc6017"/>
      <w:r>
        <w:rPr>
          <w:rFonts w:hint="eastAsia" w:ascii="Times New Roman" w:hAnsi="Times New Roman" w:cs="Times New Roman"/>
          <w:sz w:val="32"/>
        </w:rPr>
        <w:t>预警</w:t>
      </w:r>
      <w:r>
        <w:rPr>
          <w:rFonts w:ascii="Times New Roman" w:hAnsi="Times New Roman" w:cs="Times New Roman"/>
          <w:sz w:val="32"/>
        </w:rPr>
        <w:t>解除</w:t>
      </w:r>
      <w:bookmarkEnd w:id="896"/>
    </w:p>
    <w:p w14:paraId="1A9D94A7">
      <w:pPr>
        <w:ind w:firstLine="632"/>
        <w:rPr>
          <w:rFonts w:ascii="Times New Roman" w:hAnsi="Times New Roman" w:cs="Times New Roman"/>
          <w:sz w:val="32"/>
        </w:rPr>
      </w:pPr>
      <w:r>
        <w:rPr>
          <w:rFonts w:ascii="Times New Roman" w:hAnsi="Times New Roman" w:cs="Times New Roman"/>
          <w:sz w:val="32"/>
        </w:rPr>
        <w:t>预警信息发布后，事实证明不可能发生突发事件或者危险已经解除的，县应急指挥部根据事态发展情况及时宣布终止预警，并解除有关措施。</w:t>
      </w:r>
    </w:p>
    <w:p w14:paraId="596575C2">
      <w:pPr>
        <w:pStyle w:val="2"/>
        <w:numPr>
          <w:ilvl w:val="0"/>
          <w:numId w:val="149"/>
        </w:numPr>
        <w:tabs>
          <w:tab w:val="left" w:pos="0"/>
        </w:tabs>
        <w:ind w:firstLine="0" w:firstLineChars="0"/>
        <w:rPr>
          <w:rFonts w:ascii="Times New Roman" w:hAnsi="Times New Roman" w:cs="Times New Roman"/>
          <w:sz w:val="32"/>
        </w:rPr>
      </w:pPr>
      <w:bookmarkStart w:id="897" w:name="_Toc23522"/>
      <w:r>
        <w:rPr>
          <w:rFonts w:ascii="Times New Roman" w:hAnsi="Times New Roman" w:cs="Times New Roman"/>
          <w:sz w:val="32"/>
        </w:rPr>
        <w:t>应急响应</w:t>
      </w:r>
      <w:bookmarkEnd w:id="897"/>
    </w:p>
    <w:p w14:paraId="3C697329">
      <w:pPr>
        <w:pStyle w:val="3"/>
        <w:ind w:firstLine="0" w:firstLineChars="0"/>
        <w:rPr>
          <w:rFonts w:ascii="Times New Roman" w:hAnsi="Times New Roman" w:cs="Times New Roman"/>
          <w:sz w:val="32"/>
        </w:rPr>
      </w:pPr>
      <w:bookmarkStart w:id="898" w:name="_Toc578"/>
      <w:r>
        <w:rPr>
          <w:rFonts w:ascii="Times New Roman" w:hAnsi="Times New Roman" w:cs="Times New Roman"/>
          <w:sz w:val="32"/>
        </w:rPr>
        <w:t>事故报告程序</w:t>
      </w:r>
      <w:bookmarkEnd w:id="898"/>
    </w:p>
    <w:p w14:paraId="56114AD9">
      <w:pPr>
        <w:pStyle w:val="4"/>
        <w:numPr>
          <w:ilvl w:val="2"/>
          <w:numId w:val="149"/>
        </w:numPr>
        <w:tabs>
          <w:tab w:val="left" w:pos="0"/>
        </w:tabs>
        <w:ind w:firstLine="0" w:firstLineChars="0"/>
        <w:rPr>
          <w:rFonts w:ascii="Times New Roman" w:hAnsi="Times New Roman" w:cs="Times New Roman"/>
          <w:sz w:val="32"/>
        </w:rPr>
      </w:pPr>
      <w:r>
        <w:rPr>
          <w:rFonts w:hint="eastAsia" w:ascii="Times New Roman" w:hAnsi="Times New Roman" w:cs="Times New Roman"/>
          <w:sz w:val="32"/>
        </w:rPr>
        <w:t>事发企业</w:t>
      </w:r>
      <w:r>
        <w:rPr>
          <w:rFonts w:ascii="Times New Roman" w:hAnsi="Times New Roman" w:cs="Times New Roman"/>
          <w:sz w:val="32"/>
        </w:rPr>
        <w:t>报告要求</w:t>
      </w:r>
    </w:p>
    <w:p w14:paraId="504DFC54">
      <w:pPr>
        <w:ind w:firstLine="632"/>
        <w:rPr>
          <w:rFonts w:ascii="Times New Roman" w:hAnsi="Times New Roman" w:cs="Times New Roman"/>
          <w:sz w:val="32"/>
        </w:rPr>
      </w:pPr>
      <w:r>
        <w:rPr>
          <w:rFonts w:ascii="Times New Roman" w:hAnsi="Times New Roman" w:cs="Times New Roman"/>
          <w:sz w:val="32"/>
        </w:rPr>
        <w:t>事故发生后，事故现场有关人员应当立即向本单位负责人报告；企业负责人接到报告后，应当于1小时内向事故发生地县级</w:t>
      </w:r>
      <w:r>
        <w:rPr>
          <w:rFonts w:hint="eastAsia" w:ascii="Times New Roman" w:hAnsi="Times New Roman" w:cs="Times New Roman"/>
          <w:sz w:val="32"/>
        </w:rPr>
        <w:t>特种设备</w:t>
      </w:r>
      <w:r>
        <w:rPr>
          <w:rFonts w:ascii="Times New Roman" w:hAnsi="Times New Roman" w:cs="Times New Roman"/>
          <w:sz w:val="32"/>
        </w:rPr>
        <w:t>主管部门及安全生产监督管理等有关部门报告。情况紧急时，事故现场有关人员可以直接向事故发生地县级</w:t>
      </w:r>
      <w:r>
        <w:rPr>
          <w:rFonts w:hint="eastAsia" w:ascii="Times New Roman" w:hAnsi="Times New Roman" w:cs="Times New Roman"/>
          <w:sz w:val="32"/>
        </w:rPr>
        <w:t>特种设备</w:t>
      </w:r>
      <w:r>
        <w:rPr>
          <w:rFonts w:ascii="Times New Roman" w:hAnsi="Times New Roman" w:cs="Times New Roman"/>
          <w:sz w:val="32"/>
        </w:rPr>
        <w:t>主管部门及安全生产监督管理等有关部门报告。</w:t>
      </w:r>
    </w:p>
    <w:p w14:paraId="5144A4B2">
      <w:pPr>
        <w:pStyle w:val="4"/>
        <w:numPr>
          <w:ilvl w:val="2"/>
          <w:numId w:val="149"/>
        </w:numPr>
        <w:tabs>
          <w:tab w:val="left" w:pos="0"/>
        </w:tabs>
        <w:ind w:firstLine="0" w:firstLineChars="0"/>
        <w:rPr>
          <w:rFonts w:ascii="Times New Roman" w:hAnsi="Times New Roman" w:cs="Times New Roman"/>
          <w:sz w:val="32"/>
        </w:rPr>
      </w:pPr>
      <w:r>
        <w:rPr>
          <w:rFonts w:ascii="Times New Roman" w:hAnsi="Times New Roman" w:cs="Times New Roman"/>
          <w:sz w:val="32"/>
        </w:rPr>
        <w:t>特种设备主管部门事故报告要求</w:t>
      </w:r>
    </w:p>
    <w:p w14:paraId="6B1C783A">
      <w:pPr>
        <w:ind w:firstLine="632"/>
        <w:rPr>
          <w:rFonts w:ascii="Times New Roman" w:hAnsi="Times New Roman" w:cs="Times New Roman"/>
          <w:sz w:val="32"/>
        </w:rPr>
      </w:pPr>
      <w:r>
        <w:rPr>
          <w:rFonts w:ascii="Times New Roman" w:hAnsi="Times New Roman" w:cs="Times New Roman"/>
          <w:sz w:val="32"/>
        </w:rPr>
        <w:t>事故发生地特种设备主管部门在事故发生后或接报后，迅速核实事故有关情况，立即报告</w:t>
      </w:r>
      <w:r>
        <w:rPr>
          <w:rFonts w:hint="eastAsia" w:ascii="Times New Roman" w:hAnsi="Times New Roman" w:cs="Times New Roman"/>
          <w:sz w:val="32"/>
        </w:rPr>
        <w:t>县政府</w:t>
      </w:r>
      <w:r>
        <w:rPr>
          <w:rFonts w:ascii="Times New Roman" w:hAnsi="Times New Roman" w:cs="Times New Roman"/>
          <w:sz w:val="32"/>
        </w:rPr>
        <w:t>和上一级特种设备</w:t>
      </w:r>
      <w:r>
        <w:rPr>
          <w:rFonts w:hint="eastAsia" w:ascii="Times New Roman" w:hAnsi="Times New Roman" w:cs="Times New Roman"/>
          <w:sz w:val="32"/>
        </w:rPr>
        <w:t>主管部门</w:t>
      </w:r>
      <w:r>
        <w:rPr>
          <w:rFonts w:ascii="Times New Roman" w:hAnsi="Times New Roman" w:cs="Times New Roman"/>
          <w:sz w:val="32"/>
        </w:rPr>
        <w:t>，并通知当地安全生产监督管理部门。特种设备主管部门按照规定逐级上报事故情况，每级上报的时间不得超过2小时（必要时，可以越级上报事故情况）。</w:t>
      </w:r>
    </w:p>
    <w:p w14:paraId="5383EA2E">
      <w:pPr>
        <w:pStyle w:val="4"/>
        <w:numPr>
          <w:ilvl w:val="2"/>
          <w:numId w:val="149"/>
        </w:numPr>
        <w:tabs>
          <w:tab w:val="left" w:pos="0"/>
        </w:tabs>
        <w:ind w:firstLine="0" w:firstLineChars="0"/>
        <w:rPr>
          <w:rFonts w:ascii="Times New Roman" w:hAnsi="Times New Roman" w:cs="Times New Roman"/>
          <w:sz w:val="32"/>
        </w:rPr>
      </w:pPr>
      <w:r>
        <w:rPr>
          <w:rFonts w:ascii="Times New Roman" w:hAnsi="Times New Roman" w:cs="Times New Roman"/>
          <w:sz w:val="32"/>
        </w:rPr>
        <w:t>事故报告内容</w:t>
      </w:r>
    </w:p>
    <w:p w14:paraId="7A880423">
      <w:pPr>
        <w:ind w:firstLine="632"/>
        <w:rPr>
          <w:rFonts w:ascii="Times New Roman" w:hAnsi="Times New Roman" w:cs="Times New Roman"/>
          <w:sz w:val="32"/>
        </w:rPr>
      </w:pPr>
      <w:r>
        <w:rPr>
          <w:rFonts w:ascii="Times New Roman" w:hAnsi="Times New Roman" w:cs="Times New Roman"/>
          <w:sz w:val="32"/>
        </w:rPr>
        <w:t>（1）事故发生的时间、地点和单位概况；</w:t>
      </w:r>
    </w:p>
    <w:p w14:paraId="7ACBE655">
      <w:pPr>
        <w:ind w:firstLine="632"/>
        <w:rPr>
          <w:rFonts w:ascii="Times New Roman" w:hAnsi="Times New Roman" w:cs="Times New Roman"/>
          <w:sz w:val="32"/>
        </w:rPr>
      </w:pPr>
      <w:r>
        <w:rPr>
          <w:rFonts w:ascii="Times New Roman" w:hAnsi="Times New Roman" w:cs="Times New Roman"/>
          <w:sz w:val="32"/>
        </w:rPr>
        <w:t>（2）事故的简要经过；</w:t>
      </w:r>
    </w:p>
    <w:p w14:paraId="3AEC45E1">
      <w:pPr>
        <w:ind w:firstLine="632"/>
        <w:rPr>
          <w:rFonts w:ascii="Times New Roman" w:hAnsi="Times New Roman" w:cs="Times New Roman"/>
          <w:sz w:val="32"/>
        </w:rPr>
      </w:pPr>
      <w:r>
        <w:rPr>
          <w:rFonts w:ascii="Times New Roman" w:hAnsi="Times New Roman" w:cs="Times New Roman"/>
          <w:sz w:val="32"/>
        </w:rPr>
        <w:t>（3）事故已经造成或者可能造成的伤亡人数（包括下落不明的人数）和初步估计的直接经济损失；</w:t>
      </w:r>
    </w:p>
    <w:p w14:paraId="339083D4">
      <w:pPr>
        <w:ind w:firstLine="632"/>
        <w:rPr>
          <w:rFonts w:ascii="Times New Roman" w:hAnsi="Times New Roman" w:cs="Times New Roman"/>
          <w:sz w:val="32"/>
        </w:rPr>
      </w:pPr>
      <w:r>
        <w:rPr>
          <w:rFonts w:ascii="Times New Roman" w:hAnsi="Times New Roman" w:cs="Times New Roman"/>
          <w:sz w:val="32"/>
        </w:rPr>
        <w:t>（4）事故的初步原因；</w:t>
      </w:r>
    </w:p>
    <w:p w14:paraId="6D5CF472">
      <w:pPr>
        <w:ind w:firstLine="632"/>
        <w:rPr>
          <w:rFonts w:ascii="Times New Roman" w:hAnsi="Times New Roman" w:cs="Times New Roman"/>
          <w:sz w:val="32"/>
        </w:rPr>
      </w:pPr>
      <w:r>
        <w:rPr>
          <w:rFonts w:ascii="Times New Roman" w:hAnsi="Times New Roman" w:cs="Times New Roman"/>
          <w:sz w:val="32"/>
        </w:rPr>
        <w:t>（5）事故发生后采取的措施及事故控制情况；</w:t>
      </w:r>
    </w:p>
    <w:p w14:paraId="73F0784B">
      <w:pPr>
        <w:ind w:firstLine="632"/>
        <w:rPr>
          <w:rFonts w:ascii="Times New Roman" w:hAnsi="Times New Roman" w:cs="Times New Roman"/>
          <w:sz w:val="32"/>
        </w:rPr>
      </w:pPr>
      <w:r>
        <w:rPr>
          <w:rFonts w:ascii="Times New Roman" w:hAnsi="Times New Roman" w:cs="Times New Roman"/>
          <w:sz w:val="32"/>
        </w:rPr>
        <w:t>（6）事故报告单位或报告人员；</w:t>
      </w:r>
    </w:p>
    <w:p w14:paraId="3461527D">
      <w:pPr>
        <w:ind w:firstLine="632"/>
        <w:rPr>
          <w:rFonts w:ascii="Times New Roman" w:hAnsi="Times New Roman" w:cs="Times New Roman"/>
          <w:sz w:val="32"/>
        </w:rPr>
      </w:pPr>
      <w:r>
        <w:rPr>
          <w:rFonts w:ascii="Times New Roman" w:hAnsi="Times New Roman" w:cs="Times New Roman"/>
          <w:sz w:val="32"/>
        </w:rPr>
        <w:t>（7）其他应当报告的情况。</w:t>
      </w:r>
    </w:p>
    <w:p w14:paraId="52D15F71">
      <w:pPr>
        <w:ind w:firstLine="632"/>
        <w:rPr>
          <w:rFonts w:ascii="Times New Roman" w:hAnsi="Times New Roman" w:cs="Times New Roman"/>
          <w:sz w:val="32"/>
        </w:rPr>
      </w:pPr>
      <w:r>
        <w:rPr>
          <w:rFonts w:ascii="Times New Roman" w:hAnsi="Times New Roman" w:cs="Times New Roman"/>
          <w:sz w:val="32"/>
        </w:rPr>
        <w:t>事故报告后出现新情况，以及事故发生之日起30日内伤亡人数发生变化的，应当及时补报。</w:t>
      </w:r>
    </w:p>
    <w:p w14:paraId="3758CD02">
      <w:pPr>
        <w:pStyle w:val="3"/>
        <w:ind w:firstLine="0" w:firstLineChars="0"/>
        <w:rPr>
          <w:rFonts w:ascii="Times New Roman" w:hAnsi="Times New Roman" w:cs="Times New Roman"/>
          <w:sz w:val="32"/>
        </w:rPr>
      </w:pPr>
      <w:bookmarkStart w:id="899" w:name="_Toc26247"/>
      <w:r>
        <w:rPr>
          <w:rFonts w:ascii="Times New Roman" w:hAnsi="Times New Roman" w:cs="Times New Roman"/>
          <w:sz w:val="32"/>
        </w:rPr>
        <w:t>先期处置</w:t>
      </w:r>
      <w:bookmarkEnd w:id="899"/>
    </w:p>
    <w:p w14:paraId="33A9BB74">
      <w:pPr>
        <w:ind w:firstLine="632"/>
        <w:rPr>
          <w:rFonts w:ascii="Times New Roman" w:hAnsi="Times New Roman" w:cs="Times New Roman"/>
          <w:sz w:val="32"/>
        </w:rPr>
      </w:pPr>
      <w:r>
        <w:rPr>
          <w:rFonts w:ascii="Times New Roman" w:hAnsi="Times New Roman" w:cs="Times New Roman"/>
          <w:sz w:val="32"/>
        </w:rPr>
        <w:t>特种设备事故发生后，事故发生单位是第一时间处置事故的主体，应立即启动本单位特种设备专项应急预案开展自救，在确保安全的前提下组织抢救遇险人员，控制危险源，封锁危险场所，减少人员伤亡和财产损失，保护事故现场和有关证据，杜绝盲目施救，防止事态扩大。</w:t>
      </w:r>
    </w:p>
    <w:p w14:paraId="195120FE">
      <w:pPr>
        <w:ind w:firstLine="632"/>
        <w:rPr>
          <w:rFonts w:ascii="Times New Roman" w:hAnsi="Times New Roman" w:cs="Times New Roman"/>
          <w:sz w:val="32"/>
        </w:rPr>
      </w:pPr>
      <w:r>
        <w:rPr>
          <w:rFonts w:ascii="Times New Roman" w:hAnsi="Times New Roman" w:cs="Times New Roman"/>
          <w:sz w:val="32"/>
        </w:rPr>
        <w:t>事故发生地</w:t>
      </w:r>
      <w:r>
        <w:rPr>
          <w:rFonts w:hint="eastAsia" w:ascii="Times New Roman" w:hAnsi="Times New Roman" w:cs="Times New Roman"/>
          <w:sz w:val="32"/>
        </w:rPr>
        <w:t>乡镇人民政府</w:t>
      </w:r>
      <w:r>
        <w:rPr>
          <w:rFonts w:ascii="Times New Roman" w:hAnsi="Times New Roman" w:cs="Times New Roman"/>
          <w:sz w:val="32"/>
        </w:rPr>
        <w:t>接到事故报告后，按照属地管理原则，应当立即依法启动应急预案，迅速调度力量开展事故应急处置，采取措施抢救遇险人员，疏散、撤离、安置受威胁人员，控制危险源，防止发生次生、衍生事故，封锁事故现场，评估事故危害，建立现场工作区域，做好扩大应急准备，为后续救援创造有利条件。先期处置情况应及时</w:t>
      </w:r>
      <w:r>
        <w:rPr>
          <w:rFonts w:hint="eastAsia" w:ascii="Times New Roman" w:hAnsi="Times New Roman" w:cs="Times New Roman"/>
          <w:sz w:val="32"/>
        </w:rPr>
        <w:t>向县政府及县应急指挥部</w:t>
      </w:r>
      <w:r>
        <w:rPr>
          <w:rFonts w:ascii="Times New Roman" w:hAnsi="Times New Roman" w:cs="Times New Roman"/>
          <w:sz w:val="32"/>
        </w:rPr>
        <w:t>报告。</w:t>
      </w:r>
    </w:p>
    <w:p w14:paraId="27D99C49">
      <w:pPr>
        <w:ind w:firstLine="632"/>
        <w:rPr>
          <w:rFonts w:ascii="Times New Roman" w:hAnsi="Times New Roman" w:cs="Times New Roman"/>
          <w:sz w:val="32"/>
        </w:rPr>
      </w:pPr>
      <w:r>
        <w:rPr>
          <w:rFonts w:ascii="Times New Roman" w:hAnsi="Times New Roman" w:cs="Times New Roman"/>
          <w:sz w:val="32"/>
        </w:rPr>
        <w:t>事故发生单位和当地救援力量无法有效应对处置时，事故发生地</w:t>
      </w:r>
      <w:r>
        <w:rPr>
          <w:rFonts w:hint="eastAsia" w:ascii="Times New Roman" w:hAnsi="Times New Roman" w:cs="Times New Roman"/>
          <w:sz w:val="32"/>
        </w:rPr>
        <w:t>乡镇</w:t>
      </w:r>
      <w:r>
        <w:rPr>
          <w:rFonts w:ascii="Times New Roman" w:hAnsi="Times New Roman" w:cs="Times New Roman"/>
          <w:sz w:val="32"/>
        </w:rPr>
        <w:t>人民政府可以向</w:t>
      </w:r>
      <w:r>
        <w:rPr>
          <w:rFonts w:hint="eastAsia" w:ascii="Times New Roman" w:hAnsi="Times New Roman" w:cs="Times New Roman"/>
          <w:sz w:val="32"/>
        </w:rPr>
        <w:t>县政府</w:t>
      </w:r>
      <w:r>
        <w:rPr>
          <w:rFonts w:ascii="Times New Roman" w:hAnsi="Times New Roman" w:cs="Times New Roman"/>
          <w:sz w:val="32"/>
        </w:rPr>
        <w:t>请求增加救援力量。</w:t>
      </w:r>
    </w:p>
    <w:p w14:paraId="6FA71249">
      <w:pPr>
        <w:pStyle w:val="3"/>
        <w:ind w:firstLine="0" w:firstLineChars="0"/>
        <w:rPr>
          <w:rFonts w:ascii="Times New Roman" w:hAnsi="Times New Roman" w:cs="Times New Roman"/>
          <w:sz w:val="32"/>
        </w:rPr>
      </w:pPr>
      <w:bookmarkStart w:id="900" w:name="_Toc23995"/>
      <w:r>
        <w:rPr>
          <w:rFonts w:ascii="Times New Roman" w:hAnsi="Times New Roman" w:cs="Times New Roman"/>
          <w:sz w:val="32"/>
        </w:rPr>
        <w:t>分级响应</w:t>
      </w:r>
      <w:bookmarkEnd w:id="900"/>
    </w:p>
    <w:p w14:paraId="1E25758F">
      <w:pPr>
        <w:ind w:firstLine="632"/>
        <w:rPr>
          <w:rFonts w:ascii="Times New Roman" w:hAnsi="Times New Roman" w:cs="Times New Roman"/>
          <w:sz w:val="32"/>
        </w:rPr>
      </w:pPr>
      <w:r>
        <w:rPr>
          <w:rFonts w:ascii="Times New Roman" w:hAnsi="Times New Roman" w:cs="Times New Roman"/>
          <w:sz w:val="32"/>
        </w:rPr>
        <w:t>应急响应级别按发生的特种设备事故等级进行分级，分为Ⅰ级（特别重大）、Ⅱ级（重大）、Ⅲ级（较大）、Ⅳ级（一般）四个等级。特种设备事故发生后，县</w:t>
      </w:r>
      <w:r>
        <w:rPr>
          <w:rFonts w:hint="eastAsia" w:ascii="Times New Roman" w:hAnsi="Times New Roman" w:cs="Times New Roman"/>
          <w:sz w:val="32"/>
        </w:rPr>
        <w:t>应急指挥部办公室</w:t>
      </w:r>
      <w:r>
        <w:rPr>
          <w:rFonts w:ascii="Times New Roman" w:hAnsi="Times New Roman" w:cs="Times New Roman"/>
          <w:sz w:val="32"/>
        </w:rPr>
        <w:t>应当初判事故级别、应急处置能力及预期影响后果，研判确定本层级应急响应级别。对于事故本身比较敏感或发生在重点区域、重要时段的事故，可适当提高响应级别。</w:t>
      </w:r>
    </w:p>
    <w:p w14:paraId="263F5C3C">
      <w:pPr>
        <w:pStyle w:val="4"/>
        <w:numPr>
          <w:ilvl w:val="2"/>
          <w:numId w:val="149"/>
        </w:numPr>
        <w:tabs>
          <w:tab w:val="left" w:pos="0"/>
        </w:tabs>
        <w:ind w:firstLine="0" w:firstLineChars="0"/>
        <w:rPr>
          <w:rFonts w:ascii="Times New Roman" w:hAnsi="Times New Roman" w:cs="Times New Roman"/>
          <w:sz w:val="32"/>
        </w:rPr>
      </w:pPr>
      <w:r>
        <w:rPr>
          <w:rFonts w:ascii="Times New Roman" w:hAnsi="Times New Roman" w:cs="Times New Roman"/>
          <w:sz w:val="32"/>
        </w:rPr>
        <w:t>Ⅰ级响应</w:t>
      </w:r>
    </w:p>
    <w:p w14:paraId="7B182A5A">
      <w:pPr>
        <w:ind w:firstLine="632"/>
        <w:rPr>
          <w:rFonts w:ascii="Times New Roman" w:hAnsi="Times New Roman" w:cs="Times New Roman"/>
          <w:sz w:val="32"/>
        </w:rPr>
      </w:pPr>
      <w:r>
        <w:rPr>
          <w:rFonts w:ascii="Times New Roman" w:hAnsi="Times New Roman" w:cs="Times New Roman"/>
          <w:sz w:val="32"/>
        </w:rPr>
        <w:t>（1）启动条件</w:t>
      </w:r>
    </w:p>
    <w:p w14:paraId="3D5A3C4B">
      <w:pPr>
        <w:ind w:firstLine="632"/>
        <w:rPr>
          <w:rFonts w:ascii="Times New Roman" w:hAnsi="Times New Roman" w:cs="Times New Roman"/>
          <w:sz w:val="32"/>
        </w:rPr>
      </w:pPr>
      <w:r>
        <w:rPr>
          <w:rFonts w:ascii="Times New Roman" w:hAnsi="Times New Roman" w:cs="Times New Roman"/>
          <w:sz w:val="32"/>
        </w:rPr>
        <w:t>初判发生特种设备特别重大事故；发生在重点区域、重要时段的特种设备重大事故；事故本身比较敏感，处置不当可能造成严重后果的特种设备重大事故。</w:t>
      </w:r>
    </w:p>
    <w:p w14:paraId="773B1930">
      <w:pPr>
        <w:ind w:firstLine="632"/>
        <w:rPr>
          <w:rFonts w:ascii="Times New Roman" w:hAnsi="Times New Roman" w:cs="Times New Roman"/>
          <w:sz w:val="32"/>
        </w:rPr>
      </w:pPr>
      <w:r>
        <w:rPr>
          <w:rFonts w:ascii="Times New Roman" w:hAnsi="Times New Roman" w:cs="Times New Roman"/>
          <w:sz w:val="32"/>
        </w:rPr>
        <w:t>符合上述条件之一时，经县应急指挥部综合研判提出启动Ⅰ级响应的建议，由县委、县政府决定启动Ⅰ级应急响应，并采取响应措施，同时第一时间报请</w:t>
      </w:r>
      <w:r>
        <w:rPr>
          <w:rFonts w:hint="eastAsia" w:ascii="Times New Roman" w:hAnsi="Times New Roman" w:cs="Times New Roman"/>
          <w:sz w:val="32"/>
        </w:rPr>
        <w:t>双鸭山市政府</w:t>
      </w:r>
      <w:r>
        <w:rPr>
          <w:rFonts w:ascii="Times New Roman" w:hAnsi="Times New Roman" w:cs="Times New Roman"/>
          <w:sz w:val="32"/>
        </w:rPr>
        <w:t>后，由</w:t>
      </w:r>
      <w:r>
        <w:rPr>
          <w:rFonts w:hint="eastAsia" w:ascii="Times New Roman" w:hAnsi="Times New Roman" w:cs="Times New Roman"/>
          <w:sz w:val="32"/>
        </w:rPr>
        <w:t>双鸭山市政府</w:t>
      </w:r>
      <w:r>
        <w:rPr>
          <w:rFonts w:ascii="Times New Roman" w:hAnsi="Times New Roman" w:cs="Times New Roman"/>
          <w:sz w:val="32"/>
        </w:rPr>
        <w:t>报请</w:t>
      </w:r>
      <w:r>
        <w:rPr>
          <w:rFonts w:hint="eastAsia" w:ascii="Times New Roman" w:hAnsi="Times New Roman" w:cs="Times New Roman"/>
          <w:sz w:val="32"/>
        </w:rPr>
        <w:t>黑龙江</w:t>
      </w:r>
      <w:r>
        <w:rPr>
          <w:rFonts w:ascii="Times New Roman" w:hAnsi="Times New Roman" w:cs="Times New Roman"/>
          <w:sz w:val="32"/>
        </w:rPr>
        <w:t>省政府；在国务院的领导下，</w:t>
      </w:r>
      <w:r>
        <w:rPr>
          <w:rFonts w:hint="eastAsia" w:ascii="Times New Roman" w:hAnsi="Times New Roman" w:cs="Times New Roman"/>
          <w:sz w:val="32"/>
        </w:rPr>
        <w:t>黑龙江</w:t>
      </w:r>
      <w:r>
        <w:rPr>
          <w:rFonts w:ascii="Times New Roman" w:hAnsi="Times New Roman" w:cs="Times New Roman"/>
          <w:sz w:val="32"/>
        </w:rPr>
        <w:t>省政府会同国家有关部门，统一组织协调，调动全省资源和力量，进行紧急处置。</w:t>
      </w:r>
    </w:p>
    <w:p w14:paraId="52D60860">
      <w:pPr>
        <w:ind w:firstLine="632"/>
        <w:rPr>
          <w:rFonts w:ascii="Times New Roman" w:hAnsi="Times New Roman" w:cs="Times New Roman"/>
          <w:sz w:val="32"/>
        </w:rPr>
      </w:pPr>
      <w:r>
        <w:rPr>
          <w:rFonts w:ascii="Times New Roman" w:hAnsi="Times New Roman" w:cs="Times New Roman"/>
          <w:sz w:val="32"/>
        </w:rPr>
        <w:t>（2）响应措施</w:t>
      </w:r>
    </w:p>
    <w:p w14:paraId="422C3659">
      <w:pPr>
        <w:ind w:firstLine="632"/>
        <w:rPr>
          <w:rFonts w:ascii="Times New Roman" w:hAnsi="Times New Roman" w:cs="Times New Roman"/>
          <w:sz w:val="32"/>
        </w:rPr>
      </w:pPr>
      <w:r>
        <w:rPr>
          <w:rFonts w:ascii="Times New Roman" w:hAnsi="Times New Roman" w:cs="Times New Roman"/>
          <w:sz w:val="32"/>
        </w:rPr>
        <w:t>县应急指挥部进入应急状态，按照县委、县政府</w:t>
      </w:r>
      <w:r>
        <w:rPr>
          <w:rFonts w:hint="eastAsia" w:ascii="Times New Roman" w:hAnsi="Times New Roman" w:cs="Times New Roman"/>
          <w:sz w:val="32"/>
        </w:rPr>
        <w:t>和上级主管部门</w:t>
      </w:r>
      <w:r>
        <w:rPr>
          <w:rFonts w:ascii="Times New Roman" w:hAnsi="Times New Roman" w:cs="Times New Roman"/>
          <w:sz w:val="32"/>
        </w:rPr>
        <w:t>部署要求，统一组织开展特种设备事故应急处置工作；组织县应急指挥部有关成员单位召开联合会商会议，分析事故态势，研究救援措施及保障工作，县应急指挥部和负有相关安全监管职责的部门实行24小时值班，县应急指挥部办公室负责同志在岗带班，及时处置相关信息和事项</w:t>
      </w:r>
      <w:r>
        <w:rPr>
          <w:rFonts w:hint="eastAsia" w:ascii="Times New Roman" w:hAnsi="Times New Roman" w:cs="Times New Roman"/>
          <w:sz w:val="32"/>
        </w:rPr>
        <w:t>。</w:t>
      </w:r>
    </w:p>
    <w:p w14:paraId="16F24BBF">
      <w:pPr>
        <w:ind w:firstLine="632"/>
        <w:rPr>
          <w:rFonts w:ascii="Times New Roman" w:hAnsi="Times New Roman" w:cs="Times New Roman"/>
          <w:sz w:val="32"/>
        </w:rPr>
      </w:pPr>
      <w:r>
        <w:rPr>
          <w:rFonts w:ascii="Times New Roman" w:hAnsi="Times New Roman" w:cs="Times New Roman"/>
          <w:sz w:val="32"/>
        </w:rPr>
        <w:t>成立由县应急指挥部总指挥或县政府指定的负责同志为指挥长的事故现场指挥部，组织相关成员单位和人员赶赴事故现场开展应急救援；统一调度全县应急资源和力量实施应急救援，协调做好应急救援装备、物资调拨运输保障，必要时，请求省政府增调省级相关应急救援队伍，增派卫生应急队伍加强伤员救治。</w:t>
      </w:r>
    </w:p>
    <w:p w14:paraId="2500D5D2">
      <w:pPr>
        <w:ind w:firstLine="632"/>
        <w:rPr>
          <w:rFonts w:ascii="Times New Roman" w:hAnsi="Times New Roman" w:cs="Times New Roman"/>
          <w:sz w:val="32"/>
        </w:rPr>
      </w:pPr>
      <w:r>
        <w:rPr>
          <w:rFonts w:ascii="Times New Roman" w:hAnsi="Times New Roman" w:cs="Times New Roman"/>
          <w:sz w:val="32"/>
        </w:rPr>
        <w:t>对可能或者已经引发生态环境损害、公共卫生和社会安全突发事件的，及时上报省政府，同时通报相关领域的应急救援指挥机构。</w:t>
      </w:r>
    </w:p>
    <w:p w14:paraId="0D68B04B">
      <w:pPr>
        <w:pStyle w:val="4"/>
        <w:numPr>
          <w:ilvl w:val="2"/>
          <w:numId w:val="149"/>
        </w:numPr>
        <w:tabs>
          <w:tab w:val="left" w:pos="0"/>
        </w:tabs>
        <w:ind w:firstLine="0" w:firstLineChars="0"/>
        <w:rPr>
          <w:rFonts w:ascii="Times New Roman" w:hAnsi="Times New Roman" w:cs="Times New Roman"/>
          <w:sz w:val="32"/>
        </w:rPr>
      </w:pPr>
      <w:r>
        <w:rPr>
          <w:rFonts w:ascii="Times New Roman" w:hAnsi="Times New Roman" w:cs="Times New Roman"/>
          <w:sz w:val="32"/>
        </w:rPr>
        <w:t>Ⅱ级响应</w:t>
      </w:r>
    </w:p>
    <w:p w14:paraId="5C5457E1">
      <w:pPr>
        <w:ind w:firstLine="632"/>
        <w:rPr>
          <w:rFonts w:ascii="Times New Roman" w:hAnsi="Times New Roman" w:cs="Times New Roman"/>
          <w:sz w:val="32"/>
        </w:rPr>
      </w:pPr>
      <w:r>
        <w:rPr>
          <w:rFonts w:ascii="Times New Roman" w:hAnsi="Times New Roman" w:cs="Times New Roman"/>
          <w:sz w:val="32"/>
        </w:rPr>
        <w:t>（1）启动条件</w:t>
      </w:r>
    </w:p>
    <w:p w14:paraId="51A2A517">
      <w:pPr>
        <w:ind w:firstLine="632"/>
        <w:rPr>
          <w:rFonts w:ascii="Times New Roman" w:hAnsi="Times New Roman" w:cs="Times New Roman"/>
          <w:sz w:val="32"/>
        </w:rPr>
      </w:pPr>
      <w:r>
        <w:rPr>
          <w:rFonts w:ascii="Times New Roman" w:hAnsi="Times New Roman" w:cs="Times New Roman"/>
          <w:sz w:val="32"/>
        </w:rPr>
        <w:t>初判发生特种设备重大事故；发生在重点区域、重要时段的特种设备较大事故；事故本身比较敏感，处置不当可能造成严重后果的特种设备较大事故。</w:t>
      </w:r>
    </w:p>
    <w:p w14:paraId="09D9B3C0">
      <w:pPr>
        <w:ind w:firstLine="632"/>
        <w:rPr>
          <w:rFonts w:ascii="Times New Roman" w:hAnsi="Times New Roman" w:cs="Times New Roman"/>
          <w:sz w:val="32"/>
        </w:rPr>
      </w:pPr>
      <w:r>
        <w:rPr>
          <w:rFonts w:ascii="Times New Roman" w:hAnsi="Times New Roman" w:cs="Times New Roman"/>
          <w:sz w:val="32"/>
        </w:rPr>
        <w:t>符合上述条件之一时，经县应急指挥部综合研判提出启动Ⅱ级响应的建议，由县委、县政府决定启动Ⅱ级应急响应，同时第一时间报请</w:t>
      </w:r>
      <w:r>
        <w:rPr>
          <w:rFonts w:hint="eastAsia" w:ascii="Times New Roman" w:hAnsi="Times New Roman" w:cs="Times New Roman"/>
          <w:sz w:val="32"/>
        </w:rPr>
        <w:t>双鸭山市政府</w:t>
      </w:r>
      <w:r>
        <w:rPr>
          <w:rFonts w:ascii="Times New Roman" w:hAnsi="Times New Roman" w:cs="Times New Roman"/>
          <w:sz w:val="32"/>
        </w:rPr>
        <w:t>后，由</w:t>
      </w:r>
      <w:r>
        <w:rPr>
          <w:rFonts w:hint="eastAsia" w:ascii="Times New Roman" w:hAnsi="Times New Roman" w:cs="Times New Roman"/>
          <w:sz w:val="32"/>
        </w:rPr>
        <w:t>双鸭山市政府</w:t>
      </w:r>
      <w:r>
        <w:rPr>
          <w:rFonts w:ascii="Times New Roman" w:hAnsi="Times New Roman" w:cs="Times New Roman"/>
          <w:sz w:val="32"/>
        </w:rPr>
        <w:t>报请黑龙江省政府；</w:t>
      </w:r>
      <w:r>
        <w:rPr>
          <w:rFonts w:hint="eastAsia" w:ascii="Times New Roman" w:hAnsi="Times New Roman" w:cs="Times New Roman"/>
          <w:sz w:val="32"/>
        </w:rPr>
        <w:t>在黑龙江省政府的领导下，由双鸭山市政府会同省级有关部门调度双鸭山市的资源和力量，进行紧急处置</w:t>
      </w:r>
      <w:r>
        <w:rPr>
          <w:rFonts w:ascii="Times New Roman" w:hAnsi="Times New Roman" w:cs="Times New Roman"/>
          <w:sz w:val="32"/>
        </w:rPr>
        <w:t>。</w:t>
      </w:r>
    </w:p>
    <w:p w14:paraId="0A8746FA">
      <w:pPr>
        <w:ind w:firstLine="632"/>
        <w:rPr>
          <w:rFonts w:ascii="Times New Roman" w:hAnsi="Times New Roman" w:cs="Times New Roman"/>
          <w:sz w:val="32"/>
        </w:rPr>
      </w:pPr>
      <w:r>
        <w:rPr>
          <w:rFonts w:ascii="Times New Roman" w:hAnsi="Times New Roman" w:cs="Times New Roman"/>
          <w:sz w:val="32"/>
        </w:rPr>
        <w:t>（2）响应措施</w:t>
      </w:r>
    </w:p>
    <w:p w14:paraId="2E25E5CF">
      <w:pPr>
        <w:ind w:firstLine="632"/>
        <w:rPr>
          <w:rFonts w:ascii="Times New Roman" w:hAnsi="Times New Roman" w:cs="Times New Roman"/>
          <w:sz w:val="32"/>
        </w:rPr>
      </w:pPr>
      <w:r>
        <w:rPr>
          <w:rFonts w:ascii="Times New Roman" w:hAnsi="Times New Roman" w:cs="Times New Roman"/>
          <w:sz w:val="32"/>
        </w:rPr>
        <w:t>县应急指挥部进入应急状态，按照县委、县政府相关部署要求，统一组织开展特种设备事故应急处置工作；组织县应急指挥部有关成员单位召开联合会商会议，分析事故态势，研究救援措施及保障工作，县应急指挥部和负有相关安全监管职责的部门实行24小时值班，县应急指挥部办公室负责同志在岗带班，及时处置相关信息和事项</w:t>
      </w:r>
      <w:r>
        <w:rPr>
          <w:rFonts w:hint="eastAsia" w:ascii="Times New Roman" w:hAnsi="Times New Roman" w:cs="Times New Roman"/>
          <w:sz w:val="32"/>
        </w:rPr>
        <w:t>。</w:t>
      </w:r>
    </w:p>
    <w:p w14:paraId="57054156">
      <w:pPr>
        <w:ind w:firstLine="632"/>
        <w:rPr>
          <w:rFonts w:ascii="Times New Roman" w:hAnsi="Times New Roman" w:cs="Times New Roman"/>
          <w:sz w:val="32"/>
        </w:rPr>
      </w:pPr>
      <w:r>
        <w:rPr>
          <w:rFonts w:ascii="Times New Roman" w:hAnsi="Times New Roman" w:cs="Times New Roman"/>
          <w:sz w:val="32"/>
        </w:rPr>
        <w:t>成立由县应急指挥部总指挥或副总指挥为指挥长的事故现场指挥部，组织相关成员单位和人员赶赴事故现场开展应急救援；调动县内消防救援队伍、专业救援队伍和社会力量支援现场应急救援，协调做好卫生应急和受伤人员救治、应急救援装备、物资调拨运输保障</w:t>
      </w:r>
      <w:r>
        <w:rPr>
          <w:rFonts w:hint="eastAsia" w:ascii="Times New Roman" w:hAnsi="Times New Roman" w:cs="Times New Roman"/>
          <w:sz w:val="32"/>
        </w:rPr>
        <w:t>。</w:t>
      </w:r>
    </w:p>
    <w:p w14:paraId="218E41F9">
      <w:pPr>
        <w:ind w:firstLine="632"/>
        <w:rPr>
          <w:rFonts w:ascii="Times New Roman" w:hAnsi="Times New Roman" w:cs="Times New Roman"/>
          <w:sz w:val="32"/>
        </w:rPr>
      </w:pPr>
      <w:r>
        <w:rPr>
          <w:rFonts w:ascii="Times New Roman" w:hAnsi="Times New Roman" w:cs="Times New Roman"/>
          <w:sz w:val="32"/>
        </w:rPr>
        <w:t>对可能或者已经引发生态环境损害、公共卫生和社会安全突发事件的，及时上报省政府，同时通报相关领域的应急救援指挥机构。</w:t>
      </w:r>
    </w:p>
    <w:p w14:paraId="6E0D5094">
      <w:pPr>
        <w:pStyle w:val="4"/>
        <w:numPr>
          <w:ilvl w:val="2"/>
          <w:numId w:val="149"/>
        </w:numPr>
        <w:tabs>
          <w:tab w:val="left" w:pos="0"/>
        </w:tabs>
        <w:ind w:firstLine="0" w:firstLineChars="0"/>
        <w:rPr>
          <w:rFonts w:ascii="Times New Roman" w:hAnsi="Times New Roman" w:cs="Times New Roman"/>
          <w:sz w:val="32"/>
        </w:rPr>
      </w:pPr>
      <w:r>
        <w:rPr>
          <w:rFonts w:ascii="Times New Roman" w:hAnsi="Times New Roman" w:cs="Times New Roman"/>
          <w:sz w:val="32"/>
        </w:rPr>
        <w:t>Ⅲ级响应</w:t>
      </w:r>
    </w:p>
    <w:p w14:paraId="20E21220">
      <w:pPr>
        <w:ind w:firstLine="632"/>
        <w:rPr>
          <w:rFonts w:ascii="Times New Roman" w:hAnsi="Times New Roman" w:cs="Times New Roman"/>
          <w:sz w:val="32"/>
        </w:rPr>
      </w:pPr>
      <w:r>
        <w:rPr>
          <w:rFonts w:ascii="Times New Roman" w:hAnsi="Times New Roman" w:cs="Times New Roman"/>
          <w:sz w:val="32"/>
        </w:rPr>
        <w:t>（1）启动条件</w:t>
      </w:r>
    </w:p>
    <w:p w14:paraId="09DAD340">
      <w:pPr>
        <w:ind w:firstLine="632"/>
        <w:rPr>
          <w:rFonts w:ascii="Times New Roman" w:hAnsi="Times New Roman" w:cs="Times New Roman"/>
          <w:sz w:val="32"/>
        </w:rPr>
      </w:pPr>
      <w:r>
        <w:rPr>
          <w:rFonts w:ascii="Times New Roman" w:hAnsi="Times New Roman" w:cs="Times New Roman"/>
          <w:sz w:val="32"/>
        </w:rPr>
        <w:t>初判发生特种设备较大事故；发生在重点区域、重要时段的特种设备一般事故；事故本身比较敏感，处置不当可能造成严重后果的特种设备一般事故。</w:t>
      </w:r>
    </w:p>
    <w:p w14:paraId="0570DAE8">
      <w:pPr>
        <w:ind w:firstLine="632"/>
        <w:rPr>
          <w:rFonts w:ascii="Times New Roman" w:hAnsi="Times New Roman" w:cs="Times New Roman"/>
          <w:sz w:val="32"/>
        </w:rPr>
      </w:pPr>
      <w:r>
        <w:rPr>
          <w:rFonts w:ascii="Times New Roman" w:hAnsi="Times New Roman" w:cs="Times New Roman"/>
          <w:sz w:val="32"/>
        </w:rPr>
        <w:t>符合上述条件之一时，经县应急指挥部办公室综合研判提出启动Ⅲ级响应的建议，由县委、县政府决定启动Ⅲ级应急响应，同时第一时</w:t>
      </w:r>
      <w:r>
        <w:rPr>
          <w:rFonts w:hint="eastAsia" w:ascii="Times New Roman" w:hAnsi="Times New Roman" w:cs="Times New Roman"/>
          <w:sz w:val="32"/>
        </w:rPr>
        <w:t>间向双鸭山市政府</w:t>
      </w:r>
      <w:r>
        <w:rPr>
          <w:rFonts w:ascii="Times New Roman" w:hAnsi="Times New Roman" w:cs="Times New Roman"/>
          <w:sz w:val="32"/>
        </w:rPr>
        <w:t>报告。在</w:t>
      </w:r>
      <w:r>
        <w:rPr>
          <w:rFonts w:hint="eastAsia" w:ascii="Times New Roman" w:hAnsi="Times New Roman" w:cs="Times New Roman"/>
          <w:sz w:val="32"/>
        </w:rPr>
        <w:t>双鸭山市政府</w:t>
      </w:r>
      <w:r>
        <w:rPr>
          <w:rFonts w:ascii="Times New Roman" w:hAnsi="Times New Roman" w:cs="Times New Roman"/>
          <w:sz w:val="32"/>
        </w:rPr>
        <w:t>的领导</w:t>
      </w:r>
      <w:r>
        <w:rPr>
          <w:rFonts w:hint="eastAsia" w:ascii="Times New Roman" w:hAnsi="Times New Roman" w:cs="Times New Roman"/>
          <w:sz w:val="32"/>
        </w:rPr>
        <w:t>下，由县政府会同市级有关部门调度全县资源和力量</w:t>
      </w:r>
      <w:r>
        <w:rPr>
          <w:rFonts w:ascii="Times New Roman" w:hAnsi="Times New Roman" w:cs="Times New Roman"/>
          <w:sz w:val="32"/>
        </w:rPr>
        <w:t>，</w:t>
      </w:r>
      <w:r>
        <w:rPr>
          <w:rFonts w:hint="eastAsia" w:ascii="Times New Roman" w:hAnsi="Times New Roman" w:cs="Times New Roman"/>
          <w:sz w:val="32"/>
        </w:rPr>
        <w:t>统一</w:t>
      </w:r>
      <w:r>
        <w:rPr>
          <w:rFonts w:ascii="Times New Roman" w:hAnsi="Times New Roman" w:cs="Times New Roman"/>
          <w:sz w:val="32"/>
        </w:rPr>
        <w:t>组织开展事故应急处置。</w:t>
      </w:r>
    </w:p>
    <w:p w14:paraId="4FB26FD9">
      <w:pPr>
        <w:ind w:firstLine="632"/>
        <w:rPr>
          <w:rFonts w:ascii="Times New Roman" w:hAnsi="Times New Roman" w:cs="Times New Roman"/>
          <w:sz w:val="32"/>
        </w:rPr>
      </w:pPr>
      <w:r>
        <w:rPr>
          <w:rFonts w:ascii="Times New Roman" w:hAnsi="Times New Roman" w:cs="Times New Roman"/>
          <w:sz w:val="32"/>
        </w:rPr>
        <w:t>（2）响应措施</w:t>
      </w:r>
    </w:p>
    <w:p w14:paraId="0BE1254E">
      <w:pPr>
        <w:ind w:firstLine="632"/>
        <w:rPr>
          <w:rFonts w:ascii="Times New Roman" w:hAnsi="Times New Roman" w:cs="Times New Roman"/>
          <w:sz w:val="32"/>
        </w:rPr>
      </w:pPr>
      <w:r>
        <w:rPr>
          <w:rFonts w:ascii="Times New Roman" w:hAnsi="Times New Roman" w:cs="Times New Roman"/>
          <w:sz w:val="32"/>
        </w:rPr>
        <w:t>根据需要协调县应急指挥部成员单位组成工作组赶赴现场，指导、协调应急救援工作；根据需要调度县内专业救援队伍、社会力量、专家组、救援装备及物资支援现场应急救援；及时向县应急指挥部报告有关情况。</w:t>
      </w:r>
    </w:p>
    <w:p w14:paraId="42D6DD32">
      <w:pPr>
        <w:pStyle w:val="4"/>
        <w:numPr>
          <w:ilvl w:val="2"/>
          <w:numId w:val="149"/>
        </w:numPr>
        <w:tabs>
          <w:tab w:val="left" w:pos="0"/>
        </w:tabs>
        <w:ind w:firstLine="0" w:firstLineChars="0"/>
        <w:rPr>
          <w:rFonts w:ascii="Times New Roman" w:hAnsi="Times New Roman" w:cs="Times New Roman"/>
          <w:sz w:val="32"/>
        </w:rPr>
      </w:pPr>
      <w:r>
        <w:rPr>
          <w:rFonts w:ascii="Times New Roman" w:hAnsi="Times New Roman" w:cs="Times New Roman"/>
          <w:sz w:val="32"/>
        </w:rPr>
        <w:t>Ⅳ级响应</w:t>
      </w:r>
    </w:p>
    <w:p w14:paraId="7A532251">
      <w:pPr>
        <w:ind w:firstLine="632"/>
        <w:rPr>
          <w:rFonts w:ascii="Times New Roman" w:hAnsi="Times New Roman" w:cs="Times New Roman"/>
          <w:sz w:val="32"/>
        </w:rPr>
      </w:pPr>
      <w:r>
        <w:rPr>
          <w:rFonts w:ascii="Times New Roman" w:hAnsi="Times New Roman" w:cs="Times New Roman"/>
          <w:sz w:val="32"/>
        </w:rPr>
        <w:t>（1）启动条件</w:t>
      </w:r>
    </w:p>
    <w:p w14:paraId="0548086D">
      <w:pPr>
        <w:ind w:firstLine="632"/>
        <w:rPr>
          <w:rFonts w:ascii="Times New Roman" w:hAnsi="Times New Roman" w:cs="Times New Roman"/>
          <w:sz w:val="32"/>
        </w:rPr>
      </w:pPr>
      <w:r>
        <w:rPr>
          <w:rFonts w:ascii="Times New Roman" w:hAnsi="Times New Roman" w:cs="Times New Roman"/>
          <w:sz w:val="32"/>
        </w:rPr>
        <w:t>发生特种设备一般事故，根据事故发生地人民政府应急救援请求，由县应急指挥部综合研判，视情况决定启动Ⅳ级应急响应，同时第一时间向</w:t>
      </w:r>
      <w:r>
        <w:rPr>
          <w:rFonts w:hint="eastAsia" w:ascii="Times New Roman" w:hAnsi="Times New Roman" w:cs="Times New Roman"/>
          <w:sz w:val="32"/>
        </w:rPr>
        <w:t>县政府</w:t>
      </w:r>
      <w:r>
        <w:rPr>
          <w:rFonts w:ascii="Times New Roman" w:hAnsi="Times New Roman" w:cs="Times New Roman"/>
          <w:sz w:val="32"/>
        </w:rPr>
        <w:t>报告。在</w:t>
      </w:r>
      <w:r>
        <w:rPr>
          <w:rFonts w:hint="eastAsia" w:ascii="Times New Roman" w:hAnsi="Times New Roman" w:cs="Times New Roman"/>
          <w:sz w:val="32"/>
        </w:rPr>
        <w:t>县政府</w:t>
      </w:r>
      <w:r>
        <w:rPr>
          <w:rFonts w:ascii="Times New Roman" w:hAnsi="Times New Roman" w:cs="Times New Roman"/>
          <w:sz w:val="32"/>
        </w:rPr>
        <w:t>的领导</w:t>
      </w:r>
      <w:r>
        <w:rPr>
          <w:rFonts w:hint="eastAsia" w:ascii="Times New Roman" w:hAnsi="Times New Roman" w:cs="Times New Roman"/>
          <w:sz w:val="32"/>
        </w:rPr>
        <w:t>下，由事发地乡镇人民政府会同县级有关部门调度全县资源和力量</w:t>
      </w:r>
      <w:r>
        <w:rPr>
          <w:rFonts w:ascii="Times New Roman" w:hAnsi="Times New Roman" w:cs="Times New Roman"/>
          <w:sz w:val="32"/>
        </w:rPr>
        <w:t>，</w:t>
      </w:r>
      <w:r>
        <w:rPr>
          <w:rFonts w:hint="eastAsia" w:ascii="Times New Roman" w:hAnsi="Times New Roman" w:cs="Times New Roman"/>
          <w:sz w:val="32"/>
        </w:rPr>
        <w:t>统一</w:t>
      </w:r>
      <w:r>
        <w:rPr>
          <w:rFonts w:ascii="Times New Roman" w:hAnsi="Times New Roman" w:cs="Times New Roman"/>
          <w:sz w:val="32"/>
        </w:rPr>
        <w:t>组织开展事故应急处置。</w:t>
      </w:r>
    </w:p>
    <w:p w14:paraId="70EBBF75">
      <w:pPr>
        <w:ind w:firstLine="632"/>
        <w:rPr>
          <w:rFonts w:ascii="Times New Roman" w:hAnsi="Times New Roman" w:cs="Times New Roman"/>
          <w:sz w:val="32"/>
        </w:rPr>
      </w:pPr>
      <w:r>
        <w:rPr>
          <w:rFonts w:ascii="Times New Roman" w:hAnsi="Times New Roman" w:cs="Times New Roman"/>
          <w:sz w:val="32"/>
        </w:rPr>
        <w:t>县应急指挥部根据应急处置工作需要进行指导协调。</w:t>
      </w:r>
    </w:p>
    <w:p w14:paraId="52D6036E">
      <w:pPr>
        <w:ind w:firstLine="632"/>
        <w:rPr>
          <w:rFonts w:ascii="Times New Roman" w:hAnsi="Times New Roman" w:cs="Times New Roman"/>
          <w:sz w:val="32"/>
        </w:rPr>
      </w:pPr>
      <w:r>
        <w:rPr>
          <w:rFonts w:ascii="Times New Roman" w:hAnsi="Times New Roman" w:cs="Times New Roman"/>
          <w:sz w:val="32"/>
        </w:rPr>
        <w:t>（2）响应措施</w:t>
      </w:r>
    </w:p>
    <w:p w14:paraId="4C6D495E">
      <w:pPr>
        <w:ind w:firstLine="632"/>
        <w:rPr>
          <w:rFonts w:ascii="Times New Roman" w:hAnsi="Times New Roman" w:cs="Times New Roman"/>
          <w:sz w:val="32"/>
        </w:rPr>
      </w:pPr>
      <w:r>
        <w:rPr>
          <w:rFonts w:ascii="Times New Roman" w:hAnsi="Times New Roman" w:cs="Times New Roman"/>
          <w:sz w:val="32"/>
        </w:rPr>
        <w:t>县应急指挥部</w:t>
      </w:r>
      <w:r>
        <w:rPr>
          <w:rFonts w:hint="eastAsia" w:ascii="Times New Roman" w:hAnsi="Times New Roman" w:cs="Times New Roman"/>
          <w:sz w:val="32"/>
        </w:rPr>
        <w:t>办公室</w:t>
      </w:r>
      <w:r>
        <w:rPr>
          <w:rFonts w:ascii="Times New Roman" w:hAnsi="Times New Roman" w:cs="Times New Roman"/>
          <w:sz w:val="32"/>
        </w:rPr>
        <w:t>进入应急状态，及时协调开展应急处置；根据需要调度县内邻近应急救援队伍做好支援准备；及时向</w:t>
      </w:r>
      <w:r>
        <w:rPr>
          <w:rFonts w:hint="eastAsia" w:ascii="Times New Roman" w:hAnsi="Times New Roman" w:cs="Times New Roman"/>
          <w:sz w:val="32"/>
        </w:rPr>
        <w:t>县政府</w:t>
      </w:r>
      <w:r>
        <w:rPr>
          <w:rFonts w:ascii="Times New Roman" w:hAnsi="Times New Roman" w:cs="Times New Roman"/>
          <w:sz w:val="32"/>
        </w:rPr>
        <w:t>报告应急救援工作情况。</w:t>
      </w:r>
    </w:p>
    <w:p w14:paraId="3936CF70">
      <w:pPr>
        <w:pStyle w:val="3"/>
        <w:ind w:firstLine="0" w:firstLineChars="0"/>
        <w:rPr>
          <w:rFonts w:ascii="Times New Roman" w:hAnsi="Times New Roman" w:cs="Times New Roman"/>
          <w:sz w:val="32"/>
        </w:rPr>
      </w:pPr>
      <w:bookmarkStart w:id="901" w:name="_Toc19850"/>
      <w:r>
        <w:rPr>
          <w:rFonts w:ascii="Times New Roman" w:hAnsi="Times New Roman" w:cs="Times New Roman"/>
          <w:sz w:val="32"/>
        </w:rPr>
        <w:t>处置措施</w:t>
      </w:r>
      <w:bookmarkEnd w:id="901"/>
    </w:p>
    <w:p w14:paraId="37CC25F1">
      <w:pPr>
        <w:ind w:firstLine="632"/>
        <w:rPr>
          <w:rFonts w:ascii="Times New Roman" w:hAnsi="Times New Roman" w:cs="Times New Roman"/>
          <w:sz w:val="32"/>
        </w:rPr>
      </w:pPr>
      <w:r>
        <w:rPr>
          <w:rFonts w:ascii="Times New Roman" w:hAnsi="Times New Roman" w:cs="Times New Roman"/>
          <w:sz w:val="32"/>
        </w:rPr>
        <w:t>在</w:t>
      </w:r>
      <w:r>
        <w:rPr>
          <w:rFonts w:hint="eastAsia" w:ascii="Times New Roman" w:hAnsi="Times New Roman" w:cs="Times New Roman"/>
          <w:sz w:val="32"/>
        </w:rPr>
        <w:t>特种</w:t>
      </w:r>
      <w:r>
        <w:rPr>
          <w:rFonts w:ascii="Times New Roman" w:hAnsi="Times New Roman" w:cs="Times New Roman"/>
          <w:sz w:val="32"/>
        </w:rPr>
        <w:t>事故应急处置过程中，根据现场需要，现场指挥部可采取以下一项或多项措施进行处置。</w:t>
      </w:r>
    </w:p>
    <w:p w14:paraId="19A8AE5B">
      <w:pPr>
        <w:ind w:firstLine="632"/>
        <w:rPr>
          <w:rFonts w:ascii="Times New Roman" w:hAnsi="Times New Roman" w:cs="Times New Roman"/>
          <w:sz w:val="32"/>
        </w:rPr>
      </w:pPr>
      <w:r>
        <w:rPr>
          <w:rFonts w:ascii="Times New Roman" w:hAnsi="Times New Roman" w:cs="Times New Roman"/>
          <w:sz w:val="32"/>
        </w:rPr>
        <w:t>（1）设置警戒区域。警戒疏散组在</w:t>
      </w:r>
      <w:r>
        <w:rPr>
          <w:rFonts w:hint="eastAsia" w:ascii="Times New Roman" w:hAnsi="Times New Roman" w:cs="Times New Roman"/>
          <w:sz w:val="32"/>
        </w:rPr>
        <w:t>特种设备事故</w:t>
      </w:r>
      <w:r>
        <w:rPr>
          <w:rFonts w:ascii="Times New Roman" w:hAnsi="Times New Roman" w:cs="Times New Roman"/>
          <w:sz w:val="32"/>
        </w:rPr>
        <w:t>现场及周边设置警戒区，对进入</w:t>
      </w:r>
      <w:r>
        <w:rPr>
          <w:rFonts w:hint="eastAsia" w:ascii="Times New Roman" w:hAnsi="Times New Roman" w:cs="Times New Roman"/>
          <w:sz w:val="32"/>
        </w:rPr>
        <w:t>特种设备事故</w:t>
      </w:r>
      <w:r>
        <w:rPr>
          <w:rFonts w:ascii="Times New Roman" w:hAnsi="Times New Roman" w:cs="Times New Roman"/>
          <w:sz w:val="32"/>
        </w:rPr>
        <w:t>现场的人员、车辆等实施管控，维护事发现场及周边的治安秩序。</w:t>
      </w:r>
    </w:p>
    <w:p w14:paraId="7471FF0D">
      <w:pPr>
        <w:ind w:firstLine="632"/>
        <w:rPr>
          <w:rFonts w:ascii="Times New Roman" w:hAnsi="Times New Roman" w:cs="Times New Roman"/>
          <w:sz w:val="32"/>
        </w:rPr>
      </w:pPr>
      <w:r>
        <w:rPr>
          <w:rFonts w:ascii="Times New Roman" w:hAnsi="Times New Roman" w:cs="Times New Roman"/>
          <w:sz w:val="32"/>
        </w:rPr>
        <w:t>（2）交通管制和疏导。因</w:t>
      </w:r>
      <w:r>
        <w:rPr>
          <w:rFonts w:hint="eastAsia" w:ascii="Times New Roman" w:hAnsi="Times New Roman" w:cs="Times New Roman"/>
          <w:sz w:val="32"/>
        </w:rPr>
        <w:t>特种设备事故</w:t>
      </w:r>
      <w:r>
        <w:rPr>
          <w:rFonts w:ascii="Times New Roman" w:hAnsi="Times New Roman" w:cs="Times New Roman"/>
          <w:sz w:val="32"/>
        </w:rPr>
        <w:t>影响相关道路正常通行的，警戒疏散组应及时对受影响路段采取交通疏导措施，必要时实施交通管制，预防次生事故发生。因抢险救援需要占用相关道路时，对占用道路实施交通疏导或管制，为应急处置人员、车辆及物资开辟快速到达事发现场的安全通道。</w:t>
      </w:r>
    </w:p>
    <w:p w14:paraId="47BF6B65">
      <w:pPr>
        <w:ind w:firstLine="632"/>
        <w:rPr>
          <w:rFonts w:ascii="Times New Roman" w:hAnsi="Times New Roman" w:cs="Times New Roman"/>
          <w:sz w:val="32"/>
        </w:rPr>
      </w:pPr>
      <w:r>
        <w:rPr>
          <w:rFonts w:ascii="Times New Roman" w:hAnsi="Times New Roman" w:cs="Times New Roman"/>
          <w:sz w:val="32"/>
        </w:rPr>
        <w:t>（3）风险监测。根据</w:t>
      </w:r>
      <w:r>
        <w:rPr>
          <w:rFonts w:hint="eastAsia" w:ascii="Times New Roman" w:hAnsi="Times New Roman" w:cs="Times New Roman"/>
          <w:sz w:val="32"/>
        </w:rPr>
        <w:t>特种设备事故</w:t>
      </w:r>
      <w:r>
        <w:rPr>
          <w:rFonts w:ascii="Times New Roman" w:hAnsi="Times New Roman" w:cs="Times New Roman"/>
          <w:sz w:val="32"/>
        </w:rPr>
        <w:t>的性质、险情状况和抢险需要，现场指挥部组织专业监测机构，对事发现场及受影响范围的地形、建筑物、构筑物情况进行监测，并将监测情况及时提交现场指挥部。</w:t>
      </w:r>
    </w:p>
    <w:p w14:paraId="45698A11">
      <w:pPr>
        <w:ind w:firstLine="632"/>
        <w:rPr>
          <w:rFonts w:ascii="Times New Roman" w:hAnsi="Times New Roman" w:cs="Times New Roman"/>
          <w:sz w:val="32"/>
        </w:rPr>
      </w:pPr>
      <w:r>
        <w:rPr>
          <w:rFonts w:ascii="Times New Roman" w:hAnsi="Times New Roman" w:cs="Times New Roman"/>
          <w:sz w:val="32"/>
        </w:rPr>
        <w:t>（4）专家会商。专家组针对应急处置中出现的技术类问题或风险源监测数据，及时进行会商，形成专家意见，确定解决方案，并指导相关单位实施。</w:t>
      </w:r>
    </w:p>
    <w:p w14:paraId="19FAC2C9">
      <w:pPr>
        <w:ind w:firstLine="632"/>
        <w:rPr>
          <w:rFonts w:ascii="Times New Roman" w:hAnsi="Times New Roman" w:cs="Times New Roman"/>
          <w:sz w:val="32"/>
        </w:rPr>
      </w:pPr>
      <w:r>
        <w:rPr>
          <w:rFonts w:ascii="Times New Roman" w:hAnsi="Times New Roman" w:cs="Times New Roman"/>
          <w:sz w:val="32"/>
        </w:rPr>
        <w:t>（5）隐患排查。抢险救援组组织、协调</w:t>
      </w:r>
      <w:r>
        <w:rPr>
          <w:rFonts w:hint="eastAsia" w:ascii="Times New Roman" w:hAnsi="Times New Roman" w:cs="Times New Roman"/>
          <w:sz w:val="32"/>
        </w:rPr>
        <w:t>特种设备事故</w:t>
      </w:r>
      <w:r>
        <w:rPr>
          <w:rFonts w:ascii="Times New Roman" w:hAnsi="Times New Roman" w:cs="Times New Roman"/>
          <w:sz w:val="32"/>
        </w:rPr>
        <w:t>点周边管线、设施、建筑物及构筑物产权单位根据发生事故类型，迅速开展必要隐患排查工作，确认受影响管线、设施、建筑物及构筑物的数量、位置及状态，制定防止次生、衍生事故发生的方案，尽可能防止次生、衍生事故的发生。</w:t>
      </w:r>
    </w:p>
    <w:p w14:paraId="270C2502">
      <w:pPr>
        <w:ind w:firstLine="632"/>
        <w:rPr>
          <w:rFonts w:ascii="Times New Roman" w:hAnsi="Times New Roman" w:cs="Times New Roman"/>
          <w:sz w:val="32"/>
        </w:rPr>
      </w:pPr>
      <w:r>
        <w:rPr>
          <w:rFonts w:ascii="Times New Roman" w:hAnsi="Times New Roman" w:cs="Times New Roman"/>
          <w:sz w:val="32"/>
        </w:rPr>
        <w:t>（6）抢修和关停。因</w:t>
      </w:r>
      <w:r>
        <w:rPr>
          <w:rFonts w:hint="eastAsia" w:ascii="Times New Roman" w:hAnsi="Times New Roman" w:cs="Times New Roman"/>
          <w:sz w:val="32"/>
        </w:rPr>
        <w:t>特种设备事故</w:t>
      </w:r>
      <w:r>
        <w:rPr>
          <w:rFonts w:ascii="Times New Roman" w:hAnsi="Times New Roman" w:cs="Times New Roman"/>
          <w:sz w:val="32"/>
        </w:rPr>
        <w:t>导致管线设施、建筑物及构筑物损坏的，在不影响应急处置工作正常开展的前提下，抢险救援组立即组织相关单位对损坏的管线设施、建筑物及构筑物进行抢修；对短时间内难以修复的，相关主管预案成员单位组织其产权单位在确保安全的情况下采取紧急关停措施，并做好受影响范围内单位和居民的沟通和解释工作。</w:t>
      </w:r>
    </w:p>
    <w:p w14:paraId="17AAEF77">
      <w:pPr>
        <w:ind w:firstLine="632"/>
        <w:rPr>
          <w:rFonts w:ascii="Times New Roman" w:hAnsi="Times New Roman" w:cs="Times New Roman"/>
          <w:sz w:val="32"/>
        </w:rPr>
      </w:pPr>
      <w:r>
        <w:rPr>
          <w:rFonts w:ascii="Times New Roman" w:hAnsi="Times New Roman" w:cs="Times New Roman"/>
          <w:sz w:val="32"/>
        </w:rPr>
        <w:t>（7）安全疏散。根据</w:t>
      </w:r>
      <w:r>
        <w:rPr>
          <w:rFonts w:hint="eastAsia" w:ascii="Times New Roman" w:hAnsi="Times New Roman" w:cs="Times New Roman"/>
          <w:sz w:val="32"/>
        </w:rPr>
        <w:t>特种设备事故</w:t>
      </w:r>
      <w:r>
        <w:rPr>
          <w:rFonts w:ascii="Times New Roman" w:hAnsi="Times New Roman" w:cs="Times New Roman"/>
          <w:sz w:val="32"/>
        </w:rPr>
        <w:t>的类别、规模和危害程度，当</w:t>
      </w:r>
      <w:r>
        <w:rPr>
          <w:rFonts w:hint="eastAsia" w:ascii="Times New Roman" w:hAnsi="Times New Roman" w:cs="Times New Roman"/>
          <w:sz w:val="32"/>
        </w:rPr>
        <w:t>特种设备事故</w:t>
      </w:r>
      <w:r>
        <w:rPr>
          <w:rFonts w:ascii="Times New Roman" w:hAnsi="Times New Roman" w:cs="Times New Roman"/>
          <w:sz w:val="32"/>
        </w:rPr>
        <w:t>对周边建筑物、构筑物安全造成影响时，现场指挥部应设立安全避险区域，警戒疏散组组织危险建筑物内的人员转移到安全避险区域并做好相关安置工作。</w:t>
      </w:r>
    </w:p>
    <w:p w14:paraId="715F5231">
      <w:pPr>
        <w:ind w:firstLine="632"/>
        <w:rPr>
          <w:rFonts w:ascii="Times New Roman" w:hAnsi="Times New Roman" w:cs="Times New Roman"/>
          <w:sz w:val="32"/>
        </w:rPr>
      </w:pPr>
      <w:r>
        <w:rPr>
          <w:rFonts w:ascii="Times New Roman" w:hAnsi="Times New Roman" w:cs="Times New Roman"/>
          <w:sz w:val="32"/>
        </w:rPr>
        <w:t>（8）医疗救助。医疗救护组在第一时间对营救出的受伤人员进行急救、初步判定伤情并及时转运到医院，最大可能地减少人员伤亡，公安交管部门为转运工作进行交通疏导。</w:t>
      </w:r>
    </w:p>
    <w:p w14:paraId="52FB25AC">
      <w:pPr>
        <w:pStyle w:val="3"/>
        <w:ind w:firstLine="0" w:firstLineChars="0"/>
        <w:rPr>
          <w:rFonts w:ascii="Times New Roman" w:hAnsi="Times New Roman" w:cs="Times New Roman"/>
          <w:sz w:val="32"/>
        </w:rPr>
      </w:pPr>
      <w:bookmarkStart w:id="902" w:name="_Toc31116"/>
      <w:r>
        <w:rPr>
          <w:rFonts w:ascii="Times New Roman" w:hAnsi="Times New Roman" w:cs="Times New Roman"/>
          <w:sz w:val="32"/>
        </w:rPr>
        <w:t>信息发布</w:t>
      </w:r>
      <w:bookmarkEnd w:id="902"/>
    </w:p>
    <w:p w14:paraId="67D8F7EA">
      <w:pPr>
        <w:ind w:firstLine="632"/>
        <w:rPr>
          <w:rFonts w:ascii="Times New Roman" w:hAnsi="Times New Roman" w:cs="Times New Roman"/>
          <w:sz w:val="32"/>
        </w:rPr>
      </w:pPr>
      <w:r>
        <w:rPr>
          <w:rFonts w:hint="eastAsia" w:ascii="Times New Roman" w:hAnsi="Times New Roman" w:cs="Times New Roman"/>
          <w:sz w:val="32"/>
        </w:rPr>
        <w:t>特种设备事故</w:t>
      </w:r>
      <w:r>
        <w:rPr>
          <w:rFonts w:ascii="Times New Roman" w:hAnsi="Times New Roman" w:cs="Times New Roman"/>
          <w:sz w:val="32"/>
        </w:rPr>
        <w:t>信息发布工作在县委宣传部的指导下，</w:t>
      </w:r>
      <w:r>
        <w:rPr>
          <w:rFonts w:hint="eastAsia" w:ascii="Times New Roman" w:hAnsi="Times New Roman" w:cs="Times New Roman"/>
          <w:sz w:val="32"/>
        </w:rPr>
        <w:t>依法</w:t>
      </w:r>
      <w:r>
        <w:rPr>
          <w:rFonts w:ascii="Times New Roman" w:hAnsi="Times New Roman" w:cs="Times New Roman"/>
          <w:sz w:val="32"/>
        </w:rPr>
        <w:t>授权发布。信息发布工作可通过发布新闻通稿、接受记者采访、举办新闻发布会、媒体通气会等方式，主动、准确、客观地向社会发布相关信息，回应社会关切，澄清不实信息，正确引导社会舆论。信息发布内容包括事故原因、损害程度、影响范围、应对措施、需要公众配合采取的措施、公众防范常识和事故调查处理进展情况等。</w:t>
      </w:r>
    </w:p>
    <w:p w14:paraId="33386D21">
      <w:pPr>
        <w:pStyle w:val="3"/>
        <w:ind w:firstLine="0" w:firstLineChars="0"/>
        <w:rPr>
          <w:rFonts w:ascii="Times New Roman" w:hAnsi="Times New Roman" w:cs="Times New Roman"/>
          <w:sz w:val="32"/>
        </w:rPr>
      </w:pPr>
      <w:bookmarkStart w:id="903" w:name="_Toc20521"/>
      <w:r>
        <w:rPr>
          <w:rFonts w:ascii="Times New Roman" w:hAnsi="Times New Roman" w:cs="Times New Roman"/>
          <w:sz w:val="32"/>
        </w:rPr>
        <w:t>扩大响应</w:t>
      </w:r>
      <w:bookmarkEnd w:id="903"/>
    </w:p>
    <w:p w14:paraId="6DC45C40">
      <w:pPr>
        <w:ind w:firstLine="632"/>
        <w:rPr>
          <w:rFonts w:ascii="Times New Roman" w:hAnsi="Times New Roman" w:cs="Times New Roman"/>
          <w:sz w:val="32"/>
        </w:rPr>
      </w:pPr>
      <w:r>
        <w:rPr>
          <w:rFonts w:ascii="Times New Roman" w:hAnsi="Times New Roman" w:cs="Times New Roman"/>
          <w:sz w:val="32"/>
        </w:rPr>
        <w:t>若事态进一步扩大，县应急指挥部依靠自身力量无法对事态进行有效控制，或发生重大、特别重大的</w:t>
      </w:r>
      <w:r>
        <w:rPr>
          <w:rFonts w:hint="eastAsia" w:ascii="Times New Roman" w:hAnsi="Times New Roman" w:cs="Times New Roman"/>
          <w:sz w:val="32"/>
        </w:rPr>
        <w:t>特种设备事故</w:t>
      </w:r>
      <w:r>
        <w:rPr>
          <w:rFonts w:ascii="Times New Roman" w:hAnsi="Times New Roman" w:cs="Times New Roman"/>
          <w:sz w:val="32"/>
        </w:rPr>
        <w:t>时，县应急指挥部在启动本预案的同时，按程序将信息上报至上级人民政府。在上级应急指挥机构的领导下，积极配合上级应急指挥机构做好应急处置工作。</w:t>
      </w:r>
    </w:p>
    <w:p w14:paraId="1B310948">
      <w:pPr>
        <w:pStyle w:val="3"/>
        <w:ind w:firstLine="0" w:firstLineChars="0"/>
        <w:rPr>
          <w:rFonts w:ascii="Times New Roman" w:hAnsi="Times New Roman" w:cs="Times New Roman"/>
          <w:sz w:val="32"/>
        </w:rPr>
      </w:pPr>
      <w:bookmarkStart w:id="904" w:name="_Toc5524"/>
      <w:r>
        <w:rPr>
          <w:rFonts w:ascii="Times New Roman" w:hAnsi="Times New Roman" w:cs="Times New Roman"/>
          <w:sz w:val="32"/>
        </w:rPr>
        <w:t>响应结束</w:t>
      </w:r>
      <w:bookmarkEnd w:id="904"/>
    </w:p>
    <w:p w14:paraId="29FF8880">
      <w:pPr>
        <w:ind w:firstLine="632"/>
        <w:rPr>
          <w:rFonts w:ascii="Times New Roman" w:hAnsi="Times New Roman" w:cs="Times New Roman"/>
          <w:sz w:val="32"/>
        </w:rPr>
      </w:pPr>
      <w:r>
        <w:rPr>
          <w:rFonts w:ascii="Times New Roman" w:hAnsi="Times New Roman" w:cs="Times New Roman"/>
          <w:sz w:val="32"/>
        </w:rPr>
        <w:t>当现场遇险人员全部获救，伤亡人数已经核清，应急处置工作基本结束，次生或衍生事故隐患等危险因素消除，由县</w:t>
      </w:r>
      <w:r>
        <w:rPr>
          <w:rFonts w:hint="eastAsia" w:ascii="Times New Roman" w:hAnsi="Times New Roman" w:cs="Times New Roman"/>
          <w:sz w:val="32"/>
        </w:rPr>
        <w:t>应急</w:t>
      </w:r>
      <w:r>
        <w:rPr>
          <w:rFonts w:ascii="Times New Roman" w:hAnsi="Times New Roman" w:cs="Times New Roman"/>
          <w:sz w:val="32"/>
        </w:rPr>
        <w:t>指挥部办公室提出终止应急响应建议，经县应急指挥部总指挥批准后，宣布应急响应结束</w:t>
      </w:r>
      <w:r>
        <w:rPr>
          <w:rFonts w:hint="eastAsia" w:ascii="Times New Roman" w:hAnsi="Times New Roman" w:cs="Times New Roman"/>
          <w:sz w:val="32"/>
        </w:rPr>
        <w:t>。</w:t>
      </w:r>
    </w:p>
    <w:p w14:paraId="1F639E75">
      <w:pPr>
        <w:ind w:firstLine="632"/>
        <w:rPr>
          <w:rFonts w:ascii="Times New Roman" w:hAnsi="Times New Roman" w:cs="Times New Roman"/>
          <w:sz w:val="32"/>
        </w:rPr>
      </w:pPr>
      <w:r>
        <w:rPr>
          <w:rFonts w:ascii="Times New Roman" w:hAnsi="Times New Roman" w:cs="Times New Roman"/>
          <w:sz w:val="32"/>
        </w:rPr>
        <w:t>由上级应急指挥机构负责处置的</w:t>
      </w:r>
      <w:r>
        <w:rPr>
          <w:rFonts w:hint="eastAsia" w:ascii="Times New Roman" w:hAnsi="Times New Roman" w:cs="Times New Roman"/>
          <w:sz w:val="32"/>
        </w:rPr>
        <w:t>特种设备事故</w:t>
      </w:r>
      <w:r>
        <w:rPr>
          <w:rFonts w:ascii="Times New Roman" w:hAnsi="Times New Roman" w:cs="Times New Roman"/>
          <w:sz w:val="32"/>
        </w:rPr>
        <w:t>，在上级应急指挥部宣布应急响应结束时，本预案响应即告结束。</w:t>
      </w:r>
    </w:p>
    <w:p w14:paraId="2254A3AF">
      <w:pPr>
        <w:pStyle w:val="2"/>
        <w:numPr>
          <w:ilvl w:val="0"/>
          <w:numId w:val="149"/>
        </w:numPr>
        <w:tabs>
          <w:tab w:val="left" w:pos="0"/>
        </w:tabs>
        <w:ind w:firstLine="0" w:firstLineChars="0"/>
        <w:rPr>
          <w:rFonts w:ascii="Times New Roman" w:hAnsi="Times New Roman" w:cs="Times New Roman"/>
          <w:sz w:val="32"/>
        </w:rPr>
      </w:pPr>
      <w:bookmarkStart w:id="905" w:name="_Toc7677"/>
      <w:r>
        <w:rPr>
          <w:rFonts w:ascii="Times New Roman" w:hAnsi="Times New Roman" w:cs="Times New Roman"/>
          <w:sz w:val="32"/>
        </w:rPr>
        <w:t>后期处置</w:t>
      </w:r>
      <w:bookmarkEnd w:id="905"/>
    </w:p>
    <w:p w14:paraId="5CAF204C">
      <w:pPr>
        <w:pStyle w:val="3"/>
        <w:ind w:firstLine="0" w:firstLineChars="0"/>
        <w:rPr>
          <w:rFonts w:ascii="Times New Roman" w:hAnsi="Times New Roman" w:cs="Times New Roman"/>
          <w:sz w:val="32"/>
        </w:rPr>
      </w:pPr>
      <w:bookmarkStart w:id="906" w:name="_Toc7541"/>
      <w:r>
        <w:rPr>
          <w:rFonts w:ascii="Times New Roman" w:hAnsi="Times New Roman" w:cs="Times New Roman"/>
          <w:sz w:val="32"/>
        </w:rPr>
        <w:t>善后处置</w:t>
      </w:r>
      <w:bookmarkEnd w:id="906"/>
    </w:p>
    <w:p w14:paraId="4DCFA0DE">
      <w:pPr>
        <w:ind w:firstLine="632"/>
        <w:rPr>
          <w:rFonts w:ascii="Times New Roman" w:hAnsi="Times New Roman" w:cs="Times New Roman"/>
          <w:sz w:val="32"/>
        </w:rPr>
      </w:pPr>
      <w:r>
        <w:rPr>
          <w:rFonts w:ascii="Times New Roman" w:hAnsi="Times New Roman" w:cs="Times New Roman"/>
          <w:sz w:val="32"/>
        </w:rPr>
        <w:t>特种设备特别重大事故或重大事故的善后处置工作，由县应急指挥部会同</w:t>
      </w:r>
      <w:r>
        <w:rPr>
          <w:rFonts w:hint="eastAsia" w:ascii="Times New Roman" w:hAnsi="Times New Roman" w:cs="Times New Roman"/>
          <w:sz w:val="32"/>
        </w:rPr>
        <w:t>黑龙江</w:t>
      </w:r>
      <w:r>
        <w:rPr>
          <w:rFonts w:ascii="Times New Roman" w:hAnsi="Times New Roman" w:cs="Times New Roman"/>
          <w:sz w:val="32"/>
        </w:rPr>
        <w:t>省政府有关部门，协调各成员单位共同组织实施。特种设备较大事故的善后处置工作，在</w:t>
      </w:r>
      <w:r>
        <w:rPr>
          <w:rFonts w:hint="eastAsia" w:ascii="Times New Roman" w:hAnsi="Times New Roman" w:cs="Times New Roman"/>
          <w:sz w:val="32"/>
        </w:rPr>
        <w:t>双鸭山市</w:t>
      </w:r>
      <w:r>
        <w:rPr>
          <w:rFonts w:ascii="Times New Roman" w:hAnsi="Times New Roman" w:cs="Times New Roman"/>
          <w:sz w:val="32"/>
        </w:rPr>
        <w:t>政府的领导下组织实施。特种设备一般事故的善后处置工作，在</w:t>
      </w:r>
      <w:r>
        <w:rPr>
          <w:rFonts w:hint="eastAsia" w:ascii="Times New Roman" w:hAnsi="Times New Roman" w:cs="Times New Roman"/>
          <w:sz w:val="32"/>
        </w:rPr>
        <w:t>县</w:t>
      </w:r>
      <w:r>
        <w:rPr>
          <w:rFonts w:ascii="Times New Roman" w:hAnsi="Times New Roman" w:cs="Times New Roman"/>
          <w:sz w:val="32"/>
        </w:rPr>
        <w:t>政府的领导下组织实施。</w:t>
      </w:r>
    </w:p>
    <w:p w14:paraId="08565FE8">
      <w:pPr>
        <w:ind w:firstLine="632"/>
        <w:rPr>
          <w:rFonts w:ascii="Times New Roman" w:hAnsi="Times New Roman" w:cs="Times New Roman"/>
          <w:sz w:val="32"/>
        </w:rPr>
      </w:pPr>
      <w:r>
        <w:rPr>
          <w:rFonts w:ascii="Times New Roman" w:hAnsi="Times New Roman" w:cs="Times New Roman"/>
          <w:sz w:val="32"/>
        </w:rPr>
        <w:t>善后处置主要包括人员安置、补偿，征用物资补偿，灾后重建，污染物收集、清理、处理及环境损害评估等事项。善后处置责任部门（单位）应当尽快消除事故影响，做好遇难者善后事宜及其家属的安抚工作，做好受伤人员的医疗救助，妥善安置和慰问受影响群众，尽快</w:t>
      </w:r>
      <w:r>
        <w:rPr>
          <w:rFonts w:hint="eastAsia" w:ascii="Times New Roman" w:hAnsi="Times New Roman" w:cs="Times New Roman"/>
          <w:sz w:val="32"/>
        </w:rPr>
        <w:t>恢复正常</w:t>
      </w:r>
      <w:r>
        <w:rPr>
          <w:rFonts w:ascii="Times New Roman" w:hAnsi="Times New Roman" w:cs="Times New Roman"/>
          <w:sz w:val="32"/>
        </w:rPr>
        <w:t>生产生活秩序。对受害、伤亡人员及其家属的抚恤、理赔、补偿按有关规定执行。对造成生态环境损害的，按有关程序进行索赔。</w:t>
      </w:r>
    </w:p>
    <w:p w14:paraId="3B56719F">
      <w:pPr>
        <w:pStyle w:val="3"/>
        <w:ind w:firstLine="0" w:firstLineChars="0"/>
        <w:rPr>
          <w:rFonts w:ascii="Times New Roman" w:hAnsi="Times New Roman" w:cs="Times New Roman"/>
          <w:sz w:val="32"/>
        </w:rPr>
      </w:pPr>
      <w:bookmarkStart w:id="907" w:name="_Toc11486"/>
      <w:r>
        <w:rPr>
          <w:rFonts w:hint="eastAsia" w:ascii="Times New Roman" w:hAnsi="Times New Roman" w:cs="Times New Roman"/>
          <w:sz w:val="32"/>
        </w:rPr>
        <w:t>事故调查</w:t>
      </w:r>
      <w:bookmarkEnd w:id="907"/>
    </w:p>
    <w:p w14:paraId="7ED4E087">
      <w:pPr>
        <w:ind w:firstLine="632"/>
        <w:rPr>
          <w:rFonts w:ascii="Times New Roman" w:hAnsi="Times New Roman" w:cs="Times New Roman"/>
          <w:sz w:val="32"/>
        </w:rPr>
      </w:pPr>
      <w:r>
        <w:rPr>
          <w:rFonts w:hint="eastAsia" w:ascii="Times New Roman" w:hAnsi="Times New Roman" w:cs="Times New Roman"/>
          <w:sz w:val="32"/>
        </w:rPr>
        <w:t>特种设备事故得到控制、事故现场安全秩序恢复后，应当按照《中华人民共和国特种设备安全法》《特种设备安全监察条例》《特种设备事故报告和调查处理规定》《特种设备事故报告和调查处理导则》等法律法规、规章和有关规定，及时组织开展特种设备事故调查处理。</w:t>
      </w:r>
    </w:p>
    <w:p w14:paraId="1E901D54">
      <w:pPr>
        <w:pStyle w:val="3"/>
        <w:ind w:firstLine="0" w:firstLineChars="0"/>
        <w:rPr>
          <w:rFonts w:ascii="Times New Roman" w:hAnsi="Times New Roman" w:cs="Times New Roman"/>
          <w:sz w:val="32"/>
        </w:rPr>
      </w:pPr>
      <w:bookmarkStart w:id="908" w:name="_Toc3426"/>
      <w:r>
        <w:rPr>
          <w:rFonts w:hint="eastAsia" w:ascii="Times New Roman" w:hAnsi="Times New Roman" w:cs="Times New Roman"/>
          <w:sz w:val="32"/>
        </w:rPr>
        <w:t>恢复重建</w:t>
      </w:r>
      <w:bookmarkEnd w:id="908"/>
    </w:p>
    <w:p w14:paraId="536D8A6C">
      <w:pPr>
        <w:ind w:firstLine="632"/>
        <w:rPr>
          <w:rFonts w:ascii="Times New Roman" w:hAnsi="Times New Roman" w:cs="Times New Roman"/>
          <w:sz w:val="32"/>
        </w:rPr>
      </w:pPr>
      <w:r>
        <w:rPr>
          <w:rFonts w:hint="eastAsia" w:ascii="Times New Roman" w:hAnsi="Times New Roman" w:cs="Times New Roman"/>
          <w:sz w:val="32"/>
        </w:rPr>
        <w:t>发生事故的特种设备，须由市场监管部门许可或核准的具有相应资质的单位进行全面检修、检验，经检验合格后方可重新投入使用。对严重损毁、无修复价值的，使用单位应予以报废。</w:t>
      </w:r>
    </w:p>
    <w:p w14:paraId="6CB105A9">
      <w:pPr>
        <w:ind w:firstLine="632"/>
        <w:rPr>
          <w:rFonts w:ascii="Times New Roman" w:hAnsi="Times New Roman" w:cs="Times New Roman"/>
          <w:sz w:val="32"/>
        </w:rPr>
      </w:pPr>
      <w:r>
        <w:rPr>
          <w:rFonts w:hint="eastAsia" w:ascii="Times New Roman" w:hAnsi="Times New Roman" w:cs="Times New Roman"/>
          <w:sz w:val="32"/>
        </w:rPr>
        <w:t>特种设备事故涉及生态环境损害的，应待有关部门对造成的生态环境损害进行评估并按程序进行赔偿后，方可进行下一步恢复工作；涉及邻近建筑物倒塌损坏的，应待住建部门对相关建筑物进行安全状况评估后，方可进行下一步修复工作。</w:t>
      </w:r>
    </w:p>
    <w:p w14:paraId="02AB7A38">
      <w:pPr>
        <w:pStyle w:val="2"/>
        <w:numPr>
          <w:ilvl w:val="0"/>
          <w:numId w:val="149"/>
        </w:numPr>
        <w:tabs>
          <w:tab w:val="left" w:pos="0"/>
        </w:tabs>
        <w:ind w:firstLine="0" w:firstLineChars="0"/>
        <w:rPr>
          <w:rFonts w:ascii="Times New Roman" w:hAnsi="Times New Roman" w:cs="Times New Roman"/>
          <w:sz w:val="32"/>
        </w:rPr>
      </w:pPr>
      <w:bookmarkStart w:id="909" w:name="_Toc22281"/>
      <w:r>
        <w:rPr>
          <w:rFonts w:ascii="Times New Roman" w:hAnsi="Times New Roman" w:cs="Times New Roman"/>
          <w:sz w:val="32"/>
        </w:rPr>
        <w:t>保障措施</w:t>
      </w:r>
      <w:bookmarkEnd w:id="909"/>
    </w:p>
    <w:p w14:paraId="5DB39AD6">
      <w:pPr>
        <w:pStyle w:val="3"/>
        <w:ind w:firstLine="0" w:firstLineChars="0"/>
        <w:rPr>
          <w:rFonts w:ascii="Times New Roman" w:hAnsi="Times New Roman" w:cs="Times New Roman"/>
          <w:sz w:val="32"/>
        </w:rPr>
      </w:pPr>
      <w:bookmarkStart w:id="910" w:name="_Toc12845"/>
      <w:r>
        <w:rPr>
          <w:rFonts w:ascii="Times New Roman" w:hAnsi="Times New Roman" w:cs="Times New Roman"/>
          <w:sz w:val="32"/>
        </w:rPr>
        <w:t>应急队伍保障</w:t>
      </w:r>
      <w:bookmarkEnd w:id="910"/>
    </w:p>
    <w:p w14:paraId="3D1261A2">
      <w:pPr>
        <w:ind w:firstLine="632"/>
        <w:rPr>
          <w:rFonts w:ascii="Times New Roman" w:hAnsi="Times New Roman" w:cs="Times New Roman"/>
          <w:sz w:val="32"/>
        </w:rPr>
      </w:pPr>
    </w:p>
    <w:p w14:paraId="7804440B">
      <w:pPr>
        <w:ind w:firstLine="632"/>
        <w:rPr>
          <w:rFonts w:ascii="Times New Roman" w:hAnsi="Times New Roman" w:cs="Times New Roman"/>
          <w:sz w:val="32"/>
        </w:rPr>
      </w:pPr>
      <w:r>
        <w:rPr>
          <w:rFonts w:ascii="Times New Roman" w:hAnsi="Times New Roman" w:cs="Times New Roman"/>
          <w:sz w:val="32"/>
        </w:rPr>
        <w:t>县应急指挥部负责全县特种设备事故应急力量的统一协调指导。各乡</w:t>
      </w:r>
      <w:r>
        <w:rPr>
          <w:rFonts w:hint="eastAsia" w:ascii="Times New Roman" w:hAnsi="Times New Roman" w:cs="Times New Roman"/>
          <w:sz w:val="32"/>
        </w:rPr>
        <w:t>镇</w:t>
      </w:r>
      <w:r>
        <w:rPr>
          <w:rFonts w:ascii="Times New Roman" w:hAnsi="Times New Roman" w:cs="Times New Roman"/>
          <w:sz w:val="32"/>
        </w:rPr>
        <w:t>人民政府依法依规加强对本行政区域内特种设备事故应急救援队伍建设的统一规划和组织领导，依托有关行业部门、大中型骨干企业组建特种设备事故应急救援队伍。特种设备生产经营使用单位应当按照《生产安全事故应急条例》规定，组建和完善专（兼）职的特种设备事故应急救援队伍，配备专（兼）职的应急救援人员。</w:t>
      </w:r>
    </w:p>
    <w:p w14:paraId="0C710DBF">
      <w:pPr>
        <w:pStyle w:val="3"/>
        <w:ind w:firstLine="0" w:firstLineChars="0"/>
        <w:rPr>
          <w:rFonts w:ascii="Times New Roman" w:hAnsi="Times New Roman" w:cs="Times New Roman"/>
          <w:sz w:val="32"/>
        </w:rPr>
      </w:pPr>
      <w:bookmarkStart w:id="911" w:name="_Toc19306"/>
      <w:r>
        <w:rPr>
          <w:rFonts w:ascii="Times New Roman" w:hAnsi="Times New Roman" w:cs="Times New Roman"/>
          <w:sz w:val="32"/>
        </w:rPr>
        <w:t>应急资金保障</w:t>
      </w:r>
      <w:bookmarkEnd w:id="911"/>
    </w:p>
    <w:p w14:paraId="6029A38B">
      <w:pPr>
        <w:ind w:firstLine="632"/>
        <w:rPr>
          <w:rFonts w:ascii="Times New Roman" w:hAnsi="Times New Roman" w:cs="Times New Roman"/>
          <w:sz w:val="32"/>
        </w:rPr>
      </w:pPr>
      <w:r>
        <w:rPr>
          <w:rFonts w:ascii="Times New Roman" w:hAnsi="Times New Roman" w:cs="Times New Roman"/>
          <w:sz w:val="32"/>
        </w:rPr>
        <w:t>特种设备事故应急救援所需财政负担的经费，按照财政事权和支出责任划分，实行分级承担。特种设备生产经营使用单位应当做好特种设备事故应急演练和救援的必要资金保障。特种设备事故应急救援和抢险所需资金首先由事故责任单位承担，事故责任单位暂时无力承担的，由</w:t>
      </w:r>
      <w:r>
        <w:rPr>
          <w:rFonts w:hint="eastAsia" w:ascii="Times New Roman" w:hAnsi="Times New Roman" w:cs="Times New Roman"/>
          <w:sz w:val="32"/>
        </w:rPr>
        <w:t>县</w:t>
      </w:r>
      <w:r>
        <w:rPr>
          <w:rFonts w:ascii="Times New Roman" w:hAnsi="Times New Roman" w:cs="Times New Roman"/>
          <w:sz w:val="32"/>
        </w:rPr>
        <w:t>政府协调解决。</w:t>
      </w:r>
    </w:p>
    <w:p w14:paraId="6D8249A6">
      <w:pPr>
        <w:pStyle w:val="3"/>
        <w:ind w:firstLine="0" w:firstLineChars="0"/>
        <w:rPr>
          <w:rFonts w:ascii="Times New Roman" w:hAnsi="Times New Roman" w:cs="Times New Roman"/>
          <w:sz w:val="32"/>
        </w:rPr>
      </w:pPr>
      <w:bookmarkStart w:id="912" w:name="_Toc18154"/>
      <w:r>
        <w:rPr>
          <w:rFonts w:ascii="Times New Roman" w:hAnsi="Times New Roman" w:cs="Times New Roman"/>
          <w:sz w:val="32"/>
        </w:rPr>
        <w:t>应急装备与物资保障</w:t>
      </w:r>
      <w:bookmarkEnd w:id="912"/>
    </w:p>
    <w:p w14:paraId="1EE78759">
      <w:pPr>
        <w:ind w:firstLine="632"/>
        <w:rPr>
          <w:rFonts w:ascii="Times New Roman" w:hAnsi="Times New Roman" w:cs="Times New Roman"/>
          <w:sz w:val="32"/>
        </w:rPr>
      </w:pPr>
      <w:r>
        <w:rPr>
          <w:rFonts w:ascii="Times New Roman" w:hAnsi="Times New Roman" w:cs="Times New Roman"/>
          <w:sz w:val="32"/>
        </w:rPr>
        <w:t>特种设备事故应急抢险救灾物资实行分级储备、分级管理和分级负担制度。各</w:t>
      </w:r>
      <w:r>
        <w:rPr>
          <w:rFonts w:hint="eastAsia" w:ascii="Times New Roman" w:hAnsi="Times New Roman" w:cs="Times New Roman"/>
          <w:sz w:val="32"/>
        </w:rPr>
        <w:t>乡镇</w:t>
      </w:r>
      <w:r>
        <w:rPr>
          <w:rFonts w:ascii="Times New Roman" w:hAnsi="Times New Roman" w:cs="Times New Roman"/>
          <w:sz w:val="32"/>
        </w:rPr>
        <w:t>人民政府应根据本行政区域的特种设备事故灾害特点，建立完善应急物资、生活必需品和应急处置装备的采购、储备、保养、更新、补充、调运等制度，为开展事故救援提供相应的救援工具、检测仪器、车辆等抢险救援装备。特种设备生产经营使用单位应当储备必要的应急物资和装备。</w:t>
      </w:r>
    </w:p>
    <w:p w14:paraId="667758C4">
      <w:pPr>
        <w:pStyle w:val="3"/>
        <w:ind w:firstLine="0" w:firstLineChars="0"/>
        <w:rPr>
          <w:rFonts w:ascii="Times New Roman" w:hAnsi="Times New Roman" w:cs="Times New Roman"/>
          <w:sz w:val="32"/>
        </w:rPr>
      </w:pPr>
      <w:bookmarkStart w:id="913" w:name="_Toc26931"/>
      <w:r>
        <w:rPr>
          <w:rFonts w:ascii="Times New Roman" w:hAnsi="Times New Roman" w:cs="Times New Roman"/>
          <w:sz w:val="32"/>
        </w:rPr>
        <w:t>技术储备保障</w:t>
      </w:r>
      <w:bookmarkEnd w:id="913"/>
      <w:r>
        <w:rPr>
          <w:rFonts w:ascii="Times New Roman" w:hAnsi="Times New Roman" w:cs="Times New Roman"/>
          <w:sz w:val="32"/>
        </w:rPr>
        <w:t xml:space="preserve"> </w:t>
      </w:r>
    </w:p>
    <w:p w14:paraId="0E285D16">
      <w:pPr>
        <w:ind w:firstLine="632"/>
        <w:rPr>
          <w:rFonts w:ascii="Times New Roman" w:hAnsi="Times New Roman" w:cs="Times New Roman"/>
          <w:sz w:val="32"/>
        </w:rPr>
      </w:pPr>
      <w:r>
        <w:rPr>
          <w:rFonts w:ascii="Times New Roman" w:hAnsi="Times New Roman" w:cs="Times New Roman"/>
          <w:sz w:val="32"/>
        </w:rPr>
        <w:t>县应急指挥部办公室组织建立和维护县级特种设备事故应急处置专家库，专家库由特种设备检验检测机构、特种设备生产经营使用单位、特种设备安全监察人员等专业技术人员组成。县应急指挥部办公室根据需要在专家库中抽调相关人员成立特种设备事故应急处置专家组，为应急工作提供技术支持和保障。</w:t>
      </w:r>
    </w:p>
    <w:p w14:paraId="36A58397">
      <w:pPr>
        <w:pStyle w:val="3"/>
        <w:ind w:firstLine="0" w:firstLineChars="0"/>
        <w:rPr>
          <w:rFonts w:ascii="Times New Roman" w:hAnsi="Times New Roman" w:cs="Times New Roman"/>
          <w:sz w:val="32"/>
        </w:rPr>
      </w:pPr>
      <w:bookmarkStart w:id="914" w:name="_Toc17583"/>
      <w:r>
        <w:rPr>
          <w:rFonts w:ascii="Times New Roman" w:hAnsi="Times New Roman" w:cs="Times New Roman"/>
          <w:sz w:val="32"/>
        </w:rPr>
        <w:t>应急生活保障</w:t>
      </w:r>
      <w:bookmarkEnd w:id="914"/>
      <w:r>
        <w:rPr>
          <w:rFonts w:ascii="Times New Roman" w:hAnsi="Times New Roman" w:cs="Times New Roman"/>
          <w:sz w:val="32"/>
        </w:rPr>
        <w:t xml:space="preserve"> </w:t>
      </w:r>
    </w:p>
    <w:p w14:paraId="5076BD19">
      <w:pPr>
        <w:ind w:firstLine="632"/>
        <w:rPr>
          <w:rFonts w:ascii="Times New Roman" w:hAnsi="Times New Roman" w:cs="Times New Roman"/>
          <w:sz w:val="32"/>
        </w:rPr>
      </w:pPr>
      <w:r>
        <w:rPr>
          <w:rFonts w:ascii="Times New Roman" w:hAnsi="Times New Roman" w:cs="Times New Roman"/>
          <w:sz w:val="32"/>
        </w:rPr>
        <w:t>事故发生地</w:t>
      </w:r>
      <w:r>
        <w:rPr>
          <w:rFonts w:hint="eastAsia" w:ascii="Times New Roman" w:hAnsi="Times New Roman" w:cs="Times New Roman"/>
          <w:sz w:val="32"/>
        </w:rPr>
        <w:t>乡镇</w:t>
      </w:r>
      <w:r>
        <w:rPr>
          <w:rFonts w:ascii="Times New Roman" w:hAnsi="Times New Roman" w:cs="Times New Roman"/>
          <w:sz w:val="32"/>
        </w:rPr>
        <w:t>人民政府和事故单位应当做好特种设备事故中转移人员和应急人员饮食及其他生活必需品保障。超出事故发生地</w:t>
      </w:r>
      <w:r>
        <w:rPr>
          <w:rFonts w:hint="eastAsia" w:ascii="Times New Roman" w:hAnsi="Times New Roman" w:cs="Times New Roman"/>
          <w:sz w:val="32"/>
        </w:rPr>
        <w:t>乡镇</w:t>
      </w:r>
      <w:r>
        <w:rPr>
          <w:rFonts w:ascii="Times New Roman" w:hAnsi="Times New Roman" w:cs="Times New Roman"/>
          <w:sz w:val="32"/>
        </w:rPr>
        <w:t>人民政府处置能力时，报</w:t>
      </w:r>
      <w:r>
        <w:rPr>
          <w:rFonts w:hint="eastAsia" w:ascii="Times New Roman" w:hAnsi="Times New Roman" w:cs="Times New Roman"/>
          <w:sz w:val="32"/>
        </w:rPr>
        <w:t>县</w:t>
      </w:r>
      <w:r>
        <w:rPr>
          <w:rFonts w:ascii="Times New Roman" w:hAnsi="Times New Roman" w:cs="Times New Roman"/>
          <w:sz w:val="32"/>
        </w:rPr>
        <w:t>政府请求提供支援。</w:t>
      </w:r>
    </w:p>
    <w:p w14:paraId="022F4425">
      <w:pPr>
        <w:pStyle w:val="3"/>
        <w:ind w:firstLine="0" w:firstLineChars="0"/>
        <w:rPr>
          <w:rFonts w:ascii="Times New Roman" w:hAnsi="Times New Roman" w:cs="Times New Roman"/>
          <w:sz w:val="32"/>
        </w:rPr>
      </w:pPr>
      <w:bookmarkStart w:id="915" w:name="_Toc10534"/>
      <w:r>
        <w:rPr>
          <w:rFonts w:ascii="Times New Roman" w:hAnsi="Times New Roman" w:cs="Times New Roman"/>
          <w:sz w:val="32"/>
        </w:rPr>
        <w:t>应急社会动员保障</w:t>
      </w:r>
      <w:bookmarkEnd w:id="915"/>
    </w:p>
    <w:p w14:paraId="753B8B36">
      <w:pPr>
        <w:ind w:firstLine="632"/>
        <w:rPr>
          <w:rFonts w:ascii="Times New Roman" w:hAnsi="Times New Roman" w:cs="Times New Roman"/>
          <w:sz w:val="32"/>
        </w:rPr>
      </w:pPr>
      <w:r>
        <w:rPr>
          <w:rFonts w:ascii="Times New Roman" w:hAnsi="Times New Roman" w:cs="Times New Roman"/>
          <w:sz w:val="32"/>
        </w:rPr>
        <w:t>各</w:t>
      </w:r>
      <w:r>
        <w:rPr>
          <w:rFonts w:hint="eastAsia" w:ascii="Times New Roman" w:hAnsi="Times New Roman" w:cs="Times New Roman"/>
          <w:sz w:val="32"/>
        </w:rPr>
        <w:t>乡镇</w:t>
      </w:r>
      <w:r>
        <w:rPr>
          <w:rFonts w:ascii="Times New Roman" w:hAnsi="Times New Roman" w:cs="Times New Roman"/>
          <w:sz w:val="32"/>
        </w:rPr>
        <w:t>人民政府根据需要，动员社会力量和有关人员，调动有关物资、设备、器材，占用必要场地参与应急抢险救援，相关单位和个人有义务依法参与、支持、配合事故应急工作并提供便利。</w:t>
      </w:r>
    </w:p>
    <w:p w14:paraId="31AB9752">
      <w:pPr>
        <w:pStyle w:val="2"/>
        <w:numPr>
          <w:ilvl w:val="0"/>
          <w:numId w:val="149"/>
        </w:numPr>
        <w:tabs>
          <w:tab w:val="left" w:pos="0"/>
        </w:tabs>
        <w:ind w:firstLine="0" w:firstLineChars="0"/>
        <w:rPr>
          <w:rFonts w:ascii="Times New Roman" w:hAnsi="Times New Roman" w:cs="Times New Roman"/>
          <w:sz w:val="32"/>
        </w:rPr>
      </w:pPr>
      <w:bookmarkStart w:id="916" w:name="_Toc7470"/>
      <w:r>
        <w:rPr>
          <w:rFonts w:ascii="Times New Roman" w:hAnsi="Times New Roman" w:cs="Times New Roman"/>
          <w:sz w:val="32"/>
        </w:rPr>
        <w:t>预案管理</w:t>
      </w:r>
      <w:bookmarkEnd w:id="916"/>
    </w:p>
    <w:p w14:paraId="7497F826">
      <w:pPr>
        <w:pStyle w:val="3"/>
        <w:ind w:firstLine="0" w:firstLineChars="0"/>
        <w:rPr>
          <w:rFonts w:ascii="Times New Roman" w:hAnsi="Times New Roman" w:cs="Times New Roman"/>
          <w:sz w:val="32"/>
        </w:rPr>
      </w:pPr>
      <w:bookmarkStart w:id="917" w:name="_Toc2624"/>
      <w:r>
        <w:rPr>
          <w:rFonts w:ascii="Times New Roman" w:hAnsi="Times New Roman" w:cs="Times New Roman"/>
          <w:sz w:val="32"/>
        </w:rPr>
        <w:t>预案修订</w:t>
      </w:r>
      <w:bookmarkEnd w:id="917"/>
    </w:p>
    <w:p w14:paraId="6F5F8D60">
      <w:pPr>
        <w:ind w:firstLine="632"/>
        <w:rPr>
          <w:rFonts w:ascii="Times New Roman" w:hAnsi="Times New Roman" w:cs="Times New Roman"/>
          <w:sz w:val="32"/>
        </w:rPr>
      </w:pPr>
      <w:r>
        <w:rPr>
          <w:rFonts w:ascii="Times New Roman" w:hAnsi="Times New Roman" w:cs="Times New Roman"/>
          <w:sz w:val="32"/>
        </w:rPr>
        <w:t>县</w:t>
      </w:r>
      <w:r>
        <w:rPr>
          <w:rFonts w:hint="eastAsia" w:ascii="Times New Roman" w:hAnsi="Times New Roman" w:cs="Times New Roman"/>
          <w:sz w:val="32"/>
        </w:rPr>
        <w:t>特种</w:t>
      </w:r>
      <w:r>
        <w:rPr>
          <w:rFonts w:ascii="Times New Roman" w:hAnsi="Times New Roman" w:cs="Times New Roman"/>
          <w:sz w:val="32"/>
        </w:rPr>
        <w:t>事故应急指挥部办公室应定期开展应急预案评估工作，分析评价预案内容的针对性、实用性和可操作性，实现应急预案的动态优化和科学规范管理。</w:t>
      </w:r>
    </w:p>
    <w:p w14:paraId="5349DF11">
      <w:pPr>
        <w:ind w:firstLine="632"/>
        <w:rPr>
          <w:rFonts w:ascii="Times New Roman" w:hAnsi="Times New Roman" w:cs="Times New Roman"/>
          <w:sz w:val="32"/>
        </w:rPr>
      </w:pPr>
      <w:r>
        <w:rPr>
          <w:rFonts w:ascii="Times New Roman" w:hAnsi="Times New Roman" w:cs="Times New Roman"/>
          <w:sz w:val="32"/>
        </w:rPr>
        <w:t>有下列情形之一的，应当及时修订本预案：</w:t>
      </w:r>
    </w:p>
    <w:p w14:paraId="46EAD0C8">
      <w:pPr>
        <w:ind w:firstLine="632"/>
        <w:rPr>
          <w:rFonts w:ascii="Times New Roman" w:hAnsi="Times New Roman" w:cs="Times New Roman"/>
          <w:sz w:val="32"/>
        </w:rPr>
      </w:pPr>
      <w:r>
        <w:rPr>
          <w:rFonts w:ascii="Times New Roman" w:hAnsi="Times New Roman" w:cs="Times New Roman"/>
          <w:sz w:val="32"/>
        </w:rPr>
        <w:t>（1）有关法律法规、规章、标准、上位预案中的有关规定发生变化的；</w:t>
      </w:r>
    </w:p>
    <w:p w14:paraId="18819851">
      <w:pPr>
        <w:ind w:firstLine="632"/>
        <w:rPr>
          <w:rFonts w:ascii="Times New Roman" w:hAnsi="Times New Roman" w:cs="Times New Roman"/>
          <w:sz w:val="32"/>
        </w:rPr>
      </w:pPr>
      <w:r>
        <w:rPr>
          <w:rFonts w:ascii="Times New Roman" w:hAnsi="Times New Roman" w:cs="Times New Roman"/>
          <w:sz w:val="32"/>
        </w:rPr>
        <w:t>（2）应急指挥机构及其职责发生重大调整的；</w:t>
      </w:r>
    </w:p>
    <w:p w14:paraId="69042EA8">
      <w:pPr>
        <w:ind w:firstLine="632"/>
        <w:rPr>
          <w:rFonts w:ascii="Times New Roman" w:hAnsi="Times New Roman" w:cs="Times New Roman"/>
          <w:sz w:val="32"/>
        </w:rPr>
      </w:pPr>
      <w:r>
        <w:rPr>
          <w:rFonts w:ascii="Times New Roman" w:hAnsi="Times New Roman" w:cs="Times New Roman"/>
          <w:sz w:val="32"/>
        </w:rPr>
        <w:t>（3）面临的风险发生重大变化的；</w:t>
      </w:r>
    </w:p>
    <w:p w14:paraId="10F0AECD">
      <w:pPr>
        <w:ind w:firstLine="632"/>
        <w:rPr>
          <w:rFonts w:ascii="Times New Roman" w:hAnsi="Times New Roman" w:cs="Times New Roman"/>
          <w:sz w:val="32"/>
        </w:rPr>
      </w:pPr>
      <w:r>
        <w:rPr>
          <w:rFonts w:ascii="Times New Roman" w:hAnsi="Times New Roman" w:cs="Times New Roman"/>
          <w:sz w:val="32"/>
        </w:rPr>
        <w:t>（4）重要应急资源发生重大变化的；</w:t>
      </w:r>
    </w:p>
    <w:p w14:paraId="1F8ED9BD">
      <w:pPr>
        <w:ind w:firstLine="632"/>
        <w:rPr>
          <w:rFonts w:ascii="Times New Roman" w:hAnsi="Times New Roman" w:cs="Times New Roman"/>
          <w:sz w:val="32"/>
        </w:rPr>
      </w:pPr>
      <w:r>
        <w:rPr>
          <w:rFonts w:ascii="Times New Roman" w:hAnsi="Times New Roman" w:cs="Times New Roman"/>
          <w:sz w:val="32"/>
        </w:rPr>
        <w:t>（5）预案中的其他重要信息发生变化的；</w:t>
      </w:r>
    </w:p>
    <w:p w14:paraId="0BCEFA62">
      <w:pPr>
        <w:ind w:firstLine="632"/>
        <w:rPr>
          <w:rFonts w:ascii="Times New Roman" w:hAnsi="Times New Roman" w:cs="Times New Roman"/>
          <w:sz w:val="32"/>
        </w:rPr>
      </w:pPr>
      <w:r>
        <w:rPr>
          <w:rFonts w:ascii="Times New Roman" w:hAnsi="Times New Roman" w:cs="Times New Roman"/>
          <w:sz w:val="32"/>
        </w:rPr>
        <w:t>（6）在突发事件实际应对和应急演练中发现问题需要作出重大调整的；</w:t>
      </w:r>
    </w:p>
    <w:p w14:paraId="7B80C220">
      <w:pPr>
        <w:ind w:firstLine="632"/>
        <w:rPr>
          <w:rFonts w:ascii="Times New Roman" w:hAnsi="Times New Roman" w:cs="Times New Roman"/>
          <w:sz w:val="32"/>
        </w:rPr>
      </w:pPr>
      <w:r>
        <w:rPr>
          <w:rFonts w:ascii="Times New Roman" w:hAnsi="Times New Roman" w:cs="Times New Roman"/>
          <w:sz w:val="32"/>
        </w:rPr>
        <w:t>（7）应急预案制定单位认为应当修订的其他情况。</w:t>
      </w:r>
    </w:p>
    <w:p w14:paraId="5DB3E237">
      <w:pPr>
        <w:pStyle w:val="3"/>
        <w:ind w:firstLine="0" w:firstLineChars="0"/>
        <w:rPr>
          <w:rFonts w:ascii="Times New Roman" w:hAnsi="Times New Roman" w:cs="Times New Roman"/>
          <w:sz w:val="32"/>
        </w:rPr>
      </w:pPr>
      <w:bookmarkStart w:id="918" w:name="_Toc7995"/>
      <w:r>
        <w:rPr>
          <w:rFonts w:ascii="Times New Roman" w:hAnsi="Times New Roman" w:cs="Times New Roman"/>
          <w:sz w:val="32"/>
        </w:rPr>
        <w:t>宣传和培训</w:t>
      </w:r>
      <w:bookmarkEnd w:id="918"/>
    </w:p>
    <w:p w14:paraId="1806C589">
      <w:pPr>
        <w:ind w:firstLine="632"/>
        <w:rPr>
          <w:rFonts w:ascii="Times New Roman" w:hAnsi="Times New Roman" w:cs="Times New Roman"/>
          <w:sz w:val="32"/>
        </w:rPr>
      </w:pPr>
      <w:r>
        <w:rPr>
          <w:rFonts w:ascii="Times New Roman" w:hAnsi="Times New Roman" w:cs="Times New Roman"/>
          <w:sz w:val="32"/>
        </w:rPr>
        <w:t>县政府及其有关部门应当通过各种新闻媒体，多渠道广泛宣传特种设备事故预防、避险、避灾、</w:t>
      </w:r>
      <w:r>
        <w:rPr>
          <w:rFonts w:hint="eastAsia" w:ascii="Times New Roman" w:hAnsi="Times New Roman" w:cs="Times New Roman"/>
          <w:sz w:val="32"/>
        </w:rPr>
        <w:t>自救</w:t>
      </w:r>
      <w:r>
        <w:rPr>
          <w:rFonts w:ascii="Times New Roman" w:hAnsi="Times New Roman" w:cs="Times New Roman"/>
          <w:sz w:val="32"/>
        </w:rPr>
        <w:t>、互救等科学知识和应急处置规范，及时公布报警电话。特种设备生产经营使用单位依法依规做好特种设备法律法规及安全知识宣传。</w:t>
      </w:r>
    </w:p>
    <w:p w14:paraId="14ACC9FE">
      <w:pPr>
        <w:pStyle w:val="3"/>
        <w:ind w:firstLine="0" w:firstLineChars="0"/>
        <w:rPr>
          <w:rFonts w:ascii="Times New Roman" w:hAnsi="Times New Roman" w:cs="Times New Roman"/>
          <w:sz w:val="32"/>
        </w:rPr>
      </w:pPr>
      <w:bookmarkStart w:id="919" w:name="_Toc25765"/>
      <w:r>
        <w:rPr>
          <w:rFonts w:ascii="Times New Roman" w:hAnsi="Times New Roman" w:cs="Times New Roman"/>
          <w:sz w:val="32"/>
        </w:rPr>
        <w:t>应急演练</w:t>
      </w:r>
      <w:bookmarkEnd w:id="919"/>
    </w:p>
    <w:p w14:paraId="68916790">
      <w:pPr>
        <w:ind w:firstLine="632"/>
        <w:rPr>
          <w:rFonts w:ascii="Times New Roman" w:hAnsi="Times New Roman" w:cs="Times New Roman"/>
          <w:sz w:val="32"/>
        </w:rPr>
      </w:pPr>
      <w:r>
        <w:rPr>
          <w:rFonts w:ascii="Times New Roman" w:hAnsi="Times New Roman" w:cs="Times New Roman"/>
          <w:sz w:val="32"/>
        </w:rPr>
        <w:t>县应急指挥部办公室应适时组织开展不同形式的</w:t>
      </w:r>
      <w:r>
        <w:rPr>
          <w:rFonts w:hint="eastAsia" w:ascii="Times New Roman" w:hAnsi="Times New Roman" w:cs="Times New Roman"/>
          <w:sz w:val="32"/>
        </w:rPr>
        <w:t>特种设备</w:t>
      </w:r>
      <w:r>
        <w:rPr>
          <w:rFonts w:ascii="Times New Roman" w:hAnsi="Times New Roman" w:cs="Times New Roman"/>
          <w:sz w:val="32"/>
        </w:rPr>
        <w:t>事故应急演练。通过演练，进一步检验预案，磨合指挥协调机制，熟练各单位间的协调配合，确保发生</w:t>
      </w:r>
      <w:r>
        <w:rPr>
          <w:rFonts w:hint="eastAsia" w:ascii="Times New Roman" w:hAnsi="Times New Roman" w:cs="Times New Roman"/>
          <w:sz w:val="32"/>
        </w:rPr>
        <w:t>特种设备</w:t>
      </w:r>
      <w:r>
        <w:rPr>
          <w:rFonts w:ascii="Times New Roman" w:hAnsi="Times New Roman" w:cs="Times New Roman"/>
          <w:sz w:val="32"/>
        </w:rPr>
        <w:t>事故后能快速有效处置。</w:t>
      </w:r>
    </w:p>
    <w:p w14:paraId="6C9328F2">
      <w:pPr>
        <w:ind w:firstLine="632"/>
        <w:rPr>
          <w:rFonts w:ascii="Times New Roman" w:hAnsi="Times New Roman" w:cs="Times New Roman"/>
          <w:sz w:val="32"/>
        </w:rPr>
      </w:pPr>
      <w:r>
        <w:rPr>
          <w:rFonts w:hint="eastAsia" w:ascii="Times New Roman" w:hAnsi="Times New Roman" w:cs="Times New Roman"/>
          <w:sz w:val="32"/>
        </w:rPr>
        <w:t>县内特种设备生产经营使用单位应当依法开展本单位特种设备</w:t>
      </w:r>
      <w:r>
        <w:rPr>
          <w:rFonts w:ascii="Times New Roman" w:hAnsi="Times New Roman" w:cs="Times New Roman"/>
          <w:sz w:val="32"/>
        </w:rPr>
        <w:t>事故应急演练</w:t>
      </w:r>
      <w:r>
        <w:rPr>
          <w:rFonts w:hint="eastAsia" w:ascii="Times New Roman" w:hAnsi="Times New Roman" w:cs="Times New Roman"/>
          <w:sz w:val="32"/>
        </w:rPr>
        <w:t>工作，</w:t>
      </w:r>
      <w:r>
        <w:rPr>
          <w:rFonts w:ascii="Times New Roman" w:hAnsi="Times New Roman" w:cs="Times New Roman"/>
          <w:sz w:val="32"/>
        </w:rPr>
        <w:t>定期组织应急演练，切实提高应急救援能力。</w:t>
      </w:r>
    </w:p>
    <w:p w14:paraId="6429E88E">
      <w:pPr>
        <w:pStyle w:val="3"/>
        <w:ind w:firstLine="0" w:firstLineChars="0"/>
        <w:rPr>
          <w:rFonts w:ascii="Times New Roman" w:hAnsi="Times New Roman" w:cs="Times New Roman"/>
          <w:sz w:val="32"/>
        </w:rPr>
      </w:pPr>
      <w:bookmarkStart w:id="920" w:name="_Toc31878"/>
      <w:r>
        <w:rPr>
          <w:rFonts w:ascii="Times New Roman" w:hAnsi="Times New Roman" w:cs="Times New Roman"/>
          <w:sz w:val="32"/>
        </w:rPr>
        <w:t>预案实施</w:t>
      </w:r>
      <w:bookmarkEnd w:id="920"/>
    </w:p>
    <w:p w14:paraId="6DD27E07">
      <w:pPr>
        <w:ind w:firstLine="632"/>
        <w:rPr>
          <w:rFonts w:ascii="Times New Roman" w:hAnsi="Times New Roman" w:cs="Times New Roman"/>
          <w:sz w:val="32"/>
        </w:rPr>
      </w:pPr>
      <w:r>
        <w:rPr>
          <w:rFonts w:ascii="Times New Roman" w:hAnsi="Times New Roman" w:cs="Times New Roman"/>
          <w:sz w:val="32"/>
        </w:rPr>
        <w:t>本预案由集贤县</w:t>
      </w:r>
      <w:r>
        <w:rPr>
          <w:rFonts w:hint="eastAsia" w:ascii="Times New Roman" w:hAnsi="Times New Roman" w:cs="Times New Roman"/>
          <w:sz w:val="32"/>
        </w:rPr>
        <w:t>特种设备</w:t>
      </w:r>
      <w:r>
        <w:rPr>
          <w:rFonts w:ascii="Times New Roman" w:hAnsi="Times New Roman" w:cs="Times New Roman"/>
          <w:sz w:val="32"/>
        </w:rPr>
        <w:t>事故应急指挥部办公室负责解释。</w:t>
      </w:r>
    </w:p>
    <w:p w14:paraId="3E3F2766">
      <w:pPr>
        <w:ind w:firstLine="632"/>
        <w:rPr>
          <w:rFonts w:ascii="Times New Roman" w:hAnsi="Times New Roman" w:cs="Times New Roman"/>
          <w:sz w:val="32"/>
        </w:rPr>
      </w:pPr>
      <w:r>
        <w:rPr>
          <w:rFonts w:ascii="Times New Roman" w:hAnsi="Times New Roman" w:cs="Times New Roman"/>
          <w:sz w:val="32"/>
        </w:rPr>
        <w:t>本预案自发布之日起施行。</w:t>
      </w:r>
    </w:p>
    <w:p w14:paraId="1DE5CB57">
      <w:pPr>
        <w:ind w:firstLine="632"/>
        <w:rPr>
          <w:rFonts w:ascii="Times New Roman" w:hAnsi="Times New Roman" w:cs="Times New Roman"/>
          <w:sz w:val="32"/>
        </w:rPr>
      </w:pPr>
      <w:r>
        <w:rPr>
          <w:rFonts w:ascii="Times New Roman" w:hAnsi="Times New Roman" w:cs="Times New Roman"/>
          <w:sz w:val="32"/>
        </w:rPr>
        <w:br w:type="page"/>
      </w:r>
    </w:p>
    <w:p w14:paraId="5F96F614">
      <w:pPr>
        <w:pStyle w:val="2"/>
        <w:numPr>
          <w:ilvl w:val="0"/>
          <w:numId w:val="0"/>
        </w:numPr>
        <w:rPr>
          <w:rFonts w:ascii="Times New Roman" w:hAnsi="Times New Roman" w:cs="Times New Roman"/>
          <w:sz w:val="32"/>
        </w:rPr>
      </w:pPr>
      <w:bookmarkStart w:id="921" w:name="_Toc23802"/>
      <w:r>
        <w:rPr>
          <w:rFonts w:ascii="Times New Roman" w:hAnsi="Times New Roman" w:cs="Times New Roman"/>
          <w:sz w:val="32"/>
        </w:rPr>
        <w:t>附件1：</w:t>
      </w:r>
      <w:r>
        <w:rPr>
          <w:rFonts w:hint="eastAsia" w:ascii="Times New Roman" w:hAnsi="Times New Roman" w:cs="Times New Roman"/>
          <w:sz w:val="32"/>
        </w:rPr>
        <w:t>特种设备</w:t>
      </w:r>
      <w:r>
        <w:rPr>
          <w:rFonts w:ascii="Times New Roman" w:hAnsi="Times New Roman" w:cs="Times New Roman"/>
          <w:sz w:val="32"/>
        </w:rPr>
        <w:t>事故分级标准</w:t>
      </w:r>
      <w:bookmarkEnd w:id="921"/>
    </w:p>
    <w:p w14:paraId="6E6AFB23">
      <w:pPr>
        <w:pStyle w:val="20"/>
        <w:widowControl/>
        <w:shd w:val="clear" w:color="auto" w:fill="FFFFFF"/>
        <w:spacing w:beforeAutospacing="0" w:afterAutospacing="0" w:line="560" w:lineRule="exact"/>
        <w:ind w:firstLine="0" w:firstLineChars="0"/>
        <w:rPr>
          <w:rFonts w:ascii="Times New Roman" w:hAnsi="Times New Roman" w:eastAsia="楷体_GB2312"/>
          <w:b/>
          <w:bCs/>
          <w:color w:val="444444"/>
          <w:sz w:val="32"/>
          <w:shd w:val="clear" w:color="auto" w:fill="FFFFFF"/>
        </w:rPr>
      </w:pPr>
      <w:r>
        <w:rPr>
          <w:rFonts w:ascii="Times New Roman" w:hAnsi="Times New Roman" w:eastAsia="楷体_GB2312"/>
          <w:b/>
          <w:bCs/>
          <w:color w:val="444444"/>
          <w:sz w:val="32"/>
          <w:shd w:val="clear" w:color="auto" w:fill="FFFFFF"/>
        </w:rPr>
        <w:t>（一）特别重大事故</w:t>
      </w:r>
      <w:r>
        <w:rPr>
          <w:rFonts w:hint="eastAsia" w:ascii="Times New Roman" w:hAnsi="Times New Roman" w:eastAsia="楷体_GB2312"/>
          <w:b/>
          <w:bCs/>
          <w:color w:val="444444"/>
          <w:sz w:val="32"/>
          <w:shd w:val="clear" w:color="auto" w:fill="FFFFFF"/>
        </w:rPr>
        <w:t>（</w:t>
      </w:r>
      <w:r>
        <w:rPr>
          <w:rFonts w:ascii="Times New Roman" w:hAnsi="Times New Roman" w:eastAsia="楷体_GB2312"/>
          <w:b/>
          <w:bCs/>
          <w:color w:val="444444"/>
          <w:sz w:val="32"/>
          <w:shd w:val="clear" w:color="auto" w:fill="FFFFFF"/>
        </w:rPr>
        <w:t>I级</w:t>
      </w:r>
      <w:r>
        <w:rPr>
          <w:rFonts w:hint="eastAsia" w:ascii="Times New Roman" w:hAnsi="Times New Roman" w:eastAsia="楷体_GB2312"/>
          <w:b/>
          <w:bCs/>
          <w:color w:val="444444"/>
          <w:sz w:val="32"/>
          <w:shd w:val="clear" w:color="auto" w:fill="FFFFFF"/>
        </w:rPr>
        <w:t>）</w:t>
      </w:r>
    </w:p>
    <w:p w14:paraId="6C5FE03A">
      <w:pPr>
        <w:spacing w:line="560" w:lineRule="exact"/>
        <w:ind w:firstLine="480" w:firstLineChars="0"/>
        <w:textAlignment w:val="baseline"/>
        <w:rPr>
          <w:rFonts w:ascii="Times New Roman" w:hAnsi="Times New Roman" w:cs="Times New Roman"/>
          <w:sz w:val="32"/>
        </w:rPr>
      </w:pPr>
      <w:r>
        <w:rPr>
          <w:rFonts w:hint="eastAsia" w:ascii="Times New Roman" w:hAnsi="Times New Roman" w:cs="Times New Roman"/>
          <w:sz w:val="32"/>
        </w:rPr>
        <w:t>（1）</w:t>
      </w:r>
      <w:r>
        <w:rPr>
          <w:rFonts w:ascii="Times New Roman" w:hAnsi="Times New Roman" w:cs="Times New Roman"/>
          <w:sz w:val="32"/>
        </w:rPr>
        <w:t>特种设备事故造成30人以上死亡，或者100人以上重伤</w:t>
      </w:r>
      <w:r>
        <w:rPr>
          <w:rFonts w:hint="eastAsia" w:ascii="Times New Roman" w:hAnsi="Times New Roman" w:cs="Times New Roman"/>
          <w:sz w:val="32"/>
        </w:rPr>
        <w:t>（</w:t>
      </w:r>
      <w:r>
        <w:rPr>
          <w:rFonts w:ascii="Times New Roman" w:hAnsi="Times New Roman" w:cs="Times New Roman"/>
          <w:sz w:val="32"/>
        </w:rPr>
        <w:t>包括急性工业中毒，下同</w:t>
      </w:r>
      <w:r>
        <w:rPr>
          <w:rFonts w:hint="eastAsia" w:ascii="Times New Roman" w:hAnsi="Times New Roman" w:cs="Times New Roman"/>
          <w:sz w:val="32"/>
        </w:rPr>
        <w:t>）</w:t>
      </w:r>
      <w:r>
        <w:rPr>
          <w:rFonts w:ascii="Times New Roman" w:hAnsi="Times New Roman" w:cs="Times New Roman"/>
          <w:sz w:val="32"/>
        </w:rPr>
        <w:t>，或者1亿元以上直接经济损失的；</w:t>
      </w:r>
    </w:p>
    <w:p w14:paraId="18DCB73F">
      <w:pPr>
        <w:spacing w:line="560" w:lineRule="exact"/>
        <w:ind w:firstLine="480" w:firstLineChars="0"/>
        <w:textAlignment w:val="baseline"/>
        <w:rPr>
          <w:rFonts w:ascii="Times New Roman" w:hAnsi="Times New Roman" w:cs="Times New Roman"/>
          <w:sz w:val="32"/>
        </w:rPr>
      </w:pPr>
      <w:r>
        <w:rPr>
          <w:rFonts w:hint="eastAsia" w:ascii="Times New Roman" w:hAnsi="Times New Roman" w:cs="Times New Roman"/>
          <w:sz w:val="32"/>
        </w:rPr>
        <w:t>（2）</w:t>
      </w:r>
      <w:r>
        <w:rPr>
          <w:rFonts w:ascii="Times New Roman" w:hAnsi="Times New Roman" w:cs="Times New Roman"/>
          <w:sz w:val="32"/>
        </w:rPr>
        <w:t>600兆瓦以上锅炉爆炸的；</w:t>
      </w:r>
    </w:p>
    <w:p w14:paraId="05D354AF">
      <w:pPr>
        <w:spacing w:line="560" w:lineRule="exact"/>
        <w:ind w:firstLine="480" w:firstLineChars="0"/>
        <w:textAlignment w:val="baseline"/>
        <w:rPr>
          <w:rFonts w:ascii="Times New Roman" w:hAnsi="Times New Roman" w:cs="Times New Roman"/>
          <w:sz w:val="32"/>
        </w:rPr>
      </w:pPr>
      <w:r>
        <w:rPr>
          <w:rFonts w:hint="eastAsia" w:ascii="Times New Roman" w:hAnsi="Times New Roman" w:cs="Times New Roman"/>
          <w:sz w:val="32"/>
        </w:rPr>
        <w:t>（3）</w:t>
      </w:r>
      <w:r>
        <w:rPr>
          <w:rFonts w:ascii="Times New Roman" w:hAnsi="Times New Roman" w:cs="Times New Roman"/>
          <w:sz w:val="32"/>
        </w:rPr>
        <w:t>压力容器、压力管道有毒介质泄漏，造成15万人以上转移的；</w:t>
      </w:r>
    </w:p>
    <w:p w14:paraId="3475E103">
      <w:pPr>
        <w:spacing w:line="560" w:lineRule="exact"/>
        <w:ind w:firstLine="480" w:firstLineChars="0"/>
        <w:textAlignment w:val="baseline"/>
        <w:rPr>
          <w:rFonts w:ascii="Times New Roman" w:hAnsi="Times New Roman" w:cs="Times New Roman"/>
          <w:sz w:val="32"/>
        </w:rPr>
      </w:pPr>
      <w:r>
        <w:rPr>
          <w:rFonts w:hint="eastAsia" w:ascii="Times New Roman" w:hAnsi="Times New Roman" w:cs="Times New Roman"/>
          <w:sz w:val="32"/>
        </w:rPr>
        <w:t>（4）</w:t>
      </w:r>
      <w:r>
        <w:rPr>
          <w:rFonts w:ascii="Times New Roman" w:hAnsi="Times New Roman" w:cs="Times New Roman"/>
          <w:sz w:val="32"/>
        </w:rPr>
        <w:t>客运索道、大型游乐设施高空滞留100人以上并且时间在48小时以上的。</w:t>
      </w:r>
    </w:p>
    <w:p w14:paraId="44844A06">
      <w:pPr>
        <w:pStyle w:val="20"/>
        <w:widowControl/>
        <w:shd w:val="clear" w:color="auto" w:fill="FFFFFF"/>
        <w:spacing w:beforeAutospacing="0" w:afterAutospacing="0" w:line="560" w:lineRule="exact"/>
        <w:ind w:firstLine="0" w:firstLineChars="0"/>
        <w:rPr>
          <w:rFonts w:ascii="Times New Roman" w:hAnsi="Times New Roman" w:eastAsia="楷体_GB2312"/>
          <w:b/>
          <w:bCs/>
          <w:color w:val="444444"/>
          <w:sz w:val="32"/>
          <w:shd w:val="clear" w:color="auto" w:fill="FFFFFF"/>
        </w:rPr>
      </w:pPr>
      <w:r>
        <w:rPr>
          <w:rFonts w:ascii="Times New Roman" w:hAnsi="Times New Roman" w:eastAsia="楷体_GB2312"/>
          <w:b/>
          <w:bCs/>
          <w:color w:val="444444"/>
          <w:sz w:val="32"/>
          <w:shd w:val="clear" w:color="auto" w:fill="FFFFFF"/>
        </w:rPr>
        <w:t>（二）重大事故</w:t>
      </w:r>
      <w:r>
        <w:rPr>
          <w:rFonts w:hint="eastAsia" w:ascii="Times New Roman" w:hAnsi="Times New Roman" w:eastAsia="楷体_GB2312"/>
          <w:b/>
          <w:bCs/>
          <w:color w:val="444444"/>
          <w:sz w:val="32"/>
          <w:shd w:val="clear" w:color="auto" w:fill="FFFFFF"/>
        </w:rPr>
        <w:t>（</w:t>
      </w:r>
      <w:r>
        <w:rPr>
          <w:rFonts w:ascii="Times New Roman" w:hAnsi="Times New Roman" w:eastAsia="楷体_GB2312"/>
          <w:b/>
          <w:bCs/>
          <w:color w:val="444444"/>
          <w:sz w:val="32"/>
          <w:shd w:val="clear" w:color="auto" w:fill="FFFFFF"/>
        </w:rPr>
        <w:t>Ⅱ级</w:t>
      </w:r>
      <w:r>
        <w:rPr>
          <w:rFonts w:hint="eastAsia" w:ascii="Times New Roman" w:hAnsi="Times New Roman" w:eastAsia="楷体_GB2312"/>
          <w:b/>
          <w:bCs/>
          <w:color w:val="444444"/>
          <w:sz w:val="32"/>
          <w:shd w:val="clear" w:color="auto" w:fill="FFFFFF"/>
        </w:rPr>
        <w:t>）</w:t>
      </w:r>
    </w:p>
    <w:p w14:paraId="40CB00CE">
      <w:pPr>
        <w:spacing w:line="560" w:lineRule="exact"/>
        <w:ind w:firstLine="480" w:firstLineChars="0"/>
        <w:textAlignment w:val="baseline"/>
        <w:rPr>
          <w:rFonts w:ascii="Times New Roman" w:hAnsi="Times New Roman" w:cs="Times New Roman"/>
          <w:sz w:val="32"/>
        </w:rPr>
      </w:pPr>
      <w:r>
        <w:rPr>
          <w:rFonts w:hint="eastAsia" w:ascii="Times New Roman" w:hAnsi="Times New Roman" w:cs="Times New Roman"/>
          <w:sz w:val="32"/>
        </w:rPr>
        <w:t>（1）</w:t>
      </w:r>
      <w:r>
        <w:rPr>
          <w:rFonts w:ascii="Times New Roman" w:hAnsi="Times New Roman" w:cs="Times New Roman"/>
          <w:sz w:val="32"/>
        </w:rPr>
        <w:t>特种设备事故造成10人以上30人以下死亡，或者50人以上100人以下重伤，或者5000万元以上1亿元以下直接经济损失的；</w:t>
      </w:r>
    </w:p>
    <w:p w14:paraId="70A4EC1D">
      <w:pPr>
        <w:spacing w:line="560" w:lineRule="exact"/>
        <w:ind w:firstLine="480" w:firstLineChars="0"/>
        <w:textAlignment w:val="baseline"/>
        <w:rPr>
          <w:rFonts w:ascii="Times New Roman" w:hAnsi="Times New Roman" w:cs="Times New Roman"/>
          <w:sz w:val="32"/>
        </w:rPr>
      </w:pPr>
      <w:r>
        <w:rPr>
          <w:rFonts w:hint="eastAsia" w:ascii="Times New Roman" w:hAnsi="Times New Roman" w:cs="Times New Roman"/>
          <w:sz w:val="32"/>
        </w:rPr>
        <w:t>（2）</w:t>
      </w:r>
      <w:r>
        <w:rPr>
          <w:rFonts w:ascii="Times New Roman" w:hAnsi="Times New Roman" w:cs="Times New Roman"/>
          <w:sz w:val="32"/>
        </w:rPr>
        <w:t>600兆瓦以上锅炉因安全故障中断运行240小时以上的；</w:t>
      </w:r>
    </w:p>
    <w:p w14:paraId="79D3561D">
      <w:pPr>
        <w:spacing w:line="560" w:lineRule="exact"/>
        <w:ind w:firstLine="480" w:firstLineChars="0"/>
        <w:textAlignment w:val="baseline"/>
        <w:rPr>
          <w:rFonts w:ascii="Times New Roman" w:hAnsi="Times New Roman" w:cs="Times New Roman"/>
          <w:sz w:val="32"/>
        </w:rPr>
      </w:pPr>
      <w:r>
        <w:rPr>
          <w:rFonts w:hint="eastAsia" w:ascii="Times New Roman" w:hAnsi="Times New Roman" w:cs="Times New Roman"/>
          <w:sz w:val="32"/>
        </w:rPr>
        <w:t>（3）</w:t>
      </w:r>
      <w:r>
        <w:rPr>
          <w:rFonts w:ascii="Times New Roman" w:hAnsi="Times New Roman" w:cs="Times New Roman"/>
          <w:sz w:val="32"/>
        </w:rPr>
        <w:t>压力容器、压力管道有毒介质泄漏，造成5万人以上15万人以下转移的；</w:t>
      </w:r>
    </w:p>
    <w:p w14:paraId="0D84FA35">
      <w:pPr>
        <w:spacing w:line="560" w:lineRule="exact"/>
        <w:ind w:firstLine="480" w:firstLineChars="0"/>
        <w:textAlignment w:val="baseline"/>
        <w:rPr>
          <w:rFonts w:ascii="Times New Roman" w:hAnsi="Times New Roman" w:cs="Times New Roman"/>
          <w:sz w:val="32"/>
        </w:rPr>
      </w:pPr>
      <w:r>
        <w:rPr>
          <w:rFonts w:hint="eastAsia" w:ascii="Times New Roman" w:hAnsi="Times New Roman" w:cs="Times New Roman"/>
          <w:sz w:val="32"/>
        </w:rPr>
        <w:t>（4）</w:t>
      </w:r>
      <w:r>
        <w:rPr>
          <w:rFonts w:ascii="Times New Roman" w:hAnsi="Times New Roman" w:cs="Times New Roman"/>
          <w:sz w:val="32"/>
        </w:rPr>
        <w:t>客运索道、大型游乐设施高空滞留100人以上并且时间在24小时以上48小时以下的。</w:t>
      </w:r>
    </w:p>
    <w:p w14:paraId="5545FE9B">
      <w:pPr>
        <w:pStyle w:val="20"/>
        <w:widowControl/>
        <w:shd w:val="clear" w:color="auto" w:fill="FFFFFF"/>
        <w:spacing w:beforeAutospacing="0" w:afterAutospacing="0" w:line="560" w:lineRule="exact"/>
        <w:ind w:firstLine="0" w:firstLineChars="0"/>
        <w:rPr>
          <w:rFonts w:ascii="Times New Roman" w:hAnsi="Times New Roman" w:eastAsia="楷体_GB2312"/>
          <w:b/>
          <w:bCs/>
          <w:color w:val="444444"/>
          <w:sz w:val="32"/>
          <w:shd w:val="clear" w:color="auto" w:fill="FFFFFF"/>
        </w:rPr>
      </w:pPr>
      <w:r>
        <w:rPr>
          <w:rFonts w:ascii="Times New Roman" w:hAnsi="Times New Roman" w:eastAsia="楷体_GB2312"/>
          <w:b/>
          <w:bCs/>
          <w:color w:val="444444"/>
          <w:sz w:val="32"/>
          <w:shd w:val="clear" w:color="auto" w:fill="FFFFFF"/>
        </w:rPr>
        <w:t>（三）较大事故</w:t>
      </w:r>
      <w:r>
        <w:rPr>
          <w:rFonts w:hint="eastAsia" w:ascii="Times New Roman" w:hAnsi="Times New Roman" w:eastAsia="楷体_GB2312"/>
          <w:b/>
          <w:bCs/>
          <w:color w:val="444444"/>
          <w:sz w:val="32"/>
          <w:shd w:val="clear" w:color="auto" w:fill="FFFFFF"/>
        </w:rPr>
        <w:t>（</w:t>
      </w:r>
      <w:r>
        <w:rPr>
          <w:rFonts w:ascii="Times New Roman" w:hAnsi="Times New Roman" w:eastAsia="楷体_GB2312"/>
          <w:b/>
          <w:bCs/>
          <w:color w:val="444444"/>
          <w:sz w:val="32"/>
          <w:shd w:val="clear" w:color="auto" w:fill="FFFFFF"/>
        </w:rPr>
        <w:t>Ⅲ级</w:t>
      </w:r>
      <w:r>
        <w:rPr>
          <w:rFonts w:hint="eastAsia" w:ascii="Times New Roman" w:hAnsi="Times New Roman" w:eastAsia="楷体_GB2312"/>
          <w:b/>
          <w:bCs/>
          <w:color w:val="444444"/>
          <w:sz w:val="32"/>
          <w:shd w:val="clear" w:color="auto" w:fill="FFFFFF"/>
        </w:rPr>
        <w:t>）</w:t>
      </w:r>
    </w:p>
    <w:p w14:paraId="42696113">
      <w:pPr>
        <w:pStyle w:val="20"/>
        <w:widowControl/>
        <w:shd w:val="clear" w:color="auto" w:fill="FFFFFF"/>
        <w:spacing w:beforeAutospacing="0" w:afterAutospacing="0" w:line="560" w:lineRule="exact"/>
        <w:ind w:firstLine="632"/>
        <w:rPr>
          <w:rFonts w:ascii="Times New Roman" w:hAnsi="Times New Roman"/>
          <w:sz w:val="32"/>
        </w:rPr>
      </w:pPr>
      <w:r>
        <w:rPr>
          <w:rFonts w:hint="eastAsia" w:ascii="Times New Roman" w:hAnsi="Times New Roman"/>
          <w:sz w:val="32"/>
        </w:rPr>
        <w:t>（1）</w:t>
      </w:r>
      <w:r>
        <w:rPr>
          <w:rFonts w:ascii="Times New Roman" w:hAnsi="Times New Roman"/>
          <w:sz w:val="32"/>
        </w:rPr>
        <w:t>特种设备事故造成3人以下死亡，或者10人以下重伤，或者1万元以上1000万元以下直接经济损失的；</w:t>
      </w:r>
    </w:p>
    <w:p w14:paraId="7C32798C">
      <w:pPr>
        <w:pStyle w:val="20"/>
        <w:widowControl/>
        <w:shd w:val="clear" w:color="auto" w:fill="FFFFFF"/>
        <w:spacing w:beforeAutospacing="0" w:afterAutospacing="0" w:line="560" w:lineRule="exact"/>
        <w:ind w:firstLine="632"/>
        <w:rPr>
          <w:rFonts w:ascii="Times New Roman" w:hAnsi="Times New Roman"/>
          <w:sz w:val="32"/>
        </w:rPr>
      </w:pPr>
      <w:r>
        <w:rPr>
          <w:rFonts w:hint="eastAsia" w:ascii="Times New Roman" w:hAnsi="Times New Roman"/>
          <w:sz w:val="32"/>
        </w:rPr>
        <w:t>（2）</w:t>
      </w:r>
      <w:r>
        <w:rPr>
          <w:rFonts w:ascii="Times New Roman" w:hAnsi="Times New Roman"/>
          <w:sz w:val="32"/>
        </w:rPr>
        <w:t>压力容器、压力管道有毒介质泄漏，造成500人以上1万人以下转移的；</w:t>
      </w:r>
    </w:p>
    <w:p w14:paraId="69C85FC2">
      <w:pPr>
        <w:pStyle w:val="20"/>
        <w:widowControl/>
        <w:shd w:val="clear" w:color="auto" w:fill="FFFFFF"/>
        <w:spacing w:beforeAutospacing="0" w:afterAutospacing="0" w:line="560" w:lineRule="exact"/>
        <w:ind w:firstLine="632"/>
        <w:rPr>
          <w:rFonts w:ascii="Times New Roman" w:hAnsi="Times New Roman"/>
          <w:sz w:val="32"/>
        </w:rPr>
      </w:pPr>
      <w:r>
        <w:rPr>
          <w:rFonts w:hint="eastAsia" w:ascii="Times New Roman" w:hAnsi="Times New Roman"/>
          <w:sz w:val="32"/>
        </w:rPr>
        <w:t>（3）</w:t>
      </w:r>
      <w:r>
        <w:rPr>
          <w:rFonts w:ascii="Times New Roman" w:hAnsi="Times New Roman"/>
          <w:sz w:val="32"/>
        </w:rPr>
        <w:t>电梯轿厢滞留人员2小时以上的；</w:t>
      </w:r>
    </w:p>
    <w:p w14:paraId="2CD1A024">
      <w:pPr>
        <w:pStyle w:val="20"/>
        <w:widowControl/>
        <w:shd w:val="clear" w:color="auto" w:fill="FFFFFF"/>
        <w:spacing w:beforeAutospacing="0" w:afterAutospacing="0" w:line="560" w:lineRule="exact"/>
        <w:ind w:firstLine="632"/>
        <w:rPr>
          <w:rFonts w:ascii="Times New Roman" w:hAnsi="Times New Roman"/>
          <w:sz w:val="32"/>
        </w:rPr>
      </w:pPr>
      <w:r>
        <w:rPr>
          <w:rFonts w:hint="eastAsia" w:ascii="Times New Roman" w:hAnsi="Times New Roman"/>
          <w:sz w:val="32"/>
        </w:rPr>
        <w:t>（4）</w:t>
      </w:r>
      <w:r>
        <w:rPr>
          <w:rFonts w:ascii="Times New Roman" w:hAnsi="Times New Roman"/>
          <w:sz w:val="32"/>
        </w:rPr>
        <w:t>起重机械主要受力结构件折断或者起升机构坠落的；</w:t>
      </w:r>
    </w:p>
    <w:p w14:paraId="4C80B7ED">
      <w:pPr>
        <w:pStyle w:val="20"/>
        <w:widowControl/>
        <w:shd w:val="clear" w:color="auto" w:fill="FFFFFF"/>
        <w:spacing w:beforeAutospacing="0" w:afterAutospacing="0" w:line="560" w:lineRule="exact"/>
        <w:ind w:firstLine="632"/>
        <w:rPr>
          <w:rFonts w:ascii="Times New Roman" w:hAnsi="Times New Roman"/>
          <w:sz w:val="32"/>
        </w:rPr>
      </w:pPr>
      <w:r>
        <w:rPr>
          <w:rFonts w:hint="eastAsia" w:ascii="Times New Roman" w:hAnsi="Times New Roman"/>
          <w:sz w:val="32"/>
        </w:rPr>
        <w:t>（5）</w:t>
      </w:r>
      <w:r>
        <w:rPr>
          <w:rFonts w:ascii="Times New Roman" w:hAnsi="Times New Roman"/>
          <w:sz w:val="32"/>
        </w:rPr>
        <w:t>客运索道高空滞留人员3.5小时以上12小时以下的；</w:t>
      </w:r>
    </w:p>
    <w:p w14:paraId="45B0D130">
      <w:pPr>
        <w:pStyle w:val="20"/>
        <w:widowControl/>
        <w:shd w:val="clear" w:color="auto" w:fill="FFFFFF"/>
        <w:spacing w:beforeAutospacing="0" w:afterAutospacing="0" w:line="560" w:lineRule="exact"/>
        <w:ind w:left="720" w:leftChars="228" w:firstLine="0" w:firstLineChars="0"/>
        <w:rPr>
          <w:rFonts w:ascii="Times New Roman" w:hAnsi="Times New Roman"/>
          <w:sz w:val="32"/>
        </w:rPr>
      </w:pPr>
      <w:r>
        <w:rPr>
          <w:rFonts w:hint="eastAsia" w:ascii="Times New Roman" w:hAnsi="Times New Roman"/>
          <w:sz w:val="32"/>
        </w:rPr>
        <w:t>（6）</w:t>
      </w:r>
      <w:r>
        <w:rPr>
          <w:rFonts w:ascii="Times New Roman" w:hAnsi="Times New Roman"/>
          <w:sz w:val="32"/>
        </w:rPr>
        <w:t>大型游乐设施高空滞留人员1小时以上12小时以下</w:t>
      </w:r>
    </w:p>
    <w:p w14:paraId="1A462174">
      <w:pPr>
        <w:pStyle w:val="20"/>
        <w:widowControl/>
        <w:shd w:val="clear" w:color="auto" w:fill="FFFFFF"/>
        <w:spacing w:beforeAutospacing="0" w:afterAutospacing="0" w:line="560" w:lineRule="exact"/>
        <w:ind w:firstLine="0" w:firstLineChars="0"/>
        <w:rPr>
          <w:rFonts w:ascii="Times New Roman" w:hAnsi="Times New Roman" w:eastAsia="楷体_GB2312"/>
          <w:b/>
          <w:bCs/>
          <w:color w:val="444444"/>
          <w:sz w:val="32"/>
          <w:shd w:val="clear" w:color="auto" w:fill="FFFFFF"/>
        </w:rPr>
      </w:pPr>
      <w:r>
        <w:rPr>
          <w:rFonts w:ascii="Times New Roman" w:hAnsi="Times New Roman" w:eastAsia="楷体_GB2312"/>
          <w:b/>
          <w:bCs/>
          <w:color w:val="444444"/>
          <w:sz w:val="32"/>
          <w:shd w:val="clear" w:color="auto" w:fill="FFFFFF"/>
        </w:rPr>
        <w:t>（四）一般事故（Ⅳ级）</w:t>
      </w:r>
    </w:p>
    <w:p w14:paraId="4AAF268B">
      <w:pPr>
        <w:spacing w:line="560" w:lineRule="exact"/>
        <w:ind w:firstLine="480" w:firstLineChars="0"/>
        <w:textAlignment w:val="baseline"/>
        <w:rPr>
          <w:rFonts w:ascii="Times New Roman" w:hAnsi="Times New Roman" w:cs="Times New Roman"/>
          <w:sz w:val="32"/>
        </w:rPr>
      </w:pPr>
      <w:r>
        <w:rPr>
          <w:rFonts w:hint="eastAsia" w:ascii="Times New Roman" w:hAnsi="Times New Roman" w:cs="Times New Roman"/>
          <w:sz w:val="32"/>
        </w:rPr>
        <w:t>（1）</w:t>
      </w:r>
      <w:r>
        <w:rPr>
          <w:rFonts w:ascii="Times New Roman" w:hAnsi="Times New Roman" w:cs="Times New Roman"/>
          <w:sz w:val="32"/>
        </w:rPr>
        <w:t>特种设备事故造成3人以下死亡，或者10人以下重伤，或者1万元以上1000万元以下直接经济损失的；</w:t>
      </w:r>
    </w:p>
    <w:p w14:paraId="244D235E">
      <w:pPr>
        <w:spacing w:line="560" w:lineRule="exact"/>
        <w:ind w:firstLine="480" w:firstLineChars="0"/>
        <w:textAlignment w:val="baseline"/>
        <w:rPr>
          <w:rFonts w:ascii="Times New Roman" w:hAnsi="Times New Roman" w:cs="Times New Roman"/>
          <w:sz w:val="32"/>
        </w:rPr>
      </w:pPr>
      <w:r>
        <w:rPr>
          <w:rFonts w:hint="eastAsia" w:ascii="Times New Roman" w:hAnsi="Times New Roman" w:cs="Times New Roman"/>
          <w:sz w:val="32"/>
        </w:rPr>
        <w:t>（2）</w:t>
      </w:r>
      <w:r>
        <w:rPr>
          <w:rFonts w:ascii="Times New Roman" w:hAnsi="Times New Roman" w:cs="Times New Roman"/>
          <w:sz w:val="32"/>
        </w:rPr>
        <w:t>压力容器、压力管道有毒介质泄漏，造成500人以上1万人以下转移的；</w:t>
      </w:r>
    </w:p>
    <w:p w14:paraId="25EA2AE6">
      <w:pPr>
        <w:spacing w:line="560" w:lineRule="exact"/>
        <w:ind w:firstLine="480" w:firstLineChars="0"/>
        <w:textAlignment w:val="baseline"/>
        <w:rPr>
          <w:rFonts w:ascii="Times New Roman" w:hAnsi="Times New Roman" w:cs="Times New Roman"/>
          <w:sz w:val="32"/>
        </w:rPr>
      </w:pPr>
      <w:r>
        <w:rPr>
          <w:rFonts w:hint="eastAsia" w:ascii="Times New Roman" w:hAnsi="Times New Roman" w:cs="Times New Roman"/>
          <w:sz w:val="32"/>
        </w:rPr>
        <w:t>（3）</w:t>
      </w:r>
      <w:r>
        <w:rPr>
          <w:rFonts w:ascii="Times New Roman" w:hAnsi="Times New Roman" w:cs="Times New Roman"/>
          <w:sz w:val="32"/>
        </w:rPr>
        <w:t>电梯轿厢滞留人员2小时以上的；</w:t>
      </w:r>
    </w:p>
    <w:p w14:paraId="158C5D7C">
      <w:pPr>
        <w:spacing w:line="560" w:lineRule="exact"/>
        <w:ind w:firstLine="480" w:firstLineChars="0"/>
        <w:textAlignment w:val="baseline"/>
        <w:rPr>
          <w:rFonts w:ascii="Times New Roman" w:hAnsi="Times New Roman" w:cs="Times New Roman"/>
          <w:sz w:val="32"/>
        </w:rPr>
      </w:pPr>
      <w:r>
        <w:rPr>
          <w:rFonts w:hint="eastAsia" w:ascii="Times New Roman" w:hAnsi="Times New Roman" w:cs="Times New Roman"/>
          <w:sz w:val="32"/>
        </w:rPr>
        <w:t>（4）</w:t>
      </w:r>
      <w:r>
        <w:rPr>
          <w:rFonts w:ascii="Times New Roman" w:hAnsi="Times New Roman" w:cs="Times New Roman"/>
          <w:sz w:val="32"/>
        </w:rPr>
        <w:t>起重机械主要受力结构件折断或者起升机构坠落的；</w:t>
      </w:r>
    </w:p>
    <w:p w14:paraId="3DDDE8B8">
      <w:pPr>
        <w:spacing w:line="560" w:lineRule="exact"/>
        <w:ind w:firstLine="480" w:firstLineChars="0"/>
        <w:textAlignment w:val="baseline"/>
        <w:rPr>
          <w:rFonts w:ascii="Times New Roman" w:hAnsi="Times New Roman" w:cs="Times New Roman"/>
          <w:sz w:val="32"/>
        </w:rPr>
      </w:pPr>
      <w:r>
        <w:rPr>
          <w:rFonts w:hint="eastAsia" w:ascii="Times New Roman" w:hAnsi="Times New Roman" w:cs="Times New Roman"/>
          <w:sz w:val="32"/>
        </w:rPr>
        <w:t>（5）</w:t>
      </w:r>
      <w:r>
        <w:rPr>
          <w:rFonts w:ascii="Times New Roman" w:hAnsi="Times New Roman" w:cs="Times New Roman"/>
          <w:sz w:val="32"/>
        </w:rPr>
        <w:t>客运索道高空滞留人员3.5小时以上12小时以下的；</w:t>
      </w:r>
    </w:p>
    <w:p w14:paraId="3805CA7C">
      <w:pPr>
        <w:spacing w:line="560" w:lineRule="exact"/>
        <w:ind w:firstLine="480" w:firstLineChars="0"/>
        <w:textAlignment w:val="baseline"/>
        <w:rPr>
          <w:rFonts w:ascii="Times New Roman" w:hAnsi="Times New Roman" w:cs="Times New Roman"/>
          <w:sz w:val="32"/>
        </w:rPr>
      </w:pPr>
      <w:r>
        <w:rPr>
          <w:rFonts w:hint="eastAsia" w:ascii="Times New Roman" w:hAnsi="Times New Roman" w:cs="Times New Roman"/>
          <w:sz w:val="32"/>
        </w:rPr>
        <w:t>（6）</w:t>
      </w:r>
      <w:r>
        <w:rPr>
          <w:rFonts w:ascii="Times New Roman" w:hAnsi="Times New Roman" w:cs="Times New Roman"/>
          <w:sz w:val="32"/>
        </w:rPr>
        <w:t>大型游乐设施高空滞留人员1小时以上12小时以下的。</w:t>
      </w:r>
    </w:p>
    <w:p w14:paraId="21EDDBF5">
      <w:pPr>
        <w:ind w:firstLine="632"/>
        <w:rPr>
          <w:rFonts w:ascii="Times New Roman" w:hAnsi="Times New Roman" w:cs="Times New Roman"/>
        </w:rPr>
      </w:pPr>
      <w:r>
        <w:rPr>
          <w:rFonts w:ascii="Times New Roman" w:hAnsi="Times New Roman" w:cs="Times New Roman"/>
          <w:sz w:val="32"/>
        </w:rPr>
        <w:t>上述分级标准有关数量的表述中，“以上”含本数，“以下”不含本数。</w:t>
      </w:r>
    </w:p>
    <w:p w14:paraId="6BD3FF73">
      <w:pPr>
        <w:pStyle w:val="15"/>
        <w:ind w:left="0" w:leftChars="0" w:firstLine="0" w:firstLineChars="0"/>
        <w:rPr>
          <w:rFonts w:ascii="Times New Roman" w:hAnsi="Times New Roman" w:cs="Times New Roman"/>
        </w:rPr>
        <w:sectPr>
          <w:footerReference r:id="rId84" w:type="default"/>
          <w:footerReference r:id="rId85" w:type="even"/>
          <w:pgSz w:w="11906" w:h="16838"/>
          <w:pgMar w:top="2098" w:right="1474" w:bottom="1984" w:left="1587" w:header="624" w:footer="1134" w:gutter="0"/>
          <w:pgNumType w:start="1"/>
          <w:cols w:space="0" w:num="1"/>
          <w:docGrid w:type="linesAndChars" w:linePitch="579" w:charSpace="-842"/>
        </w:sectPr>
      </w:pPr>
    </w:p>
    <w:p w14:paraId="3961DB23">
      <w:pPr>
        <w:pStyle w:val="11"/>
        <w:ind w:firstLine="632"/>
      </w:pPr>
    </w:p>
    <w:p w14:paraId="364DBE69">
      <w:pPr>
        <w:ind w:firstLine="0" w:firstLineChars="0"/>
        <w:jc w:val="center"/>
        <w:rPr>
          <w:sz w:val="36"/>
          <w:szCs w:val="36"/>
        </w:rPr>
      </w:pPr>
    </w:p>
    <w:p w14:paraId="7C6C0EB5">
      <w:pPr>
        <w:pStyle w:val="42"/>
      </w:pPr>
    </w:p>
    <w:p w14:paraId="19CC3795">
      <w:pPr>
        <w:autoSpaceDE w:val="0"/>
        <w:autoSpaceDN w:val="0"/>
        <w:adjustRightInd w:val="0"/>
        <w:spacing w:line="240" w:lineRule="atLeast"/>
        <w:ind w:firstLine="0" w:firstLineChars="0"/>
        <w:jc w:val="center"/>
        <w:rPr>
          <w:rFonts w:ascii="方正小标宋简体" w:hAnsi="方正小标宋简体" w:eastAsia="方正小标宋简体" w:cs="方正小标宋简体"/>
          <w:bCs/>
          <w:color w:val="000000"/>
          <w:spacing w:val="-6"/>
          <w:kern w:val="0"/>
          <w:sz w:val="52"/>
          <w:szCs w:val="52"/>
          <w:lang w:bidi="ar"/>
        </w:rPr>
      </w:pPr>
      <w:r>
        <w:rPr>
          <w:rFonts w:hint="eastAsia" w:ascii="方正小标宋简体" w:hAnsi="方正小标宋简体" w:eastAsia="方正小标宋简体" w:cs="方正小标宋简体"/>
          <w:bCs/>
          <w:color w:val="000000"/>
          <w:spacing w:val="-6"/>
          <w:kern w:val="0"/>
          <w:sz w:val="52"/>
          <w:szCs w:val="52"/>
          <w:lang w:bidi="ar"/>
        </w:rPr>
        <w:t>集贤县生产安全事故应急预案</w:t>
      </w:r>
    </w:p>
    <w:p w14:paraId="70B29B1C">
      <w:pPr>
        <w:pStyle w:val="11"/>
        <w:ind w:firstLine="0" w:firstLineChars="0"/>
        <w:jc w:val="center"/>
        <w:rPr>
          <w:rFonts w:ascii="Times New Roman" w:hAnsi="Times New Roman" w:eastAsia="楷体_GB2312" w:cs="Times New Roman"/>
          <w:b/>
          <w:sz w:val="52"/>
          <w:szCs w:val="52"/>
        </w:rPr>
      </w:pPr>
      <w:r>
        <w:rPr>
          <w:rFonts w:hint="eastAsia" w:ascii="仿宋_GB2312" w:hAnsi="仿宋_GB2312" w:cs="仿宋_GB2312"/>
          <w:bCs/>
          <w:sz w:val="48"/>
          <w:szCs w:val="48"/>
        </w:rPr>
        <w:t>（修订稿）</w:t>
      </w:r>
    </w:p>
    <w:p w14:paraId="0CE0AF05">
      <w:pPr>
        <w:ind w:firstLine="632"/>
      </w:pPr>
    </w:p>
    <w:p w14:paraId="1874B8F5">
      <w:pPr>
        <w:ind w:firstLine="632"/>
      </w:pPr>
    </w:p>
    <w:p w14:paraId="07B4D5AF">
      <w:pPr>
        <w:ind w:firstLine="632"/>
      </w:pPr>
    </w:p>
    <w:p w14:paraId="723F4F99">
      <w:pPr>
        <w:ind w:firstLine="632"/>
      </w:pPr>
    </w:p>
    <w:p w14:paraId="4E504B92">
      <w:pPr>
        <w:ind w:firstLine="632"/>
      </w:pPr>
    </w:p>
    <w:p w14:paraId="4B230333">
      <w:pPr>
        <w:ind w:firstLine="632"/>
      </w:pPr>
    </w:p>
    <w:p w14:paraId="19D68AA9">
      <w:pPr>
        <w:ind w:firstLine="632"/>
      </w:pPr>
    </w:p>
    <w:p w14:paraId="18A41418">
      <w:pPr>
        <w:ind w:firstLine="632"/>
      </w:pPr>
    </w:p>
    <w:p w14:paraId="05244DA0">
      <w:pPr>
        <w:ind w:firstLine="632"/>
      </w:pPr>
    </w:p>
    <w:p w14:paraId="05BED71E">
      <w:pPr>
        <w:ind w:firstLine="632"/>
      </w:pPr>
    </w:p>
    <w:p w14:paraId="7C0F4EF9">
      <w:pPr>
        <w:ind w:firstLine="632"/>
      </w:pPr>
    </w:p>
    <w:p w14:paraId="0B150EF8">
      <w:pPr>
        <w:ind w:firstLine="632"/>
      </w:pPr>
    </w:p>
    <w:p w14:paraId="14AE1F77">
      <w:pPr>
        <w:ind w:firstLine="0" w:firstLineChars="0"/>
        <w:jc w:val="center"/>
        <w:rPr>
          <w:rFonts w:eastAsia="仿宋"/>
          <w:bCs/>
          <w:spacing w:val="-6"/>
          <w:sz w:val="36"/>
          <w:szCs w:val="24"/>
          <w:lang w:bidi="ar"/>
        </w:rPr>
      </w:pPr>
      <w:r>
        <w:rPr>
          <w:rFonts w:hint="eastAsia" w:ascii="仿宋_GB2312" w:hAnsi="仿宋_GB2312" w:cs="仿宋_GB2312"/>
          <w:bCs/>
          <w:spacing w:val="-6"/>
          <w:sz w:val="36"/>
          <w:szCs w:val="24"/>
          <w:lang w:bidi="ar"/>
        </w:rPr>
        <w:t>集贤县人民政府 编制</w:t>
      </w:r>
    </w:p>
    <w:p w14:paraId="5260C30E">
      <w:pPr>
        <w:ind w:firstLine="0" w:firstLineChars="0"/>
        <w:jc w:val="center"/>
        <w:rPr>
          <w:rFonts w:eastAsia="仿宋"/>
          <w:bCs/>
          <w:spacing w:val="-6"/>
          <w:sz w:val="36"/>
          <w:szCs w:val="24"/>
          <w:lang w:bidi="ar"/>
        </w:rPr>
      </w:pPr>
      <w:r>
        <w:rPr>
          <w:rFonts w:hint="eastAsia" w:eastAsia="仿宋"/>
          <w:bCs/>
          <w:spacing w:val="-6"/>
          <w:sz w:val="36"/>
          <w:szCs w:val="24"/>
          <w:lang w:bidi="ar"/>
        </w:rPr>
        <w:t>202</w:t>
      </w:r>
      <w:r>
        <w:rPr>
          <w:bCs/>
          <w:spacing w:val="-6"/>
          <w:sz w:val="36"/>
          <w:szCs w:val="24"/>
          <w:lang w:bidi="ar"/>
        </w:rPr>
        <w:t>5</w:t>
      </w:r>
      <w:r>
        <w:rPr>
          <w:rFonts w:hint="eastAsia" w:eastAsia="仿宋"/>
          <w:bCs/>
          <w:spacing w:val="-6"/>
          <w:sz w:val="36"/>
          <w:szCs w:val="24"/>
          <w:lang w:bidi="ar"/>
        </w:rPr>
        <w:t>年</w:t>
      </w:r>
      <w:r>
        <w:rPr>
          <w:bCs/>
          <w:spacing w:val="-6"/>
          <w:sz w:val="36"/>
          <w:szCs w:val="24"/>
          <w:lang w:bidi="ar"/>
        </w:rPr>
        <w:t>5</w:t>
      </w:r>
      <w:r>
        <w:rPr>
          <w:rFonts w:hint="eastAsia" w:eastAsia="仿宋"/>
          <w:bCs/>
          <w:spacing w:val="-6"/>
          <w:sz w:val="36"/>
          <w:szCs w:val="24"/>
          <w:lang w:bidi="ar"/>
        </w:rPr>
        <w:t>月</w:t>
      </w:r>
    </w:p>
    <w:p w14:paraId="0DAA0A38">
      <w:pPr>
        <w:ind w:firstLine="632"/>
        <w:rPr>
          <w:rFonts w:ascii="黑体" w:hAnsi="黑体" w:eastAsia="黑体" w:cs="黑体"/>
        </w:rPr>
      </w:pPr>
      <w:r>
        <w:rPr>
          <w:rFonts w:hint="eastAsia" w:ascii="黑体" w:hAnsi="黑体" w:eastAsia="黑体" w:cs="黑体"/>
        </w:rPr>
        <w:br w:type="page"/>
      </w:r>
    </w:p>
    <w:p w14:paraId="5E5607AD">
      <w:pPr>
        <w:pStyle w:val="42"/>
        <w:sectPr>
          <w:footerReference r:id="rId86" w:type="default"/>
          <w:pgSz w:w="11906" w:h="16838"/>
          <w:pgMar w:top="2098" w:right="1474" w:bottom="1984" w:left="1587" w:header="1814" w:footer="1587" w:gutter="0"/>
          <w:pgNumType w:fmt="numberInDash"/>
          <w:cols w:space="720" w:num="1"/>
          <w:docGrid w:type="linesAndChars" w:linePitch="579" w:charSpace="-842"/>
        </w:sectPr>
      </w:pPr>
    </w:p>
    <w:p w14:paraId="04A50536">
      <w:pPr>
        <w:ind w:firstLine="0" w:firstLineChars="0"/>
        <w:jc w:val="center"/>
        <w:rPr>
          <w:rFonts w:ascii="微软雅黑" w:hAnsi="微软雅黑" w:eastAsia="微软雅黑" w:cs="微软雅黑"/>
          <w:b/>
          <w:bCs/>
          <w:sz w:val="36"/>
          <w:szCs w:val="36"/>
        </w:rPr>
      </w:pPr>
      <w:r>
        <w:rPr>
          <w:rFonts w:hint="eastAsia" w:ascii="方正小标宋简体" w:hAnsi="方正小标宋简体" w:eastAsia="方正小标宋简体" w:cs="方正小标宋简体"/>
          <w:b/>
          <w:bCs/>
          <w:sz w:val="36"/>
          <w:szCs w:val="36"/>
        </w:rPr>
        <w:t>目  录</w:t>
      </w:r>
    </w:p>
    <w:p w14:paraId="54FEBCE2">
      <w:pPr>
        <w:pStyle w:val="18"/>
      </w:pPr>
      <w:r>
        <w:rPr>
          <w:rFonts w:hint="eastAsia" w:ascii="黑体" w:hAnsi="黑体" w:eastAsia="黑体" w:cs="黑体"/>
          <w:sz w:val="44"/>
          <w:szCs w:val="44"/>
        </w:rPr>
        <w:fldChar w:fldCharType="begin"/>
      </w:r>
      <w:r>
        <w:rPr>
          <w:rFonts w:hint="eastAsia" w:ascii="黑体" w:hAnsi="黑体" w:eastAsia="黑体" w:cs="黑体"/>
          <w:sz w:val="44"/>
          <w:szCs w:val="44"/>
        </w:rPr>
        <w:instrText xml:space="preserve">TOC \o "1-2" \h \u </w:instrText>
      </w:r>
      <w:r>
        <w:rPr>
          <w:rFonts w:hint="eastAsia" w:ascii="黑体" w:hAnsi="黑体" w:eastAsia="黑体" w:cs="黑体"/>
          <w:sz w:val="44"/>
          <w:szCs w:val="44"/>
        </w:rPr>
        <w:fldChar w:fldCharType="separate"/>
      </w:r>
      <w:r>
        <w:fldChar w:fldCharType="begin"/>
      </w:r>
      <w:r>
        <w:instrText xml:space="preserve"> HYPERLINK \l "_Toc2288" </w:instrText>
      </w:r>
      <w:r>
        <w:fldChar w:fldCharType="separate"/>
      </w:r>
      <w:r>
        <w:rPr>
          <w:rFonts w:eastAsia="仿宋"/>
        </w:rPr>
        <w:t xml:space="preserve">1 </w:t>
      </w:r>
      <w:r>
        <w:rPr>
          <w:rFonts w:hint="eastAsia"/>
        </w:rPr>
        <w:t>总则</w:t>
      </w:r>
      <w:r>
        <w:tab/>
      </w:r>
      <w:r>
        <w:fldChar w:fldCharType="begin"/>
      </w:r>
      <w:r>
        <w:instrText xml:space="preserve"> PAGEREF _Toc2288 \h </w:instrText>
      </w:r>
      <w:r>
        <w:fldChar w:fldCharType="separate"/>
      </w:r>
      <w:r>
        <w:t>1</w:t>
      </w:r>
      <w:r>
        <w:fldChar w:fldCharType="end"/>
      </w:r>
      <w:r>
        <w:fldChar w:fldCharType="end"/>
      </w:r>
    </w:p>
    <w:p w14:paraId="41E3BD4B">
      <w:pPr>
        <w:pStyle w:val="19"/>
        <w:tabs>
          <w:tab w:val="right" w:leader="dot" w:pos="8845"/>
        </w:tabs>
        <w:ind w:firstLine="632"/>
      </w:pPr>
      <w:r>
        <w:fldChar w:fldCharType="begin"/>
      </w:r>
      <w:r>
        <w:instrText xml:space="preserve"> HYPERLINK \l "_Toc30509" </w:instrText>
      </w:r>
      <w:r>
        <w:fldChar w:fldCharType="separate"/>
      </w:r>
      <w:r>
        <w:rPr>
          <w:rFonts w:eastAsia="仿宋"/>
          <w:bCs/>
          <w:szCs w:val="28"/>
        </w:rPr>
        <w:t xml:space="preserve">1.1 </w:t>
      </w:r>
      <w:r>
        <w:rPr>
          <w:rFonts w:hint="eastAsia"/>
        </w:rPr>
        <w:t>编制目的</w:t>
      </w:r>
      <w:r>
        <w:tab/>
      </w:r>
      <w:r>
        <w:fldChar w:fldCharType="begin"/>
      </w:r>
      <w:r>
        <w:instrText xml:space="preserve"> PAGEREF _Toc30509 \h </w:instrText>
      </w:r>
      <w:r>
        <w:fldChar w:fldCharType="separate"/>
      </w:r>
      <w:r>
        <w:t>1</w:t>
      </w:r>
      <w:r>
        <w:fldChar w:fldCharType="end"/>
      </w:r>
      <w:r>
        <w:fldChar w:fldCharType="end"/>
      </w:r>
    </w:p>
    <w:p w14:paraId="03FEA75B">
      <w:pPr>
        <w:pStyle w:val="19"/>
        <w:tabs>
          <w:tab w:val="right" w:leader="dot" w:pos="8845"/>
        </w:tabs>
        <w:ind w:firstLine="632"/>
      </w:pPr>
      <w:r>
        <w:fldChar w:fldCharType="begin"/>
      </w:r>
      <w:r>
        <w:instrText xml:space="preserve"> HYPERLINK \l "_Toc31514" </w:instrText>
      </w:r>
      <w:r>
        <w:fldChar w:fldCharType="separate"/>
      </w:r>
      <w:r>
        <w:rPr>
          <w:rFonts w:eastAsia="仿宋"/>
          <w:bCs/>
          <w:szCs w:val="28"/>
        </w:rPr>
        <w:t xml:space="preserve">1.2 </w:t>
      </w:r>
      <w:r>
        <w:rPr>
          <w:rFonts w:hint="eastAsia"/>
        </w:rPr>
        <w:t>编制依据</w:t>
      </w:r>
      <w:r>
        <w:tab/>
      </w:r>
      <w:r>
        <w:fldChar w:fldCharType="begin"/>
      </w:r>
      <w:r>
        <w:instrText xml:space="preserve"> PAGEREF _Toc31514 \h </w:instrText>
      </w:r>
      <w:r>
        <w:fldChar w:fldCharType="separate"/>
      </w:r>
      <w:r>
        <w:t>1</w:t>
      </w:r>
      <w:r>
        <w:fldChar w:fldCharType="end"/>
      </w:r>
      <w:r>
        <w:fldChar w:fldCharType="end"/>
      </w:r>
    </w:p>
    <w:p w14:paraId="3174D3FE">
      <w:pPr>
        <w:pStyle w:val="19"/>
        <w:tabs>
          <w:tab w:val="right" w:leader="dot" w:pos="8845"/>
        </w:tabs>
        <w:ind w:firstLine="632"/>
      </w:pPr>
      <w:r>
        <w:fldChar w:fldCharType="begin"/>
      </w:r>
      <w:r>
        <w:instrText xml:space="preserve"> HYPERLINK \l "_Toc20316" </w:instrText>
      </w:r>
      <w:r>
        <w:fldChar w:fldCharType="separate"/>
      </w:r>
      <w:r>
        <w:rPr>
          <w:rFonts w:eastAsia="仿宋"/>
          <w:bCs/>
          <w:szCs w:val="28"/>
        </w:rPr>
        <w:t xml:space="preserve">1.3 </w:t>
      </w:r>
      <w:r>
        <w:rPr>
          <w:rFonts w:hint="eastAsia"/>
        </w:rPr>
        <w:t>适用范围</w:t>
      </w:r>
      <w:r>
        <w:tab/>
      </w:r>
      <w:r>
        <w:fldChar w:fldCharType="begin"/>
      </w:r>
      <w:r>
        <w:instrText xml:space="preserve"> PAGEREF _Toc20316 \h </w:instrText>
      </w:r>
      <w:r>
        <w:fldChar w:fldCharType="separate"/>
      </w:r>
      <w:r>
        <w:t>1</w:t>
      </w:r>
      <w:r>
        <w:fldChar w:fldCharType="end"/>
      </w:r>
      <w:r>
        <w:fldChar w:fldCharType="end"/>
      </w:r>
    </w:p>
    <w:p w14:paraId="6C295DD1">
      <w:pPr>
        <w:pStyle w:val="19"/>
        <w:tabs>
          <w:tab w:val="right" w:leader="dot" w:pos="8845"/>
        </w:tabs>
        <w:ind w:firstLine="632"/>
      </w:pPr>
      <w:r>
        <w:fldChar w:fldCharType="begin"/>
      </w:r>
      <w:r>
        <w:instrText xml:space="preserve"> HYPERLINK \l "_Toc3753" </w:instrText>
      </w:r>
      <w:r>
        <w:fldChar w:fldCharType="separate"/>
      </w:r>
      <w:r>
        <w:rPr>
          <w:rFonts w:eastAsia="仿宋"/>
          <w:bCs/>
          <w:szCs w:val="28"/>
        </w:rPr>
        <w:t xml:space="preserve">1.4 </w:t>
      </w:r>
      <w:r>
        <w:rPr>
          <w:rFonts w:hint="eastAsia"/>
        </w:rPr>
        <w:t>主要危险源分析</w:t>
      </w:r>
      <w:r>
        <w:tab/>
      </w:r>
      <w:r>
        <w:fldChar w:fldCharType="begin"/>
      </w:r>
      <w:r>
        <w:instrText xml:space="preserve"> PAGEREF _Toc3753 \h </w:instrText>
      </w:r>
      <w:r>
        <w:fldChar w:fldCharType="separate"/>
      </w:r>
      <w:r>
        <w:t>1</w:t>
      </w:r>
      <w:r>
        <w:fldChar w:fldCharType="end"/>
      </w:r>
      <w:r>
        <w:fldChar w:fldCharType="end"/>
      </w:r>
    </w:p>
    <w:p w14:paraId="68419C92">
      <w:pPr>
        <w:pStyle w:val="19"/>
        <w:tabs>
          <w:tab w:val="right" w:leader="dot" w:pos="8845"/>
        </w:tabs>
        <w:ind w:firstLine="632"/>
      </w:pPr>
      <w:r>
        <w:fldChar w:fldCharType="begin"/>
      </w:r>
      <w:r>
        <w:instrText xml:space="preserve"> HYPERLINK \l "_Toc18422" </w:instrText>
      </w:r>
      <w:r>
        <w:fldChar w:fldCharType="separate"/>
      </w:r>
      <w:r>
        <w:rPr>
          <w:rFonts w:eastAsia="仿宋"/>
          <w:bCs/>
          <w:szCs w:val="28"/>
        </w:rPr>
        <w:t xml:space="preserve">1.5 </w:t>
      </w:r>
      <w:r>
        <w:rPr>
          <w:rFonts w:hint="eastAsia"/>
        </w:rPr>
        <w:t>工作原则</w:t>
      </w:r>
      <w:r>
        <w:tab/>
      </w:r>
      <w:r>
        <w:fldChar w:fldCharType="begin"/>
      </w:r>
      <w:r>
        <w:instrText xml:space="preserve"> PAGEREF _Toc18422 \h </w:instrText>
      </w:r>
      <w:r>
        <w:fldChar w:fldCharType="separate"/>
      </w:r>
      <w:r>
        <w:t>2</w:t>
      </w:r>
      <w:r>
        <w:fldChar w:fldCharType="end"/>
      </w:r>
      <w:r>
        <w:fldChar w:fldCharType="end"/>
      </w:r>
    </w:p>
    <w:p w14:paraId="5C235875">
      <w:pPr>
        <w:pStyle w:val="19"/>
        <w:tabs>
          <w:tab w:val="right" w:leader="dot" w:pos="8845"/>
        </w:tabs>
        <w:ind w:firstLine="632"/>
      </w:pPr>
      <w:r>
        <w:fldChar w:fldCharType="begin"/>
      </w:r>
      <w:r>
        <w:instrText xml:space="preserve"> HYPERLINK \l "_Toc29733" </w:instrText>
      </w:r>
      <w:r>
        <w:fldChar w:fldCharType="separate"/>
      </w:r>
      <w:r>
        <w:rPr>
          <w:rFonts w:eastAsia="仿宋"/>
          <w:bCs/>
          <w:szCs w:val="28"/>
        </w:rPr>
        <w:t xml:space="preserve">1.6 </w:t>
      </w:r>
      <w:r>
        <w:rPr>
          <w:rFonts w:hint="eastAsia"/>
        </w:rPr>
        <w:t>事故分级</w:t>
      </w:r>
      <w:r>
        <w:tab/>
      </w:r>
      <w:r>
        <w:fldChar w:fldCharType="begin"/>
      </w:r>
      <w:r>
        <w:instrText xml:space="preserve"> PAGEREF _Toc29733 \h </w:instrText>
      </w:r>
      <w:r>
        <w:fldChar w:fldCharType="separate"/>
      </w:r>
      <w:r>
        <w:t>3</w:t>
      </w:r>
      <w:r>
        <w:fldChar w:fldCharType="end"/>
      </w:r>
      <w:r>
        <w:fldChar w:fldCharType="end"/>
      </w:r>
    </w:p>
    <w:p w14:paraId="31F72A2A">
      <w:pPr>
        <w:pStyle w:val="19"/>
        <w:tabs>
          <w:tab w:val="right" w:leader="dot" w:pos="8845"/>
        </w:tabs>
        <w:ind w:firstLine="632"/>
      </w:pPr>
      <w:r>
        <w:fldChar w:fldCharType="begin"/>
      </w:r>
      <w:r>
        <w:instrText xml:space="preserve"> HYPERLINK \l "_Toc28233" </w:instrText>
      </w:r>
      <w:r>
        <w:fldChar w:fldCharType="separate"/>
      </w:r>
      <w:r>
        <w:rPr>
          <w:rFonts w:eastAsia="仿宋"/>
          <w:bCs/>
          <w:szCs w:val="28"/>
        </w:rPr>
        <w:t xml:space="preserve">1.7 </w:t>
      </w:r>
      <w:r>
        <w:rPr>
          <w:rFonts w:hint="eastAsia"/>
        </w:rPr>
        <w:t>分级应对与响应分级</w:t>
      </w:r>
      <w:r>
        <w:tab/>
      </w:r>
      <w:r>
        <w:fldChar w:fldCharType="begin"/>
      </w:r>
      <w:r>
        <w:instrText xml:space="preserve"> PAGEREF _Toc28233 \h </w:instrText>
      </w:r>
      <w:r>
        <w:fldChar w:fldCharType="separate"/>
      </w:r>
      <w:r>
        <w:t>5</w:t>
      </w:r>
      <w:r>
        <w:fldChar w:fldCharType="end"/>
      </w:r>
      <w:r>
        <w:fldChar w:fldCharType="end"/>
      </w:r>
    </w:p>
    <w:p w14:paraId="521C483D">
      <w:pPr>
        <w:pStyle w:val="19"/>
        <w:tabs>
          <w:tab w:val="right" w:leader="dot" w:pos="8845"/>
        </w:tabs>
        <w:ind w:firstLine="632"/>
      </w:pPr>
      <w:r>
        <w:fldChar w:fldCharType="begin"/>
      </w:r>
      <w:r>
        <w:instrText xml:space="preserve"> HYPERLINK \l "_Toc12025" </w:instrText>
      </w:r>
      <w:r>
        <w:fldChar w:fldCharType="separate"/>
      </w:r>
      <w:r>
        <w:rPr>
          <w:rFonts w:eastAsia="仿宋"/>
          <w:bCs/>
          <w:szCs w:val="28"/>
        </w:rPr>
        <w:t xml:space="preserve">1.8 </w:t>
      </w:r>
      <w:r>
        <w:rPr>
          <w:rFonts w:hint="eastAsia" w:eastAsia="楷体_GB2312"/>
        </w:rPr>
        <w:t>应急预案体系</w:t>
      </w:r>
      <w:r>
        <w:tab/>
      </w:r>
      <w:r>
        <w:fldChar w:fldCharType="begin"/>
      </w:r>
      <w:r>
        <w:instrText xml:space="preserve"> PAGEREF _Toc12025 \h </w:instrText>
      </w:r>
      <w:r>
        <w:fldChar w:fldCharType="separate"/>
      </w:r>
      <w:r>
        <w:t>6</w:t>
      </w:r>
      <w:r>
        <w:fldChar w:fldCharType="end"/>
      </w:r>
      <w:r>
        <w:fldChar w:fldCharType="end"/>
      </w:r>
    </w:p>
    <w:p w14:paraId="0F3EA456">
      <w:pPr>
        <w:pStyle w:val="18"/>
      </w:pPr>
      <w:r>
        <w:fldChar w:fldCharType="begin"/>
      </w:r>
      <w:r>
        <w:instrText xml:space="preserve"> HYPERLINK \l "_Toc7681" </w:instrText>
      </w:r>
      <w:r>
        <w:fldChar w:fldCharType="separate"/>
      </w:r>
      <w:r>
        <w:rPr>
          <w:rFonts w:eastAsia="仿宋"/>
        </w:rPr>
        <w:t xml:space="preserve">2 </w:t>
      </w:r>
      <w:r>
        <w:rPr>
          <w:rFonts w:hint="eastAsia"/>
        </w:rPr>
        <w:t>组织指挥体系</w:t>
      </w:r>
      <w:r>
        <w:tab/>
      </w:r>
      <w:r>
        <w:fldChar w:fldCharType="begin"/>
      </w:r>
      <w:r>
        <w:instrText xml:space="preserve"> PAGEREF _Toc7681 \h </w:instrText>
      </w:r>
      <w:r>
        <w:fldChar w:fldCharType="separate"/>
      </w:r>
      <w:r>
        <w:t>6</w:t>
      </w:r>
      <w:r>
        <w:fldChar w:fldCharType="end"/>
      </w:r>
      <w:r>
        <w:fldChar w:fldCharType="end"/>
      </w:r>
    </w:p>
    <w:p w14:paraId="68C3850D">
      <w:pPr>
        <w:pStyle w:val="19"/>
        <w:tabs>
          <w:tab w:val="right" w:leader="dot" w:pos="8845"/>
        </w:tabs>
        <w:ind w:firstLine="632"/>
      </w:pPr>
      <w:r>
        <w:fldChar w:fldCharType="begin"/>
      </w:r>
      <w:r>
        <w:instrText xml:space="preserve"> HYPERLINK \l "_Toc16975" </w:instrText>
      </w:r>
      <w:r>
        <w:fldChar w:fldCharType="separate"/>
      </w:r>
      <w:r>
        <w:rPr>
          <w:rFonts w:eastAsia="仿宋"/>
          <w:bCs/>
          <w:szCs w:val="28"/>
        </w:rPr>
        <w:t xml:space="preserve">2.1 </w:t>
      </w:r>
      <w:r>
        <w:rPr>
          <w:rFonts w:hint="eastAsia"/>
        </w:rPr>
        <w:t>县级层面组织指挥机制</w:t>
      </w:r>
      <w:r>
        <w:tab/>
      </w:r>
      <w:r>
        <w:fldChar w:fldCharType="begin"/>
      </w:r>
      <w:r>
        <w:instrText xml:space="preserve"> PAGEREF _Toc16975 \h </w:instrText>
      </w:r>
      <w:r>
        <w:fldChar w:fldCharType="separate"/>
      </w:r>
      <w:r>
        <w:t>6</w:t>
      </w:r>
      <w:r>
        <w:fldChar w:fldCharType="end"/>
      </w:r>
      <w:r>
        <w:fldChar w:fldCharType="end"/>
      </w:r>
    </w:p>
    <w:p w14:paraId="3BA7B0E6">
      <w:pPr>
        <w:pStyle w:val="19"/>
        <w:tabs>
          <w:tab w:val="right" w:leader="dot" w:pos="8845"/>
        </w:tabs>
        <w:ind w:firstLine="632"/>
      </w:pPr>
      <w:r>
        <w:fldChar w:fldCharType="begin"/>
      </w:r>
      <w:r>
        <w:instrText xml:space="preserve"> HYPERLINK \l "_Toc13097" </w:instrText>
      </w:r>
      <w:r>
        <w:fldChar w:fldCharType="separate"/>
      </w:r>
      <w:r>
        <w:rPr>
          <w:rFonts w:eastAsia="仿宋"/>
          <w:bCs/>
          <w:szCs w:val="28"/>
        </w:rPr>
        <w:t xml:space="preserve">2.2 </w:t>
      </w:r>
      <w:r>
        <w:rPr>
          <w:rFonts w:hint="eastAsia"/>
        </w:rPr>
        <w:t>县以下层面组织指挥机制</w:t>
      </w:r>
      <w:r>
        <w:tab/>
      </w:r>
      <w:r>
        <w:fldChar w:fldCharType="begin"/>
      </w:r>
      <w:r>
        <w:instrText xml:space="preserve"> PAGEREF _Toc13097 \h </w:instrText>
      </w:r>
      <w:r>
        <w:fldChar w:fldCharType="separate"/>
      </w:r>
      <w:r>
        <w:t>11</w:t>
      </w:r>
      <w:r>
        <w:fldChar w:fldCharType="end"/>
      </w:r>
      <w:r>
        <w:fldChar w:fldCharType="end"/>
      </w:r>
    </w:p>
    <w:p w14:paraId="72384BFE">
      <w:pPr>
        <w:pStyle w:val="19"/>
        <w:tabs>
          <w:tab w:val="right" w:leader="dot" w:pos="8845"/>
        </w:tabs>
        <w:ind w:firstLine="632"/>
      </w:pPr>
      <w:r>
        <w:fldChar w:fldCharType="begin"/>
      </w:r>
      <w:r>
        <w:instrText xml:space="preserve"> HYPERLINK \l "_Toc29052" </w:instrText>
      </w:r>
      <w:r>
        <w:fldChar w:fldCharType="separate"/>
      </w:r>
      <w:r>
        <w:rPr>
          <w:rFonts w:eastAsia="仿宋"/>
          <w:bCs/>
          <w:szCs w:val="28"/>
        </w:rPr>
        <w:t xml:space="preserve">2.3 </w:t>
      </w:r>
      <w:r>
        <w:rPr>
          <w:rFonts w:hint="eastAsia"/>
        </w:rPr>
        <w:t>现场应急救援指挥部</w:t>
      </w:r>
      <w:r>
        <w:tab/>
      </w:r>
      <w:r>
        <w:fldChar w:fldCharType="begin"/>
      </w:r>
      <w:r>
        <w:instrText xml:space="preserve"> PAGEREF _Toc29052 \h </w:instrText>
      </w:r>
      <w:r>
        <w:fldChar w:fldCharType="separate"/>
      </w:r>
      <w:r>
        <w:t>12</w:t>
      </w:r>
      <w:r>
        <w:fldChar w:fldCharType="end"/>
      </w:r>
      <w:r>
        <w:fldChar w:fldCharType="end"/>
      </w:r>
    </w:p>
    <w:p w14:paraId="741BC72F">
      <w:pPr>
        <w:pStyle w:val="19"/>
        <w:tabs>
          <w:tab w:val="right" w:leader="dot" w:pos="8845"/>
        </w:tabs>
        <w:ind w:firstLine="632"/>
      </w:pPr>
      <w:r>
        <w:fldChar w:fldCharType="begin"/>
      </w:r>
      <w:r>
        <w:instrText xml:space="preserve"> HYPERLINK \l "_Toc17742" </w:instrText>
      </w:r>
      <w:r>
        <w:fldChar w:fldCharType="separate"/>
      </w:r>
      <w:r>
        <w:rPr>
          <w:rFonts w:eastAsia="仿宋"/>
          <w:bCs/>
          <w:szCs w:val="28"/>
        </w:rPr>
        <w:t xml:space="preserve">2.4 </w:t>
      </w:r>
      <w:r>
        <w:rPr>
          <w:rFonts w:hint="eastAsia"/>
        </w:rPr>
        <w:t>专家组</w:t>
      </w:r>
      <w:r>
        <w:tab/>
      </w:r>
      <w:r>
        <w:fldChar w:fldCharType="begin"/>
      </w:r>
      <w:r>
        <w:instrText xml:space="preserve"> PAGEREF _Toc17742 \h </w:instrText>
      </w:r>
      <w:r>
        <w:fldChar w:fldCharType="separate"/>
      </w:r>
      <w:r>
        <w:t>13</w:t>
      </w:r>
      <w:r>
        <w:fldChar w:fldCharType="end"/>
      </w:r>
      <w:r>
        <w:fldChar w:fldCharType="end"/>
      </w:r>
    </w:p>
    <w:p w14:paraId="22D86CF0">
      <w:pPr>
        <w:pStyle w:val="19"/>
        <w:tabs>
          <w:tab w:val="right" w:leader="dot" w:pos="8845"/>
        </w:tabs>
        <w:ind w:firstLine="632"/>
      </w:pPr>
      <w:r>
        <w:fldChar w:fldCharType="begin"/>
      </w:r>
      <w:r>
        <w:instrText xml:space="preserve"> HYPERLINK \l "_Toc6438" </w:instrText>
      </w:r>
      <w:r>
        <w:fldChar w:fldCharType="separate"/>
      </w:r>
      <w:r>
        <w:rPr>
          <w:rFonts w:eastAsia="仿宋"/>
          <w:bCs/>
          <w:szCs w:val="28"/>
        </w:rPr>
        <w:t xml:space="preserve">2.5 </w:t>
      </w:r>
      <w:r>
        <w:rPr>
          <w:rFonts w:hint="eastAsia"/>
        </w:rPr>
        <w:t>应急救援队伍</w:t>
      </w:r>
      <w:r>
        <w:tab/>
      </w:r>
      <w:r>
        <w:fldChar w:fldCharType="begin"/>
      </w:r>
      <w:r>
        <w:instrText xml:space="preserve"> PAGEREF _Toc6438 \h </w:instrText>
      </w:r>
      <w:r>
        <w:fldChar w:fldCharType="separate"/>
      </w:r>
      <w:r>
        <w:t>13</w:t>
      </w:r>
      <w:r>
        <w:fldChar w:fldCharType="end"/>
      </w:r>
      <w:r>
        <w:fldChar w:fldCharType="end"/>
      </w:r>
    </w:p>
    <w:p w14:paraId="5907EB50">
      <w:pPr>
        <w:pStyle w:val="19"/>
        <w:tabs>
          <w:tab w:val="right" w:leader="dot" w:pos="8845"/>
        </w:tabs>
        <w:ind w:firstLine="632"/>
      </w:pPr>
      <w:r>
        <w:fldChar w:fldCharType="begin"/>
      </w:r>
      <w:r>
        <w:instrText xml:space="preserve"> HYPERLINK \l "_Toc31907" </w:instrText>
      </w:r>
      <w:r>
        <w:fldChar w:fldCharType="separate"/>
      </w:r>
      <w:r>
        <w:rPr>
          <w:rFonts w:eastAsia="仿宋"/>
          <w:bCs/>
          <w:szCs w:val="28"/>
        </w:rPr>
        <w:t xml:space="preserve">2.6 </w:t>
      </w:r>
      <w:r>
        <w:rPr>
          <w:rFonts w:hint="eastAsia"/>
        </w:rPr>
        <w:t>组织体系运行机制</w:t>
      </w:r>
      <w:r>
        <w:tab/>
      </w:r>
      <w:r>
        <w:fldChar w:fldCharType="begin"/>
      </w:r>
      <w:r>
        <w:instrText xml:space="preserve"> PAGEREF _Toc31907 \h </w:instrText>
      </w:r>
      <w:r>
        <w:fldChar w:fldCharType="separate"/>
      </w:r>
      <w:r>
        <w:t>14</w:t>
      </w:r>
      <w:r>
        <w:fldChar w:fldCharType="end"/>
      </w:r>
      <w:r>
        <w:fldChar w:fldCharType="end"/>
      </w:r>
    </w:p>
    <w:p w14:paraId="6ABD6C65">
      <w:pPr>
        <w:pStyle w:val="18"/>
      </w:pPr>
      <w:r>
        <w:fldChar w:fldCharType="begin"/>
      </w:r>
      <w:r>
        <w:instrText xml:space="preserve"> HYPERLINK \l "_Toc3663" </w:instrText>
      </w:r>
      <w:r>
        <w:fldChar w:fldCharType="separate"/>
      </w:r>
      <w:r>
        <w:rPr>
          <w:rFonts w:eastAsia="仿宋"/>
        </w:rPr>
        <w:t xml:space="preserve">3 </w:t>
      </w:r>
      <w:r>
        <w:rPr>
          <w:rFonts w:hint="eastAsia"/>
        </w:rPr>
        <w:t>预防预警机制</w:t>
      </w:r>
      <w:r>
        <w:tab/>
      </w:r>
      <w:r>
        <w:fldChar w:fldCharType="begin"/>
      </w:r>
      <w:r>
        <w:instrText xml:space="preserve"> PAGEREF _Toc3663 \h </w:instrText>
      </w:r>
      <w:r>
        <w:fldChar w:fldCharType="separate"/>
      </w:r>
      <w:r>
        <w:t>15</w:t>
      </w:r>
      <w:r>
        <w:fldChar w:fldCharType="end"/>
      </w:r>
      <w:r>
        <w:fldChar w:fldCharType="end"/>
      </w:r>
    </w:p>
    <w:p w14:paraId="741A852F">
      <w:pPr>
        <w:pStyle w:val="19"/>
        <w:tabs>
          <w:tab w:val="right" w:leader="dot" w:pos="8845"/>
        </w:tabs>
        <w:ind w:firstLine="632"/>
      </w:pPr>
      <w:r>
        <w:fldChar w:fldCharType="begin"/>
      </w:r>
      <w:r>
        <w:instrText xml:space="preserve"> HYPERLINK \l "_Toc22866" </w:instrText>
      </w:r>
      <w:r>
        <w:fldChar w:fldCharType="separate"/>
      </w:r>
      <w:r>
        <w:rPr>
          <w:rFonts w:eastAsia="仿宋"/>
          <w:bCs/>
          <w:szCs w:val="28"/>
        </w:rPr>
        <w:t xml:space="preserve">3.1 </w:t>
      </w:r>
      <w:r>
        <w:rPr>
          <w:rFonts w:hint="eastAsia"/>
        </w:rPr>
        <w:t>风险防控</w:t>
      </w:r>
      <w:r>
        <w:tab/>
      </w:r>
      <w:r>
        <w:fldChar w:fldCharType="begin"/>
      </w:r>
      <w:r>
        <w:instrText xml:space="preserve"> PAGEREF _Toc22866 \h </w:instrText>
      </w:r>
      <w:r>
        <w:fldChar w:fldCharType="separate"/>
      </w:r>
      <w:r>
        <w:t>15</w:t>
      </w:r>
      <w:r>
        <w:fldChar w:fldCharType="end"/>
      </w:r>
      <w:r>
        <w:fldChar w:fldCharType="end"/>
      </w:r>
    </w:p>
    <w:p w14:paraId="68770202">
      <w:pPr>
        <w:pStyle w:val="19"/>
        <w:tabs>
          <w:tab w:val="right" w:leader="dot" w:pos="8845"/>
        </w:tabs>
        <w:ind w:firstLine="632"/>
      </w:pPr>
      <w:r>
        <w:fldChar w:fldCharType="begin"/>
      </w:r>
      <w:r>
        <w:instrText xml:space="preserve"> HYPERLINK \l "_Toc6879" </w:instrText>
      </w:r>
      <w:r>
        <w:fldChar w:fldCharType="separate"/>
      </w:r>
      <w:r>
        <w:rPr>
          <w:rFonts w:eastAsia="仿宋"/>
          <w:bCs/>
          <w:szCs w:val="28"/>
        </w:rPr>
        <w:t xml:space="preserve">3.2 </w:t>
      </w:r>
      <w:r>
        <w:rPr>
          <w:rFonts w:hint="eastAsia"/>
        </w:rPr>
        <w:t>安全生产预警</w:t>
      </w:r>
      <w:r>
        <w:tab/>
      </w:r>
      <w:r>
        <w:fldChar w:fldCharType="begin"/>
      </w:r>
      <w:r>
        <w:instrText xml:space="preserve"> PAGEREF _Toc6879 \h </w:instrText>
      </w:r>
      <w:r>
        <w:fldChar w:fldCharType="separate"/>
      </w:r>
      <w:r>
        <w:t>16</w:t>
      </w:r>
      <w:r>
        <w:fldChar w:fldCharType="end"/>
      </w:r>
      <w:r>
        <w:fldChar w:fldCharType="end"/>
      </w:r>
    </w:p>
    <w:p w14:paraId="0703C7B9">
      <w:pPr>
        <w:pStyle w:val="19"/>
        <w:tabs>
          <w:tab w:val="right" w:leader="dot" w:pos="8845"/>
        </w:tabs>
        <w:ind w:firstLine="632"/>
      </w:pPr>
      <w:r>
        <w:fldChar w:fldCharType="begin"/>
      </w:r>
      <w:r>
        <w:instrText xml:space="preserve"> HYPERLINK \l "_Toc18025" </w:instrText>
      </w:r>
      <w:r>
        <w:fldChar w:fldCharType="separate"/>
      </w:r>
      <w:r>
        <w:rPr>
          <w:rFonts w:eastAsia="仿宋"/>
          <w:bCs/>
          <w:szCs w:val="28"/>
        </w:rPr>
        <w:t xml:space="preserve">3.3 </w:t>
      </w:r>
      <w:r>
        <w:rPr>
          <w:rFonts w:hint="eastAsia"/>
        </w:rPr>
        <w:t>事故信息报告</w:t>
      </w:r>
      <w:r>
        <w:tab/>
      </w:r>
      <w:r>
        <w:fldChar w:fldCharType="begin"/>
      </w:r>
      <w:r>
        <w:instrText xml:space="preserve"> PAGEREF _Toc18025 \h </w:instrText>
      </w:r>
      <w:r>
        <w:fldChar w:fldCharType="separate"/>
      </w:r>
      <w:r>
        <w:t>20</w:t>
      </w:r>
      <w:r>
        <w:fldChar w:fldCharType="end"/>
      </w:r>
      <w:r>
        <w:fldChar w:fldCharType="end"/>
      </w:r>
    </w:p>
    <w:p w14:paraId="50077508">
      <w:pPr>
        <w:pStyle w:val="18"/>
      </w:pPr>
      <w:r>
        <w:fldChar w:fldCharType="begin"/>
      </w:r>
      <w:r>
        <w:instrText xml:space="preserve"> HYPERLINK \l "_Toc11115" </w:instrText>
      </w:r>
      <w:r>
        <w:fldChar w:fldCharType="separate"/>
      </w:r>
      <w:r>
        <w:rPr>
          <w:rFonts w:eastAsia="仿宋"/>
        </w:rPr>
        <w:t xml:space="preserve">4 </w:t>
      </w:r>
      <w:r>
        <w:rPr>
          <w:rFonts w:hint="eastAsia"/>
        </w:rPr>
        <w:t>应急响应</w:t>
      </w:r>
      <w:r>
        <w:tab/>
      </w:r>
      <w:r>
        <w:fldChar w:fldCharType="begin"/>
      </w:r>
      <w:r>
        <w:instrText xml:space="preserve"> PAGEREF _Toc11115 \h </w:instrText>
      </w:r>
      <w:r>
        <w:fldChar w:fldCharType="separate"/>
      </w:r>
      <w:r>
        <w:t>21</w:t>
      </w:r>
      <w:r>
        <w:fldChar w:fldCharType="end"/>
      </w:r>
      <w:r>
        <w:fldChar w:fldCharType="end"/>
      </w:r>
    </w:p>
    <w:p w14:paraId="366B57AB">
      <w:pPr>
        <w:pStyle w:val="19"/>
        <w:tabs>
          <w:tab w:val="right" w:leader="dot" w:pos="8845"/>
        </w:tabs>
        <w:ind w:firstLine="632"/>
      </w:pPr>
      <w:r>
        <w:fldChar w:fldCharType="begin"/>
      </w:r>
      <w:r>
        <w:instrText xml:space="preserve"> HYPERLINK \l "_Toc23800" </w:instrText>
      </w:r>
      <w:r>
        <w:fldChar w:fldCharType="separate"/>
      </w:r>
      <w:r>
        <w:rPr>
          <w:rFonts w:eastAsia="仿宋"/>
          <w:bCs/>
          <w:szCs w:val="28"/>
        </w:rPr>
        <w:t xml:space="preserve">4.1 </w:t>
      </w:r>
      <w:r>
        <w:rPr>
          <w:rFonts w:hint="eastAsia"/>
        </w:rPr>
        <w:t>应急处置</w:t>
      </w:r>
      <w:r>
        <w:tab/>
      </w:r>
      <w:r>
        <w:fldChar w:fldCharType="begin"/>
      </w:r>
      <w:r>
        <w:instrText xml:space="preserve"> PAGEREF _Toc23800 \h </w:instrText>
      </w:r>
      <w:r>
        <w:fldChar w:fldCharType="separate"/>
      </w:r>
      <w:r>
        <w:t>21</w:t>
      </w:r>
      <w:r>
        <w:fldChar w:fldCharType="end"/>
      </w:r>
      <w:r>
        <w:fldChar w:fldCharType="end"/>
      </w:r>
    </w:p>
    <w:p w14:paraId="419F1C1C">
      <w:pPr>
        <w:pStyle w:val="19"/>
        <w:tabs>
          <w:tab w:val="right" w:leader="dot" w:pos="8845"/>
        </w:tabs>
        <w:ind w:firstLine="632"/>
      </w:pPr>
      <w:r>
        <w:fldChar w:fldCharType="begin"/>
      </w:r>
      <w:r>
        <w:instrText xml:space="preserve"> HYPERLINK \l "_Toc8264" </w:instrText>
      </w:r>
      <w:r>
        <w:fldChar w:fldCharType="separate"/>
      </w:r>
      <w:r>
        <w:rPr>
          <w:rFonts w:eastAsia="仿宋"/>
          <w:bCs/>
          <w:szCs w:val="28"/>
        </w:rPr>
        <w:t xml:space="preserve">4.2 </w:t>
      </w:r>
      <w:r>
        <w:rPr>
          <w:rFonts w:hint="eastAsia"/>
        </w:rPr>
        <w:t>应急响应措施</w:t>
      </w:r>
      <w:r>
        <w:tab/>
      </w:r>
      <w:r>
        <w:fldChar w:fldCharType="begin"/>
      </w:r>
      <w:r>
        <w:instrText xml:space="preserve"> PAGEREF _Toc8264 \h </w:instrText>
      </w:r>
      <w:r>
        <w:fldChar w:fldCharType="separate"/>
      </w:r>
      <w:r>
        <w:t>23</w:t>
      </w:r>
      <w:r>
        <w:fldChar w:fldCharType="end"/>
      </w:r>
      <w:r>
        <w:fldChar w:fldCharType="end"/>
      </w:r>
    </w:p>
    <w:p w14:paraId="6A47480C">
      <w:pPr>
        <w:pStyle w:val="19"/>
        <w:tabs>
          <w:tab w:val="right" w:leader="dot" w:pos="8845"/>
        </w:tabs>
        <w:ind w:firstLine="632"/>
      </w:pPr>
      <w:r>
        <w:fldChar w:fldCharType="begin"/>
      </w:r>
      <w:r>
        <w:instrText xml:space="preserve"> HYPERLINK \l "_Toc8544" </w:instrText>
      </w:r>
      <w:r>
        <w:fldChar w:fldCharType="separate"/>
      </w:r>
      <w:r>
        <w:rPr>
          <w:rFonts w:eastAsia="仿宋"/>
          <w:bCs/>
          <w:szCs w:val="28"/>
        </w:rPr>
        <w:t xml:space="preserve">4.3 </w:t>
      </w:r>
      <w:r>
        <w:rPr>
          <w:rFonts w:hint="eastAsia"/>
        </w:rPr>
        <w:t>信息发布与舆论引导</w:t>
      </w:r>
      <w:r>
        <w:tab/>
      </w:r>
      <w:r>
        <w:fldChar w:fldCharType="begin"/>
      </w:r>
      <w:r>
        <w:instrText xml:space="preserve"> PAGEREF _Toc8544 \h </w:instrText>
      </w:r>
      <w:r>
        <w:fldChar w:fldCharType="separate"/>
      </w:r>
      <w:r>
        <w:t>27</w:t>
      </w:r>
      <w:r>
        <w:fldChar w:fldCharType="end"/>
      </w:r>
      <w:r>
        <w:fldChar w:fldCharType="end"/>
      </w:r>
    </w:p>
    <w:p w14:paraId="6868F67C">
      <w:pPr>
        <w:pStyle w:val="18"/>
      </w:pPr>
      <w:r>
        <w:fldChar w:fldCharType="begin"/>
      </w:r>
      <w:r>
        <w:instrText xml:space="preserve"> HYPERLINK \l "_Toc1073" </w:instrText>
      </w:r>
      <w:r>
        <w:fldChar w:fldCharType="separate"/>
      </w:r>
      <w:r>
        <w:rPr>
          <w:rFonts w:eastAsia="仿宋"/>
        </w:rPr>
        <w:t xml:space="preserve">5 </w:t>
      </w:r>
      <w:r>
        <w:rPr>
          <w:rFonts w:hint="eastAsia"/>
        </w:rPr>
        <w:t>后期处置与恢复重建</w:t>
      </w:r>
      <w:r>
        <w:tab/>
      </w:r>
      <w:r>
        <w:fldChar w:fldCharType="begin"/>
      </w:r>
      <w:r>
        <w:instrText xml:space="preserve"> PAGEREF _Toc1073 \h </w:instrText>
      </w:r>
      <w:r>
        <w:fldChar w:fldCharType="separate"/>
      </w:r>
      <w:r>
        <w:t>28</w:t>
      </w:r>
      <w:r>
        <w:fldChar w:fldCharType="end"/>
      </w:r>
      <w:r>
        <w:fldChar w:fldCharType="end"/>
      </w:r>
    </w:p>
    <w:p w14:paraId="53F3C33B">
      <w:pPr>
        <w:pStyle w:val="19"/>
        <w:tabs>
          <w:tab w:val="right" w:leader="dot" w:pos="8845"/>
        </w:tabs>
        <w:ind w:firstLine="632"/>
      </w:pPr>
      <w:r>
        <w:fldChar w:fldCharType="begin"/>
      </w:r>
      <w:r>
        <w:instrText xml:space="preserve"> HYPERLINK \l "_Toc5094" </w:instrText>
      </w:r>
      <w:r>
        <w:fldChar w:fldCharType="separate"/>
      </w:r>
      <w:r>
        <w:rPr>
          <w:rFonts w:eastAsia="仿宋"/>
          <w:bCs/>
          <w:szCs w:val="28"/>
        </w:rPr>
        <w:t xml:space="preserve">5.1 </w:t>
      </w:r>
      <w:r>
        <w:rPr>
          <w:rFonts w:hint="eastAsia"/>
        </w:rPr>
        <w:t>善后处置</w:t>
      </w:r>
      <w:r>
        <w:tab/>
      </w:r>
      <w:r>
        <w:fldChar w:fldCharType="begin"/>
      </w:r>
      <w:r>
        <w:instrText xml:space="preserve"> PAGEREF _Toc5094 \h </w:instrText>
      </w:r>
      <w:r>
        <w:fldChar w:fldCharType="separate"/>
      </w:r>
      <w:r>
        <w:t>28</w:t>
      </w:r>
      <w:r>
        <w:fldChar w:fldCharType="end"/>
      </w:r>
      <w:r>
        <w:fldChar w:fldCharType="end"/>
      </w:r>
    </w:p>
    <w:p w14:paraId="6BD5D0D7">
      <w:pPr>
        <w:pStyle w:val="19"/>
        <w:tabs>
          <w:tab w:val="right" w:leader="dot" w:pos="8845"/>
        </w:tabs>
        <w:ind w:firstLine="632"/>
      </w:pPr>
      <w:r>
        <w:fldChar w:fldCharType="begin"/>
      </w:r>
      <w:r>
        <w:instrText xml:space="preserve"> HYPERLINK \l "_Toc15614" </w:instrText>
      </w:r>
      <w:r>
        <w:fldChar w:fldCharType="separate"/>
      </w:r>
      <w:r>
        <w:rPr>
          <w:rFonts w:eastAsia="仿宋"/>
          <w:bCs/>
          <w:szCs w:val="28"/>
        </w:rPr>
        <w:t xml:space="preserve">5.2 </w:t>
      </w:r>
      <w:r>
        <w:rPr>
          <w:rFonts w:hint="eastAsia"/>
        </w:rPr>
        <w:t>保险</w:t>
      </w:r>
      <w:r>
        <w:tab/>
      </w:r>
      <w:r>
        <w:fldChar w:fldCharType="begin"/>
      </w:r>
      <w:r>
        <w:instrText xml:space="preserve"> PAGEREF _Toc15614 \h </w:instrText>
      </w:r>
      <w:r>
        <w:fldChar w:fldCharType="separate"/>
      </w:r>
      <w:r>
        <w:t>28</w:t>
      </w:r>
      <w:r>
        <w:fldChar w:fldCharType="end"/>
      </w:r>
      <w:r>
        <w:fldChar w:fldCharType="end"/>
      </w:r>
    </w:p>
    <w:p w14:paraId="1C502DD9">
      <w:pPr>
        <w:pStyle w:val="18"/>
      </w:pPr>
      <w:r>
        <w:fldChar w:fldCharType="begin"/>
      </w:r>
      <w:r>
        <w:instrText xml:space="preserve"> HYPERLINK \l "_Toc30465" </w:instrText>
      </w:r>
      <w:r>
        <w:fldChar w:fldCharType="separate"/>
      </w:r>
      <w:r>
        <w:rPr>
          <w:rFonts w:eastAsia="仿宋"/>
        </w:rPr>
        <w:t xml:space="preserve">6 </w:t>
      </w:r>
      <w:r>
        <w:rPr>
          <w:rFonts w:hint="eastAsia"/>
        </w:rPr>
        <w:t>应急保障</w:t>
      </w:r>
      <w:r>
        <w:tab/>
      </w:r>
      <w:r>
        <w:fldChar w:fldCharType="begin"/>
      </w:r>
      <w:r>
        <w:instrText xml:space="preserve"> PAGEREF _Toc30465 \h </w:instrText>
      </w:r>
      <w:r>
        <w:fldChar w:fldCharType="separate"/>
      </w:r>
      <w:r>
        <w:t>29</w:t>
      </w:r>
      <w:r>
        <w:fldChar w:fldCharType="end"/>
      </w:r>
      <w:r>
        <w:fldChar w:fldCharType="end"/>
      </w:r>
    </w:p>
    <w:p w14:paraId="28069ADD">
      <w:pPr>
        <w:pStyle w:val="19"/>
        <w:tabs>
          <w:tab w:val="right" w:leader="dot" w:pos="8845"/>
        </w:tabs>
        <w:ind w:firstLine="632"/>
      </w:pPr>
      <w:r>
        <w:fldChar w:fldCharType="begin"/>
      </w:r>
      <w:r>
        <w:instrText xml:space="preserve"> HYPERLINK \l "_Toc12101" </w:instrText>
      </w:r>
      <w:r>
        <w:fldChar w:fldCharType="separate"/>
      </w:r>
      <w:r>
        <w:rPr>
          <w:rFonts w:eastAsia="仿宋"/>
          <w:bCs/>
          <w:szCs w:val="28"/>
        </w:rPr>
        <w:t xml:space="preserve">6.1 </w:t>
      </w:r>
      <w:r>
        <w:rPr>
          <w:rFonts w:hint="eastAsia"/>
        </w:rPr>
        <w:t>信息保障</w:t>
      </w:r>
      <w:r>
        <w:tab/>
      </w:r>
      <w:r>
        <w:fldChar w:fldCharType="begin"/>
      </w:r>
      <w:r>
        <w:instrText xml:space="preserve"> PAGEREF _Toc12101 \h </w:instrText>
      </w:r>
      <w:r>
        <w:fldChar w:fldCharType="separate"/>
      </w:r>
      <w:r>
        <w:t>29</w:t>
      </w:r>
      <w:r>
        <w:fldChar w:fldCharType="end"/>
      </w:r>
      <w:r>
        <w:fldChar w:fldCharType="end"/>
      </w:r>
    </w:p>
    <w:p w14:paraId="5F9D7182">
      <w:pPr>
        <w:pStyle w:val="19"/>
        <w:tabs>
          <w:tab w:val="right" w:leader="dot" w:pos="8845"/>
        </w:tabs>
        <w:ind w:firstLine="632"/>
      </w:pPr>
      <w:r>
        <w:fldChar w:fldCharType="begin"/>
      </w:r>
      <w:r>
        <w:instrText xml:space="preserve"> HYPERLINK \l "_Toc257" </w:instrText>
      </w:r>
      <w:r>
        <w:fldChar w:fldCharType="separate"/>
      </w:r>
      <w:r>
        <w:rPr>
          <w:rFonts w:eastAsia="仿宋"/>
          <w:bCs/>
          <w:szCs w:val="28"/>
        </w:rPr>
        <w:t xml:space="preserve">6.2 </w:t>
      </w:r>
      <w:r>
        <w:rPr>
          <w:rFonts w:hint="eastAsia"/>
        </w:rPr>
        <w:t>队伍保障</w:t>
      </w:r>
      <w:r>
        <w:tab/>
      </w:r>
      <w:r>
        <w:fldChar w:fldCharType="begin"/>
      </w:r>
      <w:r>
        <w:instrText xml:space="preserve"> PAGEREF _Toc257 \h </w:instrText>
      </w:r>
      <w:r>
        <w:fldChar w:fldCharType="separate"/>
      </w:r>
      <w:r>
        <w:t>29</w:t>
      </w:r>
      <w:r>
        <w:fldChar w:fldCharType="end"/>
      </w:r>
      <w:r>
        <w:fldChar w:fldCharType="end"/>
      </w:r>
    </w:p>
    <w:p w14:paraId="46C02E34">
      <w:pPr>
        <w:pStyle w:val="19"/>
        <w:tabs>
          <w:tab w:val="right" w:leader="dot" w:pos="8845"/>
        </w:tabs>
        <w:ind w:firstLine="632"/>
      </w:pPr>
      <w:r>
        <w:fldChar w:fldCharType="begin"/>
      </w:r>
      <w:r>
        <w:instrText xml:space="preserve"> HYPERLINK \l "_Toc21472" </w:instrText>
      </w:r>
      <w:r>
        <w:fldChar w:fldCharType="separate"/>
      </w:r>
      <w:r>
        <w:rPr>
          <w:rFonts w:eastAsia="仿宋"/>
          <w:bCs/>
          <w:szCs w:val="28"/>
        </w:rPr>
        <w:t xml:space="preserve">6.3 </w:t>
      </w:r>
      <w:r>
        <w:rPr>
          <w:rFonts w:hint="eastAsia"/>
        </w:rPr>
        <w:t>财力保障</w:t>
      </w:r>
      <w:r>
        <w:tab/>
      </w:r>
      <w:r>
        <w:fldChar w:fldCharType="begin"/>
      </w:r>
      <w:r>
        <w:instrText xml:space="preserve"> PAGEREF _Toc21472 \h </w:instrText>
      </w:r>
      <w:r>
        <w:fldChar w:fldCharType="separate"/>
      </w:r>
      <w:r>
        <w:t>30</w:t>
      </w:r>
      <w:r>
        <w:fldChar w:fldCharType="end"/>
      </w:r>
      <w:r>
        <w:fldChar w:fldCharType="end"/>
      </w:r>
    </w:p>
    <w:p w14:paraId="610DF5C5">
      <w:pPr>
        <w:pStyle w:val="19"/>
        <w:tabs>
          <w:tab w:val="right" w:leader="dot" w:pos="8845"/>
        </w:tabs>
        <w:ind w:firstLine="632"/>
      </w:pPr>
      <w:r>
        <w:fldChar w:fldCharType="begin"/>
      </w:r>
      <w:r>
        <w:instrText xml:space="preserve"> HYPERLINK \l "_Toc7167" </w:instrText>
      </w:r>
      <w:r>
        <w:fldChar w:fldCharType="separate"/>
      </w:r>
      <w:r>
        <w:rPr>
          <w:rFonts w:eastAsia="仿宋"/>
          <w:bCs/>
          <w:szCs w:val="28"/>
        </w:rPr>
        <w:t xml:space="preserve">6.4 </w:t>
      </w:r>
      <w:r>
        <w:rPr>
          <w:rFonts w:hint="eastAsia"/>
        </w:rPr>
        <w:t>物资保障</w:t>
      </w:r>
      <w:r>
        <w:tab/>
      </w:r>
      <w:r>
        <w:fldChar w:fldCharType="begin"/>
      </w:r>
      <w:r>
        <w:instrText xml:space="preserve"> PAGEREF _Toc7167 \h </w:instrText>
      </w:r>
      <w:r>
        <w:fldChar w:fldCharType="separate"/>
      </w:r>
      <w:r>
        <w:t>31</w:t>
      </w:r>
      <w:r>
        <w:fldChar w:fldCharType="end"/>
      </w:r>
      <w:r>
        <w:fldChar w:fldCharType="end"/>
      </w:r>
    </w:p>
    <w:p w14:paraId="6C8CCC20">
      <w:pPr>
        <w:pStyle w:val="19"/>
        <w:tabs>
          <w:tab w:val="right" w:leader="dot" w:pos="8845"/>
        </w:tabs>
        <w:ind w:firstLine="632"/>
      </w:pPr>
      <w:r>
        <w:fldChar w:fldCharType="begin"/>
      </w:r>
      <w:r>
        <w:instrText xml:space="preserve"> HYPERLINK \l "_Toc30368" </w:instrText>
      </w:r>
      <w:r>
        <w:fldChar w:fldCharType="separate"/>
      </w:r>
      <w:r>
        <w:rPr>
          <w:rFonts w:eastAsia="仿宋"/>
          <w:bCs/>
          <w:szCs w:val="28"/>
        </w:rPr>
        <w:t xml:space="preserve">6.5 </w:t>
      </w:r>
      <w:r>
        <w:rPr>
          <w:rFonts w:hint="eastAsia"/>
        </w:rPr>
        <w:t>避难场所保障</w:t>
      </w:r>
      <w:r>
        <w:tab/>
      </w:r>
      <w:r>
        <w:fldChar w:fldCharType="begin"/>
      </w:r>
      <w:r>
        <w:instrText xml:space="preserve"> PAGEREF _Toc30368 \h </w:instrText>
      </w:r>
      <w:r>
        <w:fldChar w:fldCharType="separate"/>
      </w:r>
      <w:r>
        <w:t>31</w:t>
      </w:r>
      <w:r>
        <w:fldChar w:fldCharType="end"/>
      </w:r>
      <w:r>
        <w:fldChar w:fldCharType="end"/>
      </w:r>
    </w:p>
    <w:p w14:paraId="0A1295E4">
      <w:pPr>
        <w:pStyle w:val="19"/>
        <w:tabs>
          <w:tab w:val="right" w:leader="dot" w:pos="8845"/>
        </w:tabs>
        <w:ind w:firstLine="632"/>
      </w:pPr>
      <w:r>
        <w:fldChar w:fldCharType="begin"/>
      </w:r>
      <w:r>
        <w:instrText xml:space="preserve"> HYPERLINK \l "_Toc11827" </w:instrText>
      </w:r>
      <w:r>
        <w:fldChar w:fldCharType="separate"/>
      </w:r>
      <w:r>
        <w:rPr>
          <w:rFonts w:eastAsia="仿宋"/>
          <w:bCs/>
          <w:szCs w:val="28"/>
        </w:rPr>
        <w:t xml:space="preserve">6.6 </w:t>
      </w:r>
      <w:r>
        <w:rPr>
          <w:rFonts w:hint="eastAsia"/>
        </w:rPr>
        <w:t>技术保障</w:t>
      </w:r>
      <w:r>
        <w:tab/>
      </w:r>
      <w:r>
        <w:fldChar w:fldCharType="begin"/>
      </w:r>
      <w:r>
        <w:instrText xml:space="preserve"> PAGEREF _Toc11827 \h </w:instrText>
      </w:r>
      <w:r>
        <w:fldChar w:fldCharType="separate"/>
      </w:r>
      <w:r>
        <w:t>32</w:t>
      </w:r>
      <w:r>
        <w:fldChar w:fldCharType="end"/>
      </w:r>
      <w:r>
        <w:fldChar w:fldCharType="end"/>
      </w:r>
    </w:p>
    <w:p w14:paraId="5C60FDE6">
      <w:pPr>
        <w:pStyle w:val="19"/>
        <w:tabs>
          <w:tab w:val="right" w:leader="dot" w:pos="8845"/>
        </w:tabs>
        <w:ind w:firstLine="632"/>
      </w:pPr>
      <w:r>
        <w:fldChar w:fldCharType="begin"/>
      </w:r>
      <w:r>
        <w:instrText xml:space="preserve"> HYPERLINK \l "_Toc20419" </w:instrText>
      </w:r>
      <w:r>
        <w:fldChar w:fldCharType="separate"/>
      </w:r>
      <w:r>
        <w:rPr>
          <w:rFonts w:eastAsia="仿宋"/>
          <w:bCs/>
          <w:szCs w:val="28"/>
        </w:rPr>
        <w:t xml:space="preserve">6.7 </w:t>
      </w:r>
      <w:r>
        <w:rPr>
          <w:rFonts w:hint="eastAsia"/>
        </w:rPr>
        <w:t>治安和交通运输保障</w:t>
      </w:r>
      <w:r>
        <w:tab/>
      </w:r>
      <w:r>
        <w:fldChar w:fldCharType="begin"/>
      </w:r>
      <w:r>
        <w:instrText xml:space="preserve"> PAGEREF _Toc20419 \h </w:instrText>
      </w:r>
      <w:r>
        <w:fldChar w:fldCharType="separate"/>
      </w:r>
      <w:r>
        <w:t>32</w:t>
      </w:r>
      <w:r>
        <w:fldChar w:fldCharType="end"/>
      </w:r>
      <w:r>
        <w:fldChar w:fldCharType="end"/>
      </w:r>
    </w:p>
    <w:p w14:paraId="3A180303">
      <w:pPr>
        <w:pStyle w:val="19"/>
        <w:tabs>
          <w:tab w:val="right" w:leader="dot" w:pos="8845"/>
        </w:tabs>
        <w:ind w:firstLine="632"/>
      </w:pPr>
      <w:r>
        <w:fldChar w:fldCharType="begin"/>
      </w:r>
      <w:r>
        <w:instrText xml:space="preserve"> HYPERLINK \l "_Toc30249" </w:instrText>
      </w:r>
      <w:r>
        <w:fldChar w:fldCharType="separate"/>
      </w:r>
      <w:r>
        <w:rPr>
          <w:rFonts w:eastAsia="仿宋"/>
          <w:bCs/>
          <w:szCs w:val="28"/>
        </w:rPr>
        <w:t xml:space="preserve">6.8 </w:t>
      </w:r>
      <w:r>
        <w:rPr>
          <w:rFonts w:hint="eastAsia"/>
        </w:rPr>
        <w:t>医疗卫生保障</w:t>
      </w:r>
      <w:r>
        <w:tab/>
      </w:r>
      <w:r>
        <w:fldChar w:fldCharType="begin"/>
      </w:r>
      <w:r>
        <w:instrText xml:space="preserve"> PAGEREF _Toc30249 \h </w:instrText>
      </w:r>
      <w:r>
        <w:fldChar w:fldCharType="separate"/>
      </w:r>
      <w:r>
        <w:t>32</w:t>
      </w:r>
      <w:r>
        <w:fldChar w:fldCharType="end"/>
      </w:r>
      <w:r>
        <w:fldChar w:fldCharType="end"/>
      </w:r>
    </w:p>
    <w:p w14:paraId="7387219F">
      <w:pPr>
        <w:pStyle w:val="19"/>
        <w:tabs>
          <w:tab w:val="right" w:leader="dot" w:pos="8845"/>
        </w:tabs>
        <w:ind w:firstLine="632"/>
      </w:pPr>
      <w:r>
        <w:fldChar w:fldCharType="begin"/>
      </w:r>
      <w:r>
        <w:instrText xml:space="preserve"> HYPERLINK \l "_Toc30177" </w:instrText>
      </w:r>
      <w:r>
        <w:fldChar w:fldCharType="separate"/>
      </w:r>
      <w:r>
        <w:rPr>
          <w:rFonts w:eastAsia="仿宋"/>
          <w:bCs/>
          <w:szCs w:val="28"/>
        </w:rPr>
        <w:t xml:space="preserve">6.9 </w:t>
      </w:r>
      <w:r>
        <w:rPr>
          <w:rFonts w:hint="eastAsia"/>
        </w:rPr>
        <w:t>社会动员保障</w:t>
      </w:r>
      <w:r>
        <w:tab/>
      </w:r>
      <w:r>
        <w:fldChar w:fldCharType="begin"/>
      </w:r>
      <w:r>
        <w:instrText xml:space="preserve"> PAGEREF _Toc30177 \h </w:instrText>
      </w:r>
      <w:r>
        <w:fldChar w:fldCharType="separate"/>
      </w:r>
      <w:r>
        <w:t>32</w:t>
      </w:r>
      <w:r>
        <w:fldChar w:fldCharType="end"/>
      </w:r>
      <w:r>
        <w:fldChar w:fldCharType="end"/>
      </w:r>
    </w:p>
    <w:p w14:paraId="18FE2405">
      <w:pPr>
        <w:pStyle w:val="18"/>
      </w:pPr>
      <w:r>
        <w:fldChar w:fldCharType="begin"/>
      </w:r>
      <w:r>
        <w:instrText xml:space="preserve"> HYPERLINK \l "_Toc8556" </w:instrText>
      </w:r>
      <w:r>
        <w:fldChar w:fldCharType="separate"/>
      </w:r>
      <w:r>
        <w:rPr>
          <w:rFonts w:eastAsia="仿宋"/>
        </w:rPr>
        <w:t xml:space="preserve">7 </w:t>
      </w:r>
      <w:r>
        <w:rPr>
          <w:rFonts w:hint="eastAsia"/>
        </w:rPr>
        <w:t>预案管理</w:t>
      </w:r>
      <w:r>
        <w:tab/>
      </w:r>
      <w:r>
        <w:fldChar w:fldCharType="begin"/>
      </w:r>
      <w:r>
        <w:instrText xml:space="preserve"> PAGEREF _Toc8556 \h </w:instrText>
      </w:r>
      <w:r>
        <w:fldChar w:fldCharType="separate"/>
      </w:r>
      <w:r>
        <w:t>33</w:t>
      </w:r>
      <w:r>
        <w:fldChar w:fldCharType="end"/>
      </w:r>
      <w:r>
        <w:fldChar w:fldCharType="end"/>
      </w:r>
    </w:p>
    <w:p w14:paraId="6F1F5E20">
      <w:pPr>
        <w:pStyle w:val="19"/>
        <w:tabs>
          <w:tab w:val="right" w:leader="dot" w:pos="8845"/>
        </w:tabs>
        <w:ind w:firstLine="632"/>
      </w:pPr>
      <w:r>
        <w:fldChar w:fldCharType="begin"/>
      </w:r>
      <w:r>
        <w:instrText xml:space="preserve"> HYPERLINK \l "_Toc21608" </w:instrText>
      </w:r>
      <w:r>
        <w:fldChar w:fldCharType="separate"/>
      </w:r>
      <w:r>
        <w:rPr>
          <w:rFonts w:eastAsia="仿宋"/>
          <w:bCs/>
          <w:szCs w:val="28"/>
        </w:rPr>
        <w:t xml:space="preserve">7.1 </w:t>
      </w:r>
      <w:r>
        <w:rPr>
          <w:rFonts w:hint="eastAsia"/>
        </w:rPr>
        <w:t>预案制定</w:t>
      </w:r>
      <w:r>
        <w:tab/>
      </w:r>
      <w:r>
        <w:fldChar w:fldCharType="begin"/>
      </w:r>
      <w:r>
        <w:instrText xml:space="preserve"> PAGEREF _Toc21608 \h </w:instrText>
      </w:r>
      <w:r>
        <w:fldChar w:fldCharType="separate"/>
      </w:r>
      <w:r>
        <w:t>33</w:t>
      </w:r>
      <w:r>
        <w:fldChar w:fldCharType="end"/>
      </w:r>
      <w:r>
        <w:fldChar w:fldCharType="end"/>
      </w:r>
    </w:p>
    <w:p w14:paraId="79070B6F">
      <w:pPr>
        <w:pStyle w:val="19"/>
        <w:tabs>
          <w:tab w:val="right" w:leader="dot" w:pos="8845"/>
        </w:tabs>
        <w:ind w:firstLine="632"/>
      </w:pPr>
      <w:r>
        <w:fldChar w:fldCharType="begin"/>
      </w:r>
      <w:r>
        <w:instrText xml:space="preserve"> HYPERLINK \l "_Toc14739" </w:instrText>
      </w:r>
      <w:r>
        <w:fldChar w:fldCharType="separate"/>
      </w:r>
      <w:r>
        <w:rPr>
          <w:rFonts w:eastAsia="仿宋"/>
          <w:bCs/>
          <w:szCs w:val="28"/>
        </w:rPr>
        <w:t xml:space="preserve">7.2 </w:t>
      </w:r>
      <w:r>
        <w:rPr>
          <w:rFonts w:hint="eastAsia"/>
        </w:rPr>
        <w:t>审批与备案</w:t>
      </w:r>
      <w:r>
        <w:tab/>
      </w:r>
      <w:r>
        <w:fldChar w:fldCharType="begin"/>
      </w:r>
      <w:r>
        <w:instrText xml:space="preserve"> PAGEREF _Toc14739 \h </w:instrText>
      </w:r>
      <w:r>
        <w:fldChar w:fldCharType="separate"/>
      </w:r>
      <w:r>
        <w:t>33</w:t>
      </w:r>
      <w:r>
        <w:fldChar w:fldCharType="end"/>
      </w:r>
      <w:r>
        <w:fldChar w:fldCharType="end"/>
      </w:r>
    </w:p>
    <w:p w14:paraId="21C76074">
      <w:pPr>
        <w:pStyle w:val="19"/>
        <w:tabs>
          <w:tab w:val="right" w:leader="dot" w:pos="8845"/>
        </w:tabs>
        <w:ind w:firstLine="632"/>
      </w:pPr>
      <w:r>
        <w:fldChar w:fldCharType="begin"/>
      </w:r>
      <w:r>
        <w:instrText xml:space="preserve"> HYPERLINK \l "_Toc29412" </w:instrText>
      </w:r>
      <w:r>
        <w:fldChar w:fldCharType="separate"/>
      </w:r>
      <w:r>
        <w:rPr>
          <w:rFonts w:eastAsia="仿宋"/>
          <w:bCs/>
          <w:szCs w:val="28"/>
        </w:rPr>
        <w:t xml:space="preserve">7.3 </w:t>
      </w:r>
      <w:r>
        <w:rPr>
          <w:rFonts w:hint="eastAsia"/>
        </w:rPr>
        <w:t>评估与修订</w:t>
      </w:r>
      <w:r>
        <w:tab/>
      </w:r>
      <w:r>
        <w:fldChar w:fldCharType="begin"/>
      </w:r>
      <w:r>
        <w:instrText xml:space="preserve"> PAGEREF _Toc29412 \h </w:instrText>
      </w:r>
      <w:r>
        <w:fldChar w:fldCharType="separate"/>
      </w:r>
      <w:r>
        <w:t>33</w:t>
      </w:r>
      <w:r>
        <w:fldChar w:fldCharType="end"/>
      </w:r>
      <w:r>
        <w:fldChar w:fldCharType="end"/>
      </w:r>
    </w:p>
    <w:p w14:paraId="2C82B652">
      <w:pPr>
        <w:pStyle w:val="19"/>
        <w:tabs>
          <w:tab w:val="right" w:leader="dot" w:pos="8845"/>
        </w:tabs>
        <w:ind w:firstLine="632"/>
      </w:pPr>
      <w:r>
        <w:fldChar w:fldCharType="begin"/>
      </w:r>
      <w:r>
        <w:instrText xml:space="preserve"> HYPERLINK \l "_Toc8934" </w:instrText>
      </w:r>
      <w:r>
        <w:fldChar w:fldCharType="separate"/>
      </w:r>
      <w:r>
        <w:rPr>
          <w:rFonts w:eastAsia="仿宋"/>
          <w:bCs/>
          <w:szCs w:val="28"/>
        </w:rPr>
        <w:t xml:space="preserve">7.4 </w:t>
      </w:r>
      <w:r>
        <w:rPr>
          <w:rFonts w:hint="eastAsia"/>
        </w:rPr>
        <w:t>应急演练</w:t>
      </w:r>
      <w:r>
        <w:tab/>
      </w:r>
      <w:r>
        <w:fldChar w:fldCharType="begin"/>
      </w:r>
      <w:r>
        <w:instrText xml:space="preserve"> PAGEREF _Toc8934 \h </w:instrText>
      </w:r>
      <w:r>
        <w:fldChar w:fldCharType="separate"/>
      </w:r>
      <w:r>
        <w:t>34</w:t>
      </w:r>
      <w:r>
        <w:fldChar w:fldCharType="end"/>
      </w:r>
      <w:r>
        <w:fldChar w:fldCharType="end"/>
      </w:r>
    </w:p>
    <w:p w14:paraId="3D47736A">
      <w:pPr>
        <w:pStyle w:val="19"/>
        <w:tabs>
          <w:tab w:val="right" w:leader="dot" w:pos="8845"/>
        </w:tabs>
        <w:ind w:firstLine="632"/>
      </w:pPr>
      <w:r>
        <w:fldChar w:fldCharType="begin"/>
      </w:r>
      <w:r>
        <w:instrText xml:space="preserve"> HYPERLINK \l "_Toc31659" </w:instrText>
      </w:r>
      <w:r>
        <w:fldChar w:fldCharType="separate"/>
      </w:r>
      <w:r>
        <w:rPr>
          <w:rFonts w:eastAsia="仿宋"/>
          <w:bCs/>
          <w:szCs w:val="28"/>
        </w:rPr>
        <w:t xml:space="preserve">7.5 </w:t>
      </w:r>
      <w:r>
        <w:rPr>
          <w:rFonts w:hint="eastAsia"/>
        </w:rPr>
        <w:t>宣传与培训</w:t>
      </w:r>
      <w:r>
        <w:tab/>
      </w:r>
      <w:r>
        <w:fldChar w:fldCharType="begin"/>
      </w:r>
      <w:r>
        <w:instrText xml:space="preserve"> PAGEREF _Toc31659 \h </w:instrText>
      </w:r>
      <w:r>
        <w:fldChar w:fldCharType="separate"/>
      </w:r>
      <w:r>
        <w:t>34</w:t>
      </w:r>
      <w:r>
        <w:fldChar w:fldCharType="end"/>
      </w:r>
      <w:r>
        <w:fldChar w:fldCharType="end"/>
      </w:r>
    </w:p>
    <w:p w14:paraId="4A464C2E">
      <w:pPr>
        <w:pStyle w:val="19"/>
        <w:tabs>
          <w:tab w:val="right" w:leader="dot" w:pos="8845"/>
        </w:tabs>
        <w:ind w:firstLine="632"/>
      </w:pPr>
      <w:r>
        <w:fldChar w:fldCharType="begin"/>
      </w:r>
      <w:r>
        <w:instrText xml:space="preserve"> HYPERLINK \l "_Toc240" </w:instrText>
      </w:r>
      <w:r>
        <w:fldChar w:fldCharType="separate"/>
      </w:r>
      <w:r>
        <w:rPr>
          <w:rFonts w:eastAsia="仿宋"/>
          <w:bCs/>
          <w:szCs w:val="28"/>
        </w:rPr>
        <w:t xml:space="preserve">7.6 </w:t>
      </w:r>
      <w:r>
        <w:rPr>
          <w:rFonts w:hint="eastAsia"/>
        </w:rPr>
        <w:t>监督与检查</w:t>
      </w:r>
      <w:r>
        <w:tab/>
      </w:r>
      <w:r>
        <w:fldChar w:fldCharType="begin"/>
      </w:r>
      <w:r>
        <w:instrText xml:space="preserve"> PAGEREF _Toc240 \h </w:instrText>
      </w:r>
      <w:r>
        <w:fldChar w:fldCharType="separate"/>
      </w:r>
      <w:r>
        <w:t>35</w:t>
      </w:r>
      <w:r>
        <w:fldChar w:fldCharType="end"/>
      </w:r>
      <w:r>
        <w:fldChar w:fldCharType="end"/>
      </w:r>
    </w:p>
    <w:p w14:paraId="68EE10B5">
      <w:pPr>
        <w:pStyle w:val="19"/>
        <w:tabs>
          <w:tab w:val="right" w:leader="dot" w:pos="8845"/>
        </w:tabs>
        <w:ind w:firstLine="632"/>
      </w:pPr>
      <w:r>
        <w:fldChar w:fldCharType="begin"/>
      </w:r>
      <w:r>
        <w:instrText xml:space="preserve"> HYPERLINK \l "_Toc9366" </w:instrText>
      </w:r>
      <w:r>
        <w:fldChar w:fldCharType="separate"/>
      </w:r>
      <w:r>
        <w:rPr>
          <w:rFonts w:eastAsia="仿宋"/>
          <w:bCs/>
          <w:szCs w:val="28"/>
        </w:rPr>
        <w:t xml:space="preserve">7.7 </w:t>
      </w:r>
      <w:r>
        <w:rPr>
          <w:rFonts w:hint="eastAsia"/>
        </w:rPr>
        <w:t>奖励</w:t>
      </w:r>
      <w:r>
        <w:tab/>
      </w:r>
      <w:r>
        <w:fldChar w:fldCharType="begin"/>
      </w:r>
      <w:r>
        <w:instrText xml:space="preserve"> PAGEREF _Toc9366 \h </w:instrText>
      </w:r>
      <w:r>
        <w:fldChar w:fldCharType="separate"/>
      </w:r>
      <w:r>
        <w:t>35</w:t>
      </w:r>
      <w:r>
        <w:fldChar w:fldCharType="end"/>
      </w:r>
      <w:r>
        <w:fldChar w:fldCharType="end"/>
      </w:r>
    </w:p>
    <w:p w14:paraId="38D45FF7">
      <w:pPr>
        <w:pStyle w:val="19"/>
        <w:tabs>
          <w:tab w:val="right" w:leader="dot" w:pos="8845"/>
        </w:tabs>
        <w:ind w:firstLine="632"/>
      </w:pPr>
      <w:r>
        <w:fldChar w:fldCharType="begin"/>
      </w:r>
      <w:r>
        <w:instrText xml:space="preserve"> HYPERLINK \l "_Toc14510" </w:instrText>
      </w:r>
      <w:r>
        <w:fldChar w:fldCharType="separate"/>
      </w:r>
      <w:r>
        <w:rPr>
          <w:rFonts w:eastAsia="仿宋"/>
          <w:bCs/>
          <w:szCs w:val="28"/>
        </w:rPr>
        <w:t xml:space="preserve">7.8 </w:t>
      </w:r>
      <w:r>
        <w:rPr>
          <w:rFonts w:hint="eastAsia"/>
        </w:rPr>
        <w:t>责任追究</w:t>
      </w:r>
      <w:r>
        <w:tab/>
      </w:r>
      <w:r>
        <w:fldChar w:fldCharType="begin"/>
      </w:r>
      <w:r>
        <w:instrText xml:space="preserve"> PAGEREF _Toc14510 \h </w:instrText>
      </w:r>
      <w:r>
        <w:fldChar w:fldCharType="separate"/>
      </w:r>
      <w:r>
        <w:t>35</w:t>
      </w:r>
      <w:r>
        <w:fldChar w:fldCharType="end"/>
      </w:r>
      <w:r>
        <w:fldChar w:fldCharType="end"/>
      </w:r>
    </w:p>
    <w:p w14:paraId="619B8159">
      <w:pPr>
        <w:pStyle w:val="18"/>
      </w:pPr>
      <w:r>
        <w:fldChar w:fldCharType="begin"/>
      </w:r>
      <w:r>
        <w:instrText xml:space="preserve"> HYPERLINK \l "_Toc29436" </w:instrText>
      </w:r>
      <w:r>
        <w:fldChar w:fldCharType="separate"/>
      </w:r>
      <w:r>
        <w:rPr>
          <w:rFonts w:eastAsia="仿宋"/>
        </w:rPr>
        <w:t xml:space="preserve">8 </w:t>
      </w:r>
      <w:r>
        <w:rPr>
          <w:rFonts w:hint="eastAsia"/>
        </w:rPr>
        <w:t>附则</w:t>
      </w:r>
      <w:r>
        <w:tab/>
      </w:r>
      <w:r>
        <w:fldChar w:fldCharType="begin"/>
      </w:r>
      <w:r>
        <w:instrText xml:space="preserve"> PAGEREF _Toc29436 \h </w:instrText>
      </w:r>
      <w:r>
        <w:fldChar w:fldCharType="separate"/>
      </w:r>
      <w:r>
        <w:t>36</w:t>
      </w:r>
      <w:r>
        <w:fldChar w:fldCharType="end"/>
      </w:r>
      <w:r>
        <w:fldChar w:fldCharType="end"/>
      </w:r>
    </w:p>
    <w:p w14:paraId="03D7300D">
      <w:pPr>
        <w:pStyle w:val="19"/>
        <w:tabs>
          <w:tab w:val="right" w:leader="dot" w:pos="8845"/>
        </w:tabs>
        <w:ind w:firstLine="632"/>
      </w:pPr>
      <w:r>
        <w:fldChar w:fldCharType="begin"/>
      </w:r>
      <w:r>
        <w:instrText xml:space="preserve"> HYPERLINK \l "_Toc17731" </w:instrText>
      </w:r>
      <w:r>
        <w:fldChar w:fldCharType="separate"/>
      </w:r>
      <w:r>
        <w:rPr>
          <w:rFonts w:eastAsia="仿宋"/>
          <w:bCs/>
          <w:szCs w:val="28"/>
        </w:rPr>
        <w:t xml:space="preserve">8.1 </w:t>
      </w:r>
      <w:r>
        <w:rPr>
          <w:rFonts w:hint="eastAsia"/>
        </w:rPr>
        <w:t>预案制定与解释</w:t>
      </w:r>
      <w:r>
        <w:tab/>
      </w:r>
      <w:r>
        <w:fldChar w:fldCharType="begin"/>
      </w:r>
      <w:r>
        <w:instrText xml:space="preserve"> PAGEREF _Toc17731 \h </w:instrText>
      </w:r>
      <w:r>
        <w:fldChar w:fldCharType="separate"/>
      </w:r>
      <w:r>
        <w:t>36</w:t>
      </w:r>
      <w:r>
        <w:fldChar w:fldCharType="end"/>
      </w:r>
      <w:r>
        <w:fldChar w:fldCharType="end"/>
      </w:r>
    </w:p>
    <w:p w14:paraId="27AE454F">
      <w:pPr>
        <w:pStyle w:val="19"/>
        <w:tabs>
          <w:tab w:val="right" w:leader="dot" w:pos="8845"/>
        </w:tabs>
        <w:ind w:firstLine="632"/>
      </w:pPr>
      <w:r>
        <w:fldChar w:fldCharType="begin"/>
      </w:r>
      <w:r>
        <w:instrText xml:space="preserve"> HYPERLINK \l "_Toc23560" </w:instrText>
      </w:r>
      <w:r>
        <w:fldChar w:fldCharType="separate"/>
      </w:r>
      <w:r>
        <w:rPr>
          <w:rFonts w:eastAsia="仿宋"/>
          <w:bCs/>
          <w:szCs w:val="28"/>
        </w:rPr>
        <w:t xml:space="preserve">8.2 </w:t>
      </w:r>
      <w:r>
        <w:rPr>
          <w:rFonts w:hint="eastAsia"/>
        </w:rPr>
        <w:t>预案中“以上”“以下”的含义</w:t>
      </w:r>
      <w:r>
        <w:tab/>
      </w:r>
      <w:r>
        <w:fldChar w:fldCharType="begin"/>
      </w:r>
      <w:r>
        <w:instrText xml:space="preserve"> PAGEREF _Toc23560 \h </w:instrText>
      </w:r>
      <w:r>
        <w:fldChar w:fldCharType="separate"/>
      </w:r>
      <w:r>
        <w:t>36</w:t>
      </w:r>
      <w:r>
        <w:fldChar w:fldCharType="end"/>
      </w:r>
      <w:r>
        <w:fldChar w:fldCharType="end"/>
      </w:r>
    </w:p>
    <w:p w14:paraId="72A3E353">
      <w:pPr>
        <w:pStyle w:val="19"/>
        <w:tabs>
          <w:tab w:val="right" w:leader="dot" w:pos="8845"/>
        </w:tabs>
        <w:ind w:firstLine="632"/>
      </w:pPr>
      <w:r>
        <w:fldChar w:fldCharType="begin"/>
      </w:r>
      <w:r>
        <w:instrText xml:space="preserve"> HYPERLINK \l "_Toc31584" </w:instrText>
      </w:r>
      <w:r>
        <w:fldChar w:fldCharType="separate"/>
      </w:r>
      <w:r>
        <w:rPr>
          <w:rFonts w:eastAsia="仿宋"/>
          <w:bCs/>
          <w:szCs w:val="28"/>
        </w:rPr>
        <w:t xml:space="preserve">8.3 </w:t>
      </w:r>
      <w:r>
        <w:rPr>
          <w:rFonts w:hint="eastAsia"/>
        </w:rPr>
        <w:t>预案的实施</w:t>
      </w:r>
      <w:r>
        <w:tab/>
      </w:r>
      <w:r>
        <w:fldChar w:fldCharType="begin"/>
      </w:r>
      <w:r>
        <w:instrText xml:space="preserve"> PAGEREF _Toc31584 \h </w:instrText>
      </w:r>
      <w:r>
        <w:fldChar w:fldCharType="separate"/>
      </w:r>
      <w:r>
        <w:t>36</w:t>
      </w:r>
      <w:r>
        <w:fldChar w:fldCharType="end"/>
      </w:r>
      <w:r>
        <w:fldChar w:fldCharType="end"/>
      </w:r>
    </w:p>
    <w:p w14:paraId="0FF75206">
      <w:pPr>
        <w:pStyle w:val="19"/>
        <w:tabs>
          <w:tab w:val="right" w:leader="dot" w:pos="8845"/>
        </w:tabs>
        <w:ind w:firstLine="632"/>
        <w:rPr>
          <w:rFonts w:ascii="黑体" w:hAnsi="黑体" w:eastAsia="黑体" w:cs="黑体"/>
          <w:szCs w:val="44"/>
        </w:rPr>
      </w:pPr>
      <w:r>
        <w:rPr>
          <w:rFonts w:hint="eastAsia" w:ascii="黑体" w:hAnsi="黑体" w:eastAsia="黑体" w:cs="黑体"/>
          <w:szCs w:val="44"/>
        </w:rPr>
        <w:fldChar w:fldCharType="end"/>
      </w:r>
    </w:p>
    <w:p w14:paraId="33692D2B">
      <w:pPr>
        <w:ind w:firstLine="632"/>
        <w:sectPr>
          <w:footerReference r:id="rId87" w:type="default"/>
          <w:footerReference r:id="rId88" w:type="even"/>
          <w:pgSz w:w="11906" w:h="16838"/>
          <w:pgMar w:top="2098" w:right="1474" w:bottom="1984" w:left="1587" w:header="624" w:footer="1134" w:gutter="0"/>
          <w:pgNumType w:fmt="upperRoman" w:start="1"/>
          <w:cols w:space="720" w:num="1"/>
          <w:docGrid w:type="linesAndChars" w:linePitch="579" w:charSpace="-842"/>
        </w:sectPr>
      </w:pPr>
    </w:p>
    <w:p w14:paraId="235BAC75">
      <w:pPr>
        <w:pStyle w:val="2"/>
        <w:numPr>
          <w:ilvl w:val="0"/>
          <w:numId w:val="150"/>
        </w:numPr>
        <w:tabs>
          <w:tab w:val="left" w:pos="0"/>
        </w:tabs>
      </w:pPr>
      <w:bookmarkStart w:id="922" w:name="_Toc2288"/>
      <w:r>
        <w:rPr>
          <w:rFonts w:hint="eastAsia"/>
        </w:rPr>
        <w:t>总则</w:t>
      </w:r>
      <w:bookmarkEnd w:id="922"/>
    </w:p>
    <w:p w14:paraId="5B5A7BA9">
      <w:pPr>
        <w:pStyle w:val="3"/>
        <w:ind w:firstLine="634"/>
      </w:pPr>
      <w:bookmarkStart w:id="923" w:name="_Toc30509"/>
      <w:r>
        <w:rPr>
          <w:rFonts w:hint="eastAsia"/>
        </w:rPr>
        <w:t>编制目的</w:t>
      </w:r>
      <w:bookmarkEnd w:id="923"/>
    </w:p>
    <w:p w14:paraId="19D0C1C6">
      <w:pPr>
        <w:ind w:firstLine="632"/>
      </w:pPr>
      <w:r>
        <w:rPr>
          <w:rFonts w:hint="eastAsia"/>
        </w:rPr>
        <w:t>为健全我县生产安全事故应急工作机制，依法、科学、高效、有序应对生产安全事故，及时控制和消除突发性事故危害，提升事故应急处置能力，减少事故造成的人员伤亡和财产损失，保障人民群众的生命财产安全，维护社会稳定。</w:t>
      </w:r>
    </w:p>
    <w:p w14:paraId="2402B4E2">
      <w:pPr>
        <w:pStyle w:val="3"/>
        <w:ind w:firstLine="634"/>
      </w:pPr>
      <w:bookmarkStart w:id="924" w:name="_Toc31514"/>
      <w:r>
        <w:rPr>
          <w:rFonts w:hint="eastAsia"/>
        </w:rPr>
        <w:t>编制依据</w:t>
      </w:r>
      <w:bookmarkEnd w:id="924"/>
    </w:p>
    <w:p w14:paraId="6766D8BB">
      <w:pPr>
        <w:ind w:firstLine="632"/>
      </w:pPr>
      <w:r>
        <w:rPr>
          <w:rFonts w:hint="eastAsia"/>
        </w:rPr>
        <w:t>依据《中华人民共和国安全生产法》《中华人民共和国突发事件应对法》《中华人民共和国消防法》《生产安全事故应急条例》《生产安全事故报告和调查处理条例》《生产安全事故应急预案管理办法》《黑龙江省安全生产条例》《黑龙江省突发事件应急预案管理实施办法》《双鸭山市突发事件总体应急预案》《集贤县突发事件总体应急预案》等相关法律、法规和规定，结合我县实际，制定本预案。</w:t>
      </w:r>
    </w:p>
    <w:p w14:paraId="08B85EF4">
      <w:pPr>
        <w:pStyle w:val="3"/>
        <w:ind w:firstLine="634"/>
      </w:pPr>
      <w:bookmarkStart w:id="925" w:name="_Toc20316"/>
      <w:r>
        <w:rPr>
          <w:rFonts w:hint="eastAsia"/>
        </w:rPr>
        <w:t>适用范围</w:t>
      </w:r>
      <w:bookmarkEnd w:id="925"/>
    </w:p>
    <w:p w14:paraId="4A5CA0D1">
      <w:pPr>
        <w:ind w:firstLine="632"/>
      </w:pPr>
      <w:r>
        <w:rPr>
          <w:rFonts w:hint="eastAsia"/>
        </w:rPr>
        <w:t>本预案适用集贤县行政区域内突发生产安全事故的应急处置工作，县有关专项应急预案对相关行业领域生产安全事故应急工作另有规定的，从其规定。</w:t>
      </w:r>
    </w:p>
    <w:p w14:paraId="792E2A47">
      <w:pPr>
        <w:pStyle w:val="3"/>
        <w:ind w:firstLine="634"/>
      </w:pPr>
      <w:bookmarkStart w:id="926" w:name="_Toc3753"/>
      <w:r>
        <w:rPr>
          <w:rFonts w:hint="eastAsia"/>
        </w:rPr>
        <w:t>主要危险源分析</w:t>
      </w:r>
      <w:bookmarkEnd w:id="926"/>
    </w:p>
    <w:p w14:paraId="4BB90486">
      <w:pPr>
        <w:ind w:firstLine="632"/>
      </w:pPr>
      <w:r>
        <w:rPr>
          <w:rFonts w:hint="eastAsia"/>
        </w:rPr>
        <w:t>集贤县各企事业单位在生产过程中主要存在15种事故风险。事故风险包括：火灾、触电、中毒和窒息、锅炉爆炸、容器爆炸、其他爆炸（含粉尘爆炸）、物体打击、车辆伤害、机械伤害、起重伤害、淹溺、灼烫、高处坠落、坍塌、其他伤害。</w:t>
      </w:r>
    </w:p>
    <w:p w14:paraId="3059F5BC">
      <w:pPr>
        <w:pStyle w:val="3"/>
        <w:ind w:firstLine="634"/>
      </w:pPr>
      <w:bookmarkStart w:id="927" w:name="_Toc18422"/>
      <w:r>
        <w:rPr>
          <w:rFonts w:hint="eastAsia"/>
        </w:rPr>
        <w:t>工作原则</w:t>
      </w:r>
      <w:bookmarkEnd w:id="927"/>
    </w:p>
    <w:p w14:paraId="6D49CCEE">
      <w:pPr>
        <w:numPr>
          <w:ilvl w:val="0"/>
          <w:numId w:val="134"/>
        </w:numPr>
        <w:ind w:firstLine="632"/>
      </w:pPr>
      <w:r>
        <w:rPr>
          <w:rFonts w:hint="eastAsia"/>
        </w:rPr>
        <w:t>以人为本，安全第一，科学施救。把保障人民群众的身体健康、生命安全以及最大程度地预防、减少生产安全事故造成的人员伤亡和财产损失作为首要任务。切实加强应急救援人员的安全防护。充分发挥人的主观能动性，充分发挥专业救援力量的骨干作用和人民群众的基础作用。</w:t>
      </w:r>
    </w:p>
    <w:p w14:paraId="75E9DC70">
      <w:pPr>
        <w:numPr>
          <w:ilvl w:val="0"/>
          <w:numId w:val="134"/>
        </w:numPr>
        <w:ind w:firstLine="632"/>
      </w:pPr>
      <w:r>
        <w:rPr>
          <w:rFonts w:hint="eastAsia"/>
        </w:rPr>
        <w:t>统一领导，分级负责。在县政府统一领导和县应急委组织协调下，坚持属地为主的原则，各乡镇、县委各部门、县直各单位按照各自职责和权限，负责有关生产安全事故灾难应急管理和应急处置工作。</w:t>
      </w:r>
    </w:p>
    <w:p w14:paraId="1B447333">
      <w:pPr>
        <w:numPr>
          <w:ilvl w:val="0"/>
          <w:numId w:val="134"/>
        </w:numPr>
        <w:ind w:firstLine="632"/>
      </w:pPr>
      <w:r>
        <w:rPr>
          <w:rFonts w:hint="eastAsia"/>
        </w:rPr>
        <w:t>依靠科技，规范管理。积极采用先进的预测、预警、预防和应急处置技术，提高预警预防水平；采用先进的救援装备和技术，增强应急救援能力。依法规范应急救援工作，确保应急预案的科学性、权威性和可操作性。</w:t>
      </w:r>
    </w:p>
    <w:p w14:paraId="558651B0">
      <w:pPr>
        <w:numPr>
          <w:ilvl w:val="0"/>
          <w:numId w:val="134"/>
        </w:numPr>
        <w:ind w:firstLine="632"/>
      </w:pPr>
      <w:r>
        <w:rPr>
          <w:rFonts w:hint="eastAsia"/>
        </w:rPr>
        <w:t>预防为主，平战结合。贯彻落实坚持以人为本，坚持安全发展，坚持“安全第一，预防为主，综合治理”的方针，坚持事故应急与预防工作相结合。做好预防、预测、预警和预报工作，做好常态下的风险评估、物资储备、队伍建设、完善装备、预案演练等工作。</w:t>
      </w:r>
    </w:p>
    <w:p w14:paraId="397F517C">
      <w:pPr>
        <w:numPr>
          <w:ilvl w:val="0"/>
          <w:numId w:val="134"/>
        </w:numPr>
        <w:ind w:firstLine="632"/>
      </w:pPr>
      <w:r>
        <w:rPr>
          <w:rFonts w:hint="eastAsia"/>
        </w:rPr>
        <w:t>条块结合、协同应急。生产安全事故现场应急处置的领导和指挥以各乡镇为主，实行乡镇行政首长负责制。有关部门应当与乡镇密切配合，充分发挥指导和协调作用。</w:t>
      </w:r>
    </w:p>
    <w:p w14:paraId="6B7982B3">
      <w:pPr>
        <w:numPr>
          <w:ilvl w:val="0"/>
          <w:numId w:val="134"/>
        </w:numPr>
        <w:ind w:firstLine="632"/>
      </w:pPr>
      <w:r>
        <w:rPr>
          <w:rFonts w:hint="eastAsia"/>
        </w:rPr>
        <w:t>资源共享、反应灵敏。政府有关部门要按照资源和信息共享的原则，确保交通、通信、供电、供水、气象服务以及应急救援队伍、装备、物资等资源和信息在部门间的共享，确保救援信息畅通，反应灵敏。</w:t>
      </w:r>
    </w:p>
    <w:p w14:paraId="3D4F591A">
      <w:pPr>
        <w:numPr>
          <w:ilvl w:val="0"/>
          <w:numId w:val="134"/>
        </w:numPr>
        <w:ind w:firstLine="632"/>
      </w:pPr>
      <w:r>
        <w:rPr>
          <w:rFonts w:hint="eastAsia"/>
        </w:rPr>
        <w:t>及时总结，不断完善。事故处置结束后，各相关部门要及时总结事故经验教训，充分借鉴学习同类型事故处置的方法，积累经验，查找不足，完善准备，防止类似事故的再次发生。</w:t>
      </w:r>
    </w:p>
    <w:p w14:paraId="5035A7B2">
      <w:pPr>
        <w:pStyle w:val="3"/>
        <w:ind w:firstLine="634"/>
      </w:pPr>
      <w:bookmarkStart w:id="928" w:name="_Toc29733"/>
      <w:r>
        <w:rPr>
          <w:rFonts w:hint="eastAsia"/>
        </w:rPr>
        <w:t>事故分级</w:t>
      </w:r>
      <w:bookmarkEnd w:id="928"/>
    </w:p>
    <w:p w14:paraId="18E3C5D9">
      <w:pPr>
        <w:ind w:firstLine="632" w:firstLineChars="0"/>
      </w:pPr>
      <w:r>
        <w:rPr>
          <w:rFonts w:hint="eastAsia"/>
        </w:rPr>
        <w:t>根据《生产安全事故报告和调查处理条例》规定，按照事故造成的人员伤亡或者直接经济损失等，生产安全事故分为特别重大、重大、较大和一般事故以及重大、较大涉险事故：</w:t>
      </w:r>
    </w:p>
    <w:p w14:paraId="6B0D89F5">
      <w:pPr>
        <w:numPr>
          <w:ilvl w:val="0"/>
          <w:numId w:val="151"/>
        </w:numPr>
        <w:ind w:firstLine="632"/>
      </w:pPr>
      <w:r>
        <w:rPr>
          <w:rFonts w:hint="eastAsia"/>
        </w:rPr>
        <w:t>特别重大事故：是指造成30人以上死亡，或者100人以上重伤（包括急性工业中毒，下同），或者1亿元以上直接经济损失的事故；</w:t>
      </w:r>
    </w:p>
    <w:p w14:paraId="4BAB34A4">
      <w:pPr>
        <w:numPr>
          <w:ilvl w:val="0"/>
          <w:numId w:val="151"/>
        </w:numPr>
        <w:ind w:firstLine="632"/>
      </w:pPr>
      <w:r>
        <w:rPr>
          <w:rFonts w:hint="eastAsia"/>
        </w:rPr>
        <w:t>重大事故：是指造成10人以上30人以下死亡，或者50人以上100人以下重伤，或者5000万元以上1亿元以下直接经济损失的事故；</w:t>
      </w:r>
    </w:p>
    <w:p w14:paraId="2AE7FBD6">
      <w:pPr>
        <w:numPr>
          <w:ilvl w:val="0"/>
          <w:numId w:val="151"/>
        </w:numPr>
        <w:ind w:firstLine="632"/>
      </w:pPr>
      <w:r>
        <w:rPr>
          <w:rFonts w:hint="eastAsia"/>
        </w:rPr>
        <w:t>较大事故：是指造成3人以上10人以下死亡，或者10人以上50人以下重伤，或者1000万元以上5000元以下直接经济损失的事故；</w:t>
      </w:r>
    </w:p>
    <w:p w14:paraId="5E6B349D">
      <w:pPr>
        <w:numPr>
          <w:ilvl w:val="0"/>
          <w:numId w:val="151"/>
        </w:numPr>
        <w:ind w:firstLine="632"/>
      </w:pPr>
      <w:r>
        <w:rPr>
          <w:rFonts w:hint="eastAsia"/>
        </w:rPr>
        <w:t>一般事故：是指造成3人以下死亡，或者10人以下重伤或者1000万元以下直接经济损失的事故。</w:t>
      </w:r>
    </w:p>
    <w:p w14:paraId="5F8EE9C0">
      <w:pPr>
        <w:ind w:firstLine="632" w:firstLineChars="0"/>
      </w:pPr>
      <w:r>
        <w:rPr>
          <w:rFonts w:hint="eastAsia"/>
        </w:rPr>
        <w:t>1.6.2重大、较大涉险事故依据《安全生产信息报告和统计工作规范》（原国家安全监管总局安监总厅〔2012〕130号）分级：</w:t>
      </w:r>
    </w:p>
    <w:p w14:paraId="181DF1AE">
      <w:pPr>
        <w:numPr>
          <w:ilvl w:val="0"/>
          <w:numId w:val="152"/>
        </w:numPr>
        <w:ind w:firstLine="632"/>
      </w:pPr>
      <w:r>
        <w:rPr>
          <w:rFonts w:hint="eastAsia"/>
        </w:rPr>
        <w:t>重大涉险事故：涉险10人以上的事故；造成10人以上被困或下落不明的事故；紧急疏散人员5000人以上和住院观察50人以上的事故；可能升级为重大事故的较大事故（如具有危重伤员有可能抢救无效死亡，以及现场搜救尚未结束、死亡人数可能增加等情形的事故）；有可能造成5000万元以上直接经济损失的事故；危险化学品严重泄漏（危及人员密集场所等）的事故；严重危及重要场所和设施（电站、重要水利设施、危险化学品库、油气站和车站、码头、港口、高铁及其他人员密集场所等）安全的事故；其他重大涉险事故。</w:t>
      </w:r>
    </w:p>
    <w:p w14:paraId="584F2F86">
      <w:pPr>
        <w:numPr>
          <w:ilvl w:val="0"/>
          <w:numId w:val="152"/>
        </w:numPr>
        <w:ind w:firstLine="632"/>
      </w:pPr>
      <w:r>
        <w:rPr>
          <w:rFonts w:hint="eastAsia"/>
        </w:rPr>
        <w:t>较大涉险事故：涉险3人以上10人以下的事故；造成3人以上10人以下被困或下落不明的事故；紧急疏散人员500人以上5000人以下和住院观察10人以上50人以下的事故；危险化学品泄漏（危及人员密集场所等）的事故；危及重要场所和设施（电站、重要水利设施、危险化学品库、油气站和车站、码头、港口及其他人员密集场所等）安全的事故；其他较大涉险事故。</w:t>
      </w:r>
    </w:p>
    <w:p w14:paraId="191558D1">
      <w:pPr>
        <w:ind w:firstLine="0" w:firstLineChars="0"/>
      </w:pPr>
      <w:r>
        <w:rPr>
          <w:rFonts w:hint="eastAsia"/>
        </w:rPr>
        <w:t>上述表述所称的“以上”包括本数，所称的“以下”不包括本数。</w:t>
      </w:r>
    </w:p>
    <w:p w14:paraId="02DE4565">
      <w:pPr>
        <w:pStyle w:val="3"/>
        <w:ind w:firstLine="634"/>
      </w:pPr>
      <w:bookmarkStart w:id="929" w:name="_Toc28233"/>
      <w:r>
        <w:rPr>
          <w:rFonts w:hint="eastAsia"/>
        </w:rPr>
        <w:t>分级应对与响应分级</w:t>
      </w:r>
      <w:bookmarkEnd w:id="929"/>
    </w:p>
    <w:p w14:paraId="63716F4D">
      <w:pPr>
        <w:pStyle w:val="4"/>
        <w:numPr>
          <w:ilvl w:val="2"/>
          <w:numId w:val="150"/>
        </w:numPr>
        <w:tabs>
          <w:tab w:val="left" w:pos="0"/>
        </w:tabs>
      </w:pPr>
      <w:r>
        <w:rPr>
          <w:rFonts w:hint="eastAsia"/>
        </w:rPr>
        <w:t>分级应对</w:t>
      </w:r>
    </w:p>
    <w:p w14:paraId="7B7A0888">
      <w:pPr>
        <w:ind w:firstLine="632"/>
      </w:pPr>
      <w:r>
        <w:rPr>
          <w:rFonts w:hint="eastAsia"/>
        </w:rPr>
        <w:t>根据国家和上级人民政府有关规定，县生产安全事故分级应对层级划分如下：</w:t>
      </w:r>
    </w:p>
    <w:p w14:paraId="2CD5D2B6">
      <w:pPr>
        <w:numPr>
          <w:ilvl w:val="0"/>
          <w:numId w:val="153"/>
        </w:numPr>
        <w:ind w:firstLine="632"/>
      </w:pPr>
      <w:r>
        <w:rPr>
          <w:rFonts w:hint="eastAsia"/>
        </w:rPr>
        <w:t>初判为特别重大、重大、较大生产安全事故，分别由国务院、黑龙江省人民政府、双鸭山市人民政府负责组织应对，集贤县人民政府在上级人民政府的领导下，负责事故应对的先期处置工作，在上级人民政府统一领导下开展事故应对工作。</w:t>
      </w:r>
    </w:p>
    <w:p w14:paraId="470F265D">
      <w:pPr>
        <w:numPr>
          <w:ilvl w:val="0"/>
          <w:numId w:val="153"/>
        </w:numPr>
        <w:ind w:firstLine="632"/>
      </w:pPr>
      <w:r>
        <w:rPr>
          <w:rFonts w:hint="eastAsia"/>
        </w:rPr>
        <w:t>初判为一般生产安全事故，原则上县人民政府负责组织应对，事发地乡镇政府及事发单位负责先期处置工作。</w:t>
      </w:r>
    </w:p>
    <w:p w14:paraId="2D649E90">
      <w:pPr>
        <w:numPr>
          <w:ilvl w:val="0"/>
          <w:numId w:val="153"/>
        </w:numPr>
        <w:ind w:firstLine="632"/>
      </w:pPr>
      <w:r>
        <w:rPr>
          <w:rFonts w:hint="eastAsia"/>
        </w:rPr>
        <w:t>生产经营单位是安全生产的责任主体，应当建立健全生产安全事故应急救援组织机构，完善生产安全事故应急预案，针对本单位可能发生的事故类别，制定详细的事故处置方案，按照《中华人民共和国突发事件应对法》《中华人民共和国安全生产法》等法律法规的规定，履行生产安全事故应急救援工作职责。</w:t>
      </w:r>
    </w:p>
    <w:p w14:paraId="0356F232">
      <w:pPr>
        <w:pStyle w:val="4"/>
        <w:numPr>
          <w:ilvl w:val="2"/>
          <w:numId w:val="150"/>
        </w:numPr>
        <w:tabs>
          <w:tab w:val="left" w:pos="0"/>
        </w:tabs>
      </w:pPr>
      <w:r>
        <w:rPr>
          <w:rFonts w:hint="eastAsia"/>
        </w:rPr>
        <w:t>响应分级</w:t>
      </w:r>
    </w:p>
    <w:p w14:paraId="3F300A7E">
      <w:pPr>
        <w:ind w:firstLine="632"/>
      </w:pPr>
      <w:r>
        <w:rPr>
          <w:rFonts w:hint="eastAsia"/>
        </w:rPr>
        <w:t>县人民政府及有关部门、基层组织和单位等根据生产安全事故初判级别、应急处置能力以及预期响应后果，综合研判本层级响应级别。对于生产安全事故本身比较敏感，或发生在重点地区或重大活动期间的，可适当提高响应级别。应急响应启动后，可视情况调整响应级别。</w:t>
      </w:r>
    </w:p>
    <w:p w14:paraId="345DA898">
      <w:pPr>
        <w:pStyle w:val="3"/>
        <w:tabs>
          <w:tab w:val="left" w:pos="0"/>
        </w:tabs>
        <w:ind w:firstLine="634"/>
      </w:pPr>
      <w:bookmarkStart w:id="930" w:name="_Toc12025"/>
      <w:bookmarkStart w:id="931" w:name="_Toc13327"/>
      <w:r>
        <w:rPr>
          <w:rFonts w:hint="eastAsia"/>
        </w:rPr>
        <w:t>应急预案体系</w:t>
      </w:r>
      <w:bookmarkEnd w:id="930"/>
      <w:bookmarkEnd w:id="931"/>
    </w:p>
    <w:p w14:paraId="7C7599EF">
      <w:pPr>
        <w:ind w:firstLine="632"/>
      </w:pPr>
      <w:r>
        <w:rPr>
          <w:rFonts w:hint="eastAsia"/>
        </w:rPr>
        <w:t>集贤县突发生产安全事故应急预案体系由本预案、其他涉及生产安全事故灾难的县级专项应急预案、部门应急预案、地方应急预案、生产经营单位预案和现场应急方案组成，本预案与《集贤县突发事件总体应急预案》等上级预案以及周边区县（市）预案相衔接。国家、省、市另有规定时，从其规定进行衔接。</w:t>
      </w:r>
    </w:p>
    <w:p w14:paraId="1CE8C9B1">
      <w:pPr>
        <w:pStyle w:val="2"/>
        <w:numPr>
          <w:ilvl w:val="0"/>
          <w:numId w:val="150"/>
        </w:numPr>
        <w:tabs>
          <w:tab w:val="left" w:pos="0"/>
        </w:tabs>
      </w:pPr>
      <w:bookmarkStart w:id="932" w:name="_Toc7681"/>
      <w:r>
        <w:rPr>
          <w:rFonts w:hint="eastAsia"/>
        </w:rPr>
        <w:t>组织指挥体系</w:t>
      </w:r>
      <w:bookmarkEnd w:id="932"/>
    </w:p>
    <w:p w14:paraId="1434B18D">
      <w:pPr>
        <w:pStyle w:val="3"/>
        <w:ind w:firstLine="634"/>
      </w:pPr>
      <w:bookmarkStart w:id="933" w:name="_Toc16975"/>
      <w:r>
        <w:rPr>
          <w:rFonts w:hint="eastAsia"/>
        </w:rPr>
        <w:t>县级层面组织指挥机制</w:t>
      </w:r>
      <w:bookmarkEnd w:id="933"/>
    </w:p>
    <w:p w14:paraId="774BADED">
      <w:pPr>
        <w:ind w:firstLine="632"/>
      </w:pPr>
      <w:r>
        <w:rPr>
          <w:rFonts w:hint="eastAsia"/>
        </w:rPr>
        <w:t>全县生产安全事故应急救援组织体系由县应急委、县有关部门和单位、各乡镇人民政府、应急支持保障部门应急救援队伍和生产经营单位组成。</w:t>
      </w:r>
    </w:p>
    <w:p w14:paraId="558ACB4E">
      <w:pPr>
        <w:pStyle w:val="4"/>
        <w:numPr>
          <w:ilvl w:val="2"/>
          <w:numId w:val="150"/>
        </w:numPr>
        <w:tabs>
          <w:tab w:val="left" w:pos="0"/>
        </w:tabs>
      </w:pPr>
      <w:r>
        <w:rPr>
          <w:rFonts w:hint="eastAsia"/>
        </w:rPr>
        <w:t>县应急指挥部</w:t>
      </w:r>
    </w:p>
    <w:p w14:paraId="283D0800">
      <w:pPr>
        <w:ind w:firstLine="632"/>
      </w:pPr>
      <w:r>
        <w:rPr>
          <w:rFonts w:hint="eastAsia"/>
        </w:rPr>
        <w:t>在县人民政府领导下，设立县安全生产应急指挥部（以下简称县应急指挥部），负责统一组织领导、指挥协调集贤县一般及以上生产安全事故的防范和应对工作。</w:t>
      </w:r>
    </w:p>
    <w:p w14:paraId="0F5A8734">
      <w:pPr>
        <w:ind w:firstLine="632"/>
      </w:pPr>
      <w:r>
        <w:rPr>
          <w:rFonts w:hint="eastAsia"/>
        </w:rPr>
        <w:t>总指挥：县人民政府担任县委常委的分管副县长担任总指挥（应对重大及以上生产安全事故时，由县长任总指挥，有关专项预案另有规定的从其规定）</w:t>
      </w:r>
    </w:p>
    <w:p w14:paraId="635C83B5">
      <w:pPr>
        <w:ind w:firstLine="632"/>
      </w:pPr>
      <w:r>
        <w:rPr>
          <w:rFonts w:hint="eastAsia"/>
        </w:rPr>
        <w:t>副总指挥：县应急局及事故相关行业领域负有安全生产监督管理职责的部门主要负责同志</w:t>
      </w:r>
    </w:p>
    <w:p w14:paraId="3929839D">
      <w:pPr>
        <w:ind w:firstLine="632"/>
      </w:pPr>
      <w:r>
        <w:rPr>
          <w:rFonts w:hint="eastAsia"/>
        </w:rPr>
        <w:t>成员单位：县委宣传部、县应急管理局、县消防救援大队、县公安局、县发展和改革局、县市场监督管理局、县卫生健康局、县自然资源局、县生态环境局、县交通运输局、县农业农村局、县水务局、县气象局、县供销社、县财政局、县民政局、县人力资源和社会保障局、县住房和城乡建设局、县工业信息科技局、县总工会、县邮政局、县人民武装部、电信集贤分公司、移动集贤分公司、联通集贤分公司、铁塔集贤办事处、集贤供电公司、各乡镇人民政府分管领导。</w:t>
      </w:r>
    </w:p>
    <w:p w14:paraId="6C13DD8C">
      <w:pPr>
        <w:ind w:firstLine="632"/>
      </w:pPr>
      <w:r>
        <w:rPr>
          <w:rFonts w:hint="eastAsia"/>
        </w:rPr>
        <w:t>县应急指挥部下设办公室，承担安全生产应急管理日常工作和生产安全事故应急指导协调工作，完成县指挥部交办的任务。办公室设在县应急局，办公室主任由县应急局局长兼任。</w:t>
      </w:r>
    </w:p>
    <w:p w14:paraId="42A68412">
      <w:pPr>
        <w:pStyle w:val="4"/>
        <w:numPr>
          <w:ilvl w:val="2"/>
          <w:numId w:val="150"/>
        </w:numPr>
        <w:tabs>
          <w:tab w:val="left" w:pos="0"/>
        </w:tabs>
      </w:pPr>
      <w:r>
        <w:rPr>
          <w:rFonts w:hint="eastAsia"/>
        </w:rPr>
        <w:t>县指挥部职责</w:t>
      </w:r>
    </w:p>
    <w:p w14:paraId="1B5E8AEC">
      <w:pPr>
        <w:numPr>
          <w:ilvl w:val="0"/>
          <w:numId w:val="154"/>
        </w:numPr>
        <w:ind w:firstLine="632"/>
      </w:pPr>
      <w:r>
        <w:rPr>
          <w:rFonts w:hint="eastAsia"/>
        </w:rPr>
        <w:t>负责组织、协调、指挥全县一般以上生产安全事故应急救援工作，协助市政府及其相关部门做好较大及以上生产安全事故应急救援工作；</w:t>
      </w:r>
    </w:p>
    <w:p w14:paraId="59063AEB">
      <w:pPr>
        <w:numPr>
          <w:ilvl w:val="0"/>
          <w:numId w:val="154"/>
        </w:numPr>
        <w:ind w:firstLine="632"/>
      </w:pPr>
      <w:r>
        <w:rPr>
          <w:rFonts w:hint="eastAsia"/>
        </w:rPr>
        <w:t>协调与自然灾害、公共卫生和社会安全突发事件应急救援机构以及有关部门、单位之间的关系；</w:t>
      </w:r>
    </w:p>
    <w:p w14:paraId="43AC19E2">
      <w:pPr>
        <w:numPr>
          <w:ilvl w:val="0"/>
          <w:numId w:val="154"/>
        </w:numPr>
        <w:ind w:firstLine="632"/>
      </w:pPr>
      <w:r>
        <w:rPr>
          <w:rFonts w:hint="eastAsia"/>
        </w:rPr>
        <w:t>决定启动集贤县生产安全事故应急预案；</w:t>
      </w:r>
    </w:p>
    <w:p w14:paraId="484B864B">
      <w:pPr>
        <w:numPr>
          <w:ilvl w:val="0"/>
          <w:numId w:val="154"/>
        </w:numPr>
        <w:ind w:firstLine="632"/>
      </w:pPr>
      <w:r>
        <w:rPr>
          <w:rFonts w:hint="eastAsia"/>
        </w:rPr>
        <w:t>做好事故情况的信息发布工作；</w:t>
      </w:r>
    </w:p>
    <w:p w14:paraId="050B8CC9">
      <w:pPr>
        <w:numPr>
          <w:ilvl w:val="0"/>
          <w:numId w:val="135"/>
        </w:numPr>
        <w:ind w:firstLine="632"/>
      </w:pPr>
      <w:r>
        <w:rPr>
          <w:rFonts w:hint="eastAsia"/>
        </w:rPr>
        <w:t>必要时，协调提请市应急指挥部协调解放军、武警部队参加一般以上生产安全事故应急救援工作。</w:t>
      </w:r>
    </w:p>
    <w:p w14:paraId="6A5DEFC8">
      <w:pPr>
        <w:pStyle w:val="4"/>
        <w:numPr>
          <w:ilvl w:val="2"/>
          <w:numId w:val="150"/>
        </w:numPr>
        <w:tabs>
          <w:tab w:val="left" w:pos="0"/>
        </w:tabs>
      </w:pPr>
      <w:r>
        <w:rPr>
          <w:rFonts w:hint="eastAsia"/>
        </w:rPr>
        <w:t>县应急办职责</w:t>
      </w:r>
    </w:p>
    <w:p w14:paraId="21A2DE28">
      <w:pPr>
        <w:numPr>
          <w:ilvl w:val="0"/>
          <w:numId w:val="155"/>
        </w:numPr>
        <w:ind w:firstLine="632"/>
      </w:pPr>
      <w:r>
        <w:rPr>
          <w:rFonts w:hint="eastAsia"/>
        </w:rPr>
        <w:t>负责综合全县事故信息，及时掌握、分析重要信息，向指挥部及时提出处置建议；</w:t>
      </w:r>
    </w:p>
    <w:p w14:paraId="07FADAFE">
      <w:pPr>
        <w:numPr>
          <w:ilvl w:val="0"/>
          <w:numId w:val="155"/>
        </w:numPr>
        <w:ind w:firstLine="632"/>
      </w:pPr>
      <w:r>
        <w:rPr>
          <w:rFonts w:hint="eastAsia"/>
        </w:rPr>
        <w:t>负责全县生产安全事故应急救援的协调；</w:t>
      </w:r>
    </w:p>
    <w:p w14:paraId="0257A4ED">
      <w:pPr>
        <w:numPr>
          <w:ilvl w:val="0"/>
          <w:numId w:val="155"/>
        </w:numPr>
        <w:ind w:firstLine="632"/>
      </w:pPr>
      <w:r>
        <w:rPr>
          <w:rFonts w:hint="eastAsia"/>
        </w:rPr>
        <w:t>负责组建应急救援专家组，判断灾情变化趋势，提供事故应急救援技术指导；</w:t>
      </w:r>
    </w:p>
    <w:p w14:paraId="49B12B04">
      <w:pPr>
        <w:numPr>
          <w:ilvl w:val="0"/>
          <w:numId w:val="155"/>
        </w:numPr>
        <w:ind w:firstLine="632"/>
      </w:pPr>
      <w:r>
        <w:rPr>
          <w:rFonts w:hint="eastAsia"/>
        </w:rPr>
        <w:t>建立应急救援物资、生活必需品和应急处置装备的储备制度；</w:t>
      </w:r>
    </w:p>
    <w:p w14:paraId="5C51CB60">
      <w:pPr>
        <w:numPr>
          <w:ilvl w:val="0"/>
          <w:numId w:val="155"/>
        </w:numPr>
        <w:ind w:firstLine="632"/>
      </w:pPr>
      <w:r>
        <w:rPr>
          <w:rFonts w:hint="eastAsia"/>
        </w:rPr>
        <w:t>检查、督促、指导各乡镇及专业应急救援机构应急管理工作；</w:t>
      </w:r>
    </w:p>
    <w:p w14:paraId="5268F746">
      <w:pPr>
        <w:numPr>
          <w:ilvl w:val="0"/>
          <w:numId w:val="155"/>
        </w:numPr>
        <w:ind w:firstLine="632"/>
      </w:pPr>
      <w:r>
        <w:rPr>
          <w:rFonts w:hint="eastAsia"/>
        </w:rPr>
        <w:t>承担县应急指挥部交办的其他工作。</w:t>
      </w:r>
    </w:p>
    <w:p w14:paraId="54A3E5AF">
      <w:pPr>
        <w:pStyle w:val="4"/>
        <w:numPr>
          <w:ilvl w:val="2"/>
          <w:numId w:val="150"/>
        </w:numPr>
        <w:tabs>
          <w:tab w:val="left" w:pos="0"/>
        </w:tabs>
      </w:pPr>
      <w:r>
        <w:rPr>
          <w:rFonts w:hint="eastAsia"/>
          <w:bCs/>
        </w:rPr>
        <w:t>成员单位主要职责</w:t>
      </w:r>
    </w:p>
    <w:p w14:paraId="633ECED7">
      <w:pPr>
        <w:ind w:firstLine="632"/>
      </w:pPr>
      <w:r>
        <w:rPr>
          <w:rFonts w:hint="eastAsia"/>
        </w:rPr>
        <w:t>县应急指挥部成员单位由县人民政府负有安全生产监督管理职责的部门和县有关部门、单位组成。其中负有安全生产监督管理职责的部门按照职责分工承担所监管行业领域的生产安全事故应急工作，具体包括：编制管理相关应急预案，组织协调指导风险防控、应急准备、监测预警、应急处置与救援、资源保障等工作。</w:t>
      </w:r>
    </w:p>
    <w:p w14:paraId="5F1F349A">
      <w:pPr>
        <w:ind w:firstLine="634"/>
      </w:pPr>
      <w:r>
        <w:rPr>
          <w:rFonts w:hint="eastAsia"/>
          <w:b/>
        </w:rPr>
        <w:t>县委宣传部：</w:t>
      </w:r>
      <w:r>
        <w:rPr>
          <w:rFonts w:hint="eastAsia"/>
        </w:rPr>
        <w:t>组织指导生产安全事故应对处置相关信息发布和舆情引导工作。</w:t>
      </w:r>
    </w:p>
    <w:p w14:paraId="41F7B979">
      <w:pPr>
        <w:ind w:firstLine="634"/>
      </w:pPr>
      <w:r>
        <w:rPr>
          <w:rFonts w:hint="eastAsia"/>
          <w:b/>
        </w:rPr>
        <w:t>县应急管理局：</w:t>
      </w:r>
      <w:r>
        <w:rPr>
          <w:rFonts w:hint="eastAsia"/>
        </w:rPr>
        <w:t>综合指导全县生产安全事故应对，指导应急预案体系建设，建立健全应急管理信息系统，组织指导协调生产安全事故应急救援，统筹应急救援力量建设，会同县有关部门建立安全生产应急救援专家库，向县应急指挥部提出应急处置建议，协调指挥应急专业队伍，组织协调相关灾害救助工作。组织协调指挥非煤矿山、工矿商贸行业生产安全事故的应急救援。</w:t>
      </w:r>
    </w:p>
    <w:p w14:paraId="1CD646E4">
      <w:pPr>
        <w:ind w:firstLine="634"/>
      </w:pPr>
      <w:r>
        <w:rPr>
          <w:rFonts w:hint="eastAsia"/>
          <w:b/>
        </w:rPr>
        <w:t>县消防救援大队：</w:t>
      </w:r>
      <w:r>
        <w:rPr>
          <w:rFonts w:hint="eastAsia"/>
        </w:rPr>
        <w:t>负责组织和实施事故抢险救灾。</w:t>
      </w:r>
    </w:p>
    <w:p w14:paraId="302F07EC">
      <w:pPr>
        <w:ind w:firstLine="634"/>
      </w:pPr>
      <w:r>
        <w:rPr>
          <w:rFonts w:hint="eastAsia"/>
          <w:b/>
        </w:rPr>
        <w:t>县公安局：</w:t>
      </w:r>
      <w:r>
        <w:rPr>
          <w:rFonts w:hint="eastAsia"/>
        </w:rPr>
        <w:t>组织指导协调道路交通事故应急工作；组织指导协调事发地的现场治安管理、道路交通管制、涉嫌犯罪行为的依法侦查、重点设施目标的安全保卫工作。</w:t>
      </w:r>
    </w:p>
    <w:p w14:paraId="0DE87B59">
      <w:pPr>
        <w:ind w:firstLine="634"/>
      </w:pPr>
      <w:r>
        <w:rPr>
          <w:rFonts w:hint="eastAsia"/>
          <w:b/>
        </w:rPr>
        <w:t>县发展和改革局：</w:t>
      </w:r>
      <w:r>
        <w:rPr>
          <w:rFonts w:hint="eastAsia"/>
        </w:rPr>
        <w:t>组织指导协调粮食流通、加工行业和县级物资储备承储单位生产安全事故的应急工作；依照有关预案履行石油天然气长输管道安全事故应急职责。</w:t>
      </w:r>
    </w:p>
    <w:p w14:paraId="43277779">
      <w:pPr>
        <w:ind w:firstLine="634"/>
      </w:pPr>
      <w:r>
        <w:rPr>
          <w:rFonts w:hint="eastAsia"/>
          <w:b/>
        </w:rPr>
        <w:t>县市场监督管理局：</w:t>
      </w:r>
      <w:r>
        <w:rPr>
          <w:rFonts w:hint="eastAsia"/>
        </w:rPr>
        <w:t>组织指导协调特种设备生产安全事故应急工作；参与指导协调生产安全事故中的特种设备的应急检测检验与处置。</w:t>
      </w:r>
    </w:p>
    <w:p w14:paraId="01F2699E">
      <w:pPr>
        <w:ind w:firstLine="634"/>
      </w:pPr>
      <w:r>
        <w:rPr>
          <w:rFonts w:hint="eastAsia"/>
          <w:b/>
        </w:rPr>
        <w:t>县卫生健康局：</w:t>
      </w:r>
      <w:r>
        <w:rPr>
          <w:rFonts w:hint="eastAsia"/>
        </w:rPr>
        <w:t>组织指导协调生产安全事故处置相关应急医疗救援、心理康复和卫生防疫工作及对职业病危害事故的应急救援。</w:t>
      </w:r>
    </w:p>
    <w:p w14:paraId="3844F40E">
      <w:pPr>
        <w:ind w:firstLine="634"/>
      </w:pPr>
      <w:r>
        <w:rPr>
          <w:rFonts w:hint="eastAsia"/>
          <w:b/>
        </w:rPr>
        <w:t>县自然资源局：</w:t>
      </w:r>
      <w:r>
        <w:rPr>
          <w:rFonts w:hint="eastAsia"/>
        </w:rPr>
        <w:t>组织指导协调自然资源领域生产安全事故应急工作；负责提供生产安全事故所在地相关山体崩塌、滑坡、泥石流等地质灾害信息并制定应对措施。</w:t>
      </w:r>
    </w:p>
    <w:p w14:paraId="4654AC80">
      <w:pPr>
        <w:ind w:firstLine="634"/>
      </w:pPr>
      <w:r>
        <w:rPr>
          <w:rFonts w:hint="eastAsia"/>
          <w:b/>
        </w:rPr>
        <w:t>县生态环境局：</w:t>
      </w:r>
      <w:r>
        <w:rPr>
          <w:rFonts w:hint="eastAsia"/>
        </w:rPr>
        <w:t>组织指导协调生产安全事故现场环境应急监测及次生环境事件应急处置；组织协调生产安全事故中环境污染、核辐射污染的应急处置工作。</w:t>
      </w:r>
    </w:p>
    <w:p w14:paraId="3662301B">
      <w:pPr>
        <w:pStyle w:val="14"/>
        <w:ind w:left="0" w:leftChars="0" w:firstLine="632" w:firstLineChars="200"/>
      </w:pPr>
      <w:r>
        <w:rPr>
          <w:rFonts w:hint="eastAsia"/>
          <w:b/>
        </w:rPr>
        <w:t>县交通运输局：</w:t>
      </w:r>
      <w:r>
        <w:rPr>
          <w:rFonts w:hint="eastAsia"/>
        </w:rPr>
        <w:t>负责制定县运输抢险预案。负责监督抢险车辆的保养，驾驶人员的培训；负责组织各类应急救援物资运输工作，及时把应急救援物资和设备运送到事故抢救现场；参加相关事故的调查。</w:t>
      </w:r>
    </w:p>
    <w:p w14:paraId="63315733">
      <w:pPr>
        <w:ind w:firstLine="634"/>
      </w:pPr>
      <w:r>
        <w:rPr>
          <w:rFonts w:hint="eastAsia"/>
          <w:b/>
        </w:rPr>
        <w:t>县农业农村局：</w:t>
      </w:r>
      <w:r>
        <w:rPr>
          <w:rFonts w:hint="eastAsia"/>
        </w:rPr>
        <w:t>组织指导协调农机、渔业（含农民自备船）等农业行业生产安全事故（包括农作物收获期火灾事故）的应急工作。</w:t>
      </w:r>
    </w:p>
    <w:p w14:paraId="404E59CB">
      <w:pPr>
        <w:ind w:firstLine="634"/>
      </w:pPr>
      <w:r>
        <w:rPr>
          <w:rFonts w:hint="eastAsia"/>
          <w:b/>
        </w:rPr>
        <w:t>县水务局：</w:t>
      </w:r>
      <w:r>
        <w:rPr>
          <w:rFonts w:hint="eastAsia"/>
        </w:rPr>
        <w:t>负责水利工程建设和运行的生产安全事故应急处置。负责事故抢险救援过程中水资源调配。</w:t>
      </w:r>
    </w:p>
    <w:p w14:paraId="5050EEE1">
      <w:pPr>
        <w:ind w:firstLine="634"/>
      </w:pPr>
      <w:r>
        <w:rPr>
          <w:rFonts w:hint="eastAsia"/>
          <w:b/>
        </w:rPr>
        <w:t>县气象局：</w:t>
      </w:r>
      <w:r>
        <w:rPr>
          <w:rFonts w:hint="eastAsia"/>
        </w:rPr>
        <w:t>组织事故救援气象服务保障，参与由自然灾害引发的生产安全事故的应对处置工作。</w:t>
      </w:r>
    </w:p>
    <w:p w14:paraId="7DA5B6BE">
      <w:pPr>
        <w:ind w:firstLine="634"/>
      </w:pPr>
      <w:r>
        <w:rPr>
          <w:rFonts w:hint="eastAsia"/>
          <w:b/>
        </w:rPr>
        <w:t>县供销社：</w:t>
      </w:r>
      <w:r>
        <w:rPr>
          <w:rFonts w:hint="eastAsia"/>
        </w:rPr>
        <w:t>组织指导协调供销系统生产安全事故的应急工作。</w:t>
      </w:r>
    </w:p>
    <w:p w14:paraId="73738034">
      <w:pPr>
        <w:ind w:firstLine="634"/>
      </w:pPr>
      <w:r>
        <w:rPr>
          <w:rFonts w:hint="eastAsia"/>
          <w:b/>
        </w:rPr>
        <w:t>县财政局：</w:t>
      </w:r>
      <w:r>
        <w:rPr>
          <w:rFonts w:hint="eastAsia"/>
        </w:rPr>
        <w:t>按照规定落实政府安全生产投入，保障有关部门和单位安全生产工作经费，为应对事故工作提供资金支持。</w:t>
      </w:r>
    </w:p>
    <w:p w14:paraId="54A03AD9">
      <w:pPr>
        <w:ind w:firstLine="634"/>
      </w:pPr>
      <w:r>
        <w:rPr>
          <w:rFonts w:hint="eastAsia"/>
          <w:b/>
        </w:rPr>
        <w:t>县民政局：</w:t>
      </w:r>
      <w:r>
        <w:rPr>
          <w:rFonts w:hint="eastAsia"/>
        </w:rPr>
        <w:t>指导养老院等民政社会福利机构安全生产工作，参与生产安全事故应急处置；指导协调相关遇难人员遗体处置、困难群众基本社会服务等事务。</w:t>
      </w:r>
    </w:p>
    <w:p w14:paraId="735E78D8">
      <w:pPr>
        <w:ind w:firstLine="634"/>
      </w:pPr>
      <w:r>
        <w:rPr>
          <w:rFonts w:hint="eastAsia"/>
          <w:b/>
        </w:rPr>
        <w:t>县人力资源和社会保障局：</w:t>
      </w:r>
      <w:r>
        <w:rPr>
          <w:rFonts w:hint="eastAsia"/>
        </w:rPr>
        <w:t>组织指导协调生产安全事故伤亡人员的工伤认定、劳动能力鉴定和工伤保险待遇支付等工作。</w:t>
      </w:r>
    </w:p>
    <w:p w14:paraId="0AAA9EDF">
      <w:pPr>
        <w:ind w:firstLine="634"/>
      </w:pPr>
      <w:r>
        <w:rPr>
          <w:rFonts w:hint="eastAsia"/>
          <w:b/>
        </w:rPr>
        <w:t>县住房和城乡建设局：</w:t>
      </w:r>
      <w:r>
        <w:rPr>
          <w:rFonts w:hint="eastAsia"/>
        </w:rPr>
        <w:t>负责建筑物倒塌事故的应急救援工作；对建筑物倒塌事故提供相关技术支持；负责对事故中受损建筑物的评估、鉴定工作；组织提供施救所需的施工机械、救援器材和其他特种设备。</w:t>
      </w:r>
    </w:p>
    <w:p w14:paraId="0659017E">
      <w:pPr>
        <w:ind w:firstLine="634"/>
      </w:pPr>
      <w:r>
        <w:rPr>
          <w:rFonts w:hint="eastAsia"/>
          <w:b/>
        </w:rPr>
        <w:t>县工业信息科技局：</w:t>
      </w:r>
      <w:r>
        <w:rPr>
          <w:rFonts w:hint="eastAsia"/>
        </w:rPr>
        <w:t>配合做好应急救援有关物资组织和保障。组织指挥协调通信、信息网络安全等事故灾难的应急处置；组织协调生产安全事故应急救援过程中的应急通信保障。</w:t>
      </w:r>
    </w:p>
    <w:p w14:paraId="73717174">
      <w:pPr>
        <w:ind w:firstLine="634"/>
      </w:pPr>
      <w:r>
        <w:rPr>
          <w:rFonts w:hint="eastAsia"/>
          <w:b/>
        </w:rPr>
        <w:t>县总工会：</w:t>
      </w:r>
      <w:r>
        <w:rPr>
          <w:rFonts w:hint="eastAsia"/>
        </w:rPr>
        <w:t>参加事故调查，维护职工在安全生产方面的合法权益。</w:t>
      </w:r>
    </w:p>
    <w:p w14:paraId="07A81FCC">
      <w:pPr>
        <w:ind w:firstLine="634"/>
      </w:pPr>
      <w:r>
        <w:rPr>
          <w:rFonts w:hint="eastAsia"/>
          <w:b/>
        </w:rPr>
        <w:t>县人民武装部：</w:t>
      </w:r>
      <w:r>
        <w:rPr>
          <w:rFonts w:hint="eastAsia"/>
        </w:rPr>
        <w:t>根据县委县政府指示，协调民兵、预备役部队参与事故应急处置和救援。</w:t>
      </w:r>
    </w:p>
    <w:p w14:paraId="115A7344">
      <w:pPr>
        <w:ind w:firstLine="634"/>
      </w:pPr>
      <w:r>
        <w:rPr>
          <w:rFonts w:hint="eastAsia"/>
          <w:b/>
        </w:rPr>
        <w:t>电信集贤分公司、移动集贤分公司、联通集贤分公司、铁塔集贤办事处：</w:t>
      </w:r>
      <w:r>
        <w:rPr>
          <w:rFonts w:hint="eastAsia"/>
        </w:rPr>
        <w:t>负责具体实施通信、信息网络安全等事故灾难的应急处置，做好生产安全事故应急救援过程中的应急通信保障。</w:t>
      </w:r>
    </w:p>
    <w:p w14:paraId="37035F5F">
      <w:pPr>
        <w:ind w:firstLine="634"/>
      </w:pPr>
      <w:r>
        <w:rPr>
          <w:rFonts w:hint="eastAsia"/>
          <w:b/>
        </w:rPr>
        <w:t>国网公司集贤供电公司：</w:t>
      </w:r>
      <w:r>
        <w:rPr>
          <w:rFonts w:hint="eastAsia"/>
        </w:rPr>
        <w:t>具体实施大面积停电事件应急职责、生产安全事故中电网设施的应急救援，组织协调生产安全事故处置所需电力应急保障。</w:t>
      </w:r>
    </w:p>
    <w:p w14:paraId="38CBE51C">
      <w:pPr>
        <w:ind w:firstLine="634"/>
      </w:pPr>
      <w:r>
        <w:rPr>
          <w:rFonts w:hint="eastAsia"/>
          <w:b/>
        </w:rPr>
        <w:t>各乡镇：</w:t>
      </w:r>
      <w:r>
        <w:rPr>
          <w:rFonts w:hint="eastAsia"/>
        </w:rPr>
        <w:t>成立相应的突发生产安全事故应急指挥组织，负责启动本级应急预案，负责始发地或周边危险环境居民采取安全防范措施，以及紧急情况下撤离、疏散。</w:t>
      </w:r>
    </w:p>
    <w:p w14:paraId="18DCBF72">
      <w:pPr>
        <w:ind w:firstLine="632"/>
      </w:pPr>
      <w:r>
        <w:rPr>
          <w:rFonts w:hint="eastAsia"/>
        </w:rPr>
        <w:t>事发地乡级人民政府按照有关规定及时向县应急指挥部办公室及市直有关主管部门报告事故灾难情况，并在第一时间采取应急处置措施，开展应急救援工作，为县应急指挥部组织应急救援提供保障。</w:t>
      </w:r>
    </w:p>
    <w:p w14:paraId="6070A7BB">
      <w:pPr>
        <w:pStyle w:val="3"/>
        <w:ind w:firstLine="634"/>
      </w:pPr>
      <w:bookmarkStart w:id="934" w:name="_Toc13097"/>
      <w:r>
        <w:rPr>
          <w:rFonts w:hint="eastAsia"/>
        </w:rPr>
        <w:t>县以下层面组织指挥机制</w:t>
      </w:r>
      <w:bookmarkEnd w:id="934"/>
    </w:p>
    <w:p w14:paraId="52F3AB04">
      <w:pPr>
        <w:pStyle w:val="4"/>
        <w:numPr>
          <w:ilvl w:val="2"/>
          <w:numId w:val="150"/>
        </w:numPr>
        <w:tabs>
          <w:tab w:val="left" w:pos="0"/>
        </w:tabs>
      </w:pPr>
      <w:r>
        <w:rPr>
          <w:rFonts w:hint="eastAsia"/>
        </w:rPr>
        <w:t>乡级领导机构</w:t>
      </w:r>
    </w:p>
    <w:p w14:paraId="04AAF43B">
      <w:pPr>
        <w:ind w:firstLine="632"/>
      </w:pPr>
      <w:r>
        <w:rPr>
          <w:rFonts w:hint="eastAsia"/>
        </w:rPr>
        <w:t>乡级人民政府在本级党委统一领导下，是本行政区域生产安全事故应急工作的行政领导机关，负责健全完善应急管理领导体制和安全生产应急指挥机制，做好本行政区域生产安全事故应急工作，同时协助上级人民政府有关部门依法履行生产安全事故应急工作职责。</w:t>
      </w:r>
    </w:p>
    <w:p w14:paraId="70495B0A">
      <w:pPr>
        <w:pStyle w:val="4"/>
        <w:numPr>
          <w:ilvl w:val="2"/>
          <w:numId w:val="150"/>
        </w:numPr>
        <w:tabs>
          <w:tab w:val="left" w:pos="0"/>
        </w:tabs>
      </w:pPr>
      <w:r>
        <w:rPr>
          <w:rFonts w:hint="eastAsia"/>
        </w:rPr>
        <w:t>基层组织</w:t>
      </w:r>
    </w:p>
    <w:p w14:paraId="197FB5D9">
      <w:pPr>
        <w:ind w:firstLine="632"/>
      </w:pPr>
      <w:r>
        <w:rPr>
          <w:rFonts w:hint="eastAsia"/>
        </w:rPr>
        <w:t>社区居民委员会协助做好本社区生产安全事故应急管理相关工作。</w:t>
      </w:r>
    </w:p>
    <w:p w14:paraId="3550BDD0">
      <w:pPr>
        <w:pStyle w:val="4"/>
        <w:numPr>
          <w:ilvl w:val="2"/>
          <w:numId w:val="150"/>
        </w:numPr>
        <w:tabs>
          <w:tab w:val="left" w:pos="0"/>
        </w:tabs>
      </w:pPr>
      <w:r>
        <w:rPr>
          <w:rFonts w:hint="eastAsia"/>
        </w:rPr>
        <w:t>生产经营单位</w:t>
      </w:r>
    </w:p>
    <w:p w14:paraId="2BE48C40">
      <w:pPr>
        <w:ind w:firstLine="632"/>
      </w:pPr>
      <w:r>
        <w:rPr>
          <w:rFonts w:hint="eastAsia"/>
        </w:rPr>
        <w:t>生产经营单位应贯彻落实国家有关应急工作要求，完善安全生产应急预案体系，建立健全安全生产应急组织机构，加强应急准备各项工作，依法落实生产安全事故应急职责。</w:t>
      </w:r>
    </w:p>
    <w:p w14:paraId="7C0EE20C">
      <w:pPr>
        <w:pStyle w:val="3"/>
        <w:ind w:firstLine="634"/>
      </w:pPr>
      <w:bookmarkStart w:id="935" w:name="_Toc29052"/>
      <w:r>
        <w:rPr>
          <w:rFonts w:hint="eastAsia"/>
        </w:rPr>
        <w:t>现场应急救援指挥部</w:t>
      </w:r>
      <w:bookmarkEnd w:id="935"/>
    </w:p>
    <w:p w14:paraId="124B2B45">
      <w:pPr>
        <w:ind w:firstLine="632"/>
      </w:pPr>
      <w:r>
        <w:rPr>
          <w:rFonts w:hint="eastAsia"/>
        </w:rPr>
        <w:t>初判为一般生产安全事故时，县级以上人民政府根据事故应对处置需要，设立由本级人民政府及其有关部门负责同志、应急救援专家、应急救援队伍负责人、事故单位负责人等人员组成的应急救援现场指挥部，并指定现场指挥部总指挥，总指挥由代表本级政府现场处置事故的最高行政负责同志担任。现场指挥部实行总指挥负责制，按照本级人民政府的授权组织制定并实施生产安全事故现场应急救援方案，协调、指挥有关单位和个人参加现场应急救援。参加生产安全事故现场应急救援的单位和个人应当服从现场指挥部的统一指挥。</w:t>
      </w:r>
    </w:p>
    <w:p w14:paraId="26169485">
      <w:pPr>
        <w:pStyle w:val="3"/>
        <w:ind w:firstLine="634"/>
      </w:pPr>
      <w:bookmarkStart w:id="936" w:name="_Toc17742"/>
      <w:r>
        <w:rPr>
          <w:rFonts w:hint="eastAsia"/>
        </w:rPr>
        <w:t>专家组</w:t>
      </w:r>
      <w:bookmarkEnd w:id="936"/>
    </w:p>
    <w:p w14:paraId="508231F1">
      <w:pPr>
        <w:ind w:firstLine="632"/>
      </w:pPr>
      <w:r>
        <w:rPr>
          <w:rFonts w:hint="eastAsia"/>
        </w:rPr>
        <w:t>县应急指挥部依托市应急专家库组建专家组，专家组由相关领域技术和管理专家组成。主要职责是：</w:t>
      </w:r>
    </w:p>
    <w:p w14:paraId="18DA609A">
      <w:pPr>
        <w:ind w:firstLine="632"/>
      </w:pPr>
      <w:r>
        <w:rPr>
          <w:rFonts w:hint="eastAsia"/>
        </w:rPr>
        <w:t>（1）对安全生产应急管理工作提供技术咨询；</w:t>
      </w:r>
    </w:p>
    <w:p w14:paraId="38EE32DC">
      <w:pPr>
        <w:ind w:firstLine="632"/>
      </w:pPr>
      <w:r>
        <w:rPr>
          <w:rFonts w:hint="eastAsia"/>
        </w:rPr>
        <w:t>（2）对生产安全事故处置技术措施提出建议；</w:t>
      </w:r>
    </w:p>
    <w:p w14:paraId="22B963A5">
      <w:pPr>
        <w:ind w:firstLine="632"/>
      </w:pPr>
      <w:r>
        <w:rPr>
          <w:rFonts w:hint="eastAsia"/>
        </w:rPr>
        <w:t>（3）参与审查事故应急处置方案；</w:t>
      </w:r>
    </w:p>
    <w:p w14:paraId="38826C46">
      <w:pPr>
        <w:ind w:firstLine="632"/>
      </w:pPr>
      <w:r>
        <w:rPr>
          <w:rFonts w:hint="eastAsia"/>
        </w:rPr>
        <w:t>（4）对事故处置工作进行技术指导。</w:t>
      </w:r>
    </w:p>
    <w:p w14:paraId="1B3D064E">
      <w:pPr>
        <w:pStyle w:val="3"/>
        <w:ind w:firstLine="634"/>
      </w:pPr>
      <w:bookmarkStart w:id="937" w:name="_Toc6438"/>
      <w:r>
        <w:rPr>
          <w:rFonts w:hint="eastAsia"/>
        </w:rPr>
        <w:t>应急救援队伍</w:t>
      </w:r>
      <w:bookmarkEnd w:id="937"/>
    </w:p>
    <w:p w14:paraId="5748D4F3">
      <w:pPr>
        <w:ind w:firstLine="632"/>
      </w:pPr>
      <w:r>
        <w:rPr>
          <w:rFonts w:hint="eastAsia"/>
        </w:rPr>
        <w:t>县生产安全事故应急救援队伍主要包括综合性应急救援队伍、企业应急救援队伍、社会应急救援队伍。应急救援队伍应当配备必要的应急救援装备和物资，并定期组织训练。综合性应急救援队伍依托县消防救援大队、县森林消防大队，是生产安全事故应急救援的主力军。企业应急救援队伍由企业根据企业特点自行组建，社会应急救援队伍由具备必要的专业知识、技能和资质的人员组成。</w:t>
      </w:r>
    </w:p>
    <w:p w14:paraId="386F3671">
      <w:pPr>
        <w:pStyle w:val="4"/>
        <w:numPr>
          <w:ilvl w:val="2"/>
          <w:numId w:val="150"/>
        </w:numPr>
        <w:tabs>
          <w:tab w:val="left" w:pos="0"/>
        </w:tabs>
      </w:pPr>
      <w:r>
        <w:rPr>
          <w:rFonts w:hint="eastAsia"/>
        </w:rPr>
        <w:t>应急救援队伍职责</w:t>
      </w:r>
    </w:p>
    <w:p w14:paraId="5ED850E8">
      <w:pPr>
        <w:ind w:firstLine="632"/>
      </w:pPr>
      <w:r>
        <w:rPr>
          <w:rFonts w:hint="eastAsia"/>
        </w:rPr>
        <w:t>（1）综合性应急救援队伍</w:t>
      </w:r>
    </w:p>
    <w:p w14:paraId="51823A34">
      <w:pPr>
        <w:ind w:firstLine="632"/>
      </w:pPr>
      <w:r>
        <w:rPr>
          <w:rFonts w:hint="eastAsia"/>
        </w:rPr>
        <w:t xml:space="preserve">负责扑救事故现场火灾和组织人员搜救；根据企业生产安全事故处置需要，负责前沿指挥部指挥工作。 </w:t>
      </w:r>
    </w:p>
    <w:p w14:paraId="5662AB95">
      <w:pPr>
        <w:ind w:firstLine="632"/>
      </w:pPr>
      <w:r>
        <w:rPr>
          <w:rFonts w:hint="eastAsia"/>
        </w:rPr>
        <w:t>（2）企业应急救援队伍</w:t>
      </w:r>
    </w:p>
    <w:p w14:paraId="7152246F">
      <w:pPr>
        <w:ind w:firstLine="632"/>
      </w:pPr>
      <w:r>
        <w:rPr>
          <w:rFonts w:hint="eastAsia"/>
        </w:rPr>
        <w:t xml:space="preserve">负责本单位事故的先期处置和应急救援工作，配合综合性应急救援队伍开展抢险救援；定期进行预防性检查，消除事故隐患，并建立预防检查档案；按照编制的事故应急预案，定期组织演练。 </w:t>
      </w:r>
    </w:p>
    <w:p w14:paraId="5D679B43">
      <w:pPr>
        <w:ind w:firstLine="632"/>
      </w:pPr>
      <w:r>
        <w:rPr>
          <w:rFonts w:hint="eastAsia"/>
        </w:rPr>
        <w:t>（3）社会应急救援队伍</w:t>
      </w:r>
    </w:p>
    <w:p w14:paraId="11F95740">
      <w:pPr>
        <w:ind w:firstLine="632"/>
      </w:pPr>
      <w:r>
        <w:rPr>
          <w:rFonts w:hint="eastAsia"/>
        </w:rPr>
        <w:t>参与防灾避险、疏散安置、急救技能等应急知识的宣传、教育和普及工作，协助开展生产安全事故的应急救援工作。</w:t>
      </w:r>
    </w:p>
    <w:p w14:paraId="636175BC">
      <w:pPr>
        <w:pStyle w:val="3"/>
        <w:ind w:firstLine="634"/>
      </w:pPr>
      <w:bookmarkStart w:id="938" w:name="_Toc31907"/>
      <w:r>
        <w:rPr>
          <w:rFonts w:hint="eastAsia"/>
        </w:rPr>
        <w:t>组织体系运行机制</w:t>
      </w:r>
      <w:bookmarkEnd w:id="938"/>
    </w:p>
    <w:p w14:paraId="1DEFF03A">
      <w:pPr>
        <w:ind w:firstLine="632"/>
      </w:pPr>
      <w:r>
        <w:rPr>
          <w:rFonts w:hint="eastAsia"/>
        </w:rPr>
        <w:t>处置生产安全事故，坚持属地监管的原则，上下联动，快速反应。各乡镇和有关部门建立与本预案相衔接的各行业安全事故应急预案，一旦发生生产安全事故，按照预案程序迅速启动同级响应，接受县应急指挥部及上级机关的领导，实现应急联动。</w:t>
      </w:r>
    </w:p>
    <w:p w14:paraId="66BAB6F3">
      <w:pPr>
        <w:ind w:firstLine="632"/>
      </w:pPr>
      <w:r>
        <w:rPr>
          <w:rFonts w:hint="eastAsia"/>
        </w:rPr>
        <w:t>在应急救援过程中需要与市有关单位以及军队和武警配合的，由县应急指挥部向双鸭山市应急指挥部提出联动请求。</w:t>
      </w:r>
    </w:p>
    <w:p w14:paraId="29258D2F">
      <w:pPr>
        <w:pStyle w:val="4"/>
        <w:numPr>
          <w:ilvl w:val="2"/>
          <w:numId w:val="150"/>
        </w:numPr>
        <w:tabs>
          <w:tab w:val="left" w:pos="0"/>
        </w:tabs>
      </w:pPr>
      <w:r>
        <w:rPr>
          <w:rFonts w:hint="eastAsia"/>
        </w:rPr>
        <w:t>县应急指挥部内部</w:t>
      </w:r>
    </w:p>
    <w:p w14:paraId="7191A447">
      <w:pPr>
        <w:ind w:firstLine="632"/>
      </w:pPr>
      <w:r>
        <w:rPr>
          <w:rFonts w:hint="eastAsia"/>
        </w:rPr>
        <w:t>对本预案中涉及的生产安全事故，县应急指挥部根据具体情况启动本预案，确保事故得到有效控制，尽量减少损失，保证应急救援处置顺利开展。需要相关部门和专业救援机构支援时，应请求县应急指挥部启动本预案。主要步骤包括：</w:t>
      </w:r>
    </w:p>
    <w:p w14:paraId="45D878BA">
      <w:pPr>
        <w:ind w:firstLine="632"/>
      </w:pPr>
      <w:r>
        <w:rPr>
          <w:rFonts w:hint="eastAsia"/>
        </w:rPr>
        <w:t>（1）事故的发生或预警。县应急管理局对县内发生的生产安全事故或可能出现的紧急情况，根据情况及时上报市应急管理局。</w:t>
      </w:r>
    </w:p>
    <w:p w14:paraId="5BE262D2">
      <w:pPr>
        <w:ind w:firstLine="632"/>
      </w:pPr>
      <w:r>
        <w:rPr>
          <w:rFonts w:hint="eastAsia"/>
        </w:rPr>
        <w:t>（2）信息核实汇总。县应急管理局接到各地上报的生产安全事故信息后，要立即核实，进行分析，并迅速呈报县应急指挥部。</w:t>
      </w:r>
    </w:p>
    <w:p w14:paraId="1732F23D">
      <w:pPr>
        <w:ind w:firstLine="632"/>
      </w:pPr>
      <w:r>
        <w:rPr>
          <w:rFonts w:hint="eastAsia"/>
        </w:rPr>
        <w:t>（3）决定启动预案。根据预案响应级别，县应急指挥部启动本预案。</w:t>
      </w:r>
    </w:p>
    <w:p w14:paraId="2C56466A">
      <w:pPr>
        <w:ind w:firstLine="632"/>
      </w:pPr>
      <w:r>
        <w:rPr>
          <w:rFonts w:hint="eastAsia"/>
        </w:rPr>
        <w:t>（4）应急措施。县应急指挥部要积极做好落实工作，指导相关部门做好生产安全事故的处置工作，协调相关部门牵头做好安全稳定、环境监测和医疗救护等工作。</w:t>
      </w:r>
    </w:p>
    <w:p w14:paraId="4268D150">
      <w:pPr>
        <w:pStyle w:val="4"/>
        <w:numPr>
          <w:ilvl w:val="2"/>
          <w:numId w:val="150"/>
        </w:numPr>
        <w:tabs>
          <w:tab w:val="left" w:pos="0"/>
        </w:tabs>
      </w:pPr>
      <w:r>
        <w:rPr>
          <w:rFonts w:hint="eastAsia"/>
        </w:rPr>
        <w:t>各级单位应急指挥机构</w:t>
      </w:r>
    </w:p>
    <w:p w14:paraId="4F9BFFBC">
      <w:pPr>
        <w:ind w:firstLine="632"/>
      </w:pPr>
      <w:r>
        <w:rPr>
          <w:rFonts w:hint="eastAsia"/>
        </w:rPr>
        <w:t>各乡镇或从业单位要参照本预案，制定相应的应急预案，设立应急组织机构，领导和指挥本地或本企业生产安全事故的应对工作。</w:t>
      </w:r>
    </w:p>
    <w:p w14:paraId="3B4B5EF6">
      <w:pPr>
        <w:ind w:firstLine="632"/>
      </w:pPr>
      <w:r>
        <w:rPr>
          <w:rFonts w:hint="eastAsia"/>
        </w:rPr>
        <w:t>各乡镇或从业单位要按照县应急指挥部部署和预案程序，启动应急预案，迅速调集精干力量，采取果断措施，尽快控制局面，减少灾害。</w:t>
      </w:r>
    </w:p>
    <w:p w14:paraId="49E0FC83">
      <w:pPr>
        <w:pStyle w:val="2"/>
        <w:numPr>
          <w:ilvl w:val="0"/>
          <w:numId w:val="150"/>
        </w:numPr>
        <w:tabs>
          <w:tab w:val="left" w:pos="0"/>
        </w:tabs>
      </w:pPr>
      <w:bookmarkStart w:id="939" w:name="_Toc3663"/>
      <w:r>
        <w:rPr>
          <w:rFonts w:hint="eastAsia"/>
        </w:rPr>
        <w:t>预防预警机制</w:t>
      </w:r>
      <w:bookmarkEnd w:id="939"/>
    </w:p>
    <w:p w14:paraId="2F7B715D">
      <w:pPr>
        <w:pStyle w:val="3"/>
        <w:ind w:firstLine="634"/>
      </w:pPr>
      <w:bookmarkStart w:id="940" w:name="_Toc22866"/>
      <w:r>
        <w:rPr>
          <w:rFonts w:hint="eastAsia"/>
        </w:rPr>
        <w:t>风险防控</w:t>
      </w:r>
      <w:bookmarkEnd w:id="940"/>
    </w:p>
    <w:p w14:paraId="0BFA63FA">
      <w:pPr>
        <w:ind w:firstLine="632"/>
      </w:pPr>
      <w:r>
        <w:rPr>
          <w:rFonts w:hint="eastAsia"/>
        </w:rPr>
        <w:t>（1）生产经营单位应当针对本单位可能发生的生产安全事故的特点和危害，进行风险辨识和评估。加强重大危险源登记建档和监测监控工作，强化对存在重大安全风险的生产经营系统、装置和岗位的重点管控。</w:t>
      </w:r>
    </w:p>
    <w:p w14:paraId="7C2626AF">
      <w:pPr>
        <w:ind w:firstLine="632"/>
      </w:pPr>
      <w:r>
        <w:rPr>
          <w:rFonts w:hint="eastAsia"/>
        </w:rPr>
        <w:t>（2）县人民政府及负有安全生产监督管理职责的部门要持续建立健全安全生产隐患排查和风险防控双重预防机制，建立健全重大危险源信息管理体系，落实监管责任，定期对重大风险进行分析、评估，督促生产经营单位落实安全生产主体责任，采取安全防范措施，加强应急准备，并按照有关规定向社会公布。要建立健全信息共享和风险会商机制，及时掌握安全风险动态，针对生产安全事故易发的关键领域、关键时段，发布安全生产提示、警示信息。</w:t>
      </w:r>
    </w:p>
    <w:p w14:paraId="520B56F6">
      <w:pPr>
        <w:ind w:firstLine="632"/>
      </w:pPr>
      <w:r>
        <w:rPr>
          <w:rFonts w:hint="eastAsia"/>
        </w:rPr>
        <w:t>（3）对可能引发生产安全事故的险情，或当其他灾害、灾难可能引发生产安全事故时，相关单位应及时通报当地政府及负有安全生产监督管理职责的部门。</w:t>
      </w:r>
    </w:p>
    <w:p w14:paraId="63B4A153">
      <w:pPr>
        <w:ind w:firstLine="632"/>
      </w:pPr>
      <w:r>
        <w:rPr>
          <w:rFonts w:hint="eastAsia"/>
        </w:rPr>
        <w:t>（4）自然灾害、公共卫生和社会安全等方面的突发事件可能引发生产安全事故的信息，各级各类应急指挥机构应及时通报同级生产安全事故应急指挥机构。</w:t>
      </w:r>
    </w:p>
    <w:p w14:paraId="317101AA">
      <w:pPr>
        <w:pStyle w:val="3"/>
        <w:ind w:firstLine="634"/>
      </w:pPr>
      <w:bookmarkStart w:id="941" w:name="_Toc6879"/>
      <w:r>
        <w:rPr>
          <w:rFonts w:hint="eastAsia"/>
        </w:rPr>
        <w:t>安全生产预警</w:t>
      </w:r>
      <w:bookmarkEnd w:id="941"/>
    </w:p>
    <w:p w14:paraId="48E969BB">
      <w:pPr>
        <w:ind w:firstLine="632"/>
      </w:pPr>
      <w:r>
        <w:rPr>
          <w:rFonts w:hint="eastAsia"/>
        </w:rPr>
        <w:t>（1）生产经营单位发现生产设施及环境异常可能导致生产安全事故时，应当发布本单位安全生产预警，并及时向事发地负有安全生产监督管理职责的部门报告。</w:t>
      </w:r>
    </w:p>
    <w:p w14:paraId="3C6992DA">
      <w:pPr>
        <w:ind w:firstLine="632"/>
      </w:pPr>
      <w:r>
        <w:rPr>
          <w:rFonts w:hint="eastAsia"/>
        </w:rPr>
        <w:t>（2）县级负有安全生产监督管理职责的部门应落实安全生产监测预警工作，当研判可能发生生产安全事故时，应及时向涉险单位发布预警信息，报告县人民政府并通报县应急管理部门；当可能影响临近县级区域时，应及时通报相邻区域县级有关部门；当可能发生的事故超过县政府处置能力时，县级负有安全生产监督管理职责的部门应及时向县人民政府及上级有关部门报告。接到报告的人民政府及有关部门应当及时研判、处置。</w:t>
      </w:r>
    </w:p>
    <w:p w14:paraId="467A407D">
      <w:pPr>
        <w:pStyle w:val="4"/>
        <w:numPr>
          <w:ilvl w:val="2"/>
          <w:numId w:val="150"/>
        </w:numPr>
        <w:tabs>
          <w:tab w:val="left" w:pos="0"/>
        </w:tabs>
      </w:pPr>
      <w:r>
        <w:rPr>
          <w:rFonts w:hint="eastAsia"/>
        </w:rPr>
        <w:t>预警级别</w:t>
      </w:r>
    </w:p>
    <w:p w14:paraId="52212F39">
      <w:pPr>
        <w:ind w:firstLine="632"/>
      </w:pPr>
      <w:r>
        <w:rPr>
          <w:rFonts w:hint="eastAsia"/>
        </w:rPr>
        <w:t>按照生产安全事故发生的紧急程度、发展态势和可能造成的危害程度，对可以预警的生产安全事故的预警级别，分为Ⅰ级、Ⅱ级、Ⅲ级和Ⅳ级，分别用红色、橙色、黄色和蓝色标示，一级为最高级别。根据事态发展，发布单位可适时调整预警级别并重新报告、通报和发布有关预警信息。</w:t>
      </w:r>
    </w:p>
    <w:p w14:paraId="232CE83B">
      <w:pPr>
        <w:ind w:firstLine="632"/>
      </w:pPr>
      <w:r>
        <w:rPr>
          <w:rFonts w:hint="eastAsia"/>
        </w:rPr>
        <w:t>Ⅰ级（特别重大，红色）预警：表示预计将要发生特别重大突发生产安全事故，事故会随时发生，事态正在不断蔓延。由国家发布或者由省应急指挥中心请示国家后，由省长签发。</w:t>
      </w:r>
    </w:p>
    <w:p w14:paraId="21415E98">
      <w:pPr>
        <w:ind w:firstLine="632"/>
      </w:pPr>
      <w:r>
        <w:rPr>
          <w:rFonts w:hint="eastAsia"/>
        </w:rPr>
        <w:t>Ⅱ级（重大、橙色）预警：表示预计将要发生重大突发生产安全事故，事故即将发生，事态正在逐步扩大由担任省应急指挥中心总指挥的分管副省长请示省长后签发。</w:t>
      </w:r>
    </w:p>
    <w:p w14:paraId="4C7FE5FC">
      <w:pPr>
        <w:ind w:firstLine="632"/>
      </w:pPr>
      <w:r>
        <w:rPr>
          <w:rFonts w:hint="eastAsia"/>
        </w:rPr>
        <w:t>Ⅲ级（较大、黄色）预警：表示预计将要发生较大突发生产安全事故，事故已经临近，事态有扩大的趋势。在市应急指挥中心请示省应急指挥中心后由市长签发。</w:t>
      </w:r>
    </w:p>
    <w:p w14:paraId="1191A1AF">
      <w:pPr>
        <w:ind w:firstLine="632"/>
      </w:pPr>
      <w:r>
        <w:rPr>
          <w:rFonts w:hint="eastAsia"/>
        </w:rPr>
        <w:t>Ⅳ级（一般、蓝色）预警：表示预计将要发生一般突发生产安全事故，事故可能会扩大。由县应急指挥部请示县政府后发布。</w:t>
      </w:r>
    </w:p>
    <w:p w14:paraId="446CA6D1">
      <w:pPr>
        <w:ind w:firstLine="632"/>
      </w:pPr>
      <w:r>
        <w:rPr>
          <w:rFonts w:hint="eastAsia"/>
        </w:rPr>
        <w:t>预警的解除也按照该级别事故的预警程序进行确认和发布。</w:t>
      </w:r>
    </w:p>
    <w:p w14:paraId="0B25D99F">
      <w:pPr>
        <w:pStyle w:val="4"/>
        <w:numPr>
          <w:ilvl w:val="2"/>
          <w:numId w:val="150"/>
        </w:numPr>
        <w:tabs>
          <w:tab w:val="left" w:pos="0"/>
        </w:tabs>
      </w:pPr>
      <w:r>
        <w:rPr>
          <w:rFonts w:hint="eastAsia"/>
        </w:rPr>
        <w:t>预警发布、调整和解除</w:t>
      </w:r>
    </w:p>
    <w:p w14:paraId="0DEB220E">
      <w:pPr>
        <w:ind w:firstLine="632"/>
      </w:pPr>
      <w:r>
        <w:rPr>
          <w:rFonts w:hint="eastAsia"/>
        </w:rPr>
        <w:t>预警信息要采取有效措施向可能受影响人群发布，通过广播、电视、报刊、通信、信息网络、手机、警报器、宣传车、大喇叭、新媒体或组织人员逐户通知等方式进行，对老、幼、病、残、孕等特殊人群以及学校等特殊场所和警报盲区应当采取有针对性的公告方式。</w:t>
      </w:r>
    </w:p>
    <w:p w14:paraId="413BA1B8">
      <w:pPr>
        <w:ind w:firstLine="632"/>
      </w:pPr>
      <w:r>
        <w:rPr>
          <w:rFonts w:hint="eastAsia"/>
        </w:rPr>
        <w:t>预警内容包括：预警原因（事故或事故风险、自然灾害）、预警级别、预警区域或场所、预警时间、影响及应对措施、发布机关等。</w:t>
      </w:r>
    </w:p>
    <w:p w14:paraId="620EF247">
      <w:pPr>
        <w:ind w:firstLine="632"/>
      </w:pPr>
      <w:r>
        <w:rPr>
          <w:rFonts w:hint="eastAsia"/>
        </w:rPr>
        <w:t>预警信息原则上由县人民政府负有安全生产监督管理职责的主管部门发布；跨行业领域的预警由县应急部门发布；超出县级区域的，Ⅲ、Ⅳ级预警由相邻县级人民政府应急部门联合或分别发布，Ⅰ、Ⅱ级预警上报市应急局组织发布。</w:t>
      </w:r>
    </w:p>
    <w:p w14:paraId="39FB3C65">
      <w:pPr>
        <w:pStyle w:val="4"/>
        <w:numPr>
          <w:ilvl w:val="2"/>
          <w:numId w:val="150"/>
        </w:numPr>
        <w:tabs>
          <w:tab w:val="left" w:pos="0"/>
        </w:tabs>
      </w:pPr>
      <w:r>
        <w:rPr>
          <w:rFonts w:hint="eastAsia"/>
        </w:rPr>
        <w:t>预警行动</w:t>
      </w:r>
    </w:p>
    <w:p w14:paraId="58E402FB">
      <w:pPr>
        <w:ind w:firstLine="632"/>
      </w:pPr>
      <w:r>
        <w:rPr>
          <w:rFonts w:hint="eastAsia"/>
        </w:rPr>
        <w:t>预警信息发布后，预警区域内各有关单位要采取有效措施预防事故发生。生产经营单位应当加强重大危险源、关键设施检查监测，采取有效措施做好防范应对工作，必要时组织停产撤人；并组织应急队伍和人员进入待命状态，做好应急准备。县人民政府及其负有安全生产监督管理职责的部门根据预警级别和实际情况以及分级负责的原则，采取下列（不限于）措施：</w:t>
      </w:r>
    </w:p>
    <w:p w14:paraId="557996C6">
      <w:pPr>
        <w:ind w:firstLine="632"/>
      </w:pPr>
      <w:r>
        <w:rPr>
          <w:rFonts w:hint="eastAsia"/>
        </w:rPr>
        <w:t>（1）组织收集、分析事故险情信息，研判影响范围和危害程度，制订预警行动方案，建立并保持信息渠道畅通。</w:t>
      </w:r>
    </w:p>
    <w:p w14:paraId="4324F66F">
      <w:pPr>
        <w:ind w:firstLine="632"/>
      </w:pPr>
      <w:r>
        <w:rPr>
          <w:rFonts w:hint="eastAsia"/>
        </w:rPr>
        <w:t>（2）组织协调涉险区域有关单位采取有效措施，防止发生事故或降低事故危害。必要时采取区域警戒和管制，疏散转移和妥善安置可能受到危害的人员；限制使用或关闭易受事故危害的场所。</w:t>
      </w:r>
    </w:p>
    <w:p w14:paraId="0049EFBD">
      <w:pPr>
        <w:ind w:firstLine="632"/>
      </w:pPr>
      <w:r>
        <w:rPr>
          <w:rFonts w:hint="eastAsia"/>
        </w:rPr>
        <w:t>（3）通知应急队伍、负有特定职责的人员进入待命状态；通知相关单位做好应急资源准备。</w:t>
      </w:r>
    </w:p>
    <w:p w14:paraId="0B365530">
      <w:pPr>
        <w:ind w:firstLine="632"/>
      </w:pPr>
      <w:r>
        <w:rPr>
          <w:rFonts w:hint="eastAsia"/>
        </w:rPr>
        <w:t>（4）及时发布事态信息，公布应急措施，回应社会关切，维护社会正常秩序。</w:t>
      </w:r>
    </w:p>
    <w:p w14:paraId="797517F8">
      <w:pPr>
        <w:pStyle w:val="4"/>
        <w:numPr>
          <w:ilvl w:val="2"/>
          <w:numId w:val="150"/>
        </w:numPr>
        <w:tabs>
          <w:tab w:val="left" w:pos="0"/>
        </w:tabs>
      </w:pPr>
      <w:r>
        <w:rPr>
          <w:rFonts w:hint="eastAsia"/>
        </w:rPr>
        <w:t>预警调整和解除</w:t>
      </w:r>
    </w:p>
    <w:p w14:paraId="5FEE850B">
      <w:pPr>
        <w:ind w:firstLine="632"/>
      </w:pPr>
      <w:r>
        <w:rPr>
          <w:rFonts w:hint="eastAsia"/>
        </w:rPr>
        <w:t>县应急指挥部、县应急办接到可能导致生产经营单位Ⅲ级（较大）以上生产安全事故的信息后，应迅速报告县政府，由县政府报请市指挥部派出专家对事发地的危害进行辨识评估，对可能发生的事故风险及时作出判断，确定事故影响的范围及可能影响的人数，初步确定响应级别，同时组织对应部门人员配合上级做好应急准备和预防措施，并密切关注事态进展。</w:t>
      </w:r>
    </w:p>
    <w:p w14:paraId="64051AF0">
      <w:pPr>
        <w:ind w:firstLine="632"/>
      </w:pPr>
      <w:r>
        <w:rPr>
          <w:rFonts w:hint="eastAsia"/>
        </w:rPr>
        <w:t>如果事故达到Ⅳ级（一般）预警级别，要迅速通知事发地乡镇政府，做好应急准备和预防工作，同时报告县政府，并抄送相关部门，做好应急准备工作和预防工作。</w:t>
      </w:r>
    </w:p>
    <w:p w14:paraId="2D1F03E8">
      <w:pPr>
        <w:ind w:firstLine="632"/>
      </w:pPr>
      <w:r>
        <w:rPr>
          <w:rFonts w:hint="eastAsia"/>
        </w:rPr>
        <w:t>事发地乡镇政府应当利用广播、电视、报刊、通信、信息网络、警报器、宣传车、大喇叭或组织人员逐户通知等方式发布预警信息，对老、幼、病、残等特殊人群以及学校、医院等特殊场所和通信、广播、电视盲区及偏远地区的人群，应当采取有针对性的公告方式播发预警信息。承担应急处置职责的相关单位接收到预警信息后，应当立即向发布预警信息的单位反馈接收结果。</w:t>
      </w:r>
    </w:p>
    <w:p w14:paraId="1BC70778">
      <w:pPr>
        <w:ind w:firstLine="632"/>
      </w:pPr>
      <w:r>
        <w:rPr>
          <w:rFonts w:hint="eastAsia"/>
        </w:rPr>
        <w:t>预警信息发布的内容包括：预警区域或场所、事故险情类别、预警级别、预警期起始时间、可能影响范围、灾情概要、有关预防预警措施，以及工作要求和发布机关等。</w:t>
      </w:r>
    </w:p>
    <w:p w14:paraId="0F46682F">
      <w:pPr>
        <w:ind w:firstLine="632"/>
      </w:pPr>
      <w:r>
        <w:rPr>
          <w:rFonts w:hint="eastAsia"/>
        </w:rPr>
        <w:t>预警信息实行动态管理。经过跟踪监测并对监测信息进行分析评估后，认为应当更新预警信息或结束预警状态的，县应急办要及时向县应急指挥部提出建议，由县应急指挥部决定更新或结束，并向社会公布。</w:t>
      </w:r>
    </w:p>
    <w:p w14:paraId="3CAD8003">
      <w:pPr>
        <w:pStyle w:val="3"/>
        <w:ind w:firstLine="634"/>
      </w:pPr>
      <w:bookmarkStart w:id="942" w:name="_Toc18025"/>
      <w:r>
        <w:rPr>
          <w:rFonts w:hint="eastAsia"/>
        </w:rPr>
        <w:t>事故信息报告</w:t>
      </w:r>
      <w:bookmarkEnd w:id="942"/>
    </w:p>
    <w:p w14:paraId="26E50F76">
      <w:pPr>
        <w:pStyle w:val="4"/>
        <w:numPr>
          <w:ilvl w:val="2"/>
          <w:numId w:val="150"/>
        </w:numPr>
        <w:tabs>
          <w:tab w:val="left" w:pos="0"/>
        </w:tabs>
      </w:pPr>
      <w:r>
        <w:rPr>
          <w:rFonts w:hint="eastAsia"/>
        </w:rPr>
        <w:t>事故信息报告程序和时限</w:t>
      </w:r>
    </w:p>
    <w:p w14:paraId="65AE8B3C">
      <w:pPr>
        <w:ind w:firstLine="632"/>
      </w:pPr>
      <w:r>
        <w:rPr>
          <w:rFonts w:hint="eastAsia"/>
        </w:rPr>
        <w:t>生产安全事故信息统一由县应急管理局负责收集，严格落实有关规定，应第一时间报告上级政府。</w:t>
      </w:r>
    </w:p>
    <w:p w14:paraId="56B20FA4">
      <w:pPr>
        <w:ind w:firstLine="632"/>
      </w:pPr>
      <w:r>
        <w:rPr>
          <w:rFonts w:hint="eastAsia"/>
        </w:rPr>
        <w:t>（1）生产安全事故发生后，事故单位（包括事故发生区域的管理单位，下同）现场有关人员应当立即报告本单位负责人。情况紧急时，可直接向县级以上应急部门和负有安全生产监督管理职责的部门报告。远离单位的事故，事故单位现场有关人员还应当立即拨打110、119报警。</w:t>
      </w:r>
    </w:p>
    <w:p w14:paraId="0B4ABC25">
      <w:pPr>
        <w:ind w:firstLine="632"/>
      </w:pPr>
      <w:r>
        <w:rPr>
          <w:rFonts w:hint="eastAsia"/>
        </w:rPr>
        <w:t>（2）事故单位负责人接报后，应于1小时内向县应急管理部门和负有安全生产监督管理职责的部门报告。需要政府提供应急支援的，应当立即报告。</w:t>
      </w:r>
    </w:p>
    <w:p w14:paraId="021057FE">
      <w:pPr>
        <w:ind w:firstLine="632"/>
      </w:pPr>
      <w:r>
        <w:rPr>
          <w:rFonts w:hint="eastAsia"/>
        </w:rPr>
        <w:t>（3）县级负有安全生产监督管理职责的部门接到事故报告后，应当立即采取应急措施，同时依照规定向县政府及应急管理部门、上级主管部门报告事故，并通报可能受影响的地区、部门和单位；按规定启动应急预案，需要上级支援的立即上报请求支援。</w:t>
      </w:r>
    </w:p>
    <w:p w14:paraId="2F701E1C">
      <w:pPr>
        <w:ind w:firstLine="632"/>
      </w:pPr>
      <w:r>
        <w:rPr>
          <w:rFonts w:hint="eastAsia"/>
        </w:rPr>
        <w:t>（4）县人民政府接到事故报告后，应当在10分钟内首先用电话上报双鸭山市人民政府，之后在30分钟内用书面详细报告。</w:t>
      </w:r>
    </w:p>
    <w:p w14:paraId="725FCC2A">
      <w:pPr>
        <w:ind w:firstLine="632"/>
      </w:pPr>
      <w:r>
        <w:rPr>
          <w:rFonts w:hint="eastAsia"/>
        </w:rPr>
        <w:t>（5）事故首报时对报告要素不齐全，或事故衍生出新险情、新问题，以及事故处置工作的进展情况要及时续报，较大以上生产安全事故处置信息至少每日一报。处置结束后要及时终报。</w:t>
      </w:r>
    </w:p>
    <w:p w14:paraId="0A78F679">
      <w:pPr>
        <w:ind w:firstLine="632"/>
      </w:pPr>
      <w:r>
        <w:rPr>
          <w:rFonts w:hint="eastAsia"/>
        </w:rPr>
        <w:t>（6）事故报告原则上进行逐级报告，在事故情况特别紧急或重大时，可越级上报，但在越级上报的同时，应当报告同级人民政府。</w:t>
      </w:r>
    </w:p>
    <w:p w14:paraId="361F5497">
      <w:pPr>
        <w:pStyle w:val="4"/>
        <w:numPr>
          <w:ilvl w:val="2"/>
          <w:numId w:val="150"/>
        </w:numPr>
        <w:tabs>
          <w:tab w:val="left" w:pos="0"/>
        </w:tabs>
      </w:pPr>
      <w:r>
        <w:rPr>
          <w:rFonts w:hint="eastAsia"/>
        </w:rPr>
        <w:t>事故信息报告内容</w:t>
      </w:r>
    </w:p>
    <w:p w14:paraId="54EBDD69">
      <w:pPr>
        <w:ind w:firstLine="632"/>
      </w:pPr>
      <w:r>
        <w:rPr>
          <w:rFonts w:hint="eastAsia"/>
        </w:rPr>
        <w:t>报告事故应当包括下列内容：事故单位概况；事故发生的时间、地点以及事故现场情况；事故的简要经过；事故已经造成或者可能造成的伤亡人数（包括失踪人数）和初步估计的直接经济损失；已经采取的措施；其他应当报告的情况。</w:t>
      </w:r>
    </w:p>
    <w:p w14:paraId="3DFEEE09">
      <w:pPr>
        <w:pStyle w:val="2"/>
        <w:numPr>
          <w:ilvl w:val="0"/>
          <w:numId w:val="150"/>
        </w:numPr>
        <w:tabs>
          <w:tab w:val="left" w:pos="0"/>
        </w:tabs>
      </w:pPr>
      <w:bookmarkStart w:id="943" w:name="_Toc11115"/>
      <w:r>
        <w:rPr>
          <w:rFonts w:hint="eastAsia"/>
        </w:rPr>
        <w:t>应急响应</w:t>
      </w:r>
      <w:bookmarkEnd w:id="943"/>
    </w:p>
    <w:p w14:paraId="6A416078">
      <w:pPr>
        <w:pStyle w:val="3"/>
        <w:ind w:firstLine="634"/>
      </w:pPr>
      <w:bookmarkStart w:id="944" w:name="_Toc23800"/>
      <w:r>
        <w:rPr>
          <w:rFonts w:hint="eastAsia"/>
        </w:rPr>
        <w:t>应急处置</w:t>
      </w:r>
      <w:bookmarkEnd w:id="944"/>
    </w:p>
    <w:p w14:paraId="7D58D5DF">
      <w:pPr>
        <w:pStyle w:val="4"/>
        <w:numPr>
          <w:ilvl w:val="2"/>
          <w:numId w:val="150"/>
        </w:numPr>
        <w:tabs>
          <w:tab w:val="left" w:pos="0"/>
        </w:tabs>
      </w:pPr>
      <w:r>
        <w:rPr>
          <w:rFonts w:hint="eastAsia"/>
        </w:rPr>
        <w:t>事故单位应急处置</w:t>
      </w:r>
    </w:p>
    <w:p w14:paraId="4896A74C">
      <w:pPr>
        <w:ind w:firstLine="632"/>
      </w:pPr>
      <w:r>
        <w:rPr>
          <w:rFonts w:hint="eastAsia"/>
        </w:rPr>
        <w:t>发生生产安全事故后，事故单位应当立即启动应急预案，采取下列（不限于）应急救援措施：</w:t>
      </w:r>
    </w:p>
    <w:p w14:paraId="70267A26">
      <w:pPr>
        <w:ind w:firstLine="632"/>
      </w:pPr>
      <w:r>
        <w:rPr>
          <w:rFonts w:hint="eastAsia"/>
        </w:rPr>
        <w:t>（1）迅速、科学控制危险源，组织抢救遇险人员；</w:t>
      </w:r>
    </w:p>
    <w:p w14:paraId="59E23170">
      <w:pPr>
        <w:ind w:firstLine="632"/>
      </w:pPr>
      <w:r>
        <w:rPr>
          <w:rFonts w:hint="eastAsia"/>
        </w:rPr>
        <w:t>（2）根据事故危害程度，组织现场人员撤离或者采取可能的应急措施后撤离；</w:t>
      </w:r>
    </w:p>
    <w:p w14:paraId="242CEE04">
      <w:pPr>
        <w:ind w:firstLine="632"/>
      </w:pPr>
      <w:r>
        <w:rPr>
          <w:rFonts w:hint="eastAsia"/>
        </w:rPr>
        <w:t>（3）及时通知可能受到事故影响的单位和人员；</w:t>
      </w:r>
    </w:p>
    <w:p w14:paraId="2346818C">
      <w:pPr>
        <w:ind w:firstLine="632"/>
      </w:pPr>
      <w:r>
        <w:rPr>
          <w:rFonts w:hint="eastAsia"/>
        </w:rPr>
        <w:t>（4）采取必要措施，防止事故危害扩大和次生、衍生灾害发生；</w:t>
      </w:r>
    </w:p>
    <w:p w14:paraId="04DA90EA">
      <w:pPr>
        <w:ind w:firstLine="632"/>
      </w:pPr>
      <w:r>
        <w:rPr>
          <w:rFonts w:hint="eastAsia"/>
        </w:rPr>
        <w:t>（5）根据需要请求邻近的应急救援队伍参加救援，并向参加救援的应急救援队伍提供相关技术资料、信息和处置建议；</w:t>
      </w:r>
    </w:p>
    <w:p w14:paraId="52F3EDBA">
      <w:pPr>
        <w:ind w:firstLine="632"/>
      </w:pPr>
      <w:r>
        <w:rPr>
          <w:rFonts w:hint="eastAsia"/>
        </w:rPr>
        <w:t>（6）维护事故现场秩序，保护事故现场和相关证据。</w:t>
      </w:r>
    </w:p>
    <w:p w14:paraId="47C341C6">
      <w:pPr>
        <w:pStyle w:val="4"/>
        <w:numPr>
          <w:ilvl w:val="2"/>
          <w:numId w:val="150"/>
        </w:numPr>
        <w:tabs>
          <w:tab w:val="left" w:pos="0"/>
        </w:tabs>
      </w:pPr>
      <w:r>
        <w:rPr>
          <w:rFonts w:hint="eastAsia"/>
        </w:rPr>
        <w:t>事发地政府先期处置</w:t>
      </w:r>
    </w:p>
    <w:p w14:paraId="13AB3A6C">
      <w:pPr>
        <w:ind w:firstLine="632"/>
      </w:pPr>
      <w:r>
        <w:rPr>
          <w:rFonts w:hint="eastAsia"/>
        </w:rPr>
        <w:t>发生生产安全事故及较大涉险事故后，事发地乡级人民政府主要负责人应立即赶赴现场，组织先期处置，采取下列（不限于）应急救援措施：</w:t>
      </w:r>
    </w:p>
    <w:p w14:paraId="5E708068">
      <w:pPr>
        <w:ind w:firstLine="632"/>
      </w:pPr>
      <w:r>
        <w:rPr>
          <w:rFonts w:hint="eastAsia"/>
        </w:rPr>
        <w:t>（1）启动应急预案；</w:t>
      </w:r>
    </w:p>
    <w:p w14:paraId="35D9D8D0">
      <w:pPr>
        <w:ind w:firstLine="632"/>
      </w:pPr>
      <w:r>
        <w:rPr>
          <w:rFonts w:hint="eastAsia"/>
        </w:rPr>
        <w:t>（2）组织抢救遇险人员，救治受伤人员，研判事故发展趋势以及可能造成的危害；</w:t>
      </w:r>
    </w:p>
    <w:p w14:paraId="6DD2A218">
      <w:pPr>
        <w:ind w:firstLine="632"/>
      </w:pPr>
      <w:r>
        <w:rPr>
          <w:rFonts w:hint="eastAsia"/>
        </w:rPr>
        <w:t>（3）通知可能受到事故影响的单位和人员，隔离事故现场，划定警戒区域，疏散受到威胁的人员，实施交通管制；</w:t>
      </w:r>
    </w:p>
    <w:p w14:paraId="7511AE84">
      <w:pPr>
        <w:ind w:firstLine="632"/>
      </w:pPr>
      <w:r>
        <w:rPr>
          <w:rFonts w:hint="eastAsia"/>
        </w:rPr>
        <w:t>（4）采取必要措施，防止事故危害扩大和次生、衍生灾害发生，避免或者减少事故对环境造成的危害；</w:t>
      </w:r>
    </w:p>
    <w:p w14:paraId="4C846837">
      <w:pPr>
        <w:ind w:firstLine="632"/>
      </w:pPr>
      <w:r>
        <w:rPr>
          <w:rFonts w:hint="eastAsia"/>
        </w:rPr>
        <w:t>（5）依法发布调用和征用应急资源的决定；</w:t>
      </w:r>
    </w:p>
    <w:p w14:paraId="4204CD42">
      <w:pPr>
        <w:ind w:firstLine="632"/>
      </w:pPr>
      <w:r>
        <w:rPr>
          <w:rFonts w:hint="eastAsia"/>
        </w:rPr>
        <w:t>（6）依法向应急救援队伍下达救援命令；</w:t>
      </w:r>
    </w:p>
    <w:p w14:paraId="5D369307">
      <w:pPr>
        <w:ind w:firstLine="632"/>
      </w:pPr>
      <w:r>
        <w:rPr>
          <w:rFonts w:hint="eastAsia"/>
        </w:rPr>
        <w:t>（7）维护事故现场秩序，组织安抚遇险人员和遇险遇难人员亲属；</w:t>
      </w:r>
    </w:p>
    <w:p w14:paraId="2507367A">
      <w:pPr>
        <w:ind w:firstLine="632"/>
      </w:pPr>
      <w:r>
        <w:rPr>
          <w:rFonts w:hint="eastAsia"/>
        </w:rPr>
        <w:t>（8）按照国家有关规定上报事故情况，依法发布有关事故情况和应急救援工作的信息。</w:t>
      </w:r>
    </w:p>
    <w:p w14:paraId="730E4AE7">
      <w:pPr>
        <w:ind w:firstLine="632"/>
      </w:pPr>
      <w:r>
        <w:rPr>
          <w:rFonts w:hint="eastAsia"/>
        </w:rPr>
        <w:t>乡级人民政府不能有效控制生产安全事故的，应当及时向县人民政府报告。县政府应当及时采取措施，统一指挥应急救援。</w:t>
      </w:r>
    </w:p>
    <w:p w14:paraId="20E4F074">
      <w:pPr>
        <w:pStyle w:val="3"/>
        <w:ind w:firstLine="634"/>
      </w:pPr>
      <w:bookmarkStart w:id="945" w:name="_Toc8264"/>
      <w:r>
        <w:rPr>
          <w:rFonts w:hint="eastAsia"/>
        </w:rPr>
        <w:t>应急响应措施</w:t>
      </w:r>
      <w:bookmarkEnd w:id="945"/>
    </w:p>
    <w:p w14:paraId="7411D5D3">
      <w:pPr>
        <w:pStyle w:val="4"/>
        <w:numPr>
          <w:ilvl w:val="2"/>
          <w:numId w:val="150"/>
        </w:numPr>
        <w:tabs>
          <w:tab w:val="left" w:pos="0"/>
        </w:tabs>
      </w:pPr>
      <w:r>
        <w:rPr>
          <w:rFonts w:hint="eastAsia"/>
        </w:rPr>
        <w:t>分层级响应与响应分级</w:t>
      </w:r>
    </w:p>
    <w:p w14:paraId="65146449">
      <w:pPr>
        <w:ind w:firstLine="632"/>
      </w:pPr>
      <w:r>
        <w:rPr>
          <w:rFonts w:hint="eastAsia"/>
        </w:rPr>
        <w:t>生产安全事故应当遵循分级负责、属地为主的原则。</w:t>
      </w:r>
    </w:p>
    <w:p w14:paraId="558A57B0">
      <w:pPr>
        <w:ind w:firstLine="632"/>
      </w:pPr>
      <w:r>
        <w:rPr>
          <w:rFonts w:hint="eastAsia"/>
        </w:rPr>
        <w:t>乡级人民政府负责全力协助配合应对较大以上涉险事故和一般以上生产事故；县级人民政府负责组织应对一般事故、较大涉险事故，全力协助配合应对重大涉险事故和较大以上事故；重大涉险事故和较大以上事故报请市应急指挥部组织应对。当事故超出事发地人民政府的处置能力时，由上一级政府提供支援或组织应对。</w:t>
      </w:r>
    </w:p>
    <w:p w14:paraId="13EBB0BE">
      <w:pPr>
        <w:ind w:firstLine="632"/>
      </w:pPr>
      <w:r>
        <w:rPr>
          <w:rFonts w:hint="eastAsia"/>
        </w:rPr>
        <w:t>事故发生后，各级人民政府及其有关部门、生产经营单位等根据事故初判级别、应急处置能力以及预期响应后果，综合研判本层级响应级别。</w:t>
      </w:r>
    </w:p>
    <w:p w14:paraId="4B57B91D">
      <w:pPr>
        <w:pStyle w:val="4"/>
        <w:numPr>
          <w:ilvl w:val="2"/>
          <w:numId w:val="150"/>
        </w:numPr>
        <w:tabs>
          <w:tab w:val="left" w:pos="0"/>
        </w:tabs>
      </w:pPr>
      <w:r>
        <w:rPr>
          <w:rFonts w:hint="eastAsia"/>
        </w:rPr>
        <w:t>分级响应措施</w:t>
      </w:r>
    </w:p>
    <w:p w14:paraId="46D24A2D">
      <w:pPr>
        <w:ind w:firstLine="632"/>
      </w:pPr>
      <w:r>
        <w:rPr>
          <w:rFonts w:hint="eastAsia"/>
        </w:rPr>
        <w:t>县指挥部接到生产安全事故报告后或请求支援的信息后，根据事故的危害程度、影响范围和可控情况，启动相应级别应急响应。</w:t>
      </w:r>
    </w:p>
    <w:p w14:paraId="27C8C82F">
      <w:pPr>
        <w:ind w:firstLine="634"/>
      </w:pPr>
      <w:r>
        <w:rPr>
          <w:rFonts w:hint="eastAsia"/>
          <w:b/>
          <w:bCs/>
        </w:rPr>
        <w:t>二级响应：</w:t>
      </w:r>
      <w:r>
        <w:rPr>
          <w:rFonts w:hint="eastAsia"/>
        </w:rPr>
        <w:t>对于一般事故和较大涉险事故，由县指挥部决定启动二级响应，县应急管理局和对事故发生相关行业领域负有安全生产监督管理职责的部门进入响应状态。</w:t>
      </w:r>
    </w:p>
    <w:p w14:paraId="0DF84871">
      <w:pPr>
        <w:ind w:firstLine="632"/>
      </w:pPr>
      <w:r>
        <w:rPr>
          <w:rFonts w:hint="eastAsia"/>
        </w:rPr>
        <w:t>启动二级响应后，发生事故的相关行业领域的县政府分管领导，对事故发生相关行业领域负有安全生产监督管理职责的部门主要负责人（或其委托的负责人）赶赴事故现场，组织应急救援。</w:t>
      </w:r>
    </w:p>
    <w:p w14:paraId="73B7D026">
      <w:pPr>
        <w:ind w:firstLine="632"/>
      </w:pPr>
      <w:r>
        <w:rPr>
          <w:rFonts w:hint="eastAsia"/>
        </w:rPr>
        <w:t>县指挥部办公室和对事故发生相关行业领域负有安全生产监督管理职责的部门实行24小时值班，及时处置相关信息和事项。</w:t>
      </w:r>
    </w:p>
    <w:p w14:paraId="5C0A8B9E">
      <w:pPr>
        <w:ind w:firstLine="634"/>
      </w:pPr>
      <w:r>
        <w:rPr>
          <w:rFonts w:hint="eastAsia"/>
          <w:b/>
          <w:bCs/>
        </w:rPr>
        <w:t>一级响应：</w:t>
      </w:r>
      <w:r>
        <w:rPr>
          <w:rFonts w:hint="eastAsia"/>
        </w:rPr>
        <w:t>对于较大以上事故或重大涉险事故，县应急指挥部决定启动一级响应，县应急管理局和对事故发生相关行业领域负有安全生产监督管理职责的部门进入响应状态。</w:t>
      </w:r>
    </w:p>
    <w:p w14:paraId="40857C5A">
      <w:pPr>
        <w:ind w:firstLine="632"/>
      </w:pPr>
      <w:r>
        <w:rPr>
          <w:rFonts w:hint="eastAsia"/>
        </w:rPr>
        <w:t>启动一级响应后，县政府主要领导和发生事故的相关行业领域的县政府分管领导率领县应急管理局和对事故发生相关行业领域负有安全生产监督管理职责的部门主要负责人赶赴事故现场，组织应急救援。</w:t>
      </w:r>
    </w:p>
    <w:p w14:paraId="49C76B51">
      <w:pPr>
        <w:ind w:firstLine="632"/>
      </w:pPr>
      <w:r>
        <w:rPr>
          <w:rFonts w:hint="eastAsia"/>
        </w:rPr>
        <w:t>县指挥部办公室和对事故发生相关行业领域负有安全生产监督管理职责的部门实行24小时值班，县应急管理局和对事故发生相关行业领域负有安全生产监督管理职责的部门有关负责同志在岗带班，及时处置相关信息和事项。</w:t>
      </w:r>
    </w:p>
    <w:p w14:paraId="794AE8E4">
      <w:pPr>
        <w:ind w:firstLine="632"/>
      </w:pPr>
      <w:r>
        <w:rPr>
          <w:rFonts w:hint="eastAsia"/>
        </w:rPr>
        <w:t>启动应急响应后，县指挥部办公室作出如下处置，其中较大以上事故、重大涉险事故和涉及面广、敏感复杂或处置不当后果严重的事故还应根据国家和省、市应急指挥机构的指令进行处置：</w:t>
      </w:r>
    </w:p>
    <w:p w14:paraId="44D909F4">
      <w:pPr>
        <w:ind w:firstLine="632"/>
      </w:pPr>
      <w:r>
        <w:rPr>
          <w:rFonts w:hint="eastAsia"/>
        </w:rPr>
        <w:t>（1）发布启动相应级别应急响应的指令；</w:t>
      </w:r>
    </w:p>
    <w:p w14:paraId="2A2F12F3">
      <w:pPr>
        <w:ind w:firstLine="632"/>
      </w:pPr>
      <w:r>
        <w:rPr>
          <w:rFonts w:hint="eastAsia"/>
        </w:rPr>
        <w:t>（2）对事发地乡级人民政府提出事故应急处置要求，指令县有关部门立即采取相应的应急措施；</w:t>
      </w:r>
    </w:p>
    <w:p w14:paraId="2780CFF9">
      <w:pPr>
        <w:ind w:firstLine="632"/>
      </w:pPr>
      <w:r>
        <w:rPr>
          <w:rFonts w:hint="eastAsia"/>
        </w:rPr>
        <w:t>（3）向县委县政府和市应急管理局报告，必要时及时通报波及或可能波及的其他县区应急部门，或请求市应急局给予支持，及时通报波及或可能波及的其他市应急部门；</w:t>
      </w:r>
    </w:p>
    <w:p w14:paraId="70C9E26A">
      <w:pPr>
        <w:ind w:firstLine="632"/>
      </w:pPr>
      <w:r>
        <w:rPr>
          <w:rFonts w:hint="eastAsia"/>
        </w:rPr>
        <w:t>（4）调集专业处置力量和抢险救援物资救援，必要时协调解放军和武警部队给予支援；</w:t>
      </w:r>
    </w:p>
    <w:p w14:paraId="4BAB5169">
      <w:pPr>
        <w:ind w:firstLine="632"/>
      </w:pPr>
      <w:r>
        <w:rPr>
          <w:rFonts w:hint="eastAsia"/>
        </w:rPr>
        <w:t>（5）启动响应后，派出工作组赶赴事发现场协助指挥救援；</w:t>
      </w:r>
    </w:p>
    <w:p w14:paraId="626DC76E">
      <w:pPr>
        <w:ind w:firstLine="632"/>
      </w:pPr>
      <w:r>
        <w:rPr>
          <w:rFonts w:hint="eastAsia"/>
        </w:rPr>
        <w:t>（6）对可能或者已经引发自然灾害、公共卫生和社会安全突发事件的，及时上报县人民政府，同时通报相关领域的应急救援指挥机构；</w:t>
      </w:r>
    </w:p>
    <w:p w14:paraId="275EAE9D">
      <w:pPr>
        <w:ind w:firstLine="632"/>
      </w:pPr>
      <w:r>
        <w:rPr>
          <w:rFonts w:hint="eastAsia"/>
        </w:rPr>
        <w:t>（7）贯彻落实国家、省委省政府、市委市政府、县委县政府有关指示，进一步采取相关处置措施。</w:t>
      </w:r>
    </w:p>
    <w:p w14:paraId="14F1389D">
      <w:pPr>
        <w:pStyle w:val="4"/>
        <w:numPr>
          <w:ilvl w:val="2"/>
          <w:numId w:val="150"/>
        </w:numPr>
        <w:tabs>
          <w:tab w:val="left" w:pos="0"/>
        </w:tabs>
      </w:pPr>
      <w:r>
        <w:rPr>
          <w:rFonts w:hint="eastAsia"/>
        </w:rPr>
        <w:t>现场指挥</w:t>
      </w:r>
    </w:p>
    <w:p w14:paraId="4FE55159">
      <w:pPr>
        <w:ind w:firstLine="632"/>
      </w:pPr>
      <w:r>
        <w:rPr>
          <w:rFonts w:hint="eastAsia"/>
        </w:rPr>
        <w:t>为统一组织、指挥、协调现场应急处置工作，启动二级以上响应之后，根据应急处置的需要，成立由代表县政府现场处置事故的最高行政负责同志任总指挥，事发地乡级人民政府、县有关部门主要负责同志以及救援队伍负责人、专家等人员参加的县应急救援现场指挥部，负责制订现场应急处置方案和措施，指挥现场抢险救援，协调有关保障、支援工作，及时向县应急指挥机构报告事态发展和处置情况。</w:t>
      </w:r>
    </w:p>
    <w:p w14:paraId="48A28F4F">
      <w:pPr>
        <w:ind w:firstLine="632"/>
      </w:pPr>
      <w:r>
        <w:rPr>
          <w:rFonts w:hint="eastAsia"/>
        </w:rPr>
        <w:t>县应急救援现场指挥部成立后，乡级人民政府先期设立的现场应急指挥机构应纳入县级现场应急指挥机构，在县级现场应急指挥机构的统一领导下组织开展应对工作。现场应急指挥机构要充分听取专家意见建议，开设统一的救援队伍集结点、物资接收点和分发点、新闻发布中心，提供必要的后勤保障。</w:t>
      </w:r>
    </w:p>
    <w:p w14:paraId="0EBAC462">
      <w:pPr>
        <w:ind w:firstLine="632"/>
      </w:pPr>
      <w:r>
        <w:rPr>
          <w:rFonts w:hint="eastAsia"/>
        </w:rPr>
        <w:t>到达事故现场的各方应急力量要及时向现场应急指挥机构报到、受领任务，接受统一指挥调度，严格遵守现场管理、信息发布等工作要求，并及时报告现场情况和处置进展情况。</w:t>
      </w:r>
    </w:p>
    <w:p w14:paraId="0506774B">
      <w:pPr>
        <w:ind w:firstLine="632"/>
      </w:pPr>
      <w:r>
        <w:rPr>
          <w:rFonts w:hint="eastAsia"/>
        </w:rPr>
        <w:t>县应急救援现场指挥部在组织先期处置的乡级人民政府现场指挥机构的基础上，根据应急处置需要，可调整或设立下列（不限于）工作组：</w:t>
      </w:r>
    </w:p>
    <w:p w14:paraId="1FF20221">
      <w:pPr>
        <w:ind w:firstLine="634"/>
      </w:pPr>
      <w:r>
        <w:rPr>
          <w:rFonts w:hint="eastAsia"/>
          <w:b/>
          <w:bCs/>
        </w:rPr>
        <w:t>应急处置组：</w:t>
      </w:r>
      <w:r>
        <w:rPr>
          <w:rFonts w:hint="eastAsia"/>
        </w:rPr>
        <w:t>由县相关负有安全生产监督管理职责的部门牵头，应急、公安、生态环境、消防救援、专业应急救援队伍等单位参加，组织开展现场应急处置与救援。</w:t>
      </w:r>
    </w:p>
    <w:p w14:paraId="12D16620">
      <w:pPr>
        <w:ind w:firstLine="634"/>
      </w:pPr>
      <w:r>
        <w:rPr>
          <w:rFonts w:hint="eastAsia"/>
          <w:b/>
          <w:bCs/>
        </w:rPr>
        <w:t>医疗卫生组：</w:t>
      </w:r>
      <w:r>
        <w:rPr>
          <w:rFonts w:hint="eastAsia"/>
        </w:rPr>
        <w:t>由县卫健部门牵头，组织开展医疗救援、卫生防疫等工作。</w:t>
      </w:r>
    </w:p>
    <w:p w14:paraId="1F88B5AD">
      <w:pPr>
        <w:ind w:firstLine="634"/>
      </w:pPr>
      <w:r>
        <w:rPr>
          <w:rFonts w:hint="eastAsia"/>
          <w:b/>
          <w:bCs/>
        </w:rPr>
        <w:t>治安管理组：</w:t>
      </w:r>
      <w:r>
        <w:rPr>
          <w:rFonts w:hint="eastAsia"/>
        </w:rPr>
        <w:t>由县公安部门牵头，组织协调实施现场警戒，维护治安秩序，保护事故现场，事发地道路交通管制，依法侦查涉嫌犯罪行为等。</w:t>
      </w:r>
    </w:p>
    <w:p w14:paraId="59B5B380">
      <w:pPr>
        <w:ind w:firstLine="634"/>
      </w:pPr>
      <w:r>
        <w:rPr>
          <w:rFonts w:hint="eastAsia"/>
          <w:b/>
          <w:bCs/>
        </w:rPr>
        <w:t>处置保障组：</w:t>
      </w:r>
      <w:r>
        <w:rPr>
          <w:rFonts w:hint="eastAsia"/>
        </w:rPr>
        <w:t>由事发地乡级人民政府牵头，县工信科、财政、交通、发改、应急、发改等单位参加，负责应急处置所需物资、装备、资金、交通、通信、电力的供应，负责群众紧急疏散安置以及应急救援人员和疏散安置人员的生活保障等。</w:t>
      </w:r>
    </w:p>
    <w:p w14:paraId="7714A028">
      <w:pPr>
        <w:ind w:firstLine="634"/>
      </w:pPr>
      <w:r>
        <w:rPr>
          <w:rFonts w:hint="eastAsia"/>
          <w:b/>
          <w:bCs/>
        </w:rPr>
        <w:t>综合组：</w:t>
      </w:r>
      <w:r>
        <w:rPr>
          <w:rFonts w:hint="eastAsia"/>
        </w:rPr>
        <w:t>由县应急部门牵头，新闻宣传、相关负有安全生产监督管理职责的部门等单位和事发地乡级人民政府参加，负责事故信息综合整理及报送、发布以及媒体接待、事故处置综合协调、重要事项记录和相关档案资料管理等工作。</w:t>
      </w:r>
    </w:p>
    <w:p w14:paraId="31D30AEA">
      <w:pPr>
        <w:ind w:firstLine="634"/>
      </w:pPr>
      <w:r>
        <w:rPr>
          <w:rFonts w:hint="eastAsia"/>
          <w:b/>
          <w:bCs/>
        </w:rPr>
        <w:t>专家组：</w:t>
      </w:r>
      <w:r>
        <w:rPr>
          <w:rFonts w:hint="eastAsia"/>
        </w:rPr>
        <w:t>由安全生产专家组成，负责研究救援方案，提供技术咨询论证，提出处置技术措施，供决策参考。</w:t>
      </w:r>
    </w:p>
    <w:p w14:paraId="0B656C0A">
      <w:pPr>
        <w:pStyle w:val="4"/>
        <w:numPr>
          <w:ilvl w:val="2"/>
          <w:numId w:val="150"/>
        </w:numPr>
        <w:tabs>
          <w:tab w:val="left" w:pos="0"/>
        </w:tabs>
      </w:pPr>
      <w:r>
        <w:rPr>
          <w:rFonts w:hint="eastAsia"/>
        </w:rPr>
        <w:t>安全防护</w:t>
      </w:r>
    </w:p>
    <w:p w14:paraId="0A33E0B3">
      <w:pPr>
        <w:ind w:firstLine="632"/>
      </w:pPr>
      <w:r>
        <w:rPr>
          <w:rFonts w:hint="eastAsia"/>
        </w:rPr>
        <w:t>现场应急救援人员应根据需要携带专业防护装备，采取安全防护措施，严格执行应急救援人员进入和离开事故现场的相关规定。应急救援现场指挥部根据需要协调、调集相应安全防护装备。</w:t>
      </w:r>
    </w:p>
    <w:p w14:paraId="71437AD6">
      <w:pPr>
        <w:ind w:firstLine="632"/>
      </w:pPr>
      <w:r>
        <w:rPr>
          <w:rFonts w:hint="eastAsia"/>
        </w:rPr>
        <w:t>应急救援现场指挥部负责组织安全防护工作：</w:t>
      </w:r>
    </w:p>
    <w:p w14:paraId="62A34E0A">
      <w:pPr>
        <w:ind w:firstLine="632"/>
      </w:pPr>
      <w:r>
        <w:rPr>
          <w:rFonts w:hint="eastAsia"/>
        </w:rPr>
        <w:t>（1）督促事故单位和当地人民政府建立应急联动机制，确定保护群众安全需要采取的安全防护措施；</w:t>
      </w:r>
    </w:p>
    <w:p w14:paraId="25560E54">
      <w:pPr>
        <w:ind w:firstLine="632"/>
      </w:pPr>
      <w:r>
        <w:rPr>
          <w:rFonts w:hint="eastAsia"/>
        </w:rPr>
        <w:t>（2）决定应急状态下群众疏散、转移和安置的方式、范围、路线、程序；</w:t>
      </w:r>
    </w:p>
    <w:p w14:paraId="6BACD36A">
      <w:pPr>
        <w:ind w:firstLine="632"/>
      </w:pPr>
      <w:r>
        <w:rPr>
          <w:rFonts w:hint="eastAsia"/>
        </w:rPr>
        <w:t>（3）指定有关部门负责实施疏散、转移；</w:t>
      </w:r>
    </w:p>
    <w:p w14:paraId="72898630">
      <w:pPr>
        <w:ind w:firstLine="632"/>
      </w:pPr>
      <w:r>
        <w:rPr>
          <w:rFonts w:hint="eastAsia"/>
        </w:rPr>
        <w:t>（4）启动应急避难场所；</w:t>
      </w:r>
    </w:p>
    <w:p w14:paraId="1750C676">
      <w:pPr>
        <w:ind w:firstLine="632"/>
      </w:pPr>
      <w:r>
        <w:rPr>
          <w:rFonts w:hint="eastAsia"/>
        </w:rPr>
        <w:t>（5）开展医疗、防疫和疾病控制工作；</w:t>
      </w:r>
    </w:p>
    <w:p w14:paraId="34672C5E">
      <w:pPr>
        <w:ind w:firstLine="632"/>
      </w:pPr>
      <w:r>
        <w:rPr>
          <w:rFonts w:hint="eastAsia"/>
        </w:rPr>
        <w:t>（6）负责治安管理。</w:t>
      </w:r>
    </w:p>
    <w:p w14:paraId="5A90A778">
      <w:pPr>
        <w:pStyle w:val="3"/>
        <w:ind w:firstLine="634"/>
      </w:pPr>
      <w:bookmarkStart w:id="946" w:name="_Toc8544"/>
      <w:r>
        <w:rPr>
          <w:rFonts w:hint="eastAsia"/>
        </w:rPr>
        <w:t>信息发布与舆论引导</w:t>
      </w:r>
      <w:bookmarkEnd w:id="946"/>
    </w:p>
    <w:p w14:paraId="7478A35B">
      <w:pPr>
        <w:pStyle w:val="4"/>
        <w:numPr>
          <w:ilvl w:val="2"/>
          <w:numId w:val="150"/>
        </w:numPr>
        <w:tabs>
          <w:tab w:val="left" w:pos="0"/>
        </w:tabs>
      </w:pPr>
      <w:r>
        <w:rPr>
          <w:rFonts w:hint="eastAsia"/>
        </w:rPr>
        <w:t>信息发布</w:t>
      </w:r>
    </w:p>
    <w:p w14:paraId="4CDBBB0A">
      <w:pPr>
        <w:ind w:firstLine="632"/>
      </w:pPr>
      <w:r>
        <w:rPr>
          <w:rFonts w:hint="eastAsia"/>
        </w:rPr>
        <w:t>应急救援现场指挥部统一组织事故信息发布工作，在党委宣传部门的组织指导下，按照有关规定，及时、准确、客观发布相关信息。未经现场应急指挥部批准，参与处置工作的单位和个人不得擅自对外发布事故信息。</w:t>
      </w:r>
    </w:p>
    <w:p w14:paraId="268B0B53">
      <w:pPr>
        <w:pStyle w:val="4"/>
        <w:numPr>
          <w:ilvl w:val="2"/>
          <w:numId w:val="150"/>
        </w:numPr>
        <w:tabs>
          <w:tab w:val="left" w:pos="0"/>
        </w:tabs>
      </w:pPr>
      <w:r>
        <w:rPr>
          <w:rFonts w:hint="eastAsia"/>
        </w:rPr>
        <w:t>应急暂停和扩大</w:t>
      </w:r>
    </w:p>
    <w:p w14:paraId="762672F6">
      <w:pPr>
        <w:ind w:firstLine="632"/>
      </w:pPr>
      <w:r>
        <w:rPr>
          <w:rFonts w:hint="eastAsia"/>
        </w:rPr>
        <w:t>在救援中发现可能直接威胁救援人员生命安全或者可能造成次生灾害等情况时，应急救援现场指挥部可以决定暂停救援，并应采取措施消除隐患，化解风险。在隐患已经消除后，继续组织救援。</w:t>
      </w:r>
    </w:p>
    <w:p w14:paraId="009CC274">
      <w:pPr>
        <w:ind w:firstLine="632"/>
      </w:pPr>
      <w:r>
        <w:rPr>
          <w:rFonts w:hint="eastAsia"/>
        </w:rPr>
        <w:t>采取现有处置措施无法控制和有效处置事故时，县指挥部视情况需要，及时向上级请求给予事故应对支援，以尽快完成事故控制和处置工作，将事故损失降到最小，让事故发生地尽快恢复到正常状态。</w:t>
      </w:r>
    </w:p>
    <w:p w14:paraId="5251C633">
      <w:pPr>
        <w:pStyle w:val="4"/>
        <w:numPr>
          <w:ilvl w:val="2"/>
          <w:numId w:val="150"/>
        </w:numPr>
        <w:tabs>
          <w:tab w:val="left" w:pos="0"/>
        </w:tabs>
      </w:pPr>
      <w:r>
        <w:rPr>
          <w:rFonts w:hint="eastAsia"/>
        </w:rPr>
        <w:t>应急结束</w:t>
      </w:r>
    </w:p>
    <w:p w14:paraId="5C7B184C">
      <w:pPr>
        <w:ind w:firstLine="632"/>
      </w:pPr>
      <w:r>
        <w:rPr>
          <w:rFonts w:hint="eastAsia"/>
        </w:rPr>
        <w:t>在确认事故得到有效控制、危害已经消除后（或者暂停救援不具备恢复应急救援条件并经科学论证后），负责组织应对的应急指挥部应当及时宣布应急响应终止，结束应急响应。各启动应急响应的单位要及时终止响应。</w:t>
      </w:r>
    </w:p>
    <w:p w14:paraId="2A9B8CB1">
      <w:pPr>
        <w:pStyle w:val="2"/>
        <w:numPr>
          <w:ilvl w:val="0"/>
          <w:numId w:val="150"/>
        </w:numPr>
        <w:tabs>
          <w:tab w:val="left" w:pos="0"/>
        </w:tabs>
      </w:pPr>
      <w:bookmarkStart w:id="947" w:name="_Toc1073"/>
      <w:r>
        <w:rPr>
          <w:rFonts w:hint="eastAsia"/>
        </w:rPr>
        <w:t>后期处置与恢复重建</w:t>
      </w:r>
      <w:bookmarkEnd w:id="947"/>
    </w:p>
    <w:p w14:paraId="7D81BA26">
      <w:pPr>
        <w:pStyle w:val="3"/>
        <w:ind w:firstLine="634"/>
      </w:pPr>
      <w:bookmarkStart w:id="948" w:name="_Toc5094"/>
      <w:r>
        <w:rPr>
          <w:rFonts w:hint="eastAsia"/>
        </w:rPr>
        <w:t>善后处置</w:t>
      </w:r>
      <w:bookmarkEnd w:id="948"/>
    </w:p>
    <w:p w14:paraId="54FC385D">
      <w:pPr>
        <w:ind w:firstLine="632"/>
      </w:pPr>
      <w:r>
        <w:rPr>
          <w:rFonts w:hint="eastAsia"/>
        </w:rPr>
        <w:t>事发地乡级人民政府负责组织善后处置工作，包括人员安置、补偿，征用物资补偿，灾后重建，污染物收集、清理与处理等事项。尽快消除事故后果和影响，安抚受害和受影响人员，保证社会稳定，恢复正常秩序。</w:t>
      </w:r>
    </w:p>
    <w:p w14:paraId="026DF8A4">
      <w:pPr>
        <w:pStyle w:val="3"/>
        <w:ind w:firstLine="634"/>
      </w:pPr>
      <w:bookmarkStart w:id="949" w:name="_Toc15614"/>
      <w:r>
        <w:rPr>
          <w:rFonts w:hint="eastAsia"/>
        </w:rPr>
        <w:t>保险</w:t>
      </w:r>
      <w:bookmarkEnd w:id="949"/>
    </w:p>
    <w:p w14:paraId="4F8E03D8">
      <w:pPr>
        <w:ind w:firstLine="632"/>
      </w:pPr>
      <w:r>
        <w:rPr>
          <w:rFonts w:hint="eastAsia"/>
        </w:rPr>
        <w:t>生产安全事故发生后，保险监管机构应督促各类保险经办机构积极履行保险责任，迅速开展保险理赔工作。</w:t>
      </w:r>
    </w:p>
    <w:p w14:paraId="156FC6E1">
      <w:pPr>
        <w:pStyle w:val="4"/>
        <w:numPr>
          <w:ilvl w:val="2"/>
          <w:numId w:val="150"/>
        </w:numPr>
        <w:tabs>
          <w:tab w:val="left" w:pos="0"/>
        </w:tabs>
      </w:pPr>
      <w:r>
        <w:rPr>
          <w:rFonts w:hint="eastAsia"/>
        </w:rPr>
        <w:t>应急处置评估</w:t>
      </w:r>
    </w:p>
    <w:p w14:paraId="5CE92A9B">
      <w:pPr>
        <w:ind w:firstLine="632"/>
      </w:pPr>
      <w:r>
        <w:rPr>
          <w:rFonts w:hint="eastAsia"/>
        </w:rPr>
        <w:t>应急工作结束后，县应急指挥部将事故处置有关档案资料移交县应急管理局归档。履行事故调查职责的人民政府根据事故检测、鉴定的数据，分析事故原因，评估事故应急响应情况，总结经验教训，制定改进措施。</w:t>
      </w:r>
    </w:p>
    <w:p w14:paraId="23A0E720">
      <w:pPr>
        <w:pStyle w:val="2"/>
        <w:numPr>
          <w:ilvl w:val="0"/>
          <w:numId w:val="150"/>
        </w:numPr>
        <w:tabs>
          <w:tab w:val="left" w:pos="0"/>
        </w:tabs>
      </w:pPr>
      <w:bookmarkStart w:id="950" w:name="_Toc30465"/>
      <w:r>
        <w:rPr>
          <w:rFonts w:hint="eastAsia"/>
        </w:rPr>
        <w:t>应急保障</w:t>
      </w:r>
      <w:bookmarkEnd w:id="950"/>
    </w:p>
    <w:p w14:paraId="2C7D3661">
      <w:pPr>
        <w:ind w:firstLine="632"/>
      </w:pPr>
      <w:r>
        <w:rPr>
          <w:rFonts w:hint="eastAsia"/>
        </w:rPr>
        <w:t>各有关部门要按照职责分工和相关预案做好生产安全事故的应对工作，同时根据各行业应急预案切实做好应对生产安全事故的人力、物力、财力、交通运输、医疗卫生及通信保障等工作，保证应急救援工作的需要。</w:t>
      </w:r>
    </w:p>
    <w:p w14:paraId="7074FB0B">
      <w:pPr>
        <w:pStyle w:val="3"/>
        <w:ind w:firstLine="634"/>
      </w:pPr>
      <w:bookmarkStart w:id="951" w:name="_Toc12101"/>
      <w:r>
        <w:rPr>
          <w:rFonts w:hint="eastAsia"/>
        </w:rPr>
        <w:t>信息保障</w:t>
      </w:r>
      <w:bookmarkEnd w:id="951"/>
    </w:p>
    <w:p w14:paraId="0BD5A12B">
      <w:pPr>
        <w:ind w:firstLine="632"/>
      </w:pPr>
      <w:r>
        <w:rPr>
          <w:rFonts w:hint="eastAsia"/>
        </w:rPr>
        <w:t>县人民政府负有安全生产监督管理职责的部门和乡级人民政府负责相关行业领域、本辖区生产安全事故信息收集、分析和处理，定期向县应急管理局报送信息，重要信息和变更信息要及时报送。县应急管理局负责及时收集、分析和处理全县生产安全事故信息。</w:t>
      </w:r>
    </w:p>
    <w:p w14:paraId="3F2797C5">
      <w:pPr>
        <w:pStyle w:val="3"/>
        <w:ind w:firstLine="634"/>
      </w:pPr>
      <w:bookmarkStart w:id="952" w:name="_Toc257"/>
      <w:r>
        <w:rPr>
          <w:rFonts w:hint="eastAsia"/>
        </w:rPr>
        <w:t>队伍保障</w:t>
      </w:r>
      <w:bookmarkEnd w:id="952"/>
    </w:p>
    <w:p w14:paraId="44CBA1F9">
      <w:pPr>
        <w:ind w:firstLine="632"/>
      </w:pPr>
      <w:r>
        <w:rPr>
          <w:rFonts w:hint="eastAsia"/>
        </w:rPr>
        <w:t>县人民政府加强对生产安全事故应急救援队伍建设的统一规划、组织和指导。负有安全生产监督管理职责的部门根据生产安全事故应急工作的需要，在重点行业、领域单独建立或者依托有条件的生产经营单位、社会组织建立应急救援队伍。鼓励和支持生产经营单位和其他社会力量建立提供社会化应急救援服务的应急救援队伍。</w:t>
      </w:r>
    </w:p>
    <w:p w14:paraId="71F7E079">
      <w:pPr>
        <w:ind w:firstLine="632"/>
      </w:pPr>
      <w:r>
        <w:rPr>
          <w:rFonts w:hint="eastAsia"/>
        </w:rPr>
        <w:t>易燃易爆物品、危险化学品等危险物品的生产、经营、储存、运输单位，矿山、金属冶炼、建筑施工单位，以及宾馆、商场、娱乐场所、旅游景区等人员密集场所经营单位，应当建立应急救援队伍；其中，小型企业或者微型企业等规模较小的生产经营单位，可以不建立应急救援队伍，但应当指定兼职的应急救援人员，并且可以与邻近的应急救援队伍签订应急救援协议。工业园区、开发区、矿区等产业聚集区域内的生产经营单位，可以联合建立应急救援队伍。生产经营单位应及时将应急救援队伍建立情况报送县人民政府负有安全生产监督管理职责的部门，并依法向社会公布。</w:t>
      </w:r>
    </w:p>
    <w:p w14:paraId="1678CFF0">
      <w:pPr>
        <w:ind w:firstLine="632"/>
      </w:pPr>
      <w:r>
        <w:rPr>
          <w:rFonts w:hint="eastAsia"/>
        </w:rPr>
        <w:t>应急队伍的救援人员应当具备必要的专业知识、技能、身体素质和心理素质。经培训合格后，方可参加应急救援工作。应急队伍应当配备必要的应急救援装备和物资，并定期组织训练。</w:t>
      </w:r>
    </w:p>
    <w:p w14:paraId="3ED3DC96">
      <w:pPr>
        <w:ind w:firstLine="632"/>
      </w:pPr>
      <w:r>
        <w:rPr>
          <w:rFonts w:hint="eastAsia"/>
        </w:rPr>
        <w:t>县人民政府负有安全生产监督管理职责的部门应当定期将本行业、本领域的应急救援队伍建立情况报送县人民政府，并依法向社会公布。</w:t>
      </w:r>
    </w:p>
    <w:p w14:paraId="41816F0C">
      <w:pPr>
        <w:pStyle w:val="3"/>
        <w:ind w:firstLine="634"/>
      </w:pPr>
      <w:bookmarkStart w:id="953" w:name="_Toc21472"/>
      <w:r>
        <w:rPr>
          <w:rFonts w:hint="eastAsia"/>
        </w:rPr>
        <w:t>财力保障</w:t>
      </w:r>
      <w:bookmarkEnd w:id="953"/>
    </w:p>
    <w:p w14:paraId="4067CB5F">
      <w:pPr>
        <w:ind w:firstLine="632"/>
      </w:pPr>
      <w:r>
        <w:rPr>
          <w:rFonts w:hint="eastAsia"/>
        </w:rPr>
        <w:t>生产经营单位应当做好应急救援必要的资金准备。生产安全事故应急救援资金首先由事故责任单位承担，事故责任单位暂时无力承担的，由县人民政府和事发地乡级人民政府协调解决。</w:t>
      </w:r>
    </w:p>
    <w:p w14:paraId="4DB95F42">
      <w:pPr>
        <w:pStyle w:val="3"/>
        <w:ind w:firstLine="634"/>
      </w:pPr>
      <w:bookmarkStart w:id="954" w:name="_Toc7167"/>
      <w:r>
        <w:rPr>
          <w:rFonts w:hint="eastAsia"/>
        </w:rPr>
        <w:t>物资保障</w:t>
      </w:r>
      <w:bookmarkEnd w:id="954"/>
    </w:p>
    <w:p w14:paraId="7CEF0F31">
      <w:pPr>
        <w:ind w:firstLine="632"/>
      </w:pPr>
      <w:r>
        <w:rPr>
          <w:rFonts w:hint="eastAsia"/>
        </w:rPr>
        <w:t>县人民政府负有安全生产监督管理职责的部门应当定期将本行业、本领域的应急救援队伍建立情况报送县人民政府，并依法向社会公布。</w:t>
      </w:r>
    </w:p>
    <w:p w14:paraId="30660F85">
      <w:pPr>
        <w:ind w:firstLine="632"/>
      </w:pPr>
      <w:r>
        <w:rPr>
          <w:rFonts w:hint="eastAsia"/>
        </w:rPr>
        <w:t>县人民政府根据全县可能发生的生产安全事故的特点和危害，储备必要的应急救援装备和物资以及救治药品和医疗器械等，并及时更新和补充。</w:t>
      </w:r>
    </w:p>
    <w:p w14:paraId="28804329">
      <w:pPr>
        <w:ind w:firstLine="632"/>
      </w:pPr>
      <w:r>
        <w:rPr>
          <w:rFonts w:hint="eastAsia"/>
        </w:rPr>
        <w:t>易燃易爆物品、危险化学品等危险物品的生产、经营、储存、装卸、运输单位，矿山、金属冶炼、建筑施工单位，以及宾馆、商场、娱乐场所、旅游景区等人员密集场所经营单位，应当根据本单位可能发生的生产安全事故的特点和危害，配备必要的灭火、排水、通风以及危险物品稀释、掩埋、收集等应急救援器材、设备和物资，并进行经常性维护、保养，保证正常运转。</w:t>
      </w:r>
    </w:p>
    <w:p w14:paraId="20CBB731">
      <w:pPr>
        <w:ind w:firstLine="632"/>
      </w:pPr>
      <w:r>
        <w:rPr>
          <w:rFonts w:hint="eastAsia"/>
        </w:rPr>
        <w:t>县应急管理局指导全县各级及社会应急力量建设，组织开展安全生产专业救援队伍、社会应急力量和应急装备物资调查，建立健全应急资源信息数据库。县人民政府负有安全生产监督管理职责的部门应完善应急物资信息管理和调用制度，保证应急状态及时调用。</w:t>
      </w:r>
    </w:p>
    <w:p w14:paraId="7EFB2248">
      <w:pPr>
        <w:pStyle w:val="3"/>
        <w:ind w:firstLine="634"/>
      </w:pPr>
      <w:bookmarkStart w:id="955" w:name="_Toc30368"/>
      <w:r>
        <w:rPr>
          <w:rFonts w:hint="eastAsia"/>
        </w:rPr>
        <w:t>避难场所保障</w:t>
      </w:r>
      <w:bookmarkEnd w:id="955"/>
    </w:p>
    <w:p w14:paraId="7F185C9A">
      <w:pPr>
        <w:ind w:firstLine="632"/>
      </w:pPr>
      <w:r>
        <w:rPr>
          <w:rFonts w:hint="eastAsia"/>
        </w:rPr>
        <w:t>县、乡级人民政府应建设或确定能够满足人员紧急疏散需要的应急避难场所，建立维护和使用保障制度，保证疏散安置人员的基本生活需要。</w:t>
      </w:r>
    </w:p>
    <w:p w14:paraId="68D2B322">
      <w:pPr>
        <w:pStyle w:val="3"/>
        <w:ind w:firstLine="634"/>
      </w:pPr>
      <w:bookmarkStart w:id="956" w:name="_Toc11827"/>
      <w:r>
        <w:rPr>
          <w:rFonts w:hint="eastAsia"/>
        </w:rPr>
        <w:t>技术保障</w:t>
      </w:r>
      <w:bookmarkEnd w:id="956"/>
    </w:p>
    <w:p w14:paraId="50719E28">
      <w:pPr>
        <w:ind w:firstLine="632"/>
      </w:pPr>
      <w:r>
        <w:rPr>
          <w:rFonts w:hint="eastAsia"/>
        </w:rPr>
        <w:t>县人民政府负有安全生产监督管理职责的部门应建立县级安全生产应急救援专家库，为应急救援提供技术支持和保障。充分发挥相关行业、领域的机构和专家的作用，组织研发专业处置技术，加强技术储备。</w:t>
      </w:r>
    </w:p>
    <w:p w14:paraId="07FB4CF6">
      <w:pPr>
        <w:pStyle w:val="3"/>
        <w:ind w:firstLine="634"/>
      </w:pPr>
      <w:bookmarkStart w:id="957" w:name="_Toc20419"/>
      <w:r>
        <w:rPr>
          <w:rFonts w:hint="eastAsia"/>
        </w:rPr>
        <w:t>治安和交通运输保障</w:t>
      </w:r>
      <w:bookmarkEnd w:id="957"/>
    </w:p>
    <w:p w14:paraId="0C039DB7">
      <w:pPr>
        <w:ind w:firstLine="632"/>
      </w:pPr>
      <w:r>
        <w:rPr>
          <w:rFonts w:hint="eastAsia"/>
        </w:rPr>
        <w:t>发生生产安全事故后，事故现场应实施治安警戒和治安管理，加强对重点地区、重点场所、重点人群、重要物资设备的防范保护，维持现场秩序，必要时及时疏散群众，保持社会治安秩序的稳定。根据需要及时对现场和相关通道实行交通管制，开设应急救援特别通道，确保救灾物资、器材和人员的运送，形成快速、高效、顺畅、协调的应急运输系统。</w:t>
      </w:r>
    </w:p>
    <w:p w14:paraId="5A3A933F">
      <w:pPr>
        <w:pStyle w:val="3"/>
        <w:ind w:firstLine="634"/>
      </w:pPr>
      <w:bookmarkStart w:id="958" w:name="_Toc30249"/>
      <w:r>
        <w:rPr>
          <w:rFonts w:hint="eastAsia"/>
        </w:rPr>
        <w:t>医疗卫生保障</w:t>
      </w:r>
      <w:bookmarkEnd w:id="958"/>
    </w:p>
    <w:p w14:paraId="45880F9C">
      <w:pPr>
        <w:ind w:firstLine="632"/>
      </w:pPr>
      <w:r>
        <w:rPr>
          <w:rFonts w:hint="eastAsia"/>
        </w:rPr>
        <w:t>卫健部门负责做好伤员院前急救、转运和后续救治以及有关卫生防疫工作；红十字会等社会救援组织积极配合专业医疗队伍参与救援工作。</w:t>
      </w:r>
    </w:p>
    <w:p w14:paraId="1C473249">
      <w:pPr>
        <w:pStyle w:val="3"/>
        <w:ind w:firstLine="634"/>
      </w:pPr>
      <w:bookmarkStart w:id="959" w:name="_Toc30177"/>
      <w:r>
        <w:rPr>
          <w:rFonts w:hint="eastAsia"/>
        </w:rPr>
        <w:t>社会动员保障</w:t>
      </w:r>
      <w:bookmarkEnd w:id="959"/>
    </w:p>
    <w:p w14:paraId="3B59F5F4">
      <w:pPr>
        <w:ind w:firstLine="632"/>
      </w:pPr>
      <w:r>
        <w:rPr>
          <w:rFonts w:hint="eastAsia"/>
        </w:rPr>
        <w:t>各级人民政府根据处置工作需要，可以调集、征用国家机关、企事业单位、社会团体等机构以及个人的物资、装备，应急工作结束后应及时返还。财产被征用或者征用后毁损、灭失的，应给予补偿。鼓励、动员公民、法人和其他社会组织为应对生产安全事故提供物资、资金以及人力支援。逐步形成以管理部门和专业队伍为主体、志愿者队伍和社会公益组织为补充的应急救援动员机制。</w:t>
      </w:r>
    </w:p>
    <w:p w14:paraId="1B0A15FB">
      <w:pPr>
        <w:pStyle w:val="2"/>
        <w:numPr>
          <w:ilvl w:val="0"/>
          <w:numId w:val="150"/>
        </w:numPr>
        <w:tabs>
          <w:tab w:val="left" w:pos="0"/>
        </w:tabs>
      </w:pPr>
      <w:bookmarkStart w:id="960" w:name="_Toc8556"/>
      <w:r>
        <w:rPr>
          <w:rFonts w:hint="eastAsia"/>
        </w:rPr>
        <w:t>预案管理</w:t>
      </w:r>
      <w:bookmarkEnd w:id="960"/>
    </w:p>
    <w:p w14:paraId="40994D0F">
      <w:pPr>
        <w:pStyle w:val="3"/>
        <w:ind w:firstLine="634"/>
      </w:pPr>
      <w:bookmarkStart w:id="961" w:name="_Toc21608"/>
      <w:r>
        <w:rPr>
          <w:rFonts w:hint="eastAsia"/>
        </w:rPr>
        <w:t>预案制定</w:t>
      </w:r>
      <w:bookmarkEnd w:id="961"/>
    </w:p>
    <w:p w14:paraId="36F77699">
      <w:pPr>
        <w:ind w:firstLine="632"/>
      </w:pPr>
      <w:r>
        <w:rPr>
          <w:rFonts w:hint="eastAsia"/>
        </w:rPr>
        <w:t>本预案由县应急管理局牵头制定，由县应急管理局负责组织实施。县人民政府有关部门按照本预案的规定履行职责，并制定相应的部门应急预案报县人民政府应急办备案。各乡镇人民政府按照本预案的规定履行职责，并制定乡镇专项预案报县应急管理局备案。</w:t>
      </w:r>
    </w:p>
    <w:p w14:paraId="74F34D5D">
      <w:pPr>
        <w:pStyle w:val="3"/>
        <w:ind w:firstLine="634"/>
      </w:pPr>
      <w:bookmarkStart w:id="962" w:name="_Toc14739"/>
      <w:r>
        <w:rPr>
          <w:rFonts w:hint="eastAsia"/>
        </w:rPr>
        <w:t>审批与备案</w:t>
      </w:r>
      <w:bookmarkEnd w:id="962"/>
    </w:p>
    <w:p w14:paraId="48A9FB9B">
      <w:pPr>
        <w:ind w:firstLine="632"/>
      </w:pPr>
      <w:r>
        <w:rPr>
          <w:rFonts w:hint="eastAsia"/>
        </w:rPr>
        <w:t>本预案经征求相关部门意见和组织专家评审后，报请县人民政府批准印发实施。</w:t>
      </w:r>
    </w:p>
    <w:p w14:paraId="04B579C9">
      <w:pPr>
        <w:ind w:firstLine="632"/>
      </w:pPr>
      <w:r>
        <w:rPr>
          <w:rFonts w:hint="eastAsia"/>
        </w:rPr>
        <w:t>本预案印发后的20个工作日内由县应急管理局报县人民政府备案，同时向市应急管理局报备。</w:t>
      </w:r>
    </w:p>
    <w:p w14:paraId="6A8C837D">
      <w:pPr>
        <w:pStyle w:val="3"/>
        <w:ind w:firstLine="634"/>
      </w:pPr>
      <w:bookmarkStart w:id="963" w:name="_Toc29412"/>
      <w:r>
        <w:rPr>
          <w:rFonts w:hint="eastAsia"/>
        </w:rPr>
        <w:t>评估与修订</w:t>
      </w:r>
      <w:bookmarkEnd w:id="963"/>
    </w:p>
    <w:p w14:paraId="16C945ED">
      <w:pPr>
        <w:ind w:firstLine="632"/>
      </w:pPr>
      <w:r>
        <w:rPr>
          <w:rFonts w:hint="eastAsia"/>
        </w:rPr>
        <w:t>县应急管理局应建立定期评估机制，原则上至少每3年对本预案评估1次，并根据评估结果进行修订。有关法律法规对应急预案修订周期另有规定的，从其规定。</w:t>
      </w:r>
    </w:p>
    <w:p w14:paraId="6B5824D3">
      <w:pPr>
        <w:ind w:firstLine="632"/>
      </w:pPr>
      <w:r>
        <w:rPr>
          <w:rFonts w:hint="eastAsia"/>
        </w:rPr>
        <w:t>有下列情形之一的，应当及时修订本预案：</w:t>
      </w:r>
    </w:p>
    <w:p w14:paraId="260DF916">
      <w:pPr>
        <w:ind w:firstLine="632"/>
      </w:pPr>
      <w:r>
        <w:rPr>
          <w:rFonts w:hint="eastAsia"/>
        </w:rPr>
        <w:t>（1）有关法律、行政法规、规章、标准、上位预案中有关规定发生变化的；</w:t>
      </w:r>
    </w:p>
    <w:p w14:paraId="491AAD63">
      <w:pPr>
        <w:ind w:firstLine="632"/>
      </w:pPr>
      <w:r>
        <w:rPr>
          <w:rFonts w:hint="eastAsia"/>
        </w:rPr>
        <w:t>（2）县应急指挥部及其职责发生重大调整的；</w:t>
      </w:r>
    </w:p>
    <w:p w14:paraId="5D74203F">
      <w:pPr>
        <w:ind w:firstLine="632"/>
      </w:pPr>
      <w:r>
        <w:rPr>
          <w:rFonts w:hint="eastAsia"/>
        </w:rPr>
        <w:t>（3）安全生产面临风险发生重大变化的；</w:t>
      </w:r>
    </w:p>
    <w:p w14:paraId="537142B4">
      <w:pPr>
        <w:ind w:firstLine="632"/>
      </w:pPr>
      <w:r>
        <w:rPr>
          <w:rFonts w:hint="eastAsia"/>
        </w:rPr>
        <w:t>（4）重要应急资源发生重大变化的；</w:t>
      </w:r>
    </w:p>
    <w:p w14:paraId="597F4707">
      <w:pPr>
        <w:ind w:firstLine="632"/>
      </w:pPr>
      <w:r>
        <w:rPr>
          <w:rFonts w:hint="eastAsia"/>
        </w:rPr>
        <w:t>（5）在预案演练或者应急救援中发现需要修订预案的重大问题；</w:t>
      </w:r>
    </w:p>
    <w:p w14:paraId="0A529B18">
      <w:pPr>
        <w:ind w:firstLine="632"/>
      </w:pPr>
      <w:r>
        <w:rPr>
          <w:rFonts w:hint="eastAsia"/>
        </w:rPr>
        <w:t>（6）其他应当修订的情形。</w:t>
      </w:r>
    </w:p>
    <w:p w14:paraId="7DD232D8">
      <w:pPr>
        <w:pStyle w:val="3"/>
        <w:ind w:firstLine="634"/>
      </w:pPr>
      <w:bookmarkStart w:id="964" w:name="_Toc8934"/>
      <w:r>
        <w:rPr>
          <w:rFonts w:hint="eastAsia"/>
        </w:rPr>
        <w:t>应急演练</w:t>
      </w:r>
      <w:bookmarkEnd w:id="964"/>
    </w:p>
    <w:p w14:paraId="75683872">
      <w:pPr>
        <w:ind w:firstLine="632"/>
      </w:pPr>
      <w:r>
        <w:rPr>
          <w:rFonts w:hint="eastAsia"/>
        </w:rPr>
        <w:t>县应急办及负有安全生产监督管理职责的部门，各乡镇应当至少每年组织一次生产经营企业生产安全事故应急救援预案演练。</w:t>
      </w:r>
    </w:p>
    <w:p w14:paraId="02C6D2AF">
      <w:pPr>
        <w:ind w:firstLine="632"/>
      </w:pPr>
      <w:r>
        <w:rPr>
          <w:rFonts w:hint="eastAsia"/>
        </w:rPr>
        <w:t>生产经营企业每年至少组织一次应急演练，并将演练情况报送所在地政府负有安全生产监督管理职责的部门。根据条件和环境的变化，有关部门要及时提出修改、补充和完善预案的建议。高危企业要依法成立应急救援队伍，定期进行事故应急救援预案演练，确保在紧急情况下按照预案的要求，有条不紊地开展事故应急救援工作。并通过不断地演练完善事故预案。</w:t>
      </w:r>
    </w:p>
    <w:p w14:paraId="5D1492E8">
      <w:pPr>
        <w:pStyle w:val="3"/>
        <w:ind w:firstLine="634"/>
      </w:pPr>
      <w:bookmarkStart w:id="965" w:name="_Toc31659"/>
      <w:r>
        <w:rPr>
          <w:rFonts w:hint="eastAsia"/>
        </w:rPr>
        <w:t>宣传与培训</w:t>
      </w:r>
      <w:bookmarkEnd w:id="965"/>
    </w:p>
    <w:p w14:paraId="1A51176F">
      <w:pPr>
        <w:ind w:firstLine="632"/>
      </w:pPr>
      <w:r>
        <w:rPr>
          <w:rFonts w:hint="eastAsia"/>
        </w:rPr>
        <w:t>县应急办有关部门，各乡镇应当通过多种形式推动安全生产有关法律法规和事故预防自救、互救常识等应急知识进企业、进农村、进社区、进学校、进家庭。对存在重大危险源的生产经营企业或重点单位，要加强对周边人群的针对性宣传教育，提高其避险能力和自救互救能力。</w:t>
      </w:r>
    </w:p>
    <w:p w14:paraId="11A7E1CE">
      <w:pPr>
        <w:ind w:firstLine="632"/>
      </w:pPr>
      <w:r>
        <w:rPr>
          <w:rFonts w:hint="eastAsia"/>
        </w:rPr>
        <w:t>各乡镇有关部门和生产经营企业应当建立健全应急管理培训制度，纳入干部教育培训体系，针对本地区特点定期开展生产安全事故应急预案的教育培训工作。生产经营企业应当定期开展应急管理法律法规、安全管理制度、安全操作规程以及应急知识等方面的培训。</w:t>
      </w:r>
    </w:p>
    <w:p w14:paraId="3282E7DF">
      <w:pPr>
        <w:pStyle w:val="3"/>
        <w:ind w:firstLine="634"/>
      </w:pPr>
      <w:bookmarkStart w:id="966" w:name="_Toc240"/>
      <w:r>
        <w:rPr>
          <w:rFonts w:hint="eastAsia"/>
        </w:rPr>
        <w:t>监督与检查</w:t>
      </w:r>
      <w:bookmarkEnd w:id="966"/>
    </w:p>
    <w:p w14:paraId="5E3BDC30">
      <w:pPr>
        <w:ind w:firstLine="632"/>
      </w:pPr>
      <w:r>
        <w:rPr>
          <w:rFonts w:hint="eastAsia"/>
        </w:rPr>
        <w:t>县应急管理部门、各乡镇负有安全生产监督管理职责的部门应当将生产安全事故应急预案工作及演练情况纳入年度监督检查计划，并严格按照计划开展执法检查。每年对应急预案的监督管理工作情况进行总结，并报上一级应急管理部门。</w:t>
      </w:r>
    </w:p>
    <w:p w14:paraId="24902B2E">
      <w:pPr>
        <w:pStyle w:val="3"/>
        <w:ind w:firstLine="634"/>
      </w:pPr>
      <w:bookmarkStart w:id="967" w:name="_Toc9366"/>
      <w:r>
        <w:rPr>
          <w:rFonts w:hint="eastAsia"/>
        </w:rPr>
        <w:t>奖励</w:t>
      </w:r>
      <w:bookmarkEnd w:id="967"/>
    </w:p>
    <w:p w14:paraId="1DA18FA3">
      <w:pPr>
        <w:ind w:firstLine="632"/>
      </w:pPr>
      <w:r>
        <w:rPr>
          <w:rFonts w:hint="eastAsia"/>
        </w:rPr>
        <w:t>在生产安全事故应急救援工作中有下列表现之一的单位和个人，应依据有关规定给予奖励：</w:t>
      </w:r>
    </w:p>
    <w:p w14:paraId="2AB86B99">
      <w:pPr>
        <w:ind w:firstLine="632"/>
      </w:pPr>
      <w:r>
        <w:rPr>
          <w:rFonts w:hint="eastAsia"/>
        </w:rPr>
        <w:t>（1）出色完成应急处置任务，成绩显著的；</w:t>
      </w:r>
    </w:p>
    <w:p w14:paraId="07811843">
      <w:pPr>
        <w:ind w:firstLine="632"/>
      </w:pPr>
      <w:r>
        <w:rPr>
          <w:rFonts w:hint="eastAsia"/>
        </w:rPr>
        <w:t>（2）防止或抢救事故有功，使国家、集体和人民群众的财产免受损失或者减少损失的；</w:t>
      </w:r>
    </w:p>
    <w:p w14:paraId="36FE8F5A">
      <w:pPr>
        <w:ind w:firstLine="632"/>
      </w:pPr>
      <w:r>
        <w:rPr>
          <w:rFonts w:hint="eastAsia"/>
        </w:rPr>
        <w:t>（3）对应急救援工作提出重大建议，实施效果显著的；</w:t>
      </w:r>
    </w:p>
    <w:p w14:paraId="135B96EB">
      <w:pPr>
        <w:ind w:firstLine="632"/>
      </w:pPr>
      <w:r>
        <w:rPr>
          <w:rFonts w:hint="eastAsia"/>
        </w:rPr>
        <w:t>（4）有其他特殊贡献的。</w:t>
      </w:r>
    </w:p>
    <w:p w14:paraId="10FB2FE3">
      <w:pPr>
        <w:pStyle w:val="3"/>
        <w:ind w:firstLine="634"/>
      </w:pPr>
      <w:bookmarkStart w:id="968" w:name="_Toc14510"/>
      <w:r>
        <w:rPr>
          <w:rFonts w:hint="eastAsia"/>
        </w:rPr>
        <w:t>责任追究</w:t>
      </w:r>
      <w:bookmarkEnd w:id="968"/>
    </w:p>
    <w:p w14:paraId="4853131B">
      <w:pPr>
        <w:ind w:firstLine="632"/>
      </w:pPr>
      <w:r>
        <w:rPr>
          <w:rFonts w:hint="eastAsia"/>
        </w:rPr>
        <w:t>在生产安全事故应急救援工作中有下列行为之一的，按照法律法规及有关规定，对有关责任人员视情节和危害后果，由其所在单位或者上级机关给予行政处分；其中，对国家公务员和国家行政机关任命的其他人员，分别由任免机关或者监察委给予行政处分；属于违反治安管理行为的，由公安机关依照有关法律法规的规定予以处罚；构成犯罪的，由司法机关依法追究刑事责任：</w:t>
      </w:r>
    </w:p>
    <w:p w14:paraId="4C8623E5">
      <w:pPr>
        <w:ind w:firstLine="632"/>
      </w:pPr>
      <w:r>
        <w:rPr>
          <w:rFonts w:hint="eastAsia"/>
        </w:rPr>
        <w:t>（1）不按照规定制订事故应急预案，拒绝履行应急准备义务的；</w:t>
      </w:r>
    </w:p>
    <w:p w14:paraId="25DA3CB7">
      <w:pPr>
        <w:ind w:firstLine="632"/>
      </w:pPr>
      <w:r>
        <w:rPr>
          <w:rFonts w:hint="eastAsia"/>
        </w:rPr>
        <w:t>（2）不按照规定报告、通报事故真实情况的；</w:t>
      </w:r>
    </w:p>
    <w:p w14:paraId="3FAF1D50">
      <w:pPr>
        <w:ind w:firstLine="632"/>
      </w:pPr>
      <w:r>
        <w:rPr>
          <w:rFonts w:hint="eastAsia"/>
        </w:rPr>
        <w:t>（3）拒不执行生产安全事故应急预案，不服从命令和指挥，或者在应急响应时临阵脱逃的；</w:t>
      </w:r>
    </w:p>
    <w:p w14:paraId="5DA01C07">
      <w:pPr>
        <w:ind w:firstLine="632"/>
      </w:pPr>
      <w:r>
        <w:rPr>
          <w:rFonts w:hint="eastAsia"/>
        </w:rPr>
        <w:t>（4）盗窃、挪用、贪污应急工作资金或者物资的；</w:t>
      </w:r>
    </w:p>
    <w:p w14:paraId="7594BCB9">
      <w:pPr>
        <w:ind w:firstLine="632"/>
      </w:pPr>
      <w:r>
        <w:rPr>
          <w:rFonts w:hint="eastAsia"/>
        </w:rPr>
        <w:t>（5）阻碍应急工作人员依法执行任务或者进行破坏活动的；</w:t>
      </w:r>
    </w:p>
    <w:p w14:paraId="1ADFEA47">
      <w:pPr>
        <w:ind w:firstLine="632"/>
      </w:pPr>
      <w:r>
        <w:rPr>
          <w:rFonts w:hint="eastAsia"/>
        </w:rPr>
        <w:t>（6）散布谣言，扰乱社会秩序的；</w:t>
      </w:r>
    </w:p>
    <w:p w14:paraId="0ABEDA41">
      <w:pPr>
        <w:ind w:firstLine="632"/>
      </w:pPr>
      <w:r>
        <w:rPr>
          <w:rFonts w:hint="eastAsia"/>
        </w:rPr>
        <w:t>有其他危害应急工作行为的。</w:t>
      </w:r>
    </w:p>
    <w:p w14:paraId="637CBD05">
      <w:pPr>
        <w:pStyle w:val="2"/>
        <w:numPr>
          <w:ilvl w:val="0"/>
          <w:numId w:val="150"/>
        </w:numPr>
        <w:tabs>
          <w:tab w:val="left" w:pos="0"/>
        </w:tabs>
      </w:pPr>
      <w:bookmarkStart w:id="969" w:name="_Toc29436"/>
      <w:r>
        <w:rPr>
          <w:rFonts w:hint="eastAsia"/>
        </w:rPr>
        <w:t>附则</w:t>
      </w:r>
      <w:bookmarkEnd w:id="969"/>
    </w:p>
    <w:p w14:paraId="77B42BB1">
      <w:pPr>
        <w:pStyle w:val="3"/>
        <w:ind w:firstLine="634"/>
      </w:pPr>
      <w:bookmarkStart w:id="970" w:name="_Toc17731"/>
      <w:r>
        <w:rPr>
          <w:rFonts w:hint="eastAsia"/>
        </w:rPr>
        <w:t>预案制定与解释</w:t>
      </w:r>
      <w:bookmarkEnd w:id="970"/>
    </w:p>
    <w:p w14:paraId="46E2E07C">
      <w:pPr>
        <w:ind w:firstLine="632"/>
      </w:pPr>
      <w:r>
        <w:rPr>
          <w:rFonts w:hint="eastAsia"/>
        </w:rPr>
        <w:t>本预案由集贤县人民政府负责制定，预案修订与解释工作由集贤县安全生产应急指挥部办公室具体负责。</w:t>
      </w:r>
    </w:p>
    <w:p w14:paraId="32BDDECC">
      <w:pPr>
        <w:pStyle w:val="3"/>
        <w:ind w:firstLine="634"/>
      </w:pPr>
      <w:bookmarkStart w:id="971" w:name="_Toc23560"/>
      <w:r>
        <w:rPr>
          <w:rFonts w:hint="eastAsia"/>
        </w:rPr>
        <w:t>预案中“以上”“以下”的含义</w:t>
      </w:r>
      <w:bookmarkEnd w:id="971"/>
    </w:p>
    <w:p w14:paraId="76D8A77F">
      <w:pPr>
        <w:ind w:firstLine="632"/>
      </w:pPr>
      <w:r>
        <w:rPr>
          <w:rFonts w:hint="eastAsia"/>
        </w:rPr>
        <w:t>本预案有关数量的表述中，“以上”包含本数，“以下”不包含本数。</w:t>
      </w:r>
    </w:p>
    <w:p w14:paraId="170478D9">
      <w:pPr>
        <w:pStyle w:val="3"/>
        <w:ind w:firstLine="634"/>
      </w:pPr>
      <w:bookmarkStart w:id="972" w:name="_Toc31584"/>
      <w:r>
        <w:rPr>
          <w:rFonts w:hint="eastAsia"/>
        </w:rPr>
        <w:t>预案的实施</w:t>
      </w:r>
      <w:bookmarkEnd w:id="972"/>
    </w:p>
    <w:p w14:paraId="6E59C3F0">
      <w:pPr>
        <w:ind w:firstLine="632"/>
      </w:pPr>
      <w:r>
        <w:rPr>
          <w:rFonts w:hint="eastAsia"/>
        </w:rPr>
        <w:t>本预案自发布之日起施行。</w:t>
      </w:r>
    </w:p>
    <w:p w14:paraId="31C15507">
      <w:pPr>
        <w:ind w:firstLine="0" w:firstLineChars="0"/>
        <w:jc w:val="center"/>
        <w:rPr>
          <w:rFonts w:ascii="Times New Roman" w:hAnsi="Times New Roman" w:eastAsia="方正小标宋简体"/>
          <w:sz w:val="36"/>
        </w:rPr>
      </w:pPr>
    </w:p>
    <w:p w14:paraId="4FC3C02B">
      <w:pPr>
        <w:pStyle w:val="15"/>
        <w:ind w:left="0" w:leftChars="0" w:firstLine="0" w:firstLineChars="0"/>
        <w:rPr>
          <w:rFonts w:ascii="Times New Roman" w:hAnsi="Times New Roman" w:cs="Times New Roman"/>
        </w:rPr>
        <w:sectPr>
          <w:headerReference r:id="rId89" w:type="default"/>
          <w:footerReference r:id="rId91" w:type="default"/>
          <w:headerReference r:id="rId90" w:type="even"/>
          <w:footerReference r:id="rId92" w:type="even"/>
          <w:pgSz w:w="11906" w:h="16838"/>
          <w:pgMar w:top="2098" w:right="1474" w:bottom="1984" w:left="1587" w:header="624" w:footer="1134" w:gutter="0"/>
          <w:pgNumType w:start="1"/>
          <w:cols w:space="0" w:num="1"/>
          <w:docGrid w:type="linesAndChars" w:linePitch="579" w:charSpace="-842"/>
        </w:sectPr>
      </w:pPr>
    </w:p>
    <w:p w14:paraId="27FFA8E6">
      <w:pPr>
        <w:pStyle w:val="11"/>
        <w:ind w:firstLine="632"/>
      </w:pPr>
    </w:p>
    <w:p w14:paraId="4D621825">
      <w:pPr>
        <w:ind w:firstLine="0" w:firstLineChars="0"/>
        <w:jc w:val="center"/>
        <w:rPr>
          <w:sz w:val="36"/>
          <w:szCs w:val="36"/>
        </w:rPr>
      </w:pPr>
    </w:p>
    <w:p w14:paraId="11E3E89E">
      <w:pPr>
        <w:pStyle w:val="42"/>
      </w:pPr>
    </w:p>
    <w:p w14:paraId="4F3AE626">
      <w:pPr>
        <w:autoSpaceDE w:val="0"/>
        <w:autoSpaceDN w:val="0"/>
        <w:adjustRightInd w:val="0"/>
        <w:spacing w:line="240" w:lineRule="atLeast"/>
        <w:ind w:firstLine="0" w:firstLineChars="0"/>
        <w:jc w:val="center"/>
        <w:rPr>
          <w:rFonts w:ascii="方正小标宋简体" w:hAnsi="方正小标宋简体" w:eastAsia="方正小标宋简体" w:cs="方正小标宋简体"/>
          <w:bCs/>
          <w:color w:val="000000"/>
          <w:spacing w:val="-6"/>
          <w:kern w:val="0"/>
          <w:sz w:val="52"/>
          <w:szCs w:val="52"/>
          <w:lang w:bidi="ar"/>
        </w:rPr>
      </w:pPr>
      <w:r>
        <w:rPr>
          <w:rFonts w:hint="eastAsia" w:ascii="方正小标宋简体" w:hAnsi="方正小标宋简体" w:eastAsia="方正小标宋简体" w:cs="方正小标宋简体"/>
          <w:bCs/>
          <w:color w:val="000000"/>
          <w:spacing w:val="-6"/>
          <w:kern w:val="0"/>
          <w:sz w:val="52"/>
          <w:szCs w:val="52"/>
          <w:lang w:bidi="ar"/>
        </w:rPr>
        <w:t>集贤县非煤矿山生产安全事故应急预案</w:t>
      </w:r>
    </w:p>
    <w:p w14:paraId="1F136E9B">
      <w:pPr>
        <w:pStyle w:val="11"/>
        <w:ind w:firstLine="0" w:firstLineChars="0"/>
        <w:jc w:val="center"/>
        <w:rPr>
          <w:rFonts w:ascii="Times New Roman" w:hAnsi="Times New Roman" w:eastAsia="楷体_GB2312" w:cs="Times New Roman"/>
          <w:b/>
          <w:sz w:val="52"/>
          <w:szCs w:val="52"/>
        </w:rPr>
      </w:pPr>
      <w:r>
        <w:rPr>
          <w:rFonts w:hint="eastAsia" w:ascii="仿宋_GB2312" w:hAnsi="仿宋_GB2312" w:cs="仿宋_GB2312"/>
          <w:bCs/>
          <w:sz w:val="48"/>
          <w:szCs w:val="48"/>
        </w:rPr>
        <w:t>（修订稿）</w:t>
      </w:r>
    </w:p>
    <w:p w14:paraId="1C2CC969">
      <w:pPr>
        <w:ind w:firstLine="632"/>
      </w:pPr>
    </w:p>
    <w:p w14:paraId="7F272256">
      <w:pPr>
        <w:ind w:firstLine="632"/>
      </w:pPr>
    </w:p>
    <w:p w14:paraId="4707C690">
      <w:pPr>
        <w:ind w:firstLine="632"/>
      </w:pPr>
    </w:p>
    <w:p w14:paraId="03CAA028">
      <w:pPr>
        <w:pStyle w:val="11"/>
        <w:ind w:firstLine="632"/>
      </w:pPr>
    </w:p>
    <w:p w14:paraId="095FAFF0">
      <w:pPr>
        <w:pStyle w:val="11"/>
        <w:ind w:firstLine="632"/>
      </w:pPr>
    </w:p>
    <w:p w14:paraId="41641889">
      <w:pPr>
        <w:pStyle w:val="11"/>
        <w:ind w:firstLine="632"/>
      </w:pPr>
    </w:p>
    <w:p w14:paraId="19DCA8F5">
      <w:pPr>
        <w:pStyle w:val="11"/>
        <w:ind w:firstLine="632"/>
      </w:pPr>
    </w:p>
    <w:p w14:paraId="73D6F25C">
      <w:pPr>
        <w:ind w:firstLine="632"/>
      </w:pPr>
    </w:p>
    <w:p w14:paraId="780016D3">
      <w:pPr>
        <w:ind w:firstLine="632"/>
      </w:pPr>
    </w:p>
    <w:p w14:paraId="6B795583">
      <w:pPr>
        <w:pStyle w:val="42"/>
      </w:pPr>
    </w:p>
    <w:p w14:paraId="04FA1C08">
      <w:pPr>
        <w:pStyle w:val="42"/>
      </w:pPr>
    </w:p>
    <w:p w14:paraId="48C2A9F9">
      <w:pPr>
        <w:pStyle w:val="42"/>
      </w:pPr>
    </w:p>
    <w:p w14:paraId="4E48E267">
      <w:pPr>
        <w:ind w:firstLine="632"/>
      </w:pPr>
    </w:p>
    <w:p w14:paraId="1A0FAD99">
      <w:pPr>
        <w:ind w:firstLine="0" w:firstLineChars="0"/>
        <w:jc w:val="center"/>
        <w:rPr>
          <w:rFonts w:eastAsia="仿宋"/>
          <w:bCs/>
          <w:spacing w:val="-6"/>
          <w:sz w:val="36"/>
          <w:szCs w:val="24"/>
          <w:lang w:bidi="ar"/>
        </w:rPr>
      </w:pPr>
      <w:r>
        <w:rPr>
          <w:rFonts w:hint="eastAsia" w:ascii="仿宋_GB2312" w:hAnsi="仿宋_GB2312" w:cs="仿宋_GB2312"/>
          <w:bCs/>
          <w:spacing w:val="-6"/>
          <w:sz w:val="36"/>
          <w:szCs w:val="24"/>
          <w:lang w:bidi="ar"/>
        </w:rPr>
        <w:t>集贤县人民政府 编制</w:t>
      </w:r>
    </w:p>
    <w:p w14:paraId="69D16657">
      <w:pPr>
        <w:ind w:firstLine="0" w:firstLineChars="0"/>
        <w:jc w:val="center"/>
        <w:rPr>
          <w:rFonts w:eastAsia="仿宋"/>
          <w:bCs/>
          <w:spacing w:val="-6"/>
          <w:sz w:val="36"/>
          <w:szCs w:val="24"/>
          <w:lang w:bidi="ar"/>
        </w:rPr>
      </w:pPr>
      <w:r>
        <w:rPr>
          <w:rFonts w:hint="eastAsia" w:eastAsia="仿宋"/>
          <w:bCs/>
          <w:spacing w:val="-6"/>
          <w:sz w:val="36"/>
          <w:szCs w:val="24"/>
          <w:lang w:bidi="ar"/>
        </w:rPr>
        <w:t>202</w:t>
      </w:r>
      <w:r>
        <w:rPr>
          <w:bCs/>
          <w:spacing w:val="-6"/>
          <w:sz w:val="36"/>
          <w:szCs w:val="24"/>
          <w:lang w:bidi="ar"/>
        </w:rPr>
        <w:t>5</w:t>
      </w:r>
      <w:r>
        <w:rPr>
          <w:rFonts w:hint="eastAsia" w:eastAsia="仿宋"/>
          <w:bCs/>
          <w:spacing w:val="-6"/>
          <w:sz w:val="36"/>
          <w:szCs w:val="24"/>
          <w:lang w:bidi="ar"/>
        </w:rPr>
        <w:t>年</w:t>
      </w:r>
      <w:r>
        <w:rPr>
          <w:bCs/>
          <w:spacing w:val="-6"/>
          <w:sz w:val="36"/>
          <w:szCs w:val="24"/>
          <w:lang w:bidi="ar"/>
        </w:rPr>
        <w:t>5</w:t>
      </w:r>
      <w:r>
        <w:rPr>
          <w:rFonts w:hint="eastAsia" w:eastAsia="仿宋"/>
          <w:bCs/>
          <w:spacing w:val="-6"/>
          <w:sz w:val="36"/>
          <w:szCs w:val="24"/>
          <w:lang w:bidi="ar"/>
        </w:rPr>
        <w:t>月</w:t>
      </w:r>
    </w:p>
    <w:p w14:paraId="4D580AA8">
      <w:pPr>
        <w:ind w:firstLine="632"/>
        <w:rPr>
          <w:rFonts w:ascii="黑体" w:hAnsi="黑体" w:eastAsia="黑体" w:cs="黑体"/>
        </w:rPr>
      </w:pPr>
      <w:r>
        <w:rPr>
          <w:rFonts w:hint="eastAsia" w:ascii="黑体" w:hAnsi="黑体" w:eastAsia="黑体" w:cs="黑体"/>
        </w:rPr>
        <w:br w:type="page"/>
      </w:r>
    </w:p>
    <w:p w14:paraId="21FEFFDD">
      <w:pPr>
        <w:ind w:firstLine="0" w:firstLineChars="0"/>
        <w:jc w:val="center"/>
        <w:rPr>
          <w:rFonts w:ascii="微软雅黑" w:hAnsi="微软雅黑" w:eastAsia="微软雅黑" w:cs="微软雅黑"/>
          <w:b/>
          <w:bCs/>
          <w:sz w:val="36"/>
          <w:szCs w:val="36"/>
        </w:rPr>
      </w:pPr>
      <w:r>
        <w:rPr>
          <w:rFonts w:hint="eastAsia" w:ascii="方正小标宋简体" w:hAnsi="方正小标宋简体" w:eastAsia="方正小标宋简体" w:cs="方正小标宋简体"/>
          <w:b/>
          <w:bCs/>
          <w:sz w:val="36"/>
          <w:szCs w:val="36"/>
        </w:rPr>
        <w:t>目  录</w:t>
      </w:r>
    </w:p>
    <w:p w14:paraId="2AACCFFD">
      <w:pPr>
        <w:pStyle w:val="18"/>
      </w:pPr>
      <w:r>
        <w:rPr>
          <w:rFonts w:hint="eastAsia" w:ascii="黑体" w:hAnsi="黑体" w:eastAsia="黑体" w:cs="黑体"/>
          <w:sz w:val="44"/>
          <w:szCs w:val="44"/>
        </w:rPr>
        <w:fldChar w:fldCharType="begin"/>
      </w:r>
      <w:r>
        <w:rPr>
          <w:rFonts w:hint="eastAsia" w:ascii="黑体" w:hAnsi="黑体" w:eastAsia="黑体" w:cs="黑体"/>
          <w:sz w:val="44"/>
          <w:szCs w:val="44"/>
        </w:rPr>
        <w:instrText xml:space="preserve">TOC \o "1-2" \h \u </w:instrText>
      </w:r>
      <w:r>
        <w:rPr>
          <w:rFonts w:hint="eastAsia" w:ascii="黑体" w:hAnsi="黑体" w:eastAsia="黑体" w:cs="黑体"/>
          <w:sz w:val="44"/>
          <w:szCs w:val="44"/>
        </w:rPr>
        <w:fldChar w:fldCharType="separate"/>
      </w:r>
      <w:r>
        <w:fldChar w:fldCharType="begin"/>
      </w:r>
      <w:r>
        <w:instrText xml:space="preserve"> HYPERLINK \l "_Toc3190" </w:instrText>
      </w:r>
      <w:r>
        <w:fldChar w:fldCharType="separate"/>
      </w:r>
      <w:r>
        <w:rPr>
          <w:rFonts w:eastAsia="仿宋"/>
        </w:rPr>
        <w:t xml:space="preserve">1 </w:t>
      </w:r>
      <w:r>
        <w:rPr>
          <w:rFonts w:hint="eastAsia"/>
        </w:rPr>
        <w:t>总则</w:t>
      </w:r>
      <w:r>
        <w:tab/>
      </w:r>
      <w:r>
        <w:fldChar w:fldCharType="begin"/>
      </w:r>
      <w:r>
        <w:instrText xml:space="preserve"> PAGEREF _Toc3190 \h </w:instrText>
      </w:r>
      <w:r>
        <w:fldChar w:fldCharType="separate"/>
      </w:r>
      <w:r>
        <w:t>1</w:t>
      </w:r>
      <w:r>
        <w:fldChar w:fldCharType="end"/>
      </w:r>
      <w:r>
        <w:fldChar w:fldCharType="end"/>
      </w:r>
    </w:p>
    <w:p w14:paraId="0629865C">
      <w:pPr>
        <w:pStyle w:val="19"/>
        <w:tabs>
          <w:tab w:val="right" w:leader="dot" w:pos="8845"/>
        </w:tabs>
        <w:ind w:firstLine="632"/>
      </w:pPr>
      <w:r>
        <w:fldChar w:fldCharType="begin"/>
      </w:r>
      <w:r>
        <w:instrText xml:space="preserve"> HYPERLINK \l "_Toc4622" </w:instrText>
      </w:r>
      <w:r>
        <w:fldChar w:fldCharType="separate"/>
      </w:r>
      <w:r>
        <w:rPr>
          <w:rFonts w:eastAsia="仿宋"/>
          <w:bCs/>
          <w:szCs w:val="28"/>
        </w:rPr>
        <w:t xml:space="preserve">1.1 </w:t>
      </w:r>
      <w:r>
        <w:rPr>
          <w:rFonts w:hint="eastAsia"/>
        </w:rPr>
        <w:t>编制目的</w:t>
      </w:r>
      <w:r>
        <w:tab/>
      </w:r>
      <w:r>
        <w:fldChar w:fldCharType="begin"/>
      </w:r>
      <w:r>
        <w:instrText xml:space="preserve"> PAGEREF _Toc4622 \h </w:instrText>
      </w:r>
      <w:r>
        <w:fldChar w:fldCharType="separate"/>
      </w:r>
      <w:r>
        <w:t>1</w:t>
      </w:r>
      <w:r>
        <w:fldChar w:fldCharType="end"/>
      </w:r>
      <w:r>
        <w:fldChar w:fldCharType="end"/>
      </w:r>
    </w:p>
    <w:p w14:paraId="1B193DF1">
      <w:pPr>
        <w:pStyle w:val="19"/>
        <w:tabs>
          <w:tab w:val="right" w:leader="dot" w:pos="8845"/>
        </w:tabs>
        <w:ind w:firstLine="632"/>
      </w:pPr>
      <w:r>
        <w:fldChar w:fldCharType="begin"/>
      </w:r>
      <w:r>
        <w:instrText xml:space="preserve"> HYPERLINK \l "_Toc8561" </w:instrText>
      </w:r>
      <w:r>
        <w:fldChar w:fldCharType="separate"/>
      </w:r>
      <w:r>
        <w:rPr>
          <w:rFonts w:eastAsia="仿宋"/>
          <w:bCs/>
          <w:szCs w:val="28"/>
        </w:rPr>
        <w:t xml:space="preserve">1.2 </w:t>
      </w:r>
      <w:r>
        <w:rPr>
          <w:rFonts w:hint="eastAsia"/>
        </w:rPr>
        <w:t>编制依据</w:t>
      </w:r>
      <w:r>
        <w:tab/>
      </w:r>
      <w:r>
        <w:fldChar w:fldCharType="begin"/>
      </w:r>
      <w:r>
        <w:instrText xml:space="preserve"> PAGEREF _Toc8561 \h </w:instrText>
      </w:r>
      <w:r>
        <w:fldChar w:fldCharType="separate"/>
      </w:r>
      <w:r>
        <w:t>1</w:t>
      </w:r>
      <w:r>
        <w:fldChar w:fldCharType="end"/>
      </w:r>
      <w:r>
        <w:fldChar w:fldCharType="end"/>
      </w:r>
    </w:p>
    <w:p w14:paraId="45517BFC">
      <w:pPr>
        <w:pStyle w:val="19"/>
        <w:tabs>
          <w:tab w:val="right" w:leader="dot" w:pos="8845"/>
        </w:tabs>
        <w:ind w:firstLine="632"/>
      </w:pPr>
      <w:r>
        <w:fldChar w:fldCharType="begin"/>
      </w:r>
      <w:r>
        <w:instrText xml:space="preserve"> HYPERLINK \l "_Toc373" </w:instrText>
      </w:r>
      <w:r>
        <w:fldChar w:fldCharType="separate"/>
      </w:r>
      <w:r>
        <w:rPr>
          <w:rFonts w:eastAsia="仿宋"/>
          <w:bCs/>
          <w:szCs w:val="28"/>
        </w:rPr>
        <w:t xml:space="preserve">1.3 </w:t>
      </w:r>
      <w:r>
        <w:rPr>
          <w:rFonts w:hint="eastAsia"/>
        </w:rPr>
        <w:t>适用范围</w:t>
      </w:r>
      <w:r>
        <w:tab/>
      </w:r>
      <w:r>
        <w:fldChar w:fldCharType="begin"/>
      </w:r>
      <w:r>
        <w:instrText xml:space="preserve"> PAGEREF _Toc373 \h </w:instrText>
      </w:r>
      <w:r>
        <w:fldChar w:fldCharType="separate"/>
      </w:r>
      <w:r>
        <w:t>1</w:t>
      </w:r>
      <w:r>
        <w:fldChar w:fldCharType="end"/>
      </w:r>
      <w:r>
        <w:fldChar w:fldCharType="end"/>
      </w:r>
    </w:p>
    <w:p w14:paraId="2694D980">
      <w:pPr>
        <w:pStyle w:val="19"/>
        <w:tabs>
          <w:tab w:val="right" w:leader="dot" w:pos="8845"/>
        </w:tabs>
        <w:ind w:firstLine="632"/>
      </w:pPr>
      <w:r>
        <w:fldChar w:fldCharType="begin"/>
      </w:r>
      <w:r>
        <w:instrText xml:space="preserve"> HYPERLINK \l "_Toc10964" </w:instrText>
      </w:r>
      <w:r>
        <w:fldChar w:fldCharType="separate"/>
      </w:r>
      <w:r>
        <w:rPr>
          <w:rFonts w:eastAsia="仿宋"/>
          <w:bCs/>
          <w:szCs w:val="28"/>
        </w:rPr>
        <w:t xml:space="preserve">1.4 </w:t>
      </w:r>
      <w:r>
        <w:rPr>
          <w:rFonts w:hint="eastAsia"/>
        </w:rPr>
        <w:t>主要危险源分析</w:t>
      </w:r>
      <w:r>
        <w:tab/>
      </w:r>
      <w:r>
        <w:fldChar w:fldCharType="begin"/>
      </w:r>
      <w:r>
        <w:instrText xml:space="preserve"> PAGEREF _Toc10964 \h </w:instrText>
      </w:r>
      <w:r>
        <w:fldChar w:fldCharType="separate"/>
      </w:r>
      <w:r>
        <w:t>1</w:t>
      </w:r>
      <w:r>
        <w:fldChar w:fldCharType="end"/>
      </w:r>
      <w:r>
        <w:fldChar w:fldCharType="end"/>
      </w:r>
    </w:p>
    <w:p w14:paraId="3DFE283A">
      <w:pPr>
        <w:pStyle w:val="19"/>
        <w:tabs>
          <w:tab w:val="right" w:leader="dot" w:pos="8845"/>
        </w:tabs>
        <w:ind w:firstLine="632"/>
      </w:pPr>
      <w:r>
        <w:fldChar w:fldCharType="begin"/>
      </w:r>
      <w:r>
        <w:instrText xml:space="preserve"> HYPERLINK \l "_Toc13988" </w:instrText>
      </w:r>
      <w:r>
        <w:fldChar w:fldCharType="separate"/>
      </w:r>
      <w:r>
        <w:rPr>
          <w:rFonts w:eastAsia="仿宋"/>
          <w:bCs/>
          <w:szCs w:val="28"/>
        </w:rPr>
        <w:t xml:space="preserve">1.5 </w:t>
      </w:r>
      <w:r>
        <w:rPr>
          <w:rFonts w:hint="eastAsia"/>
        </w:rPr>
        <w:t>工作原则</w:t>
      </w:r>
      <w:r>
        <w:tab/>
      </w:r>
      <w:r>
        <w:fldChar w:fldCharType="begin"/>
      </w:r>
      <w:r>
        <w:instrText xml:space="preserve"> PAGEREF _Toc13988 \h </w:instrText>
      </w:r>
      <w:r>
        <w:fldChar w:fldCharType="separate"/>
      </w:r>
      <w:r>
        <w:t>4</w:t>
      </w:r>
      <w:r>
        <w:fldChar w:fldCharType="end"/>
      </w:r>
      <w:r>
        <w:fldChar w:fldCharType="end"/>
      </w:r>
    </w:p>
    <w:p w14:paraId="4B4EA822">
      <w:pPr>
        <w:pStyle w:val="19"/>
        <w:tabs>
          <w:tab w:val="right" w:leader="dot" w:pos="8845"/>
        </w:tabs>
        <w:ind w:firstLine="632"/>
      </w:pPr>
      <w:r>
        <w:fldChar w:fldCharType="begin"/>
      </w:r>
      <w:r>
        <w:instrText xml:space="preserve"> HYPERLINK \l "_Toc3803" </w:instrText>
      </w:r>
      <w:r>
        <w:fldChar w:fldCharType="separate"/>
      </w:r>
      <w:r>
        <w:rPr>
          <w:rFonts w:eastAsia="仿宋"/>
          <w:bCs/>
          <w:szCs w:val="28"/>
        </w:rPr>
        <w:t xml:space="preserve">1.6 </w:t>
      </w:r>
      <w:r>
        <w:rPr>
          <w:rFonts w:hint="eastAsia"/>
        </w:rPr>
        <w:t>事故分级</w:t>
      </w:r>
      <w:r>
        <w:tab/>
      </w:r>
      <w:r>
        <w:fldChar w:fldCharType="begin"/>
      </w:r>
      <w:r>
        <w:instrText xml:space="preserve"> PAGEREF _Toc3803 \h </w:instrText>
      </w:r>
      <w:r>
        <w:fldChar w:fldCharType="separate"/>
      </w:r>
      <w:r>
        <w:t>5</w:t>
      </w:r>
      <w:r>
        <w:fldChar w:fldCharType="end"/>
      </w:r>
      <w:r>
        <w:fldChar w:fldCharType="end"/>
      </w:r>
    </w:p>
    <w:p w14:paraId="13CDF3BB">
      <w:pPr>
        <w:pStyle w:val="19"/>
        <w:tabs>
          <w:tab w:val="right" w:leader="dot" w:pos="8845"/>
        </w:tabs>
        <w:ind w:firstLine="632"/>
      </w:pPr>
      <w:r>
        <w:fldChar w:fldCharType="begin"/>
      </w:r>
      <w:r>
        <w:instrText xml:space="preserve"> HYPERLINK \l "_Toc6388" </w:instrText>
      </w:r>
      <w:r>
        <w:fldChar w:fldCharType="separate"/>
      </w:r>
      <w:r>
        <w:rPr>
          <w:rFonts w:eastAsia="仿宋"/>
          <w:bCs/>
          <w:szCs w:val="28"/>
        </w:rPr>
        <w:t xml:space="preserve">1.7 </w:t>
      </w:r>
      <w:r>
        <w:rPr>
          <w:rFonts w:hint="eastAsia"/>
        </w:rPr>
        <w:t>应急预案体系</w:t>
      </w:r>
      <w:r>
        <w:tab/>
      </w:r>
      <w:r>
        <w:fldChar w:fldCharType="begin"/>
      </w:r>
      <w:r>
        <w:instrText xml:space="preserve"> PAGEREF _Toc6388 \h </w:instrText>
      </w:r>
      <w:r>
        <w:fldChar w:fldCharType="separate"/>
      </w:r>
      <w:r>
        <w:rPr>
          <w:b/>
        </w:rPr>
        <w:t>错误！未定义书签。</w:t>
      </w:r>
      <w:r>
        <w:fldChar w:fldCharType="end"/>
      </w:r>
      <w:r>
        <w:fldChar w:fldCharType="end"/>
      </w:r>
    </w:p>
    <w:p w14:paraId="063F4440">
      <w:pPr>
        <w:pStyle w:val="18"/>
      </w:pPr>
      <w:r>
        <w:fldChar w:fldCharType="begin"/>
      </w:r>
      <w:r>
        <w:instrText xml:space="preserve"> HYPERLINK \l "_Toc29020" </w:instrText>
      </w:r>
      <w:r>
        <w:fldChar w:fldCharType="separate"/>
      </w:r>
      <w:r>
        <w:rPr>
          <w:rFonts w:eastAsia="仿宋"/>
        </w:rPr>
        <w:t xml:space="preserve">2 </w:t>
      </w:r>
      <w:r>
        <w:rPr>
          <w:rFonts w:hint="eastAsia"/>
        </w:rPr>
        <w:t>组织指挥体系</w:t>
      </w:r>
      <w:r>
        <w:tab/>
      </w:r>
      <w:r>
        <w:fldChar w:fldCharType="begin"/>
      </w:r>
      <w:r>
        <w:instrText xml:space="preserve"> PAGEREF _Toc29020 \h </w:instrText>
      </w:r>
      <w:r>
        <w:fldChar w:fldCharType="separate"/>
      </w:r>
      <w:r>
        <w:t>6</w:t>
      </w:r>
      <w:r>
        <w:fldChar w:fldCharType="end"/>
      </w:r>
      <w:r>
        <w:fldChar w:fldCharType="end"/>
      </w:r>
    </w:p>
    <w:p w14:paraId="5B2F71C1">
      <w:pPr>
        <w:pStyle w:val="19"/>
        <w:tabs>
          <w:tab w:val="right" w:leader="dot" w:pos="8845"/>
        </w:tabs>
        <w:ind w:firstLine="632"/>
      </w:pPr>
      <w:r>
        <w:fldChar w:fldCharType="begin"/>
      </w:r>
      <w:r>
        <w:instrText xml:space="preserve"> HYPERLINK \l "_Toc14139" </w:instrText>
      </w:r>
      <w:r>
        <w:fldChar w:fldCharType="separate"/>
      </w:r>
      <w:r>
        <w:rPr>
          <w:rFonts w:eastAsia="仿宋"/>
          <w:bCs/>
          <w:szCs w:val="28"/>
        </w:rPr>
        <w:t xml:space="preserve">2.1 </w:t>
      </w:r>
      <w:r>
        <w:rPr>
          <w:rFonts w:hint="eastAsia"/>
        </w:rPr>
        <w:t>县非煤矿山生产安全事故指挥部</w:t>
      </w:r>
      <w:r>
        <w:tab/>
      </w:r>
      <w:r>
        <w:fldChar w:fldCharType="begin"/>
      </w:r>
      <w:r>
        <w:instrText xml:space="preserve"> PAGEREF _Toc14139 \h </w:instrText>
      </w:r>
      <w:r>
        <w:fldChar w:fldCharType="separate"/>
      </w:r>
      <w:r>
        <w:t>6</w:t>
      </w:r>
      <w:r>
        <w:fldChar w:fldCharType="end"/>
      </w:r>
      <w:r>
        <w:fldChar w:fldCharType="end"/>
      </w:r>
    </w:p>
    <w:p w14:paraId="4B85BAB9">
      <w:pPr>
        <w:pStyle w:val="19"/>
        <w:tabs>
          <w:tab w:val="right" w:leader="dot" w:pos="8845"/>
        </w:tabs>
        <w:ind w:firstLine="632"/>
      </w:pPr>
      <w:r>
        <w:fldChar w:fldCharType="begin"/>
      </w:r>
      <w:r>
        <w:instrText xml:space="preserve"> HYPERLINK \l "_Toc7880" </w:instrText>
      </w:r>
      <w:r>
        <w:fldChar w:fldCharType="separate"/>
      </w:r>
      <w:r>
        <w:rPr>
          <w:rFonts w:eastAsia="仿宋"/>
          <w:bCs/>
          <w:szCs w:val="28"/>
        </w:rPr>
        <w:t xml:space="preserve">2.2 </w:t>
      </w:r>
      <w:r>
        <w:rPr>
          <w:rFonts w:hint="eastAsia"/>
        </w:rPr>
        <w:t>现场应急救援机构</w:t>
      </w:r>
      <w:r>
        <w:tab/>
      </w:r>
      <w:r>
        <w:fldChar w:fldCharType="begin"/>
      </w:r>
      <w:r>
        <w:instrText xml:space="preserve"> PAGEREF _Toc7880 \h </w:instrText>
      </w:r>
      <w:r>
        <w:fldChar w:fldCharType="separate"/>
      </w:r>
      <w:r>
        <w:t>12</w:t>
      </w:r>
      <w:r>
        <w:fldChar w:fldCharType="end"/>
      </w:r>
      <w:r>
        <w:fldChar w:fldCharType="end"/>
      </w:r>
    </w:p>
    <w:p w14:paraId="3918CE49">
      <w:pPr>
        <w:pStyle w:val="19"/>
        <w:tabs>
          <w:tab w:val="right" w:leader="dot" w:pos="8845"/>
        </w:tabs>
        <w:ind w:firstLine="632"/>
      </w:pPr>
      <w:r>
        <w:fldChar w:fldCharType="begin"/>
      </w:r>
      <w:r>
        <w:instrText xml:space="preserve"> HYPERLINK \l "_Toc2384" </w:instrText>
      </w:r>
      <w:r>
        <w:fldChar w:fldCharType="separate"/>
      </w:r>
      <w:r>
        <w:rPr>
          <w:rFonts w:eastAsia="仿宋"/>
          <w:bCs/>
          <w:szCs w:val="28"/>
        </w:rPr>
        <w:t xml:space="preserve">2.3 </w:t>
      </w:r>
      <w:r>
        <w:rPr>
          <w:rFonts w:hint="eastAsia"/>
        </w:rPr>
        <w:t>基层组织机构</w:t>
      </w:r>
      <w:r>
        <w:tab/>
      </w:r>
      <w:r>
        <w:fldChar w:fldCharType="begin"/>
      </w:r>
      <w:r>
        <w:instrText xml:space="preserve"> PAGEREF _Toc2384 \h </w:instrText>
      </w:r>
      <w:r>
        <w:fldChar w:fldCharType="separate"/>
      </w:r>
      <w:r>
        <w:t>15</w:t>
      </w:r>
      <w:r>
        <w:fldChar w:fldCharType="end"/>
      </w:r>
      <w:r>
        <w:fldChar w:fldCharType="end"/>
      </w:r>
    </w:p>
    <w:p w14:paraId="09F0E1FF">
      <w:pPr>
        <w:pStyle w:val="18"/>
      </w:pPr>
      <w:r>
        <w:fldChar w:fldCharType="begin"/>
      </w:r>
      <w:r>
        <w:instrText xml:space="preserve"> HYPERLINK \l "_Toc16415" </w:instrText>
      </w:r>
      <w:r>
        <w:fldChar w:fldCharType="separate"/>
      </w:r>
      <w:r>
        <w:rPr>
          <w:rFonts w:eastAsia="仿宋"/>
        </w:rPr>
        <w:t xml:space="preserve">3 </w:t>
      </w:r>
      <w:r>
        <w:rPr>
          <w:rFonts w:hint="eastAsia"/>
        </w:rPr>
        <w:t>预防预警机制</w:t>
      </w:r>
      <w:r>
        <w:tab/>
      </w:r>
      <w:r>
        <w:fldChar w:fldCharType="begin"/>
      </w:r>
      <w:r>
        <w:instrText xml:space="preserve"> PAGEREF _Toc16415 \h </w:instrText>
      </w:r>
      <w:r>
        <w:fldChar w:fldCharType="separate"/>
      </w:r>
      <w:r>
        <w:t>16</w:t>
      </w:r>
      <w:r>
        <w:fldChar w:fldCharType="end"/>
      </w:r>
      <w:r>
        <w:fldChar w:fldCharType="end"/>
      </w:r>
    </w:p>
    <w:p w14:paraId="68AF93C9">
      <w:pPr>
        <w:pStyle w:val="19"/>
        <w:tabs>
          <w:tab w:val="right" w:leader="dot" w:pos="8845"/>
        </w:tabs>
        <w:ind w:firstLine="632"/>
      </w:pPr>
      <w:r>
        <w:fldChar w:fldCharType="begin"/>
      </w:r>
      <w:r>
        <w:instrText xml:space="preserve"> HYPERLINK \l "_Toc27310" </w:instrText>
      </w:r>
      <w:r>
        <w:fldChar w:fldCharType="separate"/>
      </w:r>
      <w:r>
        <w:rPr>
          <w:rFonts w:eastAsia="仿宋"/>
          <w:bCs/>
          <w:szCs w:val="28"/>
        </w:rPr>
        <w:t xml:space="preserve">3.1 </w:t>
      </w:r>
      <w:r>
        <w:rPr>
          <w:rFonts w:hint="eastAsia"/>
        </w:rPr>
        <w:t>风险防控</w:t>
      </w:r>
      <w:r>
        <w:tab/>
      </w:r>
      <w:r>
        <w:fldChar w:fldCharType="begin"/>
      </w:r>
      <w:r>
        <w:instrText xml:space="preserve"> PAGEREF _Toc27310 \h </w:instrText>
      </w:r>
      <w:r>
        <w:fldChar w:fldCharType="separate"/>
      </w:r>
      <w:r>
        <w:t>16</w:t>
      </w:r>
      <w:r>
        <w:fldChar w:fldCharType="end"/>
      </w:r>
      <w:r>
        <w:fldChar w:fldCharType="end"/>
      </w:r>
    </w:p>
    <w:p w14:paraId="72014D96">
      <w:pPr>
        <w:pStyle w:val="19"/>
        <w:tabs>
          <w:tab w:val="right" w:leader="dot" w:pos="8845"/>
        </w:tabs>
        <w:ind w:firstLine="632"/>
      </w:pPr>
      <w:r>
        <w:fldChar w:fldCharType="begin"/>
      </w:r>
      <w:r>
        <w:instrText xml:space="preserve"> HYPERLINK \l "_Toc10111" </w:instrText>
      </w:r>
      <w:r>
        <w:fldChar w:fldCharType="separate"/>
      </w:r>
      <w:r>
        <w:rPr>
          <w:rFonts w:eastAsia="仿宋"/>
          <w:bCs/>
          <w:szCs w:val="28"/>
        </w:rPr>
        <w:t xml:space="preserve">3.2 </w:t>
      </w:r>
      <w:r>
        <w:rPr>
          <w:rFonts w:hint="eastAsia"/>
        </w:rPr>
        <w:t>预警</w:t>
      </w:r>
      <w:r>
        <w:tab/>
      </w:r>
      <w:r>
        <w:fldChar w:fldCharType="begin"/>
      </w:r>
      <w:r>
        <w:instrText xml:space="preserve"> PAGEREF _Toc10111 \h </w:instrText>
      </w:r>
      <w:r>
        <w:fldChar w:fldCharType="separate"/>
      </w:r>
      <w:r>
        <w:t>16</w:t>
      </w:r>
      <w:r>
        <w:fldChar w:fldCharType="end"/>
      </w:r>
      <w:r>
        <w:fldChar w:fldCharType="end"/>
      </w:r>
    </w:p>
    <w:p w14:paraId="5DBA2AB7">
      <w:pPr>
        <w:pStyle w:val="18"/>
      </w:pPr>
      <w:r>
        <w:fldChar w:fldCharType="begin"/>
      </w:r>
      <w:r>
        <w:instrText xml:space="preserve"> HYPERLINK \l "_Toc32580" </w:instrText>
      </w:r>
      <w:r>
        <w:fldChar w:fldCharType="separate"/>
      </w:r>
      <w:r>
        <w:rPr>
          <w:rFonts w:eastAsia="仿宋"/>
        </w:rPr>
        <w:t xml:space="preserve">4 </w:t>
      </w:r>
      <w:r>
        <w:rPr>
          <w:rFonts w:hint="eastAsia"/>
        </w:rPr>
        <w:t>应急响应</w:t>
      </w:r>
      <w:r>
        <w:tab/>
      </w:r>
      <w:r>
        <w:fldChar w:fldCharType="begin"/>
      </w:r>
      <w:r>
        <w:instrText xml:space="preserve"> PAGEREF _Toc32580 \h </w:instrText>
      </w:r>
      <w:r>
        <w:fldChar w:fldCharType="separate"/>
      </w:r>
      <w:r>
        <w:t>18</w:t>
      </w:r>
      <w:r>
        <w:fldChar w:fldCharType="end"/>
      </w:r>
      <w:r>
        <w:fldChar w:fldCharType="end"/>
      </w:r>
    </w:p>
    <w:p w14:paraId="21B6CD44">
      <w:pPr>
        <w:pStyle w:val="19"/>
        <w:tabs>
          <w:tab w:val="right" w:leader="dot" w:pos="8845"/>
        </w:tabs>
        <w:ind w:firstLine="632"/>
      </w:pPr>
      <w:r>
        <w:fldChar w:fldCharType="begin"/>
      </w:r>
      <w:r>
        <w:instrText xml:space="preserve"> HYPERLINK \l "_Toc16953" </w:instrText>
      </w:r>
      <w:r>
        <w:fldChar w:fldCharType="separate"/>
      </w:r>
      <w:r>
        <w:rPr>
          <w:rFonts w:eastAsia="仿宋"/>
          <w:bCs/>
          <w:szCs w:val="28"/>
        </w:rPr>
        <w:t xml:space="preserve">4.1 </w:t>
      </w:r>
      <w:r>
        <w:rPr>
          <w:rFonts w:hint="eastAsia"/>
        </w:rPr>
        <w:t>信息报告</w:t>
      </w:r>
      <w:r>
        <w:tab/>
      </w:r>
      <w:r>
        <w:fldChar w:fldCharType="begin"/>
      </w:r>
      <w:r>
        <w:instrText xml:space="preserve"> PAGEREF _Toc16953 \h </w:instrText>
      </w:r>
      <w:r>
        <w:fldChar w:fldCharType="separate"/>
      </w:r>
      <w:r>
        <w:t>18</w:t>
      </w:r>
      <w:r>
        <w:fldChar w:fldCharType="end"/>
      </w:r>
      <w:r>
        <w:fldChar w:fldCharType="end"/>
      </w:r>
    </w:p>
    <w:p w14:paraId="6F9447B1">
      <w:pPr>
        <w:pStyle w:val="19"/>
        <w:tabs>
          <w:tab w:val="right" w:leader="dot" w:pos="8845"/>
        </w:tabs>
        <w:ind w:firstLine="632"/>
      </w:pPr>
      <w:r>
        <w:fldChar w:fldCharType="begin"/>
      </w:r>
      <w:r>
        <w:instrText xml:space="preserve"> HYPERLINK \l "_Toc31671" </w:instrText>
      </w:r>
      <w:r>
        <w:fldChar w:fldCharType="separate"/>
      </w:r>
      <w:r>
        <w:rPr>
          <w:rFonts w:eastAsia="仿宋"/>
          <w:bCs/>
          <w:szCs w:val="28"/>
        </w:rPr>
        <w:t xml:space="preserve">4.2 </w:t>
      </w:r>
      <w:r>
        <w:rPr>
          <w:rFonts w:hint="eastAsia"/>
        </w:rPr>
        <w:t>先期处置</w:t>
      </w:r>
      <w:r>
        <w:tab/>
      </w:r>
      <w:r>
        <w:fldChar w:fldCharType="begin"/>
      </w:r>
      <w:r>
        <w:instrText xml:space="preserve"> PAGEREF _Toc31671 \h </w:instrText>
      </w:r>
      <w:r>
        <w:fldChar w:fldCharType="separate"/>
      </w:r>
      <w:r>
        <w:t>21</w:t>
      </w:r>
      <w:r>
        <w:fldChar w:fldCharType="end"/>
      </w:r>
      <w:r>
        <w:fldChar w:fldCharType="end"/>
      </w:r>
    </w:p>
    <w:p w14:paraId="783E1BBD">
      <w:pPr>
        <w:pStyle w:val="19"/>
        <w:tabs>
          <w:tab w:val="right" w:leader="dot" w:pos="8845"/>
        </w:tabs>
        <w:ind w:firstLine="632"/>
      </w:pPr>
      <w:r>
        <w:fldChar w:fldCharType="begin"/>
      </w:r>
      <w:r>
        <w:instrText xml:space="preserve"> HYPERLINK \l "_Toc25752" </w:instrText>
      </w:r>
      <w:r>
        <w:fldChar w:fldCharType="separate"/>
      </w:r>
      <w:r>
        <w:rPr>
          <w:rFonts w:eastAsia="仿宋"/>
          <w:bCs/>
          <w:szCs w:val="28"/>
        </w:rPr>
        <w:t xml:space="preserve">4.3 </w:t>
      </w:r>
      <w:r>
        <w:rPr>
          <w:rFonts w:hint="eastAsia"/>
        </w:rPr>
        <w:t>分级响应</w:t>
      </w:r>
      <w:r>
        <w:tab/>
      </w:r>
      <w:r>
        <w:fldChar w:fldCharType="begin"/>
      </w:r>
      <w:r>
        <w:instrText xml:space="preserve"> PAGEREF _Toc25752 \h </w:instrText>
      </w:r>
      <w:r>
        <w:fldChar w:fldCharType="separate"/>
      </w:r>
      <w:r>
        <w:t>22</w:t>
      </w:r>
      <w:r>
        <w:fldChar w:fldCharType="end"/>
      </w:r>
      <w:r>
        <w:fldChar w:fldCharType="end"/>
      </w:r>
    </w:p>
    <w:p w14:paraId="71F675BD">
      <w:pPr>
        <w:pStyle w:val="19"/>
        <w:tabs>
          <w:tab w:val="right" w:leader="dot" w:pos="8845"/>
        </w:tabs>
        <w:ind w:firstLine="632"/>
      </w:pPr>
      <w:r>
        <w:fldChar w:fldCharType="begin"/>
      </w:r>
      <w:r>
        <w:instrText xml:space="preserve"> HYPERLINK \l "_Toc21652" </w:instrText>
      </w:r>
      <w:r>
        <w:fldChar w:fldCharType="separate"/>
      </w:r>
      <w:r>
        <w:rPr>
          <w:rFonts w:eastAsia="仿宋"/>
          <w:bCs/>
          <w:szCs w:val="28"/>
        </w:rPr>
        <w:t xml:space="preserve">4.4 </w:t>
      </w:r>
      <w:r>
        <w:rPr>
          <w:rFonts w:hint="eastAsia"/>
        </w:rPr>
        <w:t>指挥和协调</w:t>
      </w:r>
      <w:r>
        <w:tab/>
      </w:r>
      <w:r>
        <w:fldChar w:fldCharType="begin"/>
      </w:r>
      <w:r>
        <w:instrText xml:space="preserve"> PAGEREF _Toc21652 \h </w:instrText>
      </w:r>
      <w:r>
        <w:fldChar w:fldCharType="separate"/>
      </w:r>
      <w:r>
        <w:t>26</w:t>
      </w:r>
      <w:r>
        <w:fldChar w:fldCharType="end"/>
      </w:r>
      <w:r>
        <w:fldChar w:fldCharType="end"/>
      </w:r>
    </w:p>
    <w:p w14:paraId="160359E1">
      <w:pPr>
        <w:pStyle w:val="19"/>
        <w:tabs>
          <w:tab w:val="right" w:leader="dot" w:pos="8845"/>
        </w:tabs>
        <w:ind w:firstLine="632"/>
      </w:pPr>
      <w:r>
        <w:fldChar w:fldCharType="begin"/>
      </w:r>
      <w:r>
        <w:instrText xml:space="preserve"> HYPERLINK \l "_Toc1204" </w:instrText>
      </w:r>
      <w:r>
        <w:fldChar w:fldCharType="separate"/>
      </w:r>
      <w:r>
        <w:rPr>
          <w:rFonts w:eastAsia="仿宋"/>
          <w:bCs/>
          <w:szCs w:val="28"/>
        </w:rPr>
        <w:t xml:space="preserve">4.5 </w:t>
      </w:r>
      <w:r>
        <w:rPr>
          <w:rFonts w:hint="eastAsia"/>
        </w:rPr>
        <w:t>现场紧急处置措施</w:t>
      </w:r>
      <w:r>
        <w:tab/>
      </w:r>
      <w:r>
        <w:fldChar w:fldCharType="begin"/>
      </w:r>
      <w:r>
        <w:instrText xml:space="preserve"> PAGEREF _Toc1204 \h </w:instrText>
      </w:r>
      <w:r>
        <w:fldChar w:fldCharType="separate"/>
      </w:r>
      <w:r>
        <w:t>27</w:t>
      </w:r>
      <w:r>
        <w:fldChar w:fldCharType="end"/>
      </w:r>
      <w:r>
        <w:fldChar w:fldCharType="end"/>
      </w:r>
    </w:p>
    <w:p w14:paraId="57DE4A46">
      <w:pPr>
        <w:pStyle w:val="19"/>
        <w:tabs>
          <w:tab w:val="right" w:leader="dot" w:pos="8845"/>
        </w:tabs>
        <w:ind w:firstLine="632"/>
      </w:pPr>
      <w:r>
        <w:fldChar w:fldCharType="begin"/>
      </w:r>
      <w:r>
        <w:instrText xml:space="preserve"> HYPERLINK \l "_Toc13389" </w:instrText>
      </w:r>
      <w:r>
        <w:fldChar w:fldCharType="separate"/>
      </w:r>
      <w:r>
        <w:rPr>
          <w:rFonts w:eastAsia="仿宋"/>
          <w:bCs/>
          <w:szCs w:val="28"/>
        </w:rPr>
        <w:t xml:space="preserve">4.6 </w:t>
      </w:r>
      <w:r>
        <w:rPr>
          <w:rFonts w:hint="eastAsia"/>
        </w:rPr>
        <w:t>安全防护</w:t>
      </w:r>
      <w:r>
        <w:tab/>
      </w:r>
      <w:r>
        <w:fldChar w:fldCharType="begin"/>
      </w:r>
      <w:r>
        <w:instrText xml:space="preserve"> PAGEREF _Toc13389 \h </w:instrText>
      </w:r>
      <w:r>
        <w:fldChar w:fldCharType="separate"/>
      </w:r>
      <w:r>
        <w:t>33</w:t>
      </w:r>
      <w:r>
        <w:fldChar w:fldCharType="end"/>
      </w:r>
      <w:r>
        <w:fldChar w:fldCharType="end"/>
      </w:r>
    </w:p>
    <w:p w14:paraId="03A848AB">
      <w:pPr>
        <w:pStyle w:val="19"/>
        <w:tabs>
          <w:tab w:val="right" w:leader="dot" w:pos="8845"/>
        </w:tabs>
        <w:ind w:firstLine="632"/>
      </w:pPr>
      <w:r>
        <w:fldChar w:fldCharType="begin"/>
      </w:r>
      <w:r>
        <w:instrText xml:space="preserve"> HYPERLINK \l "_Toc25863" </w:instrText>
      </w:r>
      <w:r>
        <w:fldChar w:fldCharType="separate"/>
      </w:r>
      <w:r>
        <w:rPr>
          <w:rFonts w:eastAsia="仿宋"/>
          <w:bCs/>
          <w:szCs w:val="28"/>
        </w:rPr>
        <w:t xml:space="preserve">4.7 </w:t>
      </w:r>
      <w:r>
        <w:rPr>
          <w:rFonts w:hint="eastAsia" w:eastAsia="方正仿宋_GB2312"/>
        </w:rPr>
        <w:t>扩大应急</w:t>
      </w:r>
      <w:r>
        <w:tab/>
      </w:r>
      <w:r>
        <w:fldChar w:fldCharType="begin"/>
      </w:r>
      <w:r>
        <w:instrText xml:space="preserve"> PAGEREF _Toc25863 \h </w:instrText>
      </w:r>
      <w:r>
        <w:fldChar w:fldCharType="separate"/>
      </w:r>
      <w:r>
        <w:t>34</w:t>
      </w:r>
      <w:r>
        <w:fldChar w:fldCharType="end"/>
      </w:r>
      <w:r>
        <w:fldChar w:fldCharType="end"/>
      </w:r>
    </w:p>
    <w:p w14:paraId="296D600D">
      <w:pPr>
        <w:pStyle w:val="19"/>
        <w:tabs>
          <w:tab w:val="right" w:leader="dot" w:pos="8845"/>
        </w:tabs>
        <w:ind w:firstLine="632"/>
      </w:pPr>
      <w:r>
        <w:fldChar w:fldCharType="begin"/>
      </w:r>
      <w:r>
        <w:instrText xml:space="preserve"> HYPERLINK \l "_Toc22011" </w:instrText>
      </w:r>
      <w:r>
        <w:fldChar w:fldCharType="separate"/>
      </w:r>
      <w:r>
        <w:rPr>
          <w:rFonts w:eastAsia="仿宋"/>
          <w:bCs/>
          <w:szCs w:val="28"/>
        </w:rPr>
        <w:t xml:space="preserve">4.8 </w:t>
      </w:r>
      <w:r>
        <w:rPr>
          <w:rFonts w:hint="eastAsia" w:eastAsia="方正仿宋_GB2312"/>
        </w:rPr>
        <w:t>信息发布与舆论引导</w:t>
      </w:r>
      <w:r>
        <w:tab/>
      </w:r>
      <w:r>
        <w:fldChar w:fldCharType="begin"/>
      </w:r>
      <w:r>
        <w:instrText xml:space="preserve"> PAGEREF _Toc22011 \h </w:instrText>
      </w:r>
      <w:r>
        <w:fldChar w:fldCharType="separate"/>
      </w:r>
      <w:r>
        <w:t>34</w:t>
      </w:r>
      <w:r>
        <w:fldChar w:fldCharType="end"/>
      </w:r>
      <w:r>
        <w:fldChar w:fldCharType="end"/>
      </w:r>
    </w:p>
    <w:p w14:paraId="0BD8D873">
      <w:pPr>
        <w:pStyle w:val="19"/>
        <w:tabs>
          <w:tab w:val="right" w:leader="dot" w:pos="8845"/>
        </w:tabs>
        <w:ind w:firstLine="632"/>
      </w:pPr>
      <w:r>
        <w:fldChar w:fldCharType="begin"/>
      </w:r>
      <w:r>
        <w:instrText xml:space="preserve"> HYPERLINK \l "_Toc29865" </w:instrText>
      </w:r>
      <w:r>
        <w:fldChar w:fldCharType="separate"/>
      </w:r>
      <w:r>
        <w:rPr>
          <w:rFonts w:eastAsia="仿宋"/>
          <w:bCs/>
          <w:szCs w:val="28"/>
        </w:rPr>
        <w:t xml:space="preserve">4.9 </w:t>
      </w:r>
      <w:r>
        <w:t>应急结束</w:t>
      </w:r>
      <w:r>
        <w:tab/>
      </w:r>
      <w:r>
        <w:fldChar w:fldCharType="begin"/>
      </w:r>
      <w:r>
        <w:instrText xml:space="preserve"> PAGEREF _Toc29865 \h </w:instrText>
      </w:r>
      <w:r>
        <w:fldChar w:fldCharType="separate"/>
      </w:r>
      <w:r>
        <w:t>34</w:t>
      </w:r>
      <w:r>
        <w:fldChar w:fldCharType="end"/>
      </w:r>
      <w:r>
        <w:fldChar w:fldCharType="end"/>
      </w:r>
    </w:p>
    <w:p w14:paraId="6429D53F">
      <w:pPr>
        <w:pStyle w:val="18"/>
      </w:pPr>
      <w:r>
        <w:fldChar w:fldCharType="begin"/>
      </w:r>
      <w:r>
        <w:instrText xml:space="preserve"> HYPERLINK \l "_Toc4912" </w:instrText>
      </w:r>
      <w:r>
        <w:fldChar w:fldCharType="separate"/>
      </w:r>
      <w:r>
        <w:rPr>
          <w:rFonts w:eastAsia="仿宋"/>
        </w:rPr>
        <w:t xml:space="preserve">5 </w:t>
      </w:r>
      <w:r>
        <w:t>后期处置</w:t>
      </w:r>
      <w:r>
        <w:tab/>
      </w:r>
      <w:r>
        <w:fldChar w:fldCharType="begin"/>
      </w:r>
      <w:r>
        <w:instrText xml:space="preserve"> PAGEREF _Toc4912 \h </w:instrText>
      </w:r>
      <w:r>
        <w:fldChar w:fldCharType="separate"/>
      </w:r>
      <w:r>
        <w:t>35</w:t>
      </w:r>
      <w:r>
        <w:fldChar w:fldCharType="end"/>
      </w:r>
      <w:r>
        <w:fldChar w:fldCharType="end"/>
      </w:r>
    </w:p>
    <w:p w14:paraId="4ED1C45E">
      <w:pPr>
        <w:pStyle w:val="19"/>
        <w:tabs>
          <w:tab w:val="right" w:leader="dot" w:pos="8845"/>
        </w:tabs>
        <w:ind w:firstLine="632"/>
      </w:pPr>
      <w:r>
        <w:fldChar w:fldCharType="begin"/>
      </w:r>
      <w:r>
        <w:instrText xml:space="preserve"> HYPERLINK \l "_Toc6742" </w:instrText>
      </w:r>
      <w:r>
        <w:fldChar w:fldCharType="separate"/>
      </w:r>
      <w:r>
        <w:rPr>
          <w:rFonts w:eastAsia="仿宋"/>
          <w:bCs/>
          <w:szCs w:val="28"/>
        </w:rPr>
        <w:t xml:space="preserve">5.1 </w:t>
      </w:r>
      <w:r>
        <w:rPr>
          <w:rFonts w:hint="eastAsia"/>
        </w:rPr>
        <w:t>善后处置</w:t>
      </w:r>
      <w:r>
        <w:tab/>
      </w:r>
      <w:r>
        <w:fldChar w:fldCharType="begin"/>
      </w:r>
      <w:r>
        <w:instrText xml:space="preserve"> PAGEREF _Toc6742 \h </w:instrText>
      </w:r>
      <w:r>
        <w:fldChar w:fldCharType="separate"/>
      </w:r>
      <w:r>
        <w:t>35</w:t>
      </w:r>
      <w:r>
        <w:fldChar w:fldCharType="end"/>
      </w:r>
      <w:r>
        <w:fldChar w:fldCharType="end"/>
      </w:r>
    </w:p>
    <w:p w14:paraId="5E2E0D2C">
      <w:pPr>
        <w:pStyle w:val="19"/>
        <w:tabs>
          <w:tab w:val="right" w:leader="dot" w:pos="8845"/>
        </w:tabs>
        <w:ind w:firstLine="632"/>
      </w:pPr>
      <w:r>
        <w:fldChar w:fldCharType="begin"/>
      </w:r>
      <w:r>
        <w:instrText xml:space="preserve"> HYPERLINK \l "_Toc9572" </w:instrText>
      </w:r>
      <w:r>
        <w:fldChar w:fldCharType="separate"/>
      </w:r>
      <w:r>
        <w:rPr>
          <w:rFonts w:eastAsia="仿宋"/>
          <w:bCs/>
          <w:szCs w:val="28"/>
        </w:rPr>
        <w:t xml:space="preserve">5.2 </w:t>
      </w:r>
      <w:r>
        <w:rPr>
          <w:rFonts w:hint="eastAsia"/>
        </w:rPr>
        <w:t>保险</w:t>
      </w:r>
      <w:r>
        <w:tab/>
      </w:r>
      <w:r>
        <w:fldChar w:fldCharType="begin"/>
      </w:r>
      <w:r>
        <w:instrText xml:space="preserve"> PAGEREF _Toc9572 \h </w:instrText>
      </w:r>
      <w:r>
        <w:fldChar w:fldCharType="separate"/>
      </w:r>
      <w:r>
        <w:t>35</w:t>
      </w:r>
      <w:r>
        <w:fldChar w:fldCharType="end"/>
      </w:r>
      <w:r>
        <w:fldChar w:fldCharType="end"/>
      </w:r>
    </w:p>
    <w:p w14:paraId="0FAF802A">
      <w:pPr>
        <w:pStyle w:val="19"/>
        <w:tabs>
          <w:tab w:val="right" w:leader="dot" w:pos="8845"/>
        </w:tabs>
        <w:ind w:firstLine="632"/>
      </w:pPr>
      <w:r>
        <w:fldChar w:fldCharType="begin"/>
      </w:r>
      <w:r>
        <w:instrText xml:space="preserve"> HYPERLINK \l "_Toc2216" </w:instrText>
      </w:r>
      <w:r>
        <w:fldChar w:fldCharType="separate"/>
      </w:r>
      <w:r>
        <w:rPr>
          <w:rFonts w:eastAsia="仿宋"/>
          <w:bCs/>
          <w:szCs w:val="28"/>
        </w:rPr>
        <w:t xml:space="preserve">5.3 </w:t>
      </w:r>
      <w:r>
        <w:rPr>
          <w:rFonts w:hint="eastAsia"/>
        </w:rPr>
        <w:t>调查与评估</w:t>
      </w:r>
      <w:r>
        <w:tab/>
      </w:r>
      <w:r>
        <w:fldChar w:fldCharType="begin"/>
      </w:r>
      <w:r>
        <w:instrText xml:space="preserve"> PAGEREF _Toc2216 \h </w:instrText>
      </w:r>
      <w:r>
        <w:fldChar w:fldCharType="separate"/>
      </w:r>
      <w:r>
        <w:t>36</w:t>
      </w:r>
      <w:r>
        <w:fldChar w:fldCharType="end"/>
      </w:r>
      <w:r>
        <w:fldChar w:fldCharType="end"/>
      </w:r>
    </w:p>
    <w:p w14:paraId="0830632A">
      <w:pPr>
        <w:pStyle w:val="18"/>
      </w:pPr>
      <w:r>
        <w:fldChar w:fldCharType="begin"/>
      </w:r>
      <w:r>
        <w:instrText xml:space="preserve"> HYPERLINK \l "_Toc24514" </w:instrText>
      </w:r>
      <w:r>
        <w:fldChar w:fldCharType="separate"/>
      </w:r>
      <w:r>
        <w:rPr>
          <w:rFonts w:eastAsia="仿宋"/>
        </w:rPr>
        <w:t xml:space="preserve">6 </w:t>
      </w:r>
      <w:r>
        <w:rPr>
          <w:rFonts w:hint="eastAsia"/>
        </w:rPr>
        <w:t>应急保障</w:t>
      </w:r>
      <w:r>
        <w:tab/>
      </w:r>
      <w:r>
        <w:fldChar w:fldCharType="begin"/>
      </w:r>
      <w:r>
        <w:instrText xml:space="preserve"> PAGEREF _Toc24514 \h </w:instrText>
      </w:r>
      <w:r>
        <w:fldChar w:fldCharType="separate"/>
      </w:r>
      <w:r>
        <w:t>36</w:t>
      </w:r>
      <w:r>
        <w:fldChar w:fldCharType="end"/>
      </w:r>
      <w:r>
        <w:fldChar w:fldCharType="end"/>
      </w:r>
    </w:p>
    <w:p w14:paraId="14A44A78">
      <w:pPr>
        <w:pStyle w:val="19"/>
        <w:tabs>
          <w:tab w:val="right" w:leader="dot" w:pos="8845"/>
        </w:tabs>
        <w:ind w:firstLine="632"/>
      </w:pPr>
      <w:r>
        <w:fldChar w:fldCharType="begin"/>
      </w:r>
      <w:r>
        <w:instrText xml:space="preserve"> HYPERLINK \l "_Toc27954" </w:instrText>
      </w:r>
      <w:r>
        <w:fldChar w:fldCharType="separate"/>
      </w:r>
      <w:r>
        <w:rPr>
          <w:rFonts w:eastAsia="仿宋"/>
          <w:bCs/>
          <w:szCs w:val="28"/>
        </w:rPr>
        <w:t xml:space="preserve">6.1 </w:t>
      </w:r>
      <w:r>
        <w:rPr>
          <w:rFonts w:hint="eastAsia"/>
        </w:rPr>
        <w:t>通信与信息保障</w:t>
      </w:r>
      <w:r>
        <w:tab/>
      </w:r>
      <w:r>
        <w:fldChar w:fldCharType="begin"/>
      </w:r>
      <w:r>
        <w:instrText xml:space="preserve"> PAGEREF _Toc27954 \h </w:instrText>
      </w:r>
      <w:r>
        <w:fldChar w:fldCharType="separate"/>
      </w:r>
      <w:r>
        <w:t>36</w:t>
      </w:r>
      <w:r>
        <w:fldChar w:fldCharType="end"/>
      </w:r>
      <w:r>
        <w:fldChar w:fldCharType="end"/>
      </w:r>
    </w:p>
    <w:p w14:paraId="3A0578B3">
      <w:pPr>
        <w:pStyle w:val="19"/>
        <w:tabs>
          <w:tab w:val="right" w:leader="dot" w:pos="8845"/>
        </w:tabs>
        <w:ind w:firstLine="632"/>
      </w:pPr>
      <w:r>
        <w:fldChar w:fldCharType="begin"/>
      </w:r>
      <w:r>
        <w:instrText xml:space="preserve"> HYPERLINK \l "_Toc3165" </w:instrText>
      </w:r>
      <w:r>
        <w:fldChar w:fldCharType="separate"/>
      </w:r>
      <w:r>
        <w:rPr>
          <w:rFonts w:eastAsia="仿宋"/>
          <w:bCs/>
          <w:szCs w:val="28"/>
        </w:rPr>
        <w:t xml:space="preserve">6.2 </w:t>
      </w:r>
      <w:r>
        <w:rPr>
          <w:rFonts w:hint="eastAsia"/>
        </w:rPr>
        <w:t>应急物资、装备保障</w:t>
      </w:r>
      <w:r>
        <w:tab/>
      </w:r>
      <w:r>
        <w:fldChar w:fldCharType="begin"/>
      </w:r>
      <w:r>
        <w:instrText xml:space="preserve"> PAGEREF _Toc3165 \h </w:instrText>
      </w:r>
      <w:r>
        <w:fldChar w:fldCharType="separate"/>
      </w:r>
      <w:r>
        <w:t>36</w:t>
      </w:r>
      <w:r>
        <w:fldChar w:fldCharType="end"/>
      </w:r>
      <w:r>
        <w:fldChar w:fldCharType="end"/>
      </w:r>
    </w:p>
    <w:p w14:paraId="1D5C8921">
      <w:pPr>
        <w:pStyle w:val="19"/>
        <w:tabs>
          <w:tab w:val="right" w:leader="dot" w:pos="8845"/>
        </w:tabs>
        <w:ind w:firstLine="632"/>
      </w:pPr>
      <w:r>
        <w:fldChar w:fldCharType="begin"/>
      </w:r>
      <w:r>
        <w:instrText xml:space="preserve"> HYPERLINK \l "_Toc6490" </w:instrText>
      </w:r>
      <w:r>
        <w:fldChar w:fldCharType="separate"/>
      </w:r>
      <w:r>
        <w:rPr>
          <w:rFonts w:eastAsia="仿宋"/>
          <w:bCs/>
          <w:szCs w:val="28"/>
        </w:rPr>
        <w:t xml:space="preserve">6.3 </w:t>
      </w:r>
      <w:r>
        <w:rPr>
          <w:rFonts w:hint="eastAsia"/>
        </w:rPr>
        <w:t>应急队伍保障</w:t>
      </w:r>
      <w:r>
        <w:tab/>
      </w:r>
      <w:r>
        <w:fldChar w:fldCharType="begin"/>
      </w:r>
      <w:r>
        <w:instrText xml:space="preserve"> PAGEREF _Toc6490 \h </w:instrText>
      </w:r>
      <w:r>
        <w:fldChar w:fldCharType="separate"/>
      </w:r>
      <w:r>
        <w:t>37</w:t>
      </w:r>
      <w:r>
        <w:fldChar w:fldCharType="end"/>
      </w:r>
      <w:r>
        <w:fldChar w:fldCharType="end"/>
      </w:r>
    </w:p>
    <w:p w14:paraId="7F0F54A9">
      <w:pPr>
        <w:pStyle w:val="19"/>
        <w:tabs>
          <w:tab w:val="right" w:leader="dot" w:pos="8845"/>
        </w:tabs>
        <w:ind w:firstLine="632"/>
      </w:pPr>
      <w:r>
        <w:fldChar w:fldCharType="begin"/>
      </w:r>
      <w:r>
        <w:instrText xml:space="preserve"> HYPERLINK \l "_Toc12312" </w:instrText>
      </w:r>
      <w:r>
        <w:fldChar w:fldCharType="separate"/>
      </w:r>
      <w:r>
        <w:rPr>
          <w:rFonts w:eastAsia="仿宋"/>
          <w:bCs/>
          <w:szCs w:val="28"/>
        </w:rPr>
        <w:t xml:space="preserve">6.4 </w:t>
      </w:r>
      <w:r>
        <w:rPr>
          <w:rFonts w:hint="eastAsia"/>
        </w:rPr>
        <w:t>交通运输保障</w:t>
      </w:r>
      <w:r>
        <w:tab/>
      </w:r>
      <w:r>
        <w:fldChar w:fldCharType="begin"/>
      </w:r>
      <w:r>
        <w:instrText xml:space="preserve"> PAGEREF _Toc12312 \h </w:instrText>
      </w:r>
      <w:r>
        <w:fldChar w:fldCharType="separate"/>
      </w:r>
      <w:r>
        <w:t>37</w:t>
      </w:r>
      <w:r>
        <w:fldChar w:fldCharType="end"/>
      </w:r>
      <w:r>
        <w:fldChar w:fldCharType="end"/>
      </w:r>
    </w:p>
    <w:p w14:paraId="43500048">
      <w:pPr>
        <w:pStyle w:val="19"/>
        <w:tabs>
          <w:tab w:val="right" w:leader="dot" w:pos="8845"/>
        </w:tabs>
        <w:ind w:firstLine="632"/>
      </w:pPr>
      <w:r>
        <w:fldChar w:fldCharType="begin"/>
      </w:r>
      <w:r>
        <w:instrText xml:space="preserve"> HYPERLINK \l "_Toc31529" </w:instrText>
      </w:r>
      <w:r>
        <w:fldChar w:fldCharType="separate"/>
      </w:r>
      <w:r>
        <w:rPr>
          <w:rFonts w:eastAsia="仿宋"/>
          <w:bCs/>
          <w:szCs w:val="28"/>
        </w:rPr>
        <w:t xml:space="preserve">6.5 </w:t>
      </w:r>
      <w:r>
        <w:rPr>
          <w:rFonts w:hint="eastAsia"/>
        </w:rPr>
        <w:t>医疗卫生保障</w:t>
      </w:r>
      <w:r>
        <w:tab/>
      </w:r>
      <w:r>
        <w:fldChar w:fldCharType="begin"/>
      </w:r>
      <w:r>
        <w:instrText xml:space="preserve"> PAGEREF _Toc31529 \h </w:instrText>
      </w:r>
      <w:r>
        <w:fldChar w:fldCharType="separate"/>
      </w:r>
      <w:r>
        <w:t>37</w:t>
      </w:r>
      <w:r>
        <w:fldChar w:fldCharType="end"/>
      </w:r>
      <w:r>
        <w:fldChar w:fldCharType="end"/>
      </w:r>
    </w:p>
    <w:p w14:paraId="4A1B0184">
      <w:pPr>
        <w:pStyle w:val="19"/>
        <w:tabs>
          <w:tab w:val="right" w:leader="dot" w:pos="8845"/>
        </w:tabs>
        <w:ind w:firstLine="632"/>
      </w:pPr>
      <w:r>
        <w:fldChar w:fldCharType="begin"/>
      </w:r>
      <w:r>
        <w:instrText xml:space="preserve"> HYPERLINK \l "_Toc21192" </w:instrText>
      </w:r>
      <w:r>
        <w:fldChar w:fldCharType="separate"/>
      </w:r>
      <w:r>
        <w:rPr>
          <w:rFonts w:eastAsia="仿宋"/>
          <w:bCs/>
          <w:szCs w:val="28"/>
        </w:rPr>
        <w:t xml:space="preserve">6.6 </w:t>
      </w:r>
      <w:r>
        <w:rPr>
          <w:rFonts w:hint="eastAsia"/>
        </w:rPr>
        <w:t>治安保障</w:t>
      </w:r>
      <w:r>
        <w:tab/>
      </w:r>
      <w:r>
        <w:fldChar w:fldCharType="begin"/>
      </w:r>
      <w:r>
        <w:instrText xml:space="preserve"> PAGEREF _Toc21192 \h </w:instrText>
      </w:r>
      <w:r>
        <w:fldChar w:fldCharType="separate"/>
      </w:r>
      <w:r>
        <w:t>38</w:t>
      </w:r>
      <w:r>
        <w:fldChar w:fldCharType="end"/>
      </w:r>
      <w:r>
        <w:fldChar w:fldCharType="end"/>
      </w:r>
    </w:p>
    <w:p w14:paraId="3D81A19E">
      <w:pPr>
        <w:pStyle w:val="19"/>
        <w:tabs>
          <w:tab w:val="right" w:leader="dot" w:pos="8845"/>
        </w:tabs>
        <w:ind w:firstLine="632"/>
      </w:pPr>
      <w:r>
        <w:fldChar w:fldCharType="begin"/>
      </w:r>
      <w:r>
        <w:instrText xml:space="preserve"> HYPERLINK \l "_Toc11621" </w:instrText>
      </w:r>
      <w:r>
        <w:fldChar w:fldCharType="separate"/>
      </w:r>
      <w:r>
        <w:rPr>
          <w:rFonts w:eastAsia="仿宋"/>
          <w:bCs/>
          <w:szCs w:val="28"/>
        </w:rPr>
        <w:t xml:space="preserve">6.7 </w:t>
      </w:r>
      <w:r>
        <w:rPr>
          <w:rFonts w:hint="eastAsia"/>
        </w:rPr>
        <w:t>经费保障</w:t>
      </w:r>
      <w:r>
        <w:tab/>
      </w:r>
      <w:r>
        <w:fldChar w:fldCharType="begin"/>
      </w:r>
      <w:r>
        <w:instrText xml:space="preserve"> PAGEREF _Toc11621 \h </w:instrText>
      </w:r>
      <w:r>
        <w:fldChar w:fldCharType="separate"/>
      </w:r>
      <w:r>
        <w:t>38</w:t>
      </w:r>
      <w:r>
        <w:fldChar w:fldCharType="end"/>
      </w:r>
      <w:r>
        <w:fldChar w:fldCharType="end"/>
      </w:r>
    </w:p>
    <w:p w14:paraId="79C63E7B">
      <w:pPr>
        <w:pStyle w:val="19"/>
        <w:tabs>
          <w:tab w:val="right" w:leader="dot" w:pos="8845"/>
        </w:tabs>
        <w:ind w:firstLine="632"/>
      </w:pPr>
      <w:r>
        <w:fldChar w:fldCharType="begin"/>
      </w:r>
      <w:r>
        <w:instrText xml:space="preserve"> HYPERLINK \l "_Toc5457" </w:instrText>
      </w:r>
      <w:r>
        <w:fldChar w:fldCharType="separate"/>
      </w:r>
      <w:r>
        <w:rPr>
          <w:rFonts w:eastAsia="仿宋"/>
          <w:bCs/>
          <w:szCs w:val="28"/>
        </w:rPr>
        <w:t xml:space="preserve">6.8 </w:t>
      </w:r>
      <w:r>
        <w:rPr>
          <w:rFonts w:hint="eastAsia"/>
        </w:rPr>
        <w:t>技术支持与保障</w:t>
      </w:r>
      <w:r>
        <w:tab/>
      </w:r>
      <w:r>
        <w:fldChar w:fldCharType="begin"/>
      </w:r>
      <w:r>
        <w:instrText xml:space="preserve"> PAGEREF _Toc5457 \h </w:instrText>
      </w:r>
      <w:r>
        <w:fldChar w:fldCharType="separate"/>
      </w:r>
      <w:r>
        <w:t>38</w:t>
      </w:r>
      <w:r>
        <w:fldChar w:fldCharType="end"/>
      </w:r>
      <w:r>
        <w:fldChar w:fldCharType="end"/>
      </w:r>
    </w:p>
    <w:p w14:paraId="2C56BC90">
      <w:pPr>
        <w:pStyle w:val="18"/>
      </w:pPr>
      <w:r>
        <w:fldChar w:fldCharType="begin"/>
      </w:r>
      <w:r>
        <w:instrText xml:space="preserve"> HYPERLINK \l "_Toc25010" </w:instrText>
      </w:r>
      <w:r>
        <w:fldChar w:fldCharType="separate"/>
      </w:r>
      <w:r>
        <w:rPr>
          <w:rFonts w:eastAsia="仿宋"/>
        </w:rPr>
        <w:t xml:space="preserve">7 </w:t>
      </w:r>
      <w:r>
        <w:rPr>
          <w:rFonts w:hint="eastAsia"/>
        </w:rPr>
        <w:t>预案管理</w:t>
      </w:r>
      <w:r>
        <w:tab/>
      </w:r>
      <w:r>
        <w:fldChar w:fldCharType="begin"/>
      </w:r>
      <w:r>
        <w:instrText xml:space="preserve"> PAGEREF _Toc25010 \h </w:instrText>
      </w:r>
      <w:r>
        <w:fldChar w:fldCharType="separate"/>
      </w:r>
      <w:r>
        <w:t>38</w:t>
      </w:r>
      <w:r>
        <w:fldChar w:fldCharType="end"/>
      </w:r>
      <w:r>
        <w:fldChar w:fldCharType="end"/>
      </w:r>
    </w:p>
    <w:p w14:paraId="3D324DF0">
      <w:pPr>
        <w:pStyle w:val="19"/>
        <w:tabs>
          <w:tab w:val="right" w:leader="dot" w:pos="8845"/>
        </w:tabs>
        <w:ind w:firstLine="632"/>
      </w:pPr>
      <w:r>
        <w:fldChar w:fldCharType="begin"/>
      </w:r>
      <w:r>
        <w:instrText xml:space="preserve"> HYPERLINK \l "_Toc28115" </w:instrText>
      </w:r>
      <w:r>
        <w:fldChar w:fldCharType="separate"/>
      </w:r>
      <w:r>
        <w:rPr>
          <w:rFonts w:eastAsia="仿宋"/>
          <w:bCs/>
          <w:szCs w:val="28"/>
        </w:rPr>
        <w:t xml:space="preserve">7.1 </w:t>
      </w:r>
      <w:r>
        <w:rPr>
          <w:rFonts w:hint="eastAsia"/>
        </w:rPr>
        <w:t>预案编制、评估、修订</w:t>
      </w:r>
      <w:r>
        <w:tab/>
      </w:r>
      <w:r>
        <w:fldChar w:fldCharType="begin"/>
      </w:r>
      <w:r>
        <w:instrText xml:space="preserve"> PAGEREF _Toc28115 \h </w:instrText>
      </w:r>
      <w:r>
        <w:fldChar w:fldCharType="separate"/>
      </w:r>
      <w:r>
        <w:t>38</w:t>
      </w:r>
      <w:r>
        <w:fldChar w:fldCharType="end"/>
      </w:r>
      <w:r>
        <w:fldChar w:fldCharType="end"/>
      </w:r>
    </w:p>
    <w:p w14:paraId="1EE22FE7">
      <w:pPr>
        <w:pStyle w:val="19"/>
        <w:tabs>
          <w:tab w:val="right" w:leader="dot" w:pos="8845"/>
        </w:tabs>
        <w:ind w:firstLine="632"/>
      </w:pPr>
      <w:r>
        <w:fldChar w:fldCharType="begin"/>
      </w:r>
      <w:r>
        <w:instrText xml:space="preserve"> HYPERLINK \l "_Toc15504" </w:instrText>
      </w:r>
      <w:r>
        <w:fldChar w:fldCharType="separate"/>
      </w:r>
      <w:r>
        <w:rPr>
          <w:rFonts w:eastAsia="仿宋"/>
          <w:bCs/>
          <w:szCs w:val="28"/>
        </w:rPr>
        <w:t xml:space="preserve">7.2 </w:t>
      </w:r>
      <w:r>
        <w:rPr>
          <w:rFonts w:hint="eastAsia"/>
        </w:rPr>
        <w:t>预案审批与备案</w:t>
      </w:r>
      <w:r>
        <w:tab/>
      </w:r>
      <w:r>
        <w:fldChar w:fldCharType="begin"/>
      </w:r>
      <w:r>
        <w:instrText xml:space="preserve"> PAGEREF _Toc15504 \h </w:instrText>
      </w:r>
      <w:r>
        <w:fldChar w:fldCharType="separate"/>
      </w:r>
      <w:r>
        <w:t>39</w:t>
      </w:r>
      <w:r>
        <w:fldChar w:fldCharType="end"/>
      </w:r>
      <w:r>
        <w:fldChar w:fldCharType="end"/>
      </w:r>
    </w:p>
    <w:p w14:paraId="35F66CA0">
      <w:pPr>
        <w:pStyle w:val="19"/>
        <w:tabs>
          <w:tab w:val="right" w:leader="dot" w:pos="8845"/>
        </w:tabs>
        <w:ind w:firstLine="632"/>
      </w:pPr>
      <w:r>
        <w:fldChar w:fldCharType="begin"/>
      </w:r>
      <w:r>
        <w:instrText xml:space="preserve"> HYPERLINK \l "_Toc25126" </w:instrText>
      </w:r>
      <w:r>
        <w:fldChar w:fldCharType="separate"/>
      </w:r>
      <w:r>
        <w:rPr>
          <w:rFonts w:eastAsia="仿宋"/>
          <w:bCs/>
          <w:szCs w:val="28"/>
        </w:rPr>
        <w:t xml:space="preserve">7.3 </w:t>
      </w:r>
      <w:r>
        <w:rPr>
          <w:rFonts w:hint="eastAsia"/>
        </w:rPr>
        <w:t>宣传、培训和演练</w:t>
      </w:r>
      <w:r>
        <w:tab/>
      </w:r>
      <w:r>
        <w:fldChar w:fldCharType="begin"/>
      </w:r>
      <w:r>
        <w:instrText xml:space="preserve"> PAGEREF _Toc25126 \h </w:instrText>
      </w:r>
      <w:r>
        <w:fldChar w:fldCharType="separate"/>
      </w:r>
      <w:r>
        <w:t>39</w:t>
      </w:r>
      <w:r>
        <w:fldChar w:fldCharType="end"/>
      </w:r>
      <w:r>
        <w:fldChar w:fldCharType="end"/>
      </w:r>
    </w:p>
    <w:p w14:paraId="4B15A398">
      <w:pPr>
        <w:pStyle w:val="18"/>
      </w:pPr>
      <w:r>
        <w:fldChar w:fldCharType="begin"/>
      </w:r>
      <w:r>
        <w:instrText xml:space="preserve"> HYPERLINK \l "_Toc14958" </w:instrText>
      </w:r>
      <w:r>
        <w:fldChar w:fldCharType="separate"/>
      </w:r>
      <w:r>
        <w:rPr>
          <w:rFonts w:eastAsia="仿宋"/>
        </w:rPr>
        <w:t xml:space="preserve">8 </w:t>
      </w:r>
      <w:r>
        <w:rPr>
          <w:rFonts w:hint="eastAsia"/>
        </w:rPr>
        <w:t>奖励与责任</w:t>
      </w:r>
      <w:r>
        <w:tab/>
      </w:r>
      <w:r>
        <w:fldChar w:fldCharType="begin"/>
      </w:r>
      <w:r>
        <w:instrText xml:space="preserve"> PAGEREF _Toc14958 \h </w:instrText>
      </w:r>
      <w:r>
        <w:fldChar w:fldCharType="separate"/>
      </w:r>
      <w:r>
        <w:t>40</w:t>
      </w:r>
      <w:r>
        <w:fldChar w:fldCharType="end"/>
      </w:r>
      <w:r>
        <w:fldChar w:fldCharType="end"/>
      </w:r>
    </w:p>
    <w:p w14:paraId="2773D6F5">
      <w:pPr>
        <w:pStyle w:val="18"/>
      </w:pPr>
      <w:r>
        <w:fldChar w:fldCharType="begin"/>
      </w:r>
      <w:r>
        <w:instrText xml:space="preserve"> HYPERLINK \l "_Toc6955" </w:instrText>
      </w:r>
      <w:r>
        <w:fldChar w:fldCharType="separate"/>
      </w:r>
      <w:r>
        <w:rPr>
          <w:rFonts w:eastAsia="仿宋"/>
        </w:rPr>
        <w:t xml:space="preserve">9 </w:t>
      </w:r>
      <w:r>
        <w:rPr>
          <w:rFonts w:hint="eastAsia"/>
        </w:rPr>
        <w:t>附则</w:t>
      </w:r>
      <w:r>
        <w:tab/>
      </w:r>
      <w:r>
        <w:fldChar w:fldCharType="begin"/>
      </w:r>
      <w:r>
        <w:instrText xml:space="preserve"> PAGEREF _Toc6955 \h </w:instrText>
      </w:r>
      <w:r>
        <w:fldChar w:fldCharType="separate"/>
      </w:r>
      <w:r>
        <w:t>41</w:t>
      </w:r>
      <w:r>
        <w:fldChar w:fldCharType="end"/>
      </w:r>
      <w:r>
        <w:fldChar w:fldCharType="end"/>
      </w:r>
    </w:p>
    <w:p w14:paraId="06BDEE3C">
      <w:pPr>
        <w:pStyle w:val="19"/>
        <w:tabs>
          <w:tab w:val="right" w:leader="dot" w:pos="8845"/>
        </w:tabs>
        <w:ind w:firstLine="632"/>
      </w:pPr>
      <w:r>
        <w:fldChar w:fldCharType="begin"/>
      </w:r>
      <w:r>
        <w:instrText xml:space="preserve"> HYPERLINK \l "_Toc11816" </w:instrText>
      </w:r>
      <w:r>
        <w:fldChar w:fldCharType="separate"/>
      </w:r>
      <w:r>
        <w:rPr>
          <w:rFonts w:eastAsia="仿宋"/>
          <w:bCs/>
          <w:szCs w:val="28"/>
        </w:rPr>
        <w:t xml:space="preserve">9.1 </w:t>
      </w:r>
      <w:r>
        <w:rPr>
          <w:rFonts w:hint="eastAsia"/>
        </w:rPr>
        <w:t>预案制定与解释</w:t>
      </w:r>
      <w:r>
        <w:tab/>
      </w:r>
      <w:r>
        <w:fldChar w:fldCharType="begin"/>
      </w:r>
      <w:r>
        <w:instrText xml:space="preserve"> PAGEREF _Toc11816 \h </w:instrText>
      </w:r>
      <w:r>
        <w:fldChar w:fldCharType="separate"/>
      </w:r>
      <w:r>
        <w:t>41</w:t>
      </w:r>
      <w:r>
        <w:fldChar w:fldCharType="end"/>
      </w:r>
      <w:r>
        <w:fldChar w:fldCharType="end"/>
      </w:r>
    </w:p>
    <w:p w14:paraId="6686D1B6">
      <w:pPr>
        <w:pStyle w:val="19"/>
        <w:tabs>
          <w:tab w:val="right" w:leader="dot" w:pos="8845"/>
        </w:tabs>
        <w:ind w:firstLine="632"/>
      </w:pPr>
      <w:r>
        <w:fldChar w:fldCharType="begin"/>
      </w:r>
      <w:r>
        <w:instrText xml:space="preserve"> HYPERLINK \l "_Toc16323" </w:instrText>
      </w:r>
      <w:r>
        <w:fldChar w:fldCharType="separate"/>
      </w:r>
      <w:r>
        <w:rPr>
          <w:rFonts w:eastAsia="仿宋"/>
          <w:bCs/>
          <w:szCs w:val="28"/>
        </w:rPr>
        <w:t xml:space="preserve">9.2 </w:t>
      </w:r>
      <w:r>
        <w:rPr>
          <w:rFonts w:hint="eastAsia"/>
        </w:rPr>
        <w:t>预案中“以上”“以下”的含义</w:t>
      </w:r>
      <w:r>
        <w:tab/>
      </w:r>
      <w:r>
        <w:fldChar w:fldCharType="begin"/>
      </w:r>
      <w:r>
        <w:instrText xml:space="preserve"> PAGEREF _Toc16323 \h </w:instrText>
      </w:r>
      <w:r>
        <w:fldChar w:fldCharType="separate"/>
      </w:r>
      <w:r>
        <w:t>41</w:t>
      </w:r>
      <w:r>
        <w:fldChar w:fldCharType="end"/>
      </w:r>
      <w:r>
        <w:fldChar w:fldCharType="end"/>
      </w:r>
    </w:p>
    <w:p w14:paraId="6951C21F">
      <w:pPr>
        <w:pStyle w:val="19"/>
        <w:tabs>
          <w:tab w:val="right" w:leader="dot" w:pos="8845"/>
        </w:tabs>
        <w:ind w:firstLine="632"/>
      </w:pPr>
      <w:r>
        <w:fldChar w:fldCharType="begin"/>
      </w:r>
      <w:r>
        <w:instrText xml:space="preserve"> HYPERLINK \l "_Toc11437" </w:instrText>
      </w:r>
      <w:r>
        <w:fldChar w:fldCharType="separate"/>
      </w:r>
      <w:r>
        <w:rPr>
          <w:rFonts w:eastAsia="仿宋"/>
          <w:bCs/>
          <w:szCs w:val="28"/>
        </w:rPr>
        <w:t xml:space="preserve">9.3 </w:t>
      </w:r>
      <w:r>
        <w:rPr>
          <w:rFonts w:hint="eastAsia"/>
        </w:rPr>
        <w:t>预案的实施</w:t>
      </w:r>
      <w:r>
        <w:tab/>
      </w:r>
      <w:r>
        <w:fldChar w:fldCharType="begin"/>
      </w:r>
      <w:r>
        <w:instrText xml:space="preserve"> PAGEREF _Toc11437 \h </w:instrText>
      </w:r>
      <w:r>
        <w:fldChar w:fldCharType="separate"/>
      </w:r>
      <w:r>
        <w:t>41</w:t>
      </w:r>
      <w:r>
        <w:fldChar w:fldCharType="end"/>
      </w:r>
      <w:r>
        <w:fldChar w:fldCharType="end"/>
      </w:r>
    </w:p>
    <w:p w14:paraId="2E18A5C7">
      <w:pPr>
        <w:pStyle w:val="19"/>
        <w:tabs>
          <w:tab w:val="right" w:leader="dot" w:pos="8845"/>
        </w:tabs>
        <w:ind w:firstLine="632"/>
        <w:rPr>
          <w:rFonts w:ascii="黑体" w:hAnsi="黑体" w:eastAsia="黑体" w:cs="黑体"/>
          <w:szCs w:val="44"/>
        </w:rPr>
      </w:pPr>
      <w:r>
        <w:rPr>
          <w:rFonts w:hint="eastAsia" w:ascii="黑体" w:hAnsi="黑体" w:eastAsia="黑体" w:cs="黑体"/>
          <w:szCs w:val="44"/>
        </w:rPr>
        <w:fldChar w:fldCharType="end"/>
      </w:r>
    </w:p>
    <w:p w14:paraId="5E9C8617">
      <w:pPr>
        <w:ind w:firstLine="632"/>
        <w:sectPr>
          <w:footerReference r:id="rId93" w:type="default"/>
          <w:footerReference r:id="rId94" w:type="even"/>
          <w:pgSz w:w="11906" w:h="16838"/>
          <w:pgMar w:top="2098" w:right="1474" w:bottom="1984" w:left="1587" w:header="624" w:footer="1134" w:gutter="0"/>
          <w:pgNumType w:fmt="upperRoman" w:start="1"/>
          <w:cols w:space="720" w:num="1"/>
          <w:docGrid w:type="linesAndChars" w:linePitch="579" w:charSpace="-842"/>
        </w:sectPr>
      </w:pPr>
    </w:p>
    <w:p w14:paraId="423E11CC">
      <w:pPr>
        <w:pStyle w:val="2"/>
        <w:numPr>
          <w:ilvl w:val="0"/>
          <w:numId w:val="156"/>
        </w:numPr>
        <w:tabs>
          <w:tab w:val="left" w:pos="0"/>
        </w:tabs>
      </w:pPr>
      <w:bookmarkStart w:id="973" w:name="_Toc3190"/>
      <w:r>
        <w:rPr>
          <w:rFonts w:hint="eastAsia"/>
        </w:rPr>
        <w:t>总则</w:t>
      </w:r>
      <w:bookmarkEnd w:id="973"/>
    </w:p>
    <w:p w14:paraId="5233EBF3">
      <w:pPr>
        <w:pStyle w:val="3"/>
        <w:numPr>
          <w:ilvl w:val="0"/>
          <w:numId w:val="156"/>
        </w:numPr>
        <w:tabs>
          <w:tab w:val="left" w:pos="0"/>
        </w:tabs>
        <w:rPr>
          <w:rFonts w:ascii="楷体_GB2312" w:hAnsi="楷体_GB2312" w:eastAsia="楷体_GB2312" w:cs="楷体_GB2312"/>
        </w:rPr>
      </w:pPr>
      <w:bookmarkStart w:id="974" w:name="_Toc4622"/>
      <w:r>
        <w:rPr>
          <w:rFonts w:hint="eastAsia" w:ascii="楷体_GB2312" w:hAnsi="楷体_GB2312" w:eastAsia="楷体_GB2312" w:cs="楷体_GB2312"/>
        </w:rPr>
        <w:t>编制目的</w:t>
      </w:r>
      <w:bookmarkEnd w:id="974"/>
    </w:p>
    <w:p w14:paraId="6D1D8EE5">
      <w:pPr>
        <w:ind w:firstLine="632"/>
      </w:pPr>
      <w:r>
        <w:rPr>
          <w:rFonts w:hint="eastAsia"/>
        </w:rPr>
        <w:t>为深入贯彻习近平总书记关于应急管理系列重要论述，有效应对非煤矿山生产安全事故，规范应急管理和应急响应程序，增强应对防范化解非煤矿山事故风险和事故灾难的能力，最大限度减少和降低非煤矿山事故造成的损失。</w:t>
      </w:r>
    </w:p>
    <w:p w14:paraId="76C72FCC">
      <w:pPr>
        <w:pStyle w:val="3"/>
        <w:numPr>
          <w:ilvl w:val="0"/>
          <w:numId w:val="156"/>
        </w:numPr>
        <w:tabs>
          <w:tab w:val="left" w:pos="0"/>
        </w:tabs>
        <w:rPr>
          <w:rFonts w:ascii="楷体_GB2312" w:hAnsi="楷体_GB2312" w:eastAsia="楷体_GB2312" w:cs="楷体_GB2312"/>
        </w:rPr>
      </w:pPr>
      <w:bookmarkStart w:id="975" w:name="_Toc8561"/>
      <w:r>
        <w:rPr>
          <w:rFonts w:hint="eastAsia" w:ascii="楷体_GB2312" w:hAnsi="楷体_GB2312" w:eastAsia="楷体_GB2312" w:cs="楷体_GB2312"/>
        </w:rPr>
        <w:t>编制依据</w:t>
      </w:r>
      <w:bookmarkEnd w:id="975"/>
    </w:p>
    <w:p w14:paraId="666DF1B1">
      <w:pPr>
        <w:ind w:firstLine="632"/>
      </w:pPr>
      <w:r>
        <w:rPr>
          <w:rFonts w:hint="eastAsia"/>
        </w:rPr>
        <w:t>依据《中华人民共和国突发事件应对法》《中华人民共和国安全生产法》《中华人民共和国矿山安全法》《矿山生产安全事故报告和调查处理办法》《中华人民共和国矿山安全法实施条例》《生产安全事故应急条例》《生产安全事故应急预案管理办法》《黑龙江省安全生产条例》《黑龙江省突发事件应急预案管理实施办法》《双鸭山市非煤矿山生产安全事故应急预案》《集贤县突发事件总体应急预案》等相关法律、法规和规定，结合我县实际，制定本预案。</w:t>
      </w:r>
    </w:p>
    <w:p w14:paraId="378BA3A3">
      <w:pPr>
        <w:pStyle w:val="3"/>
        <w:numPr>
          <w:ilvl w:val="0"/>
          <w:numId w:val="156"/>
        </w:numPr>
        <w:tabs>
          <w:tab w:val="left" w:pos="0"/>
        </w:tabs>
        <w:rPr>
          <w:rFonts w:ascii="楷体_GB2312" w:hAnsi="楷体_GB2312" w:eastAsia="楷体_GB2312" w:cs="楷体_GB2312"/>
        </w:rPr>
      </w:pPr>
      <w:bookmarkStart w:id="976" w:name="_Toc373"/>
      <w:r>
        <w:rPr>
          <w:rFonts w:hint="eastAsia" w:ascii="楷体_GB2312" w:hAnsi="楷体_GB2312" w:eastAsia="楷体_GB2312" w:cs="楷体_GB2312"/>
        </w:rPr>
        <w:t>适用范围</w:t>
      </w:r>
      <w:bookmarkEnd w:id="976"/>
    </w:p>
    <w:p w14:paraId="473A65D6">
      <w:pPr>
        <w:ind w:firstLine="632"/>
      </w:pPr>
      <w:r>
        <w:rPr>
          <w:rFonts w:hint="eastAsia"/>
        </w:rPr>
        <w:t>本预案适用于本县行政区域内发生的非煤矿山生产安全事故应急救援处置工作；一般事故的应急救援处置由县政府负责；较大及以上非煤矿山生产安全事故的应急救援处置按照国家、省、市相关预案执行。</w:t>
      </w:r>
    </w:p>
    <w:p w14:paraId="6570B010">
      <w:pPr>
        <w:pStyle w:val="3"/>
        <w:numPr>
          <w:ilvl w:val="0"/>
          <w:numId w:val="156"/>
        </w:numPr>
        <w:tabs>
          <w:tab w:val="left" w:pos="0"/>
        </w:tabs>
        <w:rPr>
          <w:rFonts w:ascii="楷体_GB2312" w:hAnsi="楷体_GB2312" w:eastAsia="楷体_GB2312" w:cs="楷体_GB2312"/>
        </w:rPr>
      </w:pPr>
      <w:bookmarkStart w:id="977" w:name="_Toc10964"/>
      <w:r>
        <w:rPr>
          <w:rFonts w:hint="eastAsia" w:ascii="楷体_GB2312" w:hAnsi="楷体_GB2312" w:eastAsia="楷体_GB2312" w:cs="楷体_GB2312"/>
        </w:rPr>
        <w:t>主要危险源分析</w:t>
      </w:r>
      <w:bookmarkEnd w:id="977"/>
    </w:p>
    <w:p w14:paraId="1732FED0">
      <w:pPr>
        <w:ind w:firstLine="632"/>
      </w:pPr>
      <w:r>
        <w:rPr>
          <w:rFonts w:hint="eastAsia"/>
        </w:rPr>
        <w:t>露天矿山主要事故风险有：滑坡与坍塌、爆破事故、车辆伤害、高处坠落、物体打击、机械伤害、水灾、火灾、电气伤害等。</w:t>
      </w:r>
    </w:p>
    <w:p w14:paraId="77B76B13">
      <w:pPr>
        <w:numPr>
          <w:ilvl w:val="0"/>
          <w:numId w:val="157"/>
        </w:numPr>
        <w:ind w:firstLine="632"/>
      </w:pPr>
      <w:r>
        <w:rPr>
          <w:rFonts w:hint="eastAsia"/>
        </w:rPr>
        <w:t>滑坡和坍塌：露天矿山开采时边坡岩体的原始平衡状态受到破坏，在次生应力场的作用下发生的滑坡、坍塌叫边坡破坏。其机理是边坡岩体的原始应力状态不断变化，当岩体应力平衡状态受到破坏，边坡就会沿着某一平面或曲面发生滑坡，破坏通常出现在结构面处。引起边坡大面积滑落的主要因素有：矿岩的物理力学性质差；开采的工程地质条件和水文地质条件复杂；露天采场开采顺序不合理或台阶要素及采场结构参数不合理；采掘作业和爆破震动降低边坡稳定性；在雨季时雨水冲刷导致滑坡。</w:t>
      </w:r>
    </w:p>
    <w:p w14:paraId="45C6528F">
      <w:pPr>
        <w:numPr>
          <w:ilvl w:val="0"/>
          <w:numId w:val="157"/>
        </w:numPr>
        <w:ind w:firstLine="632"/>
      </w:pPr>
      <w:r>
        <w:rPr>
          <w:rFonts w:hint="eastAsia"/>
        </w:rPr>
        <w:t>爆破事故：爆破作业是非煤矿山生产过程中的重要工序，导致爆破事故的主要原因有：炸药运输过程中强烈振动或摩擦、爆破器材质量不良、爆破设计不合理、爆破警戒不到位，信号不完善，安全距离不够、盲炮处理不当或打残眼等。</w:t>
      </w:r>
    </w:p>
    <w:p w14:paraId="746B5223">
      <w:pPr>
        <w:numPr>
          <w:ilvl w:val="0"/>
          <w:numId w:val="157"/>
        </w:numPr>
        <w:ind w:firstLine="632"/>
      </w:pPr>
      <w:r>
        <w:rPr>
          <w:rFonts w:hint="eastAsia"/>
        </w:rPr>
        <w:t>车辆伤害：非煤矿山机动车辆在铲装运输中，可能发生人体坠落和物体坍塌、下落、挤压伤亡事故，主要原因有：作业人员的原因，如无证驾驶、疲劳驾驶、违章驾驶、超载；车辆本身的原因，如安全防护装置有缺陷、制动失灵；运输道路的原因，如宽度不够，路面不平、坡度较大，曲线半径小；自然条件的原因，如雨雪天气，道路湿滑；大雾天气，能见度差。</w:t>
      </w:r>
    </w:p>
    <w:p w14:paraId="54F75EAD">
      <w:pPr>
        <w:numPr>
          <w:ilvl w:val="0"/>
          <w:numId w:val="157"/>
        </w:numPr>
        <w:ind w:firstLine="632"/>
      </w:pPr>
      <w:r>
        <w:rPr>
          <w:rFonts w:hint="eastAsia"/>
        </w:rPr>
        <w:t>高处坠落：高处坠落事故是非煤矿山生产中一种普遍存在的事故。造成高处坠落的主要原因有：边帮清除危石等高处作业时没有按要求佩戴安全防护用品；人行天井梯子架设不牢或没有扶手；天井、风井、溜井等可能发生人员坠落的危险地点，没有设置明显的警示标志、良好的照明以及可靠的护栏、格筛或盖板等。</w:t>
      </w:r>
    </w:p>
    <w:p w14:paraId="1E65E424">
      <w:pPr>
        <w:numPr>
          <w:ilvl w:val="0"/>
          <w:numId w:val="157"/>
        </w:numPr>
        <w:ind w:firstLine="632"/>
      </w:pPr>
      <w:r>
        <w:rPr>
          <w:rFonts w:hint="eastAsia"/>
        </w:rPr>
        <w:t>物体打击：露天采场在生产过程中，坡面上浮石、危石未及时处理或处理不干净；设施、设备检修时，材料及零部件等坠落；铲装作业时铲斗掉落岩块；运输汽车装载过满掉落；爆破时飞石等都可能造成物体打击事故，物体打击事故可能造成人员伤亡、设备损毁。若矿山近地表节理、裂隙较发育，在爆破振动的作用下易产生浮石、危石，如果边坡上浮石、危石处理不干净，有可能会造成物体打击事故。发生高处坠落和物体打击事故，轻则会造成人员受伤，重则会造成人员伤亡，严重影响正常生产，同时使经济上遭受严重损失。</w:t>
      </w:r>
    </w:p>
    <w:p w14:paraId="60A41971">
      <w:pPr>
        <w:numPr>
          <w:ilvl w:val="0"/>
          <w:numId w:val="157"/>
        </w:numPr>
        <w:ind w:firstLine="632"/>
      </w:pPr>
      <w:r>
        <w:rPr>
          <w:rFonts w:hint="eastAsia"/>
        </w:rPr>
        <w:t>机械伤害：非煤矿山使用凿岩机、空压机、破碎机、皮带运输机等机械设备，如果设备的防护设施不全、人员违反操作规程、设备的安全性能不好等，在机械运行中都可引起机械伤害事故。</w:t>
      </w:r>
    </w:p>
    <w:p w14:paraId="6CE8A7CE">
      <w:pPr>
        <w:numPr>
          <w:ilvl w:val="0"/>
          <w:numId w:val="157"/>
        </w:numPr>
        <w:ind w:firstLine="632"/>
      </w:pPr>
      <w:r>
        <w:rPr>
          <w:rFonts w:hint="eastAsia"/>
        </w:rPr>
        <w:t>雨季堆土场或表土场坍塌风险，如果雨季受降雨影响造成堆土场或表土场坍塌，表土和土岩会随雨水被冲入附近河流后导致其他衍生事故发生。</w:t>
      </w:r>
    </w:p>
    <w:p w14:paraId="3CC3D60B">
      <w:pPr>
        <w:numPr>
          <w:ilvl w:val="0"/>
          <w:numId w:val="157"/>
        </w:numPr>
        <w:ind w:firstLine="632"/>
      </w:pPr>
      <w:r>
        <w:rPr>
          <w:rFonts w:hint="eastAsia"/>
        </w:rPr>
        <w:t>火灾事故：火灾事故是一种比较常见的事故类型，对于非煤矿山这一特殊环境，一旦发生火灾事故，极大可能造成人员伤亡和重大财产损失。造成火灾的原因主要有：易燃、可燃物质管理使用不当；电气设备选型、安装、使用维护不当；高温、通风不良、雷击等自然因素等。</w:t>
      </w:r>
    </w:p>
    <w:p w14:paraId="52A3482B">
      <w:pPr>
        <w:numPr>
          <w:ilvl w:val="0"/>
          <w:numId w:val="157"/>
        </w:numPr>
        <w:ind w:firstLine="632"/>
      </w:pPr>
      <w:r>
        <w:rPr>
          <w:rFonts w:hint="eastAsia"/>
        </w:rPr>
        <w:t>电气伤害：非煤矿山使用变配电设施设备及用电设备，可能发生触电事故，原因主要是：电气线路或电气设备在设计、安装上存在缺陷；运行中缺乏必要的检修维护；电气设备运行管理不当，安全管理制度不完善等。</w:t>
      </w:r>
    </w:p>
    <w:p w14:paraId="1CE997F7">
      <w:pPr>
        <w:pStyle w:val="3"/>
        <w:numPr>
          <w:ilvl w:val="0"/>
          <w:numId w:val="156"/>
        </w:numPr>
        <w:tabs>
          <w:tab w:val="left" w:pos="0"/>
        </w:tabs>
        <w:rPr>
          <w:rFonts w:ascii="楷体_GB2312" w:hAnsi="楷体_GB2312" w:eastAsia="楷体_GB2312" w:cs="楷体_GB2312"/>
        </w:rPr>
      </w:pPr>
      <w:r>
        <w:rPr>
          <w:rFonts w:hint="eastAsia" w:ascii="楷体_GB2312" w:hAnsi="楷体_GB2312" w:eastAsia="楷体_GB2312" w:cs="楷体_GB2312"/>
        </w:rPr>
        <w:t>工作原则</w:t>
      </w:r>
    </w:p>
    <w:p w14:paraId="3C0EC1B3">
      <w:pPr>
        <w:numPr>
          <w:ilvl w:val="0"/>
          <w:numId w:val="134"/>
        </w:numPr>
        <w:ind w:firstLine="632"/>
      </w:pPr>
      <w:r>
        <w:rPr>
          <w:rFonts w:hint="eastAsia"/>
        </w:rPr>
        <w:t>生命至上，安全第一。切实履行政府的社会管理和公共服务职能，始终把保障矿山工人健康和生命财产安全作为非煤矿山事故应急救援工作的出发点和落脚点，事故发生后迅速启动应急响应程序，坚持先避险后抢险、先救人再救物、先救援再恢复，最大限度地减少事故灾难造成的人员伤亡和危害。</w:t>
      </w:r>
    </w:p>
    <w:p w14:paraId="0A3E887E">
      <w:pPr>
        <w:numPr>
          <w:ilvl w:val="0"/>
          <w:numId w:val="134"/>
        </w:numPr>
        <w:ind w:firstLine="632"/>
      </w:pPr>
      <w:r>
        <w:rPr>
          <w:rFonts w:hint="eastAsia"/>
        </w:rPr>
        <w:t>统一领导，分级负责。在县委、县政府的统一领导下，县非煤矿山生产安全事故专项应急指挥部负责组织领导、指导协调非煤矿山事故的应急救援工作。建立健全分类管理、分级负责、条块结合、属地管理、专业处置为主的应急管理体制，实行行政领导责任制，充分发挥专业应急指挥机构的作用。</w:t>
      </w:r>
    </w:p>
    <w:p w14:paraId="600F5DD4">
      <w:pPr>
        <w:numPr>
          <w:ilvl w:val="0"/>
          <w:numId w:val="134"/>
        </w:numPr>
        <w:ind w:firstLine="632"/>
      </w:pPr>
      <w:r>
        <w:rPr>
          <w:rFonts w:hint="eastAsia"/>
        </w:rPr>
        <w:t>科学救援，快速处置。按照整合资源、降低成本、提高效率的要求，实现人力、物资、设备、技术和信息的集贤县非煤矿山生产安全事故应急预案配置。加强非煤矿山安全科学研究和技术开发，采用先进装备和技术，充分发挥专家队伍和专业人员的作用，提高矿山事故灾难的应急处置能力，避免发生次生、衍生事故。</w:t>
      </w:r>
    </w:p>
    <w:p w14:paraId="3568962A">
      <w:pPr>
        <w:numPr>
          <w:ilvl w:val="0"/>
          <w:numId w:val="134"/>
        </w:numPr>
        <w:ind w:firstLine="632"/>
      </w:pPr>
      <w:r>
        <w:rPr>
          <w:rFonts w:hint="eastAsia"/>
        </w:rPr>
        <w:t>预防为主，平战结合。加强非煤矿山基础建设，完善监测监控网络，强化预警分析，搞好预案演练，增强防范意识，有效控制恶性事故，坚持预防与应急相结合，努力做到早发现、早报告、早控制、早处置。依据有关法律法规督促矿山企业加强应急管理，使应对灾难事故的工作规范化、制度化、法制化。</w:t>
      </w:r>
    </w:p>
    <w:p w14:paraId="17640DD1">
      <w:pPr>
        <w:pStyle w:val="3"/>
        <w:numPr>
          <w:ilvl w:val="0"/>
          <w:numId w:val="156"/>
        </w:numPr>
        <w:tabs>
          <w:tab w:val="left" w:pos="0"/>
        </w:tabs>
        <w:rPr>
          <w:rFonts w:ascii="楷体_GB2312" w:hAnsi="楷体_GB2312" w:eastAsia="楷体_GB2312" w:cs="楷体_GB2312"/>
        </w:rPr>
      </w:pPr>
      <w:bookmarkStart w:id="978" w:name="_Toc3803"/>
      <w:r>
        <w:rPr>
          <w:rFonts w:hint="eastAsia" w:ascii="楷体_GB2312" w:hAnsi="楷体_GB2312" w:eastAsia="楷体_GB2312" w:cs="楷体_GB2312"/>
        </w:rPr>
        <w:t>事故分级</w:t>
      </w:r>
      <w:bookmarkEnd w:id="978"/>
    </w:p>
    <w:p w14:paraId="18DB1903">
      <w:pPr>
        <w:ind w:firstLine="632"/>
      </w:pPr>
      <w:r>
        <w:rPr>
          <w:rFonts w:hint="eastAsia"/>
        </w:rPr>
        <w:t>根据非煤矿山生产安全事故应急管理需要，按照事故危害程度、人员伤亡、经济损失和影响范围，将非煤矿山生产安全事故分为特别重大、重大、较大和一般四个级别。根据生产安全事故应急管理需要，出现相应级别情形时启动I级、Ⅱ级、Ⅲ级、Ⅳ级应急响应。</w:t>
      </w:r>
    </w:p>
    <w:p w14:paraId="0F3BA62F">
      <w:pPr>
        <w:pStyle w:val="4"/>
        <w:numPr>
          <w:ilvl w:val="2"/>
          <w:numId w:val="156"/>
        </w:numPr>
        <w:tabs>
          <w:tab w:val="left" w:pos="0"/>
        </w:tabs>
      </w:pPr>
      <w:r>
        <w:rPr>
          <w:rFonts w:hint="eastAsia"/>
        </w:rPr>
        <w:t>特别重大事故（Ⅰ级）</w:t>
      </w:r>
    </w:p>
    <w:p w14:paraId="2AE5FDD2">
      <w:pPr>
        <w:numPr>
          <w:ilvl w:val="0"/>
          <w:numId w:val="110"/>
        </w:numPr>
        <w:ind w:firstLine="632"/>
      </w:pPr>
      <w:r>
        <w:rPr>
          <w:rFonts w:hint="eastAsia"/>
        </w:rPr>
        <w:t>已经或可能造成30人以上死亡（含失踪，下同），或者100人以上重伤（包括急性工业中毒，下同），或者1亿元以上直接经济损失的；</w:t>
      </w:r>
    </w:p>
    <w:p w14:paraId="47F6FA43">
      <w:pPr>
        <w:numPr>
          <w:ilvl w:val="0"/>
          <w:numId w:val="110"/>
        </w:numPr>
        <w:ind w:firstLine="632"/>
      </w:pPr>
      <w:r>
        <w:rPr>
          <w:rFonts w:hint="eastAsia"/>
        </w:rPr>
        <w:t>事故事态发展严重，产生特别严重社会影响的；</w:t>
      </w:r>
    </w:p>
    <w:p w14:paraId="41BA5905">
      <w:pPr>
        <w:numPr>
          <w:ilvl w:val="0"/>
          <w:numId w:val="110"/>
        </w:numPr>
        <w:ind w:firstLine="632"/>
      </w:pPr>
      <w:r>
        <w:rPr>
          <w:rFonts w:hint="eastAsia"/>
        </w:rPr>
        <w:t>国务院认定为特别重大事故的。</w:t>
      </w:r>
    </w:p>
    <w:p w14:paraId="30CFD1FF">
      <w:pPr>
        <w:pStyle w:val="4"/>
        <w:numPr>
          <w:ilvl w:val="2"/>
          <w:numId w:val="156"/>
        </w:numPr>
        <w:tabs>
          <w:tab w:val="left" w:pos="0"/>
        </w:tabs>
      </w:pPr>
      <w:r>
        <w:rPr>
          <w:rFonts w:hint="eastAsia"/>
        </w:rPr>
        <w:t>重大事故（Ⅱ级）</w:t>
      </w:r>
    </w:p>
    <w:p w14:paraId="48B6492A">
      <w:pPr>
        <w:numPr>
          <w:ilvl w:val="0"/>
          <w:numId w:val="111"/>
        </w:numPr>
        <w:ind w:firstLine="632"/>
      </w:pPr>
      <w:r>
        <w:rPr>
          <w:rFonts w:hint="eastAsia"/>
        </w:rPr>
        <w:t>已经或可能造成10人以上、30人以下死亡，或者50人以上、100人以下重伤，或者5000万元以上、1亿元以下直接经济损失的事故；</w:t>
      </w:r>
    </w:p>
    <w:p w14:paraId="72AE261A">
      <w:pPr>
        <w:numPr>
          <w:ilvl w:val="0"/>
          <w:numId w:val="111"/>
        </w:numPr>
        <w:ind w:firstLine="632"/>
      </w:pPr>
      <w:r>
        <w:rPr>
          <w:rFonts w:hint="eastAsia"/>
        </w:rPr>
        <w:t>事故造成严重社会影响，超出县人民政府应急处置能力的；</w:t>
      </w:r>
    </w:p>
    <w:p w14:paraId="33457C46">
      <w:pPr>
        <w:numPr>
          <w:ilvl w:val="0"/>
          <w:numId w:val="111"/>
        </w:numPr>
        <w:ind w:firstLine="632"/>
      </w:pPr>
      <w:r>
        <w:rPr>
          <w:rFonts w:hint="eastAsia"/>
        </w:rPr>
        <w:t>省人民政府认定为重大事故的。</w:t>
      </w:r>
    </w:p>
    <w:p w14:paraId="2DAA7CEA">
      <w:pPr>
        <w:pStyle w:val="4"/>
        <w:numPr>
          <w:ilvl w:val="2"/>
          <w:numId w:val="156"/>
        </w:numPr>
        <w:tabs>
          <w:tab w:val="left" w:pos="0"/>
        </w:tabs>
      </w:pPr>
      <w:r>
        <w:rPr>
          <w:rFonts w:hint="eastAsia"/>
        </w:rPr>
        <w:t>较大事故（Ⅲ级）</w:t>
      </w:r>
    </w:p>
    <w:p w14:paraId="77BC6734">
      <w:pPr>
        <w:numPr>
          <w:ilvl w:val="0"/>
          <w:numId w:val="112"/>
        </w:numPr>
        <w:ind w:firstLine="632"/>
      </w:pPr>
      <w:r>
        <w:rPr>
          <w:rFonts w:hint="eastAsia"/>
        </w:rPr>
        <w:t>已经或可能造成3人以上、10人以下死亡，或者10人以上、50人以下重伤，或者1000万元以上、5000万元以下直接经济损失的事故；</w:t>
      </w:r>
    </w:p>
    <w:p w14:paraId="6BD4516B">
      <w:pPr>
        <w:numPr>
          <w:ilvl w:val="0"/>
          <w:numId w:val="112"/>
        </w:numPr>
        <w:ind w:firstLine="632"/>
      </w:pPr>
      <w:r>
        <w:rPr>
          <w:rFonts w:hint="eastAsia"/>
        </w:rPr>
        <w:t>事故造成较大社会影响，超出县级政府应急处置能力的；</w:t>
      </w:r>
    </w:p>
    <w:p w14:paraId="335F75B6">
      <w:pPr>
        <w:numPr>
          <w:ilvl w:val="0"/>
          <w:numId w:val="112"/>
        </w:numPr>
        <w:ind w:firstLine="632"/>
      </w:pPr>
      <w:r>
        <w:rPr>
          <w:rFonts w:hint="eastAsia"/>
        </w:rPr>
        <w:t>市政府认定为较大事故的。</w:t>
      </w:r>
    </w:p>
    <w:p w14:paraId="18454B88">
      <w:pPr>
        <w:pStyle w:val="4"/>
        <w:numPr>
          <w:ilvl w:val="2"/>
          <w:numId w:val="156"/>
        </w:numPr>
        <w:tabs>
          <w:tab w:val="left" w:pos="0"/>
        </w:tabs>
      </w:pPr>
      <w:r>
        <w:rPr>
          <w:rFonts w:hint="eastAsia"/>
        </w:rPr>
        <w:t>一般事故（Ⅳ级）</w:t>
      </w:r>
    </w:p>
    <w:p w14:paraId="565F0780">
      <w:pPr>
        <w:numPr>
          <w:ilvl w:val="0"/>
          <w:numId w:val="113"/>
        </w:numPr>
        <w:ind w:firstLine="632"/>
      </w:pPr>
      <w:r>
        <w:rPr>
          <w:rFonts w:hint="eastAsia"/>
        </w:rPr>
        <w:t>已经或者可能造成3人以下死亡，或者10人以下重伤，或者1000万元以下直接经济损失的事故；</w:t>
      </w:r>
    </w:p>
    <w:p w14:paraId="0C10625B">
      <w:pPr>
        <w:numPr>
          <w:ilvl w:val="0"/>
          <w:numId w:val="113"/>
        </w:numPr>
        <w:ind w:firstLine="632"/>
      </w:pPr>
      <w:r>
        <w:rPr>
          <w:rFonts w:hint="eastAsia"/>
        </w:rPr>
        <w:t>事故产生一定社会影响的。</w:t>
      </w:r>
    </w:p>
    <w:p w14:paraId="10C758EE">
      <w:pPr>
        <w:pStyle w:val="2"/>
        <w:numPr>
          <w:ilvl w:val="0"/>
          <w:numId w:val="156"/>
        </w:numPr>
        <w:tabs>
          <w:tab w:val="left" w:pos="0"/>
        </w:tabs>
      </w:pPr>
      <w:bookmarkStart w:id="979" w:name="_Toc29020"/>
      <w:r>
        <w:rPr>
          <w:rFonts w:hint="eastAsia"/>
        </w:rPr>
        <w:t>组织指挥体系</w:t>
      </w:r>
      <w:bookmarkEnd w:id="979"/>
    </w:p>
    <w:p w14:paraId="701B5F87">
      <w:pPr>
        <w:pStyle w:val="3"/>
        <w:numPr>
          <w:ilvl w:val="0"/>
          <w:numId w:val="156"/>
        </w:numPr>
        <w:tabs>
          <w:tab w:val="left" w:pos="0"/>
        </w:tabs>
        <w:rPr>
          <w:rFonts w:ascii="楷体_GB2312" w:hAnsi="楷体_GB2312" w:eastAsia="楷体_GB2312" w:cs="楷体_GB2312"/>
        </w:rPr>
      </w:pPr>
      <w:bookmarkStart w:id="980" w:name="_Toc14139"/>
      <w:r>
        <w:rPr>
          <w:rFonts w:hint="eastAsia" w:ascii="楷体_GB2312" w:hAnsi="楷体_GB2312" w:eastAsia="楷体_GB2312" w:cs="楷体_GB2312"/>
        </w:rPr>
        <w:t>县非煤矿山生产安全事故指挥部</w:t>
      </w:r>
      <w:bookmarkEnd w:id="980"/>
    </w:p>
    <w:p w14:paraId="2408A0ED">
      <w:pPr>
        <w:ind w:firstLine="632"/>
        <w:rPr>
          <w:rFonts w:ascii="仿宋_GB2312" w:hAnsi="仿宋_GB2312" w:cs="仿宋_GB2312"/>
        </w:rPr>
      </w:pPr>
      <w:r>
        <w:rPr>
          <w:rFonts w:hint="eastAsia" w:ascii="仿宋_GB2312" w:hAnsi="仿宋_GB2312" w:cs="仿宋_GB2312"/>
        </w:rPr>
        <w:t>县应急委员会下设的县非煤矿山生产安全事故应急救援指挥部（以下简称县指挥部）是负责应对非煤矿山生产安全事故的县级专项指挥机构，负责我县辖区内一般及以上非煤矿山生产安全事故风险防控、应急准备、监测与预警、应急处置与救援及善后处置等工作，负责一般非煤矿山生产安全事故的应对处理。</w:t>
      </w:r>
    </w:p>
    <w:p w14:paraId="03D792EF">
      <w:pPr>
        <w:pStyle w:val="21"/>
        <w:ind w:firstLine="632"/>
        <w:rPr>
          <w:rFonts w:ascii="仿宋_GB2312" w:hAnsi="仿宋_GB2312" w:eastAsia="仿宋_GB2312" w:cs="仿宋_GB2312"/>
          <w:lang w:val="en-US"/>
        </w:rPr>
      </w:pPr>
      <w:r>
        <w:rPr>
          <w:rFonts w:hint="eastAsia" w:ascii="仿宋_GB2312" w:hAnsi="仿宋_GB2312" w:eastAsia="仿宋_GB2312" w:cs="仿宋_GB2312"/>
          <w:lang w:val="en-US"/>
        </w:rPr>
        <w:t>总 指 挥：县政府分管副县长</w:t>
      </w:r>
    </w:p>
    <w:p w14:paraId="7542D899">
      <w:pPr>
        <w:pStyle w:val="21"/>
        <w:ind w:firstLine="632"/>
        <w:rPr>
          <w:rFonts w:ascii="仿宋_GB2312" w:hAnsi="仿宋_GB2312" w:eastAsia="仿宋_GB2312" w:cs="仿宋_GB2312"/>
          <w:lang w:val="en-US"/>
        </w:rPr>
      </w:pPr>
      <w:r>
        <w:rPr>
          <w:rFonts w:hint="eastAsia" w:ascii="仿宋_GB2312" w:hAnsi="仿宋_GB2312" w:eastAsia="仿宋_GB2312" w:cs="仿宋_GB2312"/>
          <w:lang w:val="en-US"/>
        </w:rPr>
        <w:t>副总指挥：县政府办副主任、县应急管理局局长</w:t>
      </w:r>
    </w:p>
    <w:p w14:paraId="3349A1EE">
      <w:pPr>
        <w:pStyle w:val="21"/>
        <w:ind w:firstLine="632"/>
        <w:rPr>
          <w:rFonts w:ascii="仿宋_GB2312" w:hAnsi="仿宋_GB2312" w:eastAsia="仿宋_GB2312" w:cs="仿宋_GB2312"/>
          <w:lang w:val="en-US"/>
        </w:rPr>
      </w:pPr>
      <w:r>
        <w:rPr>
          <w:rFonts w:hint="eastAsia" w:ascii="仿宋_GB2312" w:hAnsi="仿宋_GB2312" w:eastAsia="仿宋_GB2312" w:cs="仿宋_GB2312"/>
          <w:lang w:val="en-US"/>
        </w:rPr>
        <w:t>成员单位：县政府办公室、县委宣传部、县工业信息科技局、县应急管理局、县发展和改革局、县消防救援大队、县公安局、县市场监管局、县卫生健康局、县自然资源局、双鸭山市集贤生态环境局、县交通运输局、县水务局、县气象局、县财政局、县民政局、县人力资源和社会保障局、县住房和城乡建设局、县总工会、国网供电集贤分公司、各通信运营单位及事发地乡镇人民政府等单位组成</w:t>
      </w:r>
    </w:p>
    <w:p w14:paraId="709A5EFE">
      <w:pPr>
        <w:pStyle w:val="21"/>
        <w:ind w:firstLine="632"/>
        <w:rPr>
          <w:rFonts w:ascii="仿宋_GB2312" w:hAnsi="仿宋_GB2312" w:eastAsia="仿宋_GB2312" w:cs="仿宋_GB2312"/>
          <w:lang w:val="en-US"/>
        </w:rPr>
      </w:pPr>
      <w:r>
        <w:rPr>
          <w:rFonts w:hint="eastAsia" w:ascii="仿宋_GB2312" w:hAnsi="仿宋_GB2312" w:eastAsia="仿宋_GB2312" w:cs="仿宋_GB2312"/>
          <w:lang w:val="en-US"/>
        </w:rPr>
        <w:t>县指挥部下设非煤矿山生产安全事故应急救援办公室（以下简称：县非煤矿山应急办），办公室设在县应急管理局，办公室主任由县应急管理局局长兼任，成员由非煤矿山有关专家和安委会办公室成员担任。</w:t>
      </w:r>
    </w:p>
    <w:p w14:paraId="3862AB80">
      <w:pPr>
        <w:pStyle w:val="4"/>
        <w:numPr>
          <w:ilvl w:val="2"/>
          <w:numId w:val="156"/>
        </w:numPr>
        <w:tabs>
          <w:tab w:val="left" w:pos="0"/>
        </w:tabs>
      </w:pPr>
      <w:r>
        <w:rPr>
          <w:rFonts w:hint="eastAsia"/>
        </w:rPr>
        <w:t>县指挥部职责</w:t>
      </w:r>
    </w:p>
    <w:p w14:paraId="22679936">
      <w:pPr>
        <w:numPr>
          <w:ilvl w:val="0"/>
          <w:numId w:val="135"/>
        </w:numPr>
        <w:ind w:firstLine="632"/>
      </w:pPr>
      <w:r>
        <w:rPr>
          <w:rFonts w:hint="eastAsia"/>
        </w:rPr>
        <w:t>决定启动和宣布终止应急响应，组织、协调、指挥全县非煤矿山事故应急处置和救援工作；</w:t>
      </w:r>
    </w:p>
    <w:p w14:paraId="7EB2C90F">
      <w:pPr>
        <w:numPr>
          <w:ilvl w:val="0"/>
          <w:numId w:val="135"/>
        </w:numPr>
        <w:ind w:firstLine="632"/>
      </w:pPr>
      <w:r>
        <w:rPr>
          <w:rFonts w:hint="eastAsia"/>
        </w:rPr>
        <w:t>根据事故情况，统一部署应急处置和救援工作，并对应急处置和救援工作发生的意外情况采取紧急处置措施；</w:t>
      </w:r>
    </w:p>
    <w:p w14:paraId="53137787">
      <w:pPr>
        <w:numPr>
          <w:ilvl w:val="0"/>
          <w:numId w:val="135"/>
        </w:numPr>
        <w:ind w:firstLine="632"/>
      </w:pPr>
      <w:r>
        <w:rPr>
          <w:rFonts w:hint="eastAsia"/>
        </w:rPr>
        <w:t>在全县范围内紧急调用各类应急力量、物资和装备；</w:t>
      </w:r>
    </w:p>
    <w:p w14:paraId="70724FEF">
      <w:pPr>
        <w:numPr>
          <w:ilvl w:val="0"/>
          <w:numId w:val="135"/>
        </w:numPr>
        <w:ind w:firstLine="632"/>
      </w:pPr>
      <w:r>
        <w:rPr>
          <w:rFonts w:hint="eastAsia"/>
        </w:rPr>
        <w:t>向县委、县政府和县安委会报告事故处置和救援情况，必要时请求协调支援；</w:t>
      </w:r>
    </w:p>
    <w:p w14:paraId="57B61CFC">
      <w:pPr>
        <w:numPr>
          <w:ilvl w:val="0"/>
          <w:numId w:val="135"/>
        </w:numPr>
        <w:ind w:firstLine="632"/>
      </w:pPr>
      <w:r>
        <w:rPr>
          <w:rFonts w:hint="eastAsia"/>
        </w:rPr>
        <w:t>负责县非煤矿山应急指挥部日常工作；</w:t>
      </w:r>
    </w:p>
    <w:p w14:paraId="44284857">
      <w:pPr>
        <w:numPr>
          <w:ilvl w:val="0"/>
          <w:numId w:val="135"/>
        </w:numPr>
        <w:ind w:firstLine="632"/>
      </w:pPr>
      <w:r>
        <w:rPr>
          <w:rFonts w:hint="eastAsia"/>
        </w:rPr>
        <w:t>负责县委、县政府和上级业务部门交办的其他工作。</w:t>
      </w:r>
    </w:p>
    <w:p w14:paraId="68F65D14">
      <w:pPr>
        <w:pStyle w:val="4"/>
        <w:numPr>
          <w:ilvl w:val="2"/>
          <w:numId w:val="156"/>
        </w:numPr>
        <w:tabs>
          <w:tab w:val="left" w:pos="0"/>
        </w:tabs>
      </w:pPr>
      <w:r>
        <w:rPr>
          <w:rFonts w:hint="eastAsia"/>
        </w:rPr>
        <w:t>县非煤矿山应急办职责</w:t>
      </w:r>
    </w:p>
    <w:p w14:paraId="00341016">
      <w:pPr>
        <w:numPr>
          <w:ilvl w:val="0"/>
          <w:numId w:val="115"/>
        </w:numPr>
        <w:ind w:firstLine="632"/>
      </w:pPr>
      <w:r>
        <w:rPr>
          <w:rFonts w:hint="eastAsia"/>
        </w:rPr>
        <w:t>组织落实县指挥部决定，协调和调动成员单位应对非煤矿山事故相关工作；</w:t>
      </w:r>
    </w:p>
    <w:p w14:paraId="5A8DE0CB">
      <w:pPr>
        <w:numPr>
          <w:ilvl w:val="0"/>
          <w:numId w:val="115"/>
        </w:numPr>
        <w:ind w:firstLine="632"/>
      </w:pPr>
      <w:r>
        <w:rPr>
          <w:rFonts w:hint="eastAsia"/>
        </w:rPr>
        <w:t>承担县指挥部值守应急工作；</w:t>
      </w:r>
    </w:p>
    <w:p w14:paraId="0E725C69">
      <w:pPr>
        <w:numPr>
          <w:ilvl w:val="0"/>
          <w:numId w:val="115"/>
        </w:numPr>
        <w:ind w:firstLine="632"/>
      </w:pPr>
      <w:r>
        <w:rPr>
          <w:rFonts w:hint="eastAsia"/>
        </w:rPr>
        <w:t>向县指挥部提出预警发布、调整和解除，响应启动、调整和终止的建议；</w:t>
      </w:r>
    </w:p>
    <w:p w14:paraId="52319766">
      <w:pPr>
        <w:numPr>
          <w:ilvl w:val="0"/>
          <w:numId w:val="115"/>
        </w:numPr>
        <w:ind w:firstLine="632"/>
      </w:pPr>
      <w:r>
        <w:rPr>
          <w:rFonts w:hint="eastAsia"/>
        </w:rPr>
        <w:t>收集、分析工作信息，及时上报非煤矿山事故重要信息；根据指挥部的指令做好上传下达工作，协调现场指挥部开展应急救援工作，确保所有相关部门互相沟通、通力合作；</w:t>
      </w:r>
    </w:p>
    <w:p w14:paraId="2D34AE9E">
      <w:pPr>
        <w:numPr>
          <w:ilvl w:val="0"/>
          <w:numId w:val="115"/>
        </w:numPr>
        <w:ind w:firstLine="632"/>
      </w:pPr>
      <w:r>
        <w:rPr>
          <w:rFonts w:hint="eastAsia"/>
        </w:rPr>
        <w:t>负责全县非煤矿山事故风险评估控制、隐患排查整改工作；</w:t>
      </w:r>
    </w:p>
    <w:p w14:paraId="2452F876">
      <w:pPr>
        <w:numPr>
          <w:ilvl w:val="0"/>
          <w:numId w:val="115"/>
        </w:numPr>
        <w:ind w:firstLine="632"/>
      </w:pPr>
      <w:r>
        <w:rPr>
          <w:rFonts w:hint="eastAsia"/>
        </w:rPr>
        <w:t>组织编制及修订本县非煤矿山生产安全事故应急预案，指导相关乡镇制定（修订）非煤矿山事故应急预案；</w:t>
      </w:r>
    </w:p>
    <w:p w14:paraId="296C5DBF">
      <w:pPr>
        <w:numPr>
          <w:ilvl w:val="0"/>
          <w:numId w:val="115"/>
        </w:numPr>
        <w:ind w:firstLine="632"/>
      </w:pPr>
      <w:r>
        <w:rPr>
          <w:rFonts w:hint="eastAsia"/>
        </w:rPr>
        <w:t>配合有关部门做好事故信息发布和救援工作新闻舆情；</w:t>
      </w:r>
    </w:p>
    <w:p w14:paraId="740A992A">
      <w:pPr>
        <w:numPr>
          <w:ilvl w:val="0"/>
          <w:numId w:val="115"/>
        </w:numPr>
        <w:ind w:firstLine="632"/>
      </w:pPr>
      <w:r>
        <w:rPr>
          <w:rFonts w:hint="eastAsia"/>
        </w:rPr>
        <w:t>负责在全县范围内协调、紧急征用事故处置所需的物资、设备、车辆和人员；</w:t>
      </w:r>
    </w:p>
    <w:p w14:paraId="0087211B">
      <w:pPr>
        <w:numPr>
          <w:ilvl w:val="0"/>
          <w:numId w:val="115"/>
        </w:numPr>
        <w:ind w:firstLine="632"/>
      </w:pPr>
      <w:r>
        <w:rPr>
          <w:rFonts w:hint="eastAsia"/>
        </w:rPr>
        <w:t>负责非煤矿山事故应急救援专家组的联系和现场指挥部的组建、管理以及事故应急处置的综合协调工作；</w:t>
      </w:r>
    </w:p>
    <w:p w14:paraId="2D4D30C9">
      <w:pPr>
        <w:numPr>
          <w:ilvl w:val="0"/>
          <w:numId w:val="115"/>
        </w:numPr>
        <w:ind w:firstLine="632"/>
      </w:pPr>
      <w:r>
        <w:rPr>
          <w:rFonts w:hint="eastAsia"/>
        </w:rPr>
        <w:t>承担县非煤矿山生产安全事故应急救援总指挥部日常工作，对本预案实施过程进行监督检查。</w:t>
      </w:r>
    </w:p>
    <w:p w14:paraId="0CEEA123">
      <w:pPr>
        <w:pStyle w:val="4"/>
        <w:numPr>
          <w:ilvl w:val="2"/>
          <w:numId w:val="156"/>
        </w:numPr>
        <w:tabs>
          <w:tab w:val="left" w:pos="0"/>
        </w:tabs>
      </w:pPr>
      <w:r>
        <w:rPr>
          <w:rFonts w:hint="eastAsia"/>
          <w:bCs/>
        </w:rPr>
        <w:t>成员单位主要职责</w:t>
      </w:r>
    </w:p>
    <w:p w14:paraId="102D8D57">
      <w:pPr>
        <w:ind w:firstLine="634"/>
      </w:pPr>
      <w:r>
        <w:rPr>
          <w:rFonts w:hint="eastAsia"/>
          <w:b/>
          <w:bCs/>
        </w:rPr>
        <w:t>县政府办：</w:t>
      </w:r>
      <w:r>
        <w:rPr>
          <w:rFonts w:hint="eastAsia"/>
        </w:rPr>
        <w:t>负责县政府总值班工作，及时收集、汇总事故和相关情况，第一时间向县政府报告，传达县政府领导指示批示精神。</w:t>
      </w:r>
    </w:p>
    <w:p w14:paraId="502716D5">
      <w:pPr>
        <w:ind w:firstLine="634"/>
      </w:pPr>
      <w:r>
        <w:rPr>
          <w:rFonts w:hint="eastAsia"/>
          <w:b/>
          <w:bCs/>
        </w:rPr>
        <w:t>县委宣传部：</w:t>
      </w:r>
      <w:r>
        <w:rPr>
          <w:rFonts w:hint="eastAsia"/>
        </w:rPr>
        <w:t>负责会同行业主管部门协调新闻媒体进行信息发布工作。适时组织召开新闻发布会，发布非煤矿山生产安全事故灾情和处置情况，组织县属新闻单位进行矿山安全知识宣传。</w:t>
      </w:r>
    </w:p>
    <w:p w14:paraId="04566F65">
      <w:pPr>
        <w:ind w:firstLine="634"/>
      </w:pPr>
      <w:r>
        <w:rPr>
          <w:rFonts w:hint="eastAsia"/>
          <w:b/>
          <w:bCs/>
        </w:rPr>
        <w:t>县应急管理局：</w:t>
      </w:r>
      <w:r>
        <w:rPr>
          <w:rFonts w:hint="eastAsia"/>
        </w:rPr>
        <w:t>负责相关非煤矿山事故预防、指挥和处置等应对工作；汇总事故信息，制定应急救援行动计划，部署非煤矿山生产安全事故专业救援队伍前往灾区开展救援，协调有关救援队伍参与救灾行动，协调志愿者队伍协助应急救援行动，协调有关专家指导应急救援工作；参与非煤矿山一般生产安全事故调查工作。</w:t>
      </w:r>
    </w:p>
    <w:p w14:paraId="644A6083">
      <w:pPr>
        <w:ind w:firstLine="634"/>
      </w:pPr>
      <w:r>
        <w:rPr>
          <w:rFonts w:hint="eastAsia"/>
          <w:b/>
          <w:bCs/>
        </w:rPr>
        <w:t>县消防救援大队：</w:t>
      </w:r>
      <w:r>
        <w:rPr>
          <w:rFonts w:hint="eastAsia"/>
        </w:rPr>
        <w:t>负责组织非煤矿山事故现场火灾扑救和相关险情处置；参加非煤矿山事故抢险和人员搜救等工作；参与火灾事故调查处理。</w:t>
      </w:r>
    </w:p>
    <w:p w14:paraId="13160941">
      <w:pPr>
        <w:ind w:firstLine="634"/>
      </w:pPr>
      <w:r>
        <w:rPr>
          <w:rFonts w:hint="eastAsia"/>
          <w:b/>
          <w:bCs/>
        </w:rPr>
        <w:t>县公安局：</w:t>
      </w:r>
      <w:r>
        <w:rPr>
          <w:rFonts w:hint="eastAsia"/>
        </w:rPr>
        <w:t>负责参与非煤矿山生产安全事故现场警戒、秩序维护、道路交通管制等工作；配合当地人民政府组织疏散、撤离受非煤矿山生产安全事故威胁的人员。</w:t>
      </w:r>
    </w:p>
    <w:p w14:paraId="3B1FD68A">
      <w:pPr>
        <w:ind w:firstLine="634"/>
      </w:pPr>
      <w:r>
        <w:rPr>
          <w:rFonts w:hint="eastAsia"/>
          <w:b/>
          <w:bCs/>
        </w:rPr>
        <w:t>县市场监管局：</w:t>
      </w:r>
      <w:r>
        <w:rPr>
          <w:rFonts w:hint="eastAsia"/>
        </w:rPr>
        <w:t>负责组织、协调特种设备生产单位参与非煤矿山事故的应急处置工作；紧急协调调配非煤矿山事故应急救援所需药品，保障供应。</w:t>
      </w:r>
    </w:p>
    <w:p w14:paraId="7C31D6F9">
      <w:pPr>
        <w:ind w:firstLine="634"/>
      </w:pPr>
      <w:r>
        <w:rPr>
          <w:rFonts w:hint="eastAsia"/>
          <w:b/>
          <w:bCs/>
        </w:rPr>
        <w:t>县卫生健康局：</w:t>
      </w:r>
      <w:r>
        <w:rPr>
          <w:rFonts w:hint="eastAsia"/>
        </w:rPr>
        <w:t>负责指导、协调应急医疗卫生救援、卫生防疫工作，组织医疗卫生单位对非煤矿山事故中伤病人员开展紧急医疗救援，实施现场抢救、院前急救、专科治疗等医疗救护工作。</w:t>
      </w:r>
    </w:p>
    <w:p w14:paraId="202656D4">
      <w:pPr>
        <w:ind w:firstLine="634"/>
      </w:pPr>
      <w:r>
        <w:rPr>
          <w:rFonts w:hint="eastAsia"/>
          <w:b/>
          <w:bCs/>
        </w:rPr>
        <w:t>县自然资源局：</w:t>
      </w:r>
      <w:r>
        <w:rPr>
          <w:rFonts w:hint="eastAsia"/>
        </w:rPr>
        <w:t>负责组织提供应急救援相关矿产资源技术资料，指导、协调地质勘察单位参与非煤矿山事故的应急救援工作；根据较大非煤矿山事故灾情、险情变化，提出处置措施建议；为滑坡、泥石流等地质灾害次生非煤矿山生产安全事故应急救援提供技术支撑服务。</w:t>
      </w:r>
    </w:p>
    <w:p w14:paraId="6F5127E8">
      <w:pPr>
        <w:ind w:firstLine="634"/>
      </w:pPr>
      <w:r>
        <w:rPr>
          <w:rFonts w:hint="eastAsia"/>
          <w:b/>
          <w:bCs/>
        </w:rPr>
        <w:t>双鸭山市集贤生态环境局：</w:t>
      </w:r>
      <w:r>
        <w:rPr>
          <w:rFonts w:hint="eastAsia"/>
        </w:rPr>
        <w:t>负责组织、协调非煤矿山事故现场的环境监测和处置工作；指导、协调各地开展生产安全事故可能引发的次生重特大环境事件的应急处置工作；监督负有清除污染的责任单位清除污染，在清除污染过程中及时报送信息。</w:t>
      </w:r>
    </w:p>
    <w:p w14:paraId="282F7198">
      <w:pPr>
        <w:pStyle w:val="14"/>
        <w:ind w:left="0" w:leftChars="0" w:firstLine="632" w:firstLineChars="200"/>
      </w:pPr>
      <w:r>
        <w:rPr>
          <w:rFonts w:hint="eastAsia"/>
          <w:b/>
          <w:bCs/>
        </w:rPr>
        <w:t>县交通运输局：</w:t>
      </w:r>
      <w:r>
        <w:rPr>
          <w:rFonts w:hint="eastAsia"/>
        </w:rPr>
        <w:t>负责开通应急通道，保障救援队伍和物资等及时到达事故现场实施救援；负责协调公共交通运输应急救援人员、物资，帮助撤离事故危险区域的居民群众。</w:t>
      </w:r>
    </w:p>
    <w:p w14:paraId="1FDA2A5D">
      <w:pPr>
        <w:pStyle w:val="14"/>
        <w:ind w:left="0" w:leftChars="0" w:firstLine="632" w:firstLineChars="200"/>
      </w:pPr>
      <w:r>
        <w:rPr>
          <w:rFonts w:hint="eastAsia"/>
          <w:b/>
          <w:bCs/>
        </w:rPr>
        <w:t>县水务局：</w:t>
      </w:r>
      <w:r>
        <w:rPr>
          <w:rFonts w:hint="eastAsia"/>
        </w:rPr>
        <w:t>组织、协调非煤矿山生产安全事故后水毁水利工程设施的修复工作。</w:t>
      </w:r>
    </w:p>
    <w:p w14:paraId="3A51E999">
      <w:pPr>
        <w:ind w:firstLine="634"/>
      </w:pPr>
      <w:r>
        <w:rPr>
          <w:rFonts w:hint="eastAsia"/>
          <w:b/>
          <w:bCs/>
        </w:rPr>
        <w:t>县气象局：</w:t>
      </w:r>
      <w:r>
        <w:rPr>
          <w:rFonts w:hint="eastAsia"/>
        </w:rPr>
        <w:t>负责加强非煤矿山事故救援现场气象实时监测，及时通报重大气象变化，为事故现场应急救援、处置工作提供气象服务。</w:t>
      </w:r>
    </w:p>
    <w:p w14:paraId="0D5AAFA1">
      <w:pPr>
        <w:ind w:firstLine="634"/>
      </w:pPr>
      <w:r>
        <w:rPr>
          <w:rFonts w:hint="eastAsia"/>
          <w:b/>
          <w:bCs/>
        </w:rPr>
        <w:t>县财政局：</w:t>
      </w:r>
      <w:r>
        <w:rPr>
          <w:rFonts w:hint="eastAsia"/>
        </w:rPr>
        <w:t>按照分清渠道、分级负担的原则，负责保障应由县财政承担的应急工作所需资金，并对应急资金的安排、使用、管理进行监督。</w:t>
      </w:r>
    </w:p>
    <w:p w14:paraId="42267ACF">
      <w:pPr>
        <w:ind w:firstLine="634"/>
      </w:pPr>
      <w:r>
        <w:rPr>
          <w:rFonts w:hint="eastAsia"/>
          <w:b/>
          <w:bCs/>
        </w:rPr>
        <w:t>县民政局：</w:t>
      </w:r>
      <w:r>
        <w:rPr>
          <w:rFonts w:hint="eastAsia"/>
        </w:rPr>
        <w:t>负责协助事故遇难人员遗体处置工作。</w:t>
      </w:r>
    </w:p>
    <w:p w14:paraId="2D1B1466">
      <w:pPr>
        <w:ind w:firstLine="634"/>
      </w:pPr>
      <w:r>
        <w:rPr>
          <w:rFonts w:hint="eastAsia"/>
          <w:b/>
          <w:bCs/>
        </w:rPr>
        <w:t>县人力资源和社会保障局：</w:t>
      </w:r>
      <w:r>
        <w:rPr>
          <w:rFonts w:hint="eastAsia"/>
        </w:rPr>
        <w:t>负责应急救援后就业的迅速恢复和稳定；负责应急救援中产生的工伤认定和赔偿及落实灾难后有关人员的失业保障。</w:t>
      </w:r>
    </w:p>
    <w:p w14:paraId="7DA54BB6">
      <w:pPr>
        <w:ind w:firstLine="634"/>
      </w:pPr>
      <w:r>
        <w:rPr>
          <w:rFonts w:hint="eastAsia"/>
          <w:b/>
          <w:bCs/>
        </w:rPr>
        <w:t>县住房和城乡建设局：</w:t>
      </w:r>
      <w:r>
        <w:rPr>
          <w:rFonts w:hint="eastAsia"/>
        </w:rPr>
        <w:t>指导、协调因非煤矿山事故造成房屋建筑和市政工程受损的应急处置工作。</w:t>
      </w:r>
    </w:p>
    <w:p w14:paraId="516E2EB5">
      <w:pPr>
        <w:ind w:firstLine="634"/>
      </w:pPr>
      <w:r>
        <w:rPr>
          <w:rFonts w:hint="eastAsia"/>
          <w:b/>
          <w:bCs/>
        </w:rPr>
        <w:t>县工业信息科技局：</w:t>
      </w:r>
      <w:r>
        <w:rPr>
          <w:rFonts w:hint="eastAsia"/>
        </w:rPr>
        <w:t>保障各级人民政府、有关单位与突发非煤矿山生产安全事故发生地之间应急无线电通信业务频道的正常使用，协助有关单位尽快恢复被破坏的通信设施。</w:t>
      </w:r>
    </w:p>
    <w:p w14:paraId="4AD7B6C6">
      <w:pPr>
        <w:ind w:firstLine="634"/>
      </w:pPr>
      <w:r>
        <w:rPr>
          <w:rFonts w:hint="eastAsia"/>
          <w:b/>
          <w:bCs/>
        </w:rPr>
        <w:t>县总工会：</w:t>
      </w:r>
      <w:r>
        <w:rPr>
          <w:rFonts w:hint="eastAsia"/>
        </w:rPr>
        <w:t>参与责任事故的调查工作和协调配合做好遇难、受伤人员家属的安抚和稳定等善后处理工作，为群众提供相关权益咨询。</w:t>
      </w:r>
    </w:p>
    <w:p w14:paraId="1FB41A2C">
      <w:pPr>
        <w:ind w:firstLine="634"/>
      </w:pPr>
      <w:r>
        <w:rPr>
          <w:rFonts w:hint="eastAsia"/>
          <w:b/>
          <w:bCs/>
        </w:rPr>
        <w:t>国网供电集贤分公司：</w:t>
      </w:r>
      <w:r>
        <w:rPr>
          <w:rFonts w:hint="eastAsia"/>
        </w:rPr>
        <w:t>负责及时修复非煤矿山事故现场受损毁的属供电局资产的电力设施，协助并指导设备产权单位损毁电力设施修复工作，保障救援应急装备的集贤县非煤矿山生产安全事故应急预案临时供电需求和电力供应。</w:t>
      </w:r>
    </w:p>
    <w:p w14:paraId="0B8BD89C">
      <w:pPr>
        <w:ind w:firstLine="634"/>
        <w:rPr>
          <w:b/>
          <w:bCs/>
        </w:rPr>
      </w:pPr>
      <w:r>
        <w:rPr>
          <w:rFonts w:hint="eastAsia"/>
          <w:b/>
          <w:bCs/>
        </w:rPr>
        <w:t>各通信运营单位：</w:t>
      </w:r>
      <w:r>
        <w:rPr>
          <w:rFonts w:hint="eastAsia"/>
        </w:rPr>
        <w:t>负责组织保障非煤矿山生产安全事故应急救援过程中的应急通信。</w:t>
      </w:r>
    </w:p>
    <w:p w14:paraId="5B372BA8">
      <w:pPr>
        <w:ind w:firstLine="634"/>
      </w:pPr>
      <w:r>
        <w:rPr>
          <w:rFonts w:hint="eastAsia"/>
          <w:b/>
          <w:bCs/>
        </w:rPr>
        <w:t>属地乡镇政府：</w:t>
      </w:r>
      <w:r>
        <w:rPr>
          <w:rFonts w:hint="eastAsia"/>
        </w:rPr>
        <w:t>成立相应的非煤矿山生产安全事故应急指挥组织，负责启动本级应急预案，迅速组织抢险救援，同时报请县政府启动预案。</w:t>
      </w:r>
    </w:p>
    <w:p w14:paraId="713639D3">
      <w:pPr>
        <w:ind w:firstLine="634"/>
      </w:pPr>
      <w:r>
        <w:rPr>
          <w:rFonts w:hint="eastAsia"/>
          <w:b/>
          <w:bCs/>
        </w:rPr>
        <w:t>非煤矿山经营企业：</w:t>
      </w:r>
      <w:r>
        <w:rPr>
          <w:rFonts w:hint="eastAsia"/>
        </w:rPr>
        <w:t>负责制定和修订本单位应急预案，并按规定报主管部门备案；在突发事故时立即启动应急响应，组织开展现场抢险救援工作并立即报告；按照响应分级，配合做好事故救援工作，提供应急救援相关资料。</w:t>
      </w:r>
    </w:p>
    <w:p w14:paraId="6A8C64FC">
      <w:pPr>
        <w:ind w:firstLine="632"/>
      </w:pPr>
      <w:r>
        <w:rPr>
          <w:rFonts w:hint="eastAsia"/>
        </w:rPr>
        <w:t>事发地乡镇人民政府按照有关规定及时向县非煤矿山应急办及市直有关主管部门报告事故灾难情况，并在第一时间采取应急处置措施，开展应急救援工作，为县指挥部组织应急救援提供保障。</w:t>
      </w:r>
    </w:p>
    <w:p w14:paraId="3B023653">
      <w:pPr>
        <w:ind w:firstLine="632"/>
      </w:pPr>
      <w:r>
        <w:rPr>
          <w:rFonts w:hint="eastAsia"/>
        </w:rPr>
        <w:t>其他县级有关部门和单位、乡镇，在县应急处置指挥部的指挥协调下，做好相关应急处置工作。</w:t>
      </w:r>
    </w:p>
    <w:p w14:paraId="60787ECD">
      <w:pPr>
        <w:pStyle w:val="3"/>
        <w:numPr>
          <w:ilvl w:val="0"/>
          <w:numId w:val="156"/>
        </w:numPr>
        <w:tabs>
          <w:tab w:val="left" w:pos="0"/>
        </w:tabs>
        <w:rPr>
          <w:rFonts w:ascii="楷体_GB2312" w:hAnsi="楷体_GB2312" w:eastAsia="楷体_GB2312" w:cs="楷体_GB2312"/>
        </w:rPr>
      </w:pPr>
      <w:bookmarkStart w:id="981" w:name="_Toc7880"/>
      <w:r>
        <w:rPr>
          <w:rFonts w:hint="eastAsia" w:ascii="楷体_GB2312" w:hAnsi="楷体_GB2312" w:eastAsia="楷体_GB2312" w:cs="楷体_GB2312"/>
        </w:rPr>
        <w:t>现场应急救援机构</w:t>
      </w:r>
      <w:bookmarkEnd w:id="981"/>
    </w:p>
    <w:p w14:paraId="1571127C">
      <w:pPr>
        <w:ind w:firstLine="632"/>
      </w:pPr>
      <w:r>
        <w:rPr>
          <w:rFonts w:hint="eastAsia"/>
        </w:rPr>
        <w:t>县指挥部根据事故现场情况设立现场指挥部，现场指挥部下 设综合协调、抢险救援、治安警戒、医疗救援、环境监测、后勤保障、善后处置、新闻报道、技术专家等应急工作组。</w:t>
      </w:r>
    </w:p>
    <w:p w14:paraId="2A45A816">
      <w:pPr>
        <w:pStyle w:val="4"/>
        <w:numPr>
          <w:ilvl w:val="2"/>
          <w:numId w:val="156"/>
        </w:numPr>
        <w:tabs>
          <w:tab w:val="left" w:pos="0"/>
        </w:tabs>
      </w:pPr>
      <w:r>
        <w:rPr>
          <w:rFonts w:hint="eastAsia"/>
        </w:rPr>
        <w:t>综合协调组</w:t>
      </w:r>
    </w:p>
    <w:p w14:paraId="59552BD5">
      <w:pPr>
        <w:ind w:firstLine="632"/>
      </w:pPr>
      <w:r>
        <w:rPr>
          <w:rFonts w:hint="eastAsia"/>
        </w:rPr>
        <w:t>牵头单位：县应急管理局</w:t>
      </w:r>
    </w:p>
    <w:p w14:paraId="40B2F749">
      <w:pPr>
        <w:ind w:firstLine="632"/>
      </w:pPr>
      <w:r>
        <w:rPr>
          <w:rFonts w:hint="eastAsia"/>
        </w:rPr>
        <w:t xml:space="preserve">成员单位：县发展和改革局、县公安局、事发地乡镇人民政府 </w:t>
      </w:r>
    </w:p>
    <w:p w14:paraId="13F4F774">
      <w:pPr>
        <w:ind w:firstLine="632"/>
      </w:pPr>
      <w:r>
        <w:rPr>
          <w:rFonts w:hint="eastAsia"/>
        </w:rPr>
        <w:t>主要职责：在县指挥部领导下，履行会议组织、传达上级指示、文件精神、信息汇总、综合协调和资料管理、承办县指挥部交办的其他事项等职责。</w:t>
      </w:r>
    </w:p>
    <w:p w14:paraId="00A9E261">
      <w:pPr>
        <w:pStyle w:val="4"/>
        <w:numPr>
          <w:ilvl w:val="2"/>
          <w:numId w:val="156"/>
        </w:numPr>
        <w:tabs>
          <w:tab w:val="left" w:pos="0"/>
        </w:tabs>
      </w:pPr>
      <w:r>
        <w:rPr>
          <w:rFonts w:hint="eastAsia"/>
        </w:rPr>
        <w:t>抢险救援组</w:t>
      </w:r>
    </w:p>
    <w:p w14:paraId="28A00998">
      <w:pPr>
        <w:ind w:firstLine="632"/>
      </w:pPr>
      <w:r>
        <w:rPr>
          <w:rFonts w:hint="eastAsia"/>
        </w:rPr>
        <w:t>牵头单位：县应急管理局</w:t>
      </w:r>
    </w:p>
    <w:p w14:paraId="0E464026">
      <w:pPr>
        <w:ind w:firstLine="632"/>
      </w:pPr>
      <w:r>
        <w:rPr>
          <w:rFonts w:hint="eastAsia"/>
        </w:rPr>
        <w:t>成员单位：县公安局、县自然资源局、县工业信息科技局、县市场监督管理局、县消防救援大队、事发地乡镇人民政府、事故发生单位</w:t>
      </w:r>
    </w:p>
    <w:p w14:paraId="743061EB">
      <w:pPr>
        <w:ind w:firstLine="632"/>
      </w:pPr>
      <w:r>
        <w:rPr>
          <w:rFonts w:hint="eastAsia"/>
        </w:rPr>
        <w:t xml:space="preserve">主要职责：负责实施县指挥部批准的抢险救援方案；负责向保障部门提供抢险救援所需物资清单；负责向有关部门提供救援所需各类图纸资料；负责组织指挥救援人员进入事故现场实施抢险救援。 </w:t>
      </w:r>
    </w:p>
    <w:p w14:paraId="7E3B20F0">
      <w:pPr>
        <w:pStyle w:val="4"/>
        <w:numPr>
          <w:ilvl w:val="2"/>
          <w:numId w:val="156"/>
        </w:numPr>
        <w:tabs>
          <w:tab w:val="left" w:pos="0"/>
        </w:tabs>
      </w:pPr>
      <w:r>
        <w:rPr>
          <w:rFonts w:hint="eastAsia"/>
        </w:rPr>
        <w:t>治安警戒组</w:t>
      </w:r>
    </w:p>
    <w:p w14:paraId="77391263">
      <w:pPr>
        <w:ind w:firstLine="632"/>
      </w:pPr>
      <w:r>
        <w:rPr>
          <w:rFonts w:hint="eastAsia"/>
        </w:rPr>
        <w:t>牵头单位：县公安局</w:t>
      </w:r>
    </w:p>
    <w:p w14:paraId="3459EFBA">
      <w:pPr>
        <w:ind w:firstLine="632"/>
      </w:pPr>
      <w:r>
        <w:rPr>
          <w:rFonts w:hint="eastAsia"/>
        </w:rPr>
        <w:t>成员单位：县人武部</w:t>
      </w:r>
    </w:p>
    <w:p w14:paraId="270B72F7">
      <w:pPr>
        <w:ind w:firstLine="632"/>
      </w:pPr>
      <w:r>
        <w:rPr>
          <w:rFonts w:hint="eastAsia"/>
        </w:rPr>
        <w:t>主要职责：负责保护事故现场，维持事故单位的治安和救援工作秩序；对进出事故现场及主要救援物资运输道路进行管控，保证抢险救灾工作正常进行；依法控制事故责任人。</w:t>
      </w:r>
    </w:p>
    <w:p w14:paraId="02E4A96D">
      <w:pPr>
        <w:pStyle w:val="4"/>
        <w:numPr>
          <w:ilvl w:val="2"/>
          <w:numId w:val="156"/>
        </w:numPr>
        <w:tabs>
          <w:tab w:val="left" w:pos="0"/>
        </w:tabs>
      </w:pPr>
      <w:r>
        <w:rPr>
          <w:rFonts w:hint="eastAsia"/>
        </w:rPr>
        <w:t>医疗救援组</w:t>
      </w:r>
    </w:p>
    <w:p w14:paraId="71CD0C31">
      <w:pPr>
        <w:ind w:firstLine="632"/>
      </w:pPr>
      <w:r>
        <w:rPr>
          <w:rFonts w:hint="eastAsia"/>
        </w:rPr>
        <w:t>牵头单位：县卫生健康局</w:t>
      </w:r>
    </w:p>
    <w:p w14:paraId="481A7EF4">
      <w:pPr>
        <w:ind w:firstLine="632"/>
      </w:pPr>
      <w:r>
        <w:rPr>
          <w:rFonts w:hint="eastAsia"/>
        </w:rPr>
        <w:t>主要职责：负责组织协调调配救护车、医疗专家和卫生应急队伍等卫生资源，开展事故伤员或中毒人员急救转运、救治和现场卫生防疫工作；组织协调卫生应急药品、器械等物资调配工作。</w:t>
      </w:r>
    </w:p>
    <w:p w14:paraId="544310F3">
      <w:pPr>
        <w:pStyle w:val="4"/>
        <w:numPr>
          <w:ilvl w:val="2"/>
          <w:numId w:val="156"/>
        </w:numPr>
        <w:tabs>
          <w:tab w:val="left" w:pos="0"/>
        </w:tabs>
      </w:pPr>
      <w:r>
        <w:rPr>
          <w:rFonts w:hint="eastAsia"/>
        </w:rPr>
        <w:t xml:space="preserve">环境监测组 </w:t>
      </w:r>
    </w:p>
    <w:p w14:paraId="498A3671">
      <w:pPr>
        <w:ind w:firstLine="632"/>
      </w:pPr>
      <w:r>
        <w:rPr>
          <w:rFonts w:hint="eastAsia"/>
        </w:rPr>
        <w:t>牵头单位：双鸭山市集贤生态环境局</w:t>
      </w:r>
    </w:p>
    <w:p w14:paraId="112E9CD5">
      <w:pPr>
        <w:ind w:firstLine="632"/>
      </w:pPr>
      <w:r>
        <w:rPr>
          <w:rFonts w:hint="eastAsia"/>
        </w:rPr>
        <w:t>成员单位：县气象局</w:t>
      </w:r>
    </w:p>
    <w:p w14:paraId="0044EA60">
      <w:pPr>
        <w:ind w:firstLine="632"/>
      </w:pPr>
      <w:r>
        <w:rPr>
          <w:rFonts w:hint="eastAsia"/>
        </w:rPr>
        <w:t>主要职责：负责事故现场大气、水质、土壤环境污染影响的环境应急监测工作，根据监测结果及时提出次生环境事件的防控建议，提出妥善处置的技术指导意见。</w:t>
      </w:r>
    </w:p>
    <w:p w14:paraId="11A0AE0B">
      <w:pPr>
        <w:pStyle w:val="4"/>
        <w:numPr>
          <w:ilvl w:val="2"/>
          <w:numId w:val="156"/>
        </w:numPr>
        <w:tabs>
          <w:tab w:val="left" w:pos="0"/>
        </w:tabs>
      </w:pPr>
      <w:r>
        <w:rPr>
          <w:rFonts w:hint="eastAsia"/>
        </w:rPr>
        <w:t>后勤保障组</w:t>
      </w:r>
    </w:p>
    <w:p w14:paraId="1673F718">
      <w:pPr>
        <w:ind w:firstLine="632"/>
      </w:pPr>
      <w:r>
        <w:rPr>
          <w:rFonts w:hint="eastAsia"/>
        </w:rPr>
        <w:t>牵头单位：县应急管理局</w:t>
      </w:r>
    </w:p>
    <w:p w14:paraId="19CDF46F">
      <w:pPr>
        <w:ind w:firstLine="632"/>
      </w:pPr>
      <w:r>
        <w:rPr>
          <w:rFonts w:hint="eastAsia"/>
        </w:rPr>
        <w:t>成员单位：县财政局、县公安局、县交通运输局、县气象局、双鸭山市集贤生态环境局、国网集贤县供电公司、各通信运营单位等</w:t>
      </w:r>
    </w:p>
    <w:p w14:paraId="264FAF9A">
      <w:pPr>
        <w:ind w:firstLine="632"/>
      </w:pPr>
      <w:r>
        <w:rPr>
          <w:rFonts w:hint="eastAsia"/>
        </w:rPr>
        <w:t>主要职责：负责事故抢险救灾物资的联系、采购、供应、车辆及油料调配；为各级指挥人员、具体实施抢险人员提供生活和休息场所；为事故救援过程中提供气象环境的监测、检测和预报等工作；保证事故现场电力供应；负责事故现场抢险物资存放与保管；负责开辟救援绿色通道，协助调集、征用救援车辆，对被损坏公路进行抢修、维护，保障公路运输畅通；负责组织协调各运营企业做好通信保障应急工作。</w:t>
      </w:r>
    </w:p>
    <w:p w14:paraId="696B1EA6">
      <w:pPr>
        <w:pStyle w:val="4"/>
        <w:numPr>
          <w:ilvl w:val="2"/>
          <w:numId w:val="156"/>
        </w:numPr>
        <w:tabs>
          <w:tab w:val="left" w:pos="0"/>
        </w:tabs>
      </w:pPr>
      <w:r>
        <w:rPr>
          <w:rFonts w:hint="eastAsia"/>
        </w:rPr>
        <w:t>善后处置组</w:t>
      </w:r>
    </w:p>
    <w:p w14:paraId="43A5A45C">
      <w:pPr>
        <w:ind w:firstLine="632"/>
      </w:pPr>
      <w:r>
        <w:rPr>
          <w:rFonts w:hint="eastAsia"/>
        </w:rPr>
        <w:t>牵头单位：县民政局</w:t>
      </w:r>
    </w:p>
    <w:p w14:paraId="4FCA0C8F">
      <w:pPr>
        <w:ind w:firstLine="632"/>
      </w:pPr>
      <w:r>
        <w:rPr>
          <w:rFonts w:hint="eastAsia"/>
        </w:rPr>
        <w:t>成员单位：县应急管理局、县人力资源和社会保障局、县工业和信息化局、县总工会、县公安局、事发地乡镇人民政府、事故发生单位</w:t>
      </w:r>
    </w:p>
    <w:p w14:paraId="6FEC32B0">
      <w:pPr>
        <w:ind w:firstLine="632"/>
      </w:pPr>
      <w:r>
        <w:rPr>
          <w:rFonts w:hint="eastAsia"/>
        </w:rPr>
        <w:t>主要职责：负责做好伤亡人员家属的安抚、抚恤、理赔工作；负责遇难人员处理工作；负责其他有关善后处理工作。</w:t>
      </w:r>
    </w:p>
    <w:p w14:paraId="44494A2D">
      <w:pPr>
        <w:pStyle w:val="4"/>
        <w:numPr>
          <w:ilvl w:val="2"/>
          <w:numId w:val="156"/>
        </w:numPr>
        <w:tabs>
          <w:tab w:val="left" w:pos="0"/>
        </w:tabs>
      </w:pPr>
      <w:r>
        <w:rPr>
          <w:rFonts w:hint="eastAsia"/>
        </w:rPr>
        <w:t>新闻舆情组</w:t>
      </w:r>
    </w:p>
    <w:p w14:paraId="09F4750C">
      <w:pPr>
        <w:ind w:firstLine="632"/>
      </w:pPr>
      <w:r>
        <w:rPr>
          <w:rFonts w:hint="eastAsia"/>
        </w:rPr>
        <w:t>牵头单位：县委宣传部</w:t>
      </w:r>
    </w:p>
    <w:p w14:paraId="2899B611">
      <w:pPr>
        <w:ind w:firstLine="632"/>
      </w:pPr>
      <w:r>
        <w:rPr>
          <w:rFonts w:hint="eastAsia"/>
        </w:rPr>
        <w:t>成员单位：县应急管理局、事发地乡镇人民政府</w:t>
      </w:r>
    </w:p>
    <w:p w14:paraId="04C7A910">
      <w:pPr>
        <w:ind w:firstLine="632"/>
      </w:pPr>
      <w:r>
        <w:rPr>
          <w:rFonts w:hint="eastAsia"/>
        </w:rPr>
        <w:t>主要职责：维护现场正常的新闻采访秩序，及时做好新闻发布工作，正确引导媒体和公众舆论；完成指挥部交办的其他任务。</w:t>
      </w:r>
    </w:p>
    <w:p w14:paraId="61DFCD81">
      <w:pPr>
        <w:pStyle w:val="4"/>
        <w:numPr>
          <w:ilvl w:val="2"/>
          <w:numId w:val="156"/>
        </w:numPr>
        <w:tabs>
          <w:tab w:val="left" w:pos="0"/>
        </w:tabs>
      </w:pPr>
      <w:r>
        <w:rPr>
          <w:rFonts w:hint="eastAsia"/>
        </w:rPr>
        <w:t>应急救援专家组</w:t>
      </w:r>
    </w:p>
    <w:p w14:paraId="1A71E4C2">
      <w:pPr>
        <w:ind w:firstLine="632"/>
      </w:pPr>
      <w:r>
        <w:rPr>
          <w:rFonts w:hint="eastAsia"/>
        </w:rPr>
        <w:t>牵头单位：县应急管理局</w:t>
      </w:r>
    </w:p>
    <w:p w14:paraId="6BF73FA6">
      <w:pPr>
        <w:ind w:firstLine="632"/>
      </w:pPr>
      <w:r>
        <w:rPr>
          <w:rFonts w:hint="eastAsia"/>
        </w:rPr>
        <w:t>专家组成员：安全管理、应急救援、医疗救护、卫生防疫、环境保护、交通运输、工程抢险等相关专业部门的专家</w:t>
      </w:r>
    </w:p>
    <w:p w14:paraId="292ADB1E">
      <w:pPr>
        <w:ind w:firstLine="632"/>
      </w:pPr>
      <w:r>
        <w:rPr>
          <w:rFonts w:hint="eastAsia"/>
        </w:rPr>
        <w:t>主要职责：参与非煤矿山事故抢险救援方案的研究制定；分析事故原因、灾害情况的演变和救援技术措施；为应急救援决策提出意见建议，为事故防范提出指导性措施，为恢复生产提供技术支撑。</w:t>
      </w:r>
    </w:p>
    <w:p w14:paraId="312691BA">
      <w:pPr>
        <w:pStyle w:val="3"/>
        <w:numPr>
          <w:ilvl w:val="0"/>
          <w:numId w:val="156"/>
        </w:numPr>
        <w:tabs>
          <w:tab w:val="left" w:pos="0"/>
        </w:tabs>
        <w:rPr>
          <w:rFonts w:ascii="楷体_GB2312" w:hAnsi="楷体_GB2312" w:eastAsia="楷体_GB2312" w:cs="楷体_GB2312"/>
        </w:rPr>
      </w:pPr>
      <w:bookmarkStart w:id="982" w:name="_Toc2384"/>
      <w:r>
        <w:rPr>
          <w:rFonts w:hint="eastAsia" w:ascii="楷体_GB2312" w:hAnsi="楷体_GB2312" w:eastAsia="楷体_GB2312" w:cs="楷体_GB2312"/>
        </w:rPr>
        <w:t>基层组织机构</w:t>
      </w:r>
      <w:bookmarkEnd w:id="982"/>
    </w:p>
    <w:p w14:paraId="601730C8">
      <w:pPr>
        <w:ind w:firstLine="632"/>
      </w:pPr>
      <w:r>
        <w:rPr>
          <w:rFonts w:hint="eastAsia"/>
        </w:rPr>
        <w:t>各乡镇、社区和各有关单位要成立应急领导小组，主要领导是第一责任人。</w:t>
      </w:r>
    </w:p>
    <w:p w14:paraId="47281BEA">
      <w:pPr>
        <w:ind w:firstLine="632"/>
      </w:pPr>
      <w:r>
        <w:rPr>
          <w:rFonts w:hint="eastAsia"/>
        </w:rPr>
        <w:t>主要职责：负责组织、协调和实施本辖区内非煤矿山生产安全事故应急救援和监督管理工作；负责建立本辖区非煤矿山生产安全事故应急管理工作体制和机制，制定本辖区非煤矿山生产安全事故应急预案；做好辖区内非煤矿山生产安全事故应急队伍建设及应急物资、装备储备工作；负责组织实施救助、补偿、抚慰、抚恤及灾后重建等善后处理工作；依法负责指挥、组织、协调本辖区内一般以下非煤矿山生产安全事故的应急救援工作及一般以上事故的先期处置；参与一般以上非煤矿山生产安全事故应急处置工作。</w:t>
      </w:r>
    </w:p>
    <w:p w14:paraId="5276FF78">
      <w:pPr>
        <w:pStyle w:val="2"/>
        <w:numPr>
          <w:ilvl w:val="0"/>
          <w:numId w:val="156"/>
        </w:numPr>
        <w:tabs>
          <w:tab w:val="left" w:pos="0"/>
        </w:tabs>
      </w:pPr>
      <w:bookmarkStart w:id="983" w:name="_Toc16415"/>
      <w:r>
        <w:rPr>
          <w:rFonts w:hint="eastAsia"/>
        </w:rPr>
        <w:t>预防预警机制</w:t>
      </w:r>
      <w:bookmarkEnd w:id="983"/>
    </w:p>
    <w:p w14:paraId="4CD41A2D">
      <w:pPr>
        <w:pStyle w:val="3"/>
        <w:numPr>
          <w:ilvl w:val="0"/>
          <w:numId w:val="156"/>
        </w:numPr>
        <w:tabs>
          <w:tab w:val="left" w:pos="0"/>
        </w:tabs>
        <w:rPr>
          <w:rFonts w:ascii="楷体_GB2312" w:hAnsi="楷体_GB2312" w:eastAsia="楷体_GB2312" w:cs="楷体_GB2312"/>
        </w:rPr>
      </w:pPr>
      <w:bookmarkStart w:id="984" w:name="_Toc27310"/>
      <w:r>
        <w:rPr>
          <w:rFonts w:hint="eastAsia" w:ascii="楷体_GB2312" w:hAnsi="楷体_GB2312" w:eastAsia="楷体_GB2312" w:cs="楷体_GB2312"/>
        </w:rPr>
        <w:t>风险防控</w:t>
      </w:r>
      <w:bookmarkEnd w:id="984"/>
    </w:p>
    <w:p w14:paraId="4D5DB5EF">
      <w:pPr>
        <w:numPr>
          <w:ilvl w:val="0"/>
          <w:numId w:val="158"/>
        </w:numPr>
        <w:ind w:firstLine="632"/>
      </w:pPr>
      <w:r>
        <w:rPr>
          <w:rFonts w:hint="eastAsia"/>
        </w:rPr>
        <w:t xml:space="preserve">县指挥部对非煤矿山企业实施重点监测，贯彻早发现、早报告、早处置和联测联报、分工负责的原则，完善常规数据监测、风险分析与分级等制度，建立健全非煤矿山事故预测预警体系。 </w:t>
      </w:r>
    </w:p>
    <w:p w14:paraId="11439577">
      <w:pPr>
        <w:numPr>
          <w:ilvl w:val="0"/>
          <w:numId w:val="158"/>
        </w:numPr>
        <w:ind w:firstLine="632"/>
      </w:pPr>
      <w:r>
        <w:rPr>
          <w:rFonts w:hint="eastAsia"/>
        </w:rPr>
        <w:t>县指挥部与各成员单位建立全县非煤矿山事故风险信息通报机制。</w:t>
      </w:r>
    </w:p>
    <w:p w14:paraId="63929E12">
      <w:pPr>
        <w:numPr>
          <w:ilvl w:val="0"/>
          <w:numId w:val="158"/>
        </w:numPr>
        <w:ind w:firstLine="632"/>
      </w:pPr>
      <w:r>
        <w:rPr>
          <w:rFonts w:hint="eastAsia"/>
        </w:rPr>
        <w:t>县应急管理局对存在重大隐患的非煤矿山企业实施重点监测，并将重大隐患现状、可能造成的危害、有关管理措施、应急预案等信息及时通告，并提出整改措施。</w:t>
      </w:r>
    </w:p>
    <w:p w14:paraId="34B10C56">
      <w:pPr>
        <w:numPr>
          <w:ilvl w:val="0"/>
          <w:numId w:val="158"/>
        </w:numPr>
        <w:ind w:firstLine="632"/>
      </w:pPr>
      <w:r>
        <w:rPr>
          <w:rFonts w:hint="eastAsia"/>
        </w:rPr>
        <w:t>非煤矿山企业根据地质条件、可能引发灾害的类型、危害程度，建立本企业基本情况和重大危险源、危险因素数据库，实施日常监督管理，并落实好评估备案工作。</w:t>
      </w:r>
    </w:p>
    <w:p w14:paraId="181ABAA8">
      <w:pPr>
        <w:numPr>
          <w:ilvl w:val="0"/>
          <w:numId w:val="158"/>
        </w:numPr>
        <w:ind w:firstLine="632"/>
      </w:pPr>
      <w:r>
        <w:rPr>
          <w:rFonts w:hint="eastAsia"/>
        </w:rPr>
        <w:t>非煤矿山企业发现生产安全事故征兆时，应立即向县应急管理局报告。县应急管理局接到报告后，应立即组织力量到现场进行复核确认，及时采取必要的应急措施，事态严重的立即向县委、县政府及上级有关部门报告。</w:t>
      </w:r>
    </w:p>
    <w:p w14:paraId="5964A02E">
      <w:pPr>
        <w:pStyle w:val="3"/>
        <w:numPr>
          <w:ilvl w:val="0"/>
          <w:numId w:val="156"/>
        </w:numPr>
        <w:tabs>
          <w:tab w:val="left" w:pos="0"/>
        </w:tabs>
        <w:rPr>
          <w:rFonts w:ascii="楷体_GB2312" w:hAnsi="楷体_GB2312" w:eastAsia="楷体_GB2312" w:cs="楷体_GB2312"/>
        </w:rPr>
      </w:pPr>
      <w:bookmarkStart w:id="985" w:name="_Toc10111"/>
      <w:r>
        <w:rPr>
          <w:rFonts w:hint="eastAsia" w:ascii="楷体_GB2312" w:hAnsi="楷体_GB2312" w:eastAsia="楷体_GB2312" w:cs="楷体_GB2312"/>
        </w:rPr>
        <w:t>预警</w:t>
      </w:r>
      <w:bookmarkEnd w:id="985"/>
    </w:p>
    <w:p w14:paraId="02F38CFD">
      <w:pPr>
        <w:pStyle w:val="4"/>
        <w:numPr>
          <w:ilvl w:val="2"/>
          <w:numId w:val="156"/>
        </w:numPr>
        <w:tabs>
          <w:tab w:val="left" w:pos="0"/>
        </w:tabs>
      </w:pPr>
      <w:r>
        <w:rPr>
          <w:rFonts w:hint="eastAsia"/>
        </w:rPr>
        <w:t>预警类型</w:t>
      </w:r>
    </w:p>
    <w:p w14:paraId="7F09946F">
      <w:pPr>
        <w:ind w:firstLine="632"/>
      </w:pPr>
      <w:r>
        <w:rPr>
          <w:rFonts w:hint="eastAsia"/>
        </w:rPr>
        <w:t>依据事故分级标准和紧急程度、发展态势和可能造成的危害，确定预警级别。预警级别从高到低依次分为：一级、二级、三级、四级，依次分别用红色、橙色、黄色、蓝色表示，一级（红色）为最高级别。</w:t>
      </w:r>
    </w:p>
    <w:p w14:paraId="75C3C3C0">
      <w:pPr>
        <w:pStyle w:val="4"/>
        <w:numPr>
          <w:ilvl w:val="2"/>
          <w:numId w:val="156"/>
        </w:numPr>
        <w:tabs>
          <w:tab w:val="left" w:pos="0"/>
        </w:tabs>
      </w:pPr>
      <w:r>
        <w:rPr>
          <w:rFonts w:hint="eastAsia"/>
        </w:rPr>
        <w:t>预警发布、调整和解除</w:t>
      </w:r>
    </w:p>
    <w:p w14:paraId="44652408">
      <w:pPr>
        <w:ind w:firstLine="632"/>
      </w:pPr>
      <w:r>
        <w:rPr>
          <w:rFonts w:hint="eastAsia"/>
        </w:rPr>
        <w:t xml:space="preserve">四级预警信息由县非煤矿山应急办经批准后予以发布；三级及三级以上预警信息，应及时上报市应急管理局和市人民政府，并由其按规定启动预警信息发布程序。 </w:t>
      </w:r>
    </w:p>
    <w:p w14:paraId="590B6295">
      <w:pPr>
        <w:ind w:firstLine="632"/>
      </w:pPr>
      <w:r>
        <w:rPr>
          <w:rFonts w:hint="eastAsia"/>
        </w:rPr>
        <w:t xml:space="preserve">预警内容包括发布机关、发布时间、非煤矿山生产安全事故类别、起始时间、可能影响范围、预警级别、警示事项、事态发展、相关措施等。根据事态发展，适时调整预警级别并重新报告、通报和发布有关非煤矿山生产安全事故预警信息和分析评估结果。 </w:t>
      </w:r>
    </w:p>
    <w:p w14:paraId="501D8BC0">
      <w:pPr>
        <w:ind w:firstLine="632"/>
      </w:pPr>
      <w:r>
        <w:rPr>
          <w:rFonts w:hint="eastAsia"/>
        </w:rPr>
        <w:t>预警信息的发布和调整可通过广播、电视、报刊、通信、信息网络、警报器、宣传车、大喇叭或组织人员逐户通知等方式进行。</w:t>
      </w:r>
    </w:p>
    <w:p w14:paraId="21A5EF4C">
      <w:pPr>
        <w:ind w:firstLine="632"/>
      </w:pPr>
      <w:r>
        <w:rPr>
          <w:rFonts w:hint="eastAsia"/>
        </w:rPr>
        <w:t>Ⅳ级非煤矿山生产安全事故预警信息由县非煤矿山应急办予以发布，特殊情况需报县政府审定的，及时报县政府相关领导签发。预警信息发布同时通报县指挥部。</w:t>
      </w:r>
    </w:p>
    <w:p w14:paraId="778DFD12">
      <w:pPr>
        <w:ind w:firstLine="632"/>
      </w:pPr>
      <w:r>
        <w:rPr>
          <w:rFonts w:hint="eastAsia"/>
        </w:rPr>
        <w:t>预警信息实行动态管理。当事故扩大或可能发生的事故级别预测会升级，预计现场应急救援力量无法有效消除事故险情，事故等级将升级至较大级别甚至是重特大级别时，县非煤矿山应急办应及时报告县指挥部，向上级应急指挥机构申请调整预警级别并重新发布。</w:t>
      </w:r>
    </w:p>
    <w:p w14:paraId="3EDC21A6">
      <w:pPr>
        <w:ind w:firstLine="632"/>
      </w:pPr>
      <w:r>
        <w:rPr>
          <w:rFonts w:hint="eastAsia"/>
        </w:rPr>
        <w:t>根据事态发展情形，经评估符合预警解除条件时，由发布预警的有关机构宣布解除预警，终止预警行动。</w:t>
      </w:r>
    </w:p>
    <w:p w14:paraId="1A499639">
      <w:pPr>
        <w:pStyle w:val="4"/>
        <w:numPr>
          <w:ilvl w:val="2"/>
          <w:numId w:val="156"/>
        </w:numPr>
        <w:tabs>
          <w:tab w:val="left" w:pos="0"/>
        </w:tabs>
      </w:pPr>
      <w:r>
        <w:rPr>
          <w:rFonts w:hint="eastAsia"/>
        </w:rPr>
        <w:t>预警行动</w:t>
      </w:r>
    </w:p>
    <w:p w14:paraId="4598280F">
      <w:pPr>
        <w:ind w:firstLine="632"/>
      </w:pPr>
      <w:r>
        <w:rPr>
          <w:rFonts w:hint="eastAsia"/>
        </w:rPr>
        <w:t>进入预警状态后，县指挥部立即采取以下行动：</w:t>
      </w:r>
    </w:p>
    <w:p w14:paraId="7DCCFFD9">
      <w:pPr>
        <w:numPr>
          <w:ilvl w:val="0"/>
          <w:numId w:val="116"/>
        </w:numPr>
        <w:ind w:firstLine="632"/>
      </w:pPr>
      <w:r>
        <w:rPr>
          <w:rFonts w:hint="eastAsia"/>
        </w:rPr>
        <w:t>县非煤矿山应急办组织专家和专业技术人员，加强对事故危害、发展情况进行监测、分析评估。</w:t>
      </w:r>
    </w:p>
    <w:p w14:paraId="61C61A17">
      <w:pPr>
        <w:numPr>
          <w:ilvl w:val="0"/>
          <w:numId w:val="116"/>
        </w:numPr>
        <w:ind w:firstLine="632"/>
      </w:pPr>
      <w:r>
        <w:rPr>
          <w:rFonts w:hint="eastAsia"/>
        </w:rPr>
        <w:t>应急队伍进入集结待命状态，调集应急所需物资、设备、工具，做好应急处置的各项准备工作；转移、疏散或撤离易受危害的人员和重要财产。</w:t>
      </w:r>
    </w:p>
    <w:p w14:paraId="116CDA99">
      <w:pPr>
        <w:numPr>
          <w:ilvl w:val="0"/>
          <w:numId w:val="116"/>
        </w:numPr>
        <w:ind w:firstLine="632"/>
      </w:pPr>
      <w:r>
        <w:rPr>
          <w:rFonts w:hint="eastAsia"/>
        </w:rPr>
        <w:t>封闭、隔离或者限制使用有关场所，中止生产经营行为和活动；采取有效处置措施，努力消除或降低事故风险。</w:t>
      </w:r>
    </w:p>
    <w:p w14:paraId="4A2CD576">
      <w:pPr>
        <w:pStyle w:val="2"/>
        <w:numPr>
          <w:ilvl w:val="0"/>
          <w:numId w:val="156"/>
        </w:numPr>
        <w:tabs>
          <w:tab w:val="left" w:pos="0"/>
        </w:tabs>
      </w:pPr>
      <w:bookmarkStart w:id="986" w:name="_Toc32580"/>
      <w:r>
        <w:rPr>
          <w:rFonts w:hint="eastAsia"/>
        </w:rPr>
        <w:t>应急响应</w:t>
      </w:r>
      <w:bookmarkEnd w:id="986"/>
    </w:p>
    <w:p w14:paraId="04CA5C90">
      <w:pPr>
        <w:pStyle w:val="3"/>
        <w:numPr>
          <w:ilvl w:val="0"/>
          <w:numId w:val="156"/>
        </w:numPr>
        <w:tabs>
          <w:tab w:val="left" w:pos="0"/>
        </w:tabs>
        <w:rPr>
          <w:rFonts w:ascii="楷体_GB2312" w:hAnsi="楷体_GB2312" w:eastAsia="楷体_GB2312" w:cs="楷体_GB2312"/>
        </w:rPr>
      </w:pPr>
      <w:bookmarkStart w:id="987" w:name="_Toc16953"/>
      <w:r>
        <w:rPr>
          <w:rFonts w:hint="eastAsia" w:ascii="楷体_GB2312" w:hAnsi="楷体_GB2312" w:eastAsia="楷体_GB2312" w:cs="楷体_GB2312"/>
        </w:rPr>
        <w:t>信息报告</w:t>
      </w:r>
      <w:bookmarkEnd w:id="987"/>
    </w:p>
    <w:p w14:paraId="395F757B">
      <w:pPr>
        <w:pStyle w:val="4"/>
        <w:numPr>
          <w:ilvl w:val="2"/>
          <w:numId w:val="156"/>
        </w:numPr>
        <w:tabs>
          <w:tab w:val="left" w:pos="0"/>
        </w:tabs>
      </w:pPr>
      <w:r>
        <w:rPr>
          <w:rFonts w:hint="eastAsia"/>
        </w:rPr>
        <w:t>事故信息报告程序和时限</w:t>
      </w:r>
    </w:p>
    <w:p w14:paraId="7D893999">
      <w:pPr>
        <w:ind w:firstLine="632"/>
      </w:pPr>
      <w:r>
        <w:rPr>
          <w:rFonts w:hint="eastAsia"/>
        </w:rPr>
        <w:t>非煤矿山生产安全事故信息统一由县应急管理局负责收集，并按有关规定，第一时间报告上级政府。</w:t>
      </w:r>
    </w:p>
    <w:p w14:paraId="2268DD91">
      <w:pPr>
        <w:numPr>
          <w:ilvl w:val="0"/>
          <w:numId w:val="159"/>
        </w:numPr>
        <w:ind w:firstLine="632"/>
      </w:pPr>
      <w:r>
        <w:rPr>
          <w:rFonts w:hint="eastAsia"/>
        </w:rPr>
        <w:t>非煤矿山生产安全事故发生后，事故单位（包括事故发生区域的管理单位，下同）现场有关人员应当立即报告本单位负责人。情况紧急时，可直接向县级以上应急部门和负有安全生产监督管理职责的部门报告。远离单位的事故，事故单位现场有关人员还应当立即拨打110、119报警。</w:t>
      </w:r>
    </w:p>
    <w:p w14:paraId="24BE1525">
      <w:pPr>
        <w:numPr>
          <w:ilvl w:val="0"/>
          <w:numId w:val="159"/>
        </w:numPr>
        <w:ind w:firstLine="632"/>
      </w:pPr>
      <w:r>
        <w:rPr>
          <w:rFonts w:hint="eastAsia"/>
        </w:rPr>
        <w:t>事故单位负责人接报后，应于1小时内向县应急管理局和负有安全生产监督管理职责的部门报告。需要政府提供应急支援的，应当立即报告。</w:t>
      </w:r>
    </w:p>
    <w:p w14:paraId="57E144C4">
      <w:pPr>
        <w:numPr>
          <w:ilvl w:val="0"/>
          <w:numId w:val="159"/>
        </w:numPr>
        <w:ind w:firstLine="632"/>
      </w:pPr>
      <w:bookmarkStart w:id="988" w:name="_Hlk44701837"/>
      <w:r>
        <w:rPr>
          <w:rFonts w:hint="eastAsia"/>
        </w:rPr>
        <w:t>县应急管理局和负有安全生产监督管理职责的部门接到事故报告后，应当立即采取应急措施，同时依照规定向县政府及上级主管部门报告事故，并通报可能受影响的地区、部门和单位；按规定启动应急预案，需要上级支援的立即上报请求支援。</w:t>
      </w:r>
    </w:p>
    <w:p w14:paraId="56A14FD5">
      <w:pPr>
        <w:numPr>
          <w:ilvl w:val="0"/>
          <w:numId w:val="159"/>
        </w:numPr>
        <w:ind w:firstLine="632"/>
      </w:pPr>
      <w:r>
        <w:rPr>
          <w:rFonts w:hint="eastAsia"/>
        </w:rPr>
        <w:t>县政府总值班室按规定向省、市政府报告突发事件信息及重要、敏感事件信息。在法定节假日、重要会议和重大活动等特殊时期，根据工作安排，实行“零报告”制度，各相关单位要按要求向县政府总值班室和县应急委办公室报送综合信息。突发事件涉外信息及涉密信息按有关规定报告。</w:t>
      </w:r>
    </w:p>
    <w:bookmarkEnd w:id="988"/>
    <w:p w14:paraId="2C49F02E">
      <w:pPr>
        <w:numPr>
          <w:ilvl w:val="0"/>
          <w:numId w:val="159"/>
        </w:numPr>
        <w:ind w:firstLine="632"/>
      </w:pPr>
      <w:r>
        <w:rPr>
          <w:rFonts w:hint="eastAsia"/>
        </w:rPr>
        <w:t>事故上报工作坚持“快报事实、慎报原因”的原则。突发事件信息报告贯穿于突发事件应对工作的全过程，报告程序分为首报、续报和终报，报送形式分为电话报送和书面报送，突发事件信息报送单位要首先通过电话报告突发事件信息，随后补充书面的信息报告材料。</w:t>
      </w:r>
    </w:p>
    <w:p w14:paraId="0AC12E28">
      <w:pPr>
        <w:numPr>
          <w:ilvl w:val="0"/>
          <w:numId w:val="159"/>
        </w:numPr>
        <w:ind w:firstLine="632"/>
      </w:pPr>
      <w:r>
        <w:rPr>
          <w:rFonts w:hint="eastAsia"/>
        </w:rPr>
        <w:t>各乡镇人民政府、县直及驻县各有关部门、单位获取突发事件信息后，要立即组织核实，并按照要求第一时间进行首报，首报要快；根据突发事件的发展态势和应对处置等情况，持续续报有关信息，续报要准；在突发事件应对工作结束后，汇总突发事件情况进行终报，终报要全。突发事件应对过程中，县政府总值班室、县应急办、专项指挥部办公室及时将上级对处置突发事件的要求传达到事发地政府及现场指挥部，并做好督办和反馈工作。</w:t>
      </w:r>
    </w:p>
    <w:p w14:paraId="605E55DB">
      <w:pPr>
        <w:numPr>
          <w:ilvl w:val="0"/>
          <w:numId w:val="159"/>
        </w:numPr>
        <w:ind w:firstLine="632"/>
      </w:pPr>
      <w:r>
        <w:rPr>
          <w:rFonts w:hint="eastAsia"/>
        </w:rPr>
        <w:t>突发事件可能影响到毗邻或相关地区时，应向毗邻或相关地区通报情况；突发事件处置涉及驻县各相关单位时，要向其通报情况。</w:t>
      </w:r>
    </w:p>
    <w:p w14:paraId="2C28D126">
      <w:pPr>
        <w:pStyle w:val="4"/>
        <w:numPr>
          <w:ilvl w:val="2"/>
          <w:numId w:val="156"/>
        </w:numPr>
        <w:tabs>
          <w:tab w:val="left" w:pos="0"/>
        </w:tabs>
      </w:pPr>
      <w:r>
        <w:rPr>
          <w:rFonts w:hint="eastAsia"/>
        </w:rPr>
        <w:t>信息报告内容</w:t>
      </w:r>
    </w:p>
    <w:p w14:paraId="0F3AF258">
      <w:pPr>
        <w:ind w:firstLine="632"/>
      </w:pPr>
      <w:r>
        <w:rPr>
          <w:rFonts w:hint="eastAsia"/>
        </w:rPr>
        <w:t>信息报告应尽量及时、准确、要素完整，因事故复杂情况不详的，可先报告简要情况，随后边核实边续报。</w:t>
      </w:r>
    </w:p>
    <w:p w14:paraId="6DF3753C">
      <w:pPr>
        <w:ind w:firstLine="632"/>
      </w:pPr>
      <w:r>
        <w:rPr>
          <w:rFonts w:hint="eastAsia"/>
        </w:rPr>
        <w:t>信息报告应当包括下列内容：事件的信息来源、时间、地点、人员伤亡情况、设施设备损毁情况，事件的起因、概要过程；事件的性质、已造成的后果、影响范围；事件的发展趋势、处置情况；领导现场处置情况、拟采取的措施及下一步工作建议和请求支持事项。</w:t>
      </w:r>
    </w:p>
    <w:p w14:paraId="719047CC">
      <w:pPr>
        <w:ind w:firstLine="632"/>
      </w:pPr>
      <w:r>
        <w:rPr>
          <w:rFonts w:hint="eastAsia"/>
        </w:rPr>
        <w:t>使用电话快报，应当包括下列内容：事故发生单位的名称、地址、性质；事故发生的时间、地点；事故已经造成或可能造成的伤亡人数（包括下落不明、涉险的人数）。</w:t>
      </w:r>
    </w:p>
    <w:p w14:paraId="478DB208">
      <w:pPr>
        <w:pStyle w:val="4"/>
        <w:numPr>
          <w:ilvl w:val="2"/>
          <w:numId w:val="156"/>
        </w:numPr>
        <w:tabs>
          <w:tab w:val="left" w:pos="0"/>
        </w:tabs>
      </w:pPr>
      <w:r>
        <w:rPr>
          <w:rFonts w:hint="eastAsia"/>
        </w:rPr>
        <w:t>应急值班</w:t>
      </w:r>
    </w:p>
    <w:p w14:paraId="25723D7E">
      <w:pPr>
        <w:ind w:firstLine="632"/>
      </w:pPr>
      <w:r>
        <w:rPr>
          <w:rFonts w:hint="eastAsia"/>
        </w:rPr>
        <w:t>县非煤矿山应急办实行24小时值班制度。各乡镇和负有安全生产监督管理职责的部门应当设立专门的值班室和值班电话，实行值班制度，并向社会公布值班电话，受理事故报告和举报，及时上报事故情况。</w:t>
      </w:r>
    </w:p>
    <w:p w14:paraId="0BBF0E7D">
      <w:pPr>
        <w:pStyle w:val="3"/>
        <w:numPr>
          <w:ilvl w:val="0"/>
          <w:numId w:val="156"/>
        </w:numPr>
        <w:tabs>
          <w:tab w:val="left" w:pos="0"/>
        </w:tabs>
        <w:rPr>
          <w:rFonts w:ascii="楷体_GB2312" w:hAnsi="楷体_GB2312" w:eastAsia="楷体_GB2312" w:cs="楷体_GB2312"/>
        </w:rPr>
      </w:pPr>
      <w:bookmarkStart w:id="989" w:name="_Toc31671"/>
      <w:r>
        <w:rPr>
          <w:rFonts w:hint="eastAsia" w:ascii="楷体_GB2312" w:hAnsi="楷体_GB2312" w:eastAsia="楷体_GB2312" w:cs="楷体_GB2312"/>
        </w:rPr>
        <w:t>先期处置</w:t>
      </w:r>
      <w:bookmarkEnd w:id="989"/>
    </w:p>
    <w:p w14:paraId="0948F748">
      <w:pPr>
        <w:pStyle w:val="4"/>
        <w:numPr>
          <w:ilvl w:val="2"/>
          <w:numId w:val="156"/>
        </w:numPr>
        <w:tabs>
          <w:tab w:val="left" w:pos="0"/>
        </w:tabs>
      </w:pPr>
      <w:bookmarkStart w:id="990" w:name="_Toc7735"/>
      <w:r>
        <w:rPr>
          <w:rFonts w:hint="eastAsia"/>
        </w:rPr>
        <w:t>事故发生单位和救援队伍的先期处置</w:t>
      </w:r>
    </w:p>
    <w:p w14:paraId="00AB8571">
      <w:pPr>
        <w:ind w:firstLine="632"/>
      </w:pPr>
      <w:r>
        <w:rPr>
          <w:rFonts w:hint="eastAsia"/>
        </w:rPr>
        <w:t>事故发生后，事故发生单位应立即启动本企业应急预案，在专业技术人员的指导下，设定警戒区域；组织职工开展自救、互救，抢救遇险受困人员，并转移、疏散或撤离至安全区域；采取有效措施控制危险源，防止事态扩大和次生、衍生事故发生。事故发生后，立即向县应急管理局报告，同时报告县委、县政府。达到县级启动条件时，请求县指挥部立即启动县级应急预案开展应急救援。</w:t>
      </w:r>
    </w:p>
    <w:p w14:paraId="3A60989D">
      <w:pPr>
        <w:pStyle w:val="4"/>
        <w:numPr>
          <w:ilvl w:val="2"/>
          <w:numId w:val="156"/>
        </w:numPr>
        <w:tabs>
          <w:tab w:val="left" w:pos="0"/>
        </w:tabs>
      </w:pPr>
      <w:r>
        <w:rPr>
          <w:rFonts w:hint="eastAsia"/>
        </w:rPr>
        <w:t>事发地乡镇现场应急处置</w:t>
      </w:r>
    </w:p>
    <w:p w14:paraId="38D47FDC">
      <w:pPr>
        <w:ind w:firstLine="632"/>
      </w:pPr>
      <w:r>
        <w:rPr>
          <w:rFonts w:hint="eastAsia"/>
        </w:rPr>
        <w:t>事发地乡镇应组织应急救援力量和工作人员营救遇险人员，搜寻、疏散、撤离、安置受到威胁的人员，隔离危险源，标明危险区域，封锁危险场所，采取各种防止危害扩大的措施，并向县应急指挥部办公室及有关部门报告信息。</w:t>
      </w:r>
    </w:p>
    <w:p w14:paraId="1A3E0AAC">
      <w:pPr>
        <w:ind w:firstLine="632"/>
      </w:pPr>
      <w:r>
        <w:rPr>
          <w:rFonts w:hint="eastAsia"/>
        </w:rPr>
        <w:t>事发地的社区和其他企事业单位等应当按照当地政府的决定、命令，进行宣传动员，组织群众开展自救和互救，协助维护社会秩序。</w:t>
      </w:r>
    </w:p>
    <w:p w14:paraId="5152C771">
      <w:pPr>
        <w:ind w:firstLine="632"/>
      </w:pPr>
      <w:r>
        <w:rPr>
          <w:rFonts w:hint="eastAsia"/>
        </w:rPr>
        <w:t>涉事单位和政府参与现场应急处置活动的工作人员，不论单位隶属关系和职务、级别高低，都必须服从现场应急指挥部的统一指挥。</w:t>
      </w:r>
    </w:p>
    <w:p w14:paraId="0EF16157">
      <w:pPr>
        <w:pStyle w:val="4"/>
        <w:numPr>
          <w:ilvl w:val="2"/>
          <w:numId w:val="156"/>
        </w:numPr>
        <w:tabs>
          <w:tab w:val="left" w:pos="0"/>
        </w:tabs>
      </w:pPr>
      <w:r>
        <w:rPr>
          <w:rFonts w:hint="eastAsia"/>
        </w:rPr>
        <w:t>各部门应急处置</w:t>
      </w:r>
    </w:p>
    <w:p w14:paraId="6F598896">
      <w:pPr>
        <w:ind w:firstLine="632"/>
      </w:pPr>
      <w:r>
        <w:rPr>
          <w:rFonts w:hint="eastAsia"/>
        </w:rPr>
        <w:t>事故发生后，县指挥部应立即组织力量进行抢险救援，并按照应急预案的规定采取下列应急救援措施：</w:t>
      </w:r>
    </w:p>
    <w:p w14:paraId="2749A4A3">
      <w:pPr>
        <w:numPr>
          <w:ilvl w:val="0"/>
          <w:numId w:val="160"/>
        </w:numPr>
        <w:ind w:firstLine="632"/>
      </w:pPr>
      <w:r>
        <w:rPr>
          <w:rFonts w:hint="eastAsia"/>
        </w:rPr>
        <w:t>组织抢救遇险人员，救治受伤人员，研判事故发展趋势以及可能造成的危害；</w:t>
      </w:r>
    </w:p>
    <w:p w14:paraId="7D4B267C">
      <w:pPr>
        <w:numPr>
          <w:ilvl w:val="0"/>
          <w:numId w:val="160"/>
        </w:numPr>
        <w:ind w:firstLine="632"/>
      </w:pPr>
      <w:r>
        <w:rPr>
          <w:rFonts w:hint="eastAsia"/>
        </w:rPr>
        <w:t>通知可能受到事故影响的单位和人员，隔离事故现场，划定警戒区域，疏散受到威胁的人员，实施交通管制；</w:t>
      </w:r>
    </w:p>
    <w:p w14:paraId="29FD1488">
      <w:pPr>
        <w:numPr>
          <w:ilvl w:val="0"/>
          <w:numId w:val="160"/>
        </w:numPr>
        <w:ind w:firstLine="632"/>
      </w:pPr>
      <w:r>
        <w:rPr>
          <w:rFonts w:hint="eastAsia"/>
        </w:rPr>
        <w:t>采取必要措施，防止事故危害扩大和次生、衍生灾害发生，避免或者减少事故对环境造成的危害；</w:t>
      </w:r>
    </w:p>
    <w:p w14:paraId="03C3542F">
      <w:pPr>
        <w:numPr>
          <w:ilvl w:val="0"/>
          <w:numId w:val="160"/>
        </w:numPr>
        <w:ind w:firstLine="632"/>
      </w:pPr>
      <w:r>
        <w:rPr>
          <w:rFonts w:hint="eastAsia"/>
        </w:rPr>
        <w:t>依法发布调用和征用应急资源的决定；</w:t>
      </w:r>
    </w:p>
    <w:p w14:paraId="2F3944F8">
      <w:pPr>
        <w:numPr>
          <w:ilvl w:val="0"/>
          <w:numId w:val="160"/>
        </w:numPr>
        <w:ind w:firstLine="632"/>
      </w:pPr>
      <w:r>
        <w:rPr>
          <w:rFonts w:hint="eastAsia"/>
        </w:rPr>
        <w:t>依法向应急救援队伍下达救援命令；</w:t>
      </w:r>
    </w:p>
    <w:p w14:paraId="683CB0EE">
      <w:pPr>
        <w:numPr>
          <w:ilvl w:val="0"/>
          <w:numId w:val="160"/>
        </w:numPr>
        <w:ind w:firstLine="632"/>
      </w:pPr>
      <w:r>
        <w:rPr>
          <w:rFonts w:hint="eastAsia"/>
        </w:rPr>
        <w:t>维护事故现场秩序，组织安抚遇险人员和遇险遇难人员亲属；</w:t>
      </w:r>
    </w:p>
    <w:p w14:paraId="530BCCF4">
      <w:pPr>
        <w:numPr>
          <w:ilvl w:val="0"/>
          <w:numId w:val="160"/>
        </w:numPr>
        <w:ind w:firstLine="632"/>
      </w:pPr>
      <w:r>
        <w:rPr>
          <w:rFonts w:hint="eastAsia"/>
        </w:rPr>
        <w:t>依法发布有关事故情况和应急救援工作的信息；</w:t>
      </w:r>
    </w:p>
    <w:p w14:paraId="1D6F0755">
      <w:pPr>
        <w:numPr>
          <w:ilvl w:val="0"/>
          <w:numId w:val="160"/>
        </w:numPr>
        <w:ind w:firstLine="632"/>
      </w:pPr>
      <w:r>
        <w:rPr>
          <w:rFonts w:hint="eastAsia"/>
        </w:rPr>
        <w:t>其他应急救援措施。</w:t>
      </w:r>
    </w:p>
    <w:p w14:paraId="6C434D61">
      <w:pPr>
        <w:pStyle w:val="3"/>
        <w:numPr>
          <w:ilvl w:val="0"/>
          <w:numId w:val="156"/>
        </w:numPr>
        <w:tabs>
          <w:tab w:val="left" w:pos="0"/>
        </w:tabs>
        <w:rPr>
          <w:rFonts w:ascii="楷体_GB2312" w:hAnsi="楷体_GB2312" w:eastAsia="楷体_GB2312" w:cs="楷体_GB2312"/>
        </w:rPr>
      </w:pPr>
      <w:bookmarkStart w:id="991" w:name="_Toc25752"/>
      <w:r>
        <w:rPr>
          <w:rFonts w:hint="eastAsia" w:ascii="楷体_GB2312" w:hAnsi="楷体_GB2312" w:eastAsia="楷体_GB2312" w:cs="楷体_GB2312"/>
        </w:rPr>
        <w:t>分级响应</w:t>
      </w:r>
      <w:bookmarkEnd w:id="990"/>
      <w:bookmarkEnd w:id="991"/>
    </w:p>
    <w:p w14:paraId="3154F8F4">
      <w:pPr>
        <w:ind w:firstLine="632"/>
      </w:pPr>
      <w:r>
        <w:rPr>
          <w:rFonts w:hint="eastAsia"/>
        </w:rPr>
        <w:t>根据事故发生的严重程度、可控性、救灾难易程度、影响范围和应对能力等因素，将应急响应分为Ⅰ级、Ⅱ级、Ⅲ级三个响应等级，Ⅰ级为最高级别。</w:t>
      </w:r>
    </w:p>
    <w:p w14:paraId="3DBDD3EF">
      <w:pPr>
        <w:pStyle w:val="4"/>
        <w:numPr>
          <w:ilvl w:val="2"/>
          <w:numId w:val="156"/>
        </w:numPr>
        <w:tabs>
          <w:tab w:val="left" w:pos="0"/>
        </w:tabs>
      </w:pPr>
      <w:r>
        <w:rPr>
          <w:rFonts w:hint="eastAsia"/>
        </w:rPr>
        <w:t xml:space="preserve">Ⅲ级响应 </w:t>
      </w:r>
    </w:p>
    <w:p w14:paraId="72F9EE01">
      <w:pPr>
        <w:pStyle w:val="5"/>
        <w:numPr>
          <w:ilvl w:val="3"/>
          <w:numId w:val="156"/>
        </w:numPr>
        <w:ind w:firstLine="634"/>
      </w:pPr>
      <w:r>
        <w:rPr>
          <w:rFonts w:hint="eastAsia"/>
        </w:rPr>
        <w:t xml:space="preserve">启动条件 </w:t>
      </w:r>
    </w:p>
    <w:p w14:paraId="6A4DB943">
      <w:pPr>
        <w:ind w:firstLine="632"/>
      </w:pPr>
      <w:r>
        <w:rPr>
          <w:rFonts w:hint="eastAsia"/>
        </w:rPr>
        <w:t xml:space="preserve">当发生或预计发生符合下列条件之一的，经会商研判后启动Ⅲ级响应： </w:t>
      </w:r>
    </w:p>
    <w:p w14:paraId="576F19B2">
      <w:pPr>
        <w:numPr>
          <w:ilvl w:val="0"/>
          <w:numId w:val="161"/>
        </w:numPr>
        <w:ind w:firstLine="632"/>
      </w:pPr>
      <w:r>
        <w:rPr>
          <w:rFonts w:hint="eastAsia"/>
        </w:rPr>
        <w:t>发生非煤矿山一般以下事故；</w:t>
      </w:r>
    </w:p>
    <w:p w14:paraId="7317EC01">
      <w:pPr>
        <w:numPr>
          <w:ilvl w:val="0"/>
          <w:numId w:val="161"/>
        </w:numPr>
        <w:ind w:firstLine="632"/>
      </w:pPr>
      <w:r>
        <w:rPr>
          <w:rFonts w:hint="eastAsia"/>
        </w:rPr>
        <w:t>依靠事故发生单位力量不能够处置的事故；</w:t>
      </w:r>
    </w:p>
    <w:p w14:paraId="31E870B2">
      <w:pPr>
        <w:numPr>
          <w:ilvl w:val="0"/>
          <w:numId w:val="161"/>
        </w:numPr>
        <w:ind w:firstLine="632"/>
      </w:pPr>
      <w:r>
        <w:rPr>
          <w:rFonts w:hint="eastAsia"/>
        </w:rPr>
        <w:t xml:space="preserve">县指挥部认为应当启动Ⅲ级响应的情况。 </w:t>
      </w:r>
    </w:p>
    <w:p w14:paraId="0A9329B5">
      <w:pPr>
        <w:pStyle w:val="5"/>
        <w:numPr>
          <w:ilvl w:val="3"/>
          <w:numId w:val="156"/>
        </w:numPr>
        <w:ind w:firstLine="634"/>
      </w:pPr>
      <w:r>
        <w:rPr>
          <w:rFonts w:hint="eastAsia"/>
        </w:rPr>
        <w:t xml:space="preserve">响应程序 </w:t>
      </w:r>
    </w:p>
    <w:p w14:paraId="5CD7198E">
      <w:pPr>
        <w:ind w:firstLine="632"/>
      </w:pPr>
      <w:r>
        <w:rPr>
          <w:rFonts w:hint="eastAsia"/>
        </w:rPr>
        <w:t>县非煤矿山应急办接到报告后，根据事故灾害发生的严重程度、可控性、救灾难易程度、影响范围和应对能力进行研判，符合启动Ⅲ级启动条件的，立即向县指挥部报告，提出启动Ⅲ级响应的建议，由县非煤矿山应急办主任启动Ⅲ级响应，同时报告县委、县政府。</w:t>
      </w:r>
    </w:p>
    <w:p w14:paraId="6B94433C">
      <w:pPr>
        <w:pStyle w:val="5"/>
        <w:numPr>
          <w:ilvl w:val="3"/>
          <w:numId w:val="156"/>
        </w:numPr>
        <w:ind w:firstLine="634"/>
      </w:pPr>
      <w:r>
        <w:rPr>
          <w:rFonts w:hint="eastAsia"/>
        </w:rPr>
        <w:t>响应措施</w:t>
      </w:r>
    </w:p>
    <w:p w14:paraId="0821584A">
      <w:pPr>
        <w:numPr>
          <w:ilvl w:val="0"/>
          <w:numId w:val="162"/>
        </w:numPr>
        <w:ind w:firstLine="632"/>
      </w:pPr>
      <w:r>
        <w:rPr>
          <w:rFonts w:hint="eastAsia"/>
        </w:rPr>
        <w:t>加强信息沟通，密切关注事态发展，督导事发非煤矿山企业做好事故灾害的处置工作；</w:t>
      </w:r>
    </w:p>
    <w:p w14:paraId="15E7EA4D">
      <w:pPr>
        <w:numPr>
          <w:ilvl w:val="0"/>
          <w:numId w:val="162"/>
        </w:numPr>
        <w:ind w:firstLine="632"/>
      </w:pPr>
      <w:r>
        <w:rPr>
          <w:rFonts w:hint="eastAsia"/>
        </w:rPr>
        <w:t>县非煤矿山应急办视情况派出工作组赶赴事故现场，指导、协调事故发生单位组织非煤矿山事故应急救援工作；</w:t>
      </w:r>
    </w:p>
    <w:p w14:paraId="041E41BB">
      <w:pPr>
        <w:numPr>
          <w:ilvl w:val="0"/>
          <w:numId w:val="162"/>
        </w:numPr>
        <w:ind w:firstLine="632"/>
      </w:pPr>
      <w:r>
        <w:rPr>
          <w:rFonts w:hint="eastAsia"/>
        </w:rPr>
        <w:t>必要时调动县级有关力量进行增援。</w:t>
      </w:r>
    </w:p>
    <w:p w14:paraId="2355F2E3">
      <w:pPr>
        <w:pStyle w:val="4"/>
        <w:numPr>
          <w:ilvl w:val="2"/>
          <w:numId w:val="156"/>
        </w:numPr>
        <w:tabs>
          <w:tab w:val="left" w:pos="0"/>
        </w:tabs>
      </w:pPr>
      <w:r>
        <w:rPr>
          <w:rFonts w:hint="eastAsia"/>
        </w:rPr>
        <w:t xml:space="preserve">Ⅱ级响应 </w:t>
      </w:r>
    </w:p>
    <w:p w14:paraId="738E096A">
      <w:pPr>
        <w:pStyle w:val="5"/>
        <w:numPr>
          <w:ilvl w:val="3"/>
          <w:numId w:val="156"/>
        </w:numPr>
        <w:ind w:firstLine="634"/>
      </w:pPr>
      <w:r>
        <w:rPr>
          <w:rFonts w:hint="eastAsia"/>
        </w:rPr>
        <w:t xml:space="preserve">启动条件 </w:t>
      </w:r>
    </w:p>
    <w:p w14:paraId="3A6C55FC">
      <w:pPr>
        <w:ind w:firstLine="632"/>
      </w:pPr>
      <w:r>
        <w:rPr>
          <w:rFonts w:hint="eastAsia"/>
        </w:rPr>
        <w:t>当发生或预计发生符合下列条件之一的，经会商研判后启动Ⅱ级响应：</w:t>
      </w:r>
    </w:p>
    <w:p w14:paraId="6E5C2B5C">
      <w:pPr>
        <w:numPr>
          <w:ilvl w:val="0"/>
          <w:numId w:val="163"/>
        </w:numPr>
        <w:ind w:firstLine="632"/>
      </w:pPr>
      <w:r>
        <w:rPr>
          <w:rFonts w:hint="eastAsia"/>
        </w:rPr>
        <w:t>发生非煤矿山一般事故，或者暂时无法判明事故等级或有可能演变发展为非煤矿山一般事故的；</w:t>
      </w:r>
    </w:p>
    <w:p w14:paraId="42998EC9">
      <w:pPr>
        <w:numPr>
          <w:ilvl w:val="0"/>
          <w:numId w:val="163"/>
        </w:numPr>
        <w:ind w:firstLine="632"/>
      </w:pPr>
      <w:r>
        <w:rPr>
          <w:rFonts w:hint="eastAsia"/>
        </w:rPr>
        <w:t>依靠县指挥部能够应对的事故；</w:t>
      </w:r>
    </w:p>
    <w:p w14:paraId="51E14E5A">
      <w:pPr>
        <w:numPr>
          <w:ilvl w:val="0"/>
          <w:numId w:val="163"/>
        </w:numPr>
        <w:ind w:firstLine="632"/>
      </w:pPr>
      <w:r>
        <w:rPr>
          <w:rFonts w:hint="eastAsia"/>
        </w:rPr>
        <w:t>县指挥部认为有必要启动Ⅱ级响应的情况。</w:t>
      </w:r>
    </w:p>
    <w:p w14:paraId="7374AB84">
      <w:pPr>
        <w:pStyle w:val="5"/>
        <w:numPr>
          <w:ilvl w:val="3"/>
          <w:numId w:val="156"/>
        </w:numPr>
        <w:ind w:firstLine="634"/>
      </w:pPr>
      <w:r>
        <w:rPr>
          <w:rFonts w:hint="eastAsia"/>
        </w:rPr>
        <w:t xml:space="preserve">响应程序 </w:t>
      </w:r>
    </w:p>
    <w:p w14:paraId="366D72A4">
      <w:pPr>
        <w:ind w:firstLine="632"/>
      </w:pPr>
      <w:r>
        <w:rPr>
          <w:rFonts w:hint="eastAsia"/>
        </w:rPr>
        <w:t xml:space="preserve">县非煤矿山应急办接到事故报告后，根据事故灾害发生的严重程度、可控性、救灾难易程度、影响范围和应对能力进行研判，符合启动Ⅱ级启动条件的，立即向县指挥部报告，并提出启动Ⅱ级应急响应建议，由总指挥或副总指挥启动Ⅱ级应急响应，同时报告县委、县政府和上级有关部门。 </w:t>
      </w:r>
    </w:p>
    <w:p w14:paraId="57C77880">
      <w:pPr>
        <w:pStyle w:val="5"/>
        <w:numPr>
          <w:ilvl w:val="3"/>
          <w:numId w:val="156"/>
        </w:numPr>
        <w:ind w:firstLine="634"/>
      </w:pPr>
      <w:r>
        <w:rPr>
          <w:rFonts w:hint="eastAsia"/>
        </w:rPr>
        <w:t>响应措施</w:t>
      </w:r>
    </w:p>
    <w:p w14:paraId="4C55D170">
      <w:pPr>
        <w:numPr>
          <w:ilvl w:val="0"/>
          <w:numId w:val="164"/>
        </w:numPr>
        <w:ind w:firstLine="632"/>
      </w:pPr>
      <w:r>
        <w:rPr>
          <w:rFonts w:hint="eastAsia"/>
        </w:rPr>
        <w:t>县指挥部组织成员单位、应急队伍和专业技术力量赶赴现场，与事故发生单位以及专业救护队迅速衔接，共同成立抢险救援现场指挥部；</w:t>
      </w:r>
    </w:p>
    <w:p w14:paraId="6A118EEF">
      <w:pPr>
        <w:numPr>
          <w:ilvl w:val="0"/>
          <w:numId w:val="164"/>
        </w:numPr>
        <w:ind w:firstLine="632"/>
      </w:pPr>
      <w:r>
        <w:rPr>
          <w:rFonts w:hint="eastAsia"/>
        </w:rPr>
        <w:t>召开专题会议，组织有关部门和专家对事故范围和扩展的潜在可能性、人员伤亡、财产损失等情况进行事态的初始评估，制定现场救援方案，提出处置建议，协调专业应急力量，统一指挥开展抢险救援工作；</w:t>
      </w:r>
    </w:p>
    <w:p w14:paraId="516C99B2">
      <w:pPr>
        <w:numPr>
          <w:ilvl w:val="0"/>
          <w:numId w:val="164"/>
        </w:numPr>
        <w:ind w:firstLine="632"/>
      </w:pPr>
      <w:r>
        <w:rPr>
          <w:rFonts w:hint="eastAsia"/>
        </w:rPr>
        <w:t>迅速将危险区域、事故可能波及或影响区域内与事故应急 处置无关的人员撤离至安全区域；</w:t>
      </w:r>
    </w:p>
    <w:p w14:paraId="29330BDB">
      <w:pPr>
        <w:numPr>
          <w:ilvl w:val="0"/>
          <w:numId w:val="164"/>
        </w:numPr>
        <w:ind w:firstLine="632"/>
      </w:pPr>
      <w:r>
        <w:rPr>
          <w:rFonts w:hint="eastAsia"/>
        </w:rPr>
        <w:t>应急人员配备必要的防护装备，携带救生器材进入事故现场；救援工作要科学施救，控制、记录进入现场救援人员的数量；迅速控制危险源、抢救伤员；</w:t>
      </w:r>
    </w:p>
    <w:p w14:paraId="2629579B">
      <w:pPr>
        <w:numPr>
          <w:ilvl w:val="0"/>
          <w:numId w:val="164"/>
        </w:numPr>
        <w:ind w:firstLine="632"/>
      </w:pPr>
      <w:r>
        <w:rPr>
          <w:rFonts w:hint="eastAsia"/>
        </w:rPr>
        <w:t>在危险区域、事故可能波及或影响区域边界设置警示标志，安排专人负责警戒；对通往事故现场的道路实行交通管制，保证应急救援通道畅通；合理设置出入口，除应急救援人员和车辆外，严禁无关人员和车辆进入；</w:t>
      </w:r>
    </w:p>
    <w:p w14:paraId="61AA1C41">
      <w:pPr>
        <w:numPr>
          <w:ilvl w:val="0"/>
          <w:numId w:val="164"/>
        </w:numPr>
        <w:ind w:firstLine="632"/>
      </w:pPr>
      <w:r>
        <w:rPr>
          <w:rFonts w:hint="eastAsia"/>
        </w:rPr>
        <w:t>迅速对受伤人员实施现场急救，并根据需要及时送医院进行救治；同时做好事故现场的卫生防疫工作；</w:t>
      </w:r>
    </w:p>
    <w:p w14:paraId="1E3E8427">
      <w:pPr>
        <w:numPr>
          <w:ilvl w:val="0"/>
          <w:numId w:val="164"/>
        </w:numPr>
        <w:ind w:firstLine="632"/>
      </w:pPr>
      <w:r>
        <w:rPr>
          <w:rFonts w:hint="eastAsia"/>
        </w:rPr>
        <w:t>适时组织应急会议，研究确定重大决策和指导意见，协调解决应急救援中的重大问题；</w:t>
      </w:r>
    </w:p>
    <w:p w14:paraId="5A099A60">
      <w:pPr>
        <w:numPr>
          <w:ilvl w:val="0"/>
          <w:numId w:val="164"/>
        </w:numPr>
        <w:ind w:firstLine="632"/>
      </w:pPr>
      <w:r>
        <w:rPr>
          <w:rFonts w:hint="eastAsia"/>
        </w:rPr>
        <w:t>掌握现场救援情况，及时向县委、县政府和上级有关部门报告；同时，建立信息通报机制，向其他成员单位通报相关信息；</w:t>
      </w:r>
    </w:p>
    <w:p w14:paraId="49FB1F8D">
      <w:pPr>
        <w:numPr>
          <w:ilvl w:val="0"/>
          <w:numId w:val="164"/>
        </w:numPr>
        <w:ind w:firstLine="632"/>
      </w:pPr>
      <w:r>
        <w:rPr>
          <w:rFonts w:hint="eastAsia"/>
        </w:rPr>
        <w:t>贯彻落实县委、县政府和上级有关部门的决策部署；</w:t>
      </w:r>
    </w:p>
    <w:p w14:paraId="047C86EE">
      <w:pPr>
        <w:numPr>
          <w:ilvl w:val="0"/>
          <w:numId w:val="164"/>
        </w:numPr>
        <w:ind w:firstLine="632"/>
      </w:pPr>
      <w:r>
        <w:rPr>
          <w:rFonts w:hint="eastAsia"/>
        </w:rPr>
        <w:t>当情况有变或应急力量不足时，立即通知或请求有关救援机构、应急队伍增援；及时向县委、县政府和上级有关部门报告。</w:t>
      </w:r>
    </w:p>
    <w:p w14:paraId="6B4B1401">
      <w:pPr>
        <w:pStyle w:val="4"/>
        <w:numPr>
          <w:ilvl w:val="2"/>
          <w:numId w:val="156"/>
        </w:numPr>
        <w:tabs>
          <w:tab w:val="left" w:pos="0"/>
        </w:tabs>
      </w:pPr>
      <w:r>
        <w:rPr>
          <w:rFonts w:hint="eastAsia"/>
        </w:rPr>
        <w:t>Ⅰ级响应</w:t>
      </w:r>
    </w:p>
    <w:p w14:paraId="6958F404">
      <w:pPr>
        <w:pStyle w:val="5"/>
        <w:numPr>
          <w:ilvl w:val="3"/>
          <w:numId w:val="156"/>
        </w:numPr>
        <w:ind w:firstLine="634"/>
      </w:pPr>
      <w:r>
        <w:rPr>
          <w:rFonts w:hint="eastAsia"/>
        </w:rPr>
        <w:t xml:space="preserve">启动条件 </w:t>
      </w:r>
    </w:p>
    <w:p w14:paraId="106956E1">
      <w:pPr>
        <w:ind w:firstLine="632"/>
      </w:pPr>
      <w:r>
        <w:rPr>
          <w:rFonts w:hint="eastAsia"/>
        </w:rPr>
        <w:t>当发生或预计发生符合下列条件之一的，经会商研判后启动Ⅰ级响应：</w:t>
      </w:r>
    </w:p>
    <w:p w14:paraId="4BA6D375">
      <w:pPr>
        <w:pStyle w:val="21"/>
        <w:numPr>
          <w:ilvl w:val="0"/>
          <w:numId w:val="165"/>
        </w:numPr>
        <w:ind w:left="0" w:firstLine="632"/>
        <w:rPr>
          <w:rFonts w:ascii="仿宋" w:hAnsi="仿宋" w:eastAsia="仿宋_GB2312"/>
          <w:lang w:val="en-US" w:bidi="ar-SA"/>
        </w:rPr>
      </w:pPr>
      <w:r>
        <w:rPr>
          <w:rFonts w:hint="eastAsia" w:ascii="仿宋" w:hAnsi="仿宋" w:eastAsia="仿宋_GB2312"/>
          <w:lang w:val="en-US" w:bidi="ar-SA"/>
        </w:rPr>
        <w:t>发生非煤矿山较大以上事故，或者暂时无法判明事故等级或有可能演变发展为非煤矿山较大或较大以上事故的；</w:t>
      </w:r>
    </w:p>
    <w:p w14:paraId="1A407917">
      <w:pPr>
        <w:pStyle w:val="21"/>
        <w:numPr>
          <w:ilvl w:val="0"/>
          <w:numId w:val="165"/>
        </w:numPr>
        <w:ind w:left="0" w:firstLine="632"/>
        <w:rPr>
          <w:rFonts w:ascii="仿宋" w:hAnsi="仿宋" w:eastAsia="仿宋_GB2312"/>
          <w:lang w:val="en-US" w:bidi="ar-SA"/>
        </w:rPr>
      </w:pPr>
      <w:r>
        <w:rPr>
          <w:rFonts w:hint="eastAsia" w:ascii="仿宋" w:hAnsi="仿宋" w:eastAsia="仿宋_GB2312"/>
          <w:lang w:val="en-US" w:bidi="ar-SA"/>
        </w:rPr>
        <w:t>超出县指挥部应急处置能力的非煤矿山事故；</w:t>
      </w:r>
    </w:p>
    <w:p w14:paraId="63FC656B">
      <w:pPr>
        <w:pStyle w:val="21"/>
        <w:numPr>
          <w:ilvl w:val="0"/>
          <w:numId w:val="165"/>
        </w:numPr>
        <w:ind w:left="0" w:firstLine="632"/>
        <w:rPr>
          <w:rFonts w:ascii="仿宋" w:hAnsi="仿宋" w:eastAsia="仿宋_GB2312"/>
          <w:lang w:val="en-US" w:bidi="ar-SA"/>
        </w:rPr>
      </w:pPr>
      <w:r>
        <w:rPr>
          <w:rFonts w:hint="eastAsia" w:ascii="仿宋" w:hAnsi="仿宋" w:eastAsia="仿宋_GB2312"/>
          <w:lang w:val="en-US" w:bidi="ar-SA"/>
        </w:rPr>
        <w:t>县指挥部认为有必要启动Ｉ级响应的情况。</w:t>
      </w:r>
    </w:p>
    <w:p w14:paraId="5B5B4EA8">
      <w:pPr>
        <w:pStyle w:val="5"/>
        <w:numPr>
          <w:ilvl w:val="3"/>
          <w:numId w:val="156"/>
        </w:numPr>
        <w:ind w:firstLine="634"/>
      </w:pPr>
      <w:r>
        <w:rPr>
          <w:rFonts w:hint="eastAsia"/>
        </w:rPr>
        <w:t xml:space="preserve">响应程序 </w:t>
      </w:r>
    </w:p>
    <w:p w14:paraId="51491C81">
      <w:pPr>
        <w:ind w:firstLine="632"/>
      </w:pPr>
      <w:r>
        <w:rPr>
          <w:rFonts w:hint="eastAsia"/>
        </w:rPr>
        <w:t>县非煤矿山应急办接到报告后，根据事故灾害发生的严重程度、可控性、救灾难易程度、影响范围和应对能力进行研判，符合启动Ⅰ级启动条件的，立即向县指挥部报告，并提出启动Ⅰ级响应的建议，由总指挥立即启动Ⅰ级应急响应，同时报告县委、县政府和上级有关部门。</w:t>
      </w:r>
    </w:p>
    <w:p w14:paraId="5B761419">
      <w:pPr>
        <w:pStyle w:val="5"/>
        <w:numPr>
          <w:ilvl w:val="3"/>
          <w:numId w:val="156"/>
        </w:numPr>
        <w:ind w:firstLine="634"/>
      </w:pPr>
      <w:r>
        <w:rPr>
          <w:rFonts w:hint="eastAsia"/>
        </w:rPr>
        <w:t>响应措施</w:t>
      </w:r>
    </w:p>
    <w:p w14:paraId="107F809F">
      <w:pPr>
        <w:pStyle w:val="21"/>
        <w:numPr>
          <w:ilvl w:val="0"/>
          <w:numId w:val="166"/>
        </w:numPr>
        <w:ind w:left="0" w:firstLine="632"/>
        <w:rPr>
          <w:rFonts w:ascii="仿宋" w:hAnsi="仿宋" w:eastAsia="仿宋_GB2312"/>
          <w:lang w:val="en-US" w:bidi="ar-SA"/>
        </w:rPr>
      </w:pPr>
      <w:r>
        <w:rPr>
          <w:rFonts w:hint="eastAsia" w:ascii="仿宋" w:hAnsi="仿宋" w:eastAsia="仿宋_GB2312"/>
          <w:lang w:val="en-US" w:bidi="ar-SA"/>
        </w:rPr>
        <w:t>县指挥部在Ⅱ级响应措施的基础上，采取一切有效措施控制事态发展，做好先期处置工作，防止次生、衍生事故发生；</w:t>
      </w:r>
    </w:p>
    <w:p w14:paraId="3C36D436">
      <w:pPr>
        <w:pStyle w:val="21"/>
        <w:numPr>
          <w:ilvl w:val="0"/>
          <w:numId w:val="166"/>
        </w:numPr>
        <w:ind w:left="0" w:firstLine="632"/>
        <w:rPr>
          <w:rFonts w:ascii="仿宋" w:hAnsi="仿宋" w:eastAsia="仿宋_GB2312"/>
          <w:lang w:val="en-US" w:bidi="ar-SA"/>
        </w:rPr>
      </w:pPr>
      <w:r>
        <w:rPr>
          <w:rFonts w:hint="eastAsia" w:ascii="仿宋" w:hAnsi="仿宋" w:eastAsia="仿宋_GB2312"/>
          <w:lang w:val="en-US" w:bidi="ar-SA"/>
        </w:rPr>
        <w:t>及时向上级有关部门报告，请求支援，贯彻落实上级有关部门的批示、指示精神；</w:t>
      </w:r>
    </w:p>
    <w:p w14:paraId="31E6A4BB">
      <w:pPr>
        <w:pStyle w:val="21"/>
        <w:numPr>
          <w:ilvl w:val="0"/>
          <w:numId w:val="166"/>
        </w:numPr>
        <w:ind w:left="0" w:firstLine="632"/>
        <w:rPr>
          <w:rFonts w:ascii="仿宋" w:hAnsi="仿宋" w:eastAsia="仿宋_GB2312"/>
          <w:lang w:val="en-US" w:bidi="ar-SA"/>
        </w:rPr>
      </w:pPr>
      <w:r>
        <w:rPr>
          <w:rFonts w:hint="eastAsia" w:ascii="仿宋" w:hAnsi="仿宋" w:eastAsia="仿宋_GB2312"/>
          <w:lang w:val="en-US" w:bidi="ar-SA"/>
        </w:rPr>
        <w:t>当上级有关部门启动应急响应，并直接接管指挥处置权时，县指挥部应及时移交指挥处置权，并全力做好应急处置各项配合工作。</w:t>
      </w:r>
    </w:p>
    <w:p w14:paraId="2DBEB56B">
      <w:pPr>
        <w:pStyle w:val="3"/>
        <w:numPr>
          <w:ilvl w:val="0"/>
          <w:numId w:val="156"/>
        </w:numPr>
        <w:tabs>
          <w:tab w:val="left" w:pos="0"/>
        </w:tabs>
        <w:rPr>
          <w:rFonts w:ascii="楷体_GB2312" w:hAnsi="楷体_GB2312" w:eastAsia="楷体_GB2312" w:cs="楷体_GB2312"/>
        </w:rPr>
      </w:pPr>
      <w:bookmarkStart w:id="992" w:name="_Toc21652"/>
      <w:r>
        <w:rPr>
          <w:rFonts w:hint="eastAsia" w:ascii="楷体_GB2312" w:hAnsi="楷体_GB2312" w:eastAsia="楷体_GB2312" w:cs="楷体_GB2312"/>
        </w:rPr>
        <w:t>指挥和协调</w:t>
      </w:r>
      <w:bookmarkEnd w:id="992"/>
      <w:r>
        <w:rPr>
          <w:rFonts w:hint="eastAsia" w:ascii="楷体_GB2312" w:hAnsi="楷体_GB2312" w:eastAsia="楷体_GB2312" w:cs="楷体_GB2312"/>
        </w:rPr>
        <w:t xml:space="preserve"> </w:t>
      </w:r>
    </w:p>
    <w:p w14:paraId="2E46E439">
      <w:pPr>
        <w:ind w:firstLine="632"/>
      </w:pPr>
      <w:r>
        <w:rPr>
          <w:rFonts w:hint="eastAsia"/>
        </w:rPr>
        <w:t>事故发生后，事故发生单位立即启动本企业应急预案进行先 期处置。按照分级响应的原则，发生人员受伤和涉险事故，由事故发生单位成立应急救援指挥部，统一协调指挥事故救援。</w:t>
      </w:r>
    </w:p>
    <w:p w14:paraId="7F4D3595">
      <w:pPr>
        <w:ind w:firstLine="632"/>
      </w:pPr>
      <w:r>
        <w:rPr>
          <w:rFonts w:hint="eastAsia"/>
        </w:rPr>
        <w:t>一般事故发生后，县指挥部按照本预案启动应急响应，事故发生单位及时向县指挥部移交指挥处置权，并根据县指挥部的指示全力做好处置配合工作。县指挥部根据现场救援工作需要和全县应急救援力量布局，协调调动有关应急救援队伍、装备、物资，保障事故救援需要；组织有关专家指导现场救援工作，提出现场救援方案，制定防止事故引发次生灾害的方案；针对事故引发或可能引发的次生灾害，适时通知有关方面启动相关应急响应；协调事故发生地相邻地区单位配合、支援救援工作。</w:t>
      </w:r>
    </w:p>
    <w:p w14:paraId="6626B602">
      <w:pPr>
        <w:ind w:firstLine="632"/>
      </w:pPr>
      <w:r>
        <w:rPr>
          <w:rFonts w:hint="eastAsia"/>
        </w:rPr>
        <w:t xml:space="preserve">一般事故可能演化为较大以上事故，或者县指挥部认为难以应对的，应当及时报告市委、市政府。当市级指挥部直接接管指挥处置权后，县指挥部应及时向上级指挥部移交指挥处置权，并根据上级指挥部的指示全力做好处置配合工作。 </w:t>
      </w:r>
    </w:p>
    <w:p w14:paraId="34A14B8E">
      <w:pPr>
        <w:pStyle w:val="3"/>
        <w:numPr>
          <w:ilvl w:val="0"/>
          <w:numId w:val="156"/>
        </w:numPr>
        <w:tabs>
          <w:tab w:val="left" w:pos="0"/>
        </w:tabs>
        <w:rPr>
          <w:rFonts w:ascii="楷体_GB2312" w:hAnsi="楷体_GB2312" w:eastAsia="楷体_GB2312" w:cs="楷体_GB2312"/>
        </w:rPr>
      </w:pPr>
      <w:bookmarkStart w:id="993" w:name="_Toc1204"/>
      <w:r>
        <w:rPr>
          <w:rFonts w:hint="eastAsia" w:ascii="楷体_GB2312" w:hAnsi="楷体_GB2312" w:eastAsia="楷体_GB2312" w:cs="楷体_GB2312"/>
        </w:rPr>
        <w:t>现场紧急处置措施</w:t>
      </w:r>
      <w:bookmarkEnd w:id="993"/>
      <w:r>
        <w:rPr>
          <w:rFonts w:hint="eastAsia" w:ascii="楷体_GB2312" w:hAnsi="楷体_GB2312" w:eastAsia="楷体_GB2312" w:cs="楷体_GB2312"/>
        </w:rPr>
        <w:t xml:space="preserve"> </w:t>
      </w:r>
    </w:p>
    <w:p w14:paraId="101D6D00">
      <w:pPr>
        <w:ind w:firstLine="632"/>
      </w:pPr>
      <w:r>
        <w:rPr>
          <w:rFonts w:hint="eastAsia"/>
        </w:rPr>
        <w:t>非煤矿山生产安全事故现场出现急剧恶化的特殊险情时，县指挥部在充分考虑专家和有关方面意见和建议的基础上，依法采取紧急处置措施。</w:t>
      </w:r>
    </w:p>
    <w:p w14:paraId="60E2E8E5">
      <w:pPr>
        <w:ind w:firstLine="632"/>
      </w:pPr>
      <w:r>
        <w:rPr>
          <w:rFonts w:hint="eastAsia"/>
        </w:rPr>
        <w:t xml:space="preserve">事发地乡（镇）人民政府迅速组织周围群众撤离危险区域，维护好社会治安，同时做好撤离群众的生活安置工作；封锁事故现场和危险区域；迅速撤离、疏散现场人员，设置警示标志，同时设法保护相邻设施设备，防止事态扩大和引发次生灾害；事故现场如有人员伤亡，立即调集相关的医疗专家、医疗设备进行现场医疗救治，适时进行转移治疗；做好现场救援人员的安全防护，避免烧伤、中毒等人身伤害；及时制定现场其他突发事故抢险救援方案，并组织实施；保护国家重要设施和目标，防止对河流、水库、交通干线和环境等造成重大影响。 </w:t>
      </w:r>
    </w:p>
    <w:p w14:paraId="0E12B653">
      <w:pPr>
        <w:ind w:firstLine="632"/>
      </w:pPr>
      <w:r>
        <w:rPr>
          <w:rFonts w:hint="eastAsia"/>
        </w:rPr>
        <w:t>针对非煤矿山事故中可能出现的爆炸、火灾、中毒和窒息、坍塌、滑坡、民爆器材爆炸、放炮等严重事件或事故，在实施事故应急救援过程中，要注意做好以下工作：</w:t>
      </w:r>
    </w:p>
    <w:p w14:paraId="5E014617">
      <w:pPr>
        <w:pStyle w:val="4"/>
        <w:numPr>
          <w:ilvl w:val="2"/>
          <w:numId w:val="156"/>
        </w:numPr>
        <w:tabs>
          <w:tab w:val="left" w:pos="0"/>
        </w:tabs>
      </w:pPr>
      <w:r>
        <w:rPr>
          <w:rFonts w:hint="eastAsia"/>
        </w:rPr>
        <w:t xml:space="preserve">爆炸事故应急措施 </w:t>
      </w:r>
    </w:p>
    <w:p w14:paraId="774CE496">
      <w:pPr>
        <w:numPr>
          <w:ilvl w:val="0"/>
          <w:numId w:val="167"/>
        </w:numPr>
        <w:ind w:firstLine="632"/>
      </w:pPr>
      <w:r>
        <w:rPr>
          <w:rFonts w:hint="eastAsia"/>
        </w:rPr>
        <w:t>确定爆炸事故发生的地点和影响范围，划定警戒区域并设置明显警示标志；</w:t>
      </w:r>
    </w:p>
    <w:p w14:paraId="304EB7B4">
      <w:pPr>
        <w:numPr>
          <w:ilvl w:val="0"/>
          <w:numId w:val="167"/>
        </w:numPr>
        <w:ind w:firstLine="632"/>
      </w:pPr>
      <w:r>
        <w:rPr>
          <w:rFonts w:hint="eastAsia"/>
        </w:rPr>
        <w:t>切断事故发生地点的电源，防止救援过程中次生伤害的发生；</w:t>
      </w:r>
    </w:p>
    <w:p w14:paraId="41DC5767">
      <w:pPr>
        <w:numPr>
          <w:ilvl w:val="0"/>
          <w:numId w:val="167"/>
        </w:numPr>
        <w:ind w:firstLine="632"/>
      </w:pPr>
      <w:r>
        <w:rPr>
          <w:rFonts w:hint="eastAsia"/>
        </w:rPr>
        <w:t>查明爆炸地点的周围环境，特别注意要查明有无其他易燃易爆物品、火源、有毒有害气体及液体泄漏等危险物品，并予以排除，注意查明周边井巷工程、边坡、岩体稳定情况，保障救援过程的安全；</w:t>
      </w:r>
    </w:p>
    <w:p w14:paraId="4E532721">
      <w:pPr>
        <w:numPr>
          <w:ilvl w:val="0"/>
          <w:numId w:val="167"/>
        </w:numPr>
        <w:ind w:firstLine="632"/>
      </w:pPr>
      <w:r>
        <w:rPr>
          <w:rFonts w:hint="eastAsia"/>
        </w:rPr>
        <w:t xml:space="preserve">确定救援方案； </w:t>
      </w:r>
    </w:p>
    <w:p w14:paraId="5F47DA2D">
      <w:pPr>
        <w:numPr>
          <w:ilvl w:val="0"/>
          <w:numId w:val="167"/>
        </w:numPr>
        <w:ind w:firstLine="632"/>
      </w:pPr>
      <w:r>
        <w:rPr>
          <w:rFonts w:hint="eastAsia"/>
        </w:rPr>
        <w:t>采取有效措施，控制爆炸后次生的危险有害因素。对于露天矿山，应注意火灾、有毒有害气体、边坡坍塌、残留爆炸物等危害的产生；对于地下矿山，应注意火灾、透水、有毒有害气体、采空区塌陷、冒顶片帮、残留爆炸物等危害的产生；</w:t>
      </w:r>
    </w:p>
    <w:p w14:paraId="3FDB4898">
      <w:pPr>
        <w:numPr>
          <w:ilvl w:val="0"/>
          <w:numId w:val="167"/>
        </w:numPr>
        <w:ind w:firstLine="632"/>
      </w:pPr>
      <w:r>
        <w:rPr>
          <w:rFonts w:hint="eastAsia"/>
        </w:rPr>
        <w:t xml:space="preserve">明确地下矿山通风线路，根据需要决定是否采取反风措施，防止爆炸产生的火灾及各种有毒有害气体向其他区域蔓延； </w:t>
      </w:r>
    </w:p>
    <w:p w14:paraId="34DB27A1">
      <w:pPr>
        <w:numPr>
          <w:ilvl w:val="0"/>
          <w:numId w:val="167"/>
        </w:numPr>
        <w:ind w:firstLine="632"/>
      </w:pPr>
      <w:r>
        <w:rPr>
          <w:rFonts w:hint="eastAsia"/>
        </w:rPr>
        <w:t xml:space="preserve">明确可能需要调动的社会应急救援力量及物资保障； </w:t>
      </w:r>
    </w:p>
    <w:p w14:paraId="3E7D9B6C">
      <w:pPr>
        <w:numPr>
          <w:ilvl w:val="0"/>
          <w:numId w:val="167"/>
        </w:numPr>
        <w:ind w:firstLine="632"/>
      </w:pPr>
      <w:r>
        <w:rPr>
          <w:rFonts w:hint="eastAsia"/>
        </w:rPr>
        <w:t>组织事故影响区内的人员安全地撤离现场、核实伤亡、失踪人数；</w:t>
      </w:r>
    </w:p>
    <w:p w14:paraId="042740E0">
      <w:pPr>
        <w:numPr>
          <w:ilvl w:val="0"/>
          <w:numId w:val="167"/>
        </w:numPr>
        <w:ind w:firstLine="632"/>
      </w:pPr>
      <w:r>
        <w:rPr>
          <w:rFonts w:hint="eastAsia"/>
        </w:rPr>
        <w:t>组织清理抢险通道，引导抢险人员、物资尽快到达现场；</w:t>
      </w:r>
    </w:p>
    <w:p w14:paraId="0FE8ADB2">
      <w:pPr>
        <w:numPr>
          <w:ilvl w:val="0"/>
          <w:numId w:val="167"/>
        </w:numPr>
        <w:ind w:firstLine="632"/>
      </w:pPr>
      <w:r>
        <w:rPr>
          <w:rFonts w:hint="eastAsia"/>
        </w:rPr>
        <w:t>专人检查、监视事故发生区域周边采场、边坡、空区等稳定情况，防止次生事故发生；</w:t>
      </w:r>
    </w:p>
    <w:p w14:paraId="0F2DF9BE">
      <w:pPr>
        <w:numPr>
          <w:ilvl w:val="0"/>
          <w:numId w:val="167"/>
        </w:numPr>
        <w:ind w:firstLine="632"/>
      </w:pPr>
      <w:r>
        <w:rPr>
          <w:rFonts w:hint="eastAsia"/>
        </w:rPr>
        <w:t>防止与救援工作无关人员进入危险区内。</w:t>
      </w:r>
    </w:p>
    <w:p w14:paraId="1F0699AD">
      <w:pPr>
        <w:pStyle w:val="4"/>
        <w:numPr>
          <w:ilvl w:val="2"/>
          <w:numId w:val="156"/>
        </w:numPr>
        <w:tabs>
          <w:tab w:val="left" w:pos="0"/>
        </w:tabs>
      </w:pPr>
      <w:r>
        <w:rPr>
          <w:rFonts w:hint="eastAsia"/>
        </w:rPr>
        <w:t xml:space="preserve">火灾事故应急措施 </w:t>
      </w:r>
    </w:p>
    <w:p w14:paraId="58227CBF">
      <w:pPr>
        <w:numPr>
          <w:ilvl w:val="0"/>
          <w:numId w:val="168"/>
        </w:numPr>
        <w:ind w:firstLine="632"/>
      </w:pPr>
      <w:r>
        <w:rPr>
          <w:rFonts w:hint="eastAsia"/>
        </w:rPr>
        <w:t>查明火灾事故发生的具体位置、火源性质及其影响范围，划定警戒区域并设置明显警示标志；</w:t>
      </w:r>
    </w:p>
    <w:p w14:paraId="7A084AEA">
      <w:pPr>
        <w:numPr>
          <w:ilvl w:val="0"/>
          <w:numId w:val="168"/>
        </w:numPr>
        <w:ind w:firstLine="632"/>
      </w:pPr>
      <w:r>
        <w:rPr>
          <w:rFonts w:hint="eastAsia"/>
        </w:rPr>
        <w:t xml:space="preserve">查明受火灾事故影响尚未撤出人员的可能位置和数量； </w:t>
      </w:r>
    </w:p>
    <w:p w14:paraId="118E68D9">
      <w:pPr>
        <w:numPr>
          <w:ilvl w:val="0"/>
          <w:numId w:val="168"/>
        </w:numPr>
        <w:ind w:firstLine="632"/>
      </w:pPr>
      <w:r>
        <w:rPr>
          <w:rFonts w:hint="eastAsia"/>
        </w:rPr>
        <w:t>根据火源部位、性质、影响范围，及时切断灾区电源，减少次生灾害的发生；</w:t>
      </w:r>
    </w:p>
    <w:p w14:paraId="545B504C">
      <w:pPr>
        <w:numPr>
          <w:ilvl w:val="0"/>
          <w:numId w:val="168"/>
        </w:numPr>
        <w:ind w:firstLine="632"/>
      </w:pPr>
      <w:r>
        <w:rPr>
          <w:rFonts w:hint="eastAsia"/>
        </w:rPr>
        <w:t>明确通风线路，根据需要决定是否采取反风措施，防止火区和火灾中产生的各种有毒、有害气体向其他区域蔓延；</w:t>
      </w:r>
    </w:p>
    <w:p w14:paraId="26AC4FF1">
      <w:pPr>
        <w:numPr>
          <w:ilvl w:val="0"/>
          <w:numId w:val="168"/>
        </w:numPr>
        <w:ind w:firstLine="632"/>
      </w:pPr>
      <w:r>
        <w:rPr>
          <w:rFonts w:hint="eastAsia"/>
        </w:rPr>
        <w:t>确定救援方案；</w:t>
      </w:r>
    </w:p>
    <w:p w14:paraId="03E416D5">
      <w:pPr>
        <w:numPr>
          <w:ilvl w:val="0"/>
          <w:numId w:val="168"/>
        </w:numPr>
        <w:ind w:firstLine="632"/>
      </w:pPr>
      <w:r>
        <w:rPr>
          <w:rFonts w:hint="eastAsia"/>
        </w:rPr>
        <w:t>查明火灾区可燃物性质和数量，搬离火区周边易燃物资，控制火区范围；</w:t>
      </w:r>
    </w:p>
    <w:p w14:paraId="081D799F">
      <w:pPr>
        <w:numPr>
          <w:ilvl w:val="0"/>
          <w:numId w:val="168"/>
        </w:numPr>
        <w:ind w:firstLine="632"/>
      </w:pPr>
      <w:r>
        <w:rPr>
          <w:rFonts w:hint="eastAsia"/>
        </w:rPr>
        <w:t>调取当地气象预报资料，分析风、水等影响情况并采取相应措施；</w:t>
      </w:r>
    </w:p>
    <w:p w14:paraId="614101B1">
      <w:pPr>
        <w:numPr>
          <w:ilvl w:val="0"/>
          <w:numId w:val="168"/>
        </w:numPr>
        <w:ind w:firstLine="632"/>
      </w:pPr>
      <w:r>
        <w:rPr>
          <w:rFonts w:hint="eastAsia"/>
        </w:rPr>
        <w:t>依据着火位置和燃烧物质的不同，选用相应的灭火方法；</w:t>
      </w:r>
    </w:p>
    <w:p w14:paraId="451AD5AF">
      <w:pPr>
        <w:numPr>
          <w:ilvl w:val="0"/>
          <w:numId w:val="168"/>
        </w:numPr>
        <w:ind w:firstLine="632"/>
      </w:pPr>
      <w:r>
        <w:rPr>
          <w:rFonts w:hint="eastAsia"/>
        </w:rPr>
        <w:t xml:space="preserve">明确可能需要调动的社会应急救援力量及物资保障。 </w:t>
      </w:r>
    </w:p>
    <w:p w14:paraId="4CC0A706">
      <w:pPr>
        <w:numPr>
          <w:ilvl w:val="0"/>
          <w:numId w:val="168"/>
        </w:numPr>
        <w:ind w:firstLine="632"/>
      </w:pPr>
      <w:r>
        <w:rPr>
          <w:rFonts w:hint="eastAsia"/>
        </w:rPr>
        <w:t xml:space="preserve">组织事故影响区内的人员安全地撤离现场，核实伤亡、失踪人数； </w:t>
      </w:r>
    </w:p>
    <w:p w14:paraId="3E3CD767">
      <w:pPr>
        <w:numPr>
          <w:ilvl w:val="0"/>
          <w:numId w:val="168"/>
        </w:numPr>
        <w:ind w:firstLine="632"/>
      </w:pPr>
      <w:r>
        <w:rPr>
          <w:rFonts w:hint="eastAsia"/>
        </w:rPr>
        <w:t>施救人员必须配备、使用防毒设施或正压空气呼吸机，保证施救者自身安全；</w:t>
      </w:r>
    </w:p>
    <w:p w14:paraId="4D6A590F">
      <w:pPr>
        <w:numPr>
          <w:ilvl w:val="0"/>
          <w:numId w:val="168"/>
        </w:numPr>
        <w:ind w:firstLine="632"/>
      </w:pPr>
      <w:r>
        <w:rPr>
          <w:rFonts w:hint="eastAsia"/>
        </w:rPr>
        <w:t xml:space="preserve">专人严密监测有毒、有害气体及风流的变化，防止出现次生、衍生事故。 </w:t>
      </w:r>
    </w:p>
    <w:p w14:paraId="0EF155C6">
      <w:pPr>
        <w:pStyle w:val="4"/>
        <w:numPr>
          <w:ilvl w:val="2"/>
          <w:numId w:val="156"/>
        </w:numPr>
        <w:tabs>
          <w:tab w:val="left" w:pos="0"/>
        </w:tabs>
      </w:pPr>
      <w:r>
        <w:rPr>
          <w:rFonts w:hint="eastAsia"/>
        </w:rPr>
        <w:t xml:space="preserve">中毒和窒息事故应急措施 </w:t>
      </w:r>
    </w:p>
    <w:p w14:paraId="057139D4">
      <w:pPr>
        <w:numPr>
          <w:ilvl w:val="0"/>
          <w:numId w:val="169"/>
        </w:numPr>
        <w:ind w:firstLine="632"/>
      </w:pPr>
      <w:r>
        <w:rPr>
          <w:rFonts w:hint="eastAsia"/>
        </w:rPr>
        <w:t>查明中毒和窒息事故发生的具体位置、原因和可能受到的影响范围；</w:t>
      </w:r>
    </w:p>
    <w:p w14:paraId="45E803D8">
      <w:pPr>
        <w:numPr>
          <w:ilvl w:val="0"/>
          <w:numId w:val="169"/>
        </w:numPr>
        <w:ind w:firstLine="632"/>
      </w:pPr>
      <w:r>
        <w:rPr>
          <w:rFonts w:hint="eastAsia"/>
        </w:rPr>
        <w:t>加强通风；</w:t>
      </w:r>
    </w:p>
    <w:p w14:paraId="0BA52EDC">
      <w:pPr>
        <w:numPr>
          <w:ilvl w:val="0"/>
          <w:numId w:val="169"/>
        </w:numPr>
        <w:ind w:firstLine="632"/>
      </w:pPr>
      <w:r>
        <w:rPr>
          <w:rFonts w:hint="eastAsia"/>
        </w:rPr>
        <w:t>确定救援方案；</w:t>
      </w:r>
    </w:p>
    <w:p w14:paraId="77F5E319">
      <w:pPr>
        <w:numPr>
          <w:ilvl w:val="0"/>
          <w:numId w:val="169"/>
        </w:numPr>
        <w:ind w:firstLine="632"/>
      </w:pPr>
      <w:r>
        <w:rPr>
          <w:rFonts w:hint="eastAsia"/>
        </w:rPr>
        <w:t>检测查明中毒和窒息有毒、有害气体的来源和存在的部位，修复被破坏的通风系统；</w:t>
      </w:r>
    </w:p>
    <w:p w14:paraId="28D27D1D">
      <w:pPr>
        <w:numPr>
          <w:ilvl w:val="0"/>
          <w:numId w:val="169"/>
        </w:numPr>
        <w:ind w:firstLine="632"/>
      </w:pPr>
      <w:r>
        <w:rPr>
          <w:rFonts w:hint="eastAsia"/>
        </w:rPr>
        <w:t>根据现场情况确定可能受到有毒、有害气体威胁的相关人员；</w:t>
      </w:r>
    </w:p>
    <w:p w14:paraId="37E351C7">
      <w:pPr>
        <w:numPr>
          <w:ilvl w:val="0"/>
          <w:numId w:val="169"/>
        </w:numPr>
        <w:ind w:firstLine="632"/>
      </w:pPr>
      <w:r>
        <w:rPr>
          <w:rFonts w:hint="eastAsia"/>
        </w:rPr>
        <w:t>确定清除产生中毒和窒息事故的有毒、有害气体的基本方法、技术方案、安全措施；</w:t>
      </w:r>
    </w:p>
    <w:p w14:paraId="797138C8">
      <w:pPr>
        <w:numPr>
          <w:ilvl w:val="0"/>
          <w:numId w:val="169"/>
        </w:numPr>
        <w:ind w:firstLine="632"/>
      </w:pPr>
      <w:r>
        <w:rPr>
          <w:rFonts w:hint="eastAsia"/>
        </w:rPr>
        <w:t xml:space="preserve">明确可能需要调动的社会应急救援力量及物资保障； </w:t>
      </w:r>
    </w:p>
    <w:p w14:paraId="7B77591B">
      <w:pPr>
        <w:numPr>
          <w:ilvl w:val="0"/>
          <w:numId w:val="169"/>
        </w:numPr>
        <w:ind w:firstLine="632"/>
      </w:pPr>
      <w:r>
        <w:rPr>
          <w:rFonts w:hint="eastAsia"/>
        </w:rPr>
        <w:t>组织安全地撤出影响区内的遇险人员，核实伤亡、失踪人数；</w:t>
      </w:r>
    </w:p>
    <w:p w14:paraId="71E3BD37">
      <w:pPr>
        <w:numPr>
          <w:ilvl w:val="0"/>
          <w:numId w:val="169"/>
        </w:numPr>
        <w:ind w:firstLine="632"/>
      </w:pPr>
      <w:r>
        <w:rPr>
          <w:rFonts w:hint="eastAsia"/>
        </w:rPr>
        <w:t>组织清理抢险通道，引导抢险人员、物资尽快到达现场；</w:t>
      </w:r>
    </w:p>
    <w:p w14:paraId="3C6D3812">
      <w:pPr>
        <w:numPr>
          <w:ilvl w:val="0"/>
          <w:numId w:val="169"/>
        </w:numPr>
        <w:ind w:firstLine="632"/>
      </w:pPr>
      <w:r>
        <w:rPr>
          <w:rFonts w:hint="eastAsia"/>
        </w:rPr>
        <w:t>施救人员须配备、使用防毒设施或正压空气呼吸机，保证施救者自身安全；</w:t>
      </w:r>
    </w:p>
    <w:p w14:paraId="29981785">
      <w:pPr>
        <w:numPr>
          <w:ilvl w:val="0"/>
          <w:numId w:val="169"/>
        </w:numPr>
        <w:ind w:firstLine="632"/>
      </w:pPr>
      <w:r>
        <w:rPr>
          <w:rFonts w:hint="eastAsia"/>
        </w:rPr>
        <w:t>专人检测中毒和窒息事故发生地及周边影响区有害气体浓度等情况，防止发生次生、衍生事故。</w:t>
      </w:r>
    </w:p>
    <w:p w14:paraId="4433959D">
      <w:pPr>
        <w:pStyle w:val="4"/>
        <w:numPr>
          <w:ilvl w:val="2"/>
          <w:numId w:val="156"/>
        </w:numPr>
        <w:tabs>
          <w:tab w:val="left" w:pos="0"/>
        </w:tabs>
      </w:pPr>
      <w:r>
        <w:rPr>
          <w:rFonts w:hint="eastAsia"/>
        </w:rPr>
        <w:t xml:space="preserve">坍塌、滑坡事故应急处置措施 </w:t>
      </w:r>
    </w:p>
    <w:p w14:paraId="36020F08">
      <w:pPr>
        <w:numPr>
          <w:ilvl w:val="0"/>
          <w:numId w:val="170"/>
        </w:numPr>
        <w:ind w:firstLine="632"/>
      </w:pPr>
      <w:r>
        <w:rPr>
          <w:rFonts w:hint="eastAsia"/>
        </w:rPr>
        <w:t>查明坍塌、滑坡事故发生的具体位置及其影响范围，划定警戒区域并设置明显警示标志；</w:t>
      </w:r>
    </w:p>
    <w:p w14:paraId="34ECBF16">
      <w:pPr>
        <w:numPr>
          <w:ilvl w:val="0"/>
          <w:numId w:val="170"/>
        </w:numPr>
        <w:ind w:firstLine="632"/>
      </w:pPr>
      <w:r>
        <w:rPr>
          <w:rFonts w:hint="eastAsia"/>
        </w:rPr>
        <w:t>查明被坍塌滑坡事故埋压、围困人员的可能位置和数量；</w:t>
      </w:r>
    </w:p>
    <w:p w14:paraId="1D1BB8D7">
      <w:pPr>
        <w:numPr>
          <w:ilvl w:val="0"/>
          <w:numId w:val="170"/>
        </w:numPr>
        <w:ind w:firstLine="632"/>
      </w:pPr>
      <w:r>
        <w:rPr>
          <w:rFonts w:hint="eastAsia"/>
        </w:rPr>
        <w:t>查明坍塌滑坡事故发生地点的水文地质条件、工程地质条件、边坡技术参数等相关影响因素；</w:t>
      </w:r>
    </w:p>
    <w:p w14:paraId="07C34149">
      <w:pPr>
        <w:numPr>
          <w:ilvl w:val="0"/>
          <w:numId w:val="170"/>
        </w:numPr>
        <w:ind w:firstLine="632"/>
      </w:pPr>
      <w:r>
        <w:rPr>
          <w:rFonts w:hint="eastAsia"/>
        </w:rPr>
        <w:t>查明坍塌滑坡事故发生地点可能存在的其他坍塌滑坡体及浮石、危石等危险源；</w:t>
      </w:r>
    </w:p>
    <w:p w14:paraId="0BF01580">
      <w:pPr>
        <w:numPr>
          <w:ilvl w:val="0"/>
          <w:numId w:val="170"/>
        </w:numPr>
        <w:ind w:firstLine="632"/>
      </w:pPr>
      <w:r>
        <w:rPr>
          <w:rFonts w:hint="eastAsia"/>
        </w:rPr>
        <w:t>确定救援方案；</w:t>
      </w:r>
    </w:p>
    <w:p w14:paraId="1ACC25B8">
      <w:pPr>
        <w:numPr>
          <w:ilvl w:val="0"/>
          <w:numId w:val="170"/>
        </w:numPr>
        <w:ind w:firstLine="632"/>
      </w:pPr>
      <w:r>
        <w:rPr>
          <w:rFonts w:hint="eastAsia"/>
        </w:rPr>
        <w:t>分析坍塌滑坡事故发生原因，确定清除坍塌滑坡体等危险 源的技术方案与具体方法并制定相应安全措施；</w:t>
      </w:r>
    </w:p>
    <w:p w14:paraId="2C9CDFB3">
      <w:pPr>
        <w:numPr>
          <w:ilvl w:val="0"/>
          <w:numId w:val="170"/>
        </w:numPr>
        <w:ind w:firstLine="632"/>
      </w:pPr>
      <w:r>
        <w:rPr>
          <w:rFonts w:hint="eastAsia"/>
        </w:rPr>
        <w:t>落实矿山可用的抢险设备、物资及需要外部调配的设备与相关物资。</w:t>
      </w:r>
    </w:p>
    <w:p w14:paraId="20EC339D">
      <w:pPr>
        <w:numPr>
          <w:ilvl w:val="0"/>
          <w:numId w:val="170"/>
        </w:numPr>
        <w:ind w:firstLine="632"/>
      </w:pPr>
      <w:r>
        <w:rPr>
          <w:rFonts w:hint="eastAsia"/>
        </w:rPr>
        <w:t>组织事故影响区内的人员安全地撤离现场，核实伤亡、失踪人数；</w:t>
      </w:r>
    </w:p>
    <w:p w14:paraId="49B668B4">
      <w:pPr>
        <w:numPr>
          <w:ilvl w:val="0"/>
          <w:numId w:val="170"/>
        </w:numPr>
        <w:ind w:firstLine="632"/>
      </w:pPr>
      <w:r>
        <w:rPr>
          <w:rFonts w:hint="eastAsia"/>
        </w:rPr>
        <w:t>组织清理抢险通道，引导抢险人员、设备、物资尽快到达现场；</w:t>
      </w:r>
    </w:p>
    <w:p w14:paraId="6E73A991">
      <w:pPr>
        <w:numPr>
          <w:ilvl w:val="0"/>
          <w:numId w:val="170"/>
        </w:numPr>
        <w:ind w:firstLine="632"/>
      </w:pPr>
      <w:r>
        <w:rPr>
          <w:rFonts w:hint="eastAsia"/>
        </w:rPr>
        <w:t>专人检查、监视事故发生区域边坡稳定情况，预防因二次坍塌滑坡事件扩大事故；</w:t>
      </w:r>
    </w:p>
    <w:p w14:paraId="06DCA832">
      <w:pPr>
        <w:numPr>
          <w:ilvl w:val="0"/>
          <w:numId w:val="170"/>
        </w:numPr>
        <w:ind w:firstLine="632"/>
      </w:pPr>
      <w:r>
        <w:rPr>
          <w:rFonts w:hint="eastAsia"/>
        </w:rPr>
        <w:t>防止已撤离人员回到坍塌滑坡影响区内。</w:t>
      </w:r>
    </w:p>
    <w:p w14:paraId="36BB4418">
      <w:pPr>
        <w:pStyle w:val="4"/>
        <w:numPr>
          <w:ilvl w:val="2"/>
          <w:numId w:val="156"/>
        </w:numPr>
        <w:tabs>
          <w:tab w:val="left" w:pos="0"/>
        </w:tabs>
      </w:pPr>
      <w:r>
        <w:rPr>
          <w:rFonts w:hint="eastAsia"/>
        </w:rPr>
        <w:t xml:space="preserve">民爆器材爆炸事故应急处置措施 </w:t>
      </w:r>
    </w:p>
    <w:p w14:paraId="50EEB7DE">
      <w:pPr>
        <w:numPr>
          <w:ilvl w:val="0"/>
          <w:numId w:val="171"/>
        </w:numPr>
        <w:ind w:firstLine="632"/>
      </w:pPr>
      <w:r>
        <w:rPr>
          <w:rFonts w:hint="eastAsia"/>
        </w:rPr>
        <w:t>迅速组织撤出灾区和受威胁区域的人员；</w:t>
      </w:r>
    </w:p>
    <w:p w14:paraId="6A194D42">
      <w:pPr>
        <w:numPr>
          <w:ilvl w:val="0"/>
          <w:numId w:val="171"/>
        </w:numPr>
        <w:ind w:firstLine="632"/>
      </w:pPr>
      <w:r>
        <w:rPr>
          <w:rFonts w:hint="eastAsia"/>
        </w:rPr>
        <w:t>确定生产安全事故发生的地点和范围；</w:t>
      </w:r>
    </w:p>
    <w:p w14:paraId="6A2572A7">
      <w:pPr>
        <w:numPr>
          <w:ilvl w:val="0"/>
          <w:numId w:val="171"/>
        </w:numPr>
        <w:ind w:firstLine="632"/>
      </w:pPr>
      <w:r>
        <w:rPr>
          <w:rFonts w:hint="eastAsia"/>
        </w:rPr>
        <w:t>迅速切断灾区电源，减少次生灾害的发生；</w:t>
      </w:r>
    </w:p>
    <w:p w14:paraId="2D8CC624">
      <w:pPr>
        <w:numPr>
          <w:ilvl w:val="0"/>
          <w:numId w:val="171"/>
        </w:numPr>
        <w:ind w:firstLine="632"/>
      </w:pPr>
      <w:r>
        <w:rPr>
          <w:rFonts w:hint="eastAsia"/>
        </w:rPr>
        <w:t>明确爆炸地点的周围环境，特别要查明有无引爆其他爆炸源、火源、有毒有害气体液体泄漏等；</w:t>
      </w:r>
    </w:p>
    <w:p w14:paraId="09DDDDAB">
      <w:pPr>
        <w:numPr>
          <w:ilvl w:val="0"/>
          <w:numId w:val="171"/>
        </w:numPr>
        <w:ind w:firstLine="632"/>
      </w:pPr>
      <w:r>
        <w:rPr>
          <w:rFonts w:hint="eastAsia"/>
        </w:rPr>
        <w:t>在保障应急救援人员安全的前提下，排除现场危险物品，特别是附近易燃易爆物品；</w:t>
      </w:r>
    </w:p>
    <w:p w14:paraId="5EB96950">
      <w:pPr>
        <w:numPr>
          <w:ilvl w:val="0"/>
          <w:numId w:val="171"/>
        </w:numPr>
        <w:ind w:firstLine="632"/>
      </w:pPr>
      <w:r>
        <w:rPr>
          <w:rFonts w:hint="eastAsia"/>
        </w:rPr>
        <w:t>迅速采取有效措施，控制爆炸后次生的危险有害因素（火灾、有毒有害气体等）；</w:t>
      </w:r>
    </w:p>
    <w:p w14:paraId="36C2B2E3">
      <w:pPr>
        <w:numPr>
          <w:ilvl w:val="0"/>
          <w:numId w:val="171"/>
        </w:numPr>
        <w:ind w:firstLine="632"/>
      </w:pPr>
      <w:r>
        <w:rPr>
          <w:rFonts w:hint="eastAsia"/>
        </w:rPr>
        <w:t>明确事故应急救援处置技术方案，邀请相关专业的应急救援专家；</w:t>
      </w:r>
    </w:p>
    <w:p w14:paraId="0C44D250">
      <w:pPr>
        <w:numPr>
          <w:ilvl w:val="0"/>
          <w:numId w:val="171"/>
        </w:numPr>
        <w:ind w:firstLine="632"/>
      </w:pPr>
      <w:r>
        <w:rPr>
          <w:rFonts w:hint="eastAsia"/>
        </w:rPr>
        <w:t>确定受困人员救援方案；</w:t>
      </w:r>
    </w:p>
    <w:p w14:paraId="372DC4B7">
      <w:pPr>
        <w:numPr>
          <w:ilvl w:val="0"/>
          <w:numId w:val="171"/>
        </w:numPr>
        <w:ind w:firstLine="632"/>
      </w:pPr>
      <w:r>
        <w:rPr>
          <w:rFonts w:hint="eastAsia"/>
        </w:rPr>
        <w:t>明确地下矿山通风线路，应急救援小组根据需要决定是否采用反风措施，防止各种有毒有害气体向其他巷道和工作面蔓延；</w:t>
      </w:r>
    </w:p>
    <w:p w14:paraId="14A7870B">
      <w:pPr>
        <w:numPr>
          <w:ilvl w:val="0"/>
          <w:numId w:val="171"/>
        </w:numPr>
        <w:ind w:firstLine="632"/>
      </w:pPr>
      <w:r>
        <w:rPr>
          <w:rFonts w:hint="eastAsia"/>
        </w:rPr>
        <w:t>明确可能需要调动的应急救援力量及物资保障；</w:t>
      </w:r>
    </w:p>
    <w:p w14:paraId="46D0AB62">
      <w:pPr>
        <w:numPr>
          <w:ilvl w:val="0"/>
          <w:numId w:val="171"/>
        </w:numPr>
        <w:ind w:firstLine="632"/>
      </w:pPr>
      <w:r>
        <w:rPr>
          <w:rFonts w:hint="eastAsia"/>
        </w:rPr>
        <w:t>在抢救、处理过程中，必须有专人检查、监视周边情况，严密监测有毒、有害气体及风向的变化，防止次生非煤矿山生产安全事故应急预案事故的发生。</w:t>
      </w:r>
    </w:p>
    <w:p w14:paraId="6E1CD777">
      <w:pPr>
        <w:pStyle w:val="4"/>
        <w:numPr>
          <w:ilvl w:val="2"/>
          <w:numId w:val="156"/>
        </w:numPr>
        <w:tabs>
          <w:tab w:val="left" w:pos="0"/>
        </w:tabs>
      </w:pPr>
      <w:r>
        <w:rPr>
          <w:rFonts w:hint="eastAsia"/>
        </w:rPr>
        <w:t xml:space="preserve">放炮事故应急处置措施 </w:t>
      </w:r>
    </w:p>
    <w:p w14:paraId="4A66AEA5">
      <w:pPr>
        <w:numPr>
          <w:ilvl w:val="0"/>
          <w:numId w:val="172"/>
        </w:numPr>
        <w:ind w:firstLine="632"/>
      </w:pPr>
      <w:r>
        <w:rPr>
          <w:rFonts w:hint="eastAsia"/>
        </w:rPr>
        <w:t>迅速组织撤出灾区和受威胁区域的人员；</w:t>
      </w:r>
    </w:p>
    <w:p w14:paraId="30A3A16E">
      <w:pPr>
        <w:numPr>
          <w:ilvl w:val="0"/>
          <w:numId w:val="172"/>
        </w:numPr>
        <w:ind w:firstLine="632"/>
      </w:pPr>
      <w:r>
        <w:rPr>
          <w:rFonts w:hint="eastAsia"/>
        </w:rPr>
        <w:t>确定生产安全事故发生的地点和范围；</w:t>
      </w:r>
    </w:p>
    <w:p w14:paraId="44FC2C13">
      <w:pPr>
        <w:numPr>
          <w:ilvl w:val="0"/>
          <w:numId w:val="172"/>
        </w:numPr>
        <w:ind w:firstLine="632"/>
      </w:pPr>
      <w:r>
        <w:rPr>
          <w:rFonts w:hint="eastAsia"/>
        </w:rPr>
        <w:t>明确放炮地点的周围环境，特别要查明岩性特征、地质构造特征和水文地质条件等；</w:t>
      </w:r>
    </w:p>
    <w:p w14:paraId="75A3AC20">
      <w:pPr>
        <w:numPr>
          <w:ilvl w:val="0"/>
          <w:numId w:val="172"/>
        </w:numPr>
        <w:ind w:firstLine="632"/>
      </w:pPr>
      <w:r>
        <w:rPr>
          <w:rFonts w:hint="eastAsia"/>
        </w:rPr>
        <w:t>在保障应急救援人员安全的前提下，排除现场危险物品，特别是附近易燃易爆物品；</w:t>
      </w:r>
    </w:p>
    <w:p w14:paraId="5E79B7BA">
      <w:pPr>
        <w:numPr>
          <w:ilvl w:val="0"/>
          <w:numId w:val="172"/>
        </w:numPr>
        <w:ind w:firstLine="632"/>
      </w:pPr>
      <w:r>
        <w:rPr>
          <w:rFonts w:hint="eastAsia"/>
        </w:rPr>
        <w:t>迅速采取有效措施，控制、消除次生的危险有害因素（露天矿山的火灾、边坡失稳等）；</w:t>
      </w:r>
    </w:p>
    <w:p w14:paraId="5E306B61">
      <w:pPr>
        <w:numPr>
          <w:ilvl w:val="0"/>
          <w:numId w:val="172"/>
        </w:numPr>
        <w:ind w:firstLine="632"/>
      </w:pPr>
      <w:r>
        <w:rPr>
          <w:rFonts w:hint="eastAsia"/>
        </w:rPr>
        <w:t>明确放炮事故应急救援处置技术方案，邀请相关专业的应急救援专家；</w:t>
      </w:r>
    </w:p>
    <w:p w14:paraId="528C66AE">
      <w:pPr>
        <w:numPr>
          <w:ilvl w:val="0"/>
          <w:numId w:val="172"/>
        </w:numPr>
        <w:ind w:firstLine="632"/>
      </w:pPr>
      <w:r>
        <w:rPr>
          <w:rFonts w:hint="eastAsia"/>
        </w:rPr>
        <w:t>确定受困人员救援方案；</w:t>
      </w:r>
    </w:p>
    <w:p w14:paraId="752F7B21">
      <w:pPr>
        <w:numPr>
          <w:ilvl w:val="0"/>
          <w:numId w:val="172"/>
        </w:numPr>
        <w:ind w:firstLine="632"/>
      </w:pPr>
      <w:r>
        <w:rPr>
          <w:rFonts w:hint="eastAsia"/>
        </w:rPr>
        <w:t>明确可能需要调动的应急救援力量及物资保障；</w:t>
      </w:r>
    </w:p>
    <w:p w14:paraId="1A1ED9DF">
      <w:pPr>
        <w:numPr>
          <w:ilvl w:val="0"/>
          <w:numId w:val="172"/>
        </w:numPr>
        <w:ind w:firstLine="632"/>
      </w:pPr>
      <w:r>
        <w:rPr>
          <w:rFonts w:hint="eastAsia"/>
        </w:rPr>
        <w:t>在抢救、处理过程中，必须有专人检查、监视周边岩体稳定情况，检测有毒有害气体情况，防止次生事故发生。</w:t>
      </w:r>
    </w:p>
    <w:p w14:paraId="20F8BD59">
      <w:pPr>
        <w:pStyle w:val="3"/>
        <w:numPr>
          <w:ilvl w:val="0"/>
          <w:numId w:val="156"/>
        </w:numPr>
        <w:tabs>
          <w:tab w:val="left" w:pos="0"/>
        </w:tabs>
        <w:rPr>
          <w:rFonts w:ascii="楷体_GB2312" w:hAnsi="楷体_GB2312" w:eastAsia="楷体_GB2312" w:cs="楷体_GB2312"/>
        </w:rPr>
      </w:pPr>
      <w:bookmarkStart w:id="994" w:name="_Toc13389"/>
      <w:r>
        <w:rPr>
          <w:rFonts w:hint="eastAsia" w:ascii="楷体_GB2312" w:hAnsi="楷体_GB2312" w:eastAsia="楷体_GB2312" w:cs="楷体_GB2312"/>
        </w:rPr>
        <w:t>安全防护</w:t>
      </w:r>
      <w:bookmarkEnd w:id="994"/>
    </w:p>
    <w:p w14:paraId="23B09FB8">
      <w:pPr>
        <w:pStyle w:val="4"/>
        <w:numPr>
          <w:ilvl w:val="2"/>
          <w:numId w:val="156"/>
        </w:numPr>
        <w:tabs>
          <w:tab w:val="left" w:pos="0"/>
        </w:tabs>
      </w:pPr>
      <w:r>
        <w:rPr>
          <w:rFonts w:hint="eastAsia"/>
        </w:rPr>
        <w:t xml:space="preserve">应急救援人员防护 </w:t>
      </w:r>
    </w:p>
    <w:p w14:paraId="4414ECCB">
      <w:pPr>
        <w:ind w:firstLine="632"/>
      </w:pPr>
      <w:r>
        <w:rPr>
          <w:rFonts w:hint="eastAsia"/>
        </w:rPr>
        <w:t>抢险救援以当地专业救援队伍为主、社会救援力量为辅，严格控制进入事故现场人员的数量；专业或辅助救援人员，根据非煤矿山事故的类别、性质，要采取相应的安全防护措施；所有抢险救援人员必须佩戴安全防护装备，方可进入事故现场实施抢险救援工作。所有抢险救援工作地点均要安排专人检测气体成分、风向、温度和监控工作环境等，保证救援人员安全。</w:t>
      </w:r>
    </w:p>
    <w:p w14:paraId="7B67CC5A">
      <w:pPr>
        <w:pStyle w:val="4"/>
        <w:numPr>
          <w:ilvl w:val="2"/>
          <w:numId w:val="156"/>
        </w:numPr>
        <w:tabs>
          <w:tab w:val="left" w:pos="0"/>
        </w:tabs>
      </w:pPr>
      <w:r>
        <w:rPr>
          <w:rFonts w:hint="eastAsia"/>
        </w:rPr>
        <w:t xml:space="preserve">群众应急防护 </w:t>
      </w:r>
    </w:p>
    <w:p w14:paraId="087B8DD5">
      <w:pPr>
        <w:ind w:firstLine="632"/>
      </w:pPr>
      <w:r>
        <w:rPr>
          <w:rFonts w:hint="eastAsia"/>
        </w:rPr>
        <w:t>事发地乡镇人民政府及有关部门做好群众的安全防护工作，宣传安全防护知识，及时制定群众疏散、转移和安置方案。</w:t>
      </w:r>
    </w:p>
    <w:p w14:paraId="046AA11D">
      <w:pPr>
        <w:pStyle w:val="3"/>
        <w:numPr>
          <w:ilvl w:val="0"/>
          <w:numId w:val="156"/>
        </w:numPr>
        <w:tabs>
          <w:tab w:val="left" w:pos="0"/>
        </w:tabs>
        <w:rPr>
          <w:rFonts w:ascii="楷体_GB2312" w:hAnsi="楷体_GB2312" w:eastAsia="楷体_GB2312" w:cs="楷体_GB2312"/>
        </w:rPr>
      </w:pPr>
      <w:bookmarkStart w:id="995" w:name="_Toc25863"/>
      <w:r>
        <w:rPr>
          <w:rFonts w:hint="eastAsia" w:ascii="楷体_GB2312" w:hAnsi="楷体_GB2312" w:eastAsia="楷体_GB2312" w:cs="楷体_GB2312"/>
        </w:rPr>
        <w:t>扩大应急</w:t>
      </w:r>
      <w:bookmarkEnd w:id="995"/>
    </w:p>
    <w:p w14:paraId="653A42BA">
      <w:pPr>
        <w:ind w:firstLine="632" w:firstLineChars="0"/>
      </w:pPr>
      <w:r>
        <w:rPr>
          <w:rFonts w:hint="eastAsia"/>
        </w:rPr>
        <w:t>当全县可能或已经发生较大矿山事故，且危害程度严重、影响范围广、持续时间长、处置难度大等情况下，县指挥部向县安委会建议启动紧急响应机制，由县安委会负责组织协调县相关专项应急指挥部共同开展应对工作。</w:t>
      </w:r>
    </w:p>
    <w:p w14:paraId="252F611D">
      <w:pPr>
        <w:ind w:firstLine="632"/>
      </w:pPr>
      <w:r>
        <w:rPr>
          <w:rFonts w:hint="eastAsia"/>
        </w:rPr>
        <w:t>当矿山事故造成的危害程度已十分严重，超出本县自身控制能力，需要国家或其他地市提供援助和支持时，由县安委会按规定将情况上报省安委办，报请省安委办统一协调、调动各方面应急资源共同参与处置工作。</w:t>
      </w:r>
    </w:p>
    <w:p w14:paraId="3F3BF651">
      <w:pPr>
        <w:pStyle w:val="3"/>
        <w:numPr>
          <w:ilvl w:val="0"/>
          <w:numId w:val="156"/>
        </w:numPr>
        <w:tabs>
          <w:tab w:val="left" w:pos="0"/>
        </w:tabs>
        <w:rPr>
          <w:rFonts w:ascii="楷体_GB2312" w:hAnsi="楷体_GB2312" w:eastAsia="楷体_GB2312" w:cs="楷体_GB2312"/>
        </w:rPr>
      </w:pPr>
      <w:bookmarkStart w:id="996" w:name="_Toc22011"/>
      <w:r>
        <w:rPr>
          <w:rFonts w:hint="eastAsia" w:ascii="楷体_GB2312" w:hAnsi="楷体_GB2312" w:eastAsia="楷体_GB2312" w:cs="楷体_GB2312"/>
        </w:rPr>
        <w:t>信息发布与舆论引导</w:t>
      </w:r>
      <w:bookmarkEnd w:id="996"/>
    </w:p>
    <w:p w14:paraId="7848A2A1">
      <w:pPr>
        <w:ind w:firstLine="632" w:firstLineChars="0"/>
      </w:pPr>
      <w:r>
        <w:rPr>
          <w:rFonts w:hint="eastAsia"/>
        </w:rPr>
        <w:t>本县辖区内发生一般、较大非煤矿山事故时，由县政府办公室、县委宣传部统筹信息发布和舆论引导的方式、范围及途径。</w:t>
      </w:r>
    </w:p>
    <w:p w14:paraId="18BD4B98">
      <w:pPr>
        <w:ind w:firstLine="632"/>
      </w:pPr>
      <w:r>
        <w:rPr>
          <w:rFonts w:hint="eastAsia"/>
        </w:rPr>
        <w:t>重大及以上非煤矿山事故按上级政府要求发布。</w:t>
      </w:r>
    </w:p>
    <w:p w14:paraId="73E52FB2">
      <w:pPr>
        <w:pStyle w:val="3"/>
        <w:numPr>
          <w:ilvl w:val="0"/>
          <w:numId w:val="156"/>
        </w:numPr>
        <w:tabs>
          <w:tab w:val="left" w:pos="0"/>
        </w:tabs>
        <w:rPr>
          <w:rFonts w:ascii="楷体_GB2312" w:hAnsi="楷体_GB2312" w:eastAsia="楷体_GB2312" w:cs="楷体_GB2312"/>
        </w:rPr>
      </w:pPr>
      <w:bookmarkStart w:id="997" w:name="_Toc29865"/>
      <w:r>
        <w:rPr>
          <w:rFonts w:hint="eastAsia" w:ascii="楷体_GB2312" w:hAnsi="楷体_GB2312" w:eastAsia="楷体_GB2312" w:cs="楷体_GB2312"/>
        </w:rPr>
        <w:t>应急结束</w:t>
      </w:r>
      <w:bookmarkEnd w:id="997"/>
      <w:r>
        <w:rPr>
          <w:rFonts w:hint="eastAsia" w:ascii="楷体_GB2312" w:hAnsi="楷体_GB2312" w:eastAsia="楷体_GB2312" w:cs="楷体_GB2312"/>
        </w:rPr>
        <w:t xml:space="preserve"> </w:t>
      </w:r>
    </w:p>
    <w:p w14:paraId="46367DB7">
      <w:pPr>
        <w:ind w:firstLine="632"/>
      </w:pPr>
      <w:r>
        <w:rPr>
          <w:rFonts w:hint="eastAsia"/>
        </w:rPr>
        <w:t>非煤矿山生产安全事故现场得以控制，受伤、受困人员搜救工作结束，环境符合有关标准，导致次生、衍生事故隐患消除后，按照“谁启动、谁结束”的原则，经启动应急响应的指挥机构确认和批准，宣布应急处置工作结束，应急救援队伍撤离现场。</w:t>
      </w:r>
    </w:p>
    <w:p w14:paraId="3ABBC0C6">
      <w:pPr>
        <w:pStyle w:val="2"/>
        <w:numPr>
          <w:ilvl w:val="0"/>
          <w:numId w:val="156"/>
        </w:numPr>
        <w:tabs>
          <w:tab w:val="left" w:pos="0"/>
        </w:tabs>
      </w:pPr>
      <w:bookmarkStart w:id="998" w:name="_Toc4912"/>
      <w:r>
        <w:t>后期处置</w:t>
      </w:r>
      <w:bookmarkEnd w:id="998"/>
    </w:p>
    <w:p w14:paraId="0DC700D8">
      <w:pPr>
        <w:pStyle w:val="3"/>
        <w:numPr>
          <w:ilvl w:val="0"/>
          <w:numId w:val="156"/>
        </w:numPr>
        <w:tabs>
          <w:tab w:val="left" w:pos="0"/>
        </w:tabs>
        <w:rPr>
          <w:rFonts w:ascii="楷体_GB2312" w:hAnsi="楷体_GB2312" w:eastAsia="楷体_GB2312" w:cs="楷体_GB2312"/>
        </w:rPr>
      </w:pPr>
      <w:bookmarkStart w:id="999" w:name="_Toc6742"/>
      <w:r>
        <w:rPr>
          <w:rFonts w:hint="eastAsia" w:ascii="楷体_GB2312" w:hAnsi="楷体_GB2312" w:eastAsia="楷体_GB2312" w:cs="楷体_GB2312"/>
        </w:rPr>
        <w:t>善后处置</w:t>
      </w:r>
      <w:bookmarkEnd w:id="999"/>
    </w:p>
    <w:p w14:paraId="52993A19">
      <w:pPr>
        <w:numPr>
          <w:ilvl w:val="0"/>
          <w:numId w:val="173"/>
        </w:numPr>
        <w:ind w:firstLine="632"/>
      </w:pPr>
      <w:r>
        <w:rPr>
          <w:rFonts w:hint="eastAsia"/>
        </w:rPr>
        <w:t>非煤矿山发生事故后，事发地乡镇、县级有关部门要迅速采取得力措施，妥善安置和救助遇险人员及受影响群众，做好伤亡人员及家属的善后、安抚、补偿和有关人员的心理疏导工作；调用和征用的装备、物资应及时归还与补偿；做好灾后重建工作，恢复正常的生产和社会秩序。</w:t>
      </w:r>
    </w:p>
    <w:p w14:paraId="741F769A">
      <w:pPr>
        <w:numPr>
          <w:ilvl w:val="0"/>
          <w:numId w:val="173"/>
        </w:numPr>
        <w:ind w:firstLine="632"/>
      </w:pPr>
      <w:r>
        <w:rPr>
          <w:rFonts w:hint="eastAsia"/>
        </w:rPr>
        <w:t>县应急局牵头评估、核实事故所造成生活困难群众数量。</w:t>
      </w:r>
    </w:p>
    <w:p w14:paraId="5B56A25D">
      <w:pPr>
        <w:numPr>
          <w:ilvl w:val="0"/>
          <w:numId w:val="173"/>
        </w:numPr>
        <w:ind w:firstLine="632"/>
      </w:pPr>
      <w:r>
        <w:rPr>
          <w:rFonts w:hint="eastAsia"/>
        </w:rPr>
        <w:t>县卫生健康局牵头组建医疗应急队伍，积极做好事故现场和灾民安置场所消毒和疫情防控工作。</w:t>
      </w:r>
    </w:p>
    <w:p w14:paraId="79F32053">
      <w:pPr>
        <w:numPr>
          <w:ilvl w:val="0"/>
          <w:numId w:val="173"/>
        </w:numPr>
        <w:ind w:firstLine="632"/>
      </w:pPr>
      <w:r>
        <w:rPr>
          <w:rFonts w:hint="eastAsia"/>
        </w:rPr>
        <w:t>双鸭山市集贤生态环境局负责污染物收集、清理与处置，事发地乡镇配合清洗被污现场。</w:t>
      </w:r>
    </w:p>
    <w:p w14:paraId="019F10B6">
      <w:pPr>
        <w:numPr>
          <w:ilvl w:val="0"/>
          <w:numId w:val="173"/>
        </w:numPr>
        <w:ind w:firstLine="632"/>
      </w:pPr>
      <w:r>
        <w:rPr>
          <w:rFonts w:hint="eastAsia"/>
        </w:rPr>
        <w:t>县级有关部门要做好灾民及其家属的安抚及善后赔付工作，由事发地乡镇牵头，按照国家有关法规，结合集贤县实际情况，制定非煤矿山事故灾后赔偿方案，按法定程序进行赔偿；对因参与应急救援处置工作而受伤害的人员，要给予相应的褒奖和抚恤。</w:t>
      </w:r>
    </w:p>
    <w:p w14:paraId="7ED9798E">
      <w:pPr>
        <w:pStyle w:val="3"/>
        <w:numPr>
          <w:ilvl w:val="0"/>
          <w:numId w:val="156"/>
        </w:numPr>
        <w:tabs>
          <w:tab w:val="left" w:pos="0"/>
        </w:tabs>
        <w:rPr>
          <w:rFonts w:ascii="楷体_GB2312" w:hAnsi="楷体_GB2312" w:eastAsia="楷体_GB2312" w:cs="楷体_GB2312"/>
        </w:rPr>
      </w:pPr>
      <w:bookmarkStart w:id="1000" w:name="_Toc9572"/>
      <w:r>
        <w:rPr>
          <w:rFonts w:hint="eastAsia" w:ascii="楷体_GB2312" w:hAnsi="楷体_GB2312" w:eastAsia="楷体_GB2312" w:cs="楷体_GB2312"/>
        </w:rPr>
        <w:t>保险</w:t>
      </w:r>
      <w:bookmarkEnd w:id="1000"/>
    </w:p>
    <w:p w14:paraId="5EADAEAC">
      <w:pPr>
        <w:ind w:firstLine="632"/>
      </w:pPr>
      <w:r>
        <w:rPr>
          <w:rFonts w:hint="eastAsia"/>
        </w:rPr>
        <w:t>非煤矿山生产安全事故发生后，保险监管机构应督促各类保险经办机构积极履行保险责任，迅速开展保险理赔工作。</w:t>
      </w:r>
    </w:p>
    <w:p w14:paraId="28601B39">
      <w:pPr>
        <w:pStyle w:val="3"/>
        <w:numPr>
          <w:ilvl w:val="0"/>
          <w:numId w:val="156"/>
        </w:numPr>
        <w:tabs>
          <w:tab w:val="left" w:pos="0"/>
        </w:tabs>
        <w:rPr>
          <w:rFonts w:ascii="楷体_GB2312" w:hAnsi="楷体_GB2312" w:eastAsia="楷体_GB2312" w:cs="楷体_GB2312"/>
        </w:rPr>
      </w:pPr>
      <w:bookmarkStart w:id="1001" w:name="_Toc2216"/>
      <w:r>
        <w:rPr>
          <w:rFonts w:hint="eastAsia" w:ascii="楷体_GB2312" w:hAnsi="楷体_GB2312" w:eastAsia="楷体_GB2312" w:cs="楷体_GB2312"/>
        </w:rPr>
        <w:t>调查与评估</w:t>
      </w:r>
      <w:bookmarkEnd w:id="1001"/>
      <w:r>
        <w:rPr>
          <w:rFonts w:hint="eastAsia" w:ascii="楷体_GB2312" w:hAnsi="楷体_GB2312" w:eastAsia="楷体_GB2312" w:cs="楷体_GB2312"/>
        </w:rPr>
        <w:t xml:space="preserve"> </w:t>
      </w:r>
    </w:p>
    <w:p w14:paraId="0504C457">
      <w:pPr>
        <w:ind w:firstLine="632"/>
      </w:pPr>
      <w:r>
        <w:rPr>
          <w:rFonts w:hint="eastAsia"/>
        </w:rPr>
        <w:t xml:space="preserve">事故调查严格依照《生产安全事故报告和调查处理条例》有关规定执行。 </w:t>
      </w:r>
    </w:p>
    <w:p w14:paraId="7E01AAA8">
      <w:pPr>
        <w:ind w:firstLine="632"/>
      </w:pPr>
      <w:r>
        <w:rPr>
          <w:rFonts w:hint="eastAsia"/>
        </w:rPr>
        <w:t>应急处置工作结束后，县指挥部应及时进行应对处置工作总结，对先期处置情况、应急响应情况、指挥救援情况、应急处置措施执行情况、现场管理和信息发布情况等进行评估，总结和吸取经验教训，提出改进应急工作的意见和建议。</w:t>
      </w:r>
    </w:p>
    <w:p w14:paraId="593169B9">
      <w:pPr>
        <w:pStyle w:val="2"/>
        <w:numPr>
          <w:ilvl w:val="0"/>
          <w:numId w:val="156"/>
        </w:numPr>
        <w:tabs>
          <w:tab w:val="left" w:pos="0"/>
        </w:tabs>
      </w:pPr>
      <w:bookmarkStart w:id="1002" w:name="_Toc24514"/>
      <w:r>
        <w:rPr>
          <w:rFonts w:hint="eastAsia"/>
        </w:rPr>
        <w:t>应急保障</w:t>
      </w:r>
      <w:bookmarkEnd w:id="1002"/>
    </w:p>
    <w:p w14:paraId="63CF7E27">
      <w:pPr>
        <w:pStyle w:val="3"/>
        <w:numPr>
          <w:ilvl w:val="0"/>
          <w:numId w:val="156"/>
        </w:numPr>
        <w:tabs>
          <w:tab w:val="left" w:pos="0"/>
        </w:tabs>
        <w:rPr>
          <w:rFonts w:ascii="楷体_GB2312" w:hAnsi="楷体_GB2312" w:eastAsia="楷体_GB2312" w:cs="楷体_GB2312"/>
        </w:rPr>
      </w:pPr>
      <w:bookmarkStart w:id="1003" w:name="_Toc27954"/>
      <w:r>
        <w:rPr>
          <w:rFonts w:hint="eastAsia" w:ascii="楷体_GB2312" w:hAnsi="楷体_GB2312" w:eastAsia="楷体_GB2312" w:cs="楷体_GB2312"/>
        </w:rPr>
        <w:t>通信与信息保障</w:t>
      </w:r>
      <w:bookmarkEnd w:id="1003"/>
    </w:p>
    <w:p w14:paraId="154A6ECA">
      <w:pPr>
        <w:ind w:firstLine="632"/>
      </w:pPr>
      <w:r>
        <w:rPr>
          <w:rFonts w:hint="eastAsia"/>
        </w:rPr>
        <w:t xml:space="preserve">县指挥部成员单位负责人和非煤矿山企业负责人的联系方式要确保联络畅通，各单位的值班电话要保证24小时值守。县非煤矿山应急办及时建立和更新县指挥部各成员单位、各非煤矿山企业应急机构以及应急救援队伍、应急救援专家、救援装备物资生产或储备单位的通信联络信息库。 </w:t>
      </w:r>
    </w:p>
    <w:p w14:paraId="12AE67AD">
      <w:pPr>
        <w:pStyle w:val="3"/>
        <w:numPr>
          <w:ilvl w:val="0"/>
          <w:numId w:val="156"/>
        </w:numPr>
        <w:tabs>
          <w:tab w:val="left" w:pos="0"/>
        </w:tabs>
        <w:rPr>
          <w:rFonts w:ascii="楷体_GB2312" w:hAnsi="楷体_GB2312" w:eastAsia="楷体_GB2312" w:cs="楷体_GB2312"/>
        </w:rPr>
      </w:pPr>
      <w:bookmarkStart w:id="1004" w:name="_Toc3165"/>
      <w:r>
        <w:rPr>
          <w:rFonts w:hint="eastAsia" w:ascii="楷体_GB2312" w:hAnsi="楷体_GB2312" w:eastAsia="楷体_GB2312" w:cs="楷体_GB2312"/>
        </w:rPr>
        <w:t>应急物资、装备保障</w:t>
      </w:r>
      <w:bookmarkEnd w:id="1004"/>
      <w:r>
        <w:rPr>
          <w:rFonts w:hint="eastAsia" w:ascii="楷体_GB2312" w:hAnsi="楷体_GB2312" w:eastAsia="楷体_GB2312" w:cs="楷体_GB2312"/>
        </w:rPr>
        <w:t xml:space="preserve"> </w:t>
      </w:r>
    </w:p>
    <w:p w14:paraId="2665D7E7">
      <w:pPr>
        <w:ind w:firstLine="632"/>
      </w:pPr>
      <w:r>
        <w:rPr>
          <w:rFonts w:hint="eastAsia"/>
        </w:rPr>
        <w:t xml:space="preserve">县发展和改革局组织协调救灾物资调拨和紧急配送，确保救灾所需的物资器材和生活用品的应急保障。加强应急储备物资的动态管理，及时补充和更新。要与周边县（市、区）建立物资调剂供应渠道，以便急需时能迅速调入救灾物资。必要时，可依法征用社会物资和应急装备。 </w:t>
      </w:r>
    </w:p>
    <w:p w14:paraId="180B4A7E">
      <w:pPr>
        <w:ind w:firstLine="632"/>
      </w:pPr>
      <w:r>
        <w:rPr>
          <w:rFonts w:hint="eastAsia"/>
        </w:rPr>
        <w:t>非煤矿山企业按照有关要求和生产条件，建立专（兼）职应急救援队伍，储备必要的救灾设备和物资。</w:t>
      </w:r>
    </w:p>
    <w:p w14:paraId="74A47395">
      <w:pPr>
        <w:ind w:firstLine="632"/>
      </w:pPr>
      <w:r>
        <w:rPr>
          <w:rFonts w:hint="eastAsia"/>
        </w:rPr>
        <w:t>县政府和非煤矿山企业根据事故救援的需要，依托现有资源， 合理布局并补充完善应急救援力量；统一登记可供应急响应单位使用的应急装备类型、数量、性能和存放位置，建立完善相应的保障措施。</w:t>
      </w:r>
    </w:p>
    <w:p w14:paraId="25A6B98E">
      <w:pPr>
        <w:pStyle w:val="3"/>
        <w:numPr>
          <w:ilvl w:val="0"/>
          <w:numId w:val="156"/>
        </w:numPr>
        <w:tabs>
          <w:tab w:val="left" w:pos="0"/>
        </w:tabs>
        <w:rPr>
          <w:rFonts w:ascii="楷体_GB2312" w:hAnsi="楷体_GB2312" w:eastAsia="楷体_GB2312" w:cs="楷体_GB2312"/>
        </w:rPr>
      </w:pPr>
      <w:bookmarkStart w:id="1005" w:name="_Toc6490"/>
      <w:r>
        <w:rPr>
          <w:rFonts w:hint="eastAsia" w:ascii="楷体_GB2312" w:hAnsi="楷体_GB2312" w:eastAsia="楷体_GB2312" w:cs="楷体_GB2312"/>
        </w:rPr>
        <w:t>应急队伍保障</w:t>
      </w:r>
      <w:bookmarkEnd w:id="1005"/>
      <w:r>
        <w:rPr>
          <w:rFonts w:hint="eastAsia" w:ascii="楷体_GB2312" w:hAnsi="楷体_GB2312" w:eastAsia="楷体_GB2312" w:cs="楷体_GB2312"/>
        </w:rPr>
        <w:t xml:space="preserve"> </w:t>
      </w:r>
    </w:p>
    <w:p w14:paraId="2F635C80">
      <w:pPr>
        <w:ind w:firstLine="632"/>
      </w:pPr>
      <w:r>
        <w:rPr>
          <w:rFonts w:hint="eastAsia"/>
        </w:rPr>
        <w:t xml:space="preserve">县消防救援大队是非煤矿山事故应急救援的重要支援力量，其他兼职救援力量、社会志愿者是非煤矿山事故应急救援的重要补充力量。 </w:t>
      </w:r>
    </w:p>
    <w:p w14:paraId="4A51F59F">
      <w:pPr>
        <w:ind w:firstLine="632"/>
      </w:pPr>
      <w:r>
        <w:rPr>
          <w:rFonts w:hint="eastAsia"/>
        </w:rPr>
        <w:t xml:space="preserve">鼓励有条件的非煤矿山企业建立应急救援队伍，或者与邻近的矿山企业联合建立专业救援队伍。 </w:t>
      </w:r>
    </w:p>
    <w:p w14:paraId="469C0992">
      <w:pPr>
        <w:pStyle w:val="3"/>
        <w:numPr>
          <w:ilvl w:val="0"/>
          <w:numId w:val="156"/>
        </w:numPr>
        <w:tabs>
          <w:tab w:val="left" w:pos="0"/>
        </w:tabs>
        <w:rPr>
          <w:rFonts w:ascii="楷体_GB2312" w:hAnsi="楷体_GB2312" w:eastAsia="楷体_GB2312" w:cs="楷体_GB2312"/>
        </w:rPr>
      </w:pPr>
      <w:bookmarkStart w:id="1006" w:name="_Toc12312"/>
      <w:r>
        <w:rPr>
          <w:rFonts w:hint="eastAsia" w:ascii="楷体_GB2312" w:hAnsi="楷体_GB2312" w:eastAsia="楷体_GB2312" w:cs="楷体_GB2312"/>
        </w:rPr>
        <w:t>交通运输保障</w:t>
      </w:r>
      <w:bookmarkEnd w:id="1006"/>
      <w:r>
        <w:rPr>
          <w:rFonts w:hint="eastAsia" w:ascii="楷体_GB2312" w:hAnsi="楷体_GB2312" w:eastAsia="楷体_GB2312" w:cs="楷体_GB2312"/>
        </w:rPr>
        <w:t xml:space="preserve"> </w:t>
      </w:r>
    </w:p>
    <w:p w14:paraId="07E56440">
      <w:pPr>
        <w:ind w:firstLine="632"/>
      </w:pPr>
      <w:r>
        <w:rPr>
          <w:rFonts w:hint="eastAsia"/>
        </w:rPr>
        <w:t xml:space="preserve">县公安、交通运输等部门负责应急处置交通保障的组织、实施。要及时对现场和相关通道实行交通管制，开通应急救援“绿色通道”，负责交通工具的调遣，确保救灾物资、器材和人员的输送安全。公路设施受损时，要迅速组织有关部门和专业队伍进行抢修，尽快恢复良好状态。 </w:t>
      </w:r>
    </w:p>
    <w:p w14:paraId="2A28CC73">
      <w:pPr>
        <w:ind w:firstLine="632"/>
      </w:pPr>
      <w:r>
        <w:rPr>
          <w:rFonts w:hint="eastAsia"/>
        </w:rPr>
        <w:t>有关部门组织对事故现场进行交通管制，并组织和调集足够的交通运输工具，开设应急救援专用绿色通道，保证应急救援车辆以最快的速度到达救援现场。</w:t>
      </w:r>
    </w:p>
    <w:p w14:paraId="73F3937A">
      <w:pPr>
        <w:pStyle w:val="3"/>
        <w:numPr>
          <w:ilvl w:val="0"/>
          <w:numId w:val="156"/>
        </w:numPr>
        <w:tabs>
          <w:tab w:val="left" w:pos="0"/>
        </w:tabs>
        <w:rPr>
          <w:rFonts w:ascii="楷体_GB2312" w:hAnsi="楷体_GB2312" w:eastAsia="楷体_GB2312" w:cs="楷体_GB2312"/>
        </w:rPr>
      </w:pPr>
      <w:bookmarkStart w:id="1007" w:name="_Toc31529"/>
      <w:r>
        <w:rPr>
          <w:rFonts w:hint="eastAsia" w:ascii="楷体_GB2312" w:hAnsi="楷体_GB2312" w:eastAsia="楷体_GB2312" w:cs="楷体_GB2312"/>
        </w:rPr>
        <w:t>医疗卫生保障</w:t>
      </w:r>
      <w:bookmarkEnd w:id="1007"/>
      <w:r>
        <w:rPr>
          <w:rFonts w:hint="eastAsia" w:ascii="楷体_GB2312" w:hAnsi="楷体_GB2312" w:eastAsia="楷体_GB2312" w:cs="楷体_GB2312"/>
        </w:rPr>
        <w:t xml:space="preserve"> </w:t>
      </w:r>
    </w:p>
    <w:p w14:paraId="04E52DB2">
      <w:pPr>
        <w:ind w:firstLine="632"/>
      </w:pPr>
      <w:r>
        <w:rPr>
          <w:rFonts w:hint="eastAsia"/>
        </w:rPr>
        <w:t>县卫生健康局负责应急处置工作中的医疗卫生保障，组织协调辖区卫生资源对事故伤员实施医疗救治，并根据人员伤亡情况和医疗卫生保障需要，协调县工信科局落实相关药品和医疗器械的供应、调拨。医疗卫生救援队伍按照指令迅速进入事故现场指定区域实施医疗救治和卫生防疫等工作。</w:t>
      </w:r>
    </w:p>
    <w:p w14:paraId="77CC6746">
      <w:pPr>
        <w:pStyle w:val="3"/>
        <w:numPr>
          <w:ilvl w:val="0"/>
          <w:numId w:val="156"/>
        </w:numPr>
        <w:tabs>
          <w:tab w:val="left" w:pos="0"/>
        </w:tabs>
        <w:rPr>
          <w:rFonts w:ascii="楷体_GB2312" w:hAnsi="楷体_GB2312" w:eastAsia="楷体_GB2312" w:cs="楷体_GB2312"/>
        </w:rPr>
      </w:pPr>
      <w:bookmarkStart w:id="1008" w:name="_Toc21192"/>
      <w:r>
        <w:rPr>
          <w:rFonts w:hint="eastAsia" w:ascii="楷体_GB2312" w:hAnsi="楷体_GB2312" w:eastAsia="楷体_GB2312" w:cs="楷体_GB2312"/>
        </w:rPr>
        <w:t>治安保障</w:t>
      </w:r>
      <w:bookmarkEnd w:id="1008"/>
      <w:r>
        <w:rPr>
          <w:rFonts w:hint="eastAsia" w:ascii="楷体_GB2312" w:hAnsi="楷体_GB2312" w:eastAsia="楷体_GB2312" w:cs="楷体_GB2312"/>
        </w:rPr>
        <w:t xml:space="preserve"> </w:t>
      </w:r>
    </w:p>
    <w:p w14:paraId="7D454F81">
      <w:pPr>
        <w:ind w:firstLine="632"/>
      </w:pPr>
      <w:r>
        <w:rPr>
          <w:rFonts w:hint="eastAsia"/>
        </w:rPr>
        <w:t>县公安局负责事故现场治安警戒和治安管理，加强对重点地区、重点场所、密集人群、重要物资设备的防范保护，维持现场秩序，及时疏散群众。发动和组织群众，开展群防联防，协助做好治安工作。</w:t>
      </w:r>
    </w:p>
    <w:p w14:paraId="4920B7CB">
      <w:pPr>
        <w:pStyle w:val="3"/>
        <w:numPr>
          <w:ilvl w:val="0"/>
          <w:numId w:val="156"/>
        </w:numPr>
        <w:tabs>
          <w:tab w:val="left" w:pos="0"/>
        </w:tabs>
        <w:rPr>
          <w:rFonts w:ascii="楷体_GB2312" w:hAnsi="楷体_GB2312" w:eastAsia="楷体_GB2312" w:cs="楷体_GB2312"/>
        </w:rPr>
      </w:pPr>
      <w:r>
        <w:rPr>
          <w:rFonts w:hint="eastAsia" w:ascii="楷体_GB2312" w:hAnsi="楷体_GB2312" w:eastAsia="楷体_GB2312" w:cs="楷体_GB2312"/>
        </w:rPr>
        <w:t xml:space="preserve">经费保障 </w:t>
      </w:r>
    </w:p>
    <w:p w14:paraId="11CC459C">
      <w:pPr>
        <w:ind w:firstLine="632"/>
      </w:pPr>
      <w:r>
        <w:rPr>
          <w:rFonts w:hint="eastAsia"/>
        </w:rPr>
        <w:t xml:space="preserve">非煤矿山事故应急救援资金，按照现行财权、事权划分的原则分级负担。非煤矿山企业必须建立事故应急救援资金储备制度。非煤矿山事故应急救援资金由事故责任单位和承保机构承担。 </w:t>
      </w:r>
    </w:p>
    <w:p w14:paraId="3837E273">
      <w:pPr>
        <w:pStyle w:val="3"/>
        <w:numPr>
          <w:ilvl w:val="0"/>
          <w:numId w:val="156"/>
        </w:numPr>
        <w:tabs>
          <w:tab w:val="left" w:pos="0"/>
        </w:tabs>
        <w:rPr>
          <w:rFonts w:ascii="楷体_GB2312" w:hAnsi="楷体_GB2312" w:eastAsia="楷体_GB2312" w:cs="楷体_GB2312"/>
        </w:rPr>
      </w:pPr>
      <w:bookmarkStart w:id="1009" w:name="_Toc5457"/>
      <w:r>
        <w:rPr>
          <w:rFonts w:hint="eastAsia" w:ascii="楷体_GB2312" w:hAnsi="楷体_GB2312" w:eastAsia="楷体_GB2312" w:cs="楷体_GB2312"/>
        </w:rPr>
        <w:t>技术支持与保障</w:t>
      </w:r>
      <w:bookmarkEnd w:id="1009"/>
      <w:r>
        <w:rPr>
          <w:rFonts w:hint="eastAsia" w:ascii="楷体_GB2312" w:hAnsi="楷体_GB2312" w:eastAsia="楷体_GB2312" w:cs="楷体_GB2312"/>
        </w:rPr>
        <w:t xml:space="preserve"> </w:t>
      </w:r>
    </w:p>
    <w:p w14:paraId="3147AD61">
      <w:pPr>
        <w:ind w:firstLine="632"/>
      </w:pPr>
      <w:r>
        <w:rPr>
          <w:rFonts w:hint="eastAsia"/>
        </w:rPr>
        <w:t xml:space="preserve">县非煤矿山应急办和非煤矿山企业要充分利用现有的专业技术人才资源和设备设施资源，建立非煤矿山应急救援专家库和应急资源数据库，提供应急状态下的技术支持。 </w:t>
      </w:r>
    </w:p>
    <w:p w14:paraId="5EC6602F">
      <w:pPr>
        <w:ind w:firstLine="632"/>
      </w:pPr>
      <w:r>
        <w:rPr>
          <w:rFonts w:hint="eastAsia"/>
        </w:rPr>
        <w:t>气象部门要为非煤矿山事故的应急救援决策和响应行动提供气象技术支持和保障。</w:t>
      </w:r>
    </w:p>
    <w:p w14:paraId="3D78C71E">
      <w:pPr>
        <w:pStyle w:val="2"/>
        <w:numPr>
          <w:ilvl w:val="0"/>
          <w:numId w:val="156"/>
        </w:numPr>
        <w:tabs>
          <w:tab w:val="left" w:pos="0"/>
        </w:tabs>
      </w:pPr>
      <w:r>
        <w:rPr>
          <w:rFonts w:hint="eastAsia"/>
        </w:rPr>
        <w:t xml:space="preserve">预案管理 </w:t>
      </w:r>
    </w:p>
    <w:p w14:paraId="27090B46">
      <w:pPr>
        <w:pStyle w:val="3"/>
        <w:numPr>
          <w:ilvl w:val="0"/>
          <w:numId w:val="156"/>
        </w:numPr>
        <w:tabs>
          <w:tab w:val="left" w:pos="0"/>
        </w:tabs>
        <w:rPr>
          <w:rFonts w:ascii="楷体_GB2312" w:hAnsi="楷体_GB2312" w:eastAsia="楷体_GB2312" w:cs="楷体_GB2312"/>
        </w:rPr>
      </w:pPr>
      <w:bookmarkStart w:id="1010" w:name="_Toc28115"/>
      <w:r>
        <w:rPr>
          <w:rFonts w:hint="eastAsia" w:ascii="楷体_GB2312" w:hAnsi="楷体_GB2312" w:eastAsia="楷体_GB2312" w:cs="楷体_GB2312"/>
        </w:rPr>
        <w:t>预案编制、评估、修订</w:t>
      </w:r>
      <w:bookmarkEnd w:id="1010"/>
    </w:p>
    <w:p w14:paraId="2C1B592E">
      <w:pPr>
        <w:ind w:firstLine="632"/>
      </w:pPr>
      <w:r>
        <w:rPr>
          <w:rFonts w:hint="eastAsia"/>
        </w:rPr>
        <w:t>县应急管理局负责本预案的编制、评估、修订。每3年进行1次应急预案评估，对预案内容的针对性和实用性进行分析，并对应急预案是否需要修订作出结论。有下列情形之一的，应当及时修订应急预案，报县政府及市应急局备案，并抄送有关部门：</w:t>
      </w:r>
    </w:p>
    <w:p w14:paraId="07854651">
      <w:pPr>
        <w:numPr>
          <w:ilvl w:val="0"/>
          <w:numId w:val="174"/>
        </w:numPr>
        <w:ind w:firstLine="632"/>
      </w:pPr>
      <w:r>
        <w:rPr>
          <w:rFonts w:hint="eastAsia"/>
        </w:rPr>
        <w:t>有关法律、行政法规、规章、标准、上位预案中的有关规定发生变化的；</w:t>
      </w:r>
    </w:p>
    <w:p w14:paraId="02D82165">
      <w:pPr>
        <w:numPr>
          <w:ilvl w:val="0"/>
          <w:numId w:val="174"/>
        </w:numPr>
        <w:ind w:firstLine="632"/>
      </w:pPr>
      <w:r>
        <w:rPr>
          <w:rFonts w:hint="eastAsia"/>
        </w:rPr>
        <w:t>县应急指挥机构及其职责发生调整的；</w:t>
      </w:r>
    </w:p>
    <w:p w14:paraId="4020C2DD">
      <w:pPr>
        <w:numPr>
          <w:ilvl w:val="0"/>
          <w:numId w:val="174"/>
        </w:numPr>
        <w:ind w:firstLine="632"/>
      </w:pPr>
      <w:r>
        <w:rPr>
          <w:rFonts w:hint="eastAsia"/>
        </w:rPr>
        <w:t>安全生产面临的风险发生重大变化的；</w:t>
      </w:r>
    </w:p>
    <w:p w14:paraId="130518F6">
      <w:pPr>
        <w:numPr>
          <w:ilvl w:val="0"/>
          <w:numId w:val="174"/>
        </w:numPr>
        <w:ind w:firstLine="632"/>
      </w:pPr>
      <w:r>
        <w:rPr>
          <w:rFonts w:hint="eastAsia"/>
        </w:rPr>
        <w:t>重要应急资源发生重大变化的；</w:t>
      </w:r>
    </w:p>
    <w:p w14:paraId="6BD61ECD">
      <w:pPr>
        <w:numPr>
          <w:ilvl w:val="0"/>
          <w:numId w:val="174"/>
        </w:numPr>
        <w:ind w:firstLine="632"/>
      </w:pPr>
      <w:r>
        <w:rPr>
          <w:rFonts w:hint="eastAsia"/>
        </w:rPr>
        <w:t>预案中的其他重要信息发生变化的；</w:t>
      </w:r>
    </w:p>
    <w:p w14:paraId="3C15CFC1">
      <w:pPr>
        <w:numPr>
          <w:ilvl w:val="0"/>
          <w:numId w:val="174"/>
        </w:numPr>
        <w:ind w:firstLine="632"/>
      </w:pPr>
      <w:r>
        <w:rPr>
          <w:rFonts w:hint="eastAsia"/>
        </w:rPr>
        <w:t>在非煤矿山生产安全事故实际应对和应急演练中发现问题需要做出重大调整的；</w:t>
      </w:r>
    </w:p>
    <w:p w14:paraId="020350CB">
      <w:pPr>
        <w:numPr>
          <w:ilvl w:val="0"/>
          <w:numId w:val="174"/>
        </w:numPr>
        <w:ind w:firstLine="632"/>
      </w:pPr>
      <w:r>
        <w:rPr>
          <w:rFonts w:hint="eastAsia"/>
        </w:rPr>
        <w:t>应急预案制定单位认为应当修订的其他情况。</w:t>
      </w:r>
    </w:p>
    <w:p w14:paraId="770BD6C8">
      <w:pPr>
        <w:pStyle w:val="3"/>
        <w:numPr>
          <w:ilvl w:val="0"/>
          <w:numId w:val="156"/>
        </w:numPr>
        <w:tabs>
          <w:tab w:val="left" w:pos="0"/>
        </w:tabs>
        <w:rPr>
          <w:rFonts w:ascii="楷体_GB2312" w:hAnsi="楷体_GB2312" w:eastAsia="楷体_GB2312" w:cs="楷体_GB2312"/>
        </w:rPr>
      </w:pPr>
      <w:r>
        <w:rPr>
          <w:rFonts w:hint="eastAsia" w:ascii="楷体_GB2312" w:hAnsi="楷体_GB2312" w:eastAsia="楷体_GB2312" w:cs="楷体_GB2312"/>
        </w:rPr>
        <w:t>预案审批与备案</w:t>
      </w:r>
    </w:p>
    <w:p w14:paraId="372C781B">
      <w:pPr>
        <w:ind w:firstLine="632"/>
      </w:pPr>
      <w:r>
        <w:rPr>
          <w:rFonts w:hint="eastAsia"/>
        </w:rPr>
        <w:t>县非煤矿山生产安全事故应急预案经县政府审批，必要时经县级政府常务会议或专题会议审议，以县政府办公室名义印发。</w:t>
      </w:r>
    </w:p>
    <w:p w14:paraId="5D1474C6">
      <w:pPr>
        <w:ind w:firstLine="632"/>
      </w:pPr>
      <w:r>
        <w:rPr>
          <w:rFonts w:hint="eastAsia"/>
        </w:rPr>
        <w:t>本预案印发（转发）后20个工作日内向县应急管理局和市政府有关主管部门备案。</w:t>
      </w:r>
    </w:p>
    <w:p w14:paraId="73358B77">
      <w:pPr>
        <w:pStyle w:val="3"/>
        <w:numPr>
          <w:ilvl w:val="0"/>
          <w:numId w:val="156"/>
        </w:numPr>
        <w:tabs>
          <w:tab w:val="left" w:pos="0"/>
        </w:tabs>
        <w:rPr>
          <w:rFonts w:ascii="楷体_GB2312" w:hAnsi="楷体_GB2312" w:eastAsia="楷体_GB2312" w:cs="楷体_GB2312"/>
        </w:rPr>
      </w:pPr>
      <w:bookmarkStart w:id="1011" w:name="_Toc25126"/>
      <w:r>
        <w:rPr>
          <w:rFonts w:hint="eastAsia" w:ascii="楷体_GB2312" w:hAnsi="楷体_GB2312" w:eastAsia="楷体_GB2312" w:cs="楷体_GB2312"/>
        </w:rPr>
        <w:t>宣传、培训和演练</w:t>
      </w:r>
      <w:bookmarkEnd w:id="1011"/>
      <w:r>
        <w:rPr>
          <w:rFonts w:hint="eastAsia" w:ascii="楷体_GB2312" w:hAnsi="楷体_GB2312" w:eastAsia="楷体_GB2312" w:cs="楷体_GB2312"/>
        </w:rPr>
        <w:t xml:space="preserve"> </w:t>
      </w:r>
    </w:p>
    <w:p w14:paraId="25E6C640">
      <w:pPr>
        <w:ind w:firstLine="632"/>
      </w:pPr>
      <w:r>
        <w:rPr>
          <w:rFonts w:hint="eastAsia"/>
        </w:rPr>
        <w:t>县应急管理局应加强非煤矿山安全生产事故应急救援知识的宣传。非煤矿山企业根据实际情况，做好专、兼职应急救援队伍的培训，适时组织企业员工开展安全生产及应急救援知识培训，每年至少开展一次应急演练，提高员工自救、互救能力。</w:t>
      </w:r>
    </w:p>
    <w:p w14:paraId="7413EBFA">
      <w:pPr>
        <w:numPr>
          <w:ilvl w:val="0"/>
          <w:numId w:val="175"/>
        </w:numPr>
        <w:ind w:firstLine="632"/>
      </w:pPr>
      <w:r>
        <w:rPr>
          <w:rFonts w:hint="eastAsia"/>
        </w:rPr>
        <w:t>宣传。非煤矿山生产经营单位按照规定向公众和职工说明经营、储存、运输和使用非煤矿山的特性及发生事故可能造成的危害，通过新闻报道广泛宣传应急救援有关法律法规和非煤矿山生产安全事故预防、避险、避灾、自救、互救的常识。</w:t>
      </w:r>
    </w:p>
    <w:p w14:paraId="3A660C0A">
      <w:pPr>
        <w:numPr>
          <w:ilvl w:val="0"/>
          <w:numId w:val="175"/>
        </w:numPr>
        <w:ind w:firstLine="632"/>
      </w:pPr>
      <w:r>
        <w:rPr>
          <w:rFonts w:hint="eastAsia"/>
        </w:rPr>
        <w:t>培训。安全生产应急救援机构按照有关规定对应急救援队员进行培训教育；非煤矿山生产经营单位按照有关规定对员工进行应急培训。</w:t>
      </w:r>
    </w:p>
    <w:p w14:paraId="654E082F">
      <w:pPr>
        <w:numPr>
          <w:ilvl w:val="0"/>
          <w:numId w:val="175"/>
        </w:numPr>
        <w:ind w:firstLine="632"/>
      </w:pPr>
      <w:r>
        <w:rPr>
          <w:rFonts w:hint="eastAsia"/>
        </w:rPr>
        <w:t>演练。县非煤矿山生产安全事故应急预案至少每2年进行一次应急演练。预案发生重大调整的，要及时按照新的预案开展演练。法律法规对应急演练另有规定的，从其规定。</w:t>
      </w:r>
    </w:p>
    <w:p w14:paraId="21F31889">
      <w:pPr>
        <w:pStyle w:val="2"/>
        <w:numPr>
          <w:ilvl w:val="0"/>
          <w:numId w:val="156"/>
        </w:numPr>
        <w:tabs>
          <w:tab w:val="left" w:pos="0"/>
        </w:tabs>
      </w:pPr>
      <w:bookmarkStart w:id="1012" w:name="_Toc14958"/>
      <w:r>
        <w:rPr>
          <w:rFonts w:hint="eastAsia"/>
        </w:rPr>
        <w:t>奖励与责任</w:t>
      </w:r>
      <w:bookmarkEnd w:id="1012"/>
      <w:r>
        <w:rPr>
          <w:rFonts w:hint="eastAsia"/>
        </w:rPr>
        <w:t xml:space="preserve"> </w:t>
      </w:r>
    </w:p>
    <w:p w14:paraId="6383E0EC">
      <w:pPr>
        <w:ind w:firstLine="632"/>
      </w:pPr>
      <w:r>
        <w:rPr>
          <w:rFonts w:hint="eastAsia"/>
        </w:rPr>
        <w:t xml:space="preserve">在非煤矿山生产安全事故应急救援工作中出色完成应急处置任务，成绩显著的；在预防事故或抢险救灾中表现突出，使国家、集体和人民群众的财产免受损失或者减少损失的；对应急救援工作提出重大建议，实施效果显著以及有其他特殊贡献的单位和个人，应依据有关规定给予奖励。 </w:t>
      </w:r>
    </w:p>
    <w:p w14:paraId="7E019A9B">
      <w:pPr>
        <w:ind w:firstLine="632"/>
      </w:pPr>
      <w:r>
        <w:rPr>
          <w:rFonts w:hint="eastAsia"/>
        </w:rPr>
        <w:t>在非煤矿山生产安全事故应急救援工作中不按照规定制定事故应急预案，拒绝履行应急救援义务的；不按照规定报告、通报事故真实情况的；拒不执行非煤矿山事故灾难应急预案，不服从命令和指挥，或者在应急响应时临阵脱逃的；盗窃、挪用、贪污应急救援资金或者物资的；阻碍工作人员依法执行任务或进行破坏活动的；散布谣言，扰乱社会秩序以及其他危害应急工作行为的，对责任人员依法、依纪、依规问责。</w:t>
      </w:r>
    </w:p>
    <w:p w14:paraId="4C75BE10">
      <w:pPr>
        <w:pStyle w:val="2"/>
        <w:numPr>
          <w:ilvl w:val="0"/>
          <w:numId w:val="156"/>
        </w:numPr>
        <w:tabs>
          <w:tab w:val="left" w:pos="0"/>
        </w:tabs>
      </w:pPr>
      <w:bookmarkStart w:id="1013" w:name="_Toc6955"/>
      <w:r>
        <w:rPr>
          <w:rFonts w:hint="eastAsia"/>
        </w:rPr>
        <w:t>附则</w:t>
      </w:r>
      <w:bookmarkEnd w:id="1013"/>
    </w:p>
    <w:p w14:paraId="4C78ACA6">
      <w:pPr>
        <w:pStyle w:val="3"/>
        <w:numPr>
          <w:ilvl w:val="0"/>
          <w:numId w:val="156"/>
        </w:numPr>
        <w:tabs>
          <w:tab w:val="left" w:pos="0"/>
        </w:tabs>
        <w:rPr>
          <w:rFonts w:ascii="楷体_GB2312" w:hAnsi="楷体_GB2312" w:eastAsia="楷体_GB2312" w:cs="楷体_GB2312"/>
        </w:rPr>
      </w:pPr>
      <w:bookmarkStart w:id="1014" w:name="_Toc11816"/>
      <w:r>
        <w:rPr>
          <w:rFonts w:hint="eastAsia" w:ascii="楷体_GB2312" w:hAnsi="楷体_GB2312" w:eastAsia="楷体_GB2312" w:cs="楷体_GB2312"/>
        </w:rPr>
        <w:t>预案制定与解释</w:t>
      </w:r>
      <w:bookmarkEnd w:id="1014"/>
    </w:p>
    <w:p w14:paraId="17A6695F">
      <w:pPr>
        <w:ind w:firstLine="632"/>
      </w:pPr>
      <w:r>
        <w:rPr>
          <w:rFonts w:hint="eastAsia"/>
        </w:rPr>
        <w:t>本预案由集贤县人民政府负责制定，预案修订与解释工作由县非煤矿山生产安全事故指挥部办公室具体负责。</w:t>
      </w:r>
    </w:p>
    <w:p w14:paraId="5292CA00">
      <w:pPr>
        <w:pStyle w:val="3"/>
        <w:numPr>
          <w:ilvl w:val="0"/>
          <w:numId w:val="156"/>
        </w:numPr>
        <w:tabs>
          <w:tab w:val="left" w:pos="0"/>
        </w:tabs>
        <w:rPr>
          <w:rFonts w:ascii="楷体_GB2312" w:hAnsi="楷体_GB2312" w:eastAsia="楷体_GB2312" w:cs="楷体_GB2312"/>
        </w:rPr>
      </w:pPr>
      <w:bookmarkStart w:id="1015" w:name="_Toc16323"/>
      <w:r>
        <w:rPr>
          <w:rFonts w:hint="eastAsia" w:ascii="楷体_GB2312" w:hAnsi="楷体_GB2312" w:eastAsia="楷体_GB2312" w:cs="楷体_GB2312"/>
        </w:rPr>
        <w:t>预案中“以上”“以下”的含义</w:t>
      </w:r>
      <w:bookmarkEnd w:id="1015"/>
    </w:p>
    <w:p w14:paraId="74C683F6">
      <w:pPr>
        <w:ind w:firstLine="632"/>
      </w:pPr>
      <w:r>
        <w:rPr>
          <w:rFonts w:hint="eastAsia"/>
        </w:rPr>
        <w:t>本预案有关数量的表述中，“以上”包含本数，“以下”不包含本数。</w:t>
      </w:r>
    </w:p>
    <w:p w14:paraId="439A5226">
      <w:pPr>
        <w:pStyle w:val="3"/>
        <w:numPr>
          <w:ilvl w:val="0"/>
          <w:numId w:val="156"/>
        </w:numPr>
        <w:tabs>
          <w:tab w:val="left" w:pos="0"/>
        </w:tabs>
        <w:rPr>
          <w:rFonts w:ascii="楷体_GB2312" w:hAnsi="楷体_GB2312" w:eastAsia="楷体_GB2312" w:cs="楷体_GB2312"/>
        </w:rPr>
      </w:pPr>
      <w:bookmarkStart w:id="1016" w:name="_Toc11437"/>
      <w:r>
        <w:rPr>
          <w:rFonts w:hint="eastAsia" w:ascii="楷体_GB2312" w:hAnsi="楷体_GB2312" w:eastAsia="楷体_GB2312" w:cs="楷体_GB2312"/>
        </w:rPr>
        <w:t>预案的实施</w:t>
      </w:r>
      <w:bookmarkEnd w:id="1016"/>
    </w:p>
    <w:p w14:paraId="16F9147F">
      <w:pPr>
        <w:ind w:firstLine="632"/>
      </w:pPr>
      <w:r>
        <w:rPr>
          <w:rFonts w:hint="eastAsia"/>
        </w:rPr>
        <w:t>本预案自发布之日起施行。</w:t>
      </w:r>
    </w:p>
    <w:p w14:paraId="05B8F988">
      <w:pPr>
        <w:pStyle w:val="15"/>
        <w:ind w:left="0" w:leftChars="0" w:firstLine="0" w:firstLineChars="0"/>
        <w:rPr>
          <w:rFonts w:ascii="Times New Roman" w:hAnsi="Times New Roman" w:cs="Times New Roman"/>
        </w:rPr>
        <w:sectPr>
          <w:headerReference r:id="rId95" w:type="default"/>
          <w:footerReference r:id="rId97" w:type="default"/>
          <w:headerReference r:id="rId96" w:type="even"/>
          <w:footerReference r:id="rId98" w:type="even"/>
          <w:pgSz w:w="11906" w:h="16838"/>
          <w:pgMar w:top="2098" w:right="1474" w:bottom="1984" w:left="1587" w:header="624" w:footer="1134" w:gutter="0"/>
          <w:pgNumType w:start="1"/>
          <w:cols w:space="0" w:num="1"/>
          <w:docGrid w:type="linesAndChars" w:linePitch="579" w:charSpace="-842"/>
        </w:sectPr>
      </w:pPr>
    </w:p>
    <w:p w14:paraId="66F114FD">
      <w:pPr>
        <w:ind w:firstLine="552"/>
        <w:rPr>
          <w:rFonts w:ascii="Times New Roman" w:hAnsi="Times New Roman" w:cs="Times New Roman"/>
        </w:rPr>
      </w:pPr>
    </w:p>
    <w:p w14:paraId="4D0EE2DF">
      <w:pPr>
        <w:ind w:firstLine="552"/>
        <w:rPr>
          <w:rFonts w:ascii="Times New Roman" w:hAnsi="Times New Roman" w:cs="Times New Roman"/>
        </w:rPr>
      </w:pPr>
    </w:p>
    <w:p w14:paraId="4A7D5CE0">
      <w:pPr>
        <w:pStyle w:val="13"/>
        <w:ind w:firstLine="632"/>
        <w:rPr>
          <w:rFonts w:ascii="Times New Roman" w:hAnsi="Times New Roman" w:cs="Times New Roman"/>
        </w:rPr>
      </w:pPr>
    </w:p>
    <w:p w14:paraId="7645F567">
      <w:pPr>
        <w:ind w:firstLine="552"/>
        <w:rPr>
          <w:rFonts w:ascii="Times New Roman" w:hAnsi="Times New Roman" w:cs="Times New Roman"/>
        </w:rPr>
      </w:pPr>
    </w:p>
    <w:p w14:paraId="1388891B">
      <w:pPr>
        <w:ind w:firstLine="0" w:firstLineChars="0"/>
        <w:jc w:val="center"/>
        <w:rPr>
          <w:rFonts w:ascii="Times New Roman" w:hAnsi="Times New Roman" w:eastAsia="楷体" w:cs="Times New Roman"/>
          <w:b/>
          <w:bCs/>
          <w:sz w:val="72"/>
          <w:szCs w:val="72"/>
        </w:rPr>
      </w:pPr>
      <w:r>
        <w:rPr>
          <w:rFonts w:ascii="Times New Roman" w:hAnsi="Times New Roman" w:eastAsia="方正小标宋简体" w:cs="Times New Roman"/>
          <w:bCs/>
          <w:color w:val="000000"/>
          <w:spacing w:val="-6"/>
          <w:kern w:val="0"/>
          <w:sz w:val="52"/>
          <w:szCs w:val="52"/>
          <w:lang w:bidi="ar"/>
        </w:rPr>
        <w:t>集贤县城镇燃气事故应急预案</w:t>
      </w:r>
    </w:p>
    <w:p w14:paraId="14F1E579">
      <w:pPr>
        <w:pStyle w:val="11"/>
        <w:ind w:firstLine="0" w:firstLineChars="0"/>
        <w:jc w:val="center"/>
        <w:rPr>
          <w:rFonts w:ascii="Times New Roman" w:hAnsi="Times New Roman" w:eastAsia="楷体_GB2312" w:cs="Times New Roman"/>
          <w:b/>
          <w:sz w:val="52"/>
          <w:szCs w:val="52"/>
        </w:rPr>
      </w:pPr>
      <w:r>
        <w:rPr>
          <w:rFonts w:hint="eastAsia" w:ascii="仿宋_GB2312" w:hAnsi="仿宋_GB2312" w:cs="仿宋_GB2312"/>
          <w:bCs/>
          <w:sz w:val="48"/>
          <w:szCs w:val="48"/>
        </w:rPr>
        <w:t>（修订稿）</w:t>
      </w:r>
    </w:p>
    <w:p w14:paraId="0D875B22">
      <w:pPr>
        <w:pStyle w:val="11"/>
        <w:ind w:firstLine="0" w:firstLineChars="0"/>
        <w:jc w:val="center"/>
        <w:rPr>
          <w:rFonts w:ascii="Times New Roman" w:hAnsi="Times New Roman" w:eastAsia="黑体" w:cs="Times New Roman"/>
          <w:sz w:val="52"/>
          <w:szCs w:val="52"/>
        </w:rPr>
      </w:pPr>
    </w:p>
    <w:p w14:paraId="4D3492BD">
      <w:pPr>
        <w:pStyle w:val="11"/>
        <w:ind w:firstLine="0" w:firstLineChars="0"/>
        <w:jc w:val="center"/>
        <w:rPr>
          <w:rFonts w:ascii="Times New Roman" w:hAnsi="Times New Roman" w:eastAsia="黑体" w:cs="Times New Roman"/>
          <w:sz w:val="52"/>
          <w:szCs w:val="52"/>
        </w:rPr>
      </w:pPr>
    </w:p>
    <w:p w14:paraId="24678D51">
      <w:pPr>
        <w:pStyle w:val="11"/>
        <w:ind w:firstLine="0" w:firstLineChars="0"/>
        <w:jc w:val="center"/>
        <w:rPr>
          <w:rFonts w:ascii="Times New Roman" w:hAnsi="Times New Roman" w:eastAsia="黑体" w:cs="Times New Roman"/>
          <w:sz w:val="52"/>
          <w:szCs w:val="52"/>
        </w:rPr>
      </w:pPr>
    </w:p>
    <w:p w14:paraId="663A53B1">
      <w:pPr>
        <w:pStyle w:val="11"/>
        <w:ind w:firstLine="0" w:firstLineChars="0"/>
        <w:jc w:val="center"/>
        <w:rPr>
          <w:rFonts w:ascii="Times New Roman" w:hAnsi="Times New Roman" w:eastAsia="黑体" w:cs="Times New Roman"/>
          <w:sz w:val="52"/>
          <w:szCs w:val="52"/>
        </w:rPr>
      </w:pPr>
    </w:p>
    <w:p w14:paraId="7BD21375">
      <w:pPr>
        <w:pStyle w:val="11"/>
        <w:ind w:firstLine="0" w:firstLineChars="0"/>
        <w:jc w:val="center"/>
        <w:rPr>
          <w:rFonts w:ascii="Times New Roman" w:hAnsi="Times New Roman" w:eastAsia="楷体_GB2312" w:cs="Times New Roman"/>
          <w:spacing w:val="-12"/>
          <w:sz w:val="44"/>
          <w:szCs w:val="44"/>
        </w:rPr>
      </w:pPr>
    </w:p>
    <w:p w14:paraId="6C5B8B05">
      <w:pPr>
        <w:pStyle w:val="11"/>
        <w:ind w:firstLine="0" w:firstLineChars="0"/>
        <w:jc w:val="center"/>
        <w:rPr>
          <w:rFonts w:ascii="Times New Roman" w:hAnsi="Times New Roman" w:eastAsia="楷体_GB2312" w:cs="Times New Roman"/>
          <w:spacing w:val="-12"/>
          <w:sz w:val="44"/>
          <w:szCs w:val="44"/>
        </w:rPr>
      </w:pPr>
    </w:p>
    <w:p w14:paraId="631FCE76">
      <w:pPr>
        <w:pStyle w:val="11"/>
        <w:ind w:firstLine="0" w:firstLineChars="0"/>
        <w:jc w:val="center"/>
        <w:rPr>
          <w:rFonts w:ascii="Times New Roman" w:hAnsi="Times New Roman" w:eastAsia="楷体_GB2312" w:cs="Times New Roman"/>
          <w:spacing w:val="-12"/>
          <w:sz w:val="44"/>
          <w:szCs w:val="44"/>
        </w:rPr>
      </w:pPr>
    </w:p>
    <w:p w14:paraId="091C1659">
      <w:pPr>
        <w:pStyle w:val="11"/>
        <w:ind w:firstLine="0" w:firstLineChars="0"/>
        <w:jc w:val="center"/>
        <w:rPr>
          <w:rFonts w:ascii="Times New Roman" w:hAnsi="Times New Roman" w:eastAsia="楷体_GB2312" w:cs="Times New Roman"/>
          <w:spacing w:val="-12"/>
          <w:sz w:val="44"/>
          <w:szCs w:val="44"/>
        </w:rPr>
      </w:pPr>
    </w:p>
    <w:p w14:paraId="52D33CEE">
      <w:pPr>
        <w:ind w:firstLine="0" w:firstLineChars="0"/>
        <w:jc w:val="center"/>
        <w:rPr>
          <w:rFonts w:ascii="Times New Roman" w:hAnsi="Times New Roman" w:cs="Times New Roman"/>
          <w:bCs/>
          <w:spacing w:val="-6"/>
          <w:sz w:val="36"/>
          <w:szCs w:val="24"/>
          <w:lang w:bidi="ar"/>
        </w:rPr>
      </w:pPr>
      <w:r>
        <w:rPr>
          <w:rFonts w:ascii="Times New Roman" w:hAnsi="Times New Roman" w:cs="Times New Roman"/>
          <w:bCs/>
          <w:spacing w:val="-6"/>
          <w:sz w:val="36"/>
          <w:szCs w:val="24"/>
          <w:lang w:bidi="ar"/>
        </w:rPr>
        <w:t>集贤县人民政府 编制</w:t>
      </w:r>
    </w:p>
    <w:p w14:paraId="0D64EB8A">
      <w:pPr>
        <w:ind w:firstLine="0" w:firstLineChars="0"/>
        <w:jc w:val="center"/>
        <w:rPr>
          <w:rFonts w:ascii="Times New Roman" w:hAnsi="Times New Roman" w:cs="Times New Roman"/>
          <w:bCs/>
          <w:spacing w:val="-6"/>
          <w:sz w:val="36"/>
          <w:szCs w:val="24"/>
          <w:lang w:bidi="ar"/>
        </w:rPr>
      </w:pPr>
      <w:r>
        <w:rPr>
          <w:rFonts w:ascii="Times New Roman" w:hAnsi="Times New Roman" w:cs="Times New Roman"/>
          <w:bCs/>
          <w:spacing w:val="-6"/>
          <w:sz w:val="36"/>
          <w:szCs w:val="24"/>
          <w:lang w:bidi="ar"/>
        </w:rPr>
        <w:t>2025年5月</w:t>
      </w:r>
    </w:p>
    <w:p w14:paraId="7EBB6F53">
      <w:pPr>
        <w:ind w:firstLine="688"/>
        <w:rPr>
          <w:rFonts w:ascii="Times New Roman" w:hAnsi="Times New Roman" w:cs="Times New Roman"/>
          <w:bCs/>
          <w:spacing w:val="-6"/>
          <w:sz w:val="36"/>
          <w:szCs w:val="24"/>
          <w:lang w:bidi="ar"/>
        </w:rPr>
      </w:pPr>
      <w:r>
        <w:rPr>
          <w:rFonts w:ascii="Times New Roman" w:hAnsi="Times New Roman" w:cs="Times New Roman"/>
          <w:bCs/>
          <w:spacing w:val="-6"/>
          <w:sz w:val="36"/>
          <w:szCs w:val="24"/>
          <w:lang w:bidi="ar"/>
        </w:rPr>
        <w:br w:type="page"/>
      </w:r>
    </w:p>
    <w:p w14:paraId="15ED12FC">
      <w:pPr>
        <w:pStyle w:val="42"/>
        <w:rPr>
          <w:rFonts w:ascii="Times New Roman" w:hAnsi="Times New Roman"/>
        </w:rPr>
      </w:pPr>
    </w:p>
    <w:sdt>
      <w:sdtPr>
        <w:rPr>
          <w:rFonts w:ascii="Times New Roman" w:hAnsi="Times New Roman" w:eastAsia="微软雅黑" w:cs="Times New Roman"/>
          <w:b/>
          <w:bCs/>
          <w:sz w:val="36"/>
          <w:szCs w:val="36"/>
        </w:rPr>
        <w:id w:val="147463708"/>
        <w15:color w:val="DBDBDB"/>
        <w:docPartObj>
          <w:docPartGallery w:val="Table of Contents"/>
          <w:docPartUnique/>
        </w:docPartObj>
      </w:sdtPr>
      <w:sdtEndPr>
        <w:rPr>
          <w:rFonts w:ascii="Times New Roman" w:hAnsi="Times New Roman" w:eastAsia="仿宋" w:cs="Times New Roman"/>
          <w:b/>
          <w:bCs/>
          <w:sz w:val="32"/>
          <w:szCs w:val="32"/>
        </w:rPr>
      </w:sdtEndPr>
      <w:sdtContent>
        <w:p w14:paraId="12FBFFA1">
          <w:pPr>
            <w:ind w:firstLine="0" w:firstLineChars="0"/>
            <w:jc w:val="center"/>
            <w:rPr>
              <w:rFonts w:ascii="Times New Roman" w:hAnsi="Times New Roman" w:cs="Times New Roman"/>
            </w:rPr>
          </w:pPr>
          <w:r>
            <w:rPr>
              <w:rFonts w:ascii="Times New Roman" w:hAnsi="Times New Roman" w:eastAsia="微软雅黑" w:cs="Times New Roman"/>
              <w:b/>
              <w:bCs/>
              <w:sz w:val="36"/>
              <w:szCs w:val="36"/>
            </w:rPr>
            <w:t>目  录</w:t>
          </w:r>
        </w:p>
        <w:p w14:paraId="5744E1F9">
          <w:pPr>
            <w:pStyle w:val="18"/>
            <w:rPr>
              <w:rFonts w:ascii="Times New Roman" w:hAnsi="Times New Roman" w:cs="Times New Roman"/>
              <w:sz w:val="32"/>
            </w:rPr>
          </w:pPr>
          <w:r>
            <w:rPr>
              <w:rFonts w:ascii="Times New Roman" w:hAnsi="Times New Roman" w:cs="Times New Roman"/>
              <w:sz w:val="32"/>
            </w:rPr>
            <w:fldChar w:fldCharType="begin"/>
          </w:r>
          <w:r>
            <w:rPr>
              <w:rFonts w:ascii="Times New Roman" w:hAnsi="Times New Roman" w:cs="Times New Roman"/>
              <w:sz w:val="32"/>
            </w:rPr>
            <w:instrText xml:space="preserve">TOC \o "1-2" \h \u </w:instrText>
          </w:r>
          <w:r>
            <w:rPr>
              <w:rFonts w:ascii="Times New Roman" w:hAnsi="Times New Roman" w:cs="Times New Roman"/>
              <w:sz w:val="32"/>
            </w:rPr>
            <w:fldChar w:fldCharType="separate"/>
          </w:r>
          <w:r>
            <w:fldChar w:fldCharType="begin"/>
          </w:r>
          <w:r>
            <w:instrText xml:space="preserve"> HYPERLINK \l "_Toc16827" </w:instrText>
          </w:r>
          <w:r>
            <w:fldChar w:fldCharType="separate"/>
          </w:r>
          <w:r>
            <w:rPr>
              <w:rFonts w:ascii="Times New Roman" w:hAnsi="Times New Roman" w:eastAsia="仿宋" w:cs="Times New Roman"/>
              <w:sz w:val="32"/>
            </w:rPr>
            <w:t xml:space="preserve">1 </w:t>
          </w:r>
          <w:r>
            <w:rPr>
              <w:rFonts w:ascii="Times New Roman" w:hAnsi="Times New Roman" w:cs="Times New Roman"/>
              <w:sz w:val="32"/>
            </w:rPr>
            <w:t>总则</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_Toc16827 \h </w:instrText>
          </w:r>
          <w:r>
            <w:rPr>
              <w:rFonts w:ascii="Times New Roman" w:hAnsi="Times New Roman" w:cs="Times New Roman"/>
              <w:sz w:val="32"/>
            </w:rPr>
            <w:fldChar w:fldCharType="separate"/>
          </w:r>
          <w:r>
            <w:rPr>
              <w:rFonts w:ascii="Times New Roman" w:hAnsi="Times New Roman" w:cs="Times New Roman"/>
              <w:sz w:val="32"/>
            </w:rPr>
            <w:t>1</w:t>
          </w:r>
          <w:r>
            <w:rPr>
              <w:rFonts w:ascii="Times New Roman" w:hAnsi="Times New Roman" w:cs="Times New Roman"/>
              <w:sz w:val="32"/>
            </w:rPr>
            <w:fldChar w:fldCharType="end"/>
          </w:r>
          <w:r>
            <w:rPr>
              <w:rFonts w:ascii="Times New Roman" w:hAnsi="Times New Roman" w:cs="Times New Roman"/>
              <w:sz w:val="32"/>
            </w:rPr>
            <w:fldChar w:fldCharType="end"/>
          </w:r>
        </w:p>
        <w:p w14:paraId="654093BC">
          <w:pPr>
            <w:pStyle w:val="19"/>
            <w:tabs>
              <w:tab w:val="right" w:leader="dot" w:pos="8845"/>
            </w:tabs>
            <w:ind w:firstLine="552"/>
            <w:rPr>
              <w:rFonts w:ascii="Times New Roman" w:hAnsi="Times New Roman" w:cs="Times New Roman"/>
              <w:sz w:val="32"/>
            </w:rPr>
          </w:pPr>
          <w:r>
            <w:fldChar w:fldCharType="begin"/>
          </w:r>
          <w:r>
            <w:instrText xml:space="preserve"> HYPERLINK \l "_Toc4804" </w:instrText>
          </w:r>
          <w:r>
            <w:fldChar w:fldCharType="separate"/>
          </w:r>
          <w:r>
            <w:rPr>
              <w:rFonts w:ascii="Times New Roman" w:hAnsi="Times New Roman" w:eastAsia="仿宋" w:cs="Times New Roman"/>
              <w:bCs/>
              <w:sz w:val="32"/>
            </w:rPr>
            <w:t xml:space="preserve">1.1 </w:t>
          </w:r>
          <w:r>
            <w:rPr>
              <w:rFonts w:ascii="Times New Roman" w:hAnsi="Times New Roman" w:cs="Times New Roman"/>
              <w:sz w:val="32"/>
            </w:rPr>
            <w:t>编制目的</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_Toc4804 \h </w:instrText>
          </w:r>
          <w:r>
            <w:rPr>
              <w:rFonts w:ascii="Times New Roman" w:hAnsi="Times New Roman" w:cs="Times New Roman"/>
              <w:sz w:val="32"/>
            </w:rPr>
            <w:fldChar w:fldCharType="separate"/>
          </w:r>
          <w:r>
            <w:rPr>
              <w:rFonts w:ascii="Times New Roman" w:hAnsi="Times New Roman" w:cs="Times New Roman"/>
              <w:sz w:val="32"/>
            </w:rPr>
            <w:t>1</w:t>
          </w:r>
          <w:r>
            <w:rPr>
              <w:rFonts w:ascii="Times New Roman" w:hAnsi="Times New Roman" w:cs="Times New Roman"/>
              <w:sz w:val="32"/>
            </w:rPr>
            <w:fldChar w:fldCharType="end"/>
          </w:r>
          <w:r>
            <w:rPr>
              <w:rFonts w:ascii="Times New Roman" w:hAnsi="Times New Roman" w:cs="Times New Roman"/>
              <w:sz w:val="32"/>
            </w:rPr>
            <w:fldChar w:fldCharType="end"/>
          </w:r>
        </w:p>
        <w:p w14:paraId="0950481A">
          <w:pPr>
            <w:pStyle w:val="19"/>
            <w:tabs>
              <w:tab w:val="right" w:leader="dot" w:pos="8845"/>
            </w:tabs>
            <w:ind w:firstLine="552"/>
            <w:rPr>
              <w:rFonts w:ascii="Times New Roman" w:hAnsi="Times New Roman" w:cs="Times New Roman"/>
              <w:sz w:val="32"/>
            </w:rPr>
          </w:pPr>
          <w:r>
            <w:fldChar w:fldCharType="begin"/>
          </w:r>
          <w:r>
            <w:instrText xml:space="preserve"> HYPERLINK \l "_Toc4557" </w:instrText>
          </w:r>
          <w:r>
            <w:fldChar w:fldCharType="separate"/>
          </w:r>
          <w:r>
            <w:rPr>
              <w:rFonts w:ascii="Times New Roman" w:hAnsi="Times New Roman" w:eastAsia="仿宋" w:cs="Times New Roman"/>
              <w:bCs/>
              <w:sz w:val="32"/>
            </w:rPr>
            <w:t xml:space="preserve">1.2 </w:t>
          </w:r>
          <w:r>
            <w:rPr>
              <w:rFonts w:ascii="Times New Roman" w:hAnsi="Times New Roman" w:cs="Times New Roman"/>
              <w:sz w:val="32"/>
            </w:rPr>
            <w:t>编制依据</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_Toc4557 \h </w:instrText>
          </w:r>
          <w:r>
            <w:rPr>
              <w:rFonts w:ascii="Times New Roman" w:hAnsi="Times New Roman" w:cs="Times New Roman"/>
              <w:sz w:val="32"/>
            </w:rPr>
            <w:fldChar w:fldCharType="separate"/>
          </w:r>
          <w:r>
            <w:rPr>
              <w:rFonts w:ascii="Times New Roman" w:hAnsi="Times New Roman" w:cs="Times New Roman"/>
              <w:sz w:val="32"/>
            </w:rPr>
            <w:t>1</w:t>
          </w:r>
          <w:r>
            <w:rPr>
              <w:rFonts w:ascii="Times New Roman" w:hAnsi="Times New Roman" w:cs="Times New Roman"/>
              <w:sz w:val="32"/>
            </w:rPr>
            <w:fldChar w:fldCharType="end"/>
          </w:r>
          <w:r>
            <w:rPr>
              <w:rFonts w:ascii="Times New Roman" w:hAnsi="Times New Roman" w:cs="Times New Roman"/>
              <w:sz w:val="32"/>
            </w:rPr>
            <w:fldChar w:fldCharType="end"/>
          </w:r>
        </w:p>
        <w:p w14:paraId="529148E9">
          <w:pPr>
            <w:pStyle w:val="19"/>
            <w:tabs>
              <w:tab w:val="right" w:leader="dot" w:pos="8845"/>
            </w:tabs>
            <w:ind w:firstLine="552"/>
            <w:rPr>
              <w:rFonts w:ascii="Times New Roman" w:hAnsi="Times New Roman" w:cs="Times New Roman"/>
              <w:sz w:val="32"/>
            </w:rPr>
          </w:pPr>
          <w:r>
            <w:fldChar w:fldCharType="begin"/>
          </w:r>
          <w:r>
            <w:instrText xml:space="preserve"> HYPERLINK \l "_Toc7347" </w:instrText>
          </w:r>
          <w:r>
            <w:fldChar w:fldCharType="separate"/>
          </w:r>
          <w:r>
            <w:rPr>
              <w:rFonts w:ascii="Times New Roman" w:hAnsi="Times New Roman" w:eastAsia="仿宋" w:cs="Times New Roman"/>
              <w:bCs/>
              <w:sz w:val="32"/>
            </w:rPr>
            <w:t xml:space="preserve">1.3 </w:t>
          </w:r>
          <w:r>
            <w:rPr>
              <w:rFonts w:ascii="Times New Roman" w:hAnsi="Times New Roman" w:cs="Times New Roman"/>
              <w:sz w:val="32"/>
            </w:rPr>
            <w:t>适用范围</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_Toc7347 \h </w:instrText>
          </w:r>
          <w:r>
            <w:rPr>
              <w:rFonts w:ascii="Times New Roman" w:hAnsi="Times New Roman" w:cs="Times New Roman"/>
              <w:sz w:val="32"/>
            </w:rPr>
            <w:fldChar w:fldCharType="separate"/>
          </w:r>
          <w:r>
            <w:rPr>
              <w:rFonts w:ascii="Times New Roman" w:hAnsi="Times New Roman" w:cs="Times New Roman"/>
              <w:sz w:val="32"/>
            </w:rPr>
            <w:t>1</w:t>
          </w:r>
          <w:r>
            <w:rPr>
              <w:rFonts w:ascii="Times New Roman" w:hAnsi="Times New Roman" w:cs="Times New Roman"/>
              <w:sz w:val="32"/>
            </w:rPr>
            <w:fldChar w:fldCharType="end"/>
          </w:r>
          <w:r>
            <w:rPr>
              <w:rFonts w:ascii="Times New Roman" w:hAnsi="Times New Roman" w:cs="Times New Roman"/>
              <w:sz w:val="32"/>
            </w:rPr>
            <w:fldChar w:fldCharType="end"/>
          </w:r>
        </w:p>
        <w:p w14:paraId="23B55C75">
          <w:pPr>
            <w:pStyle w:val="19"/>
            <w:tabs>
              <w:tab w:val="right" w:leader="dot" w:pos="8845"/>
            </w:tabs>
            <w:ind w:firstLine="552"/>
            <w:rPr>
              <w:rFonts w:ascii="Times New Roman" w:hAnsi="Times New Roman" w:cs="Times New Roman"/>
              <w:sz w:val="32"/>
            </w:rPr>
          </w:pPr>
          <w:r>
            <w:fldChar w:fldCharType="begin"/>
          </w:r>
          <w:r>
            <w:instrText xml:space="preserve"> HYPERLINK \l "_Toc2222" </w:instrText>
          </w:r>
          <w:r>
            <w:fldChar w:fldCharType="separate"/>
          </w:r>
          <w:r>
            <w:rPr>
              <w:rFonts w:ascii="Times New Roman" w:hAnsi="Times New Roman" w:eastAsia="仿宋" w:cs="Times New Roman"/>
              <w:bCs/>
              <w:sz w:val="32"/>
            </w:rPr>
            <w:t xml:space="preserve">1.4 </w:t>
          </w:r>
          <w:r>
            <w:rPr>
              <w:rFonts w:ascii="Times New Roman" w:hAnsi="Times New Roman" w:cs="Times New Roman"/>
              <w:sz w:val="32"/>
            </w:rPr>
            <w:t>工作原则</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_Toc2222 \h </w:instrText>
          </w:r>
          <w:r>
            <w:rPr>
              <w:rFonts w:ascii="Times New Roman" w:hAnsi="Times New Roman" w:cs="Times New Roman"/>
              <w:sz w:val="32"/>
            </w:rPr>
            <w:fldChar w:fldCharType="separate"/>
          </w:r>
          <w:r>
            <w:rPr>
              <w:rFonts w:ascii="Times New Roman" w:hAnsi="Times New Roman" w:cs="Times New Roman"/>
              <w:sz w:val="32"/>
            </w:rPr>
            <w:t>1</w:t>
          </w:r>
          <w:r>
            <w:rPr>
              <w:rFonts w:ascii="Times New Roman" w:hAnsi="Times New Roman" w:cs="Times New Roman"/>
              <w:sz w:val="32"/>
            </w:rPr>
            <w:fldChar w:fldCharType="end"/>
          </w:r>
          <w:r>
            <w:rPr>
              <w:rFonts w:ascii="Times New Roman" w:hAnsi="Times New Roman" w:cs="Times New Roman"/>
              <w:sz w:val="32"/>
            </w:rPr>
            <w:fldChar w:fldCharType="end"/>
          </w:r>
        </w:p>
        <w:p w14:paraId="2130C719">
          <w:pPr>
            <w:pStyle w:val="19"/>
            <w:tabs>
              <w:tab w:val="right" w:leader="dot" w:pos="8845"/>
            </w:tabs>
            <w:ind w:firstLine="552"/>
            <w:rPr>
              <w:rFonts w:ascii="Times New Roman" w:hAnsi="Times New Roman" w:cs="Times New Roman"/>
              <w:sz w:val="32"/>
            </w:rPr>
          </w:pPr>
          <w:r>
            <w:fldChar w:fldCharType="begin"/>
          </w:r>
          <w:r>
            <w:instrText xml:space="preserve"> HYPERLINK \l "_Toc28840" </w:instrText>
          </w:r>
          <w:r>
            <w:fldChar w:fldCharType="separate"/>
          </w:r>
          <w:r>
            <w:rPr>
              <w:rFonts w:ascii="Times New Roman" w:hAnsi="Times New Roman" w:eastAsia="仿宋" w:cs="Times New Roman"/>
              <w:bCs/>
              <w:sz w:val="32"/>
            </w:rPr>
            <w:t xml:space="preserve">1.5 </w:t>
          </w:r>
          <w:r>
            <w:rPr>
              <w:rFonts w:ascii="Times New Roman" w:hAnsi="Times New Roman" w:cs="Times New Roman"/>
              <w:sz w:val="32"/>
            </w:rPr>
            <w:t>事件分级</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_Toc28840 \h </w:instrText>
          </w:r>
          <w:r>
            <w:rPr>
              <w:rFonts w:ascii="Times New Roman" w:hAnsi="Times New Roman" w:cs="Times New Roman"/>
              <w:sz w:val="32"/>
            </w:rPr>
            <w:fldChar w:fldCharType="separate"/>
          </w:r>
          <w:r>
            <w:rPr>
              <w:rFonts w:ascii="Times New Roman" w:hAnsi="Times New Roman" w:cs="Times New Roman"/>
              <w:sz w:val="32"/>
            </w:rPr>
            <w:t>2</w:t>
          </w:r>
          <w:r>
            <w:rPr>
              <w:rFonts w:ascii="Times New Roman" w:hAnsi="Times New Roman" w:cs="Times New Roman"/>
              <w:sz w:val="32"/>
            </w:rPr>
            <w:fldChar w:fldCharType="end"/>
          </w:r>
          <w:r>
            <w:rPr>
              <w:rFonts w:ascii="Times New Roman" w:hAnsi="Times New Roman" w:cs="Times New Roman"/>
              <w:sz w:val="32"/>
            </w:rPr>
            <w:fldChar w:fldCharType="end"/>
          </w:r>
        </w:p>
        <w:p w14:paraId="1B582AAC">
          <w:pPr>
            <w:pStyle w:val="18"/>
            <w:rPr>
              <w:rFonts w:ascii="Times New Roman" w:hAnsi="Times New Roman" w:cs="Times New Roman"/>
              <w:sz w:val="32"/>
            </w:rPr>
          </w:pPr>
          <w:r>
            <w:fldChar w:fldCharType="begin"/>
          </w:r>
          <w:r>
            <w:instrText xml:space="preserve"> HYPERLINK \l "_Toc32548" </w:instrText>
          </w:r>
          <w:r>
            <w:fldChar w:fldCharType="separate"/>
          </w:r>
          <w:r>
            <w:rPr>
              <w:rFonts w:ascii="Times New Roman" w:hAnsi="Times New Roman" w:eastAsia="仿宋" w:cs="Times New Roman"/>
              <w:sz w:val="32"/>
            </w:rPr>
            <w:t xml:space="preserve">2 </w:t>
          </w:r>
          <w:r>
            <w:rPr>
              <w:rFonts w:ascii="Times New Roman" w:hAnsi="Times New Roman" w:cs="Times New Roman"/>
              <w:sz w:val="32"/>
            </w:rPr>
            <w:t>事故风险分析</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_Toc32548 \h </w:instrText>
          </w:r>
          <w:r>
            <w:rPr>
              <w:rFonts w:ascii="Times New Roman" w:hAnsi="Times New Roman" w:cs="Times New Roman"/>
              <w:sz w:val="32"/>
            </w:rPr>
            <w:fldChar w:fldCharType="separate"/>
          </w:r>
          <w:r>
            <w:rPr>
              <w:rFonts w:ascii="Times New Roman" w:hAnsi="Times New Roman" w:cs="Times New Roman"/>
              <w:sz w:val="32"/>
            </w:rPr>
            <w:t>3</w:t>
          </w:r>
          <w:r>
            <w:rPr>
              <w:rFonts w:ascii="Times New Roman" w:hAnsi="Times New Roman" w:cs="Times New Roman"/>
              <w:sz w:val="32"/>
            </w:rPr>
            <w:fldChar w:fldCharType="end"/>
          </w:r>
          <w:r>
            <w:rPr>
              <w:rFonts w:ascii="Times New Roman" w:hAnsi="Times New Roman" w:cs="Times New Roman"/>
              <w:sz w:val="32"/>
            </w:rPr>
            <w:fldChar w:fldCharType="end"/>
          </w:r>
        </w:p>
        <w:p w14:paraId="701D5DAF">
          <w:pPr>
            <w:pStyle w:val="19"/>
            <w:tabs>
              <w:tab w:val="right" w:leader="dot" w:pos="8845"/>
            </w:tabs>
            <w:ind w:firstLine="552"/>
            <w:rPr>
              <w:rFonts w:ascii="Times New Roman" w:hAnsi="Times New Roman" w:cs="Times New Roman"/>
              <w:sz w:val="32"/>
            </w:rPr>
          </w:pPr>
          <w:r>
            <w:fldChar w:fldCharType="begin"/>
          </w:r>
          <w:r>
            <w:instrText xml:space="preserve"> HYPERLINK \l "_Toc25060" </w:instrText>
          </w:r>
          <w:r>
            <w:fldChar w:fldCharType="separate"/>
          </w:r>
          <w:r>
            <w:rPr>
              <w:rFonts w:ascii="Times New Roman" w:hAnsi="Times New Roman" w:eastAsia="仿宋" w:cs="Times New Roman"/>
              <w:bCs/>
              <w:sz w:val="32"/>
            </w:rPr>
            <w:t xml:space="preserve">2.1 </w:t>
          </w:r>
          <w:r>
            <w:rPr>
              <w:rFonts w:ascii="Times New Roman" w:hAnsi="Times New Roman" w:cs="Times New Roman"/>
              <w:sz w:val="32"/>
            </w:rPr>
            <w:t>管道天然气风险分析</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_Toc25060 \h </w:instrText>
          </w:r>
          <w:r>
            <w:rPr>
              <w:rFonts w:ascii="Times New Roman" w:hAnsi="Times New Roman" w:cs="Times New Roman"/>
              <w:sz w:val="32"/>
            </w:rPr>
            <w:fldChar w:fldCharType="separate"/>
          </w:r>
          <w:r>
            <w:rPr>
              <w:rFonts w:ascii="Times New Roman" w:hAnsi="Times New Roman" w:cs="Times New Roman"/>
              <w:sz w:val="32"/>
            </w:rPr>
            <w:t>3</w:t>
          </w:r>
          <w:r>
            <w:rPr>
              <w:rFonts w:ascii="Times New Roman" w:hAnsi="Times New Roman" w:cs="Times New Roman"/>
              <w:sz w:val="32"/>
            </w:rPr>
            <w:fldChar w:fldCharType="end"/>
          </w:r>
          <w:r>
            <w:rPr>
              <w:rFonts w:ascii="Times New Roman" w:hAnsi="Times New Roman" w:cs="Times New Roman"/>
              <w:sz w:val="32"/>
            </w:rPr>
            <w:fldChar w:fldCharType="end"/>
          </w:r>
        </w:p>
        <w:p w14:paraId="41FD1BB9">
          <w:pPr>
            <w:pStyle w:val="19"/>
            <w:tabs>
              <w:tab w:val="right" w:leader="dot" w:pos="8845"/>
            </w:tabs>
            <w:ind w:firstLine="552"/>
            <w:rPr>
              <w:rFonts w:ascii="Times New Roman" w:hAnsi="Times New Roman" w:cs="Times New Roman"/>
              <w:sz w:val="32"/>
            </w:rPr>
          </w:pPr>
          <w:r>
            <w:fldChar w:fldCharType="begin"/>
          </w:r>
          <w:r>
            <w:instrText xml:space="preserve"> HYPERLINK \l "_Toc10939" </w:instrText>
          </w:r>
          <w:r>
            <w:fldChar w:fldCharType="separate"/>
          </w:r>
          <w:r>
            <w:rPr>
              <w:rFonts w:ascii="Times New Roman" w:hAnsi="Times New Roman" w:eastAsia="仿宋" w:cs="Times New Roman"/>
              <w:bCs/>
              <w:sz w:val="32"/>
            </w:rPr>
            <w:t xml:space="preserve">2.2 </w:t>
          </w:r>
          <w:r>
            <w:rPr>
              <w:rFonts w:ascii="Times New Roman" w:hAnsi="Times New Roman" w:cs="Times New Roman"/>
              <w:sz w:val="32"/>
            </w:rPr>
            <w:t>液化石油气风险分析</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_Toc10939 \h </w:instrText>
          </w:r>
          <w:r>
            <w:rPr>
              <w:rFonts w:ascii="Times New Roman" w:hAnsi="Times New Roman" w:cs="Times New Roman"/>
              <w:sz w:val="32"/>
            </w:rPr>
            <w:fldChar w:fldCharType="separate"/>
          </w:r>
          <w:r>
            <w:rPr>
              <w:rFonts w:ascii="Times New Roman" w:hAnsi="Times New Roman" w:cs="Times New Roman"/>
              <w:sz w:val="32"/>
            </w:rPr>
            <w:t>4</w:t>
          </w:r>
          <w:r>
            <w:rPr>
              <w:rFonts w:ascii="Times New Roman" w:hAnsi="Times New Roman" w:cs="Times New Roman"/>
              <w:sz w:val="32"/>
            </w:rPr>
            <w:fldChar w:fldCharType="end"/>
          </w:r>
          <w:r>
            <w:rPr>
              <w:rFonts w:ascii="Times New Roman" w:hAnsi="Times New Roman" w:cs="Times New Roman"/>
              <w:sz w:val="32"/>
            </w:rPr>
            <w:fldChar w:fldCharType="end"/>
          </w:r>
        </w:p>
        <w:p w14:paraId="38679EEF">
          <w:pPr>
            <w:pStyle w:val="19"/>
            <w:tabs>
              <w:tab w:val="right" w:leader="dot" w:pos="8845"/>
            </w:tabs>
            <w:ind w:firstLine="552"/>
            <w:rPr>
              <w:rFonts w:ascii="Times New Roman" w:hAnsi="Times New Roman" w:cs="Times New Roman"/>
              <w:sz w:val="32"/>
            </w:rPr>
          </w:pPr>
          <w:r>
            <w:fldChar w:fldCharType="begin"/>
          </w:r>
          <w:r>
            <w:instrText xml:space="preserve"> HYPERLINK \l "_Toc27108" </w:instrText>
          </w:r>
          <w:r>
            <w:fldChar w:fldCharType="separate"/>
          </w:r>
          <w:r>
            <w:rPr>
              <w:rFonts w:ascii="Times New Roman" w:hAnsi="Times New Roman" w:eastAsia="仿宋" w:cs="Times New Roman"/>
              <w:bCs/>
              <w:sz w:val="32"/>
            </w:rPr>
            <w:t xml:space="preserve">2.3 </w:t>
          </w:r>
          <w:r>
            <w:rPr>
              <w:rFonts w:ascii="Times New Roman" w:hAnsi="Times New Roman" w:cs="Times New Roman"/>
              <w:sz w:val="32"/>
            </w:rPr>
            <w:t>CNG汽车加气站风险分析</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_Toc27108 \h </w:instrText>
          </w:r>
          <w:r>
            <w:rPr>
              <w:rFonts w:ascii="Times New Roman" w:hAnsi="Times New Roman" w:cs="Times New Roman"/>
              <w:sz w:val="32"/>
            </w:rPr>
            <w:fldChar w:fldCharType="separate"/>
          </w:r>
          <w:r>
            <w:rPr>
              <w:rFonts w:ascii="Times New Roman" w:hAnsi="Times New Roman" w:cs="Times New Roman"/>
              <w:sz w:val="32"/>
            </w:rPr>
            <w:t>4</w:t>
          </w:r>
          <w:r>
            <w:rPr>
              <w:rFonts w:ascii="Times New Roman" w:hAnsi="Times New Roman" w:cs="Times New Roman"/>
              <w:sz w:val="32"/>
            </w:rPr>
            <w:fldChar w:fldCharType="end"/>
          </w:r>
          <w:r>
            <w:rPr>
              <w:rFonts w:ascii="Times New Roman" w:hAnsi="Times New Roman" w:cs="Times New Roman"/>
              <w:sz w:val="32"/>
            </w:rPr>
            <w:fldChar w:fldCharType="end"/>
          </w:r>
        </w:p>
        <w:p w14:paraId="6A1E0338">
          <w:pPr>
            <w:pStyle w:val="18"/>
            <w:rPr>
              <w:rFonts w:ascii="Times New Roman" w:hAnsi="Times New Roman" w:cs="Times New Roman"/>
              <w:sz w:val="32"/>
            </w:rPr>
          </w:pPr>
          <w:r>
            <w:fldChar w:fldCharType="begin"/>
          </w:r>
          <w:r>
            <w:instrText xml:space="preserve"> HYPERLINK \l "_Toc22675" </w:instrText>
          </w:r>
          <w:r>
            <w:fldChar w:fldCharType="separate"/>
          </w:r>
          <w:r>
            <w:rPr>
              <w:rFonts w:ascii="Times New Roman" w:hAnsi="Times New Roman" w:eastAsia="仿宋" w:cs="Times New Roman"/>
              <w:sz w:val="32"/>
            </w:rPr>
            <w:t xml:space="preserve">3 </w:t>
          </w:r>
          <w:r>
            <w:rPr>
              <w:rFonts w:ascii="Times New Roman" w:hAnsi="Times New Roman" w:cs="Times New Roman"/>
              <w:sz w:val="32"/>
            </w:rPr>
            <w:t>组织指挥体系</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_Toc22675 \h </w:instrText>
          </w:r>
          <w:r>
            <w:rPr>
              <w:rFonts w:ascii="Times New Roman" w:hAnsi="Times New Roman" w:cs="Times New Roman"/>
              <w:sz w:val="32"/>
            </w:rPr>
            <w:fldChar w:fldCharType="separate"/>
          </w:r>
          <w:r>
            <w:rPr>
              <w:rFonts w:ascii="Times New Roman" w:hAnsi="Times New Roman" w:cs="Times New Roman"/>
              <w:sz w:val="32"/>
            </w:rPr>
            <w:t>4</w:t>
          </w:r>
          <w:r>
            <w:rPr>
              <w:rFonts w:ascii="Times New Roman" w:hAnsi="Times New Roman" w:cs="Times New Roman"/>
              <w:sz w:val="32"/>
            </w:rPr>
            <w:fldChar w:fldCharType="end"/>
          </w:r>
          <w:r>
            <w:rPr>
              <w:rFonts w:ascii="Times New Roman" w:hAnsi="Times New Roman" w:cs="Times New Roman"/>
              <w:sz w:val="32"/>
            </w:rPr>
            <w:fldChar w:fldCharType="end"/>
          </w:r>
        </w:p>
        <w:p w14:paraId="2F55D179">
          <w:pPr>
            <w:pStyle w:val="19"/>
            <w:tabs>
              <w:tab w:val="right" w:leader="dot" w:pos="8845"/>
            </w:tabs>
            <w:ind w:firstLine="552"/>
            <w:rPr>
              <w:rFonts w:ascii="Times New Roman" w:hAnsi="Times New Roman" w:cs="Times New Roman"/>
              <w:sz w:val="32"/>
            </w:rPr>
          </w:pPr>
          <w:r>
            <w:fldChar w:fldCharType="begin"/>
          </w:r>
          <w:r>
            <w:instrText xml:space="preserve"> HYPERLINK \l "_Toc23669" </w:instrText>
          </w:r>
          <w:r>
            <w:fldChar w:fldCharType="separate"/>
          </w:r>
          <w:r>
            <w:rPr>
              <w:rFonts w:ascii="Times New Roman" w:hAnsi="Times New Roman" w:eastAsia="仿宋" w:cs="Times New Roman"/>
              <w:bCs/>
              <w:sz w:val="32"/>
            </w:rPr>
            <w:t xml:space="preserve">3.1 </w:t>
          </w:r>
          <w:r>
            <w:rPr>
              <w:rFonts w:ascii="Times New Roman" w:hAnsi="Times New Roman" w:cs="Times New Roman"/>
              <w:sz w:val="32"/>
            </w:rPr>
            <w:t>领导机构组成及职责</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_Toc23669 \h </w:instrText>
          </w:r>
          <w:r>
            <w:rPr>
              <w:rFonts w:ascii="Times New Roman" w:hAnsi="Times New Roman" w:cs="Times New Roman"/>
              <w:sz w:val="32"/>
            </w:rPr>
            <w:fldChar w:fldCharType="separate"/>
          </w:r>
          <w:r>
            <w:rPr>
              <w:rFonts w:ascii="Times New Roman" w:hAnsi="Times New Roman" w:cs="Times New Roman"/>
              <w:sz w:val="32"/>
            </w:rPr>
            <w:t>4</w:t>
          </w:r>
          <w:r>
            <w:rPr>
              <w:rFonts w:ascii="Times New Roman" w:hAnsi="Times New Roman" w:cs="Times New Roman"/>
              <w:sz w:val="32"/>
            </w:rPr>
            <w:fldChar w:fldCharType="end"/>
          </w:r>
          <w:r>
            <w:rPr>
              <w:rFonts w:ascii="Times New Roman" w:hAnsi="Times New Roman" w:cs="Times New Roman"/>
              <w:sz w:val="32"/>
            </w:rPr>
            <w:fldChar w:fldCharType="end"/>
          </w:r>
        </w:p>
        <w:p w14:paraId="5E539373">
          <w:pPr>
            <w:pStyle w:val="19"/>
            <w:tabs>
              <w:tab w:val="right" w:leader="dot" w:pos="8845"/>
            </w:tabs>
            <w:ind w:firstLine="552"/>
            <w:rPr>
              <w:rFonts w:ascii="Times New Roman" w:hAnsi="Times New Roman" w:cs="Times New Roman"/>
              <w:sz w:val="32"/>
            </w:rPr>
          </w:pPr>
          <w:r>
            <w:fldChar w:fldCharType="begin"/>
          </w:r>
          <w:r>
            <w:instrText xml:space="preserve"> HYPERLINK \l "_Toc9132" </w:instrText>
          </w:r>
          <w:r>
            <w:fldChar w:fldCharType="separate"/>
          </w:r>
          <w:r>
            <w:rPr>
              <w:rFonts w:ascii="Times New Roman" w:hAnsi="Times New Roman" w:eastAsia="仿宋" w:cs="Times New Roman"/>
              <w:bCs/>
              <w:sz w:val="32"/>
            </w:rPr>
            <w:t xml:space="preserve">3.2 </w:t>
          </w:r>
          <w:r>
            <w:rPr>
              <w:rFonts w:ascii="Times New Roman" w:hAnsi="Times New Roman" w:cs="Times New Roman"/>
              <w:sz w:val="32"/>
            </w:rPr>
            <w:t>指挥部办公室及职责</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_Toc9132 \h </w:instrText>
          </w:r>
          <w:r>
            <w:rPr>
              <w:rFonts w:ascii="Times New Roman" w:hAnsi="Times New Roman" w:cs="Times New Roman"/>
              <w:sz w:val="32"/>
            </w:rPr>
            <w:fldChar w:fldCharType="separate"/>
          </w:r>
          <w:r>
            <w:rPr>
              <w:rFonts w:ascii="Times New Roman" w:hAnsi="Times New Roman" w:cs="Times New Roman"/>
              <w:sz w:val="32"/>
            </w:rPr>
            <w:t>5</w:t>
          </w:r>
          <w:r>
            <w:rPr>
              <w:rFonts w:ascii="Times New Roman" w:hAnsi="Times New Roman" w:cs="Times New Roman"/>
              <w:sz w:val="32"/>
            </w:rPr>
            <w:fldChar w:fldCharType="end"/>
          </w:r>
          <w:r>
            <w:rPr>
              <w:rFonts w:ascii="Times New Roman" w:hAnsi="Times New Roman" w:cs="Times New Roman"/>
              <w:sz w:val="32"/>
            </w:rPr>
            <w:fldChar w:fldCharType="end"/>
          </w:r>
        </w:p>
        <w:p w14:paraId="43AD1A89">
          <w:pPr>
            <w:pStyle w:val="19"/>
            <w:tabs>
              <w:tab w:val="right" w:leader="dot" w:pos="8845"/>
            </w:tabs>
            <w:ind w:firstLine="552"/>
            <w:rPr>
              <w:rFonts w:ascii="Times New Roman" w:hAnsi="Times New Roman" w:cs="Times New Roman"/>
              <w:sz w:val="32"/>
            </w:rPr>
          </w:pPr>
          <w:r>
            <w:fldChar w:fldCharType="begin"/>
          </w:r>
          <w:r>
            <w:instrText xml:space="preserve"> HYPERLINK \l "_Toc19809" </w:instrText>
          </w:r>
          <w:r>
            <w:fldChar w:fldCharType="separate"/>
          </w:r>
          <w:r>
            <w:rPr>
              <w:rFonts w:ascii="Times New Roman" w:hAnsi="Times New Roman" w:eastAsia="仿宋" w:cs="Times New Roman"/>
              <w:bCs/>
              <w:sz w:val="32"/>
            </w:rPr>
            <w:t xml:space="preserve">3.3 </w:t>
          </w:r>
          <w:r>
            <w:rPr>
              <w:rFonts w:ascii="Times New Roman" w:hAnsi="Times New Roman" w:cs="Times New Roman"/>
              <w:sz w:val="32"/>
            </w:rPr>
            <w:t>成员单位及职责</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_Toc19809 \h </w:instrText>
          </w:r>
          <w:r>
            <w:rPr>
              <w:rFonts w:ascii="Times New Roman" w:hAnsi="Times New Roman" w:cs="Times New Roman"/>
              <w:sz w:val="32"/>
            </w:rPr>
            <w:fldChar w:fldCharType="separate"/>
          </w:r>
          <w:r>
            <w:rPr>
              <w:rFonts w:ascii="Times New Roman" w:hAnsi="Times New Roman" w:cs="Times New Roman"/>
              <w:sz w:val="32"/>
            </w:rPr>
            <w:t>6</w:t>
          </w:r>
          <w:r>
            <w:rPr>
              <w:rFonts w:ascii="Times New Roman" w:hAnsi="Times New Roman" w:cs="Times New Roman"/>
              <w:sz w:val="32"/>
            </w:rPr>
            <w:fldChar w:fldCharType="end"/>
          </w:r>
          <w:r>
            <w:rPr>
              <w:rFonts w:ascii="Times New Roman" w:hAnsi="Times New Roman" w:cs="Times New Roman"/>
              <w:sz w:val="32"/>
            </w:rPr>
            <w:fldChar w:fldCharType="end"/>
          </w:r>
        </w:p>
        <w:p w14:paraId="5E15AD22">
          <w:pPr>
            <w:pStyle w:val="19"/>
            <w:tabs>
              <w:tab w:val="right" w:leader="dot" w:pos="8845"/>
            </w:tabs>
            <w:ind w:firstLine="552"/>
            <w:rPr>
              <w:rFonts w:ascii="Times New Roman" w:hAnsi="Times New Roman" w:cs="Times New Roman"/>
              <w:sz w:val="32"/>
            </w:rPr>
          </w:pPr>
          <w:r>
            <w:fldChar w:fldCharType="begin"/>
          </w:r>
          <w:r>
            <w:instrText xml:space="preserve"> HYPERLINK \l "_Toc10857" </w:instrText>
          </w:r>
          <w:r>
            <w:fldChar w:fldCharType="separate"/>
          </w:r>
          <w:r>
            <w:rPr>
              <w:rFonts w:ascii="Times New Roman" w:hAnsi="Times New Roman" w:eastAsia="仿宋" w:cs="Times New Roman"/>
              <w:bCs/>
              <w:sz w:val="32"/>
            </w:rPr>
            <w:t xml:space="preserve">3.4 </w:t>
          </w:r>
          <w:r>
            <w:rPr>
              <w:rFonts w:ascii="Times New Roman" w:hAnsi="Times New Roman" w:cs="Times New Roman"/>
              <w:sz w:val="32"/>
            </w:rPr>
            <w:t>专家组及职责</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_Toc10857 \h </w:instrText>
          </w:r>
          <w:r>
            <w:rPr>
              <w:rFonts w:ascii="Times New Roman" w:hAnsi="Times New Roman" w:cs="Times New Roman"/>
              <w:sz w:val="32"/>
            </w:rPr>
            <w:fldChar w:fldCharType="separate"/>
          </w:r>
          <w:r>
            <w:rPr>
              <w:rFonts w:ascii="Times New Roman" w:hAnsi="Times New Roman" w:cs="Times New Roman"/>
              <w:sz w:val="32"/>
            </w:rPr>
            <w:t>8</w:t>
          </w:r>
          <w:r>
            <w:rPr>
              <w:rFonts w:ascii="Times New Roman" w:hAnsi="Times New Roman" w:cs="Times New Roman"/>
              <w:sz w:val="32"/>
            </w:rPr>
            <w:fldChar w:fldCharType="end"/>
          </w:r>
          <w:r>
            <w:rPr>
              <w:rFonts w:ascii="Times New Roman" w:hAnsi="Times New Roman" w:cs="Times New Roman"/>
              <w:sz w:val="32"/>
            </w:rPr>
            <w:fldChar w:fldCharType="end"/>
          </w:r>
        </w:p>
        <w:p w14:paraId="2EA03B88">
          <w:pPr>
            <w:pStyle w:val="19"/>
            <w:tabs>
              <w:tab w:val="right" w:leader="dot" w:pos="8845"/>
            </w:tabs>
            <w:ind w:firstLine="552"/>
            <w:rPr>
              <w:rFonts w:ascii="Times New Roman" w:hAnsi="Times New Roman" w:cs="Times New Roman"/>
              <w:sz w:val="32"/>
            </w:rPr>
          </w:pPr>
          <w:r>
            <w:fldChar w:fldCharType="begin"/>
          </w:r>
          <w:r>
            <w:instrText xml:space="preserve"> HYPERLINK \l "_Toc15434" </w:instrText>
          </w:r>
          <w:r>
            <w:fldChar w:fldCharType="separate"/>
          </w:r>
          <w:r>
            <w:rPr>
              <w:rFonts w:ascii="Times New Roman" w:hAnsi="Times New Roman" w:eastAsia="仿宋" w:cs="Times New Roman"/>
              <w:bCs/>
              <w:sz w:val="32"/>
            </w:rPr>
            <w:t xml:space="preserve">3.5 </w:t>
          </w:r>
          <w:r>
            <w:rPr>
              <w:rFonts w:ascii="Times New Roman" w:hAnsi="Times New Roman" w:cs="Times New Roman"/>
              <w:sz w:val="32"/>
            </w:rPr>
            <w:t>现场工作组及主要职责</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_Toc15434 \h </w:instrText>
          </w:r>
          <w:r>
            <w:rPr>
              <w:rFonts w:ascii="Times New Roman" w:hAnsi="Times New Roman" w:cs="Times New Roman"/>
              <w:sz w:val="32"/>
            </w:rPr>
            <w:fldChar w:fldCharType="separate"/>
          </w:r>
          <w:r>
            <w:rPr>
              <w:rFonts w:ascii="Times New Roman" w:hAnsi="Times New Roman" w:cs="Times New Roman"/>
              <w:sz w:val="32"/>
            </w:rPr>
            <w:t>9</w:t>
          </w:r>
          <w:r>
            <w:rPr>
              <w:rFonts w:ascii="Times New Roman" w:hAnsi="Times New Roman" w:cs="Times New Roman"/>
              <w:sz w:val="32"/>
            </w:rPr>
            <w:fldChar w:fldCharType="end"/>
          </w:r>
          <w:r>
            <w:rPr>
              <w:rFonts w:ascii="Times New Roman" w:hAnsi="Times New Roman" w:cs="Times New Roman"/>
              <w:sz w:val="32"/>
            </w:rPr>
            <w:fldChar w:fldCharType="end"/>
          </w:r>
        </w:p>
        <w:p w14:paraId="357B2AC6">
          <w:pPr>
            <w:pStyle w:val="18"/>
            <w:rPr>
              <w:rFonts w:ascii="Times New Roman" w:hAnsi="Times New Roman" w:cs="Times New Roman"/>
              <w:sz w:val="32"/>
            </w:rPr>
          </w:pPr>
          <w:r>
            <w:fldChar w:fldCharType="begin"/>
          </w:r>
          <w:r>
            <w:instrText xml:space="preserve"> HYPERLINK \l "_Toc9577" </w:instrText>
          </w:r>
          <w:r>
            <w:fldChar w:fldCharType="separate"/>
          </w:r>
          <w:r>
            <w:rPr>
              <w:rFonts w:ascii="Times New Roman" w:hAnsi="Times New Roman" w:eastAsia="仿宋" w:cs="Times New Roman"/>
              <w:sz w:val="32"/>
            </w:rPr>
            <w:t xml:space="preserve">4 </w:t>
          </w:r>
          <w:r>
            <w:rPr>
              <w:rFonts w:ascii="Times New Roman" w:hAnsi="Times New Roman" w:cs="Times New Roman"/>
              <w:sz w:val="32"/>
            </w:rPr>
            <w:t>监测预警</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_Toc9577 \h </w:instrText>
          </w:r>
          <w:r>
            <w:rPr>
              <w:rFonts w:ascii="Times New Roman" w:hAnsi="Times New Roman" w:cs="Times New Roman"/>
              <w:sz w:val="32"/>
            </w:rPr>
            <w:fldChar w:fldCharType="separate"/>
          </w:r>
          <w:r>
            <w:rPr>
              <w:rFonts w:ascii="Times New Roman" w:hAnsi="Times New Roman" w:cs="Times New Roman"/>
              <w:sz w:val="32"/>
            </w:rPr>
            <w:t>10</w:t>
          </w:r>
          <w:r>
            <w:rPr>
              <w:rFonts w:ascii="Times New Roman" w:hAnsi="Times New Roman" w:cs="Times New Roman"/>
              <w:sz w:val="32"/>
            </w:rPr>
            <w:fldChar w:fldCharType="end"/>
          </w:r>
          <w:r>
            <w:rPr>
              <w:rFonts w:ascii="Times New Roman" w:hAnsi="Times New Roman" w:cs="Times New Roman"/>
              <w:sz w:val="32"/>
            </w:rPr>
            <w:fldChar w:fldCharType="end"/>
          </w:r>
        </w:p>
        <w:p w14:paraId="159AB1DF">
          <w:pPr>
            <w:pStyle w:val="19"/>
            <w:tabs>
              <w:tab w:val="right" w:leader="dot" w:pos="8845"/>
            </w:tabs>
            <w:ind w:firstLine="552"/>
            <w:rPr>
              <w:rFonts w:ascii="Times New Roman" w:hAnsi="Times New Roman" w:cs="Times New Roman"/>
              <w:sz w:val="32"/>
            </w:rPr>
          </w:pPr>
          <w:r>
            <w:fldChar w:fldCharType="begin"/>
          </w:r>
          <w:r>
            <w:instrText xml:space="preserve"> HYPERLINK \l "_Toc188" </w:instrText>
          </w:r>
          <w:r>
            <w:fldChar w:fldCharType="separate"/>
          </w:r>
          <w:r>
            <w:rPr>
              <w:rFonts w:ascii="Times New Roman" w:hAnsi="Times New Roman" w:eastAsia="仿宋" w:cs="Times New Roman"/>
              <w:bCs/>
              <w:sz w:val="32"/>
            </w:rPr>
            <w:t xml:space="preserve">4.1 </w:t>
          </w:r>
          <w:r>
            <w:rPr>
              <w:rFonts w:ascii="Times New Roman" w:hAnsi="Times New Roman" w:cs="Times New Roman"/>
              <w:sz w:val="32"/>
            </w:rPr>
            <w:t>日常信息收集</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_Toc188 \h </w:instrText>
          </w:r>
          <w:r>
            <w:rPr>
              <w:rFonts w:ascii="Times New Roman" w:hAnsi="Times New Roman" w:cs="Times New Roman"/>
              <w:sz w:val="32"/>
            </w:rPr>
            <w:fldChar w:fldCharType="separate"/>
          </w:r>
          <w:r>
            <w:rPr>
              <w:rFonts w:ascii="Times New Roman" w:hAnsi="Times New Roman" w:cs="Times New Roman"/>
              <w:sz w:val="32"/>
            </w:rPr>
            <w:t>10</w:t>
          </w:r>
          <w:r>
            <w:rPr>
              <w:rFonts w:ascii="Times New Roman" w:hAnsi="Times New Roman" w:cs="Times New Roman"/>
              <w:sz w:val="32"/>
            </w:rPr>
            <w:fldChar w:fldCharType="end"/>
          </w:r>
          <w:r>
            <w:rPr>
              <w:rFonts w:ascii="Times New Roman" w:hAnsi="Times New Roman" w:cs="Times New Roman"/>
              <w:sz w:val="32"/>
            </w:rPr>
            <w:fldChar w:fldCharType="end"/>
          </w:r>
        </w:p>
        <w:p w14:paraId="0D6FF9B0">
          <w:pPr>
            <w:pStyle w:val="19"/>
            <w:tabs>
              <w:tab w:val="right" w:leader="dot" w:pos="8845"/>
            </w:tabs>
            <w:ind w:firstLine="552"/>
            <w:rPr>
              <w:rFonts w:ascii="Times New Roman" w:hAnsi="Times New Roman" w:cs="Times New Roman"/>
              <w:sz w:val="32"/>
            </w:rPr>
          </w:pPr>
          <w:r>
            <w:fldChar w:fldCharType="begin"/>
          </w:r>
          <w:r>
            <w:instrText xml:space="preserve"> HYPERLINK \l "_Toc4578" </w:instrText>
          </w:r>
          <w:r>
            <w:fldChar w:fldCharType="separate"/>
          </w:r>
          <w:r>
            <w:rPr>
              <w:rFonts w:ascii="Times New Roman" w:hAnsi="Times New Roman" w:eastAsia="仿宋" w:cs="Times New Roman"/>
              <w:bCs/>
              <w:sz w:val="32"/>
            </w:rPr>
            <w:t xml:space="preserve">4.2 </w:t>
          </w:r>
          <w:r>
            <w:rPr>
              <w:rFonts w:ascii="Times New Roman" w:hAnsi="Times New Roman" w:cs="Times New Roman"/>
              <w:sz w:val="32"/>
            </w:rPr>
            <w:t>风险分析与隐患排查治理</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_Toc4578 \h </w:instrText>
          </w:r>
          <w:r>
            <w:rPr>
              <w:rFonts w:ascii="Times New Roman" w:hAnsi="Times New Roman" w:cs="Times New Roman"/>
              <w:sz w:val="32"/>
            </w:rPr>
            <w:fldChar w:fldCharType="separate"/>
          </w:r>
          <w:r>
            <w:rPr>
              <w:rFonts w:ascii="Times New Roman" w:hAnsi="Times New Roman" w:cs="Times New Roman"/>
              <w:sz w:val="32"/>
            </w:rPr>
            <w:t>11</w:t>
          </w:r>
          <w:r>
            <w:rPr>
              <w:rFonts w:ascii="Times New Roman" w:hAnsi="Times New Roman" w:cs="Times New Roman"/>
              <w:sz w:val="32"/>
            </w:rPr>
            <w:fldChar w:fldCharType="end"/>
          </w:r>
          <w:r>
            <w:rPr>
              <w:rFonts w:ascii="Times New Roman" w:hAnsi="Times New Roman" w:cs="Times New Roman"/>
              <w:sz w:val="32"/>
            </w:rPr>
            <w:fldChar w:fldCharType="end"/>
          </w:r>
        </w:p>
        <w:p w14:paraId="17BE4D16">
          <w:pPr>
            <w:pStyle w:val="19"/>
            <w:tabs>
              <w:tab w:val="right" w:leader="dot" w:pos="8845"/>
            </w:tabs>
            <w:ind w:firstLine="552"/>
            <w:rPr>
              <w:rFonts w:ascii="Times New Roman" w:hAnsi="Times New Roman" w:cs="Times New Roman"/>
              <w:sz w:val="32"/>
            </w:rPr>
          </w:pPr>
          <w:r>
            <w:fldChar w:fldCharType="begin"/>
          </w:r>
          <w:r>
            <w:instrText xml:space="preserve"> HYPERLINK \l "_Toc32640" </w:instrText>
          </w:r>
          <w:r>
            <w:fldChar w:fldCharType="separate"/>
          </w:r>
          <w:r>
            <w:rPr>
              <w:rFonts w:ascii="Times New Roman" w:hAnsi="Times New Roman" w:eastAsia="仿宋" w:cs="Times New Roman"/>
              <w:bCs/>
              <w:sz w:val="32"/>
            </w:rPr>
            <w:t xml:space="preserve">4.3 </w:t>
          </w:r>
          <w:r>
            <w:rPr>
              <w:rFonts w:ascii="Times New Roman" w:hAnsi="Times New Roman" w:cs="Times New Roman"/>
              <w:sz w:val="32"/>
            </w:rPr>
            <w:t>预防措施</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_Toc32640 \h </w:instrText>
          </w:r>
          <w:r>
            <w:rPr>
              <w:rFonts w:ascii="Times New Roman" w:hAnsi="Times New Roman" w:cs="Times New Roman"/>
              <w:sz w:val="32"/>
            </w:rPr>
            <w:fldChar w:fldCharType="separate"/>
          </w:r>
          <w:r>
            <w:rPr>
              <w:rFonts w:ascii="Times New Roman" w:hAnsi="Times New Roman" w:cs="Times New Roman"/>
              <w:sz w:val="32"/>
            </w:rPr>
            <w:t>12</w:t>
          </w:r>
          <w:r>
            <w:rPr>
              <w:rFonts w:ascii="Times New Roman" w:hAnsi="Times New Roman" w:cs="Times New Roman"/>
              <w:sz w:val="32"/>
            </w:rPr>
            <w:fldChar w:fldCharType="end"/>
          </w:r>
          <w:r>
            <w:rPr>
              <w:rFonts w:ascii="Times New Roman" w:hAnsi="Times New Roman" w:cs="Times New Roman"/>
              <w:sz w:val="32"/>
            </w:rPr>
            <w:fldChar w:fldCharType="end"/>
          </w:r>
        </w:p>
        <w:p w14:paraId="6CBD1DD9">
          <w:pPr>
            <w:pStyle w:val="19"/>
            <w:tabs>
              <w:tab w:val="right" w:leader="dot" w:pos="8845"/>
            </w:tabs>
            <w:ind w:firstLine="552"/>
            <w:rPr>
              <w:rFonts w:ascii="Times New Roman" w:hAnsi="Times New Roman" w:cs="Times New Roman"/>
              <w:sz w:val="32"/>
            </w:rPr>
          </w:pPr>
          <w:r>
            <w:fldChar w:fldCharType="begin"/>
          </w:r>
          <w:r>
            <w:instrText xml:space="preserve"> HYPERLINK \l "_Toc29734" </w:instrText>
          </w:r>
          <w:r>
            <w:fldChar w:fldCharType="separate"/>
          </w:r>
          <w:r>
            <w:rPr>
              <w:rFonts w:ascii="Times New Roman" w:hAnsi="Times New Roman" w:eastAsia="仿宋" w:cs="Times New Roman"/>
              <w:bCs/>
              <w:sz w:val="32"/>
            </w:rPr>
            <w:t xml:space="preserve">4.4 </w:t>
          </w:r>
          <w:r>
            <w:rPr>
              <w:rFonts w:ascii="Times New Roman" w:hAnsi="Times New Roman" w:cs="Times New Roman"/>
              <w:sz w:val="32"/>
            </w:rPr>
            <w:t>预警发布</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_Toc29734 \h </w:instrText>
          </w:r>
          <w:r>
            <w:rPr>
              <w:rFonts w:ascii="Times New Roman" w:hAnsi="Times New Roman" w:cs="Times New Roman"/>
              <w:sz w:val="32"/>
            </w:rPr>
            <w:fldChar w:fldCharType="separate"/>
          </w:r>
          <w:r>
            <w:rPr>
              <w:rFonts w:ascii="Times New Roman" w:hAnsi="Times New Roman" w:cs="Times New Roman"/>
              <w:sz w:val="32"/>
            </w:rPr>
            <w:t>12</w:t>
          </w:r>
          <w:r>
            <w:rPr>
              <w:rFonts w:ascii="Times New Roman" w:hAnsi="Times New Roman" w:cs="Times New Roman"/>
              <w:sz w:val="32"/>
            </w:rPr>
            <w:fldChar w:fldCharType="end"/>
          </w:r>
          <w:r>
            <w:rPr>
              <w:rFonts w:ascii="Times New Roman" w:hAnsi="Times New Roman" w:cs="Times New Roman"/>
              <w:sz w:val="32"/>
            </w:rPr>
            <w:fldChar w:fldCharType="end"/>
          </w:r>
        </w:p>
        <w:p w14:paraId="0D66A667">
          <w:pPr>
            <w:pStyle w:val="19"/>
            <w:tabs>
              <w:tab w:val="right" w:leader="dot" w:pos="8845"/>
            </w:tabs>
            <w:ind w:firstLine="552"/>
            <w:rPr>
              <w:rFonts w:ascii="Times New Roman" w:hAnsi="Times New Roman" w:cs="Times New Roman"/>
              <w:sz w:val="32"/>
            </w:rPr>
          </w:pPr>
          <w:r>
            <w:fldChar w:fldCharType="begin"/>
          </w:r>
          <w:r>
            <w:instrText xml:space="preserve"> HYPERLINK \l "_Toc15271" </w:instrText>
          </w:r>
          <w:r>
            <w:fldChar w:fldCharType="separate"/>
          </w:r>
          <w:r>
            <w:rPr>
              <w:rFonts w:ascii="Times New Roman" w:hAnsi="Times New Roman" w:eastAsia="仿宋" w:cs="Times New Roman"/>
              <w:bCs/>
              <w:sz w:val="32"/>
            </w:rPr>
            <w:t xml:space="preserve">4.5 </w:t>
          </w:r>
          <w:r>
            <w:rPr>
              <w:rFonts w:ascii="Times New Roman" w:hAnsi="Times New Roman" w:cs="Times New Roman"/>
              <w:sz w:val="32"/>
            </w:rPr>
            <w:t>预警调整</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_Toc15271 \h </w:instrText>
          </w:r>
          <w:r>
            <w:rPr>
              <w:rFonts w:ascii="Times New Roman" w:hAnsi="Times New Roman" w:cs="Times New Roman"/>
              <w:sz w:val="32"/>
            </w:rPr>
            <w:fldChar w:fldCharType="separate"/>
          </w:r>
          <w:r>
            <w:rPr>
              <w:rFonts w:ascii="Times New Roman" w:hAnsi="Times New Roman" w:cs="Times New Roman"/>
              <w:sz w:val="32"/>
            </w:rPr>
            <w:t>13</w:t>
          </w:r>
          <w:r>
            <w:rPr>
              <w:rFonts w:ascii="Times New Roman" w:hAnsi="Times New Roman" w:cs="Times New Roman"/>
              <w:sz w:val="32"/>
            </w:rPr>
            <w:fldChar w:fldCharType="end"/>
          </w:r>
          <w:r>
            <w:rPr>
              <w:rFonts w:ascii="Times New Roman" w:hAnsi="Times New Roman" w:cs="Times New Roman"/>
              <w:sz w:val="32"/>
            </w:rPr>
            <w:fldChar w:fldCharType="end"/>
          </w:r>
        </w:p>
        <w:p w14:paraId="0123B9D2">
          <w:pPr>
            <w:pStyle w:val="19"/>
            <w:tabs>
              <w:tab w:val="right" w:leader="dot" w:pos="8845"/>
            </w:tabs>
            <w:ind w:firstLine="552"/>
            <w:rPr>
              <w:rFonts w:ascii="Times New Roman" w:hAnsi="Times New Roman" w:cs="Times New Roman"/>
              <w:sz w:val="32"/>
            </w:rPr>
          </w:pPr>
          <w:r>
            <w:fldChar w:fldCharType="begin"/>
          </w:r>
          <w:r>
            <w:instrText xml:space="preserve"> HYPERLINK \l "_Toc6905" </w:instrText>
          </w:r>
          <w:r>
            <w:fldChar w:fldCharType="separate"/>
          </w:r>
          <w:r>
            <w:rPr>
              <w:rFonts w:ascii="Times New Roman" w:hAnsi="Times New Roman" w:eastAsia="仿宋" w:cs="Times New Roman"/>
              <w:bCs/>
              <w:sz w:val="32"/>
            </w:rPr>
            <w:t xml:space="preserve">4.6 </w:t>
          </w:r>
          <w:r>
            <w:rPr>
              <w:rFonts w:ascii="Times New Roman" w:hAnsi="Times New Roman" w:cs="Times New Roman"/>
              <w:sz w:val="32"/>
            </w:rPr>
            <w:t>预警解除</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_Toc6905 \h </w:instrText>
          </w:r>
          <w:r>
            <w:rPr>
              <w:rFonts w:ascii="Times New Roman" w:hAnsi="Times New Roman" w:cs="Times New Roman"/>
              <w:sz w:val="32"/>
            </w:rPr>
            <w:fldChar w:fldCharType="separate"/>
          </w:r>
          <w:r>
            <w:rPr>
              <w:rFonts w:ascii="Times New Roman" w:hAnsi="Times New Roman" w:cs="Times New Roman"/>
              <w:sz w:val="32"/>
            </w:rPr>
            <w:t>13</w:t>
          </w:r>
          <w:r>
            <w:rPr>
              <w:rFonts w:ascii="Times New Roman" w:hAnsi="Times New Roman" w:cs="Times New Roman"/>
              <w:sz w:val="32"/>
            </w:rPr>
            <w:fldChar w:fldCharType="end"/>
          </w:r>
          <w:r>
            <w:rPr>
              <w:rFonts w:ascii="Times New Roman" w:hAnsi="Times New Roman" w:cs="Times New Roman"/>
              <w:sz w:val="32"/>
            </w:rPr>
            <w:fldChar w:fldCharType="end"/>
          </w:r>
        </w:p>
        <w:p w14:paraId="23D4A5A6">
          <w:pPr>
            <w:pStyle w:val="18"/>
            <w:rPr>
              <w:rFonts w:ascii="Times New Roman" w:hAnsi="Times New Roman" w:cs="Times New Roman"/>
              <w:sz w:val="32"/>
            </w:rPr>
          </w:pPr>
          <w:r>
            <w:fldChar w:fldCharType="begin"/>
          </w:r>
          <w:r>
            <w:instrText xml:space="preserve"> HYPERLINK \l "_Toc10485" </w:instrText>
          </w:r>
          <w:r>
            <w:fldChar w:fldCharType="separate"/>
          </w:r>
          <w:r>
            <w:rPr>
              <w:rFonts w:ascii="Times New Roman" w:hAnsi="Times New Roman" w:eastAsia="仿宋" w:cs="Times New Roman"/>
              <w:sz w:val="32"/>
            </w:rPr>
            <w:t xml:space="preserve">5 </w:t>
          </w:r>
          <w:r>
            <w:rPr>
              <w:rFonts w:ascii="Times New Roman" w:hAnsi="Times New Roman" w:cs="Times New Roman"/>
              <w:sz w:val="32"/>
            </w:rPr>
            <w:t>应急响应</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_Toc10485 \h </w:instrText>
          </w:r>
          <w:r>
            <w:rPr>
              <w:rFonts w:ascii="Times New Roman" w:hAnsi="Times New Roman" w:cs="Times New Roman"/>
              <w:sz w:val="32"/>
            </w:rPr>
            <w:fldChar w:fldCharType="separate"/>
          </w:r>
          <w:r>
            <w:rPr>
              <w:rFonts w:ascii="Times New Roman" w:hAnsi="Times New Roman" w:cs="Times New Roman"/>
              <w:sz w:val="32"/>
            </w:rPr>
            <w:t>13</w:t>
          </w:r>
          <w:r>
            <w:rPr>
              <w:rFonts w:ascii="Times New Roman" w:hAnsi="Times New Roman" w:cs="Times New Roman"/>
              <w:sz w:val="32"/>
            </w:rPr>
            <w:fldChar w:fldCharType="end"/>
          </w:r>
          <w:r>
            <w:rPr>
              <w:rFonts w:ascii="Times New Roman" w:hAnsi="Times New Roman" w:cs="Times New Roman"/>
              <w:sz w:val="32"/>
            </w:rPr>
            <w:fldChar w:fldCharType="end"/>
          </w:r>
        </w:p>
        <w:p w14:paraId="47F0D78F">
          <w:pPr>
            <w:pStyle w:val="19"/>
            <w:tabs>
              <w:tab w:val="right" w:leader="dot" w:pos="8845"/>
            </w:tabs>
            <w:ind w:firstLine="552"/>
            <w:rPr>
              <w:rFonts w:ascii="Times New Roman" w:hAnsi="Times New Roman" w:cs="Times New Roman"/>
              <w:sz w:val="32"/>
            </w:rPr>
          </w:pPr>
          <w:r>
            <w:fldChar w:fldCharType="begin"/>
          </w:r>
          <w:r>
            <w:instrText xml:space="preserve"> HYPERLINK \l "_Toc21211" </w:instrText>
          </w:r>
          <w:r>
            <w:fldChar w:fldCharType="separate"/>
          </w:r>
          <w:r>
            <w:rPr>
              <w:rFonts w:ascii="Times New Roman" w:hAnsi="Times New Roman" w:eastAsia="仿宋" w:cs="Times New Roman"/>
              <w:bCs/>
              <w:sz w:val="32"/>
            </w:rPr>
            <w:t xml:space="preserve">5.1 </w:t>
          </w:r>
          <w:r>
            <w:rPr>
              <w:rFonts w:ascii="Times New Roman" w:hAnsi="Times New Roman" w:cs="Times New Roman"/>
              <w:sz w:val="32"/>
            </w:rPr>
            <w:t>信息报告</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_Toc21211 \h </w:instrText>
          </w:r>
          <w:r>
            <w:rPr>
              <w:rFonts w:ascii="Times New Roman" w:hAnsi="Times New Roman" w:cs="Times New Roman"/>
              <w:sz w:val="32"/>
            </w:rPr>
            <w:fldChar w:fldCharType="separate"/>
          </w:r>
          <w:r>
            <w:rPr>
              <w:rFonts w:ascii="Times New Roman" w:hAnsi="Times New Roman" w:cs="Times New Roman"/>
              <w:sz w:val="32"/>
            </w:rPr>
            <w:t>13</w:t>
          </w:r>
          <w:r>
            <w:rPr>
              <w:rFonts w:ascii="Times New Roman" w:hAnsi="Times New Roman" w:cs="Times New Roman"/>
              <w:sz w:val="32"/>
            </w:rPr>
            <w:fldChar w:fldCharType="end"/>
          </w:r>
          <w:r>
            <w:rPr>
              <w:rFonts w:ascii="Times New Roman" w:hAnsi="Times New Roman" w:cs="Times New Roman"/>
              <w:sz w:val="32"/>
            </w:rPr>
            <w:fldChar w:fldCharType="end"/>
          </w:r>
        </w:p>
        <w:p w14:paraId="486384E4">
          <w:pPr>
            <w:pStyle w:val="19"/>
            <w:tabs>
              <w:tab w:val="right" w:leader="dot" w:pos="8845"/>
            </w:tabs>
            <w:ind w:firstLine="552"/>
            <w:rPr>
              <w:rFonts w:ascii="Times New Roman" w:hAnsi="Times New Roman" w:cs="Times New Roman"/>
              <w:sz w:val="32"/>
            </w:rPr>
          </w:pPr>
          <w:r>
            <w:fldChar w:fldCharType="begin"/>
          </w:r>
          <w:r>
            <w:instrText xml:space="preserve"> HYPERLINK \l "_Toc4748" </w:instrText>
          </w:r>
          <w:r>
            <w:fldChar w:fldCharType="separate"/>
          </w:r>
          <w:r>
            <w:rPr>
              <w:rFonts w:ascii="Times New Roman" w:hAnsi="Times New Roman" w:eastAsia="仿宋" w:cs="Times New Roman"/>
              <w:bCs/>
              <w:sz w:val="32"/>
            </w:rPr>
            <w:t xml:space="preserve">5.2 </w:t>
          </w:r>
          <w:r>
            <w:rPr>
              <w:rFonts w:ascii="Times New Roman" w:hAnsi="Times New Roman" w:cs="Times New Roman"/>
              <w:sz w:val="32"/>
            </w:rPr>
            <w:t>响应启动</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_Toc4748 \h </w:instrText>
          </w:r>
          <w:r>
            <w:rPr>
              <w:rFonts w:ascii="Times New Roman" w:hAnsi="Times New Roman" w:cs="Times New Roman"/>
              <w:sz w:val="32"/>
            </w:rPr>
            <w:fldChar w:fldCharType="separate"/>
          </w:r>
          <w:r>
            <w:rPr>
              <w:rFonts w:ascii="Times New Roman" w:hAnsi="Times New Roman" w:cs="Times New Roman"/>
              <w:sz w:val="32"/>
            </w:rPr>
            <w:t>14</w:t>
          </w:r>
          <w:r>
            <w:rPr>
              <w:rFonts w:ascii="Times New Roman" w:hAnsi="Times New Roman" w:cs="Times New Roman"/>
              <w:sz w:val="32"/>
            </w:rPr>
            <w:fldChar w:fldCharType="end"/>
          </w:r>
          <w:r>
            <w:rPr>
              <w:rFonts w:ascii="Times New Roman" w:hAnsi="Times New Roman" w:cs="Times New Roman"/>
              <w:sz w:val="32"/>
            </w:rPr>
            <w:fldChar w:fldCharType="end"/>
          </w:r>
        </w:p>
        <w:p w14:paraId="44A2897E">
          <w:pPr>
            <w:pStyle w:val="19"/>
            <w:tabs>
              <w:tab w:val="right" w:leader="dot" w:pos="8845"/>
            </w:tabs>
            <w:ind w:firstLine="552"/>
            <w:rPr>
              <w:rFonts w:ascii="Times New Roman" w:hAnsi="Times New Roman" w:cs="Times New Roman"/>
              <w:sz w:val="32"/>
            </w:rPr>
          </w:pPr>
          <w:r>
            <w:fldChar w:fldCharType="begin"/>
          </w:r>
          <w:r>
            <w:instrText xml:space="preserve"> HYPERLINK \l "_Toc12413" </w:instrText>
          </w:r>
          <w:r>
            <w:fldChar w:fldCharType="separate"/>
          </w:r>
          <w:r>
            <w:rPr>
              <w:rFonts w:ascii="Times New Roman" w:hAnsi="Times New Roman" w:eastAsia="仿宋" w:cs="Times New Roman"/>
              <w:bCs/>
              <w:sz w:val="32"/>
            </w:rPr>
            <w:t xml:space="preserve">5.3 </w:t>
          </w:r>
          <w:r>
            <w:rPr>
              <w:rFonts w:ascii="Times New Roman" w:hAnsi="Times New Roman" w:cs="Times New Roman"/>
              <w:sz w:val="32"/>
            </w:rPr>
            <w:t>分级响应机制</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_Toc12413 \h </w:instrText>
          </w:r>
          <w:r>
            <w:rPr>
              <w:rFonts w:ascii="Times New Roman" w:hAnsi="Times New Roman" w:cs="Times New Roman"/>
              <w:sz w:val="32"/>
            </w:rPr>
            <w:fldChar w:fldCharType="separate"/>
          </w:r>
          <w:r>
            <w:rPr>
              <w:rFonts w:ascii="Times New Roman" w:hAnsi="Times New Roman" w:cs="Times New Roman"/>
              <w:sz w:val="32"/>
            </w:rPr>
            <w:t>15</w:t>
          </w:r>
          <w:r>
            <w:rPr>
              <w:rFonts w:ascii="Times New Roman" w:hAnsi="Times New Roman" w:cs="Times New Roman"/>
              <w:sz w:val="32"/>
            </w:rPr>
            <w:fldChar w:fldCharType="end"/>
          </w:r>
          <w:r>
            <w:rPr>
              <w:rFonts w:ascii="Times New Roman" w:hAnsi="Times New Roman" w:cs="Times New Roman"/>
              <w:sz w:val="32"/>
            </w:rPr>
            <w:fldChar w:fldCharType="end"/>
          </w:r>
        </w:p>
        <w:p w14:paraId="19ADF4E1">
          <w:pPr>
            <w:pStyle w:val="19"/>
            <w:tabs>
              <w:tab w:val="right" w:leader="dot" w:pos="8845"/>
            </w:tabs>
            <w:ind w:firstLine="552"/>
            <w:rPr>
              <w:rFonts w:ascii="Times New Roman" w:hAnsi="Times New Roman" w:cs="Times New Roman"/>
              <w:sz w:val="32"/>
            </w:rPr>
          </w:pPr>
          <w:r>
            <w:fldChar w:fldCharType="begin"/>
          </w:r>
          <w:r>
            <w:instrText xml:space="preserve"> HYPERLINK \l "_Toc16394" </w:instrText>
          </w:r>
          <w:r>
            <w:fldChar w:fldCharType="separate"/>
          </w:r>
          <w:r>
            <w:rPr>
              <w:rFonts w:ascii="Times New Roman" w:hAnsi="Times New Roman" w:eastAsia="仿宋" w:cs="Times New Roman"/>
              <w:bCs/>
              <w:sz w:val="32"/>
            </w:rPr>
            <w:t xml:space="preserve">5.4 </w:t>
          </w:r>
          <w:r>
            <w:rPr>
              <w:rFonts w:ascii="Times New Roman" w:hAnsi="Times New Roman" w:cs="Times New Roman"/>
              <w:sz w:val="32"/>
            </w:rPr>
            <w:t>分级响应主要工作内容</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_Toc16394 \h </w:instrText>
          </w:r>
          <w:r>
            <w:rPr>
              <w:rFonts w:ascii="Times New Roman" w:hAnsi="Times New Roman" w:cs="Times New Roman"/>
              <w:sz w:val="32"/>
            </w:rPr>
            <w:fldChar w:fldCharType="separate"/>
          </w:r>
          <w:r>
            <w:rPr>
              <w:rFonts w:ascii="Times New Roman" w:hAnsi="Times New Roman" w:cs="Times New Roman"/>
              <w:sz w:val="32"/>
            </w:rPr>
            <w:t>16</w:t>
          </w:r>
          <w:r>
            <w:rPr>
              <w:rFonts w:ascii="Times New Roman" w:hAnsi="Times New Roman" w:cs="Times New Roman"/>
              <w:sz w:val="32"/>
            </w:rPr>
            <w:fldChar w:fldCharType="end"/>
          </w:r>
          <w:r>
            <w:rPr>
              <w:rFonts w:ascii="Times New Roman" w:hAnsi="Times New Roman" w:cs="Times New Roman"/>
              <w:sz w:val="32"/>
            </w:rPr>
            <w:fldChar w:fldCharType="end"/>
          </w:r>
        </w:p>
        <w:p w14:paraId="47D962F0">
          <w:pPr>
            <w:pStyle w:val="19"/>
            <w:tabs>
              <w:tab w:val="right" w:leader="dot" w:pos="8845"/>
            </w:tabs>
            <w:ind w:firstLine="552"/>
            <w:rPr>
              <w:rFonts w:ascii="Times New Roman" w:hAnsi="Times New Roman" w:cs="Times New Roman"/>
              <w:sz w:val="32"/>
            </w:rPr>
          </w:pPr>
          <w:r>
            <w:fldChar w:fldCharType="begin"/>
          </w:r>
          <w:r>
            <w:instrText xml:space="preserve"> HYPERLINK \l "_Toc5108" </w:instrText>
          </w:r>
          <w:r>
            <w:fldChar w:fldCharType="separate"/>
          </w:r>
          <w:r>
            <w:rPr>
              <w:rFonts w:ascii="Times New Roman" w:hAnsi="Times New Roman" w:eastAsia="仿宋" w:cs="Times New Roman"/>
              <w:bCs/>
              <w:sz w:val="32"/>
            </w:rPr>
            <w:t xml:space="preserve">5.5 </w:t>
          </w:r>
          <w:r>
            <w:rPr>
              <w:rFonts w:ascii="Times New Roman" w:hAnsi="Times New Roman" w:cs="Times New Roman"/>
              <w:sz w:val="32"/>
            </w:rPr>
            <w:t>应急处置</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_Toc5108 \h </w:instrText>
          </w:r>
          <w:r>
            <w:rPr>
              <w:rFonts w:ascii="Times New Roman" w:hAnsi="Times New Roman" w:cs="Times New Roman"/>
              <w:sz w:val="32"/>
            </w:rPr>
            <w:fldChar w:fldCharType="separate"/>
          </w:r>
          <w:r>
            <w:rPr>
              <w:rFonts w:ascii="Times New Roman" w:hAnsi="Times New Roman" w:cs="Times New Roman"/>
              <w:sz w:val="32"/>
            </w:rPr>
            <w:t>17</w:t>
          </w:r>
          <w:r>
            <w:rPr>
              <w:rFonts w:ascii="Times New Roman" w:hAnsi="Times New Roman" w:cs="Times New Roman"/>
              <w:sz w:val="32"/>
            </w:rPr>
            <w:fldChar w:fldCharType="end"/>
          </w:r>
          <w:r>
            <w:rPr>
              <w:rFonts w:ascii="Times New Roman" w:hAnsi="Times New Roman" w:cs="Times New Roman"/>
              <w:sz w:val="32"/>
            </w:rPr>
            <w:fldChar w:fldCharType="end"/>
          </w:r>
        </w:p>
        <w:p w14:paraId="15F02485">
          <w:pPr>
            <w:pStyle w:val="19"/>
            <w:tabs>
              <w:tab w:val="right" w:leader="dot" w:pos="8845"/>
            </w:tabs>
            <w:ind w:firstLine="552"/>
            <w:rPr>
              <w:rFonts w:ascii="Times New Roman" w:hAnsi="Times New Roman" w:cs="Times New Roman"/>
              <w:sz w:val="32"/>
            </w:rPr>
          </w:pPr>
          <w:r>
            <w:fldChar w:fldCharType="begin"/>
          </w:r>
          <w:r>
            <w:instrText xml:space="preserve"> HYPERLINK \l "_Toc5236" </w:instrText>
          </w:r>
          <w:r>
            <w:fldChar w:fldCharType="separate"/>
          </w:r>
          <w:r>
            <w:rPr>
              <w:rFonts w:ascii="Times New Roman" w:hAnsi="Times New Roman" w:eastAsia="仿宋" w:cs="Times New Roman"/>
              <w:bCs/>
              <w:sz w:val="32"/>
            </w:rPr>
            <w:t xml:space="preserve">5.6 </w:t>
          </w:r>
          <w:r>
            <w:rPr>
              <w:rFonts w:ascii="Times New Roman" w:hAnsi="Times New Roman" w:cs="Times New Roman"/>
              <w:sz w:val="32"/>
            </w:rPr>
            <w:t>应急支援</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_Toc5236 \h </w:instrText>
          </w:r>
          <w:r>
            <w:rPr>
              <w:rFonts w:ascii="Times New Roman" w:hAnsi="Times New Roman" w:cs="Times New Roman"/>
              <w:sz w:val="32"/>
            </w:rPr>
            <w:fldChar w:fldCharType="separate"/>
          </w:r>
          <w:r>
            <w:rPr>
              <w:rFonts w:ascii="Times New Roman" w:hAnsi="Times New Roman" w:cs="Times New Roman"/>
              <w:sz w:val="32"/>
            </w:rPr>
            <w:t>19</w:t>
          </w:r>
          <w:r>
            <w:rPr>
              <w:rFonts w:ascii="Times New Roman" w:hAnsi="Times New Roman" w:cs="Times New Roman"/>
              <w:sz w:val="32"/>
            </w:rPr>
            <w:fldChar w:fldCharType="end"/>
          </w:r>
          <w:r>
            <w:rPr>
              <w:rFonts w:ascii="Times New Roman" w:hAnsi="Times New Roman" w:cs="Times New Roman"/>
              <w:sz w:val="32"/>
            </w:rPr>
            <w:fldChar w:fldCharType="end"/>
          </w:r>
        </w:p>
        <w:p w14:paraId="0E5FF54B">
          <w:pPr>
            <w:pStyle w:val="19"/>
            <w:tabs>
              <w:tab w:val="right" w:leader="dot" w:pos="8845"/>
            </w:tabs>
            <w:ind w:firstLine="552"/>
            <w:rPr>
              <w:rFonts w:ascii="Times New Roman" w:hAnsi="Times New Roman" w:cs="Times New Roman"/>
              <w:sz w:val="32"/>
            </w:rPr>
          </w:pPr>
          <w:r>
            <w:fldChar w:fldCharType="begin"/>
          </w:r>
          <w:r>
            <w:instrText xml:space="preserve"> HYPERLINK \l "_Toc21095" </w:instrText>
          </w:r>
          <w:r>
            <w:fldChar w:fldCharType="separate"/>
          </w:r>
          <w:r>
            <w:rPr>
              <w:rFonts w:ascii="Times New Roman" w:hAnsi="Times New Roman" w:eastAsia="仿宋" w:cs="Times New Roman"/>
              <w:bCs/>
              <w:sz w:val="32"/>
            </w:rPr>
            <w:t xml:space="preserve">5.7 </w:t>
          </w:r>
          <w:r>
            <w:rPr>
              <w:rFonts w:ascii="Times New Roman" w:hAnsi="Times New Roman" w:cs="Times New Roman"/>
              <w:sz w:val="32"/>
            </w:rPr>
            <w:t>新闻发布</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_Toc21095 \h </w:instrText>
          </w:r>
          <w:r>
            <w:rPr>
              <w:rFonts w:ascii="Times New Roman" w:hAnsi="Times New Roman" w:cs="Times New Roman"/>
              <w:sz w:val="32"/>
            </w:rPr>
            <w:fldChar w:fldCharType="separate"/>
          </w:r>
          <w:r>
            <w:rPr>
              <w:rFonts w:ascii="Times New Roman" w:hAnsi="Times New Roman" w:cs="Times New Roman"/>
              <w:sz w:val="32"/>
            </w:rPr>
            <w:t>20</w:t>
          </w:r>
          <w:r>
            <w:rPr>
              <w:rFonts w:ascii="Times New Roman" w:hAnsi="Times New Roman" w:cs="Times New Roman"/>
              <w:sz w:val="32"/>
            </w:rPr>
            <w:fldChar w:fldCharType="end"/>
          </w:r>
          <w:r>
            <w:rPr>
              <w:rFonts w:ascii="Times New Roman" w:hAnsi="Times New Roman" w:cs="Times New Roman"/>
              <w:sz w:val="32"/>
            </w:rPr>
            <w:fldChar w:fldCharType="end"/>
          </w:r>
        </w:p>
        <w:p w14:paraId="4511A402">
          <w:pPr>
            <w:pStyle w:val="19"/>
            <w:tabs>
              <w:tab w:val="right" w:leader="dot" w:pos="8845"/>
            </w:tabs>
            <w:ind w:firstLine="552"/>
            <w:rPr>
              <w:rFonts w:ascii="Times New Roman" w:hAnsi="Times New Roman" w:cs="Times New Roman"/>
              <w:sz w:val="32"/>
            </w:rPr>
          </w:pPr>
          <w:r>
            <w:fldChar w:fldCharType="begin"/>
          </w:r>
          <w:r>
            <w:instrText xml:space="preserve"> HYPERLINK \l "_Toc32167" </w:instrText>
          </w:r>
          <w:r>
            <w:fldChar w:fldCharType="separate"/>
          </w:r>
          <w:r>
            <w:rPr>
              <w:rFonts w:ascii="Times New Roman" w:hAnsi="Times New Roman" w:eastAsia="仿宋" w:cs="Times New Roman"/>
              <w:bCs/>
              <w:sz w:val="32"/>
            </w:rPr>
            <w:t xml:space="preserve">5.8 </w:t>
          </w:r>
          <w:r>
            <w:rPr>
              <w:rFonts w:ascii="Times New Roman" w:hAnsi="Times New Roman" w:cs="Times New Roman"/>
              <w:sz w:val="32"/>
            </w:rPr>
            <w:t>响应结束</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_Toc32167 \h </w:instrText>
          </w:r>
          <w:r>
            <w:rPr>
              <w:rFonts w:ascii="Times New Roman" w:hAnsi="Times New Roman" w:cs="Times New Roman"/>
              <w:sz w:val="32"/>
            </w:rPr>
            <w:fldChar w:fldCharType="separate"/>
          </w:r>
          <w:r>
            <w:rPr>
              <w:rFonts w:ascii="Times New Roman" w:hAnsi="Times New Roman" w:cs="Times New Roman"/>
              <w:sz w:val="32"/>
            </w:rPr>
            <w:t>20</w:t>
          </w:r>
          <w:r>
            <w:rPr>
              <w:rFonts w:ascii="Times New Roman" w:hAnsi="Times New Roman" w:cs="Times New Roman"/>
              <w:sz w:val="32"/>
            </w:rPr>
            <w:fldChar w:fldCharType="end"/>
          </w:r>
          <w:r>
            <w:rPr>
              <w:rFonts w:ascii="Times New Roman" w:hAnsi="Times New Roman" w:cs="Times New Roman"/>
              <w:sz w:val="32"/>
            </w:rPr>
            <w:fldChar w:fldCharType="end"/>
          </w:r>
        </w:p>
        <w:p w14:paraId="5843DF3A">
          <w:pPr>
            <w:pStyle w:val="18"/>
            <w:rPr>
              <w:rFonts w:ascii="Times New Roman" w:hAnsi="Times New Roman" w:cs="Times New Roman"/>
              <w:sz w:val="32"/>
            </w:rPr>
          </w:pPr>
          <w:r>
            <w:fldChar w:fldCharType="begin"/>
          </w:r>
          <w:r>
            <w:instrText xml:space="preserve"> HYPERLINK \l "_Toc8778" </w:instrText>
          </w:r>
          <w:r>
            <w:fldChar w:fldCharType="separate"/>
          </w:r>
          <w:r>
            <w:rPr>
              <w:rFonts w:ascii="Times New Roman" w:hAnsi="Times New Roman" w:eastAsia="仿宋" w:cs="Times New Roman"/>
              <w:sz w:val="32"/>
            </w:rPr>
            <w:t xml:space="preserve">6 </w:t>
          </w:r>
          <w:r>
            <w:rPr>
              <w:rFonts w:ascii="Times New Roman" w:hAnsi="Times New Roman" w:cs="Times New Roman"/>
              <w:sz w:val="32"/>
            </w:rPr>
            <w:t>后期处置</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_Toc8778 \h </w:instrText>
          </w:r>
          <w:r>
            <w:rPr>
              <w:rFonts w:ascii="Times New Roman" w:hAnsi="Times New Roman" w:cs="Times New Roman"/>
              <w:sz w:val="32"/>
            </w:rPr>
            <w:fldChar w:fldCharType="separate"/>
          </w:r>
          <w:r>
            <w:rPr>
              <w:rFonts w:ascii="Times New Roman" w:hAnsi="Times New Roman" w:cs="Times New Roman"/>
              <w:sz w:val="32"/>
            </w:rPr>
            <w:t>20</w:t>
          </w:r>
          <w:r>
            <w:rPr>
              <w:rFonts w:ascii="Times New Roman" w:hAnsi="Times New Roman" w:cs="Times New Roman"/>
              <w:sz w:val="32"/>
            </w:rPr>
            <w:fldChar w:fldCharType="end"/>
          </w:r>
          <w:r>
            <w:rPr>
              <w:rFonts w:ascii="Times New Roman" w:hAnsi="Times New Roman" w:cs="Times New Roman"/>
              <w:sz w:val="32"/>
            </w:rPr>
            <w:fldChar w:fldCharType="end"/>
          </w:r>
        </w:p>
        <w:p w14:paraId="3DFCBCE1">
          <w:pPr>
            <w:pStyle w:val="19"/>
            <w:tabs>
              <w:tab w:val="right" w:leader="dot" w:pos="8845"/>
            </w:tabs>
            <w:ind w:firstLine="552"/>
            <w:rPr>
              <w:rFonts w:ascii="Times New Roman" w:hAnsi="Times New Roman" w:cs="Times New Roman"/>
              <w:sz w:val="32"/>
            </w:rPr>
          </w:pPr>
          <w:r>
            <w:fldChar w:fldCharType="begin"/>
          </w:r>
          <w:r>
            <w:instrText xml:space="preserve"> HYPERLINK \l "_Toc40" </w:instrText>
          </w:r>
          <w:r>
            <w:fldChar w:fldCharType="separate"/>
          </w:r>
          <w:r>
            <w:rPr>
              <w:rFonts w:ascii="Times New Roman" w:hAnsi="Times New Roman" w:eastAsia="仿宋" w:cs="Times New Roman"/>
              <w:bCs/>
              <w:sz w:val="32"/>
            </w:rPr>
            <w:t xml:space="preserve">6.1 </w:t>
          </w:r>
          <w:r>
            <w:rPr>
              <w:rFonts w:ascii="Times New Roman" w:hAnsi="Times New Roman" w:cs="Times New Roman"/>
              <w:sz w:val="32"/>
            </w:rPr>
            <w:t>现场清理</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_Toc40 \h </w:instrText>
          </w:r>
          <w:r>
            <w:rPr>
              <w:rFonts w:ascii="Times New Roman" w:hAnsi="Times New Roman" w:cs="Times New Roman"/>
              <w:sz w:val="32"/>
            </w:rPr>
            <w:fldChar w:fldCharType="separate"/>
          </w:r>
          <w:r>
            <w:rPr>
              <w:rFonts w:ascii="Times New Roman" w:hAnsi="Times New Roman" w:cs="Times New Roman"/>
              <w:sz w:val="32"/>
            </w:rPr>
            <w:t>20</w:t>
          </w:r>
          <w:r>
            <w:rPr>
              <w:rFonts w:ascii="Times New Roman" w:hAnsi="Times New Roman" w:cs="Times New Roman"/>
              <w:sz w:val="32"/>
            </w:rPr>
            <w:fldChar w:fldCharType="end"/>
          </w:r>
          <w:r>
            <w:rPr>
              <w:rFonts w:ascii="Times New Roman" w:hAnsi="Times New Roman" w:cs="Times New Roman"/>
              <w:sz w:val="32"/>
            </w:rPr>
            <w:fldChar w:fldCharType="end"/>
          </w:r>
        </w:p>
        <w:p w14:paraId="657B8DE9">
          <w:pPr>
            <w:pStyle w:val="19"/>
            <w:tabs>
              <w:tab w:val="right" w:leader="dot" w:pos="8845"/>
            </w:tabs>
            <w:ind w:firstLine="552"/>
            <w:rPr>
              <w:rFonts w:ascii="Times New Roman" w:hAnsi="Times New Roman" w:cs="Times New Roman"/>
              <w:sz w:val="32"/>
            </w:rPr>
          </w:pPr>
          <w:r>
            <w:fldChar w:fldCharType="begin"/>
          </w:r>
          <w:r>
            <w:instrText xml:space="preserve"> HYPERLINK \l "_Toc1643" </w:instrText>
          </w:r>
          <w:r>
            <w:fldChar w:fldCharType="separate"/>
          </w:r>
          <w:r>
            <w:rPr>
              <w:rFonts w:ascii="Times New Roman" w:hAnsi="Times New Roman" w:eastAsia="仿宋" w:cs="Times New Roman"/>
              <w:bCs/>
              <w:sz w:val="32"/>
            </w:rPr>
            <w:t xml:space="preserve">6.2 </w:t>
          </w:r>
          <w:r>
            <w:rPr>
              <w:rFonts w:ascii="Times New Roman" w:hAnsi="Times New Roman" w:cs="Times New Roman"/>
              <w:sz w:val="32"/>
            </w:rPr>
            <w:t>善后处理</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_Toc1643 \h </w:instrText>
          </w:r>
          <w:r>
            <w:rPr>
              <w:rFonts w:ascii="Times New Roman" w:hAnsi="Times New Roman" w:cs="Times New Roman"/>
              <w:sz w:val="32"/>
            </w:rPr>
            <w:fldChar w:fldCharType="separate"/>
          </w:r>
          <w:r>
            <w:rPr>
              <w:rFonts w:ascii="Times New Roman" w:hAnsi="Times New Roman" w:cs="Times New Roman"/>
              <w:sz w:val="32"/>
            </w:rPr>
            <w:t>20</w:t>
          </w:r>
          <w:r>
            <w:rPr>
              <w:rFonts w:ascii="Times New Roman" w:hAnsi="Times New Roman" w:cs="Times New Roman"/>
              <w:sz w:val="32"/>
            </w:rPr>
            <w:fldChar w:fldCharType="end"/>
          </w:r>
          <w:r>
            <w:rPr>
              <w:rFonts w:ascii="Times New Roman" w:hAnsi="Times New Roman" w:cs="Times New Roman"/>
              <w:sz w:val="32"/>
            </w:rPr>
            <w:fldChar w:fldCharType="end"/>
          </w:r>
        </w:p>
        <w:p w14:paraId="079969B8">
          <w:pPr>
            <w:pStyle w:val="19"/>
            <w:tabs>
              <w:tab w:val="right" w:leader="dot" w:pos="8845"/>
            </w:tabs>
            <w:ind w:firstLine="552"/>
            <w:rPr>
              <w:rFonts w:ascii="Times New Roman" w:hAnsi="Times New Roman" w:cs="Times New Roman"/>
              <w:sz w:val="32"/>
            </w:rPr>
          </w:pPr>
          <w:r>
            <w:fldChar w:fldCharType="begin"/>
          </w:r>
          <w:r>
            <w:instrText xml:space="preserve"> HYPERLINK \l "_Toc19072" </w:instrText>
          </w:r>
          <w:r>
            <w:fldChar w:fldCharType="separate"/>
          </w:r>
          <w:r>
            <w:rPr>
              <w:rFonts w:ascii="Times New Roman" w:hAnsi="Times New Roman" w:eastAsia="仿宋" w:cs="Times New Roman"/>
              <w:bCs/>
              <w:sz w:val="32"/>
            </w:rPr>
            <w:t xml:space="preserve">6.3 </w:t>
          </w:r>
          <w:r>
            <w:rPr>
              <w:rFonts w:ascii="Times New Roman" w:hAnsi="Times New Roman" w:cs="Times New Roman"/>
              <w:sz w:val="32"/>
            </w:rPr>
            <w:t>事故调查</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_Toc19072 \h </w:instrText>
          </w:r>
          <w:r>
            <w:rPr>
              <w:rFonts w:ascii="Times New Roman" w:hAnsi="Times New Roman" w:cs="Times New Roman"/>
              <w:sz w:val="32"/>
            </w:rPr>
            <w:fldChar w:fldCharType="separate"/>
          </w:r>
          <w:r>
            <w:rPr>
              <w:rFonts w:ascii="Times New Roman" w:hAnsi="Times New Roman" w:cs="Times New Roman"/>
              <w:sz w:val="32"/>
            </w:rPr>
            <w:t>21</w:t>
          </w:r>
          <w:r>
            <w:rPr>
              <w:rFonts w:ascii="Times New Roman" w:hAnsi="Times New Roman" w:cs="Times New Roman"/>
              <w:sz w:val="32"/>
            </w:rPr>
            <w:fldChar w:fldCharType="end"/>
          </w:r>
          <w:r>
            <w:rPr>
              <w:rFonts w:ascii="Times New Roman" w:hAnsi="Times New Roman" w:cs="Times New Roman"/>
              <w:sz w:val="32"/>
            </w:rPr>
            <w:fldChar w:fldCharType="end"/>
          </w:r>
        </w:p>
        <w:p w14:paraId="088BCA99">
          <w:pPr>
            <w:pStyle w:val="19"/>
            <w:tabs>
              <w:tab w:val="right" w:leader="dot" w:pos="8845"/>
            </w:tabs>
            <w:ind w:firstLine="552"/>
            <w:rPr>
              <w:rFonts w:ascii="Times New Roman" w:hAnsi="Times New Roman" w:cs="Times New Roman"/>
              <w:sz w:val="32"/>
            </w:rPr>
          </w:pPr>
          <w:r>
            <w:fldChar w:fldCharType="begin"/>
          </w:r>
          <w:r>
            <w:instrText xml:space="preserve"> HYPERLINK \l "_Toc5715" </w:instrText>
          </w:r>
          <w:r>
            <w:fldChar w:fldCharType="separate"/>
          </w:r>
          <w:r>
            <w:rPr>
              <w:rFonts w:ascii="Times New Roman" w:hAnsi="Times New Roman" w:eastAsia="仿宋" w:cs="Times New Roman"/>
              <w:bCs/>
              <w:sz w:val="32"/>
            </w:rPr>
            <w:t xml:space="preserve">6.4 </w:t>
          </w:r>
          <w:r>
            <w:rPr>
              <w:rFonts w:ascii="Times New Roman" w:hAnsi="Times New Roman" w:cs="Times New Roman"/>
              <w:sz w:val="32"/>
            </w:rPr>
            <w:t>总结评估</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_Toc5715 \h </w:instrText>
          </w:r>
          <w:r>
            <w:rPr>
              <w:rFonts w:ascii="Times New Roman" w:hAnsi="Times New Roman" w:cs="Times New Roman"/>
              <w:sz w:val="32"/>
            </w:rPr>
            <w:fldChar w:fldCharType="separate"/>
          </w:r>
          <w:r>
            <w:rPr>
              <w:rFonts w:ascii="Times New Roman" w:hAnsi="Times New Roman" w:cs="Times New Roman"/>
              <w:sz w:val="32"/>
            </w:rPr>
            <w:t>21</w:t>
          </w:r>
          <w:r>
            <w:rPr>
              <w:rFonts w:ascii="Times New Roman" w:hAnsi="Times New Roman" w:cs="Times New Roman"/>
              <w:sz w:val="32"/>
            </w:rPr>
            <w:fldChar w:fldCharType="end"/>
          </w:r>
          <w:r>
            <w:rPr>
              <w:rFonts w:ascii="Times New Roman" w:hAnsi="Times New Roman" w:cs="Times New Roman"/>
              <w:sz w:val="32"/>
            </w:rPr>
            <w:fldChar w:fldCharType="end"/>
          </w:r>
        </w:p>
        <w:p w14:paraId="6D56A15A">
          <w:pPr>
            <w:pStyle w:val="18"/>
            <w:rPr>
              <w:rFonts w:ascii="Times New Roman" w:hAnsi="Times New Roman" w:cs="Times New Roman"/>
              <w:sz w:val="32"/>
            </w:rPr>
          </w:pPr>
          <w:r>
            <w:fldChar w:fldCharType="begin"/>
          </w:r>
          <w:r>
            <w:instrText xml:space="preserve"> HYPERLINK \l "_Toc21653" </w:instrText>
          </w:r>
          <w:r>
            <w:fldChar w:fldCharType="separate"/>
          </w:r>
          <w:r>
            <w:rPr>
              <w:rFonts w:ascii="Times New Roman" w:hAnsi="Times New Roman" w:eastAsia="仿宋" w:cs="Times New Roman"/>
              <w:sz w:val="32"/>
            </w:rPr>
            <w:t xml:space="preserve">7 </w:t>
          </w:r>
          <w:r>
            <w:rPr>
              <w:rFonts w:ascii="Times New Roman" w:hAnsi="Times New Roman" w:cs="Times New Roman"/>
              <w:sz w:val="32"/>
            </w:rPr>
            <w:t>应急保障</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_Toc21653 \h </w:instrText>
          </w:r>
          <w:r>
            <w:rPr>
              <w:rFonts w:ascii="Times New Roman" w:hAnsi="Times New Roman" w:cs="Times New Roman"/>
              <w:sz w:val="32"/>
            </w:rPr>
            <w:fldChar w:fldCharType="separate"/>
          </w:r>
          <w:r>
            <w:rPr>
              <w:rFonts w:ascii="Times New Roman" w:hAnsi="Times New Roman" w:cs="Times New Roman"/>
              <w:sz w:val="32"/>
            </w:rPr>
            <w:t>22</w:t>
          </w:r>
          <w:r>
            <w:rPr>
              <w:rFonts w:ascii="Times New Roman" w:hAnsi="Times New Roman" w:cs="Times New Roman"/>
              <w:sz w:val="32"/>
            </w:rPr>
            <w:fldChar w:fldCharType="end"/>
          </w:r>
          <w:r>
            <w:rPr>
              <w:rFonts w:ascii="Times New Roman" w:hAnsi="Times New Roman" w:cs="Times New Roman"/>
              <w:sz w:val="32"/>
            </w:rPr>
            <w:fldChar w:fldCharType="end"/>
          </w:r>
        </w:p>
        <w:p w14:paraId="1F7191BB">
          <w:pPr>
            <w:pStyle w:val="19"/>
            <w:tabs>
              <w:tab w:val="right" w:leader="dot" w:pos="8845"/>
            </w:tabs>
            <w:ind w:firstLine="552"/>
            <w:rPr>
              <w:rFonts w:ascii="Times New Roman" w:hAnsi="Times New Roman" w:cs="Times New Roman"/>
              <w:sz w:val="32"/>
            </w:rPr>
          </w:pPr>
          <w:r>
            <w:fldChar w:fldCharType="begin"/>
          </w:r>
          <w:r>
            <w:instrText xml:space="preserve"> HYPERLINK \l "_Toc14029" </w:instrText>
          </w:r>
          <w:r>
            <w:fldChar w:fldCharType="separate"/>
          </w:r>
          <w:r>
            <w:rPr>
              <w:rFonts w:ascii="Times New Roman" w:hAnsi="Times New Roman" w:eastAsia="仿宋" w:cs="Times New Roman"/>
              <w:bCs/>
              <w:sz w:val="32"/>
            </w:rPr>
            <w:t xml:space="preserve">7.1 </w:t>
          </w:r>
          <w:r>
            <w:rPr>
              <w:rFonts w:ascii="Times New Roman" w:hAnsi="Times New Roman" w:cs="Times New Roman"/>
              <w:sz w:val="32"/>
            </w:rPr>
            <w:t>应急队伍保障</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_Toc14029 \h </w:instrText>
          </w:r>
          <w:r>
            <w:rPr>
              <w:rFonts w:ascii="Times New Roman" w:hAnsi="Times New Roman" w:cs="Times New Roman"/>
              <w:sz w:val="32"/>
            </w:rPr>
            <w:fldChar w:fldCharType="separate"/>
          </w:r>
          <w:r>
            <w:rPr>
              <w:rFonts w:ascii="Times New Roman" w:hAnsi="Times New Roman" w:cs="Times New Roman"/>
              <w:sz w:val="32"/>
            </w:rPr>
            <w:t>22</w:t>
          </w:r>
          <w:r>
            <w:rPr>
              <w:rFonts w:ascii="Times New Roman" w:hAnsi="Times New Roman" w:cs="Times New Roman"/>
              <w:sz w:val="32"/>
            </w:rPr>
            <w:fldChar w:fldCharType="end"/>
          </w:r>
          <w:r>
            <w:rPr>
              <w:rFonts w:ascii="Times New Roman" w:hAnsi="Times New Roman" w:cs="Times New Roman"/>
              <w:sz w:val="32"/>
            </w:rPr>
            <w:fldChar w:fldCharType="end"/>
          </w:r>
        </w:p>
        <w:p w14:paraId="01DA70C0">
          <w:pPr>
            <w:pStyle w:val="19"/>
            <w:tabs>
              <w:tab w:val="right" w:leader="dot" w:pos="8845"/>
            </w:tabs>
            <w:ind w:firstLine="552"/>
            <w:rPr>
              <w:rFonts w:ascii="Times New Roman" w:hAnsi="Times New Roman" w:cs="Times New Roman"/>
              <w:sz w:val="32"/>
            </w:rPr>
          </w:pPr>
          <w:r>
            <w:fldChar w:fldCharType="begin"/>
          </w:r>
          <w:r>
            <w:instrText xml:space="preserve"> HYPERLINK \l "_Toc29335" </w:instrText>
          </w:r>
          <w:r>
            <w:fldChar w:fldCharType="separate"/>
          </w:r>
          <w:r>
            <w:rPr>
              <w:rFonts w:ascii="Times New Roman" w:hAnsi="Times New Roman" w:eastAsia="仿宋" w:cs="Times New Roman"/>
              <w:bCs/>
              <w:sz w:val="32"/>
            </w:rPr>
            <w:t xml:space="preserve">7.2 </w:t>
          </w:r>
          <w:r>
            <w:rPr>
              <w:rFonts w:ascii="Times New Roman" w:hAnsi="Times New Roman" w:cs="Times New Roman"/>
              <w:sz w:val="32"/>
            </w:rPr>
            <w:t>通信及信息保障</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_Toc29335 \h </w:instrText>
          </w:r>
          <w:r>
            <w:rPr>
              <w:rFonts w:ascii="Times New Roman" w:hAnsi="Times New Roman" w:cs="Times New Roman"/>
              <w:sz w:val="32"/>
            </w:rPr>
            <w:fldChar w:fldCharType="separate"/>
          </w:r>
          <w:r>
            <w:rPr>
              <w:rFonts w:ascii="Times New Roman" w:hAnsi="Times New Roman" w:cs="Times New Roman"/>
              <w:sz w:val="32"/>
            </w:rPr>
            <w:t>23</w:t>
          </w:r>
          <w:r>
            <w:rPr>
              <w:rFonts w:ascii="Times New Roman" w:hAnsi="Times New Roman" w:cs="Times New Roman"/>
              <w:sz w:val="32"/>
            </w:rPr>
            <w:fldChar w:fldCharType="end"/>
          </w:r>
          <w:r>
            <w:rPr>
              <w:rFonts w:ascii="Times New Roman" w:hAnsi="Times New Roman" w:cs="Times New Roman"/>
              <w:sz w:val="32"/>
            </w:rPr>
            <w:fldChar w:fldCharType="end"/>
          </w:r>
        </w:p>
        <w:p w14:paraId="5C7D800A">
          <w:pPr>
            <w:pStyle w:val="19"/>
            <w:tabs>
              <w:tab w:val="right" w:leader="dot" w:pos="8845"/>
            </w:tabs>
            <w:ind w:firstLine="552"/>
            <w:rPr>
              <w:rFonts w:ascii="Times New Roman" w:hAnsi="Times New Roman" w:cs="Times New Roman"/>
              <w:sz w:val="32"/>
            </w:rPr>
          </w:pPr>
          <w:r>
            <w:fldChar w:fldCharType="begin"/>
          </w:r>
          <w:r>
            <w:instrText xml:space="preserve"> HYPERLINK \l "_Toc11157" </w:instrText>
          </w:r>
          <w:r>
            <w:fldChar w:fldCharType="separate"/>
          </w:r>
          <w:r>
            <w:rPr>
              <w:rFonts w:ascii="Times New Roman" w:hAnsi="Times New Roman" w:eastAsia="仿宋" w:cs="Times New Roman"/>
              <w:bCs/>
              <w:sz w:val="32"/>
            </w:rPr>
            <w:t xml:space="preserve">7.3 </w:t>
          </w:r>
          <w:r>
            <w:rPr>
              <w:rFonts w:ascii="Times New Roman" w:hAnsi="Times New Roman" w:cs="Times New Roman"/>
              <w:sz w:val="32"/>
            </w:rPr>
            <w:t>物资装备保障</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_Toc11157 \h </w:instrText>
          </w:r>
          <w:r>
            <w:rPr>
              <w:rFonts w:ascii="Times New Roman" w:hAnsi="Times New Roman" w:cs="Times New Roman"/>
              <w:sz w:val="32"/>
            </w:rPr>
            <w:fldChar w:fldCharType="separate"/>
          </w:r>
          <w:r>
            <w:rPr>
              <w:rFonts w:ascii="Times New Roman" w:hAnsi="Times New Roman" w:cs="Times New Roman"/>
              <w:sz w:val="32"/>
            </w:rPr>
            <w:t>23</w:t>
          </w:r>
          <w:r>
            <w:rPr>
              <w:rFonts w:ascii="Times New Roman" w:hAnsi="Times New Roman" w:cs="Times New Roman"/>
              <w:sz w:val="32"/>
            </w:rPr>
            <w:fldChar w:fldCharType="end"/>
          </w:r>
          <w:r>
            <w:rPr>
              <w:rFonts w:ascii="Times New Roman" w:hAnsi="Times New Roman" w:cs="Times New Roman"/>
              <w:sz w:val="32"/>
            </w:rPr>
            <w:fldChar w:fldCharType="end"/>
          </w:r>
        </w:p>
        <w:p w14:paraId="2D71A66F">
          <w:pPr>
            <w:pStyle w:val="19"/>
            <w:tabs>
              <w:tab w:val="right" w:leader="dot" w:pos="8845"/>
            </w:tabs>
            <w:ind w:firstLine="552"/>
            <w:rPr>
              <w:rFonts w:ascii="Times New Roman" w:hAnsi="Times New Roman" w:cs="Times New Roman"/>
              <w:sz w:val="32"/>
            </w:rPr>
          </w:pPr>
          <w:r>
            <w:fldChar w:fldCharType="begin"/>
          </w:r>
          <w:r>
            <w:instrText xml:space="preserve"> HYPERLINK \l "_Toc16501" </w:instrText>
          </w:r>
          <w:r>
            <w:fldChar w:fldCharType="separate"/>
          </w:r>
          <w:r>
            <w:rPr>
              <w:rFonts w:ascii="Times New Roman" w:hAnsi="Times New Roman" w:eastAsia="仿宋" w:cs="Times New Roman"/>
              <w:bCs/>
              <w:sz w:val="32"/>
            </w:rPr>
            <w:t xml:space="preserve">7.4 </w:t>
          </w:r>
          <w:r>
            <w:rPr>
              <w:rFonts w:ascii="Times New Roman" w:hAnsi="Times New Roman" w:cs="Times New Roman"/>
              <w:sz w:val="32"/>
            </w:rPr>
            <w:t>交通保障</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_Toc16501 \h </w:instrText>
          </w:r>
          <w:r>
            <w:rPr>
              <w:rFonts w:ascii="Times New Roman" w:hAnsi="Times New Roman" w:cs="Times New Roman"/>
              <w:sz w:val="32"/>
            </w:rPr>
            <w:fldChar w:fldCharType="separate"/>
          </w:r>
          <w:r>
            <w:rPr>
              <w:rFonts w:ascii="Times New Roman" w:hAnsi="Times New Roman" w:cs="Times New Roman"/>
              <w:sz w:val="32"/>
            </w:rPr>
            <w:t>23</w:t>
          </w:r>
          <w:r>
            <w:rPr>
              <w:rFonts w:ascii="Times New Roman" w:hAnsi="Times New Roman" w:cs="Times New Roman"/>
              <w:sz w:val="32"/>
            </w:rPr>
            <w:fldChar w:fldCharType="end"/>
          </w:r>
          <w:r>
            <w:rPr>
              <w:rFonts w:ascii="Times New Roman" w:hAnsi="Times New Roman" w:cs="Times New Roman"/>
              <w:sz w:val="32"/>
            </w:rPr>
            <w:fldChar w:fldCharType="end"/>
          </w:r>
        </w:p>
        <w:p w14:paraId="028EE015">
          <w:pPr>
            <w:pStyle w:val="19"/>
            <w:tabs>
              <w:tab w:val="right" w:leader="dot" w:pos="8845"/>
            </w:tabs>
            <w:ind w:firstLine="552"/>
            <w:rPr>
              <w:rFonts w:ascii="Times New Roman" w:hAnsi="Times New Roman" w:cs="Times New Roman"/>
              <w:sz w:val="32"/>
            </w:rPr>
          </w:pPr>
          <w:r>
            <w:fldChar w:fldCharType="begin"/>
          </w:r>
          <w:r>
            <w:instrText xml:space="preserve"> HYPERLINK \l "_Toc29558" </w:instrText>
          </w:r>
          <w:r>
            <w:fldChar w:fldCharType="separate"/>
          </w:r>
          <w:r>
            <w:rPr>
              <w:rFonts w:ascii="Times New Roman" w:hAnsi="Times New Roman" w:eastAsia="仿宋" w:cs="Times New Roman"/>
              <w:bCs/>
              <w:sz w:val="32"/>
            </w:rPr>
            <w:t xml:space="preserve">7.5 </w:t>
          </w:r>
          <w:r>
            <w:rPr>
              <w:rFonts w:ascii="Times New Roman" w:hAnsi="Times New Roman" w:cs="Times New Roman"/>
              <w:sz w:val="32"/>
            </w:rPr>
            <w:t>经费保障</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_Toc29558 \h </w:instrText>
          </w:r>
          <w:r>
            <w:rPr>
              <w:rFonts w:ascii="Times New Roman" w:hAnsi="Times New Roman" w:cs="Times New Roman"/>
              <w:sz w:val="32"/>
            </w:rPr>
            <w:fldChar w:fldCharType="separate"/>
          </w:r>
          <w:r>
            <w:rPr>
              <w:rFonts w:ascii="Times New Roman" w:hAnsi="Times New Roman" w:cs="Times New Roman"/>
              <w:sz w:val="32"/>
            </w:rPr>
            <w:t>24</w:t>
          </w:r>
          <w:r>
            <w:rPr>
              <w:rFonts w:ascii="Times New Roman" w:hAnsi="Times New Roman" w:cs="Times New Roman"/>
              <w:sz w:val="32"/>
            </w:rPr>
            <w:fldChar w:fldCharType="end"/>
          </w:r>
          <w:r>
            <w:rPr>
              <w:rFonts w:ascii="Times New Roman" w:hAnsi="Times New Roman" w:cs="Times New Roman"/>
              <w:sz w:val="32"/>
            </w:rPr>
            <w:fldChar w:fldCharType="end"/>
          </w:r>
        </w:p>
        <w:p w14:paraId="43F577B8">
          <w:pPr>
            <w:pStyle w:val="19"/>
            <w:tabs>
              <w:tab w:val="right" w:leader="dot" w:pos="8845"/>
            </w:tabs>
            <w:ind w:firstLine="552"/>
            <w:rPr>
              <w:rFonts w:ascii="Times New Roman" w:hAnsi="Times New Roman" w:cs="Times New Roman"/>
              <w:sz w:val="32"/>
            </w:rPr>
          </w:pPr>
          <w:r>
            <w:fldChar w:fldCharType="begin"/>
          </w:r>
          <w:r>
            <w:instrText xml:space="preserve"> HYPERLINK \l "_Toc12802" </w:instrText>
          </w:r>
          <w:r>
            <w:fldChar w:fldCharType="separate"/>
          </w:r>
          <w:r>
            <w:rPr>
              <w:rFonts w:ascii="Times New Roman" w:hAnsi="Times New Roman" w:eastAsia="仿宋" w:cs="Times New Roman"/>
              <w:bCs/>
              <w:sz w:val="32"/>
            </w:rPr>
            <w:t xml:space="preserve">7.6 </w:t>
          </w:r>
          <w:r>
            <w:rPr>
              <w:rFonts w:ascii="Times New Roman" w:hAnsi="Times New Roman" w:cs="Times New Roman"/>
              <w:sz w:val="32"/>
            </w:rPr>
            <w:t>治安保障</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_Toc12802 \h </w:instrText>
          </w:r>
          <w:r>
            <w:rPr>
              <w:rFonts w:ascii="Times New Roman" w:hAnsi="Times New Roman" w:cs="Times New Roman"/>
              <w:sz w:val="32"/>
            </w:rPr>
            <w:fldChar w:fldCharType="separate"/>
          </w:r>
          <w:r>
            <w:rPr>
              <w:rFonts w:ascii="Times New Roman" w:hAnsi="Times New Roman" w:cs="Times New Roman"/>
              <w:sz w:val="32"/>
            </w:rPr>
            <w:t>24</w:t>
          </w:r>
          <w:r>
            <w:rPr>
              <w:rFonts w:ascii="Times New Roman" w:hAnsi="Times New Roman" w:cs="Times New Roman"/>
              <w:sz w:val="32"/>
            </w:rPr>
            <w:fldChar w:fldCharType="end"/>
          </w:r>
          <w:r>
            <w:rPr>
              <w:rFonts w:ascii="Times New Roman" w:hAnsi="Times New Roman" w:cs="Times New Roman"/>
              <w:sz w:val="32"/>
            </w:rPr>
            <w:fldChar w:fldCharType="end"/>
          </w:r>
        </w:p>
        <w:p w14:paraId="665E7D57">
          <w:pPr>
            <w:pStyle w:val="19"/>
            <w:tabs>
              <w:tab w:val="right" w:leader="dot" w:pos="8845"/>
            </w:tabs>
            <w:ind w:firstLine="552"/>
            <w:rPr>
              <w:rFonts w:ascii="Times New Roman" w:hAnsi="Times New Roman" w:cs="Times New Roman"/>
              <w:sz w:val="32"/>
            </w:rPr>
          </w:pPr>
          <w:r>
            <w:fldChar w:fldCharType="begin"/>
          </w:r>
          <w:r>
            <w:instrText xml:space="preserve"> HYPERLINK \l "_Toc10849" </w:instrText>
          </w:r>
          <w:r>
            <w:fldChar w:fldCharType="separate"/>
          </w:r>
          <w:r>
            <w:rPr>
              <w:rFonts w:ascii="Times New Roman" w:hAnsi="Times New Roman" w:eastAsia="仿宋" w:cs="Times New Roman"/>
              <w:bCs/>
              <w:sz w:val="32"/>
            </w:rPr>
            <w:t xml:space="preserve">7.7 </w:t>
          </w:r>
          <w:r>
            <w:rPr>
              <w:rFonts w:ascii="Times New Roman" w:hAnsi="Times New Roman" w:cs="Times New Roman"/>
              <w:sz w:val="32"/>
            </w:rPr>
            <w:t>技术储备保障</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_Toc10849 \h </w:instrText>
          </w:r>
          <w:r>
            <w:rPr>
              <w:rFonts w:ascii="Times New Roman" w:hAnsi="Times New Roman" w:cs="Times New Roman"/>
              <w:sz w:val="32"/>
            </w:rPr>
            <w:fldChar w:fldCharType="separate"/>
          </w:r>
          <w:r>
            <w:rPr>
              <w:rFonts w:ascii="Times New Roman" w:hAnsi="Times New Roman" w:cs="Times New Roman"/>
              <w:sz w:val="32"/>
            </w:rPr>
            <w:t>24</w:t>
          </w:r>
          <w:r>
            <w:rPr>
              <w:rFonts w:ascii="Times New Roman" w:hAnsi="Times New Roman" w:cs="Times New Roman"/>
              <w:sz w:val="32"/>
            </w:rPr>
            <w:fldChar w:fldCharType="end"/>
          </w:r>
          <w:r>
            <w:rPr>
              <w:rFonts w:ascii="Times New Roman" w:hAnsi="Times New Roman" w:cs="Times New Roman"/>
              <w:sz w:val="32"/>
            </w:rPr>
            <w:fldChar w:fldCharType="end"/>
          </w:r>
        </w:p>
        <w:p w14:paraId="7CBEEE5A">
          <w:pPr>
            <w:pStyle w:val="19"/>
            <w:tabs>
              <w:tab w:val="right" w:leader="dot" w:pos="8845"/>
            </w:tabs>
            <w:ind w:firstLine="552"/>
            <w:rPr>
              <w:rFonts w:ascii="Times New Roman" w:hAnsi="Times New Roman" w:cs="Times New Roman"/>
              <w:sz w:val="32"/>
            </w:rPr>
          </w:pPr>
          <w:r>
            <w:fldChar w:fldCharType="begin"/>
          </w:r>
          <w:r>
            <w:instrText xml:space="preserve"> HYPERLINK \l "_Toc13612" </w:instrText>
          </w:r>
          <w:r>
            <w:fldChar w:fldCharType="separate"/>
          </w:r>
          <w:r>
            <w:rPr>
              <w:rFonts w:ascii="Times New Roman" w:hAnsi="Times New Roman" w:eastAsia="仿宋" w:cs="Times New Roman"/>
              <w:bCs/>
              <w:sz w:val="32"/>
            </w:rPr>
            <w:t xml:space="preserve">7.8 </w:t>
          </w:r>
          <w:r>
            <w:rPr>
              <w:rFonts w:ascii="Times New Roman" w:hAnsi="Times New Roman" w:cs="Times New Roman"/>
              <w:sz w:val="32"/>
            </w:rPr>
            <w:t>医疗卫生保障</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_Toc13612 \h </w:instrText>
          </w:r>
          <w:r>
            <w:rPr>
              <w:rFonts w:ascii="Times New Roman" w:hAnsi="Times New Roman" w:cs="Times New Roman"/>
              <w:sz w:val="32"/>
            </w:rPr>
            <w:fldChar w:fldCharType="separate"/>
          </w:r>
          <w:r>
            <w:rPr>
              <w:rFonts w:ascii="Times New Roman" w:hAnsi="Times New Roman" w:cs="Times New Roman"/>
              <w:sz w:val="32"/>
            </w:rPr>
            <w:t>25</w:t>
          </w:r>
          <w:r>
            <w:rPr>
              <w:rFonts w:ascii="Times New Roman" w:hAnsi="Times New Roman" w:cs="Times New Roman"/>
              <w:sz w:val="32"/>
            </w:rPr>
            <w:fldChar w:fldCharType="end"/>
          </w:r>
          <w:r>
            <w:rPr>
              <w:rFonts w:ascii="Times New Roman" w:hAnsi="Times New Roman" w:cs="Times New Roman"/>
              <w:sz w:val="32"/>
            </w:rPr>
            <w:fldChar w:fldCharType="end"/>
          </w:r>
        </w:p>
        <w:p w14:paraId="45C58E15">
          <w:pPr>
            <w:pStyle w:val="19"/>
            <w:tabs>
              <w:tab w:val="right" w:leader="dot" w:pos="8845"/>
            </w:tabs>
            <w:ind w:firstLine="552"/>
            <w:rPr>
              <w:rFonts w:ascii="Times New Roman" w:hAnsi="Times New Roman" w:cs="Times New Roman"/>
              <w:sz w:val="32"/>
            </w:rPr>
          </w:pPr>
          <w:r>
            <w:fldChar w:fldCharType="begin"/>
          </w:r>
          <w:r>
            <w:instrText xml:space="preserve"> HYPERLINK \l "_Toc18759" </w:instrText>
          </w:r>
          <w:r>
            <w:fldChar w:fldCharType="separate"/>
          </w:r>
          <w:r>
            <w:rPr>
              <w:rFonts w:ascii="Times New Roman" w:hAnsi="Times New Roman" w:eastAsia="仿宋" w:cs="Times New Roman"/>
              <w:bCs/>
              <w:sz w:val="32"/>
            </w:rPr>
            <w:t xml:space="preserve">7.9 </w:t>
          </w:r>
          <w:r>
            <w:rPr>
              <w:rFonts w:ascii="Times New Roman" w:hAnsi="Times New Roman" w:cs="Times New Roman"/>
              <w:sz w:val="32"/>
            </w:rPr>
            <w:t>紧急避难场所保障</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_Toc18759 \h </w:instrText>
          </w:r>
          <w:r>
            <w:rPr>
              <w:rFonts w:ascii="Times New Roman" w:hAnsi="Times New Roman" w:cs="Times New Roman"/>
              <w:sz w:val="32"/>
            </w:rPr>
            <w:fldChar w:fldCharType="separate"/>
          </w:r>
          <w:r>
            <w:rPr>
              <w:rFonts w:ascii="Times New Roman" w:hAnsi="Times New Roman" w:cs="Times New Roman"/>
              <w:sz w:val="32"/>
            </w:rPr>
            <w:t>25</w:t>
          </w:r>
          <w:r>
            <w:rPr>
              <w:rFonts w:ascii="Times New Roman" w:hAnsi="Times New Roman" w:cs="Times New Roman"/>
              <w:sz w:val="32"/>
            </w:rPr>
            <w:fldChar w:fldCharType="end"/>
          </w:r>
          <w:r>
            <w:rPr>
              <w:rFonts w:ascii="Times New Roman" w:hAnsi="Times New Roman" w:cs="Times New Roman"/>
              <w:sz w:val="32"/>
            </w:rPr>
            <w:fldChar w:fldCharType="end"/>
          </w:r>
        </w:p>
        <w:p w14:paraId="54F32999">
          <w:pPr>
            <w:pStyle w:val="18"/>
            <w:rPr>
              <w:rFonts w:ascii="Times New Roman" w:hAnsi="Times New Roman" w:cs="Times New Roman"/>
              <w:sz w:val="32"/>
            </w:rPr>
          </w:pPr>
          <w:r>
            <w:fldChar w:fldCharType="begin"/>
          </w:r>
          <w:r>
            <w:instrText xml:space="preserve"> HYPERLINK \l "_Toc32495" </w:instrText>
          </w:r>
          <w:r>
            <w:fldChar w:fldCharType="separate"/>
          </w:r>
          <w:r>
            <w:rPr>
              <w:rFonts w:ascii="Times New Roman" w:hAnsi="Times New Roman" w:eastAsia="仿宋" w:cs="Times New Roman"/>
              <w:sz w:val="32"/>
            </w:rPr>
            <w:t xml:space="preserve">8 </w:t>
          </w:r>
          <w:r>
            <w:rPr>
              <w:rFonts w:ascii="Times New Roman" w:hAnsi="Times New Roman" w:cs="Times New Roman"/>
              <w:sz w:val="32"/>
            </w:rPr>
            <w:t>监督管理</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_Toc32495 \h </w:instrText>
          </w:r>
          <w:r>
            <w:rPr>
              <w:rFonts w:ascii="Times New Roman" w:hAnsi="Times New Roman" w:cs="Times New Roman"/>
              <w:sz w:val="32"/>
            </w:rPr>
            <w:fldChar w:fldCharType="separate"/>
          </w:r>
          <w:r>
            <w:rPr>
              <w:rFonts w:ascii="Times New Roman" w:hAnsi="Times New Roman" w:cs="Times New Roman"/>
              <w:sz w:val="32"/>
            </w:rPr>
            <w:t>25</w:t>
          </w:r>
          <w:r>
            <w:rPr>
              <w:rFonts w:ascii="Times New Roman" w:hAnsi="Times New Roman" w:cs="Times New Roman"/>
              <w:sz w:val="32"/>
            </w:rPr>
            <w:fldChar w:fldCharType="end"/>
          </w:r>
          <w:r>
            <w:rPr>
              <w:rFonts w:ascii="Times New Roman" w:hAnsi="Times New Roman" w:cs="Times New Roman"/>
              <w:sz w:val="32"/>
            </w:rPr>
            <w:fldChar w:fldCharType="end"/>
          </w:r>
        </w:p>
        <w:p w14:paraId="15035F35">
          <w:pPr>
            <w:pStyle w:val="19"/>
            <w:tabs>
              <w:tab w:val="right" w:leader="dot" w:pos="8845"/>
            </w:tabs>
            <w:ind w:firstLine="552"/>
            <w:rPr>
              <w:rFonts w:ascii="Times New Roman" w:hAnsi="Times New Roman" w:cs="Times New Roman"/>
              <w:sz w:val="32"/>
            </w:rPr>
          </w:pPr>
          <w:r>
            <w:fldChar w:fldCharType="begin"/>
          </w:r>
          <w:r>
            <w:instrText xml:space="preserve"> HYPERLINK \l "_Toc6589" </w:instrText>
          </w:r>
          <w:r>
            <w:fldChar w:fldCharType="separate"/>
          </w:r>
          <w:r>
            <w:rPr>
              <w:rFonts w:ascii="Times New Roman" w:hAnsi="Times New Roman" w:eastAsia="仿宋" w:cs="Times New Roman"/>
              <w:bCs/>
              <w:sz w:val="32"/>
            </w:rPr>
            <w:t xml:space="preserve">8.1 </w:t>
          </w:r>
          <w:r>
            <w:rPr>
              <w:rFonts w:ascii="Times New Roman" w:hAnsi="Times New Roman" w:cs="Times New Roman"/>
              <w:sz w:val="32"/>
            </w:rPr>
            <w:t>宣传培训</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_Toc6589 \h </w:instrText>
          </w:r>
          <w:r>
            <w:rPr>
              <w:rFonts w:ascii="Times New Roman" w:hAnsi="Times New Roman" w:cs="Times New Roman"/>
              <w:sz w:val="32"/>
            </w:rPr>
            <w:fldChar w:fldCharType="separate"/>
          </w:r>
          <w:r>
            <w:rPr>
              <w:rFonts w:ascii="Times New Roman" w:hAnsi="Times New Roman" w:cs="Times New Roman"/>
              <w:sz w:val="32"/>
            </w:rPr>
            <w:t>25</w:t>
          </w:r>
          <w:r>
            <w:rPr>
              <w:rFonts w:ascii="Times New Roman" w:hAnsi="Times New Roman" w:cs="Times New Roman"/>
              <w:sz w:val="32"/>
            </w:rPr>
            <w:fldChar w:fldCharType="end"/>
          </w:r>
          <w:r>
            <w:rPr>
              <w:rFonts w:ascii="Times New Roman" w:hAnsi="Times New Roman" w:cs="Times New Roman"/>
              <w:sz w:val="32"/>
            </w:rPr>
            <w:fldChar w:fldCharType="end"/>
          </w:r>
        </w:p>
        <w:p w14:paraId="66BDD280">
          <w:pPr>
            <w:pStyle w:val="19"/>
            <w:tabs>
              <w:tab w:val="right" w:leader="dot" w:pos="8845"/>
            </w:tabs>
            <w:ind w:firstLine="552"/>
            <w:rPr>
              <w:rFonts w:ascii="Times New Roman" w:hAnsi="Times New Roman" w:cs="Times New Roman"/>
              <w:sz w:val="32"/>
            </w:rPr>
          </w:pPr>
          <w:r>
            <w:fldChar w:fldCharType="begin"/>
          </w:r>
          <w:r>
            <w:instrText xml:space="preserve"> HYPERLINK \l "_Toc8432" </w:instrText>
          </w:r>
          <w:r>
            <w:fldChar w:fldCharType="separate"/>
          </w:r>
          <w:r>
            <w:rPr>
              <w:rFonts w:ascii="Times New Roman" w:hAnsi="Times New Roman" w:eastAsia="仿宋" w:cs="Times New Roman"/>
              <w:bCs/>
              <w:sz w:val="32"/>
            </w:rPr>
            <w:t xml:space="preserve">8.2 </w:t>
          </w:r>
          <w:r>
            <w:rPr>
              <w:rFonts w:ascii="Times New Roman" w:hAnsi="Times New Roman" w:cs="Times New Roman"/>
              <w:sz w:val="32"/>
            </w:rPr>
            <w:t>预案演练</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_Toc8432 \h </w:instrText>
          </w:r>
          <w:r>
            <w:rPr>
              <w:rFonts w:ascii="Times New Roman" w:hAnsi="Times New Roman" w:cs="Times New Roman"/>
              <w:sz w:val="32"/>
            </w:rPr>
            <w:fldChar w:fldCharType="separate"/>
          </w:r>
          <w:r>
            <w:rPr>
              <w:rFonts w:ascii="Times New Roman" w:hAnsi="Times New Roman" w:cs="Times New Roman"/>
              <w:sz w:val="32"/>
            </w:rPr>
            <w:t>26</w:t>
          </w:r>
          <w:r>
            <w:rPr>
              <w:rFonts w:ascii="Times New Roman" w:hAnsi="Times New Roman" w:cs="Times New Roman"/>
              <w:sz w:val="32"/>
            </w:rPr>
            <w:fldChar w:fldCharType="end"/>
          </w:r>
          <w:r>
            <w:rPr>
              <w:rFonts w:ascii="Times New Roman" w:hAnsi="Times New Roman" w:cs="Times New Roman"/>
              <w:sz w:val="32"/>
            </w:rPr>
            <w:fldChar w:fldCharType="end"/>
          </w:r>
        </w:p>
        <w:p w14:paraId="67418EDF">
          <w:pPr>
            <w:pStyle w:val="19"/>
            <w:tabs>
              <w:tab w:val="right" w:leader="dot" w:pos="8845"/>
            </w:tabs>
            <w:ind w:firstLine="552"/>
            <w:rPr>
              <w:rFonts w:ascii="Times New Roman" w:hAnsi="Times New Roman" w:cs="Times New Roman"/>
              <w:sz w:val="32"/>
            </w:rPr>
          </w:pPr>
          <w:r>
            <w:fldChar w:fldCharType="begin"/>
          </w:r>
          <w:r>
            <w:instrText xml:space="preserve"> HYPERLINK \l "_Toc9133" </w:instrText>
          </w:r>
          <w:r>
            <w:fldChar w:fldCharType="separate"/>
          </w:r>
          <w:r>
            <w:rPr>
              <w:rFonts w:ascii="Times New Roman" w:hAnsi="Times New Roman" w:eastAsia="仿宋" w:cs="Times New Roman"/>
              <w:bCs/>
              <w:sz w:val="32"/>
            </w:rPr>
            <w:t xml:space="preserve">8.3 </w:t>
          </w:r>
          <w:r>
            <w:rPr>
              <w:rFonts w:ascii="Times New Roman" w:hAnsi="Times New Roman" w:cs="Times New Roman"/>
              <w:sz w:val="32"/>
            </w:rPr>
            <w:t>责任与奖惩</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_Toc9133 \h </w:instrText>
          </w:r>
          <w:r>
            <w:rPr>
              <w:rFonts w:ascii="Times New Roman" w:hAnsi="Times New Roman" w:cs="Times New Roman"/>
              <w:sz w:val="32"/>
            </w:rPr>
            <w:fldChar w:fldCharType="separate"/>
          </w:r>
          <w:r>
            <w:rPr>
              <w:rFonts w:ascii="Times New Roman" w:hAnsi="Times New Roman" w:cs="Times New Roman"/>
              <w:sz w:val="32"/>
            </w:rPr>
            <w:t>27</w:t>
          </w:r>
          <w:r>
            <w:rPr>
              <w:rFonts w:ascii="Times New Roman" w:hAnsi="Times New Roman" w:cs="Times New Roman"/>
              <w:sz w:val="32"/>
            </w:rPr>
            <w:fldChar w:fldCharType="end"/>
          </w:r>
          <w:r>
            <w:rPr>
              <w:rFonts w:ascii="Times New Roman" w:hAnsi="Times New Roman" w:cs="Times New Roman"/>
              <w:sz w:val="32"/>
            </w:rPr>
            <w:fldChar w:fldCharType="end"/>
          </w:r>
        </w:p>
        <w:p w14:paraId="794A8A7C">
          <w:pPr>
            <w:pStyle w:val="19"/>
            <w:tabs>
              <w:tab w:val="right" w:leader="dot" w:pos="8845"/>
            </w:tabs>
            <w:ind w:firstLine="552"/>
            <w:rPr>
              <w:rFonts w:ascii="Times New Roman" w:hAnsi="Times New Roman" w:cs="Times New Roman"/>
              <w:sz w:val="32"/>
            </w:rPr>
          </w:pPr>
          <w:r>
            <w:fldChar w:fldCharType="begin"/>
          </w:r>
          <w:r>
            <w:instrText xml:space="preserve"> HYPERLINK \l "_Toc13541" </w:instrText>
          </w:r>
          <w:r>
            <w:fldChar w:fldCharType="separate"/>
          </w:r>
          <w:r>
            <w:rPr>
              <w:rFonts w:ascii="Times New Roman" w:hAnsi="Times New Roman" w:eastAsia="仿宋" w:cs="Times New Roman"/>
              <w:bCs/>
              <w:sz w:val="32"/>
            </w:rPr>
            <w:t xml:space="preserve">8.4 </w:t>
          </w:r>
          <w:r>
            <w:rPr>
              <w:rFonts w:ascii="Times New Roman" w:hAnsi="Times New Roman" w:cs="Times New Roman"/>
              <w:sz w:val="32"/>
            </w:rPr>
            <w:t>预案修订</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_Toc13541 \h </w:instrText>
          </w:r>
          <w:r>
            <w:rPr>
              <w:rFonts w:ascii="Times New Roman" w:hAnsi="Times New Roman" w:cs="Times New Roman"/>
              <w:sz w:val="32"/>
            </w:rPr>
            <w:fldChar w:fldCharType="separate"/>
          </w:r>
          <w:r>
            <w:rPr>
              <w:rFonts w:ascii="Times New Roman" w:hAnsi="Times New Roman" w:cs="Times New Roman"/>
              <w:sz w:val="32"/>
            </w:rPr>
            <w:t>27</w:t>
          </w:r>
          <w:r>
            <w:rPr>
              <w:rFonts w:ascii="Times New Roman" w:hAnsi="Times New Roman" w:cs="Times New Roman"/>
              <w:sz w:val="32"/>
            </w:rPr>
            <w:fldChar w:fldCharType="end"/>
          </w:r>
          <w:r>
            <w:rPr>
              <w:rFonts w:ascii="Times New Roman" w:hAnsi="Times New Roman" w:cs="Times New Roman"/>
              <w:sz w:val="32"/>
            </w:rPr>
            <w:fldChar w:fldCharType="end"/>
          </w:r>
        </w:p>
        <w:p w14:paraId="362218E8">
          <w:pPr>
            <w:pStyle w:val="19"/>
            <w:tabs>
              <w:tab w:val="right" w:leader="dot" w:pos="8845"/>
            </w:tabs>
            <w:ind w:firstLine="552"/>
            <w:rPr>
              <w:rFonts w:ascii="Times New Roman" w:hAnsi="Times New Roman" w:cs="Times New Roman"/>
              <w:sz w:val="32"/>
            </w:rPr>
          </w:pPr>
          <w:r>
            <w:fldChar w:fldCharType="begin"/>
          </w:r>
          <w:r>
            <w:instrText xml:space="preserve"> HYPERLINK \l "_Toc19874" </w:instrText>
          </w:r>
          <w:r>
            <w:fldChar w:fldCharType="separate"/>
          </w:r>
          <w:r>
            <w:rPr>
              <w:rFonts w:ascii="Times New Roman" w:hAnsi="Times New Roman" w:eastAsia="仿宋" w:cs="Times New Roman"/>
              <w:bCs/>
              <w:sz w:val="32"/>
            </w:rPr>
            <w:t xml:space="preserve">8.5 </w:t>
          </w:r>
          <w:r>
            <w:rPr>
              <w:rFonts w:ascii="Times New Roman" w:hAnsi="Times New Roman" w:cs="Times New Roman"/>
              <w:sz w:val="32"/>
            </w:rPr>
            <w:t>预案实施</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_Toc19874 \h </w:instrText>
          </w:r>
          <w:r>
            <w:rPr>
              <w:rFonts w:ascii="Times New Roman" w:hAnsi="Times New Roman" w:cs="Times New Roman"/>
              <w:sz w:val="32"/>
            </w:rPr>
            <w:fldChar w:fldCharType="separate"/>
          </w:r>
          <w:r>
            <w:rPr>
              <w:rFonts w:ascii="Times New Roman" w:hAnsi="Times New Roman" w:cs="Times New Roman"/>
              <w:sz w:val="32"/>
            </w:rPr>
            <w:t>28</w:t>
          </w:r>
          <w:r>
            <w:rPr>
              <w:rFonts w:ascii="Times New Roman" w:hAnsi="Times New Roman" w:cs="Times New Roman"/>
              <w:sz w:val="32"/>
            </w:rPr>
            <w:fldChar w:fldCharType="end"/>
          </w:r>
          <w:r>
            <w:rPr>
              <w:rFonts w:ascii="Times New Roman" w:hAnsi="Times New Roman" w:cs="Times New Roman"/>
              <w:sz w:val="32"/>
            </w:rPr>
            <w:fldChar w:fldCharType="end"/>
          </w:r>
        </w:p>
        <w:p w14:paraId="1479D8C8">
          <w:pPr>
            <w:pStyle w:val="18"/>
            <w:rPr>
              <w:rFonts w:ascii="Times New Roman" w:hAnsi="Times New Roman" w:cs="Times New Roman"/>
            </w:rPr>
          </w:pPr>
          <w:r>
            <w:fldChar w:fldCharType="begin"/>
          </w:r>
          <w:r>
            <w:instrText xml:space="preserve"> HYPERLINK \l "_Toc5165" </w:instrText>
          </w:r>
          <w:r>
            <w:fldChar w:fldCharType="separate"/>
          </w:r>
          <w:r>
            <w:rPr>
              <w:rFonts w:ascii="Times New Roman" w:hAnsi="Times New Roman" w:cs="Times New Roman"/>
              <w:sz w:val="32"/>
            </w:rPr>
            <w:t>附件1：城镇燃气事故分级标准</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_Toc5165 \h </w:instrText>
          </w:r>
          <w:r>
            <w:rPr>
              <w:rFonts w:ascii="Times New Roman" w:hAnsi="Times New Roman" w:cs="Times New Roman"/>
              <w:sz w:val="32"/>
            </w:rPr>
            <w:fldChar w:fldCharType="separate"/>
          </w:r>
          <w:r>
            <w:rPr>
              <w:rFonts w:ascii="Times New Roman" w:hAnsi="Times New Roman" w:cs="Times New Roman"/>
              <w:sz w:val="32"/>
            </w:rPr>
            <w:t>29</w:t>
          </w:r>
          <w:r>
            <w:rPr>
              <w:rFonts w:ascii="Times New Roman" w:hAnsi="Times New Roman" w:cs="Times New Roman"/>
              <w:sz w:val="32"/>
            </w:rPr>
            <w:fldChar w:fldCharType="end"/>
          </w:r>
          <w:r>
            <w:rPr>
              <w:rFonts w:ascii="Times New Roman" w:hAnsi="Times New Roman" w:cs="Times New Roman"/>
              <w:sz w:val="32"/>
            </w:rPr>
            <w:fldChar w:fldCharType="end"/>
          </w:r>
        </w:p>
        <w:p w14:paraId="4559BAB2">
          <w:pPr>
            <w:pStyle w:val="15"/>
            <w:ind w:left="0" w:leftChars="0" w:firstLine="0" w:firstLineChars="0"/>
            <w:rPr>
              <w:rFonts w:ascii="Times New Roman" w:hAnsi="Times New Roman" w:eastAsia="仿宋" w:cs="Times New Roman"/>
              <w:b/>
              <w:sz w:val="32"/>
            </w:rPr>
          </w:pPr>
          <w:r>
            <w:rPr>
              <w:rFonts w:ascii="Times New Roman" w:hAnsi="Times New Roman" w:cs="Times New Roman"/>
            </w:rPr>
            <w:fldChar w:fldCharType="end"/>
          </w:r>
        </w:p>
      </w:sdtContent>
    </w:sdt>
    <w:p w14:paraId="6275A195">
      <w:pPr>
        <w:pStyle w:val="15"/>
        <w:ind w:left="0" w:leftChars="0" w:firstLine="0" w:firstLineChars="0"/>
        <w:rPr>
          <w:rFonts w:ascii="Times New Roman" w:hAnsi="Times New Roman" w:eastAsia="仿宋" w:cs="Times New Roman"/>
          <w:b/>
          <w:sz w:val="32"/>
        </w:rPr>
      </w:pPr>
    </w:p>
    <w:p w14:paraId="5AFE3B36">
      <w:pPr>
        <w:ind w:firstLine="552"/>
        <w:rPr>
          <w:rFonts w:ascii="Times New Roman" w:hAnsi="Times New Roman" w:cs="Times New Roman"/>
        </w:rPr>
        <w:sectPr>
          <w:headerReference r:id="rId99" w:type="default"/>
          <w:footerReference r:id="rId100" w:type="default"/>
          <w:footerReference r:id="rId101" w:type="even"/>
          <w:pgSz w:w="11906" w:h="16838"/>
          <w:pgMar w:top="2098" w:right="1474" w:bottom="1984" w:left="1587" w:header="624" w:footer="1134" w:gutter="0"/>
          <w:pgNumType w:fmt="upperRoman" w:start="1"/>
          <w:cols w:space="0" w:num="1"/>
          <w:docGrid w:type="linesAndChars" w:linePitch="579" w:charSpace="-842"/>
        </w:sectPr>
      </w:pPr>
    </w:p>
    <w:p w14:paraId="2687A560">
      <w:pPr>
        <w:pStyle w:val="2"/>
        <w:numPr>
          <w:ilvl w:val="0"/>
          <w:numId w:val="176"/>
        </w:numPr>
        <w:tabs>
          <w:tab w:val="left" w:pos="0"/>
        </w:tabs>
        <w:ind w:firstLine="0" w:firstLineChars="0"/>
        <w:rPr>
          <w:rFonts w:ascii="Times New Roman" w:hAnsi="Times New Roman" w:cs="Times New Roman"/>
          <w:sz w:val="32"/>
        </w:rPr>
      </w:pPr>
      <w:bookmarkStart w:id="1017" w:name="_Toc16827"/>
      <w:r>
        <w:rPr>
          <w:rFonts w:ascii="Times New Roman" w:hAnsi="Times New Roman" w:cs="Times New Roman"/>
          <w:sz w:val="32"/>
        </w:rPr>
        <w:t>总则</w:t>
      </w:r>
      <w:bookmarkEnd w:id="1017"/>
    </w:p>
    <w:p w14:paraId="2B73DECC">
      <w:pPr>
        <w:pStyle w:val="3"/>
        <w:ind w:firstLine="0" w:firstLineChars="0"/>
        <w:rPr>
          <w:rFonts w:ascii="Times New Roman" w:hAnsi="Times New Roman" w:cs="Times New Roman"/>
          <w:sz w:val="32"/>
        </w:rPr>
      </w:pPr>
      <w:bookmarkStart w:id="1018" w:name="_Toc4804"/>
      <w:r>
        <w:rPr>
          <w:rFonts w:ascii="Times New Roman" w:hAnsi="Times New Roman" w:cs="Times New Roman"/>
          <w:sz w:val="32"/>
        </w:rPr>
        <w:t>编制目的</w:t>
      </w:r>
      <w:bookmarkEnd w:id="1018"/>
    </w:p>
    <w:p w14:paraId="4367D2E8">
      <w:pPr>
        <w:ind w:firstLine="632"/>
        <w:rPr>
          <w:rFonts w:ascii="Times New Roman" w:hAnsi="Times New Roman" w:cs="Times New Roman"/>
          <w:sz w:val="32"/>
        </w:rPr>
      </w:pPr>
      <w:r>
        <w:rPr>
          <w:rFonts w:ascii="Times New Roman" w:hAnsi="Times New Roman" w:cs="Times New Roman"/>
          <w:sz w:val="32"/>
        </w:rPr>
        <w:t>为认真贯彻落实习近平总书记关于安全生产重要论述精神，坚持“人民至上、生命至上”原则，建立健全燃气突发事件应急工作机制，规范和加强城镇燃气事故应急处置工作，有效预防、及时控制和消除燃气事故的危害，最大限度保护人民群众生命财产安全，保障全县燃气正常供应，维护社会稳定。</w:t>
      </w:r>
    </w:p>
    <w:p w14:paraId="6FA2E092">
      <w:pPr>
        <w:pStyle w:val="3"/>
        <w:ind w:firstLine="0" w:firstLineChars="0"/>
        <w:rPr>
          <w:rFonts w:ascii="Times New Roman" w:hAnsi="Times New Roman" w:cs="Times New Roman"/>
          <w:sz w:val="32"/>
        </w:rPr>
      </w:pPr>
      <w:bookmarkStart w:id="1019" w:name="_Toc4557"/>
      <w:r>
        <w:rPr>
          <w:rFonts w:ascii="Times New Roman" w:hAnsi="Times New Roman" w:cs="Times New Roman"/>
          <w:sz w:val="32"/>
        </w:rPr>
        <w:t>编制依据</w:t>
      </w:r>
      <w:bookmarkEnd w:id="1019"/>
    </w:p>
    <w:p w14:paraId="17C47905">
      <w:pPr>
        <w:ind w:firstLine="632"/>
        <w:rPr>
          <w:rFonts w:ascii="Times New Roman" w:hAnsi="Times New Roman" w:cs="Times New Roman"/>
          <w:sz w:val="32"/>
        </w:rPr>
      </w:pPr>
      <w:r>
        <w:rPr>
          <w:rFonts w:ascii="Times New Roman" w:hAnsi="Times New Roman" w:cs="Times New Roman"/>
          <w:sz w:val="32"/>
        </w:rPr>
        <w:t>依据《中华人民共和国突发事件应对法》《中华人民共和国安全生产法》《城镇燃气管理条例》《生产安全事故报告和调查处理条例》《黑龙江省城镇燃气管理条例》《黑龙江省重大燃气突发事件应急预案》《集贤县突发事件总体应急预案》等法律法规、相关文件制定本预案。</w:t>
      </w:r>
    </w:p>
    <w:p w14:paraId="6B2B7344">
      <w:pPr>
        <w:pStyle w:val="3"/>
        <w:ind w:firstLine="0" w:firstLineChars="0"/>
        <w:rPr>
          <w:rFonts w:ascii="Times New Roman" w:hAnsi="Times New Roman" w:cs="Times New Roman"/>
          <w:sz w:val="32"/>
        </w:rPr>
      </w:pPr>
      <w:bookmarkStart w:id="1020" w:name="_Toc7347"/>
      <w:r>
        <w:rPr>
          <w:rFonts w:ascii="Times New Roman" w:hAnsi="Times New Roman" w:cs="Times New Roman"/>
          <w:sz w:val="32"/>
        </w:rPr>
        <w:t>适用范围</w:t>
      </w:r>
      <w:bookmarkEnd w:id="1020"/>
    </w:p>
    <w:p w14:paraId="08E35F26">
      <w:pPr>
        <w:ind w:firstLine="632"/>
        <w:rPr>
          <w:rFonts w:ascii="Times New Roman" w:hAnsi="Times New Roman" w:cs="Times New Roman"/>
          <w:sz w:val="32"/>
        </w:rPr>
      </w:pPr>
      <w:r>
        <w:rPr>
          <w:rFonts w:ascii="Times New Roman" w:hAnsi="Times New Roman" w:cs="Times New Roman"/>
          <w:sz w:val="32"/>
        </w:rPr>
        <w:t>本预案适用于我县行政区域内的城镇燃气运输、储存、使用、经营过程中发生的燃气泄漏、爆炸、火灾等突发城镇燃气事故的应急处置工作。</w:t>
      </w:r>
    </w:p>
    <w:p w14:paraId="570B4591">
      <w:pPr>
        <w:pStyle w:val="3"/>
        <w:ind w:firstLine="0" w:firstLineChars="0"/>
        <w:rPr>
          <w:rFonts w:ascii="Times New Roman" w:hAnsi="Times New Roman" w:cs="Times New Roman"/>
          <w:sz w:val="32"/>
        </w:rPr>
      </w:pPr>
      <w:bookmarkStart w:id="1021" w:name="_Toc2222"/>
      <w:r>
        <w:rPr>
          <w:rFonts w:ascii="Times New Roman" w:hAnsi="Times New Roman" w:cs="Times New Roman"/>
          <w:sz w:val="32"/>
        </w:rPr>
        <w:t>工作原则</w:t>
      </w:r>
      <w:bookmarkEnd w:id="1021"/>
    </w:p>
    <w:p w14:paraId="4D92DBE4">
      <w:pPr>
        <w:ind w:firstLine="632"/>
        <w:rPr>
          <w:rFonts w:ascii="Times New Roman" w:hAnsi="Times New Roman" w:cs="Times New Roman"/>
          <w:sz w:val="32"/>
        </w:rPr>
      </w:pPr>
      <w:r>
        <w:rPr>
          <w:rFonts w:ascii="Times New Roman" w:hAnsi="Times New Roman" w:cs="Times New Roman"/>
          <w:sz w:val="32"/>
        </w:rPr>
        <w:t>（1）坚持以人为本，安全第一的原则。要将保障人民群众生命财产安全，最大限度地减少人员伤亡作为首要任务，不断完善和强化抢险手段，科学、迅速组织应急救援，把人员伤亡和危害降到最低限度。</w:t>
      </w:r>
    </w:p>
    <w:p w14:paraId="6F86CEA3">
      <w:pPr>
        <w:ind w:firstLine="632"/>
        <w:rPr>
          <w:rFonts w:ascii="Times New Roman" w:hAnsi="Times New Roman" w:cs="Times New Roman"/>
          <w:sz w:val="32"/>
        </w:rPr>
      </w:pPr>
      <w:r>
        <w:rPr>
          <w:rFonts w:ascii="Times New Roman" w:hAnsi="Times New Roman" w:cs="Times New Roman"/>
          <w:sz w:val="32"/>
        </w:rPr>
        <w:t>（2）坚持统一指挥、分级负责的原则。坚持统一领导、分级管理、分工负责、协调一致，各成员单位在县委、县政府的统一领导下，各司其职，各负其责，通力协作，主动配合，协同事发地乡镇人民政府做好相关工作。</w:t>
      </w:r>
    </w:p>
    <w:p w14:paraId="310064AF">
      <w:pPr>
        <w:ind w:firstLine="632"/>
        <w:rPr>
          <w:rFonts w:ascii="Times New Roman" w:hAnsi="Times New Roman" w:cs="Times New Roman"/>
          <w:sz w:val="32"/>
        </w:rPr>
      </w:pPr>
      <w:r>
        <w:rPr>
          <w:rFonts w:ascii="Times New Roman" w:hAnsi="Times New Roman" w:cs="Times New Roman"/>
          <w:sz w:val="32"/>
        </w:rPr>
        <w:t>（3）坚持集中力量、协同应对的原则。要根据事故类别和现场实况，依靠各级应急救援队伍和大型企业的应急救援队伍，动员社会各方力量共同参与。形成事故应急救援合力，采取切实可行的抢险救援安全措施，有效防止事故蔓延扩大。</w:t>
      </w:r>
    </w:p>
    <w:p w14:paraId="588E563B">
      <w:pPr>
        <w:ind w:firstLine="632"/>
        <w:rPr>
          <w:rFonts w:ascii="Times New Roman" w:hAnsi="Times New Roman" w:cs="Times New Roman"/>
          <w:sz w:val="32"/>
        </w:rPr>
      </w:pPr>
      <w:r>
        <w:rPr>
          <w:rFonts w:ascii="Times New Roman" w:hAnsi="Times New Roman" w:cs="Times New Roman"/>
          <w:sz w:val="32"/>
        </w:rPr>
        <w:t>（4）坚持条块结合、属地为主的原则。实行行政领导负责制。负责事故现场应急救援的指挥组织协调，充分依靠事发地公安、消防、交通、医疗等救援力量，积极开展辖区内发生的燃气突发事件应急救援工作；</w:t>
      </w:r>
    </w:p>
    <w:p w14:paraId="192E41DE">
      <w:pPr>
        <w:ind w:firstLine="632"/>
        <w:rPr>
          <w:rFonts w:ascii="Times New Roman" w:hAnsi="Times New Roman" w:cs="Times New Roman"/>
          <w:sz w:val="32"/>
        </w:rPr>
      </w:pPr>
      <w:r>
        <w:rPr>
          <w:rFonts w:ascii="Times New Roman" w:hAnsi="Times New Roman" w:cs="Times New Roman"/>
          <w:sz w:val="32"/>
        </w:rPr>
        <w:t>（5）坚持预防为主、平战结合的原则。贯彻落实“安全第一，预防为主，综合治理”的方针，坚持事故灾难应急救援与平时预防相结合，着重做好常态下的安全隐患排查与整改、风险评估、物资储备、队伍建设、预案演练及事故灾难的预测、预警。</w:t>
      </w:r>
    </w:p>
    <w:p w14:paraId="7250C305">
      <w:pPr>
        <w:pStyle w:val="3"/>
        <w:ind w:firstLine="0" w:firstLineChars="0"/>
        <w:rPr>
          <w:rFonts w:ascii="Times New Roman" w:hAnsi="Times New Roman" w:cs="Times New Roman"/>
          <w:sz w:val="32"/>
        </w:rPr>
      </w:pPr>
      <w:bookmarkStart w:id="1022" w:name="_Toc28840"/>
      <w:r>
        <w:rPr>
          <w:rFonts w:ascii="Times New Roman" w:hAnsi="Times New Roman" w:cs="Times New Roman"/>
          <w:sz w:val="32"/>
        </w:rPr>
        <w:t>事件分级</w:t>
      </w:r>
      <w:bookmarkEnd w:id="1022"/>
    </w:p>
    <w:p w14:paraId="67B2331B">
      <w:pPr>
        <w:ind w:firstLine="632"/>
        <w:rPr>
          <w:rFonts w:ascii="Times New Roman" w:hAnsi="Times New Roman" w:cs="Times New Roman"/>
          <w:sz w:val="32"/>
        </w:rPr>
      </w:pPr>
      <w:r>
        <w:rPr>
          <w:rFonts w:ascii="Times New Roman" w:hAnsi="Times New Roman" w:cs="Times New Roman"/>
          <w:sz w:val="32"/>
        </w:rPr>
        <w:t>按照涉及的燃气供应系统压力等级、影响的用户性质及数量、事件发生地区、对社会造成的危害程度等因素，分为特别重大（Ⅰ级）、重大（Ⅱ级）、较大（Ⅲ级）和一般（Ⅳ级）四级。突发环境事件分级标准见附件1。</w:t>
      </w:r>
    </w:p>
    <w:p w14:paraId="729D4138">
      <w:pPr>
        <w:pStyle w:val="2"/>
        <w:numPr>
          <w:ilvl w:val="0"/>
          <w:numId w:val="176"/>
        </w:numPr>
        <w:tabs>
          <w:tab w:val="left" w:pos="0"/>
        </w:tabs>
        <w:ind w:firstLine="0" w:firstLineChars="0"/>
        <w:rPr>
          <w:rFonts w:ascii="Times New Roman" w:hAnsi="Times New Roman" w:cs="Times New Roman"/>
          <w:sz w:val="32"/>
        </w:rPr>
      </w:pPr>
      <w:bookmarkStart w:id="1023" w:name="_Toc32548"/>
      <w:r>
        <w:rPr>
          <w:rFonts w:ascii="Times New Roman" w:hAnsi="Times New Roman" w:cs="Times New Roman"/>
          <w:sz w:val="32"/>
        </w:rPr>
        <w:t>事故风险分析</w:t>
      </w:r>
      <w:bookmarkEnd w:id="1023"/>
    </w:p>
    <w:p w14:paraId="784C714E">
      <w:pPr>
        <w:ind w:firstLine="632"/>
        <w:rPr>
          <w:rFonts w:ascii="Times New Roman" w:hAnsi="Times New Roman" w:cs="Times New Roman"/>
          <w:sz w:val="32"/>
        </w:rPr>
      </w:pPr>
      <w:r>
        <w:rPr>
          <w:rFonts w:ascii="Times New Roman" w:hAnsi="Times New Roman" w:cs="Times New Roman"/>
          <w:sz w:val="32"/>
        </w:rPr>
        <w:t>集贤县行政区域内存在天然气、液化石油气两种气源。天然气、液化石油气都具有易燃易爆的特性，但两种气源泄漏到空间其扩散机理不一样，这就决定了在应急处置中需要根据不同的气源采取有针对性的措施。</w:t>
      </w:r>
    </w:p>
    <w:p w14:paraId="42E76F1F">
      <w:pPr>
        <w:pStyle w:val="3"/>
        <w:ind w:firstLine="0" w:firstLineChars="0"/>
        <w:rPr>
          <w:rFonts w:ascii="Times New Roman" w:hAnsi="Times New Roman" w:cs="Times New Roman"/>
          <w:sz w:val="32"/>
        </w:rPr>
      </w:pPr>
      <w:bookmarkStart w:id="1024" w:name="_Toc25060"/>
      <w:r>
        <w:rPr>
          <w:rFonts w:ascii="Times New Roman" w:hAnsi="Times New Roman" w:cs="Times New Roman"/>
          <w:sz w:val="32"/>
        </w:rPr>
        <w:t>管道天然气风险分析</w:t>
      </w:r>
      <w:bookmarkEnd w:id="1024"/>
    </w:p>
    <w:p w14:paraId="7E1040AA">
      <w:pPr>
        <w:ind w:firstLine="632"/>
        <w:rPr>
          <w:rFonts w:ascii="Times New Roman" w:hAnsi="Times New Roman" w:cs="Times New Roman"/>
          <w:sz w:val="32"/>
        </w:rPr>
      </w:pPr>
      <w:r>
        <w:rPr>
          <w:rFonts w:ascii="Times New Roman" w:hAnsi="Times New Roman" w:cs="Times New Roman"/>
          <w:sz w:val="32"/>
        </w:rPr>
        <w:t>天然气主要成分是甲烷（CH</w:t>
      </w:r>
      <w:r>
        <w:rPr>
          <w:rFonts w:ascii="Times New Roman" w:hAnsi="Times New Roman" w:cs="Times New Roman"/>
          <w:sz w:val="32"/>
          <w:vertAlign w:val="subscript"/>
        </w:rPr>
        <w:t>4</w:t>
      </w:r>
      <w:r>
        <w:rPr>
          <w:rFonts w:ascii="Times New Roman" w:hAnsi="Times New Roman" w:cs="Times New Roman"/>
          <w:sz w:val="32"/>
        </w:rPr>
        <w:t>），还包括少量乙烷、丙烷、氮和丁烷等组分。天然气本身无色无味，在输配给城镇燃气用户前，在管道天然气中添加了加臭剂（四氢噻吩），故管道天然气泄漏出来后有特殊的臭味。天然气标准状态下为气态，具有气体性质，着火温度为538℃。天然气爆炸极限为5﹪～15﹪。天然气密度比空气轻，极易与空气混合能形成爆炸性混合气体，遇热源和明火有燃烧爆炸的危险。</w:t>
      </w:r>
    </w:p>
    <w:p w14:paraId="40DB30AF">
      <w:pPr>
        <w:ind w:firstLine="632"/>
        <w:rPr>
          <w:rFonts w:ascii="Times New Roman" w:hAnsi="Times New Roman" w:cs="Times New Roman"/>
          <w:sz w:val="32"/>
        </w:rPr>
      </w:pPr>
      <w:r>
        <w:rPr>
          <w:rFonts w:ascii="Times New Roman" w:hAnsi="Times New Roman" w:cs="Times New Roman"/>
          <w:sz w:val="32"/>
        </w:rPr>
        <w:t>造成管道天然气突发事件的主要有以下几种因素：</w:t>
      </w:r>
    </w:p>
    <w:p w14:paraId="3CDAA35D">
      <w:pPr>
        <w:ind w:firstLine="632"/>
        <w:rPr>
          <w:rFonts w:ascii="Times New Roman" w:hAnsi="Times New Roman" w:cs="Times New Roman"/>
          <w:sz w:val="32"/>
        </w:rPr>
      </w:pPr>
      <w:r>
        <w:rPr>
          <w:rFonts w:ascii="Times New Roman" w:hAnsi="Times New Roman" w:cs="Times New Roman"/>
          <w:sz w:val="32"/>
        </w:rPr>
        <w:t>（1）天然气上游供气单位突然停供气或管道城镇燃气经营企业天然气门站上游燃气管网及设施设备发生故障，造成城市气源中断；</w:t>
      </w:r>
    </w:p>
    <w:p w14:paraId="2B37E1A9">
      <w:pPr>
        <w:ind w:firstLine="632"/>
        <w:rPr>
          <w:rFonts w:ascii="Times New Roman" w:hAnsi="Times New Roman" w:cs="Times New Roman"/>
          <w:sz w:val="32"/>
        </w:rPr>
      </w:pPr>
      <w:r>
        <w:rPr>
          <w:rFonts w:ascii="Times New Roman" w:hAnsi="Times New Roman" w:cs="Times New Roman"/>
          <w:sz w:val="32"/>
        </w:rPr>
        <w:t>（2）天然气场站、燃气输配设施等在生产过程中违章生产，造成火灾、爆炸、大面积停气等事故；</w:t>
      </w:r>
    </w:p>
    <w:p w14:paraId="7804CEF8">
      <w:pPr>
        <w:ind w:firstLine="632"/>
        <w:rPr>
          <w:rFonts w:ascii="Times New Roman" w:hAnsi="Times New Roman" w:cs="Times New Roman"/>
          <w:sz w:val="32"/>
        </w:rPr>
      </w:pPr>
      <w:r>
        <w:rPr>
          <w:rFonts w:ascii="Times New Roman" w:hAnsi="Times New Roman" w:cs="Times New Roman"/>
          <w:sz w:val="32"/>
        </w:rPr>
        <w:t>（3）管道天然气输配系统管道设施因老化、维护不到位或突发灾害，造成火灾、爆炸、大面积停气等事故的。</w:t>
      </w:r>
    </w:p>
    <w:p w14:paraId="6EB8575B">
      <w:pPr>
        <w:ind w:firstLine="632"/>
        <w:rPr>
          <w:rFonts w:ascii="Times New Roman" w:hAnsi="Times New Roman" w:cs="Times New Roman"/>
          <w:sz w:val="32"/>
        </w:rPr>
      </w:pPr>
      <w:r>
        <w:rPr>
          <w:rFonts w:ascii="Times New Roman" w:hAnsi="Times New Roman" w:cs="Times New Roman"/>
          <w:sz w:val="32"/>
        </w:rPr>
        <w:t>（4）意外泄漏：燃气管网或者设施由于受运行时间、腐蚀、安装质量、自然灾害或其他原因会产生泄漏，或由于第三方施工也会产生对管线破坏，造成燃气泄漏，导致供气中断甚至火灾或者爆炸事件。</w:t>
      </w:r>
    </w:p>
    <w:p w14:paraId="5ACA7947">
      <w:pPr>
        <w:pStyle w:val="3"/>
        <w:ind w:firstLine="0" w:firstLineChars="0"/>
        <w:rPr>
          <w:rFonts w:ascii="Times New Roman" w:hAnsi="Times New Roman" w:cs="Times New Roman"/>
          <w:sz w:val="32"/>
        </w:rPr>
      </w:pPr>
      <w:bookmarkStart w:id="1025" w:name="_Toc10939"/>
      <w:r>
        <w:rPr>
          <w:rFonts w:ascii="Times New Roman" w:hAnsi="Times New Roman" w:cs="Times New Roman"/>
          <w:sz w:val="32"/>
        </w:rPr>
        <w:t>液化石油气风险分析</w:t>
      </w:r>
      <w:bookmarkEnd w:id="1025"/>
    </w:p>
    <w:p w14:paraId="15A4ADC7">
      <w:pPr>
        <w:ind w:firstLine="632"/>
        <w:rPr>
          <w:rFonts w:ascii="Times New Roman" w:hAnsi="Times New Roman" w:cs="Times New Roman"/>
          <w:sz w:val="32"/>
        </w:rPr>
      </w:pPr>
      <w:r>
        <w:rPr>
          <w:rFonts w:ascii="Times New Roman" w:hAnsi="Times New Roman" w:cs="Times New Roman"/>
          <w:sz w:val="32"/>
        </w:rPr>
        <w:t>液化石油气储存、经营的企业，各类管道均为压力管道，卧罐等压力容器为特种设备，循环压缩机、烃泵均为带压运行设备。液化石油气特性易燃易爆，具有火灾危险性，一旦泄漏迅速扩散与空气混合后遇到明火或即使是静电和摩擦火花，极易发生燃烧，爆燃或爆炸。液化石油气大量泄漏在挥发过程中会大量吸热，人体皮肤与之接触，易被冻伤。所以在自然灾害、管道设备破损破裂和操作失控等因素而引起的液化石油气泄漏，都将存在火灾爆炸，人员冻伤，窒息等严重事故的潜在危害，给公司和员工的生命财产造成巨大损失。</w:t>
      </w:r>
    </w:p>
    <w:p w14:paraId="0D56820C">
      <w:pPr>
        <w:pStyle w:val="3"/>
        <w:ind w:firstLine="0" w:firstLineChars="0"/>
        <w:rPr>
          <w:rFonts w:ascii="Times New Roman" w:hAnsi="Times New Roman" w:cs="Times New Roman"/>
          <w:sz w:val="32"/>
        </w:rPr>
      </w:pPr>
      <w:bookmarkStart w:id="1026" w:name="_Toc27108"/>
      <w:r>
        <w:rPr>
          <w:rFonts w:ascii="Times New Roman" w:hAnsi="Times New Roman" w:cs="Times New Roman"/>
          <w:sz w:val="32"/>
        </w:rPr>
        <w:t>CNG汽车加气站风险分析</w:t>
      </w:r>
      <w:bookmarkEnd w:id="1026"/>
    </w:p>
    <w:p w14:paraId="0CED07C5">
      <w:pPr>
        <w:ind w:firstLine="632"/>
        <w:rPr>
          <w:rFonts w:ascii="Times New Roman" w:hAnsi="Times New Roman" w:cs="Times New Roman"/>
          <w:sz w:val="32"/>
        </w:rPr>
      </w:pPr>
      <w:r>
        <w:rPr>
          <w:rFonts w:ascii="Times New Roman" w:hAnsi="Times New Roman" w:cs="Times New Roman"/>
          <w:sz w:val="32"/>
        </w:rPr>
        <w:t>加气站内主要涉及的危险化学品（危险物料）为天然气，危规号为21007号，火灾危险等级为甲类。</w:t>
      </w:r>
    </w:p>
    <w:p w14:paraId="7273EF19">
      <w:pPr>
        <w:ind w:firstLine="632"/>
        <w:rPr>
          <w:rFonts w:ascii="Times New Roman" w:hAnsi="Times New Roman" w:cs="Times New Roman"/>
          <w:sz w:val="32"/>
        </w:rPr>
      </w:pPr>
      <w:r>
        <w:rPr>
          <w:rFonts w:ascii="Times New Roman" w:hAnsi="Times New Roman" w:cs="Times New Roman"/>
          <w:sz w:val="32"/>
        </w:rPr>
        <w:t>燃气泄漏、被点燃或遭受雷击等发生火灾或爆炸；用电或用火不当等发生火情；运输过程发生交通事故、泄漏等发生火灾或爆炸；发生地震等需要疏散撤离的意外事故。</w:t>
      </w:r>
    </w:p>
    <w:p w14:paraId="6DD08D05">
      <w:pPr>
        <w:pStyle w:val="2"/>
        <w:numPr>
          <w:ilvl w:val="0"/>
          <w:numId w:val="176"/>
        </w:numPr>
        <w:tabs>
          <w:tab w:val="left" w:pos="0"/>
        </w:tabs>
        <w:ind w:firstLine="0" w:firstLineChars="0"/>
        <w:rPr>
          <w:rFonts w:ascii="Times New Roman" w:hAnsi="Times New Roman" w:cs="Times New Roman"/>
          <w:sz w:val="32"/>
        </w:rPr>
      </w:pPr>
      <w:bookmarkStart w:id="1027" w:name="_Toc22675"/>
      <w:r>
        <w:rPr>
          <w:rFonts w:ascii="Times New Roman" w:hAnsi="Times New Roman" w:cs="Times New Roman"/>
          <w:sz w:val="32"/>
        </w:rPr>
        <w:t>组织指挥体系</w:t>
      </w:r>
      <w:bookmarkEnd w:id="1027"/>
    </w:p>
    <w:p w14:paraId="1AE7D5EF">
      <w:pPr>
        <w:pStyle w:val="3"/>
        <w:ind w:firstLine="0" w:firstLineChars="0"/>
        <w:rPr>
          <w:rFonts w:ascii="Times New Roman" w:hAnsi="Times New Roman" w:cs="Times New Roman"/>
          <w:sz w:val="32"/>
        </w:rPr>
      </w:pPr>
      <w:bookmarkStart w:id="1028" w:name="_Toc23669"/>
      <w:r>
        <w:rPr>
          <w:rFonts w:ascii="Times New Roman" w:hAnsi="Times New Roman" w:cs="Times New Roman"/>
          <w:sz w:val="32"/>
        </w:rPr>
        <w:t>领导机构组成及职责</w:t>
      </w:r>
      <w:bookmarkEnd w:id="1028"/>
    </w:p>
    <w:p w14:paraId="385EFBFC">
      <w:pPr>
        <w:ind w:firstLine="632"/>
        <w:rPr>
          <w:rFonts w:ascii="Times New Roman" w:hAnsi="Times New Roman" w:cs="Times New Roman"/>
          <w:sz w:val="32"/>
        </w:rPr>
      </w:pPr>
      <w:r>
        <w:rPr>
          <w:rFonts w:ascii="Times New Roman" w:hAnsi="Times New Roman" w:cs="Times New Roman"/>
          <w:sz w:val="32"/>
        </w:rPr>
        <w:t>集贤县人民政府成立县城镇燃气事故应急指挥部（以下简称“县燃气应急指挥部”），作为集贤县处置突发燃气事故的应急指挥机构。</w:t>
      </w:r>
    </w:p>
    <w:p w14:paraId="0497B413">
      <w:pPr>
        <w:ind w:firstLine="632"/>
        <w:rPr>
          <w:rFonts w:ascii="Times New Roman" w:hAnsi="Times New Roman" w:cs="Times New Roman"/>
          <w:sz w:val="32"/>
        </w:rPr>
      </w:pPr>
      <w:r>
        <w:rPr>
          <w:rFonts w:ascii="Times New Roman" w:hAnsi="Times New Roman" w:cs="Times New Roman"/>
          <w:sz w:val="32"/>
        </w:rPr>
        <w:t>指挥部实行总指挥负责制。</w:t>
      </w:r>
    </w:p>
    <w:p w14:paraId="5B913D7A">
      <w:pPr>
        <w:ind w:firstLine="632"/>
        <w:rPr>
          <w:rFonts w:ascii="Times New Roman" w:hAnsi="Times New Roman" w:cs="Times New Roman"/>
          <w:sz w:val="32"/>
        </w:rPr>
      </w:pPr>
      <w:r>
        <w:rPr>
          <w:rFonts w:ascii="Times New Roman" w:hAnsi="Times New Roman" w:cs="Times New Roman"/>
          <w:sz w:val="32"/>
        </w:rPr>
        <w:t>总 指 挥：县政府分管副县长；</w:t>
      </w:r>
    </w:p>
    <w:p w14:paraId="2DFD503A">
      <w:pPr>
        <w:ind w:firstLine="632"/>
        <w:rPr>
          <w:rFonts w:ascii="Times New Roman" w:hAnsi="Times New Roman" w:cs="Times New Roman"/>
          <w:sz w:val="32"/>
        </w:rPr>
      </w:pPr>
      <w:r>
        <w:rPr>
          <w:rFonts w:ascii="Times New Roman" w:hAnsi="Times New Roman" w:cs="Times New Roman"/>
          <w:sz w:val="32"/>
        </w:rPr>
        <w:t>副总指挥：县住房和城乡建设局局长、县应急管理局局长；</w:t>
      </w:r>
    </w:p>
    <w:p w14:paraId="245BF302">
      <w:pPr>
        <w:ind w:firstLine="632"/>
        <w:rPr>
          <w:rFonts w:ascii="Times New Roman" w:hAnsi="Times New Roman" w:cs="Times New Roman"/>
          <w:sz w:val="32"/>
        </w:rPr>
      </w:pPr>
      <w:r>
        <w:rPr>
          <w:rFonts w:ascii="Times New Roman" w:hAnsi="Times New Roman" w:cs="Times New Roman"/>
          <w:sz w:val="32"/>
        </w:rPr>
        <w:t>指挥部成员单位包括：县住房和城乡建设局、县应急管理局、县委宣传部、县公安局、县卫生健康局、县发展和改革局、县交通运输局、双鸭山市集贤生态环境局、县市场监督管理局、县消防救援大队、各乡镇人民政府、国网集贤县供电公司、中国电信集贤分公司、中国移动集贤分公司、中国联通集贤分公司、县内各燃气经营企业。</w:t>
      </w:r>
    </w:p>
    <w:p w14:paraId="4F240004">
      <w:pPr>
        <w:ind w:firstLine="632"/>
        <w:rPr>
          <w:rFonts w:ascii="Times New Roman" w:hAnsi="Times New Roman" w:cs="Times New Roman"/>
          <w:sz w:val="32"/>
        </w:rPr>
      </w:pPr>
      <w:r>
        <w:rPr>
          <w:rFonts w:ascii="Times New Roman" w:hAnsi="Times New Roman" w:cs="Times New Roman"/>
          <w:sz w:val="32"/>
        </w:rPr>
        <w:t>指挥部主要职责：负责统一领导指挥城镇燃气事故应急处理、事故抢险、供气恢复等各项应急工作；对相关城镇燃气事故应急处置做出决策，下达指令，视情况向上级有关部门或单位报告；协调各部门应急指挥机构之间的关系，指挥社会应急救援工作；研究重大应急决策和部署；决定实施和终止应急预案。</w:t>
      </w:r>
    </w:p>
    <w:p w14:paraId="59EA415D">
      <w:pPr>
        <w:pStyle w:val="3"/>
        <w:ind w:firstLine="0" w:firstLineChars="0"/>
        <w:rPr>
          <w:rFonts w:ascii="Times New Roman" w:hAnsi="Times New Roman" w:cs="Times New Roman"/>
          <w:sz w:val="32"/>
        </w:rPr>
      </w:pPr>
      <w:bookmarkStart w:id="1029" w:name="_Toc9132"/>
      <w:r>
        <w:rPr>
          <w:rFonts w:ascii="Times New Roman" w:hAnsi="Times New Roman" w:cs="Times New Roman"/>
          <w:sz w:val="32"/>
        </w:rPr>
        <w:t>指挥部办公室及职责</w:t>
      </w:r>
      <w:bookmarkEnd w:id="1029"/>
    </w:p>
    <w:p w14:paraId="44038004">
      <w:pPr>
        <w:ind w:firstLine="632"/>
        <w:rPr>
          <w:rFonts w:ascii="Times New Roman" w:hAnsi="Times New Roman" w:cs="Times New Roman"/>
          <w:sz w:val="32"/>
        </w:rPr>
      </w:pPr>
      <w:r>
        <w:rPr>
          <w:rFonts w:ascii="Times New Roman" w:hAnsi="Times New Roman" w:cs="Times New Roman"/>
          <w:sz w:val="32"/>
        </w:rPr>
        <w:t>县城镇燃气事故应急指挥部下设办公室，负责指挥部日常工作。办公室设在县住房和城乡建设局。</w:t>
      </w:r>
    </w:p>
    <w:p w14:paraId="513AB504">
      <w:pPr>
        <w:ind w:firstLine="632"/>
        <w:rPr>
          <w:rFonts w:ascii="Times New Roman" w:hAnsi="Times New Roman" w:cs="Times New Roman"/>
          <w:sz w:val="32"/>
        </w:rPr>
      </w:pPr>
      <w:r>
        <w:rPr>
          <w:rFonts w:ascii="Times New Roman" w:hAnsi="Times New Roman" w:cs="Times New Roman"/>
          <w:sz w:val="32"/>
        </w:rPr>
        <w:t>指挥部办公室主要职责：负责做好指挥部应急值守工作，收集上报事故信息，并通报各有关部门和事发地乡镇人民政府；贯彻落实指挥部指示和部署；承担指挥部文电、会务、资料整理归档等工作；审查城镇燃气事故的新闻发布稿件，编发事故应急情况简报；组建燃气事故应急专家库，负责应急响应期间专家工作小组的联络；组织开展城镇燃气事故调查；负责城镇燃气事故总结评估和上报工作。</w:t>
      </w:r>
    </w:p>
    <w:p w14:paraId="04FBAE4F">
      <w:pPr>
        <w:pStyle w:val="3"/>
        <w:ind w:firstLine="0" w:firstLineChars="0"/>
        <w:rPr>
          <w:rFonts w:ascii="Times New Roman" w:hAnsi="Times New Roman" w:cs="Times New Roman"/>
          <w:sz w:val="32"/>
        </w:rPr>
      </w:pPr>
      <w:bookmarkStart w:id="1030" w:name="_Toc19809"/>
      <w:r>
        <w:rPr>
          <w:rFonts w:ascii="Times New Roman" w:hAnsi="Times New Roman" w:cs="Times New Roman"/>
          <w:sz w:val="32"/>
        </w:rPr>
        <w:t>成员单位及职责</w:t>
      </w:r>
      <w:bookmarkEnd w:id="1030"/>
    </w:p>
    <w:p w14:paraId="15659E79">
      <w:pPr>
        <w:ind w:firstLine="634"/>
        <w:rPr>
          <w:rFonts w:ascii="Times New Roman" w:hAnsi="Times New Roman" w:cs="Times New Roman"/>
          <w:sz w:val="32"/>
        </w:rPr>
      </w:pPr>
      <w:r>
        <w:rPr>
          <w:rFonts w:ascii="Times New Roman" w:hAnsi="Times New Roman" w:cs="Times New Roman"/>
          <w:b/>
          <w:bCs/>
          <w:sz w:val="32"/>
        </w:rPr>
        <w:t>县住房和城乡建设局：</w:t>
      </w:r>
      <w:r>
        <w:rPr>
          <w:rFonts w:ascii="Times New Roman" w:hAnsi="Times New Roman" w:cs="Times New Roman"/>
          <w:sz w:val="32"/>
        </w:rPr>
        <w:t>负责督促指导全县城镇燃气事故应急准备能力建设；推动燃气经营企业建立健全应急救援队伍，提高装备和物资储备水平；组织协调一般城镇燃气事故应急处置；做好应急预案的编制、修订、演练等工作；督促燃气经营企业落实安全生产主体责任，强化风险管控和隐患排查；会同县有关部门做好突发事件信息发布和调查处理；负责组织抢修与恢复在燃气突发事件中损坏的有关供水、排水、燃气管线等市政管线、设施；承办指挥部交办的其他工作。</w:t>
      </w:r>
    </w:p>
    <w:p w14:paraId="63748EF5">
      <w:pPr>
        <w:ind w:firstLine="634"/>
        <w:rPr>
          <w:rFonts w:ascii="Times New Roman" w:hAnsi="Times New Roman" w:cs="Times New Roman"/>
          <w:sz w:val="32"/>
        </w:rPr>
      </w:pPr>
      <w:r>
        <w:rPr>
          <w:rFonts w:ascii="Times New Roman" w:hAnsi="Times New Roman" w:cs="Times New Roman"/>
          <w:b/>
          <w:bCs/>
          <w:sz w:val="32"/>
        </w:rPr>
        <w:t>县应急管理局：</w:t>
      </w:r>
      <w:r>
        <w:rPr>
          <w:rFonts w:ascii="Times New Roman" w:hAnsi="Times New Roman" w:cs="Times New Roman"/>
          <w:sz w:val="32"/>
        </w:rPr>
        <w:t>负责协调指挥相关专业应急队伍参与城镇燃气事故应急处置工作；负责按规定将事件信息上报省市应急部门，必要时请示省市应急部门指导应急救援；负责组织开展燃气事故调查工作；会同事发地乡镇人民政府做好受灾人员或受威胁人员的转移、过渡期生活救助和临时安置工作。</w:t>
      </w:r>
    </w:p>
    <w:p w14:paraId="164CEF0D">
      <w:pPr>
        <w:ind w:firstLine="634"/>
        <w:rPr>
          <w:rFonts w:ascii="Times New Roman" w:hAnsi="Times New Roman" w:cs="Times New Roman"/>
          <w:sz w:val="32"/>
        </w:rPr>
      </w:pPr>
      <w:r>
        <w:rPr>
          <w:rFonts w:ascii="Times New Roman" w:hAnsi="Times New Roman" w:cs="Times New Roman"/>
          <w:b/>
          <w:bCs/>
          <w:sz w:val="32"/>
        </w:rPr>
        <w:t>县委宣传部：</w:t>
      </w:r>
      <w:r>
        <w:rPr>
          <w:rFonts w:ascii="Times New Roman" w:hAnsi="Times New Roman" w:cs="Times New Roman"/>
          <w:sz w:val="32"/>
        </w:rPr>
        <w:t>负责统筹指导新闻通稿的起草，组织新闻发布会，正确引导舆论；做好现场新闻媒体接待和服务工作；负责监测网络舆情，会同有关部门开展网络舆情引导，及时澄清网络谣言。</w:t>
      </w:r>
    </w:p>
    <w:p w14:paraId="0112EF3A">
      <w:pPr>
        <w:ind w:firstLine="634"/>
        <w:rPr>
          <w:rFonts w:ascii="Times New Roman" w:hAnsi="Times New Roman" w:cs="Times New Roman"/>
          <w:sz w:val="32"/>
        </w:rPr>
      </w:pPr>
      <w:r>
        <w:rPr>
          <w:rFonts w:ascii="Times New Roman" w:hAnsi="Times New Roman" w:cs="Times New Roman"/>
          <w:b/>
          <w:bCs/>
          <w:sz w:val="32"/>
        </w:rPr>
        <w:t>县公安局：</w:t>
      </w:r>
      <w:r>
        <w:rPr>
          <w:rFonts w:ascii="Times New Roman" w:hAnsi="Times New Roman" w:cs="Times New Roman"/>
          <w:sz w:val="32"/>
        </w:rPr>
        <w:t>负责实施临时性交通管制，保障救援车快速、安全通行；组织现场人员疏散，进行现场警戒、维持现场治安、现场取证和证据保全等。</w:t>
      </w:r>
    </w:p>
    <w:p w14:paraId="5CF3D4C6">
      <w:pPr>
        <w:ind w:firstLine="634"/>
        <w:rPr>
          <w:rFonts w:ascii="Times New Roman" w:hAnsi="Times New Roman" w:cs="Times New Roman"/>
          <w:sz w:val="32"/>
        </w:rPr>
      </w:pPr>
      <w:r>
        <w:rPr>
          <w:rFonts w:ascii="Times New Roman" w:hAnsi="Times New Roman" w:cs="Times New Roman"/>
          <w:b/>
          <w:bCs/>
          <w:sz w:val="32"/>
        </w:rPr>
        <w:t>县卫生健康局：</w:t>
      </w:r>
      <w:r>
        <w:rPr>
          <w:rFonts w:ascii="Times New Roman" w:hAnsi="Times New Roman" w:cs="Times New Roman"/>
          <w:sz w:val="32"/>
        </w:rPr>
        <w:t>负责在事故现场设置临时医疗急救区；对伤员进行紧急医疗处置，及时转运伤员到指定医院；组织协调卫生防疫及心理康复工作；核实事故伤亡情况。</w:t>
      </w:r>
    </w:p>
    <w:p w14:paraId="633B02F7">
      <w:pPr>
        <w:ind w:firstLine="634"/>
        <w:rPr>
          <w:rFonts w:ascii="Times New Roman" w:hAnsi="Times New Roman" w:cs="Times New Roman"/>
          <w:sz w:val="32"/>
        </w:rPr>
      </w:pPr>
      <w:r>
        <w:rPr>
          <w:rFonts w:ascii="Times New Roman" w:hAnsi="Times New Roman" w:cs="Times New Roman"/>
          <w:b/>
          <w:bCs/>
          <w:sz w:val="32"/>
        </w:rPr>
        <w:t>县发展和改革局：</w:t>
      </w:r>
      <w:r>
        <w:rPr>
          <w:rFonts w:ascii="Times New Roman" w:hAnsi="Times New Roman" w:cs="Times New Roman"/>
          <w:sz w:val="32"/>
        </w:rPr>
        <w:t>负责协调天然气高压长输管线单位进行应急处置。</w:t>
      </w:r>
    </w:p>
    <w:p w14:paraId="3698E474">
      <w:pPr>
        <w:ind w:firstLine="634"/>
        <w:rPr>
          <w:rFonts w:ascii="Times New Roman" w:hAnsi="Times New Roman" w:cs="Times New Roman"/>
          <w:sz w:val="32"/>
        </w:rPr>
      </w:pPr>
      <w:r>
        <w:rPr>
          <w:rFonts w:ascii="Times New Roman" w:hAnsi="Times New Roman" w:cs="Times New Roman"/>
          <w:b/>
          <w:bCs/>
          <w:sz w:val="32"/>
        </w:rPr>
        <w:t>县交通运输局：</w:t>
      </w:r>
      <w:r>
        <w:rPr>
          <w:rFonts w:ascii="Times New Roman" w:hAnsi="Times New Roman" w:cs="Times New Roman"/>
          <w:sz w:val="32"/>
        </w:rPr>
        <w:t>负责事故抢险救援人员和物资的运输保障工作。</w:t>
      </w:r>
    </w:p>
    <w:p w14:paraId="204317F4">
      <w:pPr>
        <w:ind w:firstLine="634"/>
        <w:rPr>
          <w:rFonts w:ascii="Times New Roman" w:hAnsi="Times New Roman" w:cs="Times New Roman"/>
          <w:sz w:val="32"/>
        </w:rPr>
      </w:pPr>
      <w:r>
        <w:rPr>
          <w:rFonts w:ascii="Times New Roman" w:hAnsi="Times New Roman" w:cs="Times New Roman"/>
          <w:b/>
          <w:bCs/>
          <w:sz w:val="32"/>
        </w:rPr>
        <w:t>双鸭山市集贤生态环境局：</w:t>
      </w:r>
      <w:r>
        <w:rPr>
          <w:rFonts w:ascii="Times New Roman" w:hAnsi="Times New Roman" w:cs="Times New Roman"/>
          <w:sz w:val="32"/>
        </w:rPr>
        <w:t>负责组织指导事发地环境应急监测，分析研判事故现场污染状况及趋势变化，提出事故引发环境污染的应急处置和污染区域防护措施的建议。</w:t>
      </w:r>
    </w:p>
    <w:p w14:paraId="20BC3FB7">
      <w:pPr>
        <w:ind w:firstLine="634"/>
        <w:rPr>
          <w:rFonts w:ascii="Times New Roman" w:hAnsi="Times New Roman" w:cs="Times New Roman"/>
          <w:sz w:val="32"/>
        </w:rPr>
      </w:pPr>
      <w:r>
        <w:rPr>
          <w:rFonts w:ascii="Times New Roman" w:hAnsi="Times New Roman" w:cs="Times New Roman"/>
          <w:b/>
          <w:bCs/>
          <w:sz w:val="32"/>
        </w:rPr>
        <w:t>县市场监督管理局：</w:t>
      </w:r>
      <w:r>
        <w:rPr>
          <w:rFonts w:ascii="Times New Roman" w:hAnsi="Times New Roman" w:cs="Times New Roman"/>
          <w:sz w:val="32"/>
        </w:rPr>
        <w:t>负责参与制定事故现场压力容器、燃气设施等特种设备的抢险救援方案；配合有关部门组织检验机构或专家组对事故有关的特种设备、压力容器进行技术鉴定，参与事故调查处理和技术、质量分析。</w:t>
      </w:r>
    </w:p>
    <w:p w14:paraId="3E6E0004">
      <w:pPr>
        <w:ind w:firstLine="634"/>
        <w:rPr>
          <w:rFonts w:ascii="Times New Roman" w:hAnsi="Times New Roman" w:cs="Times New Roman"/>
          <w:sz w:val="32"/>
        </w:rPr>
      </w:pPr>
      <w:r>
        <w:rPr>
          <w:rFonts w:ascii="Times New Roman" w:hAnsi="Times New Roman" w:cs="Times New Roman"/>
          <w:b/>
          <w:bCs/>
          <w:sz w:val="32"/>
        </w:rPr>
        <w:t>县消防救援大队：</w:t>
      </w:r>
      <w:r>
        <w:rPr>
          <w:rFonts w:ascii="Times New Roman" w:hAnsi="Times New Roman" w:cs="Times New Roman"/>
          <w:sz w:val="32"/>
        </w:rPr>
        <w:t>负责指导燃气应急救援队实施灭火工作（在对泄漏燃气进行喷水稀释时应听取专业抢险人员的意见），对燃气突发事件中的被困人员进行救助，并指导燃气经营企业的工程技术人员进行现场侦检、器具堵漏、冷却抑爆、关阀断源等工作。</w:t>
      </w:r>
    </w:p>
    <w:p w14:paraId="12B486EC">
      <w:pPr>
        <w:ind w:firstLine="634"/>
        <w:rPr>
          <w:rFonts w:ascii="Times New Roman" w:hAnsi="Times New Roman" w:cs="Times New Roman"/>
          <w:sz w:val="32"/>
        </w:rPr>
      </w:pPr>
      <w:r>
        <w:rPr>
          <w:rFonts w:ascii="Times New Roman" w:hAnsi="Times New Roman" w:cs="Times New Roman"/>
          <w:b/>
          <w:bCs/>
          <w:sz w:val="32"/>
        </w:rPr>
        <w:t>乡镇人民政府：</w:t>
      </w:r>
      <w:r>
        <w:rPr>
          <w:rFonts w:ascii="Times New Roman" w:hAnsi="Times New Roman" w:cs="Times New Roman"/>
          <w:sz w:val="32"/>
        </w:rPr>
        <w:t>负责监督辖区内燃气经营企业开展隐患排查工作，对重大隐患进行挂牌督办或依法实施停产关闭；负责对本辖区内重大危险源、危险区域进行调查、登记、风险评估，组织检查、监控，并责令有关经营单位采取安全防范措施，同时应加强对重大危险源的监控，对可能引发重大、特别重大燃气事故的险情或者因其他灾害、灾难可能引发的燃气事故的重要信息，应及时上报县燃气应急指挥部办公室。</w:t>
      </w:r>
    </w:p>
    <w:p w14:paraId="3766B3EC">
      <w:pPr>
        <w:ind w:firstLine="634"/>
        <w:rPr>
          <w:rFonts w:ascii="Times New Roman" w:hAnsi="Times New Roman" w:cs="Times New Roman"/>
          <w:sz w:val="32"/>
        </w:rPr>
      </w:pPr>
      <w:r>
        <w:rPr>
          <w:rFonts w:ascii="Times New Roman" w:hAnsi="Times New Roman" w:cs="Times New Roman"/>
          <w:b/>
          <w:bCs/>
          <w:sz w:val="32"/>
        </w:rPr>
        <w:t>燃气经营企业：</w:t>
      </w:r>
      <w:r>
        <w:rPr>
          <w:rFonts w:ascii="Times New Roman" w:hAnsi="Times New Roman" w:cs="Times New Roman"/>
          <w:sz w:val="32"/>
        </w:rPr>
        <w:t>发生各类燃气事故及时准确地向上级部门报告；迅速、有效地实施先期处置，全力控制事故发展态势，防止次生和衍生事故发生，果断控制或切断事故灾害链。各燃气经营企业根据相应职责，组建专业应急救援队伍，接到应急指令后，立即派遣救援队伍赴现场进行救援和处置。</w:t>
      </w:r>
    </w:p>
    <w:p w14:paraId="1A9AA2BB">
      <w:pPr>
        <w:ind w:firstLine="634"/>
        <w:rPr>
          <w:rFonts w:ascii="Times New Roman" w:hAnsi="Times New Roman" w:cs="Times New Roman"/>
          <w:sz w:val="32"/>
        </w:rPr>
      </w:pPr>
      <w:r>
        <w:rPr>
          <w:rFonts w:ascii="Times New Roman" w:hAnsi="Times New Roman" w:cs="Times New Roman"/>
          <w:b/>
          <w:bCs/>
          <w:sz w:val="32"/>
        </w:rPr>
        <w:t>国家电网集贤供电公司：</w:t>
      </w:r>
      <w:r>
        <w:rPr>
          <w:rFonts w:ascii="Times New Roman" w:hAnsi="Times New Roman" w:cs="Times New Roman"/>
          <w:sz w:val="32"/>
        </w:rPr>
        <w:t>负责事故灾难现场供用电及应急装置的架设；快速修复事故受损的供配电设备，及时恢复正常供电。</w:t>
      </w:r>
    </w:p>
    <w:p w14:paraId="28341200">
      <w:pPr>
        <w:ind w:firstLine="634"/>
        <w:rPr>
          <w:rFonts w:ascii="Times New Roman" w:hAnsi="Times New Roman" w:cs="Times New Roman"/>
          <w:sz w:val="32"/>
        </w:rPr>
      </w:pPr>
      <w:r>
        <w:rPr>
          <w:rFonts w:ascii="Times New Roman" w:hAnsi="Times New Roman" w:cs="Times New Roman"/>
          <w:b/>
          <w:bCs/>
          <w:sz w:val="32"/>
        </w:rPr>
        <w:t>中国电信、中国移动、中国联通集贤分公司：</w:t>
      </w:r>
      <w:r>
        <w:rPr>
          <w:rFonts w:ascii="Times New Roman" w:hAnsi="Times New Roman" w:cs="Times New Roman"/>
          <w:sz w:val="32"/>
        </w:rPr>
        <w:t>负责事故现场通信保障工作。</w:t>
      </w:r>
    </w:p>
    <w:p w14:paraId="1641DCDA">
      <w:pPr>
        <w:ind w:firstLine="632"/>
        <w:rPr>
          <w:rFonts w:ascii="Times New Roman" w:hAnsi="Times New Roman" w:cs="Times New Roman"/>
          <w:sz w:val="32"/>
        </w:rPr>
      </w:pPr>
      <w:r>
        <w:rPr>
          <w:rFonts w:ascii="Times New Roman" w:hAnsi="Times New Roman" w:cs="Times New Roman"/>
          <w:sz w:val="32"/>
        </w:rPr>
        <w:t>其他未列入成员的单位应按照各自职能职责，做好应急处置和保障工作，根据县燃气应急指挥部指令参与应急处置相关工作。</w:t>
      </w:r>
    </w:p>
    <w:p w14:paraId="6A0787EE">
      <w:pPr>
        <w:pStyle w:val="3"/>
        <w:ind w:firstLine="0" w:firstLineChars="0"/>
        <w:rPr>
          <w:rFonts w:ascii="Times New Roman" w:hAnsi="Times New Roman" w:cs="Times New Roman"/>
          <w:sz w:val="32"/>
        </w:rPr>
      </w:pPr>
      <w:bookmarkStart w:id="1031" w:name="_Toc10857"/>
      <w:r>
        <w:rPr>
          <w:rFonts w:ascii="Times New Roman" w:hAnsi="Times New Roman" w:cs="Times New Roman"/>
          <w:sz w:val="32"/>
        </w:rPr>
        <w:t>专家组及职责</w:t>
      </w:r>
      <w:bookmarkEnd w:id="1031"/>
    </w:p>
    <w:p w14:paraId="2FD5C3F1">
      <w:pPr>
        <w:ind w:firstLine="632"/>
        <w:rPr>
          <w:rFonts w:ascii="Times New Roman" w:hAnsi="Times New Roman" w:cs="Times New Roman"/>
          <w:sz w:val="32"/>
        </w:rPr>
      </w:pPr>
      <w:r>
        <w:rPr>
          <w:rFonts w:ascii="Times New Roman" w:hAnsi="Times New Roman" w:cs="Times New Roman"/>
          <w:sz w:val="32"/>
        </w:rPr>
        <w:t>专家组由相关领域的技术和管理专家组成，由县住房和城乡建设局负责组建和管理。</w:t>
      </w:r>
    </w:p>
    <w:p w14:paraId="13949F4E">
      <w:pPr>
        <w:ind w:firstLine="632"/>
        <w:rPr>
          <w:rFonts w:ascii="Times New Roman" w:hAnsi="Times New Roman" w:cs="Times New Roman"/>
          <w:sz w:val="32"/>
        </w:rPr>
      </w:pPr>
      <w:r>
        <w:rPr>
          <w:rFonts w:ascii="Times New Roman" w:hAnsi="Times New Roman" w:cs="Times New Roman"/>
          <w:sz w:val="32"/>
        </w:rPr>
        <w:t>专家组主要职责：协助现场指挥部分析研判事故原因、危害发展的趋势和危害程度；分析事故原因，提出应急救援措施和建议；为现场救援指挥部的决策提供依据和方案。</w:t>
      </w:r>
    </w:p>
    <w:p w14:paraId="2D4BA297">
      <w:pPr>
        <w:pStyle w:val="3"/>
        <w:ind w:firstLine="0" w:firstLineChars="0"/>
        <w:rPr>
          <w:rFonts w:ascii="Times New Roman" w:hAnsi="Times New Roman" w:cs="Times New Roman"/>
          <w:sz w:val="32"/>
        </w:rPr>
      </w:pPr>
      <w:bookmarkStart w:id="1032" w:name="_Toc15434"/>
      <w:r>
        <w:rPr>
          <w:rFonts w:ascii="Times New Roman" w:hAnsi="Times New Roman" w:cs="Times New Roman"/>
          <w:sz w:val="32"/>
        </w:rPr>
        <w:t>现场工作组及主要职责</w:t>
      </w:r>
      <w:bookmarkEnd w:id="1032"/>
    </w:p>
    <w:p w14:paraId="2314D44B">
      <w:pPr>
        <w:ind w:firstLine="632"/>
        <w:rPr>
          <w:rFonts w:ascii="Times New Roman" w:hAnsi="Times New Roman" w:cs="Times New Roman"/>
          <w:sz w:val="32"/>
        </w:rPr>
      </w:pPr>
      <w:r>
        <w:rPr>
          <w:rFonts w:ascii="Times New Roman" w:hAnsi="Times New Roman" w:cs="Times New Roman"/>
          <w:sz w:val="32"/>
        </w:rPr>
        <w:t>燃气事故发生后，县燃气应急指挥部总指挥或委托副总指挥赶赴事发现场进行现场指挥，成立事故现场指挥部，批准现场抢险救援方案，组织县燃气应急指挥部成员单位和事发地乡镇人民政府及其有关部门开展应急处置。根据现场救援需要，经现场指挥部批准，设立以下8个现场工作组，按照现场指挥部的统一部署开展抢险救援工作。</w:t>
      </w:r>
    </w:p>
    <w:p w14:paraId="3ABE35E7">
      <w:pPr>
        <w:ind w:firstLine="632"/>
        <w:rPr>
          <w:rFonts w:ascii="Times New Roman" w:hAnsi="Times New Roman" w:cs="Times New Roman"/>
          <w:sz w:val="32"/>
        </w:rPr>
      </w:pPr>
      <w:r>
        <w:rPr>
          <w:rFonts w:ascii="Times New Roman" w:hAnsi="Times New Roman" w:cs="Times New Roman"/>
          <w:sz w:val="32"/>
        </w:rPr>
        <w:t>（1）救援抢险组：由县住房和城乡建设局牵头，县应急管理局、县公安局、县消防救援大队、县交通运输局、双鸭山市集贤生态环境局等有关单位，事发地乡镇人民政府和事发燃气经营企业参加。负责事故现场应急处置和抢险救援工作。</w:t>
      </w:r>
    </w:p>
    <w:p w14:paraId="11D47A61">
      <w:pPr>
        <w:ind w:firstLine="632"/>
        <w:rPr>
          <w:rFonts w:ascii="Times New Roman" w:hAnsi="Times New Roman" w:cs="Times New Roman"/>
          <w:sz w:val="32"/>
        </w:rPr>
      </w:pPr>
      <w:r>
        <w:rPr>
          <w:rFonts w:ascii="Times New Roman" w:hAnsi="Times New Roman" w:cs="Times New Roman"/>
          <w:sz w:val="32"/>
        </w:rPr>
        <w:t>（2）医疗救治组：由县卫生健康局牵头，有关医疗卫生机构、事发地乡镇人民政府参加。负责组织专家及医疗队伍对受伤人员进行紧急救治。</w:t>
      </w:r>
    </w:p>
    <w:p w14:paraId="4457276C">
      <w:pPr>
        <w:ind w:firstLine="632"/>
        <w:rPr>
          <w:rFonts w:ascii="Times New Roman" w:hAnsi="Times New Roman" w:cs="Times New Roman"/>
          <w:sz w:val="32"/>
        </w:rPr>
      </w:pPr>
      <w:r>
        <w:rPr>
          <w:rFonts w:ascii="Times New Roman" w:hAnsi="Times New Roman" w:cs="Times New Roman"/>
          <w:sz w:val="32"/>
        </w:rPr>
        <w:t>（3）治安警戒组：由县公安局牵头，事发地乡镇人民政府参加。负责事故现场交通管制和现场秩序维护。</w:t>
      </w:r>
    </w:p>
    <w:p w14:paraId="54C2043A">
      <w:pPr>
        <w:ind w:firstLine="632"/>
        <w:rPr>
          <w:rFonts w:ascii="Times New Roman" w:hAnsi="Times New Roman" w:cs="Times New Roman"/>
          <w:sz w:val="32"/>
        </w:rPr>
      </w:pPr>
      <w:r>
        <w:rPr>
          <w:rFonts w:ascii="Times New Roman" w:hAnsi="Times New Roman" w:cs="Times New Roman"/>
          <w:sz w:val="32"/>
        </w:rPr>
        <w:t>（4）转移安置组：由县应急管理局牵头，县发展和改革局、县公安局、县交通运输局等部门和事发地乡镇人民政府参加。负责紧急转移和临时安置工作。</w:t>
      </w:r>
    </w:p>
    <w:p w14:paraId="7BBC51AA">
      <w:pPr>
        <w:ind w:firstLine="632"/>
        <w:rPr>
          <w:rFonts w:ascii="Times New Roman" w:hAnsi="Times New Roman" w:cs="Times New Roman"/>
          <w:sz w:val="32"/>
        </w:rPr>
      </w:pPr>
      <w:r>
        <w:rPr>
          <w:rFonts w:ascii="Times New Roman" w:hAnsi="Times New Roman" w:cs="Times New Roman"/>
          <w:sz w:val="32"/>
        </w:rPr>
        <w:t>（5）新闻报道组：由县委宣传部牵头，县应急管理局、县住房和城乡建设局、县公安局等部门参加。负责信息发布、新闻报道及舆论引导等工作。</w:t>
      </w:r>
    </w:p>
    <w:p w14:paraId="77098469">
      <w:pPr>
        <w:ind w:firstLine="632"/>
        <w:rPr>
          <w:rFonts w:ascii="Times New Roman" w:hAnsi="Times New Roman" w:cs="Times New Roman"/>
          <w:sz w:val="32"/>
        </w:rPr>
      </w:pPr>
      <w:r>
        <w:rPr>
          <w:rFonts w:ascii="Times New Roman" w:hAnsi="Times New Roman" w:cs="Times New Roman"/>
          <w:sz w:val="32"/>
        </w:rPr>
        <w:t>（6）应急保障组：由县</w:t>
      </w:r>
      <w:r>
        <w:rPr>
          <w:rFonts w:hint="eastAsia" w:ascii="Times New Roman" w:hAnsi="Times New Roman" w:cs="Times New Roman"/>
          <w:sz w:val="32"/>
        </w:rPr>
        <w:t>应急管理</w:t>
      </w:r>
      <w:r>
        <w:rPr>
          <w:rFonts w:ascii="Times New Roman" w:hAnsi="Times New Roman" w:cs="Times New Roman"/>
          <w:sz w:val="32"/>
        </w:rPr>
        <w:t>局牵头，事发地乡镇人民政府、县</w:t>
      </w:r>
      <w:r>
        <w:rPr>
          <w:rFonts w:hint="eastAsia" w:ascii="Times New Roman" w:hAnsi="Times New Roman" w:cs="Times New Roman"/>
          <w:sz w:val="32"/>
        </w:rPr>
        <w:t>商务</w:t>
      </w:r>
      <w:r>
        <w:rPr>
          <w:rFonts w:ascii="Times New Roman" w:hAnsi="Times New Roman" w:cs="Times New Roman"/>
          <w:sz w:val="32"/>
        </w:rPr>
        <w:t>局、县交通运输局等部门参加。负责提供应急处置后勤服务、通信交通、应急物资等。</w:t>
      </w:r>
    </w:p>
    <w:p w14:paraId="1C1AE55A">
      <w:pPr>
        <w:ind w:firstLine="632"/>
        <w:rPr>
          <w:rFonts w:ascii="Times New Roman" w:hAnsi="Times New Roman" w:cs="Times New Roman"/>
          <w:sz w:val="32"/>
        </w:rPr>
      </w:pPr>
      <w:r>
        <w:rPr>
          <w:rFonts w:ascii="Times New Roman" w:hAnsi="Times New Roman" w:cs="Times New Roman"/>
          <w:sz w:val="32"/>
        </w:rPr>
        <w:t>（7）善后工作组：由事发地乡镇人民政府牵头，县民政局、县应急管理局、双鸭山市集贤生态环境局等部门参加。负责开展伤亡人员及家属安抚、补偿理赔，生活秩序、生态恢复等工作。</w:t>
      </w:r>
    </w:p>
    <w:p w14:paraId="4547BD4B">
      <w:pPr>
        <w:ind w:firstLine="632"/>
        <w:rPr>
          <w:rFonts w:ascii="Times New Roman" w:hAnsi="Times New Roman" w:cs="Times New Roman"/>
          <w:sz w:val="32"/>
        </w:rPr>
      </w:pPr>
      <w:r>
        <w:rPr>
          <w:rFonts w:ascii="Times New Roman" w:hAnsi="Times New Roman" w:cs="Times New Roman"/>
          <w:sz w:val="32"/>
        </w:rPr>
        <w:t>（8）调查处理组：由县住房和城乡建设局牵头，县应急管理局、县住房和城乡建设局、县市场监督管理局和事发地乡镇人民政府等部门参加。负责事故的调查处理工作。</w:t>
      </w:r>
    </w:p>
    <w:p w14:paraId="017DBCD2">
      <w:pPr>
        <w:pStyle w:val="2"/>
        <w:numPr>
          <w:ilvl w:val="0"/>
          <w:numId w:val="176"/>
        </w:numPr>
        <w:tabs>
          <w:tab w:val="left" w:pos="0"/>
        </w:tabs>
        <w:ind w:firstLine="0" w:firstLineChars="0"/>
        <w:rPr>
          <w:rFonts w:ascii="Times New Roman" w:hAnsi="Times New Roman" w:cs="Times New Roman"/>
          <w:sz w:val="32"/>
        </w:rPr>
      </w:pPr>
      <w:bookmarkStart w:id="1033" w:name="_Toc9577"/>
      <w:r>
        <w:rPr>
          <w:rFonts w:ascii="Times New Roman" w:hAnsi="Times New Roman" w:cs="Times New Roman"/>
          <w:sz w:val="32"/>
        </w:rPr>
        <w:t>监测预警</w:t>
      </w:r>
      <w:bookmarkEnd w:id="1033"/>
    </w:p>
    <w:p w14:paraId="54C6094E">
      <w:pPr>
        <w:pStyle w:val="3"/>
        <w:ind w:firstLine="0" w:firstLineChars="0"/>
        <w:rPr>
          <w:rFonts w:ascii="Times New Roman" w:hAnsi="Times New Roman" w:cs="Times New Roman"/>
          <w:sz w:val="32"/>
        </w:rPr>
      </w:pPr>
      <w:bookmarkStart w:id="1034" w:name="_Toc188"/>
      <w:r>
        <w:rPr>
          <w:rFonts w:ascii="Times New Roman" w:hAnsi="Times New Roman" w:cs="Times New Roman"/>
          <w:sz w:val="32"/>
        </w:rPr>
        <w:t>日常信息收集</w:t>
      </w:r>
      <w:bookmarkEnd w:id="1034"/>
    </w:p>
    <w:p w14:paraId="75530B47">
      <w:pPr>
        <w:ind w:firstLine="632"/>
        <w:rPr>
          <w:rFonts w:ascii="Times New Roman" w:hAnsi="Times New Roman" w:cs="Times New Roman"/>
          <w:sz w:val="32"/>
        </w:rPr>
      </w:pPr>
      <w:r>
        <w:rPr>
          <w:rFonts w:ascii="Times New Roman" w:hAnsi="Times New Roman" w:cs="Times New Roman"/>
          <w:sz w:val="32"/>
        </w:rPr>
        <w:t>县燃气应急指挥部应建立与燃气经营企业的信息交流平台，充分利用各种资源优势，搜集、分析各种对燃气供应系统可能产生不利影响的信息，并相互传递与研究分析。</w:t>
      </w:r>
    </w:p>
    <w:p w14:paraId="51550803">
      <w:pPr>
        <w:ind w:firstLine="632"/>
        <w:rPr>
          <w:rFonts w:ascii="Times New Roman" w:hAnsi="Times New Roman" w:cs="Times New Roman"/>
          <w:sz w:val="32"/>
        </w:rPr>
      </w:pPr>
      <w:r>
        <w:rPr>
          <w:rFonts w:ascii="Times New Roman" w:hAnsi="Times New Roman" w:cs="Times New Roman"/>
          <w:sz w:val="32"/>
        </w:rPr>
        <w:t>（1）监督检查燃气经营企业的安全管理情况，监测燃气安全供应状况。</w:t>
      </w:r>
    </w:p>
    <w:p w14:paraId="3BBCF819">
      <w:pPr>
        <w:ind w:firstLine="632"/>
        <w:rPr>
          <w:rFonts w:ascii="Times New Roman" w:hAnsi="Times New Roman" w:cs="Times New Roman"/>
          <w:sz w:val="32"/>
        </w:rPr>
      </w:pPr>
      <w:r>
        <w:rPr>
          <w:rFonts w:ascii="Times New Roman" w:hAnsi="Times New Roman" w:cs="Times New Roman"/>
          <w:sz w:val="32"/>
        </w:rPr>
        <w:t>（2）加强重大节假日、重要社会活动、灾害性气候和冬季保高峰供应期间的预测预警工作，建立和健全各类信息报告制度，不断提高应急保障管理水平。</w:t>
      </w:r>
    </w:p>
    <w:p w14:paraId="61EB8739">
      <w:pPr>
        <w:ind w:firstLine="632"/>
        <w:rPr>
          <w:rFonts w:ascii="Times New Roman" w:hAnsi="Times New Roman" w:cs="Times New Roman"/>
          <w:sz w:val="32"/>
        </w:rPr>
      </w:pPr>
      <w:r>
        <w:rPr>
          <w:rFonts w:ascii="Times New Roman" w:hAnsi="Times New Roman" w:cs="Times New Roman"/>
          <w:sz w:val="32"/>
        </w:rPr>
        <w:t>（3）保持与燃气经营企业保持联络畅通，随时了解掌握供气情况和动态。</w:t>
      </w:r>
    </w:p>
    <w:p w14:paraId="005701A7">
      <w:pPr>
        <w:ind w:firstLine="632"/>
        <w:rPr>
          <w:rFonts w:ascii="Times New Roman" w:hAnsi="Times New Roman" w:cs="Times New Roman"/>
          <w:sz w:val="32"/>
        </w:rPr>
      </w:pPr>
      <w:r>
        <w:rPr>
          <w:rFonts w:ascii="Times New Roman" w:hAnsi="Times New Roman" w:cs="Times New Roman"/>
          <w:sz w:val="32"/>
        </w:rPr>
        <w:t>燃气经营企业应建立健全燃气供应系统的日常数据监测、设备维护、安全检查等各项生产管理制度；建立用气预测、系统改造等相关信息数据库，必要时将重要信息上报至县燃气应急指挥部办公室。</w:t>
      </w:r>
    </w:p>
    <w:p w14:paraId="67663F63">
      <w:pPr>
        <w:pStyle w:val="3"/>
        <w:ind w:firstLine="0" w:firstLineChars="0"/>
        <w:rPr>
          <w:rFonts w:ascii="Times New Roman" w:hAnsi="Times New Roman" w:cs="Times New Roman"/>
          <w:sz w:val="32"/>
        </w:rPr>
      </w:pPr>
      <w:bookmarkStart w:id="1035" w:name="_Toc4578"/>
      <w:r>
        <w:rPr>
          <w:rFonts w:ascii="Times New Roman" w:hAnsi="Times New Roman" w:cs="Times New Roman"/>
          <w:sz w:val="32"/>
        </w:rPr>
        <w:t>风险分析与隐患排查治理</w:t>
      </w:r>
      <w:bookmarkEnd w:id="1035"/>
    </w:p>
    <w:p w14:paraId="5FDA42AC">
      <w:pPr>
        <w:ind w:firstLine="632"/>
        <w:rPr>
          <w:rFonts w:ascii="Times New Roman" w:hAnsi="Times New Roman" w:cs="Times New Roman"/>
          <w:sz w:val="32"/>
        </w:rPr>
      </w:pPr>
      <w:r>
        <w:rPr>
          <w:rFonts w:ascii="Times New Roman" w:hAnsi="Times New Roman" w:cs="Times New Roman"/>
          <w:sz w:val="32"/>
        </w:rPr>
        <w:t>燃气属易燃、易爆物质，在输送、充装、储存、使用过程中，若管道、容器、阀门发生泄漏并达到爆炸极限，遇明火或静电产生的电火花可能引起燃烧和爆炸事故。</w:t>
      </w:r>
    </w:p>
    <w:p w14:paraId="0AD99125">
      <w:pPr>
        <w:ind w:firstLine="632"/>
        <w:rPr>
          <w:rFonts w:ascii="Times New Roman" w:hAnsi="Times New Roman" w:cs="Times New Roman"/>
          <w:sz w:val="32"/>
        </w:rPr>
      </w:pPr>
      <w:r>
        <w:rPr>
          <w:rFonts w:ascii="Times New Roman" w:hAnsi="Times New Roman" w:cs="Times New Roman"/>
          <w:sz w:val="32"/>
        </w:rPr>
        <w:t>（1）县住房和城乡建设局负责协调有关单位做好应急物资储备和应急队伍建设，组织应急演练和宣传培训；充分利用各种资源优势，搜集、分析各种对燃气供应系统可能产生不利影响的信息，研判提出应对措施；实时监测本县供气动态并预测燃气资源的供需平衡情况。</w:t>
      </w:r>
    </w:p>
    <w:p w14:paraId="18B42FF3">
      <w:pPr>
        <w:ind w:firstLine="632"/>
        <w:rPr>
          <w:rFonts w:ascii="Times New Roman" w:hAnsi="Times New Roman" w:cs="Times New Roman"/>
          <w:sz w:val="32"/>
        </w:rPr>
      </w:pPr>
      <w:r>
        <w:rPr>
          <w:rFonts w:ascii="Times New Roman" w:hAnsi="Times New Roman" w:cs="Times New Roman"/>
          <w:sz w:val="32"/>
        </w:rPr>
        <w:t>（2）各乡镇人民政府应加强对本辖区内燃气安全工作的监督、管理，发挥属地化、网格化管理的作用，结合本区域特点，加强检查监管，实现对燃气管线、输配站、液化气站、加气站、液化气站等建设、维护的长效管理，组织开展燃气安全监督检查和安全工作指导，及时了解、掌握供气情况和动态。对重大隐患要进行挂牌督办或依法实施停产关闭，实现对地下燃气管线设施及其建设、维护的长效管理。</w:t>
      </w:r>
    </w:p>
    <w:p w14:paraId="7995A24C">
      <w:pPr>
        <w:ind w:firstLine="632"/>
        <w:rPr>
          <w:rFonts w:ascii="Times New Roman" w:hAnsi="Times New Roman" w:cs="Times New Roman"/>
          <w:sz w:val="32"/>
        </w:rPr>
      </w:pPr>
      <w:r>
        <w:rPr>
          <w:rFonts w:ascii="Times New Roman" w:hAnsi="Times New Roman" w:cs="Times New Roman"/>
          <w:sz w:val="32"/>
        </w:rPr>
        <w:t>（3）燃气经营企业应按照本单位燃气设施使用及运营管理的实际情况，制定各级专业处置预案和操作规程，与住建、消防、应急管理、乡镇人民政府等单位建立安全协作网络，设置安全协管员，与网格化管理部门建立联系机制，定期沟通燃气设施的动态情况以及相关改造建设计划。运用先进设备与技术手段，建立燃气设施安全可靠的动态化管理系统；做好燃气设施、设备的定期检测和风险评估，对存在的危险有害因素进行辨识，针对危险有害因素可能产生的后果，做好风险分析工作，制定相应的应急处置措施；要加大隐患排查力度，制定隐患排查计划，建立隐患台账，对排查出的重大隐患要制定整改措施，落实整改责任部门和责任人，做到措施、责任、资金、时限、预案五到位，能立即整改的应立即整改，短期内难以整改到位的，要限期整改并持续督促跟进，确保隐患整改工作形成闭环。</w:t>
      </w:r>
    </w:p>
    <w:p w14:paraId="05A3F7AE">
      <w:pPr>
        <w:pStyle w:val="3"/>
        <w:ind w:firstLine="0" w:firstLineChars="0"/>
        <w:rPr>
          <w:rFonts w:ascii="Times New Roman" w:hAnsi="Times New Roman" w:cs="Times New Roman"/>
          <w:sz w:val="32"/>
        </w:rPr>
      </w:pPr>
      <w:bookmarkStart w:id="1036" w:name="_Toc32640"/>
      <w:r>
        <w:rPr>
          <w:rFonts w:ascii="Times New Roman" w:hAnsi="Times New Roman" w:cs="Times New Roman"/>
          <w:sz w:val="32"/>
        </w:rPr>
        <w:t>预防措施</w:t>
      </w:r>
      <w:bookmarkEnd w:id="1036"/>
    </w:p>
    <w:p w14:paraId="40C965CB">
      <w:pPr>
        <w:ind w:firstLine="632"/>
        <w:rPr>
          <w:rFonts w:ascii="Times New Roman" w:hAnsi="Times New Roman" w:cs="Times New Roman"/>
          <w:sz w:val="32"/>
        </w:rPr>
      </w:pPr>
      <w:r>
        <w:rPr>
          <w:rFonts w:ascii="Times New Roman" w:hAnsi="Times New Roman" w:cs="Times New Roman"/>
          <w:sz w:val="32"/>
        </w:rPr>
        <w:t>乡镇人民政府应加强对本辖区内燃气安全工作的监督、管理，发挥属地化、网格化管理的作用，结合区域特点，加强检查监管，实现对燃气管线、输配站、液化气站、加气站、液化气站等建设、维护的长效管理，组织开展燃气安全监督检查和安全工作指导，及时了解、掌握供气情况和动态。</w:t>
      </w:r>
    </w:p>
    <w:p w14:paraId="0FDDDC03">
      <w:pPr>
        <w:pStyle w:val="3"/>
        <w:ind w:firstLine="0" w:firstLineChars="0"/>
        <w:rPr>
          <w:rFonts w:ascii="Times New Roman" w:hAnsi="Times New Roman" w:cs="Times New Roman"/>
          <w:sz w:val="32"/>
        </w:rPr>
      </w:pPr>
      <w:bookmarkStart w:id="1037" w:name="_Toc29734"/>
      <w:r>
        <w:rPr>
          <w:rFonts w:ascii="Times New Roman" w:hAnsi="Times New Roman" w:cs="Times New Roman"/>
          <w:sz w:val="32"/>
        </w:rPr>
        <w:t>预警发布</w:t>
      </w:r>
      <w:bookmarkEnd w:id="1037"/>
    </w:p>
    <w:p w14:paraId="0A960427">
      <w:pPr>
        <w:ind w:firstLine="632"/>
        <w:rPr>
          <w:rFonts w:ascii="Times New Roman" w:hAnsi="Times New Roman" w:cs="Times New Roman"/>
          <w:sz w:val="32"/>
        </w:rPr>
      </w:pPr>
      <w:r>
        <w:rPr>
          <w:rFonts w:ascii="Times New Roman" w:hAnsi="Times New Roman" w:cs="Times New Roman"/>
          <w:sz w:val="32"/>
        </w:rPr>
        <w:t>县燃气应急指挥部根据本预案职责、权限和有关规定，适时发布预警信息，我县城镇燃气事故预警信号由红色、橙色、黄色、蓝色表示。预警发布、调整和解除可通过广播电台、电视、通信、信息网络或组织人员逐户通知等方式实施，对老、幼、病、残、孕等特殊人群和警报盲区、学校等特殊场所应采取有针对性的公告方式。</w:t>
      </w:r>
    </w:p>
    <w:p w14:paraId="1D7413D1">
      <w:pPr>
        <w:pStyle w:val="3"/>
        <w:ind w:firstLine="0" w:firstLineChars="0"/>
        <w:rPr>
          <w:rFonts w:ascii="Times New Roman" w:hAnsi="Times New Roman" w:cs="Times New Roman"/>
          <w:sz w:val="32"/>
        </w:rPr>
      </w:pPr>
      <w:bookmarkStart w:id="1038" w:name="_Toc15271"/>
      <w:r>
        <w:rPr>
          <w:rFonts w:ascii="Times New Roman" w:hAnsi="Times New Roman" w:cs="Times New Roman"/>
          <w:sz w:val="32"/>
        </w:rPr>
        <w:t>预警调整</w:t>
      </w:r>
      <w:bookmarkEnd w:id="1038"/>
    </w:p>
    <w:p w14:paraId="265C8D1F">
      <w:pPr>
        <w:ind w:firstLine="632"/>
        <w:rPr>
          <w:rFonts w:ascii="Times New Roman" w:hAnsi="Times New Roman" w:cs="Times New Roman"/>
          <w:sz w:val="32"/>
        </w:rPr>
      </w:pPr>
      <w:r>
        <w:rPr>
          <w:rFonts w:ascii="Times New Roman" w:hAnsi="Times New Roman" w:cs="Times New Roman"/>
          <w:sz w:val="32"/>
        </w:rPr>
        <w:t>城镇燃气经营企业到达燃气事故现场进行分析研判，认为现场危险情况可能持续恶化或已对险情实施有效控制，立即向县燃气应急指挥部办公室提出预警调整或结束预警的建议。县燃气应急指挥部办公室密切关注事件发展情况，对各方面信息进行综合分析判断后，迅速提出调整预警级别或结束预警的意见和建议。</w:t>
      </w:r>
    </w:p>
    <w:p w14:paraId="10FDCB30">
      <w:pPr>
        <w:pStyle w:val="3"/>
        <w:ind w:firstLine="0" w:firstLineChars="0"/>
        <w:rPr>
          <w:rFonts w:ascii="Times New Roman" w:hAnsi="Times New Roman" w:cs="Times New Roman"/>
          <w:sz w:val="32"/>
        </w:rPr>
      </w:pPr>
      <w:bookmarkStart w:id="1039" w:name="_Toc6905"/>
      <w:r>
        <w:rPr>
          <w:rFonts w:ascii="Times New Roman" w:hAnsi="Times New Roman" w:cs="Times New Roman"/>
          <w:sz w:val="32"/>
        </w:rPr>
        <w:t>预警解除</w:t>
      </w:r>
      <w:bookmarkEnd w:id="1039"/>
    </w:p>
    <w:p w14:paraId="388E3412">
      <w:pPr>
        <w:ind w:firstLine="632"/>
        <w:rPr>
          <w:rFonts w:ascii="Times New Roman" w:hAnsi="Times New Roman" w:cs="Times New Roman"/>
          <w:sz w:val="32"/>
        </w:rPr>
      </w:pPr>
      <w:r>
        <w:rPr>
          <w:rFonts w:ascii="Times New Roman" w:hAnsi="Times New Roman" w:cs="Times New Roman"/>
          <w:sz w:val="32"/>
        </w:rPr>
        <w:t>城镇燃气经营企业及时通过应对措施，事故得到有效控制和消除后，由县燃气应急指挥部向所有发布过预警信号的部门宣布解除预警，终止预警期，并解除已经采取的有关措施。</w:t>
      </w:r>
    </w:p>
    <w:p w14:paraId="3C7CC01B">
      <w:pPr>
        <w:pStyle w:val="2"/>
        <w:numPr>
          <w:ilvl w:val="0"/>
          <w:numId w:val="176"/>
        </w:numPr>
        <w:tabs>
          <w:tab w:val="left" w:pos="0"/>
        </w:tabs>
        <w:ind w:firstLine="0" w:firstLineChars="0"/>
        <w:rPr>
          <w:rFonts w:ascii="Times New Roman" w:hAnsi="Times New Roman" w:cs="Times New Roman"/>
          <w:sz w:val="32"/>
        </w:rPr>
      </w:pPr>
      <w:bookmarkStart w:id="1040" w:name="_Toc10485"/>
      <w:r>
        <w:rPr>
          <w:rFonts w:ascii="Times New Roman" w:hAnsi="Times New Roman" w:cs="Times New Roman"/>
          <w:sz w:val="32"/>
        </w:rPr>
        <w:t>应急响应</w:t>
      </w:r>
      <w:bookmarkEnd w:id="1040"/>
    </w:p>
    <w:p w14:paraId="3D87D5E0">
      <w:pPr>
        <w:pStyle w:val="3"/>
        <w:ind w:firstLine="0" w:firstLineChars="0"/>
        <w:rPr>
          <w:rFonts w:ascii="Times New Roman" w:hAnsi="Times New Roman" w:cs="Times New Roman"/>
          <w:sz w:val="32"/>
        </w:rPr>
      </w:pPr>
      <w:bookmarkStart w:id="1041" w:name="_Toc21211"/>
      <w:r>
        <w:rPr>
          <w:rFonts w:ascii="Times New Roman" w:hAnsi="Times New Roman" w:cs="Times New Roman"/>
          <w:sz w:val="32"/>
        </w:rPr>
        <w:t>信息报告</w:t>
      </w:r>
      <w:bookmarkEnd w:id="1041"/>
      <w:r>
        <w:rPr>
          <w:rFonts w:ascii="Times New Roman" w:hAnsi="Times New Roman" w:cs="Times New Roman"/>
          <w:sz w:val="32"/>
        </w:rPr>
        <w:t xml:space="preserve"> </w:t>
      </w:r>
    </w:p>
    <w:p w14:paraId="351A7323">
      <w:pPr>
        <w:ind w:firstLine="632"/>
        <w:rPr>
          <w:rFonts w:ascii="Times New Roman" w:hAnsi="Times New Roman" w:cs="Times New Roman"/>
          <w:sz w:val="32"/>
        </w:rPr>
      </w:pPr>
      <w:r>
        <w:rPr>
          <w:rFonts w:ascii="Times New Roman" w:hAnsi="Times New Roman" w:cs="Times New Roman"/>
          <w:sz w:val="32"/>
        </w:rPr>
        <w:t>城镇燃气经营企业应建立健全事故隐患和危险源数据库。对可能造成安全事故的信息，及时将可能发生事故的信息报告给县燃气应急指挥部办公室。</w:t>
      </w:r>
    </w:p>
    <w:p w14:paraId="51388BA9">
      <w:pPr>
        <w:ind w:firstLine="632"/>
        <w:rPr>
          <w:rFonts w:ascii="Times New Roman" w:hAnsi="Times New Roman" w:cs="Times New Roman"/>
          <w:sz w:val="32"/>
        </w:rPr>
      </w:pPr>
      <w:r>
        <w:rPr>
          <w:rFonts w:ascii="Times New Roman" w:hAnsi="Times New Roman" w:cs="Times New Roman"/>
          <w:sz w:val="32"/>
        </w:rPr>
        <w:t>事故发生后燃气经营企业负责人应当立即向县燃气应急指挥部、事发地乡镇人民政府报告；燃气经营企业、事发地乡镇人民政府组织先期处置的同时，应迅速摸清情况，并在30分钟内向县住房和城乡建设局和县应急管理局报告；相关部门接到事故报告信息后应立即将事故信息报送制县人民政府总值班室，同时由县燃气应急指挥部办公室负责通知指挥部各成员单位做好起启动应急响应的准备。较大及以上事故应当逐级上报，上报时间不得超过1小时。紧急情况下可越级报告。事故报告以电话报告、后书面补报的方式进行。</w:t>
      </w:r>
    </w:p>
    <w:p w14:paraId="1819A9A0">
      <w:pPr>
        <w:ind w:firstLine="632"/>
        <w:rPr>
          <w:rFonts w:ascii="Times New Roman" w:hAnsi="Times New Roman" w:cs="Times New Roman"/>
          <w:sz w:val="32"/>
        </w:rPr>
      </w:pPr>
      <w:r>
        <w:rPr>
          <w:rFonts w:ascii="Times New Roman" w:hAnsi="Times New Roman" w:cs="Times New Roman"/>
          <w:sz w:val="32"/>
        </w:rPr>
        <w:t>报告应涵盖以下内容：</w:t>
      </w:r>
    </w:p>
    <w:p w14:paraId="1FB456F4">
      <w:pPr>
        <w:ind w:firstLine="632"/>
        <w:rPr>
          <w:rFonts w:ascii="Times New Roman" w:hAnsi="Times New Roman" w:cs="Times New Roman"/>
          <w:sz w:val="32"/>
        </w:rPr>
      </w:pPr>
      <w:r>
        <w:rPr>
          <w:rFonts w:ascii="Times New Roman" w:hAnsi="Times New Roman" w:cs="Times New Roman"/>
          <w:sz w:val="32"/>
        </w:rPr>
        <w:t>（1）事故单位的详细名称、地址、主要负责人及联系电话；</w:t>
      </w:r>
    </w:p>
    <w:p w14:paraId="7410849E">
      <w:pPr>
        <w:ind w:firstLine="632"/>
        <w:rPr>
          <w:rFonts w:ascii="Times New Roman" w:hAnsi="Times New Roman" w:cs="Times New Roman"/>
          <w:sz w:val="32"/>
        </w:rPr>
      </w:pPr>
      <w:r>
        <w:rPr>
          <w:rFonts w:ascii="Times New Roman" w:hAnsi="Times New Roman" w:cs="Times New Roman"/>
          <w:sz w:val="32"/>
        </w:rPr>
        <w:t>（2）事故单位的经济类型，生产、输配规模、存储设备座数及储量、气源地、处数；</w:t>
      </w:r>
    </w:p>
    <w:p w14:paraId="6C972740">
      <w:pPr>
        <w:ind w:firstLine="632"/>
        <w:rPr>
          <w:rFonts w:ascii="Times New Roman" w:hAnsi="Times New Roman" w:cs="Times New Roman"/>
          <w:sz w:val="32"/>
        </w:rPr>
      </w:pPr>
      <w:r>
        <w:rPr>
          <w:rFonts w:ascii="Times New Roman" w:hAnsi="Times New Roman" w:cs="Times New Roman"/>
          <w:sz w:val="32"/>
        </w:rPr>
        <w:t>（3）事故发生的时间、地点、类别；</w:t>
      </w:r>
    </w:p>
    <w:p w14:paraId="79DFD92D">
      <w:pPr>
        <w:ind w:firstLine="632"/>
        <w:rPr>
          <w:rFonts w:ascii="Times New Roman" w:hAnsi="Times New Roman" w:cs="Times New Roman"/>
          <w:sz w:val="32"/>
        </w:rPr>
      </w:pPr>
      <w:r>
        <w:rPr>
          <w:rFonts w:ascii="Times New Roman" w:hAnsi="Times New Roman" w:cs="Times New Roman"/>
          <w:sz w:val="32"/>
        </w:rPr>
        <w:t>（4）事故造成的危害程度、影响范围、伤亡人数，直接经济损失的初步估计；</w:t>
      </w:r>
    </w:p>
    <w:p w14:paraId="5283473A">
      <w:pPr>
        <w:ind w:firstLine="632"/>
        <w:rPr>
          <w:rFonts w:ascii="Times New Roman" w:hAnsi="Times New Roman" w:cs="Times New Roman"/>
          <w:sz w:val="32"/>
        </w:rPr>
      </w:pPr>
      <w:r>
        <w:rPr>
          <w:rFonts w:ascii="Times New Roman" w:hAnsi="Times New Roman" w:cs="Times New Roman"/>
          <w:sz w:val="32"/>
        </w:rPr>
        <w:t>（5）事故的简要经过；</w:t>
      </w:r>
    </w:p>
    <w:p w14:paraId="353E7509">
      <w:pPr>
        <w:ind w:firstLine="632"/>
        <w:rPr>
          <w:rFonts w:ascii="Times New Roman" w:hAnsi="Times New Roman" w:cs="Times New Roman"/>
          <w:sz w:val="32"/>
        </w:rPr>
      </w:pPr>
      <w:r>
        <w:rPr>
          <w:rFonts w:ascii="Times New Roman" w:hAnsi="Times New Roman" w:cs="Times New Roman"/>
          <w:sz w:val="32"/>
        </w:rPr>
        <w:t>（6）事故原因的初步分析判断；</w:t>
      </w:r>
    </w:p>
    <w:p w14:paraId="5870ECF7">
      <w:pPr>
        <w:ind w:firstLine="632"/>
        <w:rPr>
          <w:rFonts w:ascii="Times New Roman" w:hAnsi="Times New Roman" w:cs="Times New Roman"/>
          <w:sz w:val="32"/>
        </w:rPr>
      </w:pPr>
      <w:r>
        <w:rPr>
          <w:rFonts w:ascii="Times New Roman" w:hAnsi="Times New Roman" w:cs="Times New Roman"/>
          <w:sz w:val="32"/>
        </w:rPr>
        <w:t>（7）事故发生后采用的应急处置措施及事故控制情况；</w:t>
      </w:r>
    </w:p>
    <w:p w14:paraId="0BA1842E">
      <w:pPr>
        <w:ind w:firstLine="632"/>
        <w:rPr>
          <w:rFonts w:ascii="Times New Roman" w:hAnsi="Times New Roman" w:cs="Times New Roman"/>
          <w:sz w:val="32"/>
        </w:rPr>
      </w:pPr>
      <w:r>
        <w:rPr>
          <w:rFonts w:ascii="Times New Roman" w:hAnsi="Times New Roman" w:cs="Times New Roman"/>
          <w:sz w:val="32"/>
        </w:rPr>
        <w:t>（8）需要有关部门和单位协助抢救和处理的有关事宜；</w:t>
      </w:r>
    </w:p>
    <w:p w14:paraId="1415898E">
      <w:pPr>
        <w:ind w:firstLine="632"/>
        <w:rPr>
          <w:rFonts w:ascii="Times New Roman" w:hAnsi="Times New Roman" w:cs="Times New Roman"/>
          <w:sz w:val="32"/>
        </w:rPr>
      </w:pPr>
      <w:r>
        <w:rPr>
          <w:rFonts w:ascii="Times New Roman" w:hAnsi="Times New Roman" w:cs="Times New Roman"/>
          <w:sz w:val="32"/>
        </w:rPr>
        <w:t>（9）其他需要上报的有关事项。</w:t>
      </w:r>
    </w:p>
    <w:p w14:paraId="5EB25904">
      <w:pPr>
        <w:pStyle w:val="3"/>
        <w:ind w:firstLine="0" w:firstLineChars="0"/>
        <w:rPr>
          <w:rFonts w:ascii="Times New Roman" w:hAnsi="Times New Roman" w:cs="Times New Roman"/>
          <w:sz w:val="32"/>
        </w:rPr>
      </w:pPr>
      <w:bookmarkStart w:id="1042" w:name="_Toc4748"/>
      <w:r>
        <w:rPr>
          <w:rFonts w:ascii="Times New Roman" w:hAnsi="Times New Roman" w:cs="Times New Roman"/>
          <w:sz w:val="32"/>
        </w:rPr>
        <w:t>响应启动</w:t>
      </w:r>
      <w:bookmarkEnd w:id="1042"/>
      <w:r>
        <w:rPr>
          <w:rFonts w:ascii="Times New Roman" w:hAnsi="Times New Roman" w:cs="Times New Roman"/>
          <w:sz w:val="32"/>
        </w:rPr>
        <w:t xml:space="preserve"> </w:t>
      </w:r>
    </w:p>
    <w:p w14:paraId="00706299">
      <w:pPr>
        <w:ind w:firstLine="632"/>
        <w:rPr>
          <w:rFonts w:ascii="Times New Roman" w:hAnsi="Times New Roman" w:cs="Times New Roman"/>
          <w:sz w:val="32"/>
        </w:rPr>
      </w:pPr>
      <w:r>
        <w:rPr>
          <w:rFonts w:ascii="Times New Roman" w:hAnsi="Times New Roman" w:cs="Times New Roman"/>
          <w:sz w:val="32"/>
        </w:rPr>
        <w:t>燃气事故发生后，事故发生单位应立即启动本单位应急救援预案并迅速展开自救活动，在第一时间进行先期处置。</w:t>
      </w:r>
    </w:p>
    <w:p w14:paraId="37B77221">
      <w:pPr>
        <w:ind w:firstLine="632"/>
        <w:rPr>
          <w:rFonts w:ascii="Times New Roman" w:hAnsi="Times New Roman" w:cs="Times New Roman"/>
          <w:sz w:val="32"/>
        </w:rPr>
      </w:pPr>
      <w:r>
        <w:rPr>
          <w:rFonts w:ascii="Times New Roman" w:hAnsi="Times New Roman" w:cs="Times New Roman"/>
          <w:sz w:val="32"/>
        </w:rPr>
        <w:t>县燃气应急指挥部接到事故报告时，立即召集相关部门进行工作部署。由指挥部总指挥负责召开会议，研究制定应急处置方案，各现场应急工作组迅速做好应急处置准备工作。</w:t>
      </w:r>
    </w:p>
    <w:p w14:paraId="4135C9CA">
      <w:pPr>
        <w:ind w:firstLine="632"/>
        <w:rPr>
          <w:rFonts w:ascii="Times New Roman" w:hAnsi="Times New Roman" w:cs="Times New Roman"/>
          <w:sz w:val="32"/>
        </w:rPr>
      </w:pPr>
      <w:r>
        <w:rPr>
          <w:rFonts w:ascii="Times New Roman" w:hAnsi="Times New Roman" w:cs="Times New Roman"/>
          <w:sz w:val="32"/>
        </w:rPr>
        <w:t>县燃气应急指挥部总指挥或其指定负责人立即赶赴事故现场，会同事发地乡镇人民政府成立现场指挥部，统一指挥现场应急救援工作。</w:t>
      </w:r>
    </w:p>
    <w:p w14:paraId="04C30F20">
      <w:pPr>
        <w:ind w:firstLine="632"/>
        <w:rPr>
          <w:rFonts w:ascii="Times New Roman" w:hAnsi="Times New Roman" w:cs="Times New Roman"/>
          <w:sz w:val="32"/>
        </w:rPr>
      </w:pPr>
      <w:r>
        <w:rPr>
          <w:rFonts w:ascii="Times New Roman" w:hAnsi="Times New Roman" w:cs="Times New Roman"/>
          <w:sz w:val="32"/>
        </w:rPr>
        <w:t>指挥部各成员单位人员接报后应立即赶赴现场，听从现场指挥部总指挥的统一指挥，按职责分工开展工作。应首先组织力量全力抢救伤员，并送入就近医院抢救。</w:t>
      </w:r>
    </w:p>
    <w:p w14:paraId="1FEE8E3B">
      <w:pPr>
        <w:ind w:firstLine="632"/>
        <w:rPr>
          <w:rFonts w:ascii="Times New Roman" w:hAnsi="Times New Roman" w:cs="Times New Roman"/>
          <w:sz w:val="32"/>
        </w:rPr>
      </w:pPr>
      <w:r>
        <w:rPr>
          <w:rFonts w:ascii="Times New Roman" w:hAnsi="Times New Roman" w:cs="Times New Roman"/>
          <w:sz w:val="32"/>
        </w:rPr>
        <w:t>事故有进一步发展的可能，要积极组织人员、设备或物资，尽快制止事故发展并及时消除隐患；如发生燃气大面积泄漏或爆炸，应采取果断措施，避免再次发生人员伤亡。</w:t>
      </w:r>
    </w:p>
    <w:p w14:paraId="7946D72A">
      <w:pPr>
        <w:pStyle w:val="3"/>
        <w:ind w:firstLine="0" w:firstLineChars="0"/>
        <w:rPr>
          <w:rFonts w:ascii="Times New Roman" w:hAnsi="Times New Roman" w:cs="Times New Roman"/>
          <w:sz w:val="32"/>
        </w:rPr>
      </w:pPr>
      <w:bookmarkStart w:id="1043" w:name="_Toc12413"/>
      <w:r>
        <w:rPr>
          <w:rFonts w:ascii="Times New Roman" w:hAnsi="Times New Roman" w:cs="Times New Roman"/>
          <w:sz w:val="32"/>
        </w:rPr>
        <w:t>分级响应机制</w:t>
      </w:r>
      <w:bookmarkEnd w:id="1043"/>
    </w:p>
    <w:p w14:paraId="6DFCE750">
      <w:pPr>
        <w:ind w:firstLine="632"/>
        <w:rPr>
          <w:rFonts w:ascii="Times New Roman" w:hAnsi="Times New Roman" w:cs="Times New Roman"/>
          <w:sz w:val="32"/>
        </w:rPr>
      </w:pPr>
      <w:r>
        <w:rPr>
          <w:rFonts w:ascii="Times New Roman" w:hAnsi="Times New Roman" w:cs="Times New Roman"/>
          <w:sz w:val="32"/>
        </w:rPr>
        <w:t xml:space="preserve">（1）Ⅰ级（特别重大）、Ⅱ级（重大）城镇燃气事故的应急响应 </w:t>
      </w:r>
    </w:p>
    <w:p w14:paraId="23E4130F">
      <w:pPr>
        <w:ind w:firstLine="632"/>
        <w:rPr>
          <w:rFonts w:ascii="Times New Roman" w:hAnsi="Times New Roman" w:cs="Times New Roman"/>
          <w:sz w:val="32"/>
        </w:rPr>
      </w:pPr>
      <w:r>
        <w:rPr>
          <w:rFonts w:ascii="Times New Roman" w:hAnsi="Times New Roman" w:cs="Times New Roman"/>
          <w:sz w:val="32"/>
        </w:rPr>
        <w:t>根据黑龙江省政府应急指挥机构决定启动的相应应急预案。县燃气应急指挥部在黑龙江省政府应急指挥机构的统一指挥下进行处置。</w:t>
      </w:r>
    </w:p>
    <w:p w14:paraId="646F2655">
      <w:pPr>
        <w:ind w:firstLine="632"/>
        <w:rPr>
          <w:rFonts w:ascii="Times New Roman" w:hAnsi="Times New Roman" w:cs="Times New Roman"/>
          <w:sz w:val="32"/>
        </w:rPr>
      </w:pPr>
      <w:r>
        <w:rPr>
          <w:rFonts w:ascii="Times New Roman" w:hAnsi="Times New Roman" w:cs="Times New Roman"/>
          <w:sz w:val="32"/>
        </w:rPr>
        <w:t xml:space="preserve">（2）Ⅲ级（较大）城镇燃气事故的应急响应 </w:t>
      </w:r>
    </w:p>
    <w:p w14:paraId="7E12B292">
      <w:pPr>
        <w:ind w:firstLine="632"/>
        <w:rPr>
          <w:rFonts w:ascii="Times New Roman" w:hAnsi="Times New Roman" w:cs="Times New Roman"/>
          <w:sz w:val="32"/>
        </w:rPr>
      </w:pPr>
      <w:r>
        <w:rPr>
          <w:rFonts w:ascii="Times New Roman" w:hAnsi="Times New Roman" w:cs="Times New Roman"/>
          <w:sz w:val="32"/>
        </w:rPr>
        <w:t>根据双鸭山市政府应急指挥机构决定启动的相应应急预案。县燃气应急指挥部在双鸭山市政府应急指挥机构的统一指挥下进行处置。</w:t>
      </w:r>
    </w:p>
    <w:p w14:paraId="611DA5EC">
      <w:pPr>
        <w:ind w:firstLine="632"/>
        <w:rPr>
          <w:rFonts w:ascii="Times New Roman" w:hAnsi="Times New Roman" w:cs="Times New Roman"/>
          <w:sz w:val="32"/>
        </w:rPr>
      </w:pPr>
      <w:r>
        <w:rPr>
          <w:rFonts w:ascii="Times New Roman" w:hAnsi="Times New Roman" w:cs="Times New Roman"/>
          <w:sz w:val="32"/>
        </w:rPr>
        <w:t xml:space="preserve">（3）Ⅳ级（一般）城镇燃气事故的应急响应 </w:t>
      </w:r>
    </w:p>
    <w:p w14:paraId="0BE0BACA">
      <w:pPr>
        <w:ind w:firstLine="632"/>
        <w:rPr>
          <w:rFonts w:ascii="Times New Roman" w:hAnsi="Times New Roman" w:cs="Times New Roman"/>
          <w:sz w:val="32"/>
        </w:rPr>
      </w:pPr>
      <w:r>
        <w:rPr>
          <w:rFonts w:ascii="Times New Roman" w:hAnsi="Times New Roman" w:cs="Times New Roman"/>
          <w:sz w:val="32"/>
        </w:rPr>
        <w:t>一般城镇燃气事故发生后，由县燃气应急指挥部按照预案组织有关部门做好城镇燃气事故的应急处置工作。事故发生单位积极做好配合工作，按指令组织专业救援队伍参与现场救援。</w:t>
      </w:r>
    </w:p>
    <w:p w14:paraId="7FAC44BC">
      <w:pPr>
        <w:ind w:firstLine="632"/>
        <w:rPr>
          <w:rFonts w:ascii="Times New Roman" w:hAnsi="Times New Roman" w:cs="Times New Roman"/>
          <w:sz w:val="32"/>
        </w:rPr>
      </w:pPr>
      <w:r>
        <w:rPr>
          <w:rFonts w:ascii="Times New Roman" w:hAnsi="Times New Roman" w:cs="Times New Roman"/>
          <w:sz w:val="32"/>
        </w:rPr>
        <w:t>当省政府、市政府应急预案启动时，本预案同时启动。</w:t>
      </w:r>
    </w:p>
    <w:p w14:paraId="40149600">
      <w:pPr>
        <w:pStyle w:val="3"/>
        <w:ind w:firstLine="0" w:firstLineChars="0"/>
        <w:rPr>
          <w:rFonts w:ascii="Times New Roman" w:hAnsi="Times New Roman" w:cs="Times New Roman"/>
          <w:sz w:val="32"/>
        </w:rPr>
      </w:pPr>
      <w:bookmarkStart w:id="1044" w:name="_Toc16394"/>
      <w:r>
        <w:rPr>
          <w:rFonts w:ascii="Times New Roman" w:hAnsi="Times New Roman" w:cs="Times New Roman"/>
          <w:sz w:val="32"/>
        </w:rPr>
        <w:t>分级响应主要工作内容</w:t>
      </w:r>
      <w:bookmarkEnd w:id="1044"/>
    </w:p>
    <w:p w14:paraId="578A0FEC">
      <w:pPr>
        <w:ind w:firstLine="632"/>
        <w:rPr>
          <w:rFonts w:ascii="Times New Roman" w:hAnsi="Times New Roman" w:cs="Times New Roman"/>
          <w:sz w:val="32"/>
        </w:rPr>
      </w:pPr>
      <w:r>
        <w:rPr>
          <w:rFonts w:ascii="Times New Roman" w:hAnsi="Times New Roman" w:cs="Times New Roman"/>
          <w:sz w:val="32"/>
        </w:rPr>
        <w:t>（1）Ⅰ级（特别重大）、Ⅱ级（重大）城镇燃气事故的应急响应</w:t>
      </w:r>
    </w:p>
    <w:p w14:paraId="2A3A11DC">
      <w:pPr>
        <w:ind w:firstLine="632"/>
        <w:rPr>
          <w:rFonts w:ascii="Times New Roman" w:hAnsi="Times New Roman" w:cs="Times New Roman"/>
          <w:sz w:val="32"/>
        </w:rPr>
      </w:pPr>
      <w:r>
        <w:rPr>
          <w:rFonts w:ascii="Times New Roman" w:hAnsi="Times New Roman" w:cs="Times New Roman"/>
          <w:sz w:val="32"/>
        </w:rPr>
        <w:t>在省政府应急指挥机构的领导和指挥下，县燃气应急指挥部启动应急预案，成立应急处置现场指挥部，组织各应急小组赶赴现场协同做好城镇燃气事故的应急处置工作。各应急小组按照各自职责和分工，分别开展城镇燃气事故的危险源控制与救援、医疗卫生、现场秩序维护和社会稳定、应急物资与设备的调集、资金与后勤保障、宣传报道等工作。</w:t>
      </w:r>
    </w:p>
    <w:p w14:paraId="65A0C12D">
      <w:pPr>
        <w:ind w:firstLine="632"/>
        <w:rPr>
          <w:rFonts w:ascii="Times New Roman" w:hAnsi="Times New Roman" w:cs="Times New Roman"/>
          <w:sz w:val="32"/>
        </w:rPr>
      </w:pPr>
      <w:r>
        <w:rPr>
          <w:rFonts w:ascii="Times New Roman" w:hAnsi="Times New Roman" w:cs="Times New Roman"/>
          <w:sz w:val="32"/>
        </w:rPr>
        <w:t>县人民政府在省政府应急指挥机构的统一领导下，结合本县实际情况，组织协调辖区内城镇燃气事故的各项应急处置工作。事故发生单位积极做好配合工作，按指令组织专业救援队伍参与现场救援。</w:t>
      </w:r>
    </w:p>
    <w:p w14:paraId="4DCA3C2A">
      <w:pPr>
        <w:ind w:firstLine="632"/>
        <w:rPr>
          <w:rFonts w:ascii="Times New Roman" w:hAnsi="Times New Roman" w:cs="Times New Roman"/>
          <w:sz w:val="32"/>
        </w:rPr>
      </w:pPr>
      <w:r>
        <w:rPr>
          <w:rFonts w:ascii="Times New Roman" w:hAnsi="Times New Roman" w:cs="Times New Roman"/>
          <w:sz w:val="32"/>
        </w:rPr>
        <w:t xml:space="preserve">（2）Ⅲ级（较大）城镇燃气事故的应急响应 </w:t>
      </w:r>
    </w:p>
    <w:p w14:paraId="73F4F888">
      <w:pPr>
        <w:ind w:firstLine="632"/>
        <w:rPr>
          <w:rFonts w:ascii="Times New Roman" w:hAnsi="Times New Roman" w:cs="Times New Roman"/>
          <w:sz w:val="32"/>
        </w:rPr>
      </w:pPr>
      <w:r>
        <w:rPr>
          <w:rFonts w:ascii="Times New Roman" w:hAnsi="Times New Roman" w:cs="Times New Roman"/>
          <w:sz w:val="32"/>
        </w:rPr>
        <w:t>在双鸭山市应急指挥机构的领导和指挥下，成立应急处置现场指挥部，确定现场应急处置方案，迅速组织各应急小组赶赴现场协同做好城镇燃气事故的应急处置工作。各应急小组按照各自职责和分工，分别开展城镇燃气事故的危险源控制与救援、医疗卫生、现场秩序维护和社会稳定、应急物资与设备的调集、资金与后勤保障、宣传报道等工作。</w:t>
      </w:r>
    </w:p>
    <w:p w14:paraId="416F917A">
      <w:pPr>
        <w:ind w:firstLine="632"/>
        <w:rPr>
          <w:rFonts w:ascii="Times New Roman" w:hAnsi="Times New Roman" w:cs="Times New Roman"/>
          <w:sz w:val="32"/>
        </w:rPr>
      </w:pPr>
      <w:r>
        <w:rPr>
          <w:rFonts w:ascii="Times New Roman" w:hAnsi="Times New Roman" w:cs="Times New Roman"/>
          <w:sz w:val="32"/>
        </w:rPr>
        <w:t>县人民政府在双鸭山市应急指挥机构的统一指挥下，认真履行职责，落实有关控制措施。事故发生单位积极做好配合工作，按指令组织专业救援队伍参与现场救援。</w:t>
      </w:r>
    </w:p>
    <w:p w14:paraId="76563B36">
      <w:pPr>
        <w:ind w:firstLine="632"/>
        <w:rPr>
          <w:rFonts w:ascii="Times New Roman" w:hAnsi="Times New Roman" w:cs="Times New Roman"/>
          <w:sz w:val="32"/>
        </w:rPr>
      </w:pPr>
      <w:r>
        <w:rPr>
          <w:rFonts w:ascii="Times New Roman" w:hAnsi="Times New Roman" w:cs="Times New Roman"/>
          <w:sz w:val="32"/>
        </w:rPr>
        <w:t xml:space="preserve">（3）Ⅳ级（一般）城镇燃气事故的应急响应 </w:t>
      </w:r>
    </w:p>
    <w:p w14:paraId="01E932C4">
      <w:pPr>
        <w:ind w:firstLine="632"/>
        <w:rPr>
          <w:rFonts w:ascii="Times New Roman" w:hAnsi="Times New Roman" w:cs="Times New Roman"/>
          <w:sz w:val="32"/>
        </w:rPr>
      </w:pPr>
      <w:r>
        <w:rPr>
          <w:rFonts w:ascii="Times New Roman" w:hAnsi="Times New Roman" w:cs="Times New Roman"/>
          <w:sz w:val="32"/>
        </w:rPr>
        <w:t>一般城镇燃气事故发生后，由县人民政府按照预案组织有关部门做好城镇燃气事故的应急处置工作。事故发生单位积极做好配合工作，按指令组织专业救援队伍参与现场救援。</w:t>
      </w:r>
    </w:p>
    <w:p w14:paraId="066AB18B">
      <w:pPr>
        <w:pStyle w:val="3"/>
        <w:ind w:firstLine="0" w:firstLineChars="0"/>
        <w:rPr>
          <w:rFonts w:ascii="Times New Roman" w:hAnsi="Times New Roman" w:cs="Times New Roman"/>
          <w:sz w:val="32"/>
        </w:rPr>
      </w:pPr>
      <w:bookmarkStart w:id="1045" w:name="_Toc5108"/>
      <w:r>
        <w:rPr>
          <w:rFonts w:ascii="Times New Roman" w:hAnsi="Times New Roman" w:cs="Times New Roman"/>
          <w:sz w:val="32"/>
        </w:rPr>
        <w:t>应急处置</w:t>
      </w:r>
      <w:bookmarkEnd w:id="1045"/>
    </w:p>
    <w:p w14:paraId="3C2BE159">
      <w:pPr>
        <w:pStyle w:val="4"/>
        <w:numPr>
          <w:ilvl w:val="2"/>
          <w:numId w:val="176"/>
        </w:numPr>
        <w:tabs>
          <w:tab w:val="left" w:pos="0"/>
        </w:tabs>
        <w:ind w:firstLine="0" w:firstLineChars="0"/>
        <w:rPr>
          <w:rFonts w:ascii="Times New Roman" w:hAnsi="Times New Roman" w:cs="Times New Roman"/>
          <w:sz w:val="32"/>
        </w:rPr>
      </w:pPr>
      <w:r>
        <w:rPr>
          <w:rFonts w:ascii="Times New Roman" w:hAnsi="Times New Roman" w:cs="Times New Roman"/>
          <w:sz w:val="32"/>
        </w:rPr>
        <w:t xml:space="preserve">先期处置 </w:t>
      </w:r>
    </w:p>
    <w:p w14:paraId="1EF39766">
      <w:pPr>
        <w:ind w:firstLine="632"/>
        <w:rPr>
          <w:rFonts w:ascii="Times New Roman" w:hAnsi="Times New Roman" w:cs="Times New Roman"/>
          <w:sz w:val="32"/>
        </w:rPr>
      </w:pPr>
      <w:r>
        <w:rPr>
          <w:rFonts w:ascii="Times New Roman" w:hAnsi="Times New Roman" w:cs="Times New Roman"/>
          <w:sz w:val="32"/>
        </w:rPr>
        <w:t>城镇燃气事故先期处置坚持属地为主的原则，事件发生后，事故发生单位和燃气经营企业应立即启动本单位应急预案，成立临时应急指挥部，在第一时间进行先期处置，迅速采取有效措施控制事故发展，降低事故影响，尽快消除事故险情。所在地乡镇人民政府配合事故发生所在燃气经营企业负责实施先期处置。先期处置主要包括：</w:t>
      </w:r>
    </w:p>
    <w:p w14:paraId="2C300682">
      <w:pPr>
        <w:ind w:firstLine="632"/>
        <w:rPr>
          <w:rFonts w:ascii="Times New Roman" w:hAnsi="Times New Roman" w:cs="Times New Roman"/>
          <w:sz w:val="32"/>
        </w:rPr>
      </w:pPr>
      <w:r>
        <w:rPr>
          <w:rFonts w:ascii="Times New Roman" w:hAnsi="Times New Roman" w:cs="Times New Roman"/>
          <w:sz w:val="32"/>
        </w:rPr>
        <w:t>（1）迅速派人赶赴事故现场，采取有效措施组织群众自救互救，组织人员疏散，迅速控制危险源，抢救受伤人员，防止事故扩大。</w:t>
      </w:r>
    </w:p>
    <w:p w14:paraId="16ADA18E">
      <w:pPr>
        <w:ind w:firstLine="632"/>
        <w:rPr>
          <w:rFonts w:ascii="Times New Roman" w:hAnsi="Times New Roman" w:cs="Times New Roman"/>
          <w:sz w:val="32"/>
        </w:rPr>
      </w:pPr>
      <w:r>
        <w:rPr>
          <w:rFonts w:ascii="Times New Roman" w:hAnsi="Times New Roman" w:cs="Times New Roman"/>
          <w:sz w:val="32"/>
        </w:rPr>
        <w:t>（2）发生燃气事故后，迅速划定危险区域，加强对重要单位、重要场所、重要人群、重要设施和物资的防范保护，维持现场秩序，及时疏散现场群众。</w:t>
      </w:r>
    </w:p>
    <w:p w14:paraId="0AF0A81A">
      <w:pPr>
        <w:ind w:firstLine="632"/>
        <w:rPr>
          <w:rFonts w:ascii="Times New Roman" w:hAnsi="Times New Roman" w:cs="Times New Roman"/>
          <w:sz w:val="32"/>
        </w:rPr>
      </w:pPr>
      <w:r>
        <w:rPr>
          <w:rFonts w:ascii="Times New Roman" w:hAnsi="Times New Roman" w:cs="Times New Roman"/>
          <w:sz w:val="32"/>
        </w:rPr>
        <w:t>（3）严格保护事故现场，维护现场秩序和收集证据。因抢救人员、防止事故扩大以及疏通交通等原因，需要移动现场物件的，应当做好标志，采取拍照、摄像、绘图等方法详细记录事故现场原貌，妥善保存现场重要痕迹和物证。</w:t>
      </w:r>
    </w:p>
    <w:p w14:paraId="69BD0260">
      <w:pPr>
        <w:ind w:firstLine="632"/>
        <w:rPr>
          <w:rFonts w:ascii="Times New Roman" w:hAnsi="Times New Roman" w:cs="Times New Roman"/>
          <w:sz w:val="32"/>
        </w:rPr>
      </w:pPr>
      <w:r>
        <w:rPr>
          <w:rFonts w:ascii="Times New Roman" w:hAnsi="Times New Roman" w:cs="Times New Roman"/>
          <w:sz w:val="32"/>
        </w:rPr>
        <w:t>（4）了解掌握事故情况，并及时上报县燃气应急指挥部。</w:t>
      </w:r>
    </w:p>
    <w:p w14:paraId="4A58F6C2">
      <w:pPr>
        <w:pStyle w:val="4"/>
        <w:numPr>
          <w:ilvl w:val="2"/>
          <w:numId w:val="176"/>
        </w:numPr>
        <w:tabs>
          <w:tab w:val="left" w:pos="0"/>
        </w:tabs>
        <w:ind w:firstLine="0" w:firstLineChars="0"/>
        <w:rPr>
          <w:rFonts w:ascii="Times New Roman" w:hAnsi="Times New Roman" w:cs="Times New Roman"/>
          <w:sz w:val="32"/>
        </w:rPr>
      </w:pPr>
      <w:r>
        <w:rPr>
          <w:rFonts w:ascii="Times New Roman" w:hAnsi="Times New Roman" w:cs="Times New Roman"/>
          <w:sz w:val="32"/>
        </w:rPr>
        <w:t xml:space="preserve">预案启动 </w:t>
      </w:r>
    </w:p>
    <w:p w14:paraId="7E172E64">
      <w:pPr>
        <w:ind w:firstLine="632"/>
        <w:rPr>
          <w:rFonts w:ascii="Times New Roman" w:hAnsi="Times New Roman" w:cs="Times New Roman"/>
          <w:sz w:val="32"/>
        </w:rPr>
      </w:pPr>
      <w:r>
        <w:rPr>
          <w:rFonts w:ascii="Times New Roman" w:hAnsi="Times New Roman" w:cs="Times New Roman"/>
          <w:sz w:val="32"/>
        </w:rPr>
        <w:t>县燃气应急指挥部办公室接到信息报告后，立即对各类信息进行汇总分析，综合评价燃气安全隐患或事故可能对城镇公共安全的影响程度和范围，迅速提出预警及应急意见，经县燃气应急指挥部批准后启动本级应急预案。并将详细情况上报上级部门。</w:t>
      </w:r>
    </w:p>
    <w:p w14:paraId="286021C7">
      <w:pPr>
        <w:ind w:firstLine="632"/>
        <w:rPr>
          <w:rFonts w:ascii="Times New Roman" w:hAnsi="Times New Roman" w:cs="Times New Roman"/>
          <w:sz w:val="32"/>
        </w:rPr>
      </w:pPr>
      <w:r>
        <w:rPr>
          <w:rFonts w:ascii="Times New Roman" w:hAnsi="Times New Roman" w:cs="Times New Roman"/>
          <w:sz w:val="32"/>
        </w:rPr>
        <w:t>（1）召开应急救援工作会议，确定燃气事故等级，研究部署应急抢险救援事宜。</w:t>
      </w:r>
    </w:p>
    <w:p w14:paraId="1E507F4F">
      <w:pPr>
        <w:ind w:firstLine="632"/>
        <w:rPr>
          <w:rFonts w:ascii="Times New Roman" w:hAnsi="Times New Roman" w:cs="Times New Roman"/>
          <w:sz w:val="32"/>
        </w:rPr>
      </w:pPr>
      <w:r>
        <w:rPr>
          <w:rFonts w:ascii="Times New Roman" w:hAnsi="Times New Roman" w:cs="Times New Roman"/>
          <w:sz w:val="32"/>
        </w:rPr>
        <w:t>（2）情况紧急的，要迅速通知指挥部各成员单位相关负责人到达事故现场。</w:t>
      </w:r>
    </w:p>
    <w:p w14:paraId="50CA25EF">
      <w:pPr>
        <w:ind w:firstLine="632"/>
        <w:rPr>
          <w:rFonts w:ascii="Times New Roman" w:hAnsi="Times New Roman" w:cs="Times New Roman"/>
          <w:sz w:val="32"/>
        </w:rPr>
      </w:pPr>
      <w:r>
        <w:rPr>
          <w:rFonts w:ascii="Times New Roman" w:hAnsi="Times New Roman" w:cs="Times New Roman"/>
          <w:sz w:val="32"/>
        </w:rPr>
        <w:t>（3）成立事故现场指挥部，各现场工作小组根据职责立即展开抢险救援工作。成立的事故现场指挥部设在燃气事故现场周边适当的位置，必要时部署相应警力，保证现场指挥有序进行。</w:t>
      </w:r>
    </w:p>
    <w:p w14:paraId="168D39C4">
      <w:pPr>
        <w:ind w:firstLine="632"/>
        <w:rPr>
          <w:rFonts w:ascii="Times New Roman" w:hAnsi="Times New Roman" w:cs="Times New Roman"/>
          <w:sz w:val="32"/>
        </w:rPr>
      </w:pPr>
      <w:r>
        <w:rPr>
          <w:rFonts w:ascii="Times New Roman" w:hAnsi="Times New Roman" w:cs="Times New Roman"/>
          <w:sz w:val="32"/>
        </w:rPr>
        <w:t>（4）县燃气应急指挥部成员单位及有关部门按照各自职责，参与救援和提供保障。各应急工作小组在现场指挥部的统一领导下密切配合、协同应对，共同实施应急处置行动。</w:t>
      </w:r>
    </w:p>
    <w:p w14:paraId="5E0BD48C">
      <w:pPr>
        <w:pStyle w:val="4"/>
        <w:numPr>
          <w:ilvl w:val="2"/>
          <w:numId w:val="176"/>
        </w:numPr>
        <w:tabs>
          <w:tab w:val="left" w:pos="0"/>
        </w:tabs>
        <w:ind w:firstLine="0" w:firstLineChars="0"/>
        <w:rPr>
          <w:rFonts w:ascii="Times New Roman" w:hAnsi="Times New Roman" w:cs="Times New Roman"/>
          <w:sz w:val="32"/>
        </w:rPr>
      </w:pPr>
      <w:r>
        <w:rPr>
          <w:rFonts w:ascii="Times New Roman" w:hAnsi="Times New Roman" w:cs="Times New Roman"/>
          <w:sz w:val="32"/>
        </w:rPr>
        <w:t xml:space="preserve">应急处置 </w:t>
      </w:r>
    </w:p>
    <w:p w14:paraId="3BB25946">
      <w:pPr>
        <w:ind w:firstLine="632"/>
        <w:rPr>
          <w:rFonts w:ascii="Times New Roman" w:hAnsi="Times New Roman" w:cs="Times New Roman"/>
          <w:sz w:val="32"/>
        </w:rPr>
      </w:pPr>
      <w:r>
        <w:rPr>
          <w:rFonts w:ascii="Times New Roman" w:hAnsi="Times New Roman" w:cs="Times New Roman"/>
          <w:sz w:val="32"/>
        </w:rPr>
        <w:t>（1）及时抢救生命。事故现场发生人员伤亡，医疗救治组首先组织力量全力抢救伤员，将伤员送入就近医院抢救。</w:t>
      </w:r>
    </w:p>
    <w:p w14:paraId="12D74330">
      <w:pPr>
        <w:ind w:firstLine="632"/>
        <w:rPr>
          <w:rFonts w:ascii="Times New Roman" w:hAnsi="Times New Roman" w:cs="Times New Roman"/>
          <w:sz w:val="32"/>
        </w:rPr>
      </w:pPr>
      <w:r>
        <w:rPr>
          <w:rFonts w:ascii="Times New Roman" w:hAnsi="Times New Roman" w:cs="Times New Roman"/>
          <w:sz w:val="32"/>
        </w:rPr>
        <w:t>（2）做好警戒与疏散工作。治安警戒组要在最短时间内划定警戒范围，组织引导人员、车辆和设备疏散。如有燃气泄漏，现场应禁止所有火种，关闭通讯工具，人员应向逆风方向疏散。</w:t>
      </w:r>
    </w:p>
    <w:p w14:paraId="02F84BFF">
      <w:pPr>
        <w:ind w:firstLine="632"/>
        <w:rPr>
          <w:rFonts w:ascii="Times New Roman" w:hAnsi="Times New Roman" w:cs="Times New Roman"/>
          <w:sz w:val="32"/>
        </w:rPr>
      </w:pPr>
      <w:r>
        <w:rPr>
          <w:rFonts w:ascii="Times New Roman" w:hAnsi="Times New Roman" w:cs="Times New Roman"/>
          <w:sz w:val="32"/>
        </w:rPr>
        <w:t>（3）制止事故发展或及时消除隐患。救援抢险组要积极组织人员、设备或物资，尽快制止事故发展并及时消除隐患；如发生燃气大面积泄漏或爆炸，应采取果断措施，避免引发次生、衍生事故。</w:t>
      </w:r>
    </w:p>
    <w:p w14:paraId="61AE5CAC">
      <w:pPr>
        <w:ind w:firstLine="632"/>
        <w:rPr>
          <w:rFonts w:ascii="Times New Roman" w:hAnsi="Times New Roman" w:cs="Times New Roman"/>
          <w:sz w:val="32"/>
        </w:rPr>
      </w:pPr>
      <w:r>
        <w:rPr>
          <w:rFonts w:ascii="Times New Roman" w:hAnsi="Times New Roman" w:cs="Times New Roman"/>
          <w:sz w:val="32"/>
        </w:rPr>
        <w:t>（4）做好现场保护。事故处置结束，应保护好现场，为事故调查、分析提供直接证据，待调查处理组有明确指令后，再决定清除事故现场。如因抢救伤员、防止事故扩大及疏通交通等原因需要移动现场物件的，应当做好标志，绘制现场简图并写出书面记录，见证人员签字，妥善保存现场重要痕迹、物证，必要时应对事故现场和伤亡情况进行录像或拍照。</w:t>
      </w:r>
    </w:p>
    <w:p w14:paraId="17FE59A8">
      <w:pPr>
        <w:ind w:firstLine="632"/>
        <w:rPr>
          <w:rFonts w:ascii="Times New Roman" w:hAnsi="Times New Roman" w:cs="Times New Roman"/>
          <w:sz w:val="32"/>
        </w:rPr>
      </w:pPr>
      <w:r>
        <w:rPr>
          <w:rFonts w:ascii="Times New Roman" w:hAnsi="Times New Roman" w:cs="Times New Roman"/>
          <w:sz w:val="32"/>
        </w:rPr>
        <w:t>（5）联系外界求援。因处置事故需要有关部门、单位支持配合或其他县市支援的，由指挥部办公室统一协调、联络、调度、落实。</w:t>
      </w:r>
    </w:p>
    <w:p w14:paraId="4C2F6061">
      <w:pPr>
        <w:pStyle w:val="3"/>
        <w:ind w:firstLine="0" w:firstLineChars="0"/>
        <w:rPr>
          <w:rFonts w:ascii="Times New Roman" w:hAnsi="Times New Roman" w:cs="Times New Roman"/>
          <w:sz w:val="32"/>
        </w:rPr>
      </w:pPr>
      <w:bookmarkStart w:id="1046" w:name="_Toc5236"/>
      <w:r>
        <w:rPr>
          <w:rFonts w:ascii="Times New Roman" w:hAnsi="Times New Roman" w:cs="Times New Roman"/>
          <w:sz w:val="32"/>
        </w:rPr>
        <w:t>应急支援</w:t>
      </w:r>
      <w:bookmarkEnd w:id="1046"/>
    </w:p>
    <w:p w14:paraId="1F1243DC">
      <w:pPr>
        <w:ind w:firstLine="632"/>
        <w:rPr>
          <w:rFonts w:ascii="Times New Roman" w:hAnsi="Times New Roman" w:cs="Times New Roman"/>
          <w:sz w:val="32"/>
        </w:rPr>
      </w:pPr>
      <w:r>
        <w:rPr>
          <w:rFonts w:ascii="Times New Roman" w:hAnsi="Times New Roman" w:cs="Times New Roman"/>
          <w:sz w:val="32"/>
        </w:rPr>
        <w:t>县燃气应急指挥部随时跟踪燃气事故应急处置情况，如发现事态有进一步扩大的趋势，并可能超出现场处置能力需要支援时，由县人民政府根据县燃气应急指挥部的支援请求，协调县直有关部门、单位及乡镇政府实施应急救援。</w:t>
      </w:r>
    </w:p>
    <w:p w14:paraId="0D2D91B0">
      <w:pPr>
        <w:ind w:firstLine="632"/>
        <w:rPr>
          <w:rFonts w:ascii="Times New Roman" w:hAnsi="Times New Roman" w:cs="Times New Roman"/>
          <w:sz w:val="32"/>
        </w:rPr>
      </w:pPr>
      <w:r>
        <w:rPr>
          <w:rFonts w:ascii="Times New Roman" w:hAnsi="Times New Roman" w:cs="Times New Roman"/>
          <w:sz w:val="32"/>
        </w:rPr>
        <w:t>当事态超出本级应急能力或无法得到有效控制时，指挥部总指挥应立即向上级政府请求提升应急响应级别，实施更高级别的应急救援。</w:t>
      </w:r>
    </w:p>
    <w:p w14:paraId="68EE4728">
      <w:pPr>
        <w:ind w:firstLine="632"/>
        <w:rPr>
          <w:rFonts w:ascii="Times New Roman" w:hAnsi="Times New Roman" w:cs="Times New Roman"/>
          <w:sz w:val="32"/>
        </w:rPr>
      </w:pPr>
      <w:r>
        <w:rPr>
          <w:rFonts w:ascii="Times New Roman" w:hAnsi="Times New Roman" w:cs="Times New Roman"/>
          <w:sz w:val="32"/>
        </w:rPr>
        <w:t>在上级应急指挥部领导赶到现场后，应将指挥权移交上级应急指挥部。</w:t>
      </w:r>
    </w:p>
    <w:p w14:paraId="67306C53">
      <w:pPr>
        <w:pStyle w:val="3"/>
        <w:ind w:firstLine="0" w:firstLineChars="0"/>
        <w:rPr>
          <w:rFonts w:ascii="Times New Roman" w:hAnsi="Times New Roman" w:cs="Times New Roman"/>
          <w:sz w:val="32"/>
        </w:rPr>
      </w:pPr>
      <w:r>
        <w:rPr>
          <w:rFonts w:ascii="Times New Roman" w:hAnsi="Times New Roman" w:cs="Times New Roman"/>
          <w:sz w:val="32"/>
        </w:rPr>
        <w:t>新闻发布</w:t>
      </w:r>
    </w:p>
    <w:p w14:paraId="122D8595">
      <w:pPr>
        <w:ind w:firstLine="632"/>
        <w:rPr>
          <w:rFonts w:ascii="Times New Roman" w:hAnsi="Times New Roman" w:cs="Times New Roman"/>
          <w:sz w:val="32"/>
        </w:rPr>
      </w:pPr>
      <w:r>
        <w:rPr>
          <w:rFonts w:ascii="Times New Roman" w:hAnsi="Times New Roman" w:cs="Times New Roman"/>
          <w:sz w:val="32"/>
        </w:rPr>
        <w:t>燃气事故新闻发布工作由县委宣传部和县燃气应急指挥部办公室负责。新闻发布应及时、准确、客观、全面。</w:t>
      </w:r>
    </w:p>
    <w:p w14:paraId="0A193F57">
      <w:pPr>
        <w:pStyle w:val="3"/>
        <w:ind w:firstLine="0" w:firstLineChars="0"/>
        <w:rPr>
          <w:rFonts w:ascii="Times New Roman" w:hAnsi="Times New Roman" w:cs="Times New Roman"/>
          <w:sz w:val="32"/>
        </w:rPr>
      </w:pPr>
      <w:bookmarkStart w:id="1047" w:name="_Toc32167"/>
      <w:r>
        <w:rPr>
          <w:rFonts w:ascii="Times New Roman" w:hAnsi="Times New Roman" w:cs="Times New Roman"/>
          <w:sz w:val="32"/>
        </w:rPr>
        <w:t>响应结束</w:t>
      </w:r>
      <w:bookmarkEnd w:id="1047"/>
    </w:p>
    <w:p w14:paraId="0BBB978D">
      <w:pPr>
        <w:ind w:firstLine="632"/>
        <w:rPr>
          <w:rFonts w:ascii="Times New Roman" w:hAnsi="Times New Roman" w:cs="Times New Roman"/>
          <w:sz w:val="32"/>
        </w:rPr>
      </w:pPr>
      <w:r>
        <w:rPr>
          <w:rFonts w:ascii="Times New Roman" w:hAnsi="Times New Roman" w:cs="Times New Roman"/>
          <w:sz w:val="32"/>
        </w:rPr>
        <w:t>在确认事故处置工作已基本完成、事故灾难得到有效控制、危害基本消除后，经现场专家组认定（较大及以上事故需报上级指挥部批准）后，由指挥部总指挥宣布应急响应终止。</w:t>
      </w:r>
    </w:p>
    <w:p w14:paraId="4746A879">
      <w:pPr>
        <w:pStyle w:val="2"/>
        <w:numPr>
          <w:ilvl w:val="0"/>
          <w:numId w:val="176"/>
        </w:numPr>
        <w:tabs>
          <w:tab w:val="left" w:pos="0"/>
        </w:tabs>
        <w:ind w:firstLine="0" w:firstLineChars="0"/>
        <w:rPr>
          <w:rFonts w:ascii="Times New Roman" w:hAnsi="Times New Roman" w:cs="Times New Roman"/>
          <w:sz w:val="32"/>
        </w:rPr>
      </w:pPr>
      <w:bookmarkStart w:id="1048" w:name="_Toc8778"/>
      <w:r>
        <w:rPr>
          <w:rFonts w:ascii="Times New Roman" w:hAnsi="Times New Roman" w:cs="Times New Roman"/>
          <w:sz w:val="32"/>
        </w:rPr>
        <w:t>后期处置</w:t>
      </w:r>
      <w:bookmarkEnd w:id="1048"/>
      <w:r>
        <w:rPr>
          <w:rFonts w:ascii="Times New Roman" w:hAnsi="Times New Roman" w:cs="Times New Roman"/>
          <w:sz w:val="32"/>
        </w:rPr>
        <w:t xml:space="preserve"> </w:t>
      </w:r>
    </w:p>
    <w:p w14:paraId="1AC2398C">
      <w:pPr>
        <w:pStyle w:val="3"/>
        <w:ind w:firstLine="0" w:firstLineChars="0"/>
        <w:rPr>
          <w:rFonts w:ascii="Times New Roman" w:hAnsi="Times New Roman" w:cs="Times New Roman"/>
          <w:sz w:val="32"/>
        </w:rPr>
      </w:pPr>
      <w:bookmarkStart w:id="1049" w:name="_Toc40"/>
      <w:r>
        <w:rPr>
          <w:rFonts w:ascii="Times New Roman" w:hAnsi="Times New Roman" w:cs="Times New Roman"/>
          <w:sz w:val="32"/>
        </w:rPr>
        <w:t>现场清理</w:t>
      </w:r>
      <w:bookmarkEnd w:id="1049"/>
    </w:p>
    <w:p w14:paraId="74D48AAC">
      <w:pPr>
        <w:ind w:firstLine="632"/>
        <w:rPr>
          <w:rFonts w:ascii="Times New Roman" w:hAnsi="Times New Roman" w:cs="Times New Roman"/>
          <w:sz w:val="32"/>
        </w:rPr>
      </w:pPr>
      <w:r>
        <w:rPr>
          <w:rFonts w:ascii="Times New Roman" w:hAnsi="Times New Roman" w:cs="Times New Roman"/>
          <w:sz w:val="32"/>
        </w:rPr>
        <w:t>发生燃气事故单位负责事故调查后的现场清理。供气单位负责落实供气恢复、告知群众和安全宣传，并向有关部门通报。其他有关部门依据相应职责，做好现场清理。</w:t>
      </w:r>
    </w:p>
    <w:p w14:paraId="6842C443">
      <w:pPr>
        <w:pStyle w:val="3"/>
        <w:ind w:firstLine="0" w:firstLineChars="0"/>
        <w:rPr>
          <w:rFonts w:ascii="Times New Roman" w:hAnsi="Times New Roman" w:cs="Times New Roman"/>
          <w:sz w:val="32"/>
        </w:rPr>
      </w:pPr>
      <w:bookmarkStart w:id="1050" w:name="_Toc1643"/>
      <w:r>
        <w:rPr>
          <w:rFonts w:ascii="Times New Roman" w:hAnsi="Times New Roman" w:cs="Times New Roman"/>
          <w:sz w:val="32"/>
        </w:rPr>
        <w:t>善后处理</w:t>
      </w:r>
      <w:bookmarkEnd w:id="1050"/>
    </w:p>
    <w:p w14:paraId="00FD307B">
      <w:pPr>
        <w:ind w:firstLine="632"/>
        <w:rPr>
          <w:rFonts w:ascii="Times New Roman" w:hAnsi="Times New Roman" w:cs="Times New Roman"/>
          <w:sz w:val="32"/>
        </w:rPr>
      </w:pPr>
      <w:r>
        <w:rPr>
          <w:rFonts w:ascii="Times New Roman" w:hAnsi="Times New Roman" w:cs="Times New Roman"/>
          <w:sz w:val="32"/>
        </w:rPr>
        <w:t>（1）救援行动完成后，由事发地乡镇人民政府、有关保险机构和事故责任单位负责善后处置工作，包括彻底消除次生、衍生事故隐患、污染物收集与处理、人员安置、伤员救治、抚恤救济、灾后重建和秩序恢复，确保社会稳定。对燃气事故中的伤亡人员、应急处置工作人员，以及紧急调集、征用有关单位及个人的物资，要按照有关规定给予抚恤、补助或补偿，并提供必要的心理及司法援助。保险监管部门要督促相关保险机构及时做好理赔工作。事故发生所在燃气经营企业负责灾后燃气设施恢复重建工作，在恢复与重建前必须进行安全条件论证，并确保满足相关要求。</w:t>
      </w:r>
    </w:p>
    <w:p w14:paraId="7EE7D061">
      <w:pPr>
        <w:ind w:firstLine="632"/>
        <w:rPr>
          <w:rFonts w:ascii="Times New Roman" w:hAnsi="Times New Roman" w:cs="Times New Roman"/>
          <w:sz w:val="32"/>
        </w:rPr>
      </w:pPr>
      <w:r>
        <w:rPr>
          <w:rFonts w:ascii="Times New Roman" w:hAnsi="Times New Roman" w:cs="Times New Roman"/>
          <w:sz w:val="32"/>
        </w:rPr>
        <w:t>（2）双鸭山市集贤生态环境局负责事故现场环境监测，分析危害成分，向县燃气应急指挥部报告监测结果，提供决策依据。并对事故现场和周边环境跟踪监测，直至应急响应结束。</w:t>
      </w:r>
    </w:p>
    <w:p w14:paraId="0ECE7BDC">
      <w:pPr>
        <w:pStyle w:val="3"/>
        <w:ind w:firstLine="0" w:firstLineChars="0"/>
        <w:rPr>
          <w:rFonts w:ascii="Times New Roman" w:hAnsi="Times New Roman" w:cs="Times New Roman"/>
          <w:sz w:val="32"/>
        </w:rPr>
      </w:pPr>
      <w:bookmarkStart w:id="1051" w:name="_Toc19072"/>
      <w:r>
        <w:rPr>
          <w:rFonts w:ascii="Times New Roman" w:hAnsi="Times New Roman" w:cs="Times New Roman"/>
          <w:sz w:val="32"/>
        </w:rPr>
        <w:t>事故调查</w:t>
      </w:r>
      <w:bookmarkEnd w:id="1051"/>
    </w:p>
    <w:p w14:paraId="2E6ECF2E">
      <w:pPr>
        <w:ind w:firstLine="632"/>
        <w:rPr>
          <w:rFonts w:ascii="Times New Roman" w:hAnsi="Times New Roman" w:cs="Times New Roman"/>
          <w:sz w:val="32"/>
        </w:rPr>
      </w:pPr>
      <w:r>
        <w:rPr>
          <w:rFonts w:ascii="Times New Roman" w:hAnsi="Times New Roman" w:cs="Times New Roman"/>
          <w:sz w:val="32"/>
        </w:rPr>
        <w:t>调查处理组查明事故原因、事故损失，事故性质，认定事故责任，总结事故教训，提出整改措施，并依法追究有关单位和人员的责任。修改应急预案；提出防范和整改措施；提交事故调查报告。</w:t>
      </w:r>
    </w:p>
    <w:p w14:paraId="57A1AA9B">
      <w:pPr>
        <w:pStyle w:val="3"/>
        <w:ind w:firstLine="0" w:firstLineChars="0"/>
        <w:rPr>
          <w:rFonts w:ascii="Times New Roman" w:hAnsi="Times New Roman" w:cs="Times New Roman"/>
          <w:sz w:val="32"/>
        </w:rPr>
      </w:pPr>
      <w:bookmarkStart w:id="1052" w:name="_Toc5715"/>
      <w:r>
        <w:rPr>
          <w:rFonts w:ascii="Times New Roman" w:hAnsi="Times New Roman" w:cs="Times New Roman"/>
          <w:sz w:val="32"/>
        </w:rPr>
        <w:t>总结评估</w:t>
      </w:r>
      <w:bookmarkEnd w:id="1052"/>
    </w:p>
    <w:p w14:paraId="3278714A">
      <w:pPr>
        <w:ind w:firstLine="632"/>
        <w:rPr>
          <w:rFonts w:ascii="Times New Roman" w:hAnsi="Times New Roman" w:cs="Times New Roman"/>
          <w:sz w:val="32"/>
        </w:rPr>
      </w:pPr>
      <w:r>
        <w:rPr>
          <w:rFonts w:ascii="Times New Roman" w:hAnsi="Times New Roman" w:cs="Times New Roman"/>
          <w:sz w:val="32"/>
        </w:rPr>
        <w:t>（1）应急终止后的1个月内，燃气经营企业向县燃气应急指挥部办公室、县应急管理局提交书面总结报告。</w:t>
      </w:r>
    </w:p>
    <w:p w14:paraId="58F92752">
      <w:pPr>
        <w:ind w:firstLine="632"/>
        <w:rPr>
          <w:rFonts w:ascii="Times New Roman" w:hAnsi="Times New Roman" w:cs="Times New Roman"/>
          <w:sz w:val="32"/>
        </w:rPr>
      </w:pPr>
      <w:r>
        <w:rPr>
          <w:rFonts w:ascii="Times New Roman" w:hAnsi="Times New Roman" w:cs="Times New Roman"/>
          <w:sz w:val="32"/>
        </w:rPr>
        <w:t>（2）参与事故应急处置的各有关部门和单位，要在应急响应结束后的7个工作日内向县燃气应急指挥部办公室提交书面报告。</w:t>
      </w:r>
    </w:p>
    <w:p w14:paraId="0B2BBE4E">
      <w:pPr>
        <w:ind w:firstLine="632"/>
        <w:rPr>
          <w:rFonts w:ascii="Times New Roman" w:hAnsi="Times New Roman" w:cs="Times New Roman"/>
          <w:sz w:val="32"/>
        </w:rPr>
      </w:pPr>
      <w:r>
        <w:rPr>
          <w:rFonts w:ascii="Times New Roman" w:hAnsi="Times New Roman" w:cs="Times New Roman"/>
          <w:sz w:val="32"/>
        </w:rPr>
        <w:t>（3）县燃气应急指挥部办公室负责整理和审查所有书面报告、应急记录和文件等资料，起草燃气事故应急处置工作总结评估报告，报请指挥部总指挥审签后上报县委、县政府和双鸭山市有关部门。县燃气应急指挥部要及时召开专门会议，总结和评价事故原因、责任及在应急期间采取的主要行动，对应急工作及应急预案的有效性进行评价分析。</w:t>
      </w:r>
    </w:p>
    <w:p w14:paraId="598C8C72">
      <w:pPr>
        <w:pStyle w:val="2"/>
        <w:numPr>
          <w:ilvl w:val="0"/>
          <w:numId w:val="176"/>
        </w:numPr>
        <w:tabs>
          <w:tab w:val="left" w:pos="0"/>
        </w:tabs>
        <w:ind w:firstLine="0" w:firstLineChars="0"/>
        <w:rPr>
          <w:rFonts w:ascii="Times New Roman" w:hAnsi="Times New Roman" w:cs="Times New Roman"/>
          <w:sz w:val="32"/>
        </w:rPr>
      </w:pPr>
      <w:bookmarkStart w:id="1053" w:name="_Toc21653"/>
      <w:r>
        <w:rPr>
          <w:rFonts w:ascii="Times New Roman" w:hAnsi="Times New Roman" w:cs="Times New Roman"/>
          <w:sz w:val="32"/>
        </w:rPr>
        <w:t>应急保障</w:t>
      </w:r>
      <w:bookmarkEnd w:id="1053"/>
    </w:p>
    <w:p w14:paraId="0448114B">
      <w:pPr>
        <w:pStyle w:val="3"/>
        <w:ind w:firstLine="0" w:firstLineChars="0"/>
        <w:rPr>
          <w:rFonts w:ascii="Times New Roman" w:hAnsi="Times New Roman" w:cs="Times New Roman"/>
          <w:sz w:val="32"/>
        </w:rPr>
      </w:pPr>
      <w:bookmarkStart w:id="1054" w:name="_Toc14029"/>
      <w:r>
        <w:rPr>
          <w:rFonts w:ascii="Times New Roman" w:hAnsi="Times New Roman" w:cs="Times New Roman"/>
          <w:sz w:val="32"/>
        </w:rPr>
        <w:t>应急队伍保障</w:t>
      </w:r>
      <w:bookmarkEnd w:id="1054"/>
    </w:p>
    <w:p w14:paraId="628936D9">
      <w:pPr>
        <w:ind w:firstLine="632"/>
        <w:rPr>
          <w:rFonts w:ascii="Times New Roman" w:hAnsi="Times New Roman" w:cs="Times New Roman"/>
          <w:sz w:val="32"/>
        </w:rPr>
      </w:pPr>
      <w:r>
        <w:rPr>
          <w:rFonts w:ascii="Times New Roman" w:hAnsi="Times New Roman" w:cs="Times New Roman"/>
          <w:sz w:val="32"/>
        </w:rPr>
        <w:t>（1）燃气经营企业是城镇燃气事故应急救援的主力军，自身应建立专业应急救援队伍，担任指挥的人员应具有组织协调能力，并熟悉相关预案；从事燃气应急处置的人员须经业务技术培训，具备燃气行业安全、防护等相关知识和技能；定期组织抢险应急演练，并设专人对抢险器材、设备等定期进行维护保养，确保能随时处于工作状态。落实巡查、巡线、入户检查制度，切实做到“安全第一、预防为主”。</w:t>
      </w:r>
    </w:p>
    <w:p w14:paraId="2A7C4D4F">
      <w:pPr>
        <w:ind w:firstLine="632"/>
        <w:rPr>
          <w:rFonts w:ascii="Times New Roman" w:hAnsi="Times New Roman" w:cs="Times New Roman"/>
          <w:sz w:val="32"/>
        </w:rPr>
      </w:pPr>
      <w:r>
        <w:rPr>
          <w:rFonts w:ascii="Times New Roman" w:hAnsi="Times New Roman" w:cs="Times New Roman"/>
          <w:sz w:val="32"/>
        </w:rPr>
        <w:t>（2）县内各应急救援队伍在城镇燃气事故的应急处置中，要充分发挥应急救援队伍的优势和特长，及时处理和排除险情。</w:t>
      </w:r>
    </w:p>
    <w:p w14:paraId="2FB416AC">
      <w:pPr>
        <w:ind w:firstLine="632"/>
        <w:rPr>
          <w:rFonts w:ascii="Times New Roman" w:hAnsi="Times New Roman" w:cs="Times New Roman"/>
          <w:sz w:val="32"/>
        </w:rPr>
      </w:pPr>
      <w:r>
        <w:rPr>
          <w:rFonts w:ascii="Times New Roman" w:hAnsi="Times New Roman" w:cs="Times New Roman"/>
          <w:sz w:val="32"/>
        </w:rPr>
        <w:t>（3）各燃气经营企业应急救援队伍要与县内各应急救援队伍保持联系，互通信息，确保应急救援渠道的畅通和应急救援队伍快速反应，以利于应急处置时有效协同配合。</w:t>
      </w:r>
    </w:p>
    <w:p w14:paraId="02164E59">
      <w:pPr>
        <w:ind w:firstLine="632"/>
        <w:rPr>
          <w:rFonts w:ascii="Times New Roman" w:hAnsi="Times New Roman" w:cs="Times New Roman"/>
          <w:sz w:val="32"/>
        </w:rPr>
      </w:pPr>
      <w:r>
        <w:rPr>
          <w:rFonts w:ascii="Times New Roman" w:hAnsi="Times New Roman" w:cs="Times New Roman"/>
          <w:sz w:val="32"/>
        </w:rPr>
        <w:t>（4）供水、供电、通信等单位根据各自职责，加强相关专业应急队伍的培训和演练，提高应急处置能力。</w:t>
      </w:r>
    </w:p>
    <w:p w14:paraId="108A7DA7">
      <w:pPr>
        <w:pStyle w:val="3"/>
        <w:ind w:firstLine="0" w:firstLineChars="0"/>
        <w:rPr>
          <w:rFonts w:ascii="Times New Roman" w:hAnsi="Times New Roman" w:cs="Times New Roman"/>
          <w:sz w:val="32"/>
        </w:rPr>
      </w:pPr>
      <w:bookmarkStart w:id="1055" w:name="_Toc29335"/>
      <w:r>
        <w:rPr>
          <w:rFonts w:ascii="Times New Roman" w:hAnsi="Times New Roman" w:cs="Times New Roman"/>
          <w:sz w:val="32"/>
        </w:rPr>
        <w:t>通信及信息保障</w:t>
      </w:r>
      <w:bookmarkEnd w:id="1055"/>
    </w:p>
    <w:p w14:paraId="436A7447">
      <w:pPr>
        <w:ind w:firstLine="632"/>
        <w:rPr>
          <w:rFonts w:ascii="Times New Roman" w:hAnsi="Times New Roman" w:cs="Times New Roman"/>
          <w:sz w:val="32"/>
        </w:rPr>
      </w:pPr>
      <w:r>
        <w:rPr>
          <w:rFonts w:ascii="Times New Roman" w:hAnsi="Times New Roman" w:cs="Times New Roman"/>
          <w:sz w:val="32"/>
        </w:rPr>
        <w:t>应急响应期间值班电话保证24小时有人值守。</w:t>
      </w:r>
    </w:p>
    <w:p w14:paraId="11909886">
      <w:pPr>
        <w:ind w:firstLine="632"/>
        <w:rPr>
          <w:rFonts w:ascii="Times New Roman" w:hAnsi="Times New Roman" w:cs="Times New Roman"/>
          <w:sz w:val="32"/>
        </w:rPr>
      </w:pPr>
      <w:r>
        <w:rPr>
          <w:rFonts w:ascii="Times New Roman" w:hAnsi="Times New Roman" w:cs="Times New Roman"/>
          <w:sz w:val="32"/>
        </w:rPr>
        <w:t>城镇燃气经营企业应根据燃气事故应急管理要求，建立相应的信息数据库。县燃气应急指挥部办公室负责燃气事故的信息管理，为燃气事故应急处置提供决策依据。</w:t>
      </w:r>
    </w:p>
    <w:p w14:paraId="5CDFCCDB">
      <w:pPr>
        <w:ind w:firstLine="632"/>
        <w:rPr>
          <w:rFonts w:ascii="Times New Roman" w:hAnsi="Times New Roman" w:cs="Times New Roman"/>
          <w:sz w:val="32"/>
        </w:rPr>
      </w:pPr>
      <w:r>
        <w:rPr>
          <w:rFonts w:ascii="Times New Roman" w:hAnsi="Times New Roman" w:cs="Times New Roman"/>
          <w:sz w:val="32"/>
        </w:rPr>
        <w:t>相关联动单位负责提供所掌握的事故现场基本情况和技术信息资料，必要时派出专家指导，协助现场抢险救援。</w:t>
      </w:r>
    </w:p>
    <w:p w14:paraId="27B3887D">
      <w:pPr>
        <w:ind w:firstLine="632"/>
        <w:rPr>
          <w:rFonts w:ascii="Times New Roman" w:hAnsi="Times New Roman" w:cs="Times New Roman"/>
          <w:sz w:val="32"/>
        </w:rPr>
      </w:pPr>
      <w:r>
        <w:rPr>
          <w:rFonts w:ascii="Times New Roman" w:hAnsi="Times New Roman" w:cs="Times New Roman"/>
          <w:sz w:val="32"/>
        </w:rPr>
        <w:t>县工业信息科技局建立通信应急保障机制，根据应急处置指挥部指令，组织、协调本地相关电信企业，为现场的组织指挥提供通信保障，并根据处置需要，保障现场指挥部与上级应急处置指挥部的通信通畅。</w:t>
      </w:r>
    </w:p>
    <w:p w14:paraId="56ECC429">
      <w:pPr>
        <w:pStyle w:val="3"/>
        <w:ind w:firstLine="0" w:firstLineChars="0"/>
        <w:rPr>
          <w:rFonts w:ascii="Times New Roman" w:hAnsi="Times New Roman" w:cs="Times New Roman"/>
          <w:sz w:val="32"/>
        </w:rPr>
      </w:pPr>
      <w:bookmarkStart w:id="1056" w:name="_Toc11157"/>
      <w:r>
        <w:rPr>
          <w:rFonts w:ascii="Times New Roman" w:hAnsi="Times New Roman" w:cs="Times New Roman"/>
          <w:sz w:val="32"/>
        </w:rPr>
        <w:t>物资装备保障</w:t>
      </w:r>
      <w:bookmarkEnd w:id="1056"/>
    </w:p>
    <w:p w14:paraId="38E41E53">
      <w:pPr>
        <w:ind w:firstLine="632"/>
        <w:rPr>
          <w:rFonts w:ascii="Times New Roman" w:hAnsi="Times New Roman" w:cs="Times New Roman"/>
          <w:sz w:val="32"/>
        </w:rPr>
      </w:pPr>
      <w:r>
        <w:rPr>
          <w:rFonts w:ascii="Times New Roman" w:hAnsi="Times New Roman" w:cs="Times New Roman"/>
          <w:sz w:val="32"/>
        </w:rPr>
        <w:t>各燃气企业按照有关规定储备应急救援物资、常用装备和特种装备，建立应急物资、装备数据库，并向指挥部报备。县应急管理局、县卫生健康局、县消防救援大队等有关单位按规定配备应急救援物资装备。</w:t>
      </w:r>
    </w:p>
    <w:p w14:paraId="03DFB1DF">
      <w:pPr>
        <w:pStyle w:val="3"/>
        <w:ind w:firstLine="0" w:firstLineChars="0"/>
        <w:rPr>
          <w:rFonts w:ascii="Times New Roman" w:hAnsi="Times New Roman" w:cs="Times New Roman"/>
          <w:sz w:val="32"/>
        </w:rPr>
      </w:pPr>
      <w:bookmarkStart w:id="1057" w:name="_Toc16501"/>
      <w:r>
        <w:rPr>
          <w:rFonts w:ascii="Times New Roman" w:hAnsi="Times New Roman" w:cs="Times New Roman"/>
          <w:sz w:val="32"/>
        </w:rPr>
        <w:t>交通保障</w:t>
      </w:r>
      <w:bookmarkEnd w:id="1057"/>
    </w:p>
    <w:p w14:paraId="51FF9A76">
      <w:pPr>
        <w:ind w:firstLine="632"/>
        <w:rPr>
          <w:rFonts w:ascii="Times New Roman" w:hAnsi="Times New Roman" w:cs="Times New Roman"/>
          <w:sz w:val="32"/>
        </w:rPr>
      </w:pPr>
      <w:r>
        <w:rPr>
          <w:rFonts w:ascii="Times New Roman" w:hAnsi="Times New Roman" w:cs="Times New Roman"/>
          <w:sz w:val="32"/>
        </w:rPr>
        <w:t>县交通运输局、县公安局应为处置城镇燃气事故做好运输保障工作。各部门和有关单位要健全应急运输保障体系，保障所需人员、物资、装备、器材等的运输，公安、交运等有关部门要保障应急抢险交通工具优先通行。</w:t>
      </w:r>
    </w:p>
    <w:p w14:paraId="2BF9400F">
      <w:pPr>
        <w:pStyle w:val="3"/>
        <w:ind w:firstLine="0" w:firstLineChars="0"/>
        <w:rPr>
          <w:rFonts w:ascii="Times New Roman" w:hAnsi="Times New Roman" w:cs="Times New Roman"/>
          <w:sz w:val="32"/>
        </w:rPr>
      </w:pPr>
      <w:bookmarkStart w:id="1058" w:name="_Toc29558"/>
      <w:r>
        <w:rPr>
          <w:rFonts w:ascii="Times New Roman" w:hAnsi="Times New Roman" w:cs="Times New Roman"/>
          <w:sz w:val="32"/>
        </w:rPr>
        <w:t>经费保障</w:t>
      </w:r>
      <w:bookmarkEnd w:id="1058"/>
    </w:p>
    <w:p w14:paraId="6D0E1DB0">
      <w:pPr>
        <w:ind w:firstLine="632"/>
        <w:rPr>
          <w:rFonts w:ascii="Times New Roman" w:hAnsi="Times New Roman" w:cs="Times New Roman"/>
          <w:sz w:val="32"/>
        </w:rPr>
      </w:pPr>
      <w:r>
        <w:rPr>
          <w:rFonts w:ascii="Times New Roman" w:hAnsi="Times New Roman" w:cs="Times New Roman"/>
          <w:sz w:val="32"/>
        </w:rPr>
        <w:t>城镇燃气经营企业应建立应急处置专项资金，并确保专款专用。城镇燃气事故应急处置所需经费，按现行事权、财权划分原则，分级负担，由县级财政部门纳入财政预算。</w:t>
      </w:r>
    </w:p>
    <w:p w14:paraId="176A0E9D">
      <w:pPr>
        <w:ind w:firstLine="632"/>
        <w:rPr>
          <w:rFonts w:ascii="Times New Roman" w:hAnsi="Times New Roman" w:cs="Times New Roman"/>
          <w:sz w:val="32"/>
        </w:rPr>
      </w:pPr>
      <w:r>
        <w:rPr>
          <w:rFonts w:ascii="Times New Roman" w:hAnsi="Times New Roman" w:cs="Times New Roman"/>
          <w:sz w:val="32"/>
        </w:rPr>
        <w:t>应急处置专项资金主要用于城镇燃气事故防控准备，包括预防预警系统的建立、应急技术装备添置、人员培训及应急演练、应急救援行动处置等相关费用及日常工作经费等。</w:t>
      </w:r>
    </w:p>
    <w:p w14:paraId="2FFD497A">
      <w:pPr>
        <w:ind w:firstLine="632"/>
        <w:rPr>
          <w:rFonts w:ascii="Times New Roman" w:hAnsi="Times New Roman" w:cs="Times New Roman"/>
          <w:sz w:val="32"/>
        </w:rPr>
      </w:pPr>
      <w:r>
        <w:rPr>
          <w:rFonts w:ascii="Times New Roman" w:hAnsi="Times New Roman" w:cs="Times New Roman"/>
          <w:sz w:val="32"/>
        </w:rPr>
        <w:t>财政和审计部门要对突发公共事件财政应急保障资金的使用和效果进行监管和评估。</w:t>
      </w:r>
    </w:p>
    <w:p w14:paraId="76E4911F">
      <w:pPr>
        <w:pStyle w:val="3"/>
        <w:ind w:firstLine="0" w:firstLineChars="0"/>
        <w:rPr>
          <w:rFonts w:ascii="Times New Roman" w:hAnsi="Times New Roman" w:cs="Times New Roman"/>
          <w:sz w:val="32"/>
        </w:rPr>
      </w:pPr>
      <w:bookmarkStart w:id="1059" w:name="_Toc12802"/>
      <w:r>
        <w:rPr>
          <w:rFonts w:ascii="Times New Roman" w:hAnsi="Times New Roman" w:cs="Times New Roman"/>
          <w:sz w:val="32"/>
        </w:rPr>
        <w:t>治安保障</w:t>
      </w:r>
      <w:bookmarkEnd w:id="1059"/>
    </w:p>
    <w:p w14:paraId="35CE80BF">
      <w:pPr>
        <w:ind w:firstLine="632"/>
        <w:rPr>
          <w:rFonts w:ascii="Times New Roman" w:hAnsi="Times New Roman" w:cs="Times New Roman"/>
          <w:sz w:val="32"/>
        </w:rPr>
      </w:pPr>
      <w:r>
        <w:rPr>
          <w:rFonts w:ascii="Times New Roman" w:hAnsi="Times New Roman" w:cs="Times New Roman"/>
          <w:sz w:val="32"/>
        </w:rPr>
        <w:t>城镇燃气事故发生后，县公安局负责应急处置过程中的治安保障，并负责相关保卫工作，必要时可申请调用驻县武警中队予以协助和配合。事发地乡镇人民政府要积极发动和组织群众开展群防联防，并协助公安部门做好治安保障工作。属地警力要迅速组织救灾现场治安警戒和治安管理，严惩趁火打劫和制造事端的犯罪行为，加强对重点地区、重点场所、重点人群、重要物资设备的防范保护。</w:t>
      </w:r>
    </w:p>
    <w:p w14:paraId="17425154">
      <w:pPr>
        <w:pStyle w:val="3"/>
        <w:ind w:firstLine="0" w:firstLineChars="0"/>
        <w:rPr>
          <w:rFonts w:ascii="Times New Roman" w:hAnsi="Times New Roman" w:cs="Times New Roman"/>
          <w:sz w:val="32"/>
        </w:rPr>
      </w:pPr>
      <w:bookmarkStart w:id="1060" w:name="_Toc10849"/>
      <w:r>
        <w:rPr>
          <w:rFonts w:ascii="Times New Roman" w:hAnsi="Times New Roman" w:cs="Times New Roman"/>
          <w:sz w:val="32"/>
        </w:rPr>
        <w:t>技术储备保障</w:t>
      </w:r>
      <w:bookmarkEnd w:id="1060"/>
    </w:p>
    <w:p w14:paraId="3B5494A0">
      <w:pPr>
        <w:ind w:firstLine="632"/>
        <w:rPr>
          <w:rFonts w:ascii="Times New Roman" w:hAnsi="Times New Roman" w:cs="Times New Roman"/>
          <w:sz w:val="32"/>
        </w:rPr>
      </w:pPr>
      <w:r>
        <w:rPr>
          <w:rFonts w:ascii="Times New Roman" w:hAnsi="Times New Roman" w:cs="Times New Roman"/>
          <w:sz w:val="32"/>
        </w:rPr>
        <w:t>（1）燃气经营企业应积极应用新材料、新工艺、新技术，建立并逐步完善燃气管网的地理信息系统和安全运行监测系统；不断完善燃气泄漏报警、火灾报警和联动切断等安全预警系统，提高燃气设施、设备、系统的可靠性，为突发事故的预防和应急处置提供保障。</w:t>
      </w:r>
    </w:p>
    <w:p w14:paraId="6DFADA56">
      <w:pPr>
        <w:ind w:firstLine="632"/>
        <w:rPr>
          <w:rFonts w:ascii="Times New Roman" w:hAnsi="Times New Roman" w:cs="Times New Roman"/>
          <w:sz w:val="32"/>
        </w:rPr>
      </w:pPr>
      <w:r>
        <w:rPr>
          <w:rFonts w:ascii="Times New Roman" w:hAnsi="Times New Roman" w:cs="Times New Roman"/>
          <w:sz w:val="32"/>
        </w:rPr>
        <w:t>（2）县人民政府应建立城镇燃气事故处置专家库，对应急处置进行技术咨询和决策支持。燃气经营企业应认真分析和研究城镇燃气事故可能造成的社会危害和损失，增加技术投入，研究、学习国内外先进经验，不断完善城镇燃气事故应急技术保障体系。</w:t>
      </w:r>
    </w:p>
    <w:p w14:paraId="52296DD6">
      <w:pPr>
        <w:pStyle w:val="3"/>
        <w:ind w:firstLine="0" w:firstLineChars="0"/>
        <w:rPr>
          <w:rFonts w:ascii="Times New Roman" w:hAnsi="Times New Roman" w:cs="Times New Roman"/>
          <w:sz w:val="32"/>
        </w:rPr>
      </w:pPr>
      <w:bookmarkStart w:id="1061" w:name="_Toc13612"/>
      <w:r>
        <w:rPr>
          <w:rFonts w:ascii="Times New Roman" w:hAnsi="Times New Roman" w:cs="Times New Roman"/>
          <w:sz w:val="32"/>
        </w:rPr>
        <w:t>医疗卫生保障</w:t>
      </w:r>
      <w:bookmarkEnd w:id="1061"/>
    </w:p>
    <w:p w14:paraId="68FC8C19">
      <w:pPr>
        <w:ind w:firstLine="632"/>
        <w:rPr>
          <w:rFonts w:ascii="Times New Roman" w:hAnsi="Times New Roman" w:cs="Times New Roman"/>
          <w:sz w:val="32"/>
        </w:rPr>
      </w:pPr>
      <w:r>
        <w:rPr>
          <w:rFonts w:ascii="Times New Roman" w:hAnsi="Times New Roman" w:cs="Times New Roman"/>
          <w:sz w:val="32"/>
        </w:rPr>
        <w:t>县卫生健康局应当加强急救医疗服务网络建设，储备相应的医疗救治药物、技术、设备和人员，提高医疗卫生机构对事故伤员的救治能力。全面掌握本县卫生资源信息，尤其是专科救治方面的资源信息，根据城镇燃气事故的特性和需要，严密组织实施疾病控制、消毒隔离和卫生防疫等相关工作。市场监管部门加强对应急救治药品、医疗器械实施监督管理，保证所用药品、医疗器械安全有效，掌握抢救药品、医疗器械等医疗资源供应的地区和来源。</w:t>
      </w:r>
    </w:p>
    <w:p w14:paraId="7A816DB2">
      <w:pPr>
        <w:pStyle w:val="3"/>
        <w:ind w:firstLine="0" w:firstLineChars="0"/>
        <w:rPr>
          <w:rFonts w:ascii="Times New Roman" w:hAnsi="Times New Roman" w:cs="Times New Roman"/>
          <w:sz w:val="32"/>
        </w:rPr>
      </w:pPr>
      <w:bookmarkStart w:id="1062" w:name="_Toc18759"/>
      <w:r>
        <w:rPr>
          <w:rFonts w:ascii="Times New Roman" w:hAnsi="Times New Roman" w:cs="Times New Roman"/>
          <w:sz w:val="32"/>
        </w:rPr>
        <w:t>紧急避难场所保障</w:t>
      </w:r>
      <w:bookmarkEnd w:id="1062"/>
    </w:p>
    <w:p w14:paraId="217C0CCC">
      <w:pPr>
        <w:ind w:firstLine="632"/>
        <w:rPr>
          <w:rFonts w:ascii="Times New Roman" w:hAnsi="Times New Roman" w:cs="Times New Roman"/>
          <w:sz w:val="32"/>
        </w:rPr>
      </w:pPr>
      <w:r>
        <w:rPr>
          <w:rFonts w:ascii="Times New Roman" w:hAnsi="Times New Roman" w:cs="Times New Roman"/>
          <w:sz w:val="32"/>
        </w:rPr>
        <w:t>为防灾、避灾，应根据城市发展和应对安全事故的实际需要，在大型城市广场、公园、绿地、学校操场和人防设施等项目建设时考虑增加应急避难场所，并在应急避难场所附近的重要路口设置明显的标志牌。</w:t>
      </w:r>
    </w:p>
    <w:p w14:paraId="16B7C138">
      <w:pPr>
        <w:pStyle w:val="2"/>
        <w:numPr>
          <w:ilvl w:val="0"/>
          <w:numId w:val="176"/>
        </w:numPr>
        <w:tabs>
          <w:tab w:val="left" w:pos="0"/>
        </w:tabs>
        <w:ind w:firstLine="0" w:firstLineChars="0"/>
        <w:rPr>
          <w:rFonts w:ascii="Times New Roman" w:hAnsi="Times New Roman" w:cs="Times New Roman"/>
          <w:sz w:val="32"/>
        </w:rPr>
      </w:pPr>
      <w:bookmarkStart w:id="1063" w:name="_Toc32495"/>
      <w:r>
        <w:rPr>
          <w:rFonts w:ascii="Times New Roman" w:hAnsi="Times New Roman" w:cs="Times New Roman"/>
          <w:sz w:val="32"/>
        </w:rPr>
        <w:t>监督管理</w:t>
      </w:r>
      <w:bookmarkEnd w:id="1063"/>
    </w:p>
    <w:p w14:paraId="7BB50454">
      <w:pPr>
        <w:pStyle w:val="3"/>
        <w:ind w:firstLine="0" w:firstLineChars="0"/>
        <w:rPr>
          <w:rFonts w:ascii="Times New Roman" w:hAnsi="Times New Roman" w:cs="Times New Roman"/>
          <w:sz w:val="32"/>
        </w:rPr>
      </w:pPr>
      <w:bookmarkStart w:id="1064" w:name="_Toc6589"/>
      <w:r>
        <w:rPr>
          <w:rFonts w:ascii="Times New Roman" w:hAnsi="Times New Roman" w:cs="Times New Roman"/>
          <w:sz w:val="32"/>
        </w:rPr>
        <w:t>宣传培训</w:t>
      </w:r>
      <w:bookmarkEnd w:id="1064"/>
    </w:p>
    <w:p w14:paraId="685A93A9">
      <w:pPr>
        <w:ind w:firstLine="632"/>
        <w:rPr>
          <w:rFonts w:ascii="Times New Roman" w:hAnsi="Times New Roman" w:cs="Times New Roman"/>
          <w:sz w:val="32"/>
        </w:rPr>
      </w:pPr>
      <w:r>
        <w:rPr>
          <w:rFonts w:ascii="Times New Roman" w:hAnsi="Times New Roman" w:cs="Times New Roman"/>
          <w:sz w:val="32"/>
        </w:rPr>
        <w:t>（1）各乡镇人民政府应搞好燃气设施安全保护和安全使用燃气的宣传教育，努力提高企事业单位、人民群众的燃气安全意识和安全用气知识，预防和减少燃气事故，特别是群死群伤燃气事故的发生。</w:t>
      </w:r>
    </w:p>
    <w:p w14:paraId="08F372CA">
      <w:pPr>
        <w:ind w:firstLine="632"/>
        <w:rPr>
          <w:rFonts w:ascii="Times New Roman" w:hAnsi="Times New Roman" w:cs="Times New Roman"/>
          <w:sz w:val="32"/>
        </w:rPr>
      </w:pPr>
      <w:r>
        <w:rPr>
          <w:rFonts w:ascii="Times New Roman" w:hAnsi="Times New Roman" w:cs="Times New Roman"/>
          <w:sz w:val="32"/>
        </w:rPr>
        <w:t>（2）建设行政主管部门应当依据《城镇燃气管理条例》，加强安全用气宣传与培训的组织管理。</w:t>
      </w:r>
    </w:p>
    <w:p w14:paraId="63B7E424">
      <w:pPr>
        <w:ind w:firstLine="632"/>
        <w:rPr>
          <w:rFonts w:ascii="Times New Roman" w:hAnsi="Times New Roman" w:cs="Times New Roman"/>
          <w:sz w:val="32"/>
        </w:rPr>
      </w:pPr>
      <w:r>
        <w:rPr>
          <w:rFonts w:ascii="Times New Roman" w:hAnsi="Times New Roman" w:cs="Times New Roman"/>
          <w:sz w:val="32"/>
        </w:rPr>
        <w:t>（3）各相关部门、燃气经营单位要按规定向公众和员工说明企业储存、经营、使用燃气的安全注意事项及发生事故后有可能造成的危害，广泛宣传应急救援有关法律法规和燃气事故预防、避险、避灾、自救和互救常识。燃气经营企业应加强燃气安全进社区的宣传，不断</w:t>
      </w:r>
      <w:r>
        <w:rPr>
          <w:rFonts w:hint="eastAsia" w:ascii="Times New Roman" w:hAnsi="Times New Roman" w:cs="Times New Roman"/>
          <w:sz w:val="32"/>
        </w:rPr>
        <w:t>增强</w:t>
      </w:r>
      <w:r>
        <w:rPr>
          <w:rFonts w:ascii="Times New Roman" w:hAnsi="Times New Roman" w:cs="Times New Roman"/>
          <w:sz w:val="32"/>
        </w:rPr>
        <w:t>燃气用户的安全意识和安全用气知识；加强职工安全培训，</w:t>
      </w:r>
      <w:r>
        <w:rPr>
          <w:rFonts w:hint="eastAsia" w:ascii="Times New Roman" w:hAnsi="Times New Roman" w:cs="Times New Roman"/>
          <w:sz w:val="32"/>
        </w:rPr>
        <w:t>增强</w:t>
      </w:r>
      <w:r>
        <w:rPr>
          <w:rFonts w:ascii="Times New Roman" w:hAnsi="Times New Roman" w:cs="Times New Roman"/>
          <w:sz w:val="32"/>
        </w:rPr>
        <w:t>职工安全生产意识和应急处置能力。</w:t>
      </w:r>
    </w:p>
    <w:p w14:paraId="03FD3FEC">
      <w:pPr>
        <w:ind w:firstLine="632"/>
        <w:rPr>
          <w:rFonts w:ascii="Times New Roman" w:hAnsi="Times New Roman" w:cs="Times New Roman"/>
          <w:sz w:val="32"/>
        </w:rPr>
      </w:pPr>
      <w:r>
        <w:rPr>
          <w:rFonts w:ascii="Times New Roman" w:hAnsi="Times New Roman" w:cs="Times New Roman"/>
          <w:sz w:val="32"/>
        </w:rPr>
        <w:t>（4）宣传、广播电视等单位，应加强和扩大燃气安全宣传教育的力度和覆盖面，采用各种形式，引导人民群众关注燃气安全，提高人民群众安全用气和应急防护的意识与能力。</w:t>
      </w:r>
    </w:p>
    <w:p w14:paraId="6CF07105">
      <w:pPr>
        <w:ind w:firstLine="632"/>
        <w:rPr>
          <w:rFonts w:ascii="Times New Roman" w:hAnsi="Times New Roman" w:cs="Times New Roman"/>
          <w:sz w:val="32"/>
        </w:rPr>
      </w:pPr>
      <w:r>
        <w:rPr>
          <w:rFonts w:ascii="Times New Roman" w:hAnsi="Times New Roman" w:cs="Times New Roman"/>
          <w:sz w:val="32"/>
        </w:rPr>
        <w:t>（5）教育主管部门负责将燃气安全常识和相关法律法规纳入学校教育内容。</w:t>
      </w:r>
    </w:p>
    <w:p w14:paraId="6AB5BDEB">
      <w:pPr>
        <w:ind w:firstLine="632"/>
        <w:rPr>
          <w:rFonts w:ascii="Times New Roman" w:hAnsi="Times New Roman" w:cs="Times New Roman"/>
          <w:sz w:val="32"/>
        </w:rPr>
      </w:pPr>
      <w:r>
        <w:rPr>
          <w:rFonts w:ascii="Times New Roman" w:hAnsi="Times New Roman" w:cs="Times New Roman"/>
          <w:sz w:val="32"/>
        </w:rPr>
        <w:t>（6）燃气事故有关救援队伍要按照规定参加业务培训，燃气经营单位应定期对员工进行业务及应急培训，行业管理和安全管理部门负责对应急救援培训进行监督检查。各级应急救援管理机构应加强应急管理、救援人员的岗前和常规培训。</w:t>
      </w:r>
    </w:p>
    <w:p w14:paraId="1CA77098">
      <w:pPr>
        <w:pStyle w:val="3"/>
        <w:ind w:firstLine="0" w:firstLineChars="0"/>
        <w:rPr>
          <w:rFonts w:ascii="Times New Roman" w:hAnsi="Times New Roman" w:cs="Times New Roman"/>
          <w:sz w:val="32"/>
        </w:rPr>
      </w:pPr>
      <w:bookmarkStart w:id="1065" w:name="_Toc8432"/>
      <w:r>
        <w:rPr>
          <w:rFonts w:ascii="Times New Roman" w:hAnsi="Times New Roman" w:cs="Times New Roman"/>
          <w:sz w:val="32"/>
        </w:rPr>
        <w:t>预案演练</w:t>
      </w:r>
      <w:bookmarkEnd w:id="1065"/>
    </w:p>
    <w:p w14:paraId="2A4435E3">
      <w:pPr>
        <w:ind w:firstLine="632"/>
        <w:rPr>
          <w:rFonts w:ascii="Times New Roman" w:hAnsi="Times New Roman" w:cs="Times New Roman"/>
          <w:sz w:val="32"/>
        </w:rPr>
      </w:pPr>
      <w:r>
        <w:rPr>
          <w:rFonts w:ascii="Times New Roman" w:hAnsi="Times New Roman" w:cs="Times New Roman"/>
          <w:sz w:val="32"/>
        </w:rPr>
        <w:t>各燃气经营企业每年至少组织开展一次有针对性地应急演练，并建立应急预案持续改进机制。县燃气应急指挥部适时组织有关部门和燃气企业按照本预案进行应急演练，演练结束后对演练情况进行总结评估，根据演练情况及时调整、修订应急预案。</w:t>
      </w:r>
    </w:p>
    <w:p w14:paraId="1FB4AFB1">
      <w:pPr>
        <w:pStyle w:val="3"/>
        <w:ind w:firstLine="0" w:firstLineChars="0"/>
        <w:rPr>
          <w:rFonts w:ascii="Times New Roman" w:hAnsi="Times New Roman" w:cs="Times New Roman"/>
          <w:sz w:val="32"/>
        </w:rPr>
      </w:pPr>
      <w:bookmarkStart w:id="1066" w:name="_Toc9133"/>
      <w:r>
        <w:rPr>
          <w:rFonts w:ascii="Times New Roman" w:hAnsi="Times New Roman" w:cs="Times New Roman"/>
          <w:sz w:val="32"/>
        </w:rPr>
        <w:t>责任与奖惩</w:t>
      </w:r>
      <w:bookmarkEnd w:id="1066"/>
    </w:p>
    <w:p w14:paraId="3BD4968D">
      <w:pPr>
        <w:ind w:firstLine="632"/>
        <w:rPr>
          <w:rFonts w:ascii="Times New Roman" w:hAnsi="Times New Roman" w:cs="Times New Roman"/>
          <w:sz w:val="32"/>
        </w:rPr>
      </w:pPr>
      <w:r>
        <w:rPr>
          <w:rFonts w:ascii="Times New Roman" w:hAnsi="Times New Roman" w:cs="Times New Roman"/>
          <w:sz w:val="32"/>
        </w:rPr>
        <w:t>县燃气应急指挥部办公室负责对本预案执行情况进行检查，督促有关部门（单位）对存在的问题进行整改。对在安全事故应对工作中做出突出贡献的单位和个人，按照有关规定给予表彰或奖励。对应急救援组织不力，迟报、瞒报、谎报和漏报安全事故重要情况，造成事故损失扩大或应急管理工作中有其他渎职行为的，依据有关法律法规对有关单位和个人进行处分，构成犯罪的，依法追究法律责任。</w:t>
      </w:r>
    </w:p>
    <w:p w14:paraId="1ECCBA62">
      <w:pPr>
        <w:pStyle w:val="3"/>
        <w:ind w:firstLine="0" w:firstLineChars="0"/>
        <w:rPr>
          <w:rFonts w:ascii="Times New Roman" w:hAnsi="Times New Roman" w:cs="Times New Roman"/>
          <w:sz w:val="32"/>
        </w:rPr>
      </w:pPr>
      <w:bookmarkStart w:id="1067" w:name="_Toc13541"/>
      <w:r>
        <w:rPr>
          <w:rFonts w:ascii="Times New Roman" w:hAnsi="Times New Roman" w:cs="Times New Roman"/>
          <w:sz w:val="32"/>
        </w:rPr>
        <w:t>预案修订</w:t>
      </w:r>
      <w:bookmarkEnd w:id="1067"/>
    </w:p>
    <w:p w14:paraId="047FBA38">
      <w:pPr>
        <w:ind w:firstLine="632"/>
        <w:rPr>
          <w:rFonts w:ascii="Times New Roman" w:hAnsi="Times New Roman" w:cs="Times New Roman"/>
          <w:sz w:val="32"/>
        </w:rPr>
      </w:pPr>
      <w:r>
        <w:rPr>
          <w:rFonts w:ascii="Times New Roman" w:hAnsi="Times New Roman" w:cs="Times New Roman"/>
          <w:sz w:val="32"/>
        </w:rPr>
        <w:t>县燃气应急指挥部办公室应定期开展应急预案评估工作，分析评价预案内容的针对性、实用性和可操作性，实现应急预案的动态优化和科学规范管理。</w:t>
      </w:r>
    </w:p>
    <w:p w14:paraId="3B3A22FC">
      <w:pPr>
        <w:ind w:firstLine="632"/>
        <w:rPr>
          <w:rFonts w:ascii="Times New Roman" w:hAnsi="Times New Roman" w:cs="Times New Roman"/>
          <w:sz w:val="32"/>
        </w:rPr>
      </w:pPr>
      <w:r>
        <w:rPr>
          <w:rFonts w:ascii="Times New Roman" w:hAnsi="Times New Roman" w:cs="Times New Roman"/>
          <w:sz w:val="32"/>
        </w:rPr>
        <w:t>有下列情形之一的，应当及时修订本预案：</w:t>
      </w:r>
    </w:p>
    <w:p w14:paraId="342B1D7E">
      <w:pPr>
        <w:ind w:firstLine="632"/>
        <w:rPr>
          <w:rFonts w:ascii="Times New Roman" w:hAnsi="Times New Roman" w:cs="Times New Roman"/>
          <w:sz w:val="32"/>
        </w:rPr>
      </w:pPr>
      <w:r>
        <w:rPr>
          <w:rFonts w:ascii="Times New Roman" w:hAnsi="Times New Roman" w:cs="Times New Roman"/>
          <w:sz w:val="32"/>
        </w:rPr>
        <w:t>（1）有关法律法规、规章、标准、上位预案中的有关规定发生变化的；</w:t>
      </w:r>
    </w:p>
    <w:p w14:paraId="52B09941">
      <w:pPr>
        <w:ind w:firstLine="632"/>
        <w:rPr>
          <w:rFonts w:ascii="Times New Roman" w:hAnsi="Times New Roman" w:cs="Times New Roman"/>
          <w:sz w:val="32"/>
        </w:rPr>
      </w:pPr>
      <w:r>
        <w:rPr>
          <w:rFonts w:ascii="Times New Roman" w:hAnsi="Times New Roman" w:cs="Times New Roman"/>
          <w:sz w:val="32"/>
        </w:rPr>
        <w:t>（2）应急指挥机构及其职责发生重大调整的；</w:t>
      </w:r>
    </w:p>
    <w:p w14:paraId="150D8CCF">
      <w:pPr>
        <w:ind w:firstLine="632"/>
        <w:rPr>
          <w:rFonts w:ascii="Times New Roman" w:hAnsi="Times New Roman" w:cs="Times New Roman"/>
          <w:sz w:val="32"/>
        </w:rPr>
      </w:pPr>
      <w:r>
        <w:rPr>
          <w:rFonts w:ascii="Times New Roman" w:hAnsi="Times New Roman" w:cs="Times New Roman"/>
          <w:sz w:val="32"/>
        </w:rPr>
        <w:t>（3）面临的风险发生重大变化的；</w:t>
      </w:r>
    </w:p>
    <w:p w14:paraId="4AF81A04">
      <w:pPr>
        <w:ind w:firstLine="632"/>
        <w:rPr>
          <w:rFonts w:ascii="Times New Roman" w:hAnsi="Times New Roman" w:cs="Times New Roman"/>
          <w:sz w:val="32"/>
        </w:rPr>
      </w:pPr>
      <w:r>
        <w:rPr>
          <w:rFonts w:ascii="Times New Roman" w:hAnsi="Times New Roman" w:cs="Times New Roman"/>
          <w:sz w:val="32"/>
        </w:rPr>
        <w:t>（4）重要应急资源发生重大变化的；</w:t>
      </w:r>
    </w:p>
    <w:p w14:paraId="7F1BEAFA">
      <w:pPr>
        <w:ind w:firstLine="632"/>
        <w:rPr>
          <w:rFonts w:ascii="Times New Roman" w:hAnsi="Times New Roman" w:cs="Times New Roman"/>
          <w:sz w:val="32"/>
        </w:rPr>
      </w:pPr>
      <w:r>
        <w:rPr>
          <w:rFonts w:ascii="Times New Roman" w:hAnsi="Times New Roman" w:cs="Times New Roman"/>
          <w:sz w:val="32"/>
        </w:rPr>
        <w:t>（5）预案中的其他重要信息发生变化的；</w:t>
      </w:r>
    </w:p>
    <w:p w14:paraId="0C85516C">
      <w:pPr>
        <w:ind w:firstLine="632"/>
        <w:rPr>
          <w:rFonts w:ascii="Times New Roman" w:hAnsi="Times New Roman" w:cs="Times New Roman"/>
          <w:sz w:val="32"/>
        </w:rPr>
      </w:pPr>
      <w:r>
        <w:rPr>
          <w:rFonts w:ascii="Times New Roman" w:hAnsi="Times New Roman" w:cs="Times New Roman"/>
          <w:sz w:val="32"/>
        </w:rPr>
        <w:t>（6）在突发事件实际应对和应急演练中发现问题需要作出重大调整的；</w:t>
      </w:r>
    </w:p>
    <w:p w14:paraId="190F1DB2">
      <w:pPr>
        <w:ind w:firstLine="632"/>
        <w:rPr>
          <w:rFonts w:ascii="Times New Roman" w:hAnsi="Times New Roman" w:cs="Times New Roman"/>
          <w:sz w:val="32"/>
        </w:rPr>
      </w:pPr>
      <w:r>
        <w:rPr>
          <w:rFonts w:ascii="Times New Roman" w:hAnsi="Times New Roman" w:cs="Times New Roman"/>
          <w:sz w:val="32"/>
        </w:rPr>
        <w:t>（7）应急预案制定单位认为应当修订的其他情况。</w:t>
      </w:r>
    </w:p>
    <w:p w14:paraId="036F816B">
      <w:pPr>
        <w:pStyle w:val="3"/>
        <w:ind w:firstLine="0" w:firstLineChars="0"/>
        <w:rPr>
          <w:rFonts w:ascii="Times New Roman" w:hAnsi="Times New Roman" w:cs="Times New Roman"/>
          <w:sz w:val="32"/>
        </w:rPr>
      </w:pPr>
      <w:bookmarkStart w:id="1068" w:name="_Toc19874"/>
      <w:r>
        <w:rPr>
          <w:rFonts w:ascii="Times New Roman" w:hAnsi="Times New Roman" w:cs="Times New Roman"/>
          <w:sz w:val="32"/>
        </w:rPr>
        <w:t>预案实施</w:t>
      </w:r>
      <w:bookmarkEnd w:id="1068"/>
    </w:p>
    <w:p w14:paraId="04C70A13">
      <w:pPr>
        <w:ind w:firstLine="632"/>
        <w:rPr>
          <w:rFonts w:ascii="Times New Roman" w:hAnsi="Times New Roman" w:cs="Times New Roman"/>
          <w:sz w:val="32"/>
        </w:rPr>
      </w:pPr>
      <w:r>
        <w:rPr>
          <w:rFonts w:ascii="Times New Roman" w:hAnsi="Times New Roman" w:cs="Times New Roman"/>
          <w:sz w:val="32"/>
        </w:rPr>
        <w:t>本预案由集贤县城镇燃气事故应急指挥部办公室负责解释。</w:t>
      </w:r>
    </w:p>
    <w:p w14:paraId="6B7CCB3E">
      <w:pPr>
        <w:ind w:firstLine="632"/>
        <w:rPr>
          <w:rFonts w:ascii="Times New Roman" w:hAnsi="Times New Roman" w:cs="Times New Roman"/>
          <w:sz w:val="32"/>
        </w:rPr>
      </w:pPr>
      <w:r>
        <w:rPr>
          <w:rFonts w:ascii="Times New Roman" w:hAnsi="Times New Roman" w:cs="Times New Roman"/>
          <w:sz w:val="32"/>
        </w:rPr>
        <w:t>本预案自发布之日起施行。</w:t>
      </w:r>
    </w:p>
    <w:p w14:paraId="3DBB4E6D">
      <w:pPr>
        <w:ind w:firstLine="632"/>
        <w:rPr>
          <w:rFonts w:ascii="Times New Roman" w:hAnsi="Times New Roman" w:cs="Times New Roman"/>
          <w:sz w:val="32"/>
        </w:rPr>
      </w:pPr>
      <w:r>
        <w:rPr>
          <w:rFonts w:ascii="Times New Roman" w:hAnsi="Times New Roman" w:cs="Times New Roman"/>
          <w:sz w:val="32"/>
        </w:rPr>
        <w:br w:type="page"/>
      </w:r>
    </w:p>
    <w:p w14:paraId="44CFDEB6">
      <w:pPr>
        <w:pStyle w:val="2"/>
        <w:numPr>
          <w:ilvl w:val="0"/>
          <w:numId w:val="0"/>
        </w:numPr>
        <w:rPr>
          <w:rFonts w:ascii="Times New Roman" w:hAnsi="Times New Roman" w:cs="Times New Roman"/>
          <w:sz w:val="32"/>
        </w:rPr>
      </w:pPr>
      <w:bookmarkStart w:id="1069" w:name="_Toc5165"/>
      <w:r>
        <w:rPr>
          <w:rFonts w:ascii="Times New Roman" w:hAnsi="Times New Roman" w:cs="Times New Roman"/>
          <w:sz w:val="32"/>
        </w:rPr>
        <w:t>附件1：城镇燃气事故分级标准</w:t>
      </w:r>
      <w:bookmarkEnd w:id="1069"/>
    </w:p>
    <w:p w14:paraId="1C6E9412">
      <w:pPr>
        <w:pStyle w:val="20"/>
        <w:widowControl/>
        <w:shd w:val="clear" w:color="auto" w:fill="FFFFFF"/>
        <w:spacing w:beforeAutospacing="0" w:afterAutospacing="0" w:line="560" w:lineRule="exact"/>
        <w:ind w:firstLine="632"/>
        <w:rPr>
          <w:rFonts w:ascii="Times New Roman" w:hAnsi="Times New Roman" w:eastAsia="楷体_GB2312"/>
          <w:b/>
          <w:bCs/>
          <w:color w:val="444444"/>
          <w:sz w:val="32"/>
          <w:shd w:val="clear" w:color="auto" w:fill="FFFFFF"/>
        </w:rPr>
      </w:pPr>
      <w:r>
        <w:rPr>
          <w:rFonts w:ascii="Times New Roman" w:hAnsi="Times New Roman" w:eastAsia="楷体_GB2312"/>
          <w:b/>
          <w:bCs/>
          <w:color w:val="444444"/>
          <w:sz w:val="32"/>
          <w:shd w:val="clear" w:color="auto" w:fill="FFFFFF"/>
        </w:rPr>
        <w:t>（一）特别重大事故（Ⅰ级）</w:t>
      </w:r>
    </w:p>
    <w:p w14:paraId="1D44336B">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凡符合下列情形之一的，为特别重大事故：</w:t>
      </w:r>
    </w:p>
    <w:p w14:paraId="2309231F">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（1）受突发性事件主要因素影响，使天然气、液化气供气能力严重下降，造成城镇5万户（或以上）居民连续停止供气48小时（或以上）；</w:t>
      </w:r>
    </w:p>
    <w:p w14:paraId="3329F644">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（2）天然气门站、加气站、液化石油气贮配站、燃气输配设施等发生大面积严重泄漏并引起爆燃、爆炸失去控制，需紧急疏散人群、实行交通管制的；</w:t>
      </w:r>
    </w:p>
    <w:p w14:paraId="1FE58692">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（3）造成30人以上一次性死亡，100人以上重伤（包括燃气中毒，下同）的，或者1亿元以上直接经济损失的。</w:t>
      </w:r>
    </w:p>
    <w:p w14:paraId="4B05047C">
      <w:pPr>
        <w:pStyle w:val="20"/>
        <w:widowControl/>
        <w:shd w:val="clear" w:color="auto" w:fill="FFFFFF"/>
        <w:spacing w:beforeAutospacing="0" w:afterAutospacing="0" w:line="560" w:lineRule="exact"/>
        <w:ind w:firstLine="632"/>
        <w:rPr>
          <w:rFonts w:ascii="Times New Roman" w:hAnsi="Times New Roman" w:eastAsia="楷体_GB2312"/>
          <w:b/>
          <w:bCs/>
          <w:color w:val="444444"/>
          <w:sz w:val="32"/>
          <w:shd w:val="clear" w:color="auto" w:fill="FFFFFF"/>
        </w:rPr>
      </w:pPr>
      <w:r>
        <w:rPr>
          <w:rFonts w:ascii="Times New Roman" w:hAnsi="Times New Roman" w:eastAsia="楷体_GB2312"/>
          <w:b/>
          <w:bCs/>
          <w:color w:val="444444"/>
          <w:sz w:val="32"/>
          <w:shd w:val="clear" w:color="auto" w:fill="FFFFFF"/>
        </w:rPr>
        <w:t>（二）重大事故（Ⅱ级）</w:t>
      </w:r>
    </w:p>
    <w:p w14:paraId="3E47E46F">
      <w:pPr>
        <w:pStyle w:val="20"/>
        <w:widowControl/>
        <w:shd w:val="clear" w:color="auto" w:fill="FFFFFF"/>
        <w:spacing w:beforeAutospacing="0" w:afterAutospacing="0" w:line="560" w:lineRule="exact"/>
        <w:ind w:firstLine="632"/>
        <w:rPr>
          <w:rFonts w:ascii="Times New Roman" w:hAnsi="Times New Roman"/>
          <w:sz w:val="32"/>
        </w:rPr>
      </w:pPr>
      <w:r>
        <w:rPr>
          <w:rFonts w:ascii="Times New Roman" w:hAnsi="Times New Roman"/>
          <w:sz w:val="32"/>
        </w:rPr>
        <w:t>凡符合下列情形之一的，为重大事故：</w:t>
      </w:r>
    </w:p>
    <w:p w14:paraId="05A54EDC">
      <w:pPr>
        <w:pStyle w:val="20"/>
        <w:widowControl/>
        <w:shd w:val="clear" w:color="auto" w:fill="FFFFFF"/>
        <w:spacing w:beforeAutospacing="0" w:afterAutospacing="0" w:line="560" w:lineRule="exact"/>
        <w:ind w:firstLine="632"/>
        <w:rPr>
          <w:rFonts w:ascii="Times New Roman" w:hAnsi="Times New Roman"/>
          <w:sz w:val="32"/>
        </w:rPr>
      </w:pPr>
      <w:r>
        <w:rPr>
          <w:rFonts w:ascii="Times New Roman" w:hAnsi="Times New Roman"/>
          <w:sz w:val="32"/>
        </w:rPr>
        <w:t>（1）受突发性事件主要因素影响，使天然气、液化气供气能力大幅度下降，造成城市3万户（或以上）居民连续停止供气24小时（或以上）；</w:t>
      </w:r>
    </w:p>
    <w:p w14:paraId="27C1E922">
      <w:pPr>
        <w:pStyle w:val="20"/>
        <w:widowControl/>
        <w:shd w:val="clear" w:color="auto" w:fill="FFFFFF"/>
        <w:spacing w:beforeAutospacing="0" w:afterAutospacing="0" w:line="560" w:lineRule="exact"/>
        <w:ind w:firstLine="632"/>
        <w:rPr>
          <w:rFonts w:ascii="Times New Roman" w:hAnsi="Times New Roman"/>
          <w:sz w:val="32"/>
        </w:rPr>
      </w:pPr>
      <w:r>
        <w:rPr>
          <w:rFonts w:ascii="Times New Roman" w:hAnsi="Times New Roman"/>
          <w:sz w:val="32"/>
        </w:rPr>
        <w:t>（2）天然气门站、加气站、液化石油气贮配站、燃气输配设施等发生严重泄漏引起爆燃难以控制，需紧急疏散人群、实行交通管制的；</w:t>
      </w:r>
    </w:p>
    <w:p w14:paraId="403E26E9">
      <w:pPr>
        <w:pStyle w:val="20"/>
        <w:widowControl/>
        <w:shd w:val="clear" w:color="auto" w:fill="FFFFFF"/>
        <w:spacing w:beforeAutospacing="0" w:afterAutospacing="0" w:line="560" w:lineRule="exact"/>
        <w:ind w:firstLine="632"/>
        <w:rPr>
          <w:rFonts w:ascii="Times New Roman" w:hAnsi="Times New Roman"/>
          <w:sz w:val="32"/>
        </w:rPr>
      </w:pPr>
      <w:r>
        <w:rPr>
          <w:rFonts w:ascii="Times New Roman" w:hAnsi="Times New Roman"/>
          <w:sz w:val="32"/>
        </w:rPr>
        <w:t>（3）造成10人以上30人以下一次性死亡，或者50人以上100人以下重伤，或者5000万元以上1亿元以下直接经济损失的。</w:t>
      </w:r>
    </w:p>
    <w:p w14:paraId="6C9EF7A4">
      <w:pPr>
        <w:pStyle w:val="20"/>
        <w:widowControl/>
        <w:shd w:val="clear" w:color="auto" w:fill="FFFFFF"/>
        <w:spacing w:beforeAutospacing="0" w:afterAutospacing="0" w:line="560" w:lineRule="exact"/>
        <w:ind w:firstLine="632"/>
        <w:rPr>
          <w:rFonts w:ascii="Times New Roman" w:hAnsi="Times New Roman"/>
          <w:sz w:val="32"/>
        </w:rPr>
      </w:pPr>
    </w:p>
    <w:p w14:paraId="4961515D">
      <w:pPr>
        <w:pStyle w:val="20"/>
        <w:widowControl/>
        <w:shd w:val="clear" w:color="auto" w:fill="FFFFFF"/>
        <w:spacing w:beforeAutospacing="0" w:afterAutospacing="0" w:line="560" w:lineRule="exact"/>
        <w:ind w:firstLine="632"/>
        <w:rPr>
          <w:rFonts w:ascii="Times New Roman" w:hAnsi="Times New Roman" w:eastAsia="楷体_GB2312"/>
          <w:b/>
          <w:bCs/>
          <w:color w:val="444444"/>
          <w:sz w:val="32"/>
          <w:shd w:val="clear" w:color="auto" w:fill="FFFFFF"/>
        </w:rPr>
      </w:pPr>
      <w:r>
        <w:rPr>
          <w:rFonts w:ascii="Times New Roman" w:hAnsi="Times New Roman" w:eastAsia="楷体_GB2312"/>
          <w:b/>
          <w:bCs/>
          <w:color w:val="444444"/>
          <w:sz w:val="32"/>
          <w:shd w:val="clear" w:color="auto" w:fill="FFFFFF"/>
        </w:rPr>
        <w:t>（三）较大事故（</w:t>
      </w:r>
      <w:r>
        <w:rPr>
          <w:rFonts w:ascii="Times New Roman" w:hAnsi="Times New Roman" w:eastAsia="仿宋"/>
          <w:b/>
          <w:bCs/>
          <w:color w:val="444444"/>
          <w:sz w:val="32"/>
          <w:shd w:val="clear" w:color="auto" w:fill="FFFFFF"/>
          <w:lang w:bidi="ar"/>
        </w:rPr>
        <w:t>Ⅲ</w:t>
      </w:r>
      <w:r>
        <w:rPr>
          <w:rFonts w:ascii="Times New Roman" w:hAnsi="Times New Roman" w:eastAsia="楷体_GB2312"/>
          <w:b/>
          <w:bCs/>
          <w:color w:val="444444"/>
          <w:sz w:val="32"/>
          <w:shd w:val="clear" w:color="auto" w:fill="FFFFFF"/>
        </w:rPr>
        <w:t>级）</w:t>
      </w:r>
    </w:p>
    <w:p w14:paraId="5273479D">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凡符合下列情形之一的，为较大事故：</w:t>
      </w:r>
    </w:p>
    <w:p w14:paraId="16B6B359">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（1）受突发性事件主要因素影响，使天然气、液化气供气能力下降，造成城市1万户（或以上）居民连续停止供气12小时（或以上）；</w:t>
      </w:r>
    </w:p>
    <w:p w14:paraId="48BB1483">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（2）天然气门站、加气站、液化石油气贮罐站、燃气输配设施等发生严重泄漏或引起燃烧，需紧急疏散人群、实行交通管制的；</w:t>
      </w:r>
    </w:p>
    <w:p w14:paraId="4CE95A67">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（3）造成3人以上10人以下一次性死亡，或者10人以上50人以下重伤，或者1000万元以上5000万元以下直接经济损失的。</w:t>
      </w:r>
    </w:p>
    <w:p w14:paraId="6F65E393">
      <w:pPr>
        <w:pStyle w:val="20"/>
        <w:widowControl/>
        <w:shd w:val="clear" w:color="auto" w:fill="FFFFFF"/>
        <w:spacing w:beforeAutospacing="0" w:afterAutospacing="0" w:line="560" w:lineRule="exact"/>
        <w:ind w:firstLine="632"/>
        <w:rPr>
          <w:rFonts w:ascii="Times New Roman" w:hAnsi="Times New Roman" w:eastAsia="楷体_GB2312"/>
          <w:b/>
          <w:bCs/>
          <w:color w:val="444444"/>
          <w:sz w:val="32"/>
          <w:shd w:val="clear" w:color="auto" w:fill="FFFFFF"/>
        </w:rPr>
      </w:pPr>
      <w:r>
        <w:rPr>
          <w:rFonts w:ascii="Times New Roman" w:hAnsi="Times New Roman" w:eastAsia="楷体_GB2312"/>
          <w:b/>
          <w:bCs/>
          <w:color w:val="444444"/>
          <w:sz w:val="32"/>
          <w:shd w:val="clear" w:color="auto" w:fill="FFFFFF"/>
        </w:rPr>
        <w:t>（四）一般事故（Ⅳ级）</w:t>
      </w:r>
    </w:p>
    <w:p w14:paraId="78DBBD98">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凡符合下列情形之一的，为一般事故：</w:t>
      </w:r>
    </w:p>
    <w:p w14:paraId="677F47D9">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（1）天然气门站、加气站、液化石油气贮配站、燃气输配设施等发生故障，造成1万户以下居民连续停止供气6小时（或以上）；</w:t>
      </w:r>
    </w:p>
    <w:p w14:paraId="2AC520DC">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（2）造成3人以下一次性死亡，或者10人以下重伤的，或者1000万元以下直接经济损失的。</w:t>
      </w:r>
    </w:p>
    <w:p w14:paraId="01B55B99">
      <w:pPr>
        <w:ind w:firstLine="632"/>
        <w:rPr>
          <w:rFonts w:ascii="Times New Roman" w:hAnsi="Times New Roman" w:cs="Times New Roman"/>
          <w:sz w:val="32"/>
        </w:rPr>
      </w:pPr>
      <w:r>
        <w:rPr>
          <w:rFonts w:ascii="Times New Roman" w:hAnsi="Times New Roman" w:cs="Times New Roman"/>
          <w:sz w:val="32"/>
        </w:rPr>
        <w:t>上述分级标准有关数量的表述中，“以上”含本数，“以下”不含本数。</w:t>
      </w:r>
    </w:p>
    <w:p w14:paraId="5BDDF93C">
      <w:pPr>
        <w:pStyle w:val="15"/>
        <w:ind w:left="552" w:firstLine="552"/>
        <w:rPr>
          <w:rFonts w:ascii="Times New Roman" w:hAnsi="Times New Roman" w:cs="Times New Roman"/>
        </w:rPr>
        <w:sectPr>
          <w:footerReference r:id="rId102" w:type="default"/>
          <w:footerReference r:id="rId103" w:type="even"/>
          <w:pgSz w:w="11906" w:h="16838"/>
          <w:pgMar w:top="2098" w:right="1474" w:bottom="1984" w:left="1587" w:header="624" w:footer="1134" w:gutter="0"/>
          <w:pgNumType w:start="1"/>
          <w:cols w:space="0" w:num="1"/>
          <w:docGrid w:type="linesAndChars" w:linePitch="579" w:charSpace="-842"/>
        </w:sectPr>
      </w:pPr>
    </w:p>
    <w:p w14:paraId="5977C511">
      <w:pPr>
        <w:ind w:firstLine="552"/>
        <w:rPr>
          <w:rFonts w:ascii="Times New Roman" w:hAnsi="Times New Roman" w:cs="Times New Roman"/>
        </w:rPr>
      </w:pPr>
    </w:p>
    <w:p w14:paraId="494D95E3">
      <w:pPr>
        <w:ind w:firstLine="552"/>
        <w:rPr>
          <w:rFonts w:ascii="Times New Roman" w:hAnsi="Times New Roman" w:cs="Times New Roman"/>
        </w:rPr>
      </w:pPr>
    </w:p>
    <w:p w14:paraId="070CA314">
      <w:pPr>
        <w:pStyle w:val="13"/>
        <w:ind w:firstLine="632"/>
        <w:rPr>
          <w:rFonts w:ascii="Times New Roman" w:hAnsi="Times New Roman" w:cs="Times New Roman"/>
        </w:rPr>
      </w:pPr>
    </w:p>
    <w:p w14:paraId="0146F0D3">
      <w:pPr>
        <w:ind w:firstLine="552"/>
        <w:rPr>
          <w:rFonts w:ascii="Times New Roman" w:hAnsi="Times New Roman" w:cs="Times New Roman"/>
        </w:rPr>
      </w:pPr>
    </w:p>
    <w:p w14:paraId="22BD4324">
      <w:pPr>
        <w:ind w:firstLine="0" w:firstLineChars="0"/>
        <w:jc w:val="center"/>
        <w:rPr>
          <w:rFonts w:ascii="Times New Roman" w:hAnsi="Times New Roman" w:eastAsia="楷体" w:cs="Times New Roman"/>
          <w:b/>
          <w:bCs/>
          <w:sz w:val="72"/>
          <w:szCs w:val="72"/>
        </w:rPr>
      </w:pPr>
      <w:r>
        <w:rPr>
          <w:rFonts w:ascii="Times New Roman" w:hAnsi="Times New Roman" w:eastAsia="方正小标宋简体" w:cs="Times New Roman"/>
          <w:bCs/>
          <w:color w:val="000000"/>
          <w:spacing w:val="-6"/>
          <w:kern w:val="0"/>
          <w:sz w:val="52"/>
          <w:szCs w:val="52"/>
          <w:lang w:bidi="ar"/>
        </w:rPr>
        <w:t>集贤县突发环境事件应急预案</w:t>
      </w:r>
    </w:p>
    <w:p w14:paraId="717CDC5B">
      <w:pPr>
        <w:pStyle w:val="11"/>
        <w:ind w:firstLine="0" w:firstLineChars="0"/>
        <w:jc w:val="center"/>
        <w:rPr>
          <w:rFonts w:ascii="Times New Roman" w:hAnsi="Times New Roman" w:eastAsia="楷体_GB2312" w:cs="Times New Roman"/>
          <w:b/>
          <w:sz w:val="52"/>
          <w:szCs w:val="52"/>
        </w:rPr>
      </w:pPr>
      <w:r>
        <w:rPr>
          <w:rFonts w:hint="eastAsia" w:ascii="仿宋_GB2312" w:hAnsi="仿宋_GB2312" w:cs="仿宋_GB2312"/>
          <w:bCs/>
          <w:sz w:val="48"/>
          <w:szCs w:val="48"/>
        </w:rPr>
        <w:t>（修订稿）</w:t>
      </w:r>
    </w:p>
    <w:p w14:paraId="1180B6C3">
      <w:pPr>
        <w:pStyle w:val="11"/>
        <w:ind w:firstLine="0" w:firstLineChars="0"/>
        <w:jc w:val="center"/>
        <w:rPr>
          <w:rFonts w:ascii="Times New Roman" w:hAnsi="Times New Roman" w:eastAsia="黑体" w:cs="Times New Roman"/>
          <w:sz w:val="52"/>
          <w:szCs w:val="52"/>
        </w:rPr>
      </w:pPr>
    </w:p>
    <w:p w14:paraId="031107A6">
      <w:pPr>
        <w:pStyle w:val="11"/>
        <w:ind w:firstLine="0" w:firstLineChars="0"/>
        <w:jc w:val="center"/>
        <w:rPr>
          <w:rFonts w:ascii="Times New Roman" w:hAnsi="Times New Roman" w:eastAsia="黑体" w:cs="Times New Roman"/>
          <w:sz w:val="52"/>
          <w:szCs w:val="52"/>
        </w:rPr>
      </w:pPr>
    </w:p>
    <w:p w14:paraId="7B5792B0">
      <w:pPr>
        <w:pStyle w:val="11"/>
        <w:ind w:firstLine="0" w:firstLineChars="0"/>
        <w:jc w:val="center"/>
        <w:rPr>
          <w:rFonts w:ascii="Times New Roman" w:hAnsi="Times New Roman" w:eastAsia="黑体" w:cs="Times New Roman"/>
          <w:sz w:val="52"/>
          <w:szCs w:val="52"/>
        </w:rPr>
      </w:pPr>
    </w:p>
    <w:p w14:paraId="08CDDA55">
      <w:pPr>
        <w:pStyle w:val="11"/>
        <w:ind w:firstLine="0" w:firstLineChars="0"/>
        <w:jc w:val="center"/>
        <w:rPr>
          <w:rFonts w:ascii="Times New Roman" w:hAnsi="Times New Roman" w:eastAsia="黑体" w:cs="Times New Roman"/>
          <w:sz w:val="52"/>
          <w:szCs w:val="52"/>
        </w:rPr>
      </w:pPr>
    </w:p>
    <w:p w14:paraId="73C6A4F4">
      <w:pPr>
        <w:pStyle w:val="11"/>
        <w:ind w:firstLine="0" w:firstLineChars="0"/>
        <w:jc w:val="center"/>
        <w:rPr>
          <w:rFonts w:ascii="Times New Roman" w:hAnsi="Times New Roman" w:eastAsia="楷体_GB2312" w:cs="Times New Roman"/>
          <w:spacing w:val="-12"/>
          <w:sz w:val="44"/>
          <w:szCs w:val="44"/>
        </w:rPr>
      </w:pPr>
    </w:p>
    <w:p w14:paraId="3CCF2B46">
      <w:pPr>
        <w:pStyle w:val="11"/>
        <w:ind w:firstLine="0" w:firstLineChars="0"/>
        <w:jc w:val="center"/>
        <w:rPr>
          <w:rFonts w:ascii="Times New Roman" w:hAnsi="Times New Roman" w:eastAsia="楷体_GB2312" w:cs="Times New Roman"/>
          <w:spacing w:val="-12"/>
          <w:sz w:val="44"/>
          <w:szCs w:val="44"/>
        </w:rPr>
      </w:pPr>
    </w:p>
    <w:p w14:paraId="08D1243B">
      <w:pPr>
        <w:pStyle w:val="11"/>
        <w:ind w:firstLine="0" w:firstLineChars="0"/>
        <w:jc w:val="center"/>
        <w:rPr>
          <w:rFonts w:ascii="Times New Roman" w:hAnsi="Times New Roman" w:eastAsia="楷体_GB2312" w:cs="Times New Roman"/>
          <w:spacing w:val="-12"/>
          <w:sz w:val="44"/>
          <w:szCs w:val="44"/>
        </w:rPr>
      </w:pPr>
    </w:p>
    <w:p w14:paraId="76661ABA">
      <w:pPr>
        <w:pStyle w:val="11"/>
        <w:ind w:firstLine="0" w:firstLineChars="0"/>
        <w:jc w:val="center"/>
        <w:rPr>
          <w:rFonts w:ascii="Times New Roman" w:hAnsi="Times New Roman" w:eastAsia="楷体_GB2312" w:cs="Times New Roman"/>
          <w:spacing w:val="-12"/>
          <w:sz w:val="44"/>
          <w:szCs w:val="44"/>
        </w:rPr>
      </w:pPr>
    </w:p>
    <w:p w14:paraId="5B0D3342">
      <w:pPr>
        <w:ind w:firstLine="0" w:firstLineChars="0"/>
        <w:jc w:val="center"/>
        <w:rPr>
          <w:rFonts w:ascii="Times New Roman" w:hAnsi="Times New Roman" w:cs="Times New Roman"/>
          <w:bCs/>
          <w:spacing w:val="-6"/>
          <w:sz w:val="36"/>
          <w:szCs w:val="24"/>
          <w:lang w:bidi="ar"/>
        </w:rPr>
      </w:pPr>
      <w:r>
        <w:rPr>
          <w:rFonts w:ascii="Times New Roman" w:hAnsi="Times New Roman" w:cs="Times New Roman"/>
          <w:bCs/>
          <w:spacing w:val="-6"/>
          <w:sz w:val="36"/>
          <w:szCs w:val="24"/>
          <w:lang w:bidi="ar"/>
        </w:rPr>
        <w:t>集贤县人民政府 编制</w:t>
      </w:r>
    </w:p>
    <w:p w14:paraId="75C3A009">
      <w:pPr>
        <w:ind w:firstLine="0" w:firstLineChars="0"/>
        <w:jc w:val="center"/>
        <w:rPr>
          <w:rFonts w:ascii="Times New Roman" w:hAnsi="Times New Roman" w:cs="Times New Roman"/>
          <w:bCs/>
          <w:spacing w:val="-6"/>
          <w:sz w:val="36"/>
          <w:szCs w:val="24"/>
          <w:lang w:bidi="ar"/>
        </w:rPr>
      </w:pPr>
      <w:r>
        <w:rPr>
          <w:rFonts w:ascii="Times New Roman" w:hAnsi="Times New Roman" w:cs="Times New Roman"/>
          <w:bCs/>
          <w:spacing w:val="-6"/>
          <w:sz w:val="36"/>
          <w:szCs w:val="24"/>
          <w:lang w:bidi="ar"/>
        </w:rPr>
        <w:t>2025年5月</w:t>
      </w:r>
    </w:p>
    <w:p w14:paraId="16EA1CED">
      <w:pPr>
        <w:ind w:firstLine="688"/>
        <w:rPr>
          <w:rFonts w:ascii="Times New Roman" w:hAnsi="Times New Roman" w:cs="Times New Roman"/>
          <w:bCs/>
          <w:spacing w:val="-6"/>
          <w:sz w:val="36"/>
          <w:szCs w:val="24"/>
          <w:lang w:bidi="ar"/>
        </w:rPr>
      </w:pPr>
      <w:r>
        <w:rPr>
          <w:rFonts w:ascii="Times New Roman" w:hAnsi="Times New Roman" w:cs="Times New Roman"/>
          <w:bCs/>
          <w:spacing w:val="-6"/>
          <w:sz w:val="36"/>
          <w:szCs w:val="24"/>
          <w:lang w:bidi="ar"/>
        </w:rPr>
        <w:br w:type="page"/>
      </w:r>
    </w:p>
    <w:p w14:paraId="77B3FD60">
      <w:pPr>
        <w:pStyle w:val="42"/>
        <w:rPr>
          <w:rFonts w:ascii="Times New Roman" w:hAnsi="Times New Roman"/>
        </w:rPr>
      </w:pPr>
    </w:p>
    <w:p w14:paraId="229382FE">
      <w:pPr>
        <w:ind w:firstLine="0" w:firstLineChars="0"/>
        <w:jc w:val="center"/>
        <w:rPr>
          <w:rFonts w:ascii="Times New Roman" w:hAnsi="Times New Roman" w:eastAsia="微软雅黑" w:cs="Times New Roman"/>
          <w:b/>
          <w:bCs/>
          <w:sz w:val="36"/>
          <w:szCs w:val="36"/>
        </w:rPr>
      </w:pPr>
    </w:p>
    <w:sdt>
      <w:sdtPr>
        <w:rPr>
          <w:rFonts w:ascii="Times New Roman" w:hAnsi="Times New Roman" w:eastAsia="微软雅黑" w:cs="Times New Roman"/>
          <w:b/>
          <w:bCs/>
          <w:sz w:val="36"/>
          <w:szCs w:val="36"/>
        </w:rPr>
        <w:id w:val="147477111"/>
        <w15:color w:val="DBDBDB"/>
        <w:docPartObj>
          <w:docPartGallery w:val="Table of Contents"/>
          <w:docPartUnique/>
        </w:docPartObj>
      </w:sdtPr>
      <w:sdtEndPr>
        <w:rPr>
          <w:rFonts w:ascii="Times New Roman" w:hAnsi="Times New Roman" w:eastAsia="仿宋" w:cs="Times New Roman"/>
          <w:b/>
          <w:bCs/>
          <w:sz w:val="32"/>
          <w:szCs w:val="32"/>
        </w:rPr>
      </w:sdtEndPr>
      <w:sdtContent>
        <w:p w14:paraId="42A5B025">
          <w:pPr>
            <w:ind w:firstLine="0" w:firstLineChars="0"/>
            <w:jc w:val="center"/>
            <w:rPr>
              <w:rFonts w:ascii="Times New Roman" w:hAnsi="Times New Roman" w:cs="Times New Roman"/>
            </w:rPr>
          </w:pPr>
          <w:r>
            <w:rPr>
              <w:rFonts w:ascii="Times New Roman" w:hAnsi="Times New Roman" w:eastAsia="微软雅黑" w:cs="Times New Roman"/>
              <w:b/>
              <w:bCs/>
              <w:sz w:val="36"/>
              <w:szCs w:val="36"/>
            </w:rPr>
            <w:t>目  录</w:t>
          </w:r>
        </w:p>
        <w:p w14:paraId="789EF30D">
          <w:pPr>
            <w:pStyle w:val="18"/>
            <w:rPr>
              <w:rFonts w:ascii="Times New Roman" w:hAnsi="Times New Roman" w:cs="Times New Roman"/>
              <w:sz w:val="32"/>
              <w:szCs w:val="36"/>
            </w:rPr>
          </w:pPr>
          <w:r>
            <w:rPr>
              <w:rFonts w:ascii="Times New Roman" w:hAnsi="Times New Roman" w:cs="Times New Roman"/>
              <w:sz w:val="32"/>
            </w:rPr>
            <w:fldChar w:fldCharType="begin"/>
          </w:r>
          <w:r>
            <w:rPr>
              <w:rFonts w:ascii="Times New Roman" w:hAnsi="Times New Roman" w:cs="Times New Roman"/>
              <w:sz w:val="32"/>
            </w:rPr>
            <w:instrText xml:space="preserve">TOC \o "1-2" \h \u </w:instrText>
          </w:r>
          <w:r>
            <w:rPr>
              <w:rFonts w:ascii="Times New Roman" w:hAnsi="Times New Roman" w:cs="Times New Roman"/>
              <w:sz w:val="32"/>
            </w:rPr>
            <w:fldChar w:fldCharType="separate"/>
          </w:r>
          <w:r>
            <w:fldChar w:fldCharType="begin"/>
          </w:r>
          <w:r>
            <w:instrText xml:space="preserve"> HYPERLINK \l "_Toc30474" </w:instrText>
          </w:r>
          <w:r>
            <w:fldChar w:fldCharType="separate"/>
          </w:r>
          <w:r>
            <w:rPr>
              <w:rFonts w:ascii="Times New Roman" w:hAnsi="Times New Roman" w:eastAsia="仿宋" w:cs="Times New Roman"/>
              <w:sz w:val="32"/>
              <w:szCs w:val="36"/>
            </w:rPr>
            <w:t xml:space="preserve">1 </w:t>
          </w:r>
          <w:r>
            <w:rPr>
              <w:rFonts w:ascii="Times New Roman" w:hAnsi="Times New Roman" w:cs="Times New Roman"/>
              <w:sz w:val="32"/>
              <w:szCs w:val="36"/>
            </w:rPr>
            <w:t>总则</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_Toc30474 \h </w:instrText>
          </w:r>
          <w:r>
            <w:rPr>
              <w:rFonts w:ascii="Times New Roman" w:hAnsi="Times New Roman" w:cs="Times New Roman"/>
              <w:sz w:val="32"/>
              <w:szCs w:val="36"/>
            </w:rPr>
            <w:fldChar w:fldCharType="separate"/>
          </w:r>
          <w:r>
            <w:rPr>
              <w:rFonts w:ascii="Times New Roman" w:hAnsi="Times New Roman" w:cs="Times New Roman"/>
              <w:sz w:val="32"/>
              <w:szCs w:val="36"/>
            </w:rPr>
            <w:t>1</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3E5092F3">
          <w:pPr>
            <w:pStyle w:val="19"/>
            <w:tabs>
              <w:tab w:val="right" w:leader="dot" w:pos="8845"/>
            </w:tabs>
            <w:ind w:firstLine="552"/>
            <w:rPr>
              <w:rFonts w:ascii="Times New Roman" w:hAnsi="Times New Roman" w:cs="Times New Roman"/>
              <w:sz w:val="32"/>
              <w:szCs w:val="36"/>
            </w:rPr>
          </w:pPr>
          <w:r>
            <w:fldChar w:fldCharType="begin"/>
          </w:r>
          <w:r>
            <w:instrText xml:space="preserve"> HYPERLINK \l "_Toc12746" </w:instrText>
          </w:r>
          <w:r>
            <w:fldChar w:fldCharType="separate"/>
          </w:r>
          <w:r>
            <w:rPr>
              <w:rFonts w:ascii="Times New Roman" w:hAnsi="Times New Roman" w:eastAsia="仿宋" w:cs="Times New Roman"/>
              <w:bCs/>
              <w:sz w:val="32"/>
              <w:szCs w:val="36"/>
            </w:rPr>
            <w:t xml:space="preserve">1.1 </w:t>
          </w:r>
          <w:r>
            <w:rPr>
              <w:rFonts w:ascii="Times New Roman" w:hAnsi="Times New Roman" w:cs="Times New Roman"/>
              <w:sz w:val="32"/>
              <w:szCs w:val="36"/>
            </w:rPr>
            <w:t>指导思想</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_Toc12746 \h </w:instrText>
          </w:r>
          <w:r>
            <w:rPr>
              <w:rFonts w:ascii="Times New Roman" w:hAnsi="Times New Roman" w:cs="Times New Roman"/>
              <w:sz w:val="32"/>
              <w:szCs w:val="36"/>
            </w:rPr>
            <w:fldChar w:fldCharType="separate"/>
          </w:r>
          <w:r>
            <w:rPr>
              <w:rFonts w:ascii="Times New Roman" w:hAnsi="Times New Roman" w:cs="Times New Roman"/>
              <w:sz w:val="32"/>
              <w:szCs w:val="36"/>
            </w:rPr>
            <w:t>1</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68E62152">
          <w:pPr>
            <w:pStyle w:val="19"/>
            <w:tabs>
              <w:tab w:val="right" w:leader="dot" w:pos="8845"/>
            </w:tabs>
            <w:ind w:firstLine="552"/>
            <w:rPr>
              <w:rFonts w:ascii="Times New Roman" w:hAnsi="Times New Roman" w:cs="Times New Roman"/>
              <w:sz w:val="32"/>
              <w:szCs w:val="36"/>
            </w:rPr>
          </w:pPr>
          <w:r>
            <w:fldChar w:fldCharType="begin"/>
          </w:r>
          <w:r>
            <w:instrText xml:space="preserve"> HYPERLINK \l "_Toc14385" </w:instrText>
          </w:r>
          <w:r>
            <w:fldChar w:fldCharType="separate"/>
          </w:r>
          <w:r>
            <w:rPr>
              <w:rFonts w:ascii="Times New Roman" w:hAnsi="Times New Roman" w:eastAsia="仿宋" w:cs="Times New Roman"/>
              <w:bCs/>
              <w:sz w:val="32"/>
              <w:szCs w:val="36"/>
            </w:rPr>
            <w:t xml:space="preserve">1.2 </w:t>
          </w:r>
          <w:r>
            <w:rPr>
              <w:rFonts w:ascii="Times New Roman" w:hAnsi="Times New Roman" w:cs="Times New Roman"/>
              <w:sz w:val="32"/>
              <w:szCs w:val="36"/>
            </w:rPr>
            <w:t>编制依据</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_Toc14385 \h </w:instrText>
          </w:r>
          <w:r>
            <w:rPr>
              <w:rFonts w:ascii="Times New Roman" w:hAnsi="Times New Roman" w:cs="Times New Roman"/>
              <w:sz w:val="32"/>
              <w:szCs w:val="36"/>
            </w:rPr>
            <w:fldChar w:fldCharType="separate"/>
          </w:r>
          <w:r>
            <w:rPr>
              <w:rFonts w:ascii="Times New Roman" w:hAnsi="Times New Roman" w:cs="Times New Roman"/>
              <w:sz w:val="32"/>
              <w:szCs w:val="36"/>
            </w:rPr>
            <w:t>1</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36C5B843">
          <w:pPr>
            <w:pStyle w:val="19"/>
            <w:tabs>
              <w:tab w:val="right" w:leader="dot" w:pos="8845"/>
            </w:tabs>
            <w:ind w:firstLine="552"/>
            <w:rPr>
              <w:rFonts w:ascii="Times New Roman" w:hAnsi="Times New Roman" w:cs="Times New Roman"/>
              <w:sz w:val="32"/>
              <w:szCs w:val="36"/>
            </w:rPr>
          </w:pPr>
          <w:r>
            <w:fldChar w:fldCharType="begin"/>
          </w:r>
          <w:r>
            <w:instrText xml:space="preserve"> HYPERLINK \l "_Toc7739" </w:instrText>
          </w:r>
          <w:r>
            <w:fldChar w:fldCharType="separate"/>
          </w:r>
          <w:r>
            <w:rPr>
              <w:rFonts w:ascii="Times New Roman" w:hAnsi="Times New Roman" w:eastAsia="仿宋" w:cs="Times New Roman"/>
              <w:bCs/>
              <w:sz w:val="32"/>
              <w:szCs w:val="36"/>
            </w:rPr>
            <w:t xml:space="preserve">1.3 </w:t>
          </w:r>
          <w:r>
            <w:rPr>
              <w:rFonts w:ascii="Times New Roman" w:hAnsi="Times New Roman" w:cs="Times New Roman"/>
              <w:sz w:val="32"/>
              <w:szCs w:val="36"/>
            </w:rPr>
            <w:t>适用范围</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_Toc7739 \h </w:instrText>
          </w:r>
          <w:r>
            <w:rPr>
              <w:rFonts w:ascii="Times New Roman" w:hAnsi="Times New Roman" w:cs="Times New Roman"/>
              <w:sz w:val="32"/>
              <w:szCs w:val="36"/>
            </w:rPr>
            <w:fldChar w:fldCharType="separate"/>
          </w:r>
          <w:r>
            <w:rPr>
              <w:rFonts w:ascii="Times New Roman" w:hAnsi="Times New Roman" w:cs="Times New Roman"/>
              <w:sz w:val="32"/>
              <w:szCs w:val="36"/>
            </w:rPr>
            <w:t>1</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14707890">
          <w:pPr>
            <w:pStyle w:val="19"/>
            <w:tabs>
              <w:tab w:val="right" w:leader="dot" w:pos="8845"/>
            </w:tabs>
            <w:ind w:firstLine="552"/>
            <w:rPr>
              <w:rFonts w:ascii="Times New Roman" w:hAnsi="Times New Roman" w:cs="Times New Roman"/>
              <w:sz w:val="32"/>
              <w:szCs w:val="36"/>
            </w:rPr>
          </w:pPr>
          <w:r>
            <w:fldChar w:fldCharType="begin"/>
          </w:r>
          <w:r>
            <w:instrText xml:space="preserve"> HYPERLINK \l "_Toc26831" </w:instrText>
          </w:r>
          <w:r>
            <w:fldChar w:fldCharType="separate"/>
          </w:r>
          <w:r>
            <w:rPr>
              <w:rFonts w:ascii="Times New Roman" w:hAnsi="Times New Roman" w:eastAsia="仿宋" w:cs="Times New Roman"/>
              <w:bCs/>
              <w:sz w:val="32"/>
              <w:szCs w:val="36"/>
            </w:rPr>
            <w:t xml:space="preserve">1.4 </w:t>
          </w:r>
          <w:r>
            <w:rPr>
              <w:rFonts w:ascii="Times New Roman" w:hAnsi="Times New Roman" w:cs="Times New Roman"/>
              <w:sz w:val="32"/>
              <w:szCs w:val="36"/>
            </w:rPr>
            <w:t>工作原则</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_Toc26831 \h </w:instrText>
          </w:r>
          <w:r>
            <w:rPr>
              <w:rFonts w:ascii="Times New Roman" w:hAnsi="Times New Roman" w:cs="Times New Roman"/>
              <w:sz w:val="32"/>
              <w:szCs w:val="36"/>
            </w:rPr>
            <w:fldChar w:fldCharType="separate"/>
          </w:r>
          <w:r>
            <w:rPr>
              <w:rFonts w:ascii="Times New Roman" w:hAnsi="Times New Roman" w:cs="Times New Roman"/>
              <w:sz w:val="32"/>
              <w:szCs w:val="36"/>
            </w:rPr>
            <w:t>1</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2007130A">
          <w:pPr>
            <w:pStyle w:val="19"/>
            <w:tabs>
              <w:tab w:val="right" w:leader="dot" w:pos="8845"/>
            </w:tabs>
            <w:ind w:firstLine="552"/>
            <w:rPr>
              <w:rFonts w:ascii="Times New Roman" w:hAnsi="Times New Roman" w:cs="Times New Roman"/>
              <w:sz w:val="32"/>
              <w:szCs w:val="36"/>
            </w:rPr>
          </w:pPr>
          <w:r>
            <w:fldChar w:fldCharType="begin"/>
          </w:r>
          <w:r>
            <w:instrText xml:space="preserve"> HYPERLINK \l "_Toc6572" </w:instrText>
          </w:r>
          <w:r>
            <w:fldChar w:fldCharType="separate"/>
          </w:r>
          <w:r>
            <w:rPr>
              <w:rFonts w:ascii="Times New Roman" w:hAnsi="Times New Roman" w:eastAsia="仿宋" w:cs="Times New Roman"/>
              <w:bCs/>
              <w:sz w:val="32"/>
              <w:szCs w:val="36"/>
            </w:rPr>
            <w:t xml:space="preserve">1.5 </w:t>
          </w:r>
          <w:r>
            <w:rPr>
              <w:rFonts w:ascii="Times New Roman" w:hAnsi="Times New Roman" w:cs="Times New Roman"/>
              <w:sz w:val="32"/>
              <w:szCs w:val="36"/>
            </w:rPr>
            <w:t>事件分级</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_Toc6572 \h </w:instrText>
          </w:r>
          <w:r>
            <w:rPr>
              <w:rFonts w:ascii="Times New Roman" w:hAnsi="Times New Roman" w:cs="Times New Roman"/>
              <w:sz w:val="32"/>
              <w:szCs w:val="36"/>
            </w:rPr>
            <w:fldChar w:fldCharType="separate"/>
          </w:r>
          <w:r>
            <w:rPr>
              <w:rFonts w:ascii="Times New Roman" w:hAnsi="Times New Roman" w:cs="Times New Roman"/>
              <w:sz w:val="32"/>
              <w:szCs w:val="36"/>
            </w:rPr>
            <w:t>2</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5199F59F">
          <w:pPr>
            <w:pStyle w:val="18"/>
            <w:rPr>
              <w:rFonts w:ascii="Times New Roman" w:hAnsi="Times New Roman" w:cs="Times New Roman"/>
              <w:sz w:val="32"/>
              <w:szCs w:val="36"/>
            </w:rPr>
          </w:pPr>
          <w:r>
            <w:fldChar w:fldCharType="begin"/>
          </w:r>
          <w:r>
            <w:instrText xml:space="preserve"> HYPERLINK \l "_Toc311" </w:instrText>
          </w:r>
          <w:r>
            <w:fldChar w:fldCharType="separate"/>
          </w:r>
          <w:r>
            <w:rPr>
              <w:rFonts w:ascii="Times New Roman" w:hAnsi="Times New Roman" w:eastAsia="仿宋" w:cs="Times New Roman"/>
              <w:sz w:val="32"/>
              <w:szCs w:val="36"/>
            </w:rPr>
            <w:t xml:space="preserve">2 </w:t>
          </w:r>
          <w:r>
            <w:rPr>
              <w:rFonts w:ascii="Times New Roman" w:hAnsi="Times New Roman" w:cs="Times New Roman"/>
              <w:sz w:val="32"/>
              <w:szCs w:val="36"/>
            </w:rPr>
            <w:t>组织指挥体系</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_Toc311 \h </w:instrText>
          </w:r>
          <w:r>
            <w:rPr>
              <w:rFonts w:ascii="Times New Roman" w:hAnsi="Times New Roman" w:cs="Times New Roman"/>
              <w:sz w:val="32"/>
              <w:szCs w:val="36"/>
            </w:rPr>
            <w:fldChar w:fldCharType="separate"/>
          </w:r>
          <w:r>
            <w:rPr>
              <w:rFonts w:ascii="Times New Roman" w:hAnsi="Times New Roman" w:cs="Times New Roman"/>
              <w:sz w:val="32"/>
              <w:szCs w:val="36"/>
            </w:rPr>
            <w:t>2</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39549A3F">
          <w:pPr>
            <w:pStyle w:val="19"/>
            <w:tabs>
              <w:tab w:val="right" w:leader="dot" w:pos="8845"/>
            </w:tabs>
            <w:ind w:firstLine="552"/>
            <w:rPr>
              <w:rFonts w:ascii="Times New Roman" w:hAnsi="Times New Roman" w:cs="Times New Roman"/>
              <w:sz w:val="32"/>
              <w:szCs w:val="36"/>
            </w:rPr>
          </w:pPr>
          <w:r>
            <w:fldChar w:fldCharType="begin"/>
          </w:r>
          <w:r>
            <w:instrText xml:space="preserve"> HYPERLINK \l "_Toc6241" </w:instrText>
          </w:r>
          <w:r>
            <w:fldChar w:fldCharType="separate"/>
          </w:r>
          <w:r>
            <w:rPr>
              <w:rFonts w:ascii="Times New Roman" w:hAnsi="Times New Roman" w:eastAsia="仿宋" w:cs="Times New Roman"/>
              <w:bCs/>
              <w:sz w:val="32"/>
              <w:szCs w:val="36"/>
            </w:rPr>
            <w:t xml:space="preserve">2.1 </w:t>
          </w:r>
          <w:r>
            <w:rPr>
              <w:rFonts w:ascii="Times New Roman" w:hAnsi="Times New Roman" w:cs="Times New Roman"/>
              <w:sz w:val="32"/>
              <w:szCs w:val="36"/>
            </w:rPr>
            <w:t>领导机构组成及职责</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_Toc6241 \h </w:instrText>
          </w:r>
          <w:r>
            <w:rPr>
              <w:rFonts w:ascii="Times New Roman" w:hAnsi="Times New Roman" w:cs="Times New Roman"/>
              <w:sz w:val="32"/>
              <w:szCs w:val="36"/>
            </w:rPr>
            <w:fldChar w:fldCharType="separate"/>
          </w:r>
          <w:r>
            <w:rPr>
              <w:rFonts w:ascii="Times New Roman" w:hAnsi="Times New Roman" w:cs="Times New Roman"/>
              <w:sz w:val="32"/>
              <w:szCs w:val="36"/>
            </w:rPr>
            <w:t>2</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4A2727BB">
          <w:pPr>
            <w:pStyle w:val="19"/>
            <w:tabs>
              <w:tab w:val="right" w:leader="dot" w:pos="8845"/>
            </w:tabs>
            <w:ind w:firstLine="552"/>
            <w:rPr>
              <w:rFonts w:ascii="Times New Roman" w:hAnsi="Times New Roman" w:cs="Times New Roman"/>
              <w:sz w:val="32"/>
              <w:szCs w:val="36"/>
            </w:rPr>
          </w:pPr>
          <w:r>
            <w:fldChar w:fldCharType="begin"/>
          </w:r>
          <w:r>
            <w:instrText xml:space="preserve"> HYPERLINK \l "_Toc29935" </w:instrText>
          </w:r>
          <w:r>
            <w:fldChar w:fldCharType="separate"/>
          </w:r>
          <w:r>
            <w:rPr>
              <w:rFonts w:ascii="Times New Roman" w:hAnsi="Times New Roman" w:eastAsia="仿宋" w:cs="Times New Roman"/>
              <w:bCs/>
              <w:sz w:val="32"/>
              <w:szCs w:val="36"/>
            </w:rPr>
            <w:t xml:space="preserve">2.2 </w:t>
          </w:r>
          <w:r>
            <w:rPr>
              <w:rFonts w:ascii="Times New Roman" w:hAnsi="Times New Roman" w:cs="Times New Roman"/>
              <w:sz w:val="32"/>
              <w:szCs w:val="36"/>
            </w:rPr>
            <w:t>现场指挥机构组成与职责</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_Toc29935 \h </w:instrText>
          </w:r>
          <w:r>
            <w:rPr>
              <w:rFonts w:ascii="Times New Roman" w:hAnsi="Times New Roman" w:cs="Times New Roman"/>
              <w:sz w:val="32"/>
              <w:szCs w:val="36"/>
            </w:rPr>
            <w:fldChar w:fldCharType="separate"/>
          </w:r>
          <w:r>
            <w:rPr>
              <w:rFonts w:ascii="Times New Roman" w:hAnsi="Times New Roman" w:cs="Times New Roman"/>
              <w:sz w:val="32"/>
              <w:szCs w:val="36"/>
            </w:rPr>
            <w:t>8</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426F9D6C">
          <w:pPr>
            <w:pStyle w:val="19"/>
            <w:tabs>
              <w:tab w:val="right" w:leader="dot" w:pos="8845"/>
            </w:tabs>
            <w:ind w:firstLine="552"/>
            <w:rPr>
              <w:rFonts w:ascii="Times New Roman" w:hAnsi="Times New Roman" w:cs="Times New Roman"/>
              <w:sz w:val="32"/>
              <w:szCs w:val="36"/>
            </w:rPr>
          </w:pPr>
          <w:r>
            <w:fldChar w:fldCharType="begin"/>
          </w:r>
          <w:r>
            <w:instrText xml:space="preserve"> HYPERLINK \l "_Toc5842" </w:instrText>
          </w:r>
          <w:r>
            <w:fldChar w:fldCharType="separate"/>
          </w:r>
          <w:r>
            <w:rPr>
              <w:rFonts w:ascii="Times New Roman" w:hAnsi="Times New Roman" w:eastAsia="仿宋" w:cs="Times New Roman"/>
              <w:bCs/>
              <w:sz w:val="32"/>
              <w:szCs w:val="36"/>
            </w:rPr>
            <w:t xml:space="preserve">2.3 </w:t>
          </w:r>
          <w:r>
            <w:rPr>
              <w:rFonts w:ascii="Times New Roman" w:hAnsi="Times New Roman" w:cs="Times New Roman"/>
              <w:sz w:val="32"/>
              <w:szCs w:val="36"/>
            </w:rPr>
            <w:t>专家组组成与职责</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_Toc5842 \h </w:instrText>
          </w:r>
          <w:r>
            <w:rPr>
              <w:rFonts w:ascii="Times New Roman" w:hAnsi="Times New Roman" w:cs="Times New Roman"/>
              <w:sz w:val="32"/>
              <w:szCs w:val="36"/>
            </w:rPr>
            <w:fldChar w:fldCharType="separate"/>
          </w:r>
          <w:r>
            <w:rPr>
              <w:rFonts w:ascii="Times New Roman" w:hAnsi="Times New Roman" w:cs="Times New Roman"/>
              <w:sz w:val="32"/>
              <w:szCs w:val="36"/>
            </w:rPr>
            <w:t>10</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5B9BD9A9">
          <w:pPr>
            <w:pStyle w:val="18"/>
            <w:rPr>
              <w:rFonts w:ascii="Times New Roman" w:hAnsi="Times New Roman" w:cs="Times New Roman"/>
              <w:sz w:val="32"/>
              <w:szCs w:val="36"/>
            </w:rPr>
          </w:pPr>
          <w:r>
            <w:fldChar w:fldCharType="begin"/>
          </w:r>
          <w:r>
            <w:instrText xml:space="preserve"> HYPERLINK \l "_Toc29043" </w:instrText>
          </w:r>
          <w:r>
            <w:fldChar w:fldCharType="separate"/>
          </w:r>
          <w:r>
            <w:rPr>
              <w:rFonts w:ascii="Times New Roman" w:hAnsi="Times New Roman" w:eastAsia="仿宋" w:cs="Times New Roman"/>
              <w:sz w:val="32"/>
              <w:szCs w:val="36"/>
            </w:rPr>
            <w:t xml:space="preserve">3 </w:t>
          </w:r>
          <w:r>
            <w:rPr>
              <w:rFonts w:ascii="Times New Roman" w:hAnsi="Times New Roman" w:cs="Times New Roman"/>
              <w:sz w:val="32"/>
              <w:szCs w:val="36"/>
            </w:rPr>
            <w:t>预警和预防机制</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_Toc29043 \h </w:instrText>
          </w:r>
          <w:r>
            <w:rPr>
              <w:rFonts w:ascii="Times New Roman" w:hAnsi="Times New Roman" w:cs="Times New Roman"/>
              <w:sz w:val="32"/>
              <w:szCs w:val="36"/>
            </w:rPr>
            <w:fldChar w:fldCharType="separate"/>
          </w:r>
          <w:r>
            <w:rPr>
              <w:rFonts w:ascii="Times New Roman" w:hAnsi="Times New Roman" w:cs="Times New Roman"/>
              <w:sz w:val="32"/>
              <w:szCs w:val="36"/>
            </w:rPr>
            <w:t>10</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17293968">
          <w:pPr>
            <w:pStyle w:val="19"/>
            <w:tabs>
              <w:tab w:val="right" w:leader="dot" w:pos="8845"/>
            </w:tabs>
            <w:ind w:firstLine="552"/>
            <w:rPr>
              <w:rFonts w:ascii="Times New Roman" w:hAnsi="Times New Roman" w:cs="Times New Roman"/>
              <w:sz w:val="32"/>
              <w:szCs w:val="36"/>
            </w:rPr>
          </w:pPr>
          <w:r>
            <w:fldChar w:fldCharType="begin"/>
          </w:r>
          <w:r>
            <w:instrText xml:space="preserve"> HYPERLINK \l "_Toc11236" </w:instrText>
          </w:r>
          <w:r>
            <w:fldChar w:fldCharType="separate"/>
          </w:r>
          <w:r>
            <w:rPr>
              <w:rFonts w:ascii="Times New Roman" w:hAnsi="Times New Roman" w:eastAsia="仿宋" w:cs="Times New Roman"/>
              <w:bCs/>
              <w:sz w:val="32"/>
              <w:szCs w:val="36"/>
            </w:rPr>
            <w:t xml:space="preserve">3.1 </w:t>
          </w:r>
          <w:r>
            <w:rPr>
              <w:rFonts w:ascii="Times New Roman" w:hAnsi="Times New Roman" w:cs="Times New Roman"/>
              <w:sz w:val="32"/>
              <w:szCs w:val="36"/>
            </w:rPr>
            <w:t>信息监测</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_Toc11236 \h </w:instrText>
          </w:r>
          <w:r>
            <w:rPr>
              <w:rFonts w:ascii="Times New Roman" w:hAnsi="Times New Roman" w:cs="Times New Roman"/>
              <w:sz w:val="32"/>
              <w:szCs w:val="36"/>
            </w:rPr>
            <w:fldChar w:fldCharType="separate"/>
          </w:r>
          <w:r>
            <w:rPr>
              <w:rFonts w:ascii="Times New Roman" w:hAnsi="Times New Roman" w:cs="Times New Roman"/>
              <w:sz w:val="32"/>
              <w:szCs w:val="36"/>
            </w:rPr>
            <w:t>10</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65DF04DF">
          <w:pPr>
            <w:pStyle w:val="19"/>
            <w:tabs>
              <w:tab w:val="right" w:leader="dot" w:pos="8845"/>
            </w:tabs>
            <w:ind w:firstLine="552"/>
            <w:rPr>
              <w:rFonts w:ascii="Times New Roman" w:hAnsi="Times New Roman" w:cs="Times New Roman"/>
              <w:sz w:val="32"/>
              <w:szCs w:val="36"/>
            </w:rPr>
          </w:pPr>
          <w:r>
            <w:fldChar w:fldCharType="begin"/>
          </w:r>
          <w:r>
            <w:instrText xml:space="preserve"> HYPERLINK \l "_Toc15364" </w:instrText>
          </w:r>
          <w:r>
            <w:fldChar w:fldCharType="separate"/>
          </w:r>
          <w:r>
            <w:rPr>
              <w:rFonts w:ascii="Times New Roman" w:hAnsi="Times New Roman" w:eastAsia="仿宋" w:cs="Times New Roman"/>
              <w:bCs/>
              <w:sz w:val="32"/>
              <w:szCs w:val="36"/>
            </w:rPr>
            <w:t xml:space="preserve">3.2 </w:t>
          </w:r>
          <w:r>
            <w:rPr>
              <w:rFonts w:ascii="Times New Roman" w:hAnsi="Times New Roman" w:cs="Times New Roman"/>
              <w:sz w:val="32"/>
              <w:szCs w:val="36"/>
            </w:rPr>
            <w:t>风险防控</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_Toc15364 \h </w:instrText>
          </w:r>
          <w:r>
            <w:rPr>
              <w:rFonts w:ascii="Times New Roman" w:hAnsi="Times New Roman" w:cs="Times New Roman"/>
              <w:sz w:val="32"/>
              <w:szCs w:val="36"/>
            </w:rPr>
            <w:fldChar w:fldCharType="separate"/>
          </w:r>
          <w:r>
            <w:rPr>
              <w:rFonts w:ascii="Times New Roman" w:hAnsi="Times New Roman" w:cs="Times New Roman"/>
              <w:sz w:val="32"/>
              <w:szCs w:val="36"/>
            </w:rPr>
            <w:t>11</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00EA141D">
          <w:pPr>
            <w:pStyle w:val="19"/>
            <w:tabs>
              <w:tab w:val="right" w:leader="dot" w:pos="8845"/>
            </w:tabs>
            <w:ind w:firstLine="552"/>
            <w:rPr>
              <w:rFonts w:ascii="Times New Roman" w:hAnsi="Times New Roman" w:cs="Times New Roman"/>
              <w:sz w:val="32"/>
              <w:szCs w:val="36"/>
            </w:rPr>
          </w:pPr>
          <w:r>
            <w:fldChar w:fldCharType="begin"/>
          </w:r>
          <w:r>
            <w:instrText xml:space="preserve"> HYPERLINK \l "_Toc12799" </w:instrText>
          </w:r>
          <w:r>
            <w:fldChar w:fldCharType="separate"/>
          </w:r>
          <w:r>
            <w:rPr>
              <w:rFonts w:ascii="Times New Roman" w:hAnsi="Times New Roman" w:eastAsia="仿宋" w:cs="Times New Roman"/>
              <w:bCs/>
              <w:sz w:val="32"/>
              <w:szCs w:val="36"/>
            </w:rPr>
            <w:t xml:space="preserve">3.3 </w:t>
          </w:r>
          <w:r>
            <w:rPr>
              <w:rFonts w:ascii="Times New Roman" w:hAnsi="Times New Roman" w:cs="Times New Roman"/>
              <w:sz w:val="32"/>
              <w:szCs w:val="36"/>
            </w:rPr>
            <w:t>预警</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_Toc12799 \h </w:instrText>
          </w:r>
          <w:r>
            <w:rPr>
              <w:rFonts w:ascii="Times New Roman" w:hAnsi="Times New Roman" w:cs="Times New Roman"/>
              <w:sz w:val="32"/>
              <w:szCs w:val="36"/>
            </w:rPr>
            <w:fldChar w:fldCharType="separate"/>
          </w:r>
          <w:r>
            <w:rPr>
              <w:rFonts w:ascii="Times New Roman" w:hAnsi="Times New Roman" w:cs="Times New Roman"/>
              <w:sz w:val="32"/>
              <w:szCs w:val="36"/>
            </w:rPr>
            <w:t>11</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1C932482">
          <w:pPr>
            <w:pStyle w:val="18"/>
            <w:rPr>
              <w:rFonts w:ascii="Times New Roman" w:hAnsi="Times New Roman" w:cs="Times New Roman"/>
              <w:sz w:val="32"/>
              <w:szCs w:val="36"/>
            </w:rPr>
          </w:pPr>
          <w:r>
            <w:fldChar w:fldCharType="begin"/>
          </w:r>
          <w:r>
            <w:instrText xml:space="preserve"> HYPERLINK \l "_Toc28393" </w:instrText>
          </w:r>
          <w:r>
            <w:fldChar w:fldCharType="separate"/>
          </w:r>
          <w:r>
            <w:rPr>
              <w:rFonts w:ascii="Times New Roman" w:hAnsi="Times New Roman" w:eastAsia="仿宋" w:cs="Times New Roman"/>
              <w:sz w:val="32"/>
              <w:szCs w:val="36"/>
            </w:rPr>
            <w:t xml:space="preserve">4 </w:t>
          </w:r>
          <w:r>
            <w:rPr>
              <w:rFonts w:ascii="Times New Roman" w:hAnsi="Times New Roman" w:cs="Times New Roman"/>
              <w:sz w:val="32"/>
              <w:szCs w:val="36"/>
            </w:rPr>
            <w:t>应急响应</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_Toc28393 \h </w:instrText>
          </w:r>
          <w:r>
            <w:rPr>
              <w:rFonts w:ascii="Times New Roman" w:hAnsi="Times New Roman" w:cs="Times New Roman"/>
              <w:sz w:val="32"/>
              <w:szCs w:val="36"/>
            </w:rPr>
            <w:fldChar w:fldCharType="separate"/>
          </w:r>
          <w:r>
            <w:rPr>
              <w:rFonts w:ascii="Times New Roman" w:hAnsi="Times New Roman" w:cs="Times New Roman"/>
              <w:sz w:val="32"/>
              <w:szCs w:val="36"/>
            </w:rPr>
            <w:t>13</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6BD60A4A">
          <w:pPr>
            <w:pStyle w:val="19"/>
            <w:tabs>
              <w:tab w:val="right" w:leader="dot" w:pos="8845"/>
            </w:tabs>
            <w:ind w:firstLine="552"/>
            <w:rPr>
              <w:rFonts w:ascii="Times New Roman" w:hAnsi="Times New Roman" w:cs="Times New Roman"/>
              <w:sz w:val="32"/>
              <w:szCs w:val="36"/>
            </w:rPr>
          </w:pPr>
          <w:r>
            <w:fldChar w:fldCharType="begin"/>
          </w:r>
          <w:r>
            <w:instrText xml:space="preserve"> HYPERLINK \l "_Toc26053" </w:instrText>
          </w:r>
          <w:r>
            <w:fldChar w:fldCharType="separate"/>
          </w:r>
          <w:r>
            <w:rPr>
              <w:rFonts w:ascii="Times New Roman" w:hAnsi="Times New Roman" w:eastAsia="仿宋" w:cs="Times New Roman"/>
              <w:bCs/>
              <w:sz w:val="32"/>
              <w:szCs w:val="36"/>
            </w:rPr>
            <w:t xml:space="preserve">4.1 </w:t>
          </w:r>
          <w:r>
            <w:rPr>
              <w:rFonts w:ascii="Times New Roman" w:hAnsi="Times New Roman" w:cs="Times New Roman"/>
              <w:sz w:val="32"/>
              <w:szCs w:val="36"/>
            </w:rPr>
            <w:t>信息报告</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_Toc26053 \h </w:instrText>
          </w:r>
          <w:r>
            <w:rPr>
              <w:rFonts w:ascii="Times New Roman" w:hAnsi="Times New Roman" w:cs="Times New Roman"/>
              <w:sz w:val="32"/>
              <w:szCs w:val="36"/>
            </w:rPr>
            <w:fldChar w:fldCharType="separate"/>
          </w:r>
          <w:r>
            <w:rPr>
              <w:rFonts w:ascii="Times New Roman" w:hAnsi="Times New Roman" w:cs="Times New Roman"/>
              <w:sz w:val="32"/>
              <w:szCs w:val="36"/>
            </w:rPr>
            <w:t>13</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0F31D6CB">
          <w:pPr>
            <w:pStyle w:val="19"/>
            <w:tabs>
              <w:tab w:val="right" w:leader="dot" w:pos="8845"/>
            </w:tabs>
            <w:ind w:firstLine="552"/>
            <w:rPr>
              <w:rFonts w:ascii="Times New Roman" w:hAnsi="Times New Roman" w:cs="Times New Roman"/>
              <w:sz w:val="32"/>
              <w:szCs w:val="36"/>
            </w:rPr>
          </w:pPr>
          <w:r>
            <w:fldChar w:fldCharType="begin"/>
          </w:r>
          <w:r>
            <w:instrText xml:space="preserve"> HYPERLINK \l "_Toc6613" </w:instrText>
          </w:r>
          <w:r>
            <w:fldChar w:fldCharType="separate"/>
          </w:r>
          <w:r>
            <w:rPr>
              <w:rFonts w:ascii="Times New Roman" w:hAnsi="Times New Roman" w:eastAsia="仿宋" w:cs="Times New Roman"/>
              <w:bCs/>
              <w:sz w:val="32"/>
              <w:szCs w:val="36"/>
            </w:rPr>
            <w:t xml:space="preserve">4.2 </w:t>
          </w:r>
          <w:r>
            <w:rPr>
              <w:rFonts w:ascii="Times New Roman" w:hAnsi="Times New Roman" w:cs="Times New Roman"/>
              <w:sz w:val="32"/>
              <w:szCs w:val="36"/>
            </w:rPr>
            <w:t>先期处置</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_Toc6613 \h </w:instrText>
          </w:r>
          <w:r>
            <w:rPr>
              <w:rFonts w:ascii="Times New Roman" w:hAnsi="Times New Roman" w:cs="Times New Roman"/>
              <w:sz w:val="32"/>
              <w:szCs w:val="36"/>
            </w:rPr>
            <w:fldChar w:fldCharType="separate"/>
          </w:r>
          <w:r>
            <w:rPr>
              <w:rFonts w:ascii="Times New Roman" w:hAnsi="Times New Roman" w:cs="Times New Roman"/>
              <w:sz w:val="32"/>
              <w:szCs w:val="36"/>
            </w:rPr>
            <w:t>16</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5E5D9EA2">
          <w:pPr>
            <w:pStyle w:val="19"/>
            <w:tabs>
              <w:tab w:val="right" w:leader="dot" w:pos="8845"/>
            </w:tabs>
            <w:ind w:firstLine="552"/>
            <w:rPr>
              <w:rFonts w:ascii="Times New Roman" w:hAnsi="Times New Roman" w:cs="Times New Roman"/>
              <w:sz w:val="32"/>
              <w:szCs w:val="36"/>
            </w:rPr>
          </w:pPr>
          <w:r>
            <w:fldChar w:fldCharType="begin"/>
          </w:r>
          <w:r>
            <w:instrText xml:space="preserve"> HYPERLINK \l "_Toc3947" </w:instrText>
          </w:r>
          <w:r>
            <w:fldChar w:fldCharType="separate"/>
          </w:r>
          <w:r>
            <w:rPr>
              <w:rFonts w:ascii="Times New Roman" w:hAnsi="Times New Roman" w:eastAsia="仿宋" w:cs="Times New Roman"/>
              <w:bCs/>
              <w:sz w:val="32"/>
              <w:szCs w:val="36"/>
            </w:rPr>
            <w:t xml:space="preserve">4.3 </w:t>
          </w:r>
          <w:r>
            <w:rPr>
              <w:rFonts w:ascii="Times New Roman" w:hAnsi="Times New Roman" w:cs="Times New Roman"/>
              <w:sz w:val="32"/>
              <w:szCs w:val="36"/>
            </w:rPr>
            <w:t>分级响应</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_Toc3947 \h </w:instrText>
          </w:r>
          <w:r>
            <w:rPr>
              <w:rFonts w:ascii="Times New Roman" w:hAnsi="Times New Roman" w:cs="Times New Roman"/>
              <w:sz w:val="32"/>
              <w:szCs w:val="36"/>
            </w:rPr>
            <w:fldChar w:fldCharType="separate"/>
          </w:r>
          <w:r>
            <w:rPr>
              <w:rFonts w:ascii="Times New Roman" w:hAnsi="Times New Roman" w:cs="Times New Roman"/>
              <w:sz w:val="32"/>
              <w:szCs w:val="36"/>
            </w:rPr>
            <w:t>16</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463AC31F">
          <w:pPr>
            <w:pStyle w:val="19"/>
            <w:tabs>
              <w:tab w:val="right" w:leader="dot" w:pos="8845"/>
            </w:tabs>
            <w:ind w:firstLine="552"/>
            <w:rPr>
              <w:rFonts w:ascii="Times New Roman" w:hAnsi="Times New Roman" w:cs="Times New Roman"/>
              <w:sz w:val="32"/>
              <w:szCs w:val="36"/>
            </w:rPr>
          </w:pPr>
          <w:r>
            <w:fldChar w:fldCharType="begin"/>
          </w:r>
          <w:r>
            <w:instrText xml:space="preserve"> HYPERLINK \l "_Toc9799" </w:instrText>
          </w:r>
          <w:r>
            <w:fldChar w:fldCharType="separate"/>
          </w:r>
          <w:r>
            <w:rPr>
              <w:rFonts w:ascii="Times New Roman" w:hAnsi="Times New Roman" w:eastAsia="仿宋" w:cs="Times New Roman"/>
              <w:bCs/>
              <w:sz w:val="32"/>
              <w:szCs w:val="36"/>
            </w:rPr>
            <w:t xml:space="preserve">4.4 </w:t>
          </w:r>
          <w:r>
            <w:rPr>
              <w:rFonts w:ascii="Times New Roman" w:hAnsi="Times New Roman" w:cs="Times New Roman"/>
              <w:sz w:val="32"/>
              <w:szCs w:val="36"/>
            </w:rPr>
            <w:t>指挥协调</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_Toc9799 \h </w:instrText>
          </w:r>
          <w:r>
            <w:rPr>
              <w:rFonts w:ascii="Times New Roman" w:hAnsi="Times New Roman" w:cs="Times New Roman"/>
              <w:sz w:val="32"/>
              <w:szCs w:val="36"/>
            </w:rPr>
            <w:fldChar w:fldCharType="separate"/>
          </w:r>
          <w:r>
            <w:rPr>
              <w:rFonts w:ascii="Times New Roman" w:hAnsi="Times New Roman" w:cs="Times New Roman"/>
              <w:sz w:val="32"/>
              <w:szCs w:val="36"/>
            </w:rPr>
            <w:t>17</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0653FE74">
          <w:pPr>
            <w:pStyle w:val="19"/>
            <w:tabs>
              <w:tab w:val="right" w:leader="dot" w:pos="8845"/>
            </w:tabs>
            <w:ind w:firstLine="552"/>
            <w:rPr>
              <w:rFonts w:ascii="Times New Roman" w:hAnsi="Times New Roman" w:cs="Times New Roman"/>
              <w:sz w:val="32"/>
              <w:szCs w:val="36"/>
            </w:rPr>
          </w:pPr>
          <w:r>
            <w:fldChar w:fldCharType="begin"/>
          </w:r>
          <w:r>
            <w:instrText xml:space="preserve"> HYPERLINK \l "_Toc13324" </w:instrText>
          </w:r>
          <w:r>
            <w:fldChar w:fldCharType="separate"/>
          </w:r>
          <w:r>
            <w:rPr>
              <w:rFonts w:ascii="Times New Roman" w:hAnsi="Times New Roman" w:eastAsia="仿宋" w:cs="Times New Roman"/>
              <w:bCs/>
              <w:sz w:val="32"/>
              <w:szCs w:val="36"/>
            </w:rPr>
            <w:t xml:space="preserve">4.5 </w:t>
          </w:r>
          <w:r>
            <w:rPr>
              <w:rFonts w:ascii="Times New Roman" w:hAnsi="Times New Roman" w:cs="Times New Roman"/>
              <w:sz w:val="32"/>
              <w:szCs w:val="36"/>
            </w:rPr>
            <w:t>处置措施</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_Toc13324 \h </w:instrText>
          </w:r>
          <w:r>
            <w:rPr>
              <w:rFonts w:ascii="Times New Roman" w:hAnsi="Times New Roman" w:cs="Times New Roman"/>
              <w:sz w:val="32"/>
              <w:szCs w:val="36"/>
            </w:rPr>
            <w:fldChar w:fldCharType="separate"/>
          </w:r>
          <w:r>
            <w:rPr>
              <w:rFonts w:ascii="Times New Roman" w:hAnsi="Times New Roman" w:cs="Times New Roman"/>
              <w:sz w:val="32"/>
              <w:szCs w:val="36"/>
            </w:rPr>
            <w:t>17</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23B089B6">
          <w:pPr>
            <w:pStyle w:val="19"/>
            <w:tabs>
              <w:tab w:val="right" w:leader="dot" w:pos="8845"/>
            </w:tabs>
            <w:ind w:firstLine="552"/>
            <w:rPr>
              <w:rFonts w:ascii="Times New Roman" w:hAnsi="Times New Roman" w:cs="Times New Roman"/>
              <w:sz w:val="32"/>
              <w:szCs w:val="36"/>
            </w:rPr>
          </w:pPr>
          <w:r>
            <w:fldChar w:fldCharType="begin"/>
          </w:r>
          <w:r>
            <w:instrText xml:space="preserve"> HYPERLINK \l "_Toc10272" </w:instrText>
          </w:r>
          <w:r>
            <w:fldChar w:fldCharType="separate"/>
          </w:r>
          <w:r>
            <w:rPr>
              <w:rFonts w:ascii="Times New Roman" w:hAnsi="Times New Roman" w:eastAsia="仿宋" w:cs="Times New Roman"/>
              <w:bCs/>
              <w:sz w:val="32"/>
              <w:szCs w:val="36"/>
            </w:rPr>
            <w:t xml:space="preserve">4.6 </w:t>
          </w:r>
          <w:r>
            <w:rPr>
              <w:rFonts w:ascii="Times New Roman" w:hAnsi="Times New Roman" w:cs="Times New Roman"/>
              <w:sz w:val="32"/>
              <w:szCs w:val="36"/>
            </w:rPr>
            <w:t>信息发布和舆论引导</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_Toc10272 \h </w:instrText>
          </w:r>
          <w:r>
            <w:rPr>
              <w:rFonts w:ascii="Times New Roman" w:hAnsi="Times New Roman" w:cs="Times New Roman"/>
              <w:sz w:val="32"/>
              <w:szCs w:val="36"/>
            </w:rPr>
            <w:fldChar w:fldCharType="separate"/>
          </w:r>
          <w:r>
            <w:rPr>
              <w:rFonts w:ascii="Times New Roman" w:hAnsi="Times New Roman" w:cs="Times New Roman"/>
              <w:sz w:val="32"/>
              <w:szCs w:val="36"/>
            </w:rPr>
            <w:t>19</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28EC6457">
          <w:pPr>
            <w:pStyle w:val="19"/>
            <w:tabs>
              <w:tab w:val="right" w:leader="dot" w:pos="8845"/>
            </w:tabs>
            <w:ind w:firstLine="552"/>
            <w:rPr>
              <w:rFonts w:ascii="Times New Roman" w:hAnsi="Times New Roman" w:cs="Times New Roman"/>
              <w:sz w:val="32"/>
              <w:szCs w:val="36"/>
            </w:rPr>
          </w:pPr>
          <w:r>
            <w:fldChar w:fldCharType="begin"/>
          </w:r>
          <w:r>
            <w:instrText xml:space="preserve"> HYPERLINK \l "_Toc30320" </w:instrText>
          </w:r>
          <w:r>
            <w:fldChar w:fldCharType="separate"/>
          </w:r>
          <w:r>
            <w:rPr>
              <w:rFonts w:ascii="Times New Roman" w:hAnsi="Times New Roman" w:eastAsia="仿宋" w:cs="Times New Roman"/>
              <w:bCs/>
              <w:sz w:val="32"/>
              <w:szCs w:val="36"/>
            </w:rPr>
            <w:t xml:space="preserve">4.7 </w:t>
          </w:r>
          <w:r>
            <w:rPr>
              <w:rFonts w:ascii="Times New Roman" w:hAnsi="Times New Roman" w:cs="Times New Roman"/>
              <w:sz w:val="32"/>
              <w:szCs w:val="36"/>
            </w:rPr>
            <w:t>响应终止</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_Toc30320 \h </w:instrText>
          </w:r>
          <w:r>
            <w:rPr>
              <w:rFonts w:ascii="Times New Roman" w:hAnsi="Times New Roman" w:cs="Times New Roman"/>
              <w:sz w:val="32"/>
              <w:szCs w:val="36"/>
            </w:rPr>
            <w:fldChar w:fldCharType="separate"/>
          </w:r>
          <w:r>
            <w:rPr>
              <w:rFonts w:ascii="Times New Roman" w:hAnsi="Times New Roman" w:cs="Times New Roman"/>
              <w:sz w:val="32"/>
              <w:szCs w:val="36"/>
            </w:rPr>
            <w:t>20</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792B9521">
          <w:pPr>
            <w:pStyle w:val="18"/>
            <w:rPr>
              <w:rFonts w:ascii="Times New Roman" w:hAnsi="Times New Roman" w:cs="Times New Roman"/>
              <w:sz w:val="32"/>
              <w:szCs w:val="36"/>
            </w:rPr>
          </w:pPr>
          <w:r>
            <w:fldChar w:fldCharType="begin"/>
          </w:r>
          <w:r>
            <w:instrText xml:space="preserve"> HYPERLINK \l "_Toc17352" </w:instrText>
          </w:r>
          <w:r>
            <w:fldChar w:fldCharType="separate"/>
          </w:r>
          <w:r>
            <w:rPr>
              <w:rFonts w:ascii="Times New Roman" w:hAnsi="Times New Roman" w:eastAsia="仿宋" w:cs="Times New Roman"/>
              <w:sz w:val="32"/>
              <w:szCs w:val="36"/>
            </w:rPr>
            <w:t xml:space="preserve">5 </w:t>
          </w:r>
          <w:r>
            <w:rPr>
              <w:rFonts w:ascii="Times New Roman" w:hAnsi="Times New Roman" w:cs="Times New Roman"/>
              <w:sz w:val="32"/>
              <w:szCs w:val="36"/>
            </w:rPr>
            <w:t>后期处置</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_Toc17352 \h </w:instrText>
          </w:r>
          <w:r>
            <w:rPr>
              <w:rFonts w:ascii="Times New Roman" w:hAnsi="Times New Roman" w:cs="Times New Roman"/>
              <w:sz w:val="32"/>
              <w:szCs w:val="36"/>
            </w:rPr>
            <w:fldChar w:fldCharType="separate"/>
          </w:r>
          <w:r>
            <w:rPr>
              <w:rFonts w:ascii="Times New Roman" w:hAnsi="Times New Roman" w:cs="Times New Roman"/>
              <w:sz w:val="32"/>
              <w:szCs w:val="36"/>
            </w:rPr>
            <w:t>21</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531ABBC6">
          <w:pPr>
            <w:pStyle w:val="19"/>
            <w:tabs>
              <w:tab w:val="right" w:leader="dot" w:pos="8845"/>
            </w:tabs>
            <w:ind w:firstLine="552"/>
            <w:rPr>
              <w:rFonts w:ascii="Times New Roman" w:hAnsi="Times New Roman" w:cs="Times New Roman"/>
              <w:sz w:val="32"/>
              <w:szCs w:val="36"/>
            </w:rPr>
          </w:pPr>
          <w:r>
            <w:fldChar w:fldCharType="begin"/>
          </w:r>
          <w:r>
            <w:instrText xml:space="preserve"> HYPERLINK \l "_Toc19222" </w:instrText>
          </w:r>
          <w:r>
            <w:fldChar w:fldCharType="separate"/>
          </w:r>
          <w:r>
            <w:rPr>
              <w:rFonts w:ascii="Times New Roman" w:hAnsi="Times New Roman" w:eastAsia="仿宋" w:cs="Times New Roman"/>
              <w:bCs/>
              <w:sz w:val="32"/>
              <w:szCs w:val="36"/>
            </w:rPr>
            <w:t xml:space="preserve">5.1 </w:t>
          </w:r>
          <w:r>
            <w:rPr>
              <w:rFonts w:ascii="Times New Roman" w:hAnsi="Times New Roman" w:cs="Times New Roman"/>
              <w:sz w:val="32"/>
              <w:szCs w:val="36"/>
            </w:rPr>
            <w:t>损害评估</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_Toc19222 \h </w:instrText>
          </w:r>
          <w:r>
            <w:rPr>
              <w:rFonts w:ascii="Times New Roman" w:hAnsi="Times New Roman" w:cs="Times New Roman"/>
              <w:sz w:val="32"/>
              <w:szCs w:val="36"/>
            </w:rPr>
            <w:fldChar w:fldCharType="separate"/>
          </w:r>
          <w:r>
            <w:rPr>
              <w:rFonts w:ascii="Times New Roman" w:hAnsi="Times New Roman" w:cs="Times New Roman"/>
              <w:sz w:val="32"/>
              <w:szCs w:val="36"/>
            </w:rPr>
            <w:t>21</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5E797578">
          <w:pPr>
            <w:pStyle w:val="19"/>
            <w:tabs>
              <w:tab w:val="right" w:leader="dot" w:pos="8845"/>
            </w:tabs>
            <w:ind w:firstLine="552"/>
            <w:rPr>
              <w:rFonts w:ascii="Times New Roman" w:hAnsi="Times New Roman" w:cs="Times New Roman"/>
              <w:sz w:val="32"/>
              <w:szCs w:val="36"/>
            </w:rPr>
          </w:pPr>
          <w:r>
            <w:fldChar w:fldCharType="begin"/>
          </w:r>
          <w:r>
            <w:instrText xml:space="preserve"> HYPERLINK \l "_Toc24215" </w:instrText>
          </w:r>
          <w:r>
            <w:fldChar w:fldCharType="separate"/>
          </w:r>
          <w:r>
            <w:rPr>
              <w:rFonts w:ascii="Times New Roman" w:hAnsi="Times New Roman" w:eastAsia="仿宋" w:cs="Times New Roman"/>
              <w:bCs/>
              <w:sz w:val="32"/>
              <w:szCs w:val="36"/>
            </w:rPr>
            <w:t xml:space="preserve">5.2 </w:t>
          </w:r>
          <w:r>
            <w:rPr>
              <w:rFonts w:ascii="Times New Roman" w:hAnsi="Times New Roman" w:cs="Times New Roman"/>
              <w:sz w:val="32"/>
              <w:szCs w:val="36"/>
            </w:rPr>
            <w:t>事件调查</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_Toc24215 \h </w:instrText>
          </w:r>
          <w:r>
            <w:rPr>
              <w:rFonts w:ascii="Times New Roman" w:hAnsi="Times New Roman" w:cs="Times New Roman"/>
              <w:sz w:val="32"/>
              <w:szCs w:val="36"/>
            </w:rPr>
            <w:fldChar w:fldCharType="separate"/>
          </w:r>
          <w:r>
            <w:rPr>
              <w:rFonts w:ascii="Times New Roman" w:hAnsi="Times New Roman" w:cs="Times New Roman"/>
              <w:sz w:val="32"/>
              <w:szCs w:val="36"/>
            </w:rPr>
            <w:t>21</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1784E07D">
          <w:pPr>
            <w:pStyle w:val="19"/>
            <w:tabs>
              <w:tab w:val="right" w:leader="dot" w:pos="8845"/>
            </w:tabs>
            <w:ind w:firstLine="552"/>
            <w:rPr>
              <w:rFonts w:ascii="Times New Roman" w:hAnsi="Times New Roman" w:cs="Times New Roman"/>
              <w:sz w:val="32"/>
              <w:szCs w:val="36"/>
            </w:rPr>
          </w:pPr>
          <w:r>
            <w:fldChar w:fldCharType="begin"/>
          </w:r>
          <w:r>
            <w:instrText xml:space="preserve"> HYPERLINK \l "_Toc390" </w:instrText>
          </w:r>
          <w:r>
            <w:fldChar w:fldCharType="separate"/>
          </w:r>
          <w:r>
            <w:rPr>
              <w:rFonts w:ascii="Times New Roman" w:hAnsi="Times New Roman" w:eastAsia="仿宋" w:cs="Times New Roman"/>
              <w:bCs/>
              <w:sz w:val="32"/>
              <w:szCs w:val="36"/>
            </w:rPr>
            <w:t xml:space="preserve">5.3 </w:t>
          </w:r>
          <w:r>
            <w:rPr>
              <w:rFonts w:ascii="Times New Roman" w:hAnsi="Times New Roman" w:cs="Times New Roman"/>
              <w:sz w:val="32"/>
              <w:szCs w:val="36"/>
            </w:rPr>
            <w:t>善后处置</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_Toc390 \h </w:instrText>
          </w:r>
          <w:r>
            <w:rPr>
              <w:rFonts w:ascii="Times New Roman" w:hAnsi="Times New Roman" w:cs="Times New Roman"/>
              <w:sz w:val="32"/>
              <w:szCs w:val="36"/>
            </w:rPr>
            <w:fldChar w:fldCharType="separate"/>
          </w:r>
          <w:r>
            <w:rPr>
              <w:rFonts w:ascii="Times New Roman" w:hAnsi="Times New Roman" w:cs="Times New Roman"/>
              <w:sz w:val="32"/>
              <w:szCs w:val="36"/>
            </w:rPr>
            <w:t>21</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49E5342F">
          <w:pPr>
            <w:pStyle w:val="18"/>
            <w:rPr>
              <w:rFonts w:ascii="Times New Roman" w:hAnsi="Times New Roman" w:cs="Times New Roman"/>
              <w:sz w:val="32"/>
              <w:szCs w:val="36"/>
            </w:rPr>
          </w:pPr>
          <w:r>
            <w:fldChar w:fldCharType="begin"/>
          </w:r>
          <w:r>
            <w:instrText xml:space="preserve"> HYPERLINK \l "_Toc13144" </w:instrText>
          </w:r>
          <w:r>
            <w:fldChar w:fldCharType="separate"/>
          </w:r>
          <w:r>
            <w:rPr>
              <w:rFonts w:ascii="Times New Roman" w:hAnsi="Times New Roman" w:eastAsia="仿宋" w:cs="Times New Roman"/>
              <w:sz w:val="32"/>
              <w:szCs w:val="36"/>
            </w:rPr>
            <w:t xml:space="preserve">6 </w:t>
          </w:r>
          <w:r>
            <w:rPr>
              <w:rFonts w:ascii="Times New Roman" w:hAnsi="Times New Roman" w:cs="Times New Roman"/>
              <w:sz w:val="32"/>
              <w:szCs w:val="36"/>
            </w:rPr>
            <w:t>保障措施</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_Toc13144 \h </w:instrText>
          </w:r>
          <w:r>
            <w:rPr>
              <w:rFonts w:ascii="Times New Roman" w:hAnsi="Times New Roman" w:cs="Times New Roman"/>
              <w:sz w:val="32"/>
              <w:szCs w:val="36"/>
            </w:rPr>
            <w:fldChar w:fldCharType="separate"/>
          </w:r>
          <w:r>
            <w:rPr>
              <w:rFonts w:ascii="Times New Roman" w:hAnsi="Times New Roman" w:cs="Times New Roman"/>
              <w:sz w:val="32"/>
              <w:szCs w:val="36"/>
            </w:rPr>
            <w:t>21</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49971747">
          <w:pPr>
            <w:pStyle w:val="19"/>
            <w:tabs>
              <w:tab w:val="right" w:leader="dot" w:pos="8845"/>
            </w:tabs>
            <w:ind w:firstLine="552"/>
            <w:rPr>
              <w:rFonts w:ascii="Times New Roman" w:hAnsi="Times New Roman" w:cs="Times New Roman"/>
              <w:sz w:val="32"/>
              <w:szCs w:val="36"/>
            </w:rPr>
          </w:pPr>
          <w:r>
            <w:fldChar w:fldCharType="begin"/>
          </w:r>
          <w:r>
            <w:instrText xml:space="preserve"> HYPERLINK \l "_Toc30001" </w:instrText>
          </w:r>
          <w:r>
            <w:fldChar w:fldCharType="separate"/>
          </w:r>
          <w:r>
            <w:rPr>
              <w:rFonts w:ascii="Times New Roman" w:hAnsi="Times New Roman" w:eastAsia="仿宋" w:cs="Times New Roman"/>
              <w:bCs/>
              <w:sz w:val="32"/>
              <w:szCs w:val="36"/>
            </w:rPr>
            <w:t xml:space="preserve">6.1 </w:t>
          </w:r>
          <w:r>
            <w:rPr>
              <w:rFonts w:ascii="Times New Roman" w:hAnsi="Times New Roman" w:cs="Times New Roman"/>
              <w:sz w:val="32"/>
              <w:szCs w:val="36"/>
            </w:rPr>
            <w:t>通信与信息保障</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_Toc30001 \h </w:instrText>
          </w:r>
          <w:r>
            <w:rPr>
              <w:rFonts w:ascii="Times New Roman" w:hAnsi="Times New Roman" w:cs="Times New Roman"/>
              <w:sz w:val="32"/>
              <w:szCs w:val="36"/>
            </w:rPr>
            <w:fldChar w:fldCharType="separate"/>
          </w:r>
          <w:r>
            <w:rPr>
              <w:rFonts w:ascii="Times New Roman" w:hAnsi="Times New Roman" w:cs="Times New Roman"/>
              <w:sz w:val="32"/>
              <w:szCs w:val="36"/>
            </w:rPr>
            <w:t>21</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228E4376">
          <w:pPr>
            <w:pStyle w:val="19"/>
            <w:tabs>
              <w:tab w:val="right" w:leader="dot" w:pos="8845"/>
            </w:tabs>
            <w:ind w:firstLine="552"/>
            <w:rPr>
              <w:rFonts w:ascii="Times New Roman" w:hAnsi="Times New Roman" w:cs="Times New Roman"/>
              <w:sz w:val="32"/>
              <w:szCs w:val="36"/>
            </w:rPr>
          </w:pPr>
          <w:r>
            <w:fldChar w:fldCharType="begin"/>
          </w:r>
          <w:r>
            <w:instrText xml:space="preserve"> HYPERLINK \l "_Toc29736" </w:instrText>
          </w:r>
          <w:r>
            <w:fldChar w:fldCharType="separate"/>
          </w:r>
          <w:r>
            <w:rPr>
              <w:rFonts w:ascii="Times New Roman" w:hAnsi="Times New Roman" w:eastAsia="仿宋" w:cs="Times New Roman"/>
              <w:bCs/>
              <w:sz w:val="32"/>
              <w:szCs w:val="36"/>
            </w:rPr>
            <w:t xml:space="preserve">6.2 </w:t>
          </w:r>
          <w:r>
            <w:rPr>
              <w:rFonts w:ascii="Times New Roman" w:hAnsi="Times New Roman" w:cs="Times New Roman"/>
              <w:sz w:val="32"/>
              <w:szCs w:val="36"/>
            </w:rPr>
            <w:t>应急支援与装备保障</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_Toc29736 \h </w:instrText>
          </w:r>
          <w:r>
            <w:rPr>
              <w:rFonts w:ascii="Times New Roman" w:hAnsi="Times New Roman" w:cs="Times New Roman"/>
              <w:sz w:val="32"/>
              <w:szCs w:val="36"/>
            </w:rPr>
            <w:fldChar w:fldCharType="separate"/>
          </w:r>
          <w:r>
            <w:rPr>
              <w:rFonts w:ascii="Times New Roman" w:hAnsi="Times New Roman" w:cs="Times New Roman"/>
              <w:sz w:val="32"/>
              <w:szCs w:val="36"/>
            </w:rPr>
            <w:t>22</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2E4F79B2">
          <w:pPr>
            <w:pStyle w:val="19"/>
            <w:tabs>
              <w:tab w:val="right" w:leader="dot" w:pos="8845"/>
            </w:tabs>
            <w:ind w:firstLine="552"/>
            <w:rPr>
              <w:rFonts w:ascii="Times New Roman" w:hAnsi="Times New Roman" w:cs="Times New Roman"/>
              <w:sz w:val="32"/>
              <w:szCs w:val="36"/>
            </w:rPr>
          </w:pPr>
          <w:r>
            <w:fldChar w:fldCharType="begin"/>
          </w:r>
          <w:r>
            <w:instrText xml:space="preserve"> HYPERLINK \l "_Toc2673" </w:instrText>
          </w:r>
          <w:r>
            <w:fldChar w:fldCharType="separate"/>
          </w:r>
          <w:r>
            <w:rPr>
              <w:rFonts w:ascii="Times New Roman" w:hAnsi="Times New Roman" w:eastAsia="仿宋" w:cs="Times New Roman"/>
              <w:bCs/>
              <w:sz w:val="32"/>
              <w:szCs w:val="36"/>
            </w:rPr>
            <w:t xml:space="preserve">6.3 </w:t>
          </w:r>
          <w:r>
            <w:rPr>
              <w:rFonts w:ascii="Times New Roman" w:hAnsi="Times New Roman" w:cs="Times New Roman"/>
              <w:sz w:val="32"/>
              <w:szCs w:val="36"/>
            </w:rPr>
            <w:t>技术储备与保障</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_Toc2673 \h </w:instrText>
          </w:r>
          <w:r>
            <w:rPr>
              <w:rFonts w:ascii="Times New Roman" w:hAnsi="Times New Roman" w:cs="Times New Roman"/>
              <w:sz w:val="32"/>
              <w:szCs w:val="36"/>
            </w:rPr>
            <w:fldChar w:fldCharType="separate"/>
          </w:r>
          <w:r>
            <w:rPr>
              <w:rFonts w:ascii="Times New Roman" w:hAnsi="Times New Roman" w:cs="Times New Roman"/>
              <w:sz w:val="32"/>
              <w:szCs w:val="36"/>
            </w:rPr>
            <w:t>23</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78C3B21E">
          <w:pPr>
            <w:pStyle w:val="18"/>
            <w:rPr>
              <w:rFonts w:ascii="Times New Roman" w:hAnsi="Times New Roman" w:cs="Times New Roman"/>
              <w:sz w:val="32"/>
              <w:szCs w:val="36"/>
            </w:rPr>
          </w:pPr>
          <w:r>
            <w:fldChar w:fldCharType="begin"/>
          </w:r>
          <w:r>
            <w:instrText xml:space="preserve"> HYPERLINK \l "_Toc11257" </w:instrText>
          </w:r>
          <w:r>
            <w:fldChar w:fldCharType="separate"/>
          </w:r>
          <w:r>
            <w:rPr>
              <w:rFonts w:ascii="Times New Roman" w:hAnsi="Times New Roman" w:eastAsia="仿宋" w:cs="Times New Roman"/>
              <w:sz w:val="32"/>
              <w:szCs w:val="36"/>
            </w:rPr>
            <w:t xml:space="preserve">7 </w:t>
          </w:r>
          <w:r>
            <w:rPr>
              <w:rFonts w:ascii="Times New Roman" w:hAnsi="Times New Roman" w:cs="Times New Roman"/>
              <w:sz w:val="32"/>
              <w:szCs w:val="36"/>
            </w:rPr>
            <w:t>教育培训和应急演练</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_Toc11257 \h </w:instrText>
          </w:r>
          <w:r>
            <w:rPr>
              <w:rFonts w:ascii="Times New Roman" w:hAnsi="Times New Roman" w:cs="Times New Roman"/>
              <w:sz w:val="32"/>
              <w:szCs w:val="36"/>
            </w:rPr>
            <w:fldChar w:fldCharType="separate"/>
          </w:r>
          <w:r>
            <w:rPr>
              <w:rFonts w:ascii="Times New Roman" w:hAnsi="Times New Roman" w:cs="Times New Roman"/>
              <w:sz w:val="32"/>
              <w:szCs w:val="36"/>
            </w:rPr>
            <w:t>23</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20E8D8B5">
          <w:pPr>
            <w:pStyle w:val="19"/>
            <w:tabs>
              <w:tab w:val="right" w:leader="dot" w:pos="8845"/>
            </w:tabs>
            <w:ind w:firstLine="552"/>
            <w:rPr>
              <w:rFonts w:ascii="Times New Roman" w:hAnsi="Times New Roman" w:cs="Times New Roman"/>
              <w:sz w:val="32"/>
              <w:szCs w:val="36"/>
            </w:rPr>
          </w:pPr>
          <w:r>
            <w:fldChar w:fldCharType="begin"/>
          </w:r>
          <w:r>
            <w:instrText xml:space="preserve"> HYPERLINK \l "_Toc102" </w:instrText>
          </w:r>
          <w:r>
            <w:fldChar w:fldCharType="separate"/>
          </w:r>
          <w:r>
            <w:rPr>
              <w:rFonts w:ascii="Times New Roman" w:hAnsi="Times New Roman" w:eastAsia="仿宋" w:cs="Times New Roman"/>
              <w:bCs/>
              <w:sz w:val="32"/>
              <w:szCs w:val="36"/>
            </w:rPr>
            <w:t xml:space="preserve">7.1 </w:t>
          </w:r>
          <w:r>
            <w:rPr>
              <w:rFonts w:ascii="Times New Roman" w:hAnsi="Times New Roman" w:cs="Times New Roman"/>
              <w:sz w:val="32"/>
              <w:szCs w:val="36"/>
            </w:rPr>
            <w:t>预案培训</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_Toc102 \h </w:instrText>
          </w:r>
          <w:r>
            <w:rPr>
              <w:rFonts w:ascii="Times New Roman" w:hAnsi="Times New Roman" w:cs="Times New Roman"/>
              <w:sz w:val="32"/>
              <w:szCs w:val="36"/>
            </w:rPr>
            <w:fldChar w:fldCharType="separate"/>
          </w:r>
          <w:r>
            <w:rPr>
              <w:rFonts w:ascii="Times New Roman" w:hAnsi="Times New Roman" w:cs="Times New Roman"/>
              <w:sz w:val="32"/>
              <w:szCs w:val="36"/>
            </w:rPr>
            <w:t>23</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4B5F700E">
          <w:pPr>
            <w:pStyle w:val="19"/>
            <w:tabs>
              <w:tab w:val="right" w:leader="dot" w:pos="8845"/>
            </w:tabs>
            <w:ind w:firstLine="552"/>
            <w:rPr>
              <w:rFonts w:ascii="Times New Roman" w:hAnsi="Times New Roman" w:cs="Times New Roman"/>
              <w:sz w:val="32"/>
              <w:szCs w:val="36"/>
            </w:rPr>
          </w:pPr>
          <w:r>
            <w:fldChar w:fldCharType="begin"/>
          </w:r>
          <w:r>
            <w:instrText xml:space="preserve"> HYPERLINK \l "_Toc25985" </w:instrText>
          </w:r>
          <w:r>
            <w:fldChar w:fldCharType="separate"/>
          </w:r>
          <w:r>
            <w:rPr>
              <w:rFonts w:ascii="Times New Roman" w:hAnsi="Times New Roman" w:eastAsia="仿宋" w:cs="Times New Roman"/>
              <w:bCs/>
              <w:sz w:val="32"/>
              <w:szCs w:val="36"/>
            </w:rPr>
            <w:t xml:space="preserve">7.2 </w:t>
          </w:r>
          <w:r>
            <w:rPr>
              <w:rFonts w:ascii="Times New Roman" w:hAnsi="Times New Roman" w:cs="Times New Roman"/>
              <w:sz w:val="32"/>
              <w:szCs w:val="36"/>
            </w:rPr>
            <w:t>应急演练</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_Toc25985 \h </w:instrText>
          </w:r>
          <w:r>
            <w:rPr>
              <w:rFonts w:ascii="Times New Roman" w:hAnsi="Times New Roman" w:cs="Times New Roman"/>
              <w:sz w:val="32"/>
              <w:szCs w:val="36"/>
            </w:rPr>
            <w:fldChar w:fldCharType="separate"/>
          </w:r>
          <w:r>
            <w:rPr>
              <w:rFonts w:ascii="Times New Roman" w:hAnsi="Times New Roman" w:cs="Times New Roman"/>
              <w:sz w:val="32"/>
              <w:szCs w:val="36"/>
            </w:rPr>
            <w:t>23</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21507A02">
          <w:pPr>
            <w:pStyle w:val="18"/>
            <w:rPr>
              <w:rFonts w:ascii="Times New Roman" w:hAnsi="Times New Roman" w:cs="Times New Roman"/>
              <w:sz w:val="32"/>
              <w:szCs w:val="36"/>
            </w:rPr>
          </w:pPr>
          <w:r>
            <w:fldChar w:fldCharType="begin"/>
          </w:r>
          <w:r>
            <w:instrText xml:space="preserve"> HYPERLINK \l "_Toc9913" </w:instrText>
          </w:r>
          <w:r>
            <w:fldChar w:fldCharType="separate"/>
          </w:r>
          <w:r>
            <w:rPr>
              <w:rFonts w:ascii="Times New Roman" w:hAnsi="Times New Roman" w:eastAsia="仿宋" w:cs="Times New Roman"/>
              <w:sz w:val="32"/>
              <w:szCs w:val="36"/>
            </w:rPr>
            <w:t xml:space="preserve">8 </w:t>
          </w:r>
          <w:r>
            <w:rPr>
              <w:rFonts w:ascii="Times New Roman" w:hAnsi="Times New Roman" w:cs="Times New Roman"/>
              <w:sz w:val="32"/>
              <w:szCs w:val="36"/>
            </w:rPr>
            <w:t>预案管理</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_Toc9913 \h </w:instrText>
          </w:r>
          <w:r>
            <w:rPr>
              <w:rFonts w:ascii="Times New Roman" w:hAnsi="Times New Roman" w:cs="Times New Roman"/>
              <w:sz w:val="32"/>
              <w:szCs w:val="36"/>
            </w:rPr>
            <w:fldChar w:fldCharType="separate"/>
          </w:r>
          <w:r>
            <w:rPr>
              <w:rFonts w:ascii="Times New Roman" w:hAnsi="Times New Roman" w:cs="Times New Roman"/>
              <w:sz w:val="32"/>
              <w:szCs w:val="36"/>
            </w:rPr>
            <w:t>24</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511802F3">
          <w:pPr>
            <w:pStyle w:val="19"/>
            <w:tabs>
              <w:tab w:val="right" w:leader="dot" w:pos="8845"/>
            </w:tabs>
            <w:ind w:firstLine="552"/>
            <w:rPr>
              <w:rFonts w:ascii="Times New Roman" w:hAnsi="Times New Roman" w:cs="Times New Roman"/>
              <w:sz w:val="32"/>
              <w:szCs w:val="36"/>
            </w:rPr>
          </w:pPr>
          <w:r>
            <w:fldChar w:fldCharType="begin"/>
          </w:r>
          <w:r>
            <w:instrText xml:space="preserve"> HYPERLINK \l "_Toc2661" </w:instrText>
          </w:r>
          <w:r>
            <w:fldChar w:fldCharType="separate"/>
          </w:r>
          <w:r>
            <w:rPr>
              <w:rFonts w:ascii="Times New Roman" w:hAnsi="Times New Roman" w:eastAsia="仿宋" w:cs="Times New Roman"/>
              <w:bCs/>
              <w:sz w:val="32"/>
              <w:szCs w:val="36"/>
            </w:rPr>
            <w:t xml:space="preserve">8.1 </w:t>
          </w:r>
          <w:r>
            <w:rPr>
              <w:rFonts w:ascii="Times New Roman" w:hAnsi="Times New Roman" w:cs="Times New Roman"/>
              <w:sz w:val="32"/>
              <w:szCs w:val="36"/>
            </w:rPr>
            <w:t>预案评估与修订</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_Toc2661 \h </w:instrText>
          </w:r>
          <w:r>
            <w:rPr>
              <w:rFonts w:ascii="Times New Roman" w:hAnsi="Times New Roman" w:cs="Times New Roman"/>
              <w:sz w:val="32"/>
              <w:szCs w:val="36"/>
            </w:rPr>
            <w:fldChar w:fldCharType="separate"/>
          </w:r>
          <w:r>
            <w:rPr>
              <w:rFonts w:ascii="Times New Roman" w:hAnsi="Times New Roman" w:cs="Times New Roman"/>
              <w:sz w:val="32"/>
              <w:szCs w:val="36"/>
            </w:rPr>
            <w:t>24</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4D24AFE3">
          <w:pPr>
            <w:pStyle w:val="19"/>
            <w:tabs>
              <w:tab w:val="right" w:leader="dot" w:pos="8845"/>
            </w:tabs>
            <w:ind w:firstLine="552"/>
            <w:rPr>
              <w:rFonts w:ascii="Times New Roman" w:hAnsi="Times New Roman" w:cs="Times New Roman"/>
              <w:sz w:val="32"/>
              <w:szCs w:val="36"/>
            </w:rPr>
          </w:pPr>
          <w:r>
            <w:fldChar w:fldCharType="begin"/>
          </w:r>
          <w:r>
            <w:instrText xml:space="preserve"> HYPERLINK \l "_Toc16022" </w:instrText>
          </w:r>
          <w:r>
            <w:fldChar w:fldCharType="separate"/>
          </w:r>
          <w:r>
            <w:rPr>
              <w:rFonts w:ascii="Times New Roman" w:hAnsi="Times New Roman" w:eastAsia="仿宋" w:cs="Times New Roman"/>
              <w:bCs/>
              <w:sz w:val="32"/>
              <w:szCs w:val="36"/>
            </w:rPr>
            <w:t xml:space="preserve">8.2 </w:t>
          </w:r>
          <w:r>
            <w:rPr>
              <w:rFonts w:ascii="Times New Roman" w:hAnsi="Times New Roman" w:cs="Times New Roman"/>
              <w:sz w:val="32"/>
              <w:szCs w:val="36"/>
            </w:rPr>
            <w:t>预案解释与实施</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_Toc16022 \h </w:instrText>
          </w:r>
          <w:r>
            <w:rPr>
              <w:rFonts w:ascii="Times New Roman" w:hAnsi="Times New Roman" w:cs="Times New Roman"/>
              <w:sz w:val="32"/>
              <w:szCs w:val="36"/>
            </w:rPr>
            <w:fldChar w:fldCharType="separate"/>
          </w:r>
          <w:r>
            <w:rPr>
              <w:rFonts w:ascii="Times New Roman" w:hAnsi="Times New Roman" w:cs="Times New Roman"/>
              <w:sz w:val="32"/>
              <w:szCs w:val="36"/>
            </w:rPr>
            <w:t>24</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07116E33">
          <w:pPr>
            <w:pStyle w:val="18"/>
            <w:rPr>
              <w:rFonts w:ascii="Times New Roman" w:hAnsi="Times New Roman" w:cs="Times New Roman"/>
            </w:rPr>
          </w:pPr>
          <w:r>
            <w:fldChar w:fldCharType="begin"/>
          </w:r>
          <w:r>
            <w:instrText xml:space="preserve"> HYPERLINK \l "_Toc17620" </w:instrText>
          </w:r>
          <w:r>
            <w:fldChar w:fldCharType="separate"/>
          </w:r>
          <w:r>
            <w:rPr>
              <w:rFonts w:ascii="Times New Roman" w:hAnsi="Times New Roman" w:cs="Times New Roman"/>
              <w:sz w:val="32"/>
              <w:szCs w:val="36"/>
            </w:rPr>
            <w:t>附件1：突发环境事件分级标准</w:t>
          </w:r>
          <w:r>
            <w:rPr>
              <w:rFonts w:ascii="Times New Roman" w:hAnsi="Times New Roman" w:cs="Times New Roman"/>
              <w:sz w:val="32"/>
              <w:szCs w:val="36"/>
            </w:rPr>
            <w:tab/>
          </w:r>
          <w:r>
            <w:rPr>
              <w:rFonts w:ascii="Times New Roman" w:hAnsi="Times New Roman" w:cs="Times New Roman"/>
              <w:sz w:val="32"/>
              <w:szCs w:val="36"/>
            </w:rPr>
            <w:fldChar w:fldCharType="begin"/>
          </w:r>
          <w:r>
            <w:rPr>
              <w:rFonts w:ascii="Times New Roman" w:hAnsi="Times New Roman" w:cs="Times New Roman"/>
              <w:sz w:val="32"/>
              <w:szCs w:val="36"/>
            </w:rPr>
            <w:instrText xml:space="preserve"> PAGEREF _Toc17620 \h </w:instrText>
          </w:r>
          <w:r>
            <w:rPr>
              <w:rFonts w:ascii="Times New Roman" w:hAnsi="Times New Roman" w:cs="Times New Roman"/>
              <w:sz w:val="32"/>
              <w:szCs w:val="36"/>
            </w:rPr>
            <w:fldChar w:fldCharType="separate"/>
          </w:r>
          <w:r>
            <w:rPr>
              <w:rFonts w:ascii="Times New Roman" w:hAnsi="Times New Roman" w:cs="Times New Roman"/>
              <w:sz w:val="32"/>
              <w:szCs w:val="36"/>
            </w:rPr>
            <w:t>25</w:t>
          </w:r>
          <w:r>
            <w:rPr>
              <w:rFonts w:ascii="Times New Roman" w:hAnsi="Times New Roman" w:cs="Times New Roman"/>
              <w:sz w:val="32"/>
              <w:szCs w:val="36"/>
            </w:rPr>
            <w:fldChar w:fldCharType="end"/>
          </w:r>
          <w:r>
            <w:rPr>
              <w:rFonts w:ascii="Times New Roman" w:hAnsi="Times New Roman" w:cs="Times New Roman"/>
              <w:sz w:val="32"/>
              <w:szCs w:val="36"/>
            </w:rPr>
            <w:fldChar w:fldCharType="end"/>
          </w:r>
        </w:p>
        <w:p w14:paraId="69BA9FE4">
          <w:pPr>
            <w:pStyle w:val="15"/>
            <w:ind w:left="0" w:leftChars="0" w:firstLine="0" w:firstLineChars="0"/>
            <w:rPr>
              <w:rFonts w:ascii="Times New Roman" w:hAnsi="Times New Roman" w:eastAsia="仿宋" w:cs="Times New Roman"/>
              <w:b/>
              <w:sz w:val="32"/>
            </w:rPr>
          </w:pPr>
          <w:r>
            <w:rPr>
              <w:rFonts w:ascii="Times New Roman" w:hAnsi="Times New Roman" w:cs="Times New Roman"/>
            </w:rPr>
            <w:fldChar w:fldCharType="end"/>
          </w:r>
        </w:p>
      </w:sdtContent>
    </w:sdt>
    <w:p w14:paraId="06DEF1CE">
      <w:pPr>
        <w:pStyle w:val="15"/>
        <w:ind w:left="0" w:leftChars="0" w:firstLine="0" w:firstLineChars="0"/>
        <w:rPr>
          <w:rFonts w:ascii="Times New Roman" w:hAnsi="Times New Roman" w:eastAsia="仿宋" w:cs="Times New Roman"/>
          <w:b/>
          <w:sz w:val="32"/>
        </w:rPr>
      </w:pPr>
    </w:p>
    <w:p w14:paraId="4222CCEA">
      <w:pPr>
        <w:ind w:firstLine="552"/>
        <w:rPr>
          <w:rFonts w:ascii="Times New Roman" w:hAnsi="Times New Roman" w:cs="Times New Roman"/>
        </w:rPr>
        <w:sectPr>
          <w:footerReference r:id="rId104" w:type="default"/>
          <w:footerReference r:id="rId105" w:type="even"/>
          <w:pgSz w:w="11906" w:h="16838"/>
          <w:pgMar w:top="2098" w:right="1474" w:bottom="1984" w:left="1587" w:header="624" w:footer="1134" w:gutter="0"/>
          <w:pgNumType w:fmt="upperRoman" w:start="1"/>
          <w:cols w:space="0" w:num="1"/>
          <w:docGrid w:type="linesAndChars" w:linePitch="579" w:charSpace="-842"/>
        </w:sectPr>
      </w:pPr>
    </w:p>
    <w:p w14:paraId="3166B9EA">
      <w:pPr>
        <w:pStyle w:val="2"/>
        <w:numPr>
          <w:ilvl w:val="0"/>
          <w:numId w:val="177"/>
        </w:numPr>
        <w:tabs>
          <w:tab w:val="left" w:pos="0"/>
        </w:tabs>
        <w:ind w:firstLine="0" w:firstLineChars="0"/>
        <w:rPr>
          <w:rFonts w:ascii="Times New Roman" w:hAnsi="Times New Roman" w:cs="Times New Roman"/>
          <w:sz w:val="32"/>
        </w:rPr>
      </w:pPr>
      <w:bookmarkStart w:id="1070" w:name="_Toc30474"/>
      <w:r>
        <w:rPr>
          <w:rFonts w:ascii="Times New Roman" w:hAnsi="Times New Roman" w:cs="Times New Roman"/>
          <w:sz w:val="32"/>
        </w:rPr>
        <w:t>总则</w:t>
      </w:r>
      <w:bookmarkEnd w:id="1070"/>
    </w:p>
    <w:p w14:paraId="37E99928">
      <w:pPr>
        <w:pStyle w:val="3"/>
        <w:ind w:firstLine="0" w:firstLineChars="0"/>
        <w:rPr>
          <w:rFonts w:ascii="Times New Roman" w:hAnsi="Times New Roman" w:cs="Times New Roman"/>
          <w:sz w:val="32"/>
        </w:rPr>
      </w:pPr>
      <w:bookmarkStart w:id="1071" w:name="_Toc12746"/>
      <w:r>
        <w:rPr>
          <w:rFonts w:ascii="Times New Roman" w:hAnsi="Times New Roman" w:cs="Times New Roman"/>
          <w:sz w:val="32"/>
        </w:rPr>
        <w:t>指导思想</w:t>
      </w:r>
      <w:bookmarkEnd w:id="1071"/>
    </w:p>
    <w:p w14:paraId="36949A58">
      <w:pPr>
        <w:ind w:firstLine="632"/>
        <w:rPr>
          <w:rFonts w:ascii="Times New Roman" w:hAnsi="Times New Roman" w:cs="Times New Roman"/>
          <w:sz w:val="32"/>
        </w:rPr>
      </w:pPr>
      <w:r>
        <w:rPr>
          <w:rFonts w:ascii="Times New Roman" w:hAnsi="Times New Roman" w:cs="Times New Roman"/>
          <w:sz w:val="32"/>
        </w:rPr>
        <w:t>为进一步建立健全集贤县人民政府突发环境事件应急响应机制，提高突发环境事件预防、预警、响应和应急处置的能力，最大限度控制、减轻和消除突发环境事件风险和危害，保障公众生命健康、财产安全和生态环境安全，制定本预案。</w:t>
      </w:r>
    </w:p>
    <w:p w14:paraId="1A30C92F">
      <w:pPr>
        <w:pStyle w:val="3"/>
        <w:ind w:firstLine="0" w:firstLineChars="0"/>
        <w:rPr>
          <w:rFonts w:ascii="Times New Roman" w:hAnsi="Times New Roman" w:cs="Times New Roman"/>
          <w:sz w:val="32"/>
        </w:rPr>
      </w:pPr>
      <w:bookmarkStart w:id="1072" w:name="_Toc14385"/>
      <w:r>
        <w:rPr>
          <w:rFonts w:ascii="Times New Roman" w:hAnsi="Times New Roman" w:cs="Times New Roman"/>
          <w:sz w:val="32"/>
        </w:rPr>
        <w:t>编制依据</w:t>
      </w:r>
      <w:bookmarkEnd w:id="1072"/>
    </w:p>
    <w:p w14:paraId="21B3F150">
      <w:pPr>
        <w:ind w:firstLine="632"/>
        <w:rPr>
          <w:rFonts w:ascii="Times New Roman" w:hAnsi="Times New Roman" w:cs="Times New Roman"/>
          <w:sz w:val="32"/>
        </w:rPr>
      </w:pPr>
      <w:r>
        <w:rPr>
          <w:rFonts w:ascii="Times New Roman" w:hAnsi="Times New Roman" w:cs="Times New Roman"/>
          <w:sz w:val="32"/>
        </w:rPr>
        <w:t>依据《中华人民共和国环境保护法》《中华人民共和国突发事件应对法》《突发事件应急预案管理办法》《突发环境事件信息报告办法》《国家突发环境事件应急预案》《黑龙江省突发环境事件应急预案》《双鸭山市突发环境事件应急预案》《集贤县人民政府突发事件总体应急预案》等法律法规、上位预案要求，结合县政府及相关部门职责和工作实际，编制本预案。</w:t>
      </w:r>
    </w:p>
    <w:p w14:paraId="117DA6CD">
      <w:pPr>
        <w:pStyle w:val="3"/>
        <w:ind w:firstLine="0" w:firstLineChars="0"/>
        <w:rPr>
          <w:rFonts w:ascii="Times New Roman" w:hAnsi="Times New Roman" w:cs="Times New Roman"/>
          <w:sz w:val="32"/>
        </w:rPr>
      </w:pPr>
      <w:bookmarkStart w:id="1073" w:name="_Toc7739"/>
      <w:r>
        <w:rPr>
          <w:rFonts w:ascii="Times New Roman" w:hAnsi="Times New Roman" w:cs="Times New Roman"/>
          <w:sz w:val="32"/>
        </w:rPr>
        <w:t>适用范围</w:t>
      </w:r>
      <w:bookmarkEnd w:id="1073"/>
    </w:p>
    <w:p w14:paraId="68EBECFC">
      <w:pPr>
        <w:ind w:firstLine="632"/>
        <w:rPr>
          <w:rFonts w:ascii="Times New Roman" w:hAnsi="Times New Roman" w:cs="Times New Roman"/>
          <w:sz w:val="32"/>
        </w:rPr>
      </w:pPr>
      <w:r>
        <w:rPr>
          <w:rFonts w:ascii="Times New Roman" w:hAnsi="Times New Roman" w:cs="Times New Roman"/>
          <w:sz w:val="32"/>
        </w:rPr>
        <w:t>本预案适用于我县行政区域内发生的突发环境事件预防与应对工作。</w:t>
      </w:r>
    </w:p>
    <w:p w14:paraId="56C534E1">
      <w:pPr>
        <w:ind w:firstLine="632"/>
        <w:rPr>
          <w:rFonts w:ascii="Times New Roman" w:hAnsi="Times New Roman" w:cs="Times New Roman"/>
          <w:sz w:val="32"/>
        </w:rPr>
      </w:pPr>
      <w:r>
        <w:rPr>
          <w:rFonts w:ascii="Times New Roman" w:hAnsi="Times New Roman" w:cs="Times New Roman"/>
          <w:sz w:val="32"/>
        </w:rPr>
        <w:t>核设施及有关核活动发生的核事故所造成的辐射污染事件、船舶污染事件的应对工作、重污染天气应对工作按照其他相关应急预案规定执行。</w:t>
      </w:r>
    </w:p>
    <w:p w14:paraId="7D4A6163">
      <w:pPr>
        <w:pStyle w:val="3"/>
        <w:ind w:firstLine="0" w:firstLineChars="0"/>
        <w:rPr>
          <w:rFonts w:ascii="Times New Roman" w:hAnsi="Times New Roman" w:cs="Times New Roman"/>
          <w:sz w:val="32"/>
        </w:rPr>
      </w:pPr>
      <w:bookmarkStart w:id="1074" w:name="_Toc26831"/>
      <w:r>
        <w:rPr>
          <w:rFonts w:ascii="Times New Roman" w:hAnsi="Times New Roman" w:cs="Times New Roman"/>
          <w:sz w:val="32"/>
        </w:rPr>
        <w:t>工作原则</w:t>
      </w:r>
      <w:bookmarkEnd w:id="1074"/>
    </w:p>
    <w:p w14:paraId="7658E8F8">
      <w:pPr>
        <w:ind w:firstLine="632"/>
        <w:rPr>
          <w:rFonts w:ascii="Times New Roman" w:hAnsi="Times New Roman" w:cs="Times New Roman"/>
          <w:sz w:val="32"/>
        </w:rPr>
      </w:pPr>
      <w:r>
        <w:rPr>
          <w:rFonts w:ascii="Times New Roman" w:hAnsi="Times New Roman" w:cs="Times New Roman"/>
          <w:sz w:val="32"/>
        </w:rPr>
        <w:t>坚持以人为本，积极预防的原则。把人民群众生命财产安全放在首位，积极做好环境安全隐患排查治理的监管工作，推进重点环境风险区域监控预警体系建设，做到积极预防、及时预警、妥善处置，尽可能地减轻突发环境事件的危害和影响，最大限度地保障公众健康，保护人民生命财产安全。</w:t>
      </w:r>
    </w:p>
    <w:p w14:paraId="566AF2AC">
      <w:pPr>
        <w:ind w:firstLine="632"/>
        <w:rPr>
          <w:rFonts w:ascii="Times New Roman" w:hAnsi="Times New Roman" w:cs="Times New Roman"/>
          <w:sz w:val="32"/>
        </w:rPr>
      </w:pPr>
      <w:r>
        <w:rPr>
          <w:rFonts w:ascii="Times New Roman" w:hAnsi="Times New Roman" w:cs="Times New Roman"/>
          <w:sz w:val="32"/>
        </w:rPr>
        <w:t>坚持统一领导，分级管理的原则。在县委、县政府统一领导下，集贤县突发环境事件应急指挥部负责全县突发环境事件应急处置工作的组织、指挥和协调，充分发挥联动协调机制，形成统一指挥、反应灵敏、功能齐全、协调有序、运转高效的应急管理体制。</w:t>
      </w:r>
    </w:p>
    <w:p w14:paraId="4354200E">
      <w:pPr>
        <w:ind w:firstLine="632"/>
        <w:rPr>
          <w:rFonts w:ascii="Times New Roman" w:hAnsi="Times New Roman" w:cs="Times New Roman"/>
          <w:sz w:val="32"/>
        </w:rPr>
      </w:pPr>
      <w:r>
        <w:rPr>
          <w:rFonts w:ascii="Times New Roman" w:hAnsi="Times New Roman" w:cs="Times New Roman"/>
          <w:sz w:val="32"/>
        </w:rPr>
        <w:t>坚持资源共享，部门联动的原则。加强部门之间协同与合作，提高快速反应能力。各有关职能部门分工负责，密切配合，充分发挥部门专业优势，形成快速反应能力。</w:t>
      </w:r>
    </w:p>
    <w:p w14:paraId="0F189605">
      <w:pPr>
        <w:ind w:firstLine="632"/>
        <w:rPr>
          <w:rFonts w:ascii="Times New Roman" w:hAnsi="Times New Roman" w:cs="Times New Roman"/>
          <w:sz w:val="32"/>
        </w:rPr>
      </w:pPr>
      <w:r>
        <w:rPr>
          <w:rFonts w:ascii="Times New Roman" w:hAnsi="Times New Roman" w:cs="Times New Roman"/>
          <w:sz w:val="32"/>
        </w:rPr>
        <w:t>坚持依靠科技，规范管理的原则。构建功能完善、内容全面、信息共享、决策科学的应急技术支持平台，组建专业知识精湛、处置突发环境事件经验丰富的专家咨询队伍和应急救援队伍。积极推进突发环境事件应对工作规范化、制度化、法制化建设。</w:t>
      </w:r>
    </w:p>
    <w:p w14:paraId="576E9918">
      <w:pPr>
        <w:pStyle w:val="3"/>
        <w:ind w:firstLine="0" w:firstLineChars="0"/>
        <w:rPr>
          <w:rFonts w:ascii="Times New Roman" w:hAnsi="Times New Roman" w:cs="Times New Roman"/>
          <w:sz w:val="32"/>
        </w:rPr>
      </w:pPr>
      <w:bookmarkStart w:id="1075" w:name="_Toc6572"/>
      <w:r>
        <w:rPr>
          <w:rFonts w:ascii="Times New Roman" w:hAnsi="Times New Roman" w:cs="Times New Roman"/>
          <w:sz w:val="32"/>
        </w:rPr>
        <w:t>事件分级</w:t>
      </w:r>
      <w:bookmarkEnd w:id="1075"/>
    </w:p>
    <w:p w14:paraId="7C8A80AF">
      <w:pPr>
        <w:ind w:firstLine="632"/>
        <w:rPr>
          <w:rFonts w:ascii="Times New Roman" w:hAnsi="Times New Roman" w:cs="Times New Roman"/>
          <w:sz w:val="32"/>
        </w:rPr>
      </w:pPr>
      <w:r>
        <w:rPr>
          <w:rFonts w:ascii="Times New Roman" w:hAnsi="Times New Roman" w:cs="Times New Roman"/>
          <w:sz w:val="32"/>
        </w:rPr>
        <w:t>按照突发环境事件的可能性大小、紧急程度和可能造成的危害程度，分为特别重大（Ⅰ级）、重大（Ⅱ级）、较大（Ⅲ级）和一般（Ⅳ级）四级。突发环境事件分级标准见附件1。</w:t>
      </w:r>
    </w:p>
    <w:p w14:paraId="7DB0AE17">
      <w:pPr>
        <w:pStyle w:val="2"/>
        <w:numPr>
          <w:ilvl w:val="0"/>
          <w:numId w:val="177"/>
        </w:numPr>
        <w:tabs>
          <w:tab w:val="left" w:pos="0"/>
        </w:tabs>
        <w:ind w:firstLine="0" w:firstLineChars="0"/>
        <w:rPr>
          <w:rFonts w:ascii="Times New Roman" w:hAnsi="Times New Roman" w:cs="Times New Roman"/>
          <w:sz w:val="32"/>
        </w:rPr>
      </w:pPr>
      <w:bookmarkStart w:id="1076" w:name="_Toc311"/>
      <w:r>
        <w:rPr>
          <w:rFonts w:ascii="Times New Roman" w:hAnsi="Times New Roman" w:cs="Times New Roman"/>
          <w:sz w:val="32"/>
        </w:rPr>
        <w:t>组织指挥体系</w:t>
      </w:r>
      <w:bookmarkEnd w:id="1076"/>
    </w:p>
    <w:p w14:paraId="3E3B36B9">
      <w:pPr>
        <w:pStyle w:val="3"/>
        <w:ind w:firstLine="0" w:firstLineChars="0"/>
        <w:rPr>
          <w:rFonts w:ascii="Times New Roman" w:hAnsi="Times New Roman" w:cs="Times New Roman"/>
          <w:sz w:val="32"/>
        </w:rPr>
      </w:pPr>
      <w:bookmarkStart w:id="1077" w:name="_Toc6241"/>
      <w:r>
        <w:rPr>
          <w:rFonts w:ascii="Times New Roman" w:hAnsi="Times New Roman" w:cs="Times New Roman"/>
          <w:sz w:val="32"/>
        </w:rPr>
        <w:t>领导机构组成及职责</w:t>
      </w:r>
      <w:bookmarkEnd w:id="1077"/>
    </w:p>
    <w:p w14:paraId="457B71B7">
      <w:pPr>
        <w:ind w:firstLine="632"/>
        <w:rPr>
          <w:rFonts w:ascii="Times New Roman" w:hAnsi="Times New Roman" w:cs="Times New Roman"/>
          <w:sz w:val="32"/>
        </w:rPr>
      </w:pPr>
      <w:r>
        <w:rPr>
          <w:rFonts w:ascii="Times New Roman" w:hAnsi="Times New Roman" w:cs="Times New Roman"/>
          <w:sz w:val="32"/>
        </w:rPr>
        <w:t>集贤县突发环境事件应急指挥部（以下简称县环境应急指挥部）负责对全县突发环境事件应急处置的统一领导、组织、指挥工作。县委常委、常务副县长担任县环境应急指挥部总指挥，县政府分管生态环境保护工作的副县长、双鸭山市集贤生态环境局局长担任副总指挥。</w:t>
      </w:r>
    </w:p>
    <w:p w14:paraId="0BC32AD7">
      <w:pPr>
        <w:ind w:firstLine="632"/>
        <w:rPr>
          <w:rFonts w:ascii="Times New Roman" w:hAnsi="Times New Roman" w:cs="Times New Roman"/>
          <w:sz w:val="32"/>
        </w:rPr>
      </w:pPr>
      <w:r>
        <w:rPr>
          <w:rFonts w:ascii="Times New Roman" w:hAnsi="Times New Roman" w:cs="Times New Roman"/>
          <w:sz w:val="32"/>
        </w:rPr>
        <w:t>县突发环境事件应急指挥部办公室设在双鸭山市集贤生态环境局，负责指挥部日常工作。办公室主任由双鸭山市集贤生态环境局局长兼任。</w:t>
      </w:r>
    </w:p>
    <w:p w14:paraId="38699747">
      <w:pPr>
        <w:pStyle w:val="4"/>
        <w:numPr>
          <w:ilvl w:val="2"/>
          <w:numId w:val="177"/>
        </w:numPr>
        <w:tabs>
          <w:tab w:val="left" w:pos="0"/>
        </w:tabs>
        <w:ind w:firstLine="0" w:firstLineChars="0"/>
        <w:rPr>
          <w:rFonts w:ascii="Times New Roman" w:hAnsi="Times New Roman" w:cs="Times New Roman"/>
          <w:sz w:val="32"/>
        </w:rPr>
      </w:pPr>
      <w:r>
        <w:rPr>
          <w:rFonts w:ascii="Times New Roman" w:hAnsi="Times New Roman" w:cs="Times New Roman"/>
          <w:sz w:val="32"/>
        </w:rPr>
        <w:t>总指挥职责</w:t>
      </w:r>
    </w:p>
    <w:p w14:paraId="2D989DB6">
      <w:pPr>
        <w:ind w:firstLine="632"/>
        <w:rPr>
          <w:rFonts w:ascii="Times New Roman" w:hAnsi="Times New Roman" w:cs="Times New Roman"/>
          <w:sz w:val="32"/>
        </w:rPr>
      </w:pPr>
      <w:r>
        <w:rPr>
          <w:rFonts w:ascii="Times New Roman" w:hAnsi="Times New Roman" w:cs="Times New Roman"/>
          <w:sz w:val="32"/>
        </w:rPr>
        <w:t>全面负责指挥突发环境事件应急救援工作，对应急救援工作中的重大事项作出决策。</w:t>
      </w:r>
    </w:p>
    <w:p w14:paraId="6B468F9C">
      <w:pPr>
        <w:pStyle w:val="4"/>
        <w:numPr>
          <w:ilvl w:val="2"/>
          <w:numId w:val="177"/>
        </w:numPr>
        <w:tabs>
          <w:tab w:val="left" w:pos="0"/>
        </w:tabs>
        <w:ind w:firstLine="0" w:firstLineChars="0"/>
        <w:rPr>
          <w:rFonts w:ascii="Times New Roman" w:hAnsi="Times New Roman" w:cs="Times New Roman"/>
          <w:sz w:val="32"/>
        </w:rPr>
      </w:pPr>
      <w:r>
        <w:rPr>
          <w:rFonts w:ascii="Times New Roman" w:hAnsi="Times New Roman" w:cs="Times New Roman"/>
          <w:sz w:val="32"/>
        </w:rPr>
        <w:t>副总指挥职责</w:t>
      </w:r>
    </w:p>
    <w:p w14:paraId="7115E751">
      <w:pPr>
        <w:ind w:firstLine="632"/>
        <w:rPr>
          <w:rFonts w:ascii="Times New Roman" w:hAnsi="Times New Roman" w:cs="Times New Roman"/>
          <w:sz w:val="32"/>
        </w:rPr>
      </w:pPr>
      <w:r>
        <w:rPr>
          <w:rFonts w:ascii="Times New Roman" w:hAnsi="Times New Roman" w:cs="Times New Roman"/>
          <w:sz w:val="32"/>
        </w:rPr>
        <w:t>（1）配合总指挥开展应急救援工作，及时向总指挥报告重要情况和提出建议；</w:t>
      </w:r>
    </w:p>
    <w:p w14:paraId="4DC67A4C">
      <w:pPr>
        <w:ind w:firstLine="632"/>
        <w:rPr>
          <w:rFonts w:ascii="Times New Roman" w:hAnsi="Times New Roman" w:cs="Times New Roman"/>
          <w:sz w:val="32"/>
        </w:rPr>
      </w:pPr>
      <w:r>
        <w:rPr>
          <w:rFonts w:ascii="Times New Roman" w:hAnsi="Times New Roman" w:cs="Times New Roman"/>
          <w:sz w:val="32"/>
        </w:rPr>
        <w:t>（2）组织做好突发环境事件应急预案的编制、修订和实施工作；</w:t>
      </w:r>
    </w:p>
    <w:p w14:paraId="68BD6569">
      <w:pPr>
        <w:ind w:firstLine="632"/>
        <w:rPr>
          <w:rFonts w:ascii="Times New Roman" w:hAnsi="Times New Roman" w:cs="Times New Roman"/>
          <w:sz w:val="32"/>
        </w:rPr>
      </w:pPr>
      <w:r>
        <w:rPr>
          <w:rFonts w:ascii="Times New Roman" w:hAnsi="Times New Roman" w:cs="Times New Roman"/>
          <w:sz w:val="32"/>
        </w:rPr>
        <w:t>（3）组织相关部门共同做好突发环境事件的预防、应急准备、应急处置等工作。</w:t>
      </w:r>
    </w:p>
    <w:p w14:paraId="1008BDDD">
      <w:pPr>
        <w:pStyle w:val="4"/>
        <w:numPr>
          <w:ilvl w:val="2"/>
          <w:numId w:val="177"/>
        </w:numPr>
        <w:tabs>
          <w:tab w:val="left" w:pos="0"/>
        </w:tabs>
        <w:ind w:firstLine="0" w:firstLineChars="0"/>
        <w:rPr>
          <w:rFonts w:ascii="Times New Roman" w:hAnsi="Times New Roman" w:cs="Times New Roman"/>
          <w:sz w:val="32"/>
        </w:rPr>
      </w:pPr>
      <w:r>
        <w:rPr>
          <w:rFonts w:ascii="Times New Roman" w:hAnsi="Times New Roman" w:cs="Times New Roman"/>
          <w:sz w:val="32"/>
        </w:rPr>
        <w:t>指挥部办公室职责</w:t>
      </w:r>
    </w:p>
    <w:p w14:paraId="3277EA90">
      <w:pPr>
        <w:ind w:firstLine="632"/>
        <w:rPr>
          <w:rFonts w:ascii="Times New Roman" w:hAnsi="Times New Roman" w:cs="Times New Roman"/>
          <w:sz w:val="32"/>
        </w:rPr>
      </w:pPr>
      <w:r>
        <w:rPr>
          <w:rFonts w:ascii="Times New Roman" w:hAnsi="Times New Roman" w:cs="Times New Roman"/>
          <w:sz w:val="32"/>
        </w:rPr>
        <w:t>（1）贯彻执行县委、县政府和上级主管部门有关应急工作的方针、政策，认真落实黑龙江省和双鸭山市有关环境应急工作的指示和要求；</w:t>
      </w:r>
    </w:p>
    <w:p w14:paraId="6C531BCE">
      <w:pPr>
        <w:ind w:firstLine="632"/>
        <w:rPr>
          <w:rFonts w:ascii="Times New Roman" w:hAnsi="Times New Roman" w:cs="Times New Roman"/>
          <w:sz w:val="32"/>
        </w:rPr>
      </w:pPr>
      <w:r>
        <w:rPr>
          <w:rFonts w:ascii="Times New Roman" w:hAnsi="Times New Roman" w:cs="Times New Roman"/>
          <w:sz w:val="32"/>
        </w:rPr>
        <w:t>（2）建立和完善环境应急预警机制；</w:t>
      </w:r>
    </w:p>
    <w:p w14:paraId="54152EB4">
      <w:pPr>
        <w:ind w:firstLine="632"/>
        <w:rPr>
          <w:rFonts w:ascii="Times New Roman" w:hAnsi="Times New Roman" w:cs="Times New Roman"/>
          <w:sz w:val="32"/>
        </w:rPr>
      </w:pPr>
      <w:r>
        <w:rPr>
          <w:rFonts w:ascii="Times New Roman" w:hAnsi="Times New Roman" w:cs="Times New Roman"/>
          <w:sz w:val="32"/>
        </w:rPr>
        <w:t>（3）提出启动和终止应急响应建议，发布相关文件；</w:t>
      </w:r>
    </w:p>
    <w:p w14:paraId="2D8224A1">
      <w:pPr>
        <w:ind w:firstLine="632"/>
        <w:rPr>
          <w:rFonts w:ascii="Times New Roman" w:hAnsi="Times New Roman" w:cs="Times New Roman"/>
          <w:sz w:val="32"/>
        </w:rPr>
      </w:pPr>
      <w:r>
        <w:rPr>
          <w:rFonts w:ascii="Times New Roman" w:hAnsi="Times New Roman" w:cs="Times New Roman"/>
          <w:sz w:val="32"/>
        </w:rPr>
        <w:t>（4）综合协调全县各级环境应急管理体系建设及应急演练；</w:t>
      </w:r>
    </w:p>
    <w:p w14:paraId="26796162">
      <w:pPr>
        <w:ind w:firstLine="632"/>
        <w:rPr>
          <w:rFonts w:ascii="Times New Roman" w:hAnsi="Times New Roman" w:cs="Times New Roman"/>
          <w:sz w:val="32"/>
        </w:rPr>
      </w:pPr>
      <w:r>
        <w:rPr>
          <w:rFonts w:ascii="Times New Roman" w:hAnsi="Times New Roman" w:cs="Times New Roman"/>
          <w:sz w:val="32"/>
        </w:rPr>
        <w:t>（5）受理突发环境事件信息报告，传达指挥部及上级部门指令；</w:t>
      </w:r>
    </w:p>
    <w:p w14:paraId="63A2606D">
      <w:pPr>
        <w:ind w:firstLine="632"/>
        <w:rPr>
          <w:rFonts w:ascii="Times New Roman" w:hAnsi="Times New Roman" w:cs="Times New Roman"/>
          <w:sz w:val="32"/>
        </w:rPr>
      </w:pPr>
      <w:r>
        <w:rPr>
          <w:rFonts w:ascii="Times New Roman" w:hAnsi="Times New Roman" w:cs="Times New Roman"/>
          <w:sz w:val="32"/>
        </w:rPr>
        <w:t>（6）负责与黑龙江省、双鸭山市突发环境事件指挥部及其成员单位的信息沟通；</w:t>
      </w:r>
    </w:p>
    <w:p w14:paraId="6E9B06AE">
      <w:pPr>
        <w:ind w:firstLine="632"/>
        <w:rPr>
          <w:rFonts w:ascii="Times New Roman" w:hAnsi="Times New Roman" w:cs="Times New Roman"/>
          <w:sz w:val="32"/>
        </w:rPr>
      </w:pPr>
      <w:r>
        <w:rPr>
          <w:rFonts w:ascii="Times New Roman" w:hAnsi="Times New Roman" w:cs="Times New Roman"/>
          <w:sz w:val="32"/>
        </w:rPr>
        <w:t>（7）组织协调有关应对突发环境事件的宣传教育和培训工作；</w:t>
      </w:r>
    </w:p>
    <w:p w14:paraId="0A78C652">
      <w:pPr>
        <w:ind w:firstLine="632"/>
        <w:rPr>
          <w:rFonts w:ascii="Times New Roman" w:hAnsi="Times New Roman" w:cs="Times New Roman"/>
          <w:sz w:val="32"/>
        </w:rPr>
      </w:pPr>
      <w:r>
        <w:rPr>
          <w:rFonts w:ascii="Times New Roman" w:hAnsi="Times New Roman" w:cs="Times New Roman"/>
          <w:sz w:val="32"/>
        </w:rPr>
        <w:t>（8）落实县环境应急指挥部的决定事项。</w:t>
      </w:r>
    </w:p>
    <w:p w14:paraId="334F0236">
      <w:pPr>
        <w:pStyle w:val="4"/>
        <w:numPr>
          <w:ilvl w:val="2"/>
          <w:numId w:val="177"/>
        </w:numPr>
        <w:tabs>
          <w:tab w:val="left" w:pos="0"/>
        </w:tabs>
        <w:ind w:firstLine="0" w:firstLineChars="0"/>
        <w:rPr>
          <w:rFonts w:ascii="Times New Roman" w:hAnsi="Times New Roman" w:cs="Times New Roman"/>
          <w:sz w:val="32"/>
        </w:rPr>
      </w:pPr>
      <w:r>
        <w:rPr>
          <w:rFonts w:ascii="Times New Roman" w:hAnsi="Times New Roman" w:cs="Times New Roman"/>
          <w:sz w:val="32"/>
        </w:rPr>
        <w:t>主要成员单位职责</w:t>
      </w:r>
    </w:p>
    <w:p w14:paraId="1BA62B43">
      <w:pPr>
        <w:ind w:firstLine="634"/>
        <w:rPr>
          <w:rFonts w:ascii="Times New Roman" w:hAnsi="Times New Roman" w:cs="Times New Roman"/>
          <w:sz w:val="32"/>
        </w:rPr>
      </w:pPr>
      <w:r>
        <w:rPr>
          <w:rFonts w:ascii="Times New Roman" w:hAnsi="Times New Roman" w:cs="Times New Roman"/>
          <w:b/>
          <w:bCs/>
          <w:sz w:val="32"/>
        </w:rPr>
        <w:t>县委宣传部：</w:t>
      </w:r>
      <w:r>
        <w:rPr>
          <w:rFonts w:ascii="Times New Roman" w:hAnsi="Times New Roman" w:cs="Times New Roman"/>
          <w:sz w:val="32"/>
        </w:rPr>
        <w:t>负责统一协调突发环境事件宣传报道和相关舆情的应急处置工作。</w:t>
      </w:r>
    </w:p>
    <w:p w14:paraId="177D7431">
      <w:pPr>
        <w:ind w:firstLine="634"/>
        <w:rPr>
          <w:rFonts w:ascii="Times New Roman" w:hAnsi="Times New Roman" w:cs="Times New Roman"/>
          <w:sz w:val="32"/>
        </w:rPr>
      </w:pPr>
      <w:r>
        <w:rPr>
          <w:rFonts w:ascii="Times New Roman" w:hAnsi="Times New Roman" w:cs="Times New Roman"/>
          <w:b/>
          <w:bCs/>
          <w:sz w:val="32"/>
        </w:rPr>
        <w:t>县人民政府办公室：</w:t>
      </w:r>
      <w:r>
        <w:rPr>
          <w:rFonts w:ascii="Times New Roman" w:hAnsi="Times New Roman" w:cs="Times New Roman"/>
          <w:sz w:val="32"/>
        </w:rPr>
        <w:t>负责向双鸭山市政府和县委、县政府领导报送事件相关信息；根据突发事件应对需要，做好外地政府的协调联络工作；协助县政府领导做好突发事件应对工作。</w:t>
      </w:r>
    </w:p>
    <w:p w14:paraId="20CB8484">
      <w:pPr>
        <w:ind w:firstLine="634"/>
        <w:rPr>
          <w:rFonts w:ascii="Times New Roman" w:hAnsi="Times New Roman" w:cs="Times New Roman"/>
          <w:sz w:val="32"/>
        </w:rPr>
      </w:pPr>
      <w:r>
        <w:rPr>
          <w:rFonts w:ascii="Times New Roman" w:hAnsi="Times New Roman" w:cs="Times New Roman"/>
          <w:b/>
          <w:bCs/>
          <w:sz w:val="32"/>
        </w:rPr>
        <w:t>县工业信息科技局：</w:t>
      </w:r>
      <w:r>
        <w:rPr>
          <w:rFonts w:ascii="Times New Roman" w:hAnsi="Times New Roman" w:cs="Times New Roman"/>
          <w:sz w:val="32"/>
        </w:rPr>
        <w:t>负责指导工业和重点行业加强安全生产管理，会同有关部门推动安全生产、应急产业发展；参与处理较大及以上安全事故引发的突发环境事件；协调工业企业采取紧急措施，在保证安全的前提下临时停产或限产，减少污染物排放；协调电力、电信运营企业做好电力、通信应急保障。</w:t>
      </w:r>
    </w:p>
    <w:p w14:paraId="264C86A3">
      <w:pPr>
        <w:ind w:firstLine="634"/>
        <w:rPr>
          <w:rFonts w:ascii="Times New Roman" w:hAnsi="Times New Roman" w:cs="Times New Roman"/>
          <w:sz w:val="32"/>
        </w:rPr>
      </w:pPr>
      <w:r>
        <w:rPr>
          <w:rFonts w:ascii="Times New Roman" w:hAnsi="Times New Roman" w:cs="Times New Roman"/>
          <w:b/>
          <w:bCs/>
          <w:sz w:val="32"/>
        </w:rPr>
        <w:t>县公安局：</w:t>
      </w:r>
      <w:r>
        <w:rPr>
          <w:rFonts w:ascii="Times New Roman" w:hAnsi="Times New Roman" w:cs="Times New Roman"/>
          <w:sz w:val="32"/>
        </w:rPr>
        <w:t>负责根据现场指挥部要求，对事件现场和影响区域实施治安警戒和交通管制，维护现场秩序；组织事件可能危及区域内的人员疏散撤离，负责对人员撤离区域的治安管理；负责危险化学品公共安全管理，参与因剧毒化学品造成突发环境事件的应急处置工作。</w:t>
      </w:r>
    </w:p>
    <w:p w14:paraId="565A003A">
      <w:pPr>
        <w:ind w:firstLine="634"/>
        <w:rPr>
          <w:rFonts w:ascii="Times New Roman" w:hAnsi="Times New Roman" w:cs="Times New Roman"/>
          <w:sz w:val="32"/>
        </w:rPr>
      </w:pPr>
      <w:r>
        <w:rPr>
          <w:rFonts w:ascii="Times New Roman" w:hAnsi="Times New Roman" w:cs="Times New Roman"/>
          <w:b/>
          <w:bCs/>
          <w:sz w:val="32"/>
        </w:rPr>
        <w:t>县财政局：</w:t>
      </w:r>
      <w:r>
        <w:rPr>
          <w:rFonts w:ascii="Times New Roman" w:hAnsi="Times New Roman" w:cs="Times New Roman"/>
          <w:sz w:val="32"/>
        </w:rPr>
        <w:t>负责保障县级突发环境事件应急能力标准化建设经费，确保县级突发环境事件所需装备、器材等物资采购资金和工作经费，并做好经费使用的监督检查工作。</w:t>
      </w:r>
    </w:p>
    <w:p w14:paraId="6F402D37">
      <w:pPr>
        <w:ind w:firstLine="634"/>
        <w:rPr>
          <w:rFonts w:ascii="Times New Roman" w:hAnsi="Times New Roman" w:cs="Times New Roman"/>
          <w:sz w:val="32"/>
        </w:rPr>
      </w:pPr>
      <w:r>
        <w:rPr>
          <w:rFonts w:ascii="Times New Roman" w:hAnsi="Times New Roman" w:cs="Times New Roman"/>
          <w:b/>
          <w:bCs/>
          <w:sz w:val="32"/>
        </w:rPr>
        <w:t>县自然资源局：</w:t>
      </w:r>
      <w:r>
        <w:rPr>
          <w:rFonts w:ascii="Times New Roman" w:hAnsi="Times New Roman" w:cs="Times New Roman"/>
          <w:sz w:val="32"/>
        </w:rPr>
        <w:t>配合相关部门开展对地质灾害引起的突发环境事件的调查、监测和处置工作；根据应急工作需要开展应急测绘。</w:t>
      </w:r>
    </w:p>
    <w:p w14:paraId="6FA59140">
      <w:pPr>
        <w:ind w:firstLine="634"/>
        <w:rPr>
          <w:rFonts w:ascii="Times New Roman" w:hAnsi="Times New Roman" w:cs="Times New Roman"/>
          <w:sz w:val="32"/>
        </w:rPr>
      </w:pPr>
      <w:r>
        <w:rPr>
          <w:rFonts w:ascii="Times New Roman" w:hAnsi="Times New Roman" w:cs="Times New Roman"/>
          <w:b/>
          <w:bCs/>
          <w:sz w:val="32"/>
        </w:rPr>
        <w:t>双鸭山市集贤生态环境局：</w:t>
      </w:r>
      <w:r>
        <w:rPr>
          <w:rFonts w:ascii="Times New Roman" w:hAnsi="Times New Roman" w:cs="Times New Roman"/>
          <w:sz w:val="32"/>
        </w:rPr>
        <w:t>负责县应急指挥部办公室日常工作，负责修订突发环境事件应急处置方案；指导和督促事发地人民政府开展应急处置、应急监测、损害评估、环境修复等工作；负责做好环境应急救援物资的储备、调拨、紧急配送等相关工作</w:t>
      </w:r>
      <w:r>
        <w:rPr>
          <w:rFonts w:hint="eastAsia" w:ascii="Times New Roman" w:hAnsi="Times New Roman" w:cs="Times New Roman"/>
          <w:sz w:val="32"/>
        </w:rPr>
        <w:t>；</w:t>
      </w:r>
      <w:r>
        <w:rPr>
          <w:rFonts w:ascii="Times New Roman" w:hAnsi="Times New Roman" w:cs="Times New Roman"/>
          <w:sz w:val="32"/>
        </w:rPr>
        <w:t>负责一般突发环境事件调查工作，配合特别重大、重大、较大突发环境事件调查处理；指导和监督污染物收集、清理与处理。</w:t>
      </w:r>
    </w:p>
    <w:p w14:paraId="67EDDCB8">
      <w:pPr>
        <w:ind w:firstLine="634"/>
        <w:rPr>
          <w:rFonts w:ascii="Times New Roman" w:hAnsi="Times New Roman" w:cs="Times New Roman"/>
          <w:sz w:val="32"/>
        </w:rPr>
      </w:pPr>
      <w:r>
        <w:rPr>
          <w:rFonts w:ascii="Times New Roman" w:hAnsi="Times New Roman" w:cs="Times New Roman"/>
          <w:b/>
          <w:bCs/>
          <w:sz w:val="32"/>
        </w:rPr>
        <w:t>县住房和城乡建设局：</w:t>
      </w:r>
      <w:r>
        <w:rPr>
          <w:rFonts w:ascii="Times New Roman" w:hAnsi="Times New Roman" w:cs="Times New Roman"/>
          <w:sz w:val="32"/>
        </w:rPr>
        <w:t>负责组织协调有关部门和单位开展城市供水、排水、污水处理生产运营安全事故引发的突发环境事件的应急处置；负责组织协调有关部门和单位开展监管范围内建筑工地泥浆、粉尘等污染事故的应急处置；配合相关部门协调应急处置所需的工程机械设备、人员及相关工程技术支持。</w:t>
      </w:r>
    </w:p>
    <w:p w14:paraId="3F75CEF3">
      <w:pPr>
        <w:ind w:firstLine="634"/>
        <w:rPr>
          <w:rFonts w:ascii="Times New Roman" w:hAnsi="Times New Roman" w:cs="Times New Roman"/>
          <w:sz w:val="32"/>
        </w:rPr>
      </w:pPr>
      <w:r>
        <w:rPr>
          <w:rFonts w:ascii="Times New Roman" w:hAnsi="Times New Roman" w:cs="Times New Roman"/>
          <w:b/>
          <w:bCs/>
          <w:sz w:val="32"/>
        </w:rPr>
        <w:t>县交通运输局：</w:t>
      </w:r>
      <w:r>
        <w:rPr>
          <w:rFonts w:ascii="Times New Roman" w:hAnsi="Times New Roman" w:cs="Times New Roman"/>
          <w:sz w:val="32"/>
        </w:rPr>
        <w:t>负责组织协调有关部门和单位开展道路、水路运输市场突发环境事件及公共交通、出租汽车等城市公共交通领域突发环境事件应急处置工作。</w:t>
      </w:r>
    </w:p>
    <w:p w14:paraId="1F4766FE">
      <w:pPr>
        <w:ind w:firstLine="634"/>
        <w:rPr>
          <w:rFonts w:ascii="Times New Roman" w:hAnsi="Times New Roman" w:cs="Times New Roman"/>
          <w:sz w:val="32"/>
        </w:rPr>
      </w:pPr>
      <w:r>
        <w:rPr>
          <w:rFonts w:ascii="Times New Roman" w:hAnsi="Times New Roman" w:cs="Times New Roman"/>
          <w:b/>
          <w:bCs/>
          <w:sz w:val="32"/>
        </w:rPr>
        <w:t>县水务局：</w:t>
      </w:r>
      <w:r>
        <w:rPr>
          <w:rFonts w:ascii="Times New Roman" w:hAnsi="Times New Roman" w:cs="Times New Roman"/>
          <w:sz w:val="32"/>
        </w:rPr>
        <w:t>配合做好饮用水源突发环境事件的处置工作；负责突发水环境污染事件中水文数据的采集，配合提供污染区域河流相关水文信息；利用现有蓄水工程配合开展合理调度。</w:t>
      </w:r>
    </w:p>
    <w:p w14:paraId="76C90669">
      <w:pPr>
        <w:ind w:firstLine="634"/>
        <w:rPr>
          <w:rFonts w:ascii="Times New Roman" w:hAnsi="Times New Roman" w:cs="Times New Roman"/>
          <w:sz w:val="32"/>
        </w:rPr>
      </w:pPr>
      <w:r>
        <w:rPr>
          <w:rFonts w:ascii="Times New Roman" w:hAnsi="Times New Roman" w:cs="Times New Roman"/>
          <w:b/>
          <w:bCs/>
          <w:sz w:val="32"/>
        </w:rPr>
        <w:t>县农业农村局：</w:t>
      </w:r>
      <w:r>
        <w:rPr>
          <w:rFonts w:ascii="Times New Roman" w:hAnsi="Times New Roman" w:cs="Times New Roman"/>
          <w:sz w:val="32"/>
        </w:rPr>
        <w:t>负责组织协调有关部门和单位开展农业、渔业突发环境事件的调查和应急处置；组织开展突发环境事件对农业、渔业生产造成的影响和资源破坏评估，组织开展生态修复。</w:t>
      </w:r>
    </w:p>
    <w:p w14:paraId="74D470BB">
      <w:pPr>
        <w:ind w:firstLine="634"/>
        <w:rPr>
          <w:rFonts w:ascii="Times New Roman" w:hAnsi="Times New Roman" w:cs="Times New Roman"/>
          <w:sz w:val="32"/>
        </w:rPr>
      </w:pPr>
      <w:r>
        <w:rPr>
          <w:rFonts w:ascii="Times New Roman" w:hAnsi="Times New Roman" w:cs="Times New Roman"/>
          <w:b/>
          <w:bCs/>
          <w:sz w:val="32"/>
        </w:rPr>
        <w:t>县文体广电和旅游局：</w:t>
      </w:r>
      <w:r>
        <w:rPr>
          <w:rFonts w:ascii="Times New Roman" w:hAnsi="Times New Roman" w:cs="Times New Roman"/>
          <w:sz w:val="32"/>
        </w:rPr>
        <w:t>配合相关部门做好突发环境事件应急处置工作；组织开展突发环境事件对文旅产业造成影响的调查和评估工作；做好相关舆论宣传工作。</w:t>
      </w:r>
    </w:p>
    <w:p w14:paraId="5DC06FF6">
      <w:pPr>
        <w:ind w:firstLine="634"/>
        <w:rPr>
          <w:rFonts w:ascii="Times New Roman" w:hAnsi="Times New Roman" w:cs="Times New Roman"/>
          <w:sz w:val="32"/>
        </w:rPr>
      </w:pPr>
      <w:r>
        <w:rPr>
          <w:rFonts w:ascii="Times New Roman" w:hAnsi="Times New Roman" w:cs="Times New Roman"/>
          <w:b/>
          <w:bCs/>
          <w:sz w:val="32"/>
        </w:rPr>
        <w:t>县卫生健康局：</w:t>
      </w:r>
      <w:r>
        <w:rPr>
          <w:rFonts w:ascii="Times New Roman" w:hAnsi="Times New Roman" w:cs="Times New Roman"/>
          <w:sz w:val="32"/>
        </w:rPr>
        <w:t>负责组织、协调、指导开展突发环境事件受伤（中毒）人员现场急救、转诊救治、洗消和卫生防疫等紧急医学救援工作；负责事故可能危及区域内生活饮用水的卫生监督。</w:t>
      </w:r>
    </w:p>
    <w:p w14:paraId="7F4AF473">
      <w:pPr>
        <w:ind w:firstLine="634"/>
        <w:rPr>
          <w:rFonts w:ascii="Times New Roman" w:hAnsi="Times New Roman" w:cs="Times New Roman"/>
          <w:sz w:val="32"/>
        </w:rPr>
      </w:pPr>
      <w:r>
        <w:rPr>
          <w:rFonts w:ascii="Times New Roman" w:hAnsi="Times New Roman" w:cs="Times New Roman"/>
          <w:b/>
          <w:bCs/>
          <w:sz w:val="32"/>
        </w:rPr>
        <w:t>县应急管理局：</w:t>
      </w:r>
      <w:r>
        <w:rPr>
          <w:rFonts w:ascii="Times New Roman" w:hAnsi="Times New Roman" w:cs="Times New Roman"/>
          <w:sz w:val="32"/>
        </w:rPr>
        <w:t>协同制定、实施遇险人员的搜救方案，调配救援队伍和装备，协同配合次生环境事件的应急救援工作；负责危险化学品安全监督管理综合工作；指导事发地应急部门和受突发环境事件影响的生产经营单位做好突发环境事件引发的安全生产事故的预防工作；协调有关部门做好因突发环境事件引发的生产安全事故的抢险救援工作；组织因突发环境事件引发的生产安全事故的抢险救援和调查工作。</w:t>
      </w:r>
    </w:p>
    <w:p w14:paraId="7128E680">
      <w:pPr>
        <w:ind w:firstLine="634"/>
        <w:rPr>
          <w:rFonts w:ascii="Times New Roman" w:hAnsi="Times New Roman" w:cs="Times New Roman"/>
          <w:sz w:val="32"/>
        </w:rPr>
      </w:pPr>
      <w:r>
        <w:rPr>
          <w:rFonts w:ascii="Times New Roman" w:hAnsi="Times New Roman" w:cs="Times New Roman"/>
          <w:b/>
          <w:bCs/>
          <w:sz w:val="32"/>
        </w:rPr>
        <w:t>县市场监督管理局：</w:t>
      </w:r>
      <w:r>
        <w:rPr>
          <w:rFonts w:ascii="Times New Roman" w:hAnsi="Times New Roman" w:cs="Times New Roman"/>
          <w:sz w:val="32"/>
        </w:rPr>
        <w:t>负责组织协调有关部门和单位开展食品安全事件、特种设备事故等引发的次生突发环境事件应急处置工作；组织开展有关事故调查。</w:t>
      </w:r>
    </w:p>
    <w:p w14:paraId="0ABE0D57">
      <w:pPr>
        <w:ind w:firstLine="634"/>
        <w:rPr>
          <w:rFonts w:ascii="Times New Roman" w:hAnsi="Times New Roman" w:cs="Times New Roman"/>
          <w:sz w:val="32"/>
        </w:rPr>
      </w:pPr>
      <w:r>
        <w:rPr>
          <w:rFonts w:ascii="Times New Roman" w:hAnsi="Times New Roman" w:cs="Times New Roman"/>
          <w:b/>
          <w:bCs/>
          <w:sz w:val="32"/>
        </w:rPr>
        <w:t>县林业和草原局：</w:t>
      </w:r>
      <w:r>
        <w:rPr>
          <w:rFonts w:ascii="Times New Roman" w:hAnsi="Times New Roman" w:cs="Times New Roman"/>
          <w:sz w:val="32"/>
        </w:rPr>
        <w:t>负责对国家重点保护的动植物物种资源破坏事件实施处置；配合开展突发环境事件对森林、草原、湿地、陆生野生动物等造成损害的应急处置、调查工作。</w:t>
      </w:r>
    </w:p>
    <w:p w14:paraId="04ED50E4">
      <w:pPr>
        <w:ind w:firstLine="634"/>
        <w:rPr>
          <w:rFonts w:ascii="Times New Roman" w:hAnsi="Times New Roman" w:cs="Times New Roman"/>
          <w:sz w:val="32"/>
        </w:rPr>
      </w:pPr>
      <w:r>
        <w:rPr>
          <w:rFonts w:ascii="Times New Roman" w:hAnsi="Times New Roman" w:cs="Times New Roman"/>
          <w:b/>
          <w:bCs/>
          <w:sz w:val="32"/>
        </w:rPr>
        <w:t>县气象局：</w:t>
      </w:r>
      <w:r>
        <w:rPr>
          <w:rFonts w:ascii="Times New Roman" w:hAnsi="Times New Roman" w:cs="Times New Roman"/>
          <w:sz w:val="32"/>
        </w:rPr>
        <w:t>负责提供应急气象服务，密切监测突发环境事件发生地及周边的天气情况，及时提供有关气象条件分析及预测信息。</w:t>
      </w:r>
    </w:p>
    <w:p w14:paraId="50E311EB">
      <w:pPr>
        <w:ind w:firstLine="634"/>
        <w:rPr>
          <w:rFonts w:ascii="Times New Roman" w:hAnsi="Times New Roman" w:cs="Times New Roman"/>
          <w:sz w:val="32"/>
        </w:rPr>
      </w:pPr>
      <w:r>
        <w:rPr>
          <w:rFonts w:ascii="Times New Roman" w:hAnsi="Times New Roman" w:cs="Times New Roman"/>
          <w:b/>
          <w:bCs/>
          <w:sz w:val="32"/>
        </w:rPr>
        <w:t>县消防救援大队：</w:t>
      </w:r>
      <w:r>
        <w:rPr>
          <w:rFonts w:ascii="Times New Roman" w:hAnsi="Times New Roman" w:cs="Times New Roman"/>
          <w:sz w:val="32"/>
        </w:rPr>
        <w:t>负责落实突发环境事件应急响应时的消防救援工作；参与配合易燃、易爆、有毒有害物质泄漏事故的现场控制和洗消；参加现场抢险、排险及伤员的搜救工作。</w:t>
      </w:r>
    </w:p>
    <w:p w14:paraId="57D948BC">
      <w:pPr>
        <w:ind w:firstLine="634"/>
        <w:rPr>
          <w:rFonts w:ascii="Times New Roman" w:hAnsi="Times New Roman" w:cs="Times New Roman"/>
          <w:sz w:val="32"/>
        </w:rPr>
      </w:pPr>
      <w:r>
        <w:rPr>
          <w:rFonts w:ascii="Times New Roman" w:hAnsi="Times New Roman" w:cs="Times New Roman"/>
          <w:b/>
          <w:bCs/>
          <w:sz w:val="32"/>
        </w:rPr>
        <w:t>乡镇人民政府：</w:t>
      </w:r>
      <w:r>
        <w:rPr>
          <w:rFonts w:ascii="Times New Roman" w:hAnsi="Times New Roman" w:cs="Times New Roman"/>
          <w:sz w:val="32"/>
        </w:rPr>
        <w:t>负责制定并定期修订辖区突发环境事件应急预案，构建以政府主要负责人为总指挥，政府指定组成部门为应急指挥部办公室，统一领导、责任明确、运行高效的环境应急管理工作体制和机制；组织有关部门加强调查和监管，做好本行政区域内的环境风险防范、突发环境事件应急监测、救援队伍建设和应急物资储备工作；组织突发环境事件污染区域人员撤离和临时安置；组织、指挥、协调本行政区域内一般突发环境事件的应对工作，及时上报相关信息；做好较大及以上突发环境事件的先期处置工作；在县环境应急指挥部领导下，承担较大及以上突发环境事件应急处置工作具体任务。</w:t>
      </w:r>
    </w:p>
    <w:p w14:paraId="21BADDA9">
      <w:pPr>
        <w:ind w:firstLine="632"/>
        <w:rPr>
          <w:rFonts w:ascii="Times New Roman" w:hAnsi="Times New Roman" w:cs="Times New Roman"/>
          <w:sz w:val="32"/>
        </w:rPr>
      </w:pPr>
      <w:r>
        <w:rPr>
          <w:rFonts w:ascii="Times New Roman" w:hAnsi="Times New Roman" w:cs="Times New Roman"/>
          <w:sz w:val="32"/>
        </w:rPr>
        <w:t>县环境应急指挥部办公室发挥牵头抓总作用，强化部门联动，做到高效协同，增强工作合力。</w:t>
      </w:r>
    </w:p>
    <w:p w14:paraId="7DA5E813">
      <w:pPr>
        <w:pStyle w:val="3"/>
        <w:ind w:firstLine="0" w:firstLineChars="0"/>
        <w:rPr>
          <w:rFonts w:ascii="Times New Roman" w:hAnsi="Times New Roman" w:cs="Times New Roman"/>
          <w:sz w:val="32"/>
        </w:rPr>
      </w:pPr>
      <w:bookmarkStart w:id="1078" w:name="_Toc29935"/>
      <w:r>
        <w:rPr>
          <w:rFonts w:ascii="Times New Roman" w:hAnsi="Times New Roman" w:cs="Times New Roman"/>
          <w:sz w:val="32"/>
        </w:rPr>
        <w:t>现场指挥机构组成与职责</w:t>
      </w:r>
      <w:bookmarkEnd w:id="1078"/>
    </w:p>
    <w:p w14:paraId="23C3ADA3">
      <w:pPr>
        <w:ind w:firstLine="632"/>
        <w:rPr>
          <w:rFonts w:ascii="Times New Roman" w:hAnsi="Times New Roman" w:cs="Times New Roman"/>
          <w:sz w:val="32"/>
        </w:rPr>
      </w:pPr>
      <w:r>
        <w:rPr>
          <w:rFonts w:ascii="Times New Roman" w:hAnsi="Times New Roman" w:cs="Times New Roman"/>
          <w:sz w:val="32"/>
        </w:rPr>
        <w:t>当发生突发环境事件时，根据突发环境事件性质及响应级别，成立现场指挥部。现场指挥部总指挥由县环境应急指挥部总指挥或指定负责同志担任，县环境应急指挥部成员单位可根据实地情况设立工作小组，各工作小组一般包括抢险救援组、污染处置组、管控管制组、应急监测组、医疗救护组、应急保障组、新闻工作组、社会稳定组等8个工作组。</w:t>
      </w:r>
    </w:p>
    <w:p w14:paraId="297B5288">
      <w:pPr>
        <w:pStyle w:val="4"/>
        <w:numPr>
          <w:ilvl w:val="2"/>
          <w:numId w:val="177"/>
        </w:numPr>
        <w:tabs>
          <w:tab w:val="left" w:pos="0"/>
        </w:tabs>
        <w:ind w:firstLine="0" w:firstLineChars="0"/>
        <w:rPr>
          <w:rFonts w:ascii="Times New Roman" w:hAnsi="Times New Roman" w:cs="Times New Roman"/>
          <w:sz w:val="32"/>
        </w:rPr>
      </w:pPr>
      <w:r>
        <w:rPr>
          <w:rFonts w:ascii="Times New Roman" w:hAnsi="Times New Roman" w:cs="Times New Roman"/>
          <w:sz w:val="32"/>
        </w:rPr>
        <w:t>现场指挥部总指挥职责</w:t>
      </w:r>
    </w:p>
    <w:p w14:paraId="5809DAAA">
      <w:pPr>
        <w:ind w:firstLine="632"/>
        <w:rPr>
          <w:rFonts w:ascii="Times New Roman" w:hAnsi="Times New Roman" w:cs="Times New Roman"/>
          <w:sz w:val="32"/>
        </w:rPr>
      </w:pPr>
      <w:r>
        <w:rPr>
          <w:rFonts w:ascii="Times New Roman" w:hAnsi="Times New Roman" w:cs="Times New Roman"/>
          <w:sz w:val="32"/>
        </w:rPr>
        <w:t>全面负责指挥现场突发环境事件应急救援工作，对现场应急救援工作中的重大事项作出决策。</w:t>
      </w:r>
    </w:p>
    <w:p w14:paraId="22E50473">
      <w:pPr>
        <w:pStyle w:val="4"/>
        <w:numPr>
          <w:ilvl w:val="2"/>
          <w:numId w:val="177"/>
        </w:numPr>
        <w:tabs>
          <w:tab w:val="left" w:pos="0"/>
        </w:tabs>
        <w:ind w:firstLine="0" w:firstLineChars="0"/>
        <w:rPr>
          <w:rFonts w:ascii="Times New Roman" w:hAnsi="Times New Roman" w:cs="Times New Roman"/>
          <w:sz w:val="32"/>
        </w:rPr>
      </w:pPr>
      <w:r>
        <w:rPr>
          <w:rFonts w:ascii="Times New Roman" w:hAnsi="Times New Roman" w:cs="Times New Roman"/>
          <w:sz w:val="32"/>
        </w:rPr>
        <w:t>应急工作组职责</w:t>
      </w:r>
    </w:p>
    <w:p w14:paraId="09F0C670">
      <w:pPr>
        <w:ind w:firstLine="632"/>
        <w:rPr>
          <w:rFonts w:ascii="Times New Roman" w:hAnsi="Times New Roman" w:cs="Times New Roman"/>
          <w:sz w:val="32"/>
        </w:rPr>
      </w:pPr>
      <w:r>
        <w:rPr>
          <w:rFonts w:ascii="Times New Roman" w:hAnsi="Times New Roman" w:cs="Times New Roman"/>
          <w:sz w:val="32"/>
        </w:rPr>
        <w:t>（1）抢险救援组。由县应急管理局会同相关行业主管部门牵头，事发地乡镇政府和专家组成员等组成。组织、协调、指导引发突发环境事件的生产安全事故的现场应急抢险救援，搜救受伤及被困人员；采取有效措施迅速切断现场污染源，防止泄漏物向重要目标或厂外环境敏感区扩散。</w:t>
      </w:r>
    </w:p>
    <w:p w14:paraId="101EB253">
      <w:pPr>
        <w:ind w:firstLine="632"/>
        <w:rPr>
          <w:rFonts w:ascii="Times New Roman" w:hAnsi="Times New Roman" w:cs="Times New Roman"/>
          <w:sz w:val="32"/>
        </w:rPr>
      </w:pPr>
      <w:r>
        <w:rPr>
          <w:rFonts w:ascii="Times New Roman" w:hAnsi="Times New Roman" w:cs="Times New Roman"/>
          <w:sz w:val="32"/>
        </w:rPr>
        <w:t>（2）污染处置组。由双鸭山市集贤生态环境局牵头，县应急管理局、县公安局、县交通运输局、县水务局、县农业农村局、县林业和草原局、事发地乡镇人民政府和专家组成员等组成。组织开展调查，收集汇总相关数据，进行技术研判和事态分析，确定重点防护区域；组织采取有效措施，控制污染事态恶化，及时消除或减轻已经造成的环境污染。</w:t>
      </w:r>
    </w:p>
    <w:p w14:paraId="6912948D">
      <w:pPr>
        <w:ind w:firstLine="632"/>
        <w:rPr>
          <w:rFonts w:ascii="Times New Roman" w:hAnsi="Times New Roman" w:cs="Times New Roman"/>
          <w:sz w:val="32"/>
        </w:rPr>
      </w:pPr>
      <w:r>
        <w:rPr>
          <w:rFonts w:ascii="Times New Roman" w:hAnsi="Times New Roman" w:cs="Times New Roman"/>
          <w:sz w:val="32"/>
        </w:rPr>
        <w:t>（3）管控管制组。由县公安局牵头，县环境应急指挥部相关成员单位配合，组织建立现场警戒区和交通管制区域，疏散转移受威胁人员至安全紧急避险场所。</w:t>
      </w:r>
    </w:p>
    <w:p w14:paraId="095A5FB9">
      <w:pPr>
        <w:ind w:firstLine="632"/>
        <w:rPr>
          <w:rFonts w:ascii="Times New Roman" w:hAnsi="Times New Roman" w:cs="Times New Roman"/>
          <w:sz w:val="32"/>
        </w:rPr>
      </w:pPr>
      <w:r>
        <w:rPr>
          <w:rFonts w:ascii="Times New Roman" w:hAnsi="Times New Roman" w:cs="Times New Roman"/>
          <w:sz w:val="32"/>
        </w:rPr>
        <w:t>（4）应急监测组。由双鸭山市集贤生态环境局牵头，县自然资源局、县住房和城乡建设局、县水务局、县农业农村局、县卫生健康局、县气象局等配合，根据污染物种类、性质以及当地气象、自然、社会环境等状况，组织开展应急监测，提供监测数据，为专家咨询组分析确定污染程度、范围、污染扩散趋势、可能产生的影响及县华景应急指挥部应急决策提供依据。</w:t>
      </w:r>
    </w:p>
    <w:p w14:paraId="0AE12023">
      <w:pPr>
        <w:ind w:firstLine="632"/>
        <w:rPr>
          <w:rFonts w:ascii="Times New Roman" w:hAnsi="Times New Roman" w:cs="Times New Roman"/>
          <w:sz w:val="32"/>
        </w:rPr>
      </w:pPr>
      <w:r>
        <w:rPr>
          <w:rFonts w:ascii="Times New Roman" w:hAnsi="Times New Roman" w:cs="Times New Roman"/>
          <w:sz w:val="32"/>
        </w:rPr>
        <w:t>（5）医疗救治组。由县卫生健康局牵头，县交通运输局、县人民医院、县中医医院等单位配合，组织开展伤病员医疗救治，提供应急心理援助；指导和协助开展受污染人员的去污洗消工作；提出保护公众健康的措施建议。</w:t>
      </w:r>
    </w:p>
    <w:p w14:paraId="7EBA8CAC">
      <w:pPr>
        <w:ind w:firstLine="632"/>
        <w:rPr>
          <w:rFonts w:ascii="Times New Roman" w:hAnsi="Times New Roman" w:cs="Times New Roman"/>
          <w:sz w:val="32"/>
        </w:rPr>
      </w:pPr>
      <w:r>
        <w:rPr>
          <w:rFonts w:ascii="Times New Roman" w:hAnsi="Times New Roman" w:cs="Times New Roman"/>
          <w:sz w:val="32"/>
        </w:rPr>
        <w:t>（6）应急保障组。由双鸭山市集贤生态环境局牵头，县环境应急指挥部相关成员单位配合，组织做好环境应急救援物资及临时安置重要物资的紧急生产、储备调拨和紧急配送工作；为现场应急处置工作人员提供食宿等基本生活保障以及必要的交通、通讯、防护等工具器材，保障应急处置通讯畅通；及时组织调运重要生活必需品，保障群众基本生活和市场供应。</w:t>
      </w:r>
    </w:p>
    <w:p w14:paraId="40930BE7">
      <w:pPr>
        <w:ind w:firstLine="632"/>
        <w:rPr>
          <w:rFonts w:ascii="Times New Roman" w:hAnsi="Times New Roman" w:cs="Times New Roman"/>
          <w:sz w:val="32"/>
        </w:rPr>
      </w:pPr>
      <w:r>
        <w:rPr>
          <w:rFonts w:ascii="Times New Roman" w:hAnsi="Times New Roman" w:cs="Times New Roman"/>
          <w:sz w:val="32"/>
        </w:rPr>
        <w:t>（7）新闻工作组。由县委宣传部牵头，双鸭山市集贤生态环境局、县融媒体中心等单位配合，负责组织发布事件进展、应急工作情况等权威信息；收集分析国内外舆情和社会公众动态，加强媒体和互联网管理，正确引导舆论，及时澄清不实信息，回应社会关切；通过多种方式普及相关知识。</w:t>
      </w:r>
    </w:p>
    <w:p w14:paraId="21275218">
      <w:pPr>
        <w:ind w:firstLine="632"/>
        <w:rPr>
          <w:rFonts w:ascii="Times New Roman" w:hAnsi="Times New Roman" w:cs="Times New Roman"/>
          <w:sz w:val="32"/>
        </w:rPr>
      </w:pPr>
      <w:r>
        <w:rPr>
          <w:rFonts w:ascii="Times New Roman" w:hAnsi="Times New Roman" w:cs="Times New Roman"/>
          <w:sz w:val="32"/>
        </w:rPr>
        <w:t>（8）社会稳定组。由县公安局牵头，县环境应急指挥部相关成员单位配合，负责加强受影响地区社会治安管理，严厉打击借机传播谣言制造社会恐慌、哄抢物资等违法犯罪行为；加强转移人员安置点、救灾物资存放点等重点地区治安管控；做好受影响人员与涉事单位、地方政府及有关部门矛盾纠纷化解和法律服务工作，防止出现群体性事件，维护社会稳定；加强对重要生活必需品等商品的市场监管和调控，打击囤积居奇行为。</w:t>
      </w:r>
    </w:p>
    <w:p w14:paraId="7FA0A6BA">
      <w:pPr>
        <w:pStyle w:val="3"/>
        <w:ind w:firstLine="0" w:firstLineChars="0"/>
        <w:rPr>
          <w:rFonts w:ascii="Times New Roman" w:hAnsi="Times New Roman" w:cs="Times New Roman"/>
          <w:sz w:val="32"/>
        </w:rPr>
      </w:pPr>
      <w:bookmarkStart w:id="1079" w:name="_Toc5842"/>
      <w:r>
        <w:rPr>
          <w:rFonts w:ascii="Times New Roman" w:hAnsi="Times New Roman" w:cs="Times New Roman"/>
          <w:sz w:val="32"/>
        </w:rPr>
        <w:t>专家组组成与职责</w:t>
      </w:r>
      <w:bookmarkEnd w:id="1079"/>
    </w:p>
    <w:p w14:paraId="1BC027D4">
      <w:pPr>
        <w:ind w:firstLine="632"/>
        <w:rPr>
          <w:rFonts w:ascii="Times New Roman" w:hAnsi="Times New Roman" w:cs="Times New Roman"/>
          <w:sz w:val="32"/>
        </w:rPr>
      </w:pPr>
      <w:r>
        <w:rPr>
          <w:rFonts w:ascii="Times New Roman" w:hAnsi="Times New Roman" w:cs="Times New Roman"/>
          <w:sz w:val="32"/>
        </w:rPr>
        <w:t>由双鸭山市集贤生态环境局牵头，县环境应急指挥部相关成员单位配合，由高校、科研机构、企事业等有关单位的专家组成，负责污染物性质、污染范围、危害程度的快速确定工作，提出污染应急处置等工作建议；必要时出席新闻发布会，并负责权威解释工作。</w:t>
      </w:r>
    </w:p>
    <w:p w14:paraId="49D22BD0">
      <w:pPr>
        <w:pStyle w:val="2"/>
        <w:numPr>
          <w:ilvl w:val="0"/>
          <w:numId w:val="177"/>
        </w:numPr>
        <w:tabs>
          <w:tab w:val="left" w:pos="0"/>
        </w:tabs>
        <w:ind w:firstLine="0" w:firstLineChars="0"/>
        <w:rPr>
          <w:rFonts w:ascii="Times New Roman" w:hAnsi="Times New Roman" w:cs="Times New Roman"/>
          <w:sz w:val="32"/>
        </w:rPr>
      </w:pPr>
      <w:bookmarkStart w:id="1080" w:name="_Toc29043"/>
      <w:r>
        <w:rPr>
          <w:rFonts w:ascii="Times New Roman" w:hAnsi="Times New Roman" w:cs="Times New Roman"/>
          <w:sz w:val="32"/>
        </w:rPr>
        <w:t>预警和预防机制</w:t>
      </w:r>
      <w:bookmarkEnd w:id="1080"/>
    </w:p>
    <w:p w14:paraId="2E40DD29">
      <w:pPr>
        <w:pStyle w:val="3"/>
        <w:ind w:firstLine="0" w:firstLineChars="0"/>
        <w:rPr>
          <w:rFonts w:ascii="Times New Roman" w:hAnsi="Times New Roman" w:cs="Times New Roman"/>
          <w:sz w:val="32"/>
        </w:rPr>
      </w:pPr>
      <w:bookmarkStart w:id="1081" w:name="_Toc11236"/>
      <w:r>
        <w:rPr>
          <w:rFonts w:ascii="Times New Roman" w:hAnsi="Times New Roman" w:cs="Times New Roman"/>
          <w:sz w:val="32"/>
        </w:rPr>
        <w:t>信息监测</w:t>
      </w:r>
      <w:bookmarkEnd w:id="1081"/>
    </w:p>
    <w:p w14:paraId="1ADC612D">
      <w:pPr>
        <w:ind w:firstLine="632"/>
        <w:rPr>
          <w:rFonts w:ascii="Times New Roman" w:hAnsi="Times New Roman" w:cs="Times New Roman"/>
          <w:sz w:val="32"/>
        </w:rPr>
      </w:pPr>
      <w:r>
        <w:rPr>
          <w:rFonts w:ascii="Times New Roman" w:hAnsi="Times New Roman" w:cs="Times New Roman"/>
          <w:sz w:val="32"/>
        </w:rPr>
        <w:t>各乡镇人民政府按照早发现、早报告、早处置的原则，根据各自职责分工对县内外气象、自然灾害预警、环境监测等信息及发生在我县行政区域外，有可能对我县环境造成影响的事件进行综合分析、风险评估和汇总整理，及时通报给双鸭山市集贤生态环境局。</w:t>
      </w:r>
    </w:p>
    <w:p w14:paraId="052CA4FB">
      <w:pPr>
        <w:pStyle w:val="3"/>
        <w:ind w:firstLine="0" w:firstLineChars="0"/>
        <w:rPr>
          <w:rFonts w:ascii="Times New Roman" w:hAnsi="Times New Roman" w:cs="Times New Roman"/>
          <w:sz w:val="32"/>
        </w:rPr>
      </w:pPr>
      <w:bookmarkStart w:id="1082" w:name="_Toc15364"/>
      <w:r>
        <w:rPr>
          <w:rFonts w:ascii="Times New Roman" w:hAnsi="Times New Roman" w:cs="Times New Roman"/>
          <w:sz w:val="32"/>
        </w:rPr>
        <w:t>风险防控</w:t>
      </w:r>
      <w:bookmarkEnd w:id="1082"/>
    </w:p>
    <w:p w14:paraId="28140ED3">
      <w:pPr>
        <w:ind w:firstLine="632"/>
        <w:rPr>
          <w:rFonts w:ascii="Times New Roman" w:hAnsi="Times New Roman" w:cs="Times New Roman"/>
          <w:sz w:val="32"/>
        </w:rPr>
      </w:pPr>
      <w:r>
        <w:rPr>
          <w:rFonts w:ascii="Times New Roman" w:hAnsi="Times New Roman" w:cs="Times New Roman"/>
          <w:sz w:val="32"/>
        </w:rPr>
        <w:t>县人民政府各行业主管部门要加强监督管理，督导相关企业事业单位严格落实环境风险防范措施。企事业单位应当落实环境安全防控主体责任，开展环境风险隐患排查和治理，健全风险防控措施，消除环境风险隐患。按照有关规定开展环境风险评估和应急资源调查，制定突发环境事件应急预案并在双鸭山市集贤生态环境局备案。</w:t>
      </w:r>
    </w:p>
    <w:p w14:paraId="7928C943">
      <w:pPr>
        <w:pStyle w:val="3"/>
        <w:ind w:firstLine="0" w:firstLineChars="0"/>
        <w:rPr>
          <w:rFonts w:ascii="Times New Roman" w:hAnsi="Times New Roman" w:cs="Times New Roman"/>
          <w:sz w:val="32"/>
        </w:rPr>
      </w:pPr>
      <w:bookmarkStart w:id="1083" w:name="_Toc12799"/>
      <w:bookmarkStart w:id="1084" w:name="_Toc5026"/>
      <w:r>
        <w:rPr>
          <w:rFonts w:ascii="Times New Roman" w:hAnsi="Times New Roman" w:cs="Times New Roman"/>
          <w:sz w:val="32"/>
        </w:rPr>
        <w:t>预警</w:t>
      </w:r>
      <w:bookmarkEnd w:id="1083"/>
      <w:bookmarkEnd w:id="1084"/>
    </w:p>
    <w:p w14:paraId="73EF12C3">
      <w:pPr>
        <w:pStyle w:val="4"/>
        <w:numPr>
          <w:ilvl w:val="2"/>
          <w:numId w:val="177"/>
        </w:numPr>
        <w:tabs>
          <w:tab w:val="left" w:pos="0"/>
        </w:tabs>
        <w:ind w:firstLine="0" w:firstLineChars="0"/>
        <w:rPr>
          <w:rFonts w:ascii="Times New Roman" w:hAnsi="Times New Roman" w:cs="Times New Roman"/>
          <w:sz w:val="32"/>
        </w:rPr>
      </w:pPr>
      <w:r>
        <w:rPr>
          <w:rFonts w:ascii="Times New Roman" w:hAnsi="Times New Roman" w:cs="Times New Roman"/>
          <w:sz w:val="32"/>
        </w:rPr>
        <w:t>预警分级</w:t>
      </w:r>
    </w:p>
    <w:p w14:paraId="2458878F">
      <w:pPr>
        <w:ind w:firstLine="632"/>
        <w:rPr>
          <w:rFonts w:ascii="Times New Roman" w:hAnsi="Times New Roman" w:cs="Times New Roman"/>
          <w:sz w:val="32"/>
        </w:rPr>
      </w:pPr>
      <w:r>
        <w:rPr>
          <w:rFonts w:ascii="Times New Roman" w:hAnsi="Times New Roman" w:cs="Times New Roman"/>
          <w:sz w:val="32"/>
        </w:rPr>
        <w:t>对可以预警的突发环境事件，按照事件发生的可能性大小、紧急程度和可能造成的危害程度，将预警分为四级，预警级别由高到低分别为Ⅰ级、Ⅱ级、Ⅲ级、Ⅳ级，颜色依次用红色、橙色、黄色和蓝色表示。</w:t>
      </w:r>
    </w:p>
    <w:p w14:paraId="3DDB50EA">
      <w:pPr>
        <w:ind w:firstLine="632"/>
        <w:rPr>
          <w:rFonts w:ascii="Times New Roman" w:hAnsi="Times New Roman" w:cs="Times New Roman"/>
          <w:sz w:val="32"/>
        </w:rPr>
      </w:pPr>
      <w:r>
        <w:rPr>
          <w:rFonts w:ascii="Times New Roman" w:hAnsi="Times New Roman" w:cs="Times New Roman"/>
          <w:sz w:val="32"/>
        </w:rPr>
        <w:t>Ⅰ级（红色）预警：情况危急，可能发生或引发特别重大突发环境事件；或事件已经发生，可能进一步扩大影响范围，造成重大危害的。Ⅰ级（红色）预警由省政府根据国务院授权发布。</w:t>
      </w:r>
    </w:p>
    <w:p w14:paraId="7D0BBEB8">
      <w:pPr>
        <w:ind w:firstLine="632"/>
        <w:rPr>
          <w:rFonts w:ascii="Times New Roman" w:hAnsi="Times New Roman" w:cs="Times New Roman"/>
          <w:sz w:val="32"/>
        </w:rPr>
      </w:pPr>
      <w:r>
        <w:rPr>
          <w:rFonts w:ascii="Times New Roman" w:hAnsi="Times New Roman" w:cs="Times New Roman"/>
          <w:sz w:val="32"/>
        </w:rPr>
        <w:t>Ⅱ级（橙色）预警：情况紧急，可能发生或引发重大突发环境事件；或事件已经发生，可能进一步扩大影响范围，造成更大危害的。Ⅱ级（橙色）预警由省政府负责发布。</w:t>
      </w:r>
    </w:p>
    <w:p w14:paraId="1A99C949">
      <w:pPr>
        <w:ind w:firstLine="632"/>
        <w:rPr>
          <w:rFonts w:ascii="Times New Roman" w:hAnsi="Times New Roman" w:cs="Times New Roman"/>
          <w:sz w:val="32"/>
        </w:rPr>
      </w:pPr>
      <w:r>
        <w:rPr>
          <w:rFonts w:ascii="Times New Roman" w:hAnsi="Times New Roman" w:cs="Times New Roman"/>
          <w:sz w:val="32"/>
        </w:rPr>
        <w:t>Ⅲ级（黄色）预警：情况比较紧急，可能发生或引发较大突发环境事件；或事件已经发生，可能进一步扩大影响范围，造成较大危害的。Ⅲ级（黄色）预警由双鸭山市政府发布。</w:t>
      </w:r>
    </w:p>
    <w:p w14:paraId="7B6ACC7B">
      <w:pPr>
        <w:ind w:firstLine="632"/>
        <w:rPr>
          <w:rFonts w:ascii="Times New Roman" w:hAnsi="Times New Roman" w:cs="Times New Roman"/>
          <w:sz w:val="32"/>
        </w:rPr>
      </w:pPr>
      <w:r>
        <w:rPr>
          <w:rFonts w:ascii="Times New Roman" w:hAnsi="Times New Roman" w:cs="Times New Roman"/>
          <w:sz w:val="32"/>
        </w:rPr>
        <w:t>Ⅳ级（蓝色）预警：存在重大环境安全隐患，可能发生或引发一般突发环境事件；或事件已经发生，可能进一步扩大影响范围，造成公共危害的情况。Ⅳ级（蓝色）预警由集贤县人民政府发布。</w:t>
      </w:r>
    </w:p>
    <w:p w14:paraId="72537CF1">
      <w:pPr>
        <w:pStyle w:val="4"/>
        <w:numPr>
          <w:ilvl w:val="2"/>
          <w:numId w:val="177"/>
        </w:numPr>
        <w:tabs>
          <w:tab w:val="left" w:pos="0"/>
        </w:tabs>
        <w:ind w:firstLine="0" w:firstLineChars="0"/>
        <w:rPr>
          <w:rFonts w:ascii="Times New Roman" w:hAnsi="Times New Roman" w:cs="Times New Roman"/>
          <w:sz w:val="32"/>
        </w:rPr>
      </w:pPr>
      <w:r>
        <w:rPr>
          <w:rFonts w:ascii="Times New Roman" w:hAnsi="Times New Roman" w:cs="Times New Roman"/>
          <w:sz w:val="32"/>
        </w:rPr>
        <w:t>预警信息发布</w:t>
      </w:r>
    </w:p>
    <w:p w14:paraId="7AE163B6">
      <w:pPr>
        <w:ind w:firstLine="632"/>
        <w:rPr>
          <w:rFonts w:ascii="Times New Roman" w:hAnsi="Times New Roman" w:cs="Times New Roman"/>
          <w:sz w:val="32"/>
        </w:rPr>
      </w:pPr>
      <w:r>
        <w:rPr>
          <w:rFonts w:ascii="Times New Roman" w:hAnsi="Times New Roman" w:cs="Times New Roman"/>
          <w:sz w:val="32"/>
        </w:rPr>
        <w:t>双鸭山市集贤生态环境局根据获得信息研判可能或已经发生重大及以上突发环境事件时，应当立即向集贤县人民政府报告，由集贤县人民政府向双鸭山市</w:t>
      </w:r>
      <w:r>
        <w:rPr>
          <w:rFonts w:hint="eastAsia" w:ascii="Times New Roman" w:hAnsi="Times New Roman" w:cs="Times New Roman"/>
          <w:sz w:val="32"/>
        </w:rPr>
        <w:t>人民</w:t>
      </w:r>
      <w:r>
        <w:rPr>
          <w:rFonts w:ascii="Times New Roman" w:hAnsi="Times New Roman" w:cs="Times New Roman"/>
          <w:sz w:val="32"/>
        </w:rPr>
        <w:t>政府报告；研判可能或已经发生较大突发环境事件，可能进一步扩大影响范围，造成较大危害时，应当立即向双鸭山市政府提出预警信息发布建议。经批准后，以县环境应急指挥部办公室名义发布预警，通报同级相关部门、单位和可能影响到的相关地区，通过电视、广播、报纸、互联网、手机应用等方式向本行政区域公众发布。</w:t>
      </w:r>
    </w:p>
    <w:p w14:paraId="235A5B4E">
      <w:pPr>
        <w:pStyle w:val="4"/>
        <w:numPr>
          <w:ilvl w:val="2"/>
          <w:numId w:val="177"/>
        </w:numPr>
        <w:tabs>
          <w:tab w:val="left" w:pos="0"/>
        </w:tabs>
        <w:ind w:firstLine="0" w:firstLineChars="0"/>
        <w:rPr>
          <w:rFonts w:ascii="Times New Roman" w:hAnsi="Times New Roman" w:cs="Times New Roman"/>
          <w:sz w:val="32"/>
        </w:rPr>
      </w:pPr>
      <w:r>
        <w:rPr>
          <w:rFonts w:ascii="Times New Roman" w:hAnsi="Times New Roman" w:cs="Times New Roman"/>
          <w:sz w:val="32"/>
        </w:rPr>
        <w:t>预警措施</w:t>
      </w:r>
    </w:p>
    <w:p w14:paraId="1F47A981">
      <w:pPr>
        <w:ind w:firstLine="632"/>
        <w:rPr>
          <w:rFonts w:ascii="Times New Roman" w:hAnsi="Times New Roman" w:cs="Times New Roman"/>
          <w:sz w:val="32"/>
        </w:rPr>
      </w:pPr>
      <w:r>
        <w:rPr>
          <w:rFonts w:ascii="Times New Roman" w:hAnsi="Times New Roman" w:cs="Times New Roman"/>
          <w:sz w:val="32"/>
        </w:rPr>
        <w:t>针对可能发生突发环境事件的预警，县人民政府及有关部门视情况采取以下措施：</w:t>
      </w:r>
    </w:p>
    <w:p w14:paraId="7E82FC4B">
      <w:pPr>
        <w:ind w:firstLine="632"/>
        <w:rPr>
          <w:rFonts w:ascii="Times New Roman" w:hAnsi="Times New Roman" w:cs="Times New Roman"/>
          <w:sz w:val="32"/>
        </w:rPr>
      </w:pPr>
      <w:r>
        <w:rPr>
          <w:rFonts w:ascii="Times New Roman" w:hAnsi="Times New Roman" w:cs="Times New Roman"/>
          <w:sz w:val="32"/>
        </w:rPr>
        <w:t>（1）分析研判。组织有关部门和机构、专业技术人员及专家，对预警信息进行分析研判，预估可能的影响范围和危害程度。</w:t>
      </w:r>
    </w:p>
    <w:p w14:paraId="569A6848">
      <w:pPr>
        <w:ind w:firstLine="632"/>
        <w:rPr>
          <w:rFonts w:ascii="Times New Roman" w:hAnsi="Times New Roman" w:cs="Times New Roman"/>
          <w:sz w:val="32"/>
        </w:rPr>
      </w:pPr>
      <w:r>
        <w:rPr>
          <w:rFonts w:ascii="Times New Roman" w:hAnsi="Times New Roman" w:cs="Times New Roman"/>
          <w:sz w:val="32"/>
        </w:rPr>
        <w:t>（2）防范处置。迅速采取有效防范处置措施，控制事件苗头。在涉险区域设置注意事项提示或事件危害警告标志，利用各种渠道加大宣传，告知公众避险和减轻危害的常识、需采取的必要的健康防护措施。</w:t>
      </w:r>
    </w:p>
    <w:p w14:paraId="3A287099">
      <w:pPr>
        <w:ind w:firstLine="632"/>
        <w:rPr>
          <w:rFonts w:ascii="Times New Roman" w:hAnsi="Times New Roman" w:cs="Times New Roman"/>
          <w:sz w:val="32"/>
        </w:rPr>
      </w:pPr>
      <w:r>
        <w:rPr>
          <w:rFonts w:ascii="Times New Roman" w:hAnsi="Times New Roman" w:cs="Times New Roman"/>
          <w:sz w:val="32"/>
        </w:rPr>
        <w:t>（3）应急准备。提前疏散、转移可能受到危害的人员，并进行妥善安置。责令应急救援队伍、负有特定职责的人员进入待命状态，动员后备人员做好参加应急救援和处置工作的准备，并调集应急所需物资和设备，做好应急保障工作。</w:t>
      </w:r>
    </w:p>
    <w:p w14:paraId="5CB1C703">
      <w:pPr>
        <w:ind w:firstLine="632"/>
        <w:rPr>
          <w:rFonts w:ascii="Times New Roman" w:hAnsi="Times New Roman" w:cs="Times New Roman"/>
          <w:sz w:val="32"/>
        </w:rPr>
      </w:pPr>
      <w:r>
        <w:rPr>
          <w:rFonts w:ascii="Times New Roman" w:hAnsi="Times New Roman" w:cs="Times New Roman"/>
          <w:sz w:val="32"/>
        </w:rPr>
        <w:t>（4）舆论引导。及时准确发布事态最新情况，公布咨询电话，组织专家解读。加强相关舆情监测，做好舆论引导工作。</w:t>
      </w:r>
    </w:p>
    <w:p w14:paraId="5F9FAE63">
      <w:pPr>
        <w:pStyle w:val="4"/>
        <w:numPr>
          <w:ilvl w:val="2"/>
          <w:numId w:val="177"/>
        </w:numPr>
        <w:tabs>
          <w:tab w:val="left" w:pos="0"/>
        </w:tabs>
        <w:ind w:firstLine="0" w:firstLineChars="0"/>
        <w:rPr>
          <w:rFonts w:ascii="Times New Roman" w:hAnsi="Times New Roman" w:cs="Times New Roman"/>
          <w:sz w:val="32"/>
        </w:rPr>
      </w:pPr>
      <w:r>
        <w:rPr>
          <w:rFonts w:ascii="Times New Roman" w:hAnsi="Times New Roman" w:cs="Times New Roman"/>
          <w:sz w:val="32"/>
        </w:rPr>
        <w:t>预警级别调整和解除</w:t>
      </w:r>
    </w:p>
    <w:p w14:paraId="4A870C34">
      <w:pPr>
        <w:ind w:firstLine="632"/>
        <w:rPr>
          <w:rFonts w:ascii="Times New Roman" w:hAnsi="Times New Roman" w:cs="Times New Roman"/>
          <w:sz w:val="32"/>
        </w:rPr>
      </w:pPr>
      <w:r>
        <w:rPr>
          <w:rFonts w:ascii="Times New Roman" w:hAnsi="Times New Roman" w:cs="Times New Roman"/>
          <w:sz w:val="32"/>
        </w:rPr>
        <w:t>双鸭山市集贤生态环境局应当根据事态发展情况和采取措施的效果报请县环境应急指挥部适时调整预警级别。当判断不可能发生突发环境事件或者危险已经消除时，报请解除预警，适时终止相关措施。</w:t>
      </w:r>
    </w:p>
    <w:p w14:paraId="12A1CC8A">
      <w:pPr>
        <w:pStyle w:val="2"/>
        <w:numPr>
          <w:ilvl w:val="0"/>
          <w:numId w:val="177"/>
        </w:numPr>
        <w:tabs>
          <w:tab w:val="left" w:pos="0"/>
        </w:tabs>
        <w:ind w:firstLine="0" w:firstLineChars="0"/>
        <w:rPr>
          <w:rFonts w:ascii="Times New Roman" w:hAnsi="Times New Roman" w:cs="Times New Roman"/>
          <w:sz w:val="32"/>
        </w:rPr>
      </w:pPr>
      <w:bookmarkStart w:id="1085" w:name="_Toc28393"/>
      <w:r>
        <w:rPr>
          <w:rFonts w:ascii="Times New Roman" w:hAnsi="Times New Roman" w:cs="Times New Roman"/>
          <w:sz w:val="32"/>
        </w:rPr>
        <w:t>应急响应</w:t>
      </w:r>
      <w:bookmarkEnd w:id="1085"/>
    </w:p>
    <w:p w14:paraId="3521C915">
      <w:pPr>
        <w:pStyle w:val="3"/>
        <w:ind w:firstLine="0" w:firstLineChars="0"/>
        <w:rPr>
          <w:rFonts w:ascii="Times New Roman" w:hAnsi="Times New Roman" w:cs="Times New Roman"/>
          <w:sz w:val="32"/>
        </w:rPr>
      </w:pPr>
      <w:bookmarkStart w:id="1086" w:name="_Toc26053"/>
      <w:r>
        <w:rPr>
          <w:rFonts w:ascii="Times New Roman" w:hAnsi="Times New Roman" w:cs="Times New Roman"/>
          <w:sz w:val="32"/>
        </w:rPr>
        <w:t>信息报告</w:t>
      </w:r>
      <w:bookmarkEnd w:id="1086"/>
    </w:p>
    <w:p w14:paraId="32F89964">
      <w:pPr>
        <w:pStyle w:val="4"/>
        <w:numPr>
          <w:ilvl w:val="2"/>
          <w:numId w:val="177"/>
        </w:numPr>
        <w:tabs>
          <w:tab w:val="left" w:pos="0"/>
        </w:tabs>
        <w:ind w:firstLine="0" w:firstLineChars="0"/>
        <w:rPr>
          <w:rFonts w:ascii="Times New Roman" w:hAnsi="Times New Roman" w:cs="Times New Roman"/>
          <w:sz w:val="32"/>
        </w:rPr>
      </w:pPr>
      <w:r>
        <w:rPr>
          <w:rFonts w:ascii="Times New Roman" w:hAnsi="Times New Roman" w:cs="Times New Roman"/>
          <w:sz w:val="32"/>
        </w:rPr>
        <w:t>信息报告主体</w:t>
      </w:r>
    </w:p>
    <w:p w14:paraId="31D82CE1">
      <w:pPr>
        <w:ind w:firstLine="632"/>
        <w:rPr>
          <w:rFonts w:ascii="Times New Roman" w:hAnsi="Times New Roman" w:cs="Times New Roman"/>
          <w:sz w:val="32"/>
        </w:rPr>
      </w:pPr>
      <w:r>
        <w:rPr>
          <w:rFonts w:ascii="Times New Roman" w:hAnsi="Times New Roman" w:cs="Times New Roman"/>
          <w:sz w:val="32"/>
        </w:rPr>
        <w:t>突发环境事件发生后，涉事企事业单位或其他生产经营者必须采取应对措施，并立即向乡镇人民政府和双鸭山市集贤生态环境局报告，同时通报可能受到污染危害的单位和居民。因生产安全事故、交通事故等导致突发环境事件的，县应急管理局、公安交警大队、交通运输局等有关部门应当及时通报双鸭山市集贤生态环境局。</w:t>
      </w:r>
    </w:p>
    <w:p w14:paraId="0856D1F4">
      <w:pPr>
        <w:ind w:firstLine="632"/>
        <w:rPr>
          <w:rFonts w:ascii="Times New Roman" w:hAnsi="Times New Roman" w:cs="Times New Roman"/>
          <w:sz w:val="32"/>
        </w:rPr>
      </w:pPr>
      <w:r>
        <w:rPr>
          <w:rFonts w:ascii="Times New Roman" w:hAnsi="Times New Roman" w:cs="Times New Roman"/>
          <w:sz w:val="32"/>
        </w:rPr>
        <w:t>双鸭山市集贤生态环境局接到突发环境事件信息报告或监测到相关信息后，应当立即进行核实，对突发环境事件的性质和类别做出初步认定，对预判为较大以上突发环境事件等级的，应第一时间向县委、县政府和双鸭山市生态环境局报告，并于30分钟内书面报告，同时通报同级其他相关部门。发生重大或特别重大突发环境事件，应逐级上报至省委、省政府和黑龙江省生态环境厅。</w:t>
      </w:r>
    </w:p>
    <w:p w14:paraId="0C90770F">
      <w:pPr>
        <w:ind w:firstLine="632"/>
        <w:rPr>
          <w:rFonts w:ascii="Times New Roman" w:hAnsi="Times New Roman" w:cs="Times New Roman"/>
          <w:sz w:val="32"/>
        </w:rPr>
      </w:pPr>
      <w:r>
        <w:rPr>
          <w:rFonts w:ascii="Times New Roman" w:hAnsi="Times New Roman" w:cs="Times New Roman"/>
          <w:sz w:val="32"/>
        </w:rPr>
        <w:t>突发环境事件已经或者可能涉及相邻行政区域的，应当及时通报相邻行政区域同级政府。如果突发环境事件中的伤亡、失踪、被困人员有港澳台人员或外籍人员，或者突发事件可能影响到境外，需要由省政府向国务院报告，同时向有关部委通报。</w:t>
      </w:r>
    </w:p>
    <w:p w14:paraId="6304B1F7">
      <w:pPr>
        <w:pStyle w:val="4"/>
        <w:numPr>
          <w:ilvl w:val="2"/>
          <w:numId w:val="177"/>
        </w:numPr>
        <w:tabs>
          <w:tab w:val="left" w:pos="0"/>
        </w:tabs>
        <w:ind w:firstLine="0" w:firstLineChars="0"/>
        <w:rPr>
          <w:rFonts w:ascii="Times New Roman" w:hAnsi="Times New Roman" w:cs="Times New Roman"/>
          <w:sz w:val="32"/>
        </w:rPr>
      </w:pPr>
      <w:r>
        <w:rPr>
          <w:rFonts w:ascii="Times New Roman" w:hAnsi="Times New Roman" w:cs="Times New Roman"/>
          <w:sz w:val="32"/>
        </w:rPr>
        <w:t>信息报告要求</w:t>
      </w:r>
    </w:p>
    <w:p w14:paraId="743A46CC">
      <w:pPr>
        <w:ind w:firstLine="632"/>
        <w:rPr>
          <w:rFonts w:ascii="Times New Roman" w:hAnsi="Times New Roman" w:cs="Times New Roman"/>
          <w:sz w:val="32"/>
        </w:rPr>
      </w:pPr>
      <w:r>
        <w:rPr>
          <w:rFonts w:ascii="Times New Roman" w:hAnsi="Times New Roman" w:cs="Times New Roman"/>
          <w:sz w:val="32"/>
        </w:rPr>
        <w:t>发生下列一时无法判明等级的突发环境事件，事发地乡镇人民政府应当按照重大（Ⅱ级）或者特别重大（I级）突发环境事件的报告程序上报：</w:t>
      </w:r>
    </w:p>
    <w:p w14:paraId="2A856805">
      <w:pPr>
        <w:ind w:firstLine="632"/>
        <w:rPr>
          <w:rFonts w:ascii="Times New Roman" w:hAnsi="Times New Roman" w:cs="Times New Roman"/>
          <w:sz w:val="32"/>
        </w:rPr>
      </w:pPr>
      <w:r>
        <w:rPr>
          <w:rFonts w:ascii="Times New Roman" w:hAnsi="Times New Roman" w:cs="Times New Roman"/>
          <w:sz w:val="32"/>
        </w:rPr>
        <w:t>（1）对饮用水水源保护区造成或者可能造成影响的；</w:t>
      </w:r>
    </w:p>
    <w:p w14:paraId="5DA37D3C">
      <w:pPr>
        <w:ind w:firstLine="632"/>
        <w:rPr>
          <w:rFonts w:ascii="Times New Roman" w:hAnsi="Times New Roman" w:cs="Times New Roman"/>
          <w:sz w:val="32"/>
        </w:rPr>
      </w:pPr>
      <w:r>
        <w:rPr>
          <w:rFonts w:ascii="Times New Roman" w:hAnsi="Times New Roman" w:cs="Times New Roman"/>
          <w:sz w:val="32"/>
        </w:rPr>
        <w:t>（2）涉及居民聚居区、学校、医院等敏感区域和敏感人群的；</w:t>
      </w:r>
    </w:p>
    <w:p w14:paraId="17BFDEF4">
      <w:pPr>
        <w:ind w:firstLine="632"/>
        <w:rPr>
          <w:rFonts w:ascii="Times New Roman" w:hAnsi="Times New Roman" w:cs="Times New Roman"/>
          <w:sz w:val="32"/>
        </w:rPr>
      </w:pPr>
      <w:r>
        <w:rPr>
          <w:rFonts w:ascii="Times New Roman" w:hAnsi="Times New Roman" w:cs="Times New Roman"/>
          <w:sz w:val="32"/>
        </w:rPr>
        <w:t>（3）涉及重金属或者类金属污染的；</w:t>
      </w:r>
    </w:p>
    <w:p w14:paraId="607EB96D">
      <w:pPr>
        <w:ind w:firstLine="632"/>
        <w:rPr>
          <w:rFonts w:ascii="Times New Roman" w:hAnsi="Times New Roman" w:cs="Times New Roman"/>
          <w:sz w:val="32"/>
        </w:rPr>
      </w:pPr>
      <w:r>
        <w:rPr>
          <w:rFonts w:ascii="Times New Roman" w:hAnsi="Times New Roman" w:cs="Times New Roman"/>
          <w:sz w:val="32"/>
        </w:rPr>
        <w:t>（4）有可能产生跨省或者跨国影响的；</w:t>
      </w:r>
    </w:p>
    <w:p w14:paraId="77E34FB7">
      <w:pPr>
        <w:ind w:firstLine="632"/>
        <w:rPr>
          <w:rFonts w:ascii="Times New Roman" w:hAnsi="Times New Roman" w:cs="Times New Roman"/>
          <w:sz w:val="32"/>
        </w:rPr>
      </w:pPr>
      <w:r>
        <w:rPr>
          <w:rFonts w:ascii="Times New Roman" w:hAnsi="Times New Roman" w:cs="Times New Roman"/>
          <w:sz w:val="32"/>
        </w:rPr>
        <w:t>（5）因环境污染引发群体性事件，或者社会影响较大的；</w:t>
      </w:r>
    </w:p>
    <w:p w14:paraId="39400F3E">
      <w:pPr>
        <w:ind w:firstLine="632"/>
        <w:rPr>
          <w:rFonts w:ascii="Times New Roman" w:hAnsi="Times New Roman" w:cs="Times New Roman"/>
          <w:sz w:val="32"/>
        </w:rPr>
      </w:pPr>
      <w:r>
        <w:rPr>
          <w:rFonts w:ascii="Times New Roman" w:hAnsi="Times New Roman" w:cs="Times New Roman"/>
          <w:sz w:val="32"/>
        </w:rPr>
        <w:t>（6）地方政府生态环境主管部门认为有必要报告的其他突发环境事件。</w:t>
      </w:r>
    </w:p>
    <w:p w14:paraId="344DEE41">
      <w:pPr>
        <w:pStyle w:val="4"/>
        <w:numPr>
          <w:ilvl w:val="2"/>
          <w:numId w:val="177"/>
        </w:numPr>
        <w:tabs>
          <w:tab w:val="left" w:pos="0"/>
        </w:tabs>
        <w:ind w:firstLine="0" w:firstLineChars="0"/>
        <w:rPr>
          <w:rFonts w:ascii="Times New Roman" w:hAnsi="Times New Roman" w:cs="Times New Roman"/>
          <w:sz w:val="32"/>
        </w:rPr>
      </w:pPr>
      <w:r>
        <w:rPr>
          <w:rFonts w:ascii="Times New Roman" w:hAnsi="Times New Roman" w:cs="Times New Roman"/>
          <w:sz w:val="32"/>
        </w:rPr>
        <w:t>信息报告内容</w:t>
      </w:r>
    </w:p>
    <w:p w14:paraId="04F1C192">
      <w:pPr>
        <w:ind w:firstLine="632"/>
        <w:rPr>
          <w:rFonts w:ascii="Times New Roman" w:hAnsi="Times New Roman" w:cs="Times New Roman"/>
          <w:sz w:val="32"/>
        </w:rPr>
      </w:pPr>
      <w:r>
        <w:rPr>
          <w:rFonts w:ascii="Times New Roman" w:hAnsi="Times New Roman" w:cs="Times New Roman"/>
          <w:sz w:val="32"/>
        </w:rPr>
        <w:t>突发环境事件信息报告过程分为初报、续报和终报。</w:t>
      </w:r>
    </w:p>
    <w:p w14:paraId="7B2228A6">
      <w:pPr>
        <w:ind w:firstLine="632"/>
        <w:rPr>
          <w:rFonts w:ascii="Times New Roman" w:hAnsi="Times New Roman" w:cs="Times New Roman"/>
          <w:sz w:val="32"/>
        </w:rPr>
      </w:pPr>
      <w:r>
        <w:rPr>
          <w:rFonts w:ascii="Times New Roman" w:hAnsi="Times New Roman" w:cs="Times New Roman"/>
          <w:sz w:val="32"/>
        </w:rPr>
        <w:t>初报主要内容包括突发环境事件的信息来源、发生时间、地点、污染源、主要污染物和数量、人员受害情况、损失情况、饮用水源地等环境敏感点受影响情况及事件潜在的危害程度、发展趋势、初步判断事件的性质和类别、拟采取的措施以及下一步工作建议等初步情况。紧急情况下，初报可先通过电话口头报告，再及时补充书面报告。</w:t>
      </w:r>
    </w:p>
    <w:p w14:paraId="7792427E">
      <w:pPr>
        <w:ind w:firstLine="632"/>
        <w:rPr>
          <w:rFonts w:ascii="Times New Roman" w:hAnsi="Times New Roman" w:cs="Times New Roman"/>
          <w:sz w:val="32"/>
        </w:rPr>
      </w:pPr>
      <w:r>
        <w:rPr>
          <w:rFonts w:ascii="Times New Roman" w:hAnsi="Times New Roman" w:cs="Times New Roman"/>
          <w:sz w:val="32"/>
        </w:rPr>
        <w:t>续报应当在初报的基础上，报告事件发生的过程、污染物数量、监测数据、应急预案启动、指挥部组成、落实上级领导指示批示情况、人员力量和装备调用情况、采取的应急措施及有关处置进展情况、社会舆情控制、引导及信息发布等情况、拟请上级政府或部门协助解决或支援的有关事项。</w:t>
      </w:r>
    </w:p>
    <w:p w14:paraId="07F97928">
      <w:pPr>
        <w:ind w:firstLine="632"/>
        <w:rPr>
          <w:rFonts w:ascii="Times New Roman" w:hAnsi="Times New Roman" w:cs="Times New Roman"/>
          <w:sz w:val="32"/>
        </w:rPr>
      </w:pPr>
      <w:r>
        <w:rPr>
          <w:rFonts w:ascii="Times New Roman" w:hAnsi="Times New Roman" w:cs="Times New Roman"/>
          <w:sz w:val="32"/>
        </w:rPr>
        <w:t>终报在初报和续报的基础上，报告处理突发环境事件的措施、过程和结果，事件潜在或间接危害、社会影响、善后安置、处理后的遗留问题、恢复重建及对整个事件的调查评估、责任追究等详细情况。</w:t>
      </w:r>
    </w:p>
    <w:p w14:paraId="32A1B4DB">
      <w:pPr>
        <w:pStyle w:val="4"/>
        <w:numPr>
          <w:ilvl w:val="2"/>
          <w:numId w:val="177"/>
        </w:numPr>
        <w:tabs>
          <w:tab w:val="left" w:pos="0"/>
        </w:tabs>
        <w:ind w:firstLine="0" w:firstLineChars="0"/>
        <w:rPr>
          <w:rFonts w:ascii="Times New Roman" w:hAnsi="Times New Roman" w:cs="Times New Roman"/>
          <w:sz w:val="32"/>
        </w:rPr>
      </w:pPr>
      <w:r>
        <w:rPr>
          <w:rFonts w:ascii="Times New Roman" w:hAnsi="Times New Roman" w:cs="Times New Roman"/>
          <w:sz w:val="32"/>
        </w:rPr>
        <w:t>信息报告方式</w:t>
      </w:r>
    </w:p>
    <w:p w14:paraId="4FCC88F3">
      <w:pPr>
        <w:ind w:firstLine="632"/>
        <w:rPr>
          <w:rFonts w:ascii="Times New Roman" w:hAnsi="Times New Roman" w:cs="Times New Roman"/>
          <w:sz w:val="32"/>
        </w:rPr>
      </w:pPr>
      <w:r>
        <w:rPr>
          <w:rFonts w:ascii="Times New Roman" w:hAnsi="Times New Roman" w:cs="Times New Roman"/>
          <w:sz w:val="32"/>
        </w:rPr>
        <w:t>突发环境事件信息应当采用传真、网络、邮寄或面呈等方式书面报告；书面报告中应当注明突发环境事件报告单位、报告签发人、联系人及联系方式等内容，并尽可能提供地图、图片以及相关的多媒体资料。</w:t>
      </w:r>
    </w:p>
    <w:p w14:paraId="751DB0EE">
      <w:pPr>
        <w:pStyle w:val="3"/>
        <w:ind w:firstLine="0" w:firstLineChars="0"/>
        <w:rPr>
          <w:rFonts w:ascii="Times New Roman" w:hAnsi="Times New Roman" w:cs="Times New Roman"/>
          <w:sz w:val="32"/>
        </w:rPr>
      </w:pPr>
      <w:bookmarkStart w:id="1087" w:name="_Toc6613"/>
      <w:r>
        <w:rPr>
          <w:rFonts w:ascii="Times New Roman" w:hAnsi="Times New Roman" w:cs="Times New Roman"/>
          <w:sz w:val="32"/>
        </w:rPr>
        <w:t>先期处置</w:t>
      </w:r>
      <w:bookmarkEnd w:id="1087"/>
    </w:p>
    <w:p w14:paraId="63D862C0">
      <w:pPr>
        <w:ind w:firstLine="632"/>
        <w:rPr>
          <w:rFonts w:ascii="Times New Roman" w:hAnsi="Times New Roman" w:cs="Times New Roman"/>
          <w:sz w:val="32"/>
        </w:rPr>
      </w:pPr>
      <w:r>
        <w:rPr>
          <w:rFonts w:ascii="Times New Roman" w:hAnsi="Times New Roman" w:cs="Times New Roman"/>
          <w:sz w:val="32"/>
        </w:rPr>
        <w:t>突发环境事件发生后，涉事单位应立即报告事发地乡镇人民政府，同时立即组织力量营救受害人员，做好人员疏散和秩序维护；迅速切断和控制污染源，根据情况采取关闭、停产、封堵、围挡、喷淋、转移等措施，防止污染蔓延扩散。做好有毒、有害物质和消防废水、废液的收集、清理和安全处置工作。</w:t>
      </w:r>
    </w:p>
    <w:p w14:paraId="3888ACAE">
      <w:pPr>
        <w:ind w:firstLine="632"/>
        <w:rPr>
          <w:rFonts w:ascii="Times New Roman" w:hAnsi="Times New Roman" w:cs="Times New Roman"/>
          <w:sz w:val="32"/>
        </w:rPr>
      </w:pPr>
      <w:r>
        <w:rPr>
          <w:rFonts w:ascii="Times New Roman" w:hAnsi="Times New Roman" w:cs="Times New Roman"/>
          <w:sz w:val="32"/>
        </w:rPr>
        <w:t>事发地乡镇人民政府接到报告后，对本辖区内发生的各类突发环境事件，无论级别高低、规模大小、损失轻重，应立即赶赴现场组织指挥，尽快判明事件性质和危害程度，及时采取相应的处置措施，全力控制事态发展，减少财产损失和社会影响。</w:t>
      </w:r>
    </w:p>
    <w:p w14:paraId="50B77694">
      <w:pPr>
        <w:pStyle w:val="3"/>
        <w:ind w:firstLine="0" w:firstLineChars="0"/>
        <w:rPr>
          <w:rFonts w:ascii="Times New Roman" w:hAnsi="Times New Roman" w:cs="Times New Roman"/>
          <w:sz w:val="32"/>
        </w:rPr>
      </w:pPr>
      <w:bookmarkStart w:id="1088" w:name="_Toc3947"/>
      <w:r>
        <w:rPr>
          <w:rFonts w:ascii="Times New Roman" w:hAnsi="Times New Roman" w:cs="Times New Roman"/>
          <w:sz w:val="32"/>
        </w:rPr>
        <w:t>分级响应</w:t>
      </w:r>
      <w:bookmarkEnd w:id="1088"/>
    </w:p>
    <w:p w14:paraId="7A425D12">
      <w:pPr>
        <w:ind w:firstLine="632"/>
        <w:rPr>
          <w:rFonts w:ascii="Times New Roman" w:hAnsi="Times New Roman" w:cs="Times New Roman"/>
          <w:sz w:val="32"/>
        </w:rPr>
      </w:pPr>
      <w:r>
        <w:rPr>
          <w:rFonts w:ascii="Times New Roman" w:hAnsi="Times New Roman" w:cs="Times New Roman"/>
          <w:sz w:val="32"/>
        </w:rPr>
        <w:t>突发环境事件应急响应坚持属地为主的原则，县人民政府及事发地乡镇人民政府按照有关规定全面负责突发环境事件应急处置工作。根据突发环境事件的严重程度和发展态势，将县级应急响应设定为Ⅰ级、Ⅱ级和Ⅲ级三个等级。</w:t>
      </w:r>
    </w:p>
    <w:p w14:paraId="131E629D">
      <w:pPr>
        <w:ind w:firstLine="632"/>
        <w:rPr>
          <w:rFonts w:ascii="Times New Roman" w:hAnsi="Times New Roman" w:cs="Times New Roman"/>
          <w:sz w:val="32"/>
        </w:rPr>
      </w:pPr>
      <w:r>
        <w:rPr>
          <w:rFonts w:ascii="Times New Roman" w:hAnsi="Times New Roman" w:cs="Times New Roman"/>
          <w:sz w:val="32"/>
        </w:rPr>
        <w:t>Ⅲ级响应：初判发生一般突发环境事件，由事发地乡镇人民政府应急指挥机构负责启动应急响应，根据需要成立现场指挥部，组织调动事发单位、相关应急救援队伍和资源进行协同处置，同时按规定报告突发环境事件信息。根据应急工作需要，县环境应急指挥部有关成员单位给予指导支援。</w:t>
      </w:r>
    </w:p>
    <w:p w14:paraId="2BB1406C">
      <w:pPr>
        <w:ind w:firstLine="632"/>
        <w:rPr>
          <w:rFonts w:ascii="Times New Roman" w:hAnsi="Times New Roman" w:cs="Times New Roman"/>
          <w:sz w:val="32"/>
        </w:rPr>
      </w:pPr>
      <w:r>
        <w:rPr>
          <w:rFonts w:ascii="Times New Roman" w:hAnsi="Times New Roman" w:cs="Times New Roman"/>
          <w:sz w:val="32"/>
        </w:rPr>
        <w:t>Ⅱ级响应：初判发生较大突发环境事件，由县环境应急指挥部负责启动Ⅱ级应急响应，根据需要成立现场指挥部，组织调动事发单位、属地政府、相关应急救援队伍和资源进行抢险救援和协同处置，同时按规定报告突发环境事件信息。</w:t>
      </w:r>
    </w:p>
    <w:p w14:paraId="072D19AB">
      <w:pPr>
        <w:ind w:firstLine="632"/>
        <w:rPr>
          <w:rFonts w:ascii="Times New Roman" w:hAnsi="Times New Roman" w:cs="Times New Roman"/>
          <w:sz w:val="32"/>
        </w:rPr>
      </w:pPr>
      <w:r>
        <w:rPr>
          <w:rFonts w:ascii="Times New Roman" w:hAnsi="Times New Roman" w:cs="Times New Roman"/>
          <w:sz w:val="32"/>
        </w:rPr>
        <w:t>Ⅰ级响应：初判发生重大、特别重大突发环境事件，由县人民政府报告双鸭山市政府。同时，县环境应急指挥部组织调动相关应急救援力量和资源进行先期处置，按规定报告突发环境事件信息。在上级突发环境事件应急指挥机构的统一领导下开展应急工作。</w:t>
      </w:r>
    </w:p>
    <w:p w14:paraId="67EA9E34">
      <w:pPr>
        <w:ind w:firstLine="632"/>
        <w:rPr>
          <w:rFonts w:ascii="Times New Roman" w:hAnsi="Times New Roman" w:cs="Times New Roman"/>
          <w:sz w:val="32"/>
        </w:rPr>
      </w:pPr>
      <w:r>
        <w:rPr>
          <w:rFonts w:ascii="Times New Roman" w:hAnsi="Times New Roman" w:cs="Times New Roman"/>
          <w:sz w:val="32"/>
        </w:rPr>
        <w:t>启动响应时，县环境应急指挥部应发布启动响应通告。突发环境事件发生在易造成重大影响的地区或重要时段时，可适当提高响应级别。应急响应启动后，可视事件损失情况及其发展趋势调整响应级别，避免响应不足或响应过度。当超出本级政府协调处置能力时，要及时向上级政府提出支援申请。</w:t>
      </w:r>
    </w:p>
    <w:p w14:paraId="060F7201">
      <w:pPr>
        <w:pStyle w:val="3"/>
        <w:ind w:firstLine="0" w:firstLineChars="0"/>
        <w:rPr>
          <w:rFonts w:ascii="Times New Roman" w:hAnsi="Times New Roman" w:cs="Times New Roman"/>
          <w:sz w:val="32"/>
        </w:rPr>
      </w:pPr>
      <w:bookmarkStart w:id="1089" w:name="_Toc9799"/>
      <w:r>
        <w:rPr>
          <w:rFonts w:ascii="Times New Roman" w:hAnsi="Times New Roman" w:cs="Times New Roman"/>
          <w:sz w:val="32"/>
        </w:rPr>
        <w:t>指挥协调</w:t>
      </w:r>
      <w:bookmarkEnd w:id="1089"/>
    </w:p>
    <w:p w14:paraId="66BE05E9">
      <w:pPr>
        <w:ind w:firstLine="632"/>
        <w:rPr>
          <w:rFonts w:ascii="Times New Roman" w:hAnsi="Times New Roman" w:cs="Times New Roman"/>
          <w:sz w:val="32"/>
        </w:rPr>
      </w:pPr>
      <w:r>
        <w:rPr>
          <w:rFonts w:ascii="Times New Roman" w:hAnsi="Times New Roman" w:cs="Times New Roman"/>
          <w:sz w:val="32"/>
        </w:rPr>
        <w:t>县环境应急指挥部接到突发环境事件报告后，应立即通知有关部门组织工作人员、专家和技术支撑队伍赶赴现场，部署应急处置工作。开设现场指挥部，负责现场应急抢险救援和污染处置工作，统一调度指挥各级、各专业应急救援力量，紧急调用协调应急救援所需的物资、设备，采取有效措施消除和减轻污染危害，严防二次污染和次生、衍生事件发生。</w:t>
      </w:r>
    </w:p>
    <w:p w14:paraId="2C52A135">
      <w:pPr>
        <w:pStyle w:val="3"/>
        <w:ind w:firstLine="0" w:firstLineChars="0"/>
        <w:rPr>
          <w:rFonts w:ascii="Times New Roman" w:hAnsi="Times New Roman" w:cs="Times New Roman"/>
          <w:sz w:val="32"/>
        </w:rPr>
      </w:pPr>
      <w:bookmarkStart w:id="1090" w:name="_Toc13324"/>
      <w:r>
        <w:rPr>
          <w:rFonts w:ascii="Times New Roman" w:hAnsi="Times New Roman" w:cs="Times New Roman"/>
          <w:sz w:val="32"/>
        </w:rPr>
        <w:t>处置措施</w:t>
      </w:r>
      <w:bookmarkEnd w:id="1090"/>
    </w:p>
    <w:p w14:paraId="73A006E4">
      <w:pPr>
        <w:pStyle w:val="4"/>
        <w:numPr>
          <w:ilvl w:val="2"/>
          <w:numId w:val="177"/>
        </w:numPr>
        <w:tabs>
          <w:tab w:val="left" w:pos="0"/>
        </w:tabs>
        <w:ind w:firstLine="0" w:firstLineChars="0"/>
        <w:rPr>
          <w:rFonts w:ascii="Times New Roman" w:hAnsi="Times New Roman" w:cs="Times New Roman"/>
          <w:sz w:val="32"/>
        </w:rPr>
      </w:pPr>
      <w:r>
        <w:rPr>
          <w:rFonts w:ascii="Times New Roman" w:hAnsi="Times New Roman" w:cs="Times New Roman"/>
          <w:sz w:val="32"/>
        </w:rPr>
        <w:t>抢险救援</w:t>
      </w:r>
    </w:p>
    <w:p w14:paraId="60E78A1A">
      <w:pPr>
        <w:ind w:firstLine="632"/>
        <w:rPr>
          <w:rFonts w:ascii="Times New Roman" w:hAnsi="Times New Roman" w:cs="Times New Roman"/>
          <w:sz w:val="32"/>
        </w:rPr>
      </w:pPr>
      <w:r>
        <w:rPr>
          <w:rFonts w:ascii="Times New Roman" w:hAnsi="Times New Roman" w:cs="Times New Roman"/>
          <w:sz w:val="32"/>
        </w:rPr>
        <w:t>广泛搜集现场情况和资料，分析研判引发突发环境事件的生产安全事故造成的损毁破坏情况，确定救援方案和筑堤导流、堵漏、导罐转移等主要控制措施。组织企业人员和专业及社会应急队伍，在充分做好个人防护的基础上，迅速开展现场被困人员救援和损毁设施抢险工作，力争在最短时间内封堵污染源。</w:t>
      </w:r>
    </w:p>
    <w:p w14:paraId="6F22BB4E">
      <w:pPr>
        <w:pStyle w:val="4"/>
        <w:numPr>
          <w:ilvl w:val="2"/>
          <w:numId w:val="177"/>
        </w:numPr>
        <w:tabs>
          <w:tab w:val="left" w:pos="0"/>
        </w:tabs>
        <w:ind w:firstLine="0" w:firstLineChars="0"/>
        <w:rPr>
          <w:rFonts w:ascii="Times New Roman" w:hAnsi="Times New Roman" w:cs="Times New Roman"/>
          <w:sz w:val="32"/>
        </w:rPr>
      </w:pPr>
      <w:r>
        <w:rPr>
          <w:rFonts w:ascii="Times New Roman" w:hAnsi="Times New Roman" w:cs="Times New Roman"/>
          <w:sz w:val="32"/>
        </w:rPr>
        <w:t>污染处置</w:t>
      </w:r>
    </w:p>
    <w:p w14:paraId="18429E30">
      <w:pPr>
        <w:ind w:firstLine="632"/>
        <w:rPr>
          <w:rFonts w:ascii="Times New Roman" w:hAnsi="Times New Roman" w:cs="Times New Roman"/>
          <w:sz w:val="32"/>
        </w:rPr>
      </w:pPr>
      <w:r>
        <w:rPr>
          <w:rFonts w:ascii="Times New Roman" w:hAnsi="Times New Roman" w:cs="Times New Roman"/>
          <w:sz w:val="32"/>
        </w:rPr>
        <w:t>组织制订综合治污方案，采用监测和模拟等手段追踪污染气体扩散途径和范围；采取喷淋、拦截、导流、疏浚等形式防止水体污染物扩散或尽力减少污染物扩散范围；采取建设围堰、拦截坝等方式防治土壤污染物扩散。根据污染物质的性质，采取隔离、吸附、打捞、氧化还原、中和、沉淀、消毒、去污洗消、临时收贮、微生物消解、调水稀释、转移异地处置、临时改造污染处置工艺或临时建设污染处置工程等方法处置污染物。必要时，要求其他排污单位停产、限产、限排，减轻环境污染负荷。</w:t>
      </w:r>
    </w:p>
    <w:p w14:paraId="4C7B0C9E">
      <w:pPr>
        <w:pStyle w:val="4"/>
        <w:numPr>
          <w:ilvl w:val="2"/>
          <w:numId w:val="177"/>
        </w:numPr>
        <w:tabs>
          <w:tab w:val="left" w:pos="0"/>
        </w:tabs>
        <w:ind w:firstLine="0" w:firstLineChars="0"/>
        <w:rPr>
          <w:rFonts w:ascii="Times New Roman" w:hAnsi="Times New Roman" w:cs="Times New Roman"/>
          <w:sz w:val="32"/>
        </w:rPr>
      </w:pPr>
      <w:r>
        <w:rPr>
          <w:rFonts w:ascii="Times New Roman" w:hAnsi="Times New Roman" w:cs="Times New Roman"/>
          <w:sz w:val="32"/>
        </w:rPr>
        <w:t>转移人员</w:t>
      </w:r>
    </w:p>
    <w:p w14:paraId="737A9B49">
      <w:pPr>
        <w:ind w:firstLine="632"/>
        <w:rPr>
          <w:rFonts w:ascii="Times New Roman" w:hAnsi="Times New Roman" w:cs="Times New Roman"/>
          <w:sz w:val="32"/>
        </w:rPr>
      </w:pPr>
      <w:r>
        <w:rPr>
          <w:rFonts w:ascii="Times New Roman" w:hAnsi="Times New Roman" w:cs="Times New Roman"/>
          <w:sz w:val="32"/>
        </w:rPr>
        <w:t>根据突发环境事件影响及事发当地的气象、地理环境、人员密集度等，建立现场警戒区、交通管制区域和重点防护区域，确定受威胁人员疏散的方式和途径，有组织、有秩序地及时疏散转移受威胁人员和可能受影响地区居民，确保生命安全。妥善安置转移人员，搞好基本生活保障和必要医疗保障。</w:t>
      </w:r>
    </w:p>
    <w:p w14:paraId="2A78AE32">
      <w:pPr>
        <w:pStyle w:val="4"/>
        <w:numPr>
          <w:ilvl w:val="2"/>
          <w:numId w:val="177"/>
        </w:numPr>
        <w:tabs>
          <w:tab w:val="left" w:pos="0"/>
        </w:tabs>
        <w:ind w:firstLine="0" w:firstLineChars="0"/>
        <w:rPr>
          <w:rFonts w:ascii="Times New Roman" w:hAnsi="Times New Roman" w:cs="Times New Roman"/>
          <w:sz w:val="32"/>
        </w:rPr>
      </w:pPr>
      <w:r>
        <w:rPr>
          <w:rFonts w:ascii="Times New Roman" w:hAnsi="Times New Roman" w:cs="Times New Roman"/>
          <w:sz w:val="32"/>
        </w:rPr>
        <w:t>医疗救治</w:t>
      </w:r>
    </w:p>
    <w:p w14:paraId="793CDA66">
      <w:pPr>
        <w:ind w:firstLine="632"/>
        <w:rPr>
          <w:rFonts w:ascii="Times New Roman" w:hAnsi="Times New Roman" w:cs="Times New Roman"/>
          <w:sz w:val="32"/>
        </w:rPr>
      </w:pPr>
      <w:r>
        <w:rPr>
          <w:rFonts w:ascii="Times New Roman" w:hAnsi="Times New Roman" w:cs="Times New Roman"/>
          <w:sz w:val="32"/>
        </w:rPr>
        <w:t>迅速组织当地医疗资源和力量，对伤病员进行诊断治疗，根据需要及时、安全地将重症伤病员转运到有条件的医疗机构加强救治。指导和协助开展受污染人员的去污洗消工作，提出保护公众健康的措施建议。做好受影响人员的心理援助。</w:t>
      </w:r>
    </w:p>
    <w:p w14:paraId="75BA596C">
      <w:pPr>
        <w:pStyle w:val="4"/>
        <w:numPr>
          <w:ilvl w:val="2"/>
          <w:numId w:val="177"/>
        </w:numPr>
        <w:tabs>
          <w:tab w:val="left" w:pos="0"/>
        </w:tabs>
        <w:ind w:firstLine="0" w:firstLineChars="0"/>
        <w:rPr>
          <w:rFonts w:ascii="Times New Roman" w:hAnsi="Times New Roman" w:cs="Times New Roman"/>
          <w:sz w:val="32"/>
        </w:rPr>
      </w:pPr>
      <w:r>
        <w:rPr>
          <w:rFonts w:ascii="Times New Roman" w:hAnsi="Times New Roman" w:cs="Times New Roman"/>
          <w:sz w:val="32"/>
        </w:rPr>
        <w:t>应急监测</w:t>
      </w:r>
    </w:p>
    <w:p w14:paraId="3DACAF39">
      <w:pPr>
        <w:ind w:firstLine="632"/>
        <w:rPr>
          <w:rFonts w:ascii="Times New Roman" w:hAnsi="Times New Roman" w:cs="Times New Roman"/>
          <w:sz w:val="32"/>
        </w:rPr>
      </w:pPr>
      <w:r>
        <w:rPr>
          <w:rFonts w:ascii="Times New Roman" w:hAnsi="Times New Roman" w:cs="Times New Roman"/>
          <w:sz w:val="32"/>
        </w:rPr>
        <w:t>根据突发环境事件的污染物种类、性质以及当地自然、社会环境状况等，明确相应的应急监测方案及监测方法，确定监测的布点和频次，调配应急监测设备、车辆，及时准确监测，为突发环境事件应急决策提供依据。</w:t>
      </w:r>
    </w:p>
    <w:p w14:paraId="7DCFA57A">
      <w:pPr>
        <w:pStyle w:val="4"/>
        <w:numPr>
          <w:ilvl w:val="2"/>
          <w:numId w:val="177"/>
        </w:numPr>
        <w:tabs>
          <w:tab w:val="left" w:pos="0"/>
        </w:tabs>
        <w:ind w:firstLine="0" w:firstLineChars="0"/>
        <w:rPr>
          <w:rFonts w:ascii="Times New Roman" w:hAnsi="Times New Roman" w:cs="Times New Roman"/>
          <w:sz w:val="32"/>
        </w:rPr>
      </w:pPr>
      <w:r>
        <w:rPr>
          <w:rFonts w:ascii="Times New Roman" w:hAnsi="Times New Roman" w:cs="Times New Roman"/>
          <w:sz w:val="32"/>
        </w:rPr>
        <w:t>市场监控</w:t>
      </w:r>
    </w:p>
    <w:p w14:paraId="78BF8E92">
      <w:pPr>
        <w:ind w:firstLine="632"/>
        <w:rPr>
          <w:rFonts w:ascii="Times New Roman" w:hAnsi="Times New Roman" w:cs="Times New Roman"/>
          <w:sz w:val="32"/>
        </w:rPr>
      </w:pPr>
      <w:r>
        <w:rPr>
          <w:rFonts w:ascii="Times New Roman" w:hAnsi="Times New Roman" w:cs="Times New Roman"/>
          <w:sz w:val="32"/>
        </w:rPr>
        <w:t>密切关注受事件影响地区市场供应情况及公众反应，加强对重要生活必需品等商品的市场监管和调控。禁止生产经营受污染食品、食品添加剂、食品相关产品，防范因突发环境事件造成集体食品安全事故等情况的发生。</w:t>
      </w:r>
    </w:p>
    <w:p w14:paraId="6DE6D007">
      <w:pPr>
        <w:pStyle w:val="4"/>
        <w:numPr>
          <w:ilvl w:val="2"/>
          <w:numId w:val="177"/>
        </w:numPr>
        <w:tabs>
          <w:tab w:val="left" w:pos="0"/>
        </w:tabs>
        <w:ind w:firstLine="0" w:firstLineChars="0"/>
        <w:rPr>
          <w:rFonts w:ascii="Times New Roman" w:hAnsi="Times New Roman" w:cs="Times New Roman"/>
          <w:sz w:val="32"/>
        </w:rPr>
      </w:pPr>
      <w:r>
        <w:rPr>
          <w:rFonts w:ascii="Times New Roman" w:hAnsi="Times New Roman" w:cs="Times New Roman"/>
          <w:sz w:val="32"/>
        </w:rPr>
        <w:t>维护稳定</w:t>
      </w:r>
    </w:p>
    <w:p w14:paraId="6C09BA40">
      <w:pPr>
        <w:ind w:firstLine="632"/>
        <w:rPr>
          <w:rFonts w:ascii="Times New Roman" w:hAnsi="Times New Roman" w:cs="Times New Roman"/>
          <w:sz w:val="32"/>
        </w:rPr>
      </w:pPr>
      <w:r>
        <w:rPr>
          <w:rFonts w:ascii="Times New Roman" w:hAnsi="Times New Roman" w:cs="Times New Roman"/>
          <w:sz w:val="32"/>
        </w:rPr>
        <w:t>加强受影响地区社会治安管理，严厉打击借机传播谣言制造社会恐慌、哄抢救灾物资等违法犯罪行为；加强转移人员安置点、救灾物资存放点等重点地区治安管控；做好受影响人员与涉事单位、属地政府及有关部门矛盾纠纷化解和法律服务工作，防止出现群体性事件，维护社会稳定。</w:t>
      </w:r>
    </w:p>
    <w:p w14:paraId="0AD93984">
      <w:pPr>
        <w:pStyle w:val="3"/>
        <w:ind w:firstLine="0" w:firstLineChars="0"/>
        <w:rPr>
          <w:rFonts w:ascii="Times New Roman" w:hAnsi="Times New Roman" w:cs="Times New Roman"/>
          <w:sz w:val="32"/>
        </w:rPr>
      </w:pPr>
      <w:bookmarkStart w:id="1091" w:name="_Toc10272"/>
      <w:r>
        <w:rPr>
          <w:rFonts w:ascii="Times New Roman" w:hAnsi="Times New Roman" w:cs="Times New Roman"/>
          <w:sz w:val="32"/>
        </w:rPr>
        <w:t>信息发布和舆论引导</w:t>
      </w:r>
      <w:bookmarkEnd w:id="1091"/>
    </w:p>
    <w:p w14:paraId="15BA30B2">
      <w:pPr>
        <w:pStyle w:val="4"/>
        <w:numPr>
          <w:ilvl w:val="2"/>
          <w:numId w:val="177"/>
        </w:numPr>
        <w:tabs>
          <w:tab w:val="left" w:pos="0"/>
        </w:tabs>
        <w:ind w:firstLine="0" w:firstLineChars="0"/>
        <w:rPr>
          <w:rFonts w:ascii="Times New Roman" w:hAnsi="Times New Roman" w:cs="Times New Roman"/>
          <w:sz w:val="32"/>
        </w:rPr>
      </w:pPr>
      <w:r>
        <w:rPr>
          <w:rFonts w:ascii="Times New Roman" w:hAnsi="Times New Roman" w:cs="Times New Roman"/>
          <w:sz w:val="32"/>
        </w:rPr>
        <w:t>信息发布</w:t>
      </w:r>
    </w:p>
    <w:p w14:paraId="4CA7A9EB">
      <w:pPr>
        <w:ind w:firstLine="632"/>
        <w:rPr>
          <w:rFonts w:ascii="Times New Roman" w:hAnsi="Times New Roman" w:cs="Times New Roman"/>
          <w:sz w:val="32"/>
        </w:rPr>
      </w:pPr>
      <w:r>
        <w:rPr>
          <w:rFonts w:ascii="Times New Roman" w:hAnsi="Times New Roman" w:cs="Times New Roman"/>
          <w:sz w:val="32"/>
        </w:rPr>
        <w:t>突发事件环境信息发布工作遵循时效性、准确性、针对性、广泛性、公益性原则，按照突发事件信息公开制度、新闻发言人制度、新闻发布会制度等有关规定实施。通过政府授权发布、发新闻稿、接受记者采访、举行新闻发布会、组织专家解读等方式，借助电视、广播、报纸、互联网等多种途径，主动、及时、准确、客观地向社会发布突发环境事件和应对工作信息，回应社会关切。信息发布内容包括事件过程、污染程度、影响范围、应对措施、需要公众配合采取的措施、公众防范常识和事件调查处理进展情况等。</w:t>
      </w:r>
    </w:p>
    <w:p w14:paraId="34522CF3">
      <w:pPr>
        <w:pStyle w:val="4"/>
        <w:numPr>
          <w:ilvl w:val="2"/>
          <w:numId w:val="177"/>
        </w:numPr>
        <w:tabs>
          <w:tab w:val="left" w:pos="0"/>
        </w:tabs>
        <w:ind w:firstLine="0" w:firstLineChars="0"/>
        <w:rPr>
          <w:rFonts w:ascii="Times New Roman" w:hAnsi="Times New Roman" w:cs="Times New Roman"/>
          <w:sz w:val="32"/>
        </w:rPr>
      </w:pPr>
      <w:r>
        <w:rPr>
          <w:rFonts w:ascii="Times New Roman" w:hAnsi="Times New Roman" w:cs="Times New Roman"/>
          <w:sz w:val="32"/>
        </w:rPr>
        <w:t>舆论引导</w:t>
      </w:r>
    </w:p>
    <w:p w14:paraId="3800F5A3">
      <w:pPr>
        <w:ind w:firstLine="632"/>
        <w:rPr>
          <w:rFonts w:ascii="Times New Roman" w:hAnsi="Times New Roman" w:cs="Times New Roman"/>
          <w:sz w:val="32"/>
        </w:rPr>
      </w:pPr>
      <w:r>
        <w:rPr>
          <w:rFonts w:ascii="Times New Roman" w:hAnsi="Times New Roman" w:cs="Times New Roman"/>
          <w:sz w:val="32"/>
        </w:rPr>
        <w:t>在突发环境事件应对全过程加强舆论的搜集、研判与引导工作。县委宣传部牵头，会同县公安局、双鸭山市集贤生态环境局、县应急管理局等部门收集掌握相关舆情信息，及时查明信息来源，对信息危害和影响进行评估和研判，积极采取措施予以回应和引导，对不实和负面信息，及时澄清并发布准确信息。当突发事件舆情信息超出本级控制能力时，由县委宣传部报请上级部门统一协调组织舆论引导工作。</w:t>
      </w:r>
    </w:p>
    <w:p w14:paraId="57340F17">
      <w:pPr>
        <w:pStyle w:val="3"/>
        <w:ind w:firstLine="0" w:firstLineChars="0"/>
        <w:rPr>
          <w:rFonts w:ascii="Times New Roman" w:hAnsi="Times New Roman" w:cs="Times New Roman"/>
          <w:sz w:val="32"/>
        </w:rPr>
      </w:pPr>
      <w:bookmarkStart w:id="1092" w:name="_Toc30320"/>
      <w:r>
        <w:rPr>
          <w:rFonts w:ascii="Times New Roman" w:hAnsi="Times New Roman" w:cs="Times New Roman"/>
          <w:sz w:val="32"/>
        </w:rPr>
        <w:t>响应终止</w:t>
      </w:r>
      <w:bookmarkEnd w:id="1092"/>
    </w:p>
    <w:p w14:paraId="1B22007A">
      <w:pPr>
        <w:ind w:firstLine="632"/>
        <w:rPr>
          <w:rFonts w:ascii="Times New Roman" w:hAnsi="Times New Roman" w:cs="Times New Roman"/>
          <w:sz w:val="32"/>
        </w:rPr>
      </w:pPr>
      <w:r>
        <w:rPr>
          <w:rFonts w:ascii="Times New Roman" w:hAnsi="Times New Roman" w:cs="Times New Roman"/>
          <w:sz w:val="32"/>
        </w:rPr>
        <w:t>当事件条件已经排除、污染物质已降至规定限值以内、所造成的危害基本消除时，由启动响应的政府指挥机构终止应急响应，并发布终止应急响应通告。应急终止后，应急指挥机构相关组成部门应根据本级政府有关要求和实际情况，确定是否继续进行环境监测和评价工作。</w:t>
      </w:r>
    </w:p>
    <w:p w14:paraId="20EB1B91">
      <w:pPr>
        <w:pStyle w:val="2"/>
        <w:numPr>
          <w:ilvl w:val="0"/>
          <w:numId w:val="177"/>
        </w:numPr>
        <w:tabs>
          <w:tab w:val="left" w:pos="0"/>
        </w:tabs>
        <w:ind w:firstLine="0" w:firstLineChars="0"/>
        <w:rPr>
          <w:rFonts w:ascii="Times New Roman" w:hAnsi="Times New Roman" w:cs="Times New Roman"/>
          <w:sz w:val="32"/>
        </w:rPr>
      </w:pPr>
      <w:bookmarkStart w:id="1093" w:name="_Toc17352"/>
      <w:r>
        <w:rPr>
          <w:rFonts w:ascii="Times New Roman" w:hAnsi="Times New Roman" w:cs="Times New Roman"/>
          <w:sz w:val="32"/>
        </w:rPr>
        <w:t>后期处置</w:t>
      </w:r>
      <w:bookmarkEnd w:id="1093"/>
    </w:p>
    <w:p w14:paraId="03629F14">
      <w:pPr>
        <w:pStyle w:val="3"/>
        <w:ind w:firstLine="0" w:firstLineChars="0"/>
        <w:rPr>
          <w:rFonts w:ascii="Times New Roman" w:hAnsi="Times New Roman" w:cs="Times New Roman"/>
          <w:sz w:val="32"/>
        </w:rPr>
      </w:pPr>
      <w:bookmarkStart w:id="1094" w:name="_Toc19222"/>
      <w:r>
        <w:rPr>
          <w:rFonts w:ascii="Times New Roman" w:hAnsi="Times New Roman" w:cs="Times New Roman"/>
          <w:sz w:val="32"/>
        </w:rPr>
        <w:t>损害评估</w:t>
      </w:r>
      <w:bookmarkEnd w:id="1094"/>
    </w:p>
    <w:p w14:paraId="2A3802C6">
      <w:pPr>
        <w:ind w:firstLine="632"/>
        <w:rPr>
          <w:rFonts w:ascii="Times New Roman" w:hAnsi="Times New Roman" w:cs="Times New Roman"/>
          <w:sz w:val="32"/>
        </w:rPr>
      </w:pPr>
      <w:r>
        <w:rPr>
          <w:rFonts w:ascii="Times New Roman" w:hAnsi="Times New Roman" w:cs="Times New Roman"/>
          <w:sz w:val="32"/>
        </w:rPr>
        <w:t>突发环境事件应急响应终止后，县环境应急指挥部可组织或授权有关部门开展污染损害评估，并将评估结果向社会公布。评估结论作为事件调查处理、损害赔偿、环境修复和生态恢复重建的依据。</w:t>
      </w:r>
    </w:p>
    <w:p w14:paraId="708BDF96">
      <w:pPr>
        <w:pStyle w:val="3"/>
        <w:ind w:firstLine="0" w:firstLineChars="0"/>
        <w:rPr>
          <w:rFonts w:ascii="Times New Roman" w:hAnsi="Times New Roman" w:cs="Times New Roman"/>
          <w:sz w:val="32"/>
        </w:rPr>
      </w:pPr>
      <w:bookmarkStart w:id="1095" w:name="_Toc24215"/>
      <w:r>
        <w:rPr>
          <w:rFonts w:ascii="Times New Roman" w:hAnsi="Times New Roman" w:cs="Times New Roman"/>
          <w:sz w:val="32"/>
        </w:rPr>
        <w:t>事件调查</w:t>
      </w:r>
      <w:bookmarkEnd w:id="1095"/>
    </w:p>
    <w:p w14:paraId="1B329C95">
      <w:pPr>
        <w:ind w:firstLine="632"/>
        <w:rPr>
          <w:rFonts w:ascii="Times New Roman" w:hAnsi="Times New Roman" w:cs="Times New Roman"/>
          <w:sz w:val="32"/>
        </w:rPr>
      </w:pPr>
      <w:r>
        <w:rPr>
          <w:rFonts w:ascii="Times New Roman" w:hAnsi="Times New Roman" w:cs="Times New Roman"/>
          <w:sz w:val="32"/>
        </w:rPr>
        <w:t>县人民政府成立事件调查组，查明事件原因和性质，提出整改防范措施和处理建议。县应急管理局牵头对引发突发环境事件的生产安全事故进行调查，双鸭山市集贤生态环境局牵头对污染物排放引发的突发环境事件进行调查，以及对本次事故造成的污染情况进行调查。</w:t>
      </w:r>
    </w:p>
    <w:p w14:paraId="7891E833">
      <w:pPr>
        <w:pStyle w:val="3"/>
        <w:ind w:firstLine="0" w:firstLineChars="0"/>
        <w:rPr>
          <w:rFonts w:ascii="Times New Roman" w:hAnsi="Times New Roman" w:cs="Times New Roman"/>
          <w:sz w:val="32"/>
        </w:rPr>
      </w:pPr>
      <w:bookmarkStart w:id="1096" w:name="_Toc390"/>
      <w:r>
        <w:rPr>
          <w:rFonts w:ascii="Times New Roman" w:hAnsi="Times New Roman" w:cs="Times New Roman"/>
          <w:sz w:val="32"/>
        </w:rPr>
        <w:t>善后处置</w:t>
      </w:r>
      <w:bookmarkEnd w:id="1096"/>
    </w:p>
    <w:p w14:paraId="503ED437">
      <w:pPr>
        <w:ind w:firstLine="632"/>
        <w:rPr>
          <w:rFonts w:ascii="Times New Roman" w:hAnsi="Times New Roman" w:cs="Times New Roman"/>
          <w:sz w:val="32"/>
        </w:rPr>
      </w:pPr>
      <w:r>
        <w:rPr>
          <w:rFonts w:ascii="Times New Roman" w:hAnsi="Times New Roman" w:cs="Times New Roman"/>
          <w:sz w:val="32"/>
        </w:rPr>
        <w:t>事发地乡镇人民政府要及时组织制定补助、补偿、抚慰、抚恤、安置和环境恢复等善后工作方案并组织实施。保险机构要及时开展相关理赔工作。</w:t>
      </w:r>
    </w:p>
    <w:p w14:paraId="590996D2">
      <w:pPr>
        <w:pStyle w:val="2"/>
        <w:numPr>
          <w:ilvl w:val="0"/>
          <w:numId w:val="177"/>
        </w:numPr>
        <w:tabs>
          <w:tab w:val="left" w:pos="0"/>
        </w:tabs>
        <w:ind w:firstLine="0" w:firstLineChars="0"/>
        <w:rPr>
          <w:rFonts w:ascii="Times New Roman" w:hAnsi="Times New Roman" w:cs="Times New Roman"/>
          <w:sz w:val="32"/>
        </w:rPr>
      </w:pPr>
      <w:bookmarkStart w:id="1097" w:name="_Toc13144"/>
      <w:r>
        <w:rPr>
          <w:rFonts w:ascii="Times New Roman" w:hAnsi="Times New Roman" w:cs="Times New Roman"/>
          <w:sz w:val="32"/>
        </w:rPr>
        <w:t>保障措施</w:t>
      </w:r>
      <w:bookmarkEnd w:id="1097"/>
    </w:p>
    <w:p w14:paraId="087170A5">
      <w:pPr>
        <w:pStyle w:val="3"/>
        <w:ind w:firstLine="0" w:firstLineChars="0"/>
        <w:rPr>
          <w:rFonts w:ascii="Times New Roman" w:hAnsi="Times New Roman" w:cs="Times New Roman"/>
          <w:sz w:val="32"/>
        </w:rPr>
      </w:pPr>
      <w:bookmarkStart w:id="1098" w:name="_Toc30001"/>
      <w:r>
        <w:rPr>
          <w:rFonts w:ascii="Times New Roman" w:hAnsi="Times New Roman" w:cs="Times New Roman"/>
          <w:sz w:val="32"/>
        </w:rPr>
        <w:t>通信与信息保障</w:t>
      </w:r>
      <w:bookmarkEnd w:id="1098"/>
    </w:p>
    <w:p w14:paraId="3EBD47C5">
      <w:pPr>
        <w:ind w:firstLine="632"/>
        <w:rPr>
          <w:rFonts w:ascii="Times New Roman" w:hAnsi="Times New Roman" w:cs="Times New Roman"/>
          <w:sz w:val="32"/>
        </w:rPr>
      </w:pPr>
      <w:r>
        <w:rPr>
          <w:rFonts w:ascii="Times New Roman" w:hAnsi="Times New Roman" w:cs="Times New Roman"/>
          <w:sz w:val="32"/>
        </w:rPr>
        <w:t>县人民政府应建立健全突发环境事件应急通信保障体系，确保处置突发事件期间通信联络和信息传递需要。县环境应急指挥部办公室要建立并定期更新参与应急活动所有部门和人员的通讯录。</w:t>
      </w:r>
    </w:p>
    <w:p w14:paraId="48C50B22">
      <w:pPr>
        <w:pStyle w:val="3"/>
        <w:ind w:firstLine="0" w:firstLineChars="0"/>
        <w:rPr>
          <w:rFonts w:ascii="Times New Roman" w:hAnsi="Times New Roman" w:cs="Times New Roman"/>
          <w:sz w:val="32"/>
        </w:rPr>
      </w:pPr>
      <w:bookmarkStart w:id="1099" w:name="_Toc29736"/>
      <w:r>
        <w:rPr>
          <w:rFonts w:ascii="Times New Roman" w:hAnsi="Times New Roman" w:cs="Times New Roman"/>
          <w:sz w:val="32"/>
        </w:rPr>
        <w:t>应急支援与装备保障</w:t>
      </w:r>
      <w:bookmarkEnd w:id="1099"/>
    </w:p>
    <w:p w14:paraId="486D0445">
      <w:pPr>
        <w:pStyle w:val="4"/>
        <w:numPr>
          <w:ilvl w:val="2"/>
          <w:numId w:val="177"/>
        </w:numPr>
        <w:tabs>
          <w:tab w:val="left" w:pos="0"/>
        </w:tabs>
        <w:ind w:firstLine="0" w:firstLineChars="0"/>
        <w:rPr>
          <w:rFonts w:ascii="Times New Roman" w:hAnsi="Times New Roman" w:cs="Times New Roman"/>
          <w:sz w:val="32"/>
        </w:rPr>
      </w:pPr>
      <w:r>
        <w:rPr>
          <w:rFonts w:ascii="Times New Roman" w:hAnsi="Times New Roman" w:cs="Times New Roman"/>
          <w:sz w:val="32"/>
        </w:rPr>
        <w:t>应急队伍保障</w:t>
      </w:r>
    </w:p>
    <w:p w14:paraId="6AFA1965">
      <w:pPr>
        <w:ind w:firstLine="632"/>
        <w:rPr>
          <w:rFonts w:ascii="Times New Roman" w:hAnsi="Times New Roman" w:cs="Times New Roman"/>
          <w:sz w:val="32"/>
        </w:rPr>
      </w:pPr>
      <w:r>
        <w:rPr>
          <w:rFonts w:ascii="Times New Roman" w:hAnsi="Times New Roman" w:cs="Times New Roman"/>
          <w:sz w:val="32"/>
        </w:rPr>
        <w:t>县人民政府应加强环境应急能力建设，强化救援队伍建设管理，提高突发环境事件快速响应及应急处置能力。双鸭山市集贤生态环境局、县消防救援大队、大型国有骨干企业应急救援队伍及其他相关方面应急救援队伍等力量，要积极参加突发环境事件应急监测、应急处置与救援、调查处理等工作。</w:t>
      </w:r>
    </w:p>
    <w:p w14:paraId="1DC5C350">
      <w:pPr>
        <w:pStyle w:val="4"/>
        <w:numPr>
          <w:ilvl w:val="2"/>
          <w:numId w:val="177"/>
        </w:numPr>
        <w:tabs>
          <w:tab w:val="left" w:pos="0"/>
        </w:tabs>
        <w:ind w:firstLine="0" w:firstLineChars="0"/>
        <w:rPr>
          <w:rFonts w:ascii="Times New Roman" w:hAnsi="Times New Roman" w:cs="Times New Roman"/>
          <w:sz w:val="32"/>
        </w:rPr>
      </w:pPr>
      <w:r>
        <w:rPr>
          <w:rFonts w:ascii="Times New Roman" w:hAnsi="Times New Roman" w:cs="Times New Roman"/>
          <w:sz w:val="32"/>
        </w:rPr>
        <w:t>交通运输保障</w:t>
      </w:r>
    </w:p>
    <w:p w14:paraId="475346FA">
      <w:pPr>
        <w:ind w:firstLine="632"/>
        <w:rPr>
          <w:rFonts w:ascii="Times New Roman" w:hAnsi="Times New Roman" w:cs="Times New Roman"/>
          <w:sz w:val="32"/>
        </w:rPr>
      </w:pPr>
      <w:r>
        <w:rPr>
          <w:rFonts w:ascii="Times New Roman" w:hAnsi="Times New Roman" w:cs="Times New Roman"/>
          <w:sz w:val="32"/>
        </w:rPr>
        <w:t>县交通运输局应建立健全紧急运输保障体系，保障应急响应所需人员、物资、装备、器材等的运输。县公安局交警大队要加强应急交通管理，保障运送伤病员、应急救援人员、物资、装备、器材车辆的优先通行。</w:t>
      </w:r>
    </w:p>
    <w:p w14:paraId="74E130CB">
      <w:pPr>
        <w:pStyle w:val="4"/>
        <w:numPr>
          <w:ilvl w:val="2"/>
          <w:numId w:val="177"/>
        </w:numPr>
        <w:tabs>
          <w:tab w:val="left" w:pos="0"/>
        </w:tabs>
        <w:ind w:firstLine="0" w:firstLineChars="0"/>
        <w:rPr>
          <w:rFonts w:ascii="Times New Roman" w:hAnsi="Times New Roman" w:cs="Times New Roman"/>
          <w:sz w:val="32"/>
        </w:rPr>
      </w:pPr>
      <w:r>
        <w:rPr>
          <w:rFonts w:ascii="Times New Roman" w:hAnsi="Times New Roman" w:cs="Times New Roman"/>
          <w:sz w:val="32"/>
        </w:rPr>
        <w:t>医疗卫生保障</w:t>
      </w:r>
    </w:p>
    <w:p w14:paraId="664EA746">
      <w:pPr>
        <w:ind w:firstLine="632"/>
        <w:rPr>
          <w:rFonts w:ascii="Times New Roman" w:hAnsi="Times New Roman" w:cs="Times New Roman"/>
          <w:sz w:val="32"/>
        </w:rPr>
      </w:pPr>
      <w:r>
        <w:rPr>
          <w:rFonts w:ascii="Times New Roman" w:hAnsi="Times New Roman" w:cs="Times New Roman"/>
          <w:sz w:val="32"/>
        </w:rPr>
        <w:t>县卫生健康局应组建医疗卫生应急专业技术队伍，并拟定医疗救护保障计划。根据需要及时赶赴现场开展医疗救治、疾病预防控制等医疗卫生应急工作。</w:t>
      </w:r>
    </w:p>
    <w:p w14:paraId="048ADD5E">
      <w:pPr>
        <w:pStyle w:val="4"/>
        <w:numPr>
          <w:ilvl w:val="2"/>
          <w:numId w:val="177"/>
        </w:numPr>
        <w:tabs>
          <w:tab w:val="left" w:pos="0"/>
        </w:tabs>
        <w:ind w:firstLine="0" w:firstLineChars="0"/>
        <w:rPr>
          <w:rFonts w:ascii="Times New Roman" w:hAnsi="Times New Roman" w:cs="Times New Roman"/>
          <w:sz w:val="32"/>
        </w:rPr>
      </w:pPr>
      <w:r>
        <w:rPr>
          <w:rFonts w:ascii="Times New Roman" w:hAnsi="Times New Roman" w:cs="Times New Roman"/>
          <w:sz w:val="32"/>
        </w:rPr>
        <w:t>应急物资保障</w:t>
      </w:r>
    </w:p>
    <w:p w14:paraId="26D5BAB0">
      <w:pPr>
        <w:ind w:firstLine="632"/>
        <w:rPr>
          <w:rFonts w:ascii="Times New Roman" w:hAnsi="Times New Roman" w:cs="Times New Roman"/>
          <w:sz w:val="32"/>
        </w:rPr>
      </w:pPr>
      <w:r>
        <w:rPr>
          <w:rFonts w:ascii="Times New Roman" w:hAnsi="Times New Roman" w:cs="Times New Roman"/>
          <w:sz w:val="32"/>
        </w:rPr>
        <w:t>县环境应急指挥部成员单位应按照职责分工，加强应急物资储备，鼓励支持社会化应急物资储备；组织做好环境应急救援物资紧急生产、储备、调拨和紧急配送工作，保障支援突发环境事件应急处置和环境恢复治理工作的需要。</w:t>
      </w:r>
    </w:p>
    <w:p w14:paraId="0E77CB73">
      <w:pPr>
        <w:pStyle w:val="4"/>
        <w:numPr>
          <w:ilvl w:val="2"/>
          <w:numId w:val="177"/>
        </w:numPr>
        <w:tabs>
          <w:tab w:val="left" w:pos="0"/>
        </w:tabs>
        <w:ind w:firstLine="0" w:firstLineChars="0"/>
        <w:rPr>
          <w:rFonts w:ascii="Times New Roman" w:hAnsi="Times New Roman" w:cs="Times New Roman"/>
          <w:sz w:val="32"/>
        </w:rPr>
      </w:pPr>
      <w:r>
        <w:rPr>
          <w:rFonts w:ascii="Times New Roman" w:hAnsi="Times New Roman" w:cs="Times New Roman"/>
          <w:sz w:val="32"/>
        </w:rPr>
        <w:t>经费保障</w:t>
      </w:r>
    </w:p>
    <w:p w14:paraId="7703C104">
      <w:pPr>
        <w:ind w:firstLine="632"/>
        <w:rPr>
          <w:rFonts w:ascii="Times New Roman" w:hAnsi="Times New Roman" w:cs="Times New Roman"/>
          <w:sz w:val="32"/>
        </w:rPr>
      </w:pPr>
      <w:r>
        <w:rPr>
          <w:rFonts w:ascii="Times New Roman" w:hAnsi="Times New Roman" w:cs="Times New Roman"/>
          <w:sz w:val="32"/>
        </w:rPr>
        <w:t>突发环境事件应急监测和应急处置所需经费由事件责任单位承担。县人民政府对突发环境事件应急监测和应急处置工作提供必要的专项资金保障。</w:t>
      </w:r>
    </w:p>
    <w:p w14:paraId="7069C53A">
      <w:pPr>
        <w:pStyle w:val="3"/>
        <w:ind w:firstLine="0" w:firstLineChars="0"/>
        <w:rPr>
          <w:rFonts w:ascii="Times New Roman" w:hAnsi="Times New Roman" w:cs="Times New Roman"/>
          <w:sz w:val="32"/>
        </w:rPr>
      </w:pPr>
      <w:bookmarkStart w:id="1100" w:name="_Toc2673"/>
      <w:r>
        <w:rPr>
          <w:rFonts w:ascii="Times New Roman" w:hAnsi="Times New Roman" w:cs="Times New Roman"/>
          <w:sz w:val="32"/>
        </w:rPr>
        <w:t>技术储备与保障</w:t>
      </w:r>
      <w:bookmarkEnd w:id="1100"/>
    </w:p>
    <w:p w14:paraId="02CB4F05">
      <w:pPr>
        <w:ind w:firstLine="632"/>
        <w:rPr>
          <w:rFonts w:ascii="Times New Roman" w:hAnsi="Times New Roman" w:cs="Times New Roman"/>
          <w:sz w:val="32"/>
        </w:rPr>
      </w:pPr>
      <w:r>
        <w:rPr>
          <w:rFonts w:ascii="Times New Roman" w:hAnsi="Times New Roman" w:cs="Times New Roman"/>
          <w:sz w:val="32"/>
        </w:rPr>
        <w:t>建立和完善突发环境事件应急专家库，应急处置时组建专家组，为突发环境事件应急处置方案制定、污染损害评估和调查处理工作提供决策建议。支持突发环境事件应急处置和监测先进技术、装备的研发。增强应急处置、快速机动和自身防护等装备建设，加强应急监测和动态监控的能力。</w:t>
      </w:r>
    </w:p>
    <w:p w14:paraId="4B49427D">
      <w:pPr>
        <w:pStyle w:val="2"/>
        <w:numPr>
          <w:ilvl w:val="0"/>
          <w:numId w:val="177"/>
        </w:numPr>
        <w:tabs>
          <w:tab w:val="left" w:pos="0"/>
        </w:tabs>
        <w:ind w:firstLine="0" w:firstLineChars="0"/>
        <w:rPr>
          <w:rFonts w:ascii="Times New Roman" w:hAnsi="Times New Roman" w:cs="Times New Roman"/>
          <w:sz w:val="32"/>
        </w:rPr>
      </w:pPr>
      <w:bookmarkStart w:id="1101" w:name="_Toc11257"/>
      <w:r>
        <w:rPr>
          <w:rFonts w:ascii="Times New Roman" w:hAnsi="Times New Roman" w:cs="Times New Roman"/>
          <w:sz w:val="32"/>
        </w:rPr>
        <w:t>教育培训和应急演练</w:t>
      </w:r>
      <w:bookmarkEnd w:id="1101"/>
    </w:p>
    <w:p w14:paraId="20F8408E">
      <w:pPr>
        <w:pStyle w:val="3"/>
        <w:ind w:firstLine="0" w:firstLineChars="0"/>
        <w:rPr>
          <w:rFonts w:ascii="Times New Roman" w:hAnsi="Times New Roman" w:cs="Times New Roman"/>
          <w:sz w:val="32"/>
        </w:rPr>
      </w:pPr>
      <w:bookmarkStart w:id="1102" w:name="_Toc102"/>
      <w:r>
        <w:rPr>
          <w:rFonts w:ascii="Times New Roman" w:hAnsi="Times New Roman" w:cs="Times New Roman"/>
          <w:sz w:val="32"/>
        </w:rPr>
        <w:t>预案培训</w:t>
      </w:r>
      <w:bookmarkEnd w:id="1102"/>
    </w:p>
    <w:p w14:paraId="50C9DFE3">
      <w:pPr>
        <w:ind w:firstLine="632"/>
        <w:rPr>
          <w:rFonts w:ascii="Times New Roman" w:hAnsi="Times New Roman" w:cs="Times New Roman"/>
          <w:sz w:val="32"/>
        </w:rPr>
      </w:pPr>
      <w:r>
        <w:rPr>
          <w:rFonts w:ascii="Times New Roman" w:hAnsi="Times New Roman" w:cs="Times New Roman"/>
          <w:sz w:val="32"/>
        </w:rPr>
        <w:t>县环境应急指挥部各成员单位和环境风险企业应制定落实日常培训计划，使环境应急救援人员和管理人员熟悉掌握环境应急知识、各类突发环境事件处置措施，提高专业技能及应急处置能力，确保发生突发事件时能迅速参与并完成抢救、排险、消毒、监测等现场救援处置工作。</w:t>
      </w:r>
    </w:p>
    <w:p w14:paraId="4FA04935">
      <w:pPr>
        <w:pStyle w:val="3"/>
        <w:ind w:firstLine="0" w:firstLineChars="0"/>
        <w:rPr>
          <w:rFonts w:ascii="Times New Roman" w:hAnsi="Times New Roman" w:cs="Times New Roman"/>
          <w:sz w:val="32"/>
        </w:rPr>
      </w:pPr>
      <w:bookmarkStart w:id="1103" w:name="_Toc25985"/>
      <w:r>
        <w:rPr>
          <w:rFonts w:ascii="Times New Roman" w:hAnsi="Times New Roman" w:cs="Times New Roman"/>
          <w:sz w:val="32"/>
        </w:rPr>
        <w:t>应急演练</w:t>
      </w:r>
      <w:bookmarkEnd w:id="1103"/>
    </w:p>
    <w:p w14:paraId="4C7AFE65">
      <w:pPr>
        <w:ind w:firstLine="632"/>
        <w:rPr>
          <w:rFonts w:ascii="Times New Roman" w:hAnsi="Times New Roman" w:cs="Times New Roman"/>
          <w:sz w:val="32"/>
        </w:rPr>
      </w:pPr>
      <w:r>
        <w:rPr>
          <w:rFonts w:ascii="Times New Roman" w:hAnsi="Times New Roman" w:cs="Times New Roman"/>
          <w:sz w:val="32"/>
        </w:rPr>
        <w:t>按照环境应急预案及相关</w:t>
      </w:r>
      <w:r>
        <w:rPr>
          <w:rFonts w:hint="eastAsia" w:ascii="Times New Roman" w:hAnsi="Times New Roman" w:cs="Times New Roman"/>
          <w:sz w:val="32"/>
        </w:rPr>
        <w:t>专</w:t>
      </w:r>
      <w:r>
        <w:rPr>
          <w:rFonts w:ascii="Times New Roman" w:hAnsi="Times New Roman" w:cs="Times New Roman"/>
          <w:sz w:val="32"/>
        </w:rPr>
        <w:t>项预案，定期组织不同类型的环境应急实战演练，提高防范和处置突发环境事件的技能，增强实战能力。本预案至少每3年组织1次演练。</w:t>
      </w:r>
    </w:p>
    <w:p w14:paraId="777CA5D7">
      <w:pPr>
        <w:pStyle w:val="2"/>
        <w:numPr>
          <w:ilvl w:val="0"/>
          <w:numId w:val="177"/>
        </w:numPr>
        <w:tabs>
          <w:tab w:val="left" w:pos="0"/>
        </w:tabs>
        <w:ind w:firstLine="0" w:firstLineChars="0"/>
        <w:rPr>
          <w:rFonts w:ascii="Times New Roman" w:hAnsi="Times New Roman" w:cs="Times New Roman"/>
          <w:sz w:val="32"/>
        </w:rPr>
      </w:pPr>
      <w:bookmarkStart w:id="1104" w:name="_Toc9913"/>
      <w:r>
        <w:rPr>
          <w:rFonts w:ascii="Times New Roman" w:hAnsi="Times New Roman" w:cs="Times New Roman"/>
          <w:sz w:val="32"/>
        </w:rPr>
        <w:t>预案管理</w:t>
      </w:r>
      <w:bookmarkEnd w:id="1104"/>
    </w:p>
    <w:p w14:paraId="32AF072C">
      <w:pPr>
        <w:pStyle w:val="3"/>
        <w:ind w:firstLine="0" w:firstLineChars="0"/>
        <w:rPr>
          <w:rFonts w:ascii="Times New Roman" w:hAnsi="Times New Roman" w:cs="Times New Roman"/>
          <w:sz w:val="32"/>
        </w:rPr>
      </w:pPr>
      <w:bookmarkStart w:id="1105" w:name="_Toc2661"/>
      <w:r>
        <w:rPr>
          <w:rFonts w:ascii="Times New Roman" w:hAnsi="Times New Roman" w:cs="Times New Roman"/>
          <w:sz w:val="32"/>
        </w:rPr>
        <w:t>预案评估与修订</w:t>
      </w:r>
      <w:bookmarkEnd w:id="1105"/>
    </w:p>
    <w:p w14:paraId="6507D597">
      <w:pPr>
        <w:ind w:firstLine="632"/>
        <w:rPr>
          <w:rFonts w:ascii="Times New Roman" w:hAnsi="Times New Roman" w:cs="Times New Roman"/>
          <w:sz w:val="32"/>
        </w:rPr>
      </w:pPr>
      <w:r>
        <w:rPr>
          <w:rFonts w:ascii="Times New Roman" w:hAnsi="Times New Roman" w:cs="Times New Roman"/>
          <w:sz w:val="32"/>
        </w:rPr>
        <w:t>县环境应急指挥部办公室应定期开展应急预案评估工作，分析评价预案内容的针对性、实用性和可操作性，实现应急预案的动态优化和科学规范管理。</w:t>
      </w:r>
    </w:p>
    <w:p w14:paraId="2D87EFD2">
      <w:pPr>
        <w:ind w:firstLine="632"/>
        <w:rPr>
          <w:rFonts w:ascii="Times New Roman" w:hAnsi="Times New Roman" w:cs="Times New Roman"/>
          <w:sz w:val="32"/>
        </w:rPr>
      </w:pPr>
      <w:r>
        <w:rPr>
          <w:rFonts w:ascii="Times New Roman" w:hAnsi="Times New Roman" w:cs="Times New Roman"/>
          <w:sz w:val="32"/>
        </w:rPr>
        <w:t>有下列情形之一的，应当及时修订本预案：</w:t>
      </w:r>
    </w:p>
    <w:p w14:paraId="400667E2">
      <w:pPr>
        <w:ind w:firstLine="632"/>
        <w:rPr>
          <w:rFonts w:ascii="Times New Roman" w:hAnsi="Times New Roman" w:cs="Times New Roman"/>
          <w:sz w:val="32"/>
        </w:rPr>
      </w:pPr>
      <w:r>
        <w:rPr>
          <w:rFonts w:ascii="Times New Roman" w:hAnsi="Times New Roman" w:cs="Times New Roman"/>
          <w:sz w:val="32"/>
        </w:rPr>
        <w:t>（1）当相关法律法规、规章、标准上位预案中的有关规定发生变化；</w:t>
      </w:r>
    </w:p>
    <w:p w14:paraId="3824A000">
      <w:pPr>
        <w:ind w:firstLine="632"/>
        <w:rPr>
          <w:rFonts w:ascii="Times New Roman" w:hAnsi="Times New Roman" w:cs="Times New Roman"/>
          <w:sz w:val="32"/>
        </w:rPr>
      </w:pPr>
      <w:r>
        <w:rPr>
          <w:rFonts w:ascii="Times New Roman" w:hAnsi="Times New Roman" w:cs="Times New Roman"/>
          <w:sz w:val="32"/>
        </w:rPr>
        <w:t>（2）应急指挥机构及其职责发生重大调整；</w:t>
      </w:r>
    </w:p>
    <w:p w14:paraId="1C0075E4">
      <w:pPr>
        <w:ind w:firstLine="632"/>
        <w:rPr>
          <w:rFonts w:ascii="Times New Roman" w:hAnsi="Times New Roman" w:cs="Times New Roman"/>
          <w:sz w:val="32"/>
        </w:rPr>
      </w:pPr>
      <w:r>
        <w:rPr>
          <w:rFonts w:ascii="Times New Roman" w:hAnsi="Times New Roman" w:cs="Times New Roman"/>
          <w:sz w:val="32"/>
        </w:rPr>
        <w:t>（3）面临的风险发生重大变化；</w:t>
      </w:r>
    </w:p>
    <w:p w14:paraId="1C650E96">
      <w:pPr>
        <w:ind w:firstLine="632"/>
        <w:rPr>
          <w:rFonts w:ascii="Times New Roman" w:hAnsi="Times New Roman" w:cs="Times New Roman"/>
          <w:sz w:val="32"/>
        </w:rPr>
      </w:pPr>
      <w:r>
        <w:rPr>
          <w:rFonts w:ascii="Times New Roman" w:hAnsi="Times New Roman" w:cs="Times New Roman"/>
          <w:sz w:val="32"/>
        </w:rPr>
        <w:t>（4）重要应急资源发生重大变化；</w:t>
      </w:r>
    </w:p>
    <w:p w14:paraId="1A853101">
      <w:pPr>
        <w:ind w:firstLine="632"/>
        <w:rPr>
          <w:rFonts w:ascii="Times New Roman" w:hAnsi="Times New Roman" w:cs="Times New Roman"/>
          <w:sz w:val="32"/>
        </w:rPr>
      </w:pPr>
      <w:r>
        <w:rPr>
          <w:rFonts w:ascii="Times New Roman" w:hAnsi="Times New Roman" w:cs="Times New Roman"/>
          <w:sz w:val="32"/>
        </w:rPr>
        <w:t>（5）预案中的其他重要信息发生变化；</w:t>
      </w:r>
    </w:p>
    <w:p w14:paraId="383405D0">
      <w:pPr>
        <w:ind w:firstLine="632"/>
        <w:rPr>
          <w:rFonts w:ascii="Times New Roman" w:hAnsi="Times New Roman" w:cs="Times New Roman"/>
          <w:sz w:val="32"/>
        </w:rPr>
      </w:pPr>
      <w:r>
        <w:rPr>
          <w:rFonts w:ascii="Times New Roman" w:hAnsi="Times New Roman" w:cs="Times New Roman"/>
          <w:sz w:val="32"/>
        </w:rPr>
        <w:t>（6）在突发环境事件实际应对和应急演练中发现问题需要作出重大调整；</w:t>
      </w:r>
    </w:p>
    <w:p w14:paraId="6811F0C7">
      <w:pPr>
        <w:ind w:firstLine="632"/>
        <w:rPr>
          <w:rFonts w:ascii="Times New Roman" w:hAnsi="Times New Roman" w:cs="Times New Roman"/>
          <w:sz w:val="32"/>
        </w:rPr>
      </w:pPr>
      <w:r>
        <w:rPr>
          <w:rFonts w:ascii="Times New Roman" w:hAnsi="Times New Roman" w:cs="Times New Roman"/>
          <w:sz w:val="32"/>
        </w:rPr>
        <w:t>（7）应急预案制定单位认为应当修订的其他情况时。</w:t>
      </w:r>
    </w:p>
    <w:p w14:paraId="1A719FCA">
      <w:pPr>
        <w:pStyle w:val="3"/>
        <w:ind w:firstLine="0" w:firstLineChars="0"/>
        <w:rPr>
          <w:rFonts w:ascii="Times New Roman" w:hAnsi="Times New Roman" w:cs="Times New Roman"/>
          <w:sz w:val="32"/>
        </w:rPr>
      </w:pPr>
      <w:bookmarkStart w:id="1106" w:name="_Toc16022"/>
      <w:r>
        <w:rPr>
          <w:rFonts w:ascii="Times New Roman" w:hAnsi="Times New Roman" w:cs="Times New Roman"/>
          <w:sz w:val="32"/>
        </w:rPr>
        <w:t>预案解释与实施</w:t>
      </w:r>
      <w:bookmarkEnd w:id="1106"/>
    </w:p>
    <w:p w14:paraId="22FE4B3B">
      <w:pPr>
        <w:ind w:firstLine="632"/>
        <w:rPr>
          <w:rFonts w:ascii="Times New Roman" w:hAnsi="Times New Roman" w:cs="Times New Roman"/>
          <w:sz w:val="32"/>
        </w:rPr>
      </w:pPr>
      <w:r>
        <w:rPr>
          <w:rFonts w:ascii="Times New Roman" w:hAnsi="Times New Roman" w:cs="Times New Roman"/>
          <w:sz w:val="32"/>
        </w:rPr>
        <w:t>本预案由集贤县突发环境事件应急指挥部办公室负责解释。</w:t>
      </w:r>
    </w:p>
    <w:p w14:paraId="2611F9B1">
      <w:pPr>
        <w:ind w:firstLine="632"/>
        <w:rPr>
          <w:rFonts w:ascii="Times New Roman" w:hAnsi="Times New Roman" w:cs="Times New Roman"/>
          <w:sz w:val="32"/>
        </w:rPr>
      </w:pPr>
      <w:r>
        <w:rPr>
          <w:rFonts w:ascii="Times New Roman" w:hAnsi="Times New Roman" w:cs="Times New Roman"/>
          <w:sz w:val="32"/>
        </w:rPr>
        <w:t>本预案自发布之日起施行。</w:t>
      </w:r>
    </w:p>
    <w:p w14:paraId="542BC90D">
      <w:pPr>
        <w:ind w:firstLine="632"/>
        <w:rPr>
          <w:rFonts w:ascii="Times New Roman" w:hAnsi="Times New Roman" w:cs="Times New Roman"/>
          <w:sz w:val="32"/>
        </w:rPr>
      </w:pPr>
      <w:r>
        <w:rPr>
          <w:rFonts w:ascii="Times New Roman" w:hAnsi="Times New Roman" w:cs="Times New Roman"/>
          <w:sz w:val="32"/>
        </w:rPr>
        <w:br w:type="page"/>
      </w:r>
    </w:p>
    <w:p w14:paraId="5C498434">
      <w:pPr>
        <w:pStyle w:val="2"/>
        <w:numPr>
          <w:ilvl w:val="0"/>
          <w:numId w:val="0"/>
        </w:numPr>
        <w:rPr>
          <w:rFonts w:ascii="Times New Roman" w:hAnsi="Times New Roman" w:cs="Times New Roman"/>
          <w:sz w:val="32"/>
        </w:rPr>
      </w:pPr>
      <w:bookmarkStart w:id="1107" w:name="_Toc17620"/>
      <w:r>
        <w:rPr>
          <w:rFonts w:ascii="Times New Roman" w:hAnsi="Times New Roman" w:cs="Times New Roman"/>
          <w:sz w:val="32"/>
        </w:rPr>
        <w:t>附件1：突发环境事件分级标准</w:t>
      </w:r>
      <w:bookmarkEnd w:id="1107"/>
    </w:p>
    <w:p w14:paraId="36C3F4E8">
      <w:pPr>
        <w:pStyle w:val="20"/>
        <w:widowControl/>
        <w:shd w:val="clear" w:color="auto" w:fill="FFFFFF"/>
        <w:spacing w:beforeAutospacing="0" w:afterAutospacing="0" w:line="560" w:lineRule="exact"/>
        <w:ind w:firstLine="632"/>
        <w:rPr>
          <w:rFonts w:ascii="Times New Roman" w:hAnsi="Times New Roman" w:eastAsia="楷体_GB2312"/>
          <w:b/>
          <w:bCs/>
          <w:color w:val="444444"/>
          <w:sz w:val="32"/>
          <w:shd w:val="clear" w:color="auto" w:fill="FFFFFF"/>
        </w:rPr>
      </w:pPr>
      <w:r>
        <w:rPr>
          <w:rFonts w:ascii="Times New Roman" w:hAnsi="Times New Roman" w:eastAsia="楷体_GB2312"/>
          <w:b/>
          <w:bCs/>
          <w:color w:val="444444"/>
          <w:sz w:val="32"/>
          <w:shd w:val="clear" w:color="auto" w:fill="FFFFFF"/>
        </w:rPr>
        <w:t>（一）特别重大突发环境事件（Ⅰ级）</w:t>
      </w:r>
    </w:p>
    <w:p w14:paraId="40FBC3C3">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凡符合下列情形之一的，为特别重大突发环境事件，启动Ⅰ级响应：</w:t>
      </w:r>
    </w:p>
    <w:p w14:paraId="1C45A1ED">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（1）因环境污染直接导致30人以上死亡或100人以上中毒或重伤的；</w:t>
      </w:r>
    </w:p>
    <w:p w14:paraId="77E5F0FE">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（2）因环境污染疏散、转移人员5万人以上的；</w:t>
      </w:r>
    </w:p>
    <w:p w14:paraId="385959D8">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（3）因环境污染造成直接经济损失1亿元以上的；</w:t>
      </w:r>
    </w:p>
    <w:p w14:paraId="6D1D8EEE">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（4）因环境污染造成区域生态功能丧失或该区域国家重点保护物种灭绝的；</w:t>
      </w:r>
    </w:p>
    <w:p w14:paraId="145DB19F">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（5）因环境污染造成设区的市级以上城市集中式饮用水水源地取水中断的；</w:t>
      </w:r>
    </w:p>
    <w:p w14:paraId="4266629B">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（6）Ⅰ、Ⅱ类放射源丢失、被盗、失控并造成大范围严重辐射污染后果的；放射性同位素和射线装置失控导致3人以上急性死亡的；放射性物质泄漏，造成大范围辐射污染后果的；</w:t>
      </w:r>
    </w:p>
    <w:p w14:paraId="23F435C9">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（7）造成重大跨国境影响的境内突发环境事件。</w:t>
      </w:r>
    </w:p>
    <w:p w14:paraId="38391424">
      <w:pPr>
        <w:pStyle w:val="20"/>
        <w:widowControl/>
        <w:shd w:val="clear" w:color="auto" w:fill="FFFFFF"/>
        <w:spacing w:beforeAutospacing="0" w:afterAutospacing="0" w:line="560" w:lineRule="exact"/>
        <w:ind w:firstLine="632"/>
        <w:rPr>
          <w:rFonts w:ascii="Times New Roman" w:hAnsi="Times New Roman" w:eastAsia="楷体_GB2312"/>
          <w:b/>
          <w:bCs/>
          <w:color w:val="444444"/>
          <w:sz w:val="32"/>
          <w:shd w:val="clear" w:color="auto" w:fill="FFFFFF"/>
        </w:rPr>
      </w:pPr>
      <w:r>
        <w:rPr>
          <w:rFonts w:ascii="Times New Roman" w:hAnsi="Times New Roman" w:eastAsia="楷体_GB2312"/>
          <w:b/>
          <w:bCs/>
          <w:color w:val="444444"/>
          <w:sz w:val="32"/>
          <w:shd w:val="clear" w:color="auto" w:fill="FFFFFF"/>
        </w:rPr>
        <w:t>（二）重大突发环境事件（Ⅱ级）</w:t>
      </w:r>
    </w:p>
    <w:p w14:paraId="6E34161E">
      <w:pPr>
        <w:pStyle w:val="20"/>
        <w:widowControl/>
        <w:shd w:val="clear" w:color="auto" w:fill="FFFFFF"/>
        <w:spacing w:beforeAutospacing="0" w:afterAutospacing="0" w:line="560" w:lineRule="exact"/>
        <w:ind w:firstLine="632"/>
        <w:rPr>
          <w:rFonts w:ascii="Times New Roman" w:hAnsi="Times New Roman"/>
          <w:sz w:val="32"/>
        </w:rPr>
      </w:pPr>
      <w:r>
        <w:rPr>
          <w:rFonts w:ascii="Times New Roman" w:hAnsi="Times New Roman"/>
          <w:sz w:val="32"/>
        </w:rPr>
        <w:t>凡符合下列情形之一的，为重大突发环境事件，启动Ⅱ级响应：</w:t>
      </w:r>
    </w:p>
    <w:p w14:paraId="61D93EE2">
      <w:pPr>
        <w:pStyle w:val="20"/>
        <w:widowControl/>
        <w:shd w:val="clear" w:color="auto" w:fill="FFFFFF"/>
        <w:spacing w:beforeAutospacing="0" w:afterAutospacing="0" w:line="560" w:lineRule="exact"/>
        <w:ind w:firstLine="632"/>
        <w:rPr>
          <w:rFonts w:ascii="Times New Roman" w:hAnsi="Times New Roman"/>
          <w:sz w:val="32"/>
        </w:rPr>
      </w:pPr>
      <w:r>
        <w:rPr>
          <w:rFonts w:ascii="Times New Roman" w:hAnsi="Times New Roman"/>
          <w:sz w:val="32"/>
        </w:rPr>
        <w:t>（1）因环境污染直接导致10人以上30人以下死亡或50人以上100人以下中毒或重伤的；</w:t>
      </w:r>
    </w:p>
    <w:p w14:paraId="20C3A361">
      <w:pPr>
        <w:pStyle w:val="20"/>
        <w:widowControl/>
        <w:shd w:val="clear" w:color="auto" w:fill="FFFFFF"/>
        <w:spacing w:beforeAutospacing="0" w:afterAutospacing="0" w:line="560" w:lineRule="exact"/>
        <w:ind w:firstLine="632"/>
        <w:rPr>
          <w:rFonts w:ascii="Times New Roman" w:hAnsi="Times New Roman"/>
          <w:sz w:val="32"/>
        </w:rPr>
      </w:pPr>
      <w:r>
        <w:rPr>
          <w:rFonts w:ascii="Times New Roman" w:hAnsi="Times New Roman"/>
          <w:sz w:val="32"/>
        </w:rPr>
        <w:t>（2）因环境污染疏散、转移人员1万人以上5万人以下的；</w:t>
      </w:r>
    </w:p>
    <w:p w14:paraId="0BB1A953">
      <w:pPr>
        <w:pStyle w:val="20"/>
        <w:widowControl/>
        <w:shd w:val="clear" w:color="auto" w:fill="FFFFFF"/>
        <w:spacing w:beforeAutospacing="0" w:afterAutospacing="0" w:line="560" w:lineRule="exact"/>
        <w:ind w:firstLine="632"/>
        <w:rPr>
          <w:rFonts w:ascii="Times New Roman" w:hAnsi="Times New Roman"/>
          <w:sz w:val="32"/>
        </w:rPr>
      </w:pPr>
      <w:r>
        <w:rPr>
          <w:rFonts w:ascii="Times New Roman" w:hAnsi="Times New Roman"/>
          <w:sz w:val="32"/>
        </w:rPr>
        <w:t>（3）因环境污染造成直接经济损失2000万元以上1亿元以下的；</w:t>
      </w:r>
    </w:p>
    <w:p w14:paraId="71E6D626">
      <w:pPr>
        <w:pStyle w:val="20"/>
        <w:widowControl/>
        <w:shd w:val="clear" w:color="auto" w:fill="FFFFFF"/>
        <w:spacing w:beforeAutospacing="0" w:afterAutospacing="0" w:line="560" w:lineRule="exact"/>
        <w:ind w:firstLine="632"/>
        <w:rPr>
          <w:rFonts w:ascii="Times New Roman" w:hAnsi="Times New Roman"/>
          <w:sz w:val="32"/>
        </w:rPr>
      </w:pPr>
      <w:r>
        <w:rPr>
          <w:rFonts w:ascii="Times New Roman" w:hAnsi="Times New Roman"/>
          <w:sz w:val="32"/>
        </w:rPr>
        <w:t>（4）因环境污染造成区域生态功能部分丧失或该区域国家重点保护野生动植物种群大批死亡的；</w:t>
      </w:r>
    </w:p>
    <w:p w14:paraId="44AA2445">
      <w:pPr>
        <w:pStyle w:val="20"/>
        <w:widowControl/>
        <w:shd w:val="clear" w:color="auto" w:fill="FFFFFF"/>
        <w:spacing w:beforeAutospacing="0" w:afterAutospacing="0" w:line="560" w:lineRule="exact"/>
        <w:ind w:firstLine="632"/>
        <w:rPr>
          <w:rFonts w:ascii="Times New Roman" w:hAnsi="Times New Roman"/>
          <w:sz w:val="32"/>
        </w:rPr>
      </w:pPr>
      <w:r>
        <w:rPr>
          <w:rFonts w:ascii="Times New Roman" w:hAnsi="Times New Roman"/>
          <w:sz w:val="32"/>
        </w:rPr>
        <w:t>（5）因环境污染造成县级城市集中式饮用水水源地取水中断的；</w:t>
      </w:r>
    </w:p>
    <w:p w14:paraId="0F05A2EA">
      <w:pPr>
        <w:pStyle w:val="20"/>
        <w:widowControl/>
        <w:shd w:val="clear" w:color="auto" w:fill="FFFFFF"/>
        <w:spacing w:beforeAutospacing="0" w:afterAutospacing="0" w:line="560" w:lineRule="exact"/>
        <w:ind w:firstLine="632"/>
        <w:rPr>
          <w:rFonts w:ascii="Times New Roman" w:hAnsi="Times New Roman"/>
          <w:sz w:val="32"/>
        </w:rPr>
      </w:pPr>
      <w:r>
        <w:rPr>
          <w:rFonts w:ascii="Times New Roman" w:hAnsi="Times New Roman"/>
          <w:sz w:val="32"/>
        </w:rPr>
        <w:t>（6）Ⅰ、Ⅱ类放射源丢失、被盗的；放射性同位素和射线装置失控导致3人以下急性死亡或者10人以上急性重度放射病、局部器官残疾的；放射性物质泄漏，造成较大范围辐射污染后果的；</w:t>
      </w:r>
    </w:p>
    <w:p w14:paraId="288E92E5">
      <w:pPr>
        <w:pStyle w:val="20"/>
        <w:widowControl/>
        <w:shd w:val="clear" w:color="auto" w:fill="FFFFFF"/>
        <w:spacing w:beforeAutospacing="0" w:afterAutospacing="0" w:line="560" w:lineRule="exact"/>
        <w:ind w:firstLine="632"/>
        <w:rPr>
          <w:rFonts w:ascii="Times New Roman" w:hAnsi="Times New Roman"/>
          <w:sz w:val="32"/>
        </w:rPr>
      </w:pPr>
      <w:r>
        <w:rPr>
          <w:rFonts w:ascii="Times New Roman" w:hAnsi="Times New Roman"/>
          <w:sz w:val="32"/>
        </w:rPr>
        <w:t>（7）造成跨省级行政区域影响的突发环境事件。</w:t>
      </w:r>
    </w:p>
    <w:p w14:paraId="240F2B3D">
      <w:pPr>
        <w:pStyle w:val="20"/>
        <w:widowControl/>
        <w:shd w:val="clear" w:color="auto" w:fill="FFFFFF"/>
        <w:spacing w:beforeAutospacing="0" w:afterAutospacing="0" w:line="560" w:lineRule="exact"/>
        <w:ind w:firstLine="632"/>
        <w:rPr>
          <w:rFonts w:ascii="Times New Roman" w:hAnsi="Times New Roman" w:eastAsia="楷体_GB2312"/>
          <w:b/>
          <w:bCs/>
          <w:color w:val="444444"/>
          <w:sz w:val="32"/>
          <w:shd w:val="clear" w:color="auto" w:fill="FFFFFF"/>
        </w:rPr>
      </w:pPr>
      <w:r>
        <w:rPr>
          <w:rFonts w:ascii="Times New Roman" w:hAnsi="Times New Roman" w:eastAsia="楷体_GB2312"/>
          <w:b/>
          <w:bCs/>
          <w:color w:val="444444"/>
          <w:sz w:val="32"/>
          <w:shd w:val="clear" w:color="auto" w:fill="FFFFFF"/>
        </w:rPr>
        <w:t>（三）较大突发环境事件（</w:t>
      </w:r>
      <w:r>
        <w:rPr>
          <w:rFonts w:ascii="Times New Roman" w:hAnsi="Times New Roman" w:eastAsia="仿宋"/>
          <w:b/>
          <w:bCs/>
          <w:color w:val="444444"/>
          <w:sz w:val="32"/>
          <w:shd w:val="clear" w:color="auto" w:fill="FFFFFF"/>
          <w:lang w:bidi="ar"/>
        </w:rPr>
        <w:t>Ⅲ</w:t>
      </w:r>
      <w:r>
        <w:rPr>
          <w:rFonts w:ascii="Times New Roman" w:hAnsi="Times New Roman" w:eastAsia="楷体_GB2312"/>
          <w:b/>
          <w:bCs/>
          <w:color w:val="444444"/>
          <w:sz w:val="32"/>
          <w:shd w:val="clear" w:color="auto" w:fill="FFFFFF"/>
        </w:rPr>
        <w:t>级）</w:t>
      </w:r>
    </w:p>
    <w:p w14:paraId="038AD47A">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凡符合下列情形之一的，为较大突发环境事件，启动</w:t>
      </w:r>
      <w:r>
        <w:rPr>
          <w:rFonts w:ascii="Times New Roman" w:hAnsi="Times New Roman" w:eastAsia="仿宋" w:cs="Times New Roman"/>
          <w:color w:val="444444"/>
          <w:kern w:val="0"/>
          <w:sz w:val="32"/>
          <w:shd w:val="clear" w:color="auto" w:fill="FFFFFF"/>
          <w:lang w:bidi="ar"/>
        </w:rPr>
        <w:t>Ⅲ</w:t>
      </w:r>
      <w:r>
        <w:rPr>
          <w:rFonts w:ascii="Times New Roman" w:hAnsi="Times New Roman" w:cs="Times New Roman"/>
          <w:sz w:val="32"/>
        </w:rPr>
        <w:t>级响应：</w:t>
      </w:r>
    </w:p>
    <w:p w14:paraId="0617FC4B">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（1）因环境污染直接导致3人以上10人以下死亡或10人以上50人以下中毒或重伤的；</w:t>
      </w:r>
    </w:p>
    <w:p w14:paraId="4558D233">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（2）因环境污染疏散、转移人员5000人以上1万人以下的；</w:t>
      </w:r>
    </w:p>
    <w:p w14:paraId="6E7E1596">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（3）因环境污染造成直接经济损失500万元以上2000万元以下的；</w:t>
      </w:r>
    </w:p>
    <w:p w14:paraId="1212A9BD">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（4）因环境污染造成国家重点保护的动植物物种受到破坏的；</w:t>
      </w:r>
    </w:p>
    <w:p w14:paraId="458E078C">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（5）因环境污染造成乡（镇）集中式饮用水水源地取水中断的；</w:t>
      </w:r>
    </w:p>
    <w:p w14:paraId="3BDEEDCD">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（6）</w:t>
      </w:r>
      <w:r>
        <w:rPr>
          <w:rFonts w:ascii="Times New Roman" w:hAnsi="Times New Roman" w:eastAsia="仿宋" w:cs="Times New Roman"/>
          <w:color w:val="444444"/>
          <w:kern w:val="0"/>
          <w:sz w:val="32"/>
          <w:shd w:val="clear" w:color="auto" w:fill="FFFFFF"/>
          <w:lang w:bidi="ar"/>
        </w:rPr>
        <w:t>Ⅲ</w:t>
      </w:r>
      <w:r>
        <w:rPr>
          <w:rFonts w:ascii="Times New Roman" w:hAnsi="Times New Roman" w:cs="Times New Roman"/>
          <w:sz w:val="32"/>
        </w:rPr>
        <w:t>类放射源丢失、被盗的；放射性同位素和射线装置失控导致10人以下急性重度放射病、局部器官残疾的；放射性物质泄漏，造成小范围辐射污染后果的；</w:t>
      </w:r>
    </w:p>
    <w:p w14:paraId="319C74FF">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（7）造成跨设区的市级行政区域影响的突发环境事件。</w:t>
      </w:r>
    </w:p>
    <w:p w14:paraId="26DBADF1">
      <w:pPr>
        <w:pStyle w:val="20"/>
        <w:widowControl/>
        <w:shd w:val="clear" w:color="auto" w:fill="FFFFFF"/>
        <w:spacing w:beforeAutospacing="0" w:afterAutospacing="0" w:line="560" w:lineRule="exact"/>
        <w:ind w:firstLine="632"/>
        <w:rPr>
          <w:rFonts w:ascii="Times New Roman" w:hAnsi="Times New Roman" w:eastAsia="楷体_GB2312"/>
          <w:b/>
          <w:bCs/>
          <w:color w:val="444444"/>
          <w:sz w:val="32"/>
          <w:shd w:val="clear" w:color="auto" w:fill="FFFFFF"/>
        </w:rPr>
      </w:pPr>
      <w:r>
        <w:rPr>
          <w:rFonts w:ascii="Times New Roman" w:hAnsi="Times New Roman" w:eastAsia="楷体_GB2312"/>
          <w:b/>
          <w:bCs/>
          <w:color w:val="444444"/>
          <w:sz w:val="32"/>
          <w:shd w:val="clear" w:color="auto" w:fill="FFFFFF"/>
        </w:rPr>
        <w:t>（四）一般突发环境事件（Ⅳ级）</w:t>
      </w:r>
    </w:p>
    <w:p w14:paraId="7319B0E9">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凡符合下列情形之一的，为一般突发环境事件，启动Ⅳ级响应：</w:t>
      </w:r>
    </w:p>
    <w:p w14:paraId="0C54382D">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（1）因环境污染直接导致3人以下死亡或10人以下中毒或重伤的；</w:t>
      </w:r>
    </w:p>
    <w:p w14:paraId="28C43092">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（2）因环境污染疏散、转移人员5000人以下的；</w:t>
      </w:r>
    </w:p>
    <w:p w14:paraId="7BE51A8B">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（3）因环境污染造成直接经济损失500万元以下的；</w:t>
      </w:r>
    </w:p>
    <w:p w14:paraId="76EACA6D">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（4）因环境污染造成跨县级行政区域纠纷，引起一般性群体影响的；</w:t>
      </w:r>
    </w:p>
    <w:p w14:paraId="126F70E2">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5）Ⅳ、Ⅴ类放射源丢失、被盗的；放射性同位素和射线装置失控导致人员受到超过年剂量限值的照射的；放射性物质泄漏，造成厂区内或设施内局部辐射污染后果的；铀矿冶、伴生矿超标排放，造成环境辐射污染后果的；</w:t>
      </w:r>
    </w:p>
    <w:p w14:paraId="61B136FE">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（6）对环境造成一定影响，尚未达到较大突发环境事件级别的。</w:t>
      </w:r>
    </w:p>
    <w:p w14:paraId="7362B2BF">
      <w:pPr>
        <w:ind w:firstLine="632"/>
        <w:rPr>
          <w:rFonts w:ascii="Times New Roman" w:hAnsi="Times New Roman" w:cs="Times New Roman"/>
          <w:sz w:val="32"/>
        </w:rPr>
      </w:pPr>
      <w:r>
        <w:rPr>
          <w:rFonts w:ascii="Times New Roman" w:hAnsi="Times New Roman" w:cs="Times New Roman"/>
          <w:sz w:val="32"/>
        </w:rPr>
        <w:t>上述分级标准有关数量的表述中，“以上”含本数，“以下”不含本数。</w:t>
      </w:r>
    </w:p>
    <w:p w14:paraId="0D25E28B">
      <w:pPr>
        <w:pStyle w:val="15"/>
        <w:ind w:left="552" w:firstLine="552"/>
        <w:rPr>
          <w:rFonts w:ascii="Times New Roman" w:hAnsi="Times New Roman" w:cs="Times New Roman"/>
        </w:rPr>
      </w:pPr>
    </w:p>
    <w:p w14:paraId="67BDDC39">
      <w:pPr>
        <w:pStyle w:val="15"/>
        <w:ind w:left="552" w:firstLine="552"/>
        <w:rPr>
          <w:rFonts w:ascii="Times New Roman" w:hAnsi="Times New Roman" w:cs="Times New Roman"/>
        </w:rPr>
      </w:pPr>
    </w:p>
    <w:p w14:paraId="5C6C6D5E">
      <w:pPr>
        <w:pStyle w:val="11"/>
        <w:ind w:firstLine="632"/>
      </w:pPr>
    </w:p>
    <w:p w14:paraId="2CCC78B6">
      <w:pPr>
        <w:ind w:firstLine="0" w:firstLineChars="0"/>
        <w:jc w:val="center"/>
        <w:rPr>
          <w:sz w:val="36"/>
          <w:szCs w:val="36"/>
        </w:rPr>
      </w:pPr>
    </w:p>
    <w:p w14:paraId="13491BA2">
      <w:pPr>
        <w:pStyle w:val="42"/>
      </w:pPr>
    </w:p>
    <w:p w14:paraId="7A8F8DA1">
      <w:pPr>
        <w:autoSpaceDE w:val="0"/>
        <w:autoSpaceDN w:val="0"/>
        <w:adjustRightInd w:val="0"/>
        <w:spacing w:line="240" w:lineRule="atLeast"/>
        <w:ind w:firstLine="0" w:firstLineChars="0"/>
        <w:jc w:val="center"/>
        <w:rPr>
          <w:rFonts w:ascii="方正小标宋简体" w:hAnsi="方正小标宋简体" w:eastAsia="方正小标宋简体" w:cs="方正小标宋简体"/>
          <w:bCs/>
          <w:color w:val="000000"/>
          <w:spacing w:val="-6"/>
          <w:kern w:val="0"/>
          <w:sz w:val="52"/>
          <w:szCs w:val="52"/>
          <w:lang w:bidi="ar"/>
        </w:rPr>
      </w:pPr>
      <w:r>
        <w:rPr>
          <w:rFonts w:hint="eastAsia" w:ascii="方正小标宋简体" w:hAnsi="方正小标宋简体" w:eastAsia="方正小标宋简体" w:cs="方正小标宋简体"/>
          <w:bCs/>
          <w:color w:val="000000"/>
          <w:spacing w:val="-6"/>
          <w:kern w:val="0"/>
          <w:sz w:val="52"/>
          <w:szCs w:val="52"/>
          <w:lang w:bidi="ar"/>
        </w:rPr>
        <w:t>集贤县危险化学品事故应急预案</w:t>
      </w:r>
    </w:p>
    <w:p w14:paraId="06BA5939">
      <w:pPr>
        <w:pStyle w:val="11"/>
        <w:ind w:firstLine="0" w:firstLineChars="0"/>
        <w:jc w:val="center"/>
        <w:rPr>
          <w:rFonts w:ascii="Times New Roman" w:hAnsi="Times New Roman" w:eastAsia="楷体_GB2312" w:cs="Times New Roman"/>
          <w:b/>
          <w:sz w:val="52"/>
          <w:szCs w:val="52"/>
        </w:rPr>
      </w:pPr>
      <w:r>
        <w:rPr>
          <w:rFonts w:hint="eastAsia" w:ascii="仿宋_GB2312" w:hAnsi="仿宋_GB2312" w:cs="仿宋_GB2312"/>
          <w:bCs/>
          <w:sz w:val="48"/>
          <w:szCs w:val="48"/>
        </w:rPr>
        <w:t>（修订稿）</w:t>
      </w:r>
    </w:p>
    <w:p w14:paraId="14E18690">
      <w:pPr>
        <w:ind w:firstLine="632"/>
      </w:pPr>
    </w:p>
    <w:p w14:paraId="372DF385">
      <w:pPr>
        <w:ind w:firstLine="632"/>
      </w:pPr>
    </w:p>
    <w:p w14:paraId="7C3A1C98">
      <w:pPr>
        <w:ind w:firstLine="632"/>
      </w:pPr>
    </w:p>
    <w:p w14:paraId="5C1DBA06">
      <w:pPr>
        <w:ind w:firstLine="632"/>
      </w:pPr>
    </w:p>
    <w:p w14:paraId="68C70446">
      <w:pPr>
        <w:ind w:firstLine="632"/>
      </w:pPr>
    </w:p>
    <w:p w14:paraId="13683A2F">
      <w:pPr>
        <w:ind w:firstLine="632"/>
      </w:pPr>
    </w:p>
    <w:p w14:paraId="0BB31743">
      <w:pPr>
        <w:ind w:firstLine="632"/>
      </w:pPr>
    </w:p>
    <w:p w14:paraId="5ED57071">
      <w:pPr>
        <w:ind w:firstLine="632"/>
      </w:pPr>
    </w:p>
    <w:p w14:paraId="101DD361">
      <w:pPr>
        <w:ind w:firstLine="632"/>
      </w:pPr>
    </w:p>
    <w:p w14:paraId="32D7F065">
      <w:pPr>
        <w:ind w:firstLine="632"/>
      </w:pPr>
    </w:p>
    <w:p w14:paraId="7E8CB4A6">
      <w:pPr>
        <w:ind w:firstLine="632"/>
      </w:pPr>
    </w:p>
    <w:p w14:paraId="3FF64CFB">
      <w:pPr>
        <w:ind w:firstLine="0" w:firstLineChars="0"/>
        <w:jc w:val="center"/>
        <w:rPr>
          <w:rFonts w:eastAsia="仿宋"/>
          <w:bCs/>
          <w:spacing w:val="-6"/>
          <w:sz w:val="36"/>
          <w:szCs w:val="24"/>
          <w:lang w:bidi="ar"/>
        </w:rPr>
      </w:pPr>
      <w:r>
        <w:rPr>
          <w:rFonts w:hint="eastAsia" w:ascii="仿宋_GB2312" w:hAnsi="仿宋_GB2312" w:cs="仿宋_GB2312"/>
          <w:bCs/>
          <w:spacing w:val="-6"/>
          <w:sz w:val="36"/>
          <w:szCs w:val="24"/>
          <w:lang w:bidi="ar"/>
        </w:rPr>
        <w:t>集贤县人民政府 编制</w:t>
      </w:r>
    </w:p>
    <w:p w14:paraId="5E404D8A">
      <w:pPr>
        <w:ind w:firstLine="0" w:firstLineChars="0"/>
        <w:jc w:val="center"/>
        <w:rPr>
          <w:rFonts w:eastAsia="仿宋"/>
          <w:bCs/>
          <w:spacing w:val="-6"/>
          <w:sz w:val="36"/>
          <w:szCs w:val="24"/>
          <w:lang w:bidi="ar"/>
        </w:rPr>
      </w:pPr>
      <w:r>
        <w:rPr>
          <w:rFonts w:hint="eastAsia" w:eastAsia="仿宋"/>
          <w:bCs/>
          <w:spacing w:val="-6"/>
          <w:sz w:val="36"/>
          <w:szCs w:val="24"/>
          <w:lang w:bidi="ar"/>
        </w:rPr>
        <w:t>202</w:t>
      </w:r>
      <w:r>
        <w:rPr>
          <w:bCs/>
          <w:spacing w:val="-6"/>
          <w:sz w:val="36"/>
          <w:szCs w:val="24"/>
          <w:lang w:bidi="ar"/>
        </w:rPr>
        <w:t>5</w:t>
      </w:r>
      <w:r>
        <w:rPr>
          <w:rFonts w:hint="eastAsia" w:eastAsia="仿宋"/>
          <w:bCs/>
          <w:spacing w:val="-6"/>
          <w:sz w:val="36"/>
          <w:szCs w:val="24"/>
          <w:lang w:bidi="ar"/>
        </w:rPr>
        <w:t>年</w:t>
      </w:r>
      <w:r>
        <w:rPr>
          <w:bCs/>
          <w:spacing w:val="-6"/>
          <w:sz w:val="36"/>
          <w:szCs w:val="24"/>
          <w:lang w:bidi="ar"/>
        </w:rPr>
        <w:t>5</w:t>
      </w:r>
      <w:r>
        <w:rPr>
          <w:rFonts w:hint="eastAsia" w:eastAsia="仿宋"/>
          <w:bCs/>
          <w:spacing w:val="-6"/>
          <w:sz w:val="36"/>
          <w:szCs w:val="24"/>
          <w:lang w:bidi="ar"/>
        </w:rPr>
        <w:t>月</w:t>
      </w:r>
    </w:p>
    <w:p w14:paraId="027C3350">
      <w:pPr>
        <w:ind w:firstLine="632"/>
        <w:rPr>
          <w:rFonts w:ascii="黑体" w:hAnsi="黑体" w:eastAsia="黑体" w:cs="黑体"/>
        </w:rPr>
      </w:pPr>
      <w:r>
        <w:rPr>
          <w:rFonts w:hint="eastAsia" w:ascii="黑体" w:hAnsi="黑体" w:eastAsia="黑体" w:cs="黑体"/>
        </w:rPr>
        <w:br w:type="page"/>
      </w:r>
    </w:p>
    <w:p w14:paraId="11101A41">
      <w:pPr>
        <w:pStyle w:val="42"/>
        <w:sectPr>
          <w:footerReference r:id="rId106" w:type="default"/>
          <w:pgSz w:w="11906" w:h="16838"/>
          <w:pgMar w:top="2098" w:right="1474" w:bottom="1984" w:left="1587" w:header="1814" w:footer="1587" w:gutter="0"/>
          <w:pgNumType w:fmt="numberInDash"/>
          <w:cols w:space="720" w:num="1"/>
          <w:docGrid w:type="linesAndChars" w:linePitch="579" w:charSpace="-842"/>
        </w:sectPr>
      </w:pPr>
    </w:p>
    <w:p w14:paraId="487FF8F6">
      <w:pPr>
        <w:ind w:firstLine="0" w:firstLineChars="0"/>
        <w:jc w:val="center"/>
        <w:rPr>
          <w:rFonts w:ascii="微软雅黑" w:hAnsi="微软雅黑" w:eastAsia="微软雅黑" w:cs="微软雅黑"/>
          <w:b/>
          <w:bCs/>
          <w:sz w:val="36"/>
          <w:szCs w:val="36"/>
        </w:rPr>
      </w:pPr>
      <w:r>
        <w:rPr>
          <w:rFonts w:hint="eastAsia" w:ascii="方正小标宋简体" w:hAnsi="方正小标宋简体" w:eastAsia="方正小标宋简体" w:cs="方正小标宋简体"/>
          <w:b/>
          <w:bCs/>
          <w:sz w:val="36"/>
          <w:szCs w:val="36"/>
        </w:rPr>
        <w:t>目  录</w:t>
      </w:r>
    </w:p>
    <w:p w14:paraId="1AD9A6FD">
      <w:pPr>
        <w:pStyle w:val="18"/>
      </w:pPr>
      <w:r>
        <w:rPr>
          <w:rFonts w:hint="eastAsia" w:ascii="黑体" w:hAnsi="黑体" w:eastAsia="黑体" w:cs="黑体"/>
          <w:sz w:val="44"/>
          <w:szCs w:val="44"/>
        </w:rPr>
        <w:fldChar w:fldCharType="begin"/>
      </w:r>
      <w:r>
        <w:rPr>
          <w:rFonts w:hint="eastAsia" w:ascii="黑体" w:hAnsi="黑体" w:eastAsia="黑体" w:cs="黑体"/>
          <w:sz w:val="44"/>
          <w:szCs w:val="44"/>
        </w:rPr>
        <w:instrText xml:space="preserve">TOC \o "1-2" \h \u </w:instrText>
      </w:r>
      <w:r>
        <w:rPr>
          <w:rFonts w:hint="eastAsia" w:ascii="黑体" w:hAnsi="黑体" w:eastAsia="黑体" w:cs="黑体"/>
          <w:sz w:val="44"/>
          <w:szCs w:val="44"/>
        </w:rPr>
        <w:fldChar w:fldCharType="separate"/>
      </w:r>
      <w:r>
        <w:fldChar w:fldCharType="begin"/>
      </w:r>
      <w:r>
        <w:instrText xml:space="preserve"> HYPERLINK \l "_Toc4101" </w:instrText>
      </w:r>
      <w:r>
        <w:fldChar w:fldCharType="separate"/>
      </w:r>
      <w:r>
        <w:rPr>
          <w:rFonts w:eastAsia="仿宋"/>
        </w:rPr>
        <w:t xml:space="preserve">1 </w:t>
      </w:r>
      <w:r>
        <w:rPr>
          <w:rFonts w:hint="eastAsia"/>
        </w:rPr>
        <w:t>总则</w:t>
      </w:r>
      <w:r>
        <w:tab/>
      </w:r>
      <w:r>
        <w:fldChar w:fldCharType="begin"/>
      </w:r>
      <w:r>
        <w:instrText xml:space="preserve"> PAGEREF _Toc4101 \h </w:instrText>
      </w:r>
      <w:r>
        <w:fldChar w:fldCharType="separate"/>
      </w:r>
      <w:r>
        <w:t>1</w:t>
      </w:r>
      <w:r>
        <w:fldChar w:fldCharType="end"/>
      </w:r>
      <w:r>
        <w:fldChar w:fldCharType="end"/>
      </w:r>
    </w:p>
    <w:p w14:paraId="4B150368">
      <w:pPr>
        <w:pStyle w:val="19"/>
        <w:tabs>
          <w:tab w:val="right" w:leader="dot" w:pos="8845"/>
        </w:tabs>
        <w:ind w:firstLine="632"/>
      </w:pPr>
      <w:r>
        <w:fldChar w:fldCharType="begin"/>
      </w:r>
      <w:r>
        <w:instrText xml:space="preserve"> HYPERLINK \l "_Toc23962" </w:instrText>
      </w:r>
      <w:r>
        <w:fldChar w:fldCharType="separate"/>
      </w:r>
      <w:r>
        <w:rPr>
          <w:rFonts w:eastAsia="仿宋"/>
          <w:bCs/>
          <w:szCs w:val="28"/>
        </w:rPr>
        <w:t xml:space="preserve">1.1 </w:t>
      </w:r>
      <w:r>
        <w:rPr>
          <w:rFonts w:hint="eastAsia"/>
        </w:rPr>
        <w:t>编制目的</w:t>
      </w:r>
      <w:r>
        <w:tab/>
      </w:r>
      <w:r>
        <w:fldChar w:fldCharType="begin"/>
      </w:r>
      <w:r>
        <w:instrText xml:space="preserve"> PAGEREF _Toc23962 \h </w:instrText>
      </w:r>
      <w:r>
        <w:fldChar w:fldCharType="separate"/>
      </w:r>
      <w:r>
        <w:t>1</w:t>
      </w:r>
      <w:r>
        <w:fldChar w:fldCharType="end"/>
      </w:r>
      <w:r>
        <w:fldChar w:fldCharType="end"/>
      </w:r>
    </w:p>
    <w:p w14:paraId="3CB9DA73">
      <w:pPr>
        <w:pStyle w:val="19"/>
        <w:tabs>
          <w:tab w:val="right" w:leader="dot" w:pos="8845"/>
        </w:tabs>
        <w:ind w:firstLine="632"/>
      </w:pPr>
      <w:r>
        <w:fldChar w:fldCharType="begin"/>
      </w:r>
      <w:r>
        <w:instrText xml:space="preserve"> HYPERLINK \l "_Toc24622" </w:instrText>
      </w:r>
      <w:r>
        <w:fldChar w:fldCharType="separate"/>
      </w:r>
      <w:r>
        <w:rPr>
          <w:rFonts w:eastAsia="仿宋"/>
          <w:bCs/>
          <w:szCs w:val="28"/>
        </w:rPr>
        <w:t xml:space="preserve">1.2 </w:t>
      </w:r>
      <w:r>
        <w:rPr>
          <w:rFonts w:hint="eastAsia"/>
        </w:rPr>
        <w:t>编制依据</w:t>
      </w:r>
      <w:r>
        <w:tab/>
      </w:r>
      <w:r>
        <w:fldChar w:fldCharType="begin"/>
      </w:r>
      <w:r>
        <w:instrText xml:space="preserve"> PAGEREF _Toc24622 \h </w:instrText>
      </w:r>
      <w:r>
        <w:fldChar w:fldCharType="separate"/>
      </w:r>
      <w:r>
        <w:t>1</w:t>
      </w:r>
      <w:r>
        <w:fldChar w:fldCharType="end"/>
      </w:r>
      <w:r>
        <w:fldChar w:fldCharType="end"/>
      </w:r>
    </w:p>
    <w:p w14:paraId="1F56C7D8">
      <w:pPr>
        <w:pStyle w:val="19"/>
        <w:tabs>
          <w:tab w:val="right" w:leader="dot" w:pos="8845"/>
        </w:tabs>
        <w:ind w:firstLine="632"/>
      </w:pPr>
      <w:r>
        <w:fldChar w:fldCharType="begin"/>
      </w:r>
      <w:r>
        <w:instrText xml:space="preserve"> HYPERLINK \l "_Toc13540" </w:instrText>
      </w:r>
      <w:r>
        <w:fldChar w:fldCharType="separate"/>
      </w:r>
      <w:r>
        <w:rPr>
          <w:rFonts w:eastAsia="仿宋"/>
          <w:bCs/>
          <w:szCs w:val="28"/>
        </w:rPr>
        <w:t xml:space="preserve">1.3 </w:t>
      </w:r>
      <w:r>
        <w:rPr>
          <w:rFonts w:hint="eastAsia"/>
        </w:rPr>
        <w:t>适用范围</w:t>
      </w:r>
      <w:r>
        <w:tab/>
      </w:r>
      <w:r>
        <w:fldChar w:fldCharType="begin"/>
      </w:r>
      <w:r>
        <w:instrText xml:space="preserve"> PAGEREF _Toc13540 \h </w:instrText>
      </w:r>
      <w:r>
        <w:fldChar w:fldCharType="separate"/>
      </w:r>
      <w:r>
        <w:t>1</w:t>
      </w:r>
      <w:r>
        <w:fldChar w:fldCharType="end"/>
      </w:r>
      <w:r>
        <w:fldChar w:fldCharType="end"/>
      </w:r>
    </w:p>
    <w:p w14:paraId="785B75E7">
      <w:pPr>
        <w:pStyle w:val="19"/>
        <w:tabs>
          <w:tab w:val="right" w:leader="dot" w:pos="8845"/>
        </w:tabs>
        <w:ind w:firstLine="632"/>
      </w:pPr>
      <w:r>
        <w:fldChar w:fldCharType="begin"/>
      </w:r>
      <w:r>
        <w:instrText xml:space="preserve"> HYPERLINK \l "_Toc1565" </w:instrText>
      </w:r>
      <w:r>
        <w:fldChar w:fldCharType="separate"/>
      </w:r>
      <w:r>
        <w:rPr>
          <w:rFonts w:eastAsia="仿宋"/>
          <w:bCs/>
          <w:szCs w:val="28"/>
        </w:rPr>
        <w:t xml:space="preserve">1.4 </w:t>
      </w:r>
      <w:r>
        <w:rPr>
          <w:rFonts w:hint="eastAsia"/>
        </w:rPr>
        <w:t>主要危险源分析</w:t>
      </w:r>
      <w:r>
        <w:tab/>
      </w:r>
      <w:r>
        <w:fldChar w:fldCharType="begin"/>
      </w:r>
      <w:r>
        <w:instrText xml:space="preserve"> PAGEREF _Toc1565 \h </w:instrText>
      </w:r>
      <w:r>
        <w:fldChar w:fldCharType="separate"/>
      </w:r>
      <w:r>
        <w:t>2</w:t>
      </w:r>
      <w:r>
        <w:fldChar w:fldCharType="end"/>
      </w:r>
      <w:r>
        <w:fldChar w:fldCharType="end"/>
      </w:r>
    </w:p>
    <w:p w14:paraId="25B9B838">
      <w:pPr>
        <w:pStyle w:val="19"/>
        <w:tabs>
          <w:tab w:val="right" w:leader="dot" w:pos="8845"/>
        </w:tabs>
        <w:ind w:firstLine="632"/>
      </w:pPr>
      <w:r>
        <w:fldChar w:fldCharType="begin"/>
      </w:r>
      <w:r>
        <w:instrText xml:space="preserve"> HYPERLINK \l "_Toc13904" </w:instrText>
      </w:r>
      <w:r>
        <w:fldChar w:fldCharType="separate"/>
      </w:r>
      <w:r>
        <w:rPr>
          <w:rFonts w:eastAsia="仿宋"/>
          <w:bCs/>
          <w:szCs w:val="28"/>
        </w:rPr>
        <w:t xml:space="preserve">1.5 </w:t>
      </w:r>
      <w:r>
        <w:rPr>
          <w:rFonts w:hint="eastAsia"/>
        </w:rPr>
        <w:t>工作原则</w:t>
      </w:r>
      <w:r>
        <w:tab/>
      </w:r>
      <w:r>
        <w:fldChar w:fldCharType="begin"/>
      </w:r>
      <w:r>
        <w:instrText xml:space="preserve"> PAGEREF _Toc13904 \h </w:instrText>
      </w:r>
      <w:r>
        <w:fldChar w:fldCharType="separate"/>
      </w:r>
      <w:r>
        <w:t>3</w:t>
      </w:r>
      <w:r>
        <w:fldChar w:fldCharType="end"/>
      </w:r>
      <w:r>
        <w:fldChar w:fldCharType="end"/>
      </w:r>
    </w:p>
    <w:p w14:paraId="260165F2">
      <w:pPr>
        <w:pStyle w:val="19"/>
        <w:tabs>
          <w:tab w:val="right" w:leader="dot" w:pos="8845"/>
        </w:tabs>
        <w:ind w:firstLine="632"/>
      </w:pPr>
      <w:r>
        <w:fldChar w:fldCharType="begin"/>
      </w:r>
      <w:r>
        <w:instrText xml:space="preserve"> HYPERLINK \l "_Toc17490" </w:instrText>
      </w:r>
      <w:r>
        <w:fldChar w:fldCharType="separate"/>
      </w:r>
      <w:r>
        <w:rPr>
          <w:rFonts w:eastAsia="仿宋"/>
          <w:bCs/>
          <w:szCs w:val="28"/>
        </w:rPr>
        <w:t xml:space="preserve">1.6 </w:t>
      </w:r>
      <w:r>
        <w:rPr>
          <w:rFonts w:hint="eastAsia"/>
        </w:rPr>
        <w:t>事故分级</w:t>
      </w:r>
      <w:r>
        <w:tab/>
      </w:r>
      <w:r>
        <w:fldChar w:fldCharType="begin"/>
      </w:r>
      <w:r>
        <w:instrText xml:space="preserve"> PAGEREF _Toc17490 \h </w:instrText>
      </w:r>
      <w:r>
        <w:fldChar w:fldCharType="separate"/>
      </w:r>
      <w:r>
        <w:t>4</w:t>
      </w:r>
      <w:r>
        <w:fldChar w:fldCharType="end"/>
      </w:r>
      <w:r>
        <w:fldChar w:fldCharType="end"/>
      </w:r>
    </w:p>
    <w:p w14:paraId="59A44A4F">
      <w:pPr>
        <w:pStyle w:val="19"/>
        <w:tabs>
          <w:tab w:val="right" w:leader="dot" w:pos="8845"/>
        </w:tabs>
        <w:ind w:firstLine="632"/>
      </w:pPr>
      <w:r>
        <w:fldChar w:fldCharType="begin"/>
      </w:r>
      <w:r>
        <w:instrText xml:space="preserve"> HYPERLINK \l "_Toc24557" </w:instrText>
      </w:r>
      <w:r>
        <w:fldChar w:fldCharType="separate"/>
      </w:r>
      <w:r>
        <w:rPr>
          <w:rFonts w:eastAsia="仿宋"/>
          <w:bCs/>
          <w:szCs w:val="28"/>
        </w:rPr>
        <w:t xml:space="preserve">1.7 </w:t>
      </w:r>
      <w:r>
        <w:rPr>
          <w:rFonts w:hint="eastAsia"/>
        </w:rPr>
        <w:t>应急预案体系</w:t>
      </w:r>
      <w:r>
        <w:tab/>
      </w:r>
      <w:r>
        <w:fldChar w:fldCharType="begin"/>
      </w:r>
      <w:r>
        <w:instrText xml:space="preserve"> PAGEREF _Toc24557 \h </w:instrText>
      </w:r>
      <w:r>
        <w:fldChar w:fldCharType="separate"/>
      </w:r>
      <w:r>
        <w:t>6</w:t>
      </w:r>
      <w:r>
        <w:fldChar w:fldCharType="end"/>
      </w:r>
      <w:r>
        <w:fldChar w:fldCharType="end"/>
      </w:r>
    </w:p>
    <w:p w14:paraId="03635C67">
      <w:pPr>
        <w:pStyle w:val="18"/>
      </w:pPr>
      <w:r>
        <w:fldChar w:fldCharType="begin"/>
      </w:r>
      <w:r>
        <w:instrText xml:space="preserve"> HYPERLINK \l "_Toc6116" </w:instrText>
      </w:r>
      <w:r>
        <w:fldChar w:fldCharType="separate"/>
      </w:r>
      <w:r>
        <w:rPr>
          <w:rFonts w:eastAsia="仿宋"/>
        </w:rPr>
        <w:t xml:space="preserve">2 </w:t>
      </w:r>
      <w:r>
        <w:rPr>
          <w:rFonts w:hint="eastAsia"/>
        </w:rPr>
        <w:t>组织指挥体系</w:t>
      </w:r>
      <w:r>
        <w:tab/>
      </w:r>
      <w:r>
        <w:fldChar w:fldCharType="begin"/>
      </w:r>
      <w:r>
        <w:instrText xml:space="preserve"> PAGEREF _Toc6116 \h </w:instrText>
      </w:r>
      <w:r>
        <w:fldChar w:fldCharType="separate"/>
      </w:r>
      <w:r>
        <w:t>6</w:t>
      </w:r>
      <w:r>
        <w:fldChar w:fldCharType="end"/>
      </w:r>
      <w:r>
        <w:fldChar w:fldCharType="end"/>
      </w:r>
    </w:p>
    <w:p w14:paraId="502D0F7F">
      <w:pPr>
        <w:pStyle w:val="19"/>
        <w:tabs>
          <w:tab w:val="right" w:leader="dot" w:pos="8845"/>
        </w:tabs>
        <w:ind w:firstLine="632"/>
      </w:pPr>
      <w:r>
        <w:fldChar w:fldCharType="begin"/>
      </w:r>
      <w:r>
        <w:instrText xml:space="preserve"> HYPERLINK \l "_Toc31901" </w:instrText>
      </w:r>
      <w:r>
        <w:fldChar w:fldCharType="separate"/>
      </w:r>
      <w:r>
        <w:rPr>
          <w:rFonts w:eastAsia="仿宋"/>
          <w:bCs/>
          <w:szCs w:val="28"/>
        </w:rPr>
        <w:t xml:space="preserve">2.1 </w:t>
      </w:r>
      <w:r>
        <w:rPr>
          <w:rFonts w:hint="eastAsia"/>
        </w:rPr>
        <w:t>县危险化学品事故指挥部</w:t>
      </w:r>
      <w:r>
        <w:tab/>
      </w:r>
      <w:r>
        <w:fldChar w:fldCharType="begin"/>
      </w:r>
      <w:r>
        <w:instrText xml:space="preserve"> PAGEREF _Toc31901 \h </w:instrText>
      </w:r>
      <w:r>
        <w:fldChar w:fldCharType="separate"/>
      </w:r>
      <w:r>
        <w:t>6</w:t>
      </w:r>
      <w:r>
        <w:fldChar w:fldCharType="end"/>
      </w:r>
      <w:r>
        <w:fldChar w:fldCharType="end"/>
      </w:r>
    </w:p>
    <w:p w14:paraId="3433F760">
      <w:pPr>
        <w:pStyle w:val="19"/>
        <w:tabs>
          <w:tab w:val="right" w:leader="dot" w:pos="8845"/>
        </w:tabs>
        <w:ind w:firstLine="632"/>
      </w:pPr>
      <w:r>
        <w:fldChar w:fldCharType="begin"/>
      </w:r>
      <w:r>
        <w:instrText xml:space="preserve"> HYPERLINK \l "_Toc25036" </w:instrText>
      </w:r>
      <w:r>
        <w:fldChar w:fldCharType="separate"/>
      </w:r>
      <w:r>
        <w:rPr>
          <w:rFonts w:eastAsia="仿宋"/>
          <w:bCs/>
          <w:szCs w:val="28"/>
        </w:rPr>
        <w:t xml:space="preserve">2.2 </w:t>
      </w:r>
      <w:r>
        <w:rPr>
          <w:rFonts w:hint="eastAsia"/>
        </w:rPr>
        <w:t>现场应急救援机构</w:t>
      </w:r>
      <w:r>
        <w:tab/>
      </w:r>
      <w:r>
        <w:fldChar w:fldCharType="begin"/>
      </w:r>
      <w:r>
        <w:instrText xml:space="preserve"> PAGEREF _Toc25036 \h </w:instrText>
      </w:r>
      <w:r>
        <w:fldChar w:fldCharType="separate"/>
      </w:r>
      <w:r>
        <w:t>12</w:t>
      </w:r>
      <w:r>
        <w:fldChar w:fldCharType="end"/>
      </w:r>
      <w:r>
        <w:fldChar w:fldCharType="end"/>
      </w:r>
    </w:p>
    <w:p w14:paraId="3E25BF1D">
      <w:pPr>
        <w:pStyle w:val="19"/>
        <w:tabs>
          <w:tab w:val="right" w:leader="dot" w:pos="8845"/>
        </w:tabs>
        <w:ind w:firstLine="632"/>
      </w:pPr>
      <w:r>
        <w:fldChar w:fldCharType="begin"/>
      </w:r>
      <w:r>
        <w:instrText xml:space="preserve"> HYPERLINK \l "_Toc3231" </w:instrText>
      </w:r>
      <w:r>
        <w:fldChar w:fldCharType="separate"/>
      </w:r>
      <w:r>
        <w:rPr>
          <w:rFonts w:eastAsia="仿宋"/>
          <w:bCs/>
          <w:szCs w:val="28"/>
        </w:rPr>
        <w:t xml:space="preserve">2.3 </w:t>
      </w:r>
      <w:r>
        <w:rPr>
          <w:rFonts w:hint="eastAsia"/>
        </w:rPr>
        <w:t>应急工作组及职责</w:t>
      </w:r>
      <w:r>
        <w:tab/>
      </w:r>
      <w:r>
        <w:fldChar w:fldCharType="begin"/>
      </w:r>
      <w:r>
        <w:instrText xml:space="preserve"> PAGEREF _Toc3231 \h </w:instrText>
      </w:r>
      <w:r>
        <w:fldChar w:fldCharType="separate"/>
      </w:r>
      <w:r>
        <w:t>12</w:t>
      </w:r>
      <w:r>
        <w:fldChar w:fldCharType="end"/>
      </w:r>
      <w:r>
        <w:fldChar w:fldCharType="end"/>
      </w:r>
    </w:p>
    <w:p w14:paraId="3912E882">
      <w:pPr>
        <w:pStyle w:val="19"/>
        <w:tabs>
          <w:tab w:val="right" w:leader="dot" w:pos="8845"/>
        </w:tabs>
        <w:ind w:firstLine="632"/>
      </w:pPr>
      <w:r>
        <w:fldChar w:fldCharType="begin"/>
      </w:r>
      <w:r>
        <w:instrText xml:space="preserve"> HYPERLINK \l "_Toc32692" </w:instrText>
      </w:r>
      <w:r>
        <w:fldChar w:fldCharType="separate"/>
      </w:r>
      <w:r>
        <w:rPr>
          <w:rFonts w:eastAsia="仿宋"/>
          <w:bCs/>
          <w:szCs w:val="28"/>
        </w:rPr>
        <w:t xml:space="preserve">2.4 </w:t>
      </w:r>
      <w:r>
        <w:rPr>
          <w:rFonts w:hint="eastAsia"/>
          <w:spacing w:val="6"/>
          <w:kern w:val="0"/>
        </w:rPr>
        <w:t>基层组织机构</w:t>
      </w:r>
      <w:r>
        <w:tab/>
      </w:r>
      <w:r>
        <w:fldChar w:fldCharType="begin"/>
      </w:r>
      <w:r>
        <w:instrText xml:space="preserve"> PAGEREF _Toc32692 \h </w:instrText>
      </w:r>
      <w:r>
        <w:fldChar w:fldCharType="separate"/>
      </w:r>
      <w:r>
        <w:t>16</w:t>
      </w:r>
      <w:r>
        <w:fldChar w:fldCharType="end"/>
      </w:r>
      <w:r>
        <w:fldChar w:fldCharType="end"/>
      </w:r>
    </w:p>
    <w:p w14:paraId="316A3747">
      <w:pPr>
        <w:pStyle w:val="18"/>
      </w:pPr>
      <w:r>
        <w:fldChar w:fldCharType="begin"/>
      </w:r>
      <w:r>
        <w:instrText xml:space="preserve"> HYPERLINK \l "_Toc956" </w:instrText>
      </w:r>
      <w:r>
        <w:fldChar w:fldCharType="separate"/>
      </w:r>
      <w:r>
        <w:rPr>
          <w:rFonts w:eastAsia="仿宋"/>
        </w:rPr>
        <w:t xml:space="preserve">3 </w:t>
      </w:r>
      <w:r>
        <w:rPr>
          <w:rFonts w:hint="eastAsia"/>
        </w:rPr>
        <w:t>预防预警</w:t>
      </w:r>
      <w:r>
        <w:tab/>
      </w:r>
      <w:r>
        <w:fldChar w:fldCharType="begin"/>
      </w:r>
      <w:r>
        <w:instrText xml:space="preserve"> PAGEREF _Toc956 \h </w:instrText>
      </w:r>
      <w:r>
        <w:fldChar w:fldCharType="separate"/>
      </w:r>
      <w:r>
        <w:t>16</w:t>
      </w:r>
      <w:r>
        <w:fldChar w:fldCharType="end"/>
      </w:r>
      <w:r>
        <w:fldChar w:fldCharType="end"/>
      </w:r>
    </w:p>
    <w:p w14:paraId="3432E752">
      <w:pPr>
        <w:pStyle w:val="19"/>
        <w:tabs>
          <w:tab w:val="right" w:leader="dot" w:pos="8845"/>
        </w:tabs>
        <w:ind w:firstLine="632"/>
      </w:pPr>
      <w:r>
        <w:fldChar w:fldCharType="begin"/>
      </w:r>
      <w:r>
        <w:instrText xml:space="preserve"> HYPERLINK \l "_Toc30714" </w:instrText>
      </w:r>
      <w:r>
        <w:fldChar w:fldCharType="separate"/>
      </w:r>
      <w:r>
        <w:rPr>
          <w:rFonts w:eastAsia="仿宋"/>
          <w:bCs/>
          <w:szCs w:val="28"/>
        </w:rPr>
        <w:t xml:space="preserve">3.1 </w:t>
      </w:r>
      <w:r>
        <w:rPr>
          <w:rFonts w:hint="eastAsia"/>
        </w:rPr>
        <w:t>风险防控</w:t>
      </w:r>
      <w:r>
        <w:tab/>
      </w:r>
      <w:r>
        <w:fldChar w:fldCharType="begin"/>
      </w:r>
      <w:r>
        <w:instrText xml:space="preserve"> PAGEREF _Toc30714 \h </w:instrText>
      </w:r>
      <w:r>
        <w:fldChar w:fldCharType="separate"/>
      </w:r>
      <w:r>
        <w:t>16</w:t>
      </w:r>
      <w:r>
        <w:fldChar w:fldCharType="end"/>
      </w:r>
      <w:r>
        <w:fldChar w:fldCharType="end"/>
      </w:r>
    </w:p>
    <w:p w14:paraId="034DB409">
      <w:pPr>
        <w:pStyle w:val="19"/>
        <w:tabs>
          <w:tab w:val="right" w:leader="dot" w:pos="8845"/>
        </w:tabs>
        <w:ind w:firstLine="632"/>
      </w:pPr>
      <w:r>
        <w:fldChar w:fldCharType="begin"/>
      </w:r>
      <w:r>
        <w:instrText xml:space="preserve"> HYPERLINK \l "_Toc4524" </w:instrText>
      </w:r>
      <w:r>
        <w:fldChar w:fldCharType="separate"/>
      </w:r>
      <w:r>
        <w:rPr>
          <w:rFonts w:eastAsia="仿宋"/>
          <w:bCs/>
          <w:szCs w:val="28"/>
        </w:rPr>
        <w:t xml:space="preserve">3.2 </w:t>
      </w:r>
      <w:r>
        <w:rPr>
          <w:rFonts w:hint="eastAsia"/>
        </w:rPr>
        <w:t>预警</w:t>
      </w:r>
      <w:r>
        <w:tab/>
      </w:r>
      <w:r>
        <w:fldChar w:fldCharType="begin"/>
      </w:r>
      <w:r>
        <w:instrText xml:space="preserve"> PAGEREF _Toc4524 \h </w:instrText>
      </w:r>
      <w:r>
        <w:fldChar w:fldCharType="separate"/>
      </w:r>
      <w:r>
        <w:t>17</w:t>
      </w:r>
      <w:r>
        <w:fldChar w:fldCharType="end"/>
      </w:r>
      <w:r>
        <w:fldChar w:fldCharType="end"/>
      </w:r>
    </w:p>
    <w:p w14:paraId="7E959FF6">
      <w:pPr>
        <w:pStyle w:val="18"/>
      </w:pPr>
      <w:r>
        <w:fldChar w:fldCharType="begin"/>
      </w:r>
      <w:r>
        <w:instrText xml:space="preserve"> HYPERLINK \l "_Toc15109" </w:instrText>
      </w:r>
      <w:r>
        <w:fldChar w:fldCharType="separate"/>
      </w:r>
      <w:r>
        <w:rPr>
          <w:rFonts w:eastAsia="仿宋"/>
        </w:rPr>
        <w:t xml:space="preserve">4 </w:t>
      </w:r>
      <w:r>
        <w:rPr>
          <w:rFonts w:hint="eastAsia"/>
        </w:rPr>
        <w:t>应急响应</w:t>
      </w:r>
      <w:r>
        <w:tab/>
      </w:r>
      <w:r>
        <w:fldChar w:fldCharType="begin"/>
      </w:r>
      <w:r>
        <w:instrText xml:space="preserve"> PAGEREF _Toc15109 \h </w:instrText>
      </w:r>
      <w:r>
        <w:fldChar w:fldCharType="separate"/>
      </w:r>
      <w:r>
        <w:t>20</w:t>
      </w:r>
      <w:r>
        <w:fldChar w:fldCharType="end"/>
      </w:r>
      <w:r>
        <w:fldChar w:fldCharType="end"/>
      </w:r>
    </w:p>
    <w:p w14:paraId="4EBC5E61">
      <w:pPr>
        <w:pStyle w:val="19"/>
        <w:tabs>
          <w:tab w:val="right" w:leader="dot" w:pos="8845"/>
        </w:tabs>
        <w:ind w:firstLine="632"/>
      </w:pPr>
      <w:r>
        <w:fldChar w:fldCharType="begin"/>
      </w:r>
      <w:r>
        <w:instrText xml:space="preserve"> HYPERLINK \l "_Toc3740" </w:instrText>
      </w:r>
      <w:r>
        <w:fldChar w:fldCharType="separate"/>
      </w:r>
      <w:r>
        <w:rPr>
          <w:rFonts w:eastAsia="仿宋"/>
          <w:bCs/>
          <w:szCs w:val="28"/>
        </w:rPr>
        <w:t xml:space="preserve">4.1 </w:t>
      </w:r>
      <w:r>
        <w:rPr>
          <w:rFonts w:hint="eastAsia"/>
        </w:rPr>
        <w:t>信息报告</w:t>
      </w:r>
      <w:r>
        <w:tab/>
      </w:r>
      <w:r>
        <w:fldChar w:fldCharType="begin"/>
      </w:r>
      <w:r>
        <w:instrText xml:space="preserve"> PAGEREF _Toc3740 \h </w:instrText>
      </w:r>
      <w:r>
        <w:fldChar w:fldCharType="separate"/>
      </w:r>
      <w:r>
        <w:t>20</w:t>
      </w:r>
      <w:r>
        <w:fldChar w:fldCharType="end"/>
      </w:r>
      <w:r>
        <w:fldChar w:fldCharType="end"/>
      </w:r>
    </w:p>
    <w:p w14:paraId="66C9934F">
      <w:pPr>
        <w:pStyle w:val="19"/>
        <w:tabs>
          <w:tab w:val="right" w:leader="dot" w:pos="8845"/>
        </w:tabs>
        <w:ind w:firstLine="632"/>
      </w:pPr>
      <w:r>
        <w:fldChar w:fldCharType="begin"/>
      </w:r>
      <w:r>
        <w:instrText xml:space="preserve"> HYPERLINK \l "_Toc19495" </w:instrText>
      </w:r>
      <w:r>
        <w:fldChar w:fldCharType="separate"/>
      </w:r>
      <w:r>
        <w:rPr>
          <w:rFonts w:eastAsia="仿宋"/>
          <w:bCs/>
          <w:szCs w:val="28"/>
        </w:rPr>
        <w:t xml:space="preserve">4.2 </w:t>
      </w:r>
      <w:r>
        <w:t>先期处置</w:t>
      </w:r>
      <w:r>
        <w:tab/>
      </w:r>
      <w:r>
        <w:fldChar w:fldCharType="begin"/>
      </w:r>
      <w:r>
        <w:instrText xml:space="preserve"> PAGEREF _Toc19495 \h </w:instrText>
      </w:r>
      <w:r>
        <w:fldChar w:fldCharType="separate"/>
      </w:r>
      <w:r>
        <w:t>22</w:t>
      </w:r>
      <w:r>
        <w:fldChar w:fldCharType="end"/>
      </w:r>
      <w:r>
        <w:fldChar w:fldCharType="end"/>
      </w:r>
    </w:p>
    <w:p w14:paraId="6EC8A00C">
      <w:pPr>
        <w:pStyle w:val="19"/>
        <w:tabs>
          <w:tab w:val="right" w:leader="dot" w:pos="8845"/>
        </w:tabs>
        <w:ind w:firstLine="632"/>
      </w:pPr>
      <w:r>
        <w:fldChar w:fldCharType="begin"/>
      </w:r>
      <w:r>
        <w:instrText xml:space="preserve"> HYPERLINK \l "_Toc13573" </w:instrText>
      </w:r>
      <w:r>
        <w:fldChar w:fldCharType="separate"/>
      </w:r>
      <w:r>
        <w:rPr>
          <w:rFonts w:eastAsia="仿宋"/>
          <w:bCs/>
          <w:szCs w:val="28"/>
        </w:rPr>
        <w:t xml:space="preserve">4.3 </w:t>
      </w:r>
      <w:r>
        <w:rPr>
          <w:rFonts w:hint="eastAsia"/>
        </w:rPr>
        <w:t>分级响应</w:t>
      </w:r>
      <w:r>
        <w:tab/>
      </w:r>
      <w:r>
        <w:fldChar w:fldCharType="begin"/>
      </w:r>
      <w:r>
        <w:instrText xml:space="preserve"> PAGEREF _Toc13573 \h </w:instrText>
      </w:r>
      <w:r>
        <w:fldChar w:fldCharType="separate"/>
      </w:r>
      <w:r>
        <w:t>23</w:t>
      </w:r>
      <w:r>
        <w:fldChar w:fldCharType="end"/>
      </w:r>
      <w:r>
        <w:fldChar w:fldCharType="end"/>
      </w:r>
    </w:p>
    <w:p w14:paraId="4B49F88B">
      <w:pPr>
        <w:pStyle w:val="19"/>
        <w:tabs>
          <w:tab w:val="right" w:leader="dot" w:pos="8845"/>
        </w:tabs>
        <w:ind w:firstLine="632"/>
      </w:pPr>
      <w:r>
        <w:fldChar w:fldCharType="begin"/>
      </w:r>
      <w:r>
        <w:instrText xml:space="preserve"> HYPERLINK \l "_Toc30363" </w:instrText>
      </w:r>
      <w:r>
        <w:fldChar w:fldCharType="separate"/>
      </w:r>
      <w:r>
        <w:rPr>
          <w:rFonts w:eastAsia="仿宋"/>
          <w:bCs/>
          <w:szCs w:val="28"/>
        </w:rPr>
        <w:t xml:space="preserve">4.4 </w:t>
      </w:r>
      <w:r>
        <w:rPr>
          <w:rFonts w:hint="eastAsia"/>
        </w:rPr>
        <w:t>指挥和协调</w:t>
      </w:r>
      <w:r>
        <w:tab/>
      </w:r>
      <w:r>
        <w:fldChar w:fldCharType="begin"/>
      </w:r>
      <w:r>
        <w:instrText xml:space="preserve"> PAGEREF _Toc30363 \h </w:instrText>
      </w:r>
      <w:r>
        <w:fldChar w:fldCharType="separate"/>
      </w:r>
      <w:r>
        <w:t>28</w:t>
      </w:r>
      <w:r>
        <w:fldChar w:fldCharType="end"/>
      </w:r>
      <w:r>
        <w:fldChar w:fldCharType="end"/>
      </w:r>
    </w:p>
    <w:p w14:paraId="38210388">
      <w:pPr>
        <w:pStyle w:val="19"/>
        <w:tabs>
          <w:tab w:val="right" w:leader="dot" w:pos="8845"/>
        </w:tabs>
        <w:ind w:firstLine="632"/>
      </w:pPr>
      <w:r>
        <w:fldChar w:fldCharType="begin"/>
      </w:r>
      <w:r>
        <w:instrText xml:space="preserve"> HYPERLINK \l "_Toc23355" </w:instrText>
      </w:r>
      <w:r>
        <w:fldChar w:fldCharType="separate"/>
      </w:r>
      <w:r>
        <w:rPr>
          <w:rFonts w:eastAsia="仿宋"/>
          <w:bCs/>
          <w:szCs w:val="28"/>
        </w:rPr>
        <w:t xml:space="preserve">4.5 </w:t>
      </w:r>
      <w:r>
        <w:t>现场紧急处置措施</w:t>
      </w:r>
      <w:r>
        <w:tab/>
      </w:r>
      <w:r>
        <w:fldChar w:fldCharType="begin"/>
      </w:r>
      <w:r>
        <w:instrText xml:space="preserve"> PAGEREF _Toc23355 \h </w:instrText>
      </w:r>
      <w:r>
        <w:fldChar w:fldCharType="separate"/>
      </w:r>
      <w:r>
        <w:t>29</w:t>
      </w:r>
      <w:r>
        <w:fldChar w:fldCharType="end"/>
      </w:r>
      <w:r>
        <w:fldChar w:fldCharType="end"/>
      </w:r>
    </w:p>
    <w:p w14:paraId="497CA4A7">
      <w:pPr>
        <w:pStyle w:val="19"/>
        <w:tabs>
          <w:tab w:val="right" w:leader="dot" w:pos="8845"/>
        </w:tabs>
        <w:ind w:firstLine="632"/>
      </w:pPr>
      <w:r>
        <w:fldChar w:fldCharType="begin"/>
      </w:r>
      <w:r>
        <w:instrText xml:space="preserve"> HYPERLINK \l "_Toc5983" </w:instrText>
      </w:r>
      <w:r>
        <w:fldChar w:fldCharType="separate"/>
      </w:r>
      <w:r>
        <w:rPr>
          <w:rFonts w:eastAsia="仿宋"/>
          <w:bCs/>
          <w:szCs w:val="28"/>
        </w:rPr>
        <w:t xml:space="preserve">4.6 </w:t>
      </w:r>
      <w:r>
        <w:rPr>
          <w:rFonts w:hint="eastAsia"/>
        </w:rPr>
        <w:t>扩大应急</w:t>
      </w:r>
      <w:r>
        <w:tab/>
      </w:r>
      <w:r>
        <w:fldChar w:fldCharType="begin"/>
      </w:r>
      <w:r>
        <w:instrText xml:space="preserve"> PAGEREF _Toc5983 \h </w:instrText>
      </w:r>
      <w:r>
        <w:fldChar w:fldCharType="separate"/>
      </w:r>
      <w:r>
        <w:t>33</w:t>
      </w:r>
      <w:r>
        <w:fldChar w:fldCharType="end"/>
      </w:r>
      <w:r>
        <w:fldChar w:fldCharType="end"/>
      </w:r>
    </w:p>
    <w:p w14:paraId="184A1A28">
      <w:pPr>
        <w:pStyle w:val="19"/>
        <w:tabs>
          <w:tab w:val="right" w:leader="dot" w:pos="8845"/>
        </w:tabs>
        <w:ind w:firstLine="632"/>
      </w:pPr>
      <w:r>
        <w:fldChar w:fldCharType="begin"/>
      </w:r>
      <w:r>
        <w:instrText xml:space="preserve"> HYPERLINK \l "_Toc12885" </w:instrText>
      </w:r>
      <w:r>
        <w:fldChar w:fldCharType="separate"/>
      </w:r>
      <w:r>
        <w:rPr>
          <w:rFonts w:eastAsia="仿宋"/>
          <w:bCs/>
          <w:szCs w:val="28"/>
        </w:rPr>
        <w:t xml:space="preserve">4.7 </w:t>
      </w:r>
      <w:r>
        <w:rPr>
          <w:rFonts w:hint="eastAsia"/>
        </w:rPr>
        <w:t>应急联动</w:t>
      </w:r>
      <w:r>
        <w:tab/>
      </w:r>
      <w:r>
        <w:fldChar w:fldCharType="begin"/>
      </w:r>
      <w:r>
        <w:instrText xml:space="preserve"> PAGEREF _Toc12885 \h </w:instrText>
      </w:r>
      <w:r>
        <w:fldChar w:fldCharType="separate"/>
      </w:r>
      <w:r>
        <w:t>34</w:t>
      </w:r>
      <w:r>
        <w:fldChar w:fldCharType="end"/>
      </w:r>
      <w:r>
        <w:fldChar w:fldCharType="end"/>
      </w:r>
    </w:p>
    <w:p w14:paraId="532E1F2D">
      <w:pPr>
        <w:pStyle w:val="19"/>
        <w:tabs>
          <w:tab w:val="right" w:leader="dot" w:pos="8845"/>
        </w:tabs>
        <w:ind w:firstLine="632"/>
      </w:pPr>
      <w:r>
        <w:fldChar w:fldCharType="begin"/>
      </w:r>
      <w:r>
        <w:instrText xml:space="preserve"> HYPERLINK \l "_Toc2814" </w:instrText>
      </w:r>
      <w:r>
        <w:fldChar w:fldCharType="separate"/>
      </w:r>
      <w:r>
        <w:rPr>
          <w:rFonts w:eastAsia="仿宋"/>
          <w:bCs/>
          <w:szCs w:val="28"/>
        </w:rPr>
        <w:t xml:space="preserve">4.8 </w:t>
      </w:r>
      <w:r>
        <w:rPr>
          <w:rFonts w:hint="eastAsia"/>
        </w:rPr>
        <w:t>社会动员</w:t>
      </w:r>
      <w:r>
        <w:tab/>
      </w:r>
      <w:r>
        <w:fldChar w:fldCharType="begin"/>
      </w:r>
      <w:r>
        <w:instrText xml:space="preserve"> PAGEREF _Toc2814 \h </w:instrText>
      </w:r>
      <w:r>
        <w:fldChar w:fldCharType="separate"/>
      </w:r>
      <w:r>
        <w:t>34</w:t>
      </w:r>
      <w:r>
        <w:fldChar w:fldCharType="end"/>
      </w:r>
      <w:r>
        <w:fldChar w:fldCharType="end"/>
      </w:r>
    </w:p>
    <w:p w14:paraId="7B706B6A">
      <w:pPr>
        <w:pStyle w:val="19"/>
        <w:tabs>
          <w:tab w:val="right" w:leader="dot" w:pos="8845"/>
        </w:tabs>
        <w:ind w:firstLine="632"/>
      </w:pPr>
      <w:r>
        <w:fldChar w:fldCharType="begin"/>
      </w:r>
      <w:r>
        <w:instrText xml:space="preserve"> HYPERLINK \l "_Toc32086" </w:instrText>
      </w:r>
      <w:r>
        <w:fldChar w:fldCharType="separate"/>
      </w:r>
      <w:r>
        <w:rPr>
          <w:rFonts w:eastAsia="仿宋"/>
          <w:bCs/>
          <w:szCs w:val="28"/>
        </w:rPr>
        <w:t xml:space="preserve">4.9 </w:t>
      </w:r>
      <w:r>
        <w:rPr>
          <w:rFonts w:hint="eastAsia"/>
        </w:rPr>
        <w:t>事故的分析、检测与后果评估</w:t>
      </w:r>
      <w:r>
        <w:tab/>
      </w:r>
      <w:r>
        <w:fldChar w:fldCharType="begin"/>
      </w:r>
      <w:r>
        <w:instrText xml:space="preserve"> PAGEREF _Toc32086 \h </w:instrText>
      </w:r>
      <w:r>
        <w:fldChar w:fldCharType="separate"/>
      </w:r>
      <w:r>
        <w:t>35</w:t>
      </w:r>
      <w:r>
        <w:fldChar w:fldCharType="end"/>
      </w:r>
      <w:r>
        <w:fldChar w:fldCharType="end"/>
      </w:r>
    </w:p>
    <w:p w14:paraId="341D171F">
      <w:pPr>
        <w:pStyle w:val="19"/>
        <w:tabs>
          <w:tab w:val="right" w:leader="dot" w:pos="8845"/>
        </w:tabs>
        <w:ind w:firstLine="632"/>
      </w:pPr>
      <w:r>
        <w:fldChar w:fldCharType="begin"/>
      </w:r>
      <w:r>
        <w:instrText xml:space="preserve"> HYPERLINK \l "_Toc1666" </w:instrText>
      </w:r>
      <w:r>
        <w:fldChar w:fldCharType="separate"/>
      </w:r>
      <w:r>
        <w:rPr>
          <w:rFonts w:eastAsia="仿宋"/>
          <w:bCs/>
          <w:szCs w:val="28"/>
        </w:rPr>
        <w:t xml:space="preserve">4.10 </w:t>
      </w:r>
      <w:r>
        <w:rPr>
          <w:rFonts w:hint="eastAsia"/>
        </w:rPr>
        <w:t>信息发布与舆情引导</w:t>
      </w:r>
      <w:r>
        <w:tab/>
      </w:r>
      <w:r>
        <w:fldChar w:fldCharType="begin"/>
      </w:r>
      <w:r>
        <w:instrText xml:space="preserve"> PAGEREF _Toc1666 \h </w:instrText>
      </w:r>
      <w:r>
        <w:fldChar w:fldCharType="separate"/>
      </w:r>
      <w:r>
        <w:t>35</w:t>
      </w:r>
      <w:r>
        <w:fldChar w:fldCharType="end"/>
      </w:r>
      <w:r>
        <w:fldChar w:fldCharType="end"/>
      </w:r>
    </w:p>
    <w:p w14:paraId="43F561CD">
      <w:pPr>
        <w:pStyle w:val="19"/>
        <w:tabs>
          <w:tab w:val="right" w:leader="dot" w:pos="8845"/>
        </w:tabs>
        <w:ind w:firstLine="632"/>
      </w:pPr>
      <w:r>
        <w:fldChar w:fldCharType="begin"/>
      </w:r>
      <w:r>
        <w:instrText xml:space="preserve"> HYPERLINK \l "_Toc2766" </w:instrText>
      </w:r>
      <w:r>
        <w:fldChar w:fldCharType="separate"/>
      </w:r>
      <w:r>
        <w:rPr>
          <w:rFonts w:eastAsia="仿宋"/>
          <w:bCs/>
          <w:szCs w:val="28"/>
        </w:rPr>
        <w:t xml:space="preserve">4.11 </w:t>
      </w:r>
      <w:r>
        <w:rPr>
          <w:rFonts w:hint="eastAsia"/>
        </w:rPr>
        <w:t>应急结束</w:t>
      </w:r>
      <w:r>
        <w:tab/>
      </w:r>
      <w:r>
        <w:fldChar w:fldCharType="begin"/>
      </w:r>
      <w:r>
        <w:instrText xml:space="preserve"> PAGEREF _Toc2766 \h </w:instrText>
      </w:r>
      <w:r>
        <w:fldChar w:fldCharType="separate"/>
      </w:r>
      <w:r>
        <w:t>35</w:t>
      </w:r>
      <w:r>
        <w:fldChar w:fldCharType="end"/>
      </w:r>
      <w:r>
        <w:fldChar w:fldCharType="end"/>
      </w:r>
    </w:p>
    <w:p w14:paraId="7D83B3CB">
      <w:pPr>
        <w:pStyle w:val="18"/>
      </w:pPr>
      <w:r>
        <w:fldChar w:fldCharType="begin"/>
      </w:r>
      <w:r>
        <w:instrText xml:space="preserve"> HYPERLINK \l "_Toc7467" </w:instrText>
      </w:r>
      <w:r>
        <w:fldChar w:fldCharType="separate"/>
      </w:r>
      <w:r>
        <w:rPr>
          <w:rFonts w:eastAsia="仿宋"/>
        </w:rPr>
        <w:t xml:space="preserve">5 </w:t>
      </w:r>
      <w:r>
        <w:t>后期处置</w:t>
      </w:r>
      <w:r>
        <w:tab/>
      </w:r>
      <w:r>
        <w:fldChar w:fldCharType="begin"/>
      </w:r>
      <w:r>
        <w:instrText xml:space="preserve"> PAGEREF _Toc7467 \h </w:instrText>
      </w:r>
      <w:r>
        <w:fldChar w:fldCharType="separate"/>
      </w:r>
      <w:r>
        <w:t>35</w:t>
      </w:r>
      <w:r>
        <w:fldChar w:fldCharType="end"/>
      </w:r>
      <w:r>
        <w:fldChar w:fldCharType="end"/>
      </w:r>
    </w:p>
    <w:p w14:paraId="584AFE23">
      <w:pPr>
        <w:pStyle w:val="19"/>
        <w:tabs>
          <w:tab w:val="right" w:leader="dot" w:pos="8845"/>
        </w:tabs>
        <w:ind w:firstLine="632"/>
      </w:pPr>
      <w:r>
        <w:fldChar w:fldCharType="begin"/>
      </w:r>
      <w:r>
        <w:instrText xml:space="preserve"> HYPERLINK \l "_Toc19525" </w:instrText>
      </w:r>
      <w:r>
        <w:fldChar w:fldCharType="separate"/>
      </w:r>
      <w:r>
        <w:rPr>
          <w:rFonts w:eastAsia="仿宋"/>
          <w:bCs/>
          <w:szCs w:val="28"/>
        </w:rPr>
        <w:t xml:space="preserve">5.1 </w:t>
      </w:r>
      <w:r>
        <w:rPr>
          <w:rFonts w:hint="eastAsia"/>
        </w:rPr>
        <w:t>善后处置</w:t>
      </w:r>
      <w:r>
        <w:tab/>
      </w:r>
      <w:r>
        <w:fldChar w:fldCharType="begin"/>
      </w:r>
      <w:r>
        <w:instrText xml:space="preserve"> PAGEREF _Toc19525 \h </w:instrText>
      </w:r>
      <w:r>
        <w:fldChar w:fldCharType="separate"/>
      </w:r>
      <w:r>
        <w:t>35</w:t>
      </w:r>
      <w:r>
        <w:fldChar w:fldCharType="end"/>
      </w:r>
      <w:r>
        <w:fldChar w:fldCharType="end"/>
      </w:r>
    </w:p>
    <w:p w14:paraId="2429CFB0">
      <w:pPr>
        <w:pStyle w:val="19"/>
        <w:tabs>
          <w:tab w:val="right" w:leader="dot" w:pos="8845"/>
        </w:tabs>
        <w:ind w:firstLine="632"/>
      </w:pPr>
      <w:r>
        <w:fldChar w:fldCharType="begin"/>
      </w:r>
      <w:r>
        <w:instrText xml:space="preserve"> HYPERLINK \l "_Toc152" </w:instrText>
      </w:r>
      <w:r>
        <w:fldChar w:fldCharType="separate"/>
      </w:r>
      <w:r>
        <w:rPr>
          <w:rFonts w:eastAsia="仿宋"/>
          <w:bCs/>
          <w:szCs w:val="28"/>
        </w:rPr>
        <w:t xml:space="preserve">5.2 </w:t>
      </w:r>
      <w:r>
        <w:rPr>
          <w:rFonts w:hint="eastAsia"/>
        </w:rPr>
        <w:t>社会救助</w:t>
      </w:r>
      <w:r>
        <w:tab/>
      </w:r>
      <w:r>
        <w:fldChar w:fldCharType="begin"/>
      </w:r>
      <w:r>
        <w:instrText xml:space="preserve"> PAGEREF _Toc152 \h </w:instrText>
      </w:r>
      <w:r>
        <w:fldChar w:fldCharType="separate"/>
      </w:r>
      <w:r>
        <w:t>36</w:t>
      </w:r>
      <w:r>
        <w:fldChar w:fldCharType="end"/>
      </w:r>
      <w:r>
        <w:fldChar w:fldCharType="end"/>
      </w:r>
    </w:p>
    <w:p w14:paraId="0E303497">
      <w:pPr>
        <w:pStyle w:val="19"/>
        <w:tabs>
          <w:tab w:val="right" w:leader="dot" w:pos="8845"/>
        </w:tabs>
        <w:ind w:firstLine="632"/>
      </w:pPr>
      <w:r>
        <w:fldChar w:fldCharType="begin"/>
      </w:r>
      <w:r>
        <w:instrText xml:space="preserve"> HYPERLINK \l "_Toc553" </w:instrText>
      </w:r>
      <w:r>
        <w:fldChar w:fldCharType="separate"/>
      </w:r>
      <w:r>
        <w:rPr>
          <w:rFonts w:eastAsia="仿宋"/>
          <w:bCs/>
          <w:szCs w:val="28"/>
        </w:rPr>
        <w:t xml:space="preserve">5.3 </w:t>
      </w:r>
      <w:r>
        <w:rPr>
          <w:rFonts w:hint="eastAsia"/>
        </w:rPr>
        <w:t>保险赔偿</w:t>
      </w:r>
      <w:r>
        <w:tab/>
      </w:r>
      <w:r>
        <w:fldChar w:fldCharType="begin"/>
      </w:r>
      <w:r>
        <w:instrText xml:space="preserve"> PAGEREF _Toc553 \h </w:instrText>
      </w:r>
      <w:r>
        <w:fldChar w:fldCharType="separate"/>
      </w:r>
      <w:r>
        <w:t>36</w:t>
      </w:r>
      <w:r>
        <w:fldChar w:fldCharType="end"/>
      </w:r>
      <w:r>
        <w:fldChar w:fldCharType="end"/>
      </w:r>
    </w:p>
    <w:p w14:paraId="34229A87">
      <w:pPr>
        <w:pStyle w:val="19"/>
        <w:tabs>
          <w:tab w:val="right" w:leader="dot" w:pos="8845"/>
        </w:tabs>
        <w:ind w:firstLine="632"/>
      </w:pPr>
      <w:r>
        <w:fldChar w:fldCharType="begin"/>
      </w:r>
      <w:r>
        <w:instrText xml:space="preserve"> HYPERLINK \l "_Toc14217" </w:instrText>
      </w:r>
      <w:r>
        <w:fldChar w:fldCharType="separate"/>
      </w:r>
      <w:r>
        <w:rPr>
          <w:rFonts w:eastAsia="仿宋"/>
          <w:bCs/>
          <w:szCs w:val="28"/>
        </w:rPr>
        <w:t xml:space="preserve">5.4 </w:t>
      </w:r>
      <w:r>
        <w:rPr>
          <w:rFonts w:hint="eastAsia"/>
        </w:rPr>
        <w:t>恢复与重建</w:t>
      </w:r>
      <w:r>
        <w:tab/>
      </w:r>
      <w:r>
        <w:fldChar w:fldCharType="begin"/>
      </w:r>
      <w:r>
        <w:instrText xml:space="preserve"> PAGEREF _Toc14217 \h </w:instrText>
      </w:r>
      <w:r>
        <w:fldChar w:fldCharType="separate"/>
      </w:r>
      <w:r>
        <w:t>37</w:t>
      </w:r>
      <w:r>
        <w:fldChar w:fldCharType="end"/>
      </w:r>
      <w:r>
        <w:fldChar w:fldCharType="end"/>
      </w:r>
    </w:p>
    <w:p w14:paraId="2C47DD27">
      <w:pPr>
        <w:pStyle w:val="19"/>
        <w:tabs>
          <w:tab w:val="right" w:leader="dot" w:pos="8845"/>
        </w:tabs>
        <w:ind w:firstLine="632"/>
      </w:pPr>
      <w:r>
        <w:fldChar w:fldCharType="begin"/>
      </w:r>
      <w:r>
        <w:instrText xml:space="preserve"> HYPERLINK \l "_Toc26657" </w:instrText>
      </w:r>
      <w:r>
        <w:fldChar w:fldCharType="separate"/>
      </w:r>
      <w:r>
        <w:rPr>
          <w:rFonts w:eastAsia="仿宋"/>
          <w:bCs/>
          <w:szCs w:val="28"/>
        </w:rPr>
        <w:t xml:space="preserve">5.5 </w:t>
      </w:r>
      <w:r>
        <w:rPr>
          <w:rFonts w:hint="eastAsia"/>
        </w:rPr>
        <w:t>调查评估</w:t>
      </w:r>
      <w:r>
        <w:tab/>
      </w:r>
      <w:r>
        <w:fldChar w:fldCharType="begin"/>
      </w:r>
      <w:r>
        <w:instrText xml:space="preserve"> PAGEREF _Toc26657 \h </w:instrText>
      </w:r>
      <w:r>
        <w:fldChar w:fldCharType="separate"/>
      </w:r>
      <w:r>
        <w:t>37</w:t>
      </w:r>
      <w:r>
        <w:fldChar w:fldCharType="end"/>
      </w:r>
      <w:r>
        <w:fldChar w:fldCharType="end"/>
      </w:r>
    </w:p>
    <w:p w14:paraId="49A496EB">
      <w:pPr>
        <w:pStyle w:val="18"/>
      </w:pPr>
      <w:r>
        <w:fldChar w:fldCharType="begin"/>
      </w:r>
      <w:r>
        <w:instrText xml:space="preserve"> HYPERLINK \l "_Toc10084" </w:instrText>
      </w:r>
      <w:r>
        <w:fldChar w:fldCharType="separate"/>
      </w:r>
      <w:r>
        <w:rPr>
          <w:rFonts w:eastAsia="仿宋"/>
        </w:rPr>
        <w:t xml:space="preserve">6 </w:t>
      </w:r>
      <w:r>
        <w:rPr>
          <w:rFonts w:hint="eastAsia"/>
        </w:rPr>
        <w:t>应急保障</w:t>
      </w:r>
      <w:r>
        <w:tab/>
      </w:r>
      <w:r>
        <w:fldChar w:fldCharType="begin"/>
      </w:r>
      <w:r>
        <w:instrText xml:space="preserve"> PAGEREF _Toc10084 \h </w:instrText>
      </w:r>
      <w:r>
        <w:fldChar w:fldCharType="separate"/>
      </w:r>
      <w:r>
        <w:t>37</w:t>
      </w:r>
      <w:r>
        <w:fldChar w:fldCharType="end"/>
      </w:r>
      <w:r>
        <w:fldChar w:fldCharType="end"/>
      </w:r>
    </w:p>
    <w:p w14:paraId="44C899E8">
      <w:pPr>
        <w:pStyle w:val="19"/>
        <w:tabs>
          <w:tab w:val="right" w:leader="dot" w:pos="8845"/>
        </w:tabs>
        <w:ind w:firstLine="632"/>
      </w:pPr>
      <w:r>
        <w:fldChar w:fldCharType="begin"/>
      </w:r>
      <w:r>
        <w:instrText xml:space="preserve"> HYPERLINK \l "_Toc27880" </w:instrText>
      </w:r>
      <w:r>
        <w:fldChar w:fldCharType="separate"/>
      </w:r>
      <w:r>
        <w:rPr>
          <w:rFonts w:eastAsia="仿宋"/>
          <w:bCs/>
          <w:szCs w:val="28"/>
        </w:rPr>
        <w:t xml:space="preserve">6.1 </w:t>
      </w:r>
      <w:r>
        <w:rPr>
          <w:rFonts w:hint="eastAsia"/>
        </w:rPr>
        <w:t>通信信息保障</w:t>
      </w:r>
      <w:r>
        <w:tab/>
      </w:r>
      <w:r>
        <w:fldChar w:fldCharType="begin"/>
      </w:r>
      <w:r>
        <w:instrText xml:space="preserve"> PAGEREF _Toc27880 \h </w:instrText>
      </w:r>
      <w:r>
        <w:fldChar w:fldCharType="separate"/>
      </w:r>
      <w:r>
        <w:t>37</w:t>
      </w:r>
      <w:r>
        <w:fldChar w:fldCharType="end"/>
      </w:r>
      <w:r>
        <w:fldChar w:fldCharType="end"/>
      </w:r>
    </w:p>
    <w:p w14:paraId="7292983B">
      <w:pPr>
        <w:pStyle w:val="19"/>
        <w:tabs>
          <w:tab w:val="right" w:leader="dot" w:pos="8845"/>
        </w:tabs>
        <w:ind w:firstLine="632"/>
      </w:pPr>
      <w:r>
        <w:fldChar w:fldCharType="begin"/>
      </w:r>
      <w:r>
        <w:instrText xml:space="preserve"> HYPERLINK \l "_Toc28446" </w:instrText>
      </w:r>
      <w:r>
        <w:fldChar w:fldCharType="separate"/>
      </w:r>
      <w:r>
        <w:rPr>
          <w:rFonts w:eastAsia="仿宋"/>
          <w:bCs/>
          <w:szCs w:val="28"/>
        </w:rPr>
        <w:t xml:space="preserve">6.2 </w:t>
      </w:r>
      <w:r>
        <w:rPr>
          <w:rFonts w:hint="eastAsia"/>
        </w:rPr>
        <w:t>应急队伍保障</w:t>
      </w:r>
      <w:r>
        <w:tab/>
      </w:r>
      <w:r>
        <w:fldChar w:fldCharType="begin"/>
      </w:r>
      <w:r>
        <w:instrText xml:space="preserve"> PAGEREF _Toc28446 \h </w:instrText>
      </w:r>
      <w:r>
        <w:fldChar w:fldCharType="separate"/>
      </w:r>
      <w:r>
        <w:t>38</w:t>
      </w:r>
      <w:r>
        <w:fldChar w:fldCharType="end"/>
      </w:r>
      <w:r>
        <w:fldChar w:fldCharType="end"/>
      </w:r>
    </w:p>
    <w:p w14:paraId="3DF63795">
      <w:pPr>
        <w:pStyle w:val="19"/>
        <w:tabs>
          <w:tab w:val="right" w:leader="dot" w:pos="8845"/>
        </w:tabs>
        <w:ind w:firstLine="632"/>
      </w:pPr>
      <w:r>
        <w:fldChar w:fldCharType="begin"/>
      </w:r>
      <w:r>
        <w:instrText xml:space="preserve"> HYPERLINK \l "_Toc6695" </w:instrText>
      </w:r>
      <w:r>
        <w:fldChar w:fldCharType="separate"/>
      </w:r>
      <w:r>
        <w:rPr>
          <w:rFonts w:eastAsia="仿宋"/>
          <w:bCs/>
          <w:szCs w:val="28"/>
        </w:rPr>
        <w:t xml:space="preserve">6.3 </w:t>
      </w:r>
      <w:r>
        <w:rPr>
          <w:rFonts w:hint="eastAsia"/>
        </w:rPr>
        <w:t>交通运输保障</w:t>
      </w:r>
      <w:r>
        <w:tab/>
      </w:r>
      <w:r>
        <w:fldChar w:fldCharType="begin"/>
      </w:r>
      <w:r>
        <w:instrText xml:space="preserve"> PAGEREF _Toc6695 \h </w:instrText>
      </w:r>
      <w:r>
        <w:fldChar w:fldCharType="separate"/>
      </w:r>
      <w:r>
        <w:t>39</w:t>
      </w:r>
      <w:r>
        <w:fldChar w:fldCharType="end"/>
      </w:r>
      <w:r>
        <w:fldChar w:fldCharType="end"/>
      </w:r>
    </w:p>
    <w:p w14:paraId="71B15E18">
      <w:pPr>
        <w:pStyle w:val="19"/>
        <w:tabs>
          <w:tab w:val="right" w:leader="dot" w:pos="8845"/>
        </w:tabs>
        <w:ind w:firstLine="632"/>
      </w:pPr>
      <w:r>
        <w:fldChar w:fldCharType="begin"/>
      </w:r>
      <w:r>
        <w:instrText xml:space="preserve"> HYPERLINK \l "_Toc17980" </w:instrText>
      </w:r>
      <w:r>
        <w:fldChar w:fldCharType="separate"/>
      </w:r>
      <w:r>
        <w:rPr>
          <w:rFonts w:eastAsia="仿宋"/>
          <w:bCs/>
          <w:szCs w:val="28"/>
        </w:rPr>
        <w:t xml:space="preserve">6.4 </w:t>
      </w:r>
      <w:r>
        <w:rPr>
          <w:rFonts w:hint="eastAsia"/>
        </w:rPr>
        <w:t>医疗卫生保障</w:t>
      </w:r>
      <w:r>
        <w:tab/>
      </w:r>
      <w:r>
        <w:fldChar w:fldCharType="begin"/>
      </w:r>
      <w:r>
        <w:instrText xml:space="preserve"> PAGEREF _Toc17980 \h </w:instrText>
      </w:r>
      <w:r>
        <w:fldChar w:fldCharType="separate"/>
      </w:r>
      <w:r>
        <w:t>39</w:t>
      </w:r>
      <w:r>
        <w:fldChar w:fldCharType="end"/>
      </w:r>
      <w:r>
        <w:fldChar w:fldCharType="end"/>
      </w:r>
    </w:p>
    <w:p w14:paraId="0F8EBC02">
      <w:pPr>
        <w:pStyle w:val="19"/>
        <w:tabs>
          <w:tab w:val="right" w:leader="dot" w:pos="8845"/>
        </w:tabs>
        <w:ind w:firstLine="632"/>
      </w:pPr>
      <w:r>
        <w:fldChar w:fldCharType="begin"/>
      </w:r>
      <w:r>
        <w:instrText xml:space="preserve"> HYPERLINK \l "_Toc13279" </w:instrText>
      </w:r>
      <w:r>
        <w:fldChar w:fldCharType="separate"/>
      </w:r>
      <w:r>
        <w:rPr>
          <w:rFonts w:eastAsia="仿宋"/>
          <w:bCs/>
          <w:szCs w:val="28"/>
        </w:rPr>
        <w:t xml:space="preserve">6.5 </w:t>
      </w:r>
      <w:r>
        <w:rPr>
          <w:rFonts w:hint="eastAsia"/>
        </w:rPr>
        <w:t>治安维护保障</w:t>
      </w:r>
      <w:r>
        <w:tab/>
      </w:r>
      <w:r>
        <w:fldChar w:fldCharType="begin"/>
      </w:r>
      <w:r>
        <w:instrText xml:space="preserve"> PAGEREF _Toc13279 \h </w:instrText>
      </w:r>
      <w:r>
        <w:fldChar w:fldCharType="separate"/>
      </w:r>
      <w:r>
        <w:t>39</w:t>
      </w:r>
      <w:r>
        <w:fldChar w:fldCharType="end"/>
      </w:r>
      <w:r>
        <w:fldChar w:fldCharType="end"/>
      </w:r>
    </w:p>
    <w:p w14:paraId="5E5A0A2A">
      <w:pPr>
        <w:pStyle w:val="19"/>
        <w:tabs>
          <w:tab w:val="right" w:leader="dot" w:pos="8845"/>
        </w:tabs>
        <w:ind w:firstLine="632"/>
      </w:pPr>
      <w:r>
        <w:fldChar w:fldCharType="begin"/>
      </w:r>
      <w:r>
        <w:instrText xml:space="preserve"> HYPERLINK \l "_Toc26883" </w:instrText>
      </w:r>
      <w:r>
        <w:fldChar w:fldCharType="separate"/>
      </w:r>
      <w:r>
        <w:rPr>
          <w:rFonts w:eastAsia="仿宋"/>
          <w:bCs/>
          <w:szCs w:val="28"/>
        </w:rPr>
        <w:t xml:space="preserve">6.6 </w:t>
      </w:r>
      <w:r>
        <w:rPr>
          <w:rFonts w:hint="eastAsia"/>
        </w:rPr>
        <w:t>物资资金保障</w:t>
      </w:r>
      <w:r>
        <w:tab/>
      </w:r>
      <w:r>
        <w:fldChar w:fldCharType="begin"/>
      </w:r>
      <w:r>
        <w:instrText xml:space="preserve"> PAGEREF _Toc26883 \h </w:instrText>
      </w:r>
      <w:r>
        <w:fldChar w:fldCharType="separate"/>
      </w:r>
      <w:r>
        <w:t>39</w:t>
      </w:r>
      <w:r>
        <w:fldChar w:fldCharType="end"/>
      </w:r>
      <w:r>
        <w:fldChar w:fldCharType="end"/>
      </w:r>
    </w:p>
    <w:p w14:paraId="2F8F4F6D">
      <w:pPr>
        <w:pStyle w:val="19"/>
        <w:tabs>
          <w:tab w:val="right" w:leader="dot" w:pos="8845"/>
        </w:tabs>
        <w:ind w:firstLine="632"/>
      </w:pPr>
      <w:r>
        <w:fldChar w:fldCharType="begin"/>
      </w:r>
      <w:r>
        <w:instrText xml:space="preserve"> HYPERLINK \l "_Toc5217" </w:instrText>
      </w:r>
      <w:r>
        <w:fldChar w:fldCharType="separate"/>
      </w:r>
      <w:r>
        <w:rPr>
          <w:rFonts w:eastAsia="仿宋"/>
          <w:bCs/>
          <w:szCs w:val="28"/>
        </w:rPr>
        <w:t xml:space="preserve">6.7 </w:t>
      </w:r>
      <w:r>
        <w:rPr>
          <w:rFonts w:hint="eastAsia"/>
        </w:rPr>
        <w:t>安全防护保障</w:t>
      </w:r>
      <w:r>
        <w:tab/>
      </w:r>
      <w:r>
        <w:fldChar w:fldCharType="begin"/>
      </w:r>
      <w:r>
        <w:instrText xml:space="preserve"> PAGEREF _Toc5217 \h </w:instrText>
      </w:r>
      <w:r>
        <w:fldChar w:fldCharType="separate"/>
      </w:r>
      <w:r>
        <w:t>40</w:t>
      </w:r>
      <w:r>
        <w:fldChar w:fldCharType="end"/>
      </w:r>
      <w:r>
        <w:fldChar w:fldCharType="end"/>
      </w:r>
    </w:p>
    <w:p w14:paraId="12AC5615">
      <w:pPr>
        <w:pStyle w:val="19"/>
        <w:tabs>
          <w:tab w:val="right" w:leader="dot" w:pos="8845"/>
        </w:tabs>
        <w:ind w:firstLine="632"/>
      </w:pPr>
      <w:r>
        <w:fldChar w:fldCharType="begin"/>
      </w:r>
      <w:r>
        <w:instrText xml:space="preserve"> HYPERLINK \l "_Toc8984" </w:instrText>
      </w:r>
      <w:r>
        <w:fldChar w:fldCharType="separate"/>
      </w:r>
      <w:r>
        <w:rPr>
          <w:rFonts w:eastAsia="仿宋"/>
          <w:bCs/>
          <w:szCs w:val="28"/>
        </w:rPr>
        <w:t xml:space="preserve">6.8 </w:t>
      </w:r>
      <w:r>
        <w:rPr>
          <w:rFonts w:hint="eastAsia"/>
        </w:rPr>
        <w:t>社会动员保障</w:t>
      </w:r>
      <w:r>
        <w:tab/>
      </w:r>
      <w:r>
        <w:fldChar w:fldCharType="begin"/>
      </w:r>
      <w:r>
        <w:instrText xml:space="preserve"> PAGEREF _Toc8984 \h </w:instrText>
      </w:r>
      <w:r>
        <w:fldChar w:fldCharType="separate"/>
      </w:r>
      <w:r>
        <w:t>40</w:t>
      </w:r>
      <w:r>
        <w:fldChar w:fldCharType="end"/>
      </w:r>
      <w:r>
        <w:fldChar w:fldCharType="end"/>
      </w:r>
    </w:p>
    <w:p w14:paraId="0EA75988">
      <w:pPr>
        <w:pStyle w:val="18"/>
      </w:pPr>
      <w:r>
        <w:fldChar w:fldCharType="begin"/>
      </w:r>
      <w:r>
        <w:instrText xml:space="preserve"> HYPERLINK \l "_Toc12530" </w:instrText>
      </w:r>
      <w:r>
        <w:fldChar w:fldCharType="separate"/>
      </w:r>
      <w:r>
        <w:rPr>
          <w:rFonts w:eastAsia="仿宋"/>
        </w:rPr>
        <w:t xml:space="preserve">7 </w:t>
      </w:r>
      <w:r>
        <w:rPr>
          <w:rFonts w:hint="eastAsia"/>
        </w:rPr>
        <w:t>预案管理</w:t>
      </w:r>
      <w:r>
        <w:tab/>
      </w:r>
      <w:r>
        <w:fldChar w:fldCharType="begin"/>
      </w:r>
      <w:r>
        <w:instrText xml:space="preserve"> PAGEREF _Toc12530 \h </w:instrText>
      </w:r>
      <w:r>
        <w:fldChar w:fldCharType="separate"/>
      </w:r>
      <w:r>
        <w:t>40</w:t>
      </w:r>
      <w:r>
        <w:fldChar w:fldCharType="end"/>
      </w:r>
      <w:r>
        <w:fldChar w:fldCharType="end"/>
      </w:r>
    </w:p>
    <w:p w14:paraId="6808C182">
      <w:pPr>
        <w:pStyle w:val="19"/>
        <w:tabs>
          <w:tab w:val="right" w:leader="dot" w:pos="8845"/>
        </w:tabs>
        <w:ind w:firstLine="632"/>
      </w:pPr>
      <w:r>
        <w:fldChar w:fldCharType="begin"/>
      </w:r>
      <w:r>
        <w:instrText xml:space="preserve"> HYPERLINK \l "_Toc21525" </w:instrText>
      </w:r>
      <w:r>
        <w:fldChar w:fldCharType="separate"/>
      </w:r>
      <w:r>
        <w:rPr>
          <w:rFonts w:eastAsia="仿宋"/>
          <w:bCs/>
          <w:szCs w:val="28"/>
        </w:rPr>
        <w:t xml:space="preserve">7.1 </w:t>
      </w:r>
      <w:r>
        <w:rPr>
          <w:rFonts w:hint="eastAsia"/>
        </w:rPr>
        <w:t>预案编制、评估、修订</w:t>
      </w:r>
      <w:r>
        <w:tab/>
      </w:r>
      <w:r>
        <w:fldChar w:fldCharType="begin"/>
      </w:r>
      <w:r>
        <w:instrText xml:space="preserve"> PAGEREF _Toc21525 \h </w:instrText>
      </w:r>
      <w:r>
        <w:fldChar w:fldCharType="separate"/>
      </w:r>
      <w:r>
        <w:t>40</w:t>
      </w:r>
      <w:r>
        <w:fldChar w:fldCharType="end"/>
      </w:r>
      <w:r>
        <w:fldChar w:fldCharType="end"/>
      </w:r>
    </w:p>
    <w:p w14:paraId="34DBAC11">
      <w:pPr>
        <w:pStyle w:val="19"/>
        <w:tabs>
          <w:tab w:val="right" w:leader="dot" w:pos="8845"/>
        </w:tabs>
        <w:ind w:firstLine="632"/>
      </w:pPr>
      <w:r>
        <w:fldChar w:fldCharType="begin"/>
      </w:r>
      <w:r>
        <w:instrText xml:space="preserve"> HYPERLINK \l "_Toc21635" </w:instrText>
      </w:r>
      <w:r>
        <w:fldChar w:fldCharType="separate"/>
      </w:r>
      <w:r>
        <w:rPr>
          <w:rFonts w:eastAsia="仿宋"/>
          <w:bCs/>
          <w:szCs w:val="28"/>
        </w:rPr>
        <w:t xml:space="preserve">7.2 </w:t>
      </w:r>
      <w:r>
        <w:rPr>
          <w:rFonts w:hint="eastAsia"/>
        </w:rPr>
        <w:t>预案审批与备案</w:t>
      </w:r>
      <w:r>
        <w:tab/>
      </w:r>
      <w:r>
        <w:fldChar w:fldCharType="begin"/>
      </w:r>
      <w:r>
        <w:instrText xml:space="preserve"> PAGEREF _Toc21635 \h </w:instrText>
      </w:r>
      <w:r>
        <w:fldChar w:fldCharType="separate"/>
      </w:r>
      <w:r>
        <w:t>41</w:t>
      </w:r>
      <w:r>
        <w:fldChar w:fldCharType="end"/>
      </w:r>
      <w:r>
        <w:fldChar w:fldCharType="end"/>
      </w:r>
    </w:p>
    <w:p w14:paraId="08484749">
      <w:pPr>
        <w:pStyle w:val="19"/>
        <w:tabs>
          <w:tab w:val="right" w:leader="dot" w:pos="8845"/>
        </w:tabs>
        <w:ind w:firstLine="632"/>
      </w:pPr>
      <w:r>
        <w:fldChar w:fldCharType="begin"/>
      </w:r>
      <w:r>
        <w:instrText xml:space="preserve"> HYPERLINK \l "_Toc26088" </w:instrText>
      </w:r>
      <w:r>
        <w:fldChar w:fldCharType="separate"/>
      </w:r>
      <w:r>
        <w:rPr>
          <w:rFonts w:eastAsia="仿宋"/>
          <w:bCs/>
          <w:szCs w:val="28"/>
        </w:rPr>
        <w:t xml:space="preserve">7.3 </w:t>
      </w:r>
      <w:r>
        <w:rPr>
          <w:rFonts w:hint="eastAsia"/>
        </w:rPr>
        <w:t>宣传、培训和演练</w:t>
      </w:r>
      <w:r>
        <w:tab/>
      </w:r>
      <w:r>
        <w:fldChar w:fldCharType="begin"/>
      </w:r>
      <w:r>
        <w:instrText xml:space="preserve"> PAGEREF _Toc26088 \h </w:instrText>
      </w:r>
      <w:r>
        <w:fldChar w:fldCharType="separate"/>
      </w:r>
      <w:r>
        <w:t>41</w:t>
      </w:r>
      <w:r>
        <w:fldChar w:fldCharType="end"/>
      </w:r>
      <w:r>
        <w:fldChar w:fldCharType="end"/>
      </w:r>
    </w:p>
    <w:p w14:paraId="706B29A4">
      <w:pPr>
        <w:pStyle w:val="18"/>
      </w:pPr>
      <w:r>
        <w:fldChar w:fldCharType="begin"/>
      </w:r>
      <w:r>
        <w:instrText xml:space="preserve"> HYPERLINK \l "_Toc18720" </w:instrText>
      </w:r>
      <w:r>
        <w:fldChar w:fldCharType="separate"/>
      </w:r>
      <w:r>
        <w:rPr>
          <w:rFonts w:eastAsia="仿宋"/>
        </w:rPr>
        <w:t xml:space="preserve">8 </w:t>
      </w:r>
      <w:r>
        <w:rPr>
          <w:rFonts w:hint="eastAsia"/>
        </w:rPr>
        <w:t>奖励与责任</w:t>
      </w:r>
      <w:r>
        <w:tab/>
      </w:r>
      <w:r>
        <w:fldChar w:fldCharType="begin"/>
      </w:r>
      <w:r>
        <w:instrText xml:space="preserve"> PAGEREF _Toc18720 \h </w:instrText>
      </w:r>
      <w:r>
        <w:fldChar w:fldCharType="separate"/>
      </w:r>
      <w:r>
        <w:t>42</w:t>
      </w:r>
      <w:r>
        <w:fldChar w:fldCharType="end"/>
      </w:r>
      <w:r>
        <w:fldChar w:fldCharType="end"/>
      </w:r>
    </w:p>
    <w:p w14:paraId="1AF49AF8">
      <w:pPr>
        <w:pStyle w:val="18"/>
      </w:pPr>
      <w:r>
        <w:fldChar w:fldCharType="begin"/>
      </w:r>
      <w:r>
        <w:instrText xml:space="preserve"> HYPERLINK \l "_Toc10990" </w:instrText>
      </w:r>
      <w:r>
        <w:fldChar w:fldCharType="separate"/>
      </w:r>
      <w:r>
        <w:rPr>
          <w:rFonts w:eastAsia="仿宋"/>
        </w:rPr>
        <w:t xml:space="preserve">9 </w:t>
      </w:r>
      <w:r>
        <w:rPr>
          <w:rFonts w:hint="eastAsia"/>
        </w:rPr>
        <w:t>附则</w:t>
      </w:r>
      <w:r>
        <w:tab/>
      </w:r>
      <w:r>
        <w:fldChar w:fldCharType="begin"/>
      </w:r>
      <w:r>
        <w:instrText xml:space="preserve"> PAGEREF _Toc10990 \h </w:instrText>
      </w:r>
      <w:r>
        <w:fldChar w:fldCharType="separate"/>
      </w:r>
      <w:r>
        <w:t>42</w:t>
      </w:r>
      <w:r>
        <w:fldChar w:fldCharType="end"/>
      </w:r>
      <w:r>
        <w:fldChar w:fldCharType="end"/>
      </w:r>
    </w:p>
    <w:p w14:paraId="3C6FA57B">
      <w:pPr>
        <w:pStyle w:val="19"/>
        <w:tabs>
          <w:tab w:val="right" w:leader="dot" w:pos="8845"/>
        </w:tabs>
        <w:ind w:firstLine="632"/>
      </w:pPr>
      <w:r>
        <w:fldChar w:fldCharType="begin"/>
      </w:r>
      <w:r>
        <w:instrText xml:space="preserve"> HYPERLINK \l "_Toc11795" </w:instrText>
      </w:r>
      <w:r>
        <w:fldChar w:fldCharType="separate"/>
      </w:r>
      <w:r>
        <w:rPr>
          <w:rFonts w:eastAsia="仿宋"/>
          <w:bCs/>
          <w:szCs w:val="28"/>
        </w:rPr>
        <w:t xml:space="preserve">9.1 </w:t>
      </w:r>
      <w:r>
        <w:rPr>
          <w:rFonts w:hint="eastAsia"/>
        </w:rPr>
        <w:t>预案制定与解释</w:t>
      </w:r>
      <w:r>
        <w:tab/>
      </w:r>
      <w:r>
        <w:fldChar w:fldCharType="begin"/>
      </w:r>
      <w:r>
        <w:instrText xml:space="preserve"> PAGEREF _Toc11795 \h </w:instrText>
      </w:r>
      <w:r>
        <w:fldChar w:fldCharType="separate"/>
      </w:r>
      <w:r>
        <w:t>42</w:t>
      </w:r>
      <w:r>
        <w:fldChar w:fldCharType="end"/>
      </w:r>
      <w:r>
        <w:fldChar w:fldCharType="end"/>
      </w:r>
    </w:p>
    <w:p w14:paraId="583185B5">
      <w:pPr>
        <w:pStyle w:val="19"/>
        <w:tabs>
          <w:tab w:val="right" w:leader="dot" w:pos="8845"/>
        </w:tabs>
        <w:ind w:firstLine="632"/>
      </w:pPr>
      <w:r>
        <w:fldChar w:fldCharType="begin"/>
      </w:r>
      <w:r>
        <w:instrText xml:space="preserve"> HYPERLINK \l "_Toc2603" </w:instrText>
      </w:r>
      <w:r>
        <w:fldChar w:fldCharType="separate"/>
      </w:r>
      <w:r>
        <w:rPr>
          <w:rFonts w:eastAsia="仿宋"/>
          <w:bCs/>
          <w:szCs w:val="28"/>
        </w:rPr>
        <w:t xml:space="preserve">9.2 </w:t>
      </w:r>
      <w:r>
        <w:rPr>
          <w:rFonts w:hint="eastAsia"/>
        </w:rPr>
        <w:t>预案中“以上”“以下”的含义</w:t>
      </w:r>
      <w:r>
        <w:tab/>
      </w:r>
      <w:r>
        <w:fldChar w:fldCharType="begin"/>
      </w:r>
      <w:r>
        <w:instrText xml:space="preserve"> PAGEREF _Toc2603 \h </w:instrText>
      </w:r>
      <w:r>
        <w:fldChar w:fldCharType="separate"/>
      </w:r>
      <w:r>
        <w:t>42</w:t>
      </w:r>
      <w:r>
        <w:fldChar w:fldCharType="end"/>
      </w:r>
      <w:r>
        <w:fldChar w:fldCharType="end"/>
      </w:r>
    </w:p>
    <w:p w14:paraId="1E955679">
      <w:pPr>
        <w:pStyle w:val="19"/>
        <w:tabs>
          <w:tab w:val="right" w:leader="dot" w:pos="8845"/>
        </w:tabs>
        <w:ind w:firstLine="632"/>
      </w:pPr>
      <w:r>
        <w:fldChar w:fldCharType="begin"/>
      </w:r>
      <w:r>
        <w:instrText xml:space="preserve"> HYPERLINK \l "_Toc26561" </w:instrText>
      </w:r>
      <w:r>
        <w:fldChar w:fldCharType="separate"/>
      </w:r>
      <w:r>
        <w:rPr>
          <w:rFonts w:eastAsia="仿宋"/>
          <w:bCs/>
          <w:szCs w:val="28"/>
        </w:rPr>
        <w:t xml:space="preserve">9.3 </w:t>
      </w:r>
      <w:r>
        <w:rPr>
          <w:rFonts w:hint="eastAsia"/>
        </w:rPr>
        <w:t>预案的实施</w:t>
      </w:r>
      <w:r>
        <w:tab/>
      </w:r>
      <w:r>
        <w:fldChar w:fldCharType="begin"/>
      </w:r>
      <w:r>
        <w:instrText xml:space="preserve"> PAGEREF _Toc26561 \h </w:instrText>
      </w:r>
      <w:r>
        <w:fldChar w:fldCharType="separate"/>
      </w:r>
      <w:r>
        <w:t>43</w:t>
      </w:r>
      <w:r>
        <w:fldChar w:fldCharType="end"/>
      </w:r>
      <w:r>
        <w:fldChar w:fldCharType="end"/>
      </w:r>
    </w:p>
    <w:p w14:paraId="05B06F9B">
      <w:pPr>
        <w:pStyle w:val="19"/>
        <w:tabs>
          <w:tab w:val="right" w:leader="dot" w:pos="8845"/>
        </w:tabs>
        <w:ind w:firstLine="632"/>
        <w:rPr>
          <w:rFonts w:ascii="黑体" w:hAnsi="黑体" w:eastAsia="黑体" w:cs="黑体"/>
          <w:szCs w:val="44"/>
        </w:rPr>
      </w:pPr>
      <w:r>
        <w:rPr>
          <w:rFonts w:hint="eastAsia" w:ascii="黑体" w:hAnsi="黑体" w:eastAsia="黑体" w:cs="黑体"/>
          <w:szCs w:val="44"/>
        </w:rPr>
        <w:fldChar w:fldCharType="end"/>
      </w:r>
    </w:p>
    <w:p w14:paraId="657AE71D">
      <w:pPr>
        <w:ind w:firstLine="632"/>
        <w:sectPr>
          <w:footerReference r:id="rId107" w:type="default"/>
          <w:footerReference r:id="rId108" w:type="even"/>
          <w:pgSz w:w="11906" w:h="16838"/>
          <w:pgMar w:top="2098" w:right="1474" w:bottom="1984" w:left="1587" w:header="624" w:footer="1134" w:gutter="0"/>
          <w:pgNumType w:fmt="upperRoman" w:start="1"/>
          <w:cols w:space="720" w:num="1"/>
          <w:docGrid w:type="linesAndChars" w:linePitch="579" w:charSpace="-842"/>
        </w:sectPr>
      </w:pPr>
    </w:p>
    <w:p w14:paraId="6A377847">
      <w:pPr>
        <w:pStyle w:val="2"/>
        <w:numPr>
          <w:ilvl w:val="0"/>
          <w:numId w:val="178"/>
        </w:numPr>
        <w:tabs>
          <w:tab w:val="left" w:pos="0"/>
        </w:tabs>
      </w:pPr>
      <w:bookmarkStart w:id="1108" w:name="_Toc4101"/>
      <w:r>
        <w:rPr>
          <w:rFonts w:hint="eastAsia"/>
        </w:rPr>
        <w:t>总则</w:t>
      </w:r>
      <w:bookmarkEnd w:id="1108"/>
    </w:p>
    <w:p w14:paraId="0AAE4898">
      <w:pPr>
        <w:pStyle w:val="3"/>
        <w:numPr>
          <w:ilvl w:val="0"/>
          <w:numId w:val="178"/>
        </w:numPr>
        <w:tabs>
          <w:tab w:val="left" w:pos="0"/>
        </w:tabs>
      </w:pPr>
      <w:bookmarkStart w:id="1109" w:name="_Toc23962"/>
      <w:r>
        <w:rPr>
          <w:rFonts w:hint="eastAsia"/>
        </w:rPr>
        <w:t>编制目的</w:t>
      </w:r>
      <w:bookmarkEnd w:id="1109"/>
    </w:p>
    <w:p w14:paraId="3868C4CD">
      <w:pPr>
        <w:ind w:firstLine="632"/>
      </w:pPr>
      <w:r>
        <w:rPr>
          <w:rFonts w:hint="eastAsia"/>
        </w:rPr>
        <w:t>为深入贯彻习近平总书记关于应急管理系列重要论述，有效应对危险化学品生产安全事故，规范应急管理和应急响应程序，确保应急救援工作及时、高效、有序进行，最大限度预防和减少人员伤亡、财产损失和其他次生事故，保障人民群众身体健康和财产安全。</w:t>
      </w:r>
    </w:p>
    <w:p w14:paraId="78996761">
      <w:pPr>
        <w:pStyle w:val="3"/>
        <w:numPr>
          <w:ilvl w:val="0"/>
          <w:numId w:val="178"/>
        </w:numPr>
        <w:tabs>
          <w:tab w:val="left" w:pos="0"/>
        </w:tabs>
      </w:pPr>
      <w:bookmarkStart w:id="1110" w:name="_Toc24622"/>
      <w:r>
        <w:rPr>
          <w:rFonts w:hint="eastAsia"/>
        </w:rPr>
        <w:t>编制依据</w:t>
      </w:r>
      <w:bookmarkEnd w:id="1110"/>
    </w:p>
    <w:p w14:paraId="328CC124">
      <w:pPr>
        <w:ind w:firstLine="632"/>
      </w:pPr>
      <w:r>
        <w:rPr>
          <w:rFonts w:hint="eastAsia"/>
        </w:rPr>
        <w:t>依据《中华人民共和国突发事件应对法》《中华人民共和国安全生产法》《危险化学品安全管理条例》《生产安全事故应急条例》《生产安全事故报告和调查处理条例》《生产安全事故应急预案管理办法》《危险化学品重大危险源监督管理暂行规定》《黑龙江省安全生产条例》《黑龙江省突发事件应急预案管理实施办法》《双鸭山市危险化学品事故应急预案》《集贤县突发事件总体应急预案》等相关法律、法规和规定，结合我县实际，制定本预案。</w:t>
      </w:r>
    </w:p>
    <w:p w14:paraId="37D8CDAC">
      <w:pPr>
        <w:pStyle w:val="3"/>
        <w:numPr>
          <w:ilvl w:val="0"/>
          <w:numId w:val="178"/>
        </w:numPr>
        <w:tabs>
          <w:tab w:val="left" w:pos="0"/>
        </w:tabs>
      </w:pPr>
      <w:bookmarkStart w:id="1111" w:name="_Toc13540"/>
      <w:r>
        <w:rPr>
          <w:rFonts w:hint="eastAsia"/>
        </w:rPr>
        <w:t>适用范围</w:t>
      </w:r>
      <w:bookmarkEnd w:id="1111"/>
    </w:p>
    <w:p w14:paraId="753367E6">
      <w:pPr>
        <w:ind w:firstLine="632"/>
      </w:pPr>
      <w:r>
        <w:rPr>
          <w:rFonts w:hint="eastAsia"/>
        </w:rPr>
        <w:t>本预案主要用于指导预防和处置发生在本县行政区域内，或发生在周边县市涉及集贤县，应由集贤县处置或参与处置的危险化学品生产、经营、运输、储存和使用等过程中发生的火灾、爆炸、泄漏、中毒和窒息等事故。</w:t>
      </w:r>
    </w:p>
    <w:p w14:paraId="2862A5F3">
      <w:pPr>
        <w:ind w:firstLine="632"/>
      </w:pPr>
      <w:r>
        <w:rPr>
          <w:rFonts w:hint="eastAsia"/>
        </w:rPr>
        <w:t>石油长输管道事故、燃气事故、辐射事故、民用爆炸物品等特殊领域的危险化学品生产安全事故适用其专项预案，不适用本预案。</w:t>
      </w:r>
    </w:p>
    <w:p w14:paraId="070EF8D4">
      <w:pPr>
        <w:pStyle w:val="3"/>
        <w:numPr>
          <w:ilvl w:val="0"/>
          <w:numId w:val="178"/>
        </w:numPr>
        <w:tabs>
          <w:tab w:val="left" w:pos="0"/>
        </w:tabs>
      </w:pPr>
      <w:bookmarkStart w:id="1112" w:name="_Toc1565"/>
      <w:r>
        <w:rPr>
          <w:rFonts w:hint="eastAsia"/>
        </w:rPr>
        <w:t>主要危险源分析</w:t>
      </w:r>
      <w:bookmarkEnd w:id="1112"/>
    </w:p>
    <w:p w14:paraId="240694C3">
      <w:pPr>
        <w:ind w:firstLine="632"/>
      </w:pPr>
      <w:r>
        <w:rPr>
          <w:rFonts w:hint="eastAsia"/>
        </w:rPr>
        <w:t>本县危险化学品事故管理重点是经营、储存单位。危险化学品使用单位也比较多，而且规模不一，安全管理的现状也良莠不齐，也是危险化学品安全管理的重点；受危险化学品理化性质决定，所有的危险化学品如果管理不当，都可能引发事故。本县危险化学品事故类型包括火灾、爆炸、中毒和泄漏，事故具有蔓延迅速、危害严重、影响广泛的特点。</w:t>
      </w:r>
    </w:p>
    <w:p w14:paraId="4ABEB4EF">
      <w:pPr>
        <w:ind w:firstLine="632"/>
      </w:pPr>
      <w:r>
        <w:rPr>
          <w:rFonts w:hint="eastAsia"/>
        </w:rPr>
        <w:t>（1）火灾事故：指燃烧物质主要为危险化学品的火灾事故。在我县范围内，以易燃气体、易燃液体火灾为主。</w:t>
      </w:r>
    </w:p>
    <w:p w14:paraId="4CCB71C7">
      <w:pPr>
        <w:ind w:firstLine="632"/>
      </w:pPr>
      <w:r>
        <w:rPr>
          <w:rFonts w:hint="eastAsia"/>
        </w:rPr>
        <w:t>（2）爆炸事故：指危险化学品发生化学反应的爆炸事故，以及液化气体和压缩气体的物理爆炸事故。我县范围内以自燃物品、易燃液体、易燃气体的火灾爆炸，危险化学品产生的粉尘、气体、挥发物的爆炸，液化气体和压缩气体的物理爆炸为主。</w:t>
      </w:r>
    </w:p>
    <w:p w14:paraId="52246088">
      <w:pPr>
        <w:ind w:firstLine="632"/>
      </w:pPr>
      <w:r>
        <w:rPr>
          <w:rFonts w:hint="eastAsia"/>
        </w:rPr>
        <w:t>（3）中毒和窒息事故：主要指人体吸入、食入或接触有毒有害化学品或者化学品反应的产物而导致的中毒和窒息事故。具体包括：吸入中毒事故（中毒途径为呼吸道）、接触中毒事故（中毒途径为皮肤、眼睛等）、误食中毒事故（中毒途径为消化道）以及其他中毒和窒息事故。</w:t>
      </w:r>
    </w:p>
    <w:p w14:paraId="705092F9">
      <w:pPr>
        <w:ind w:firstLine="632"/>
      </w:pPr>
      <w:r>
        <w:rPr>
          <w:rFonts w:hint="eastAsia"/>
        </w:rPr>
        <w:t>（4）灼伤事故：主要指腐蚀性危险化学品意外地与人体接触，在短时间内即在人体接触表面造成明显破坏的事故。包括酸性腐蚀品、碱性腐蚀品和其他不显酸碱性的腐蚀品。</w:t>
      </w:r>
    </w:p>
    <w:p w14:paraId="7BD834BB">
      <w:pPr>
        <w:ind w:firstLine="632"/>
      </w:pPr>
      <w:r>
        <w:rPr>
          <w:rFonts w:hint="eastAsia"/>
        </w:rPr>
        <w:t>（5）泄漏事故：主要指气体或液体危险化学品发生了一定规模的泄漏，造成了严重的财产损失或环境污染等后果的危险化学品事故。危险化学品泄漏事故容易造成重大火灾、爆炸或中毒事故。</w:t>
      </w:r>
    </w:p>
    <w:p w14:paraId="4BED1AF8">
      <w:pPr>
        <w:ind w:firstLine="632"/>
      </w:pPr>
      <w:r>
        <w:rPr>
          <w:rFonts w:hint="eastAsia"/>
        </w:rPr>
        <w:t>（6）其他危险化学品事故：其他危险化学品事故指不能归入上述5类的危险化学品事故，主要是指危险化学品的肇险事故，即危险化学品发生了人们不希望的意外事件，如盛装危险化学品的罐体、车辆倾倒或倾覆，可能但未发生火灾、爆炸、中毒和窒息、灼伤、泄漏等事故。</w:t>
      </w:r>
    </w:p>
    <w:p w14:paraId="07830B57">
      <w:pPr>
        <w:pStyle w:val="3"/>
        <w:numPr>
          <w:ilvl w:val="0"/>
          <w:numId w:val="178"/>
        </w:numPr>
        <w:tabs>
          <w:tab w:val="left" w:pos="0"/>
        </w:tabs>
      </w:pPr>
      <w:bookmarkStart w:id="1113" w:name="_Toc13904"/>
      <w:r>
        <w:rPr>
          <w:rFonts w:hint="eastAsia"/>
        </w:rPr>
        <w:t>工作原则</w:t>
      </w:r>
      <w:bookmarkEnd w:id="1113"/>
    </w:p>
    <w:p w14:paraId="2514E483">
      <w:pPr>
        <w:numPr>
          <w:ilvl w:val="0"/>
          <w:numId w:val="134"/>
        </w:numPr>
        <w:ind w:firstLine="632"/>
      </w:pPr>
      <w:r>
        <w:rPr>
          <w:rFonts w:hint="eastAsia"/>
        </w:rPr>
        <w:t>以人为本，安全第一。坚持把保障人民群众的生命和财产安全作为出发点和落脚点，建立健全监测预警和应急处置机制，最大限度减少危险化学品事故造成的人员伤亡和危害。</w:t>
      </w:r>
    </w:p>
    <w:p w14:paraId="641DBA69">
      <w:pPr>
        <w:numPr>
          <w:ilvl w:val="0"/>
          <w:numId w:val="134"/>
        </w:numPr>
        <w:ind w:firstLine="632"/>
      </w:pPr>
      <w:r>
        <w:rPr>
          <w:rFonts w:hint="eastAsia"/>
        </w:rPr>
        <w:t>统一指挥，分级负责。在县委、县政府的统一领导下，县有关部门按照分级分类管理的原则，负责危险化学品事故应急管理和应急处置工作；危险化学品从业单位要履行安全生产主体责任，建立健全应急救援体系。</w:t>
      </w:r>
    </w:p>
    <w:p w14:paraId="268EB075">
      <w:pPr>
        <w:numPr>
          <w:ilvl w:val="0"/>
          <w:numId w:val="134"/>
        </w:numPr>
        <w:ind w:firstLine="632"/>
      </w:pPr>
      <w:r>
        <w:rPr>
          <w:rFonts w:hint="eastAsia"/>
        </w:rPr>
        <w:t>各负其责，协同作战。危险化学品事故发生后按照分级响应的原则，县有关部门及时启动相应的应急预案，确保应急救援工作反应及时，处置得当。</w:t>
      </w:r>
    </w:p>
    <w:p w14:paraId="10F736F1">
      <w:pPr>
        <w:numPr>
          <w:ilvl w:val="0"/>
          <w:numId w:val="134"/>
        </w:numPr>
        <w:ind w:firstLine="632"/>
      </w:pPr>
      <w:r>
        <w:rPr>
          <w:rFonts w:hint="eastAsia"/>
        </w:rPr>
        <w:t>整合资源，协同应对。充分发挥政府、企业和社会救援力量的作用，实现组织、资源、信息有机整合和共享，形成“统一指挥、反应灵敏、功能齐全、协调有序、运转高效”的应急管理机制。</w:t>
      </w:r>
    </w:p>
    <w:p w14:paraId="1E50DD01">
      <w:pPr>
        <w:numPr>
          <w:ilvl w:val="0"/>
          <w:numId w:val="134"/>
        </w:numPr>
        <w:ind w:firstLine="632"/>
      </w:pPr>
      <w:r>
        <w:rPr>
          <w:rFonts w:hint="eastAsia"/>
        </w:rPr>
        <w:t>预防为主，平战结合。贯彻落实“安全第一，预防为主，综合治理”的方针，坚持事故应急与预防相结合，常态与非常态相结合，切实提高应急处置能力。</w:t>
      </w:r>
    </w:p>
    <w:p w14:paraId="35D8B7FA">
      <w:pPr>
        <w:numPr>
          <w:ilvl w:val="0"/>
          <w:numId w:val="134"/>
        </w:numPr>
        <w:ind w:firstLine="632"/>
      </w:pPr>
      <w:r>
        <w:rPr>
          <w:rFonts w:hint="eastAsia"/>
        </w:rPr>
        <w:t>依靠科学，规范有序。遵循科学原理，充分发挥专家作用，实现应急救援决策科学民主。依靠科技进步，不断改进和完善应急救援装备、设施和手段，提高应急救援效率。</w:t>
      </w:r>
    </w:p>
    <w:p w14:paraId="108F7018">
      <w:pPr>
        <w:pStyle w:val="3"/>
        <w:numPr>
          <w:ilvl w:val="0"/>
          <w:numId w:val="178"/>
        </w:numPr>
        <w:tabs>
          <w:tab w:val="left" w:pos="0"/>
        </w:tabs>
      </w:pPr>
      <w:bookmarkStart w:id="1114" w:name="_Toc17490"/>
      <w:r>
        <w:rPr>
          <w:rFonts w:hint="eastAsia"/>
        </w:rPr>
        <w:t>事故分级</w:t>
      </w:r>
      <w:bookmarkEnd w:id="1114"/>
    </w:p>
    <w:p w14:paraId="44BF3491">
      <w:pPr>
        <w:ind w:firstLine="632"/>
      </w:pPr>
      <w:r>
        <w:rPr>
          <w:rFonts w:hint="eastAsia"/>
        </w:rPr>
        <w:t>根据危险化学品事故应急管理需要，按照事故危害程度、人员伤亡、经济损失和影响范围，将危险化学品事故分为特别重大、重大、较大和一般四个级别。根据生产安全事故应急管理需要，出现相应级别情形时启动I级、Ⅱ级、Ⅲ级、Ⅳ级应急响应。</w:t>
      </w:r>
    </w:p>
    <w:p w14:paraId="3825DFDC">
      <w:pPr>
        <w:pStyle w:val="4"/>
        <w:numPr>
          <w:ilvl w:val="2"/>
          <w:numId w:val="178"/>
        </w:numPr>
        <w:tabs>
          <w:tab w:val="left" w:pos="0"/>
        </w:tabs>
      </w:pPr>
      <w:r>
        <w:rPr>
          <w:rFonts w:hint="eastAsia"/>
        </w:rPr>
        <w:t>特别重大事故（Ⅰ级）</w:t>
      </w:r>
    </w:p>
    <w:p w14:paraId="4BE2D304">
      <w:pPr>
        <w:numPr>
          <w:ilvl w:val="0"/>
          <w:numId w:val="110"/>
        </w:numPr>
        <w:ind w:firstLine="632"/>
      </w:pPr>
      <w:r>
        <w:rPr>
          <w:rFonts w:hint="eastAsia"/>
        </w:rPr>
        <w:t>已经或可能造成30人以上死亡，或者100人以上重伤（包括急性工业中毒，下同），或者1亿元以上直接经济损失的事故；</w:t>
      </w:r>
    </w:p>
    <w:p w14:paraId="083C3DDB">
      <w:pPr>
        <w:numPr>
          <w:ilvl w:val="0"/>
          <w:numId w:val="110"/>
        </w:numPr>
        <w:ind w:firstLine="632"/>
      </w:pPr>
      <w:r>
        <w:rPr>
          <w:rFonts w:hint="eastAsia"/>
        </w:rPr>
        <w:t>因危险化学品泄漏或爆炸，需紧急疏散、转移群众5000人以上的事故；</w:t>
      </w:r>
    </w:p>
    <w:p w14:paraId="096C61D2">
      <w:pPr>
        <w:numPr>
          <w:ilvl w:val="0"/>
          <w:numId w:val="110"/>
        </w:numPr>
        <w:ind w:firstLine="632"/>
      </w:pPr>
      <w:r>
        <w:rPr>
          <w:rFonts w:hint="eastAsia"/>
        </w:rPr>
        <w:t>事故事态发展严重，产生特别严重社会影响的；</w:t>
      </w:r>
    </w:p>
    <w:p w14:paraId="00D507FA">
      <w:pPr>
        <w:numPr>
          <w:ilvl w:val="0"/>
          <w:numId w:val="110"/>
        </w:numPr>
        <w:ind w:firstLine="632"/>
      </w:pPr>
      <w:r>
        <w:rPr>
          <w:rFonts w:hint="eastAsia"/>
        </w:rPr>
        <w:t>国务院认定为特别重大事故的。</w:t>
      </w:r>
    </w:p>
    <w:p w14:paraId="7C98DD33">
      <w:pPr>
        <w:pStyle w:val="4"/>
        <w:numPr>
          <w:ilvl w:val="2"/>
          <w:numId w:val="178"/>
        </w:numPr>
        <w:tabs>
          <w:tab w:val="left" w:pos="0"/>
        </w:tabs>
      </w:pPr>
      <w:r>
        <w:rPr>
          <w:rFonts w:hint="eastAsia"/>
        </w:rPr>
        <w:t>重大事故（Ⅱ级）</w:t>
      </w:r>
    </w:p>
    <w:p w14:paraId="070896B4">
      <w:pPr>
        <w:numPr>
          <w:ilvl w:val="0"/>
          <w:numId w:val="179"/>
        </w:numPr>
        <w:ind w:firstLine="632"/>
      </w:pPr>
      <w:r>
        <w:rPr>
          <w:rFonts w:hint="eastAsia"/>
        </w:rPr>
        <w:t>已经或可能造成10人以上、30人以下死亡，或者50人以上、100人以下重伤，或者5000万元以上、1亿元以下直接经济损失的事故；</w:t>
      </w:r>
    </w:p>
    <w:p w14:paraId="5D0BDC3F">
      <w:pPr>
        <w:numPr>
          <w:ilvl w:val="0"/>
          <w:numId w:val="179"/>
        </w:numPr>
        <w:ind w:firstLine="632"/>
      </w:pPr>
      <w:r>
        <w:rPr>
          <w:rFonts w:hint="eastAsia"/>
        </w:rPr>
        <w:t>因危险化学品泄漏或爆炸，需紧急疏散、转移群众1000人以上、5000人以下的事故；</w:t>
      </w:r>
    </w:p>
    <w:p w14:paraId="7F19FBB7">
      <w:pPr>
        <w:numPr>
          <w:ilvl w:val="0"/>
          <w:numId w:val="179"/>
        </w:numPr>
        <w:ind w:firstLine="632"/>
      </w:pPr>
      <w:r>
        <w:rPr>
          <w:rFonts w:hint="eastAsia"/>
        </w:rPr>
        <w:t>事故造成严重社会影响，超出县人民政府应急处置能力的；</w:t>
      </w:r>
    </w:p>
    <w:p w14:paraId="04E08415">
      <w:pPr>
        <w:numPr>
          <w:ilvl w:val="0"/>
          <w:numId w:val="179"/>
        </w:numPr>
        <w:ind w:firstLine="632"/>
      </w:pPr>
      <w:r>
        <w:rPr>
          <w:rFonts w:hint="eastAsia"/>
        </w:rPr>
        <w:t>省人民政府认定为重大事故的。</w:t>
      </w:r>
    </w:p>
    <w:p w14:paraId="144C5DD8">
      <w:pPr>
        <w:pStyle w:val="4"/>
        <w:numPr>
          <w:ilvl w:val="2"/>
          <w:numId w:val="178"/>
        </w:numPr>
        <w:tabs>
          <w:tab w:val="left" w:pos="0"/>
        </w:tabs>
      </w:pPr>
      <w:r>
        <w:rPr>
          <w:rFonts w:hint="eastAsia"/>
        </w:rPr>
        <w:t>较大事故（Ⅲ级）</w:t>
      </w:r>
    </w:p>
    <w:p w14:paraId="4401624D">
      <w:pPr>
        <w:numPr>
          <w:ilvl w:val="0"/>
          <w:numId w:val="180"/>
        </w:numPr>
        <w:ind w:firstLine="632"/>
      </w:pPr>
      <w:r>
        <w:rPr>
          <w:rFonts w:hint="eastAsia"/>
        </w:rPr>
        <w:t>已经或可能造成3人以上、10人以下死亡，或者10人以上、50人以下重伤，或者1000万元以上、5000万元以下直接经济损失的事故；</w:t>
      </w:r>
    </w:p>
    <w:p w14:paraId="2F4E18A4">
      <w:pPr>
        <w:numPr>
          <w:ilvl w:val="0"/>
          <w:numId w:val="180"/>
        </w:numPr>
        <w:ind w:firstLine="632"/>
      </w:pPr>
      <w:r>
        <w:rPr>
          <w:rFonts w:hint="eastAsia"/>
        </w:rPr>
        <w:t>因危险化学品泄漏或爆炸，需紧急疏散、转移群众100人以上、1000人以下的事故；</w:t>
      </w:r>
    </w:p>
    <w:p w14:paraId="56B62BBD">
      <w:pPr>
        <w:numPr>
          <w:ilvl w:val="0"/>
          <w:numId w:val="180"/>
        </w:numPr>
        <w:ind w:firstLine="632"/>
      </w:pPr>
      <w:r>
        <w:rPr>
          <w:rFonts w:hint="eastAsia"/>
        </w:rPr>
        <w:t>事故造成较大社会影响，超出县级政府应急处置能力的；</w:t>
      </w:r>
    </w:p>
    <w:p w14:paraId="30367939">
      <w:pPr>
        <w:numPr>
          <w:ilvl w:val="0"/>
          <w:numId w:val="180"/>
        </w:numPr>
        <w:ind w:firstLine="632"/>
      </w:pPr>
      <w:r>
        <w:rPr>
          <w:rFonts w:hint="eastAsia"/>
        </w:rPr>
        <w:t>市政府认定为较大事故的。</w:t>
      </w:r>
    </w:p>
    <w:p w14:paraId="753DD85C">
      <w:pPr>
        <w:pStyle w:val="4"/>
        <w:numPr>
          <w:ilvl w:val="2"/>
          <w:numId w:val="178"/>
        </w:numPr>
        <w:tabs>
          <w:tab w:val="left" w:pos="0"/>
        </w:tabs>
      </w:pPr>
      <w:r>
        <w:rPr>
          <w:rFonts w:hint="eastAsia"/>
        </w:rPr>
        <w:t>一般事故（Ⅳ级）</w:t>
      </w:r>
    </w:p>
    <w:p w14:paraId="06315291">
      <w:pPr>
        <w:numPr>
          <w:ilvl w:val="0"/>
          <w:numId w:val="181"/>
        </w:numPr>
        <w:ind w:firstLine="632"/>
      </w:pPr>
      <w:r>
        <w:rPr>
          <w:rFonts w:hint="eastAsia"/>
        </w:rPr>
        <w:t>已经或者可能造成3人以下死亡，或者10人以下重伤，或者1000万元以下直接经济损失的事故；</w:t>
      </w:r>
    </w:p>
    <w:p w14:paraId="691EB822">
      <w:pPr>
        <w:numPr>
          <w:ilvl w:val="0"/>
          <w:numId w:val="181"/>
        </w:numPr>
        <w:ind w:firstLine="632"/>
      </w:pPr>
      <w:r>
        <w:rPr>
          <w:rFonts w:hint="eastAsia"/>
        </w:rPr>
        <w:t>因危险化学品泄漏或爆炸，需紧急疏散、转移群众100人以下的事故；</w:t>
      </w:r>
    </w:p>
    <w:p w14:paraId="709DB4EF">
      <w:pPr>
        <w:numPr>
          <w:ilvl w:val="0"/>
          <w:numId w:val="181"/>
        </w:numPr>
        <w:ind w:firstLine="632"/>
      </w:pPr>
      <w:r>
        <w:rPr>
          <w:rFonts w:hint="eastAsia"/>
        </w:rPr>
        <w:t>事故产生一定社会影响的。</w:t>
      </w:r>
    </w:p>
    <w:p w14:paraId="22DB77A2">
      <w:pPr>
        <w:pStyle w:val="3"/>
        <w:numPr>
          <w:ilvl w:val="0"/>
          <w:numId w:val="178"/>
        </w:numPr>
        <w:tabs>
          <w:tab w:val="left" w:pos="0"/>
        </w:tabs>
      </w:pPr>
      <w:bookmarkStart w:id="1115" w:name="_Toc24557"/>
      <w:r>
        <w:rPr>
          <w:rFonts w:hint="eastAsia"/>
        </w:rPr>
        <w:t>应急预案体系</w:t>
      </w:r>
      <w:bookmarkEnd w:id="1115"/>
    </w:p>
    <w:p w14:paraId="5B5EB863">
      <w:pPr>
        <w:numPr>
          <w:ilvl w:val="0"/>
          <w:numId w:val="182"/>
        </w:numPr>
        <w:ind w:firstLine="632"/>
      </w:pPr>
      <w:r>
        <w:rPr>
          <w:rFonts w:hint="eastAsia"/>
        </w:rPr>
        <w:t>本县危险化学品事故应急预案体系由政府及其部门应急预案、危险化学品企业应急预案等组成。</w:t>
      </w:r>
    </w:p>
    <w:p w14:paraId="179BF2F3">
      <w:pPr>
        <w:ind w:firstLine="632"/>
      </w:pPr>
      <w:r>
        <w:rPr>
          <w:rFonts w:hint="eastAsia"/>
        </w:rPr>
        <w:t>政府及其部门应急预案由县、乡镇、社区三级政府及其部门制定。</w:t>
      </w:r>
    </w:p>
    <w:p w14:paraId="51165C26">
      <w:pPr>
        <w:numPr>
          <w:ilvl w:val="0"/>
          <w:numId w:val="182"/>
        </w:numPr>
        <w:ind w:firstLine="632"/>
      </w:pPr>
      <w:r>
        <w:rPr>
          <w:rFonts w:hint="eastAsia"/>
        </w:rPr>
        <w:t>县级预案包括作为县级专项应急预案的本预案和配套制定的相关县级部门应急预案。各乡镇按规定制定本辖区危险化学品事故应急预案。危险化学品企业依据相关法律法规、规范性文件等制定本企业危险化学品事故应急预案。</w:t>
      </w:r>
    </w:p>
    <w:p w14:paraId="6CD1BE07">
      <w:pPr>
        <w:numPr>
          <w:ilvl w:val="0"/>
          <w:numId w:val="182"/>
        </w:numPr>
        <w:ind w:firstLine="632"/>
      </w:pPr>
      <w:r>
        <w:rPr>
          <w:rFonts w:hint="eastAsia"/>
        </w:rPr>
        <w:t>各级各类应急预案间应相互衔接，构成集贤县危险化学品事故应急预案体系，与双鸭山市危险化学品相关应急预案以及集贤县突发事件总体应急预案等相衔接。</w:t>
      </w:r>
    </w:p>
    <w:p w14:paraId="6FFA4BA0">
      <w:pPr>
        <w:pStyle w:val="2"/>
        <w:numPr>
          <w:ilvl w:val="0"/>
          <w:numId w:val="178"/>
        </w:numPr>
        <w:tabs>
          <w:tab w:val="left" w:pos="0"/>
        </w:tabs>
      </w:pPr>
      <w:bookmarkStart w:id="1116" w:name="_Toc6116"/>
      <w:r>
        <w:rPr>
          <w:rFonts w:hint="eastAsia"/>
        </w:rPr>
        <w:t>组织指挥体系</w:t>
      </w:r>
      <w:bookmarkEnd w:id="1116"/>
    </w:p>
    <w:p w14:paraId="202E891E">
      <w:pPr>
        <w:pStyle w:val="3"/>
        <w:numPr>
          <w:ilvl w:val="0"/>
          <w:numId w:val="178"/>
        </w:numPr>
        <w:tabs>
          <w:tab w:val="left" w:pos="0"/>
        </w:tabs>
      </w:pPr>
      <w:bookmarkStart w:id="1117" w:name="_Toc31901"/>
      <w:r>
        <w:rPr>
          <w:rFonts w:hint="eastAsia"/>
        </w:rPr>
        <w:t>县危险化学品事故指挥部</w:t>
      </w:r>
      <w:bookmarkEnd w:id="1117"/>
    </w:p>
    <w:p w14:paraId="0257D40A">
      <w:pPr>
        <w:ind w:firstLine="632"/>
      </w:pPr>
      <w:r>
        <w:rPr>
          <w:rFonts w:hint="eastAsia"/>
        </w:rPr>
        <w:t>县应急委员会下设的县危险化学品专项应急指挥部（以下简称县指挥部）是负责应对危险化学品事故的县级专项指挥机构，负责我县辖区内一般及以上危险化学品事故风险防控、应急准备、监测与预警、应急处置与救援及善后处置等工作，负责一般危险化学品事故的应对处理。</w:t>
      </w:r>
    </w:p>
    <w:p w14:paraId="235DF34F">
      <w:pPr>
        <w:ind w:firstLine="632"/>
      </w:pPr>
      <w:r>
        <w:rPr>
          <w:rFonts w:hint="eastAsia"/>
        </w:rPr>
        <w:t>总 指 挥：县政府分管副县长</w:t>
      </w:r>
    </w:p>
    <w:p w14:paraId="36444276">
      <w:pPr>
        <w:ind w:firstLine="632"/>
      </w:pPr>
      <w:r>
        <w:rPr>
          <w:rFonts w:hint="eastAsia"/>
        </w:rPr>
        <w:t>副总指挥：县政府办副主任、县应急管理局局长</w:t>
      </w:r>
    </w:p>
    <w:p w14:paraId="211C4C57">
      <w:pPr>
        <w:ind w:firstLine="632"/>
      </w:pPr>
      <w:r>
        <w:rPr>
          <w:rFonts w:hint="eastAsia"/>
        </w:rPr>
        <w:t>成员单位：县政府办、县委宣传部、县应急管理局、县消防救援大队、县公安局、县发展和改革局、县市场监管局、县卫生健康局、县自然资源局、双鸭山市集贤生态环境局、县交通运输局、县水务局、县气象局、县财政局、县民政局、县人力资源和社会保障局、县住房和城乡建设局、县工业信息科技局、县总工会、国网供电集贤分公司、各通信运营单位及各乡镇人民政府等</w:t>
      </w:r>
    </w:p>
    <w:p w14:paraId="7713B9E7">
      <w:pPr>
        <w:ind w:firstLine="632"/>
      </w:pPr>
      <w:r>
        <w:rPr>
          <w:rFonts w:hint="eastAsia"/>
        </w:rPr>
        <w:t>县指挥部下设县危险化学品事故专项应急指挥部办公室（以下简称“县危化应急办”），办公室设在县应急管理局，办公室主任由县应急管理局局长兼任，成员由危险化学品行业有关专家和安委会办公室成员担任。</w:t>
      </w:r>
    </w:p>
    <w:p w14:paraId="59057EEF">
      <w:pPr>
        <w:pStyle w:val="4"/>
        <w:numPr>
          <w:ilvl w:val="2"/>
          <w:numId w:val="178"/>
        </w:numPr>
        <w:tabs>
          <w:tab w:val="left" w:pos="0"/>
        </w:tabs>
      </w:pPr>
      <w:r>
        <w:rPr>
          <w:rFonts w:hint="eastAsia"/>
        </w:rPr>
        <w:t>县指挥部职责</w:t>
      </w:r>
    </w:p>
    <w:p w14:paraId="50DDA202">
      <w:pPr>
        <w:numPr>
          <w:ilvl w:val="0"/>
          <w:numId w:val="135"/>
        </w:numPr>
        <w:ind w:firstLine="632"/>
      </w:pPr>
      <w:r>
        <w:rPr>
          <w:rFonts w:hint="eastAsia"/>
        </w:rPr>
        <w:t>决定启动和宣布终止应急响应，组织、协调、指挥全县危险化学品事故应急处置和救援工作；</w:t>
      </w:r>
    </w:p>
    <w:p w14:paraId="3C6E764F">
      <w:pPr>
        <w:numPr>
          <w:ilvl w:val="0"/>
          <w:numId w:val="135"/>
        </w:numPr>
        <w:ind w:firstLine="632"/>
      </w:pPr>
      <w:r>
        <w:rPr>
          <w:rFonts w:hint="eastAsia"/>
        </w:rPr>
        <w:t>根据事故情况，统一部署应急处置和救援工作，并对应急处置和救援工作发生的意外情况采取紧急处置措施；</w:t>
      </w:r>
    </w:p>
    <w:p w14:paraId="34F362E3">
      <w:pPr>
        <w:numPr>
          <w:ilvl w:val="0"/>
          <w:numId w:val="135"/>
        </w:numPr>
        <w:ind w:firstLine="632"/>
      </w:pPr>
      <w:r>
        <w:rPr>
          <w:rFonts w:hint="eastAsia"/>
        </w:rPr>
        <w:t>在全县范围内紧急调用各类应急力量、物资和装备；</w:t>
      </w:r>
    </w:p>
    <w:p w14:paraId="6D043B53">
      <w:pPr>
        <w:numPr>
          <w:ilvl w:val="0"/>
          <w:numId w:val="135"/>
        </w:numPr>
        <w:ind w:firstLine="632"/>
      </w:pPr>
      <w:r>
        <w:rPr>
          <w:rFonts w:hint="eastAsia"/>
        </w:rPr>
        <w:t>向县委、县政府和县安委会报告事故处置和救援情况，必要时请求协调支援；</w:t>
      </w:r>
    </w:p>
    <w:p w14:paraId="7F242D86">
      <w:pPr>
        <w:numPr>
          <w:ilvl w:val="0"/>
          <w:numId w:val="135"/>
        </w:numPr>
        <w:ind w:firstLine="632"/>
      </w:pPr>
      <w:r>
        <w:rPr>
          <w:rFonts w:hint="eastAsia"/>
        </w:rPr>
        <w:t>负责县危险化学品应急指挥部日常工作；</w:t>
      </w:r>
    </w:p>
    <w:p w14:paraId="345F9D2C">
      <w:pPr>
        <w:numPr>
          <w:ilvl w:val="0"/>
          <w:numId w:val="135"/>
        </w:numPr>
        <w:ind w:firstLine="632"/>
      </w:pPr>
      <w:r>
        <w:rPr>
          <w:rFonts w:hint="eastAsia"/>
        </w:rPr>
        <w:t>负责县委、县政府和上级业务部门交办的其他工作。</w:t>
      </w:r>
    </w:p>
    <w:p w14:paraId="4DEAA183">
      <w:pPr>
        <w:pStyle w:val="4"/>
        <w:numPr>
          <w:ilvl w:val="2"/>
          <w:numId w:val="178"/>
        </w:numPr>
        <w:tabs>
          <w:tab w:val="left" w:pos="0"/>
        </w:tabs>
      </w:pPr>
      <w:r>
        <w:rPr>
          <w:rFonts w:hint="eastAsia"/>
        </w:rPr>
        <w:t>县危化应急办职责</w:t>
      </w:r>
    </w:p>
    <w:p w14:paraId="5B73CB55">
      <w:pPr>
        <w:numPr>
          <w:ilvl w:val="0"/>
          <w:numId w:val="115"/>
        </w:numPr>
        <w:ind w:firstLine="632"/>
      </w:pPr>
      <w:r>
        <w:rPr>
          <w:rFonts w:hint="eastAsia"/>
        </w:rPr>
        <w:t>修订县危险化学品事故应急预案，检查督促有关部门和单位责任与措施的落实；</w:t>
      </w:r>
    </w:p>
    <w:p w14:paraId="41F69B7B">
      <w:pPr>
        <w:numPr>
          <w:ilvl w:val="0"/>
          <w:numId w:val="115"/>
        </w:numPr>
        <w:ind w:firstLine="632"/>
      </w:pPr>
      <w:r>
        <w:rPr>
          <w:rFonts w:hint="eastAsia"/>
        </w:rPr>
        <w:t>动态掌握危险化学品事故风险、隐患和事故信息，做好预测和预警，及时向县应急处置指挥部提出是否启动本预案的建议；</w:t>
      </w:r>
    </w:p>
    <w:p w14:paraId="13207826">
      <w:pPr>
        <w:numPr>
          <w:ilvl w:val="0"/>
          <w:numId w:val="115"/>
        </w:numPr>
        <w:ind w:firstLine="632"/>
      </w:pPr>
      <w:r>
        <w:rPr>
          <w:rFonts w:hint="eastAsia"/>
        </w:rPr>
        <w:t>组织或参与危险化学品事故灾情统计、核查、上报、新闻发布和事故评估、调查处理工作；</w:t>
      </w:r>
    </w:p>
    <w:p w14:paraId="66503B32">
      <w:pPr>
        <w:numPr>
          <w:ilvl w:val="0"/>
          <w:numId w:val="115"/>
        </w:numPr>
        <w:ind w:firstLine="632"/>
      </w:pPr>
      <w:r>
        <w:rPr>
          <w:rFonts w:hint="eastAsia"/>
        </w:rPr>
        <w:t>根据危险化学品事故性质和严重程度，及时向县应急处置指挥部总指挥报告事故信息；</w:t>
      </w:r>
    </w:p>
    <w:p w14:paraId="757D1F38">
      <w:pPr>
        <w:numPr>
          <w:ilvl w:val="0"/>
          <w:numId w:val="115"/>
        </w:numPr>
        <w:ind w:firstLine="632"/>
      </w:pPr>
      <w:r>
        <w:rPr>
          <w:rFonts w:hint="eastAsia"/>
        </w:rPr>
        <w:t>落实县应急处置指挥部总指挥、副总指挥的指示、批示；承办相关综合协调、请示报告工作。</w:t>
      </w:r>
    </w:p>
    <w:p w14:paraId="0552A07A">
      <w:pPr>
        <w:pStyle w:val="4"/>
        <w:numPr>
          <w:ilvl w:val="2"/>
          <w:numId w:val="178"/>
        </w:numPr>
        <w:tabs>
          <w:tab w:val="left" w:pos="0"/>
        </w:tabs>
      </w:pPr>
      <w:r>
        <w:rPr>
          <w:rFonts w:hint="eastAsia"/>
          <w:bCs/>
        </w:rPr>
        <w:t>成员单位主要职责</w:t>
      </w:r>
    </w:p>
    <w:p w14:paraId="7E88393C">
      <w:pPr>
        <w:ind w:firstLine="634"/>
      </w:pPr>
      <w:r>
        <w:rPr>
          <w:rFonts w:hint="eastAsia"/>
          <w:b/>
          <w:bCs/>
        </w:rPr>
        <w:t>县政府办：</w:t>
      </w:r>
      <w:r>
        <w:rPr>
          <w:rFonts w:hint="eastAsia"/>
        </w:rPr>
        <w:t>负责县政府总值班工作，及时收集、汇总事故和相关情况，第一时间向县政府报告，传达县政府领导指示批示精神。</w:t>
      </w:r>
    </w:p>
    <w:p w14:paraId="65638E1F">
      <w:pPr>
        <w:ind w:firstLine="634"/>
      </w:pPr>
      <w:r>
        <w:rPr>
          <w:rFonts w:hint="eastAsia"/>
          <w:b/>
          <w:bCs/>
        </w:rPr>
        <w:t>县委宣传部：</w:t>
      </w:r>
      <w:r>
        <w:rPr>
          <w:rFonts w:hint="eastAsia"/>
        </w:rPr>
        <w:t>负责危险化学品事故的宣传报道和舆情处置工作，组织协调各新闻单位对事故处置情况进行宣传报道和对外发布信息；协助有关部门在相关媒体上发布应急疏散、区域警戒等重要公告。</w:t>
      </w:r>
    </w:p>
    <w:p w14:paraId="497E169B">
      <w:pPr>
        <w:ind w:firstLine="634"/>
      </w:pPr>
      <w:r>
        <w:rPr>
          <w:rFonts w:hint="eastAsia"/>
          <w:b/>
          <w:bCs/>
        </w:rPr>
        <w:t>县应急管理局：</w:t>
      </w:r>
      <w:r>
        <w:rPr>
          <w:rFonts w:hint="eastAsia"/>
        </w:rPr>
        <w:t>指导和全程参与事故应急处置和事故调查、处理善后；组织协调专家到现场参与现场处置工作；协调组织危险化学品生产企业应急队伍支援；协助事发地乡镇做好环境污染善后处置。</w:t>
      </w:r>
    </w:p>
    <w:p w14:paraId="43E1A9EA">
      <w:pPr>
        <w:ind w:firstLine="634"/>
      </w:pPr>
      <w:r>
        <w:rPr>
          <w:rFonts w:hint="eastAsia"/>
          <w:b/>
          <w:bCs/>
        </w:rPr>
        <w:t>县消防救援大队：</w:t>
      </w:r>
      <w:r>
        <w:rPr>
          <w:rFonts w:hint="eastAsia"/>
        </w:rPr>
        <w:t>负责组织、指导制定事故火灾扑救方案；负责组织、指导事故现场的火灾扑救、现场被困人员的搜救、现场检测并划定警戒范围；在事故原因及事故危险物品性质特征未明的情况下，采取必要手段有效控制事故灾害的蔓延，会同生态环境部门、专家对危险物品的性质特征进行分析，组织危险化学品生产企业救援队伍，采取正确的施救方法，直至完全控制险情。灾情控制后实施洗消；按照有关规定参与火灾事故的调查处理。</w:t>
      </w:r>
    </w:p>
    <w:p w14:paraId="1394EEE5">
      <w:pPr>
        <w:ind w:firstLine="634"/>
      </w:pPr>
      <w:r>
        <w:rPr>
          <w:rFonts w:hint="eastAsia"/>
          <w:b/>
          <w:bCs/>
        </w:rPr>
        <w:t>县公安局：</w:t>
      </w:r>
      <w:r>
        <w:rPr>
          <w:rFonts w:hint="eastAsia"/>
        </w:rPr>
        <w:t>负责实施危险化学品事故现场保护、人员疏散、紧急救援、安全保卫、调查取证、事故原因调查分析工作；负责组织、指导事故发生地现场区域周边道路交通和人员管制，禁止无关车辆和人员进入危险领域，保障救援通道的畅通；控制事故相关责任人员；确定伤亡人员身份；参与事故调查处理。</w:t>
      </w:r>
    </w:p>
    <w:p w14:paraId="561DEE1D">
      <w:pPr>
        <w:ind w:firstLine="634"/>
      </w:pPr>
      <w:r>
        <w:rPr>
          <w:rFonts w:hint="eastAsia"/>
          <w:b/>
          <w:bCs/>
        </w:rPr>
        <w:t>县发展和改革局：</w:t>
      </w:r>
      <w:r>
        <w:rPr>
          <w:rFonts w:hint="eastAsia"/>
        </w:rPr>
        <w:t>根据需要协调供电部门提供电力保障。协助开展加油站事故应急处置；参与加油站事故调查。</w:t>
      </w:r>
    </w:p>
    <w:p w14:paraId="62353683">
      <w:pPr>
        <w:ind w:firstLine="634"/>
      </w:pPr>
      <w:r>
        <w:rPr>
          <w:rFonts w:hint="eastAsia"/>
          <w:b/>
          <w:bCs/>
        </w:rPr>
        <w:t>县市场监管局：</w:t>
      </w:r>
      <w:r>
        <w:rPr>
          <w:rFonts w:hint="eastAsia"/>
        </w:rPr>
        <w:t>负责制定压力容器、压力管道等特种设备事故应急预案；组织、指导制定事故现场压力容器、压力管道等特种设备的技术处置方案；参与事故调查处理。</w:t>
      </w:r>
    </w:p>
    <w:p w14:paraId="78315E44">
      <w:pPr>
        <w:ind w:firstLine="634"/>
      </w:pPr>
      <w:r>
        <w:rPr>
          <w:rFonts w:hint="eastAsia"/>
          <w:b/>
          <w:bCs/>
        </w:rPr>
        <w:t>县卫生健康局：</w:t>
      </w:r>
      <w:r>
        <w:rPr>
          <w:rFonts w:hint="eastAsia"/>
        </w:rPr>
        <w:t>负责组织对危险化学品事故伤员的医疗救护，根据就近原则和医疗能力确定救治医院；组织开展现场救护及伤员转运，做好伤员分检、救治的统计工作；负责组织、协调危险化学品事故中毒有关症状和性质的鉴别。</w:t>
      </w:r>
    </w:p>
    <w:p w14:paraId="7AF91494">
      <w:pPr>
        <w:ind w:firstLine="634"/>
      </w:pPr>
      <w:r>
        <w:rPr>
          <w:rFonts w:hint="eastAsia"/>
          <w:b/>
          <w:bCs/>
        </w:rPr>
        <w:t>县自然资源局：</w:t>
      </w:r>
      <w:r>
        <w:rPr>
          <w:rFonts w:hint="eastAsia"/>
        </w:rPr>
        <w:t>负责提供事故应急处置现场周边有无地质灾害隐患的情况和信息。</w:t>
      </w:r>
    </w:p>
    <w:p w14:paraId="61D9EA4F">
      <w:pPr>
        <w:ind w:firstLine="634"/>
      </w:pPr>
      <w:r>
        <w:rPr>
          <w:rFonts w:hint="eastAsia"/>
          <w:b/>
          <w:bCs/>
        </w:rPr>
        <w:t>双鸭山市集贤生态环境局：</w:t>
      </w:r>
      <w:r>
        <w:rPr>
          <w:rFonts w:hint="eastAsia"/>
        </w:rPr>
        <w:t>负责组织、指导制定危险化学品污染事故监测与环境污染控制应急方案；负责对事故现场及事故可能诱发次生环境污染的土壤、水源、大气等进行监测，为正确救援和防止扩散提供翔实依据；负责组织、指导制定遗洒危险化学品及沾染物的无害化处置方案，确保事故得到控制后，有效消除现场遗留危险物质对环境产生的污染；指导事发地乡镇做好环境污染善后处置；负责事故引起的污染事件调查处理。</w:t>
      </w:r>
    </w:p>
    <w:p w14:paraId="54EA8B51">
      <w:pPr>
        <w:pStyle w:val="14"/>
        <w:ind w:left="0" w:leftChars="0" w:firstLine="632" w:firstLineChars="200"/>
      </w:pPr>
      <w:r>
        <w:rPr>
          <w:rFonts w:hint="eastAsia"/>
          <w:b/>
          <w:bCs/>
        </w:rPr>
        <w:t>县交通运输局：</w:t>
      </w:r>
      <w:r>
        <w:rPr>
          <w:rFonts w:hint="eastAsia"/>
        </w:rPr>
        <w:t>负责道路运输危险化学品，以及道路站场危险化学品的应急管理、救援和应急预案制定工作；指导、协调危险化学品事故涉及的公路运输保障工作；负责抢险、救援、应急疏散车辆的调用和保障，以及突发公共事件应急处置所需人员和物资的运送工作。</w:t>
      </w:r>
    </w:p>
    <w:p w14:paraId="28485C11">
      <w:pPr>
        <w:pStyle w:val="14"/>
        <w:ind w:left="0" w:leftChars="0" w:firstLine="632" w:firstLineChars="200"/>
      </w:pPr>
      <w:r>
        <w:rPr>
          <w:rFonts w:hint="eastAsia"/>
          <w:b/>
          <w:bCs/>
        </w:rPr>
        <w:t>县水务局：</w:t>
      </w:r>
      <w:r>
        <w:rPr>
          <w:rFonts w:hint="eastAsia"/>
        </w:rPr>
        <w:t>负责危险化学品事故中相关水域的水量调度工作，指导协调相关水域的水文监测工作。</w:t>
      </w:r>
    </w:p>
    <w:p w14:paraId="769C1355">
      <w:pPr>
        <w:ind w:firstLine="634"/>
      </w:pPr>
      <w:r>
        <w:rPr>
          <w:rFonts w:hint="eastAsia"/>
          <w:b/>
          <w:bCs/>
        </w:rPr>
        <w:t>县气象局：</w:t>
      </w:r>
      <w:r>
        <w:rPr>
          <w:rFonts w:hint="eastAsia"/>
        </w:rPr>
        <w:t>负责事故应急处置工作提供气象保障服务，提供事故现场及周边地区风向、风速、温度、湿度、气压、雨量等气象实况资料，预测预报有毒气体扩散的方向和范围等，为县应急处置指挥部做出科学指挥决策提供技术支持。</w:t>
      </w:r>
    </w:p>
    <w:p w14:paraId="0F83CF05">
      <w:pPr>
        <w:ind w:firstLine="634"/>
      </w:pPr>
      <w:r>
        <w:rPr>
          <w:rFonts w:hint="eastAsia"/>
          <w:b/>
          <w:bCs/>
        </w:rPr>
        <w:t>县财政局：</w:t>
      </w:r>
      <w:r>
        <w:rPr>
          <w:rFonts w:hint="eastAsia"/>
        </w:rPr>
        <w:t>负责应急救援、应急征用等资金的筹措和拨款，协调解决应急联动必需的经费，并对经费使用情况进行监督。</w:t>
      </w:r>
    </w:p>
    <w:p w14:paraId="09D8F1B2">
      <w:pPr>
        <w:ind w:firstLine="634"/>
      </w:pPr>
      <w:r>
        <w:rPr>
          <w:rFonts w:hint="eastAsia"/>
          <w:b/>
          <w:bCs/>
        </w:rPr>
        <w:t>县民政局：</w:t>
      </w:r>
      <w:r>
        <w:rPr>
          <w:rFonts w:hint="eastAsia"/>
        </w:rPr>
        <w:t>指导事发地政府做好受灾群众的救助等相关后勤保障工作；引导协调社会力量参与救灾救援；组织开展救灾捐赠行动。</w:t>
      </w:r>
    </w:p>
    <w:p w14:paraId="1F804240">
      <w:pPr>
        <w:ind w:firstLine="634"/>
      </w:pPr>
      <w:r>
        <w:rPr>
          <w:rFonts w:hint="eastAsia"/>
          <w:b/>
          <w:bCs/>
        </w:rPr>
        <w:t>县人力资源和社会保障局：</w:t>
      </w:r>
      <w:r>
        <w:rPr>
          <w:rFonts w:hint="eastAsia"/>
        </w:rPr>
        <w:t>负责应急救援后就业的迅速恢复和稳定；负责应急救援中产生的工伤认定和赔偿及落实灾难后有关人员的失业保障。</w:t>
      </w:r>
    </w:p>
    <w:p w14:paraId="5C7CACC5">
      <w:pPr>
        <w:ind w:firstLine="634"/>
      </w:pPr>
      <w:r>
        <w:rPr>
          <w:rFonts w:hint="eastAsia"/>
          <w:b/>
          <w:bCs/>
        </w:rPr>
        <w:t>县住房和城乡建设局：</w:t>
      </w:r>
      <w:r>
        <w:rPr>
          <w:rFonts w:hint="eastAsia"/>
        </w:rPr>
        <w:t>负责对事故中受损建筑物进行评估、鉴定等；参与危险化学品事故的应急救援及事故调查与损失评估工作。</w:t>
      </w:r>
    </w:p>
    <w:p w14:paraId="421E8355">
      <w:pPr>
        <w:ind w:firstLine="634"/>
      </w:pPr>
      <w:r>
        <w:rPr>
          <w:rFonts w:hint="eastAsia"/>
          <w:b/>
          <w:bCs/>
        </w:rPr>
        <w:t>县工业信息科技局：</w:t>
      </w:r>
      <w:r>
        <w:rPr>
          <w:rFonts w:hint="eastAsia"/>
        </w:rPr>
        <w:t>负责协调相关移动通讯部门保障事故救援现场的通信讯号畅通；组织协调受事故影响的工业企业人员有序撤离和企业停产。</w:t>
      </w:r>
    </w:p>
    <w:p w14:paraId="36F1F723">
      <w:pPr>
        <w:pStyle w:val="21"/>
        <w:ind w:left="0" w:firstLine="634"/>
        <w:rPr>
          <w:rFonts w:ascii="仿宋" w:hAnsi="仿宋" w:eastAsia="仿宋_GB2312"/>
          <w:lang w:val="en-US" w:bidi="ar-SA"/>
        </w:rPr>
      </w:pPr>
      <w:r>
        <w:rPr>
          <w:rFonts w:hint="eastAsia"/>
          <w:b/>
          <w:bCs/>
          <w:lang w:val="en-US"/>
        </w:rPr>
        <w:t>国网供电集贤分公司：</w:t>
      </w:r>
      <w:r>
        <w:rPr>
          <w:rFonts w:hint="eastAsia" w:ascii="仿宋" w:hAnsi="仿宋" w:eastAsia="仿宋_GB2312"/>
          <w:lang w:val="en-US" w:bidi="ar-SA"/>
        </w:rPr>
        <w:t>负责危险化学品事故应急救援过程中电力保障。</w:t>
      </w:r>
    </w:p>
    <w:p w14:paraId="3BEDE64A">
      <w:pPr>
        <w:pStyle w:val="21"/>
        <w:ind w:left="0" w:firstLine="634"/>
        <w:rPr>
          <w:rFonts w:ascii="仿宋" w:hAnsi="仿宋" w:eastAsia="仿宋_GB2312"/>
          <w:lang w:val="en-US" w:bidi="ar-SA"/>
        </w:rPr>
      </w:pPr>
      <w:r>
        <w:rPr>
          <w:rFonts w:hint="eastAsia"/>
          <w:b/>
          <w:bCs/>
          <w:lang w:val="en-US"/>
        </w:rPr>
        <w:t>各通信运营单位：</w:t>
      </w:r>
      <w:r>
        <w:rPr>
          <w:rFonts w:hint="eastAsia" w:ascii="仿宋" w:hAnsi="仿宋" w:eastAsia="仿宋_GB2312"/>
          <w:lang w:val="en-US" w:bidi="ar-SA"/>
        </w:rPr>
        <w:t>负责组织保障危险化学品事故应急救援过程中的应急通信。</w:t>
      </w:r>
    </w:p>
    <w:p w14:paraId="022CB3CA">
      <w:pPr>
        <w:ind w:firstLine="634"/>
      </w:pPr>
      <w:r>
        <w:rPr>
          <w:rFonts w:hint="eastAsia"/>
          <w:b/>
          <w:bCs/>
        </w:rPr>
        <w:t>属地乡镇政府：</w:t>
      </w:r>
      <w:r>
        <w:rPr>
          <w:rFonts w:hint="eastAsia"/>
        </w:rPr>
        <w:t>协助县应急处置指挥部，负责实施事故现场控制、人员疏散安置、治安秩序维护、应急救援、后勤保障和善后处理等工作；协调落实危险化学品事故处置后的危险化学品暂（转）存。</w:t>
      </w:r>
    </w:p>
    <w:p w14:paraId="31C6BED4">
      <w:pPr>
        <w:ind w:firstLine="632"/>
      </w:pPr>
      <w:r>
        <w:rPr>
          <w:rFonts w:hint="eastAsia"/>
        </w:rPr>
        <w:t>事发地乡级人民政府按照有关规定及时向县危化应急办及市直有关主管部门报告事故灾难情况，并在第一时间采取应急处置措施，开展应急救援工作，为县指挥部组织应急救援提供保障。</w:t>
      </w:r>
    </w:p>
    <w:p w14:paraId="28E37663">
      <w:pPr>
        <w:ind w:firstLine="632"/>
      </w:pPr>
      <w:r>
        <w:rPr>
          <w:rFonts w:hint="eastAsia"/>
        </w:rPr>
        <w:t>其他县级有关部门和单位、乡镇，在县应急处置指挥部的指挥协调下，做好相关应急处置工作。</w:t>
      </w:r>
    </w:p>
    <w:p w14:paraId="5C982B5C">
      <w:pPr>
        <w:pStyle w:val="3"/>
        <w:numPr>
          <w:ilvl w:val="0"/>
          <w:numId w:val="178"/>
        </w:numPr>
        <w:tabs>
          <w:tab w:val="left" w:pos="0"/>
        </w:tabs>
      </w:pPr>
      <w:bookmarkStart w:id="1118" w:name="_Toc25036"/>
      <w:r>
        <w:rPr>
          <w:rFonts w:hint="eastAsia"/>
        </w:rPr>
        <w:t>现场应急救援机构</w:t>
      </w:r>
      <w:bookmarkEnd w:id="1118"/>
    </w:p>
    <w:p w14:paraId="3060EB9A">
      <w:pPr>
        <w:ind w:firstLine="632"/>
      </w:pPr>
      <w:r>
        <w:rPr>
          <w:rFonts w:hint="eastAsia"/>
        </w:rPr>
        <w:t>事故发生后，县指挥部根据事故严重程度、涉及范围和应急救援行动的需要，设立现场指挥部，统一指挥现场应急处置和救援行动。</w:t>
      </w:r>
    </w:p>
    <w:p w14:paraId="0A20FB91">
      <w:pPr>
        <w:ind w:firstLine="632"/>
      </w:pPr>
      <w:r>
        <w:rPr>
          <w:rFonts w:hint="eastAsia"/>
        </w:rPr>
        <w:t>主要职责：</w:t>
      </w:r>
    </w:p>
    <w:p w14:paraId="5AD86CCC">
      <w:pPr>
        <w:numPr>
          <w:ilvl w:val="0"/>
          <w:numId w:val="183"/>
        </w:numPr>
        <w:ind w:firstLine="632"/>
      </w:pPr>
      <w:r>
        <w:rPr>
          <w:rFonts w:hint="eastAsia"/>
        </w:rPr>
        <w:t>划定事故现场的警戒范围，实施必要的交通管制及其他强制性措施；</w:t>
      </w:r>
    </w:p>
    <w:p w14:paraId="49F85B51">
      <w:pPr>
        <w:numPr>
          <w:ilvl w:val="0"/>
          <w:numId w:val="183"/>
        </w:numPr>
        <w:ind w:firstLine="632"/>
      </w:pPr>
      <w:r>
        <w:rPr>
          <w:rFonts w:hint="eastAsia"/>
        </w:rPr>
        <w:t>综合专家组等各方面的信息，科学制定应急救援处置方案，并组织实施；</w:t>
      </w:r>
    </w:p>
    <w:p w14:paraId="681A258B">
      <w:pPr>
        <w:numPr>
          <w:ilvl w:val="0"/>
          <w:numId w:val="183"/>
        </w:numPr>
        <w:ind w:firstLine="632"/>
      </w:pPr>
      <w:r>
        <w:rPr>
          <w:rFonts w:hint="eastAsia"/>
        </w:rPr>
        <w:t>研究判断危险化学品性质及危害程度，组织控制和消除事故危害源；</w:t>
      </w:r>
    </w:p>
    <w:p w14:paraId="5E3E33C2">
      <w:pPr>
        <w:numPr>
          <w:ilvl w:val="0"/>
          <w:numId w:val="183"/>
        </w:numPr>
        <w:ind w:firstLine="632"/>
      </w:pPr>
      <w:r>
        <w:rPr>
          <w:rFonts w:hint="eastAsia"/>
        </w:rPr>
        <w:t>必要时，调度或征集社会力量参与应急处置工作；</w:t>
      </w:r>
    </w:p>
    <w:p w14:paraId="0208B5C8">
      <w:pPr>
        <w:numPr>
          <w:ilvl w:val="0"/>
          <w:numId w:val="183"/>
        </w:numPr>
        <w:ind w:firstLine="632"/>
      </w:pPr>
      <w:r>
        <w:rPr>
          <w:rFonts w:hint="eastAsia"/>
        </w:rPr>
        <w:t>组织营救受害人员，转移受威胁人员和重要财产；</w:t>
      </w:r>
    </w:p>
    <w:p w14:paraId="102CE781">
      <w:pPr>
        <w:numPr>
          <w:ilvl w:val="0"/>
          <w:numId w:val="183"/>
        </w:numPr>
        <w:ind w:firstLine="632"/>
      </w:pPr>
      <w:r>
        <w:rPr>
          <w:rFonts w:hint="eastAsia"/>
        </w:rPr>
        <w:t>向县委、县人民政府报告现场应急救援进展情况；</w:t>
      </w:r>
    </w:p>
    <w:p w14:paraId="6E9498DA">
      <w:pPr>
        <w:numPr>
          <w:ilvl w:val="0"/>
          <w:numId w:val="183"/>
        </w:numPr>
        <w:ind w:firstLine="632"/>
      </w:pPr>
      <w:r>
        <w:rPr>
          <w:rFonts w:hint="eastAsia"/>
        </w:rPr>
        <w:t>完成县指挥部交办的其他任务。</w:t>
      </w:r>
    </w:p>
    <w:p w14:paraId="6A91780A">
      <w:pPr>
        <w:pStyle w:val="3"/>
        <w:numPr>
          <w:ilvl w:val="0"/>
          <w:numId w:val="178"/>
        </w:numPr>
        <w:tabs>
          <w:tab w:val="left" w:pos="0"/>
        </w:tabs>
      </w:pPr>
      <w:bookmarkStart w:id="1119" w:name="_Toc3231"/>
      <w:r>
        <w:rPr>
          <w:rFonts w:hint="eastAsia"/>
        </w:rPr>
        <w:t>应急工作组及职责</w:t>
      </w:r>
      <w:bookmarkEnd w:id="1119"/>
    </w:p>
    <w:p w14:paraId="342793D9">
      <w:pPr>
        <w:ind w:firstLine="632"/>
      </w:pPr>
      <w:r>
        <w:rPr>
          <w:rFonts w:hint="eastAsia"/>
        </w:rPr>
        <w:t>县指挥部根据响应等级和实际需要在现场指挥部设立相应工作组，可根据实际增减、合并工作组或调整成员单位。各工作组组长根据响应等级分别由县领导、牵头单位主要负责同志或分管负责同志担任，各工作组成员由相关成员单位抽调精干力量组成，实行集中办公。</w:t>
      </w:r>
    </w:p>
    <w:p w14:paraId="2F76F04C">
      <w:pPr>
        <w:pStyle w:val="4"/>
        <w:numPr>
          <w:ilvl w:val="2"/>
          <w:numId w:val="178"/>
        </w:numPr>
        <w:tabs>
          <w:tab w:val="left" w:pos="0"/>
        </w:tabs>
      </w:pPr>
      <w:r>
        <w:rPr>
          <w:rFonts w:hint="eastAsia"/>
        </w:rPr>
        <w:t>危险源控制组</w:t>
      </w:r>
    </w:p>
    <w:p w14:paraId="3D7CA53F">
      <w:pPr>
        <w:ind w:firstLine="632"/>
      </w:pPr>
      <w:r>
        <w:rPr>
          <w:rFonts w:hint="eastAsia"/>
        </w:rPr>
        <w:t>由县消防救援大队担任组长单位，成员由县市场监督管理局、县应急管理局等相关单位为成员单位，救援力量由消防队伍、专业救援队伍和有关专家组成。</w:t>
      </w:r>
    </w:p>
    <w:p w14:paraId="4E63036E">
      <w:pPr>
        <w:ind w:firstLine="632"/>
      </w:pPr>
      <w:r>
        <w:rPr>
          <w:rFonts w:hint="eastAsia"/>
        </w:rPr>
        <w:t>主要职责：负责在紧急状态下的现场抢险作业，根据危险化学品性质立即组织专用的防护用品及专用工具等，及时控制危险源。</w:t>
      </w:r>
    </w:p>
    <w:p w14:paraId="0FEB3006">
      <w:pPr>
        <w:pStyle w:val="4"/>
        <w:numPr>
          <w:ilvl w:val="2"/>
          <w:numId w:val="178"/>
        </w:numPr>
        <w:tabs>
          <w:tab w:val="left" w:pos="0"/>
        </w:tabs>
      </w:pPr>
      <w:r>
        <w:rPr>
          <w:rFonts w:hint="eastAsia"/>
        </w:rPr>
        <w:t>抢险救援组</w:t>
      </w:r>
    </w:p>
    <w:p w14:paraId="7DCEA694">
      <w:pPr>
        <w:ind w:firstLine="632"/>
      </w:pPr>
      <w:r>
        <w:rPr>
          <w:rFonts w:hint="eastAsia"/>
        </w:rPr>
        <w:t>由县消防救援大队担任组长单位，成员由县公安交警大队、双鸭山市集贤生态环境局等单位及专业抢险救援队伍组成。</w:t>
      </w:r>
    </w:p>
    <w:p w14:paraId="3F3BD85F">
      <w:pPr>
        <w:ind w:firstLine="632"/>
      </w:pPr>
      <w:r>
        <w:rPr>
          <w:rFonts w:hint="eastAsia"/>
        </w:rPr>
        <w:t>主要职责：负责事故现场抢险救援及处置工作，控制易燃、易爆、有毒物质泄漏和有关设备容器的冷却。事故得到控制后负责洗消工作。</w:t>
      </w:r>
    </w:p>
    <w:p w14:paraId="05B412C4">
      <w:pPr>
        <w:pStyle w:val="4"/>
        <w:numPr>
          <w:ilvl w:val="2"/>
          <w:numId w:val="178"/>
        </w:numPr>
        <w:tabs>
          <w:tab w:val="left" w:pos="0"/>
        </w:tabs>
      </w:pPr>
      <w:r>
        <w:rPr>
          <w:rFonts w:hint="eastAsia"/>
        </w:rPr>
        <w:t>警戒疏散组</w:t>
      </w:r>
    </w:p>
    <w:p w14:paraId="7F012968">
      <w:pPr>
        <w:ind w:firstLine="632"/>
      </w:pPr>
      <w:r>
        <w:rPr>
          <w:rFonts w:hint="eastAsia"/>
        </w:rPr>
        <w:t>由县公安局担任组长单位，成员由县公安交警大队、县交通运输局、事发单位安全保卫人员及事发地乡镇等单位组成。</w:t>
      </w:r>
    </w:p>
    <w:p w14:paraId="2CE3D98E">
      <w:pPr>
        <w:ind w:firstLine="632"/>
      </w:pPr>
      <w:r>
        <w:rPr>
          <w:rFonts w:hint="eastAsia"/>
        </w:rPr>
        <w:t>主要职责：组建事故现场治安队伍，组织事故可能危及区域内的人员从上风侧疏散撤离，对人员撤离区域进行治安管理，负责事故现场区域周边道路的交通管制工作，禁止无关车辆进入危险区域，保障救援道路的畅通。</w:t>
      </w:r>
    </w:p>
    <w:p w14:paraId="1910AF54">
      <w:pPr>
        <w:pStyle w:val="4"/>
        <w:numPr>
          <w:ilvl w:val="2"/>
          <w:numId w:val="178"/>
        </w:numPr>
        <w:tabs>
          <w:tab w:val="left" w:pos="0"/>
        </w:tabs>
      </w:pPr>
      <w:r>
        <w:rPr>
          <w:rFonts w:hint="eastAsia"/>
        </w:rPr>
        <w:t>医疗救护组</w:t>
      </w:r>
    </w:p>
    <w:p w14:paraId="6001C0A4">
      <w:pPr>
        <w:ind w:firstLine="632"/>
      </w:pPr>
      <w:r>
        <w:rPr>
          <w:rFonts w:hint="eastAsia"/>
        </w:rPr>
        <w:t>由县卫生健康局担任组长单位，救援力量由院前医疗急救机构或医疗机构组成。</w:t>
      </w:r>
    </w:p>
    <w:p w14:paraId="46073FD0">
      <w:pPr>
        <w:ind w:firstLine="632"/>
      </w:pPr>
      <w:r>
        <w:rPr>
          <w:rFonts w:hint="eastAsia"/>
        </w:rPr>
        <w:t>主要职责：负责事故现场调配医务人员、医疗器材、急救药品、组织现场救护及伤员转移，必要时抽调相关医疗专家指导医疗救护工作；负责统计伤亡人员情况。</w:t>
      </w:r>
    </w:p>
    <w:p w14:paraId="51F852EE">
      <w:pPr>
        <w:pStyle w:val="4"/>
        <w:numPr>
          <w:ilvl w:val="2"/>
          <w:numId w:val="178"/>
        </w:numPr>
        <w:tabs>
          <w:tab w:val="left" w:pos="0"/>
        </w:tabs>
      </w:pPr>
      <w:r>
        <w:rPr>
          <w:rFonts w:hint="eastAsia"/>
        </w:rPr>
        <w:t>环境监测组</w:t>
      </w:r>
    </w:p>
    <w:p w14:paraId="5EB57D3A">
      <w:pPr>
        <w:ind w:firstLine="632"/>
      </w:pPr>
      <w:r>
        <w:rPr>
          <w:rFonts w:hint="eastAsia"/>
        </w:rPr>
        <w:t>由双鸭山市集贤生态环境局担任组长单位，成员由县卫生健康局、相关环境监测机构、环境科研机构及有关专家组成等单位组成。</w:t>
      </w:r>
    </w:p>
    <w:p w14:paraId="7EE0AD6A">
      <w:pPr>
        <w:ind w:firstLine="632"/>
      </w:pPr>
      <w:r>
        <w:rPr>
          <w:rFonts w:hint="eastAsia"/>
        </w:rPr>
        <w:t>主要职责：及时对事故现场的大气、土壤、农作物、水域、水体等环境进行应急监测，测定危险物质的成分、浓度和污染区域范围及程度，对事故造成的影响进行评估，提出环境污染治理和生态修复方案。</w:t>
      </w:r>
    </w:p>
    <w:p w14:paraId="4DE92969">
      <w:pPr>
        <w:pStyle w:val="4"/>
        <w:numPr>
          <w:ilvl w:val="2"/>
          <w:numId w:val="178"/>
        </w:numPr>
        <w:tabs>
          <w:tab w:val="left" w:pos="0"/>
        </w:tabs>
      </w:pPr>
      <w:r>
        <w:rPr>
          <w:rFonts w:hint="eastAsia"/>
        </w:rPr>
        <w:t>气象监测组</w:t>
      </w:r>
    </w:p>
    <w:p w14:paraId="481BC6E4">
      <w:pPr>
        <w:ind w:firstLine="632"/>
      </w:pPr>
      <w:r>
        <w:rPr>
          <w:rFonts w:hint="eastAsia"/>
        </w:rPr>
        <w:t>由县气象局担任组长单位，成员由气象专业机构和有关专家组成。</w:t>
      </w:r>
    </w:p>
    <w:p w14:paraId="48A05F3A">
      <w:pPr>
        <w:ind w:firstLine="632"/>
      </w:pPr>
      <w:r>
        <w:rPr>
          <w:rFonts w:hint="eastAsia"/>
        </w:rPr>
        <w:t>主要职责：负责对事故发生地及周边地区进行气象应急监测，向事故现场指挥部提供气象监测预报信息和大气化学污染扩散气象条件分析、评估。</w:t>
      </w:r>
    </w:p>
    <w:p w14:paraId="107570CE">
      <w:pPr>
        <w:pStyle w:val="4"/>
        <w:numPr>
          <w:ilvl w:val="2"/>
          <w:numId w:val="178"/>
        </w:numPr>
        <w:tabs>
          <w:tab w:val="left" w:pos="0"/>
        </w:tabs>
      </w:pPr>
      <w:r>
        <w:rPr>
          <w:rFonts w:hint="eastAsia"/>
        </w:rPr>
        <w:t>物资供应组</w:t>
      </w:r>
    </w:p>
    <w:p w14:paraId="79F974CD">
      <w:pPr>
        <w:ind w:firstLine="632"/>
      </w:pPr>
      <w:r>
        <w:rPr>
          <w:rFonts w:hint="eastAsia"/>
        </w:rPr>
        <w:t>由县发展和改革局担任组长单位，成员由县民政局、县交通运输局、县供电公司、县水务局和有线通信公司等单位组成。</w:t>
      </w:r>
    </w:p>
    <w:p w14:paraId="0A7C37EE">
      <w:pPr>
        <w:ind w:firstLine="632"/>
      </w:pPr>
      <w:r>
        <w:rPr>
          <w:rFonts w:hint="eastAsia"/>
        </w:rPr>
        <w:t>主要职责：负责受灾群众的安置、救助等工作；统筹通信、供电确保通信线路畅通，保障区域电网安全；负责抢险救援物资运输和抢险人员的运送；做好事发现场人员的用餐、饮水等后勤保障工作。</w:t>
      </w:r>
    </w:p>
    <w:p w14:paraId="2545727C">
      <w:pPr>
        <w:pStyle w:val="4"/>
        <w:numPr>
          <w:ilvl w:val="2"/>
          <w:numId w:val="178"/>
        </w:numPr>
        <w:tabs>
          <w:tab w:val="left" w:pos="0"/>
        </w:tabs>
      </w:pPr>
      <w:r>
        <w:rPr>
          <w:rFonts w:hint="eastAsia"/>
        </w:rPr>
        <w:t>新闻舆情组</w:t>
      </w:r>
    </w:p>
    <w:p w14:paraId="3A39E854">
      <w:pPr>
        <w:ind w:firstLine="632"/>
      </w:pPr>
      <w:r>
        <w:rPr>
          <w:rFonts w:hint="eastAsia"/>
        </w:rPr>
        <w:t>由县委宣传部担任组长单位，县公安局、县应急管理局和事发地乡镇等单位组成。</w:t>
      </w:r>
    </w:p>
    <w:p w14:paraId="0B3F41F9">
      <w:pPr>
        <w:ind w:firstLine="632"/>
      </w:pPr>
      <w:r>
        <w:rPr>
          <w:rFonts w:hint="eastAsia"/>
        </w:rPr>
        <w:t>主要职责：负责组织事故新闻发布和宣传报道、舆情引导等工作；组织事故现场记者采访活动，协调媒体做好宣传报道工作；负责国内外新闻媒体接待以及对外发布事故和救援信息。</w:t>
      </w:r>
    </w:p>
    <w:p w14:paraId="543058E8">
      <w:pPr>
        <w:pStyle w:val="4"/>
        <w:numPr>
          <w:ilvl w:val="2"/>
          <w:numId w:val="178"/>
        </w:numPr>
        <w:tabs>
          <w:tab w:val="left" w:pos="0"/>
        </w:tabs>
      </w:pPr>
      <w:r>
        <w:rPr>
          <w:rFonts w:hint="eastAsia"/>
        </w:rPr>
        <w:t>应急救援专家组</w:t>
      </w:r>
    </w:p>
    <w:p w14:paraId="1EC6E61F">
      <w:pPr>
        <w:ind w:firstLine="632"/>
      </w:pPr>
      <w:r>
        <w:rPr>
          <w:rFonts w:hint="eastAsia"/>
        </w:rPr>
        <w:t>由县应急管理局牵头，联系市应急管理局组建危险化学品事故应急专家组，由化学工程、化工机械、电气工程、安全工程、消防工程、应急管理、环境保护、医疗卫生等专业专家组成，专家组成员应有丰富的实战经验或相应安全执业资格。</w:t>
      </w:r>
    </w:p>
    <w:p w14:paraId="755FFE99">
      <w:pPr>
        <w:ind w:firstLine="632"/>
      </w:pPr>
      <w:r>
        <w:rPr>
          <w:rFonts w:hint="eastAsia"/>
        </w:rPr>
        <w:t>主要职责：对事故的发展趋势、抢险救援方案、处置办法等提出意见建议，为应急抢险救援行动的决策、指挥提供技术支持；对事故可能造成的危害进行预测、评估；根据行政主管部门的安排，参与应急演练及事故调查。</w:t>
      </w:r>
    </w:p>
    <w:p w14:paraId="7256559C">
      <w:pPr>
        <w:pStyle w:val="3"/>
        <w:numPr>
          <w:ilvl w:val="0"/>
          <w:numId w:val="178"/>
        </w:numPr>
        <w:tabs>
          <w:tab w:val="left" w:pos="0"/>
        </w:tabs>
      </w:pPr>
      <w:bookmarkStart w:id="1120" w:name="_Toc32692"/>
      <w:r>
        <w:rPr>
          <w:rFonts w:hint="eastAsia" w:ascii="仿宋" w:hAnsi="仿宋" w:eastAsia="仿宋_GB2312" w:cs="仿宋"/>
          <w:spacing w:val="6"/>
          <w:kern w:val="0"/>
        </w:rPr>
        <w:t>基层组织机构</w:t>
      </w:r>
      <w:bookmarkEnd w:id="1120"/>
    </w:p>
    <w:p w14:paraId="04E97D03">
      <w:pPr>
        <w:ind w:firstLine="632"/>
      </w:pPr>
      <w:r>
        <w:rPr>
          <w:rFonts w:hint="eastAsia"/>
        </w:rPr>
        <w:t>各乡镇、社区和各有关单位要成立应急领导小组，主要领导是第一责任人。</w:t>
      </w:r>
    </w:p>
    <w:p w14:paraId="0FA721A3">
      <w:pPr>
        <w:ind w:firstLine="632"/>
      </w:pPr>
      <w:r>
        <w:rPr>
          <w:rFonts w:hint="eastAsia"/>
        </w:rPr>
        <w:t>主要职责：负责组织、协调和实施本辖区内危化品事故应急救援和监督管理工作；负责建立本辖区危化品事故应急管理工作体制和机制，制定本辖区危化品事故应急预案；做好辖区内危险化学品生产安全事故应急队伍建设及应急物资、装备储备工作；负责组织实施救助、补偿、抚慰、抚恤及灾后重建等善后处理工作；依法负责指挥、组织、协调本辖区内一般以下危化品事故的应急救援工作及一般以上事故的先期处置；参与一般以上危化品事故应急处置工作。</w:t>
      </w:r>
    </w:p>
    <w:p w14:paraId="0C5FA5FA">
      <w:pPr>
        <w:pStyle w:val="2"/>
        <w:numPr>
          <w:ilvl w:val="0"/>
          <w:numId w:val="178"/>
        </w:numPr>
        <w:tabs>
          <w:tab w:val="left" w:pos="0"/>
        </w:tabs>
      </w:pPr>
      <w:bookmarkStart w:id="1121" w:name="_Toc956"/>
      <w:r>
        <w:rPr>
          <w:rFonts w:hint="eastAsia"/>
        </w:rPr>
        <w:t>预防预警</w:t>
      </w:r>
      <w:bookmarkEnd w:id="1121"/>
    </w:p>
    <w:p w14:paraId="1FBE6B42">
      <w:pPr>
        <w:pStyle w:val="3"/>
        <w:numPr>
          <w:ilvl w:val="0"/>
          <w:numId w:val="178"/>
        </w:numPr>
        <w:tabs>
          <w:tab w:val="left" w:pos="0"/>
        </w:tabs>
      </w:pPr>
      <w:bookmarkStart w:id="1122" w:name="_Toc30714"/>
      <w:r>
        <w:rPr>
          <w:rFonts w:hint="eastAsia"/>
        </w:rPr>
        <w:t>风险防控</w:t>
      </w:r>
      <w:bookmarkEnd w:id="1122"/>
    </w:p>
    <w:p w14:paraId="74BD16D6">
      <w:pPr>
        <w:numPr>
          <w:ilvl w:val="0"/>
          <w:numId w:val="184"/>
        </w:numPr>
        <w:ind w:firstLine="632"/>
      </w:pPr>
      <w:r>
        <w:rPr>
          <w:rFonts w:hint="eastAsia"/>
        </w:rPr>
        <w:t>县应急局负责危险化学品事故信息的接收、报告、初步处理、统计分析，制定相关工作制度；建立全县危险化学品基本情况、重大危险源、重大事故隐患数据库，及时分析重点监控信息并跟踪整改情况。</w:t>
      </w:r>
    </w:p>
    <w:p w14:paraId="3471FD1E">
      <w:pPr>
        <w:numPr>
          <w:ilvl w:val="0"/>
          <w:numId w:val="184"/>
        </w:numPr>
        <w:ind w:firstLine="632"/>
      </w:pPr>
      <w:r>
        <w:rPr>
          <w:rFonts w:hint="eastAsia"/>
        </w:rPr>
        <w:t>各乡镇人民政府、行业主管部门掌握职责范围内危险化学品单位分布情况，建立危险化学品单位基本情况和重大危险源数据库，对重大危险源实施重点监控，及时分析重点监控信息并跟踪整改情况。</w:t>
      </w:r>
    </w:p>
    <w:p w14:paraId="50663DC9">
      <w:pPr>
        <w:numPr>
          <w:ilvl w:val="0"/>
          <w:numId w:val="184"/>
        </w:numPr>
        <w:ind w:firstLine="632"/>
      </w:pPr>
      <w:r>
        <w:rPr>
          <w:rFonts w:hint="eastAsia"/>
        </w:rPr>
        <w:t>危险化学品从业单位是危险源监控的责任主体，要完善监测网络，确定监测点和监测项目，建立安全风险分级管控和隐患排查治理双重预防机制，建立本单位危险化学品基本情况和危险源数据库，并将相关信息抄送与之签订救援协议的应急救援机构。</w:t>
      </w:r>
    </w:p>
    <w:p w14:paraId="2537F72D">
      <w:pPr>
        <w:numPr>
          <w:ilvl w:val="0"/>
          <w:numId w:val="184"/>
        </w:numPr>
        <w:ind w:firstLine="632"/>
      </w:pPr>
      <w:r>
        <w:rPr>
          <w:rFonts w:hint="eastAsia"/>
        </w:rPr>
        <w:t>危险化学品从业单位及涉及使用环节重点企业应当建立危险化学品事故隐患排查治理、报告和建档等监控制度，严格落实企业的隐患排查治理主体责任，定期组织安全生产管理人员、工程技术人员和其他相关人员开展隐患排查治理工作。对于排查发现的事故隐患，应当按照事故隐患的等级进行登记，建立事故隐患信息档案，并按照职责分工实施监控治理，并向县应急管理局、其他有关行业监管部门和所在乡镇报告。</w:t>
      </w:r>
    </w:p>
    <w:p w14:paraId="1DADD8EE">
      <w:pPr>
        <w:pStyle w:val="3"/>
        <w:numPr>
          <w:ilvl w:val="0"/>
          <w:numId w:val="178"/>
        </w:numPr>
        <w:tabs>
          <w:tab w:val="left" w:pos="0"/>
        </w:tabs>
      </w:pPr>
      <w:bookmarkStart w:id="1123" w:name="_Toc4524"/>
      <w:r>
        <w:rPr>
          <w:rFonts w:hint="eastAsia"/>
        </w:rPr>
        <w:t>预警</w:t>
      </w:r>
      <w:bookmarkEnd w:id="1123"/>
    </w:p>
    <w:p w14:paraId="06AB914B">
      <w:pPr>
        <w:pStyle w:val="4"/>
        <w:numPr>
          <w:ilvl w:val="2"/>
          <w:numId w:val="178"/>
        </w:numPr>
        <w:tabs>
          <w:tab w:val="left" w:pos="0"/>
        </w:tabs>
      </w:pPr>
      <w:r>
        <w:rPr>
          <w:rFonts w:hint="eastAsia"/>
        </w:rPr>
        <w:t>预警类型</w:t>
      </w:r>
    </w:p>
    <w:p w14:paraId="7BA950BA">
      <w:pPr>
        <w:ind w:firstLine="632"/>
      </w:pPr>
      <w:r>
        <w:rPr>
          <w:rFonts w:hint="eastAsia"/>
        </w:rPr>
        <w:t>依据事故分级标准和紧急程度、发展态势和可能造成的危害，确定预警级别。预警级别从高到低依次分为：一级、二级、三级、四级，依次分别用红色、橙色、黄色、蓝色表示，一级（红色）为最高级别。</w:t>
      </w:r>
    </w:p>
    <w:p w14:paraId="07F71238">
      <w:pPr>
        <w:pStyle w:val="4"/>
        <w:numPr>
          <w:ilvl w:val="2"/>
          <w:numId w:val="178"/>
        </w:numPr>
        <w:tabs>
          <w:tab w:val="left" w:pos="0"/>
        </w:tabs>
      </w:pPr>
      <w:r>
        <w:rPr>
          <w:rFonts w:hint="eastAsia"/>
        </w:rPr>
        <w:t>预警发布、调整和解除</w:t>
      </w:r>
    </w:p>
    <w:p w14:paraId="5E714CEE">
      <w:pPr>
        <w:ind w:firstLine="632"/>
      </w:pPr>
      <w:r>
        <w:rPr>
          <w:rFonts w:hint="eastAsia"/>
        </w:rPr>
        <w:t>对经评估可预警的危险化学品事故，县应急指挥部根据《集贤县突发事件总体应急预案》规定的权限和程序，通过县政府网站等发布。</w:t>
      </w:r>
    </w:p>
    <w:p w14:paraId="338D8DE3">
      <w:pPr>
        <w:ind w:firstLine="632"/>
      </w:pPr>
      <w:r>
        <w:rPr>
          <w:rFonts w:hint="eastAsia"/>
        </w:rPr>
        <w:t>预警信息发布的内容包括：发布机关、发布时间、危险化学品事故类别、起始时间、可能影响范围、预警级别、警示事项、事态发展、相关措施等。根据事态发展，适时调整预警级别并重新报告、通报和发布有关危险化学品事故预警信息和分析评估结果。</w:t>
      </w:r>
    </w:p>
    <w:p w14:paraId="775548AC">
      <w:pPr>
        <w:ind w:firstLine="632"/>
      </w:pPr>
      <w:r>
        <w:rPr>
          <w:rFonts w:hint="eastAsia"/>
        </w:rPr>
        <w:t>预警信息的发布和调整可通过广播、电视、报刊、通信、信息网络、警报器、宣传车、大喇叭或组织人员逐户通知等方式进行。</w:t>
      </w:r>
    </w:p>
    <w:p w14:paraId="55356F02">
      <w:pPr>
        <w:ind w:firstLine="632"/>
      </w:pPr>
      <w:r>
        <w:rPr>
          <w:rFonts w:hint="eastAsia"/>
        </w:rPr>
        <w:t>（1）蓝色危险化学品事故预警信息由县危化应急办根据情况判定，报县应急指挥部按规定执行发布，同时报上级主管部门。</w:t>
      </w:r>
    </w:p>
    <w:p w14:paraId="5642EB74">
      <w:pPr>
        <w:ind w:firstLine="632"/>
      </w:pPr>
      <w:r>
        <w:rPr>
          <w:rFonts w:hint="eastAsia"/>
        </w:rPr>
        <w:t>（2）黄色危险化学品事故预警信息由县危化应急办及时报送县政府主要领导签发。同时上报上级政府。</w:t>
      </w:r>
    </w:p>
    <w:p w14:paraId="7968557A">
      <w:pPr>
        <w:ind w:firstLine="632"/>
      </w:pPr>
      <w:r>
        <w:rPr>
          <w:rFonts w:hint="eastAsia"/>
        </w:rPr>
        <w:t>（3）红、橙色危险化学品事故预警信息，由县应急指挥部向双鸭山市应急管理局提出发布建议，双鸭山市应急管理局根据双鸭山市政府授权负责发布。特殊情况下，省政府认为有必要发布的预警信息，可不受预警级别限制。</w:t>
      </w:r>
    </w:p>
    <w:p w14:paraId="681B5B0A">
      <w:pPr>
        <w:ind w:firstLine="632"/>
      </w:pPr>
      <w:r>
        <w:rPr>
          <w:rFonts w:hint="eastAsia"/>
        </w:rPr>
        <w:t>预警信息实行动态管理。当事故扩大或可能发生的事故级别预测会升级，预计现场应急救援力量无法有效消除事故险情，事故等级将升级至较大级别甚至是重特大级别时，县危化应急办应及时报告县指挥部，向上级应急指挥机构申请调整预警级别并重新发布。</w:t>
      </w:r>
    </w:p>
    <w:p w14:paraId="1E52DF95">
      <w:pPr>
        <w:ind w:firstLine="632"/>
      </w:pPr>
      <w:r>
        <w:rPr>
          <w:rFonts w:hint="eastAsia"/>
        </w:rPr>
        <w:t>有事实证明不可能发生危险化学品事故或者危险已经解除的，由县危化应急办按程序宣布解除预警信息，终止预警期。</w:t>
      </w:r>
    </w:p>
    <w:p w14:paraId="2AD02AC3">
      <w:pPr>
        <w:pStyle w:val="4"/>
        <w:numPr>
          <w:ilvl w:val="2"/>
          <w:numId w:val="178"/>
        </w:numPr>
        <w:tabs>
          <w:tab w:val="left" w:pos="0"/>
        </w:tabs>
      </w:pPr>
      <w:r>
        <w:rPr>
          <w:rFonts w:hint="eastAsia"/>
        </w:rPr>
        <w:t>预警行动</w:t>
      </w:r>
    </w:p>
    <w:p w14:paraId="1A8FFA07">
      <w:pPr>
        <w:ind w:firstLine="632"/>
      </w:pPr>
      <w:r>
        <w:rPr>
          <w:rFonts w:hint="eastAsia"/>
        </w:rPr>
        <w:t>进入预警状态后，县指挥部立即采取以下行动：</w:t>
      </w:r>
    </w:p>
    <w:p w14:paraId="722958C8">
      <w:pPr>
        <w:ind w:firstLine="632"/>
      </w:pPr>
      <w:r>
        <w:rPr>
          <w:rFonts w:hint="eastAsia"/>
        </w:rPr>
        <w:t>（1）蓝色预警行动：县危化应急办相关人员到岗，增加监测频次，及时收集、报告有关信息；确保通信畅通，通知事故应急救援队伍进入待命状态。调集应急处置和救援所需物资、设备、工具，准备应急设施，并确保其处于良好状态、随时可以投入正常使用，县危化应急办全力配合县应急指挥部的指挥和调度；</w:t>
      </w:r>
    </w:p>
    <w:p w14:paraId="349EB263">
      <w:pPr>
        <w:ind w:firstLine="632"/>
      </w:pPr>
      <w:r>
        <w:rPr>
          <w:rFonts w:hint="eastAsia"/>
        </w:rPr>
        <w:t>（2）黄色预警行动：在蓝色预警行动的基础上，救援队伍进入集结待命状态，调集应急所需物资、装备，做好应急处置的各项准备工作；转移、疏散或撤离易受危险化学品事故危害的人员和重要财产；县指挥部全力配合市应急指挥部的指挥和调度。告知附近居民周边发生事故，但事故暂时不会影响到居民的正常生活，做好万一事故扩大时的疏散准备；</w:t>
      </w:r>
    </w:p>
    <w:p w14:paraId="6B581E9B">
      <w:pPr>
        <w:ind w:firstLine="632"/>
      </w:pPr>
      <w:r>
        <w:rPr>
          <w:rFonts w:hint="eastAsia"/>
        </w:rPr>
        <w:t>（3）橙色预警行动：在黄色预警行动的基础上，县应急指挥部通知相邻区县物资储备库做好准备。县应急指挥部全力配合双鸭山市应急指挥部的指挥和调度，封闭、隔离或者限制使用可能造成危害的有关场所，终止可能导致危害扩大的行为和活动；采取有效处置措施，努力消除或降低事故风险；</w:t>
      </w:r>
    </w:p>
    <w:p w14:paraId="228D5CCB">
      <w:pPr>
        <w:ind w:firstLine="632"/>
      </w:pPr>
      <w:r>
        <w:rPr>
          <w:rFonts w:hint="eastAsia"/>
        </w:rPr>
        <w:t>（4）红色预警行动：在橙色预警行动的基础上，双鸭山市应急指挥部及时调运相邻区县应急救援物资到现场。县指挥部全力配合双鸭山市应急指挥部的指挥和调度，组织周边居民迅速进行疏散。</w:t>
      </w:r>
    </w:p>
    <w:p w14:paraId="6501EE61">
      <w:pPr>
        <w:pStyle w:val="2"/>
        <w:numPr>
          <w:ilvl w:val="0"/>
          <w:numId w:val="178"/>
        </w:numPr>
        <w:tabs>
          <w:tab w:val="left" w:pos="0"/>
        </w:tabs>
      </w:pPr>
      <w:bookmarkStart w:id="1124" w:name="_Toc15109"/>
      <w:r>
        <w:rPr>
          <w:rFonts w:hint="eastAsia"/>
        </w:rPr>
        <w:t>应急响应</w:t>
      </w:r>
      <w:bookmarkEnd w:id="1124"/>
    </w:p>
    <w:p w14:paraId="7156B9D1">
      <w:pPr>
        <w:pStyle w:val="3"/>
        <w:numPr>
          <w:ilvl w:val="0"/>
          <w:numId w:val="178"/>
        </w:numPr>
        <w:tabs>
          <w:tab w:val="left" w:pos="0"/>
        </w:tabs>
      </w:pPr>
      <w:bookmarkStart w:id="1125" w:name="_Toc3740"/>
      <w:r>
        <w:rPr>
          <w:rFonts w:hint="eastAsia"/>
        </w:rPr>
        <w:t>信息报告</w:t>
      </w:r>
      <w:bookmarkEnd w:id="1125"/>
    </w:p>
    <w:p w14:paraId="0E213D26">
      <w:pPr>
        <w:pStyle w:val="4"/>
        <w:numPr>
          <w:ilvl w:val="2"/>
          <w:numId w:val="178"/>
        </w:numPr>
        <w:tabs>
          <w:tab w:val="left" w:pos="0"/>
        </w:tabs>
      </w:pPr>
      <w:r>
        <w:rPr>
          <w:rFonts w:hint="eastAsia"/>
        </w:rPr>
        <w:t>事故信息报告程序和时限</w:t>
      </w:r>
    </w:p>
    <w:p w14:paraId="35416778">
      <w:pPr>
        <w:ind w:firstLine="632"/>
      </w:pPr>
      <w:r>
        <w:rPr>
          <w:rFonts w:hint="eastAsia"/>
        </w:rPr>
        <w:t>危险化学品事故信息统一由县应急管理局负责收集，严格落实有关规定，第一时间报告上级政府。</w:t>
      </w:r>
    </w:p>
    <w:p w14:paraId="1DE78AC4">
      <w:pPr>
        <w:numPr>
          <w:ilvl w:val="0"/>
          <w:numId w:val="159"/>
        </w:numPr>
        <w:ind w:firstLine="632"/>
      </w:pPr>
      <w:r>
        <w:rPr>
          <w:rFonts w:hint="eastAsia"/>
        </w:rPr>
        <w:t>危险化学品事故发生后，事故单位（包括事故发生区域的管理单位，下同）现场有关人员应当立即报告本单位负责人。情况紧急时，可直接向县级以上应急部门和负有安全生产监督管理职责的部门报告。远离单位的事故，事故单位现场有关人员还应当立即拨打110、119报警。</w:t>
      </w:r>
    </w:p>
    <w:p w14:paraId="660038BA">
      <w:pPr>
        <w:numPr>
          <w:ilvl w:val="0"/>
          <w:numId w:val="159"/>
        </w:numPr>
        <w:ind w:firstLine="632"/>
      </w:pPr>
      <w:r>
        <w:rPr>
          <w:rFonts w:hint="eastAsia"/>
        </w:rPr>
        <w:t>事故单位负责人接报后，应于1小时内向县应急管理部门和负有安全生产监督管理职责的部门报告。需要政府提供应急支援的，应当立即报告。</w:t>
      </w:r>
    </w:p>
    <w:p w14:paraId="028A1240">
      <w:pPr>
        <w:numPr>
          <w:ilvl w:val="0"/>
          <w:numId w:val="159"/>
        </w:numPr>
        <w:ind w:firstLine="632"/>
      </w:pPr>
      <w:r>
        <w:rPr>
          <w:rFonts w:hint="eastAsia"/>
        </w:rPr>
        <w:t>县应急管理局和负有安全生产监督管理职责的部门接到事故报告后，应当立即采取应急措施，同时依照规定向县政府及上级主管部门报告事故，并通报可能受影响的地区、部门和单位；按规定启动应急预案，需要上级支援的立即上报请求支援。</w:t>
      </w:r>
    </w:p>
    <w:p w14:paraId="07BE57AE">
      <w:pPr>
        <w:numPr>
          <w:ilvl w:val="0"/>
          <w:numId w:val="159"/>
        </w:numPr>
        <w:ind w:firstLine="632"/>
      </w:pPr>
      <w:r>
        <w:rPr>
          <w:rFonts w:hint="eastAsia"/>
        </w:rPr>
        <w:t>县政府总值班室按规定向省、市政府报告突发事件信息及重要、敏感事件信息。在法定节假日、重要会议和重大活动等特殊时期，根据工作安排，实行“零报告”制度，各相关单位要按要求向县政府总值班室和县应急委办公室报送综合信息。突发事件涉外信息及涉密信息按有关规定报告。</w:t>
      </w:r>
    </w:p>
    <w:p w14:paraId="1992715C">
      <w:pPr>
        <w:numPr>
          <w:ilvl w:val="0"/>
          <w:numId w:val="159"/>
        </w:numPr>
        <w:ind w:firstLine="632"/>
      </w:pPr>
      <w:r>
        <w:rPr>
          <w:rFonts w:hint="eastAsia"/>
        </w:rPr>
        <w:t>事故上报工作坚持“快报事实、慎报原因”的原则。报告程序分为初报、续报和终报，报送形式分为电话报送和书面报送，报送单位要首先通过电话报告事故信息，随后补充书面的信息报告材料。</w:t>
      </w:r>
    </w:p>
    <w:p w14:paraId="350742A9">
      <w:pPr>
        <w:numPr>
          <w:ilvl w:val="0"/>
          <w:numId w:val="159"/>
        </w:numPr>
        <w:ind w:firstLine="632"/>
      </w:pPr>
      <w:r>
        <w:rPr>
          <w:rFonts w:hint="eastAsia"/>
        </w:rPr>
        <w:t>各乡镇人民政府、县直及驻县各有关部门、单位获取突发事件信息后，要立即组织核实，并按照要求第一时间进行首报，首报要快；根据突发事件的发展态势和应对处置等情况，持续续报有关信息，续报要准；在突发事件应对工作结束后，汇总突发事件情况进行终报，终报要全。突发事件应对过程中，县政府总值班室、县应急办、专项指挥部办公室及时将上级对处置突发事件的要求传达到事发地政府及现场指挥部，并做好督办和反馈工作。</w:t>
      </w:r>
    </w:p>
    <w:p w14:paraId="0004C055">
      <w:pPr>
        <w:numPr>
          <w:ilvl w:val="0"/>
          <w:numId w:val="159"/>
        </w:numPr>
        <w:ind w:firstLine="632"/>
      </w:pPr>
      <w:r>
        <w:rPr>
          <w:rFonts w:hint="eastAsia"/>
        </w:rPr>
        <w:t>突发事件可能影响到毗邻或相关地区时，应向毗邻或相关地区通报情况；突发事件处置涉及驻县各相关单位时，要向其通报情况。</w:t>
      </w:r>
    </w:p>
    <w:p w14:paraId="3CAE498A">
      <w:pPr>
        <w:pStyle w:val="4"/>
        <w:numPr>
          <w:ilvl w:val="2"/>
          <w:numId w:val="178"/>
        </w:numPr>
        <w:tabs>
          <w:tab w:val="left" w:pos="0"/>
        </w:tabs>
      </w:pPr>
      <w:r>
        <w:rPr>
          <w:rFonts w:hint="eastAsia"/>
        </w:rPr>
        <w:t>信息报告内容</w:t>
      </w:r>
    </w:p>
    <w:p w14:paraId="75F750F5">
      <w:pPr>
        <w:ind w:firstLine="632"/>
      </w:pPr>
      <w:r>
        <w:rPr>
          <w:rFonts w:hint="eastAsia"/>
        </w:rPr>
        <w:t>信息报告应尽量及时、准确、要素完整，因事故复杂情况不详的，可先报告简要情况，随后边核实边续报。</w:t>
      </w:r>
    </w:p>
    <w:p w14:paraId="3EC032EA">
      <w:pPr>
        <w:ind w:firstLine="632"/>
      </w:pPr>
      <w:r>
        <w:rPr>
          <w:rFonts w:hint="eastAsia"/>
        </w:rPr>
        <w:t>信息报告应当包括下列内容：事件的信息来源、时间、地点、人员伤亡情况、设施设备损毁情况，事件的起因、概要过程；事件的性质、已造成的后果、影响范围；事件的发展趋势、处置情况；领导现场处置情况、拟采取的措施及下一步工作建议和请求支持事项。</w:t>
      </w:r>
    </w:p>
    <w:p w14:paraId="557696D5">
      <w:pPr>
        <w:ind w:firstLine="632"/>
      </w:pPr>
      <w:r>
        <w:rPr>
          <w:rFonts w:hint="eastAsia"/>
        </w:rPr>
        <w:t>使用电话快报，应当包括下列内容：事故发生单位的名称、地址、性质；事故发生的时间、地点；事故已经造成或可能造成的伤亡人数（包括下落不明、涉险的人数）。</w:t>
      </w:r>
    </w:p>
    <w:p w14:paraId="68127892">
      <w:pPr>
        <w:pStyle w:val="3"/>
        <w:numPr>
          <w:ilvl w:val="0"/>
          <w:numId w:val="178"/>
        </w:numPr>
        <w:tabs>
          <w:tab w:val="left" w:pos="0"/>
        </w:tabs>
      </w:pPr>
      <w:bookmarkStart w:id="1126" w:name="_Toc19495"/>
      <w:r>
        <w:t>先期处置</w:t>
      </w:r>
      <w:bookmarkEnd w:id="1126"/>
    </w:p>
    <w:p w14:paraId="21E7CF88">
      <w:pPr>
        <w:pStyle w:val="4"/>
        <w:numPr>
          <w:ilvl w:val="2"/>
          <w:numId w:val="178"/>
        </w:numPr>
        <w:tabs>
          <w:tab w:val="left" w:pos="0"/>
        </w:tabs>
      </w:pPr>
      <w:r>
        <w:t>事故发生单位和救援队伍的先期处置</w:t>
      </w:r>
    </w:p>
    <w:p w14:paraId="1DD9D22D">
      <w:pPr>
        <w:ind w:firstLine="632"/>
      </w:pPr>
      <w:r>
        <w:t>事故发生后，事故发生单位应立即启动本企业应急预案，在专业技术人员的指导下，设定警戒区域；组织职工开展自救、互救，抢救遇险、受困人员，并转移、疏散或撤离至安全区域；采取有效措施控制危险源，防止事态扩大和次生衍生事故发生。并向县应急管理局及相关部门报告，同时报告县委、县政府，达到县级应急</w:t>
      </w:r>
      <w:r>
        <w:rPr>
          <w:rFonts w:hint="eastAsia"/>
        </w:rPr>
        <w:t>启动条件</w:t>
      </w:r>
      <w:r>
        <w:t>时，请求</w:t>
      </w:r>
      <w:r>
        <w:rPr>
          <w:rFonts w:hint="eastAsia"/>
        </w:rPr>
        <w:t>县指挥部</w:t>
      </w:r>
      <w:r>
        <w:t>立即启动县级应急预案开展应急救援。</w:t>
      </w:r>
    </w:p>
    <w:p w14:paraId="08AB06CB">
      <w:pPr>
        <w:pStyle w:val="4"/>
        <w:numPr>
          <w:ilvl w:val="2"/>
          <w:numId w:val="178"/>
        </w:numPr>
        <w:tabs>
          <w:tab w:val="left" w:pos="0"/>
        </w:tabs>
      </w:pPr>
      <w:r>
        <w:t>事发地乡镇</w:t>
      </w:r>
      <w:r>
        <w:rPr>
          <w:rFonts w:hint="eastAsia"/>
        </w:rPr>
        <w:t>政府</w:t>
      </w:r>
      <w:r>
        <w:t>现场应急处置</w:t>
      </w:r>
    </w:p>
    <w:p w14:paraId="40AAFF87">
      <w:pPr>
        <w:ind w:firstLine="632"/>
      </w:pPr>
      <w:r>
        <w:t>事发地乡镇</w:t>
      </w:r>
      <w:r>
        <w:rPr>
          <w:rFonts w:hint="eastAsia"/>
        </w:rPr>
        <w:t>政府</w:t>
      </w:r>
      <w:r>
        <w:t>应组织应急救援力量和工作人员营救遇险人员，搜寻、疏散、撤离、安置受到威胁的人员，隔离危险源，标明危险区域，封锁危险场所，采取各种防止危害扩大的措施，并向县应急指挥部办公室及有关部门报告信息。</w:t>
      </w:r>
    </w:p>
    <w:p w14:paraId="7E07E1EA">
      <w:pPr>
        <w:ind w:firstLine="632"/>
      </w:pPr>
      <w:r>
        <w:t>事发地的</w:t>
      </w:r>
      <w:r>
        <w:rPr>
          <w:rFonts w:hint="eastAsia"/>
        </w:rPr>
        <w:t>社区</w:t>
      </w:r>
      <w:r>
        <w:t>和其他企事业单位等应当按照当地政府的决定、命令，进行宣传动员，组织群众开展自救和互救，协助维护社会秩序。</w:t>
      </w:r>
    </w:p>
    <w:p w14:paraId="4F71470E">
      <w:pPr>
        <w:ind w:firstLine="632"/>
      </w:pPr>
      <w:r>
        <w:t>涉事单位和政府参与现场应急处置活动的工作人员，不论单位隶属关系和职务、级别高低，都必须服从现场应急指挥部的统一指挥。</w:t>
      </w:r>
    </w:p>
    <w:p w14:paraId="0ADE2A60">
      <w:pPr>
        <w:pStyle w:val="4"/>
        <w:numPr>
          <w:ilvl w:val="2"/>
          <w:numId w:val="178"/>
        </w:numPr>
        <w:tabs>
          <w:tab w:val="left" w:pos="0"/>
        </w:tabs>
      </w:pPr>
      <w:r>
        <w:rPr>
          <w:rFonts w:hint="eastAsia"/>
        </w:rPr>
        <w:t>各部门应急处置</w:t>
      </w:r>
    </w:p>
    <w:p w14:paraId="0AB1EEC1">
      <w:pPr>
        <w:ind w:firstLine="632"/>
      </w:pPr>
      <w:r>
        <w:t>县人民政府组织有关部门和单位开展先期处置工作，以营救遇险人员为重点，采取各种必要措施，防止发生次生、衍生事故，避免造成更大的人员伤亡、财产损失。</w:t>
      </w:r>
    </w:p>
    <w:p w14:paraId="41A3A976">
      <w:pPr>
        <w:ind w:firstLine="632"/>
      </w:pPr>
      <w:r>
        <w:t>县危化品应急指挥部负责指挥较大、重大、特别重大危险化学品事故先期处置工作。上一级应急响应启动后，协助上一级应急指挥机构开展应急处置工作。</w:t>
      </w:r>
    </w:p>
    <w:p w14:paraId="48B1BDA7">
      <w:pPr>
        <w:pStyle w:val="3"/>
        <w:numPr>
          <w:ilvl w:val="0"/>
          <w:numId w:val="178"/>
        </w:numPr>
        <w:tabs>
          <w:tab w:val="left" w:pos="0"/>
        </w:tabs>
      </w:pPr>
      <w:bookmarkStart w:id="1127" w:name="_Toc13573"/>
      <w:r>
        <w:rPr>
          <w:rFonts w:hint="eastAsia"/>
        </w:rPr>
        <w:t>分级响应</w:t>
      </w:r>
      <w:bookmarkEnd w:id="1127"/>
    </w:p>
    <w:p w14:paraId="76D5F76C">
      <w:pPr>
        <w:ind w:firstLine="632"/>
      </w:pPr>
      <w:r>
        <w:t>根据危险化学品事故的严重程度、可控性和影响范围，危险化学品事故响应由高到低设定Ⅰ级、Ⅱ级、Ⅲ级三个响应等级。</w:t>
      </w:r>
    </w:p>
    <w:p w14:paraId="0FE58EAC">
      <w:pPr>
        <w:pStyle w:val="4"/>
        <w:numPr>
          <w:ilvl w:val="2"/>
          <w:numId w:val="178"/>
        </w:numPr>
        <w:tabs>
          <w:tab w:val="left" w:pos="0"/>
        </w:tabs>
      </w:pPr>
      <w:r>
        <w:t>Ⅲ级响应</w:t>
      </w:r>
    </w:p>
    <w:p w14:paraId="2ACF9197">
      <w:pPr>
        <w:pStyle w:val="5"/>
        <w:numPr>
          <w:ilvl w:val="3"/>
          <w:numId w:val="178"/>
        </w:numPr>
        <w:ind w:firstLine="634"/>
      </w:pPr>
      <w:r>
        <w:rPr>
          <w:rFonts w:hint="eastAsia"/>
        </w:rPr>
        <w:t>启动条件</w:t>
      </w:r>
    </w:p>
    <w:p w14:paraId="5FD601C5">
      <w:pPr>
        <w:ind w:firstLine="632"/>
      </w:pPr>
      <w:r>
        <w:t>当发生或预计发生符合下列条件之一的，经会商研判后启动Ⅲ级响应：</w:t>
      </w:r>
    </w:p>
    <w:p w14:paraId="54FCFAE0">
      <w:pPr>
        <w:numPr>
          <w:ilvl w:val="0"/>
          <w:numId w:val="161"/>
        </w:numPr>
        <w:ind w:firstLine="632"/>
      </w:pPr>
      <w:r>
        <w:t>发生一般以下危险化学品突发事故；</w:t>
      </w:r>
    </w:p>
    <w:p w14:paraId="077DA9EE">
      <w:pPr>
        <w:numPr>
          <w:ilvl w:val="0"/>
          <w:numId w:val="161"/>
        </w:numPr>
        <w:ind w:firstLine="632"/>
      </w:pPr>
      <w:r>
        <w:t>超出事故发生单位应急处置能力的事故；</w:t>
      </w:r>
    </w:p>
    <w:p w14:paraId="5D70AB45">
      <w:pPr>
        <w:numPr>
          <w:ilvl w:val="0"/>
          <w:numId w:val="161"/>
        </w:numPr>
        <w:ind w:firstLine="632"/>
      </w:pPr>
      <w:r>
        <w:rPr>
          <w:rFonts w:hint="eastAsia"/>
        </w:rPr>
        <w:t>县指挥部</w:t>
      </w:r>
      <w:r>
        <w:t>认为有必要启动Ⅲ级响应的事故。</w:t>
      </w:r>
    </w:p>
    <w:p w14:paraId="43846D5E">
      <w:pPr>
        <w:pStyle w:val="5"/>
        <w:numPr>
          <w:ilvl w:val="3"/>
          <w:numId w:val="178"/>
        </w:numPr>
        <w:ind w:firstLine="634"/>
      </w:pPr>
      <w:r>
        <w:t xml:space="preserve">响应程序 </w:t>
      </w:r>
    </w:p>
    <w:p w14:paraId="2C18997E">
      <w:pPr>
        <w:ind w:firstLine="632"/>
      </w:pPr>
      <w:r>
        <w:rPr>
          <w:rFonts w:hint="eastAsia"/>
        </w:rPr>
        <w:t>县危化应急办</w:t>
      </w:r>
      <w:r>
        <w:t>接到报告后，根据事故灾害发生的严重程度、可控性、救灾难易程度、影响范围和应对能力进行研判，符合启动Ⅲ级</w:t>
      </w:r>
      <w:r>
        <w:rPr>
          <w:rFonts w:hint="eastAsia"/>
        </w:rPr>
        <w:t>启动条件</w:t>
      </w:r>
      <w:r>
        <w:t>的，立即向</w:t>
      </w:r>
      <w:r>
        <w:rPr>
          <w:rFonts w:hint="eastAsia"/>
        </w:rPr>
        <w:t>县指挥部</w:t>
      </w:r>
      <w:r>
        <w:t>报告，提出启动Ⅲ级响应的建议，由</w:t>
      </w:r>
      <w:r>
        <w:rPr>
          <w:rFonts w:hint="eastAsia"/>
        </w:rPr>
        <w:t>县危化应急办</w:t>
      </w:r>
      <w:r>
        <w:t>主任宣布启动Ⅲ级应急响应，同时报告县委、县政府。</w:t>
      </w:r>
    </w:p>
    <w:p w14:paraId="519E71E2">
      <w:pPr>
        <w:pStyle w:val="5"/>
        <w:numPr>
          <w:ilvl w:val="3"/>
          <w:numId w:val="178"/>
        </w:numPr>
        <w:ind w:firstLine="634"/>
      </w:pPr>
      <w:r>
        <w:t>响应措施</w:t>
      </w:r>
    </w:p>
    <w:p w14:paraId="3A3B5C1E">
      <w:pPr>
        <w:numPr>
          <w:ilvl w:val="0"/>
          <w:numId w:val="185"/>
        </w:numPr>
        <w:ind w:firstLine="632"/>
      </w:pPr>
      <w:r>
        <w:t>加强信息沟通，密切关注事态发展，督导事发危化企业做好事故灾害的处置工作，必要时调动县级有关力量进行增援；</w:t>
      </w:r>
    </w:p>
    <w:p w14:paraId="3B34253C">
      <w:pPr>
        <w:numPr>
          <w:ilvl w:val="0"/>
          <w:numId w:val="185"/>
        </w:numPr>
        <w:ind w:firstLine="632"/>
      </w:pPr>
      <w:r>
        <w:rPr>
          <w:rFonts w:hint="eastAsia"/>
        </w:rPr>
        <w:t>县指挥部</w:t>
      </w:r>
      <w:r>
        <w:t>视情况派出工作组赶赴事故现场，指导、协调事故发生单位组织危险化学品事故应急救援工作；</w:t>
      </w:r>
    </w:p>
    <w:p w14:paraId="3FF7B214">
      <w:pPr>
        <w:numPr>
          <w:ilvl w:val="0"/>
          <w:numId w:val="185"/>
        </w:numPr>
        <w:ind w:firstLine="632"/>
      </w:pPr>
      <w:r>
        <w:t>必要时调动县级有关力量进行增援。</w:t>
      </w:r>
    </w:p>
    <w:p w14:paraId="5A5952FF">
      <w:pPr>
        <w:pStyle w:val="4"/>
        <w:numPr>
          <w:ilvl w:val="2"/>
          <w:numId w:val="178"/>
        </w:numPr>
        <w:tabs>
          <w:tab w:val="left" w:pos="0"/>
        </w:tabs>
      </w:pPr>
      <w:r>
        <w:t>Ⅱ级响应</w:t>
      </w:r>
    </w:p>
    <w:p w14:paraId="244D7C2A">
      <w:pPr>
        <w:pStyle w:val="5"/>
        <w:numPr>
          <w:ilvl w:val="3"/>
          <w:numId w:val="178"/>
        </w:numPr>
        <w:ind w:firstLine="634"/>
      </w:pPr>
      <w:r>
        <w:rPr>
          <w:rFonts w:hint="eastAsia"/>
        </w:rPr>
        <w:t>启动条件</w:t>
      </w:r>
    </w:p>
    <w:p w14:paraId="240A4923">
      <w:pPr>
        <w:ind w:firstLine="632"/>
      </w:pPr>
      <w:r>
        <w:t>当发生或预计发生符合下列条件之一的，经会商研判后启动Ⅱ级响应：</w:t>
      </w:r>
    </w:p>
    <w:p w14:paraId="6FF1E27A">
      <w:pPr>
        <w:numPr>
          <w:ilvl w:val="0"/>
          <w:numId w:val="186"/>
        </w:numPr>
        <w:ind w:firstLine="632"/>
      </w:pPr>
      <w:r>
        <w:t>发生</w:t>
      </w:r>
      <w:r>
        <w:rPr>
          <w:rFonts w:hint="eastAsia"/>
        </w:rPr>
        <w:t>危险化学品</w:t>
      </w:r>
      <w:r>
        <w:t>一般事故；</w:t>
      </w:r>
    </w:p>
    <w:p w14:paraId="32BE2BA8">
      <w:pPr>
        <w:numPr>
          <w:ilvl w:val="0"/>
          <w:numId w:val="186"/>
        </w:numPr>
        <w:ind w:firstLine="632"/>
      </w:pPr>
      <w:r>
        <w:t>造成3人以下涉险、被困、失联的事故；</w:t>
      </w:r>
    </w:p>
    <w:p w14:paraId="42B2B321">
      <w:pPr>
        <w:numPr>
          <w:ilvl w:val="0"/>
          <w:numId w:val="186"/>
        </w:numPr>
        <w:ind w:firstLine="632"/>
      </w:pPr>
      <w:r>
        <w:t>需要紧急转移安置500人以下的危险化学品事故；</w:t>
      </w:r>
    </w:p>
    <w:p w14:paraId="0D539EB3">
      <w:pPr>
        <w:numPr>
          <w:ilvl w:val="0"/>
          <w:numId w:val="186"/>
        </w:numPr>
        <w:ind w:firstLine="632"/>
      </w:pPr>
      <w:r>
        <w:t>事故较小，影响不大，依靠</w:t>
      </w:r>
      <w:r>
        <w:rPr>
          <w:rFonts w:hint="eastAsia"/>
        </w:rPr>
        <w:t>县指挥部</w:t>
      </w:r>
      <w:r>
        <w:t>能够应对的危险化学品事故；</w:t>
      </w:r>
    </w:p>
    <w:p w14:paraId="423E2B7F">
      <w:pPr>
        <w:numPr>
          <w:ilvl w:val="0"/>
          <w:numId w:val="186"/>
        </w:numPr>
        <w:ind w:firstLine="632"/>
      </w:pPr>
      <w:r>
        <w:rPr>
          <w:rFonts w:hint="eastAsia"/>
        </w:rPr>
        <w:t>县指挥部</w:t>
      </w:r>
      <w:r>
        <w:t>认为有必要启动Ⅱ级响应的事故。</w:t>
      </w:r>
    </w:p>
    <w:p w14:paraId="34F767F2">
      <w:pPr>
        <w:pStyle w:val="5"/>
        <w:numPr>
          <w:ilvl w:val="3"/>
          <w:numId w:val="178"/>
        </w:numPr>
        <w:ind w:firstLine="634"/>
      </w:pPr>
      <w:r>
        <w:t>响应程序</w:t>
      </w:r>
    </w:p>
    <w:p w14:paraId="42743966">
      <w:pPr>
        <w:ind w:firstLine="632"/>
      </w:pPr>
      <w:r>
        <w:t>县危化应急办接到报告后，根据事故灾害发生的严重程度、可控性、救灾难易程度、影响范围和应对能力进行研判，符合启动Ⅱ级</w:t>
      </w:r>
      <w:r>
        <w:rPr>
          <w:rFonts w:hint="eastAsia"/>
        </w:rPr>
        <w:t>启动条件</w:t>
      </w:r>
      <w:r>
        <w:t>的，立即向指挥部报告，并由县危化应急办向</w:t>
      </w:r>
      <w:r>
        <w:rPr>
          <w:rFonts w:hint="eastAsia"/>
        </w:rPr>
        <w:t>县指挥部</w:t>
      </w:r>
      <w:r>
        <w:t>提出启动Ⅱ级响应的建议，由</w:t>
      </w:r>
      <w:r>
        <w:rPr>
          <w:rFonts w:hint="eastAsia"/>
        </w:rPr>
        <w:t>总指挥</w:t>
      </w:r>
      <w:r>
        <w:t>下达命令，启动Ⅱ级应急响应，同时报告县委、县政府和上级有关部门。</w:t>
      </w:r>
    </w:p>
    <w:p w14:paraId="115552B0">
      <w:pPr>
        <w:pStyle w:val="5"/>
        <w:numPr>
          <w:ilvl w:val="3"/>
          <w:numId w:val="178"/>
        </w:numPr>
        <w:ind w:firstLine="634"/>
      </w:pPr>
      <w:r>
        <w:t>响应措施</w:t>
      </w:r>
    </w:p>
    <w:p w14:paraId="05F56C92">
      <w:pPr>
        <w:numPr>
          <w:ilvl w:val="0"/>
          <w:numId w:val="187"/>
        </w:numPr>
        <w:ind w:firstLine="632"/>
      </w:pPr>
      <w:r>
        <w:rPr>
          <w:rFonts w:hint="eastAsia"/>
        </w:rPr>
        <w:t>县指挥部总指挥</w:t>
      </w:r>
      <w:r>
        <w:t>、副</w:t>
      </w:r>
      <w:r>
        <w:rPr>
          <w:rFonts w:hint="eastAsia"/>
        </w:rPr>
        <w:t>总指挥</w:t>
      </w:r>
      <w:r>
        <w:t>立即组织各成员单位、应急救援队伍、专家及专业技术力量赶赴现场，协同事故发生单位成立现场救援指挥部；</w:t>
      </w:r>
    </w:p>
    <w:p w14:paraId="67973071">
      <w:pPr>
        <w:numPr>
          <w:ilvl w:val="0"/>
          <w:numId w:val="187"/>
        </w:numPr>
        <w:ind w:firstLine="632"/>
      </w:pPr>
      <w:r>
        <w:t>组织有关部门和专家对危险化学品的性质、危害区域、危害程度、可能扩展的潜在危险性、人员伤亡、财产损失以及气象、风向、地质、水文资料等情况进行初始评估、分析事故原因和发展趋势，预测事故后果，制定现场救援实施方案，协调专业应急力量，进行应急处置，防止和控制事故继续扩大；</w:t>
      </w:r>
    </w:p>
    <w:p w14:paraId="42A97C6A">
      <w:pPr>
        <w:numPr>
          <w:ilvl w:val="0"/>
          <w:numId w:val="187"/>
        </w:numPr>
        <w:ind w:firstLine="632"/>
      </w:pPr>
      <w:r>
        <w:t>根据危险化学品事故的危害范围、危害程度和危险化学品自身及燃烧产物的毒害性、扩散趋势、火焰辐射热和爆炸、泄漏所涉及的范围等，对危险区域进行评估，确定事故危险区域、事故可能波及或影响区域、安全区域；并根据事态的发展、应急处置和动态监测的情况，及时调整；</w:t>
      </w:r>
    </w:p>
    <w:p w14:paraId="2048546F">
      <w:pPr>
        <w:numPr>
          <w:ilvl w:val="0"/>
          <w:numId w:val="187"/>
        </w:numPr>
        <w:ind w:firstLine="632"/>
      </w:pPr>
      <w:r>
        <w:t>迅速将危险区域、事故可能波及或影响区域内与事故应急处置无关的人员、危险化学品撤离至安全区域。疏散过程中避免横穿危险区域，根据危险化学品的特性，指导疏散人员就地取材，采取有效的防护措施；</w:t>
      </w:r>
    </w:p>
    <w:p w14:paraId="71514B38">
      <w:pPr>
        <w:numPr>
          <w:ilvl w:val="0"/>
          <w:numId w:val="187"/>
        </w:numPr>
        <w:ind w:firstLine="632"/>
      </w:pPr>
      <w:r>
        <w:t>应急人员配备必要的防护装备，携带救生器材进入事故现场；救援工作要科学施救，控制、记录进入现场救援人员的数量；迅速控制危险源、抢救伤员，保护和转移其他危险化学品、清除渗漏液态毒物、进行局部的洗消及封闭现场等；</w:t>
      </w:r>
    </w:p>
    <w:p w14:paraId="156DA321">
      <w:pPr>
        <w:numPr>
          <w:ilvl w:val="0"/>
          <w:numId w:val="187"/>
        </w:numPr>
        <w:ind w:firstLine="632"/>
      </w:pPr>
      <w:r>
        <w:t>在危险区域、事故可能波及或影响区域边界设置警示标志，安排专人负责警戒；对通往事故现场的道路实行交通管制，保证应急救援通道畅通；合理设置出入口，除应急救援人员和车辆外，严禁无关人员和车辆进入；控制事故发生单位主要负责人，防止发生其他刑事、治安事件；</w:t>
      </w:r>
    </w:p>
    <w:p w14:paraId="7C693B1B">
      <w:pPr>
        <w:numPr>
          <w:ilvl w:val="0"/>
          <w:numId w:val="187"/>
        </w:numPr>
        <w:ind w:firstLine="632"/>
      </w:pPr>
      <w:r>
        <w:t>迅速对受伤、中毒人员实施现场急救，并根据需要及时送医院进行救治；同时做好事故现场的卫生防疫工作；</w:t>
      </w:r>
    </w:p>
    <w:p w14:paraId="4E9FCB6D">
      <w:pPr>
        <w:numPr>
          <w:ilvl w:val="0"/>
          <w:numId w:val="187"/>
        </w:numPr>
        <w:ind w:firstLine="632"/>
      </w:pPr>
      <w:r>
        <w:t>对危险化学品事故造成现场大气、水体、土壤、农作物等进行监测；加强对可能产生的二次反应有害物，爆炸危险性和受损建筑垮塌的危险性以及污染物滞留区等进行监测处置；根据动态监测信息，及时组织专家调整救援行动方案；</w:t>
      </w:r>
    </w:p>
    <w:p w14:paraId="380DD3A9">
      <w:pPr>
        <w:numPr>
          <w:ilvl w:val="0"/>
          <w:numId w:val="187"/>
        </w:numPr>
        <w:ind w:firstLine="632"/>
      </w:pPr>
      <w:r>
        <w:t>抢修被损坏的交通、通信、供水、排水、供电、供气等公共设施，向受到危害的人员提供避难场所和生活必需品及其他保障措施；</w:t>
      </w:r>
    </w:p>
    <w:p w14:paraId="0495D883">
      <w:pPr>
        <w:numPr>
          <w:ilvl w:val="0"/>
          <w:numId w:val="187"/>
        </w:numPr>
        <w:ind w:firstLine="632"/>
      </w:pPr>
      <w:r>
        <w:t>掌握现场救援情况，及时向县委、县政府和上级有关部门报告；同时，建立信息通报机制，向其他成员单位通报相关信息；</w:t>
      </w:r>
    </w:p>
    <w:p w14:paraId="1F0276B0">
      <w:pPr>
        <w:numPr>
          <w:ilvl w:val="0"/>
          <w:numId w:val="187"/>
        </w:numPr>
        <w:ind w:firstLine="632"/>
      </w:pPr>
      <w:r>
        <w:t>对可能引发次生事故，或不具备救援条件，无法实施救援，或无抢险救援价值等情况时，经专家充分论证，提出终止抢险救援的意见，由现场指挥部决定实施；对可能或已经导致自然灾害、公共卫生和社会安全突发事件的，及时上报县委、县政府并通报相关应急指挥机构；</w:t>
      </w:r>
    </w:p>
    <w:p w14:paraId="4C35E612">
      <w:pPr>
        <w:numPr>
          <w:ilvl w:val="0"/>
          <w:numId w:val="187"/>
        </w:numPr>
        <w:ind w:firstLine="632"/>
      </w:pPr>
      <w:r>
        <w:t>需要其他应急力量支援时，向县委、县政府和上级有关部门提出支援请求。</w:t>
      </w:r>
    </w:p>
    <w:p w14:paraId="6909E885">
      <w:pPr>
        <w:pStyle w:val="4"/>
        <w:numPr>
          <w:ilvl w:val="2"/>
          <w:numId w:val="178"/>
        </w:numPr>
        <w:tabs>
          <w:tab w:val="left" w:pos="0"/>
        </w:tabs>
      </w:pPr>
      <w:r>
        <w:t>Ⅰ级响应</w:t>
      </w:r>
    </w:p>
    <w:p w14:paraId="51A5CDF9">
      <w:pPr>
        <w:pStyle w:val="5"/>
        <w:numPr>
          <w:ilvl w:val="3"/>
          <w:numId w:val="178"/>
        </w:numPr>
        <w:ind w:firstLine="634"/>
      </w:pPr>
      <w:r>
        <w:rPr>
          <w:rFonts w:hint="eastAsia"/>
        </w:rPr>
        <w:t>启动条件</w:t>
      </w:r>
    </w:p>
    <w:p w14:paraId="5650E949">
      <w:pPr>
        <w:ind w:firstLine="632"/>
      </w:pPr>
      <w:r>
        <w:t>当发生或预计发生符合下列条件之一的，经会商研判后启动Ⅰ级响应：</w:t>
      </w:r>
    </w:p>
    <w:p w14:paraId="0A6B299C">
      <w:pPr>
        <w:numPr>
          <w:ilvl w:val="0"/>
          <w:numId w:val="188"/>
        </w:numPr>
        <w:ind w:firstLine="632"/>
      </w:pPr>
      <w:r>
        <w:t>发生较大事故；</w:t>
      </w:r>
    </w:p>
    <w:p w14:paraId="45945FB8">
      <w:pPr>
        <w:numPr>
          <w:ilvl w:val="0"/>
          <w:numId w:val="188"/>
        </w:numPr>
        <w:ind w:firstLine="632"/>
      </w:pPr>
      <w:r>
        <w:t>造成3人以上10人以下涉险、被困、失联的事故；</w:t>
      </w:r>
    </w:p>
    <w:p w14:paraId="48A2D2E0">
      <w:pPr>
        <w:numPr>
          <w:ilvl w:val="0"/>
          <w:numId w:val="188"/>
        </w:numPr>
        <w:ind w:firstLine="632"/>
      </w:pPr>
      <w:r>
        <w:t xml:space="preserve">需要紧急转移安置500人以上5000人以下的危险化学品事故； </w:t>
      </w:r>
    </w:p>
    <w:p w14:paraId="067416AB">
      <w:pPr>
        <w:numPr>
          <w:ilvl w:val="0"/>
          <w:numId w:val="188"/>
        </w:numPr>
        <w:ind w:firstLine="632"/>
      </w:pPr>
      <w:r>
        <w:t>跨县（市、区）发生的危险化学品事故；</w:t>
      </w:r>
    </w:p>
    <w:p w14:paraId="4D7F6607">
      <w:pPr>
        <w:numPr>
          <w:ilvl w:val="0"/>
          <w:numId w:val="188"/>
        </w:numPr>
        <w:ind w:firstLine="632"/>
      </w:pPr>
      <w:r>
        <w:t>超出县级人民政府应急处置能力，需要市指挥部协调处置的事故；</w:t>
      </w:r>
    </w:p>
    <w:p w14:paraId="63DF1642">
      <w:pPr>
        <w:numPr>
          <w:ilvl w:val="0"/>
          <w:numId w:val="188"/>
        </w:numPr>
        <w:ind w:firstLine="632"/>
      </w:pPr>
      <w:r>
        <w:rPr>
          <w:rFonts w:hint="eastAsia"/>
        </w:rPr>
        <w:t>县指挥部</w:t>
      </w:r>
      <w:r>
        <w:t>认为有必要启动Ⅰ级响应的事故。</w:t>
      </w:r>
    </w:p>
    <w:p w14:paraId="115DEB13">
      <w:pPr>
        <w:pStyle w:val="5"/>
        <w:numPr>
          <w:ilvl w:val="3"/>
          <w:numId w:val="178"/>
        </w:numPr>
        <w:ind w:firstLine="634"/>
      </w:pPr>
      <w:r>
        <w:t>响应程序</w:t>
      </w:r>
    </w:p>
    <w:p w14:paraId="2BA0CEF9">
      <w:pPr>
        <w:ind w:firstLine="632"/>
      </w:pPr>
      <w:r>
        <w:rPr>
          <w:rFonts w:hint="eastAsia"/>
        </w:rPr>
        <w:t>县危化应急办</w:t>
      </w:r>
      <w:r>
        <w:t>接到事故报告后，根据事故灾害发生的严重程度、可控性、救灾难易程度、影响范围和应对能力进行研判，符合启动Ⅰ级</w:t>
      </w:r>
      <w:r>
        <w:rPr>
          <w:rFonts w:hint="eastAsia"/>
        </w:rPr>
        <w:t>启动条件</w:t>
      </w:r>
      <w:r>
        <w:t>的，立即向指挥部报告，并向指挥部提出启动Ⅰ级响应的建议，由</w:t>
      </w:r>
      <w:r>
        <w:rPr>
          <w:rFonts w:hint="eastAsia"/>
        </w:rPr>
        <w:t>县指挥部总指挥</w:t>
      </w:r>
      <w:r>
        <w:t xml:space="preserve">下达命令，启动Ⅰ级应急响应，同时向县委、县政府和上级有关部门报告。 </w:t>
      </w:r>
    </w:p>
    <w:p w14:paraId="2354115F">
      <w:pPr>
        <w:pStyle w:val="5"/>
        <w:numPr>
          <w:ilvl w:val="3"/>
          <w:numId w:val="178"/>
        </w:numPr>
        <w:ind w:firstLine="634"/>
      </w:pPr>
      <w:r>
        <w:t>响应措施</w:t>
      </w:r>
    </w:p>
    <w:p w14:paraId="24AB111D">
      <w:pPr>
        <w:numPr>
          <w:ilvl w:val="0"/>
          <w:numId w:val="189"/>
        </w:numPr>
        <w:ind w:firstLine="632"/>
      </w:pPr>
      <w:r>
        <w:rPr>
          <w:rFonts w:hint="eastAsia"/>
        </w:rPr>
        <w:t>县指挥部在Ⅱ级响应措施的基础上，</w:t>
      </w:r>
      <w:r>
        <w:t>采取一切有效措施控制事态发展，做好先期处置工作，防止次生、衍生事故发生；</w:t>
      </w:r>
    </w:p>
    <w:p w14:paraId="7708DEA7">
      <w:pPr>
        <w:numPr>
          <w:ilvl w:val="0"/>
          <w:numId w:val="189"/>
        </w:numPr>
        <w:ind w:firstLine="632"/>
      </w:pPr>
      <w:r>
        <w:t>及时向上级有关部门报告，请求支援；贯彻落实上级有关部门的批示、指示精神；</w:t>
      </w:r>
    </w:p>
    <w:p w14:paraId="28D3DB8B">
      <w:pPr>
        <w:numPr>
          <w:ilvl w:val="0"/>
          <w:numId w:val="189"/>
        </w:numPr>
        <w:ind w:firstLine="632"/>
      </w:pPr>
      <w:r>
        <w:t>当上级有关部门启动应急响应，并直接接管指挥处置权时，</w:t>
      </w:r>
      <w:r>
        <w:rPr>
          <w:rFonts w:hint="eastAsia"/>
        </w:rPr>
        <w:t>县指挥部</w:t>
      </w:r>
      <w:r>
        <w:t>应及时移交指挥处置权，并全力做好应急处置各项配合工作。</w:t>
      </w:r>
    </w:p>
    <w:p w14:paraId="63B52EE1">
      <w:pPr>
        <w:pStyle w:val="3"/>
        <w:numPr>
          <w:ilvl w:val="0"/>
          <w:numId w:val="178"/>
        </w:numPr>
        <w:tabs>
          <w:tab w:val="left" w:pos="0"/>
        </w:tabs>
      </w:pPr>
      <w:bookmarkStart w:id="1128" w:name="_Toc30363"/>
      <w:r>
        <w:rPr>
          <w:rFonts w:hint="eastAsia" w:eastAsia="仿宋_GB2312"/>
        </w:rPr>
        <w:t>指挥和协调</w:t>
      </w:r>
      <w:bookmarkEnd w:id="1128"/>
    </w:p>
    <w:p w14:paraId="75A300FD">
      <w:pPr>
        <w:ind w:firstLine="632"/>
      </w:pPr>
      <w:r>
        <w:rPr>
          <w:rFonts w:hint="eastAsia"/>
        </w:rPr>
        <w:t>事故发生后，事故发生单位立即启动本单位应急预案进行先期处置。按照分级响应的原则，发生人员受伤和涉险事故，由事故发生单位成立应急救援指挥部，统一协调指挥事故救援。</w:t>
      </w:r>
    </w:p>
    <w:p w14:paraId="3D5A4051">
      <w:pPr>
        <w:ind w:firstLine="632"/>
      </w:pPr>
      <w:r>
        <w:rPr>
          <w:rFonts w:hint="eastAsia"/>
        </w:rPr>
        <w:t>一般事故发生后，县指挥部按照本预案启动应急响应，事故发生单位及时向县指挥部移交指挥处置权，并根据县指挥部的指示全力做好处置配合工作。县指挥部根据现场救援工作需要和全县应急救援力量布局，协调调动有关应急救援队伍、装备、物资，保障事故救援需要；组织有关专家指导现场救援工作，提出现场救援方案，制定防止事故引发次生灾害的方案；针对事故引发或可能引发的次生灾害，适时通知有关方面启动相关应急响应；协调事故发生地相邻地区单位配合、支援救援工作。</w:t>
      </w:r>
    </w:p>
    <w:p w14:paraId="74669411">
      <w:pPr>
        <w:ind w:firstLine="632"/>
      </w:pPr>
      <w:r>
        <w:rPr>
          <w:rFonts w:hint="eastAsia"/>
        </w:rPr>
        <w:t>一般事故可能演化为较大以上事故，或者县指挥部认为难以应对的，应当及时报告市委、市政府。当市级指挥部直接接管指挥处置权后，县指挥部应及时向上级指挥部移交指挥处置权，并根据上级指挥部的指示全力做好处置配合工作。</w:t>
      </w:r>
    </w:p>
    <w:p w14:paraId="5A06E9EA">
      <w:pPr>
        <w:pStyle w:val="3"/>
        <w:numPr>
          <w:ilvl w:val="0"/>
          <w:numId w:val="178"/>
        </w:numPr>
        <w:tabs>
          <w:tab w:val="left" w:pos="0"/>
        </w:tabs>
      </w:pPr>
      <w:bookmarkStart w:id="1129" w:name="_Toc23355"/>
      <w:r>
        <w:t>现场紧急处置措施</w:t>
      </w:r>
      <w:bookmarkEnd w:id="1129"/>
    </w:p>
    <w:p w14:paraId="096F4459">
      <w:pPr>
        <w:ind w:firstLine="632"/>
      </w:pPr>
      <w:r>
        <w:rPr>
          <w:rFonts w:hint="eastAsia"/>
        </w:rPr>
        <w:t>危险化学品事故</w:t>
      </w:r>
      <w:r>
        <w:t>出现急剧恶化的特殊险情时，</w:t>
      </w:r>
      <w:r>
        <w:rPr>
          <w:rFonts w:hint="eastAsia"/>
        </w:rPr>
        <w:t>县指挥部</w:t>
      </w:r>
      <w:r>
        <w:t>在充分考虑专家和有关方面意见和建议的基础上，依法采取紧急处置措施</w:t>
      </w:r>
      <w:r>
        <w:rPr>
          <w:rFonts w:hint="eastAsia"/>
        </w:rPr>
        <w:t>。</w:t>
      </w:r>
    </w:p>
    <w:p w14:paraId="23AA435C">
      <w:pPr>
        <w:ind w:firstLine="632"/>
      </w:pPr>
      <w:r>
        <w:t>涉及跨县、跨区域的突发危险化学品事故，在做好先期处置的同时，要及时向上级有关部门汇报，请求上级部门启动应急响应。</w:t>
      </w:r>
    </w:p>
    <w:p w14:paraId="5A2379D3">
      <w:pPr>
        <w:ind w:firstLine="632"/>
      </w:pPr>
      <w:r>
        <w:t>针对</w:t>
      </w:r>
      <w:r>
        <w:rPr>
          <w:rFonts w:hint="eastAsia"/>
        </w:rPr>
        <w:t>危险化学品</w:t>
      </w:r>
      <w:r>
        <w:t>事故中可能出现的火灾、爆炸、易燃、易爆或有毒物质泄漏等严重事件或事故，在实施事故应急救援过程中，要注意做好以下工作：</w:t>
      </w:r>
    </w:p>
    <w:p w14:paraId="5FBF9543">
      <w:pPr>
        <w:pStyle w:val="4"/>
        <w:numPr>
          <w:ilvl w:val="2"/>
          <w:numId w:val="178"/>
        </w:numPr>
        <w:tabs>
          <w:tab w:val="left" w:pos="0"/>
        </w:tabs>
      </w:pPr>
      <w:r>
        <w:t>一般处置方案</w:t>
      </w:r>
    </w:p>
    <w:p w14:paraId="7B89554B">
      <w:pPr>
        <w:ind w:firstLine="632"/>
      </w:pPr>
      <w:r>
        <w:t>（1）接警。接警时应明确发生事故的单位名称、地址、危险化学品种类、事故简要情况、人员伤亡情况等。</w:t>
      </w:r>
    </w:p>
    <w:p w14:paraId="7B4F7D2F">
      <w:pPr>
        <w:ind w:firstLine="632"/>
      </w:pPr>
      <w:r>
        <w:t>（2）隔离事故现场，建立警戒区。事故发生后，启动应急响应，根据化学品泄漏的扩散情况、火焰辐射热、爆炸所</w:t>
      </w:r>
      <w:r>
        <w:rPr>
          <w:rFonts w:hint="eastAsia"/>
        </w:rPr>
        <w:t>涉及的</w:t>
      </w:r>
      <w:r>
        <w:t>范围建立警戒区，并在通往事故现场的主要干道上实行交通管制。</w:t>
      </w:r>
    </w:p>
    <w:p w14:paraId="5C3FF259">
      <w:pPr>
        <w:ind w:firstLine="632"/>
      </w:pPr>
      <w:r>
        <w:t>（3）人员疏散。包括撤离和就地保护两种。撤离是指把所有可能受到威胁的人员从危险区域转移到安全区域。在有足够的时间向群众报警、进行准备的情况下，撤离是最佳保护措施，一般是从上风侧离开，必须有组织、有秩序地进行。就地保护是指人进入建筑物或其他设施内，直至危险过去。当撤离比就地保护更危险或撤离无法进行时，采取就地保护措施，指挥建筑物内的人，关闭所有门窗，并关闭所有通风、加热、冷却系统。</w:t>
      </w:r>
    </w:p>
    <w:p w14:paraId="37089912">
      <w:pPr>
        <w:ind w:firstLine="632"/>
      </w:pPr>
      <w:r>
        <w:t>（4）现场控制。针对不同事故，开展现场控制工作。应急人员应根据事故特点和事故引发次生灾害特征的不同，采取不同的防护措施。</w:t>
      </w:r>
    </w:p>
    <w:p w14:paraId="3265883A">
      <w:pPr>
        <w:pStyle w:val="4"/>
        <w:numPr>
          <w:ilvl w:val="2"/>
          <w:numId w:val="178"/>
        </w:numPr>
        <w:tabs>
          <w:tab w:val="left" w:pos="0"/>
        </w:tabs>
      </w:pPr>
      <w:r>
        <w:t>火灾事故处置方案要点</w:t>
      </w:r>
    </w:p>
    <w:p w14:paraId="313AA3D6">
      <w:pPr>
        <w:ind w:firstLine="632"/>
      </w:pPr>
      <w:r>
        <w:t>（1）确定火灾的时间（包括起火时间和发现时间）和地点（</w:t>
      </w:r>
      <w:r>
        <w:rPr>
          <w:rFonts w:hint="eastAsia"/>
        </w:rPr>
        <w:t>具体</w:t>
      </w:r>
      <w:r>
        <w:t>位置、部位）；</w:t>
      </w:r>
    </w:p>
    <w:p w14:paraId="1DA2A674">
      <w:pPr>
        <w:ind w:firstLine="632"/>
      </w:pPr>
      <w:r>
        <w:t>（2）确定引起火灾的物质及类别（具体为压缩气体、液化气体、易燃气体、易燃液体、易燃物品、自燃物等）；</w:t>
      </w:r>
    </w:p>
    <w:p w14:paraId="643D90DE">
      <w:pPr>
        <w:ind w:firstLine="632"/>
      </w:pPr>
      <w:r>
        <w:t>（3）确定火灾应急救援处置所需的技术和专家；</w:t>
      </w:r>
    </w:p>
    <w:p w14:paraId="52DC70ED">
      <w:pPr>
        <w:ind w:firstLine="632"/>
      </w:pPr>
      <w:r>
        <w:t>（4）明确火灾发生区域火势的现状（指火势大小程度、波及范围等）以及周围环境状况（包括地理地质条件</w:t>
      </w:r>
      <w:r>
        <w:rPr>
          <w:rFonts w:hint="eastAsia"/>
        </w:rPr>
        <w:t>，</w:t>
      </w:r>
      <w:r>
        <w:t>周边的企业、单位建筑</w:t>
      </w:r>
      <w:r>
        <w:rPr>
          <w:rFonts w:hint="eastAsia"/>
        </w:rPr>
        <w:t>，</w:t>
      </w:r>
      <w:r>
        <w:t>道路</w:t>
      </w:r>
      <w:r>
        <w:rPr>
          <w:rFonts w:hint="eastAsia"/>
        </w:rPr>
        <w:t>，</w:t>
      </w:r>
      <w:r>
        <w:t>风向等气象条件</w:t>
      </w:r>
      <w:r>
        <w:rPr>
          <w:rFonts w:hint="eastAsia"/>
        </w:rPr>
        <w:t>，</w:t>
      </w:r>
      <w:r>
        <w:t>空气中可燃物检测浓度等）；</w:t>
      </w:r>
    </w:p>
    <w:p w14:paraId="3BC7BEA3">
      <w:pPr>
        <w:ind w:firstLine="632"/>
      </w:pPr>
      <w:r>
        <w:t>（5）明确火灾发生周围区域现有的重大危险源分布情况；</w:t>
      </w:r>
    </w:p>
    <w:p w14:paraId="0B92143D">
      <w:pPr>
        <w:ind w:firstLine="632"/>
      </w:pPr>
      <w:r>
        <w:t>（6）确定应选择的火灾扑救方法以及相应所需要的灭火材料、设备器具和救火（或冷却）水源等；</w:t>
      </w:r>
    </w:p>
    <w:p w14:paraId="1AAC34B2">
      <w:pPr>
        <w:ind w:firstLine="632"/>
      </w:pPr>
      <w:r>
        <w:t>（7）确定火灾可能导致后果（包括引发爆炸等伴随事故的可能性）</w:t>
      </w:r>
      <w:r>
        <w:rPr>
          <w:rFonts w:hint="eastAsia"/>
        </w:rPr>
        <w:t>，</w:t>
      </w:r>
      <w:r>
        <w:t>预测火灾后果可能影响的范围、规模和程度；</w:t>
      </w:r>
    </w:p>
    <w:p w14:paraId="455CA102">
      <w:pPr>
        <w:ind w:firstLine="632"/>
      </w:pPr>
      <w:r>
        <w:t>（8）确定消减火灾后果的主要控制措施（包括工艺控制措施、工程抢险、人员疏散、医疗救护等）；</w:t>
      </w:r>
    </w:p>
    <w:p w14:paraId="50866B27">
      <w:pPr>
        <w:ind w:firstLine="632"/>
      </w:pPr>
      <w:r>
        <w:t>（9）所需调动的应急救援力量（消防救援队伍、企业专业救援队伍等）、救援设备设施、物</w:t>
      </w:r>
      <w:r>
        <w:rPr>
          <w:rFonts w:hint="eastAsia"/>
        </w:rPr>
        <w:t>资</w:t>
      </w:r>
      <w:r>
        <w:t>和防护器具等。</w:t>
      </w:r>
    </w:p>
    <w:p w14:paraId="7799E748">
      <w:pPr>
        <w:pStyle w:val="4"/>
        <w:numPr>
          <w:ilvl w:val="2"/>
          <w:numId w:val="178"/>
        </w:numPr>
        <w:tabs>
          <w:tab w:val="left" w:pos="0"/>
        </w:tabs>
      </w:pPr>
      <w:r>
        <w:t xml:space="preserve">爆炸事故处置方案要点 </w:t>
      </w:r>
    </w:p>
    <w:p w14:paraId="65444B90">
      <w:pPr>
        <w:ind w:firstLine="632"/>
      </w:pPr>
      <w:r>
        <w:t>（1）确定爆炸地点；</w:t>
      </w:r>
    </w:p>
    <w:p w14:paraId="5E538E09">
      <w:pPr>
        <w:ind w:firstLine="632"/>
      </w:pPr>
      <w:r>
        <w:t>（2）确定爆炸类型（物理爆炸、化学爆炸）；</w:t>
      </w:r>
    </w:p>
    <w:p w14:paraId="388FCB8D">
      <w:pPr>
        <w:ind w:firstLine="632"/>
      </w:pPr>
      <w:r>
        <w:t>（3）确定引起爆炸的物质类别（气体、液体、固体）；</w:t>
      </w:r>
    </w:p>
    <w:p w14:paraId="5B8A0BA8">
      <w:pPr>
        <w:ind w:firstLine="632"/>
      </w:pPr>
      <w:r>
        <w:t>（4）所需的爆炸应急救援处置技术和专家；</w:t>
      </w:r>
    </w:p>
    <w:p w14:paraId="68528C1F">
      <w:pPr>
        <w:ind w:firstLine="632"/>
      </w:pPr>
      <w:r>
        <w:t>（5）明确爆炸地点的周围环境；</w:t>
      </w:r>
    </w:p>
    <w:p w14:paraId="3C594C4D">
      <w:pPr>
        <w:ind w:firstLine="632"/>
      </w:pPr>
      <w:r>
        <w:t>（6）明确周围区域存在的重大危险源分布情况；</w:t>
      </w:r>
    </w:p>
    <w:p w14:paraId="5B87108B">
      <w:pPr>
        <w:ind w:firstLine="632"/>
      </w:pPr>
      <w:r>
        <w:t>（7）确定爆炸可能导致的后果（如火灾、二次爆炸等）；</w:t>
      </w:r>
    </w:p>
    <w:p w14:paraId="626E0E6C">
      <w:pPr>
        <w:ind w:firstLine="632"/>
      </w:pPr>
      <w:r>
        <w:t>（8）确定爆炸可能导致后果的主要控制措施（再次爆炸控制手段、工程抢险、人员疏散、医疗救护等）；</w:t>
      </w:r>
    </w:p>
    <w:p w14:paraId="1C3FBC37">
      <w:pPr>
        <w:ind w:firstLine="632"/>
      </w:pPr>
      <w:r>
        <w:t>（9）可能需要调动的应急救援力量（消防救援队伍、企业专业救援队伍等）。</w:t>
      </w:r>
    </w:p>
    <w:p w14:paraId="3FFA7EA9">
      <w:pPr>
        <w:pStyle w:val="4"/>
        <w:numPr>
          <w:ilvl w:val="2"/>
          <w:numId w:val="178"/>
        </w:numPr>
        <w:tabs>
          <w:tab w:val="left" w:pos="0"/>
        </w:tabs>
      </w:pPr>
      <w:r>
        <w:t>易燃、易爆或有毒物质泄漏事故处置方案要点</w:t>
      </w:r>
    </w:p>
    <w:p w14:paraId="5DBE8F57">
      <w:pPr>
        <w:ind w:firstLine="632"/>
      </w:pPr>
      <w:r>
        <w:t>（1）确定泄漏源的位置；</w:t>
      </w:r>
    </w:p>
    <w:p w14:paraId="519BD637">
      <w:pPr>
        <w:ind w:firstLine="632"/>
      </w:pPr>
      <w:r>
        <w:t>（2）确定泄漏的化学品种类（易燃、易爆或有毒物质）；</w:t>
      </w:r>
    </w:p>
    <w:p w14:paraId="66CA3147">
      <w:pPr>
        <w:ind w:firstLine="632"/>
      </w:pPr>
      <w:r>
        <w:t>（3）所需的泄漏应急救援处置技术和专家；</w:t>
      </w:r>
    </w:p>
    <w:p w14:paraId="51BC4245">
      <w:pPr>
        <w:ind w:firstLine="632"/>
      </w:pPr>
      <w:r>
        <w:t>（4）确定泄漏源的周围环境（环境功能区、人口密度等）；</w:t>
      </w:r>
    </w:p>
    <w:p w14:paraId="6A70C4EB">
      <w:pPr>
        <w:ind w:firstLine="632"/>
      </w:pPr>
      <w:r>
        <w:t xml:space="preserve">（5）确定是否已有泄漏物质进入大气、附近水源、下水道等场所； </w:t>
      </w:r>
    </w:p>
    <w:p w14:paraId="0AFA52DE">
      <w:pPr>
        <w:ind w:firstLine="632"/>
      </w:pPr>
      <w:r>
        <w:t>（6）明确周围区域存在的重大危险源分布情况；</w:t>
      </w:r>
    </w:p>
    <w:p w14:paraId="3A12099C">
      <w:pPr>
        <w:ind w:firstLine="632"/>
      </w:pPr>
      <w:r>
        <w:t>（7）确定泄漏时间或预计持续时间；</w:t>
      </w:r>
    </w:p>
    <w:p w14:paraId="414E75A5">
      <w:pPr>
        <w:ind w:firstLine="632"/>
      </w:pPr>
      <w:r>
        <w:t>（8）实际或估算的泄漏量；</w:t>
      </w:r>
    </w:p>
    <w:p w14:paraId="06102A62">
      <w:pPr>
        <w:ind w:firstLine="632"/>
      </w:pPr>
      <w:r>
        <w:t>（9）气象信息；</w:t>
      </w:r>
    </w:p>
    <w:p w14:paraId="4AB13697">
      <w:pPr>
        <w:ind w:firstLine="632"/>
      </w:pPr>
      <w:r>
        <w:t>（10）泄漏扩散趋势预测；</w:t>
      </w:r>
    </w:p>
    <w:p w14:paraId="69B9174D">
      <w:pPr>
        <w:ind w:firstLine="632"/>
      </w:pPr>
      <w:r>
        <w:t>（11）明确泄漏可能导致的后果（泄漏是否可能引起火灾、爆炸、中毒等后果）；</w:t>
      </w:r>
    </w:p>
    <w:p w14:paraId="53418CE4">
      <w:pPr>
        <w:ind w:firstLine="632"/>
      </w:pPr>
      <w:r>
        <w:t>（12）明确泄漏危及周围环境的可能性；</w:t>
      </w:r>
    </w:p>
    <w:p w14:paraId="253BCB88">
      <w:pPr>
        <w:ind w:firstLine="632"/>
      </w:pPr>
      <w:r>
        <w:t>（13）确定泄漏可能导致后果的主要控制措施（堵漏、工程抢险、人员疏散、医疗救护等）；</w:t>
      </w:r>
    </w:p>
    <w:p w14:paraId="0B42BD0F">
      <w:pPr>
        <w:ind w:firstLine="632"/>
      </w:pPr>
      <w:r>
        <w:t>（14）可能需要调动的应急救援力量（消防救援队伍、企业专业救援队伍等）。</w:t>
      </w:r>
    </w:p>
    <w:p w14:paraId="73F3FB83">
      <w:pPr>
        <w:pStyle w:val="4"/>
        <w:numPr>
          <w:ilvl w:val="2"/>
          <w:numId w:val="178"/>
        </w:numPr>
        <w:tabs>
          <w:tab w:val="left" w:pos="0"/>
        </w:tabs>
      </w:pPr>
      <w:r>
        <w:t>注意事项</w:t>
      </w:r>
    </w:p>
    <w:p w14:paraId="45E143A9">
      <w:pPr>
        <w:ind w:firstLine="632"/>
      </w:pPr>
      <w:r>
        <w:t>由于危险化学品事故情况复杂，现场处置人员应先了解事故中危险化学品品名、理化特性、事故容器或设备的参数，以及事故现场和周边环境，也可调用事故发生单位的安全评价报告、应急预案或其他相关资料，先进行客观分析判断，根据实际情况制定处置方案。现场处置方案应提出如下注意事项：</w:t>
      </w:r>
    </w:p>
    <w:p w14:paraId="0594789E">
      <w:pPr>
        <w:ind w:firstLine="632"/>
      </w:pPr>
      <w:r>
        <w:t>（1）佩戴个人防护器具方面的注意事项；</w:t>
      </w:r>
    </w:p>
    <w:p w14:paraId="2862873E">
      <w:pPr>
        <w:ind w:firstLine="632"/>
      </w:pPr>
      <w:r>
        <w:t>（2）使用抢险救援器材方面的注意事项；</w:t>
      </w:r>
    </w:p>
    <w:p w14:paraId="6C5196D6">
      <w:pPr>
        <w:ind w:firstLine="632"/>
      </w:pPr>
      <w:r>
        <w:t>（3）采取救援对策或措施方面的注意事项；</w:t>
      </w:r>
    </w:p>
    <w:p w14:paraId="0FEDC3CF">
      <w:pPr>
        <w:ind w:firstLine="632"/>
      </w:pPr>
      <w:r>
        <w:t>（4）现场自救和互救注意事项；</w:t>
      </w:r>
    </w:p>
    <w:p w14:paraId="5AFE9377">
      <w:pPr>
        <w:ind w:firstLine="632"/>
      </w:pPr>
      <w:r>
        <w:t>（5）现场应急处置能力确认和人员安全防护等事项；</w:t>
      </w:r>
    </w:p>
    <w:p w14:paraId="3D3243BD">
      <w:pPr>
        <w:ind w:firstLine="632"/>
      </w:pPr>
      <w:r>
        <w:t>（6）应急救援结束后的注意事项；</w:t>
      </w:r>
    </w:p>
    <w:p w14:paraId="0451A2E7">
      <w:pPr>
        <w:ind w:firstLine="632"/>
      </w:pPr>
      <w:r>
        <w:t>（7）其他需要特别警示的事项。</w:t>
      </w:r>
    </w:p>
    <w:p w14:paraId="1D8F754E">
      <w:pPr>
        <w:pStyle w:val="4"/>
        <w:numPr>
          <w:ilvl w:val="2"/>
          <w:numId w:val="178"/>
        </w:numPr>
        <w:tabs>
          <w:tab w:val="left" w:pos="0"/>
        </w:tabs>
      </w:pPr>
      <w:r>
        <w:rPr>
          <w:rFonts w:hint="eastAsia"/>
        </w:rPr>
        <w:t>应急人员的安全防护</w:t>
      </w:r>
    </w:p>
    <w:p w14:paraId="1F7F25CF">
      <w:pPr>
        <w:pStyle w:val="21"/>
        <w:ind w:left="0" w:firstLine="632"/>
        <w:rPr>
          <w:lang w:val="en-US"/>
        </w:rPr>
      </w:pPr>
      <w:r>
        <w:rPr>
          <w:rFonts w:hint="eastAsia"/>
          <w:lang w:val="en-US"/>
        </w:rPr>
        <w:t>根据危险化学品事故的特点及其引发物质的不同以及应急人员的职责，采取不同的防护措施：应急救援指挥人员、医务人员和其他不进入污染区域的应急人员一般配备过滤式防毒面罩、防护服、防毒手套、防毒靴等；工程抢险、消防和侦检等进入污染区域的应急人员应配备密闭型防毒面罩、防酸碱型防护服和空气呼吸器等；同时做好现场毒物的洗消工作（包括人员、设备、设施和场所等）。</w:t>
      </w:r>
    </w:p>
    <w:p w14:paraId="0721AFFC">
      <w:pPr>
        <w:pStyle w:val="4"/>
        <w:numPr>
          <w:ilvl w:val="2"/>
          <w:numId w:val="178"/>
        </w:numPr>
        <w:tabs>
          <w:tab w:val="left" w:pos="0"/>
        </w:tabs>
      </w:pPr>
      <w:r>
        <w:rPr>
          <w:rFonts w:hint="eastAsia"/>
        </w:rPr>
        <w:t>群众的安全防护</w:t>
      </w:r>
    </w:p>
    <w:p w14:paraId="116D68FB">
      <w:pPr>
        <w:pStyle w:val="21"/>
        <w:ind w:left="0" w:firstLine="632"/>
        <w:rPr>
          <w:lang w:val="en-US"/>
        </w:rPr>
      </w:pPr>
      <w:r>
        <w:rPr>
          <w:rFonts w:hint="eastAsia"/>
          <w:lang w:val="en-US"/>
        </w:rPr>
        <w:t>根据不同危险化学品事故特点，组织和指导群众就地取材（如毛巾、湿布、口罩等），采用简易有效的防护措施保护自己。根据实际情况，制定切实可行的疏散程序（包括疏散组织、指挥机构、疏散范围、疏散方式、疏散路线、疏散人员的照顾等）。组织群众撤离危险区域时，应选择安全的撤离路线，避免横穿危险区域。进入安全区域后，应尽快除去受污染的衣物，防止次生伤害。</w:t>
      </w:r>
    </w:p>
    <w:p w14:paraId="158D8582">
      <w:pPr>
        <w:pStyle w:val="3"/>
        <w:numPr>
          <w:ilvl w:val="0"/>
          <w:numId w:val="178"/>
        </w:numPr>
        <w:tabs>
          <w:tab w:val="left" w:pos="0"/>
        </w:tabs>
      </w:pPr>
      <w:bookmarkStart w:id="1130" w:name="_Toc5983"/>
      <w:r>
        <w:rPr>
          <w:rFonts w:hint="eastAsia"/>
        </w:rPr>
        <w:t>扩大应急</w:t>
      </w:r>
      <w:bookmarkEnd w:id="1130"/>
    </w:p>
    <w:p w14:paraId="54615EED">
      <w:pPr>
        <w:ind w:firstLine="632"/>
      </w:pPr>
      <w:r>
        <w:rPr>
          <w:rFonts w:hint="eastAsia"/>
        </w:rPr>
        <w:t>出现以下情形时，现场指挥部应及时报告县指挥部总指挥扩大应急，并上报市应急委：</w:t>
      </w:r>
    </w:p>
    <w:p w14:paraId="2DE80CDD">
      <w:pPr>
        <w:numPr>
          <w:ilvl w:val="0"/>
          <w:numId w:val="190"/>
        </w:numPr>
        <w:ind w:firstLine="632"/>
      </w:pPr>
      <w:r>
        <w:rPr>
          <w:rFonts w:hint="eastAsia"/>
        </w:rPr>
        <w:t>危险化学品事故已经或可能发生次生、衍生其他突发事件时，现场指挥部及时报告县总指挥，县指挥部上报市应急委办公室。</w:t>
      </w:r>
    </w:p>
    <w:p w14:paraId="566AA980">
      <w:pPr>
        <w:numPr>
          <w:ilvl w:val="0"/>
          <w:numId w:val="190"/>
        </w:numPr>
        <w:ind w:firstLine="632"/>
      </w:pPr>
      <w:r>
        <w:rPr>
          <w:rFonts w:hint="eastAsia"/>
        </w:rPr>
        <w:t>事故危害已经或可能波及周边乡镇邻近区县安全时，现场指挥部应及时报告县指挥部，立即通报邻近区县政府，并上报市应急委。</w:t>
      </w:r>
    </w:p>
    <w:p w14:paraId="67EA5DDC">
      <w:pPr>
        <w:numPr>
          <w:ilvl w:val="0"/>
          <w:numId w:val="190"/>
        </w:numPr>
        <w:ind w:firstLine="632"/>
      </w:pPr>
      <w:r>
        <w:rPr>
          <w:rFonts w:hint="eastAsia"/>
        </w:rPr>
        <w:t>事故危害已经或可能超出县政府应急处置能力时，县指挥部视情况及时报告市应急委，请求应急支援。</w:t>
      </w:r>
    </w:p>
    <w:p w14:paraId="62CABC1F">
      <w:pPr>
        <w:pStyle w:val="3"/>
        <w:numPr>
          <w:ilvl w:val="0"/>
          <w:numId w:val="178"/>
        </w:numPr>
        <w:tabs>
          <w:tab w:val="left" w:pos="0"/>
        </w:tabs>
      </w:pPr>
      <w:bookmarkStart w:id="1131" w:name="_Toc12885"/>
      <w:r>
        <w:rPr>
          <w:rFonts w:hint="eastAsia"/>
        </w:rPr>
        <w:t>应急联动</w:t>
      </w:r>
      <w:bookmarkEnd w:id="1131"/>
    </w:p>
    <w:p w14:paraId="2AEE7AF5">
      <w:pPr>
        <w:ind w:firstLine="632"/>
      </w:pPr>
      <w:r>
        <w:rPr>
          <w:rFonts w:hint="eastAsia"/>
        </w:rPr>
        <w:t>县应急指挥部与周边地县、市政府业务主管部门建立应急联动机制，明确通信联络、信息共享、应急队伍及资源调动程序等。建立完善与当地中央、省、市属大型企业的应急联动机制，明确应急值守通信联络方式、信息报送要求、应急队伍物资调动程序等，确保事故发生后能够快速、有序、协同应对。</w:t>
      </w:r>
    </w:p>
    <w:p w14:paraId="18207999">
      <w:pPr>
        <w:pStyle w:val="3"/>
        <w:numPr>
          <w:ilvl w:val="0"/>
          <w:numId w:val="178"/>
        </w:numPr>
        <w:tabs>
          <w:tab w:val="left" w:pos="0"/>
        </w:tabs>
      </w:pPr>
      <w:bookmarkStart w:id="1132" w:name="_Toc2814"/>
      <w:r>
        <w:rPr>
          <w:rFonts w:hint="eastAsia"/>
        </w:rPr>
        <w:t>社会动员</w:t>
      </w:r>
      <w:bookmarkEnd w:id="1132"/>
    </w:p>
    <w:p w14:paraId="3018F623">
      <w:pPr>
        <w:ind w:firstLine="632"/>
      </w:pPr>
      <w:r>
        <w:rPr>
          <w:rFonts w:hint="eastAsia"/>
        </w:rPr>
        <w:t>根据危险化学品事故的危害程度、影响范围、人员伤亡等情况和应对工作需要，通过广播、电视、报纸、门户网站、户外显示屏、短信等向社会发布动员令，动员有专业知识和技能的公民、具备应急救援资源的企事业单位、社会团体、基层群众自治组织和其他力量，协助政府及有关部门做好事故预防、自救互救、紧急救援、秩序维护、后勤保障、恢复重建等处置工作。</w:t>
      </w:r>
    </w:p>
    <w:p w14:paraId="50937564">
      <w:pPr>
        <w:pStyle w:val="3"/>
        <w:numPr>
          <w:ilvl w:val="0"/>
          <w:numId w:val="178"/>
        </w:numPr>
        <w:tabs>
          <w:tab w:val="left" w:pos="0"/>
        </w:tabs>
      </w:pPr>
      <w:bookmarkStart w:id="1133" w:name="_Toc32086"/>
      <w:r>
        <w:rPr>
          <w:rFonts w:hint="eastAsia"/>
        </w:rPr>
        <w:t>事故的分析、检测与后果评估</w:t>
      </w:r>
      <w:bookmarkEnd w:id="1133"/>
    </w:p>
    <w:p w14:paraId="1BE413F5">
      <w:pPr>
        <w:ind w:firstLine="632"/>
      </w:pPr>
      <w:r>
        <w:rPr>
          <w:rFonts w:hint="eastAsia"/>
        </w:rPr>
        <w:t>由双鸭山市集贤生态环境局牵头对事故发生地的水源、空气、土壤等样品就地实行分析处理，及时检测毒物的种类和浓度，并计算出扩散范围等应急救援所需的各种数据，以确定污染区域范围，并对事故造成的环境影响进行评估。</w:t>
      </w:r>
    </w:p>
    <w:p w14:paraId="713014B3">
      <w:pPr>
        <w:pStyle w:val="3"/>
        <w:numPr>
          <w:ilvl w:val="0"/>
          <w:numId w:val="178"/>
        </w:numPr>
        <w:tabs>
          <w:tab w:val="left" w:pos="0"/>
        </w:tabs>
      </w:pPr>
      <w:bookmarkStart w:id="1134" w:name="_Toc1666"/>
      <w:r>
        <w:rPr>
          <w:rFonts w:hint="eastAsia"/>
        </w:rPr>
        <w:t>信息发布与舆情引导</w:t>
      </w:r>
      <w:bookmarkEnd w:id="1134"/>
    </w:p>
    <w:p w14:paraId="0043D2DC">
      <w:pPr>
        <w:ind w:firstLine="632"/>
      </w:pPr>
      <w:r>
        <w:rPr>
          <w:rFonts w:hint="eastAsia"/>
        </w:rPr>
        <w:t>危险化学品事故信息的发布应当遵循实事求是、客观公正、及时准确的原则。县指挥部依据有关规定，及时发布准确、权威的信息，正确引导社会舆情，维护社会稳定和人心安定，任何单位和个人不得随意发布或散布未经核实或没有事实依据的信息和传言。</w:t>
      </w:r>
    </w:p>
    <w:p w14:paraId="49A9C5BF">
      <w:pPr>
        <w:pStyle w:val="3"/>
        <w:numPr>
          <w:ilvl w:val="0"/>
          <w:numId w:val="178"/>
        </w:numPr>
        <w:tabs>
          <w:tab w:val="left" w:pos="0"/>
        </w:tabs>
      </w:pPr>
      <w:bookmarkStart w:id="1135" w:name="_Toc2766"/>
      <w:r>
        <w:rPr>
          <w:rFonts w:hint="eastAsia"/>
        </w:rPr>
        <w:t>应急结束</w:t>
      </w:r>
      <w:bookmarkEnd w:id="1135"/>
    </w:p>
    <w:p w14:paraId="2CF44648">
      <w:pPr>
        <w:ind w:firstLine="632"/>
      </w:pPr>
      <w:r>
        <w:rPr>
          <w:rFonts w:hint="eastAsia"/>
        </w:rPr>
        <w:t>危险化学品事故现场得以控制，环境符合有关标准，导致次生、衍生事故隐患消除后，按照“谁启动、谁结束”的原则，经启动应急响应的指挥机构确认和批准，宣布应急处置工作结束，应急救援队伍撤离现场。</w:t>
      </w:r>
    </w:p>
    <w:p w14:paraId="3E980171">
      <w:pPr>
        <w:pStyle w:val="2"/>
        <w:numPr>
          <w:ilvl w:val="0"/>
          <w:numId w:val="178"/>
        </w:numPr>
        <w:tabs>
          <w:tab w:val="left" w:pos="0"/>
        </w:tabs>
      </w:pPr>
      <w:bookmarkStart w:id="1136" w:name="_Toc7467"/>
      <w:r>
        <w:t>后期处置</w:t>
      </w:r>
      <w:bookmarkEnd w:id="1136"/>
    </w:p>
    <w:p w14:paraId="19CD3958">
      <w:pPr>
        <w:pStyle w:val="3"/>
        <w:numPr>
          <w:ilvl w:val="0"/>
          <w:numId w:val="178"/>
        </w:numPr>
        <w:tabs>
          <w:tab w:val="left" w:pos="0"/>
        </w:tabs>
      </w:pPr>
      <w:bookmarkStart w:id="1137" w:name="_Toc19525"/>
      <w:r>
        <w:rPr>
          <w:rFonts w:hint="eastAsia"/>
        </w:rPr>
        <w:t>善后处置</w:t>
      </w:r>
      <w:bookmarkEnd w:id="1137"/>
    </w:p>
    <w:p w14:paraId="54385ED7">
      <w:pPr>
        <w:numPr>
          <w:ilvl w:val="0"/>
          <w:numId w:val="191"/>
        </w:numPr>
        <w:ind w:firstLine="632"/>
      </w:pPr>
      <w:r>
        <w:rPr>
          <w:rFonts w:hint="eastAsia"/>
        </w:rPr>
        <w:t>县人民政府牵头负责组织事发地乡镇做好善后处置工作，应当根据遭受损失的情况，制定和实施救助、补偿、抚慰、抚恤、安置等善后工作方案。对危险化学品事故中的伤亡人员、应急处置工作人员应按照规定给予抚恤、抚慰、补助。对紧急调集、征用有关单位和个人的物资、设备、设施、工具，应按照规定给予补助和补偿。根据工作需要，工会等组织协助县卫生健康局提供心理咨询辅导和司法援助，预防和妥善解决因处置危险化学品事故引发的矛盾和纠纷。</w:t>
      </w:r>
    </w:p>
    <w:p w14:paraId="6CADECAD">
      <w:pPr>
        <w:numPr>
          <w:ilvl w:val="0"/>
          <w:numId w:val="191"/>
        </w:numPr>
        <w:ind w:firstLine="632"/>
      </w:pPr>
      <w:r>
        <w:rPr>
          <w:rFonts w:hint="eastAsia"/>
        </w:rPr>
        <w:t>事发地乡镇政府组织做好现场污染物清理、环境污染消除、疫病防治、灾后重建等工作，尽快恢复正常秩序，消除事故后果和影响，确保社会稳定。</w:t>
      </w:r>
    </w:p>
    <w:p w14:paraId="2E252AB3">
      <w:pPr>
        <w:pStyle w:val="3"/>
        <w:numPr>
          <w:ilvl w:val="0"/>
          <w:numId w:val="178"/>
        </w:numPr>
        <w:tabs>
          <w:tab w:val="left" w:pos="0"/>
        </w:tabs>
      </w:pPr>
      <w:bookmarkStart w:id="1138" w:name="_Toc152"/>
      <w:r>
        <w:rPr>
          <w:rFonts w:hint="eastAsia"/>
        </w:rPr>
        <w:t>社会救助</w:t>
      </w:r>
      <w:bookmarkEnd w:id="1138"/>
    </w:p>
    <w:p w14:paraId="0E0CEB9C">
      <w:pPr>
        <w:numPr>
          <w:ilvl w:val="0"/>
          <w:numId w:val="192"/>
        </w:numPr>
        <w:ind w:firstLine="632"/>
      </w:pPr>
      <w:r>
        <w:rPr>
          <w:rFonts w:hint="eastAsia"/>
        </w:rPr>
        <w:t>按照政府救济和社会救助相结合的原则，做好受灾群众的安置工作。</w:t>
      </w:r>
    </w:p>
    <w:p w14:paraId="60604A32">
      <w:pPr>
        <w:numPr>
          <w:ilvl w:val="0"/>
          <w:numId w:val="192"/>
        </w:numPr>
        <w:ind w:firstLine="632"/>
      </w:pPr>
      <w:r>
        <w:rPr>
          <w:rFonts w:hint="eastAsia"/>
        </w:rPr>
        <w:t>县民政部门牵头，会同有关部门做好社会捐赠物资接收、登记和统计管理工作，依据有关规定为事故涉及人员提供救助和援助，及时向社会公布有关信息。</w:t>
      </w:r>
    </w:p>
    <w:p w14:paraId="6BCA8AA8">
      <w:pPr>
        <w:pStyle w:val="3"/>
        <w:numPr>
          <w:ilvl w:val="0"/>
          <w:numId w:val="178"/>
        </w:numPr>
        <w:tabs>
          <w:tab w:val="left" w:pos="0"/>
        </w:tabs>
      </w:pPr>
      <w:r>
        <w:rPr>
          <w:rFonts w:hint="eastAsia"/>
        </w:rPr>
        <w:t>保险赔偿</w:t>
      </w:r>
    </w:p>
    <w:p w14:paraId="0DC15DFE">
      <w:pPr>
        <w:numPr>
          <w:ilvl w:val="0"/>
          <w:numId w:val="193"/>
        </w:numPr>
        <w:ind w:firstLine="632"/>
      </w:pPr>
      <w:r>
        <w:rPr>
          <w:rFonts w:hint="eastAsia"/>
        </w:rPr>
        <w:t>指导、督促保险机构在保险责任范围内及时进行理赔。</w:t>
      </w:r>
    </w:p>
    <w:p w14:paraId="2DEF55EC">
      <w:pPr>
        <w:numPr>
          <w:ilvl w:val="0"/>
          <w:numId w:val="193"/>
        </w:numPr>
        <w:ind w:firstLine="632"/>
      </w:pPr>
      <w:r>
        <w:rPr>
          <w:rFonts w:hint="eastAsia"/>
        </w:rPr>
        <w:t>县级有关部门（单位）应当为专业应急救援人员购买人身意外伤害保险。危险化学品生产、经营、储存企业及涉及使用环节重点企业应按照省、市有关规定投保安全生产责任保险。</w:t>
      </w:r>
    </w:p>
    <w:p w14:paraId="1247ECD6">
      <w:pPr>
        <w:numPr>
          <w:ilvl w:val="0"/>
          <w:numId w:val="193"/>
        </w:numPr>
        <w:ind w:firstLine="632"/>
      </w:pPr>
      <w:r>
        <w:rPr>
          <w:rFonts w:hint="eastAsia"/>
        </w:rPr>
        <w:t>鼓励保险公司开展产品和服务创新，针对不同群体和人员的需求，开发保额适度、保障层次多样、服务便捷的险种，扩大灾害保险的覆盖面和服务范围，增强企事业单位和公民抵御事故的能力，形成全社会共担风险机制。</w:t>
      </w:r>
    </w:p>
    <w:p w14:paraId="261B070B">
      <w:pPr>
        <w:pStyle w:val="3"/>
        <w:numPr>
          <w:ilvl w:val="0"/>
          <w:numId w:val="178"/>
        </w:numPr>
        <w:tabs>
          <w:tab w:val="left" w:pos="0"/>
        </w:tabs>
      </w:pPr>
      <w:bookmarkStart w:id="1139" w:name="_Toc14217"/>
      <w:r>
        <w:rPr>
          <w:rFonts w:hint="eastAsia"/>
        </w:rPr>
        <w:t>恢复与重建</w:t>
      </w:r>
      <w:bookmarkEnd w:id="1139"/>
    </w:p>
    <w:p w14:paraId="4058D2F0">
      <w:pPr>
        <w:ind w:firstLine="632"/>
      </w:pPr>
      <w:r>
        <w:rPr>
          <w:rFonts w:hint="eastAsia"/>
        </w:rPr>
        <w:t>危险化学品事故处置工作结束后，受到影响的乡镇应结合调查评估情况，立即组织人员制定恢复与重建计划，及时恢复社会秩序，修复被破坏的城市运行、生产经营等基础设施。</w:t>
      </w:r>
    </w:p>
    <w:p w14:paraId="25C3BF61">
      <w:pPr>
        <w:pStyle w:val="3"/>
        <w:numPr>
          <w:ilvl w:val="0"/>
          <w:numId w:val="178"/>
        </w:numPr>
        <w:tabs>
          <w:tab w:val="left" w:pos="0"/>
        </w:tabs>
      </w:pPr>
      <w:bookmarkStart w:id="1140" w:name="_Toc26657"/>
      <w:r>
        <w:rPr>
          <w:rFonts w:hint="eastAsia"/>
        </w:rPr>
        <w:t>调查评估</w:t>
      </w:r>
      <w:bookmarkEnd w:id="1140"/>
    </w:p>
    <w:p w14:paraId="0D2DF561">
      <w:pPr>
        <w:numPr>
          <w:ilvl w:val="0"/>
          <w:numId w:val="136"/>
        </w:numPr>
        <w:ind w:firstLine="632"/>
      </w:pPr>
      <w:r>
        <w:rPr>
          <w:rFonts w:hint="eastAsia"/>
        </w:rPr>
        <w:t>事故调查处理工作按照《生产安全事故报告和调查处理条例》（国务院493号令）等有关规定，特别重大、重大危险化学品事故分别由国务院、省政府或政府授权的有关部门组成调查组进行调查。</w:t>
      </w:r>
    </w:p>
    <w:p w14:paraId="1580CFF8">
      <w:pPr>
        <w:numPr>
          <w:ilvl w:val="0"/>
          <w:numId w:val="136"/>
        </w:numPr>
        <w:ind w:firstLine="632"/>
      </w:pPr>
      <w:r>
        <w:rPr>
          <w:rFonts w:hint="eastAsia"/>
        </w:rPr>
        <w:t>较大危险化学品事故，由市政府或市政府授权有关部门组成调查组进行调查。</w:t>
      </w:r>
    </w:p>
    <w:p w14:paraId="7EB41B8B">
      <w:pPr>
        <w:numPr>
          <w:ilvl w:val="0"/>
          <w:numId w:val="136"/>
        </w:numPr>
        <w:ind w:firstLine="632"/>
      </w:pPr>
      <w:r>
        <w:rPr>
          <w:rFonts w:hint="eastAsia"/>
        </w:rPr>
        <w:t>一般危险化学品事故，由县人民政府或县人民政府授权有关部门组织调查组进行调查。</w:t>
      </w:r>
    </w:p>
    <w:p w14:paraId="12D57AB0">
      <w:pPr>
        <w:numPr>
          <w:ilvl w:val="0"/>
          <w:numId w:val="136"/>
        </w:numPr>
        <w:ind w:firstLine="632"/>
      </w:pPr>
      <w:r>
        <w:rPr>
          <w:rFonts w:hint="eastAsia"/>
        </w:rPr>
        <w:t>较大危险化学品事故善后处置工作结束后，事故调查组要分析总结评估应急救援经验教训，分析查找问题，提出改进应急救援工作的建议，形成应急救援评估报告报送市政府。市政府提出改进应急救援工作的意见，并下发有关单位。一般危险化学品事故应急救援的总结评估工作由县人民政府负责。</w:t>
      </w:r>
    </w:p>
    <w:p w14:paraId="6A81A83D">
      <w:pPr>
        <w:pStyle w:val="2"/>
        <w:numPr>
          <w:ilvl w:val="0"/>
          <w:numId w:val="178"/>
        </w:numPr>
        <w:tabs>
          <w:tab w:val="left" w:pos="0"/>
        </w:tabs>
      </w:pPr>
      <w:bookmarkStart w:id="1141" w:name="_Toc10084"/>
      <w:r>
        <w:rPr>
          <w:rFonts w:hint="eastAsia"/>
        </w:rPr>
        <w:t>应急保障</w:t>
      </w:r>
      <w:bookmarkEnd w:id="1141"/>
    </w:p>
    <w:p w14:paraId="15C06FBA">
      <w:pPr>
        <w:pStyle w:val="3"/>
        <w:numPr>
          <w:ilvl w:val="0"/>
          <w:numId w:val="178"/>
        </w:numPr>
        <w:tabs>
          <w:tab w:val="left" w:pos="0"/>
        </w:tabs>
      </w:pPr>
      <w:bookmarkStart w:id="1142" w:name="_Toc27880"/>
      <w:r>
        <w:rPr>
          <w:rFonts w:hint="eastAsia"/>
        </w:rPr>
        <w:t>通信信息保障</w:t>
      </w:r>
      <w:bookmarkEnd w:id="1142"/>
    </w:p>
    <w:p w14:paraId="4367807A">
      <w:pPr>
        <w:ind w:firstLine="632"/>
      </w:pPr>
      <w:r>
        <w:rPr>
          <w:rFonts w:hint="eastAsia"/>
        </w:rPr>
        <w:t>县应急处置指挥部成员单位应设置24小时值班电话，保证能够与有关人员随时取得联系。</w:t>
      </w:r>
    </w:p>
    <w:p w14:paraId="1A78CD72">
      <w:pPr>
        <w:ind w:firstLine="632"/>
      </w:pPr>
      <w:r>
        <w:rPr>
          <w:rFonts w:hint="eastAsia"/>
        </w:rPr>
        <w:t>县应急管理局牵头，县应急管理局、县公安局、县消防救援大队、双鸭山市集贤生态环境局等部门组织建立危险化学品事故重大危险源、专业应急指挥机构、应急救援力量（含专家）信息数据库，并组织管理和维护。</w:t>
      </w:r>
    </w:p>
    <w:p w14:paraId="19597D59">
      <w:pPr>
        <w:ind w:firstLine="632"/>
      </w:pPr>
      <w:r>
        <w:rPr>
          <w:rFonts w:hint="eastAsia"/>
        </w:rPr>
        <w:t>县工业信息科技局牵头电信运营单位制定通信与信息保障方案，保障危险化学品事故应急救援相关机构的通讯畅通，确保音频、视频、数据等信息实现双向传递。</w:t>
      </w:r>
    </w:p>
    <w:p w14:paraId="4F3A3990">
      <w:pPr>
        <w:pStyle w:val="3"/>
        <w:numPr>
          <w:ilvl w:val="0"/>
          <w:numId w:val="178"/>
        </w:numPr>
        <w:tabs>
          <w:tab w:val="left" w:pos="0"/>
        </w:tabs>
      </w:pPr>
      <w:bookmarkStart w:id="1143" w:name="_Toc28446"/>
      <w:r>
        <w:rPr>
          <w:rFonts w:hint="eastAsia"/>
        </w:rPr>
        <w:t>应急队伍保障</w:t>
      </w:r>
      <w:bookmarkEnd w:id="1143"/>
    </w:p>
    <w:p w14:paraId="04E2996B">
      <w:pPr>
        <w:ind w:firstLine="632"/>
      </w:pPr>
      <w:r>
        <w:rPr>
          <w:rFonts w:hint="eastAsia"/>
        </w:rPr>
        <w:t>支持和督促有关部门及危险化学品从业单位加强应急救援队伍的建设，做好日常训练和演练，确保事故发生后应急救援力量及时有效发挥作用。</w:t>
      </w:r>
    </w:p>
    <w:p w14:paraId="7D8B4023">
      <w:pPr>
        <w:pStyle w:val="4"/>
        <w:numPr>
          <w:ilvl w:val="2"/>
          <w:numId w:val="178"/>
        </w:numPr>
        <w:tabs>
          <w:tab w:val="left" w:pos="0"/>
        </w:tabs>
      </w:pPr>
      <w:r>
        <w:rPr>
          <w:rFonts w:hint="eastAsia"/>
        </w:rPr>
        <w:t>综合应急救援队伍</w:t>
      </w:r>
    </w:p>
    <w:p w14:paraId="4E09E49E">
      <w:pPr>
        <w:ind w:firstLine="632"/>
      </w:pPr>
      <w:r>
        <w:rPr>
          <w:rFonts w:hint="eastAsia"/>
        </w:rPr>
        <w:t>以县消防救援大队为依托，以危险化学品从业单位应急救援队伍为骨干，充分发挥当地其他应急救援队伍的作用，建立一支适应全县危险化学品事故救援需要的应急救援队伍。</w:t>
      </w:r>
    </w:p>
    <w:p w14:paraId="228BF111">
      <w:pPr>
        <w:pStyle w:val="4"/>
        <w:numPr>
          <w:ilvl w:val="2"/>
          <w:numId w:val="178"/>
        </w:numPr>
        <w:tabs>
          <w:tab w:val="left" w:pos="0"/>
        </w:tabs>
      </w:pPr>
      <w:r>
        <w:rPr>
          <w:rFonts w:hint="eastAsia"/>
        </w:rPr>
        <w:t>社会应急救援力量</w:t>
      </w:r>
    </w:p>
    <w:p w14:paraId="0668207D">
      <w:pPr>
        <w:ind w:firstLine="632"/>
      </w:pPr>
      <w:r>
        <w:rPr>
          <w:rFonts w:hint="eastAsia"/>
        </w:rPr>
        <w:t>发挥共青团、妇联、红十字会的作用，鼓励社会团体、企事业单位、基层群众自治组织以及志愿者等参与危险化学品事故应急救援工作。组织有相关知识、经验和资质的志愿者成立应急志愿者队伍，参与防灾避险、疏散安置、急救技能等应急救援知识的宣传、教育和普及工作，参与危险化学品事故抢险救援、卫生防疫、群众安置、设施抢修和心理疏导等工作。</w:t>
      </w:r>
    </w:p>
    <w:p w14:paraId="4C843FA6">
      <w:pPr>
        <w:pStyle w:val="3"/>
        <w:numPr>
          <w:ilvl w:val="0"/>
          <w:numId w:val="178"/>
        </w:numPr>
        <w:tabs>
          <w:tab w:val="left" w:pos="0"/>
        </w:tabs>
      </w:pPr>
      <w:r>
        <w:rPr>
          <w:rFonts w:hint="eastAsia"/>
        </w:rPr>
        <w:t>交通运输保障</w:t>
      </w:r>
    </w:p>
    <w:p w14:paraId="0B32E8BD">
      <w:pPr>
        <w:ind w:firstLine="632"/>
      </w:pPr>
      <w:r>
        <w:rPr>
          <w:rFonts w:hint="eastAsia"/>
        </w:rPr>
        <w:t>发生危险化学品事故后，事故发生地政府及有关部门应根据需要对事故现场进行道路交通管制，开设应急救援特别通道，确保救援物资、器材和人员及时运送到位，并保障人员疏散所需车辆。</w:t>
      </w:r>
    </w:p>
    <w:p w14:paraId="4686E26B">
      <w:pPr>
        <w:pStyle w:val="3"/>
        <w:numPr>
          <w:ilvl w:val="0"/>
          <w:numId w:val="178"/>
        </w:numPr>
        <w:tabs>
          <w:tab w:val="left" w:pos="0"/>
        </w:tabs>
      </w:pPr>
      <w:bookmarkStart w:id="1144" w:name="_Toc17980"/>
      <w:r>
        <w:rPr>
          <w:rFonts w:hint="eastAsia"/>
        </w:rPr>
        <w:t>医疗卫生保障</w:t>
      </w:r>
      <w:bookmarkEnd w:id="1144"/>
    </w:p>
    <w:p w14:paraId="7559D8EB">
      <w:pPr>
        <w:ind w:firstLine="632"/>
      </w:pPr>
      <w:r>
        <w:rPr>
          <w:rFonts w:hint="eastAsia"/>
        </w:rPr>
        <w:t>县卫生健康局组织协调各级医疗救护队伍实施医疗救治，并根据危险化学品事故造成人员伤亡的特点，落实专门救治医院，配备相应药品和器材。</w:t>
      </w:r>
    </w:p>
    <w:p w14:paraId="111EB342">
      <w:pPr>
        <w:pStyle w:val="3"/>
        <w:numPr>
          <w:ilvl w:val="0"/>
          <w:numId w:val="178"/>
        </w:numPr>
        <w:tabs>
          <w:tab w:val="left" w:pos="0"/>
        </w:tabs>
      </w:pPr>
      <w:bookmarkStart w:id="1145" w:name="_Toc13279"/>
      <w:r>
        <w:rPr>
          <w:rFonts w:hint="eastAsia"/>
        </w:rPr>
        <w:t>治安维护保障</w:t>
      </w:r>
      <w:bookmarkEnd w:id="1145"/>
    </w:p>
    <w:p w14:paraId="7BA67A12">
      <w:pPr>
        <w:ind w:firstLine="632"/>
      </w:pPr>
      <w:r>
        <w:rPr>
          <w:rFonts w:hint="eastAsia"/>
        </w:rPr>
        <w:t>县公安部门负责组织事故现场治安警戒和治安管理，加强对重点场所、重点人群、重要物资设备的防范保护；做好交通管制，维持现场秩序，及时疏散群众。必要时，事发地乡镇发动和组织群众，开展群防联防，协助公安部门实施治安保卫工作。</w:t>
      </w:r>
    </w:p>
    <w:p w14:paraId="27D12890">
      <w:pPr>
        <w:pStyle w:val="3"/>
        <w:numPr>
          <w:ilvl w:val="0"/>
          <w:numId w:val="178"/>
        </w:numPr>
        <w:tabs>
          <w:tab w:val="left" w:pos="0"/>
        </w:tabs>
      </w:pPr>
      <w:bookmarkStart w:id="1146" w:name="_Toc26883"/>
      <w:r>
        <w:rPr>
          <w:rFonts w:hint="eastAsia"/>
        </w:rPr>
        <w:t>物资资金保障</w:t>
      </w:r>
      <w:bookmarkEnd w:id="1146"/>
    </w:p>
    <w:p w14:paraId="7EA73D3B">
      <w:pPr>
        <w:ind w:firstLine="632"/>
      </w:pPr>
      <w:r>
        <w:rPr>
          <w:rFonts w:hint="eastAsia"/>
        </w:rPr>
        <w:t>事故所需财政负担的经费，按照现行事权、财权划分原则，分级负担。各级财政应建立健全应急经费快速拨付机制。县应急管理局、双鸭山市集贤生态环境局等部门要根据本辖区实际情况储备一定数量的常备应急救援物资。应急响应所需物资的调用、采购、储备、管理，应遵循“服从调动、服务大局”的原则，保证应急救援的需求。危险化学品从业单位按照有关规定储备应急救援物资。县本级常备物资相关经费由县财政局解决；企业常备物资经费列入生产成本。必要时，依据有关法律法规及时动员和征用社会物资。</w:t>
      </w:r>
    </w:p>
    <w:p w14:paraId="754654D9">
      <w:pPr>
        <w:pStyle w:val="3"/>
        <w:numPr>
          <w:ilvl w:val="0"/>
          <w:numId w:val="178"/>
        </w:numPr>
        <w:tabs>
          <w:tab w:val="left" w:pos="0"/>
        </w:tabs>
      </w:pPr>
      <w:bookmarkStart w:id="1147" w:name="_Toc5217"/>
      <w:r>
        <w:rPr>
          <w:rFonts w:hint="eastAsia"/>
        </w:rPr>
        <w:t>安全防护保障</w:t>
      </w:r>
      <w:bookmarkEnd w:id="1147"/>
    </w:p>
    <w:p w14:paraId="78DF3FF9">
      <w:pPr>
        <w:ind w:firstLine="632"/>
      </w:pPr>
      <w:r>
        <w:rPr>
          <w:rFonts w:hint="eastAsia"/>
        </w:rPr>
        <w:t>现场应急救援人员应当根据需要携带相应的专业防护装备，采取安全防护措施，严格执行应急救援人员进出事故现场的有关规定。</w:t>
      </w:r>
    </w:p>
    <w:p w14:paraId="03A261B0">
      <w:pPr>
        <w:pStyle w:val="3"/>
        <w:numPr>
          <w:ilvl w:val="0"/>
          <w:numId w:val="178"/>
        </w:numPr>
        <w:tabs>
          <w:tab w:val="left" w:pos="0"/>
        </w:tabs>
      </w:pPr>
      <w:bookmarkStart w:id="1148" w:name="_Toc8984"/>
      <w:r>
        <w:rPr>
          <w:rFonts w:hint="eastAsia"/>
        </w:rPr>
        <w:t>社会动员保障</w:t>
      </w:r>
      <w:bookmarkEnd w:id="1148"/>
    </w:p>
    <w:p w14:paraId="41287041">
      <w:pPr>
        <w:ind w:firstLine="632"/>
      </w:pPr>
      <w:r>
        <w:rPr>
          <w:rFonts w:hint="eastAsia"/>
        </w:rPr>
        <w:t>各级政府应根据需要动员和组织社会力量参与事故应急救援工作，需协调调用事故发生地以外的社会应急力量参与增援时，有关地方政府应提供帮助。</w:t>
      </w:r>
    </w:p>
    <w:p w14:paraId="6F706633">
      <w:pPr>
        <w:pStyle w:val="2"/>
        <w:numPr>
          <w:ilvl w:val="0"/>
          <w:numId w:val="178"/>
        </w:numPr>
        <w:tabs>
          <w:tab w:val="left" w:pos="0"/>
        </w:tabs>
      </w:pPr>
      <w:bookmarkStart w:id="1149" w:name="_Toc12530"/>
      <w:r>
        <w:rPr>
          <w:rFonts w:hint="eastAsia"/>
        </w:rPr>
        <w:t>预案管理</w:t>
      </w:r>
      <w:bookmarkEnd w:id="1149"/>
      <w:r>
        <w:rPr>
          <w:rFonts w:hint="eastAsia"/>
        </w:rPr>
        <w:t xml:space="preserve"> </w:t>
      </w:r>
    </w:p>
    <w:p w14:paraId="1CD57B9E">
      <w:pPr>
        <w:pStyle w:val="3"/>
        <w:numPr>
          <w:ilvl w:val="0"/>
          <w:numId w:val="178"/>
        </w:numPr>
        <w:tabs>
          <w:tab w:val="left" w:pos="0"/>
        </w:tabs>
      </w:pPr>
      <w:bookmarkStart w:id="1150" w:name="_Toc21525"/>
      <w:r>
        <w:rPr>
          <w:rFonts w:hint="eastAsia"/>
        </w:rPr>
        <w:t>预案编制、评估、修订</w:t>
      </w:r>
      <w:bookmarkEnd w:id="1150"/>
    </w:p>
    <w:p w14:paraId="24B777B1">
      <w:pPr>
        <w:ind w:firstLine="632"/>
      </w:pPr>
      <w:r>
        <w:rPr>
          <w:rFonts w:hint="eastAsia"/>
        </w:rPr>
        <w:t>县应急管理部门负责本预案的编制、评估、修订。原则上每3年进行1次应急预案评估，对预案内容的针对性和实用性进行分析，并对应急预案是否需要修订作出结论。有下列情形之一的，应当及时修订应急预案，报县政府及市应急局备案，并抄送有关部门：</w:t>
      </w:r>
    </w:p>
    <w:p w14:paraId="123C9DAC">
      <w:pPr>
        <w:numPr>
          <w:ilvl w:val="0"/>
          <w:numId w:val="174"/>
        </w:numPr>
        <w:ind w:firstLine="632"/>
      </w:pPr>
      <w:r>
        <w:rPr>
          <w:rFonts w:hint="eastAsia"/>
        </w:rPr>
        <w:t>有关法律、行政法规、规章、标准、上位预案中的有关规定发生变化的；</w:t>
      </w:r>
    </w:p>
    <w:p w14:paraId="286C1968">
      <w:pPr>
        <w:numPr>
          <w:ilvl w:val="0"/>
          <w:numId w:val="174"/>
        </w:numPr>
        <w:ind w:firstLine="632"/>
      </w:pPr>
      <w:r>
        <w:rPr>
          <w:rFonts w:hint="eastAsia"/>
        </w:rPr>
        <w:t>县应急指挥机构及其职责发生调整的；</w:t>
      </w:r>
    </w:p>
    <w:p w14:paraId="0BC745B5">
      <w:pPr>
        <w:numPr>
          <w:ilvl w:val="0"/>
          <w:numId w:val="174"/>
        </w:numPr>
        <w:ind w:firstLine="632"/>
      </w:pPr>
      <w:r>
        <w:rPr>
          <w:rFonts w:hint="eastAsia"/>
        </w:rPr>
        <w:t>安全生产面临的风险发生重大变化的；</w:t>
      </w:r>
    </w:p>
    <w:p w14:paraId="0389A4DA">
      <w:pPr>
        <w:numPr>
          <w:ilvl w:val="0"/>
          <w:numId w:val="174"/>
        </w:numPr>
        <w:ind w:firstLine="632"/>
      </w:pPr>
      <w:r>
        <w:rPr>
          <w:rFonts w:hint="eastAsia"/>
        </w:rPr>
        <w:t>重要应急资源发生重大变化的；</w:t>
      </w:r>
    </w:p>
    <w:p w14:paraId="4C0923FD">
      <w:pPr>
        <w:numPr>
          <w:ilvl w:val="0"/>
          <w:numId w:val="174"/>
        </w:numPr>
        <w:ind w:firstLine="632"/>
      </w:pPr>
      <w:r>
        <w:rPr>
          <w:rFonts w:hint="eastAsia"/>
        </w:rPr>
        <w:t>预案中的其他重要信息发生变化的；</w:t>
      </w:r>
    </w:p>
    <w:p w14:paraId="5995D224">
      <w:pPr>
        <w:numPr>
          <w:ilvl w:val="0"/>
          <w:numId w:val="174"/>
        </w:numPr>
        <w:ind w:firstLine="632"/>
      </w:pPr>
      <w:r>
        <w:rPr>
          <w:rFonts w:hint="eastAsia"/>
        </w:rPr>
        <w:t>在危险化学品事故实际应对和应急演练中发现问题需要做出重大调整的；</w:t>
      </w:r>
    </w:p>
    <w:p w14:paraId="71A1AE6D">
      <w:pPr>
        <w:numPr>
          <w:ilvl w:val="0"/>
          <w:numId w:val="174"/>
        </w:numPr>
        <w:ind w:firstLine="632"/>
      </w:pPr>
      <w:r>
        <w:rPr>
          <w:rFonts w:hint="eastAsia"/>
        </w:rPr>
        <w:t>应急预案制定单位认为应当修订的其他情况。</w:t>
      </w:r>
    </w:p>
    <w:p w14:paraId="567914A4">
      <w:pPr>
        <w:pStyle w:val="3"/>
        <w:numPr>
          <w:ilvl w:val="0"/>
          <w:numId w:val="178"/>
        </w:numPr>
        <w:tabs>
          <w:tab w:val="left" w:pos="0"/>
        </w:tabs>
      </w:pPr>
      <w:bookmarkStart w:id="1151" w:name="_Toc21635"/>
      <w:r>
        <w:rPr>
          <w:rFonts w:hint="eastAsia"/>
        </w:rPr>
        <w:t>预案审批与备案</w:t>
      </w:r>
      <w:bookmarkEnd w:id="1151"/>
    </w:p>
    <w:p w14:paraId="2CDEA20E">
      <w:pPr>
        <w:ind w:firstLine="632"/>
      </w:pPr>
      <w:r>
        <w:rPr>
          <w:rFonts w:hint="eastAsia"/>
        </w:rPr>
        <w:t>县危险化学品事故应急预案经县政府审批，必要时经县级政府常务会议或专题会议审议，以县政府办公室名义印发。</w:t>
      </w:r>
    </w:p>
    <w:p w14:paraId="3DAB2001">
      <w:pPr>
        <w:ind w:firstLine="632"/>
      </w:pPr>
      <w:r>
        <w:rPr>
          <w:rFonts w:hint="eastAsia"/>
        </w:rPr>
        <w:t>本预案印发（转发）后20个工作日内向县应急管理局和市政府有关主管部门备案。</w:t>
      </w:r>
    </w:p>
    <w:p w14:paraId="5709887E">
      <w:pPr>
        <w:pStyle w:val="3"/>
        <w:numPr>
          <w:ilvl w:val="0"/>
          <w:numId w:val="178"/>
        </w:numPr>
        <w:tabs>
          <w:tab w:val="left" w:pos="0"/>
        </w:tabs>
      </w:pPr>
      <w:bookmarkStart w:id="1152" w:name="_Toc26088"/>
      <w:r>
        <w:rPr>
          <w:rFonts w:hint="eastAsia"/>
        </w:rPr>
        <w:t>宣传、培训和演练</w:t>
      </w:r>
      <w:bookmarkEnd w:id="1152"/>
    </w:p>
    <w:p w14:paraId="25361BA4">
      <w:pPr>
        <w:ind w:firstLine="632"/>
      </w:pPr>
      <w:r>
        <w:rPr>
          <w:rFonts w:hint="eastAsia"/>
        </w:rPr>
        <w:t>县应急管理局应加强危险化学品安全生产事故应急救援知识的宣传。危险化学品企业根据实际情况，做好专、兼职应急救援队伍的培训，适时组织企业员工开展安全生产及应急救援知识培训，每年至少开展一次应急演练，提高员工自救、互救能力。</w:t>
      </w:r>
    </w:p>
    <w:p w14:paraId="6089C62F">
      <w:pPr>
        <w:numPr>
          <w:ilvl w:val="0"/>
          <w:numId w:val="175"/>
        </w:numPr>
        <w:ind w:firstLine="632"/>
      </w:pPr>
      <w:r>
        <w:rPr>
          <w:rFonts w:hint="eastAsia"/>
        </w:rPr>
        <w:t>宣传。危险化学品生产经营单位按照规定向公众和职工说明经营、储存、运输和使用危险化学品的特性及发生事故可能造成的危害，通过新闻报道广泛宣传应急救援有关法律法规和危险化学品事故预防、避险、避灾、自救、互救的常识。</w:t>
      </w:r>
    </w:p>
    <w:p w14:paraId="13F257E9">
      <w:pPr>
        <w:numPr>
          <w:ilvl w:val="0"/>
          <w:numId w:val="175"/>
        </w:numPr>
        <w:ind w:firstLine="632"/>
      </w:pPr>
      <w:r>
        <w:rPr>
          <w:rFonts w:hint="eastAsia"/>
        </w:rPr>
        <w:t>培训。安全生产应急救援机构按照有关规定对应急救援队员进行培训教育；危险化学品生产经营单位按照有关规定对员工进行应急培训。</w:t>
      </w:r>
    </w:p>
    <w:p w14:paraId="7A24383E">
      <w:pPr>
        <w:numPr>
          <w:ilvl w:val="0"/>
          <w:numId w:val="175"/>
        </w:numPr>
        <w:ind w:firstLine="632"/>
      </w:pPr>
      <w:r>
        <w:rPr>
          <w:rFonts w:hint="eastAsia"/>
        </w:rPr>
        <w:t>演练。县危险化学品事故应急预案至少每2年进行一次应急演练。预案发生重大调整的，要及时按照新的预案开展演练。法律法规对应急演练另有规定的，从其规定。</w:t>
      </w:r>
    </w:p>
    <w:p w14:paraId="7EF1B2F2">
      <w:pPr>
        <w:pStyle w:val="2"/>
        <w:numPr>
          <w:ilvl w:val="0"/>
          <w:numId w:val="178"/>
        </w:numPr>
        <w:tabs>
          <w:tab w:val="left" w:pos="0"/>
        </w:tabs>
      </w:pPr>
      <w:bookmarkStart w:id="1153" w:name="_Toc18720"/>
      <w:r>
        <w:rPr>
          <w:rFonts w:hint="eastAsia"/>
        </w:rPr>
        <w:t>奖励与责任</w:t>
      </w:r>
      <w:bookmarkEnd w:id="1153"/>
    </w:p>
    <w:p w14:paraId="5DE1C88C">
      <w:pPr>
        <w:ind w:firstLine="632"/>
      </w:pPr>
      <w:r>
        <w:rPr>
          <w:rFonts w:hint="eastAsia"/>
        </w:rPr>
        <w:t>在危险化学品事故应急救援工作中出色完成应急处置任务，成绩显著的；在预防事故或抢险救灾中表现突出，使国家、集体和人民群众的财产免受损失或者减少损失的；对应急救援工作提出重大建议，实施效果显著以及有其他特殊贡献的单位和个人，应依据有关规定给予奖励。</w:t>
      </w:r>
    </w:p>
    <w:p w14:paraId="261819A0">
      <w:pPr>
        <w:ind w:firstLine="632"/>
      </w:pPr>
      <w:r>
        <w:rPr>
          <w:rFonts w:hint="eastAsia"/>
        </w:rPr>
        <w:t>在危险化学品事故应急救援工作中不按照规定制定事故应急预案，拒绝履行应急救援义务的；不按照规定报告、通报事故真实情况的；拒不执行危险化学品事故灾难应急预案，不服从命令和指挥，或者在应急响应时临阵脱逃的；盗窃、挪用、贪污应急救援资金或者物资的；阻碍工作人员依法执行任务或进行破坏活动的；散布谣言，扰乱社会秩序以及其他危害应急工作行为的，对责任人员依法、依纪、依规问责。</w:t>
      </w:r>
    </w:p>
    <w:p w14:paraId="523E6331">
      <w:pPr>
        <w:pStyle w:val="2"/>
        <w:numPr>
          <w:ilvl w:val="0"/>
          <w:numId w:val="178"/>
        </w:numPr>
        <w:tabs>
          <w:tab w:val="left" w:pos="0"/>
        </w:tabs>
      </w:pPr>
      <w:bookmarkStart w:id="1154" w:name="_Toc10990"/>
      <w:r>
        <w:rPr>
          <w:rFonts w:hint="eastAsia"/>
        </w:rPr>
        <w:t>附则</w:t>
      </w:r>
      <w:bookmarkEnd w:id="1154"/>
    </w:p>
    <w:p w14:paraId="7EFE1F7B">
      <w:pPr>
        <w:pStyle w:val="3"/>
        <w:numPr>
          <w:ilvl w:val="0"/>
          <w:numId w:val="178"/>
        </w:numPr>
        <w:tabs>
          <w:tab w:val="left" w:pos="0"/>
        </w:tabs>
      </w:pPr>
      <w:bookmarkStart w:id="1155" w:name="_Toc11795"/>
      <w:r>
        <w:rPr>
          <w:rFonts w:hint="eastAsia"/>
        </w:rPr>
        <w:t>预案制定与解释</w:t>
      </w:r>
      <w:bookmarkEnd w:id="1155"/>
    </w:p>
    <w:p w14:paraId="7325E42A">
      <w:pPr>
        <w:ind w:firstLine="632"/>
      </w:pPr>
      <w:r>
        <w:rPr>
          <w:rFonts w:hint="eastAsia"/>
        </w:rPr>
        <w:t>本预案由集贤县人民政府负责制定，预案修订与解释工作由县非煤矿山生产安全事故指挥部办公室具体负责。</w:t>
      </w:r>
    </w:p>
    <w:p w14:paraId="775152F8">
      <w:pPr>
        <w:pStyle w:val="3"/>
        <w:numPr>
          <w:ilvl w:val="0"/>
          <w:numId w:val="178"/>
        </w:numPr>
        <w:tabs>
          <w:tab w:val="left" w:pos="0"/>
        </w:tabs>
      </w:pPr>
      <w:bookmarkStart w:id="1156" w:name="_Toc2603"/>
      <w:r>
        <w:rPr>
          <w:rFonts w:hint="eastAsia"/>
        </w:rPr>
        <w:t>预案中“以上”“以下”的含义</w:t>
      </w:r>
      <w:bookmarkEnd w:id="1156"/>
    </w:p>
    <w:p w14:paraId="07D72399">
      <w:pPr>
        <w:ind w:firstLine="632"/>
      </w:pPr>
      <w:r>
        <w:rPr>
          <w:rFonts w:hint="eastAsia"/>
        </w:rPr>
        <w:t>本预案有关数量的表述中，“以上”包含本数，“以下”不包含本数。</w:t>
      </w:r>
    </w:p>
    <w:p w14:paraId="1FC18D39">
      <w:pPr>
        <w:pStyle w:val="3"/>
        <w:numPr>
          <w:ilvl w:val="0"/>
          <w:numId w:val="178"/>
        </w:numPr>
        <w:tabs>
          <w:tab w:val="left" w:pos="0"/>
        </w:tabs>
      </w:pPr>
      <w:bookmarkStart w:id="1157" w:name="_Toc26561"/>
      <w:r>
        <w:rPr>
          <w:rFonts w:hint="eastAsia"/>
        </w:rPr>
        <w:t>预案的实施</w:t>
      </w:r>
      <w:bookmarkEnd w:id="1157"/>
    </w:p>
    <w:p w14:paraId="4CB98997">
      <w:pPr>
        <w:ind w:firstLine="632"/>
      </w:pPr>
      <w:r>
        <w:rPr>
          <w:rFonts w:hint="eastAsia"/>
        </w:rPr>
        <w:t>本预案自发布之日起施行。</w:t>
      </w:r>
    </w:p>
    <w:p w14:paraId="6CA689C3">
      <w:pPr>
        <w:ind w:firstLine="0" w:firstLineChars="0"/>
        <w:jc w:val="center"/>
        <w:rPr>
          <w:rFonts w:ascii="Times New Roman" w:hAnsi="Times New Roman" w:eastAsia="方正小标宋简体"/>
          <w:sz w:val="36"/>
        </w:rPr>
      </w:pPr>
    </w:p>
    <w:p w14:paraId="45E17E6D">
      <w:pPr>
        <w:pStyle w:val="15"/>
        <w:ind w:left="0" w:leftChars="0" w:firstLine="0" w:firstLineChars="0"/>
        <w:rPr>
          <w:rFonts w:ascii="Times New Roman" w:hAnsi="Times New Roman" w:cs="Times New Roman"/>
        </w:rPr>
        <w:sectPr>
          <w:footerReference r:id="rId109" w:type="default"/>
          <w:pgSz w:w="11906" w:h="16838"/>
          <w:pgMar w:top="2098" w:right="1474" w:bottom="1984" w:left="1587" w:header="624" w:footer="1134" w:gutter="0"/>
          <w:pgNumType w:start="1"/>
          <w:cols w:space="0" w:num="1"/>
          <w:docGrid w:type="linesAndChars" w:linePitch="579" w:charSpace="-842"/>
        </w:sectPr>
      </w:pPr>
    </w:p>
    <w:p w14:paraId="2BECF395">
      <w:pPr>
        <w:pStyle w:val="11"/>
        <w:ind w:firstLine="632"/>
      </w:pPr>
      <w:r>
        <w:rPr>
          <w:rFonts w:hint="eastAsia"/>
        </w:rPr>
        <w:t xml:space="preserve"> </w:t>
      </w:r>
    </w:p>
    <w:p w14:paraId="73B0AFC2">
      <w:pPr>
        <w:ind w:firstLine="0" w:firstLineChars="0"/>
        <w:jc w:val="center"/>
        <w:rPr>
          <w:sz w:val="36"/>
          <w:szCs w:val="36"/>
        </w:rPr>
      </w:pPr>
    </w:p>
    <w:p w14:paraId="1846C58E">
      <w:pPr>
        <w:pStyle w:val="42"/>
      </w:pPr>
    </w:p>
    <w:p w14:paraId="7B42F020">
      <w:pPr>
        <w:autoSpaceDE w:val="0"/>
        <w:autoSpaceDN w:val="0"/>
        <w:adjustRightInd w:val="0"/>
        <w:spacing w:line="240" w:lineRule="atLeast"/>
        <w:ind w:firstLine="0" w:firstLineChars="0"/>
        <w:jc w:val="center"/>
        <w:rPr>
          <w:rFonts w:ascii="方正小标宋简体" w:hAnsi="方正小标宋简体" w:eastAsia="方正小标宋简体" w:cs="方正小标宋简体"/>
          <w:bCs/>
          <w:color w:val="000000"/>
          <w:spacing w:val="-6"/>
          <w:kern w:val="0"/>
          <w:sz w:val="52"/>
          <w:szCs w:val="52"/>
          <w:lang w:bidi="ar"/>
        </w:rPr>
      </w:pPr>
      <w:r>
        <w:rPr>
          <w:rFonts w:hint="eastAsia" w:ascii="方正小标宋简体" w:hAnsi="方正小标宋简体" w:eastAsia="方正小标宋简体" w:cs="方正小标宋简体"/>
          <w:bCs/>
          <w:color w:val="000000"/>
          <w:spacing w:val="-6"/>
          <w:kern w:val="0"/>
          <w:sz w:val="52"/>
          <w:szCs w:val="52"/>
          <w:lang w:bidi="ar"/>
        </w:rPr>
        <w:t>集贤县食品安全事故应急预案</w:t>
      </w:r>
    </w:p>
    <w:p w14:paraId="754CB9F2">
      <w:pPr>
        <w:pStyle w:val="11"/>
        <w:ind w:firstLine="0" w:firstLineChars="0"/>
        <w:jc w:val="center"/>
        <w:rPr>
          <w:rFonts w:ascii="Times New Roman" w:hAnsi="Times New Roman" w:eastAsia="楷体_GB2312" w:cs="Times New Roman"/>
          <w:b/>
          <w:sz w:val="52"/>
          <w:szCs w:val="52"/>
        </w:rPr>
      </w:pPr>
      <w:r>
        <w:rPr>
          <w:rFonts w:hint="eastAsia" w:ascii="仿宋_GB2312" w:hAnsi="仿宋_GB2312" w:cs="仿宋_GB2312"/>
          <w:bCs/>
          <w:sz w:val="48"/>
          <w:szCs w:val="48"/>
        </w:rPr>
        <w:t>（修订稿）</w:t>
      </w:r>
    </w:p>
    <w:p w14:paraId="550903F1">
      <w:pPr>
        <w:ind w:firstLine="0" w:firstLineChars="0"/>
        <w:jc w:val="center"/>
      </w:pPr>
    </w:p>
    <w:p w14:paraId="0ADCF22D">
      <w:pPr>
        <w:ind w:firstLine="632"/>
      </w:pPr>
    </w:p>
    <w:p w14:paraId="45ACB6A2">
      <w:pPr>
        <w:ind w:firstLine="632"/>
      </w:pPr>
    </w:p>
    <w:p w14:paraId="5B6CDFAF">
      <w:pPr>
        <w:ind w:firstLine="632"/>
      </w:pPr>
    </w:p>
    <w:p w14:paraId="7054CF09">
      <w:pPr>
        <w:pStyle w:val="11"/>
        <w:ind w:firstLine="632"/>
      </w:pPr>
    </w:p>
    <w:p w14:paraId="4C49E570">
      <w:pPr>
        <w:pStyle w:val="11"/>
        <w:ind w:firstLine="632"/>
      </w:pPr>
    </w:p>
    <w:p w14:paraId="7D2BEB6C">
      <w:pPr>
        <w:pStyle w:val="11"/>
        <w:ind w:firstLine="632"/>
      </w:pPr>
    </w:p>
    <w:p w14:paraId="349CAE37">
      <w:pPr>
        <w:pStyle w:val="11"/>
        <w:ind w:firstLine="632"/>
      </w:pPr>
    </w:p>
    <w:p w14:paraId="0C12A2EA">
      <w:pPr>
        <w:ind w:firstLine="632"/>
      </w:pPr>
    </w:p>
    <w:p w14:paraId="23552058">
      <w:pPr>
        <w:ind w:firstLine="632"/>
      </w:pPr>
    </w:p>
    <w:p w14:paraId="1363FAF0">
      <w:pPr>
        <w:pStyle w:val="42"/>
      </w:pPr>
    </w:p>
    <w:p w14:paraId="5CAAF21D">
      <w:pPr>
        <w:pStyle w:val="42"/>
      </w:pPr>
    </w:p>
    <w:p w14:paraId="2F621671">
      <w:pPr>
        <w:ind w:firstLine="632"/>
      </w:pPr>
    </w:p>
    <w:p w14:paraId="712102A4">
      <w:pPr>
        <w:ind w:firstLine="0" w:firstLineChars="0"/>
        <w:jc w:val="center"/>
        <w:rPr>
          <w:rFonts w:eastAsia="仿宋"/>
          <w:bCs/>
          <w:spacing w:val="-6"/>
          <w:sz w:val="36"/>
          <w:szCs w:val="24"/>
          <w:lang w:bidi="ar"/>
        </w:rPr>
      </w:pPr>
      <w:r>
        <w:rPr>
          <w:rFonts w:hint="eastAsia"/>
          <w:bCs/>
          <w:spacing w:val="-6"/>
          <w:sz w:val="36"/>
          <w:szCs w:val="24"/>
          <w:lang w:bidi="ar"/>
        </w:rPr>
        <w:t>集贤县</w:t>
      </w:r>
      <w:r>
        <w:rPr>
          <w:rFonts w:hint="eastAsia" w:eastAsia="仿宋"/>
          <w:bCs/>
          <w:spacing w:val="-6"/>
          <w:sz w:val="36"/>
          <w:szCs w:val="24"/>
          <w:lang w:bidi="ar"/>
        </w:rPr>
        <w:t>人民政府</w:t>
      </w:r>
      <w:r>
        <w:rPr>
          <w:rFonts w:hint="eastAsia"/>
          <w:bCs/>
          <w:spacing w:val="-6"/>
          <w:sz w:val="36"/>
          <w:szCs w:val="24"/>
          <w:lang w:bidi="ar"/>
        </w:rPr>
        <w:t xml:space="preserve"> </w:t>
      </w:r>
      <w:r>
        <w:rPr>
          <w:rFonts w:hint="eastAsia" w:eastAsia="仿宋"/>
          <w:bCs/>
          <w:spacing w:val="-6"/>
          <w:sz w:val="36"/>
          <w:szCs w:val="24"/>
          <w:lang w:bidi="ar"/>
        </w:rPr>
        <w:t>编制</w:t>
      </w:r>
    </w:p>
    <w:p w14:paraId="56FE6098">
      <w:pPr>
        <w:ind w:firstLine="0" w:firstLineChars="0"/>
        <w:jc w:val="center"/>
        <w:rPr>
          <w:rFonts w:eastAsia="仿宋"/>
          <w:bCs/>
          <w:spacing w:val="-6"/>
          <w:sz w:val="36"/>
          <w:szCs w:val="24"/>
          <w:lang w:bidi="ar"/>
        </w:rPr>
      </w:pPr>
      <w:r>
        <w:rPr>
          <w:rFonts w:hint="eastAsia" w:eastAsia="仿宋"/>
          <w:bCs/>
          <w:spacing w:val="-6"/>
          <w:sz w:val="36"/>
          <w:szCs w:val="24"/>
          <w:lang w:bidi="ar"/>
        </w:rPr>
        <w:t>202</w:t>
      </w:r>
      <w:r>
        <w:rPr>
          <w:bCs/>
          <w:spacing w:val="-6"/>
          <w:sz w:val="36"/>
          <w:szCs w:val="24"/>
          <w:lang w:bidi="ar"/>
        </w:rPr>
        <w:t>5</w:t>
      </w:r>
      <w:r>
        <w:rPr>
          <w:rFonts w:hint="eastAsia" w:eastAsia="仿宋"/>
          <w:bCs/>
          <w:spacing w:val="-6"/>
          <w:sz w:val="36"/>
          <w:szCs w:val="24"/>
          <w:lang w:bidi="ar"/>
        </w:rPr>
        <w:t>年</w:t>
      </w:r>
      <w:r>
        <w:rPr>
          <w:rFonts w:eastAsia="仿宋"/>
          <w:bCs/>
          <w:spacing w:val="-6"/>
          <w:sz w:val="36"/>
          <w:szCs w:val="24"/>
          <w:lang w:bidi="ar"/>
        </w:rPr>
        <w:t>5</w:t>
      </w:r>
      <w:r>
        <w:rPr>
          <w:rFonts w:hint="eastAsia" w:eastAsia="仿宋"/>
          <w:bCs/>
          <w:spacing w:val="-6"/>
          <w:sz w:val="36"/>
          <w:szCs w:val="24"/>
          <w:lang w:bidi="ar"/>
        </w:rPr>
        <w:t>月</w:t>
      </w:r>
    </w:p>
    <w:p w14:paraId="53FA6E1C">
      <w:pPr>
        <w:ind w:firstLine="0" w:firstLineChars="0"/>
        <w:sectPr>
          <w:footerReference r:id="rId110" w:type="default"/>
          <w:pgSz w:w="11906" w:h="16838"/>
          <w:pgMar w:top="2098" w:right="1474" w:bottom="1984" w:left="1587" w:header="1814" w:footer="1587" w:gutter="0"/>
          <w:pgNumType w:fmt="numberInDash"/>
          <w:cols w:space="720" w:num="1"/>
          <w:docGrid w:type="linesAndChars" w:linePitch="579" w:charSpace="-842"/>
        </w:sectPr>
      </w:pPr>
      <w:r>
        <w:rPr>
          <w:rFonts w:hint="eastAsia"/>
        </w:rPr>
        <w:br w:type="page"/>
      </w:r>
    </w:p>
    <w:p w14:paraId="4CF768AC">
      <w:pPr>
        <w:ind w:firstLine="0" w:firstLineChars="0"/>
        <w:jc w:val="center"/>
        <w:rPr>
          <w:rFonts w:ascii="微软雅黑" w:hAnsi="微软雅黑" w:eastAsia="微软雅黑" w:cs="微软雅黑"/>
          <w:b/>
          <w:bCs/>
          <w:sz w:val="36"/>
          <w:szCs w:val="36"/>
        </w:rPr>
      </w:pPr>
      <w:r>
        <w:rPr>
          <w:rFonts w:hint="eastAsia" w:ascii="微软雅黑" w:hAnsi="微软雅黑" w:eastAsia="微软雅黑" w:cs="微软雅黑"/>
          <w:b/>
          <w:bCs/>
          <w:sz w:val="36"/>
          <w:szCs w:val="36"/>
        </w:rPr>
        <w:t>目  录</w:t>
      </w:r>
    </w:p>
    <w:p w14:paraId="449A63AE">
      <w:pPr>
        <w:pStyle w:val="18"/>
      </w:pPr>
      <w:r>
        <w:rPr>
          <w:rFonts w:hint="eastAsia" w:ascii="黑体" w:hAnsi="黑体" w:eastAsia="黑体" w:cs="黑体"/>
          <w:sz w:val="44"/>
          <w:szCs w:val="44"/>
        </w:rPr>
        <w:fldChar w:fldCharType="begin"/>
      </w:r>
      <w:r>
        <w:rPr>
          <w:rFonts w:hint="eastAsia" w:ascii="黑体" w:hAnsi="黑体" w:eastAsia="黑体" w:cs="黑体"/>
          <w:sz w:val="44"/>
          <w:szCs w:val="44"/>
        </w:rPr>
        <w:instrText xml:space="preserve">TOC \o "1-2" \h \u </w:instrText>
      </w:r>
      <w:r>
        <w:rPr>
          <w:rFonts w:hint="eastAsia" w:ascii="黑体" w:hAnsi="黑体" w:eastAsia="黑体" w:cs="黑体"/>
          <w:sz w:val="44"/>
          <w:szCs w:val="44"/>
        </w:rPr>
        <w:fldChar w:fldCharType="separate"/>
      </w:r>
      <w:r>
        <w:fldChar w:fldCharType="begin"/>
      </w:r>
      <w:r>
        <w:instrText xml:space="preserve"> HYPERLINK \l "_Toc25407" </w:instrText>
      </w:r>
      <w:r>
        <w:fldChar w:fldCharType="separate"/>
      </w:r>
      <w:r>
        <w:rPr>
          <w:rFonts w:eastAsia="仿宋"/>
        </w:rPr>
        <w:t xml:space="preserve">1 </w:t>
      </w:r>
      <w:r>
        <w:rPr>
          <w:rFonts w:hint="eastAsia"/>
        </w:rPr>
        <w:t>总则</w:t>
      </w:r>
      <w:r>
        <w:tab/>
      </w:r>
      <w:r>
        <w:fldChar w:fldCharType="begin"/>
      </w:r>
      <w:r>
        <w:instrText xml:space="preserve"> PAGEREF _Toc25407 \h </w:instrText>
      </w:r>
      <w:r>
        <w:fldChar w:fldCharType="separate"/>
      </w:r>
      <w:r>
        <w:t>1</w:t>
      </w:r>
      <w:r>
        <w:fldChar w:fldCharType="end"/>
      </w:r>
      <w:r>
        <w:fldChar w:fldCharType="end"/>
      </w:r>
    </w:p>
    <w:p w14:paraId="6A583A80">
      <w:pPr>
        <w:pStyle w:val="19"/>
        <w:tabs>
          <w:tab w:val="right" w:leader="dot" w:pos="8845"/>
        </w:tabs>
        <w:ind w:firstLine="632"/>
      </w:pPr>
      <w:r>
        <w:fldChar w:fldCharType="begin"/>
      </w:r>
      <w:r>
        <w:instrText xml:space="preserve"> HYPERLINK \l "_Toc18679" </w:instrText>
      </w:r>
      <w:r>
        <w:fldChar w:fldCharType="separate"/>
      </w:r>
      <w:r>
        <w:rPr>
          <w:rFonts w:eastAsia="仿宋"/>
          <w:bCs/>
          <w:szCs w:val="28"/>
        </w:rPr>
        <w:t xml:space="preserve">1.1 </w:t>
      </w:r>
      <w:r>
        <w:rPr>
          <w:rFonts w:hint="eastAsia"/>
        </w:rPr>
        <w:t>编制目的</w:t>
      </w:r>
      <w:r>
        <w:tab/>
      </w:r>
      <w:r>
        <w:fldChar w:fldCharType="begin"/>
      </w:r>
      <w:r>
        <w:instrText xml:space="preserve"> PAGEREF _Toc18679 \h </w:instrText>
      </w:r>
      <w:r>
        <w:fldChar w:fldCharType="separate"/>
      </w:r>
      <w:r>
        <w:t>1</w:t>
      </w:r>
      <w:r>
        <w:fldChar w:fldCharType="end"/>
      </w:r>
      <w:r>
        <w:fldChar w:fldCharType="end"/>
      </w:r>
    </w:p>
    <w:p w14:paraId="674CC350">
      <w:pPr>
        <w:pStyle w:val="19"/>
        <w:tabs>
          <w:tab w:val="right" w:leader="dot" w:pos="8845"/>
        </w:tabs>
        <w:ind w:firstLine="632"/>
      </w:pPr>
      <w:r>
        <w:fldChar w:fldCharType="begin"/>
      </w:r>
      <w:r>
        <w:instrText xml:space="preserve"> HYPERLINK \l "_Toc28647" </w:instrText>
      </w:r>
      <w:r>
        <w:fldChar w:fldCharType="separate"/>
      </w:r>
      <w:r>
        <w:rPr>
          <w:rFonts w:eastAsia="仿宋"/>
          <w:bCs/>
          <w:szCs w:val="28"/>
        </w:rPr>
        <w:t xml:space="preserve">1.2 </w:t>
      </w:r>
      <w:r>
        <w:rPr>
          <w:rFonts w:hint="eastAsia"/>
        </w:rPr>
        <w:t>编制依据</w:t>
      </w:r>
      <w:r>
        <w:tab/>
      </w:r>
      <w:r>
        <w:fldChar w:fldCharType="begin"/>
      </w:r>
      <w:r>
        <w:instrText xml:space="preserve"> PAGEREF _Toc28647 \h </w:instrText>
      </w:r>
      <w:r>
        <w:fldChar w:fldCharType="separate"/>
      </w:r>
      <w:r>
        <w:t>1</w:t>
      </w:r>
      <w:r>
        <w:fldChar w:fldCharType="end"/>
      </w:r>
      <w:r>
        <w:fldChar w:fldCharType="end"/>
      </w:r>
    </w:p>
    <w:p w14:paraId="6EBF2B6F">
      <w:pPr>
        <w:pStyle w:val="19"/>
        <w:tabs>
          <w:tab w:val="right" w:leader="dot" w:pos="8845"/>
        </w:tabs>
        <w:ind w:firstLine="632"/>
      </w:pPr>
      <w:r>
        <w:fldChar w:fldCharType="begin"/>
      </w:r>
      <w:r>
        <w:instrText xml:space="preserve"> HYPERLINK \l "_Toc19840" </w:instrText>
      </w:r>
      <w:r>
        <w:fldChar w:fldCharType="separate"/>
      </w:r>
      <w:r>
        <w:rPr>
          <w:rFonts w:eastAsia="仿宋"/>
          <w:bCs/>
          <w:szCs w:val="28"/>
        </w:rPr>
        <w:t xml:space="preserve">1.3 </w:t>
      </w:r>
      <w:r>
        <w:rPr>
          <w:rFonts w:hint="eastAsia"/>
        </w:rPr>
        <w:t>适用范围</w:t>
      </w:r>
      <w:r>
        <w:tab/>
      </w:r>
      <w:r>
        <w:fldChar w:fldCharType="begin"/>
      </w:r>
      <w:r>
        <w:instrText xml:space="preserve"> PAGEREF _Toc19840 \h </w:instrText>
      </w:r>
      <w:r>
        <w:fldChar w:fldCharType="separate"/>
      </w:r>
      <w:r>
        <w:t>1</w:t>
      </w:r>
      <w:r>
        <w:fldChar w:fldCharType="end"/>
      </w:r>
      <w:r>
        <w:fldChar w:fldCharType="end"/>
      </w:r>
    </w:p>
    <w:p w14:paraId="590DD4EB">
      <w:pPr>
        <w:pStyle w:val="19"/>
        <w:tabs>
          <w:tab w:val="right" w:leader="dot" w:pos="8845"/>
        </w:tabs>
        <w:ind w:firstLine="632"/>
      </w:pPr>
      <w:r>
        <w:fldChar w:fldCharType="begin"/>
      </w:r>
      <w:r>
        <w:instrText xml:space="preserve"> HYPERLINK \l "_Toc28004" </w:instrText>
      </w:r>
      <w:r>
        <w:fldChar w:fldCharType="separate"/>
      </w:r>
      <w:r>
        <w:rPr>
          <w:rFonts w:eastAsia="仿宋"/>
          <w:bCs/>
          <w:szCs w:val="28"/>
        </w:rPr>
        <w:t xml:space="preserve">1.4 </w:t>
      </w:r>
      <w:r>
        <w:rPr>
          <w:rFonts w:hint="eastAsia"/>
        </w:rPr>
        <w:t>工作原则</w:t>
      </w:r>
      <w:r>
        <w:tab/>
      </w:r>
      <w:r>
        <w:fldChar w:fldCharType="begin"/>
      </w:r>
      <w:r>
        <w:instrText xml:space="preserve"> PAGEREF _Toc28004 \h </w:instrText>
      </w:r>
      <w:r>
        <w:fldChar w:fldCharType="separate"/>
      </w:r>
      <w:r>
        <w:t>2</w:t>
      </w:r>
      <w:r>
        <w:fldChar w:fldCharType="end"/>
      </w:r>
      <w:r>
        <w:fldChar w:fldCharType="end"/>
      </w:r>
    </w:p>
    <w:p w14:paraId="331FB219">
      <w:pPr>
        <w:pStyle w:val="19"/>
        <w:tabs>
          <w:tab w:val="right" w:leader="dot" w:pos="8845"/>
        </w:tabs>
        <w:ind w:firstLine="632"/>
      </w:pPr>
      <w:r>
        <w:fldChar w:fldCharType="begin"/>
      </w:r>
      <w:r>
        <w:instrText xml:space="preserve"> HYPERLINK \l "_Toc5086" </w:instrText>
      </w:r>
      <w:r>
        <w:fldChar w:fldCharType="separate"/>
      </w:r>
      <w:r>
        <w:rPr>
          <w:rFonts w:eastAsia="仿宋"/>
          <w:bCs/>
          <w:szCs w:val="28"/>
        </w:rPr>
        <w:t xml:space="preserve">1.5 </w:t>
      </w:r>
      <w:r>
        <w:rPr>
          <w:rFonts w:hint="eastAsia"/>
        </w:rPr>
        <w:t>食品安全事件分级</w:t>
      </w:r>
      <w:r>
        <w:tab/>
      </w:r>
      <w:r>
        <w:fldChar w:fldCharType="begin"/>
      </w:r>
      <w:r>
        <w:instrText xml:space="preserve"> PAGEREF _Toc5086 \h </w:instrText>
      </w:r>
      <w:r>
        <w:fldChar w:fldCharType="separate"/>
      </w:r>
      <w:r>
        <w:t>2</w:t>
      </w:r>
      <w:r>
        <w:fldChar w:fldCharType="end"/>
      </w:r>
      <w:r>
        <w:fldChar w:fldCharType="end"/>
      </w:r>
    </w:p>
    <w:p w14:paraId="693BCC89">
      <w:pPr>
        <w:pStyle w:val="18"/>
      </w:pPr>
      <w:r>
        <w:fldChar w:fldCharType="begin"/>
      </w:r>
      <w:r>
        <w:instrText xml:space="preserve"> HYPERLINK \l "_Toc15728" </w:instrText>
      </w:r>
      <w:r>
        <w:fldChar w:fldCharType="separate"/>
      </w:r>
      <w:r>
        <w:rPr>
          <w:rFonts w:eastAsia="仿宋"/>
        </w:rPr>
        <w:t xml:space="preserve">2 </w:t>
      </w:r>
      <w:r>
        <w:rPr>
          <w:rFonts w:hint="eastAsia"/>
        </w:rPr>
        <w:t>组织指挥体系及职责</w:t>
      </w:r>
      <w:r>
        <w:tab/>
      </w:r>
      <w:r>
        <w:fldChar w:fldCharType="begin"/>
      </w:r>
      <w:r>
        <w:instrText xml:space="preserve"> PAGEREF _Toc15728 \h </w:instrText>
      </w:r>
      <w:r>
        <w:fldChar w:fldCharType="separate"/>
      </w:r>
      <w:r>
        <w:t>5</w:t>
      </w:r>
      <w:r>
        <w:fldChar w:fldCharType="end"/>
      </w:r>
      <w:r>
        <w:fldChar w:fldCharType="end"/>
      </w:r>
    </w:p>
    <w:p w14:paraId="5012823D">
      <w:pPr>
        <w:pStyle w:val="19"/>
        <w:tabs>
          <w:tab w:val="right" w:leader="dot" w:pos="8845"/>
        </w:tabs>
        <w:ind w:firstLine="632"/>
      </w:pPr>
      <w:r>
        <w:fldChar w:fldCharType="begin"/>
      </w:r>
      <w:r>
        <w:instrText xml:space="preserve"> HYPERLINK \l "_Toc7015" </w:instrText>
      </w:r>
      <w:r>
        <w:fldChar w:fldCharType="separate"/>
      </w:r>
      <w:r>
        <w:rPr>
          <w:rFonts w:eastAsia="仿宋"/>
          <w:bCs/>
          <w:szCs w:val="28"/>
        </w:rPr>
        <w:t xml:space="preserve">2.1 </w:t>
      </w:r>
      <w:r>
        <w:rPr>
          <w:rFonts w:hint="eastAsia"/>
        </w:rPr>
        <w:t>县指挥部组成</w:t>
      </w:r>
      <w:r>
        <w:tab/>
      </w:r>
      <w:r>
        <w:fldChar w:fldCharType="begin"/>
      </w:r>
      <w:r>
        <w:instrText xml:space="preserve"> PAGEREF _Toc7015 \h </w:instrText>
      </w:r>
      <w:r>
        <w:fldChar w:fldCharType="separate"/>
      </w:r>
      <w:r>
        <w:t>5</w:t>
      </w:r>
      <w:r>
        <w:fldChar w:fldCharType="end"/>
      </w:r>
      <w:r>
        <w:fldChar w:fldCharType="end"/>
      </w:r>
    </w:p>
    <w:p w14:paraId="5A0986B4">
      <w:pPr>
        <w:pStyle w:val="19"/>
        <w:tabs>
          <w:tab w:val="right" w:leader="dot" w:pos="8845"/>
        </w:tabs>
        <w:ind w:firstLine="632"/>
      </w:pPr>
      <w:r>
        <w:fldChar w:fldCharType="begin"/>
      </w:r>
      <w:r>
        <w:instrText xml:space="preserve"> HYPERLINK \l "_Toc7273" </w:instrText>
      </w:r>
      <w:r>
        <w:fldChar w:fldCharType="separate"/>
      </w:r>
      <w:r>
        <w:rPr>
          <w:rFonts w:eastAsia="仿宋"/>
          <w:bCs/>
          <w:szCs w:val="28"/>
        </w:rPr>
        <w:t xml:space="preserve">2.2 </w:t>
      </w:r>
      <w:r>
        <w:rPr>
          <w:rFonts w:hint="eastAsia"/>
        </w:rPr>
        <w:t>现场指挥部</w:t>
      </w:r>
      <w:r>
        <w:tab/>
      </w:r>
      <w:r>
        <w:fldChar w:fldCharType="begin"/>
      </w:r>
      <w:r>
        <w:instrText xml:space="preserve"> PAGEREF _Toc7273 \h </w:instrText>
      </w:r>
      <w:r>
        <w:fldChar w:fldCharType="separate"/>
      </w:r>
      <w:r>
        <w:t>9</w:t>
      </w:r>
      <w:r>
        <w:fldChar w:fldCharType="end"/>
      </w:r>
      <w:r>
        <w:fldChar w:fldCharType="end"/>
      </w:r>
    </w:p>
    <w:p w14:paraId="4AE5238B">
      <w:pPr>
        <w:pStyle w:val="19"/>
        <w:tabs>
          <w:tab w:val="right" w:leader="dot" w:pos="8845"/>
        </w:tabs>
        <w:ind w:firstLine="632"/>
      </w:pPr>
      <w:r>
        <w:fldChar w:fldCharType="begin"/>
      </w:r>
      <w:r>
        <w:instrText xml:space="preserve"> HYPERLINK \l "_Toc2016" </w:instrText>
      </w:r>
      <w:r>
        <w:fldChar w:fldCharType="separate"/>
      </w:r>
      <w:r>
        <w:rPr>
          <w:rFonts w:eastAsia="仿宋"/>
          <w:bCs/>
          <w:szCs w:val="28"/>
        </w:rPr>
        <w:t xml:space="preserve">2.3 </w:t>
      </w:r>
      <w:r>
        <w:t>应急处置专业技术机构</w:t>
      </w:r>
      <w:r>
        <w:tab/>
      </w:r>
      <w:r>
        <w:fldChar w:fldCharType="begin"/>
      </w:r>
      <w:r>
        <w:instrText xml:space="preserve"> PAGEREF _Toc2016 \h </w:instrText>
      </w:r>
      <w:r>
        <w:fldChar w:fldCharType="separate"/>
      </w:r>
      <w:r>
        <w:t>11</w:t>
      </w:r>
      <w:r>
        <w:fldChar w:fldCharType="end"/>
      </w:r>
      <w:r>
        <w:fldChar w:fldCharType="end"/>
      </w:r>
    </w:p>
    <w:p w14:paraId="111853AE">
      <w:pPr>
        <w:pStyle w:val="18"/>
      </w:pPr>
      <w:r>
        <w:fldChar w:fldCharType="begin"/>
      </w:r>
      <w:r>
        <w:instrText xml:space="preserve"> HYPERLINK \l "_Toc31859" </w:instrText>
      </w:r>
      <w:r>
        <w:fldChar w:fldCharType="separate"/>
      </w:r>
      <w:r>
        <w:rPr>
          <w:rFonts w:eastAsia="仿宋"/>
        </w:rPr>
        <w:t xml:space="preserve">3 </w:t>
      </w:r>
      <w:r>
        <w:rPr>
          <w:rFonts w:hint="eastAsia"/>
        </w:rPr>
        <w:t>监测预警</w:t>
      </w:r>
      <w:r>
        <w:tab/>
      </w:r>
      <w:r>
        <w:fldChar w:fldCharType="begin"/>
      </w:r>
      <w:r>
        <w:instrText xml:space="preserve"> PAGEREF _Toc31859 \h </w:instrText>
      </w:r>
      <w:r>
        <w:fldChar w:fldCharType="separate"/>
      </w:r>
      <w:r>
        <w:t>11</w:t>
      </w:r>
      <w:r>
        <w:fldChar w:fldCharType="end"/>
      </w:r>
      <w:r>
        <w:fldChar w:fldCharType="end"/>
      </w:r>
    </w:p>
    <w:p w14:paraId="6E296DFD">
      <w:pPr>
        <w:pStyle w:val="19"/>
        <w:tabs>
          <w:tab w:val="right" w:leader="dot" w:pos="8845"/>
        </w:tabs>
        <w:ind w:firstLine="632"/>
      </w:pPr>
      <w:r>
        <w:fldChar w:fldCharType="begin"/>
      </w:r>
      <w:r>
        <w:instrText xml:space="preserve"> HYPERLINK \l "_Toc12935" </w:instrText>
      </w:r>
      <w:r>
        <w:fldChar w:fldCharType="separate"/>
      </w:r>
      <w:r>
        <w:rPr>
          <w:rFonts w:eastAsia="仿宋"/>
          <w:bCs/>
          <w:szCs w:val="28"/>
        </w:rPr>
        <w:t xml:space="preserve">3.1 </w:t>
      </w:r>
      <w:r>
        <w:rPr>
          <w:rFonts w:hint="eastAsia"/>
        </w:rPr>
        <w:t>事件监测</w:t>
      </w:r>
      <w:r>
        <w:tab/>
      </w:r>
      <w:r>
        <w:fldChar w:fldCharType="begin"/>
      </w:r>
      <w:r>
        <w:instrText xml:space="preserve"> PAGEREF _Toc12935 \h </w:instrText>
      </w:r>
      <w:r>
        <w:fldChar w:fldCharType="separate"/>
      </w:r>
      <w:r>
        <w:t>11</w:t>
      </w:r>
      <w:r>
        <w:fldChar w:fldCharType="end"/>
      </w:r>
      <w:r>
        <w:fldChar w:fldCharType="end"/>
      </w:r>
    </w:p>
    <w:p w14:paraId="753AAAB5">
      <w:pPr>
        <w:pStyle w:val="19"/>
        <w:tabs>
          <w:tab w:val="right" w:leader="dot" w:pos="8845"/>
        </w:tabs>
        <w:ind w:firstLine="632"/>
      </w:pPr>
      <w:r>
        <w:fldChar w:fldCharType="begin"/>
      </w:r>
      <w:r>
        <w:instrText xml:space="preserve"> HYPERLINK \l "_Toc27347" </w:instrText>
      </w:r>
      <w:r>
        <w:fldChar w:fldCharType="separate"/>
      </w:r>
      <w:r>
        <w:rPr>
          <w:rFonts w:eastAsia="仿宋"/>
          <w:bCs/>
          <w:szCs w:val="28"/>
        </w:rPr>
        <w:t xml:space="preserve">3.2 </w:t>
      </w:r>
      <w:r>
        <w:rPr>
          <w:rFonts w:hint="eastAsia"/>
        </w:rPr>
        <w:t>预警发布</w:t>
      </w:r>
      <w:r>
        <w:tab/>
      </w:r>
      <w:r>
        <w:fldChar w:fldCharType="begin"/>
      </w:r>
      <w:r>
        <w:instrText xml:space="preserve"> PAGEREF _Toc27347 \h </w:instrText>
      </w:r>
      <w:r>
        <w:fldChar w:fldCharType="separate"/>
      </w:r>
      <w:r>
        <w:t>12</w:t>
      </w:r>
      <w:r>
        <w:fldChar w:fldCharType="end"/>
      </w:r>
      <w:r>
        <w:fldChar w:fldCharType="end"/>
      </w:r>
    </w:p>
    <w:p w14:paraId="5172ECB1">
      <w:pPr>
        <w:pStyle w:val="19"/>
        <w:tabs>
          <w:tab w:val="right" w:leader="dot" w:pos="8845"/>
        </w:tabs>
        <w:ind w:firstLine="632"/>
      </w:pPr>
      <w:r>
        <w:fldChar w:fldCharType="begin"/>
      </w:r>
      <w:r>
        <w:instrText xml:space="preserve"> HYPERLINK \l "_Toc12418" </w:instrText>
      </w:r>
      <w:r>
        <w:fldChar w:fldCharType="separate"/>
      </w:r>
      <w:r>
        <w:rPr>
          <w:rFonts w:eastAsia="仿宋"/>
          <w:bCs/>
          <w:szCs w:val="28"/>
        </w:rPr>
        <w:t xml:space="preserve">3.3 </w:t>
      </w:r>
      <w:r>
        <w:rPr>
          <w:rFonts w:hint="eastAsia"/>
        </w:rPr>
        <w:t>预警行动</w:t>
      </w:r>
      <w:r>
        <w:tab/>
      </w:r>
      <w:r>
        <w:fldChar w:fldCharType="begin"/>
      </w:r>
      <w:r>
        <w:instrText xml:space="preserve"> PAGEREF _Toc12418 \h </w:instrText>
      </w:r>
      <w:r>
        <w:fldChar w:fldCharType="separate"/>
      </w:r>
      <w:r>
        <w:t>12</w:t>
      </w:r>
      <w:r>
        <w:fldChar w:fldCharType="end"/>
      </w:r>
      <w:r>
        <w:fldChar w:fldCharType="end"/>
      </w:r>
    </w:p>
    <w:p w14:paraId="6F466085">
      <w:pPr>
        <w:pStyle w:val="18"/>
      </w:pPr>
      <w:r>
        <w:fldChar w:fldCharType="begin"/>
      </w:r>
      <w:r>
        <w:instrText xml:space="preserve"> HYPERLINK \l "_Toc22830" </w:instrText>
      </w:r>
      <w:r>
        <w:fldChar w:fldCharType="separate"/>
      </w:r>
      <w:r>
        <w:rPr>
          <w:rFonts w:eastAsia="仿宋"/>
        </w:rPr>
        <w:t xml:space="preserve">4 </w:t>
      </w:r>
      <w:r>
        <w:rPr>
          <w:rFonts w:hint="eastAsia"/>
        </w:rPr>
        <w:t>应急响应</w:t>
      </w:r>
      <w:r>
        <w:tab/>
      </w:r>
      <w:r>
        <w:fldChar w:fldCharType="begin"/>
      </w:r>
      <w:r>
        <w:instrText xml:space="preserve"> PAGEREF _Toc22830 \h </w:instrText>
      </w:r>
      <w:r>
        <w:fldChar w:fldCharType="separate"/>
      </w:r>
      <w:r>
        <w:t>13</w:t>
      </w:r>
      <w:r>
        <w:fldChar w:fldCharType="end"/>
      </w:r>
      <w:r>
        <w:fldChar w:fldCharType="end"/>
      </w:r>
    </w:p>
    <w:p w14:paraId="1E974CDE">
      <w:pPr>
        <w:pStyle w:val="19"/>
        <w:tabs>
          <w:tab w:val="right" w:leader="dot" w:pos="8845"/>
        </w:tabs>
        <w:ind w:firstLine="632"/>
      </w:pPr>
      <w:r>
        <w:fldChar w:fldCharType="begin"/>
      </w:r>
      <w:r>
        <w:instrText xml:space="preserve"> HYPERLINK \l "_Toc25010" </w:instrText>
      </w:r>
      <w:r>
        <w:fldChar w:fldCharType="separate"/>
      </w:r>
      <w:r>
        <w:rPr>
          <w:rFonts w:eastAsia="仿宋"/>
          <w:bCs/>
          <w:szCs w:val="28"/>
        </w:rPr>
        <w:t xml:space="preserve">4.1 </w:t>
      </w:r>
      <w:r>
        <w:rPr>
          <w:rFonts w:hint="eastAsia"/>
        </w:rPr>
        <w:t>信息报告</w:t>
      </w:r>
      <w:r>
        <w:tab/>
      </w:r>
      <w:r>
        <w:fldChar w:fldCharType="begin"/>
      </w:r>
      <w:r>
        <w:instrText xml:space="preserve"> PAGEREF _Toc25010 \h </w:instrText>
      </w:r>
      <w:r>
        <w:fldChar w:fldCharType="separate"/>
      </w:r>
      <w:r>
        <w:t>13</w:t>
      </w:r>
      <w:r>
        <w:fldChar w:fldCharType="end"/>
      </w:r>
      <w:r>
        <w:fldChar w:fldCharType="end"/>
      </w:r>
    </w:p>
    <w:p w14:paraId="0CE2D52B">
      <w:pPr>
        <w:pStyle w:val="19"/>
        <w:tabs>
          <w:tab w:val="right" w:leader="dot" w:pos="8845"/>
        </w:tabs>
        <w:ind w:firstLine="632"/>
      </w:pPr>
      <w:r>
        <w:fldChar w:fldCharType="begin"/>
      </w:r>
      <w:r>
        <w:instrText xml:space="preserve"> HYPERLINK \l "_Toc12670" </w:instrText>
      </w:r>
      <w:r>
        <w:fldChar w:fldCharType="separate"/>
      </w:r>
      <w:r>
        <w:rPr>
          <w:rFonts w:eastAsia="仿宋"/>
          <w:bCs/>
          <w:szCs w:val="28"/>
        </w:rPr>
        <w:t xml:space="preserve">4.2 </w:t>
      </w:r>
      <w:r>
        <w:rPr>
          <w:rFonts w:hint="eastAsia"/>
        </w:rPr>
        <w:t>事件评估</w:t>
      </w:r>
      <w:r>
        <w:tab/>
      </w:r>
      <w:r>
        <w:fldChar w:fldCharType="begin"/>
      </w:r>
      <w:r>
        <w:instrText xml:space="preserve"> PAGEREF _Toc12670 \h </w:instrText>
      </w:r>
      <w:r>
        <w:fldChar w:fldCharType="separate"/>
      </w:r>
      <w:r>
        <w:t>16</w:t>
      </w:r>
      <w:r>
        <w:fldChar w:fldCharType="end"/>
      </w:r>
      <w:r>
        <w:fldChar w:fldCharType="end"/>
      </w:r>
    </w:p>
    <w:p w14:paraId="2A3CA052">
      <w:pPr>
        <w:pStyle w:val="19"/>
        <w:tabs>
          <w:tab w:val="right" w:leader="dot" w:pos="8845"/>
        </w:tabs>
        <w:ind w:firstLine="632"/>
      </w:pPr>
      <w:r>
        <w:fldChar w:fldCharType="begin"/>
      </w:r>
      <w:r>
        <w:instrText xml:space="preserve"> HYPERLINK \l "_Toc29502" </w:instrText>
      </w:r>
      <w:r>
        <w:fldChar w:fldCharType="separate"/>
      </w:r>
      <w:r>
        <w:rPr>
          <w:rFonts w:eastAsia="仿宋"/>
          <w:bCs/>
          <w:szCs w:val="28"/>
        </w:rPr>
        <w:t xml:space="preserve">4.3 </w:t>
      </w:r>
      <w:r>
        <w:rPr>
          <w:rFonts w:hint="eastAsia"/>
        </w:rPr>
        <w:t>响应级别</w:t>
      </w:r>
      <w:r>
        <w:tab/>
      </w:r>
      <w:r>
        <w:fldChar w:fldCharType="begin"/>
      </w:r>
      <w:r>
        <w:instrText xml:space="preserve"> PAGEREF _Toc29502 \h </w:instrText>
      </w:r>
      <w:r>
        <w:fldChar w:fldCharType="separate"/>
      </w:r>
      <w:r>
        <w:t>16</w:t>
      </w:r>
      <w:r>
        <w:fldChar w:fldCharType="end"/>
      </w:r>
      <w:r>
        <w:fldChar w:fldCharType="end"/>
      </w:r>
    </w:p>
    <w:p w14:paraId="11A1077E">
      <w:pPr>
        <w:pStyle w:val="19"/>
        <w:tabs>
          <w:tab w:val="right" w:leader="dot" w:pos="8845"/>
        </w:tabs>
        <w:ind w:firstLine="632"/>
      </w:pPr>
      <w:r>
        <w:fldChar w:fldCharType="begin"/>
      </w:r>
      <w:r>
        <w:instrText xml:space="preserve"> HYPERLINK \l "_Toc4868" </w:instrText>
      </w:r>
      <w:r>
        <w:fldChar w:fldCharType="separate"/>
      </w:r>
      <w:r>
        <w:rPr>
          <w:rFonts w:eastAsia="仿宋"/>
          <w:bCs/>
          <w:szCs w:val="28"/>
        </w:rPr>
        <w:t xml:space="preserve">4.4 </w:t>
      </w:r>
      <w:r>
        <w:rPr>
          <w:rFonts w:hint="eastAsia"/>
        </w:rPr>
        <w:t>分级响应</w:t>
      </w:r>
      <w:r>
        <w:tab/>
      </w:r>
      <w:r>
        <w:fldChar w:fldCharType="begin"/>
      </w:r>
      <w:r>
        <w:instrText xml:space="preserve"> PAGEREF _Toc4868 \h </w:instrText>
      </w:r>
      <w:r>
        <w:fldChar w:fldCharType="separate"/>
      </w:r>
      <w:r>
        <w:t>17</w:t>
      </w:r>
      <w:r>
        <w:fldChar w:fldCharType="end"/>
      </w:r>
      <w:r>
        <w:fldChar w:fldCharType="end"/>
      </w:r>
    </w:p>
    <w:p w14:paraId="36F4178D">
      <w:pPr>
        <w:pStyle w:val="19"/>
        <w:tabs>
          <w:tab w:val="right" w:leader="dot" w:pos="8845"/>
        </w:tabs>
        <w:ind w:firstLine="632"/>
      </w:pPr>
      <w:r>
        <w:fldChar w:fldCharType="begin"/>
      </w:r>
      <w:r>
        <w:instrText xml:space="preserve"> HYPERLINK \l "_Toc23375" </w:instrText>
      </w:r>
      <w:r>
        <w:fldChar w:fldCharType="separate"/>
      </w:r>
      <w:r>
        <w:rPr>
          <w:rFonts w:eastAsia="仿宋"/>
          <w:bCs/>
          <w:szCs w:val="28"/>
        </w:rPr>
        <w:t xml:space="preserve">4.5 </w:t>
      </w:r>
      <w:r>
        <w:rPr>
          <w:rFonts w:hint="eastAsia"/>
        </w:rPr>
        <w:t>响应措施</w:t>
      </w:r>
      <w:r>
        <w:tab/>
      </w:r>
      <w:r>
        <w:fldChar w:fldCharType="begin"/>
      </w:r>
      <w:r>
        <w:instrText xml:space="preserve"> PAGEREF _Toc23375 \h </w:instrText>
      </w:r>
      <w:r>
        <w:fldChar w:fldCharType="separate"/>
      </w:r>
      <w:r>
        <w:t>17</w:t>
      </w:r>
      <w:r>
        <w:fldChar w:fldCharType="end"/>
      </w:r>
      <w:r>
        <w:fldChar w:fldCharType="end"/>
      </w:r>
    </w:p>
    <w:p w14:paraId="52264EF7">
      <w:pPr>
        <w:pStyle w:val="19"/>
        <w:tabs>
          <w:tab w:val="right" w:leader="dot" w:pos="8845"/>
        </w:tabs>
        <w:ind w:firstLine="632"/>
      </w:pPr>
      <w:r>
        <w:fldChar w:fldCharType="begin"/>
      </w:r>
      <w:r>
        <w:instrText xml:space="preserve"> HYPERLINK \l "_Toc18308" </w:instrText>
      </w:r>
      <w:r>
        <w:fldChar w:fldCharType="separate"/>
      </w:r>
      <w:r>
        <w:rPr>
          <w:rFonts w:eastAsia="仿宋"/>
          <w:bCs/>
          <w:szCs w:val="28"/>
        </w:rPr>
        <w:t xml:space="preserve">4.6 </w:t>
      </w:r>
      <w:r>
        <w:rPr>
          <w:rFonts w:hint="eastAsia"/>
        </w:rPr>
        <w:t>响应级别调整及终止</w:t>
      </w:r>
      <w:r>
        <w:tab/>
      </w:r>
      <w:r>
        <w:fldChar w:fldCharType="begin"/>
      </w:r>
      <w:r>
        <w:instrText xml:space="preserve"> PAGEREF _Toc18308 \h </w:instrText>
      </w:r>
      <w:r>
        <w:fldChar w:fldCharType="separate"/>
      </w:r>
      <w:r>
        <w:t>19</w:t>
      </w:r>
      <w:r>
        <w:fldChar w:fldCharType="end"/>
      </w:r>
      <w:r>
        <w:fldChar w:fldCharType="end"/>
      </w:r>
    </w:p>
    <w:p w14:paraId="34677511">
      <w:pPr>
        <w:pStyle w:val="19"/>
        <w:tabs>
          <w:tab w:val="right" w:leader="dot" w:pos="8845"/>
        </w:tabs>
        <w:ind w:firstLine="632"/>
      </w:pPr>
      <w:r>
        <w:fldChar w:fldCharType="begin"/>
      </w:r>
      <w:r>
        <w:instrText xml:space="preserve"> HYPERLINK \l "_Toc16342" </w:instrText>
      </w:r>
      <w:r>
        <w:fldChar w:fldCharType="separate"/>
      </w:r>
      <w:r>
        <w:rPr>
          <w:rFonts w:eastAsia="仿宋"/>
          <w:bCs/>
          <w:szCs w:val="28"/>
        </w:rPr>
        <w:t xml:space="preserve">4.7 </w:t>
      </w:r>
      <w:r>
        <w:rPr>
          <w:rFonts w:hint="eastAsia"/>
        </w:rPr>
        <w:t>信息发布</w:t>
      </w:r>
      <w:r>
        <w:tab/>
      </w:r>
      <w:r>
        <w:fldChar w:fldCharType="begin"/>
      </w:r>
      <w:r>
        <w:instrText xml:space="preserve"> PAGEREF _Toc16342 \h </w:instrText>
      </w:r>
      <w:r>
        <w:fldChar w:fldCharType="separate"/>
      </w:r>
      <w:r>
        <w:t>21</w:t>
      </w:r>
      <w:r>
        <w:fldChar w:fldCharType="end"/>
      </w:r>
      <w:r>
        <w:fldChar w:fldCharType="end"/>
      </w:r>
    </w:p>
    <w:p w14:paraId="6AC6D799">
      <w:pPr>
        <w:pStyle w:val="18"/>
      </w:pPr>
      <w:r>
        <w:fldChar w:fldCharType="begin"/>
      </w:r>
      <w:r>
        <w:instrText xml:space="preserve"> HYPERLINK \l "_Toc15233" </w:instrText>
      </w:r>
      <w:r>
        <w:fldChar w:fldCharType="separate"/>
      </w:r>
      <w:r>
        <w:rPr>
          <w:rFonts w:eastAsia="仿宋"/>
        </w:rPr>
        <w:t xml:space="preserve">5 </w:t>
      </w:r>
      <w:r>
        <w:rPr>
          <w:rFonts w:hint="eastAsia"/>
        </w:rPr>
        <w:t>应急保障</w:t>
      </w:r>
      <w:r>
        <w:tab/>
      </w:r>
      <w:r>
        <w:fldChar w:fldCharType="begin"/>
      </w:r>
      <w:r>
        <w:instrText xml:space="preserve"> PAGEREF _Toc15233 \h </w:instrText>
      </w:r>
      <w:r>
        <w:fldChar w:fldCharType="separate"/>
      </w:r>
      <w:r>
        <w:t>21</w:t>
      </w:r>
      <w:r>
        <w:fldChar w:fldCharType="end"/>
      </w:r>
      <w:r>
        <w:fldChar w:fldCharType="end"/>
      </w:r>
    </w:p>
    <w:p w14:paraId="005DFAC4">
      <w:pPr>
        <w:pStyle w:val="19"/>
        <w:tabs>
          <w:tab w:val="right" w:leader="dot" w:pos="8845"/>
        </w:tabs>
        <w:ind w:firstLine="632"/>
      </w:pPr>
      <w:r>
        <w:fldChar w:fldCharType="begin"/>
      </w:r>
      <w:r>
        <w:instrText xml:space="preserve"> HYPERLINK \l "_Toc2128" </w:instrText>
      </w:r>
      <w:r>
        <w:fldChar w:fldCharType="separate"/>
      </w:r>
      <w:r>
        <w:rPr>
          <w:rFonts w:eastAsia="仿宋"/>
          <w:bCs/>
          <w:szCs w:val="28"/>
        </w:rPr>
        <w:t xml:space="preserve">5.1 </w:t>
      </w:r>
      <w:r>
        <w:rPr>
          <w:rFonts w:hint="eastAsia" w:eastAsia="楷体_GB2312"/>
          <w:szCs w:val="28"/>
        </w:rPr>
        <w:t>信息保障</w:t>
      </w:r>
      <w:r>
        <w:tab/>
      </w:r>
      <w:r>
        <w:fldChar w:fldCharType="begin"/>
      </w:r>
      <w:r>
        <w:instrText xml:space="preserve"> PAGEREF _Toc2128 \h </w:instrText>
      </w:r>
      <w:r>
        <w:fldChar w:fldCharType="separate"/>
      </w:r>
      <w:r>
        <w:t>21</w:t>
      </w:r>
      <w:r>
        <w:fldChar w:fldCharType="end"/>
      </w:r>
      <w:r>
        <w:fldChar w:fldCharType="end"/>
      </w:r>
    </w:p>
    <w:p w14:paraId="166D55BB">
      <w:pPr>
        <w:pStyle w:val="19"/>
        <w:tabs>
          <w:tab w:val="right" w:leader="dot" w:pos="8845"/>
        </w:tabs>
        <w:ind w:firstLine="632"/>
      </w:pPr>
      <w:r>
        <w:fldChar w:fldCharType="begin"/>
      </w:r>
      <w:r>
        <w:instrText xml:space="preserve"> HYPERLINK \l "_Toc22880" </w:instrText>
      </w:r>
      <w:r>
        <w:fldChar w:fldCharType="separate"/>
      </w:r>
      <w:r>
        <w:rPr>
          <w:rFonts w:eastAsia="仿宋"/>
          <w:bCs/>
          <w:szCs w:val="28"/>
        </w:rPr>
        <w:t xml:space="preserve">5.2 </w:t>
      </w:r>
      <w:r>
        <w:rPr>
          <w:rFonts w:hint="eastAsia" w:eastAsia="楷体_GB2312"/>
          <w:szCs w:val="28"/>
        </w:rPr>
        <w:t>医疗保障</w:t>
      </w:r>
      <w:r>
        <w:tab/>
      </w:r>
      <w:r>
        <w:fldChar w:fldCharType="begin"/>
      </w:r>
      <w:r>
        <w:instrText xml:space="preserve"> PAGEREF _Toc22880 \h </w:instrText>
      </w:r>
      <w:r>
        <w:fldChar w:fldCharType="separate"/>
      </w:r>
      <w:r>
        <w:t>22</w:t>
      </w:r>
      <w:r>
        <w:fldChar w:fldCharType="end"/>
      </w:r>
      <w:r>
        <w:fldChar w:fldCharType="end"/>
      </w:r>
    </w:p>
    <w:p w14:paraId="42F0173F">
      <w:pPr>
        <w:pStyle w:val="19"/>
        <w:tabs>
          <w:tab w:val="right" w:leader="dot" w:pos="8845"/>
        </w:tabs>
        <w:ind w:firstLine="632"/>
      </w:pPr>
      <w:r>
        <w:fldChar w:fldCharType="begin"/>
      </w:r>
      <w:r>
        <w:instrText xml:space="preserve"> HYPERLINK \l "_Toc6887" </w:instrText>
      </w:r>
      <w:r>
        <w:fldChar w:fldCharType="separate"/>
      </w:r>
      <w:r>
        <w:rPr>
          <w:rFonts w:eastAsia="仿宋"/>
          <w:bCs/>
          <w:szCs w:val="28"/>
        </w:rPr>
        <w:t xml:space="preserve">5.3 </w:t>
      </w:r>
      <w:r>
        <w:rPr>
          <w:rFonts w:hint="eastAsia" w:eastAsia="楷体_GB2312"/>
          <w:szCs w:val="28"/>
        </w:rPr>
        <w:t>人员与技术保障</w:t>
      </w:r>
      <w:r>
        <w:tab/>
      </w:r>
      <w:r>
        <w:fldChar w:fldCharType="begin"/>
      </w:r>
      <w:r>
        <w:instrText xml:space="preserve"> PAGEREF _Toc6887 \h </w:instrText>
      </w:r>
      <w:r>
        <w:fldChar w:fldCharType="separate"/>
      </w:r>
      <w:r>
        <w:t>22</w:t>
      </w:r>
      <w:r>
        <w:fldChar w:fldCharType="end"/>
      </w:r>
      <w:r>
        <w:fldChar w:fldCharType="end"/>
      </w:r>
    </w:p>
    <w:p w14:paraId="5A286A26">
      <w:pPr>
        <w:pStyle w:val="19"/>
        <w:tabs>
          <w:tab w:val="right" w:leader="dot" w:pos="8845"/>
        </w:tabs>
        <w:ind w:firstLine="632"/>
      </w:pPr>
      <w:r>
        <w:fldChar w:fldCharType="begin"/>
      </w:r>
      <w:r>
        <w:instrText xml:space="preserve"> HYPERLINK \l "_Toc26265" </w:instrText>
      </w:r>
      <w:r>
        <w:fldChar w:fldCharType="separate"/>
      </w:r>
      <w:r>
        <w:rPr>
          <w:rFonts w:eastAsia="仿宋"/>
          <w:bCs/>
          <w:szCs w:val="28"/>
        </w:rPr>
        <w:t xml:space="preserve">5.4 </w:t>
      </w:r>
      <w:r>
        <w:rPr>
          <w:rFonts w:hint="eastAsia" w:eastAsia="楷体_GB2312"/>
          <w:szCs w:val="28"/>
        </w:rPr>
        <w:t>物资与经费保障</w:t>
      </w:r>
      <w:r>
        <w:tab/>
      </w:r>
      <w:r>
        <w:fldChar w:fldCharType="begin"/>
      </w:r>
      <w:r>
        <w:instrText xml:space="preserve"> PAGEREF _Toc26265 \h </w:instrText>
      </w:r>
      <w:r>
        <w:fldChar w:fldCharType="separate"/>
      </w:r>
      <w:r>
        <w:t>23</w:t>
      </w:r>
      <w:r>
        <w:fldChar w:fldCharType="end"/>
      </w:r>
      <w:r>
        <w:fldChar w:fldCharType="end"/>
      </w:r>
    </w:p>
    <w:p w14:paraId="510D66FD">
      <w:pPr>
        <w:pStyle w:val="19"/>
        <w:tabs>
          <w:tab w:val="right" w:leader="dot" w:pos="8845"/>
        </w:tabs>
        <w:ind w:firstLine="632"/>
      </w:pPr>
      <w:r>
        <w:fldChar w:fldCharType="begin"/>
      </w:r>
      <w:r>
        <w:instrText xml:space="preserve"> HYPERLINK \l "_Toc1892" </w:instrText>
      </w:r>
      <w:r>
        <w:fldChar w:fldCharType="separate"/>
      </w:r>
      <w:r>
        <w:rPr>
          <w:rFonts w:eastAsia="仿宋"/>
          <w:bCs/>
          <w:szCs w:val="28"/>
        </w:rPr>
        <w:t xml:space="preserve">5.5 </w:t>
      </w:r>
      <w:r>
        <w:rPr>
          <w:rFonts w:hint="eastAsia" w:eastAsia="楷体_GB2312"/>
          <w:szCs w:val="28"/>
        </w:rPr>
        <w:t>动员保障</w:t>
      </w:r>
      <w:r>
        <w:tab/>
      </w:r>
      <w:r>
        <w:fldChar w:fldCharType="begin"/>
      </w:r>
      <w:r>
        <w:instrText xml:space="preserve"> PAGEREF _Toc1892 \h </w:instrText>
      </w:r>
      <w:r>
        <w:fldChar w:fldCharType="separate"/>
      </w:r>
      <w:r>
        <w:t>23</w:t>
      </w:r>
      <w:r>
        <w:fldChar w:fldCharType="end"/>
      </w:r>
      <w:r>
        <w:fldChar w:fldCharType="end"/>
      </w:r>
    </w:p>
    <w:p w14:paraId="2A7DC9F0">
      <w:pPr>
        <w:pStyle w:val="19"/>
        <w:tabs>
          <w:tab w:val="right" w:leader="dot" w:pos="8845"/>
        </w:tabs>
        <w:ind w:firstLine="632"/>
      </w:pPr>
      <w:r>
        <w:fldChar w:fldCharType="begin"/>
      </w:r>
      <w:r>
        <w:instrText xml:space="preserve"> HYPERLINK \l "_Toc15188" </w:instrText>
      </w:r>
      <w:r>
        <w:fldChar w:fldCharType="separate"/>
      </w:r>
      <w:r>
        <w:rPr>
          <w:rFonts w:eastAsia="仿宋"/>
          <w:bCs/>
          <w:szCs w:val="28"/>
        </w:rPr>
        <w:t xml:space="preserve">5.6 </w:t>
      </w:r>
      <w:r>
        <w:rPr>
          <w:rFonts w:hint="eastAsia" w:eastAsia="楷体_GB2312"/>
          <w:szCs w:val="28"/>
        </w:rPr>
        <w:t>治安保障</w:t>
      </w:r>
      <w:r>
        <w:tab/>
      </w:r>
      <w:r>
        <w:fldChar w:fldCharType="begin"/>
      </w:r>
      <w:r>
        <w:instrText xml:space="preserve"> PAGEREF _Toc15188 \h </w:instrText>
      </w:r>
      <w:r>
        <w:fldChar w:fldCharType="separate"/>
      </w:r>
      <w:r>
        <w:t>23</w:t>
      </w:r>
      <w:r>
        <w:fldChar w:fldCharType="end"/>
      </w:r>
      <w:r>
        <w:fldChar w:fldCharType="end"/>
      </w:r>
    </w:p>
    <w:p w14:paraId="0BF3B798">
      <w:pPr>
        <w:pStyle w:val="19"/>
        <w:tabs>
          <w:tab w:val="right" w:leader="dot" w:pos="8845"/>
        </w:tabs>
        <w:ind w:firstLine="632"/>
      </w:pPr>
      <w:r>
        <w:fldChar w:fldCharType="begin"/>
      </w:r>
      <w:r>
        <w:instrText xml:space="preserve"> HYPERLINK \l "_Toc14017" </w:instrText>
      </w:r>
      <w:r>
        <w:fldChar w:fldCharType="separate"/>
      </w:r>
      <w:r>
        <w:rPr>
          <w:rFonts w:eastAsia="仿宋"/>
          <w:bCs/>
          <w:szCs w:val="28"/>
        </w:rPr>
        <w:t xml:space="preserve">5.7 </w:t>
      </w:r>
      <w:r>
        <w:rPr>
          <w:rFonts w:hint="eastAsia" w:eastAsia="楷体_GB2312"/>
          <w:szCs w:val="28"/>
        </w:rPr>
        <w:t>培训保障</w:t>
      </w:r>
      <w:r>
        <w:tab/>
      </w:r>
      <w:r>
        <w:fldChar w:fldCharType="begin"/>
      </w:r>
      <w:r>
        <w:instrText xml:space="preserve"> PAGEREF _Toc14017 \h </w:instrText>
      </w:r>
      <w:r>
        <w:fldChar w:fldCharType="separate"/>
      </w:r>
      <w:r>
        <w:t>23</w:t>
      </w:r>
      <w:r>
        <w:fldChar w:fldCharType="end"/>
      </w:r>
      <w:r>
        <w:fldChar w:fldCharType="end"/>
      </w:r>
    </w:p>
    <w:p w14:paraId="28D4C1C9">
      <w:pPr>
        <w:pStyle w:val="18"/>
      </w:pPr>
      <w:r>
        <w:fldChar w:fldCharType="begin"/>
      </w:r>
      <w:r>
        <w:instrText xml:space="preserve"> HYPERLINK \l "_Toc12336" </w:instrText>
      </w:r>
      <w:r>
        <w:fldChar w:fldCharType="separate"/>
      </w:r>
      <w:r>
        <w:rPr>
          <w:rFonts w:eastAsia="仿宋"/>
        </w:rPr>
        <w:t xml:space="preserve">6 </w:t>
      </w:r>
      <w:r>
        <w:rPr>
          <w:rFonts w:hint="eastAsia"/>
        </w:rPr>
        <w:t>后期处置</w:t>
      </w:r>
      <w:r>
        <w:tab/>
      </w:r>
      <w:r>
        <w:fldChar w:fldCharType="begin"/>
      </w:r>
      <w:r>
        <w:instrText xml:space="preserve"> PAGEREF _Toc12336 \h </w:instrText>
      </w:r>
      <w:r>
        <w:fldChar w:fldCharType="separate"/>
      </w:r>
      <w:r>
        <w:t>24</w:t>
      </w:r>
      <w:r>
        <w:fldChar w:fldCharType="end"/>
      </w:r>
      <w:r>
        <w:fldChar w:fldCharType="end"/>
      </w:r>
    </w:p>
    <w:p w14:paraId="1F57F47D">
      <w:pPr>
        <w:pStyle w:val="19"/>
        <w:tabs>
          <w:tab w:val="right" w:leader="dot" w:pos="8845"/>
        </w:tabs>
        <w:ind w:firstLine="632"/>
      </w:pPr>
      <w:r>
        <w:fldChar w:fldCharType="begin"/>
      </w:r>
      <w:r>
        <w:instrText xml:space="preserve"> HYPERLINK \l "_Toc11373" </w:instrText>
      </w:r>
      <w:r>
        <w:fldChar w:fldCharType="separate"/>
      </w:r>
      <w:r>
        <w:rPr>
          <w:rFonts w:eastAsia="仿宋"/>
          <w:bCs/>
          <w:szCs w:val="28"/>
        </w:rPr>
        <w:t xml:space="preserve">6.1 </w:t>
      </w:r>
      <w:r>
        <w:rPr>
          <w:rFonts w:hint="eastAsia"/>
        </w:rPr>
        <w:t>恢复秩序</w:t>
      </w:r>
      <w:r>
        <w:tab/>
      </w:r>
      <w:r>
        <w:fldChar w:fldCharType="begin"/>
      </w:r>
      <w:r>
        <w:instrText xml:space="preserve"> PAGEREF _Toc11373 \h </w:instrText>
      </w:r>
      <w:r>
        <w:fldChar w:fldCharType="separate"/>
      </w:r>
      <w:r>
        <w:t>24</w:t>
      </w:r>
      <w:r>
        <w:fldChar w:fldCharType="end"/>
      </w:r>
      <w:r>
        <w:fldChar w:fldCharType="end"/>
      </w:r>
    </w:p>
    <w:p w14:paraId="5BE81DFD">
      <w:pPr>
        <w:pStyle w:val="19"/>
        <w:tabs>
          <w:tab w:val="right" w:leader="dot" w:pos="8845"/>
        </w:tabs>
        <w:ind w:firstLine="632"/>
      </w:pPr>
      <w:r>
        <w:fldChar w:fldCharType="begin"/>
      </w:r>
      <w:r>
        <w:instrText xml:space="preserve"> HYPERLINK \l "_Toc15112" </w:instrText>
      </w:r>
      <w:r>
        <w:fldChar w:fldCharType="separate"/>
      </w:r>
      <w:r>
        <w:rPr>
          <w:rFonts w:eastAsia="仿宋"/>
          <w:bCs/>
          <w:szCs w:val="28"/>
        </w:rPr>
        <w:t xml:space="preserve">6.2 </w:t>
      </w:r>
      <w:r>
        <w:rPr>
          <w:rFonts w:hint="eastAsia"/>
        </w:rPr>
        <w:t>责任调查</w:t>
      </w:r>
      <w:r>
        <w:tab/>
      </w:r>
      <w:r>
        <w:fldChar w:fldCharType="begin"/>
      </w:r>
      <w:r>
        <w:instrText xml:space="preserve"> PAGEREF _Toc15112 \h </w:instrText>
      </w:r>
      <w:r>
        <w:fldChar w:fldCharType="separate"/>
      </w:r>
      <w:r>
        <w:t>24</w:t>
      </w:r>
      <w:r>
        <w:fldChar w:fldCharType="end"/>
      </w:r>
      <w:r>
        <w:fldChar w:fldCharType="end"/>
      </w:r>
    </w:p>
    <w:p w14:paraId="51B97276">
      <w:pPr>
        <w:pStyle w:val="19"/>
        <w:tabs>
          <w:tab w:val="right" w:leader="dot" w:pos="8845"/>
        </w:tabs>
        <w:ind w:firstLine="632"/>
      </w:pPr>
      <w:r>
        <w:fldChar w:fldCharType="begin"/>
      </w:r>
      <w:r>
        <w:instrText xml:space="preserve"> HYPERLINK \l "_Toc3702" </w:instrText>
      </w:r>
      <w:r>
        <w:fldChar w:fldCharType="separate"/>
      </w:r>
      <w:r>
        <w:rPr>
          <w:rFonts w:eastAsia="仿宋"/>
          <w:bCs/>
          <w:szCs w:val="28"/>
        </w:rPr>
        <w:t xml:space="preserve">6.3 </w:t>
      </w:r>
      <w:r>
        <w:rPr>
          <w:rFonts w:hint="eastAsia"/>
        </w:rPr>
        <w:t>奖惩</w:t>
      </w:r>
      <w:r>
        <w:tab/>
      </w:r>
      <w:r>
        <w:fldChar w:fldCharType="begin"/>
      </w:r>
      <w:r>
        <w:instrText xml:space="preserve"> PAGEREF _Toc3702 \h </w:instrText>
      </w:r>
      <w:r>
        <w:fldChar w:fldCharType="separate"/>
      </w:r>
      <w:r>
        <w:t>25</w:t>
      </w:r>
      <w:r>
        <w:fldChar w:fldCharType="end"/>
      </w:r>
      <w:r>
        <w:fldChar w:fldCharType="end"/>
      </w:r>
    </w:p>
    <w:p w14:paraId="65F96BD4">
      <w:pPr>
        <w:pStyle w:val="19"/>
        <w:tabs>
          <w:tab w:val="right" w:leader="dot" w:pos="8845"/>
        </w:tabs>
        <w:ind w:firstLine="632"/>
      </w:pPr>
      <w:r>
        <w:fldChar w:fldCharType="begin"/>
      </w:r>
      <w:r>
        <w:instrText xml:space="preserve"> HYPERLINK \l "_Toc15072" </w:instrText>
      </w:r>
      <w:r>
        <w:fldChar w:fldCharType="separate"/>
      </w:r>
      <w:r>
        <w:rPr>
          <w:rFonts w:eastAsia="仿宋"/>
          <w:bCs/>
          <w:szCs w:val="28"/>
        </w:rPr>
        <w:t xml:space="preserve">6.4 </w:t>
      </w:r>
      <w:r>
        <w:rPr>
          <w:rFonts w:hint="eastAsia"/>
        </w:rPr>
        <w:t>预案演练</w:t>
      </w:r>
      <w:r>
        <w:tab/>
      </w:r>
      <w:r>
        <w:fldChar w:fldCharType="begin"/>
      </w:r>
      <w:r>
        <w:instrText xml:space="preserve"> PAGEREF _Toc15072 \h </w:instrText>
      </w:r>
      <w:r>
        <w:fldChar w:fldCharType="separate"/>
      </w:r>
      <w:r>
        <w:t>25</w:t>
      </w:r>
      <w:r>
        <w:fldChar w:fldCharType="end"/>
      </w:r>
      <w:r>
        <w:fldChar w:fldCharType="end"/>
      </w:r>
    </w:p>
    <w:p w14:paraId="423A4596">
      <w:pPr>
        <w:pStyle w:val="18"/>
      </w:pPr>
      <w:r>
        <w:fldChar w:fldCharType="begin"/>
      </w:r>
      <w:r>
        <w:instrText xml:space="preserve"> HYPERLINK \l "_Toc5172" </w:instrText>
      </w:r>
      <w:r>
        <w:fldChar w:fldCharType="separate"/>
      </w:r>
      <w:r>
        <w:rPr>
          <w:rFonts w:eastAsia="仿宋"/>
        </w:rPr>
        <w:t xml:space="preserve">7 </w:t>
      </w:r>
      <w:r>
        <w:rPr>
          <w:rFonts w:hint="eastAsia"/>
        </w:rPr>
        <w:t>附则</w:t>
      </w:r>
      <w:r>
        <w:tab/>
      </w:r>
      <w:r>
        <w:fldChar w:fldCharType="begin"/>
      </w:r>
      <w:r>
        <w:instrText xml:space="preserve"> PAGEREF _Toc5172 \h </w:instrText>
      </w:r>
      <w:r>
        <w:fldChar w:fldCharType="separate"/>
      </w:r>
      <w:r>
        <w:t>25</w:t>
      </w:r>
      <w:r>
        <w:fldChar w:fldCharType="end"/>
      </w:r>
      <w:r>
        <w:fldChar w:fldCharType="end"/>
      </w:r>
    </w:p>
    <w:p w14:paraId="5973C63E">
      <w:pPr>
        <w:pStyle w:val="19"/>
        <w:tabs>
          <w:tab w:val="right" w:leader="dot" w:pos="8845"/>
        </w:tabs>
        <w:ind w:firstLine="632"/>
      </w:pPr>
      <w:r>
        <w:fldChar w:fldCharType="begin"/>
      </w:r>
      <w:r>
        <w:instrText xml:space="preserve"> HYPERLINK \l "_Toc13427" </w:instrText>
      </w:r>
      <w:r>
        <w:fldChar w:fldCharType="separate"/>
      </w:r>
      <w:r>
        <w:rPr>
          <w:rFonts w:eastAsia="仿宋"/>
          <w:bCs/>
          <w:szCs w:val="28"/>
        </w:rPr>
        <w:t xml:space="preserve">7.1 </w:t>
      </w:r>
      <w:r>
        <w:rPr>
          <w:rFonts w:hint="eastAsia" w:ascii="Times New Roman" w:hAnsi="Times New Roman"/>
        </w:rPr>
        <w:t>预案备案</w:t>
      </w:r>
      <w:r>
        <w:tab/>
      </w:r>
      <w:r>
        <w:fldChar w:fldCharType="begin"/>
      </w:r>
      <w:r>
        <w:instrText xml:space="preserve"> PAGEREF _Toc13427 \h </w:instrText>
      </w:r>
      <w:r>
        <w:fldChar w:fldCharType="separate"/>
      </w:r>
      <w:r>
        <w:t>25</w:t>
      </w:r>
      <w:r>
        <w:fldChar w:fldCharType="end"/>
      </w:r>
      <w:r>
        <w:fldChar w:fldCharType="end"/>
      </w:r>
    </w:p>
    <w:p w14:paraId="3E165200">
      <w:pPr>
        <w:pStyle w:val="19"/>
        <w:tabs>
          <w:tab w:val="right" w:leader="dot" w:pos="8845"/>
        </w:tabs>
        <w:ind w:firstLine="632"/>
      </w:pPr>
      <w:r>
        <w:fldChar w:fldCharType="begin"/>
      </w:r>
      <w:r>
        <w:instrText xml:space="preserve"> HYPERLINK \l "_Toc14129" </w:instrText>
      </w:r>
      <w:r>
        <w:fldChar w:fldCharType="separate"/>
      </w:r>
      <w:r>
        <w:rPr>
          <w:rFonts w:eastAsia="仿宋"/>
          <w:bCs/>
          <w:szCs w:val="28"/>
        </w:rPr>
        <w:t xml:space="preserve">7.2 </w:t>
      </w:r>
      <w:r>
        <w:rPr>
          <w:rFonts w:hint="eastAsia"/>
        </w:rPr>
        <w:t>预案更新</w:t>
      </w:r>
      <w:r>
        <w:tab/>
      </w:r>
      <w:r>
        <w:fldChar w:fldCharType="begin"/>
      </w:r>
      <w:r>
        <w:instrText xml:space="preserve"> PAGEREF _Toc14129 \h </w:instrText>
      </w:r>
      <w:r>
        <w:fldChar w:fldCharType="separate"/>
      </w:r>
      <w:r>
        <w:t>26</w:t>
      </w:r>
      <w:r>
        <w:fldChar w:fldCharType="end"/>
      </w:r>
      <w:r>
        <w:fldChar w:fldCharType="end"/>
      </w:r>
    </w:p>
    <w:p w14:paraId="1AA63371">
      <w:pPr>
        <w:pStyle w:val="19"/>
        <w:tabs>
          <w:tab w:val="right" w:leader="dot" w:pos="8845"/>
        </w:tabs>
        <w:ind w:firstLine="632"/>
      </w:pPr>
      <w:r>
        <w:fldChar w:fldCharType="begin"/>
      </w:r>
      <w:r>
        <w:instrText xml:space="preserve"> HYPERLINK \l "_Toc3062" </w:instrText>
      </w:r>
      <w:r>
        <w:fldChar w:fldCharType="separate"/>
      </w:r>
      <w:r>
        <w:rPr>
          <w:rFonts w:eastAsia="仿宋"/>
          <w:bCs/>
          <w:szCs w:val="28"/>
        </w:rPr>
        <w:t xml:space="preserve">7.3 </w:t>
      </w:r>
      <w:r>
        <w:rPr>
          <w:rFonts w:hint="eastAsia"/>
        </w:rPr>
        <w:t>预案制定与解释</w:t>
      </w:r>
      <w:r>
        <w:tab/>
      </w:r>
      <w:r>
        <w:fldChar w:fldCharType="begin"/>
      </w:r>
      <w:r>
        <w:instrText xml:space="preserve"> PAGEREF _Toc3062 \h </w:instrText>
      </w:r>
      <w:r>
        <w:fldChar w:fldCharType="separate"/>
      </w:r>
      <w:r>
        <w:t>26</w:t>
      </w:r>
      <w:r>
        <w:fldChar w:fldCharType="end"/>
      </w:r>
      <w:r>
        <w:fldChar w:fldCharType="end"/>
      </w:r>
    </w:p>
    <w:p w14:paraId="3CD84794">
      <w:pPr>
        <w:pStyle w:val="19"/>
        <w:tabs>
          <w:tab w:val="right" w:leader="dot" w:pos="8845"/>
        </w:tabs>
        <w:ind w:firstLine="632"/>
      </w:pPr>
      <w:r>
        <w:fldChar w:fldCharType="begin"/>
      </w:r>
      <w:r>
        <w:instrText xml:space="preserve"> HYPERLINK \l "_Toc8283" </w:instrText>
      </w:r>
      <w:r>
        <w:fldChar w:fldCharType="separate"/>
      </w:r>
      <w:r>
        <w:rPr>
          <w:rFonts w:eastAsia="仿宋"/>
          <w:bCs/>
          <w:szCs w:val="28"/>
        </w:rPr>
        <w:t xml:space="preserve">7.4 </w:t>
      </w:r>
      <w:r>
        <w:rPr>
          <w:rFonts w:hint="eastAsia" w:ascii="Times New Roman" w:hAnsi="Times New Roman"/>
        </w:rPr>
        <w:t>预案的实施</w:t>
      </w:r>
      <w:r>
        <w:tab/>
      </w:r>
      <w:r>
        <w:fldChar w:fldCharType="begin"/>
      </w:r>
      <w:r>
        <w:instrText xml:space="preserve"> PAGEREF _Toc8283 \h </w:instrText>
      </w:r>
      <w:r>
        <w:fldChar w:fldCharType="separate"/>
      </w:r>
      <w:r>
        <w:t>26</w:t>
      </w:r>
      <w:r>
        <w:fldChar w:fldCharType="end"/>
      </w:r>
      <w:r>
        <w:fldChar w:fldCharType="end"/>
      </w:r>
    </w:p>
    <w:p w14:paraId="4CD7454C">
      <w:pPr>
        <w:ind w:firstLine="0" w:firstLineChars="0"/>
        <w:rPr>
          <w:rFonts w:ascii="黑体" w:hAnsi="黑体" w:eastAsia="黑体" w:cs="黑体"/>
          <w:szCs w:val="44"/>
        </w:rPr>
      </w:pPr>
      <w:r>
        <w:rPr>
          <w:rFonts w:hint="eastAsia" w:ascii="黑体" w:hAnsi="黑体" w:eastAsia="黑体" w:cs="黑体"/>
          <w:szCs w:val="44"/>
        </w:rPr>
        <w:fldChar w:fldCharType="end"/>
      </w:r>
      <w:r>
        <w:rPr>
          <w:rFonts w:hint="eastAsia" w:ascii="黑体" w:hAnsi="黑体" w:eastAsia="黑体" w:cs="黑体"/>
          <w:szCs w:val="44"/>
        </w:rPr>
        <w:t xml:space="preserve"> </w:t>
      </w:r>
    </w:p>
    <w:p w14:paraId="78C196D0">
      <w:pPr>
        <w:pStyle w:val="2"/>
        <w:rPr>
          <w:sz w:val="32"/>
          <w:szCs w:val="32"/>
        </w:rPr>
        <w:sectPr>
          <w:footerReference r:id="rId111" w:type="default"/>
          <w:footerReference r:id="rId112" w:type="even"/>
          <w:pgSz w:w="11906" w:h="16838"/>
          <w:pgMar w:top="2098" w:right="1474" w:bottom="1984" w:left="1587" w:header="624" w:footer="1134" w:gutter="0"/>
          <w:pgNumType w:fmt="upperRoman" w:start="1"/>
          <w:cols w:space="720" w:num="1"/>
          <w:docGrid w:type="linesAndChars" w:linePitch="579" w:charSpace="-842"/>
        </w:sectPr>
      </w:pPr>
    </w:p>
    <w:p w14:paraId="07587976">
      <w:pPr>
        <w:pStyle w:val="2"/>
        <w:numPr>
          <w:ilvl w:val="0"/>
          <w:numId w:val="194"/>
        </w:numPr>
        <w:tabs>
          <w:tab w:val="left" w:pos="0"/>
        </w:tabs>
        <w:rPr>
          <w:sz w:val="32"/>
          <w:szCs w:val="32"/>
        </w:rPr>
      </w:pPr>
      <w:bookmarkStart w:id="1158" w:name="_Toc25407"/>
      <w:r>
        <w:rPr>
          <w:rFonts w:hint="eastAsia"/>
          <w:sz w:val="32"/>
          <w:szCs w:val="32"/>
        </w:rPr>
        <w:t>总则</w:t>
      </w:r>
      <w:bookmarkEnd w:id="1158"/>
    </w:p>
    <w:p w14:paraId="3D265978">
      <w:pPr>
        <w:pStyle w:val="3"/>
      </w:pPr>
      <w:bookmarkStart w:id="1159" w:name="_Toc18679"/>
      <w:r>
        <w:rPr>
          <w:rFonts w:hint="eastAsia"/>
        </w:rPr>
        <w:t>编制目的</w:t>
      </w:r>
      <w:bookmarkEnd w:id="1159"/>
    </w:p>
    <w:p w14:paraId="5485DC33">
      <w:pPr>
        <w:ind w:firstLine="632"/>
      </w:pPr>
      <w:r>
        <w:rPr>
          <w:rFonts w:hint="eastAsia"/>
        </w:rPr>
        <w:t>为提高食品安全保障和处置食品安全事件的能力，建立健全我县应对食品安全事件应急处置运行机制，积极应对食品安全事件，规范、高效组织应急处置工作，最大限度地减少食品安全事件及其造成的损害和影响，保障公众身体健康与生命安全，维护社会和谐稳定，为我县经济社会发展提供相应保障</w:t>
      </w:r>
    </w:p>
    <w:p w14:paraId="31554FC7">
      <w:pPr>
        <w:pStyle w:val="3"/>
      </w:pPr>
      <w:bookmarkStart w:id="1160" w:name="_Toc28647"/>
      <w:r>
        <w:rPr>
          <w:rFonts w:hint="eastAsia"/>
        </w:rPr>
        <w:t>编制依据</w:t>
      </w:r>
      <w:bookmarkEnd w:id="1160"/>
    </w:p>
    <w:p w14:paraId="7357634E">
      <w:pPr>
        <w:ind w:firstLine="632"/>
      </w:pPr>
      <w:r>
        <w:rPr>
          <w:rFonts w:hint="eastAsia"/>
        </w:rPr>
        <w:t>依据《中华人民共和国突发事件应对法》《中华人民共和国食品安全法》《中华人民共和国农产品质量安全法》《中华人民共和国食品安全法实施条例》《黑龙江省食品安全条例》《黑龙江省突发事件应对条例》和《黑龙江省突发事件总体应急预案》《双鸭山市突发公共卫生事件应急预案》《集贤县突发事件总体应急预案》等相关法律法规和规定，结合我县实际，制定本预案。</w:t>
      </w:r>
    </w:p>
    <w:p w14:paraId="420A4B1B">
      <w:pPr>
        <w:pStyle w:val="3"/>
      </w:pPr>
      <w:bookmarkStart w:id="1161" w:name="_Toc19840"/>
      <w:r>
        <w:rPr>
          <w:rFonts w:hint="eastAsia"/>
        </w:rPr>
        <w:t>适用范围</w:t>
      </w:r>
      <w:bookmarkEnd w:id="1161"/>
    </w:p>
    <w:p w14:paraId="4E936AF9">
      <w:pPr>
        <w:ind w:firstLine="632"/>
      </w:pPr>
      <w:r>
        <w:rPr>
          <w:rFonts w:hint="eastAsia"/>
        </w:rPr>
        <w:t>本预案适用于全县范围内发生的食品安全事件预防及应对处置工作。家宴及家庭自制食品引起的食源性疾病，属于公共卫生事件的，按照《集贤县突发公共卫生事件应急预案》处置。其他食源性疾病中涉及传染疫情的，按照《中华人民共和国传染病防治法》处置。民航、铁路、水运等交通区域食品安全突发事件有其他规定的，从其规定。</w:t>
      </w:r>
    </w:p>
    <w:p w14:paraId="21BFC348">
      <w:pPr>
        <w:pStyle w:val="3"/>
      </w:pPr>
      <w:bookmarkStart w:id="1162" w:name="_Toc28004"/>
      <w:r>
        <w:rPr>
          <w:rFonts w:hint="eastAsia"/>
        </w:rPr>
        <w:t>工作原则</w:t>
      </w:r>
      <w:bookmarkEnd w:id="1162"/>
    </w:p>
    <w:p w14:paraId="1ECFDAC0">
      <w:pPr>
        <w:numPr>
          <w:ilvl w:val="0"/>
          <w:numId w:val="23"/>
        </w:numPr>
        <w:ind w:firstLine="632"/>
      </w:pPr>
      <w:r>
        <w:rPr>
          <w:rFonts w:hint="eastAsia"/>
        </w:rPr>
        <w:t>以人为本，生命至上。把保障公众健康和生命安全作为应急处置的首要任务，最大程度减小食品安全风险、最大限度减少食品安全事件造成的危害。</w:t>
      </w:r>
    </w:p>
    <w:p w14:paraId="54A7A94A">
      <w:pPr>
        <w:numPr>
          <w:ilvl w:val="0"/>
          <w:numId w:val="23"/>
        </w:numPr>
        <w:ind w:firstLine="632"/>
      </w:pPr>
      <w:r>
        <w:rPr>
          <w:rFonts w:hint="eastAsia"/>
        </w:rPr>
        <w:t>统一领导，分级负贵。按照“统一领导、综合协调分级负贵、属地管理”的应急管理体制，建立快速反应、协同应对的食品安全事件应急机制。</w:t>
      </w:r>
    </w:p>
    <w:p w14:paraId="2A689EA3">
      <w:pPr>
        <w:numPr>
          <w:ilvl w:val="0"/>
          <w:numId w:val="23"/>
        </w:numPr>
        <w:ind w:firstLine="632"/>
      </w:pPr>
      <w:r>
        <w:rPr>
          <w:rFonts w:hint="eastAsia"/>
        </w:rPr>
        <w:t>科学评估，有效应对。有效使用食品安全风险监测、评估和预警等科学手段;充分发挥专业队伍的作用，提高应对食品安全事件的水平和能力。</w:t>
      </w:r>
    </w:p>
    <w:p w14:paraId="3E53CE88">
      <w:pPr>
        <w:numPr>
          <w:ilvl w:val="0"/>
          <w:numId w:val="23"/>
        </w:numPr>
        <w:ind w:firstLine="632"/>
      </w:pPr>
      <w:r>
        <w:rPr>
          <w:rFonts w:hint="eastAsia"/>
        </w:rPr>
        <w:t>居安思危，预防为主。坚持预防与应急相结合，常态与非常态相结合，加强监督检查和舆情监测，严密排查风险隐患，做好应急准备，落实各项防范措施，防患于未然。。</w:t>
      </w:r>
    </w:p>
    <w:p w14:paraId="30F5B1A7">
      <w:pPr>
        <w:pStyle w:val="3"/>
      </w:pPr>
      <w:bookmarkStart w:id="1163" w:name="_Toc5086"/>
      <w:r>
        <w:rPr>
          <w:rFonts w:hint="eastAsia"/>
        </w:rPr>
        <w:t>食品安全事件分级</w:t>
      </w:r>
      <w:bookmarkEnd w:id="1163"/>
    </w:p>
    <w:p w14:paraId="58A7F0E9">
      <w:pPr>
        <w:ind w:firstLine="632"/>
      </w:pPr>
      <w:r>
        <w:rPr>
          <w:rFonts w:hint="eastAsia"/>
        </w:rPr>
        <w:t>食品安全事件按危害程度和影响范围，从低到高划分为一般食品安全事件、较大食品安全事件、重大食品安全事件、特别重大食品安全事件四个级别。国家食品安全专项应急预案分级标准修订时从其新标准</w:t>
      </w:r>
    </w:p>
    <w:p w14:paraId="22562703">
      <w:pPr>
        <w:pStyle w:val="4"/>
        <w:numPr>
          <w:ilvl w:val="2"/>
          <w:numId w:val="194"/>
        </w:numPr>
        <w:tabs>
          <w:tab w:val="left" w:pos="0"/>
        </w:tabs>
        <w:rPr>
          <w:rFonts w:ascii="仿宋_GB2312" w:hAnsi="仿宋_GB2312" w:eastAsia="仿宋_GB2312" w:cs="仿宋_GB2312"/>
        </w:rPr>
      </w:pPr>
      <w:r>
        <w:rPr>
          <w:rFonts w:hint="eastAsia" w:ascii="仿宋_GB2312" w:hAnsi="仿宋_GB2312" w:eastAsia="仿宋_GB2312" w:cs="仿宋_GB2312"/>
        </w:rPr>
        <w:t>特别重大食品安全事件</w:t>
      </w:r>
    </w:p>
    <w:p w14:paraId="3AF85FE1">
      <w:pPr>
        <w:ind w:firstLine="632"/>
      </w:pPr>
      <w:r>
        <w:rPr>
          <w:rFonts w:hint="eastAsia"/>
        </w:rPr>
        <w:t>符合下列情形之一的，为特别重大食品安全事件:</w:t>
      </w:r>
    </w:p>
    <w:p w14:paraId="1CD4F5B0">
      <w:pPr>
        <w:numPr>
          <w:ilvl w:val="0"/>
          <w:numId w:val="195"/>
        </w:numPr>
        <w:ind w:firstLine="632"/>
      </w:pPr>
      <w:r>
        <w:rPr>
          <w:rFonts w:hint="eastAsia"/>
        </w:rPr>
        <w:t>经评估认为事件危害特别严重，对本省及周边省份造成严重威胁，并有进一步扩散趋势的;</w:t>
      </w:r>
    </w:p>
    <w:p w14:paraId="6B9CA0BC">
      <w:pPr>
        <w:numPr>
          <w:ilvl w:val="0"/>
          <w:numId w:val="195"/>
        </w:numPr>
        <w:ind w:firstLine="632"/>
      </w:pPr>
      <w:r>
        <w:rPr>
          <w:rFonts w:hint="eastAsia"/>
        </w:rPr>
        <w:t>发生跨境(包括港澳台地区)食品安全事件，造成特别严重社会影响的;</w:t>
      </w:r>
    </w:p>
    <w:p w14:paraId="6B580F14">
      <w:pPr>
        <w:numPr>
          <w:ilvl w:val="0"/>
          <w:numId w:val="195"/>
        </w:numPr>
        <w:ind w:firstLine="632"/>
      </w:pPr>
      <w:r>
        <w:rPr>
          <w:rFonts w:hint="eastAsia"/>
        </w:rPr>
        <w:t>涉及多个省份或国(境)外(含港澳台地区),已经或可能造成严重危害或严重不良影响，经评估认为应当在国家层面采取应急措施应对的食品安全舆情事件;</w:t>
      </w:r>
    </w:p>
    <w:p w14:paraId="2C586742">
      <w:pPr>
        <w:numPr>
          <w:ilvl w:val="0"/>
          <w:numId w:val="195"/>
        </w:numPr>
        <w:ind w:firstLine="632"/>
      </w:pPr>
      <w:r>
        <w:rPr>
          <w:rFonts w:hint="eastAsia"/>
        </w:rPr>
        <w:t>国务院认定的特别重大食品安全事件。</w:t>
      </w:r>
    </w:p>
    <w:p w14:paraId="11A64F56">
      <w:pPr>
        <w:pStyle w:val="4"/>
        <w:numPr>
          <w:ilvl w:val="2"/>
          <w:numId w:val="194"/>
        </w:numPr>
        <w:tabs>
          <w:tab w:val="left" w:pos="0"/>
        </w:tabs>
        <w:rPr>
          <w:rFonts w:ascii="仿宋_GB2312" w:hAnsi="仿宋_GB2312" w:eastAsia="仿宋_GB2312" w:cs="仿宋_GB2312"/>
        </w:rPr>
      </w:pPr>
      <w:r>
        <w:rPr>
          <w:rFonts w:hint="eastAsia" w:ascii="仿宋_GB2312" w:hAnsi="仿宋_GB2312" w:eastAsia="仿宋_GB2312" w:cs="仿宋_GB2312"/>
        </w:rPr>
        <w:t>重大食品安全事件</w:t>
      </w:r>
    </w:p>
    <w:p w14:paraId="545559FB">
      <w:pPr>
        <w:ind w:firstLine="632"/>
      </w:pPr>
      <w:r>
        <w:rPr>
          <w:rFonts w:hint="eastAsia"/>
        </w:rPr>
        <w:t>符合下列情形之一的，为重大食品安全事件:</w:t>
      </w:r>
    </w:p>
    <w:p w14:paraId="14862F7D">
      <w:pPr>
        <w:numPr>
          <w:ilvl w:val="0"/>
          <w:numId w:val="196"/>
        </w:numPr>
        <w:ind w:firstLine="632"/>
      </w:pPr>
      <w:r>
        <w:rPr>
          <w:rFonts w:hint="eastAsia"/>
        </w:rPr>
        <w:t>受污染食品流入省内2个以上(含2个)设区市行政区域，造成或经评估认为可能造成对社会公众健康产生严重损害的食物中毒或食源性疾病的;</w:t>
      </w:r>
    </w:p>
    <w:p w14:paraId="66786DF2">
      <w:pPr>
        <w:numPr>
          <w:ilvl w:val="0"/>
          <w:numId w:val="196"/>
        </w:numPr>
        <w:ind w:firstLine="632"/>
      </w:pPr>
      <w:r>
        <w:rPr>
          <w:rFonts w:hint="eastAsia"/>
        </w:rPr>
        <w:t>1起食物中毒事件中毒人数100人以上(含100人)，并出现死亡病例的;</w:t>
      </w:r>
    </w:p>
    <w:p w14:paraId="2A7CDE69">
      <w:pPr>
        <w:numPr>
          <w:ilvl w:val="0"/>
          <w:numId w:val="196"/>
        </w:numPr>
        <w:ind w:firstLine="632"/>
      </w:pPr>
      <w:r>
        <w:rPr>
          <w:rFonts w:hint="eastAsia"/>
        </w:rPr>
        <w:t>1起食物中毒事件造成10例以上(含10例)死亡病例的;</w:t>
      </w:r>
    </w:p>
    <w:p w14:paraId="3A43E675">
      <w:pPr>
        <w:numPr>
          <w:ilvl w:val="0"/>
          <w:numId w:val="196"/>
        </w:numPr>
        <w:ind w:firstLine="632"/>
      </w:pPr>
      <w:r>
        <w:rPr>
          <w:rFonts w:hint="eastAsia"/>
        </w:rPr>
        <w:t>在全省范围内已经或可能造成重大危害或重大不良影响,经评估认为应当在省级层面采取应对措施的食品安全舆情事件;</w:t>
      </w:r>
    </w:p>
    <w:p w14:paraId="373C3A66">
      <w:pPr>
        <w:numPr>
          <w:ilvl w:val="0"/>
          <w:numId w:val="196"/>
        </w:numPr>
        <w:ind w:firstLine="632"/>
      </w:pPr>
      <w:r>
        <w:rPr>
          <w:rFonts w:hint="eastAsia"/>
        </w:rPr>
        <w:t>省级以上人民政府认定的重大食品安全事件。</w:t>
      </w:r>
    </w:p>
    <w:p w14:paraId="58CF908A">
      <w:pPr>
        <w:pStyle w:val="4"/>
        <w:numPr>
          <w:ilvl w:val="2"/>
          <w:numId w:val="194"/>
        </w:numPr>
        <w:tabs>
          <w:tab w:val="left" w:pos="0"/>
        </w:tabs>
        <w:rPr>
          <w:rFonts w:ascii="仿宋_GB2312" w:hAnsi="仿宋_GB2312" w:eastAsia="仿宋_GB2312" w:cs="仿宋_GB2312"/>
        </w:rPr>
      </w:pPr>
      <w:r>
        <w:rPr>
          <w:rFonts w:hint="eastAsia" w:ascii="仿宋_GB2312" w:hAnsi="仿宋_GB2312" w:eastAsia="仿宋_GB2312" w:cs="仿宋_GB2312"/>
        </w:rPr>
        <w:t>较大食品安全事件</w:t>
      </w:r>
    </w:p>
    <w:p w14:paraId="2AD1142A">
      <w:pPr>
        <w:ind w:firstLine="632"/>
      </w:pPr>
      <w:r>
        <w:rPr>
          <w:rFonts w:hint="eastAsia"/>
        </w:rPr>
        <w:t>符合下列情形之一的，为较大食品安全事件:</w:t>
      </w:r>
    </w:p>
    <w:p w14:paraId="6420D4F6">
      <w:pPr>
        <w:numPr>
          <w:ilvl w:val="0"/>
          <w:numId w:val="197"/>
        </w:numPr>
        <w:ind w:firstLine="632"/>
      </w:pPr>
      <w:r>
        <w:rPr>
          <w:rFonts w:hint="eastAsia"/>
        </w:rPr>
        <w:t>受污染食品流入2个以上(含2个)县(区)级行政区域，已造成健康损害后果的;</w:t>
      </w:r>
    </w:p>
    <w:p w14:paraId="1D04BA91">
      <w:pPr>
        <w:numPr>
          <w:ilvl w:val="0"/>
          <w:numId w:val="197"/>
        </w:numPr>
        <w:ind w:firstLine="632"/>
      </w:pPr>
      <w:r>
        <w:rPr>
          <w:rFonts w:hint="eastAsia"/>
        </w:rPr>
        <w:t>1起食物中毒事件中毒人数在100人以上(含100人),或出现死亡病例的;</w:t>
      </w:r>
    </w:p>
    <w:p w14:paraId="5515CFBD">
      <w:pPr>
        <w:numPr>
          <w:ilvl w:val="0"/>
          <w:numId w:val="197"/>
        </w:numPr>
        <w:ind w:firstLine="632"/>
      </w:pPr>
      <w:r>
        <w:rPr>
          <w:rFonts w:hint="eastAsia"/>
        </w:rPr>
        <w:t>在市级行政区域范围内已经或可能造成较大危害或较大不良影响，经评估认为应当在市级层面采取应对措施的食品安全舆情事件;</w:t>
      </w:r>
    </w:p>
    <w:p w14:paraId="57B5D82A">
      <w:pPr>
        <w:numPr>
          <w:ilvl w:val="0"/>
          <w:numId w:val="197"/>
        </w:numPr>
        <w:ind w:firstLine="632"/>
      </w:pPr>
      <w:r>
        <w:rPr>
          <w:rFonts w:hint="eastAsia"/>
        </w:rPr>
        <w:t>市级以上人民政府认定的较大食品安全事件。</w:t>
      </w:r>
    </w:p>
    <w:p w14:paraId="4566A216">
      <w:pPr>
        <w:pStyle w:val="4"/>
        <w:numPr>
          <w:ilvl w:val="2"/>
          <w:numId w:val="194"/>
        </w:numPr>
        <w:tabs>
          <w:tab w:val="left" w:pos="0"/>
        </w:tabs>
        <w:rPr>
          <w:rFonts w:ascii="仿宋_GB2312" w:hAnsi="仿宋_GB2312" w:eastAsia="仿宋_GB2312" w:cs="仿宋_GB2312"/>
        </w:rPr>
      </w:pPr>
      <w:r>
        <w:rPr>
          <w:rFonts w:hint="eastAsia" w:ascii="仿宋_GB2312" w:hAnsi="仿宋_GB2312" w:eastAsia="仿宋_GB2312" w:cs="仿宋_GB2312"/>
        </w:rPr>
        <w:t>一般食品安全事件</w:t>
      </w:r>
    </w:p>
    <w:p w14:paraId="578C3A96">
      <w:pPr>
        <w:ind w:firstLine="632"/>
      </w:pPr>
      <w:r>
        <w:rPr>
          <w:rFonts w:hint="eastAsia"/>
        </w:rPr>
        <w:t>符合下列情形之一的，为一般食品安全事件:</w:t>
      </w:r>
    </w:p>
    <w:p w14:paraId="54BD8630">
      <w:pPr>
        <w:numPr>
          <w:ilvl w:val="0"/>
          <w:numId w:val="198"/>
        </w:numPr>
        <w:ind w:firstLine="632"/>
      </w:pPr>
      <w:r>
        <w:rPr>
          <w:rFonts w:hint="eastAsia"/>
        </w:rPr>
        <w:t>存在健康损害的污染食品，已造成健康损害后果的:</w:t>
      </w:r>
    </w:p>
    <w:p w14:paraId="77CAF02C">
      <w:pPr>
        <w:numPr>
          <w:ilvl w:val="0"/>
          <w:numId w:val="198"/>
        </w:numPr>
        <w:ind w:firstLine="632"/>
      </w:pPr>
      <w:r>
        <w:rPr>
          <w:rFonts w:hint="eastAsia"/>
        </w:rPr>
        <w:t>1起食物中毒事件中毒人数在30人以上(含30人)99人以下(含99人)，且未出现死亡病例的;</w:t>
      </w:r>
    </w:p>
    <w:p w14:paraId="1FAFCAD7">
      <w:pPr>
        <w:numPr>
          <w:ilvl w:val="0"/>
          <w:numId w:val="198"/>
        </w:numPr>
        <w:ind w:firstLine="632"/>
      </w:pPr>
      <w:r>
        <w:rPr>
          <w:rFonts w:hint="eastAsia"/>
        </w:rPr>
        <w:t>在县级行政区域范围内已经或可能造成一般危害或一般不良影响，经评估认为应当在县级层面采取应对措施的食品安全舆情事件;</w:t>
      </w:r>
    </w:p>
    <w:p w14:paraId="72B6A481">
      <w:pPr>
        <w:numPr>
          <w:ilvl w:val="0"/>
          <w:numId w:val="198"/>
        </w:numPr>
        <w:ind w:firstLine="632"/>
      </w:pPr>
      <w:r>
        <w:rPr>
          <w:rFonts w:hint="eastAsia"/>
        </w:rPr>
        <w:t>县级以上人民政府认定的一般食品安全事件。</w:t>
      </w:r>
    </w:p>
    <w:p w14:paraId="002F6DC2">
      <w:pPr>
        <w:pStyle w:val="4"/>
        <w:numPr>
          <w:ilvl w:val="2"/>
          <w:numId w:val="194"/>
        </w:numPr>
        <w:tabs>
          <w:tab w:val="left" w:pos="0"/>
        </w:tabs>
        <w:rPr>
          <w:rFonts w:ascii="仿宋_GB2312" w:hAnsi="仿宋_GB2312" w:eastAsia="仿宋_GB2312" w:cs="仿宋_GB2312"/>
        </w:rPr>
      </w:pPr>
      <w:r>
        <w:rPr>
          <w:rFonts w:hint="eastAsia" w:ascii="仿宋_GB2312" w:hAnsi="仿宋_GB2312" w:eastAsia="仿宋_GB2312" w:cs="仿宋_GB2312"/>
        </w:rPr>
        <w:t>食品安全事件处置权限</w:t>
      </w:r>
    </w:p>
    <w:p w14:paraId="1A2D1B18">
      <w:pPr>
        <w:ind w:firstLine="632"/>
      </w:pPr>
      <w:r>
        <w:rPr>
          <w:rFonts w:hint="eastAsia"/>
        </w:rPr>
        <w:t>食品安全事件发生后，市场监管部门会同卫生健康、农业农村等相关部门依法组织对事件进行分析评估，核定事件级别。特别重大和重大、较大食品安全事件，在国家和省、市应急处置指挥部统一领导、指挥下，配合开展事件应急处置工作一般食品安全事件，由县市场监督管理局(县食安办)向县人民政府提出启动IV级响应建议，经县人民政府批准，成立一般食品安全事件应急处置指挥部(以下简称指挥部)，统一组织开展应急处置工作。</w:t>
      </w:r>
    </w:p>
    <w:p w14:paraId="7484213C">
      <w:pPr>
        <w:ind w:firstLine="632"/>
      </w:pPr>
      <w:r>
        <w:rPr>
          <w:rFonts w:hint="eastAsia"/>
        </w:rPr>
        <w:t>在未核定食品安全事件级别阶段，由事件发生所在乡镇人民政府或其相关职能部门先行处置。</w:t>
      </w:r>
    </w:p>
    <w:p w14:paraId="6CB8FDF7">
      <w:pPr>
        <w:pStyle w:val="2"/>
        <w:numPr>
          <w:ilvl w:val="0"/>
          <w:numId w:val="194"/>
        </w:numPr>
        <w:tabs>
          <w:tab w:val="left" w:pos="0"/>
        </w:tabs>
        <w:rPr>
          <w:sz w:val="32"/>
          <w:szCs w:val="32"/>
        </w:rPr>
      </w:pPr>
      <w:bookmarkStart w:id="1164" w:name="_Toc15728"/>
      <w:r>
        <w:rPr>
          <w:rFonts w:hint="eastAsia"/>
          <w:sz w:val="32"/>
          <w:szCs w:val="32"/>
        </w:rPr>
        <w:t>组织指挥体系及职责</w:t>
      </w:r>
      <w:bookmarkEnd w:id="1164"/>
    </w:p>
    <w:p w14:paraId="00DBC569">
      <w:pPr>
        <w:ind w:firstLine="632"/>
      </w:pPr>
      <w:r>
        <w:rPr>
          <w:rFonts w:hint="eastAsia"/>
        </w:rPr>
        <w:t>在县委、县政府统一领导下，成立县食品安全事件应急指挥部（以下简称县指挥部），作为全县防范和应对食品安全事件的领导指挥机构，负责组织、协调、指挥事件的应急处置工作，传达并贯彻落实县委、县政府有关指示和要求，组织有关队伍、专家赶赴现场参加应急处置工作，成立相应工作组负责有关应急处置工作。</w:t>
      </w:r>
    </w:p>
    <w:p w14:paraId="6E6FF34D">
      <w:pPr>
        <w:pStyle w:val="3"/>
      </w:pPr>
      <w:bookmarkStart w:id="1165" w:name="_Toc7015"/>
      <w:r>
        <w:rPr>
          <w:rFonts w:hint="eastAsia"/>
        </w:rPr>
        <w:t>县指挥部组成</w:t>
      </w:r>
      <w:bookmarkEnd w:id="1165"/>
    </w:p>
    <w:p w14:paraId="62A540A1">
      <w:pPr>
        <w:ind w:firstLine="632"/>
      </w:pPr>
      <w:r>
        <w:rPr>
          <w:rFonts w:hint="eastAsia"/>
        </w:rPr>
        <w:t>县指挥部由县食安委主任担任总指挥；县人民政府分管副县长（县食安委副主任）担任常务副总指挥，县人民政府办公室主任、县市场监督管理局局长、县农业农村局局长、县卫生健康局主任、事发地乡镇人民政府主要负责同志等担任副总指挥。</w:t>
      </w:r>
    </w:p>
    <w:p w14:paraId="59276C8C">
      <w:pPr>
        <w:ind w:firstLine="632"/>
      </w:pPr>
      <w:r>
        <w:rPr>
          <w:rFonts w:hint="eastAsia"/>
        </w:rPr>
        <w:t>成员单位：县委宣传部、县市场监督管理局、县农业农村局、县卫生健康局、县公安局、县教育局、县人力资源和社会保障局、集贤生态环境局、县发改委、县财政局、县城管局、县司法局、县住房和城乡建设局、县工业信息科技局、县民政局、县文化和旅游局、县交通运输局、县林业和草原局、县民宗局等部门及相关行业协会组织的负责人组成。当事件涉及国外、港澳人员时，增加县外事办负责人为成员。</w:t>
      </w:r>
    </w:p>
    <w:p w14:paraId="1354FE2F">
      <w:pPr>
        <w:ind w:firstLine="632"/>
      </w:pPr>
      <w:r>
        <w:rPr>
          <w:rFonts w:hint="eastAsia"/>
        </w:rPr>
        <w:t>指挥部下设办公室（以下简称县指挥办），办公室设在县市场监督管理局，办公室主任由县市场监督管理局局长兼任。</w:t>
      </w:r>
    </w:p>
    <w:p w14:paraId="11023A29">
      <w:pPr>
        <w:pStyle w:val="4"/>
        <w:numPr>
          <w:ilvl w:val="2"/>
          <w:numId w:val="194"/>
        </w:numPr>
        <w:tabs>
          <w:tab w:val="left" w:pos="0"/>
        </w:tabs>
        <w:rPr>
          <w:rFonts w:ascii="仿宋_GB2312" w:hAnsi="仿宋_GB2312" w:eastAsia="仿宋_GB2312" w:cs="仿宋_GB2312"/>
        </w:rPr>
      </w:pPr>
      <w:r>
        <w:rPr>
          <w:rFonts w:hint="eastAsia" w:ascii="仿宋_GB2312" w:hAnsi="仿宋_GB2312" w:eastAsia="仿宋_GB2312" w:cs="仿宋_GB2312"/>
        </w:rPr>
        <w:t>县指挥部工作职责</w:t>
      </w:r>
    </w:p>
    <w:p w14:paraId="56B8BCC1">
      <w:pPr>
        <w:numPr>
          <w:ilvl w:val="0"/>
          <w:numId w:val="122"/>
        </w:numPr>
        <w:ind w:firstLine="632"/>
      </w:pPr>
      <w:r>
        <w:rPr>
          <w:rFonts w:hint="eastAsia"/>
        </w:rPr>
        <w:t>指挥部负责统一组织领导食品安全事件应急处置工作；</w:t>
      </w:r>
    </w:p>
    <w:p w14:paraId="046801C6">
      <w:pPr>
        <w:numPr>
          <w:ilvl w:val="0"/>
          <w:numId w:val="122"/>
        </w:numPr>
        <w:ind w:firstLine="632"/>
      </w:pPr>
      <w:r>
        <w:rPr>
          <w:rFonts w:hint="eastAsia"/>
        </w:rPr>
        <w:t>研究应急决策和部署，制订并组织实施应对食品安全事件处置方案；</w:t>
      </w:r>
    </w:p>
    <w:p w14:paraId="1B8896C8">
      <w:pPr>
        <w:numPr>
          <w:ilvl w:val="0"/>
          <w:numId w:val="122"/>
        </w:numPr>
        <w:ind w:firstLine="632"/>
      </w:pPr>
      <w:r>
        <w:rPr>
          <w:rFonts w:hint="eastAsia"/>
        </w:rPr>
        <w:t>审议批准县指挥办提交的应急处置工作报告；</w:t>
      </w:r>
    </w:p>
    <w:p w14:paraId="6AF3819F">
      <w:pPr>
        <w:numPr>
          <w:ilvl w:val="0"/>
          <w:numId w:val="122"/>
        </w:numPr>
        <w:ind w:firstLine="632"/>
      </w:pPr>
      <w:r>
        <w:rPr>
          <w:rFonts w:hint="eastAsia"/>
        </w:rPr>
        <w:t>组织发布事件的重要信息；</w:t>
      </w:r>
    </w:p>
    <w:p w14:paraId="356A2B3F">
      <w:pPr>
        <w:numPr>
          <w:ilvl w:val="0"/>
          <w:numId w:val="122"/>
        </w:numPr>
        <w:ind w:firstLine="632"/>
      </w:pPr>
      <w:r>
        <w:rPr>
          <w:rFonts w:hint="eastAsia"/>
        </w:rPr>
        <w:t>应急处置的其他工作。</w:t>
      </w:r>
    </w:p>
    <w:p w14:paraId="7701A7B8">
      <w:pPr>
        <w:pStyle w:val="4"/>
        <w:numPr>
          <w:ilvl w:val="2"/>
          <w:numId w:val="194"/>
        </w:numPr>
        <w:tabs>
          <w:tab w:val="left" w:pos="0"/>
        </w:tabs>
        <w:rPr>
          <w:rFonts w:ascii="仿宋_GB2312" w:hAnsi="仿宋_GB2312" w:eastAsia="仿宋_GB2312" w:cs="仿宋_GB2312"/>
        </w:rPr>
      </w:pPr>
      <w:r>
        <w:rPr>
          <w:rFonts w:hint="eastAsia" w:ascii="仿宋_GB2312" w:hAnsi="仿宋_GB2312" w:eastAsia="仿宋_GB2312" w:cs="仿宋_GB2312"/>
        </w:rPr>
        <w:t>县指挥办工作职责</w:t>
      </w:r>
    </w:p>
    <w:p w14:paraId="34F2F41B">
      <w:pPr>
        <w:numPr>
          <w:ilvl w:val="0"/>
          <w:numId w:val="199"/>
        </w:numPr>
        <w:ind w:firstLine="632"/>
      </w:pPr>
      <w:r>
        <w:rPr>
          <w:rFonts w:hint="eastAsia"/>
        </w:rPr>
        <w:t>县指挥办主要负责协调相关应急处置部门贯彻落实指挥部的决策部署；</w:t>
      </w:r>
    </w:p>
    <w:p w14:paraId="02D34F8D">
      <w:pPr>
        <w:numPr>
          <w:ilvl w:val="0"/>
          <w:numId w:val="199"/>
        </w:numPr>
        <w:ind w:firstLine="632"/>
      </w:pPr>
      <w:r>
        <w:rPr>
          <w:rFonts w:hint="eastAsia"/>
        </w:rPr>
        <w:t>检查督促相关乡镇和部门落实各项应急处置工作，及时有效控制事件，防止事态蔓延扩大；</w:t>
      </w:r>
    </w:p>
    <w:p w14:paraId="578DA354">
      <w:pPr>
        <w:numPr>
          <w:ilvl w:val="0"/>
          <w:numId w:val="199"/>
        </w:numPr>
        <w:ind w:firstLine="632"/>
      </w:pPr>
      <w:r>
        <w:rPr>
          <w:rFonts w:hint="eastAsia"/>
        </w:rPr>
        <w:t>协调解决应急处理工作中的具体问题，并对应急指挥部成员单位履行本预案规定的职责情况进行检查评估；</w:t>
      </w:r>
    </w:p>
    <w:p w14:paraId="4764D3BC">
      <w:pPr>
        <w:numPr>
          <w:ilvl w:val="0"/>
          <w:numId w:val="199"/>
        </w:numPr>
        <w:ind w:firstLine="632"/>
      </w:pPr>
      <w:r>
        <w:rPr>
          <w:rFonts w:hint="eastAsia"/>
        </w:rPr>
        <w:t>向市食品安全委员会办公室报告食品安全事件应急处置情况；</w:t>
      </w:r>
    </w:p>
    <w:p w14:paraId="79518949">
      <w:pPr>
        <w:numPr>
          <w:ilvl w:val="0"/>
          <w:numId w:val="199"/>
        </w:numPr>
        <w:ind w:firstLine="632"/>
      </w:pPr>
      <w:r>
        <w:rPr>
          <w:rFonts w:hint="eastAsia"/>
        </w:rPr>
        <w:t>向县委、县政府及其成员单位报告、通报事件应急处置情况；</w:t>
      </w:r>
    </w:p>
    <w:p w14:paraId="4AED7DF9">
      <w:pPr>
        <w:numPr>
          <w:ilvl w:val="0"/>
          <w:numId w:val="199"/>
        </w:numPr>
        <w:ind w:firstLine="632"/>
      </w:pPr>
      <w:r>
        <w:rPr>
          <w:rFonts w:hint="eastAsia"/>
        </w:rPr>
        <w:t>组织协调、保障指挥部开展信息发布工作。</w:t>
      </w:r>
    </w:p>
    <w:p w14:paraId="38EDA89B">
      <w:pPr>
        <w:pStyle w:val="4"/>
        <w:numPr>
          <w:ilvl w:val="2"/>
          <w:numId w:val="194"/>
        </w:numPr>
        <w:tabs>
          <w:tab w:val="left" w:pos="0"/>
        </w:tabs>
        <w:rPr>
          <w:rFonts w:ascii="仿宋_GB2312" w:hAnsi="仿宋_GB2312" w:eastAsia="仿宋_GB2312" w:cs="仿宋_GB2312"/>
        </w:rPr>
      </w:pPr>
      <w:r>
        <w:rPr>
          <w:rFonts w:hint="eastAsia" w:ascii="仿宋_GB2312" w:hAnsi="仿宋_GB2312" w:eastAsia="仿宋_GB2312" w:cs="仿宋_GB2312"/>
        </w:rPr>
        <w:t>成员单位工作职责</w:t>
      </w:r>
    </w:p>
    <w:p w14:paraId="5E4968F1">
      <w:pPr>
        <w:ind w:firstLine="634"/>
      </w:pPr>
      <w:r>
        <w:rPr>
          <w:rFonts w:hint="eastAsia"/>
          <w:b/>
          <w:bCs/>
        </w:rPr>
        <w:t>县委宣传部:</w:t>
      </w:r>
      <w:r>
        <w:rPr>
          <w:rFonts w:hint="eastAsia"/>
        </w:rPr>
        <w:t>负责指导县市场监督管理局等相关单位做好食品安全事件的舆情处置工作，及时、主动、准确、权威发布信息。负责统筹协调组织食品安全事件互联网宣传管理和舆情引导工作。</w:t>
      </w:r>
    </w:p>
    <w:p w14:paraId="3E41C2E8">
      <w:pPr>
        <w:ind w:firstLine="634"/>
      </w:pPr>
      <w:r>
        <w:rPr>
          <w:rFonts w:hint="eastAsia"/>
          <w:b/>
          <w:bCs/>
        </w:rPr>
        <w:t>县市场监督管理局:</w:t>
      </w:r>
      <w:r>
        <w:rPr>
          <w:rFonts w:hint="eastAsia"/>
        </w:rPr>
        <w:t>负责食品、保健食品生产、流通和餐饮环节发生的食品安全事件的调查处理等工作。负责对涉及食品安全事件的相关食品包装材料、容器、食品生产经营工具等的生产加工行为开展调查处理和技术鉴定。依法查处虚假违法食品广告。</w:t>
      </w:r>
    </w:p>
    <w:p w14:paraId="6A8ACB39">
      <w:pPr>
        <w:ind w:firstLine="634"/>
      </w:pPr>
      <w:r>
        <w:rPr>
          <w:rFonts w:hint="eastAsia"/>
          <w:b/>
          <w:bCs/>
        </w:rPr>
        <w:t>县农业农村局:</w:t>
      </w:r>
      <w:r>
        <w:rPr>
          <w:rFonts w:hint="eastAsia"/>
        </w:rPr>
        <w:t>负责食品安全事件中监管职责范围内的食用农产品、农药、肥料、兽药、饲料、饲料添加剂、畜禽屠宰及生鲜乳收购环节等的调查、检测检验、风险评估、信息报告和处理等工作，提出相关评估结论，依法采取必要应急措施，防止或减轻事件危害；负责食品安全事件发生地粮食应急供应工作；负责粮油收购、储存、运输过程中较大粮油食品安全的调查处理等工作。</w:t>
      </w:r>
    </w:p>
    <w:p w14:paraId="7110A114">
      <w:pPr>
        <w:ind w:firstLine="634"/>
      </w:pPr>
      <w:r>
        <w:rPr>
          <w:rFonts w:hint="eastAsia"/>
          <w:b/>
          <w:bCs/>
        </w:rPr>
        <w:t>县卫生健康局:</w:t>
      </w:r>
      <w:r>
        <w:rPr>
          <w:rFonts w:hint="eastAsia"/>
        </w:rPr>
        <w:t>负责食品安全事件医疗救援工作、食品安全风险监测、评估、食品安全事件流行病学调查、患者标本采样与实验室检测、相关信息收集和报告等工作；负责医疗机构医务人员的应急救援技能培训和演练、食品安全突发事件中的疾病预防控制和公众卫生防护等工作。</w:t>
      </w:r>
    </w:p>
    <w:p w14:paraId="52340BF7">
      <w:pPr>
        <w:ind w:firstLine="634"/>
      </w:pPr>
      <w:r>
        <w:rPr>
          <w:rFonts w:hint="eastAsia"/>
          <w:b/>
          <w:bCs/>
        </w:rPr>
        <w:t>县公安局:</w:t>
      </w:r>
      <w:r>
        <w:rPr>
          <w:rFonts w:hint="eastAsia"/>
        </w:rPr>
        <w:t>负责指导、协调、组织食品安全事件发生地公安机关对涉嫌刑事犯罪的食品安全侦查工作；加强对食品安全事件现场的治安管理，维护救治秩序、社会治安秩序和交通秩序。</w:t>
      </w:r>
    </w:p>
    <w:p w14:paraId="66701CD5">
      <w:pPr>
        <w:ind w:firstLine="634"/>
      </w:pPr>
      <w:r>
        <w:rPr>
          <w:rFonts w:hint="eastAsia"/>
          <w:b/>
          <w:bCs/>
        </w:rPr>
        <w:t>县教育和体育局:</w:t>
      </w:r>
      <w:r>
        <w:rPr>
          <w:rFonts w:hint="eastAsia"/>
        </w:rPr>
        <w:t>负责组织学校食品安全风险防控教育，做好学校食品安全管理，指导学校完善食品安全应急措施；协助相关部门对学校食堂、学生在校集体用餐造成的食品安全事件进行调查及应急处理等工作。</w:t>
      </w:r>
    </w:p>
    <w:p w14:paraId="12E1383B">
      <w:pPr>
        <w:ind w:firstLine="634"/>
      </w:pPr>
      <w:r>
        <w:rPr>
          <w:rFonts w:hint="eastAsia"/>
          <w:b/>
          <w:bCs/>
        </w:rPr>
        <w:t>双鸭山市集贤生态环境局:</w:t>
      </w:r>
      <w:r>
        <w:rPr>
          <w:rFonts w:hint="eastAsia"/>
        </w:rPr>
        <w:t>负责组织开展事件发生地应急救援过程中涉及环境保护的应急监测和环境安全隐患排查工作；参与环境污染相关食品安全事件的调查处理。</w:t>
      </w:r>
    </w:p>
    <w:p w14:paraId="3D20EFC4">
      <w:pPr>
        <w:ind w:firstLine="634"/>
      </w:pPr>
      <w:r>
        <w:rPr>
          <w:rFonts w:hint="eastAsia"/>
          <w:b/>
          <w:bCs/>
        </w:rPr>
        <w:t>县发展和改革局:</w:t>
      </w:r>
      <w:r>
        <w:rPr>
          <w:rFonts w:hint="eastAsia"/>
        </w:rPr>
        <w:t>负责将较大食品安全事件应急体系建设列入县经济和社会发展计划，加强较大食品安全事件对全县经济和社会发展影响的分析。负责对发生的粮食收购、储存及其出入库环节的原粮质量安全事件和政策性粮油产品质量事件进行调查处理和相关技术鉴定等工作。</w:t>
      </w:r>
    </w:p>
    <w:p w14:paraId="14E38D3A">
      <w:pPr>
        <w:ind w:firstLine="634"/>
      </w:pPr>
      <w:r>
        <w:rPr>
          <w:rFonts w:hint="eastAsia"/>
          <w:b/>
          <w:bCs/>
        </w:rPr>
        <w:t>县财政局:</w:t>
      </w:r>
      <w:r>
        <w:rPr>
          <w:rFonts w:hint="eastAsia"/>
        </w:rPr>
        <w:t>负责安排食品安全检验检测、风险监测经费和应急物资储备所需经费，保障食品安全事件的预防、监测、应急处置及应急队伍体系建设运行经费。</w:t>
      </w:r>
    </w:p>
    <w:p w14:paraId="747AE7A4">
      <w:pPr>
        <w:ind w:firstLine="634"/>
      </w:pPr>
      <w:r>
        <w:rPr>
          <w:rFonts w:hint="eastAsia"/>
          <w:b/>
          <w:bCs/>
        </w:rPr>
        <w:t>县司法局:</w:t>
      </w:r>
      <w:r>
        <w:rPr>
          <w:rFonts w:hint="eastAsia"/>
        </w:rPr>
        <w:t>负责为各有关部门依法处置食品安全事件提供法律服务。</w:t>
      </w:r>
    </w:p>
    <w:p w14:paraId="2C9B55EF">
      <w:pPr>
        <w:ind w:firstLine="634"/>
      </w:pPr>
      <w:r>
        <w:rPr>
          <w:rFonts w:hint="eastAsia"/>
          <w:b/>
          <w:bCs/>
        </w:rPr>
        <w:t>县住房和城乡建设局:</w:t>
      </w:r>
      <w:r>
        <w:rPr>
          <w:rFonts w:hint="eastAsia"/>
        </w:rPr>
        <w:t>协助食品安全监管部门对建筑工地食堂、民工在建筑工地集体用餐造成的食品安全事件进行调查及组织应急处理。</w:t>
      </w:r>
    </w:p>
    <w:p w14:paraId="4B82FF7E">
      <w:pPr>
        <w:ind w:firstLine="634"/>
      </w:pPr>
      <w:r>
        <w:rPr>
          <w:rFonts w:hint="eastAsia"/>
          <w:b/>
          <w:bCs/>
        </w:rPr>
        <w:t>县工业信息科技局:</w:t>
      </w:r>
      <w:r>
        <w:rPr>
          <w:rFonts w:hint="eastAsia"/>
        </w:rPr>
        <w:t>协助做好商贸流通领域、餐饮服务环节食品安全事件的调查处置工作，负责组织食品安全事件应急救援所需重要生活必需品的保障工作；协助做好涉及进出口环节食品安全事件调查处置工作；引导食品工业企业实施技术改造，鼓励开展诚信体系建设，推进食品工业转型升级；协助乳品、转基因食品、酒类和食盐等特定食品工业中食品安全事件的调查和应急处置。</w:t>
      </w:r>
    </w:p>
    <w:p w14:paraId="35B0E0A8">
      <w:pPr>
        <w:ind w:firstLine="634"/>
      </w:pPr>
      <w:r>
        <w:rPr>
          <w:rFonts w:hint="eastAsia"/>
          <w:b/>
          <w:bCs/>
        </w:rPr>
        <w:t>县民政局:</w:t>
      </w:r>
      <w:r>
        <w:rPr>
          <w:rFonts w:hint="eastAsia"/>
        </w:rPr>
        <w:t>协助食品安全监管部门对养老机构食堂集体用餐造成的食品安全事件进行调查及组织应急处理。</w:t>
      </w:r>
    </w:p>
    <w:p w14:paraId="1BE8802C">
      <w:pPr>
        <w:ind w:firstLine="634"/>
      </w:pPr>
      <w:r>
        <w:rPr>
          <w:rFonts w:hint="eastAsia"/>
          <w:b/>
          <w:bCs/>
        </w:rPr>
        <w:t>县文体广电和旅游局:</w:t>
      </w:r>
      <w:r>
        <w:rPr>
          <w:rFonts w:hint="eastAsia"/>
        </w:rPr>
        <w:t>协助有关食品安全监管部门对涉及旅游景区及旅游团队的食品安全事件应急处置工作。</w:t>
      </w:r>
    </w:p>
    <w:p w14:paraId="4D8DD449">
      <w:pPr>
        <w:ind w:firstLine="634"/>
      </w:pPr>
      <w:r>
        <w:rPr>
          <w:rFonts w:hint="eastAsia"/>
          <w:b/>
          <w:bCs/>
        </w:rPr>
        <w:t>县城管局:</w:t>
      </w:r>
      <w:r>
        <w:rPr>
          <w:rFonts w:hint="eastAsia"/>
        </w:rPr>
        <w:t>协助涉及占道经营和流动摊贩所引发的食品安全事件调查处理；协助对涉及生活饮用水的食品安全事件调查及应急处理。</w:t>
      </w:r>
    </w:p>
    <w:p w14:paraId="2EE75B98">
      <w:pPr>
        <w:ind w:firstLine="634"/>
      </w:pPr>
      <w:r>
        <w:rPr>
          <w:rFonts w:hint="eastAsia"/>
          <w:b/>
          <w:bCs/>
        </w:rPr>
        <w:t>县交通运输局:</w:t>
      </w:r>
      <w:r>
        <w:rPr>
          <w:rFonts w:hint="eastAsia"/>
        </w:rPr>
        <w:t>协助做好突发食品安全事件应急处置工作的道路、水路运输保障。</w:t>
      </w:r>
    </w:p>
    <w:p w14:paraId="78FB2C10">
      <w:pPr>
        <w:ind w:firstLine="634"/>
      </w:pPr>
      <w:r>
        <w:rPr>
          <w:rFonts w:hint="eastAsia"/>
          <w:b/>
          <w:bCs/>
        </w:rPr>
        <w:t>县林业和草原局:</w:t>
      </w:r>
      <w:r>
        <w:rPr>
          <w:rFonts w:hint="eastAsia"/>
        </w:rPr>
        <w:t>协助对涉及林产品的食品安全事件调查及应急处置。</w:t>
      </w:r>
    </w:p>
    <w:p w14:paraId="789C1EE8">
      <w:pPr>
        <w:ind w:firstLine="634"/>
      </w:pPr>
      <w:r>
        <w:rPr>
          <w:rFonts w:hint="eastAsia"/>
          <w:b/>
          <w:bCs/>
        </w:rPr>
        <w:t>县外事办:</w:t>
      </w:r>
      <w:r>
        <w:rPr>
          <w:rFonts w:hint="eastAsia"/>
        </w:rPr>
        <w:t>协助做好涉及国外或港澳人员的食品安全事件应急处置工作。</w:t>
      </w:r>
    </w:p>
    <w:p w14:paraId="4E6BA8EC">
      <w:pPr>
        <w:ind w:firstLine="634"/>
      </w:pPr>
      <w:r>
        <w:rPr>
          <w:rFonts w:hint="eastAsia"/>
          <w:b/>
          <w:bCs/>
        </w:rPr>
        <w:t>县民族宗教管理局:</w:t>
      </w:r>
      <w:r>
        <w:rPr>
          <w:rFonts w:hint="eastAsia"/>
        </w:rPr>
        <w:t>配合食品安全监管部门对涉及清真食品、少数民族人员集中单位和人员的食品安全事件进行调查及应急处理，</w:t>
      </w:r>
    </w:p>
    <w:p w14:paraId="63F10842">
      <w:pPr>
        <w:ind w:firstLine="632"/>
      </w:pPr>
      <w:r>
        <w:rPr>
          <w:rFonts w:hint="eastAsia"/>
        </w:rPr>
        <w:t>其他有关部门（含非食安委成员单位）按照法定职责，协助做好食品安全应急处置工作</w:t>
      </w:r>
    </w:p>
    <w:p w14:paraId="11BCE731">
      <w:pPr>
        <w:pStyle w:val="3"/>
      </w:pPr>
      <w:bookmarkStart w:id="1166" w:name="_Toc7273"/>
      <w:r>
        <w:rPr>
          <w:rFonts w:hint="eastAsia"/>
        </w:rPr>
        <w:t>现场指挥部</w:t>
      </w:r>
      <w:bookmarkEnd w:id="1166"/>
    </w:p>
    <w:p w14:paraId="1DCD81BF">
      <w:pPr>
        <w:ind w:firstLine="632"/>
      </w:pPr>
      <w:r>
        <w:rPr>
          <w:rFonts w:hint="eastAsia"/>
        </w:rPr>
        <w:t>食品安全事件发生后，根据事件处置需要，指挥部可设若干工作组开展处置。各工作组在指挥部的统一调度下开展工作，按职责要求，组织实施应急处置，并随时向县指挥办报告工作进展情况。</w:t>
      </w:r>
    </w:p>
    <w:p w14:paraId="55DC331D">
      <w:pPr>
        <w:numPr>
          <w:ilvl w:val="0"/>
          <w:numId w:val="200"/>
        </w:numPr>
        <w:ind w:firstLine="632"/>
      </w:pPr>
      <w:r>
        <w:t>事件调查组:由县市场监督管理局牵头，会同县农业农村局、</w:t>
      </w:r>
      <w:r>
        <w:rPr>
          <w:rFonts w:hint="eastAsia"/>
        </w:rPr>
        <w:t>县卫生健康局</w:t>
      </w:r>
      <w:r>
        <w:t>、县公安局等相关部门</w:t>
      </w:r>
      <w:r>
        <w:rPr>
          <w:rFonts w:hint="eastAsia"/>
        </w:rPr>
        <w:t>负责</w:t>
      </w:r>
      <w:r>
        <w:t>调查事件发生原因，评估影响，认定性质，尽快查明致病原因，提出处置措施方案或意见建议</w:t>
      </w:r>
      <w:r>
        <w:rPr>
          <w:rFonts w:hint="eastAsia"/>
        </w:rPr>
        <w:t>；</w:t>
      </w:r>
      <w:r>
        <w:t>对涉嫌犯罪的，由县公安局负责，督促、指导涉案地公安机关立案侦办，查清事实，依法追究刑事责任。根据实际需要，可在事件发生地就地成立事件调查组或派出部分人员赴现场开展事件调查。</w:t>
      </w:r>
    </w:p>
    <w:p w14:paraId="48932681">
      <w:pPr>
        <w:numPr>
          <w:ilvl w:val="0"/>
          <w:numId w:val="200"/>
        </w:numPr>
        <w:ind w:firstLine="632"/>
      </w:pPr>
      <w:r>
        <w:t>危害控制组:由事件发生环节的具体监管职能部门牵头，会同相关监管部门进行调查处理，监督、指导事件发生地政府职能部门召回、下架、封存有关食品、原料、食品添加剂及食品相关产品，严格控制流通渠道，追溯源头、追踪流向，防止危害蔓延扩大。</w:t>
      </w:r>
    </w:p>
    <w:p w14:paraId="17DD5BDC">
      <w:pPr>
        <w:numPr>
          <w:ilvl w:val="0"/>
          <w:numId w:val="200"/>
        </w:numPr>
        <w:ind w:firstLine="632"/>
      </w:pPr>
      <w:r>
        <w:t>医疗救治组:由</w:t>
      </w:r>
      <w:r>
        <w:rPr>
          <w:rFonts w:hint="eastAsia"/>
        </w:rPr>
        <w:t>县卫生健康局</w:t>
      </w:r>
      <w:r>
        <w:t>牵头负责，会同相关监管部门做好流调溯源等工作，结合事件调查组的调查情况，组织医务力量制定救治方案，对健康受到危害的人员及时进行医疗救治。当受危害人员需进行转运救治时，提出医疗救护保障计划，由交通运输部门协调保障</w:t>
      </w:r>
    </w:p>
    <w:p w14:paraId="228C0C8A">
      <w:pPr>
        <w:numPr>
          <w:ilvl w:val="0"/>
          <w:numId w:val="200"/>
        </w:numPr>
        <w:ind w:firstLine="632"/>
      </w:pPr>
      <w:r>
        <w:t>检测评估组:由县市场监督管理局牵头，</w:t>
      </w:r>
      <w:r>
        <w:rPr>
          <w:rFonts w:hint="eastAsia"/>
        </w:rPr>
        <w:t>县卫生健康局</w:t>
      </w:r>
      <w:r>
        <w:t>协助，组织应急处置专业技术机构，提出检测方案，实施相关检测，组织专家综合分析各方检测数据，分析事件原因，评估事件发展趋势，分析评估事件影响，为制定现场抢救方案和采取控制措施提供参考。检测分析结果应在第一时间报告</w:t>
      </w:r>
      <w:r>
        <w:rPr>
          <w:rFonts w:hint="eastAsia"/>
        </w:rPr>
        <w:t>县指挥办</w:t>
      </w:r>
      <w:r>
        <w:t>并通报有关部门。</w:t>
      </w:r>
    </w:p>
    <w:p w14:paraId="4EF4DC0A">
      <w:pPr>
        <w:numPr>
          <w:ilvl w:val="0"/>
          <w:numId w:val="200"/>
        </w:numPr>
        <w:ind w:firstLine="632"/>
      </w:pPr>
      <w:r>
        <w:t>治安秩序组:由县公安局牵头，指导事件发生地公安机关加强治安管理，严厉打击借机传播谣言、制造社会恐慌、哄抢物资等违法犯罪，维护社会稳定。</w:t>
      </w:r>
    </w:p>
    <w:p w14:paraId="5445EDFE">
      <w:pPr>
        <w:numPr>
          <w:ilvl w:val="0"/>
          <w:numId w:val="200"/>
        </w:numPr>
        <w:ind w:firstLine="632"/>
      </w:pPr>
      <w:r>
        <w:t>新闻宣传组:在县委宣传部指导下，县委网信办、县市场监督管理局、</w:t>
      </w:r>
      <w:r>
        <w:rPr>
          <w:rFonts w:hint="eastAsia"/>
        </w:rPr>
        <w:t>县卫生健康局</w:t>
      </w:r>
      <w:r>
        <w:t>等相关单位做好食品安全事件的舆情处置工作，及时、主动、准确、权威发布信息。</w:t>
      </w:r>
    </w:p>
    <w:p w14:paraId="0225A7E2">
      <w:pPr>
        <w:numPr>
          <w:ilvl w:val="0"/>
          <w:numId w:val="200"/>
        </w:numPr>
        <w:ind w:firstLine="632"/>
      </w:pPr>
      <w:r>
        <w:t>专家组:由有关方面专家组成的专家组，负责对事件进行分析评估，为应急处置工作及应急响应的调整和解除提供决策建议，必要时参与应急处置。</w:t>
      </w:r>
    </w:p>
    <w:p w14:paraId="3D180215">
      <w:pPr>
        <w:numPr>
          <w:ilvl w:val="0"/>
          <w:numId w:val="200"/>
        </w:numPr>
        <w:ind w:firstLine="632"/>
      </w:pPr>
      <w:r>
        <w:t>善后处置组:由县市场监督管理局、县农业农村局、县民政局、县公安局、县财政局、</w:t>
      </w:r>
      <w:r>
        <w:rPr>
          <w:rFonts w:hint="eastAsia"/>
        </w:rPr>
        <w:t>县卫生健康局</w:t>
      </w:r>
      <w:r>
        <w:t>等部门参加，指导有关部门或事发地人民政府做好事件善后处置工作，尽快消除影响，恢复生产经营秩序。</w:t>
      </w:r>
    </w:p>
    <w:p w14:paraId="328DDA5D">
      <w:pPr>
        <w:pStyle w:val="3"/>
      </w:pPr>
      <w:bookmarkStart w:id="1167" w:name="_Toc2016"/>
      <w:r>
        <w:t>应急处置专业技术机构</w:t>
      </w:r>
      <w:bookmarkEnd w:id="1167"/>
    </w:p>
    <w:p w14:paraId="141F267D">
      <w:pPr>
        <w:ind w:firstLine="632"/>
      </w:pPr>
      <w:r>
        <w:t>食品药品、农产品、医疗、疾病预防控制等食品安全相关技术机构作为食品安全事件应急处置专业技术机构，在指挥部的组织领导下开展应急处置相关工作。其中，疾病预防控制机构为本级食品安全事件流行病学调查机构。</w:t>
      </w:r>
    </w:p>
    <w:p w14:paraId="33017094">
      <w:pPr>
        <w:pStyle w:val="2"/>
        <w:numPr>
          <w:ilvl w:val="0"/>
          <w:numId w:val="194"/>
        </w:numPr>
        <w:tabs>
          <w:tab w:val="left" w:pos="0"/>
        </w:tabs>
        <w:rPr>
          <w:sz w:val="32"/>
          <w:szCs w:val="32"/>
        </w:rPr>
      </w:pPr>
      <w:bookmarkStart w:id="1168" w:name="_Toc31859"/>
      <w:r>
        <w:rPr>
          <w:rFonts w:hint="eastAsia"/>
          <w:sz w:val="32"/>
          <w:szCs w:val="32"/>
        </w:rPr>
        <w:t>监测预警</w:t>
      </w:r>
      <w:bookmarkEnd w:id="1168"/>
    </w:p>
    <w:p w14:paraId="044CF55E">
      <w:pPr>
        <w:pStyle w:val="3"/>
      </w:pPr>
      <w:bookmarkStart w:id="1169" w:name="_Toc12935"/>
      <w:r>
        <w:rPr>
          <w:rFonts w:hint="eastAsia"/>
        </w:rPr>
        <w:t>事件监测</w:t>
      </w:r>
      <w:bookmarkEnd w:id="1169"/>
    </w:p>
    <w:p w14:paraId="1D6AA0B9">
      <w:pPr>
        <w:ind w:firstLine="632"/>
      </w:pPr>
      <w:r>
        <w:rPr>
          <w:rFonts w:hint="eastAsia"/>
        </w:rPr>
        <w:t>建立食品安全事件监测、报告网络体系，加强食品安全信息管理和综合利用，构建各有关部门、单位间信息沟通平台，实现互联互通和资源共享。发挥明厨亮灶、智慧监管、食品安全信息追溯等系统在食品安全事件监测中的作用，提升风险早期识别和预报预警能力。</w:t>
      </w:r>
    </w:p>
    <w:p w14:paraId="6C9D9118">
      <w:pPr>
        <w:ind w:firstLine="632"/>
      </w:pPr>
      <w:r>
        <w:rPr>
          <w:rFonts w:hint="eastAsia"/>
        </w:rPr>
        <w:t>县市场监管、农业农村、林业、发改、卫生健康、公安、教体、人力资源社会保障等部门根据各自职责，指导下级相关部门加强对重点品种、重点环节、重点场所，尤其是高风险食品种植、养殖、生产、加工、包装、贮藏、运输、经营、消费等环节食品安全的日常管理，建立完善各自职责范围内的食品安全事件监测防控体系；依据自身法定职责，开展日常食品安全监督检查、抽样检验、风险评估、舆情监测等工作，对可能导致食品安全事件的风险隐患信息加强收集、分析和研判，必要时向有关部门和地区通报，并先行依法采取有效控制措施。网信部门要加强对媒体有关食品安全舆情热点、敏感信息的跟踪监测，及时通报相关监管（主管）部门。</w:t>
      </w:r>
    </w:p>
    <w:p w14:paraId="228C69B0">
      <w:pPr>
        <w:pStyle w:val="3"/>
      </w:pPr>
      <w:bookmarkStart w:id="1170" w:name="_Toc27347"/>
      <w:r>
        <w:rPr>
          <w:rFonts w:hint="eastAsia"/>
        </w:rPr>
        <w:t>预警发布</w:t>
      </w:r>
      <w:bookmarkEnd w:id="1170"/>
    </w:p>
    <w:p w14:paraId="3F346269">
      <w:pPr>
        <w:ind w:firstLine="632"/>
      </w:pPr>
      <w:r>
        <w:rPr>
          <w:rFonts w:hint="eastAsia"/>
        </w:rPr>
        <w:t>预警信息的发布，按照有关规定执行。新闻媒体、通信运营企业等要按有关要求及时准确播报和转发监管（主管）部门发布的食品安全预警信息。</w:t>
      </w:r>
    </w:p>
    <w:p w14:paraId="2287A3E8">
      <w:pPr>
        <w:pStyle w:val="3"/>
      </w:pPr>
      <w:bookmarkStart w:id="1171" w:name="_Toc12418"/>
      <w:r>
        <w:rPr>
          <w:rFonts w:hint="eastAsia"/>
        </w:rPr>
        <w:t>预警行动</w:t>
      </w:r>
      <w:bookmarkEnd w:id="1171"/>
    </w:p>
    <w:p w14:paraId="77021ACB">
      <w:pPr>
        <w:ind w:firstLine="632"/>
      </w:pPr>
      <w:r>
        <w:rPr>
          <w:rFonts w:hint="eastAsia"/>
        </w:rPr>
        <w:t>预警信息发布后，相关乡镇人民政府、监管（主管）部门等应视情迅速采取以下措施:</w:t>
      </w:r>
    </w:p>
    <w:p w14:paraId="33617103">
      <w:pPr>
        <w:numPr>
          <w:ilvl w:val="0"/>
          <w:numId w:val="201"/>
        </w:numPr>
        <w:ind w:firstLine="632"/>
      </w:pPr>
      <w:r>
        <w:rPr>
          <w:rFonts w:hint="eastAsia"/>
        </w:rPr>
        <w:t>分析研判。组织有关部门和机构、专业技术人员及专家:加强对苗头性、倾向性食品安全信息和热点敏感食品安全舆情的收集、核查、汇总和分析研判，对相关报道进行跟踪、管理，防止炒作和传播不实信息，及时组织开展跟踪监测工作，预估事件发展趋势、危害程度、影响范围等。</w:t>
      </w:r>
    </w:p>
    <w:p w14:paraId="522757C8">
      <w:pPr>
        <w:numPr>
          <w:ilvl w:val="0"/>
          <w:numId w:val="201"/>
        </w:numPr>
        <w:ind w:firstLine="632"/>
      </w:pPr>
      <w:r>
        <w:rPr>
          <w:rFonts w:hint="eastAsia"/>
        </w:rPr>
        <w:t>防范措施。依法采取有效防范措施，防止事件进一步蔓延扩大。利用各种渠道增加宣传频次，加强对食品安全应急科普方面的宣传，告知公众停止食用不安全食品。对可能造成人体危害的食品及相关产品，相关食品安全监督管理部门可依法采取相关控制措施。</w:t>
      </w:r>
    </w:p>
    <w:p w14:paraId="33FAEE03">
      <w:pPr>
        <w:numPr>
          <w:ilvl w:val="0"/>
          <w:numId w:val="201"/>
        </w:numPr>
        <w:ind w:firstLine="632"/>
      </w:pPr>
      <w:r>
        <w:rPr>
          <w:rFonts w:hint="eastAsia"/>
        </w:rPr>
        <w:t>应急准备。相关地区和部门实行24小时应急值守，保持通信畅通，做好应急响应准备，确保有关应急专业队伍和负有相关职责的人员能够2小时内完成集结，确保防护设施、装备应急物资等处于备用状态。</w:t>
      </w:r>
    </w:p>
    <w:p w14:paraId="24CB94D5">
      <w:pPr>
        <w:numPr>
          <w:ilvl w:val="0"/>
          <w:numId w:val="201"/>
        </w:numPr>
        <w:ind w:firstLine="632"/>
      </w:pPr>
      <w:r>
        <w:rPr>
          <w:rFonts w:hint="eastAsia"/>
        </w:rPr>
        <w:t>舆论引导。及时准确发布事态最新情况，组织专家解读并对可能产生的危害加以解释、说明，加强相关舆情跟踪监测主动回应社会公众关注的问题，及时澄清谣言传言。</w:t>
      </w:r>
    </w:p>
    <w:p w14:paraId="4812EAC3">
      <w:pPr>
        <w:pStyle w:val="2"/>
        <w:numPr>
          <w:ilvl w:val="0"/>
          <w:numId w:val="194"/>
        </w:numPr>
        <w:tabs>
          <w:tab w:val="left" w:pos="0"/>
        </w:tabs>
        <w:rPr>
          <w:sz w:val="32"/>
          <w:szCs w:val="32"/>
        </w:rPr>
      </w:pPr>
      <w:bookmarkStart w:id="1172" w:name="_Toc22830"/>
      <w:r>
        <w:rPr>
          <w:rFonts w:hint="eastAsia"/>
          <w:sz w:val="32"/>
          <w:szCs w:val="32"/>
        </w:rPr>
        <w:t>应急响应</w:t>
      </w:r>
      <w:bookmarkEnd w:id="1172"/>
    </w:p>
    <w:p w14:paraId="6ABAF246">
      <w:pPr>
        <w:pStyle w:val="3"/>
      </w:pPr>
      <w:r>
        <w:rPr>
          <w:rFonts w:hint="eastAsia"/>
        </w:rPr>
        <w:t>信息报告</w:t>
      </w:r>
    </w:p>
    <w:p w14:paraId="292ACF24">
      <w:pPr>
        <w:pStyle w:val="4"/>
        <w:numPr>
          <w:ilvl w:val="2"/>
          <w:numId w:val="194"/>
        </w:numPr>
        <w:tabs>
          <w:tab w:val="left" w:pos="0"/>
        </w:tabs>
        <w:rPr>
          <w:rFonts w:ascii="仿宋_GB2312" w:hAnsi="仿宋_GB2312" w:eastAsia="仿宋_GB2312" w:cs="仿宋_GB2312"/>
        </w:rPr>
      </w:pPr>
      <w:r>
        <w:rPr>
          <w:rFonts w:hint="eastAsia" w:ascii="仿宋_GB2312" w:hAnsi="仿宋_GB2312" w:eastAsia="仿宋_GB2312" w:cs="仿宋_GB2312"/>
        </w:rPr>
        <w:t>信息来源</w:t>
      </w:r>
    </w:p>
    <w:p w14:paraId="0C7DFCBB">
      <w:pPr>
        <w:numPr>
          <w:ilvl w:val="0"/>
          <w:numId w:val="202"/>
        </w:numPr>
        <w:ind w:firstLine="632"/>
      </w:pPr>
      <w:r>
        <w:rPr>
          <w:rFonts w:hint="eastAsia"/>
        </w:rPr>
        <w:t>食品安全事件发生单位及引发食品安全事件的食品种植养殖、生产加工、仓储运输、市场流通、餐饮消费等食用农产品种植养殖单位和食品生产经营单位报告的信息；</w:t>
      </w:r>
    </w:p>
    <w:p w14:paraId="7ED88D10">
      <w:pPr>
        <w:numPr>
          <w:ilvl w:val="0"/>
          <w:numId w:val="202"/>
        </w:numPr>
        <w:ind w:firstLine="632"/>
      </w:pPr>
      <w:r>
        <w:rPr>
          <w:rFonts w:hint="eastAsia"/>
        </w:rPr>
        <w:t>医疗卫生机构、疾病预防控制机构报告的信息；</w:t>
      </w:r>
    </w:p>
    <w:p w14:paraId="7C475B1B">
      <w:pPr>
        <w:numPr>
          <w:ilvl w:val="0"/>
          <w:numId w:val="202"/>
        </w:numPr>
        <w:ind w:firstLine="632"/>
      </w:pPr>
      <w:r>
        <w:rPr>
          <w:rFonts w:hint="eastAsia"/>
        </w:rPr>
        <w:t>食品安全相关技术机构监测和分析结果；</w:t>
      </w:r>
    </w:p>
    <w:p w14:paraId="5608D1EB">
      <w:pPr>
        <w:numPr>
          <w:ilvl w:val="0"/>
          <w:numId w:val="202"/>
        </w:numPr>
        <w:ind w:firstLine="632"/>
      </w:pPr>
      <w:r>
        <w:rPr>
          <w:rFonts w:hint="eastAsia"/>
        </w:rPr>
        <w:t>经核实的公众举报信息；</w:t>
      </w:r>
    </w:p>
    <w:p w14:paraId="147AF6DE">
      <w:pPr>
        <w:numPr>
          <w:ilvl w:val="0"/>
          <w:numId w:val="202"/>
        </w:numPr>
        <w:ind w:firstLine="632"/>
      </w:pPr>
      <w:r>
        <w:rPr>
          <w:rFonts w:hint="eastAsia"/>
        </w:rPr>
        <w:t>经核实的媒体披露与报道信息；</w:t>
      </w:r>
    </w:p>
    <w:p w14:paraId="3154B197">
      <w:pPr>
        <w:numPr>
          <w:ilvl w:val="0"/>
          <w:numId w:val="202"/>
        </w:numPr>
        <w:ind w:firstLine="632"/>
      </w:pPr>
      <w:r>
        <w:rPr>
          <w:rFonts w:hint="eastAsia"/>
        </w:rPr>
        <w:t>其他地区和部门通报的信息。</w:t>
      </w:r>
    </w:p>
    <w:p w14:paraId="2756A548">
      <w:pPr>
        <w:pStyle w:val="4"/>
        <w:numPr>
          <w:ilvl w:val="2"/>
          <w:numId w:val="194"/>
        </w:numPr>
        <w:tabs>
          <w:tab w:val="left" w:pos="0"/>
        </w:tabs>
        <w:rPr>
          <w:rFonts w:ascii="仿宋_GB2312" w:hAnsi="仿宋_GB2312" w:eastAsia="仿宋_GB2312" w:cs="仿宋_GB2312"/>
        </w:rPr>
      </w:pPr>
      <w:r>
        <w:rPr>
          <w:rFonts w:hint="eastAsia" w:ascii="仿宋_GB2312" w:hAnsi="仿宋_GB2312" w:eastAsia="仿宋_GB2312" w:cs="仿宋_GB2312"/>
        </w:rPr>
        <w:t>报告主体和时限</w:t>
      </w:r>
    </w:p>
    <w:p w14:paraId="14455030">
      <w:pPr>
        <w:numPr>
          <w:ilvl w:val="0"/>
          <w:numId w:val="203"/>
        </w:numPr>
        <w:ind w:firstLine="632"/>
      </w:pPr>
      <w:r>
        <w:rPr>
          <w:rFonts w:hint="eastAsia"/>
        </w:rPr>
        <w:t>食品生产经营者、医疗机构、食品安全相关技术机构和社会团体、个人等一旦发现食品安全事件或者可能造成食品安全事件的隐患，应当立即向市场监督管理部门和主管部门报告。接到报告的市场监督管理部门应当按规定向县政府和市市场监督管理部门报告。情况紧急时，可先电话报告或越级上报，判明情况后再跟进补报。县市场监督管理部门在接到食品安全事件报告后应在2小时内向市市场监督管理局书面报告详情。</w:t>
      </w:r>
    </w:p>
    <w:p w14:paraId="6FCEC17E">
      <w:pPr>
        <w:numPr>
          <w:ilvl w:val="0"/>
          <w:numId w:val="203"/>
        </w:numPr>
        <w:ind w:firstLine="632"/>
      </w:pPr>
      <w:r>
        <w:rPr>
          <w:rFonts w:hint="eastAsia"/>
        </w:rPr>
        <w:t>发生食品安全事件的单位应当立即采取措施，按预定的应急方案进行先期处置，防止事态扩大。事件单位应当立即向事发地市场监督管理部门报告，收治病人的医疗机构应当立即向县级卫生健康部门报告。</w:t>
      </w:r>
    </w:p>
    <w:p w14:paraId="5B12CA6E">
      <w:pPr>
        <w:numPr>
          <w:ilvl w:val="0"/>
          <w:numId w:val="203"/>
        </w:numPr>
        <w:ind w:firstLine="632"/>
      </w:pPr>
      <w:r>
        <w:rPr>
          <w:rFonts w:hint="eastAsia"/>
        </w:rPr>
        <w:t>医疗机构发现其接诊的病人属于食物中毒或疑似食物中毒的，应立即向县级疾病预防控制机构报告，疾病预防控制机构应及时开展流行病学调查并将调查结果向市场监督管理部门（食品安全办）和卫生健康部门报告。经确定为食品安全事件的医疗机构每天还应向卫生健康部门和疾病预防控制机构报告收治病人的有关诊疗信息。卫生健康部门每天将上述信息向同级市场监督管理部门通报。</w:t>
      </w:r>
    </w:p>
    <w:p w14:paraId="5FA40389">
      <w:pPr>
        <w:numPr>
          <w:ilvl w:val="0"/>
          <w:numId w:val="203"/>
        </w:numPr>
        <w:ind w:firstLine="632"/>
      </w:pPr>
      <w:r>
        <w:rPr>
          <w:rFonts w:hint="eastAsia"/>
        </w:rPr>
        <w:t>有关监管部门发现或接到食品安全事件报告或举报，经初步核实后，应当立即通报同级市场监督管理部门，对后续收集信息，也应及时通报。</w:t>
      </w:r>
    </w:p>
    <w:p w14:paraId="00113DB8">
      <w:pPr>
        <w:numPr>
          <w:ilvl w:val="0"/>
          <w:numId w:val="203"/>
        </w:numPr>
        <w:ind w:firstLine="632"/>
      </w:pPr>
      <w:r>
        <w:rPr>
          <w:rFonts w:hint="eastAsia"/>
        </w:rPr>
        <w:t>经初步核实为食品安全事件且需要启动应急响应的，市场监督管理部门应当按规定向本级人民政府及上级人民政府市场监督管理部门报告。任何单位或个人不得隐瞒、谎报、缓报食品安全事件，不得隐匿、伪造、毁灭有关证据。</w:t>
      </w:r>
    </w:p>
    <w:p w14:paraId="6E85182D">
      <w:pPr>
        <w:numPr>
          <w:ilvl w:val="0"/>
          <w:numId w:val="203"/>
        </w:numPr>
        <w:ind w:firstLine="632"/>
      </w:pPr>
      <w:r>
        <w:rPr>
          <w:rFonts w:hint="eastAsia"/>
        </w:rPr>
        <w:t>上述条款的“立即”时限原则上是半小时以内。信息报送时限另有要求的，按有关规定执行。</w:t>
      </w:r>
    </w:p>
    <w:p w14:paraId="28BA43B5">
      <w:pPr>
        <w:pStyle w:val="4"/>
        <w:numPr>
          <w:ilvl w:val="2"/>
          <w:numId w:val="194"/>
        </w:numPr>
        <w:tabs>
          <w:tab w:val="left" w:pos="0"/>
        </w:tabs>
        <w:rPr>
          <w:rFonts w:ascii="仿宋_GB2312" w:hAnsi="仿宋_GB2312" w:eastAsia="仿宋_GB2312" w:cs="仿宋_GB2312"/>
        </w:rPr>
      </w:pPr>
      <w:r>
        <w:rPr>
          <w:rFonts w:hint="eastAsia" w:ascii="仿宋_GB2312" w:hAnsi="仿宋_GB2312" w:eastAsia="仿宋_GB2312" w:cs="仿宋_GB2312"/>
        </w:rPr>
        <w:t>报告内容</w:t>
      </w:r>
    </w:p>
    <w:p w14:paraId="552F2FAF">
      <w:pPr>
        <w:ind w:firstLine="632"/>
      </w:pPr>
      <w:r>
        <w:rPr>
          <w:rFonts w:hint="eastAsia"/>
        </w:rPr>
        <w:t>按照“快报事实、慎报原因”的原则，分为初报、续报和终报。</w:t>
      </w:r>
    </w:p>
    <w:p w14:paraId="0C720BAF">
      <w:pPr>
        <w:numPr>
          <w:ilvl w:val="0"/>
          <w:numId w:val="204"/>
        </w:numPr>
        <w:ind w:firstLine="632"/>
      </w:pPr>
      <w:r>
        <w:rPr>
          <w:rFonts w:hint="eastAsia"/>
        </w:rPr>
        <w:t>初报:主要包括信息来源、事件发生的时间地点、事件简要经过（死亡人数、重症人数、治愈人数，可能涉事食品、企业信息等）、危害程度、先期处置、发展趋势研判、事发单位名称、报告单位联系人员及联系方式等信息。</w:t>
      </w:r>
    </w:p>
    <w:p w14:paraId="4291336B">
      <w:pPr>
        <w:numPr>
          <w:ilvl w:val="0"/>
          <w:numId w:val="204"/>
        </w:numPr>
        <w:ind w:firstLine="632"/>
      </w:pPr>
      <w:r>
        <w:rPr>
          <w:rFonts w:hint="eastAsia"/>
        </w:rPr>
        <w:t>续报:主要包括事件进展、发展趋势、后续应对措施调查详情、原因分析等信息，并对初次报告进行补充和修正。续报可多次报送，重大、特别重大食品安全事件每天至少上报1次信息。在处置过程中取得重大进展或可确定关键性信息的，应在24 小时内上报进展情况。</w:t>
      </w:r>
    </w:p>
    <w:p w14:paraId="5CC75CB0">
      <w:pPr>
        <w:numPr>
          <w:ilvl w:val="0"/>
          <w:numId w:val="204"/>
        </w:numPr>
        <w:ind w:firstLine="632"/>
      </w:pPr>
      <w:r>
        <w:rPr>
          <w:rFonts w:hint="eastAsia"/>
        </w:rPr>
        <w:t>终报:主要包括事件概况、调查处理过程、事件性质影响因素、责任认定、追溯或处置结果、整改措施、监管措施完善建议等，应在食品安全事件结束后7个工作日内上报。</w:t>
      </w:r>
    </w:p>
    <w:p w14:paraId="26600A05">
      <w:pPr>
        <w:pStyle w:val="4"/>
        <w:numPr>
          <w:ilvl w:val="2"/>
          <w:numId w:val="194"/>
        </w:numPr>
        <w:tabs>
          <w:tab w:val="left" w:pos="0"/>
        </w:tabs>
        <w:rPr>
          <w:rFonts w:ascii="仿宋_GB2312" w:hAnsi="仿宋_GB2312" w:eastAsia="仿宋_GB2312" w:cs="仿宋_GB2312"/>
        </w:rPr>
      </w:pPr>
      <w:r>
        <w:rPr>
          <w:rFonts w:hint="eastAsia" w:ascii="仿宋_GB2312" w:hAnsi="仿宋_GB2312" w:eastAsia="仿宋_GB2312" w:cs="仿宋_GB2312"/>
        </w:rPr>
        <w:t>报告形式</w:t>
      </w:r>
    </w:p>
    <w:p w14:paraId="4C59EA12">
      <w:pPr>
        <w:ind w:firstLine="632"/>
      </w:pPr>
      <w:r>
        <w:rPr>
          <w:rFonts w:hint="eastAsia"/>
        </w:rPr>
        <w:t>食品安全事件信息报告一般采取书面形式报告，紧急情况下可先通过电话、网络形式报告，后续及时报送相关书面材料。报告时应确保信息核实无误，涉密信息的报告按保密有关规定处理。</w:t>
      </w:r>
    </w:p>
    <w:p w14:paraId="2079E586">
      <w:pPr>
        <w:ind w:firstLine="632"/>
      </w:pPr>
      <w:r>
        <w:rPr>
          <w:rFonts w:hint="eastAsia"/>
        </w:rPr>
        <w:t>按照属地管理原则，食品安全事件信息报告原则上实行逐级上报，但对于经研判认为重大、敏感的信息，特殊情况下可同步越级报告。</w:t>
      </w:r>
    </w:p>
    <w:p w14:paraId="3A8A7011">
      <w:pPr>
        <w:pStyle w:val="3"/>
      </w:pPr>
      <w:bookmarkStart w:id="1173" w:name="_Toc12670"/>
      <w:r>
        <w:rPr>
          <w:rFonts w:hint="eastAsia"/>
        </w:rPr>
        <w:t>事件评估</w:t>
      </w:r>
      <w:bookmarkEnd w:id="1173"/>
    </w:p>
    <w:p w14:paraId="2A763CD3">
      <w:pPr>
        <w:ind w:firstLine="632"/>
      </w:pPr>
      <w:r>
        <w:rPr>
          <w:rFonts w:hint="eastAsia"/>
        </w:rPr>
        <w:t>食品安全事件发生后，有关部门、单位应当按规定及时向食品安全监管部门提供相关信息和资料，由市场监督管理部门统一组织协调，依法组织开展事件分析评估，初步核定事件级别。</w:t>
      </w:r>
    </w:p>
    <w:p w14:paraId="08509BC6">
      <w:pPr>
        <w:ind w:firstLine="632"/>
      </w:pPr>
      <w:r>
        <w:rPr>
          <w:rFonts w:hint="eastAsia"/>
        </w:rPr>
        <w:t>食品安全事件评估是为核定食品安全事件级别和确定应采取的措施而进行的评估。评估内容包括:</w:t>
      </w:r>
    </w:p>
    <w:p w14:paraId="57D30BB8">
      <w:pPr>
        <w:numPr>
          <w:ilvl w:val="0"/>
          <w:numId w:val="205"/>
        </w:numPr>
        <w:ind w:firstLine="632"/>
      </w:pPr>
      <w:r>
        <w:rPr>
          <w:rFonts w:hint="eastAsia"/>
        </w:rPr>
        <w:t>污染食品可能导致的健康损害及所涉及的范围，是否造成健康损害后果及严重程度；</w:t>
      </w:r>
    </w:p>
    <w:p w14:paraId="062BB7B4">
      <w:pPr>
        <w:numPr>
          <w:ilvl w:val="0"/>
          <w:numId w:val="205"/>
        </w:numPr>
        <w:ind w:firstLine="632"/>
      </w:pPr>
      <w:r>
        <w:rPr>
          <w:rFonts w:hint="eastAsia"/>
        </w:rPr>
        <w:t>事件的影响范围及严重程度；</w:t>
      </w:r>
    </w:p>
    <w:p w14:paraId="4948B87B">
      <w:pPr>
        <w:numPr>
          <w:ilvl w:val="0"/>
          <w:numId w:val="205"/>
        </w:numPr>
        <w:ind w:firstLine="632"/>
      </w:pPr>
      <w:r>
        <w:rPr>
          <w:rFonts w:hint="eastAsia"/>
        </w:rPr>
        <w:t>事件发展蔓延趋势。</w:t>
      </w:r>
    </w:p>
    <w:p w14:paraId="739E099E">
      <w:pPr>
        <w:pStyle w:val="3"/>
      </w:pPr>
      <w:bookmarkStart w:id="1174" w:name="_Toc29502"/>
      <w:r>
        <w:rPr>
          <w:rFonts w:hint="eastAsia"/>
        </w:rPr>
        <w:t>响应级别</w:t>
      </w:r>
      <w:bookmarkEnd w:id="1174"/>
    </w:p>
    <w:p w14:paraId="12219410">
      <w:pPr>
        <w:ind w:firstLine="632"/>
      </w:pPr>
      <w:r>
        <w:rPr>
          <w:rFonts w:hint="eastAsia"/>
        </w:rPr>
        <w:t>根据食品安全事件分级情况，食品安全事件应急响应级别由低到高分为Ⅳ级、Ш级、Ⅱ级和I级四个响应等级。</w:t>
      </w:r>
    </w:p>
    <w:p w14:paraId="5FD0EC52">
      <w:pPr>
        <w:pStyle w:val="3"/>
      </w:pPr>
      <w:bookmarkStart w:id="1175" w:name="_Toc4868"/>
      <w:r>
        <w:rPr>
          <w:rFonts w:hint="eastAsia"/>
        </w:rPr>
        <w:t>分级响应</w:t>
      </w:r>
      <w:bookmarkEnd w:id="1175"/>
    </w:p>
    <w:p w14:paraId="62C1A03B">
      <w:pPr>
        <w:ind w:firstLine="632"/>
      </w:pPr>
      <w:r>
        <w:rPr>
          <w:rFonts w:hint="eastAsia"/>
        </w:rPr>
        <w:t>核定为一般食品安全事件的，由县人民政府批准启动Ⅳ级响应，成立一般食品安全事件应急处置指挥部，组织开展应急处置:相关成员单位在指挥部的统一指挥与协调下，按相应职责做好事件应急处置工作。事发地乡镇人民政府按照指挥部的统一部署，配合开展应急处置，并及时报告相关工作进展情况；指挥部及时向市市场监督管理局报告情况，必要时还应向市人民政府报告核定为较大、重大、特别重大食品安全事件的，由指挥部提出相应级别的应急响应建议，报市市场监督管理局，在市食品安全事件应急指挥部组织领导下，配合开展应急处置工作。</w:t>
      </w:r>
    </w:p>
    <w:p w14:paraId="393A2CF4">
      <w:pPr>
        <w:pStyle w:val="3"/>
      </w:pPr>
      <w:bookmarkStart w:id="1176" w:name="_Toc23375"/>
      <w:r>
        <w:rPr>
          <w:rFonts w:hint="eastAsia"/>
        </w:rPr>
        <w:t>响应措施</w:t>
      </w:r>
      <w:bookmarkEnd w:id="1176"/>
    </w:p>
    <w:p w14:paraId="4891FDB0">
      <w:pPr>
        <w:ind w:firstLine="632"/>
      </w:pPr>
      <w:r>
        <w:rPr>
          <w:rFonts w:hint="eastAsia"/>
        </w:rPr>
        <w:t>事件发生后，事发地人民政府应立即组织有关部门，及时到达事件发生地开展先期处置工作。根据对事件初步分析评估，确定事件等级和事件处置的主体。同时，依据事件性质、特点和危害程度，按规定采取下列应急处置措施，最大限度减轻事件危害:</w:t>
      </w:r>
    </w:p>
    <w:p w14:paraId="415FCB68">
      <w:pPr>
        <w:numPr>
          <w:ilvl w:val="0"/>
          <w:numId w:val="206"/>
        </w:numPr>
        <w:ind w:firstLine="632"/>
      </w:pPr>
      <w:r>
        <w:rPr>
          <w:rFonts w:hint="eastAsia"/>
        </w:rPr>
        <w:t>最先到达事件发生地的相关部门和事件发生单位按照相应的处置方案开展先期处置，立即组织人员救治、封存导致或者可能导致食品安全事件的食品及其原料、工（器）具、设备等保护好事发现场，并配合市场监督管理部门、农业农村部门、疾病预防控制机构等相关部门做好食品安全事件的应急处置。</w:t>
      </w:r>
    </w:p>
    <w:p w14:paraId="0873C4A1">
      <w:pPr>
        <w:numPr>
          <w:ilvl w:val="0"/>
          <w:numId w:val="206"/>
        </w:numPr>
        <w:ind w:firstLine="632"/>
      </w:pPr>
      <w:r>
        <w:rPr>
          <w:rFonts w:hint="eastAsia"/>
        </w:rPr>
        <w:t>卫生健康部门负责组织有关医疗机构开展食品安全事件患者的救治。</w:t>
      </w:r>
    </w:p>
    <w:p w14:paraId="1152B4DA">
      <w:pPr>
        <w:numPr>
          <w:ilvl w:val="0"/>
          <w:numId w:val="206"/>
        </w:numPr>
        <w:ind w:firstLine="632"/>
      </w:pPr>
      <w:r>
        <w:rPr>
          <w:rFonts w:hint="eastAsia"/>
        </w:rPr>
        <w:t>各应急处置专业技术机构根据职责迅速开展现场调查卫生学评价、危害因素调查与监测、现场抽检等工作，提交相关检测报告；疾病预防控制机构对事件现场进行卫生处理，对事件有关因素开展流行病学调查（有关部门、单位和人员应当全力配合），并向同级市场监督管理部门和卫生健康部门提交流行病学调查报告，尽快查找食品安全事件发生的原因；市场监督管理部门组织专家对检测数据进行综合分析和评估，研判事件发展态势预测事件后果，为判定事件级别、制定事件调查方案和现场处置措施提供参考。</w:t>
      </w:r>
    </w:p>
    <w:p w14:paraId="7C1E8A97">
      <w:pPr>
        <w:numPr>
          <w:ilvl w:val="0"/>
          <w:numId w:val="206"/>
        </w:numPr>
        <w:ind w:firstLine="632"/>
      </w:pPr>
      <w:r>
        <w:rPr>
          <w:rFonts w:hint="eastAsia"/>
        </w:rPr>
        <w:t>对于食品安全事件发生单位与接诊病人医疗机构不在同一县（区）的，接诊病人医疗机构所在地的疾病预防控制机构应及时将人群流行病学调查、有关实验室检验等资料提交给上级疾病预防控制机构，由上级疾病预防控制机构移交事件发生地的疾病预防控制机构。经确定为食品安全事件的，接诊病人的医疗机构每天还应向事件发生单位所在地疾病预防控制机构通报收治病人有关诊断治疗信息。</w:t>
      </w:r>
    </w:p>
    <w:p w14:paraId="4D9076FD">
      <w:pPr>
        <w:numPr>
          <w:ilvl w:val="0"/>
          <w:numId w:val="206"/>
        </w:numPr>
        <w:ind w:firstLine="632"/>
      </w:pPr>
      <w:r>
        <w:rPr>
          <w:rFonts w:hint="eastAsia"/>
        </w:rPr>
        <w:t>市场监督管理部门接到有关食品安全事件信息报告后应立即会同公安、农业农村等部门开展调查处理，对事件现场进行控制，依法强制封存事件相关食品及原料、被污染的食品用工具及器具，采集相关食品及原料、工具、器具、设备等进行检验。所采集的食品样品应送给事件发生地食品相关检验检测机构进行检验，医院病例的标本由疾控机构进行检验；检验后确认未被污染的食品及原料、工具、器具、设备等应当予以解封；对涉嫌犯罪的，公安机关应及时开展立案调查工作。</w:t>
      </w:r>
    </w:p>
    <w:p w14:paraId="5A599FE9">
      <w:pPr>
        <w:numPr>
          <w:ilvl w:val="0"/>
          <w:numId w:val="206"/>
        </w:numPr>
        <w:ind w:firstLine="632"/>
      </w:pPr>
      <w:r>
        <w:rPr>
          <w:rFonts w:hint="eastAsia"/>
        </w:rPr>
        <w:t>对确认受到有毒有害物质污染的相关食品及原料、食品等，市场监督管理、农业农村等有关部门应当依法责令生产经营者召回、停止经营并销毁；对相关工具、器具、设备由相关主管部门负责指导事发单位进行洗消处理</w:t>
      </w:r>
    </w:p>
    <w:p w14:paraId="3D51C0A8">
      <w:pPr>
        <w:numPr>
          <w:ilvl w:val="0"/>
          <w:numId w:val="206"/>
        </w:numPr>
        <w:ind w:firstLine="632"/>
      </w:pPr>
      <w:r>
        <w:rPr>
          <w:rFonts w:hint="eastAsia"/>
        </w:rPr>
        <w:t>在开展事件流行病学调查、危害因素调查和实施现场控制措施时，市场监督管理部门、疾病预防控制机构等相关部门应当做到同步进行、分工明确、相互配合、及时沟通，提高事件调查处置的工作效率。</w:t>
      </w:r>
    </w:p>
    <w:p w14:paraId="7EA5B2F6">
      <w:pPr>
        <w:numPr>
          <w:ilvl w:val="0"/>
          <w:numId w:val="206"/>
        </w:numPr>
        <w:ind w:firstLine="632"/>
      </w:pPr>
      <w:r>
        <w:rPr>
          <w:rFonts w:hint="eastAsia"/>
        </w:rPr>
        <w:t>对阻挠、毁坏抽样样品的行为，可由执法部门依法进行干预并强制抽样；对涉嫌犯罪的，公安机关及时介入，依法处置（9）及时组织研判事件发展态势，并向事件可能蔓延的地方人民政府或监管部门通报信息，提醒做好应对准备。</w:t>
      </w:r>
    </w:p>
    <w:p w14:paraId="440D91D9">
      <w:pPr>
        <w:pStyle w:val="3"/>
      </w:pPr>
      <w:bookmarkStart w:id="1177" w:name="_Toc18308"/>
      <w:r>
        <w:rPr>
          <w:rFonts w:hint="eastAsia"/>
        </w:rPr>
        <w:t>响应级别调整及终止</w:t>
      </w:r>
      <w:bookmarkEnd w:id="1177"/>
    </w:p>
    <w:p w14:paraId="3833DEA6">
      <w:pPr>
        <w:ind w:firstLine="632"/>
      </w:pPr>
      <w:r>
        <w:rPr>
          <w:rFonts w:hint="eastAsia"/>
        </w:rPr>
        <w:t>在食品安全事件处置过程中，要遵循事物发展的客观规律结合防控工作实际，根据评估结果及时调整应急响应级别，直至响应终止。</w:t>
      </w:r>
    </w:p>
    <w:p w14:paraId="65B3B152">
      <w:pPr>
        <w:pStyle w:val="4"/>
        <w:numPr>
          <w:ilvl w:val="2"/>
          <w:numId w:val="194"/>
        </w:numPr>
        <w:tabs>
          <w:tab w:val="left" w:pos="0"/>
        </w:tabs>
        <w:rPr>
          <w:rFonts w:ascii="仿宋_GB2312" w:hAnsi="仿宋_GB2312" w:eastAsia="仿宋_GB2312" w:cs="仿宋_GB2312"/>
        </w:rPr>
      </w:pPr>
      <w:r>
        <w:rPr>
          <w:rFonts w:hint="eastAsia" w:ascii="仿宋_GB2312" w:hAnsi="仿宋_GB2312" w:eastAsia="仿宋_GB2312" w:cs="仿宋_GB2312"/>
        </w:rPr>
        <w:t>响应级别调整</w:t>
      </w:r>
    </w:p>
    <w:p w14:paraId="2195C467">
      <w:pPr>
        <w:numPr>
          <w:ilvl w:val="0"/>
          <w:numId w:val="207"/>
        </w:numPr>
        <w:ind w:firstLine="632"/>
      </w:pPr>
      <w:r>
        <w:rPr>
          <w:rFonts w:hint="eastAsia"/>
        </w:rPr>
        <w:t>级别提高</w:t>
      </w:r>
    </w:p>
    <w:p w14:paraId="0F33A886">
      <w:pPr>
        <w:ind w:firstLine="632"/>
      </w:pPr>
      <w:r>
        <w:rPr>
          <w:rFonts w:hint="eastAsia"/>
        </w:rPr>
        <w:t>当事件影响和危害进一步扩大，并有蔓延趋势，情况复杂难以控制时，应当及时提高响应级别。</w:t>
      </w:r>
    </w:p>
    <w:p w14:paraId="2E2F103A">
      <w:pPr>
        <w:ind w:firstLine="632"/>
      </w:pPr>
      <w:r>
        <w:rPr>
          <w:rFonts w:hint="eastAsia"/>
        </w:rPr>
        <w:t>当学校或托幼机构、全国性或区域性重要活动期间发生食品安全事件时，可相应提高响应级别，加大应急处置力度，确保迅速、有效控制食品安全事件，维护社会稳定。</w:t>
      </w:r>
    </w:p>
    <w:p w14:paraId="2C3BE7A0">
      <w:pPr>
        <w:numPr>
          <w:ilvl w:val="0"/>
          <w:numId w:val="207"/>
        </w:numPr>
        <w:ind w:firstLine="632"/>
      </w:pPr>
      <w:r>
        <w:rPr>
          <w:rFonts w:hint="eastAsia"/>
        </w:rPr>
        <w:t>级别降低</w:t>
      </w:r>
    </w:p>
    <w:p w14:paraId="68639F36">
      <w:pPr>
        <w:ind w:firstLine="632"/>
      </w:pPr>
      <w:r>
        <w:rPr>
          <w:rFonts w:hint="eastAsia"/>
        </w:rPr>
        <w:t>事件危害得到有效控制，且经研判认为事件危害程度降低到原级别评估标准以下的，可降低应急响应级别</w:t>
      </w:r>
    </w:p>
    <w:p w14:paraId="4C6B7D9C">
      <w:pPr>
        <w:pStyle w:val="4"/>
        <w:numPr>
          <w:ilvl w:val="2"/>
          <w:numId w:val="194"/>
        </w:numPr>
        <w:tabs>
          <w:tab w:val="left" w:pos="0"/>
        </w:tabs>
        <w:rPr>
          <w:rFonts w:ascii="仿宋_GB2312" w:hAnsi="仿宋_GB2312" w:eastAsia="仿宋_GB2312" w:cs="仿宋_GB2312"/>
        </w:rPr>
      </w:pPr>
      <w:r>
        <w:rPr>
          <w:rFonts w:hint="eastAsia" w:ascii="仿宋_GB2312" w:hAnsi="仿宋_GB2312" w:eastAsia="仿宋_GB2312" w:cs="仿宋_GB2312"/>
        </w:rPr>
        <w:t>响应终止</w:t>
      </w:r>
    </w:p>
    <w:p w14:paraId="227ECFB4">
      <w:pPr>
        <w:ind w:firstLine="632"/>
      </w:pPr>
      <w:r>
        <w:rPr>
          <w:rFonts w:hint="eastAsia"/>
        </w:rPr>
        <w:t>当食品安全事件得到控制，并达到以下两项要求，经分析评估认为可解除响应的，可以终止响应:</w:t>
      </w:r>
    </w:p>
    <w:p w14:paraId="110CE23B">
      <w:pPr>
        <w:numPr>
          <w:ilvl w:val="0"/>
          <w:numId w:val="208"/>
        </w:numPr>
        <w:ind w:firstLine="632"/>
      </w:pPr>
      <w:r>
        <w:rPr>
          <w:rFonts w:hint="eastAsia"/>
        </w:rPr>
        <w:t>病例。食品安全事件伤病员全部得到救治，患者病情稳定24小时以上，且无新的急性病症患者出现，食源性感染性疾病在末例患者后经过最长潜伏期无新病例出现；</w:t>
      </w:r>
    </w:p>
    <w:p w14:paraId="7CA701B1">
      <w:pPr>
        <w:numPr>
          <w:ilvl w:val="0"/>
          <w:numId w:val="208"/>
        </w:numPr>
        <w:ind w:firstLine="632"/>
      </w:pPr>
      <w:r>
        <w:rPr>
          <w:rFonts w:hint="eastAsia"/>
        </w:rPr>
        <w:t>隐患。现场、受污染食品得到有效控制，食品与环境污染得到有效清理并符合相关标准，次生、衍生事件隐患消除。</w:t>
      </w:r>
    </w:p>
    <w:p w14:paraId="766C3B88">
      <w:pPr>
        <w:ind w:firstLine="632"/>
      </w:pPr>
      <w:r>
        <w:rPr>
          <w:rFonts w:hint="eastAsia"/>
        </w:rPr>
        <w:t>市场监督管理部门应及时组织专家为食品安全事件应急响应级别调整和终止进行分析论证，提供技术支持与指导。</w:t>
      </w:r>
    </w:p>
    <w:p w14:paraId="7AE37745">
      <w:pPr>
        <w:pStyle w:val="4"/>
        <w:numPr>
          <w:ilvl w:val="2"/>
          <w:numId w:val="194"/>
        </w:numPr>
        <w:tabs>
          <w:tab w:val="left" w:pos="0"/>
        </w:tabs>
        <w:rPr>
          <w:rFonts w:ascii="仿宋_GB2312" w:hAnsi="仿宋_GB2312" w:eastAsia="仿宋_GB2312" w:cs="仿宋_GB2312"/>
        </w:rPr>
      </w:pPr>
      <w:r>
        <w:rPr>
          <w:rFonts w:hint="eastAsia" w:ascii="仿宋_GB2312" w:hAnsi="仿宋_GB2312" w:eastAsia="仿宋_GB2312" w:cs="仿宋_GB2312"/>
        </w:rPr>
        <w:t>响应级别调整及终止程序</w:t>
      </w:r>
    </w:p>
    <w:p w14:paraId="524A506F">
      <w:pPr>
        <w:ind w:firstLine="632"/>
      </w:pPr>
      <w:r>
        <w:rPr>
          <w:rFonts w:hint="eastAsia"/>
        </w:rPr>
        <w:t>县指挥办组织对事件进行分析评估论证，认为符合级别调整条件的，应提出调整应急响应级别建议，报应急指挥部批准后实施。应急响应级别调整后，事件相关地方人民政府应当结合调整后级别采取相应措施。评估认为符合响应终止条件时，县指挥办提出终止响应的建议，报指挥部批准后实施。</w:t>
      </w:r>
    </w:p>
    <w:p w14:paraId="68C61CF0">
      <w:pPr>
        <w:pStyle w:val="3"/>
      </w:pPr>
      <w:bookmarkStart w:id="1178" w:name="_Toc16342"/>
      <w:r>
        <w:rPr>
          <w:rFonts w:hint="eastAsia"/>
        </w:rPr>
        <w:t>信息发布</w:t>
      </w:r>
      <w:bookmarkEnd w:id="1178"/>
    </w:p>
    <w:p w14:paraId="162B8451">
      <w:pPr>
        <w:ind w:firstLine="632"/>
      </w:pPr>
      <w:r>
        <w:rPr>
          <w:rFonts w:hint="eastAsia"/>
        </w:rPr>
        <w:t>一般食品安全事件信息，在市食品安全办指导下，由县级人民政府或其授权的部门按照有关规定进行发布。</w:t>
      </w:r>
    </w:p>
    <w:p w14:paraId="359B4F52">
      <w:pPr>
        <w:ind w:firstLine="632"/>
      </w:pPr>
      <w:r>
        <w:rPr>
          <w:rFonts w:hint="eastAsia"/>
        </w:rPr>
        <w:t>较大食品安全事件信息，在省食品安全办、市委宣传部、市委网信办等指导下，由市人民政府或其授权的部门按照有关规定进行发布。</w:t>
      </w:r>
    </w:p>
    <w:p w14:paraId="7C54D92E">
      <w:pPr>
        <w:ind w:firstLine="632"/>
      </w:pPr>
      <w:r>
        <w:rPr>
          <w:rFonts w:hint="eastAsia"/>
        </w:rPr>
        <w:t>重大、特别重大食品安全事件信息，在省政府新闻办指导下，由省食品安全办按照有关规定进行发布。</w:t>
      </w:r>
    </w:p>
    <w:p w14:paraId="58D0F223">
      <w:pPr>
        <w:ind w:firstLine="632"/>
      </w:pPr>
      <w:r>
        <w:rPr>
          <w:rFonts w:hint="eastAsia"/>
        </w:rPr>
        <w:t>事件发生后，事发地应在第一时间通过主流媒体向社会发布简要信息。发布信息的内容应当围绕舆论关注的焦点、热点和关键问题，实事求是、言之有据、有的放矢。发挥主流媒体作用，认真回应社会关切，组织专家解疑释惑，正确深度有效引导，形成积极健康的社会舆论。</w:t>
      </w:r>
    </w:p>
    <w:p w14:paraId="0F3F1BEB">
      <w:pPr>
        <w:ind w:firstLine="632"/>
      </w:pPr>
      <w:r>
        <w:rPr>
          <w:rFonts w:hint="eastAsia"/>
        </w:rPr>
        <w:t>对重大、特别重大食品安全事件，最迟要在5小时内发布权威信息，在24小时内举行新闻发布会，并根据工作进展情况，持续发布权威信息。</w:t>
      </w:r>
    </w:p>
    <w:p w14:paraId="161C7A03">
      <w:pPr>
        <w:ind w:firstLine="632"/>
      </w:pPr>
      <w:r>
        <w:rPr>
          <w:rFonts w:hint="eastAsia"/>
        </w:rPr>
        <w:t>启动食品安全事件应急响应后，参与食品安全事件应急处置工作的各有关单位和个人，未经批准不得擅自对外发布相关信息。编造、传播食品安全事件虚假信息的，依法追究法律责任。</w:t>
      </w:r>
    </w:p>
    <w:p w14:paraId="2AF7357E">
      <w:pPr>
        <w:pStyle w:val="2"/>
        <w:numPr>
          <w:ilvl w:val="0"/>
          <w:numId w:val="194"/>
        </w:numPr>
        <w:tabs>
          <w:tab w:val="left" w:pos="0"/>
        </w:tabs>
        <w:rPr>
          <w:sz w:val="32"/>
          <w:szCs w:val="32"/>
        </w:rPr>
      </w:pPr>
      <w:bookmarkStart w:id="1179" w:name="_Toc15233"/>
      <w:r>
        <w:rPr>
          <w:rFonts w:hint="eastAsia"/>
          <w:sz w:val="32"/>
          <w:szCs w:val="32"/>
        </w:rPr>
        <w:t>应急保障</w:t>
      </w:r>
      <w:bookmarkEnd w:id="1179"/>
      <w:r>
        <w:rPr>
          <w:rFonts w:hint="eastAsia"/>
          <w:sz w:val="32"/>
          <w:szCs w:val="32"/>
        </w:rPr>
        <w:t xml:space="preserve"> </w:t>
      </w:r>
    </w:p>
    <w:p w14:paraId="47DD8F7B">
      <w:pPr>
        <w:pStyle w:val="3"/>
        <w:tabs>
          <w:tab w:val="left" w:pos="0"/>
        </w:tabs>
      </w:pPr>
      <w:bookmarkStart w:id="1180" w:name="_Toc2128"/>
      <w:r>
        <w:rPr>
          <w:rFonts w:hint="eastAsia"/>
        </w:rPr>
        <w:t>信息保障</w:t>
      </w:r>
      <w:bookmarkEnd w:id="1180"/>
    </w:p>
    <w:p w14:paraId="48514B69">
      <w:pPr>
        <w:ind w:firstLine="632"/>
      </w:pPr>
      <w:r>
        <w:rPr>
          <w:rFonts w:hint="eastAsia"/>
        </w:rPr>
        <w:t>按照国家及省市县有关食品安全信息网络体系建设有关规定和要求，建立健全县食品安全信息网络体系。</w:t>
      </w:r>
    </w:p>
    <w:p w14:paraId="58629F01">
      <w:pPr>
        <w:ind w:firstLine="632"/>
      </w:pPr>
      <w:r>
        <w:rPr>
          <w:rFonts w:hint="eastAsia"/>
        </w:rPr>
        <w:t>有关部门应当建立完善信息报告机制和制度，畅通信息报告渠道，确保食品安全事件及时报告，信息及时收集和报送。</w:t>
      </w:r>
    </w:p>
    <w:p w14:paraId="13A0563C">
      <w:pPr>
        <w:ind w:firstLine="632"/>
      </w:pPr>
      <w:r>
        <w:rPr>
          <w:rFonts w:hint="eastAsia"/>
        </w:rPr>
        <w:t>指挥部食品安全事件应急指挥部的工作平台应当与政府应急指挥平台联通，并确定参与部门和单位的通信方式；参与食品安全事件应急处置工作的相关部门（单位）、应急专业队伍以及县食品安全事件应急县指挥办，应当明确带班领导和联络员:并保证 24小时值守，通信全时畅通。</w:t>
      </w:r>
    </w:p>
    <w:p w14:paraId="51E1F549">
      <w:pPr>
        <w:pStyle w:val="3"/>
        <w:tabs>
          <w:tab w:val="left" w:pos="0"/>
        </w:tabs>
      </w:pPr>
      <w:bookmarkStart w:id="1181" w:name="_Toc22880"/>
      <w:r>
        <w:rPr>
          <w:rFonts w:hint="eastAsia"/>
        </w:rPr>
        <w:t>医疗保障</w:t>
      </w:r>
      <w:bookmarkEnd w:id="1181"/>
    </w:p>
    <w:p w14:paraId="0D67D6DD">
      <w:pPr>
        <w:ind w:firstLine="632"/>
      </w:pPr>
      <w:r>
        <w:rPr>
          <w:rFonts w:hint="eastAsia"/>
        </w:rPr>
        <w:t>卫生健康部门建立功能完善、反应灵敏、运转协调、持续发展的医疗救治体系，在食品安全事件造成人员伤害时迅速开展医疗救治。卫生健康、市场监管、发展改革、工业和信息化等部门要根据应急物资储备机制，按照实际情况和事发地人民政府的需求，及时为事发地区提供药品、医疗器械等卫生医疗设备。</w:t>
      </w:r>
    </w:p>
    <w:p w14:paraId="42FE4A05">
      <w:pPr>
        <w:pStyle w:val="3"/>
        <w:tabs>
          <w:tab w:val="left" w:pos="0"/>
        </w:tabs>
      </w:pPr>
      <w:bookmarkStart w:id="1182" w:name="_Toc6887"/>
      <w:r>
        <w:rPr>
          <w:rFonts w:hint="eastAsia"/>
        </w:rPr>
        <w:t>人员与技术保障</w:t>
      </w:r>
      <w:bookmarkEnd w:id="1182"/>
    </w:p>
    <w:p w14:paraId="73B21ED5">
      <w:pPr>
        <w:ind w:firstLine="632"/>
      </w:pPr>
      <w:r>
        <w:rPr>
          <w:rFonts w:hint="eastAsia"/>
        </w:rPr>
        <w:t>县指挥办负责组织突发食品安全事件相关单位、部门人员、专家参加事件处理。</w:t>
      </w:r>
    </w:p>
    <w:p w14:paraId="6413C3ED">
      <w:pPr>
        <w:ind w:firstLine="632"/>
      </w:pPr>
      <w:r>
        <w:rPr>
          <w:rFonts w:hint="eastAsia"/>
        </w:rPr>
        <w:t>应急处置专业技术机构要结合本机构职责加强应急处置队伍建设，开展专业技术人员食品安全事件应急处置能力培训和应急演练，提高快速应对能力和技术水平。健全专家队伍，为事件核实、级别核定、事件隐患预警及应急响应等相关工作提供技术力量保障。</w:t>
      </w:r>
    </w:p>
    <w:p w14:paraId="06C72947">
      <w:pPr>
        <w:pStyle w:val="3"/>
        <w:tabs>
          <w:tab w:val="left" w:pos="0"/>
        </w:tabs>
      </w:pPr>
      <w:bookmarkStart w:id="1183" w:name="_Toc26265"/>
      <w:r>
        <w:rPr>
          <w:rFonts w:hint="eastAsia"/>
        </w:rPr>
        <w:t>物资与经费保障</w:t>
      </w:r>
      <w:bookmarkEnd w:id="1183"/>
    </w:p>
    <w:p w14:paraId="2F535025">
      <w:pPr>
        <w:pStyle w:val="4"/>
        <w:numPr>
          <w:ilvl w:val="2"/>
          <w:numId w:val="194"/>
        </w:numPr>
        <w:tabs>
          <w:tab w:val="left" w:pos="0"/>
        </w:tabs>
        <w:rPr>
          <w:rFonts w:ascii="仿宋_GB2312" w:hAnsi="仿宋_GB2312" w:eastAsia="仿宋_GB2312" w:cs="仿宋_GB2312"/>
        </w:rPr>
      </w:pPr>
      <w:r>
        <w:rPr>
          <w:rFonts w:hint="eastAsia" w:ascii="仿宋_GB2312" w:hAnsi="仿宋_GB2312" w:eastAsia="仿宋_GB2312" w:cs="仿宋_GB2312"/>
        </w:rPr>
        <w:t>物资保障</w:t>
      </w:r>
    </w:p>
    <w:p w14:paraId="030D00B6">
      <w:pPr>
        <w:ind w:firstLine="632"/>
      </w:pPr>
      <w:r>
        <w:rPr>
          <w:rFonts w:hint="eastAsia"/>
        </w:rPr>
        <w:t>县政府应当保障食品安全事件应急处置所需设施、设备和物资，建立食品安全事件应急物资储备制度，保障应对食品安全事件的物资供应。食品安全事件应急处置使用储备物资后须及时补充。</w:t>
      </w:r>
    </w:p>
    <w:p w14:paraId="2A75CFFF">
      <w:pPr>
        <w:pStyle w:val="4"/>
        <w:numPr>
          <w:ilvl w:val="2"/>
          <w:numId w:val="194"/>
        </w:numPr>
        <w:tabs>
          <w:tab w:val="left" w:pos="0"/>
        </w:tabs>
        <w:rPr>
          <w:rFonts w:ascii="仿宋_GB2312" w:hAnsi="仿宋_GB2312" w:eastAsia="仿宋_GB2312" w:cs="仿宋_GB2312"/>
        </w:rPr>
      </w:pPr>
      <w:r>
        <w:rPr>
          <w:rFonts w:hint="eastAsia" w:ascii="仿宋_GB2312" w:hAnsi="仿宋_GB2312" w:eastAsia="仿宋_GB2312" w:cs="仿宋_GB2312"/>
        </w:rPr>
        <w:t>经费保障</w:t>
      </w:r>
    </w:p>
    <w:p w14:paraId="7FB19347">
      <w:pPr>
        <w:ind w:firstLine="632"/>
      </w:pPr>
      <w:r>
        <w:rPr>
          <w:rFonts w:hint="eastAsia"/>
        </w:rPr>
        <w:t>县政府应保障食品安全事件应急建设经费，</w:t>
      </w:r>
    </w:p>
    <w:p w14:paraId="3BFF8527">
      <w:pPr>
        <w:ind w:firstLine="632"/>
      </w:pPr>
      <w:r>
        <w:rPr>
          <w:rFonts w:hint="eastAsia"/>
        </w:rPr>
        <w:t>财政部门按规定落实对食品安全事件应急处置专业机构的财政补助政策和食品安全事件应急处置经费。食品安全事件应急处置经费由县指挥办提出，经同级财政审核后，按规定程序列入年度财政预算。处置食品安全事件所需经费按照现行事权、财权划分原则，分级负担。</w:t>
      </w:r>
    </w:p>
    <w:p w14:paraId="325DE185">
      <w:pPr>
        <w:pStyle w:val="3"/>
        <w:tabs>
          <w:tab w:val="left" w:pos="0"/>
        </w:tabs>
      </w:pPr>
      <w:bookmarkStart w:id="1184" w:name="_Toc1892"/>
      <w:r>
        <w:rPr>
          <w:rFonts w:hint="eastAsia"/>
        </w:rPr>
        <w:t>动员保障</w:t>
      </w:r>
      <w:bookmarkEnd w:id="1184"/>
    </w:p>
    <w:p w14:paraId="1F042F68">
      <w:pPr>
        <w:ind w:firstLine="632"/>
      </w:pPr>
      <w:r>
        <w:rPr>
          <w:rFonts w:hint="eastAsia"/>
        </w:rPr>
        <w:t>根据食品安全事件应急处置的需要，可动员和组织社会力量协助参与应急处置，必要时依法调用企业及个人物资。在动用社会力量或企业、个人物资进行应急处置后，应当及时归还或给予补偿。</w:t>
      </w:r>
    </w:p>
    <w:p w14:paraId="1A954436">
      <w:pPr>
        <w:pStyle w:val="3"/>
        <w:tabs>
          <w:tab w:val="left" w:pos="0"/>
        </w:tabs>
      </w:pPr>
      <w:bookmarkStart w:id="1185" w:name="_Toc15188"/>
      <w:r>
        <w:rPr>
          <w:rFonts w:hint="eastAsia"/>
        </w:rPr>
        <w:t>治安保障</w:t>
      </w:r>
      <w:bookmarkEnd w:id="1185"/>
    </w:p>
    <w:p w14:paraId="5BDE21E0">
      <w:pPr>
        <w:ind w:firstLine="632"/>
      </w:pPr>
      <w:r>
        <w:rPr>
          <w:rFonts w:hint="eastAsia"/>
        </w:rPr>
        <w:t>公安部门按照有关规定，参与现场处置和治安维护工作，加强对重点地区、重点场所、重点人群、重要物资和设备的安全保护，依法采取有效管制措施，严厉打击违法犯罪活动。</w:t>
      </w:r>
    </w:p>
    <w:p w14:paraId="1AFF5FBA">
      <w:pPr>
        <w:pStyle w:val="3"/>
        <w:tabs>
          <w:tab w:val="left" w:pos="0"/>
        </w:tabs>
      </w:pPr>
      <w:bookmarkStart w:id="1186" w:name="_Toc14017"/>
      <w:r>
        <w:rPr>
          <w:rFonts w:hint="eastAsia"/>
        </w:rPr>
        <w:t>培训保障</w:t>
      </w:r>
      <w:bookmarkEnd w:id="1186"/>
    </w:p>
    <w:p w14:paraId="52FB85A5">
      <w:pPr>
        <w:ind w:firstLine="632"/>
      </w:pPr>
      <w:r>
        <w:rPr>
          <w:rFonts w:hint="eastAsia"/>
        </w:rPr>
        <w:t>本预案涉及的有关部门和单位应编制本系统食品安全应急处置工作手册或指南，细化职责任务，明确工作流程，落实到具体责任部门和责任人，并强化培训，保障各项应急工作有序、高效运行。</w:t>
      </w:r>
    </w:p>
    <w:p w14:paraId="165CFA34">
      <w:pPr>
        <w:ind w:firstLine="632"/>
      </w:pPr>
      <w:r>
        <w:rPr>
          <w:rFonts w:hint="eastAsia"/>
        </w:rPr>
        <w:t>各有关部门应当加强对食品安全专业人员、食品生产经营者及广大消费者的食品安全知识宣传、教育与培训，促进专业人员掌握食品安全相关作业技能，增强食品生产经营者的主体责任意识，增强消费者的风险意识和防范能力。食品安全事件发生后，各级食品安全监管部门要组织专家、企业、媒体、公众等开展风险交流活动，让群众及时了解真相，消除恐慌。</w:t>
      </w:r>
    </w:p>
    <w:p w14:paraId="1BEAD4D6">
      <w:pPr>
        <w:pStyle w:val="2"/>
        <w:numPr>
          <w:ilvl w:val="0"/>
          <w:numId w:val="194"/>
        </w:numPr>
        <w:tabs>
          <w:tab w:val="left" w:pos="0"/>
        </w:tabs>
        <w:rPr>
          <w:sz w:val="32"/>
          <w:szCs w:val="32"/>
        </w:rPr>
      </w:pPr>
      <w:bookmarkStart w:id="1187" w:name="_Toc12336"/>
      <w:r>
        <w:rPr>
          <w:rFonts w:hint="eastAsia"/>
          <w:sz w:val="32"/>
          <w:szCs w:val="32"/>
        </w:rPr>
        <w:t>后期处置</w:t>
      </w:r>
      <w:bookmarkEnd w:id="1187"/>
    </w:p>
    <w:p w14:paraId="16B57E69">
      <w:pPr>
        <w:pStyle w:val="3"/>
      </w:pPr>
      <w:bookmarkStart w:id="1188" w:name="_Toc11373"/>
      <w:r>
        <w:rPr>
          <w:rFonts w:hint="eastAsia"/>
        </w:rPr>
        <w:t>恢复秩序</w:t>
      </w:r>
      <w:bookmarkEnd w:id="1188"/>
    </w:p>
    <w:p w14:paraId="6C35F07A">
      <w:pPr>
        <w:ind w:firstLine="632"/>
      </w:pPr>
      <w:r>
        <w:rPr>
          <w:rFonts w:hint="eastAsia"/>
        </w:rPr>
        <w:t>应急处置工作结束后，事发地人民政府及有关部门要积极稳妥、深入细致地做好善后处置工作，消除事件影响，恢复正常秩序；完善相关政策，规范行业秩序，促进行业健康发展。</w:t>
      </w:r>
    </w:p>
    <w:p w14:paraId="4FB1D7E9">
      <w:pPr>
        <w:ind w:firstLine="632"/>
      </w:pPr>
      <w:r>
        <w:rPr>
          <w:rFonts w:hint="eastAsia"/>
        </w:rPr>
        <w:t>食品安全事件发生后，保险机构应当及时开展应急救援人员保险受理和受害人员保险理赔工作。</w:t>
      </w:r>
    </w:p>
    <w:p w14:paraId="619916AF">
      <w:pPr>
        <w:ind w:firstLine="632"/>
      </w:pPr>
      <w:r>
        <w:rPr>
          <w:rFonts w:hint="eastAsia"/>
        </w:rPr>
        <w:t>造成食品安全事件的责任单位和责任人应当按照有关规定对受害人给予赔偿，承担受害人后续治疗及保障等相关费用。</w:t>
      </w:r>
    </w:p>
    <w:p w14:paraId="22A8D1A8">
      <w:pPr>
        <w:pStyle w:val="3"/>
      </w:pPr>
      <w:bookmarkStart w:id="1189" w:name="_Toc15112"/>
      <w:r>
        <w:rPr>
          <w:rFonts w:hint="eastAsia"/>
        </w:rPr>
        <w:t>责任调查</w:t>
      </w:r>
      <w:bookmarkEnd w:id="1189"/>
    </w:p>
    <w:p w14:paraId="3B3CF560">
      <w:pPr>
        <w:ind w:firstLine="632"/>
      </w:pPr>
      <w:r>
        <w:rPr>
          <w:rFonts w:hint="eastAsia"/>
        </w:rPr>
        <w:t>发生食品安全事件，县食品安全办应当会同有关部门进行责任调查。</w:t>
      </w:r>
    </w:p>
    <w:p w14:paraId="2402D082">
      <w:pPr>
        <w:ind w:firstLine="632"/>
      </w:pPr>
      <w:r>
        <w:rPr>
          <w:rFonts w:hint="eastAsia"/>
        </w:rPr>
        <w:t>调查食品安全事件责任，主要查明是否为食品安全事故或食品安全责任事故，还应当查明有关监管（主管）部门、检验机构、认证机构及其工作人员是否存在失职、渎职责任。</w:t>
      </w:r>
    </w:p>
    <w:p w14:paraId="472C27A7">
      <w:pPr>
        <w:pStyle w:val="3"/>
      </w:pPr>
      <w:bookmarkStart w:id="1190" w:name="_Toc3702"/>
      <w:r>
        <w:rPr>
          <w:rFonts w:hint="eastAsia"/>
        </w:rPr>
        <w:t>奖惩</w:t>
      </w:r>
      <w:bookmarkEnd w:id="1190"/>
    </w:p>
    <w:p w14:paraId="466C04DE">
      <w:pPr>
        <w:pStyle w:val="4"/>
        <w:numPr>
          <w:ilvl w:val="2"/>
          <w:numId w:val="194"/>
        </w:numPr>
        <w:tabs>
          <w:tab w:val="left" w:pos="0"/>
        </w:tabs>
        <w:rPr>
          <w:rFonts w:ascii="仿宋_GB2312" w:hAnsi="仿宋_GB2312" w:eastAsia="仿宋_GB2312" w:cs="仿宋_GB2312"/>
        </w:rPr>
      </w:pPr>
      <w:r>
        <w:rPr>
          <w:rFonts w:hint="eastAsia" w:ascii="仿宋_GB2312" w:hAnsi="仿宋_GB2312" w:eastAsia="仿宋_GB2312" w:cs="仿宋_GB2312"/>
        </w:rPr>
        <w:t>奖励</w:t>
      </w:r>
    </w:p>
    <w:p w14:paraId="1BAC5B16">
      <w:pPr>
        <w:ind w:firstLine="632"/>
      </w:pPr>
      <w:r>
        <w:rPr>
          <w:rFonts w:hint="eastAsia"/>
        </w:rPr>
        <w:t>按照国家有关规定，对在食品安全事件应急处置工作中作出突出贡献的先进集体和个人，应当给予通报表扬或奖励。</w:t>
      </w:r>
    </w:p>
    <w:p w14:paraId="60285945">
      <w:pPr>
        <w:pStyle w:val="4"/>
        <w:numPr>
          <w:ilvl w:val="2"/>
          <w:numId w:val="194"/>
        </w:numPr>
        <w:tabs>
          <w:tab w:val="left" w:pos="0"/>
        </w:tabs>
        <w:rPr>
          <w:rFonts w:ascii="仿宋_GB2312" w:hAnsi="仿宋_GB2312" w:eastAsia="仿宋_GB2312" w:cs="仿宋_GB2312"/>
        </w:rPr>
      </w:pPr>
      <w:r>
        <w:rPr>
          <w:rFonts w:hint="eastAsia" w:ascii="仿宋_GB2312" w:hAnsi="仿宋_GB2312" w:eastAsia="仿宋_GB2312" w:cs="仿宋_GB2312"/>
        </w:rPr>
        <w:t>责任追究</w:t>
      </w:r>
    </w:p>
    <w:p w14:paraId="416A7587">
      <w:pPr>
        <w:ind w:firstLine="632"/>
      </w:pPr>
      <w:r>
        <w:rPr>
          <w:rFonts w:hint="eastAsia"/>
        </w:rPr>
        <w:t>对迟报、谎报、瞒报和漏报食品安全事件重要信息影响事件处置或在应急处置中有其他失职、渎职行为的，由相关职能部门进行调查处理，对事件直接责任人和单位依法追究责任；构成犯罪的，依法追究刑事责任。</w:t>
      </w:r>
    </w:p>
    <w:p w14:paraId="5BE6BE98">
      <w:pPr>
        <w:pStyle w:val="4"/>
        <w:numPr>
          <w:ilvl w:val="2"/>
          <w:numId w:val="194"/>
        </w:numPr>
        <w:tabs>
          <w:tab w:val="left" w:pos="0"/>
        </w:tabs>
        <w:rPr>
          <w:rFonts w:ascii="仿宋_GB2312" w:hAnsi="仿宋_GB2312" w:eastAsia="仿宋_GB2312" w:cs="仿宋_GB2312"/>
        </w:rPr>
      </w:pPr>
      <w:r>
        <w:rPr>
          <w:rFonts w:hint="eastAsia" w:ascii="仿宋_GB2312" w:hAnsi="仿宋_GB2312" w:eastAsia="仿宋_GB2312" w:cs="仿宋_GB2312"/>
        </w:rPr>
        <w:t>分析总结</w:t>
      </w:r>
    </w:p>
    <w:p w14:paraId="6E19A222">
      <w:pPr>
        <w:ind w:firstLine="632"/>
      </w:pPr>
      <w:r>
        <w:rPr>
          <w:rFonts w:hint="eastAsia"/>
        </w:rPr>
        <w:t>食品安全事件处置结束后，市场监督管理部门应当组织有关部门及时对食品安全事件和应急处置工作进行总结，分析事件原因，评估影响，评价应急处置工作效果，提出对类似事件的防范和处置建议，并在规定时限内向县人民政府和市市场监督管理局报送总结报告。</w:t>
      </w:r>
    </w:p>
    <w:p w14:paraId="62BA8F0E">
      <w:pPr>
        <w:pStyle w:val="3"/>
      </w:pPr>
      <w:bookmarkStart w:id="1191" w:name="_Toc15072"/>
      <w:r>
        <w:rPr>
          <w:rFonts w:hint="eastAsia"/>
        </w:rPr>
        <w:t>预案演练</w:t>
      </w:r>
      <w:bookmarkEnd w:id="1191"/>
    </w:p>
    <w:p w14:paraId="4CE72F0E">
      <w:pPr>
        <w:ind w:firstLine="632"/>
      </w:pPr>
      <w:r>
        <w:rPr>
          <w:rFonts w:hint="eastAsia"/>
        </w:rPr>
        <w:t>各有关部门要通过开展食品安全事件应急处置演练，检验和强化应急准备和应急响应能力，及时总结评估，完善应急预案。</w:t>
      </w:r>
    </w:p>
    <w:p w14:paraId="12DB3D68">
      <w:pPr>
        <w:pStyle w:val="2"/>
        <w:numPr>
          <w:ilvl w:val="0"/>
          <w:numId w:val="194"/>
        </w:numPr>
        <w:tabs>
          <w:tab w:val="left" w:pos="0"/>
        </w:tabs>
        <w:rPr>
          <w:sz w:val="32"/>
          <w:szCs w:val="32"/>
        </w:rPr>
      </w:pPr>
      <w:bookmarkStart w:id="1192" w:name="_Toc5172"/>
      <w:r>
        <w:rPr>
          <w:rFonts w:hint="eastAsia"/>
          <w:sz w:val="32"/>
          <w:szCs w:val="32"/>
        </w:rPr>
        <w:t>附则</w:t>
      </w:r>
      <w:bookmarkEnd w:id="1192"/>
    </w:p>
    <w:p w14:paraId="204423E1">
      <w:pPr>
        <w:pStyle w:val="3"/>
        <w:tabs>
          <w:tab w:val="left" w:pos="0"/>
        </w:tabs>
        <w:rPr>
          <w:rFonts w:ascii="Times New Roman" w:hAnsi="Times New Roman"/>
          <w:szCs w:val="32"/>
        </w:rPr>
      </w:pPr>
      <w:bookmarkStart w:id="1193" w:name="_Toc13427"/>
      <w:r>
        <w:rPr>
          <w:rFonts w:hint="eastAsia" w:ascii="Times New Roman" w:hAnsi="Times New Roman"/>
          <w:szCs w:val="32"/>
        </w:rPr>
        <w:t>预案备案</w:t>
      </w:r>
      <w:bookmarkEnd w:id="1193"/>
    </w:p>
    <w:p w14:paraId="296439E7">
      <w:pPr>
        <w:ind w:firstLine="632"/>
      </w:pPr>
      <w:r>
        <w:rPr>
          <w:rFonts w:hint="eastAsia"/>
        </w:rPr>
        <w:t>乡镇人民政府参照本预案，制定本地区食品安全事件应急预案，并报送上一级人民政府备案，同时抄送上一级人民政府主管部门备案。</w:t>
      </w:r>
    </w:p>
    <w:p w14:paraId="143EF4F9">
      <w:pPr>
        <w:pStyle w:val="3"/>
      </w:pPr>
      <w:bookmarkStart w:id="1194" w:name="_Toc14129"/>
      <w:r>
        <w:rPr>
          <w:rFonts w:hint="eastAsia"/>
        </w:rPr>
        <w:t>预案更新</w:t>
      </w:r>
      <w:bookmarkEnd w:id="1194"/>
    </w:p>
    <w:p w14:paraId="5304CB6E">
      <w:pPr>
        <w:ind w:firstLine="632"/>
      </w:pPr>
      <w:r>
        <w:rPr>
          <w:rFonts w:hint="eastAsia"/>
        </w:rPr>
        <w:t>有下列情形之一的，应当结合实际，及时修订应急预案:</w:t>
      </w:r>
    </w:p>
    <w:p w14:paraId="33AFBB1C">
      <w:pPr>
        <w:numPr>
          <w:ilvl w:val="0"/>
          <w:numId w:val="209"/>
        </w:numPr>
        <w:ind w:firstLine="632"/>
      </w:pPr>
      <w:r>
        <w:rPr>
          <w:rFonts w:hint="eastAsia"/>
        </w:rPr>
        <w:t>有关法律法规、规章、标准、上位预案发生变化的；</w:t>
      </w:r>
    </w:p>
    <w:p w14:paraId="04D7D70D">
      <w:pPr>
        <w:numPr>
          <w:ilvl w:val="0"/>
          <w:numId w:val="209"/>
        </w:numPr>
        <w:ind w:firstLine="632"/>
      </w:pPr>
      <w:r>
        <w:rPr>
          <w:rFonts w:hint="eastAsia"/>
        </w:rPr>
        <w:t>应急指挥机构及其职责发生重大调整的；</w:t>
      </w:r>
    </w:p>
    <w:p w14:paraId="07D06B02">
      <w:pPr>
        <w:numPr>
          <w:ilvl w:val="0"/>
          <w:numId w:val="209"/>
        </w:numPr>
        <w:ind w:firstLine="632"/>
      </w:pPr>
      <w:r>
        <w:rPr>
          <w:rFonts w:hint="eastAsia"/>
        </w:rPr>
        <w:t>相关单位发生重大变化的；</w:t>
      </w:r>
    </w:p>
    <w:p w14:paraId="0AADD56F">
      <w:pPr>
        <w:numPr>
          <w:ilvl w:val="0"/>
          <w:numId w:val="209"/>
        </w:numPr>
        <w:ind w:firstLine="632"/>
      </w:pPr>
      <w:r>
        <w:rPr>
          <w:rFonts w:hint="eastAsia"/>
        </w:rPr>
        <w:t>面临的风险或其他重要环境因素发生重大变化的；</w:t>
      </w:r>
    </w:p>
    <w:p w14:paraId="4734B098">
      <w:pPr>
        <w:numPr>
          <w:ilvl w:val="0"/>
          <w:numId w:val="209"/>
        </w:numPr>
        <w:ind w:firstLine="632"/>
      </w:pPr>
      <w:r>
        <w:rPr>
          <w:rFonts w:hint="eastAsia"/>
        </w:rPr>
        <w:t>重要应急资源发生重大变化的；</w:t>
      </w:r>
    </w:p>
    <w:p w14:paraId="2D6458C7">
      <w:pPr>
        <w:numPr>
          <w:ilvl w:val="0"/>
          <w:numId w:val="209"/>
        </w:numPr>
        <w:ind w:firstLine="632"/>
      </w:pPr>
      <w:r>
        <w:rPr>
          <w:rFonts w:hint="eastAsia"/>
        </w:rPr>
        <w:t>预案中的其他重要信息发生变化的；</w:t>
      </w:r>
    </w:p>
    <w:p w14:paraId="2B736D01">
      <w:pPr>
        <w:numPr>
          <w:ilvl w:val="0"/>
          <w:numId w:val="209"/>
        </w:numPr>
        <w:ind w:firstLine="632"/>
      </w:pPr>
      <w:r>
        <w:rPr>
          <w:rFonts w:hint="eastAsia"/>
        </w:rPr>
        <w:t>在突发事件实际应对和应急演练中发现需要作出重大调整的；</w:t>
      </w:r>
    </w:p>
    <w:p w14:paraId="0EC75A93">
      <w:pPr>
        <w:numPr>
          <w:ilvl w:val="0"/>
          <w:numId w:val="209"/>
        </w:numPr>
        <w:ind w:firstLine="632"/>
      </w:pPr>
      <w:r>
        <w:rPr>
          <w:rFonts w:hint="eastAsia"/>
        </w:rPr>
        <w:t>应急预案制定单位认为应当修订的其他情况。</w:t>
      </w:r>
    </w:p>
    <w:p w14:paraId="21D51DD3">
      <w:pPr>
        <w:pStyle w:val="3"/>
      </w:pPr>
      <w:bookmarkStart w:id="1195" w:name="_Toc3062"/>
      <w:r>
        <w:rPr>
          <w:rFonts w:hint="eastAsia"/>
        </w:rPr>
        <w:t>预案制定与解释</w:t>
      </w:r>
      <w:bookmarkEnd w:id="1195"/>
    </w:p>
    <w:p w14:paraId="1080650E">
      <w:pPr>
        <w:ind w:firstLine="632"/>
        <w:rPr>
          <w:rFonts w:ascii="Times New Roman" w:hAnsi="Times New Roman"/>
        </w:rPr>
      </w:pPr>
      <w:r>
        <w:rPr>
          <w:rFonts w:hint="eastAsia" w:ascii="Times New Roman" w:hAnsi="Times New Roman"/>
        </w:rPr>
        <w:t>本预案由集贤县食品安全事件应急指挥部负责解释。</w:t>
      </w:r>
    </w:p>
    <w:p w14:paraId="1A43B916">
      <w:pPr>
        <w:pStyle w:val="3"/>
        <w:tabs>
          <w:tab w:val="left" w:pos="0"/>
        </w:tabs>
        <w:rPr>
          <w:rFonts w:ascii="Times New Roman" w:hAnsi="Times New Roman"/>
          <w:szCs w:val="32"/>
        </w:rPr>
      </w:pPr>
      <w:bookmarkStart w:id="1196" w:name="_Toc8283"/>
      <w:r>
        <w:rPr>
          <w:rFonts w:hint="eastAsia" w:ascii="Times New Roman" w:hAnsi="Times New Roman"/>
          <w:szCs w:val="32"/>
        </w:rPr>
        <w:t>预案的实施</w:t>
      </w:r>
      <w:bookmarkEnd w:id="1196"/>
    </w:p>
    <w:p w14:paraId="733A11C7">
      <w:pPr>
        <w:ind w:firstLine="632"/>
      </w:pPr>
      <w:r>
        <w:rPr>
          <w:rFonts w:hint="eastAsia" w:ascii="Times New Roman" w:hAnsi="Times New Roman"/>
        </w:rPr>
        <w:t>本预案自发布之日起施行</w:t>
      </w:r>
    </w:p>
    <w:p w14:paraId="7BA3504D">
      <w:pPr>
        <w:ind w:firstLine="0" w:firstLineChars="0"/>
      </w:pPr>
    </w:p>
    <w:p w14:paraId="70481AF2">
      <w:pPr>
        <w:pStyle w:val="15"/>
        <w:ind w:left="0" w:leftChars="0" w:firstLine="0" w:firstLineChars="0"/>
        <w:rPr>
          <w:rFonts w:ascii="Times New Roman" w:hAnsi="Times New Roman" w:cs="Times New Roman"/>
        </w:rPr>
        <w:sectPr>
          <w:headerReference r:id="rId113" w:type="default"/>
          <w:footerReference r:id="rId115" w:type="default"/>
          <w:headerReference r:id="rId114" w:type="even"/>
          <w:footerReference r:id="rId116" w:type="even"/>
          <w:pgSz w:w="11906" w:h="16838"/>
          <w:pgMar w:top="2154" w:right="1020" w:bottom="1984" w:left="1587" w:header="624" w:footer="850" w:gutter="0"/>
          <w:pgNumType w:start="1"/>
          <w:cols w:space="720" w:num="1"/>
          <w:docGrid w:type="linesAndChars" w:linePitch="579" w:charSpace="-842"/>
        </w:sectPr>
      </w:pPr>
    </w:p>
    <w:p w14:paraId="71638271">
      <w:pPr>
        <w:pStyle w:val="11"/>
        <w:ind w:firstLine="632"/>
      </w:pPr>
      <w:r>
        <w:rPr>
          <w:rFonts w:hint="eastAsia"/>
        </w:rPr>
        <w:t xml:space="preserve"> </w:t>
      </w:r>
    </w:p>
    <w:p w14:paraId="34F991FD">
      <w:pPr>
        <w:ind w:firstLine="0" w:firstLineChars="0"/>
        <w:jc w:val="center"/>
        <w:rPr>
          <w:sz w:val="36"/>
          <w:szCs w:val="36"/>
        </w:rPr>
      </w:pPr>
    </w:p>
    <w:p w14:paraId="1EA82A39">
      <w:pPr>
        <w:pStyle w:val="42"/>
      </w:pPr>
    </w:p>
    <w:p w14:paraId="0C727640">
      <w:pPr>
        <w:autoSpaceDE w:val="0"/>
        <w:autoSpaceDN w:val="0"/>
        <w:adjustRightInd w:val="0"/>
        <w:spacing w:line="240" w:lineRule="atLeast"/>
        <w:ind w:firstLine="0" w:firstLineChars="0"/>
        <w:jc w:val="center"/>
        <w:rPr>
          <w:rFonts w:ascii="方正小标宋简体" w:hAnsi="方正小标宋简体" w:eastAsia="方正小标宋简体" w:cs="方正小标宋简体"/>
          <w:bCs/>
          <w:color w:val="000000"/>
          <w:spacing w:val="-6"/>
          <w:kern w:val="0"/>
          <w:sz w:val="52"/>
          <w:szCs w:val="52"/>
          <w:lang w:bidi="ar"/>
        </w:rPr>
      </w:pPr>
      <w:r>
        <w:rPr>
          <w:rFonts w:hint="eastAsia" w:ascii="方正小标宋简体" w:hAnsi="方正小标宋简体" w:eastAsia="方正小标宋简体" w:cs="方正小标宋简体"/>
          <w:bCs/>
          <w:color w:val="000000"/>
          <w:spacing w:val="-6"/>
          <w:kern w:val="0"/>
          <w:sz w:val="52"/>
          <w:szCs w:val="52"/>
          <w:lang w:bidi="ar"/>
        </w:rPr>
        <w:t>集贤县突发公共卫生事件应急预案</w:t>
      </w:r>
    </w:p>
    <w:p w14:paraId="6C46C19E">
      <w:pPr>
        <w:pStyle w:val="11"/>
        <w:ind w:firstLine="0" w:firstLineChars="0"/>
        <w:jc w:val="center"/>
        <w:rPr>
          <w:rFonts w:ascii="Times New Roman" w:hAnsi="Times New Roman" w:eastAsia="楷体_GB2312" w:cs="Times New Roman"/>
          <w:b/>
          <w:sz w:val="52"/>
          <w:szCs w:val="52"/>
        </w:rPr>
      </w:pPr>
      <w:r>
        <w:rPr>
          <w:rFonts w:hint="eastAsia" w:ascii="仿宋_GB2312" w:hAnsi="仿宋_GB2312" w:cs="仿宋_GB2312"/>
          <w:bCs/>
          <w:sz w:val="48"/>
          <w:szCs w:val="48"/>
        </w:rPr>
        <w:t>（修订稿）</w:t>
      </w:r>
    </w:p>
    <w:p w14:paraId="0578E78D">
      <w:pPr>
        <w:ind w:firstLine="632"/>
      </w:pPr>
    </w:p>
    <w:p w14:paraId="0A312431">
      <w:pPr>
        <w:ind w:firstLine="632"/>
      </w:pPr>
    </w:p>
    <w:p w14:paraId="1486D11F">
      <w:pPr>
        <w:ind w:firstLine="632"/>
      </w:pPr>
    </w:p>
    <w:p w14:paraId="71F099F5">
      <w:pPr>
        <w:pStyle w:val="11"/>
        <w:ind w:firstLine="632"/>
      </w:pPr>
    </w:p>
    <w:p w14:paraId="3C403C39">
      <w:pPr>
        <w:pStyle w:val="11"/>
        <w:ind w:firstLine="632"/>
      </w:pPr>
    </w:p>
    <w:p w14:paraId="4F012C2F">
      <w:pPr>
        <w:pStyle w:val="11"/>
        <w:ind w:firstLine="632"/>
      </w:pPr>
    </w:p>
    <w:p w14:paraId="1B5A1B00">
      <w:pPr>
        <w:pStyle w:val="11"/>
        <w:ind w:firstLine="632"/>
      </w:pPr>
    </w:p>
    <w:p w14:paraId="474B768F">
      <w:pPr>
        <w:pStyle w:val="11"/>
        <w:ind w:firstLine="632"/>
      </w:pPr>
    </w:p>
    <w:p w14:paraId="529161B5">
      <w:pPr>
        <w:ind w:firstLine="632"/>
      </w:pPr>
    </w:p>
    <w:p w14:paraId="1CED8AAF">
      <w:pPr>
        <w:ind w:firstLine="632"/>
      </w:pPr>
    </w:p>
    <w:p w14:paraId="2688F3C5">
      <w:pPr>
        <w:pStyle w:val="42"/>
      </w:pPr>
    </w:p>
    <w:p w14:paraId="1CFED493">
      <w:pPr>
        <w:pStyle w:val="42"/>
      </w:pPr>
    </w:p>
    <w:p w14:paraId="3DB04A6E">
      <w:pPr>
        <w:ind w:firstLine="632"/>
      </w:pPr>
    </w:p>
    <w:p w14:paraId="2B3A86B9">
      <w:pPr>
        <w:ind w:firstLine="0" w:firstLineChars="0"/>
        <w:jc w:val="center"/>
        <w:rPr>
          <w:rFonts w:eastAsia="仿宋"/>
          <w:bCs/>
          <w:spacing w:val="-6"/>
          <w:sz w:val="36"/>
          <w:szCs w:val="24"/>
          <w:lang w:bidi="ar"/>
        </w:rPr>
      </w:pPr>
      <w:r>
        <w:rPr>
          <w:rFonts w:hint="eastAsia"/>
          <w:bCs/>
          <w:spacing w:val="-6"/>
          <w:sz w:val="36"/>
          <w:szCs w:val="24"/>
          <w:lang w:bidi="ar"/>
        </w:rPr>
        <w:t>集贤县</w:t>
      </w:r>
      <w:r>
        <w:rPr>
          <w:rFonts w:hint="eastAsia" w:eastAsia="仿宋"/>
          <w:bCs/>
          <w:spacing w:val="-6"/>
          <w:sz w:val="36"/>
          <w:szCs w:val="24"/>
          <w:lang w:bidi="ar"/>
        </w:rPr>
        <w:t>人民政府</w:t>
      </w:r>
      <w:r>
        <w:rPr>
          <w:rFonts w:hint="eastAsia"/>
          <w:bCs/>
          <w:spacing w:val="-6"/>
          <w:sz w:val="36"/>
          <w:szCs w:val="24"/>
          <w:lang w:bidi="ar"/>
        </w:rPr>
        <w:t xml:space="preserve"> </w:t>
      </w:r>
      <w:r>
        <w:rPr>
          <w:rFonts w:hint="eastAsia" w:eastAsia="仿宋"/>
          <w:bCs/>
          <w:spacing w:val="-6"/>
          <w:sz w:val="36"/>
          <w:szCs w:val="24"/>
          <w:lang w:bidi="ar"/>
        </w:rPr>
        <w:t>编制</w:t>
      </w:r>
    </w:p>
    <w:p w14:paraId="16088965">
      <w:pPr>
        <w:ind w:firstLine="0" w:firstLineChars="0"/>
        <w:jc w:val="center"/>
        <w:rPr>
          <w:rFonts w:eastAsia="仿宋"/>
          <w:bCs/>
          <w:spacing w:val="-6"/>
          <w:sz w:val="36"/>
          <w:szCs w:val="24"/>
          <w:lang w:bidi="ar"/>
        </w:rPr>
      </w:pPr>
      <w:r>
        <w:rPr>
          <w:rFonts w:hint="eastAsia" w:eastAsia="仿宋"/>
          <w:bCs/>
          <w:spacing w:val="-6"/>
          <w:sz w:val="36"/>
          <w:szCs w:val="24"/>
          <w:lang w:bidi="ar"/>
        </w:rPr>
        <w:t>202</w:t>
      </w:r>
      <w:r>
        <w:rPr>
          <w:bCs/>
          <w:spacing w:val="-6"/>
          <w:sz w:val="36"/>
          <w:szCs w:val="24"/>
          <w:lang w:bidi="ar"/>
        </w:rPr>
        <w:t>5</w:t>
      </w:r>
      <w:r>
        <w:rPr>
          <w:rFonts w:hint="eastAsia" w:eastAsia="仿宋"/>
          <w:bCs/>
          <w:spacing w:val="-6"/>
          <w:sz w:val="36"/>
          <w:szCs w:val="24"/>
          <w:lang w:bidi="ar"/>
        </w:rPr>
        <w:t>年</w:t>
      </w:r>
      <w:r>
        <w:rPr>
          <w:rFonts w:eastAsia="仿宋"/>
          <w:bCs/>
          <w:spacing w:val="-6"/>
          <w:sz w:val="36"/>
          <w:szCs w:val="24"/>
          <w:lang w:bidi="ar"/>
        </w:rPr>
        <w:t>5</w:t>
      </w:r>
      <w:r>
        <w:rPr>
          <w:rFonts w:hint="eastAsia" w:eastAsia="仿宋"/>
          <w:bCs/>
          <w:spacing w:val="-6"/>
          <w:sz w:val="36"/>
          <w:szCs w:val="24"/>
          <w:lang w:bidi="ar"/>
        </w:rPr>
        <w:t>月</w:t>
      </w:r>
    </w:p>
    <w:p w14:paraId="5678CA47">
      <w:pPr>
        <w:ind w:firstLine="0" w:firstLineChars="0"/>
        <w:sectPr>
          <w:footerReference r:id="rId117" w:type="default"/>
          <w:pgSz w:w="11906" w:h="16838"/>
          <w:pgMar w:top="2098" w:right="1474" w:bottom="1984" w:left="1587" w:header="1814" w:footer="1587" w:gutter="0"/>
          <w:pgNumType w:fmt="numberInDash"/>
          <w:cols w:space="720" w:num="1"/>
          <w:docGrid w:type="linesAndChars" w:linePitch="579" w:charSpace="-842"/>
        </w:sectPr>
      </w:pPr>
      <w:r>
        <w:rPr>
          <w:rFonts w:hint="eastAsia"/>
        </w:rPr>
        <w:br w:type="page"/>
      </w:r>
    </w:p>
    <w:p w14:paraId="43F0945D">
      <w:pPr>
        <w:ind w:firstLine="0" w:firstLineChars="0"/>
        <w:jc w:val="center"/>
        <w:rPr>
          <w:rFonts w:ascii="微软雅黑" w:hAnsi="微软雅黑" w:eastAsia="微软雅黑" w:cs="微软雅黑"/>
          <w:b/>
          <w:bCs/>
          <w:sz w:val="36"/>
          <w:szCs w:val="36"/>
        </w:rPr>
      </w:pPr>
      <w:r>
        <w:rPr>
          <w:rFonts w:hint="eastAsia" w:ascii="微软雅黑" w:hAnsi="微软雅黑" w:eastAsia="微软雅黑" w:cs="微软雅黑"/>
          <w:b/>
          <w:bCs/>
          <w:sz w:val="36"/>
          <w:szCs w:val="36"/>
        </w:rPr>
        <w:t>目  录</w:t>
      </w:r>
    </w:p>
    <w:p w14:paraId="05092DFE">
      <w:pPr>
        <w:pStyle w:val="18"/>
      </w:pPr>
      <w:r>
        <w:rPr>
          <w:rFonts w:hint="eastAsia" w:ascii="黑体" w:hAnsi="黑体" w:eastAsia="黑体" w:cs="黑体"/>
          <w:sz w:val="44"/>
          <w:szCs w:val="44"/>
        </w:rPr>
        <w:fldChar w:fldCharType="begin"/>
      </w:r>
      <w:r>
        <w:rPr>
          <w:rFonts w:hint="eastAsia" w:ascii="黑体" w:hAnsi="黑体" w:eastAsia="黑体" w:cs="黑体"/>
          <w:sz w:val="44"/>
          <w:szCs w:val="44"/>
        </w:rPr>
        <w:instrText xml:space="preserve">TOC \o "1-2" \h \u </w:instrText>
      </w:r>
      <w:r>
        <w:rPr>
          <w:rFonts w:hint="eastAsia" w:ascii="黑体" w:hAnsi="黑体" w:eastAsia="黑体" w:cs="黑体"/>
          <w:sz w:val="44"/>
          <w:szCs w:val="44"/>
        </w:rPr>
        <w:fldChar w:fldCharType="separate"/>
      </w:r>
      <w:r>
        <w:fldChar w:fldCharType="begin"/>
      </w:r>
      <w:r>
        <w:instrText xml:space="preserve"> HYPERLINK \l "_Toc6307" </w:instrText>
      </w:r>
      <w:r>
        <w:fldChar w:fldCharType="separate"/>
      </w:r>
      <w:r>
        <w:rPr>
          <w:rFonts w:eastAsia="仿宋"/>
        </w:rPr>
        <w:t xml:space="preserve">1 </w:t>
      </w:r>
      <w:r>
        <w:rPr>
          <w:rFonts w:hint="eastAsia"/>
        </w:rPr>
        <w:t>总则</w:t>
      </w:r>
      <w:r>
        <w:tab/>
      </w:r>
      <w:r>
        <w:fldChar w:fldCharType="begin"/>
      </w:r>
      <w:r>
        <w:instrText xml:space="preserve"> PAGEREF _Toc6307 \h </w:instrText>
      </w:r>
      <w:r>
        <w:fldChar w:fldCharType="separate"/>
      </w:r>
      <w:r>
        <w:t>4</w:t>
      </w:r>
      <w:r>
        <w:fldChar w:fldCharType="end"/>
      </w:r>
      <w:r>
        <w:fldChar w:fldCharType="end"/>
      </w:r>
    </w:p>
    <w:p w14:paraId="3D46457C">
      <w:pPr>
        <w:pStyle w:val="19"/>
        <w:tabs>
          <w:tab w:val="right" w:leader="dot" w:pos="8845"/>
        </w:tabs>
        <w:ind w:firstLine="640"/>
      </w:pPr>
      <w:r>
        <w:fldChar w:fldCharType="begin"/>
      </w:r>
      <w:r>
        <w:instrText xml:space="preserve"> HYPERLINK \l "_Toc21375" </w:instrText>
      </w:r>
      <w:r>
        <w:fldChar w:fldCharType="separate"/>
      </w:r>
      <w:r>
        <w:rPr>
          <w:rFonts w:eastAsia="仿宋"/>
          <w:bCs/>
          <w:szCs w:val="28"/>
        </w:rPr>
        <w:t xml:space="preserve">1.1 </w:t>
      </w:r>
      <w:r>
        <w:rPr>
          <w:rFonts w:hint="eastAsia"/>
        </w:rPr>
        <w:t>编制目的</w:t>
      </w:r>
      <w:r>
        <w:tab/>
      </w:r>
      <w:r>
        <w:fldChar w:fldCharType="begin"/>
      </w:r>
      <w:r>
        <w:instrText xml:space="preserve"> PAGEREF _Toc21375 \h </w:instrText>
      </w:r>
      <w:r>
        <w:fldChar w:fldCharType="separate"/>
      </w:r>
      <w:r>
        <w:t>4</w:t>
      </w:r>
      <w:r>
        <w:fldChar w:fldCharType="end"/>
      </w:r>
      <w:r>
        <w:fldChar w:fldCharType="end"/>
      </w:r>
    </w:p>
    <w:p w14:paraId="3157A277">
      <w:pPr>
        <w:pStyle w:val="19"/>
        <w:tabs>
          <w:tab w:val="right" w:leader="dot" w:pos="8845"/>
        </w:tabs>
        <w:ind w:firstLine="640"/>
      </w:pPr>
      <w:r>
        <w:fldChar w:fldCharType="begin"/>
      </w:r>
      <w:r>
        <w:instrText xml:space="preserve"> HYPERLINK \l "_Toc28279" </w:instrText>
      </w:r>
      <w:r>
        <w:fldChar w:fldCharType="separate"/>
      </w:r>
      <w:r>
        <w:rPr>
          <w:rFonts w:eastAsia="仿宋"/>
          <w:bCs/>
          <w:szCs w:val="28"/>
        </w:rPr>
        <w:t xml:space="preserve">1.2 </w:t>
      </w:r>
      <w:r>
        <w:rPr>
          <w:rFonts w:hint="eastAsia"/>
        </w:rPr>
        <w:t>编制依据</w:t>
      </w:r>
      <w:r>
        <w:tab/>
      </w:r>
      <w:r>
        <w:fldChar w:fldCharType="begin"/>
      </w:r>
      <w:r>
        <w:instrText xml:space="preserve"> PAGEREF _Toc28279 \h </w:instrText>
      </w:r>
      <w:r>
        <w:fldChar w:fldCharType="separate"/>
      </w:r>
      <w:r>
        <w:t>4</w:t>
      </w:r>
      <w:r>
        <w:fldChar w:fldCharType="end"/>
      </w:r>
      <w:r>
        <w:fldChar w:fldCharType="end"/>
      </w:r>
    </w:p>
    <w:p w14:paraId="19F3DA30">
      <w:pPr>
        <w:pStyle w:val="19"/>
        <w:tabs>
          <w:tab w:val="right" w:leader="dot" w:pos="8845"/>
        </w:tabs>
        <w:ind w:firstLine="640"/>
      </w:pPr>
      <w:r>
        <w:fldChar w:fldCharType="begin"/>
      </w:r>
      <w:r>
        <w:instrText xml:space="preserve"> HYPERLINK \l "_Toc7321" </w:instrText>
      </w:r>
      <w:r>
        <w:fldChar w:fldCharType="separate"/>
      </w:r>
      <w:r>
        <w:rPr>
          <w:rFonts w:eastAsia="仿宋"/>
          <w:bCs/>
          <w:szCs w:val="28"/>
        </w:rPr>
        <w:t xml:space="preserve">1.3 </w:t>
      </w:r>
      <w:r>
        <w:rPr>
          <w:rFonts w:hint="eastAsia"/>
        </w:rPr>
        <w:t>适用范围</w:t>
      </w:r>
      <w:r>
        <w:tab/>
      </w:r>
      <w:r>
        <w:fldChar w:fldCharType="begin"/>
      </w:r>
      <w:r>
        <w:instrText xml:space="preserve"> PAGEREF _Toc7321 \h </w:instrText>
      </w:r>
      <w:r>
        <w:fldChar w:fldCharType="separate"/>
      </w:r>
      <w:r>
        <w:t>4</w:t>
      </w:r>
      <w:r>
        <w:fldChar w:fldCharType="end"/>
      </w:r>
      <w:r>
        <w:fldChar w:fldCharType="end"/>
      </w:r>
    </w:p>
    <w:p w14:paraId="0417E2A6">
      <w:pPr>
        <w:pStyle w:val="19"/>
        <w:tabs>
          <w:tab w:val="right" w:leader="dot" w:pos="8845"/>
        </w:tabs>
        <w:ind w:firstLine="640"/>
      </w:pPr>
      <w:r>
        <w:fldChar w:fldCharType="begin"/>
      </w:r>
      <w:r>
        <w:instrText xml:space="preserve"> HYPERLINK \l "_Toc12292" </w:instrText>
      </w:r>
      <w:r>
        <w:fldChar w:fldCharType="separate"/>
      </w:r>
      <w:r>
        <w:rPr>
          <w:rFonts w:eastAsia="仿宋"/>
          <w:bCs/>
          <w:szCs w:val="28"/>
        </w:rPr>
        <w:t xml:space="preserve">1.4 </w:t>
      </w:r>
      <w:r>
        <w:rPr>
          <w:rFonts w:hint="eastAsia"/>
        </w:rPr>
        <w:t>工作原则</w:t>
      </w:r>
      <w:r>
        <w:tab/>
      </w:r>
      <w:r>
        <w:fldChar w:fldCharType="begin"/>
      </w:r>
      <w:r>
        <w:instrText xml:space="preserve"> PAGEREF _Toc12292 \h </w:instrText>
      </w:r>
      <w:r>
        <w:fldChar w:fldCharType="separate"/>
      </w:r>
      <w:r>
        <w:t>4</w:t>
      </w:r>
      <w:r>
        <w:fldChar w:fldCharType="end"/>
      </w:r>
      <w:r>
        <w:fldChar w:fldCharType="end"/>
      </w:r>
    </w:p>
    <w:p w14:paraId="5A9F4A00">
      <w:pPr>
        <w:pStyle w:val="19"/>
        <w:tabs>
          <w:tab w:val="right" w:leader="dot" w:pos="8845"/>
        </w:tabs>
        <w:ind w:firstLine="640"/>
      </w:pPr>
      <w:r>
        <w:fldChar w:fldCharType="begin"/>
      </w:r>
      <w:r>
        <w:instrText xml:space="preserve"> HYPERLINK \l "_Toc2941" </w:instrText>
      </w:r>
      <w:r>
        <w:fldChar w:fldCharType="separate"/>
      </w:r>
      <w:r>
        <w:rPr>
          <w:rFonts w:eastAsia="仿宋"/>
          <w:bCs/>
          <w:szCs w:val="28"/>
        </w:rPr>
        <w:t xml:space="preserve">1.5 </w:t>
      </w:r>
      <w:r>
        <w:rPr>
          <w:rFonts w:hint="eastAsia"/>
        </w:rPr>
        <w:t>事件分级</w:t>
      </w:r>
      <w:r>
        <w:tab/>
      </w:r>
      <w:r>
        <w:fldChar w:fldCharType="begin"/>
      </w:r>
      <w:r>
        <w:instrText xml:space="preserve"> PAGEREF _Toc2941 \h </w:instrText>
      </w:r>
      <w:r>
        <w:fldChar w:fldCharType="separate"/>
      </w:r>
      <w:r>
        <w:t>5</w:t>
      </w:r>
      <w:r>
        <w:fldChar w:fldCharType="end"/>
      </w:r>
      <w:r>
        <w:fldChar w:fldCharType="end"/>
      </w:r>
    </w:p>
    <w:p w14:paraId="58675475">
      <w:pPr>
        <w:pStyle w:val="18"/>
      </w:pPr>
      <w:r>
        <w:fldChar w:fldCharType="begin"/>
      </w:r>
      <w:r>
        <w:instrText xml:space="preserve"> HYPERLINK \l "_Toc10837" </w:instrText>
      </w:r>
      <w:r>
        <w:fldChar w:fldCharType="separate"/>
      </w:r>
      <w:r>
        <w:rPr>
          <w:rFonts w:eastAsia="仿宋"/>
        </w:rPr>
        <w:t xml:space="preserve">2 </w:t>
      </w:r>
      <w:r>
        <w:rPr>
          <w:rFonts w:hint="eastAsia"/>
        </w:rPr>
        <w:t>组织指挥体系及职责</w:t>
      </w:r>
      <w:r>
        <w:tab/>
      </w:r>
      <w:r>
        <w:fldChar w:fldCharType="begin"/>
      </w:r>
      <w:r>
        <w:instrText xml:space="preserve"> PAGEREF _Toc10837 \h </w:instrText>
      </w:r>
      <w:r>
        <w:fldChar w:fldCharType="separate"/>
      </w:r>
      <w:r>
        <w:t>8</w:t>
      </w:r>
      <w:r>
        <w:fldChar w:fldCharType="end"/>
      </w:r>
      <w:r>
        <w:fldChar w:fldCharType="end"/>
      </w:r>
    </w:p>
    <w:p w14:paraId="5A87D348">
      <w:pPr>
        <w:pStyle w:val="19"/>
        <w:tabs>
          <w:tab w:val="right" w:leader="dot" w:pos="8845"/>
        </w:tabs>
        <w:ind w:firstLine="640"/>
      </w:pPr>
      <w:r>
        <w:fldChar w:fldCharType="begin"/>
      </w:r>
      <w:r>
        <w:instrText xml:space="preserve"> HYPERLINK \l "_Toc8885" </w:instrText>
      </w:r>
      <w:r>
        <w:fldChar w:fldCharType="separate"/>
      </w:r>
      <w:r>
        <w:rPr>
          <w:rFonts w:eastAsia="仿宋"/>
          <w:bCs/>
          <w:szCs w:val="28"/>
        </w:rPr>
        <w:t xml:space="preserve">2.1 </w:t>
      </w:r>
      <w:r>
        <w:rPr>
          <w:rFonts w:hint="eastAsia"/>
        </w:rPr>
        <w:t>县指挥部组成及职责</w:t>
      </w:r>
      <w:r>
        <w:tab/>
      </w:r>
      <w:r>
        <w:fldChar w:fldCharType="begin"/>
      </w:r>
      <w:r>
        <w:instrText xml:space="preserve"> PAGEREF _Toc8885 \h </w:instrText>
      </w:r>
      <w:r>
        <w:fldChar w:fldCharType="separate"/>
      </w:r>
      <w:r>
        <w:t>8</w:t>
      </w:r>
      <w:r>
        <w:fldChar w:fldCharType="end"/>
      </w:r>
      <w:r>
        <w:fldChar w:fldCharType="end"/>
      </w:r>
    </w:p>
    <w:p w14:paraId="1314215F">
      <w:pPr>
        <w:pStyle w:val="19"/>
        <w:tabs>
          <w:tab w:val="right" w:leader="dot" w:pos="8845"/>
        </w:tabs>
        <w:ind w:firstLine="640"/>
      </w:pPr>
      <w:r>
        <w:fldChar w:fldCharType="begin"/>
      </w:r>
      <w:r>
        <w:instrText xml:space="preserve"> HYPERLINK \l "_Toc16587" </w:instrText>
      </w:r>
      <w:r>
        <w:fldChar w:fldCharType="separate"/>
      </w:r>
      <w:r>
        <w:rPr>
          <w:rFonts w:eastAsia="仿宋"/>
          <w:bCs/>
          <w:szCs w:val="28"/>
        </w:rPr>
        <w:t xml:space="preserve">2.2 </w:t>
      </w:r>
      <w:r>
        <w:rPr>
          <w:rFonts w:hint="eastAsia"/>
        </w:rPr>
        <w:t>现场指挥部</w:t>
      </w:r>
      <w:r>
        <w:tab/>
      </w:r>
      <w:r>
        <w:fldChar w:fldCharType="begin"/>
      </w:r>
      <w:r>
        <w:instrText xml:space="preserve"> PAGEREF _Toc16587 \h </w:instrText>
      </w:r>
      <w:r>
        <w:fldChar w:fldCharType="separate"/>
      </w:r>
      <w:r>
        <w:t>13</w:t>
      </w:r>
      <w:r>
        <w:fldChar w:fldCharType="end"/>
      </w:r>
      <w:r>
        <w:fldChar w:fldCharType="end"/>
      </w:r>
    </w:p>
    <w:p w14:paraId="6E3194C4">
      <w:pPr>
        <w:pStyle w:val="19"/>
        <w:tabs>
          <w:tab w:val="right" w:leader="dot" w:pos="8845"/>
        </w:tabs>
        <w:ind w:firstLine="640"/>
      </w:pPr>
      <w:r>
        <w:fldChar w:fldCharType="begin"/>
      </w:r>
      <w:r>
        <w:instrText xml:space="preserve"> HYPERLINK \l "_Toc32535" </w:instrText>
      </w:r>
      <w:r>
        <w:fldChar w:fldCharType="separate"/>
      </w:r>
      <w:r>
        <w:rPr>
          <w:rFonts w:eastAsia="仿宋"/>
          <w:bCs/>
          <w:szCs w:val="28"/>
        </w:rPr>
        <w:t xml:space="preserve">2.3 </w:t>
      </w:r>
      <w:r>
        <w:rPr>
          <w:rFonts w:hint="eastAsia"/>
        </w:rPr>
        <w:t>专家技术组</w:t>
      </w:r>
      <w:r>
        <w:tab/>
      </w:r>
      <w:r>
        <w:fldChar w:fldCharType="begin"/>
      </w:r>
      <w:r>
        <w:instrText xml:space="preserve"> PAGEREF _Toc32535 \h </w:instrText>
      </w:r>
      <w:r>
        <w:fldChar w:fldCharType="separate"/>
      </w:r>
      <w:r>
        <w:t>16</w:t>
      </w:r>
      <w:r>
        <w:fldChar w:fldCharType="end"/>
      </w:r>
      <w:r>
        <w:fldChar w:fldCharType="end"/>
      </w:r>
    </w:p>
    <w:p w14:paraId="3D013F20">
      <w:pPr>
        <w:pStyle w:val="19"/>
        <w:tabs>
          <w:tab w:val="right" w:leader="dot" w:pos="8845"/>
        </w:tabs>
        <w:ind w:firstLine="640"/>
      </w:pPr>
      <w:r>
        <w:fldChar w:fldCharType="begin"/>
      </w:r>
      <w:r>
        <w:instrText xml:space="preserve"> HYPERLINK \l "_Toc12280" </w:instrText>
      </w:r>
      <w:r>
        <w:fldChar w:fldCharType="separate"/>
      </w:r>
      <w:r>
        <w:rPr>
          <w:rFonts w:eastAsia="仿宋"/>
          <w:bCs/>
          <w:szCs w:val="28"/>
        </w:rPr>
        <w:t xml:space="preserve">2.4 </w:t>
      </w:r>
      <w:r>
        <w:rPr>
          <w:rFonts w:hint="eastAsia"/>
        </w:rPr>
        <w:t>乡镇应急指挥机构</w:t>
      </w:r>
      <w:r>
        <w:tab/>
      </w:r>
      <w:r>
        <w:fldChar w:fldCharType="begin"/>
      </w:r>
      <w:r>
        <w:instrText xml:space="preserve"> PAGEREF _Toc12280 \h </w:instrText>
      </w:r>
      <w:r>
        <w:fldChar w:fldCharType="separate"/>
      </w:r>
      <w:r>
        <w:t>16</w:t>
      </w:r>
      <w:r>
        <w:fldChar w:fldCharType="end"/>
      </w:r>
      <w:r>
        <w:fldChar w:fldCharType="end"/>
      </w:r>
    </w:p>
    <w:p w14:paraId="6604BDAE">
      <w:pPr>
        <w:pStyle w:val="19"/>
        <w:tabs>
          <w:tab w:val="right" w:leader="dot" w:pos="8845"/>
        </w:tabs>
        <w:ind w:firstLine="640"/>
      </w:pPr>
      <w:r>
        <w:fldChar w:fldCharType="begin"/>
      </w:r>
      <w:r>
        <w:instrText xml:space="preserve"> HYPERLINK \l "_Toc31162" </w:instrText>
      </w:r>
      <w:r>
        <w:fldChar w:fldCharType="separate"/>
      </w:r>
      <w:r>
        <w:rPr>
          <w:rFonts w:eastAsia="仿宋"/>
          <w:bCs/>
          <w:szCs w:val="28"/>
        </w:rPr>
        <w:t xml:space="preserve">2.5 </w:t>
      </w:r>
      <w:r>
        <w:rPr>
          <w:rFonts w:hint="eastAsia"/>
        </w:rPr>
        <w:t>专业技术机构</w:t>
      </w:r>
      <w:r>
        <w:tab/>
      </w:r>
      <w:r>
        <w:fldChar w:fldCharType="begin"/>
      </w:r>
      <w:r>
        <w:instrText xml:space="preserve"> PAGEREF _Toc31162 \h </w:instrText>
      </w:r>
      <w:r>
        <w:fldChar w:fldCharType="separate"/>
      </w:r>
      <w:r>
        <w:t>17</w:t>
      </w:r>
      <w:r>
        <w:fldChar w:fldCharType="end"/>
      </w:r>
      <w:r>
        <w:fldChar w:fldCharType="end"/>
      </w:r>
    </w:p>
    <w:p w14:paraId="1BF09062">
      <w:pPr>
        <w:pStyle w:val="18"/>
      </w:pPr>
      <w:r>
        <w:fldChar w:fldCharType="begin"/>
      </w:r>
      <w:r>
        <w:instrText xml:space="preserve"> HYPERLINK \l "_Toc26681" </w:instrText>
      </w:r>
      <w:r>
        <w:fldChar w:fldCharType="separate"/>
      </w:r>
      <w:r>
        <w:rPr>
          <w:rFonts w:eastAsia="仿宋"/>
        </w:rPr>
        <w:t xml:space="preserve">3 </w:t>
      </w:r>
      <w:r>
        <w:rPr>
          <w:rFonts w:hint="eastAsia"/>
        </w:rPr>
        <w:t>预防和预警机制</w:t>
      </w:r>
      <w:r>
        <w:tab/>
      </w:r>
      <w:r>
        <w:fldChar w:fldCharType="begin"/>
      </w:r>
      <w:r>
        <w:instrText xml:space="preserve"> PAGEREF _Toc26681 \h </w:instrText>
      </w:r>
      <w:r>
        <w:fldChar w:fldCharType="separate"/>
      </w:r>
      <w:r>
        <w:t>17</w:t>
      </w:r>
      <w:r>
        <w:fldChar w:fldCharType="end"/>
      </w:r>
      <w:r>
        <w:fldChar w:fldCharType="end"/>
      </w:r>
    </w:p>
    <w:p w14:paraId="09FC48C7">
      <w:pPr>
        <w:pStyle w:val="19"/>
        <w:tabs>
          <w:tab w:val="right" w:leader="dot" w:pos="8845"/>
        </w:tabs>
        <w:ind w:firstLine="640"/>
      </w:pPr>
      <w:r>
        <w:fldChar w:fldCharType="begin"/>
      </w:r>
      <w:r>
        <w:instrText xml:space="preserve"> HYPERLINK \l "_Toc22171" </w:instrText>
      </w:r>
      <w:r>
        <w:fldChar w:fldCharType="separate"/>
      </w:r>
      <w:r>
        <w:rPr>
          <w:rFonts w:eastAsia="仿宋"/>
          <w:bCs/>
          <w:szCs w:val="28"/>
        </w:rPr>
        <w:t xml:space="preserve">3.1 </w:t>
      </w:r>
      <w:r>
        <w:rPr>
          <w:rFonts w:hint="eastAsia"/>
        </w:rPr>
        <w:t>事件监测</w:t>
      </w:r>
      <w:r>
        <w:tab/>
      </w:r>
      <w:r>
        <w:fldChar w:fldCharType="begin"/>
      </w:r>
      <w:r>
        <w:instrText xml:space="preserve"> PAGEREF _Toc22171 \h </w:instrText>
      </w:r>
      <w:r>
        <w:fldChar w:fldCharType="separate"/>
      </w:r>
      <w:r>
        <w:t>17</w:t>
      </w:r>
      <w:r>
        <w:fldChar w:fldCharType="end"/>
      </w:r>
      <w:r>
        <w:fldChar w:fldCharType="end"/>
      </w:r>
    </w:p>
    <w:p w14:paraId="47BE09AB">
      <w:pPr>
        <w:pStyle w:val="19"/>
        <w:tabs>
          <w:tab w:val="right" w:leader="dot" w:pos="8845"/>
        </w:tabs>
        <w:ind w:firstLine="640"/>
      </w:pPr>
      <w:r>
        <w:fldChar w:fldCharType="begin"/>
      </w:r>
      <w:r>
        <w:instrText xml:space="preserve"> HYPERLINK \l "_Toc17989" </w:instrText>
      </w:r>
      <w:r>
        <w:fldChar w:fldCharType="separate"/>
      </w:r>
      <w:r>
        <w:rPr>
          <w:rFonts w:eastAsia="仿宋"/>
          <w:bCs/>
          <w:szCs w:val="28"/>
        </w:rPr>
        <w:t xml:space="preserve">3.2 </w:t>
      </w:r>
      <w:r>
        <w:rPr>
          <w:rFonts w:hint="eastAsia"/>
        </w:rPr>
        <w:t>风险评估</w:t>
      </w:r>
      <w:r>
        <w:tab/>
      </w:r>
      <w:r>
        <w:fldChar w:fldCharType="begin"/>
      </w:r>
      <w:r>
        <w:instrText xml:space="preserve"> PAGEREF _Toc17989 \h </w:instrText>
      </w:r>
      <w:r>
        <w:fldChar w:fldCharType="separate"/>
      </w:r>
      <w:r>
        <w:t>18</w:t>
      </w:r>
      <w:r>
        <w:fldChar w:fldCharType="end"/>
      </w:r>
      <w:r>
        <w:fldChar w:fldCharType="end"/>
      </w:r>
    </w:p>
    <w:p w14:paraId="09874662">
      <w:pPr>
        <w:pStyle w:val="19"/>
        <w:tabs>
          <w:tab w:val="right" w:leader="dot" w:pos="8845"/>
        </w:tabs>
        <w:ind w:firstLine="640"/>
      </w:pPr>
      <w:r>
        <w:fldChar w:fldCharType="begin"/>
      </w:r>
      <w:r>
        <w:instrText xml:space="preserve"> HYPERLINK \l "_Toc19843" </w:instrText>
      </w:r>
      <w:r>
        <w:fldChar w:fldCharType="separate"/>
      </w:r>
      <w:r>
        <w:rPr>
          <w:rFonts w:eastAsia="仿宋"/>
          <w:bCs/>
          <w:szCs w:val="28"/>
        </w:rPr>
        <w:t xml:space="preserve">3.3 </w:t>
      </w:r>
      <w:r>
        <w:rPr>
          <w:rFonts w:hint="eastAsia"/>
        </w:rPr>
        <w:t>预警发布</w:t>
      </w:r>
      <w:r>
        <w:tab/>
      </w:r>
      <w:r>
        <w:fldChar w:fldCharType="begin"/>
      </w:r>
      <w:r>
        <w:instrText xml:space="preserve"> PAGEREF _Toc19843 \h </w:instrText>
      </w:r>
      <w:r>
        <w:fldChar w:fldCharType="separate"/>
      </w:r>
      <w:r>
        <w:t>18</w:t>
      </w:r>
      <w:r>
        <w:fldChar w:fldCharType="end"/>
      </w:r>
      <w:r>
        <w:fldChar w:fldCharType="end"/>
      </w:r>
    </w:p>
    <w:p w14:paraId="15A0B5BB">
      <w:pPr>
        <w:pStyle w:val="19"/>
        <w:tabs>
          <w:tab w:val="right" w:leader="dot" w:pos="8845"/>
        </w:tabs>
        <w:ind w:firstLine="640"/>
      </w:pPr>
      <w:r>
        <w:fldChar w:fldCharType="begin"/>
      </w:r>
      <w:r>
        <w:instrText xml:space="preserve"> HYPERLINK \l "_Toc24842" </w:instrText>
      </w:r>
      <w:r>
        <w:fldChar w:fldCharType="separate"/>
      </w:r>
      <w:r>
        <w:rPr>
          <w:rFonts w:eastAsia="仿宋"/>
          <w:bCs/>
          <w:szCs w:val="28"/>
        </w:rPr>
        <w:t xml:space="preserve">3.4 </w:t>
      </w:r>
      <w:r>
        <w:rPr>
          <w:rFonts w:hint="eastAsia"/>
        </w:rPr>
        <w:t>预警行动</w:t>
      </w:r>
      <w:r>
        <w:tab/>
      </w:r>
      <w:r>
        <w:fldChar w:fldCharType="begin"/>
      </w:r>
      <w:r>
        <w:instrText xml:space="preserve"> PAGEREF _Toc24842 \h </w:instrText>
      </w:r>
      <w:r>
        <w:fldChar w:fldCharType="separate"/>
      </w:r>
      <w:r>
        <w:t>19</w:t>
      </w:r>
      <w:r>
        <w:fldChar w:fldCharType="end"/>
      </w:r>
      <w:r>
        <w:fldChar w:fldCharType="end"/>
      </w:r>
    </w:p>
    <w:p w14:paraId="5FF335DA">
      <w:pPr>
        <w:pStyle w:val="19"/>
        <w:tabs>
          <w:tab w:val="right" w:leader="dot" w:pos="8845"/>
        </w:tabs>
        <w:ind w:firstLine="640"/>
      </w:pPr>
      <w:r>
        <w:fldChar w:fldCharType="begin"/>
      </w:r>
      <w:r>
        <w:instrText xml:space="preserve"> HYPERLINK \l "_Toc26336" </w:instrText>
      </w:r>
      <w:r>
        <w:fldChar w:fldCharType="separate"/>
      </w:r>
      <w:r>
        <w:rPr>
          <w:rFonts w:eastAsia="仿宋"/>
          <w:bCs/>
          <w:szCs w:val="28"/>
        </w:rPr>
        <w:t xml:space="preserve">3.5 </w:t>
      </w:r>
      <w:r>
        <w:rPr>
          <w:rFonts w:hint="eastAsia"/>
        </w:rPr>
        <w:t>预警解除</w:t>
      </w:r>
      <w:r>
        <w:tab/>
      </w:r>
      <w:r>
        <w:fldChar w:fldCharType="begin"/>
      </w:r>
      <w:r>
        <w:instrText xml:space="preserve"> PAGEREF _Toc26336 \h </w:instrText>
      </w:r>
      <w:r>
        <w:fldChar w:fldCharType="separate"/>
      </w:r>
      <w:r>
        <w:t>20</w:t>
      </w:r>
      <w:r>
        <w:fldChar w:fldCharType="end"/>
      </w:r>
      <w:r>
        <w:fldChar w:fldCharType="end"/>
      </w:r>
    </w:p>
    <w:p w14:paraId="071778E1">
      <w:pPr>
        <w:pStyle w:val="18"/>
      </w:pPr>
      <w:r>
        <w:fldChar w:fldCharType="begin"/>
      </w:r>
      <w:r>
        <w:instrText xml:space="preserve"> HYPERLINK \l "_Toc8075" </w:instrText>
      </w:r>
      <w:r>
        <w:fldChar w:fldCharType="separate"/>
      </w:r>
      <w:r>
        <w:rPr>
          <w:rFonts w:eastAsia="仿宋"/>
        </w:rPr>
        <w:t xml:space="preserve">4 </w:t>
      </w:r>
      <w:r>
        <w:rPr>
          <w:rFonts w:hint="eastAsia"/>
        </w:rPr>
        <w:t>信息报告、通报和发布</w:t>
      </w:r>
      <w:r>
        <w:tab/>
      </w:r>
      <w:r>
        <w:fldChar w:fldCharType="begin"/>
      </w:r>
      <w:r>
        <w:instrText xml:space="preserve"> PAGEREF _Toc8075 \h </w:instrText>
      </w:r>
      <w:r>
        <w:fldChar w:fldCharType="separate"/>
      </w:r>
      <w:r>
        <w:t>20</w:t>
      </w:r>
      <w:r>
        <w:fldChar w:fldCharType="end"/>
      </w:r>
      <w:r>
        <w:fldChar w:fldCharType="end"/>
      </w:r>
    </w:p>
    <w:p w14:paraId="7827E8E8">
      <w:pPr>
        <w:pStyle w:val="19"/>
        <w:tabs>
          <w:tab w:val="right" w:leader="dot" w:pos="8845"/>
        </w:tabs>
        <w:ind w:firstLine="640"/>
      </w:pPr>
      <w:r>
        <w:fldChar w:fldCharType="begin"/>
      </w:r>
      <w:r>
        <w:instrText xml:space="preserve"> HYPERLINK \l "_Toc13494" </w:instrText>
      </w:r>
      <w:r>
        <w:fldChar w:fldCharType="separate"/>
      </w:r>
      <w:r>
        <w:rPr>
          <w:rFonts w:eastAsia="仿宋"/>
          <w:bCs/>
          <w:szCs w:val="28"/>
        </w:rPr>
        <w:t xml:space="preserve">4.1 </w:t>
      </w:r>
      <w:r>
        <w:rPr>
          <w:rFonts w:hint="eastAsia"/>
        </w:rPr>
        <w:t>信息报告</w:t>
      </w:r>
      <w:r>
        <w:tab/>
      </w:r>
      <w:r>
        <w:fldChar w:fldCharType="begin"/>
      </w:r>
      <w:r>
        <w:instrText xml:space="preserve"> PAGEREF _Toc13494 \h </w:instrText>
      </w:r>
      <w:r>
        <w:fldChar w:fldCharType="separate"/>
      </w:r>
      <w:r>
        <w:t>20</w:t>
      </w:r>
      <w:r>
        <w:fldChar w:fldCharType="end"/>
      </w:r>
      <w:r>
        <w:fldChar w:fldCharType="end"/>
      </w:r>
    </w:p>
    <w:p w14:paraId="0EC2F520">
      <w:pPr>
        <w:pStyle w:val="19"/>
        <w:tabs>
          <w:tab w:val="right" w:leader="dot" w:pos="8845"/>
        </w:tabs>
        <w:ind w:firstLine="640"/>
      </w:pPr>
      <w:r>
        <w:fldChar w:fldCharType="begin"/>
      </w:r>
      <w:r>
        <w:instrText xml:space="preserve"> HYPERLINK \l "_Toc7840" </w:instrText>
      </w:r>
      <w:r>
        <w:fldChar w:fldCharType="separate"/>
      </w:r>
      <w:r>
        <w:rPr>
          <w:rFonts w:eastAsia="仿宋"/>
          <w:bCs/>
          <w:szCs w:val="28"/>
        </w:rPr>
        <w:t xml:space="preserve">4.2 </w:t>
      </w:r>
      <w:r>
        <w:rPr>
          <w:rFonts w:hint="eastAsia"/>
        </w:rPr>
        <w:t>信息通报</w:t>
      </w:r>
      <w:r>
        <w:tab/>
      </w:r>
      <w:r>
        <w:fldChar w:fldCharType="begin"/>
      </w:r>
      <w:r>
        <w:instrText xml:space="preserve"> PAGEREF _Toc7840 \h </w:instrText>
      </w:r>
      <w:r>
        <w:fldChar w:fldCharType="separate"/>
      </w:r>
      <w:r>
        <w:t>22</w:t>
      </w:r>
      <w:r>
        <w:fldChar w:fldCharType="end"/>
      </w:r>
      <w:r>
        <w:fldChar w:fldCharType="end"/>
      </w:r>
    </w:p>
    <w:p w14:paraId="42426977">
      <w:pPr>
        <w:pStyle w:val="19"/>
        <w:tabs>
          <w:tab w:val="right" w:leader="dot" w:pos="8845"/>
        </w:tabs>
        <w:ind w:firstLine="640"/>
      </w:pPr>
      <w:r>
        <w:fldChar w:fldCharType="begin"/>
      </w:r>
      <w:r>
        <w:instrText xml:space="preserve"> HYPERLINK \l "_Toc28630" </w:instrText>
      </w:r>
      <w:r>
        <w:fldChar w:fldCharType="separate"/>
      </w:r>
      <w:r>
        <w:rPr>
          <w:rFonts w:eastAsia="仿宋"/>
          <w:bCs/>
          <w:szCs w:val="28"/>
        </w:rPr>
        <w:t xml:space="preserve">4.3 </w:t>
      </w:r>
      <w:r>
        <w:rPr>
          <w:rFonts w:hint="eastAsia"/>
        </w:rPr>
        <w:t>信息发布</w:t>
      </w:r>
      <w:r>
        <w:tab/>
      </w:r>
      <w:r>
        <w:fldChar w:fldCharType="begin"/>
      </w:r>
      <w:r>
        <w:instrText xml:space="preserve"> PAGEREF _Toc28630 \h </w:instrText>
      </w:r>
      <w:r>
        <w:fldChar w:fldCharType="separate"/>
      </w:r>
      <w:r>
        <w:t>23</w:t>
      </w:r>
      <w:r>
        <w:fldChar w:fldCharType="end"/>
      </w:r>
      <w:r>
        <w:fldChar w:fldCharType="end"/>
      </w:r>
    </w:p>
    <w:p w14:paraId="53E370DB">
      <w:pPr>
        <w:pStyle w:val="18"/>
      </w:pPr>
      <w:r>
        <w:fldChar w:fldCharType="begin"/>
      </w:r>
      <w:r>
        <w:instrText xml:space="preserve"> HYPERLINK \l "_Toc28100" </w:instrText>
      </w:r>
      <w:r>
        <w:fldChar w:fldCharType="separate"/>
      </w:r>
      <w:r>
        <w:rPr>
          <w:rFonts w:eastAsia="仿宋"/>
        </w:rPr>
        <w:t xml:space="preserve">5 </w:t>
      </w:r>
      <w:r>
        <w:rPr>
          <w:rFonts w:hint="eastAsia"/>
        </w:rPr>
        <w:t>应急响应</w:t>
      </w:r>
      <w:r>
        <w:tab/>
      </w:r>
      <w:r>
        <w:fldChar w:fldCharType="begin"/>
      </w:r>
      <w:r>
        <w:instrText xml:space="preserve"> PAGEREF _Toc28100 \h </w:instrText>
      </w:r>
      <w:r>
        <w:fldChar w:fldCharType="separate"/>
      </w:r>
      <w:r>
        <w:t>23</w:t>
      </w:r>
      <w:r>
        <w:fldChar w:fldCharType="end"/>
      </w:r>
      <w:r>
        <w:fldChar w:fldCharType="end"/>
      </w:r>
    </w:p>
    <w:p w14:paraId="16771107">
      <w:pPr>
        <w:pStyle w:val="19"/>
        <w:tabs>
          <w:tab w:val="right" w:leader="dot" w:pos="8845"/>
        </w:tabs>
        <w:ind w:firstLine="640"/>
      </w:pPr>
      <w:r>
        <w:fldChar w:fldCharType="begin"/>
      </w:r>
      <w:r>
        <w:instrText xml:space="preserve"> HYPERLINK \l "_Toc1014" </w:instrText>
      </w:r>
      <w:r>
        <w:fldChar w:fldCharType="separate"/>
      </w:r>
      <w:r>
        <w:rPr>
          <w:rFonts w:eastAsia="仿宋"/>
          <w:bCs/>
          <w:szCs w:val="28"/>
        </w:rPr>
        <w:t xml:space="preserve">5.1 </w:t>
      </w:r>
      <w:r>
        <w:rPr>
          <w:rFonts w:hint="eastAsia"/>
        </w:rPr>
        <w:t>先期处置</w:t>
      </w:r>
      <w:r>
        <w:tab/>
      </w:r>
      <w:r>
        <w:fldChar w:fldCharType="begin"/>
      </w:r>
      <w:r>
        <w:instrText xml:space="preserve"> PAGEREF _Toc1014 \h </w:instrText>
      </w:r>
      <w:r>
        <w:fldChar w:fldCharType="separate"/>
      </w:r>
      <w:r>
        <w:t>23</w:t>
      </w:r>
      <w:r>
        <w:fldChar w:fldCharType="end"/>
      </w:r>
      <w:r>
        <w:fldChar w:fldCharType="end"/>
      </w:r>
    </w:p>
    <w:p w14:paraId="2309C4F5">
      <w:pPr>
        <w:pStyle w:val="19"/>
        <w:tabs>
          <w:tab w:val="right" w:leader="dot" w:pos="8845"/>
        </w:tabs>
        <w:ind w:firstLine="640"/>
      </w:pPr>
      <w:r>
        <w:fldChar w:fldCharType="begin"/>
      </w:r>
      <w:r>
        <w:instrText xml:space="preserve"> HYPERLINK \l "_Toc9053" </w:instrText>
      </w:r>
      <w:r>
        <w:fldChar w:fldCharType="separate"/>
      </w:r>
      <w:r>
        <w:rPr>
          <w:rFonts w:eastAsia="仿宋"/>
          <w:bCs/>
          <w:szCs w:val="28"/>
        </w:rPr>
        <w:t xml:space="preserve">5.2 </w:t>
      </w:r>
      <w:r>
        <w:rPr>
          <w:rFonts w:hint="eastAsia"/>
        </w:rPr>
        <w:t>分级响应</w:t>
      </w:r>
      <w:r>
        <w:tab/>
      </w:r>
      <w:r>
        <w:fldChar w:fldCharType="begin"/>
      </w:r>
      <w:r>
        <w:instrText xml:space="preserve"> PAGEREF _Toc9053 \h </w:instrText>
      </w:r>
      <w:r>
        <w:fldChar w:fldCharType="separate"/>
      </w:r>
      <w:r>
        <w:t>23</w:t>
      </w:r>
      <w:r>
        <w:fldChar w:fldCharType="end"/>
      </w:r>
      <w:r>
        <w:fldChar w:fldCharType="end"/>
      </w:r>
    </w:p>
    <w:p w14:paraId="2E235A93">
      <w:pPr>
        <w:pStyle w:val="19"/>
        <w:tabs>
          <w:tab w:val="right" w:leader="dot" w:pos="8845"/>
        </w:tabs>
        <w:ind w:firstLine="640"/>
      </w:pPr>
      <w:r>
        <w:fldChar w:fldCharType="begin"/>
      </w:r>
      <w:r>
        <w:instrText xml:space="preserve"> HYPERLINK \l "_Toc10593" </w:instrText>
      </w:r>
      <w:r>
        <w:fldChar w:fldCharType="separate"/>
      </w:r>
      <w:r>
        <w:rPr>
          <w:rFonts w:eastAsia="仿宋"/>
          <w:bCs/>
          <w:szCs w:val="28"/>
        </w:rPr>
        <w:t xml:space="preserve">5.3 </w:t>
      </w:r>
      <w:r>
        <w:rPr>
          <w:rFonts w:hint="eastAsia"/>
        </w:rPr>
        <w:t>应急联动机制</w:t>
      </w:r>
      <w:r>
        <w:tab/>
      </w:r>
      <w:r>
        <w:fldChar w:fldCharType="begin"/>
      </w:r>
      <w:r>
        <w:instrText xml:space="preserve"> PAGEREF _Toc10593 \h </w:instrText>
      </w:r>
      <w:r>
        <w:fldChar w:fldCharType="separate"/>
      </w:r>
      <w:r>
        <w:t>33</w:t>
      </w:r>
      <w:r>
        <w:fldChar w:fldCharType="end"/>
      </w:r>
      <w:r>
        <w:fldChar w:fldCharType="end"/>
      </w:r>
    </w:p>
    <w:p w14:paraId="422E8A69">
      <w:pPr>
        <w:pStyle w:val="19"/>
        <w:tabs>
          <w:tab w:val="right" w:leader="dot" w:pos="8845"/>
        </w:tabs>
        <w:ind w:firstLine="640"/>
      </w:pPr>
      <w:r>
        <w:fldChar w:fldCharType="begin"/>
      </w:r>
      <w:r>
        <w:instrText xml:space="preserve"> HYPERLINK \l "_Toc3096" </w:instrText>
      </w:r>
      <w:r>
        <w:fldChar w:fldCharType="separate"/>
      </w:r>
      <w:r>
        <w:rPr>
          <w:rFonts w:eastAsia="仿宋"/>
          <w:bCs/>
          <w:szCs w:val="28"/>
        </w:rPr>
        <w:t xml:space="preserve">5.4 </w:t>
      </w:r>
      <w:r>
        <w:rPr>
          <w:rFonts w:hint="eastAsia"/>
        </w:rPr>
        <w:t>响应终止</w:t>
      </w:r>
      <w:r>
        <w:tab/>
      </w:r>
      <w:r>
        <w:fldChar w:fldCharType="begin"/>
      </w:r>
      <w:r>
        <w:instrText xml:space="preserve"> PAGEREF _Toc3096 \h </w:instrText>
      </w:r>
      <w:r>
        <w:fldChar w:fldCharType="separate"/>
      </w:r>
      <w:r>
        <w:t>33</w:t>
      </w:r>
      <w:r>
        <w:fldChar w:fldCharType="end"/>
      </w:r>
      <w:r>
        <w:fldChar w:fldCharType="end"/>
      </w:r>
    </w:p>
    <w:p w14:paraId="737D01C4">
      <w:pPr>
        <w:pStyle w:val="18"/>
      </w:pPr>
      <w:r>
        <w:fldChar w:fldCharType="begin"/>
      </w:r>
      <w:r>
        <w:instrText xml:space="preserve"> HYPERLINK \l "_Toc24922" </w:instrText>
      </w:r>
      <w:r>
        <w:fldChar w:fldCharType="separate"/>
      </w:r>
      <w:r>
        <w:rPr>
          <w:rFonts w:eastAsia="仿宋"/>
        </w:rPr>
        <w:t xml:space="preserve">6 </w:t>
      </w:r>
      <w:r>
        <w:rPr>
          <w:rFonts w:hint="eastAsia"/>
        </w:rPr>
        <w:t>后期处置</w:t>
      </w:r>
      <w:r>
        <w:tab/>
      </w:r>
      <w:r>
        <w:fldChar w:fldCharType="begin"/>
      </w:r>
      <w:r>
        <w:instrText xml:space="preserve"> PAGEREF _Toc24922 \h </w:instrText>
      </w:r>
      <w:r>
        <w:fldChar w:fldCharType="separate"/>
      </w:r>
      <w:r>
        <w:t>33</w:t>
      </w:r>
      <w:r>
        <w:fldChar w:fldCharType="end"/>
      </w:r>
      <w:r>
        <w:fldChar w:fldCharType="end"/>
      </w:r>
    </w:p>
    <w:p w14:paraId="448F2AFF">
      <w:pPr>
        <w:pStyle w:val="19"/>
        <w:tabs>
          <w:tab w:val="right" w:leader="dot" w:pos="8845"/>
        </w:tabs>
        <w:ind w:firstLine="640"/>
      </w:pPr>
      <w:r>
        <w:fldChar w:fldCharType="begin"/>
      </w:r>
      <w:r>
        <w:instrText xml:space="preserve"> HYPERLINK \l "_Toc5713" </w:instrText>
      </w:r>
      <w:r>
        <w:fldChar w:fldCharType="separate"/>
      </w:r>
      <w:r>
        <w:rPr>
          <w:rFonts w:eastAsia="仿宋"/>
          <w:bCs/>
          <w:szCs w:val="28"/>
        </w:rPr>
        <w:t xml:space="preserve">6.1 </w:t>
      </w:r>
      <w:r>
        <w:rPr>
          <w:rFonts w:hint="eastAsia"/>
        </w:rPr>
        <w:t>总结评估</w:t>
      </w:r>
      <w:r>
        <w:tab/>
      </w:r>
      <w:r>
        <w:fldChar w:fldCharType="begin"/>
      </w:r>
      <w:r>
        <w:instrText xml:space="preserve"> PAGEREF _Toc5713 \h </w:instrText>
      </w:r>
      <w:r>
        <w:fldChar w:fldCharType="separate"/>
      </w:r>
      <w:r>
        <w:t>33</w:t>
      </w:r>
      <w:r>
        <w:fldChar w:fldCharType="end"/>
      </w:r>
      <w:r>
        <w:fldChar w:fldCharType="end"/>
      </w:r>
    </w:p>
    <w:p w14:paraId="44F8F0E3">
      <w:pPr>
        <w:pStyle w:val="19"/>
        <w:tabs>
          <w:tab w:val="right" w:leader="dot" w:pos="8845"/>
        </w:tabs>
        <w:ind w:firstLine="640"/>
      </w:pPr>
      <w:r>
        <w:fldChar w:fldCharType="begin"/>
      </w:r>
      <w:r>
        <w:instrText xml:space="preserve"> HYPERLINK \l "_Toc4712" </w:instrText>
      </w:r>
      <w:r>
        <w:fldChar w:fldCharType="separate"/>
      </w:r>
      <w:r>
        <w:rPr>
          <w:rFonts w:eastAsia="仿宋"/>
          <w:bCs/>
          <w:szCs w:val="28"/>
        </w:rPr>
        <w:t xml:space="preserve">6.2 </w:t>
      </w:r>
      <w:r>
        <w:rPr>
          <w:rFonts w:hint="eastAsia"/>
        </w:rPr>
        <w:t>抚恤和补助</w:t>
      </w:r>
      <w:r>
        <w:tab/>
      </w:r>
      <w:r>
        <w:fldChar w:fldCharType="begin"/>
      </w:r>
      <w:r>
        <w:instrText xml:space="preserve"> PAGEREF _Toc4712 \h </w:instrText>
      </w:r>
      <w:r>
        <w:fldChar w:fldCharType="separate"/>
      </w:r>
      <w:r>
        <w:t>33</w:t>
      </w:r>
      <w:r>
        <w:fldChar w:fldCharType="end"/>
      </w:r>
      <w:r>
        <w:fldChar w:fldCharType="end"/>
      </w:r>
    </w:p>
    <w:p w14:paraId="79C6F623">
      <w:pPr>
        <w:pStyle w:val="19"/>
        <w:tabs>
          <w:tab w:val="right" w:leader="dot" w:pos="8845"/>
        </w:tabs>
        <w:ind w:firstLine="640"/>
      </w:pPr>
      <w:r>
        <w:fldChar w:fldCharType="begin"/>
      </w:r>
      <w:r>
        <w:instrText xml:space="preserve"> HYPERLINK \l "_Toc24995" </w:instrText>
      </w:r>
      <w:r>
        <w:fldChar w:fldCharType="separate"/>
      </w:r>
      <w:r>
        <w:rPr>
          <w:rFonts w:eastAsia="仿宋"/>
          <w:bCs/>
          <w:szCs w:val="28"/>
        </w:rPr>
        <w:t xml:space="preserve">6.3 </w:t>
      </w:r>
      <w:r>
        <w:rPr>
          <w:rFonts w:hint="eastAsia"/>
        </w:rPr>
        <w:t>征用补偿</w:t>
      </w:r>
      <w:r>
        <w:tab/>
      </w:r>
      <w:r>
        <w:fldChar w:fldCharType="begin"/>
      </w:r>
      <w:r>
        <w:instrText xml:space="preserve"> PAGEREF _Toc24995 \h </w:instrText>
      </w:r>
      <w:r>
        <w:fldChar w:fldCharType="separate"/>
      </w:r>
      <w:r>
        <w:t>34</w:t>
      </w:r>
      <w:r>
        <w:fldChar w:fldCharType="end"/>
      </w:r>
      <w:r>
        <w:fldChar w:fldCharType="end"/>
      </w:r>
    </w:p>
    <w:p w14:paraId="68EDA60C">
      <w:pPr>
        <w:pStyle w:val="19"/>
        <w:tabs>
          <w:tab w:val="right" w:leader="dot" w:pos="8845"/>
        </w:tabs>
        <w:ind w:firstLine="640"/>
      </w:pPr>
      <w:r>
        <w:fldChar w:fldCharType="begin"/>
      </w:r>
      <w:r>
        <w:instrText xml:space="preserve"> HYPERLINK \l "_Toc11294" </w:instrText>
      </w:r>
      <w:r>
        <w:fldChar w:fldCharType="separate"/>
      </w:r>
      <w:r>
        <w:rPr>
          <w:rFonts w:eastAsia="仿宋"/>
          <w:bCs/>
          <w:szCs w:val="28"/>
        </w:rPr>
        <w:t xml:space="preserve">6.4 </w:t>
      </w:r>
      <w:r>
        <w:rPr>
          <w:rFonts w:hint="eastAsia"/>
        </w:rPr>
        <w:t>奖励与责任</w:t>
      </w:r>
      <w:r>
        <w:tab/>
      </w:r>
      <w:r>
        <w:fldChar w:fldCharType="begin"/>
      </w:r>
      <w:r>
        <w:instrText xml:space="preserve"> PAGEREF _Toc11294 \h </w:instrText>
      </w:r>
      <w:r>
        <w:fldChar w:fldCharType="separate"/>
      </w:r>
      <w:r>
        <w:t>34</w:t>
      </w:r>
      <w:r>
        <w:fldChar w:fldCharType="end"/>
      </w:r>
      <w:r>
        <w:fldChar w:fldCharType="end"/>
      </w:r>
    </w:p>
    <w:p w14:paraId="592B4286">
      <w:pPr>
        <w:pStyle w:val="18"/>
      </w:pPr>
      <w:r>
        <w:fldChar w:fldCharType="begin"/>
      </w:r>
      <w:r>
        <w:instrText xml:space="preserve"> HYPERLINK \l "_Toc23573" </w:instrText>
      </w:r>
      <w:r>
        <w:fldChar w:fldCharType="separate"/>
      </w:r>
      <w:r>
        <w:rPr>
          <w:rFonts w:eastAsia="仿宋"/>
        </w:rPr>
        <w:t xml:space="preserve">7 </w:t>
      </w:r>
      <w:r>
        <w:rPr>
          <w:rFonts w:hint="eastAsia"/>
        </w:rPr>
        <w:t>保障措施</w:t>
      </w:r>
      <w:r>
        <w:tab/>
      </w:r>
      <w:r>
        <w:fldChar w:fldCharType="begin"/>
      </w:r>
      <w:r>
        <w:instrText xml:space="preserve"> PAGEREF _Toc23573 \h </w:instrText>
      </w:r>
      <w:r>
        <w:fldChar w:fldCharType="separate"/>
      </w:r>
      <w:r>
        <w:t>34</w:t>
      </w:r>
      <w:r>
        <w:fldChar w:fldCharType="end"/>
      </w:r>
      <w:r>
        <w:fldChar w:fldCharType="end"/>
      </w:r>
    </w:p>
    <w:p w14:paraId="2E182C54">
      <w:pPr>
        <w:pStyle w:val="19"/>
        <w:tabs>
          <w:tab w:val="right" w:leader="dot" w:pos="8845"/>
        </w:tabs>
        <w:ind w:firstLine="640"/>
      </w:pPr>
      <w:r>
        <w:fldChar w:fldCharType="begin"/>
      </w:r>
      <w:r>
        <w:instrText xml:space="preserve"> HYPERLINK \l "_Toc13865" </w:instrText>
      </w:r>
      <w:r>
        <w:fldChar w:fldCharType="separate"/>
      </w:r>
      <w:r>
        <w:rPr>
          <w:rFonts w:eastAsia="仿宋"/>
          <w:bCs/>
          <w:szCs w:val="28"/>
        </w:rPr>
        <w:t xml:space="preserve">7.1 </w:t>
      </w:r>
      <w:r>
        <w:rPr>
          <w:rFonts w:hint="eastAsia"/>
        </w:rPr>
        <w:t>资金保障</w:t>
      </w:r>
      <w:r>
        <w:tab/>
      </w:r>
      <w:r>
        <w:fldChar w:fldCharType="begin"/>
      </w:r>
      <w:r>
        <w:instrText xml:space="preserve"> PAGEREF _Toc13865 \h </w:instrText>
      </w:r>
      <w:r>
        <w:fldChar w:fldCharType="separate"/>
      </w:r>
      <w:r>
        <w:t>34</w:t>
      </w:r>
      <w:r>
        <w:fldChar w:fldCharType="end"/>
      </w:r>
      <w:r>
        <w:fldChar w:fldCharType="end"/>
      </w:r>
    </w:p>
    <w:p w14:paraId="165FDC60">
      <w:pPr>
        <w:pStyle w:val="19"/>
        <w:tabs>
          <w:tab w:val="right" w:leader="dot" w:pos="8845"/>
        </w:tabs>
        <w:ind w:firstLine="640"/>
      </w:pPr>
      <w:r>
        <w:fldChar w:fldCharType="begin"/>
      </w:r>
      <w:r>
        <w:instrText xml:space="preserve"> HYPERLINK \l "_Toc24952" </w:instrText>
      </w:r>
      <w:r>
        <w:fldChar w:fldCharType="separate"/>
      </w:r>
      <w:r>
        <w:rPr>
          <w:rFonts w:eastAsia="仿宋"/>
          <w:bCs/>
          <w:szCs w:val="28"/>
        </w:rPr>
        <w:t xml:space="preserve">7.2 </w:t>
      </w:r>
      <w:r>
        <w:rPr>
          <w:rFonts w:hint="eastAsia"/>
        </w:rPr>
        <w:t>物资保障</w:t>
      </w:r>
      <w:r>
        <w:tab/>
      </w:r>
      <w:r>
        <w:fldChar w:fldCharType="begin"/>
      </w:r>
      <w:r>
        <w:instrText xml:space="preserve"> PAGEREF _Toc24952 \h </w:instrText>
      </w:r>
      <w:r>
        <w:fldChar w:fldCharType="separate"/>
      </w:r>
      <w:r>
        <w:t>35</w:t>
      </w:r>
      <w:r>
        <w:fldChar w:fldCharType="end"/>
      </w:r>
      <w:r>
        <w:fldChar w:fldCharType="end"/>
      </w:r>
    </w:p>
    <w:p w14:paraId="15B8301A">
      <w:pPr>
        <w:pStyle w:val="19"/>
        <w:tabs>
          <w:tab w:val="right" w:leader="dot" w:pos="8845"/>
        </w:tabs>
        <w:ind w:firstLine="640"/>
      </w:pPr>
      <w:r>
        <w:fldChar w:fldCharType="begin"/>
      </w:r>
      <w:r>
        <w:instrText xml:space="preserve"> HYPERLINK \l "_Toc3225" </w:instrText>
      </w:r>
      <w:r>
        <w:fldChar w:fldCharType="separate"/>
      </w:r>
      <w:r>
        <w:rPr>
          <w:rFonts w:eastAsia="仿宋"/>
          <w:bCs/>
          <w:szCs w:val="28"/>
        </w:rPr>
        <w:t xml:space="preserve">7.3 </w:t>
      </w:r>
      <w:r>
        <w:rPr>
          <w:rFonts w:hint="eastAsia"/>
        </w:rPr>
        <w:t>通信保障</w:t>
      </w:r>
      <w:r>
        <w:tab/>
      </w:r>
      <w:r>
        <w:fldChar w:fldCharType="begin"/>
      </w:r>
      <w:r>
        <w:instrText xml:space="preserve"> PAGEREF _Toc3225 \h </w:instrText>
      </w:r>
      <w:r>
        <w:fldChar w:fldCharType="separate"/>
      </w:r>
      <w:r>
        <w:t>35</w:t>
      </w:r>
      <w:r>
        <w:fldChar w:fldCharType="end"/>
      </w:r>
      <w:r>
        <w:fldChar w:fldCharType="end"/>
      </w:r>
    </w:p>
    <w:p w14:paraId="4D42BEAC">
      <w:pPr>
        <w:pStyle w:val="19"/>
        <w:tabs>
          <w:tab w:val="right" w:leader="dot" w:pos="8845"/>
        </w:tabs>
        <w:ind w:firstLine="640"/>
      </w:pPr>
      <w:r>
        <w:fldChar w:fldCharType="begin"/>
      </w:r>
      <w:r>
        <w:instrText xml:space="preserve"> HYPERLINK \l "_Toc14070" </w:instrText>
      </w:r>
      <w:r>
        <w:fldChar w:fldCharType="separate"/>
      </w:r>
      <w:r>
        <w:rPr>
          <w:rFonts w:eastAsia="仿宋"/>
          <w:bCs/>
          <w:szCs w:val="28"/>
        </w:rPr>
        <w:t xml:space="preserve">7.4 </w:t>
      </w:r>
      <w:r>
        <w:rPr>
          <w:rFonts w:hint="eastAsia"/>
        </w:rPr>
        <w:t>交通保障</w:t>
      </w:r>
      <w:r>
        <w:tab/>
      </w:r>
      <w:r>
        <w:fldChar w:fldCharType="begin"/>
      </w:r>
      <w:r>
        <w:instrText xml:space="preserve"> PAGEREF _Toc14070 \h </w:instrText>
      </w:r>
      <w:r>
        <w:fldChar w:fldCharType="separate"/>
      </w:r>
      <w:r>
        <w:t>35</w:t>
      </w:r>
      <w:r>
        <w:fldChar w:fldCharType="end"/>
      </w:r>
      <w:r>
        <w:fldChar w:fldCharType="end"/>
      </w:r>
    </w:p>
    <w:p w14:paraId="3CA46DCD">
      <w:pPr>
        <w:pStyle w:val="19"/>
        <w:tabs>
          <w:tab w:val="right" w:leader="dot" w:pos="8845"/>
        </w:tabs>
        <w:ind w:firstLine="640"/>
      </w:pPr>
      <w:r>
        <w:fldChar w:fldCharType="begin"/>
      </w:r>
      <w:r>
        <w:instrText xml:space="preserve"> HYPERLINK \l "_Toc23503" </w:instrText>
      </w:r>
      <w:r>
        <w:fldChar w:fldCharType="separate"/>
      </w:r>
      <w:r>
        <w:rPr>
          <w:rFonts w:eastAsia="仿宋"/>
          <w:bCs/>
          <w:szCs w:val="28"/>
        </w:rPr>
        <w:t xml:space="preserve">7.5 </w:t>
      </w:r>
      <w:r>
        <w:rPr>
          <w:rFonts w:hint="eastAsia"/>
        </w:rPr>
        <w:t>治安保障</w:t>
      </w:r>
      <w:r>
        <w:tab/>
      </w:r>
      <w:r>
        <w:fldChar w:fldCharType="begin"/>
      </w:r>
      <w:r>
        <w:instrText xml:space="preserve"> PAGEREF _Toc23503 \h </w:instrText>
      </w:r>
      <w:r>
        <w:fldChar w:fldCharType="separate"/>
      </w:r>
      <w:r>
        <w:t>35</w:t>
      </w:r>
      <w:r>
        <w:fldChar w:fldCharType="end"/>
      </w:r>
      <w:r>
        <w:fldChar w:fldCharType="end"/>
      </w:r>
    </w:p>
    <w:p w14:paraId="78C161B5">
      <w:pPr>
        <w:pStyle w:val="19"/>
        <w:tabs>
          <w:tab w:val="right" w:leader="dot" w:pos="8845"/>
        </w:tabs>
        <w:ind w:firstLine="640"/>
      </w:pPr>
      <w:r>
        <w:fldChar w:fldCharType="begin"/>
      </w:r>
      <w:r>
        <w:instrText xml:space="preserve"> HYPERLINK \l "_Toc19430" </w:instrText>
      </w:r>
      <w:r>
        <w:fldChar w:fldCharType="separate"/>
      </w:r>
      <w:r>
        <w:rPr>
          <w:rFonts w:eastAsia="仿宋"/>
          <w:bCs/>
          <w:szCs w:val="28"/>
        </w:rPr>
        <w:t xml:space="preserve">7.6 </w:t>
      </w:r>
      <w:r>
        <w:rPr>
          <w:rFonts w:hint="eastAsia"/>
        </w:rPr>
        <w:t>宣传培训与应急演练保障</w:t>
      </w:r>
      <w:r>
        <w:tab/>
      </w:r>
      <w:r>
        <w:fldChar w:fldCharType="begin"/>
      </w:r>
      <w:r>
        <w:instrText xml:space="preserve"> PAGEREF _Toc19430 \h </w:instrText>
      </w:r>
      <w:r>
        <w:fldChar w:fldCharType="separate"/>
      </w:r>
      <w:r>
        <w:t>36</w:t>
      </w:r>
      <w:r>
        <w:fldChar w:fldCharType="end"/>
      </w:r>
      <w:r>
        <w:fldChar w:fldCharType="end"/>
      </w:r>
    </w:p>
    <w:p w14:paraId="10C922D5">
      <w:pPr>
        <w:pStyle w:val="18"/>
      </w:pPr>
      <w:r>
        <w:fldChar w:fldCharType="begin"/>
      </w:r>
      <w:r>
        <w:instrText xml:space="preserve"> HYPERLINK \l "_Toc16495" </w:instrText>
      </w:r>
      <w:r>
        <w:fldChar w:fldCharType="separate"/>
      </w:r>
      <w:r>
        <w:rPr>
          <w:rFonts w:eastAsia="仿宋"/>
        </w:rPr>
        <w:t xml:space="preserve">8 </w:t>
      </w:r>
      <w:r>
        <w:rPr>
          <w:rFonts w:hint="eastAsia"/>
        </w:rPr>
        <w:t>附则</w:t>
      </w:r>
      <w:r>
        <w:tab/>
      </w:r>
      <w:r>
        <w:fldChar w:fldCharType="begin"/>
      </w:r>
      <w:r>
        <w:instrText xml:space="preserve"> PAGEREF _Toc16495 \h </w:instrText>
      </w:r>
      <w:r>
        <w:fldChar w:fldCharType="separate"/>
      </w:r>
      <w:r>
        <w:t>36</w:t>
      </w:r>
      <w:r>
        <w:fldChar w:fldCharType="end"/>
      </w:r>
      <w:r>
        <w:fldChar w:fldCharType="end"/>
      </w:r>
    </w:p>
    <w:p w14:paraId="59D2C700">
      <w:pPr>
        <w:pStyle w:val="19"/>
        <w:tabs>
          <w:tab w:val="right" w:leader="dot" w:pos="8845"/>
        </w:tabs>
        <w:ind w:firstLine="640"/>
      </w:pPr>
      <w:r>
        <w:fldChar w:fldCharType="begin"/>
      </w:r>
      <w:r>
        <w:instrText xml:space="preserve"> HYPERLINK \l "_Toc12886" </w:instrText>
      </w:r>
      <w:r>
        <w:fldChar w:fldCharType="separate"/>
      </w:r>
      <w:r>
        <w:rPr>
          <w:rFonts w:eastAsia="仿宋"/>
          <w:bCs/>
          <w:szCs w:val="28"/>
        </w:rPr>
        <w:t xml:space="preserve">8.1 </w:t>
      </w:r>
      <w:r>
        <w:rPr>
          <w:rFonts w:hint="eastAsia" w:ascii="Times New Roman" w:hAnsi="Times New Roman"/>
        </w:rPr>
        <w:t>预案管理与更新</w:t>
      </w:r>
      <w:r>
        <w:tab/>
      </w:r>
      <w:r>
        <w:fldChar w:fldCharType="begin"/>
      </w:r>
      <w:r>
        <w:instrText xml:space="preserve"> PAGEREF _Toc12886 \h </w:instrText>
      </w:r>
      <w:r>
        <w:fldChar w:fldCharType="separate"/>
      </w:r>
      <w:r>
        <w:t>36</w:t>
      </w:r>
      <w:r>
        <w:fldChar w:fldCharType="end"/>
      </w:r>
      <w:r>
        <w:fldChar w:fldCharType="end"/>
      </w:r>
    </w:p>
    <w:p w14:paraId="0D76730E">
      <w:pPr>
        <w:pStyle w:val="19"/>
        <w:tabs>
          <w:tab w:val="right" w:leader="dot" w:pos="8845"/>
        </w:tabs>
        <w:ind w:firstLine="640"/>
      </w:pPr>
      <w:r>
        <w:fldChar w:fldCharType="begin"/>
      </w:r>
      <w:r>
        <w:instrText xml:space="preserve"> HYPERLINK \l "_Toc21574" </w:instrText>
      </w:r>
      <w:r>
        <w:fldChar w:fldCharType="separate"/>
      </w:r>
      <w:r>
        <w:rPr>
          <w:rFonts w:eastAsia="仿宋"/>
          <w:bCs/>
          <w:szCs w:val="28"/>
        </w:rPr>
        <w:t xml:space="preserve">8.2 </w:t>
      </w:r>
      <w:r>
        <w:rPr>
          <w:rFonts w:hint="eastAsia" w:ascii="Times New Roman" w:hAnsi="Times New Roman"/>
        </w:rPr>
        <w:t>预案制定与解释</w:t>
      </w:r>
      <w:r>
        <w:tab/>
      </w:r>
      <w:r>
        <w:fldChar w:fldCharType="begin"/>
      </w:r>
      <w:r>
        <w:instrText xml:space="preserve"> PAGEREF _Toc21574 \h </w:instrText>
      </w:r>
      <w:r>
        <w:fldChar w:fldCharType="separate"/>
      </w:r>
      <w:r>
        <w:t>36</w:t>
      </w:r>
      <w:r>
        <w:fldChar w:fldCharType="end"/>
      </w:r>
      <w:r>
        <w:fldChar w:fldCharType="end"/>
      </w:r>
    </w:p>
    <w:p w14:paraId="1E85E2D6">
      <w:pPr>
        <w:pStyle w:val="19"/>
        <w:tabs>
          <w:tab w:val="right" w:leader="dot" w:pos="8845"/>
        </w:tabs>
        <w:ind w:firstLine="640"/>
      </w:pPr>
      <w:r>
        <w:fldChar w:fldCharType="begin"/>
      </w:r>
      <w:r>
        <w:instrText xml:space="preserve"> HYPERLINK \l "_Toc5370" </w:instrText>
      </w:r>
      <w:r>
        <w:fldChar w:fldCharType="separate"/>
      </w:r>
      <w:r>
        <w:rPr>
          <w:rFonts w:eastAsia="仿宋"/>
          <w:bCs/>
          <w:szCs w:val="28"/>
        </w:rPr>
        <w:t xml:space="preserve">8.3 </w:t>
      </w:r>
      <w:r>
        <w:rPr>
          <w:rFonts w:hint="eastAsia" w:ascii="Times New Roman" w:hAnsi="Times New Roman"/>
        </w:rPr>
        <w:t>预案的实施</w:t>
      </w:r>
      <w:r>
        <w:tab/>
      </w:r>
      <w:r>
        <w:fldChar w:fldCharType="begin"/>
      </w:r>
      <w:r>
        <w:instrText xml:space="preserve"> PAGEREF _Toc5370 \h </w:instrText>
      </w:r>
      <w:r>
        <w:fldChar w:fldCharType="separate"/>
      </w:r>
      <w:r>
        <w:t>36</w:t>
      </w:r>
      <w:r>
        <w:fldChar w:fldCharType="end"/>
      </w:r>
      <w:r>
        <w:fldChar w:fldCharType="end"/>
      </w:r>
    </w:p>
    <w:p w14:paraId="6C803818">
      <w:pPr>
        <w:ind w:firstLine="0" w:firstLineChars="0"/>
      </w:pPr>
      <w:r>
        <w:rPr>
          <w:rFonts w:hint="eastAsia" w:ascii="黑体" w:hAnsi="黑体" w:eastAsia="黑体" w:cs="黑体"/>
          <w:szCs w:val="44"/>
        </w:rPr>
        <w:fldChar w:fldCharType="end"/>
      </w:r>
      <w:r>
        <w:br w:type="page"/>
      </w:r>
    </w:p>
    <w:p w14:paraId="4A8642E1">
      <w:pPr>
        <w:pStyle w:val="2"/>
        <w:numPr>
          <w:ilvl w:val="0"/>
          <w:numId w:val="210"/>
        </w:numPr>
        <w:tabs>
          <w:tab w:val="left" w:pos="0"/>
        </w:tabs>
        <w:rPr>
          <w:sz w:val="32"/>
          <w:szCs w:val="32"/>
        </w:rPr>
      </w:pPr>
      <w:bookmarkStart w:id="1197" w:name="_Toc6307"/>
      <w:r>
        <w:rPr>
          <w:rFonts w:hint="eastAsia"/>
          <w:sz w:val="32"/>
          <w:szCs w:val="32"/>
        </w:rPr>
        <w:t>总则</w:t>
      </w:r>
      <w:bookmarkEnd w:id="1197"/>
    </w:p>
    <w:p w14:paraId="128B2FE4">
      <w:pPr>
        <w:pStyle w:val="3"/>
      </w:pPr>
      <w:bookmarkStart w:id="1198" w:name="_Toc21375"/>
      <w:r>
        <w:rPr>
          <w:rFonts w:hint="eastAsia"/>
        </w:rPr>
        <w:t>编制目的</w:t>
      </w:r>
      <w:bookmarkEnd w:id="1198"/>
    </w:p>
    <w:p w14:paraId="187D427D">
      <w:pPr>
        <w:ind w:firstLine="640"/>
        <w:rPr>
          <w:rFonts w:ascii="仿宋_GB2312" w:hAnsi="仿宋_GB2312" w:cs="仿宋_GB2312"/>
        </w:rPr>
      </w:pPr>
      <w:r>
        <w:rPr>
          <w:rFonts w:hint="eastAsia" w:ascii="仿宋_GB2312" w:hAnsi="仿宋_GB2312" w:cs="仿宋_GB2312"/>
        </w:rPr>
        <w:t>有效预防、及时控制和消除突发公共卫生事件的严重危害，指导和规范全县各类突发公共卫生事件的应急处置工作，维护社会稳定，确保公众健康与生命安全，保障全县经济社会协调健康发展。</w:t>
      </w:r>
    </w:p>
    <w:p w14:paraId="4AF41459">
      <w:pPr>
        <w:pStyle w:val="3"/>
      </w:pPr>
      <w:bookmarkStart w:id="1199" w:name="_Toc28279"/>
      <w:r>
        <w:rPr>
          <w:rFonts w:hint="eastAsia"/>
        </w:rPr>
        <w:t>编制依据</w:t>
      </w:r>
      <w:bookmarkEnd w:id="1199"/>
    </w:p>
    <w:p w14:paraId="30138F03">
      <w:pPr>
        <w:ind w:firstLine="640"/>
      </w:pPr>
      <w:r>
        <w:rPr>
          <w:rFonts w:hint="eastAsia"/>
        </w:rPr>
        <w:t>依据《中华人民共和国突发事件应对法》《中华人民共和国传染病防治法》《中华人民共和国食品安全法》《中华人民共和国职业病防治法》《中华人民共和国国境卫生检疫法》，以及《突发公共卫生事件应急条例》《国内交通卫生检疫条例》《中华人民共和国政府信息公开条例》《突发事件卫生应急预案管理办法》《双鸭山市突发公共事件总体应急预案》《双鸭山市突发公共卫生事件应急预案》等相关法律、法规和规定，结合我县实际，制定本预案。</w:t>
      </w:r>
    </w:p>
    <w:p w14:paraId="0098864F">
      <w:pPr>
        <w:pStyle w:val="3"/>
      </w:pPr>
      <w:bookmarkStart w:id="1200" w:name="_Toc7321"/>
      <w:r>
        <w:rPr>
          <w:rFonts w:hint="eastAsia"/>
        </w:rPr>
        <w:t>适用范围</w:t>
      </w:r>
      <w:bookmarkEnd w:id="1200"/>
    </w:p>
    <w:p w14:paraId="7A21DA7D">
      <w:pPr>
        <w:ind w:firstLine="640"/>
      </w:pPr>
      <w:r>
        <w:rPr>
          <w:rFonts w:hint="eastAsia"/>
        </w:rPr>
        <w:t>本预案适用于我县行政区域内突发传染病疫情、群体性不明原因疾病、急性中毒以及其他严重影响公众健康等公共卫生事件的应急管理和处置。食品安全事件、核和辐射事件、突发环境事件等引起的突发公共卫生事件分别按照各自专项预案开展应急处置。</w:t>
      </w:r>
    </w:p>
    <w:p w14:paraId="3D4F9369">
      <w:pPr>
        <w:pStyle w:val="3"/>
      </w:pPr>
      <w:bookmarkStart w:id="1201" w:name="_Toc12292"/>
      <w:r>
        <w:rPr>
          <w:rFonts w:hint="eastAsia"/>
        </w:rPr>
        <w:t>工作原则</w:t>
      </w:r>
      <w:bookmarkEnd w:id="1201"/>
    </w:p>
    <w:p w14:paraId="65C39AA6">
      <w:pPr>
        <w:numPr>
          <w:ilvl w:val="0"/>
          <w:numId w:val="211"/>
        </w:numPr>
        <w:ind w:firstLine="640"/>
      </w:pPr>
      <w:r>
        <w:rPr>
          <w:rFonts w:hint="eastAsia"/>
        </w:rPr>
        <w:t>以人为本、生命至上。牢固树立以人为本、生命至上理念，把确保人民群众生命安全和身体健康放在第一位，科学有效地开展突发公共卫生事件预防和应急处置工作。</w:t>
      </w:r>
    </w:p>
    <w:p w14:paraId="1E0FFFE6">
      <w:pPr>
        <w:numPr>
          <w:ilvl w:val="0"/>
          <w:numId w:val="211"/>
        </w:numPr>
        <w:ind w:firstLine="640"/>
      </w:pPr>
      <w:r>
        <w:rPr>
          <w:rFonts w:hint="eastAsia"/>
        </w:rPr>
        <w:t>预防为主、常备不懈。提高全社会防范意识，落实防范措施，做好人员、技术、物资和装备等应急准备，提升应急处置能力。</w:t>
      </w:r>
    </w:p>
    <w:p w14:paraId="0323AF97">
      <w:pPr>
        <w:numPr>
          <w:ilvl w:val="0"/>
          <w:numId w:val="211"/>
        </w:numPr>
        <w:ind w:firstLine="640"/>
      </w:pPr>
      <w:r>
        <w:rPr>
          <w:rFonts w:hint="eastAsia"/>
        </w:rPr>
        <w:t>统一领导、部门协作。坚持党委领导、政府负责、部门协作的工作机制，强化统一指挥、专常兼备、上下联动、平战结合的卫生应急管理体制，共同做好突发公共卫生事件应急处置工作。</w:t>
      </w:r>
    </w:p>
    <w:p w14:paraId="18738AF7">
      <w:pPr>
        <w:numPr>
          <w:ilvl w:val="0"/>
          <w:numId w:val="211"/>
        </w:numPr>
        <w:ind w:firstLine="640"/>
      </w:pPr>
      <w:r>
        <w:rPr>
          <w:rFonts w:hint="eastAsia"/>
        </w:rPr>
        <w:t>依法科学、高效处置。按照相关法律、法规，快速调集应急力量，按照“早、小、严、实”原则，规范科学、高效有序处置各类突发公共卫生事件。</w:t>
      </w:r>
    </w:p>
    <w:p w14:paraId="126CD4AD">
      <w:pPr>
        <w:numPr>
          <w:ilvl w:val="0"/>
          <w:numId w:val="211"/>
        </w:numPr>
        <w:ind w:firstLine="640"/>
      </w:pPr>
      <w:r>
        <w:rPr>
          <w:rFonts w:hint="eastAsia"/>
        </w:rPr>
        <w:t>分级分区、精准施策。坚持突发公共卫生事件应急处置分级负责、属地为主，分级响应、分区施策要求，精准实施应急处置工作。</w:t>
      </w:r>
    </w:p>
    <w:p w14:paraId="6C5BD856">
      <w:pPr>
        <w:numPr>
          <w:ilvl w:val="0"/>
          <w:numId w:val="211"/>
        </w:numPr>
        <w:ind w:firstLine="640"/>
      </w:pPr>
      <w:r>
        <w:rPr>
          <w:rFonts w:hint="eastAsia"/>
        </w:rPr>
        <w:t>社会参与、群防群控。组织动员社会力量广泛参与，政府、部门、社区、个人“四位一体”，形成群防群控工作合力，有效落实各项综合性应急防控措施。</w:t>
      </w:r>
    </w:p>
    <w:p w14:paraId="6DC73139">
      <w:pPr>
        <w:pStyle w:val="3"/>
      </w:pPr>
      <w:bookmarkStart w:id="1202" w:name="_Toc2941"/>
      <w:r>
        <w:rPr>
          <w:rFonts w:hint="eastAsia"/>
        </w:rPr>
        <w:t>事件分级</w:t>
      </w:r>
      <w:bookmarkEnd w:id="1202"/>
    </w:p>
    <w:p w14:paraId="7346E30C">
      <w:pPr>
        <w:ind w:firstLine="640"/>
      </w:pPr>
      <w:r>
        <w:rPr>
          <w:rFonts w:hint="eastAsia"/>
        </w:rPr>
        <w:t>根据事件的性质、危害程度、涉及范围，结合事件发生背景和专家评估意见等，将事件划分为特别重大、重大、较大和一般四级，事件分级标准可根据实际需要适时进行补充和调整。</w:t>
      </w:r>
    </w:p>
    <w:p w14:paraId="67D9DC02">
      <w:pPr>
        <w:pStyle w:val="4"/>
        <w:numPr>
          <w:ilvl w:val="2"/>
          <w:numId w:val="210"/>
        </w:numPr>
        <w:tabs>
          <w:tab w:val="left" w:pos="0"/>
        </w:tabs>
        <w:rPr>
          <w:rFonts w:ascii="仿宋_GB2312" w:hAnsi="仿宋_GB2312" w:eastAsia="仿宋_GB2312" w:cs="仿宋_GB2312"/>
        </w:rPr>
      </w:pPr>
      <w:r>
        <w:rPr>
          <w:rFonts w:hint="eastAsia" w:ascii="仿宋_GB2312" w:hAnsi="仿宋_GB2312" w:eastAsia="仿宋_GB2312" w:cs="仿宋_GB2312"/>
        </w:rPr>
        <w:t>特别重大事件</w:t>
      </w:r>
    </w:p>
    <w:p w14:paraId="22C6231A">
      <w:pPr>
        <w:ind w:firstLine="640"/>
      </w:pPr>
      <w:r>
        <w:rPr>
          <w:rFonts w:hint="eastAsia"/>
        </w:rPr>
        <w:t>有下列情形之一的，可确定为特别重大事件：</w:t>
      </w:r>
    </w:p>
    <w:p w14:paraId="051BB41B">
      <w:pPr>
        <w:ind w:firstLine="640"/>
      </w:pPr>
      <w:r>
        <w:rPr>
          <w:rFonts w:hint="eastAsia"/>
        </w:rPr>
        <w:t>（1）腺鼠疫发生流行，在我县范围内，1个平均潜伏期内多点连续发病3例以上，或流行范围波及2个以上乡镇。</w:t>
      </w:r>
    </w:p>
    <w:p w14:paraId="6A668BA7">
      <w:pPr>
        <w:ind w:firstLine="640"/>
      </w:pPr>
      <w:r>
        <w:rPr>
          <w:rFonts w:hint="eastAsia"/>
        </w:rPr>
        <w:t>（2）发生群体性不明原因疾病，波及2个以上乡镇，并有扩散趋势。</w:t>
      </w:r>
    </w:p>
    <w:p w14:paraId="185AFF65">
      <w:pPr>
        <w:ind w:firstLine="640"/>
      </w:pPr>
      <w:r>
        <w:rPr>
          <w:rFonts w:hint="eastAsia"/>
        </w:rPr>
        <w:t>（3）发生新发传染病，或我国尚未发现的传染病发生或传入并有扩散趋势，或发现我国已消灭的传染病再次流行。</w:t>
      </w:r>
    </w:p>
    <w:p w14:paraId="744C5624">
      <w:pPr>
        <w:ind w:firstLine="640"/>
      </w:pPr>
      <w:r>
        <w:rPr>
          <w:rFonts w:hint="eastAsia"/>
        </w:rPr>
        <w:t>（4）县内发生烈性病菌株、毒株、致病因子丢失、泄露等事件。</w:t>
      </w:r>
    </w:p>
    <w:p w14:paraId="694C9E73">
      <w:pPr>
        <w:ind w:firstLine="640"/>
      </w:pPr>
      <w:r>
        <w:rPr>
          <w:rFonts w:hint="eastAsia"/>
        </w:rPr>
        <w:t>（5）周边以及与我国通航的国家和地区发生特别重大传染病疫情，并且我县出现输入性病例，严重危及我县公共卫生安全的事件。</w:t>
      </w:r>
    </w:p>
    <w:p w14:paraId="5FA418C0">
      <w:pPr>
        <w:ind w:firstLine="640"/>
      </w:pPr>
      <w:r>
        <w:rPr>
          <w:rFonts w:hint="eastAsia"/>
        </w:rPr>
        <w:t>（6）国务院卫生健康主管部门或省、市政府认定的其他特别重大的健康危害事件。</w:t>
      </w:r>
    </w:p>
    <w:p w14:paraId="132AF8F6">
      <w:pPr>
        <w:pStyle w:val="4"/>
        <w:numPr>
          <w:ilvl w:val="2"/>
          <w:numId w:val="210"/>
        </w:numPr>
        <w:tabs>
          <w:tab w:val="left" w:pos="0"/>
        </w:tabs>
        <w:rPr>
          <w:rFonts w:ascii="仿宋_GB2312" w:hAnsi="仿宋_GB2312" w:eastAsia="仿宋_GB2312" w:cs="仿宋_GB2312"/>
        </w:rPr>
      </w:pPr>
      <w:r>
        <w:rPr>
          <w:rFonts w:hint="eastAsia" w:ascii="仿宋_GB2312" w:hAnsi="仿宋_GB2312" w:eastAsia="仿宋_GB2312" w:cs="仿宋_GB2312"/>
        </w:rPr>
        <w:t>重大事件</w:t>
      </w:r>
    </w:p>
    <w:p w14:paraId="246E4D13">
      <w:pPr>
        <w:ind w:firstLine="640"/>
      </w:pPr>
      <w:r>
        <w:rPr>
          <w:rFonts w:hint="eastAsia"/>
        </w:rPr>
        <w:t>有下列情形之一的，可确定为重大事件：</w:t>
      </w:r>
    </w:p>
    <w:p w14:paraId="4B1CF5E0">
      <w:pPr>
        <w:ind w:firstLine="640"/>
      </w:pPr>
      <w:r>
        <w:rPr>
          <w:rFonts w:hint="eastAsia"/>
        </w:rPr>
        <w:t>（1）腺鼠疫在我县发生流行，1个平均潜伏期内连续发病1-2例。</w:t>
      </w:r>
    </w:p>
    <w:p w14:paraId="4D8F268F">
      <w:pPr>
        <w:ind w:firstLine="640"/>
      </w:pPr>
      <w:r>
        <w:rPr>
          <w:rFonts w:hint="eastAsia"/>
        </w:rPr>
        <w:t>（2）霍乱在我县发生流行，1周内发病5例以上，或波及2个以上乡镇，有扩散趋势。</w:t>
      </w:r>
    </w:p>
    <w:p w14:paraId="7128C027">
      <w:pPr>
        <w:ind w:firstLine="640"/>
      </w:pPr>
      <w:r>
        <w:rPr>
          <w:rFonts w:hint="eastAsia"/>
        </w:rPr>
        <w:t>（3）乙、丙类传染病波及2个以上乡镇，1周内发病水平超过前5年同期平均发病水平2倍以上。</w:t>
      </w:r>
    </w:p>
    <w:p w14:paraId="4B8D3FA7">
      <w:pPr>
        <w:ind w:firstLine="640"/>
      </w:pPr>
      <w:r>
        <w:rPr>
          <w:rFonts w:hint="eastAsia"/>
        </w:rPr>
        <w:t>（4）我国尚未发现的传染病发生或传入，尚未造成扩散。</w:t>
      </w:r>
    </w:p>
    <w:p w14:paraId="5577BF7A">
      <w:pPr>
        <w:ind w:firstLine="640"/>
      </w:pPr>
      <w:r>
        <w:rPr>
          <w:rFonts w:hint="eastAsia"/>
        </w:rPr>
        <w:t>（5）发生群体性不明原因疾病，波及我县2个以上乡镇。</w:t>
      </w:r>
    </w:p>
    <w:p w14:paraId="20AB7CDF">
      <w:pPr>
        <w:ind w:firstLine="640"/>
      </w:pPr>
      <w:r>
        <w:rPr>
          <w:rFonts w:hint="eastAsia"/>
        </w:rPr>
        <w:t>（6）发生重大医源性感染事件。</w:t>
      </w:r>
    </w:p>
    <w:p w14:paraId="0BFB05DD">
      <w:pPr>
        <w:ind w:firstLine="640"/>
      </w:pPr>
      <w:r>
        <w:rPr>
          <w:rFonts w:hint="eastAsia"/>
        </w:rPr>
        <w:t>（7）预防接种或群体预防性用药出现群体不良反应事件并造成人员死亡。</w:t>
      </w:r>
    </w:p>
    <w:p w14:paraId="7D4E32A2">
      <w:pPr>
        <w:ind w:firstLine="640"/>
      </w:pPr>
      <w:r>
        <w:rPr>
          <w:rFonts w:hint="eastAsia"/>
        </w:rPr>
        <w:t>（8）境内外隐匿运输、邮寄烈性生物病原体、生物毒素，造成县内人员感染或死亡的。</w:t>
      </w:r>
    </w:p>
    <w:p w14:paraId="75F69295">
      <w:pPr>
        <w:ind w:firstLine="640"/>
      </w:pPr>
      <w:r>
        <w:rPr>
          <w:rFonts w:hint="eastAsia"/>
        </w:rPr>
        <w:t>（9）一次发生急性职业中毒50人以上，或死亡5人以上。</w:t>
      </w:r>
    </w:p>
    <w:p w14:paraId="3A83F24E">
      <w:pPr>
        <w:ind w:firstLine="640"/>
      </w:pPr>
      <w:r>
        <w:rPr>
          <w:rFonts w:hint="eastAsia"/>
        </w:rPr>
        <w:t>（10）省、市、县政府和省级卫生健康主管部门认定的其他具有严重健康危害的重大事件。</w:t>
      </w:r>
    </w:p>
    <w:p w14:paraId="074FEBCD">
      <w:pPr>
        <w:pStyle w:val="4"/>
        <w:numPr>
          <w:ilvl w:val="2"/>
          <w:numId w:val="210"/>
        </w:numPr>
        <w:tabs>
          <w:tab w:val="left" w:pos="0"/>
        </w:tabs>
        <w:rPr>
          <w:rFonts w:ascii="仿宋_GB2312" w:hAnsi="仿宋_GB2312" w:eastAsia="仿宋_GB2312" w:cs="仿宋_GB2312"/>
        </w:rPr>
      </w:pPr>
      <w:r>
        <w:rPr>
          <w:rFonts w:hint="eastAsia" w:ascii="仿宋_GB2312" w:hAnsi="仿宋_GB2312" w:eastAsia="仿宋_GB2312" w:cs="仿宋_GB2312"/>
        </w:rPr>
        <w:t>较大事件</w:t>
      </w:r>
    </w:p>
    <w:p w14:paraId="33C5A020">
      <w:pPr>
        <w:ind w:firstLine="640"/>
      </w:pPr>
      <w:r>
        <w:rPr>
          <w:rFonts w:hint="eastAsia"/>
        </w:rPr>
        <w:t>有下列情形之一的，可确定为较大事件：</w:t>
      </w:r>
    </w:p>
    <w:p w14:paraId="0B026E19">
      <w:pPr>
        <w:ind w:firstLine="640"/>
      </w:pPr>
      <w:r>
        <w:rPr>
          <w:rFonts w:hint="eastAsia"/>
        </w:rPr>
        <w:t>（1）霍乱在我县发生，1周内发病1-4例。</w:t>
      </w:r>
    </w:p>
    <w:p w14:paraId="26FA78F2">
      <w:pPr>
        <w:ind w:firstLine="640"/>
      </w:pPr>
      <w:r>
        <w:rPr>
          <w:rFonts w:hint="eastAsia"/>
        </w:rPr>
        <w:t>（2）1周内我县乙类、丙类传染病发病水平超过前5年同期平均发病水平1倍以上。</w:t>
      </w:r>
    </w:p>
    <w:p w14:paraId="3FBD4CCE">
      <w:pPr>
        <w:ind w:firstLine="640"/>
      </w:pPr>
      <w:r>
        <w:rPr>
          <w:rFonts w:hint="eastAsia"/>
        </w:rPr>
        <w:t>（3）在我县范围内发生群体性不明原因疾病。</w:t>
      </w:r>
    </w:p>
    <w:p w14:paraId="47221C1F">
      <w:pPr>
        <w:ind w:firstLine="640"/>
      </w:pPr>
      <w:r>
        <w:rPr>
          <w:rFonts w:hint="eastAsia"/>
        </w:rPr>
        <w:t>（4）预防接种或群体预防性用药出现群体性心因性反应或不良反应。</w:t>
      </w:r>
    </w:p>
    <w:p w14:paraId="613BD2D5">
      <w:pPr>
        <w:ind w:firstLine="640"/>
      </w:pPr>
      <w:r>
        <w:rPr>
          <w:rFonts w:hint="eastAsia"/>
        </w:rPr>
        <w:t>（5）一次发生急性职业中毒10-49人，或死亡4人及以下。</w:t>
      </w:r>
    </w:p>
    <w:p w14:paraId="56010FE2">
      <w:pPr>
        <w:ind w:firstLine="640"/>
      </w:pPr>
      <w:r>
        <w:rPr>
          <w:rFonts w:hint="eastAsia"/>
        </w:rPr>
        <w:t>（6）省、市、县政府和市级以上卫生健康主管部门、认定的其他具有严重健康危害的较大事件。</w:t>
      </w:r>
    </w:p>
    <w:p w14:paraId="12D476BE">
      <w:pPr>
        <w:pStyle w:val="4"/>
        <w:numPr>
          <w:ilvl w:val="2"/>
          <w:numId w:val="210"/>
        </w:numPr>
        <w:tabs>
          <w:tab w:val="left" w:pos="0"/>
        </w:tabs>
        <w:rPr>
          <w:rFonts w:ascii="仿宋_GB2312" w:hAnsi="仿宋_GB2312" w:eastAsia="仿宋_GB2312" w:cs="仿宋_GB2312"/>
        </w:rPr>
      </w:pPr>
      <w:r>
        <w:rPr>
          <w:rFonts w:hint="eastAsia" w:ascii="仿宋_GB2312" w:hAnsi="仿宋_GB2312" w:eastAsia="仿宋_GB2312" w:cs="仿宋_GB2312"/>
        </w:rPr>
        <w:t>一般事件(Ⅳ)</w:t>
      </w:r>
    </w:p>
    <w:p w14:paraId="42D5DE82">
      <w:pPr>
        <w:ind w:firstLine="640"/>
      </w:pPr>
      <w:r>
        <w:rPr>
          <w:rFonts w:hint="eastAsia"/>
        </w:rPr>
        <w:t>（1）一次发生急性职业中毒9人及以下，未出现死亡病例。</w:t>
      </w:r>
    </w:p>
    <w:p w14:paraId="37017D58">
      <w:pPr>
        <w:ind w:firstLine="640"/>
      </w:pPr>
      <w:r>
        <w:rPr>
          <w:rFonts w:hint="eastAsia"/>
        </w:rPr>
        <w:t>（2）省、市、县政府和卫生健康主管部门认定的其他一般健康危害事件。</w:t>
      </w:r>
    </w:p>
    <w:p w14:paraId="57D1B04D">
      <w:pPr>
        <w:pStyle w:val="2"/>
        <w:numPr>
          <w:ilvl w:val="0"/>
          <w:numId w:val="210"/>
        </w:numPr>
        <w:tabs>
          <w:tab w:val="left" w:pos="0"/>
        </w:tabs>
        <w:rPr>
          <w:sz w:val="32"/>
          <w:szCs w:val="32"/>
        </w:rPr>
      </w:pPr>
      <w:r>
        <w:rPr>
          <w:rFonts w:hint="eastAsia"/>
          <w:sz w:val="32"/>
          <w:szCs w:val="32"/>
        </w:rPr>
        <w:t>组织指挥体系及职责</w:t>
      </w:r>
    </w:p>
    <w:p w14:paraId="5C814F1F">
      <w:pPr>
        <w:ind w:firstLine="640"/>
      </w:pPr>
      <w:r>
        <w:rPr>
          <w:rFonts w:hint="eastAsia"/>
        </w:rPr>
        <w:t>县政府成立集贤县突发公共卫生事件应急指挥部(以下简称县指挥部)，统一领导、指挥全县突发公共卫生事件应急处置工作。</w:t>
      </w:r>
    </w:p>
    <w:p w14:paraId="786A7EE0">
      <w:pPr>
        <w:pStyle w:val="3"/>
      </w:pPr>
      <w:bookmarkStart w:id="1203" w:name="_Toc8885"/>
      <w:r>
        <w:rPr>
          <w:rFonts w:hint="eastAsia"/>
        </w:rPr>
        <w:t>县指挥部组成及职责</w:t>
      </w:r>
      <w:bookmarkEnd w:id="1203"/>
    </w:p>
    <w:p w14:paraId="5A51996C">
      <w:pPr>
        <w:pStyle w:val="4"/>
        <w:numPr>
          <w:ilvl w:val="2"/>
          <w:numId w:val="210"/>
        </w:numPr>
        <w:tabs>
          <w:tab w:val="left" w:pos="0"/>
        </w:tabs>
        <w:rPr>
          <w:rFonts w:ascii="仿宋_GB2312" w:hAnsi="仿宋_GB2312" w:eastAsia="仿宋_GB2312" w:cs="仿宋_GB2312"/>
        </w:rPr>
      </w:pPr>
      <w:r>
        <w:rPr>
          <w:rFonts w:hint="eastAsia" w:ascii="仿宋_GB2312" w:hAnsi="仿宋_GB2312" w:eastAsia="仿宋_GB2312" w:cs="仿宋_GB2312"/>
        </w:rPr>
        <w:t>县指挥部组成</w:t>
      </w:r>
    </w:p>
    <w:p w14:paraId="4E87C147">
      <w:pPr>
        <w:ind w:firstLine="640"/>
        <w:rPr>
          <w:rFonts w:ascii="仿宋_GB2312"/>
        </w:rPr>
      </w:pPr>
      <w:r>
        <w:rPr>
          <w:rFonts w:hint="eastAsia" w:ascii="仿宋_GB2312"/>
        </w:rPr>
        <w:t>总指挥由分管卫生健康工作的副县长担任，副总指挥由县政府办公室协调卫生健康工作的副主任、县卫生健康局局长、县应急管理局局长、县人武部副部长、消防救援大队大队长担任。</w:t>
      </w:r>
    </w:p>
    <w:p w14:paraId="046ADA39">
      <w:pPr>
        <w:ind w:firstLine="640"/>
        <w:rPr>
          <w:rFonts w:ascii="仿宋_GB2312"/>
        </w:rPr>
      </w:pPr>
      <w:r>
        <w:rPr>
          <w:rFonts w:hint="eastAsia" w:ascii="仿宋_GB2312"/>
        </w:rPr>
        <w:t>成员单位：县委宣传部、县人武部、县政府办、县卫生健康局、县发展和改革局、县教育和体育局、县工业信息科技局、县公安局、县民政局、县财政局、县人力资源和社会保障局、县交通运输局、县农业农村局、县林业和草原局、县文化广电和旅游局、县应急管理局、县市场监督管理局、双鸭山市集贤生态环境局、县消防救援大队、县气象局、县供电公司、中国移动、中国联通、中国电信、各乡镇人民政府等单位。</w:t>
      </w:r>
    </w:p>
    <w:p w14:paraId="79D2184E">
      <w:pPr>
        <w:ind w:firstLine="640"/>
        <w:rPr>
          <w:rFonts w:ascii="仿宋_GB2312"/>
        </w:rPr>
      </w:pPr>
      <w:r>
        <w:rPr>
          <w:rFonts w:hint="eastAsia" w:ascii="仿宋_GB2312"/>
        </w:rPr>
        <w:t>根据突发公共卫生事件实际情况，可增加相关县直部门为成员，并明确其部门或单位职责。必要时，经县指挥部请示县委、县政府同意，成立突发公共卫生事件应对工作领导小组，实行县委书记、县长双组长制，县指挥部在应对工作领导小组的领导下，开展突发公共卫生事件的应急处置工作。</w:t>
      </w:r>
    </w:p>
    <w:p w14:paraId="2F2FDA88">
      <w:pPr>
        <w:ind w:firstLine="640"/>
        <w:rPr>
          <w:rFonts w:ascii="仿宋_GB2312"/>
        </w:rPr>
      </w:pPr>
      <w:r>
        <w:rPr>
          <w:rFonts w:hint="eastAsia" w:ascii="仿宋_GB2312"/>
        </w:rPr>
        <w:t>县突发公共卫生事件应急处置流程图见附件 1。</w:t>
      </w:r>
    </w:p>
    <w:p w14:paraId="3738AB2F">
      <w:pPr>
        <w:pStyle w:val="4"/>
        <w:numPr>
          <w:ilvl w:val="2"/>
          <w:numId w:val="210"/>
        </w:numPr>
        <w:tabs>
          <w:tab w:val="left" w:pos="0"/>
        </w:tabs>
        <w:rPr>
          <w:rFonts w:ascii="仿宋_GB2312" w:hAnsi="仿宋_GB2312" w:eastAsia="仿宋_GB2312" w:cs="仿宋_GB2312"/>
        </w:rPr>
      </w:pPr>
      <w:r>
        <w:rPr>
          <w:rFonts w:hint="eastAsia" w:ascii="仿宋_GB2312" w:hAnsi="仿宋_GB2312" w:eastAsia="仿宋_GB2312" w:cs="仿宋_GB2312"/>
        </w:rPr>
        <w:t>县指挥部工作职责</w:t>
      </w:r>
    </w:p>
    <w:p w14:paraId="2C609EEA">
      <w:pPr>
        <w:ind w:firstLine="640"/>
      </w:pPr>
      <w:r>
        <w:rPr>
          <w:rFonts w:hint="eastAsia"/>
        </w:rPr>
        <w:t>贯彻落实党中央、国务院、省市县党委政府关于突发公共卫生事件应急工作的决策部署；负责研究制定全县突发公共卫生事件的重大决策和指导意见；制定公共卫生安全总体规划；统筹协调全县传染病疫情、群体性不明原因疾病、急性中毒等突发公共卫生事件安全防控工作；组织指挥全县突发公共卫生事件的应急处置、调查评估、信息发布等工作；落实县委县政府和市应急救援指挥部交办的其他事项。</w:t>
      </w:r>
    </w:p>
    <w:p w14:paraId="2548E538">
      <w:pPr>
        <w:pStyle w:val="4"/>
        <w:numPr>
          <w:ilvl w:val="2"/>
          <w:numId w:val="210"/>
        </w:numPr>
        <w:tabs>
          <w:tab w:val="left" w:pos="0"/>
        </w:tabs>
        <w:rPr>
          <w:rFonts w:ascii="仿宋_GB2312" w:hAnsi="仿宋_GB2312" w:eastAsia="仿宋_GB2312" w:cs="仿宋_GB2312"/>
        </w:rPr>
      </w:pPr>
      <w:r>
        <w:rPr>
          <w:rFonts w:hint="eastAsia" w:ascii="仿宋_GB2312" w:hAnsi="仿宋_GB2312" w:eastAsia="仿宋_GB2312" w:cs="仿宋_GB2312"/>
        </w:rPr>
        <w:t>县指挥部办公室工作职责</w:t>
      </w:r>
    </w:p>
    <w:p w14:paraId="15CB2345">
      <w:pPr>
        <w:ind w:firstLine="640"/>
      </w:pPr>
      <w:r>
        <w:rPr>
          <w:rFonts w:hint="eastAsia"/>
        </w:rPr>
        <w:t>县指挥部下设办公室，设在县卫生健康局，办公室主任由县卫生健康局局长兼任。负责县指挥部的日常工作；制定、修订突发公共卫生事件专项应急预案；组织开展预案的宣传、培训和演练；建立健全全县突发公共卫生事件和传染病的监测、预警系统；完善全县突发公共卫生事件和传染病的信息传输、报告、通报、举报、管理等制度；组建应急处置专家组和专业应急队伍；组织对不明原因疾病、突发急性传染病、突发急性中毒等突发公共卫生事件实施预防控制和调查处理；制定全县突发公共卫生事件应急药品、生物制品、防护物品、卫生设备、通讯网络设备等物资储备计划；向县委县政府、市卫生健康委和上级有关部门报告突发公共卫生事件信息；承办县指挥部交办的其他工作。</w:t>
      </w:r>
    </w:p>
    <w:p w14:paraId="1B526EB7">
      <w:pPr>
        <w:pStyle w:val="4"/>
        <w:numPr>
          <w:ilvl w:val="2"/>
          <w:numId w:val="210"/>
        </w:numPr>
        <w:tabs>
          <w:tab w:val="left" w:pos="0"/>
        </w:tabs>
        <w:rPr>
          <w:rFonts w:ascii="仿宋_GB2312" w:hAnsi="仿宋_GB2312" w:eastAsia="仿宋_GB2312" w:cs="仿宋_GB2312"/>
        </w:rPr>
      </w:pPr>
      <w:r>
        <w:rPr>
          <w:rFonts w:hint="eastAsia" w:ascii="仿宋_GB2312" w:hAnsi="仿宋_GB2312" w:eastAsia="仿宋_GB2312" w:cs="仿宋_GB2312"/>
        </w:rPr>
        <w:t>成员单位工作职责</w:t>
      </w:r>
    </w:p>
    <w:p w14:paraId="5EBA2A63">
      <w:pPr>
        <w:ind w:firstLine="643"/>
      </w:pPr>
      <w:r>
        <w:rPr>
          <w:rFonts w:hint="eastAsia"/>
          <w:b/>
          <w:bCs/>
        </w:rPr>
        <w:t>县卫生健康局：</w:t>
      </w:r>
      <w:r>
        <w:rPr>
          <w:rFonts w:hint="eastAsia"/>
        </w:rPr>
        <w:t>负责组织协调全县突发公共卫生事件应急处理工作。负责组织制订突发公共卫生事件防控技术方案。组织实施紧急医学救援工作和各项预防控制措施。根据预防控制工作需要，依法提出停止大型活动、停课、隔离、封锁有关地区等建议。向有关单位或部门通报突发公共卫生事件相关信息。负责统筹协调全县城乡环境卫生和开展爱国卫生宣传工作。</w:t>
      </w:r>
    </w:p>
    <w:p w14:paraId="1F665534">
      <w:pPr>
        <w:ind w:firstLine="643"/>
        <w:rPr>
          <w:b/>
          <w:bCs/>
        </w:rPr>
      </w:pPr>
      <w:r>
        <w:rPr>
          <w:rFonts w:hint="eastAsia"/>
          <w:b/>
          <w:bCs/>
        </w:rPr>
        <w:t>县应急管理局：</w:t>
      </w:r>
      <w:r>
        <w:rPr>
          <w:rFonts w:hint="eastAsia"/>
        </w:rPr>
        <w:t>指导协调相关部门开展林业和草原有害生物灾害应急处置工作和评估总结。</w:t>
      </w:r>
    </w:p>
    <w:p w14:paraId="6E4BCE5B">
      <w:pPr>
        <w:ind w:firstLine="643"/>
      </w:pPr>
      <w:r>
        <w:rPr>
          <w:rFonts w:hint="eastAsia"/>
          <w:b/>
          <w:bCs/>
        </w:rPr>
        <w:t>县委宣传部：</w:t>
      </w:r>
      <w:r>
        <w:rPr>
          <w:rFonts w:hint="eastAsia"/>
        </w:rPr>
        <w:t>负责组织和指导新闻单位做好突发公共卫生事件信息 发布和宣传报道工作，正确引导社会舆情，加强网上信息发布的管理，积极开展突发公共卫生事件相关科学知识宣传和普及工作。</w:t>
      </w:r>
    </w:p>
    <w:p w14:paraId="027C71A0">
      <w:pPr>
        <w:ind w:firstLine="643"/>
      </w:pPr>
      <w:r>
        <w:rPr>
          <w:rFonts w:hint="eastAsia"/>
          <w:b/>
          <w:bCs/>
        </w:rPr>
        <w:t>县人武部：</w:t>
      </w:r>
      <w:r>
        <w:rPr>
          <w:rFonts w:hint="eastAsia"/>
        </w:rPr>
        <w:t>组织指挥预备役、民兵参与突发公共卫生事件的应急处理工作。</w:t>
      </w:r>
    </w:p>
    <w:p w14:paraId="3175F471">
      <w:pPr>
        <w:ind w:firstLine="643"/>
      </w:pPr>
      <w:r>
        <w:rPr>
          <w:rFonts w:hint="eastAsia"/>
          <w:b/>
          <w:bCs/>
        </w:rPr>
        <w:t>县发展和改革局：</w:t>
      </w:r>
      <w:r>
        <w:rPr>
          <w:rFonts w:hint="eastAsia"/>
        </w:rPr>
        <w:t>负责对粮油等重要商品和服务价格进行动态监测和预警，必要时建议县政府向省市政府提出价格干预措施建议。</w:t>
      </w:r>
    </w:p>
    <w:p w14:paraId="13AF0B85">
      <w:pPr>
        <w:ind w:firstLine="643"/>
      </w:pPr>
      <w:r>
        <w:rPr>
          <w:rFonts w:hint="eastAsia"/>
          <w:b/>
          <w:bCs/>
        </w:rPr>
        <w:t>县教育和体育局：</w:t>
      </w:r>
      <w:r>
        <w:rPr>
          <w:rFonts w:hint="eastAsia"/>
        </w:rPr>
        <w:t>做好学校突发公共卫生事件防控工作，防止突发公共卫生事件在校内发生，加强在校学生、教职工的应急知识宣传，提高自我防护能力；及时向县卫生健康局报告学校内发生疑似突发公共卫生事件，并协助县卫生健康局进行应急处置工作。负责组织科研力量开展应急防治技术科研攻关，协调解决检验技术、药物 疫苗应用中的科技问题。</w:t>
      </w:r>
    </w:p>
    <w:p w14:paraId="7DF4F200">
      <w:pPr>
        <w:ind w:firstLine="643"/>
      </w:pPr>
      <w:r>
        <w:rPr>
          <w:rFonts w:hint="eastAsia"/>
          <w:b/>
          <w:bCs/>
        </w:rPr>
        <w:t>县工业信息科技局：</w:t>
      </w:r>
      <w:r>
        <w:rPr>
          <w:rFonts w:hint="eastAsia"/>
        </w:rPr>
        <w:t>指导医药生产流通企业组织应急药品、医疗设备和器械、防护用品生产和供应；负责做好医药储备及其调度工作；负责协调生活必需品的组织和供应。</w:t>
      </w:r>
    </w:p>
    <w:p w14:paraId="57B0EC0E">
      <w:pPr>
        <w:ind w:firstLine="643"/>
      </w:pPr>
      <w:r>
        <w:rPr>
          <w:rFonts w:hint="eastAsia"/>
          <w:b/>
          <w:bCs/>
        </w:rPr>
        <w:t>县财政局：</w:t>
      </w:r>
      <w:r>
        <w:rPr>
          <w:rFonts w:hint="eastAsia"/>
        </w:rPr>
        <w:t>负责突发公共卫生事件防控和应急处理经费保障，做好经费和捐赠资金的监督管理工作。</w:t>
      </w:r>
    </w:p>
    <w:p w14:paraId="186B14AC">
      <w:pPr>
        <w:ind w:firstLine="643"/>
      </w:pPr>
      <w:r>
        <w:rPr>
          <w:rFonts w:hint="eastAsia"/>
          <w:b/>
          <w:bCs/>
        </w:rPr>
        <w:t>县公安局：</w:t>
      </w:r>
      <w:r>
        <w:rPr>
          <w:rFonts w:hint="eastAsia"/>
        </w:rPr>
        <w:t>密切注视、及时报送与疫情有关的社会动态，依法、及时、妥善地处置与疫情有关的突发事件，查处打击违法犯罪活动，维护社会稳定。协助卫生健康和体育局强制落实隔离、封锁、交通管制和疏导等措施。</w:t>
      </w:r>
    </w:p>
    <w:p w14:paraId="53F90E5D">
      <w:pPr>
        <w:pStyle w:val="61"/>
        <w:ind w:firstLine="643"/>
        <w:rPr>
          <w:b/>
          <w:bCs/>
        </w:rPr>
      </w:pPr>
      <w:r>
        <w:rPr>
          <w:rFonts w:hint="eastAsia"/>
          <w:b/>
          <w:bCs/>
          <w:sz w:val="32"/>
          <w:szCs w:val="32"/>
        </w:rPr>
        <w:t>县民政局：</w:t>
      </w:r>
      <w:r>
        <w:rPr>
          <w:rFonts w:hint="eastAsia"/>
          <w:sz w:val="32"/>
          <w:szCs w:val="32"/>
        </w:rPr>
        <w:t>组织、协调有关部门和社会团体开展社会捐助工作，接受、分配国内外企业、个人以及外国政府、境外组织捐助的资金和物资，做好款物管理和发放工作。组织和动员村（社区）力量，参与群防群治。协调做好死亡人员的火化和其他善后工作。</w:t>
      </w:r>
    </w:p>
    <w:p w14:paraId="6EE6D3C7">
      <w:pPr>
        <w:ind w:firstLine="643"/>
      </w:pPr>
      <w:r>
        <w:rPr>
          <w:rFonts w:hint="eastAsia"/>
          <w:b/>
          <w:bCs/>
        </w:rPr>
        <w:t>县人力资源和社会保障局：</w:t>
      </w:r>
      <w:r>
        <w:rPr>
          <w:rFonts w:hint="eastAsia"/>
        </w:rPr>
        <w:t>落实好参与突发公共卫生事件应急处理工作人员的工伤、保险待遇。</w:t>
      </w:r>
    </w:p>
    <w:p w14:paraId="3E4879DC">
      <w:pPr>
        <w:ind w:firstLine="643"/>
      </w:pPr>
      <w:r>
        <w:rPr>
          <w:rFonts w:hint="eastAsia"/>
          <w:b/>
          <w:bCs/>
        </w:rPr>
        <w:t>县住房和城乡建设局：</w:t>
      </w:r>
      <w:r>
        <w:rPr>
          <w:rFonts w:hint="eastAsia"/>
        </w:rPr>
        <w:t>负责监督指导建筑行业在使用木质建筑材料时主动申报检疫，配合林业部门开展对城乡建设中使用木质材料的检疫检查及查处违规调入、使用疫木及其制品的行为。</w:t>
      </w:r>
    </w:p>
    <w:p w14:paraId="123C3E37">
      <w:pPr>
        <w:ind w:firstLine="643"/>
      </w:pPr>
      <w:r>
        <w:rPr>
          <w:rFonts w:hint="eastAsia"/>
          <w:b/>
          <w:bCs/>
        </w:rPr>
        <w:t>县交通运输局：</w:t>
      </w:r>
      <w:r>
        <w:rPr>
          <w:rFonts w:hint="eastAsia"/>
        </w:rPr>
        <w:t>协助卫生健康和体育局对公路、水路交通工具及乘运人 员实施卫生检疫、查验工作，防止传染病通过交通运输环节传播。保障突发公共卫生事件处置人员、物资、药品、器械等急用物资和有关标本运送中道路通畅，做好疫区的公路、水路交通运输管理工作。</w:t>
      </w:r>
    </w:p>
    <w:p w14:paraId="684E3117">
      <w:pPr>
        <w:ind w:firstLine="643"/>
      </w:pPr>
      <w:r>
        <w:rPr>
          <w:rFonts w:hint="eastAsia"/>
          <w:b/>
          <w:bCs/>
        </w:rPr>
        <w:t>县农业农村局：</w:t>
      </w:r>
      <w:r>
        <w:rPr>
          <w:rFonts w:hint="eastAsia"/>
        </w:rPr>
        <w:t>及时了解掌握农村突发公共卫生事件有关情况，协助卫生健康和体育局做好农村突发公共卫生事件预防控制、宣传教育工作，动员广大农民参与农村爱国卫生运动。</w:t>
      </w:r>
    </w:p>
    <w:p w14:paraId="40322BED">
      <w:pPr>
        <w:ind w:firstLine="643"/>
      </w:pPr>
      <w:r>
        <w:rPr>
          <w:rFonts w:hint="eastAsia"/>
          <w:b/>
          <w:bCs/>
        </w:rPr>
        <w:t>县林业和草原局：</w:t>
      </w:r>
      <w:r>
        <w:rPr>
          <w:rFonts w:hint="eastAsia"/>
        </w:rPr>
        <w:t>负责陆生野生动物疫源疫病的监测、基础调查；发现陆生野生动物出现异常死亡或疫症等情况，及时报告当地动物防疫部门，帮助提供物种鉴定；组织专家分析和提出有关陆生野生动物活动范围和趋势等预警信息；负责动物疫病的防治工作，加强养殖业人畜共患病的防治。</w:t>
      </w:r>
    </w:p>
    <w:p w14:paraId="559B33FC">
      <w:pPr>
        <w:ind w:firstLine="643"/>
      </w:pPr>
      <w:r>
        <w:rPr>
          <w:rFonts w:hint="eastAsia"/>
          <w:b/>
          <w:bCs/>
        </w:rPr>
        <w:t>县市场监督管理局：</w:t>
      </w:r>
      <w:r>
        <w:rPr>
          <w:rFonts w:hint="eastAsia"/>
        </w:rPr>
        <w:t>配合做好突发公共卫生事件的应急救援工作；负责突发公共卫生事件应急处理的药品、医疗器械经营使用环节的监管；负责打击突发公共卫生事件发生时扰乱市场公平交易的行为，维护市场秩序。</w:t>
      </w:r>
    </w:p>
    <w:p w14:paraId="0194D95B">
      <w:pPr>
        <w:ind w:firstLine="643"/>
      </w:pPr>
      <w:r>
        <w:rPr>
          <w:rFonts w:hint="eastAsia"/>
          <w:b/>
          <w:bCs/>
        </w:rPr>
        <w:t>县医疗保障局：</w:t>
      </w:r>
      <w:r>
        <w:rPr>
          <w:rFonts w:hint="eastAsia"/>
        </w:rPr>
        <w:t>负责为突发公共卫生事件提供医疗保障工作。</w:t>
      </w:r>
    </w:p>
    <w:p w14:paraId="334D84C8">
      <w:pPr>
        <w:ind w:firstLine="643"/>
      </w:pPr>
      <w:r>
        <w:rPr>
          <w:rFonts w:hint="eastAsia"/>
          <w:b/>
          <w:bCs/>
        </w:rPr>
        <w:t>双鸭山市集贤生态环境局</w:t>
      </w:r>
      <w:r>
        <w:rPr>
          <w:rFonts w:hint="eastAsia"/>
        </w:rPr>
        <w:t>：负责组织环境质量监测与环境保护监督执法，维护环境安全。</w:t>
      </w:r>
    </w:p>
    <w:p w14:paraId="51E73AA7">
      <w:pPr>
        <w:ind w:firstLine="643"/>
      </w:pPr>
      <w:r>
        <w:rPr>
          <w:rFonts w:hint="eastAsia"/>
          <w:b/>
          <w:bCs/>
        </w:rPr>
        <w:t>县消防救援大队：</w:t>
      </w:r>
      <w:r>
        <w:rPr>
          <w:rFonts w:hint="eastAsia"/>
        </w:rPr>
        <w:t>负责参与突发公共卫生事件应急处置工作。</w:t>
      </w:r>
    </w:p>
    <w:p w14:paraId="5D438EF7">
      <w:pPr>
        <w:ind w:firstLine="643"/>
      </w:pPr>
      <w:r>
        <w:rPr>
          <w:rFonts w:hint="eastAsia"/>
          <w:b/>
          <w:bCs/>
        </w:rPr>
        <w:t>县气象局：</w:t>
      </w:r>
      <w:r>
        <w:rPr>
          <w:rFonts w:hint="eastAsia"/>
        </w:rPr>
        <w:t>组织突发公共卫生事件期间的气象预报，及时分析评估风向、天气变化等天气因素对事件的影响。为事故现场提供风向、风速、温度、湿度等气象要素预报，协助县生态环境局预测有毒有害气体扩散的方向和范围以及空气污染潜能预报。</w:t>
      </w:r>
    </w:p>
    <w:p w14:paraId="6B5F5DB1">
      <w:pPr>
        <w:ind w:firstLine="643"/>
      </w:pPr>
      <w:r>
        <w:rPr>
          <w:rFonts w:hint="eastAsia"/>
          <w:b/>
          <w:bCs/>
        </w:rPr>
        <w:t>县医疗机构：</w:t>
      </w:r>
      <w:r>
        <w:rPr>
          <w:rFonts w:hint="eastAsia"/>
        </w:rPr>
        <w:t>负责病人的现场抢救与转运，负责病例的发现与报告、医疗诊断与救治、医院内感染控制，检测样本采集等协助县疾病预防控制中心开展流行病学调查。</w:t>
      </w:r>
    </w:p>
    <w:p w14:paraId="6DE9D7F9">
      <w:pPr>
        <w:ind w:firstLine="643"/>
      </w:pPr>
      <w:r>
        <w:rPr>
          <w:rFonts w:hint="eastAsia"/>
          <w:b/>
          <w:bCs/>
        </w:rPr>
        <w:t>县疾病预防控制中心：</w:t>
      </w:r>
      <w:r>
        <w:rPr>
          <w:rFonts w:hint="eastAsia"/>
        </w:rPr>
        <w:t>负责组织开展对突发公共卫生事件的监测、报告、分析和预警，事件发生后迅速组织各专业技术人员进行现场流行病学调查与处理，开展现场快速检测和实验室检测，具体落实接触者追踪、消毒、隔离等应急处置工作，提出预防控制突发事件的措施，加强疾病和健康监测。</w:t>
      </w:r>
    </w:p>
    <w:p w14:paraId="4B39F515">
      <w:pPr>
        <w:ind w:firstLine="643"/>
      </w:pPr>
      <w:r>
        <w:rPr>
          <w:rFonts w:hint="eastAsia"/>
          <w:b/>
          <w:bCs/>
        </w:rPr>
        <w:t>县供电公司：</w:t>
      </w:r>
      <w:r>
        <w:rPr>
          <w:rFonts w:hint="eastAsia"/>
        </w:rPr>
        <w:t>负责保障应急救援工作正常用电。</w:t>
      </w:r>
    </w:p>
    <w:p w14:paraId="2FEFAFA1">
      <w:pPr>
        <w:ind w:firstLine="643"/>
      </w:pPr>
      <w:r>
        <w:rPr>
          <w:rFonts w:hint="eastAsia"/>
          <w:b/>
          <w:bCs/>
        </w:rPr>
        <w:t>联通公司、移动公司、电信公司：</w:t>
      </w:r>
      <w:r>
        <w:rPr>
          <w:rFonts w:hint="eastAsia"/>
        </w:rPr>
        <w:t>负责为突发公共卫生事件应急处置提供通信保障工作。</w:t>
      </w:r>
    </w:p>
    <w:p w14:paraId="116070C4">
      <w:pPr>
        <w:pStyle w:val="3"/>
      </w:pPr>
      <w:bookmarkStart w:id="1204" w:name="_Toc16587"/>
      <w:r>
        <w:rPr>
          <w:rFonts w:hint="eastAsia"/>
        </w:rPr>
        <w:t>现场指挥部</w:t>
      </w:r>
      <w:bookmarkEnd w:id="1204"/>
    </w:p>
    <w:p w14:paraId="6FA23290">
      <w:pPr>
        <w:ind w:firstLine="640"/>
      </w:pPr>
      <w:r>
        <w:rPr>
          <w:rFonts w:hint="eastAsia"/>
        </w:rPr>
        <w:t>县指挥部下设综合协调组、防控救治组、交通场站组、市场监管组、医疗物资保障组、生活物资保障组、宣传报道组、社会治安组8个工作组。各组成员可结合处置情况实际进行调整。</w:t>
      </w:r>
    </w:p>
    <w:p w14:paraId="094B9CC7">
      <w:pPr>
        <w:pStyle w:val="4"/>
        <w:numPr>
          <w:ilvl w:val="2"/>
          <w:numId w:val="210"/>
        </w:numPr>
        <w:tabs>
          <w:tab w:val="left" w:pos="0"/>
        </w:tabs>
        <w:rPr>
          <w:rFonts w:ascii="仿宋_GB2312" w:hAnsi="仿宋_GB2312" w:eastAsia="仿宋_GB2312" w:cs="仿宋_GB2312"/>
        </w:rPr>
      </w:pPr>
      <w:r>
        <w:rPr>
          <w:rFonts w:hint="eastAsia" w:ascii="仿宋_GB2312" w:hAnsi="仿宋_GB2312" w:eastAsia="仿宋_GB2312" w:cs="仿宋_GB2312"/>
        </w:rPr>
        <w:t>综合协调组</w:t>
      </w:r>
    </w:p>
    <w:p w14:paraId="1AC97C42">
      <w:pPr>
        <w:ind w:firstLine="640"/>
      </w:pPr>
      <w:r>
        <w:rPr>
          <w:rFonts w:hint="eastAsia"/>
        </w:rPr>
        <w:t>牵头单位：县卫生健康局</w:t>
      </w:r>
    </w:p>
    <w:p w14:paraId="4DDE17F9">
      <w:pPr>
        <w:ind w:firstLine="640"/>
      </w:pPr>
      <w:r>
        <w:rPr>
          <w:rFonts w:hint="eastAsia"/>
        </w:rPr>
        <w:t>成员单位：县应急管理局</w:t>
      </w:r>
    </w:p>
    <w:p w14:paraId="3DD8A985">
      <w:pPr>
        <w:ind w:firstLine="640"/>
      </w:pPr>
      <w:r>
        <w:rPr>
          <w:rFonts w:hint="eastAsia"/>
        </w:rPr>
        <w:t>工作职责：负责综合协调日常事务；负责联防联控会议的组织和重要工作的督办；负责信息收集、汇总、互通、报送等管理工作；负责专家委员会的联系和协调；承办县指挥部交办的相关事宜</w:t>
      </w:r>
    </w:p>
    <w:p w14:paraId="5338FAF6">
      <w:pPr>
        <w:pStyle w:val="4"/>
        <w:numPr>
          <w:ilvl w:val="2"/>
          <w:numId w:val="210"/>
        </w:numPr>
        <w:tabs>
          <w:tab w:val="left" w:pos="0"/>
        </w:tabs>
        <w:rPr>
          <w:rFonts w:ascii="仿宋_GB2312" w:hAnsi="仿宋_GB2312" w:eastAsia="仿宋_GB2312" w:cs="仿宋_GB2312"/>
        </w:rPr>
      </w:pPr>
      <w:r>
        <w:rPr>
          <w:rFonts w:hint="eastAsia" w:ascii="仿宋_GB2312" w:hAnsi="仿宋_GB2312" w:eastAsia="仿宋_GB2312" w:cs="仿宋_GB2312"/>
        </w:rPr>
        <w:t>防控救治组</w:t>
      </w:r>
    </w:p>
    <w:p w14:paraId="6B957A2A">
      <w:pPr>
        <w:ind w:firstLine="640"/>
      </w:pPr>
      <w:r>
        <w:rPr>
          <w:rFonts w:hint="eastAsia"/>
        </w:rPr>
        <w:t>牵头单位：县卫生健康局</w:t>
      </w:r>
    </w:p>
    <w:p w14:paraId="4DF945B7">
      <w:pPr>
        <w:ind w:firstLine="640"/>
      </w:pPr>
      <w:r>
        <w:rPr>
          <w:rFonts w:hint="eastAsia"/>
        </w:rPr>
        <w:t>成员单位：县教育和体育局、县公安局、县民政局、县人力资源社会保障局、县交通运输局、县文化广电和旅游局、县市场监督管理局、县林业和草原局、县农业农村局、双鸭山市集贤生态环境局等相关部门组成</w:t>
      </w:r>
    </w:p>
    <w:p w14:paraId="7EE9A513">
      <w:pPr>
        <w:ind w:firstLine="640"/>
      </w:pPr>
      <w:r>
        <w:rPr>
          <w:rFonts w:hint="eastAsia"/>
        </w:rPr>
        <w:t>工作职责：负责组织制定诊疗和防控技术方案；提出完善的应对策略和措施建议；负责组织、协调全县各级各类医疗机构和传染病收治机构、急救医疗机构等应急医疗救治机构及其相关专业人员，开展突发公共卫生事件的医疗救治工作。组织对易受损害的人群采取应急接种、预防性用药和群体防护等措施，对相关人员采取医学隔离措施，组织对现场采取消毒、隔离措施，对参与应急处理的工作人员采取卫生防护措施等。</w:t>
      </w:r>
    </w:p>
    <w:p w14:paraId="5FE96222">
      <w:pPr>
        <w:pStyle w:val="4"/>
        <w:numPr>
          <w:ilvl w:val="2"/>
          <w:numId w:val="210"/>
        </w:numPr>
        <w:tabs>
          <w:tab w:val="left" w:pos="0"/>
        </w:tabs>
        <w:rPr>
          <w:rFonts w:ascii="仿宋_GB2312" w:hAnsi="仿宋_GB2312" w:eastAsia="仿宋_GB2312" w:cs="仿宋_GB2312"/>
        </w:rPr>
      </w:pPr>
      <w:r>
        <w:rPr>
          <w:rFonts w:hint="eastAsia" w:ascii="仿宋_GB2312" w:hAnsi="仿宋_GB2312" w:eastAsia="仿宋_GB2312" w:cs="仿宋_GB2312"/>
        </w:rPr>
        <w:t>交通场站组</w:t>
      </w:r>
    </w:p>
    <w:p w14:paraId="787DE453">
      <w:pPr>
        <w:ind w:firstLine="640"/>
      </w:pPr>
      <w:r>
        <w:rPr>
          <w:rFonts w:hint="eastAsia"/>
        </w:rPr>
        <w:t>牵头单位：县交通运输局</w:t>
      </w:r>
    </w:p>
    <w:p w14:paraId="3BAF1295">
      <w:pPr>
        <w:ind w:firstLine="640"/>
      </w:pPr>
      <w:r>
        <w:rPr>
          <w:rFonts w:hint="eastAsia"/>
        </w:rPr>
        <w:t>成员单位：县卫生健康局、县公安局、县人武部、各乡镇政府等相关部门</w:t>
      </w:r>
    </w:p>
    <w:p w14:paraId="6FF3182E">
      <w:pPr>
        <w:ind w:firstLine="640"/>
      </w:pPr>
      <w:r>
        <w:rPr>
          <w:rFonts w:hint="eastAsia"/>
        </w:rPr>
        <w:t>工作职责：负责进入县域内的交通主干要道设置临时检疫点，对出入交通工具及乘运人员进行登记、检疫、查验工作，对传染病病例、疑似病例采取就地隔离、就地观察、就地治疗的措施。保障突发公共卫生事件处置人员、物资、药品、器械等急用物资和有关标本运送中道路通畅。</w:t>
      </w:r>
    </w:p>
    <w:p w14:paraId="2C397309">
      <w:pPr>
        <w:pStyle w:val="4"/>
        <w:numPr>
          <w:ilvl w:val="2"/>
          <w:numId w:val="210"/>
        </w:numPr>
        <w:tabs>
          <w:tab w:val="left" w:pos="0"/>
        </w:tabs>
        <w:rPr>
          <w:rFonts w:ascii="仿宋_GB2312" w:hAnsi="仿宋_GB2312" w:eastAsia="仿宋_GB2312" w:cs="仿宋_GB2312"/>
        </w:rPr>
      </w:pPr>
      <w:r>
        <w:rPr>
          <w:rFonts w:hint="eastAsia" w:ascii="仿宋_GB2312" w:hAnsi="仿宋_GB2312" w:eastAsia="仿宋_GB2312" w:cs="仿宋_GB2312"/>
        </w:rPr>
        <w:t>市场监管组</w:t>
      </w:r>
    </w:p>
    <w:p w14:paraId="0C794270">
      <w:pPr>
        <w:ind w:firstLine="640"/>
      </w:pPr>
      <w:r>
        <w:rPr>
          <w:rFonts w:hint="eastAsia"/>
        </w:rPr>
        <w:t>牵头单位：县市场监督管理局</w:t>
      </w:r>
    </w:p>
    <w:p w14:paraId="0F183FDB">
      <w:pPr>
        <w:ind w:firstLine="640"/>
      </w:pPr>
      <w:r>
        <w:rPr>
          <w:rFonts w:hint="eastAsia"/>
        </w:rPr>
        <w:t>成员单位：县发展和改革局、县工业信息科技局、县公安局、县财政局等相关部门</w:t>
      </w:r>
    </w:p>
    <w:p w14:paraId="00C71702">
      <w:pPr>
        <w:ind w:firstLine="640"/>
      </w:pPr>
      <w:r>
        <w:rPr>
          <w:rFonts w:hint="eastAsia"/>
        </w:rPr>
        <w:t>工作职责：负责保障商品供应，平抑物价，防止哄抢；严厉打击制谣传谣、哄抬物价、囤积居奇、制假售假等违法犯罪和扰乱社会 治安的行为。适时动用县级储备物资。</w:t>
      </w:r>
    </w:p>
    <w:p w14:paraId="695B55BE">
      <w:pPr>
        <w:pStyle w:val="4"/>
        <w:numPr>
          <w:ilvl w:val="2"/>
          <w:numId w:val="210"/>
        </w:numPr>
        <w:tabs>
          <w:tab w:val="left" w:pos="0"/>
        </w:tabs>
        <w:rPr>
          <w:rFonts w:ascii="仿宋_GB2312" w:hAnsi="仿宋_GB2312" w:eastAsia="仿宋_GB2312" w:cs="仿宋_GB2312"/>
        </w:rPr>
      </w:pPr>
      <w:r>
        <w:rPr>
          <w:rFonts w:hint="eastAsia" w:ascii="仿宋_GB2312" w:hAnsi="仿宋_GB2312" w:eastAsia="仿宋_GB2312" w:cs="仿宋_GB2312"/>
        </w:rPr>
        <w:t>医疗物资保障组</w:t>
      </w:r>
    </w:p>
    <w:p w14:paraId="0F09DA19">
      <w:pPr>
        <w:ind w:firstLine="640"/>
      </w:pPr>
      <w:r>
        <w:rPr>
          <w:rFonts w:hint="eastAsia"/>
        </w:rPr>
        <w:t>牵头单位：县市场监督管理局</w:t>
      </w:r>
    </w:p>
    <w:p w14:paraId="706988AD">
      <w:pPr>
        <w:ind w:firstLine="640"/>
      </w:pPr>
      <w:r>
        <w:rPr>
          <w:rFonts w:hint="eastAsia"/>
        </w:rPr>
        <w:t>成员单位：县发展和改革局、县工业信息科技局、县公安局、县财政局等相关部门</w:t>
      </w:r>
    </w:p>
    <w:p w14:paraId="70D79539">
      <w:pPr>
        <w:ind w:firstLine="640"/>
      </w:pPr>
      <w:r>
        <w:rPr>
          <w:rFonts w:hint="eastAsia"/>
        </w:rPr>
        <w:t>工作职责：负责统筹和协调防控应急和医疗救助物资保障工作；评估和协调防控应急等物资供需、生产、储备、运输等事宜；协调安排防控应急和医疗救助物资保障专项资金；督促和检查各项保 障措施落实情况。</w:t>
      </w:r>
    </w:p>
    <w:p w14:paraId="3C3F974A">
      <w:pPr>
        <w:pStyle w:val="4"/>
        <w:numPr>
          <w:ilvl w:val="2"/>
          <w:numId w:val="210"/>
        </w:numPr>
        <w:tabs>
          <w:tab w:val="left" w:pos="0"/>
        </w:tabs>
        <w:rPr>
          <w:rFonts w:ascii="仿宋_GB2312" w:hAnsi="仿宋_GB2312" w:eastAsia="仿宋_GB2312" w:cs="仿宋_GB2312"/>
        </w:rPr>
      </w:pPr>
      <w:r>
        <w:rPr>
          <w:rFonts w:hint="eastAsia" w:ascii="仿宋_GB2312" w:hAnsi="仿宋_GB2312" w:eastAsia="仿宋_GB2312" w:cs="仿宋_GB2312"/>
        </w:rPr>
        <w:t>生活物资保障组</w:t>
      </w:r>
    </w:p>
    <w:p w14:paraId="395E4267">
      <w:pPr>
        <w:ind w:firstLine="640"/>
      </w:pPr>
      <w:r>
        <w:rPr>
          <w:rFonts w:hint="eastAsia"/>
        </w:rPr>
        <w:t>牵头单位：县商务局</w:t>
      </w:r>
    </w:p>
    <w:p w14:paraId="6AEE1460">
      <w:pPr>
        <w:ind w:firstLine="640"/>
      </w:pPr>
      <w:r>
        <w:rPr>
          <w:rFonts w:hint="eastAsia"/>
        </w:rPr>
        <w:t>成员单位：县工业信息科技局、县财政局、县民政局、县人力资源社会保障局、县交通运输局、县市场监督管理局、县应急管理局、县人武部、县消防救援大队、县气象局等相关部门</w:t>
      </w:r>
    </w:p>
    <w:p w14:paraId="0AADDDC9">
      <w:pPr>
        <w:ind w:firstLine="640"/>
      </w:pPr>
      <w:r>
        <w:rPr>
          <w:rFonts w:hint="eastAsia"/>
        </w:rPr>
        <w:t>工作职责：负责统筹和协调生活必需品市场供给及动态监测，维护市场秩序；承办县指挥部交办的相关事宜。</w:t>
      </w:r>
    </w:p>
    <w:p w14:paraId="4C971E73">
      <w:pPr>
        <w:pStyle w:val="4"/>
        <w:numPr>
          <w:ilvl w:val="2"/>
          <w:numId w:val="210"/>
        </w:numPr>
        <w:tabs>
          <w:tab w:val="left" w:pos="0"/>
        </w:tabs>
        <w:rPr>
          <w:rFonts w:ascii="仿宋_GB2312" w:hAnsi="仿宋_GB2312" w:eastAsia="仿宋_GB2312" w:cs="仿宋_GB2312"/>
        </w:rPr>
      </w:pPr>
      <w:r>
        <w:rPr>
          <w:rFonts w:hint="eastAsia" w:ascii="仿宋_GB2312" w:hAnsi="仿宋_GB2312" w:eastAsia="仿宋_GB2312" w:cs="仿宋_GB2312"/>
        </w:rPr>
        <w:t>宣传报道组</w:t>
      </w:r>
    </w:p>
    <w:p w14:paraId="149F4A20">
      <w:pPr>
        <w:ind w:firstLine="640"/>
      </w:pPr>
      <w:r>
        <w:rPr>
          <w:rFonts w:hint="eastAsia"/>
        </w:rPr>
        <w:t>牵头单位：县委宣传部</w:t>
      </w:r>
    </w:p>
    <w:p w14:paraId="3340D30F">
      <w:pPr>
        <w:ind w:firstLine="640"/>
      </w:pPr>
      <w:r>
        <w:rPr>
          <w:rFonts w:hint="eastAsia"/>
        </w:rPr>
        <w:t>成员单位：县卫生健康局、县委网信办、县公安局、移动公司、联通公司、电信公司等相关部门</w:t>
      </w:r>
    </w:p>
    <w:p w14:paraId="3F849998">
      <w:pPr>
        <w:ind w:firstLine="640"/>
      </w:pPr>
      <w:r>
        <w:rPr>
          <w:rFonts w:hint="eastAsia"/>
        </w:rPr>
        <w:t>工作职责：负责突发公共卫生事件的宣传报道和舆论引导工作；开展舆情监测，及时澄清事实；协助相关部门宣传突发公共卫生事件相关防控知识；承办县指挥部交办的相关事宜。</w:t>
      </w:r>
    </w:p>
    <w:p w14:paraId="6CCED917">
      <w:pPr>
        <w:pStyle w:val="4"/>
        <w:numPr>
          <w:ilvl w:val="2"/>
          <w:numId w:val="210"/>
        </w:numPr>
        <w:tabs>
          <w:tab w:val="left" w:pos="0"/>
        </w:tabs>
        <w:rPr>
          <w:rFonts w:ascii="仿宋_GB2312" w:hAnsi="仿宋_GB2312" w:eastAsia="仿宋_GB2312" w:cs="仿宋_GB2312"/>
        </w:rPr>
      </w:pPr>
      <w:r>
        <w:rPr>
          <w:rFonts w:hint="eastAsia" w:ascii="仿宋_GB2312" w:hAnsi="仿宋_GB2312" w:eastAsia="仿宋_GB2312" w:cs="仿宋_GB2312"/>
        </w:rPr>
        <w:t>社会治安组</w:t>
      </w:r>
    </w:p>
    <w:p w14:paraId="7C570D76">
      <w:pPr>
        <w:ind w:firstLine="640"/>
      </w:pPr>
      <w:r>
        <w:rPr>
          <w:rFonts w:hint="eastAsia"/>
        </w:rPr>
        <w:t>牵头单位：县公安局牵</w:t>
      </w:r>
    </w:p>
    <w:p w14:paraId="3A41DA25">
      <w:pPr>
        <w:ind w:firstLine="640"/>
      </w:pPr>
      <w:r>
        <w:rPr>
          <w:rFonts w:hint="eastAsia"/>
        </w:rPr>
        <w:t>成员单位：县人武部、各乡镇人民政府</w:t>
      </w:r>
    </w:p>
    <w:p w14:paraId="70272DAC">
      <w:pPr>
        <w:ind w:firstLine="640"/>
      </w:pPr>
      <w:r>
        <w:rPr>
          <w:rFonts w:hint="eastAsia"/>
        </w:rPr>
        <w:t>工作职责：负责掌握、分析突发公共卫生事件现场社会治安动态，对突发公共卫生事件发生地的社会稳定和治安状况进行调查、了解，及时向指挥部汇报，对采取进一步的应对措施提出建议，组织做好突发公共卫生事件区域的治安管理，依法协助对传染病病人、疑似传染病病人和密切接触者采取法定措施，维护县指挥部的工作安全。</w:t>
      </w:r>
    </w:p>
    <w:p w14:paraId="328C410B">
      <w:pPr>
        <w:pStyle w:val="3"/>
      </w:pPr>
      <w:bookmarkStart w:id="1205" w:name="_Toc32535"/>
      <w:r>
        <w:rPr>
          <w:rFonts w:hint="eastAsia"/>
        </w:rPr>
        <w:t>专家技术组</w:t>
      </w:r>
      <w:bookmarkEnd w:id="1205"/>
    </w:p>
    <w:p w14:paraId="3EB87D7E">
      <w:pPr>
        <w:ind w:firstLine="640"/>
      </w:pPr>
      <w:r>
        <w:rPr>
          <w:rFonts w:hint="eastAsia"/>
        </w:rPr>
        <w:t>县指挥部办公室负责组建突发公共卫生事件专家咨询委员会，专家咨询委员会由医疗救治、流行病学调查、实验检测、卫生监督、应急管理、生态环境、市场监管等专家组成。</w:t>
      </w:r>
    </w:p>
    <w:p w14:paraId="04CC37E3">
      <w:pPr>
        <w:ind w:firstLine="640"/>
      </w:pPr>
      <w:r>
        <w:rPr>
          <w:rFonts w:hint="eastAsia"/>
        </w:rPr>
        <w:t>主要职责：对确定突发公共卫生事件级别以及采取相应的重要措施提出建议；对突发公共应急管理工作提出切合实际的工作建议；参与制订、修订突发公共卫生事件应急预案和技术方案；对突发公共卫生事件应急处置进行技术指导；对突发公共卫生事件应急响应的终止、后期评估提出咨询意见；承担县指挥部及其办公室交办的其他技术指导工作。</w:t>
      </w:r>
    </w:p>
    <w:p w14:paraId="1A024921">
      <w:pPr>
        <w:pStyle w:val="3"/>
      </w:pPr>
      <w:bookmarkStart w:id="1206" w:name="_Toc12280"/>
      <w:r>
        <w:rPr>
          <w:rFonts w:hint="eastAsia"/>
        </w:rPr>
        <w:t>乡镇应急指挥机构</w:t>
      </w:r>
      <w:bookmarkEnd w:id="1206"/>
    </w:p>
    <w:p w14:paraId="55CAC412">
      <w:pPr>
        <w:ind w:firstLine="640"/>
      </w:pPr>
      <w:r>
        <w:rPr>
          <w:rFonts w:hint="eastAsia"/>
        </w:rPr>
        <w:t>各乡镇政府设立相应的突发公共卫生事件应急指挥机构。负责辖区内突发公共卫生事件的预防控制、信息上报、先期处置，按照县指挥部的要求开展应急处置等工作；负责辖区公共卫生应急知识的宣传、教育、培训、演练等工作。</w:t>
      </w:r>
    </w:p>
    <w:p w14:paraId="74E37217">
      <w:pPr>
        <w:pStyle w:val="3"/>
      </w:pPr>
      <w:bookmarkStart w:id="1207" w:name="_Toc31162"/>
      <w:r>
        <w:rPr>
          <w:rFonts w:hint="eastAsia"/>
        </w:rPr>
        <w:t>专业技术机构</w:t>
      </w:r>
      <w:bookmarkEnd w:id="1207"/>
    </w:p>
    <w:p w14:paraId="080F96E2">
      <w:pPr>
        <w:ind w:firstLine="640"/>
      </w:pPr>
      <w:r>
        <w:rPr>
          <w:rFonts w:hint="eastAsia"/>
        </w:rPr>
        <w:t>各级各类医疗卫生机构是突发公共卫生事件应急处置的专业技术机构，要结合本单位的职责开展专业技术人员处置突发公共卫生事件能力的培训，提高快速应对突发公共卫生事件的能力和技术水平。发生突发公共卫生事件后，医疗卫生机构和专业技术人员要服从县指挥部的统一指挥、调度，开展应急处置工作。</w:t>
      </w:r>
    </w:p>
    <w:p w14:paraId="7029BC0C">
      <w:pPr>
        <w:ind w:firstLine="640"/>
      </w:pPr>
      <w:r>
        <w:rPr>
          <w:rFonts w:hint="eastAsia"/>
        </w:rPr>
        <w:t>县各医疗机构：负责病人的现场抢救与转运，负责病例的发现与报告、医疗诊断与救治、医院内感染控制、检测样本采集等，协助县疾病预防控制中心开展流行病学调查。</w:t>
      </w:r>
    </w:p>
    <w:p w14:paraId="1E53064B">
      <w:pPr>
        <w:ind w:firstLine="640"/>
      </w:pPr>
      <w:r>
        <w:rPr>
          <w:rFonts w:hint="eastAsia"/>
        </w:rPr>
        <w:t>县疾病预防控制中心：负责组织开展对突发公共卫生事件的监测、报告、分析和预警，事件发生后迅速组织各专业技术人员进行现场流行病学调查与处理，开展现场快速检测和实验室检测，具体落实接触者追踪、消毒、隔离等应急处置工作，提出预防控制突发事件的措施，加强疾病和健康监测。</w:t>
      </w:r>
    </w:p>
    <w:p w14:paraId="7B21A604">
      <w:pPr>
        <w:pStyle w:val="2"/>
        <w:numPr>
          <w:ilvl w:val="0"/>
          <w:numId w:val="210"/>
        </w:numPr>
        <w:tabs>
          <w:tab w:val="left" w:pos="0"/>
        </w:tabs>
        <w:rPr>
          <w:sz w:val="32"/>
          <w:szCs w:val="32"/>
        </w:rPr>
      </w:pPr>
      <w:bookmarkStart w:id="1208" w:name="_Toc26681"/>
      <w:r>
        <w:rPr>
          <w:rFonts w:hint="eastAsia"/>
          <w:sz w:val="32"/>
          <w:szCs w:val="32"/>
        </w:rPr>
        <w:t>预防和预警机制</w:t>
      </w:r>
      <w:bookmarkEnd w:id="1208"/>
    </w:p>
    <w:p w14:paraId="2191F441">
      <w:pPr>
        <w:pStyle w:val="3"/>
      </w:pPr>
      <w:bookmarkStart w:id="1209" w:name="_Toc22171"/>
      <w:r>
        <w:rPr>
          <w:rFonts w:hint="eastAsia"/>
        </w:rPr>
        <w:t>事件监测</w:t>
      </w:r>
      <w:bookmarkEnd w:id="1209"/>
    </w:p>
    <w:p w14:paraId="41DA740E">
      <w:pPr>
        <w:ind w:firstLine="640"/>
      </w:pPr>
      <w:r>
        <w:rPr>
          <w:rFonts w:hint="eastAsia"/>
        </w:rPr>
        <w:t>县指挥部组织卫生健康、教育、林业、自然资源、畜牧、农业农村等部门，根据突发公共卫生事件的种类和特点，完善监测网络，划分监测区域，确定监测点，明确监测任务，负责对可能发生的突发公共卫生事件开展日常监测和应急监测。</w:t>
      </w:r>
    </w:p>
    <w:p w14:paraId="31FCB783">
      <w:pPr>
        <w:ind w:firstLine="640"/>
      </w:pPr>
      <w:r>
        <w:rPr>
          <w:rFonts w:hint="eastAsia"/>
        </w:rPr>
        <w:t>县卫生健康局组织各级各类医疗卫生机构，对可能发生的重大传染病疫情、群体不明原因疾病、急性中毒等开展临床症状、流行病学、病原学和血清学等监测，并对突发公共卫生事件相关信息进行监测。县教育、林业、自然资源、畜牧、农业农村等部门加强所属行业突发公共卫生事件日常监测和信息收集。</w:t>
      </w:r>
    </w:p>
    <w:p w14:paraId="062CDF8F">
      <w:pPr>
        <w:ind w:firstLine="640"/>
      </w:pPr>
      <w:r>
        <w:rPr>
          <w:rFonts w:hint="eastAsia"/>
        </w:rPr>
        <w:t>预警信息包括：自然疫源性疾病疫情信息，自然灾害发生地区的重点传染病和卫生事件信息，主要症状和重点疾病的医疗机构临床诊断信息等。</w:t>
      </w:r>
    </w:p>
    <w:p w14:paraId="3984BECB">
      <w:pPr>
        <w:pStyle w:val="3"/>
      </w:pPr>
      <w:bookmarkStart w:id="1210" w:name="_Toc17989"/>
      <w:r>
        <w:rPr>
          <w:rFonts w:hint="eastAsia"/>
        </w:rPr>
        <w:t>风险评估</w:t>
      </w:r>
      <w:bookmarkEnd w:id="1210"/>
    </w:p>
    <w:p w14:paraId="33CCBF84">
      <w:pPr>
        <w:ind w:firstLine="640"/>
      </w:pPr>
      <w:r>
        <w:rPr>
          <w:rFonts w:hint="eastAsia"/>
        </w:rPr>
        <w:t>县指挥部办公室对县卫生健康、教育、林业、自然资源、畜牧、农业农村等部门提供的日常、应急监测数据进行分析。必要时，组织相关部门、专业技术人员、专家学者进行联合会商、评估。对可能引发突发公共卫生事件的倾向性、苗头性问题，提出有效的预防措施建议和预警级别建议，并及时向县委县政府和市卫生健康委报告。</w:t>
      </w:r>
    </w:p>
    <w:p w14:paraId="5D9C3878">
      <w:pPr>
        <w:pStyle w:val="3"/>
      </w:pPr>
      <w:bookmarkStart w:id="1211" w:name="_Toc19843"/>
      <w:r>
        <w:rPr>
          <w:rFonts w:hint="eastAsia"/>
        </w:rPr>
        <w:t>预警发布</w:t>
      </w:r>
      <w:bookmarkEnd w:id="1211"/>
      <w:r>
        <w:rPr>
          <w:rFonts w:hint="eastAsia"/>
        </w:rPr>
        <w:t xml:space="preserve"> </w:t>
      </w:r>
    </w:p>
    <w:p w14:paraId="7B4E9B1F">
      <w:pPr>
        <w:ind w:firstLine="640"/>
      </w:pPr>
      <w:r>
        <w:rPr>
          <w:rFonts w:hint="eastAsia"/>
        </w:rPr>
        <w:t>县指挥部根据有关法律、法规规定的权限和程序，发布相应级别的预警。</w:t>
      </w:r>
    </w:p>
    <w:p w14:paraId="4F8ACCA3">
      <w:pPr>
        <w:numPr>
          <w:ilvl w:val="0"/>
          <w:numId w:val="212"/>
        </w:numPr>
        <w:ind w:firstLine="640"/>
      </w:pPr>
      <w:r>
        <w:rPr>
          <w:rFonts w:hint="eastAsia"/>
        </w:rPr>
        <w:t>预警方式：根据突发公共卫生事件的性质、影响范围、严重性、紧急程度，预警分成内部预警和社会预警。内部预警是针对卫生系统内部各医疗卫生机构、医务人员以及县直相关部门，主要目的是增强预防措施，提高监测能力和水平。社会预警是针对社会一般公民，主要目的是增强群众自我防控能力。</w:t>
      </w:r>
    </w:p>
    <w:p w14:paraId="45C2DAA5">
      <w:pPr>
        <w:numPr>
          <w:ilvl w:val="0"/>
          <w:numId w:val="212"/>
        </w:numPr>
        <w:ind w:firstLine="640"/>
      </w:pPr>
      <w:r>
        <w:rPr>
          <w:rFonts w:hint="eastAsia"/>
        </w:rPr>
        <w:t>预警方法：内部预警采取通报、培训等方法，社会预 警一般通过新闻媒体以通告或公告形式发布。</w:t>
      </w:r>
    </w:p>
    <w:p w14:paraId="350D4C31">
      <w:pPr>
        <w:pStyle w:val="3"/>
      </w:pPr>
      <w:bookmarkStart w:id="1212" w:name="_Toc24842"/>
      <w:r>
        <w:rPr>
          <w:rFonts w:hint="eastAsia"/>
        </w:rPr>
        <w:t>预警行动</w:t>
      </w:r>
      <w:bookmarkEnd w:id="1212"/>
      <w:r>
        <w:rPr>
          <w:rFonts w:hint="eastAsia"/>
        </w:rPr>
        <w:t xml:space="preserve"> </w:t>
      </w:r>
    </w:p>
    <w:p w14:paraId="4AE9976A">
      <w:pPr>
        <w:ind w:firstLine="640"/>
      </w:pPr>
      <w:r>
        <w:rPr>
          <w:rFonts w:hint="eastAsia"/>
        </w:rPr>
        <w:t>进入预警期时，县指挥部根据可能发生的突发公共卫生事件种类、特点和危害，采取下列多项响应措施：</w:t>
      </w:r>
    </w:p>
    <w:p w14:paraId="5053A905">
      <w:pPr>
        <w:numPr>
          <w:ilvl w:val="0"/>
          <w:numId w:val="213"/>
        </w:numPr>
        <w:ind w:firstLine="640"/>
      </w:pPr>
      <w:r>
        <w:rPr>
          <w:rFonts w:hint="eastAsia"/>
        </w:rPr>
        <w:t>县指挥部办公室组织医疗卫生机构、专业技术人员、专家，对有关信息进行分析评估研判，预测可能发生突发公共卫生事件的机率，影响范围和强度等。</w:t>
      </w:r>
    </w:p>
    <w:p w14:paraId="56DFB69B">
      <w:pPr>
        <w:numPr>
          <w:ilvl w:val="0"/>
          <w:numId w:val="213"/>
        </w:numPr>
        <w:ind w:firstLine="640"/>
      </w:pPr>
      <w:r>
        <w:rPr>
          <w:rFonts w:hint="eastAsia"/>
        </w:rPr>
        <w:t>向社会发布分析评估结果，宣传避免、减轻危害的常识，公布咨询电话，增强应急值守。</w:t>
      </w:r>
    </w:p>
    <w:p w14:paraId="17EAF20B">
      <w:pPr>
        <w:numPr>
          <w:ilvl w:val="0"/>
          <w:numId w:val="213"/>
        </w:numPr>
        <w:ind w:firstLine="640"/>
      </w:pPr>
      <w:r>
        <w:rPr>
          <w:rFonts w:hint="eastAsia"/>
        </w:rPr>
        <w:t>启动部门间联防联控工作，有关工作组、成员单位、专业技术机构、应急队伍和专家等进入应对或待命状态；筹集、储备、调拨医药和防护消杀等必需物资；开展应急培训和演练，完善技术和能力准备。</w:t>
      </w:r>
    </w:p>
    <w:p w14:paraId="132FD84D">
      <w:pPr>
        <w:numPr>
          <w:ilvl w:val="0"/>
          <w:numId w:val="213"/>
        </w:numPr>
        <w:ind w:firstLine="640"/>
      </w:pPr>
      <w:r>
        <w:rPr>
          <w:rFonts w:hint="eastAsia"/>
        </w:rPr>
        <w:t>加强对突发公共卫生事件危险源、危险区域及重点单位、重要部位和重要基础设施的安全保卫，维护社会治安秩序。</w:t>
      </w:r>
    </w:p>
    <w:p w14:paraId="4BC9FC98">
      <w:pPr>
        <w:numPr>
          <w:ilvl w:val="0"/>
          <w:numId w:val="213"/>
        </w:numPr>
        <w:ind w:firstLine="640"/>
      </w:pPr>
      <w:r>
        <w:rPr>
          <w:rFonts w:hint="eastAsia"/>
        </w:rPr>
        <w:t>采取必要措施，确保卫生应急和医疗救援机构的安全和正常运行。</w:t>
      </w:r>
    </w:p>
    <w:p w14:paraId="0CA4E2DE">
      <w:pPr>
        <w:numPr>
          <w:ilvl w:val="0"/>
          <w:numId w:val="213"/>
        </w:numPr>
        <w:ind w:firstLine="640"/>
      </w:pPr>
      <w:r>
        <w:rPr>
          <w:rFonts w:hint="eastAsia"/>
        </w:rPr>
        <w:t>采取必要的预防性措施，化解重点区域、重点场所、重点人群公共卫生风险。</w:t>
      </w:r>
    </w:p>
    <w:p w14:paraId="5B510FBA">
      <w:pPr>
        <w:numPr>
          <w:ilvl w:val="0"/>
          <w:numId w:val="213"/>
        </w:numPr>
        <w:ind w:firstLine="640"/>
      </w:pPr>
      <w:r>
        <w:rPr>
          <w:rFonts w:hint="eastAsia"/>
        </w:rPr>
        <w:t>关闭或限制使用易受突发公共卫生事件危害的场所，控制或限制容易导致危害扩大的公共场所的活动。</w:t>
      </w:r>
    </w:p>
    <w:p w14:paraId="7F37AD13">
      <w:pPr>
        <w:numPr>
          <w:ilvl w:val="0"/>
          <w:numId w:val="213"/>
        </w:numPr>
        <w:ind w:firstLine="640"/>
      </w:pPr>
      <w:r>
        <w:rPr>
          <w:rFonts w:hint="eastAsia"/>
        </w:rPr>
        <w:t>及时向社会发布采取的特定措施和避免或减轻危害的建议、劝告。</w:t>
      </w:r>
    </w:p>
    <w:p w14:paraId="77B74866">
      <w:pPr>
        <w:numPr>
          <w:ilvl w:val="0"/>
          <w:numId w:val="213"/>
        </w:numPr>
        <w:ind w:firstLine="640"/>
      </w:pPr>
      <w:r>
        <w:rPr>
          <w:rFonts w:hint="eastAsia"/>
        </w:rPr>
        <w:t>法律、法规、规章规定的其他必要的防范性、保护性措施。</w:t>
      </w:r>
    </w:p>
    <w:p w14:paraId="69D8C319">
      <w:pPr>
        <w:pStyle w:val="3"/>
      </w:pPr>
      <w:bookmarkStart w:id="1213" w:name="_Toc26336"/>
      <w:r>
        <w:rPr>
          <w:rFonts w:hint="eastAsia"/>
        </w:rPr>
        <w:t>预警解除</w:t>
      </w:r>
      <w:bookmarkEnd w:id="1213"/>
    </w:p>
    <w:p w14:paraId="1F979F61">
      <w:pPr>
        <w:ind w:firstLine="640"/>
      </w:pPr>
      <w:r>
        <w:rPr>
          <w:rFonts w:hint="eastAsia"/>
        </w:rPr>
        <w:t>经分析研判，不可能发生突发公共卫生事件或风险已经消除的，由县指挥部按照“谁发布，谁解除”的原则宣布解除预警，终止预警期采取的紧急应对措施。</w:t>
      </w:r>
    </w:p>
    <w:p w14:paraId="45BEE4A4">
      <w:pPr>
        <w:pStyle w:val="2"/>
        <w:numPr>
          <w:ilvl w:val="0"/>
          <w:numId w:val="210"/>
        </w:numPr>
        <w:tabs>
          <w:tab w:val="left" w:pos="0"/>
        </w:tabs>
        <w:rPr>
          <w:sz w:val="32"/>
          <w:szCs w:val="32"/>
        </w:rPr>
      </w:pPr>
      <w:bookmarkStart w:id="1214" w:name="_Toc8075"/>
      <w:r>
        <w:rPr>
          <w:rFonts w:hint="eastAsia"/>
          <w:sz w:val="32"/>
          <w:szCs w:val="32"/>
        </w:rPr>
        <w:t>信息报告、通报和发布</w:t>
      </w:r>
      <w:bookmarkEnd w:id="1214"/>
    </w:p>
    <w:p w14:paraId="25D0951F">
      <w:pPr>
        <w:pStyle w:val="3"/>
      </w:pPr>
      <w:bookmarkStart w:id="1215" w:name="_Toc13494"/>
      <w:r>
        <w:rPr>
          <w:rFonts w:hint="eastAsia"/>
        </w:rPr>
        <w:t>信息报告</w:t>
      </w:r>
      <w:bookmarkEnd w:id="1215"/>
    </w:p>
    <w:p w14:paraId="1C41D13F">
      <w:pPr>
        <w:ind w:firstLine="640"/>
      </w:pPr>
      <w:r>
        <w:rPr>
          <w:rFonts w:hint="eastAsia"/>
        </w:rPr>
        <w:t>县疾病预防控制中心按照专业分工、属地管理原则负责对行政区域内的突发公共卫生事件进行监测、信息收集、信息核实、信息报告与管理工作。各级各类医疗机构建立突发公共卫生事件信息监测报告制度，执行首诊负责制，严格门诊日志制度，做好突发公共卫生事件信息报告。铁路、交通、厂(场)矿等所属的医疗卫生机构发现突发公共卫生事件，按属地管理原则，向县疾病预防控制中心报告。</w:t>
      </w:r>
    </w:p>
    <w:p w14:paraId="010B4BAD">
      <w:pPr>
        <w:pStyle w:val="4"/>
        <w:numPr>
          <w:ilvl w:val="2"/>
          <w:numId w:val="210"/>
        </w:numPr>
        <w:tabs>
          <w:tab w:val="left" w:pos="0"/>
        </w:tabs>
        <w:rPr>
          <w:rFonts w:ascii="仿宋_GB2312" w:hAnsi="仿宋_GB2312" w:eastAsia="仿宋_GB2312" w:cs="仿宋_GB2312"/>
        </w:rPr>
      </w:pPr>
      <w:r>
        <w:rPr>
          <w:rFonts w:hint="eastAsia" w:ascii="仿宋_GB2312" w:hAnsi="仿宋_GB2312" w:eastAsia="仿宋_GB2312" w:cs="仿宋_GB2312"/>
        </w:rPr>
        <w:t>责任报告人</w:t>
      </w:r>
    </w:p>
    <w:p w14:paraId="633A4A56">
      <w:pPr>
        <w:ind w:firstLine="640"/>
      </w:pPr>
      <w:r>
        <w:rPr>
          <w:rFonts w:hint="eastAsia"/>
        </w:rPr>
        <w:t>执行职务的各级各类医护人员和检疫人员、疾病预防控制人员、乡村医生、个体开业医生均为责任报告人。</w:t>
      </w:r>
    </w:p>
    <w:p w14:paraId="1D55B2BA">
      <w:pPr>
        <w:ind w:firstLine="640"/>
      </w:pPr>
      <w:r>
        <w:rPr>
          <w:rFonts w:hint="eastAsia"/>
        </w:rPr>
        <w:t>任何单位和个人有权向各乡镇人民政府及其有关部门报告突发公共卫生事件及其隐患，有权向上级政府部门举报不履行或者不按照规定履行突发公共卫生事件应急处理职责的部门、单位及个人。</w:t>
      </w:r>
    </w:p>
    <w:p w14:paraId="259C2CBD">
      <w:pPr>
        <w:pStyle w:val="4"/>
        <w:numPr>
          <w:ilvl w:val="2"/>
          <w:numId w:val="210"/>
        </w:numPr>
        <w:tabs>
          <w:tab w:val="left" w:pos="0"/>
        </w:tabs>
        <w:rPr>
          <w:rFonts w:ascii="仿宋_GB2312" w:hAnsi="仿宋_GB2312" w:eastAsia="仿宋_GB2312" w:cs="仿宋_GB2312"/>
        </w:rPr>
      </w:pPr>
      <w:r>
        <w:rPr>
          <w:rFonts w:hint="eastAsia" w:ascii="仿宋_GB2312" w:hAnsi="仿宋_GB2312" w:eastAsia="仿宋_GB2312" w:cs="仿宋_GB2312"/>
        </w:rPr>
        <w:t xml:space="preserve">责任报告单位 </w:t>
      </w:r>
    </w:p>
    <w:p w14:paraId="6BD5DB78">
      <w:pPr>
        <w:numPr>
          <w:ilvl w:val="0"/>
          <w:numId w:val="214"/>
        </w:numPr>
        <w:ind w:firstLine="640"/>
      </w:pPr>
      <w:r>
        <w:rPr>
          <w:rFonts w:hint="eastAsia"/>
        </w:rPr>
        <w:t>各级各类医疗卫生机构；</w:t>
      </w:r>
    </w:p>
    <w:p w14:paraId="55B61EB9">
      <w:pPr>
        <w:numPr>
          <w:ilvl w:val="0"/>
          <w:numId w:val="214"/>
        </w:numPr>
        <w:ind w:firstLine="640"/>
      </w:pPr>
      <w:r>
        <w:rPr>
          <w:rFonts w:hint="eastAsia"/>
        </w:rPr>
        <w:t>县卫生健康局指定的突发公共卫生事件监测机构；</w:t>
      </w:r>
    </w:p>
    <w:p w14:paraId="2B7D1FD2">
      <w:pPr>
        <w:numPr>
          <w:ilvl w:val="0"/>
          <w:numId w:val="214"/>
        </w:numPr>
        <w:ind w:firstLine="640"/>
      </w:pPr>
      <w:r>
        <w:rPr>
          <w:rFonts w:hint="eastAsia"/>
        </w:rPr>
        <w:t>县卫生健康局；</w:t>
      </w:r>
    </w:p>
    <w:p w14:paraId="4610155B">
      <w:pPr>
        <w:numPr>
          <w:ilvl w:val="0"/>
          <w:numId w:val="214"/>
        </w:numPr>
        <w:ind w:firstLine="640"/>
      </w:pPr>
      <w:r>
        <w:rPr>
          <w:rFonts w:hint="eastAsia"/>
        </w:rPr>
        <w:t>各乡镇人民政府；</w:t>
      </w:r>
    </w:p>
    <w:p w14:paraId="3DE828DD">
      <w:pPr>
        <w:numPr>
          <w:ilvl w:val="0"/>
          <w:numId w:val="214"/>
        </w:numPr>
        <w:ind w:firstLine="640"/>
      </w:pPr>
      <w:r>
        <w:rPr>
          <w:rFonts w:hint="eastAsia"/>
        </w:rPr>
        <w:t>有关单位，主要包括突发公共卫生事件发生单位、食品检验机构、环境保护监测机构、教育机构等。</w:t>
      </w:r>
    </w:p>
    <w:p w14:paraId="16956F10">
      <w:pPr>
        <w:pStyle w:val="4"/>
        <w:numPr>
          <w:ilvl w:val="2"/>
          <w:numId w:val="210"/>
        </w:numPr>
        <w:tabs>
          <w:tab w:val="left" w:pos="0"/>
        </w:tabs>
        <w:rPr>
          <w:rFonts w:ascii="仿宋_GB2312" w:hAnsi="仿宋_GB2312" w:eastAsia="仿宋_GB2312" w:cs="仿宋_GB2312"/>
        </w:rPr>
      </w:pPr>
      <w:r>
        <w:rPr>
          <w:rFonts w:hint="eastAsia" w:ascii="仿宋_GB2312" w:hAnsi="仿宋_GB2312" w:eastAsia="仿宋_GB2312" w:cs="仿宋_GB2312"/>
        </w:rPr>
        <w:t xml:space="preserve">报告时限和程序 </w:t>
      </w:r>
    </w:p>
    <w:p w14:paraId="691FABB5">
      <w:pPr>
        <w:ind w:firstLine="640"/>
      </w:pPr>
      <w:r>
        <w:rPr>
          <w:rFonts w:hint="eastAsia"/>
        </w:rPr>
        <w:t>突发公共卫生事件发生后，事发单位、基层医疗机构要立即向县疾病预防控制中心和乡镇人民政府报告，县疾病预防控制中心经核实确认后报县卫生健康局。乡镇人民政府和县卫生健康局接到报告后立即向县委值班室和县政府值班室报告。同时县卫生健康局按规定向市卫生健康委值班室报告，并立即组织相关专家进行现场调查，随时报告事态进展情况。</w:t>
      </w:r>
    </w:p>
    <w:p w14:paraId="1EC7EC8F">
      <w:pPr>
        <w:ind w:firstLine="640"/>
      </w:pPr>
      <w:r>
        <w:rPr>
          <w:rFonts w:hint="eastAsia"/>
        </w:rPr>
        <w:t>发生较大以上和暂时无法判明等级、影响较大的突发公共卫生事件信息，事发地县人民政府应在事发半小时之内上报到市委、市政府值班室。紧急情况下可电话口头报告，然后必须在30分钟之内上报书面信息。特殊情况下可越级上报。</w:t>
      </w:r>
    </w:p>
    <w:p w14:paraId="64C99516">
      <w:pPr>
        <w:pStyle w:val="4"/>
        <w:numPr>
          <w:ilvl w:val="2"/>
          <w:numId w:val="210"/>
        </w:numPr>
        <w:tabs>
          <w:tab w:val="left" w:pos="0"/>
        </w:tabs>
        <w:rPr>
          <w:rFonts w:ascii="仿宋_GB2312" w:hAnsi="仿宋_GB2312" w:eastAsia="仿宋_GB2312" w:cs="仿宋_GB2312"/>
        </w:rPr>
      </w:pPr>
      <w:r>
        <w:rPr>
          <w:rFonts w:hint="eastAsia" w:ascii="仿宋_GB2312" w:hAnsi="仿宋_GB2312" w:eastAsia="仿宋_GB2312" w:cs="仿宋_GB2312"/>
        </w:rPr>
        <w:t>报告内容</w:t>
      </w:r>
    </w:p>
    <w:p w14:paraId="47C828E5">
      <w:pPr>
        <w:ind w:firstLine="640"/>
      </w:pPr>
      <w:r>
        <w:rPr>
          <w:rFonts w:hint="eastAsia"/>
        </w:rPr>
        <w:t>突发公共卫生事件报告分为首次报告、进程报告和终结报告，要根据事件的严重程度、事态发展和控制情况及时报告事件进程。</w:t>
      </w:r>
    </w:p>
    <w:p w14:paraId="7D4FE32C">
      <w:pPr>
        <w:ind w:firstLine="640"/>
      </w:pPr>
      <w:r>
        <w:rPr>
          <w:rFonts w:hint="eastAsia"/>
        </w:rPr>
        <w:t>首次报告：指未经查确认的突发公共卫生事件或存在隐患的相关信息，应说明信息来源、事件发生的地点及时间、波及人群或潜在的危害范围、发病和死亡情况、事态可能发展趋势以及事件性质的初步判定和拟采取的主要措施等。</w:t>
      </w:r>
    </w:p>
    <w:p w14:paraId="2460762F">
      <w:pPr>
        <w:ind w:firstLine="640"/>
      </w:pPr>
      <w:r>
        <w:rPr>
          <w:rFonts w:hint="eastAsia"/>
        </w:rPr>
        <w:t>进程报告：报告事件的发展与变化、处置进程、事件的诊断和原因或可能因素；在进程报告中既要报告新发生的情况，同时对初次报告或前次进程报告的情况进行补充和修正。</w:t>
      </w:r>
    </w:p>
    <w:p w14:paraId="25A7DE31">
      <w:pPr>
        <w:ind w:firstLine="640"/>
      </w:pPr>
      <w:r>
        <w:rPr>
          <w:rFonts w:hint="eastAsia"/>
        </w:rPr>
        <w:t>结案报告：突发公共卫生事件结束后对事件的发生和处理情况进行总结结案报告，应包括调查确认的事件性质、波及范围、危害程度、流行病学分布、势态评估、控制措施等内容。</w:t>
      </w:r>
    </w:p>
    <w:p w14:paraId="2CBD583D">
      <w:pPr>
        <w:ind w:firstLine="640"/>
      </w:pPr>
      <w:r>
        <w:rPr>
          <w:rFonts w:hint="eastAsia"/>
        </w:rPr>
        <w:t>突发公共卫生事件报告的具体要求按国务院卫健委制定的有关规定执行。</w:t>
      </w:r>
    </w:p>
    <w:p w14:paraId="5AE35131">
      <w:pPr>
        <w:pStyle w:val="4"/>
        <w:numPr>
          <w:ilvl w:val="2"/>
          <w:numId w:val="210"/>
        </w:numPr>
        <w:tabs>
          <w:tab w:val="left" w:pos="0"/>
        </w:tabs>
        <w:rPr>
          <w:rFonts w:ascii="仿宋_GB2312" w:hAnsi="仿宋_GB2312" w:eastAsia="仿宋_GB2312" w:cs="仿宋_GB2312"/>
        </w:rPr>
      </w:pPr>
      <w:r>
        <w:rPr>
          <w:rFonts w:hint="eastAsia" w:ascii="仿宋_GB2312" w:hAnsi="仿宋_GB2312" w:eastAsia="仿宋_GB2312" w:cs="仿宋_GB2312"/>
        </w:rPr>
        <w:t>突发公共卫生事件网络直报</w:t>
      </w:r>
    </w:p>
    <w:p w14:paraId="00F9C83C">
      <w:pPr>
        <w:ind w:firstLine="640"/>
      </w:pPr>
      <w:r>
        <w:rPr>
          <w:rFonts w:hint="eastAsia"/>
        </w:rPr>
        <w:t>各级各类医疗卫生机构可直接通过互联网上的专用系统报告突发公共卫生事件，县疾病预防控制中心应及时接收并通过互联网专用系统报告信息，并及时审核信息、确保信息的准确性和法定效力，并统计汇总、分析，按照有关规定报告县卫生健康局。</w:t>
      </w:r>
    </w:p>
    <w:p w14:paraId="7B6E4734">
      <w:pPr>
        <w:pStyle w:val="4"/>
        <w:numPr>
          <w:ilvl w:val="2"/>
          <w:numId w:val="210"/>
        </w:numPr>
        <w:tabs>
          <w:tab w:val="left" w:pos="0"/>
        </w:tabs>
        <w:rPr>
          <w:rFonts w:ascii="仿宋_GB2312" w:hAnsi="仿宋_GB2312" w:eastAsia="仿宋_GB2312" w:cs="仿宋_GB2312"/>
        </w:rPr>
      </w:pPr>
      <w:r>
        <w:rPr>
          <w:rFonts w:hint="eastAsia" w:ascii="仿宋_GB2312" w:hAnsi="仿宋_GB2312" w:eastAsia="仿宋_GB2312" w:cs="仿宋_GB2312"/>
        </w:rPr>
        <w:t>突发公共卫生事件的其它报告方式</w:t>
      </w:r>
    </w:p>
    <w:p w14:paraId="72F02E50">
      <w:pPr>
        <w:ind w:firstLine="640"/>
      </w:pPr>
      <w:r>
        <w:rPr>
          <w:rFonts w:hint="eastAsia"/>
        </w:rPr>
        <w:t>县卫生健康局、县疾病预防控制中心等突发公共卫生事件责任报告单位按要求认真做好计算机网络直报工作。责任报告单位在按报告时限和程序进行网络直报的同时应通过传真等方式作详细书面报告。</w:t>
      </w:r>
    </w:p>
    <w:p w14:paraId="33F171A4">
      <w:pPr>
        <w:pStyle w:val="3"/>
      </w:pPr>
      <w:bookmarkStart w:id="1216" w:name="_Toc7840"/>
      <w:r>
        <w:rPr>
          <w:rFonts w:hint="eastAsia"/>
        </w:rPr>
        <w:t>信息通报</w:t>
      </w:r>
      <w:bookmarkEnd w:id="1216"/>
    </w:p>
    <w:p w14:paraId="203F420A">
      <w:pPr>
        <w:ind w:firstLine="640"/>
      </w:pPr>
      <w:r>
        <w:rPr>
          <w:rFonts w:hint="eastAsia"/>
        </w:rPr>
        <w:t>发生一般突发公共卫生事件，按照县指挥部决策，县指挥部办公室向成员单位、各乡镇人民政府及相邻县（市、区）通报。</w:t>
      </w:r>
    </w:p>
    <w:p w14:paraId="37365F8E">
      <w:pPr>
        <w:ind w:firstLine="640"/>
      </w:pPr>
      <w:r>
        <w:rPr>
          <w:rFonts w:hint="eastAsia"/>
        </w:rPr>
        <w:t>县卫生健康局与县教育和体育局相互通报、涉及学校的突发公共卫生事件，与县市场监督管理局相互通报涉及食品、药品、疫苗安全的突发公共卫生事件，与县农业农村局相互通报、涉及人畜共患传染病的突发公共卫生事件。</w:t>
      </w:r>
    </w:p>
    <w:p w14:paraId="279B7CB7">
      <w:pPr>
        <w:pStyle w:val="3"/>
      </w:pPr>
      <w:bookmarkStart w:id="1217" w:name="_Toc28630"/>
      <w:r>
        <w:rPr>
          <w:rFonts w:hint="eastAsia"/>
        </w:rPr>
        <w:t>信息发布</w:t>
      </w:r>
      <w:bookmarkEnd w:id="1217"/>
    </w:p>
    <w:p w14:paraId="14899339">
      <w:pPr>
        <w:ind w:firstLine="640"/>
      </w:pPr>
      <w:r>
        <w:rPr>
          <w:rFonts w:hint="eastAsia"/>
        </w:rPr>
        <w:t>突发公共卫生事件信息原则上应由国家卫生健康委发布。县指挥部经市卫生健康委批准，在县政府的统一领导下，及时向社会通报本县突发公共卫生事件信息和处置情况；做好相关舆情的收集、研判处置工作。</w:t>
      </w:r>
    </w:p>
    <w:p w14:paraId="5F39A78F">
      <w:pPr>
        <w:pStyle w:val="2"/>
        <w:numPr>
          <w:ilvl w:val="0"/>
          <w:numId w:val="210"/>
        </w:numPr>
        <w:tabs>
          <w:tab w:val="left" w:pos="0"/>
        </w:tabs>
        <w:rPr>
          <w:sz w:val="32"/>
          <w:szCs w:val="32"/>
        </w:rPr>
      </w:pPr>
      <w:bookmarkStart w:id="1218" w:name="_Toc28100"/>
      <w:r>
        <w:rPr>
          <w:rFonts w:hint="eastAsia"/>
          <w:sz w:val="32"/>
          <w:szCs w:val="32"/>
        </w:rPr>
        <w:t>应急响应</w:t>
      </w:r>
      <w:bookmarkEnd w:id="1218"/>
    </w:p>
    <w:p w14:paraId="22CA0810">
      <w:pPr>
        <w:pStyle w:val="3"/>
      </w:pPr>
      <w:bookmarkStart w:id="1219" w:name="_Toc1014"/>
      <w:r>
        <w:rPr>
          <w:rFonts w:hint="eastAsia"/>
        </w:rPr>
        <w:t>先期处置</w:t>
      </w:r>
      <w:bookmarkEnd w:id="1219"/>
    </w:p>
    <w:p w14:paraId="6D9CBDD2">
      <w:pPr>
        <w:ind w:firstLine="640"/>
      </w:pPr>
      <w:r>
        <w:rPr>
          <w:rFonts w:hint="eastAsia"/>
        </w:rPr>
        <w:t>突发公共卫生事件发生后，事发地乡镇应急指挥机构迅速启动本级应急响应，组织有关成员单位协同施策，有力、有序、有效做好先期处置。</w:t>
      </w:r>
    </w:p>
    <w:p w14:paraId="3BF3E0C7">
      <w:pPr>
        <w:ind w:firstLine="640"/>
      </w:pPr>
      <w:r>
        <w:rPr>
          <w:rFonts w:hint="eastAsia"/>
        </w:rPr>
        <w:t>实行信息日报和零报，强化应急监测，开展相关人员洗消、救治和医学观察、流行病学调查及健康教育等工作，减少危害和影响。控制传染源、切断传播途径、保护易感人群，严防事件蔓延发展。</w:t>
      </w:r>
    </w:p>
    <w:p w14:paraId="4355C3E7">
      <w:pPr>
        <w:pStyle w:val="3"/>
      </w:pPr>
      <w:bookmarkStart w:id="1220" w:name="_Toc9053"/>
      <w:r>
        <w:rPr>
          <w:rFonts w:hint="eastAsia"/>
        </w:rPr>
        <w:t>分级响应</w:t>
      </w:r>
      <w:bookmarkEnd w:id="1220"/>
    </w:p>
    <w:p w14:paraId="02D621C9">
      <w:pPr>
        <w:ind w:firstLine="640"/>
      </w:pPr>
      <w:r>
        <w:rPr>
          <w:rFonts w:hint="eastAsia"/>
        </w:rPr>
        <w:t>按照突发公共卫生事件的影响范围、危害程度和应对能力等因素，县指挥部的应急响应由高到低设定为Ⅰ级、Ⅱ级。依据响应条件，启动相应等级的县级响应，在不同阶段采取不同防控策略和措施。</w:t>
      </w:r>
    </w:p>
    <w:p w14:paraId="29E68CB0">
      <w:pPr>
        <w:pStyle w:val="4"/>
        <w:numPr>
          <w:ilvl w:val="2"/>
          <w:numId w:val="210"/>
        </w:numPr>
        <w:tabs>
          <w:tab w:val="left" w:pos="0"/>
        </w:tabs>
        <w:rPr>
          <w:rFonts w:ascii="仿宋_GB2312" w:hAnsi="仿宋_GB2312" w:eastAsia="仿宋_GB2312" w:cs="仿宋_GB2312"/>
        </w:rPr>
      </w:pPr>
      <w:r>
        <w:rPr>
          <w:rFonts w:hint="eastAsia" w:ascii="仿宋_GB2312" w:hAnsi="仿宋_GB2312" w:eastAsia="仿宋_GB2312" w:cs="仿宋_GB2312"/>
        </w:rPr>
        <w:t>Ⅱ级应急响应</w:t>
      </w:r>
    </w:p>
    <w:p w14:paraId="7CF1C1C3">
      <w:pPr>
        <w:pStyle w:val="5"/>
        <w:numPr>
          <w:ilvl w:val="3"/>
          <w:numId w:val="210"/>
        </w:numPr>
      </w:pPr>
      <w:r>
        <w:rPr>
          <w:rFonts w:hint="eastAsia"/>
        </w:rPr>
        <w:t>启动条件</w:t>
      </w:r>
    </w:p>
    <w:p w14:paraId="68C5FF0C">
      <w:pPr>
        <w:ind w:firstLine="640"/>
      </w:pPr>
      <w:r>
        <w:rPr>
          <w:rFonts w:hint="eastAsia"/>
        </w:rPr>
        <w:t>当发生或预计发生符合下列条件之一的，经会商研判后启动Ⅱ级响应：</w:t>
      </w:r>
    </w:p>
    <w:p w14:paraId="5F2946B0">
      <w:pPr>
        <w:numPr>
          <w:ilvl w:val="0"/>
          <w:numId w:val="96"/>
        </w:numPr>
        <w:ind w:firstLine="640"/>
      </w:pPr>
      <w:r>
        <w:rPr>
          <w:rFonts w:hint="eastAsia"/>
        </w:rPr>
        <w:t>发生一般突发公共卫生事件，需要县级实施公共卫生保障行动的；</w:t>
      </w:r>
    </w:p>
    <w:p w14:paraId="5BA8524C">
      <w:pPr>
        <w:numPr>
          <w:ilvl w:val="0"/>
          <w:numId w:val="96"/>
        </w:numPr>
        <w:ind w:firstLine="640"/>
      </w:pPr>
      <w:r>
        <w:rPr>
          <w:rFonts w:hint="eastAsia"/>
        </w:rPr>
        <w:t>因突发公共事件引发的，已经或可能造成我县在多个乡镇或地区出现紧急公共卫生事件的；</w:t>
      </w:r>
    </w:p>
    <w:p w14:paraId="4E19DBC8">
      <w:pPr>
        <w:numPr>
          <w:ilvl w:val="0"/>
          <w:numId w:val="96"/>
        </w:numPr>
        <w:ind w:firstLine="640"/>
      </w:pPr>
      <w:r>
        <w:rPr>
          <w:rFonts w:hint="eastAsia"/>
        </w:rPr>
        <w:t>在县级处置能力范围内的；</w:t>
      </w:r>
    </w:p>
    <w:p w14:paraId="12CFD62B">
      <w:pPr>
        <w:numPr>
          <w:ilvl w:val="0"/>
          <w:numId w:val="96"/>
        </w:numPr>
        <w:ind w:firstLine="640"/>
      </w:pPr>
      <w:r>
        <w:rPr>
          <w:rFonts w:hint="eastAsia"/>
        </w:rPr>
        <w:t>县指挥部认为应当启动Ⅱ级响应的。</w:t>
      </w:r>
    </w:p>
    <w:p w14:paraId="3C0F92E6">
      <w:pPr>
        <w:pStyle w:val="5"/>
        <w:numPr>
          <w:ilvl w:val="3"/>
          <w:numId w:val="210"/>
        </w:numPr>
      </w:pPr>
      <w:r>
        <w:rPr>
          <w:rFonts w:hint="eastAsia"/>
        </w:rPr>
        <w:t>响应行动</w:t>
      </w:r>
    </w:p>
    <w:p w14:paraId="5CD2A345">
      <w:pPr>
        <w:ind w:firstLine="640"/>
      </w:pPr>
      <w:r>
        <w:rPr>
          <w:rFonts w:hint="eastAsia"/>
        </w:rPr>
        <w:t>发生一般突发公共卫生事件的，县指挥部接到事件信息后，经综合分析研判及请示市卫生健康委同意，提出启动Ⅱ级响应的建议，由指挥长宣布立即启动Ⅱ级响应。</w:t>
      </w:r>
    </w:p>
    <w:p w14:paraId="04C74522">
      <w:pPr>
        <w:ind w:firstLine="640"/>
      </w:pPr>
      <w:r>
        <w:rPr>
          <w:rFonts w:hint="eastAsia"/>
        </w:rPr>
        <w:t>县指挥部响应措施：</w:t>
      </w:r>
    </w:p>
    <w:p w14:paraId="020DD7A4">
      <w:pPr>
        <w:numPr>
          <w:ilvl w:val="0"/>
          <w:numId w:val="97"/>
        </w:numPr>
        <w:ind w:firstLine="640"/>
      </w:pPr>
      <w:r>
        <w:rPr>
          <w:rFonts w:hint="eastAsia"/>
        </w:rPr>
        <w:t>县指挥部及办公室各成员单位、各专业工作组全面履行工作职责。调派专家和专业处置应急队伍等赶赴事发地，联合开展调查处置工作，最大限度控制事态发展。</w:t>
      </w:r>
    </w:p>
    <w:p w14:paraId="5E0D9DEC">
      <w:pPr>
        <w:numPr>
          <w:ilvl w:val="0"/>
          <w:numId w:val="97"/>
        </w:numPr>
        <w:ind w:firstLine="640"/>
      </w:pPr>
      <w:r>
        <w:rPr>
          <w:rFonts w:hint="eastAsia"/>
        </w:rPr>
        <w:t>召开指挥部会商研判会议，组织有关乡镇、单位和专家对事件影响及其发展趋势进行动态综合评估，研究和明确处置策略、方案，依法划定疫点、疫区，依法确定需要紧急采取的疫情强制控制、征用等阶段性应急措施，并分级、分类督导执行。</w:t>
      </w:r>
    </w:p>
    <w:p w14:paraId="566BDDCA">
      <w:pPr>
        <w:numPr>
          <w:ilvl w:val="0"/>
          <w:numId w:val="97"/>
        </w:numPr>
        <w:ind w:firstLine="640"/>
      </w:pPr>
      <w:r>
        <w:rPr>
          <w:rFonts w:hint="eastAsia"/>
        </w:rPr>
        <w:t>实施突发公共卫生事件及相关信息、病例救治和转归信息的日报、零报制度。强化值班值守、应急监测和数据信息统计分析及结果应用。</w:t>
      </w:r>
    </w:p>
    <w:p w14:paraId="4775D560">
      <w:pPr>
        <w:numPr>
          <w:ilvl w:val="0"/>
          <w:numId w:val="97"/>
        </w:numPr>
        <w:ind w:firstLine="640"/>
      </w:pPr>
      <w:r>
        <w:rPr>
          <w:rFonts w:hint="eastAsia"/>
        </w:rPr>
        <w:t>按需配备处置人员和药品、防护消杀用品、检测试剂、设备、装备等急需物资。依法追踪、转运和管理相关病例、疑似病例及其密切接触者，实施就地隔离、就地观察、就地治疗；组织开辟定点医院、应急床位或救治专区，强化院前洗消、规范诊断、医疗救治和心理干预等工作，早识别、早处置，最大限度减少死亡；科学组织卫生防护，依法妥善处理医疗废物，严防发生医院感染，严防事件处置人员感染；强化流行病学调查、实验室检测，尽快排查、辨明致病因素和传播机制，阻断传播途径。根据需要，组织开展预防性服药、应急疫苗接种。做好相关病例救治费用的医疗保障工作。</w:t>
      </w:r>
    </w:p>
    <w:p w14:paraId="76D588CA">
      <w:pPr>
        <w:numPr>
          <w:ilvl w:val="0"/>
          <w:numId w:val="97"/>
        </w:numPr>
        <w:ind w:firstLine="640"/>
      </w:pPr>
      <w:r>
        <w:rPr>
          <w:rFonts w:hint="eastAsia"/>
        </w:rPr>
        <w:t>甲类、乙类传染病暴发、流行时，由县政府报请市人民政府同意，划定疫区范围、实施封锁。对突发中毒以及放射事故，根据职业危害因素以及放射事故波及的范围，划定控制区域。</w:t>
      </w:r>
    </w:p>
    <w:p w14:paraId="5076FCAC">
      <w:pPr>
        <w:numPr>
          <w:ilvl w:val="0"/>
          <w:numId w:val="97"/>
        </w:numPr>
        <w:ind w:firstLine="640"/>
      </w:pPr>
      <w:r>
        <w:rPr>
          <w:rFonts w:hint="eastAsia"/>
        </w:rPr>
        <w:t>县指挥部可以在本县行政区域内采取限制或者停止集市、集会、影剧院演出以及其他人群聚集的活动，停工、停业、停课，临时征用房屋、交通工具以及相关设施和设备，封闭或者封存被传染病病原体污染的公共饮用水源、食品以及相关物品等紧急措施。</w:t>
      </w:r>
    </w:p>
    <w:p w14:paraId="134E0099">
      <w:pPr>
        <w:numPr>
          <w:ilvl w:val="0"/>
          <w:numId w:val="97"/>
        </w:numPr>
        <w:ind w:firstLine="640"/>
      </w:pPr>
      <w:r>
        <w:rPr>
          <w:rFonts w:hint="eastAsia"/>
        </w:rPr>
        <w:t>加强流动人口管理，对流动人口开展预防工作，落实控制措施，对传染病病例、疑似病例采取就地隔离、就地观察、就地治疗的措施。</w:t>
      </w:r>
    </w:p>
    <w:p w14:paraId="063E64F6">
      <w:pPr>
        <w:numPr>
          <w:ilvl w:val="0"/>
          <w:numId w:val="97"/>
        </w:numPr>
        <w:ind w:firstLine="640"/>
      </w:pPr>
      <w:r>
        <w:rPr>
          <w:rFonts w:hint="eastAsia"/>
        </w:rPr>
        <w:t>实施交通卫生检疫，组织公安、交通运输、卫生健康、农业农村、市场监管等部门在铁路、公路等交通卡口站点设置临时交通卫生检疫站，对进出疫区和运行中的交通工具、乘运人员和物资、宿主动物进行检疫查验，对发现的病例、疑似病例及其密切接触者实施临时隔离、留验并转运移交。</w:t>
      </w:r>
    </w:p>
    <w:p w14:paraId="7AD8ED98">
      <w:pPr>
        <w:numPr>
          <w:ilvl w:val="0"/>
          <w:numId w:val="97"/>
        </w:numPr>
        <w:ind w:firstLine="640"/>
      </w:pPr>
      <w:r>
        <w:rPr>
          <w:rFonts w:hint="eastAsia"/>
        </w:rPr>
        <w:t>各乡镇人民政府、村（居）民委员会在县指挥部的领导下，组织村（居）民落实各项防控措施，做好流动人口和外来人员的管理工作，做好区域内隔离人员的后勤保障及管理工作。并协助卫生健康和体育局与其它有关部门、医疗卫生机构，做好疫情信息的收集、报告、人员居家隔离、公共卫生措施的落实等工作。引导公众就近到定点医院或正规医疗机构就诊。</w:t>
      </w:r>
    </w:p>
    <w:p w14:paraId="54BB213E">
      <w:pPr>
        <w:numPr>
          <w:ilvl w:val="0"/>
          <w:numId w:val="97"/>
        </w:numPr>
        <w:ind w:firstLine="640"/>
      </w:pPr>
      <w:r>
        <w:rPr>
          <w:rFonts w:hint="eastAsia"/>
        </w:rPr>
        <w:t>维护社会稳定，组织有关部门保障商品供应，平抑物价，防止哄抢。严厉打击制谣传谣、哄抬物价、囤积居奇、制假售假等违法犯罪和扰乱社会治安的行为。正确引导舆论，及时纠正不实、错误或片面报道。依法查处通过网络媒体、自媒体等渠道违法违规发布突发公共卫生事件信息和制造谣言、散布谣言等行为。</w:t>
      </w:r>
    </w:p>
    <w:p w14:paraId="4C41AA0B">
      <w:pPr>
        <w:numPr>
          <w:ilvl w:val="0"/>
          <w:numId w:val="97"/>
        </w:numPr>
        <w:ind w:firstLine="640"/>
      </w:pPr>
      <w:r>
        <w:rPr>
          <w:rFonts w:hint="eastAsia"/>
        </w:rPr>
        <w:t>开展督导检查，派出督导检查组，对现场处置、消毒隔离、卫生检疫等各项应急处置措施的落实情况，进行督导检查。</w:t>
      </w:r>
    </w:p>
    <w:p w14:paraId="517A3EE5">
      <w:pPr>
        <w:numPr>
          <w:ilvl w:val="0"/>
          <w:numId w:val="97"/>
        </w:numPr>
        <w:ind w:firstLine="640"/>
      </w:pPr>
      <w:r>
        <w:rPr>
          <w:rFonts w:hint="eastAsia"/>
        </w:rPr>
        <w:t>突发公共卫生事件涉及或影响到周边县（市、区）的，应及时报告上级指挥机构。涉及港、澳、台地区人员或者外国公民，由县政府办（外事办）按规定，报上级涉外部门。</w:t>
      </w:r>
    </w:p>
    <w:p w14:paraId="04B26952">
      <w:pPr>
        <w:numPr>
          <w:ilvl w:val="0"/>
          <w:numId w:val="97"/>
        </w:numPr>
        <w:ind w:firstLine="640"/>
      </w:pPr>
      <w:r>
        <w:rPr>
          <w:rFonts w:hint="eastAsia"/>
        </w:rPr>
        <w:t>依法依规妥善开展突发公共卫生事件，特别是传染病疫情遇难人员遗体的防疫消毒和火化等工作。</w:t>
      </w:r>
    </w:p>
    <w:p w14:paraId="7C564D00">
      <w:pPr>
        <w:numPr>
          <w:ilvl w:val="0"/>
          <w:numId w:val="97"/>
        </w:numPr>
        <w:ind w:firstLine="640"/>
      </w:pPr>
      <w:r>
        <w:rPr>
          <w:rFonts w:hint="eastAsia"/>
        </w:rPr>
        <w:t>贯彻落实县委县政府和上级有关部门及领导的批示、指示精神。</w:t>
      </w:r>
    </w:p>
    <w:p w14:paraId="282C6013">
      <w:pPr>
        <w:numPr>
          <w:ilvl w:val="0"/>
          <w:numId w:val="97"/>
        </w:numPr>
        <w:ind w:firstLine="640"/>
      </w:pPr>
      <w:r>
        <w:rPr>
          <w:rFonts w:hint="eastAsia"/>
        </w:rPr>
        <w:t>必要时，及时向市指挥部、市卫生健康委等部门提出支援请求。</w:t>
      </w:r>
    </w:p>
    <w:p w14:paraId="07BAABBB">
      <w:pPr>
        <w:ind w:firstLine="640"/>
      </w:pPr>
      <w:r>
        <w:rPr>
          <w:rFonts w:hint="eastAsia"/>
        </w:rPr>
        <w:t>县卫生健康局响应措施：</w:t>
      </w:r>
    </w:p>
    <w:p w14:paraId="4ABF2BE3">
      <w:pPr>
        <w:numPr>
          <w:ilvl w:val="0"/>
          <w:numId w:val="215"/>
        </w:numPr>
        <w:ind w:firstLine="640"/>
      </w:pPr>
      <w:r>
        <w:rPr>
          <w:rFonts w:hint="eastAsia"/>
        </w:rPr>
        <w:t>组织医疗机构、县疾病预防控制中心开展突发公共卫生事件的调查与处理。</w:t>
      </w:r>
    </w:p>
    <w:p w14:paraId="56312044">
      <w:pPr>
        <w:numPr>
          <w:ilvl w:val="0"/>
          <w:numId w:val="215"/>
        </w:numPr>
        <w:ind w:firstLine="640"/>
      </w:pPr>
      <w:r>
        <w:rPr>
          <w:rFonts w:hint="eastAsia"/>
        </w:rPr>
        <w:t>组织突发公共卫生事件专家咨询委员会对突发公共卫生事件进行评估，提出启动突发公共卫生事件应急处置级别。</w:t>
      </w:r>
    </w:p>
    <w:p w14:paraId="2296CE2F">
      <w:pPr>
        <w:numPr>
          <w:ilvl w:val="0"/>
          <w:numId w:val="215"/>
        </w:numPr>
        <w:ind w:firstLine="640"/>
      </w:pPr>
      <w:r>
        <w:rPr>
          <w:rFonts w:hint="eastAsia"/>
        </w:rPr>
        <w:t>根据需要组织开展预防性服药、应急疫苗接种。</w:t>
      </w:r>
    </w:p>
    <w:p w14:paraId="0ACB176C">
      <w:pPr>
        <w:numPr>
          <w:ilvl w:val="0"/>
          <w:numId w:val="215"/>
        </w:numPr>
        <w:ind w:firstLine="640"/>
      </w:pPr>
      <w:r>
        <w:rPr>
          <w:rFonts w:hint="eastAsia"/>
        </w:rPr>
        <w:t>根据有关规定及时向社会发布突发公共卫生事件的信息或公告，向各乡镇、各有关部门通报突发公共卫生事件情况。</w:t>
      </w:r>
    </w:p>
    <w:p w14:paraId="1F24FFF6">
      <w:pPr>
        <w:numPr>
          <w:ilvl w:val="0"/>
          <w:numId w:val="215"/>
        </w:numPr>
        <w:ind w:firstLine="640"/>
      </w:pPr>
      <w:r>
        <w:rPr>
          <w:rFonts w:hint="eastAsia"/>
        </w:rPr>
        <w:t>根据国家、省、市制定的有关技术标准和规范组织开展培训工作。</w:t>
      </w:r>
    </w:p>
    <w:p w14:paraId="21E21902">
      <w:pPr>
        <w:numPr>
          <w:ilvl w:val="0"/>
          <w:numId w:val="215"/>
        </w:numPr>
        <w:ind w:firstLine="640"/>
      </w:pPr>
      <w:r>
        <w:rPr>
          <w:rFonts w:hint="eastAsia"/>
        </w:rPr>
        <w:t>根据事件性质对社会公众开展卫生知识宣传教育工作，提高公众健康意识和自我防护能力，消除公众心理障碍，开展心理应激和危机干预工作。</w:t>
      </w:r>
    </w:p>
    <w:p w14:paraId="56706D0C">
      <w:pPr>
        <w:numPr>
          <w:ilvl w:val="0"/>
          <w:numId w:val="215"/>
        </w:numPr>
        <w:ind w:firstLine="640"/>
      </w:pPr>
      <w:r>
        <w:rPr>
          <w:rFonts w:hint="eastAsia"/>
        </w:rPr>
        <w:t>组织专家对突发公共卫生事件的处理情况进行综合评估，包括事件概况、现场调查处理概况、患者救治概况、所采取的措施、效果评价等。</w:t>
      </w:r>
    </w:p>
    <w:p w14:paraId="62C784E2">
      <w:pPr>
        <w:ind w:firstLine="640"/>
      </w:pPr>
      <w:r>
        <w:rPr>
          <w:rFonts w:hint="eastAsia"/>
        </w:rPr>
        <w:t>医疗机构响应措施：</w:t>
      </w:r>
    </w:p>
    <w:p w14:paraId="2574B3D3">
      <w:pPr>
        <w:numPr>
          <w:ilvl w:val="0"/>
          <w:numId w:val="216"/>
        </w:numPr>
        <w:ind w:firstLine="640"/>
      </w:pPr>
      <w:r>
        <w:rPr>
          <w:rFonts w:hint="eastAsia"/>
        </w:rPr>
        <w:t>接诊、收治和转运患者，严格按照有关规定和诊疗常规进行诊断、治疗和采取隔离措施。</w:t>
      </w:r>
    </w:p>
    <w:p w14:paraId="72122213">
      <w:pPr>
        <w:numPr>
          <w:ilvl w:val="0"/>
          <w:numId w:val="216"/>
        </w:numPr>
        <w:ind w:firstLine="640"/>
      </w:pPr>
      <w:r>
        <w:rPr>
          <w:rFonts w:hint="eastAsia"/>
        </w:rPr>
        <w:t>协助县疾病预防控制中心人员开展标本的采集、流行病学调查工作。</w:t>
      </w:r>
    </w:p>
    <w:p w14:paraId="70A7B275">
      <w:pPr>
        <w:numPr>
          <w:ilvl w:val="0"/>
          <w:numId w:val="216"/>
        </w:numPr>
        <w:ind w:firstLine="640"/>
      </w:pPr>
      <w:r>
        <w:rPr>
          <w:rFonts w:hint="eastAsia"/>
        </w:rPr>
        <w:t>做好发热门诊、消毒隔离、个人防护、医疗垃圾和污水处理等工作，加强医务人员培训，防止院内交叉感染。</w:t>
      </w:r>
    </w:p>
    <w:p w14:paraId="69B8DB0A">
      <w:pPr>
        <w:numPr>
          <w:ilvl w:val="0"/>
          <w:numId w:val="216"/>
        </w:numPr>
        <w:ind w:firstLine="640"/>
      </w:pPr>
      <w:r>
        <w:rPr>
          <w:rFonts w:hint="eastAsia"/>
        </w:rPr>
        <w:t>对传染病、群体性不明原因疾病、放射事故和各类中毒等病人实行首诊医院和首诊医师负责制。对因突发公共卫生事件而引起身体伤害的患者，任何医疗机构不得拒绝接诊，同时做好疫情报告。</w:t>
      </w:r>
    </w:p>
    <w:p w14:paraId="575839BF">
      <w:pPr>
        <w:numPr>
          <w:ilvl w:val="0"/>
          <w:numId w:val="216"/>
        </w:numPr>
        <w:ind w:firstLine="640"/>
      </w:pPr>
      <w:r>
        <w:rPr>
          <w:rFonts w:hint="eastAsia"/>
        </w:rPr>
        <w:t>对群体性不明原因疾病和新发传染病做好病例分析与总结，积累诊断治疗的经验。对重大中毒事件，按照现场救援、病人转运、后续治疗相结合的原则进行处理。</w:t>
      </w:r>
    </w:p>
    <w:p w14:paraId="47E8B9E8">
      <w:pPr>
        <w:numPr>
          <w:ilvl w:val="0"/>
          <w:numId w:val="216"/>
        </w:numPr>
        <w:ind w:firstLine="640"/>
      </w:pPr>
      <w:r>
        <w:rPr>
          <w:rFonts w:hint="eastAsia"/>
        </w:rPr>
        <w:t>根据规定开展相关的实验室检测，提升实验室检测能力，加强疫苗接种工作。</w:t>
      </w:r>
    </w:p>
    <w:p w14:paraId="2147B2D6">
      <w:pPr>
        <w:numPr>
          <w:ilvl w:val="0"/>
          <w:numId w:val="216"/>
        </w:numPr>
        <w:ind w:firstLine="640"/>
      </w:pPr>
      <w:r>
        <w:rPr>
          <w:rFonts w:hint="eastAsia"/>
        </w:rPr>
        <w:t>开展科研与交流，开展技术交流与合作，加快病源查寻和病因诊断。</w:t>
      </w:r>
    </w:p>
    <w:p w14:paraId="320321A3">
      <w:pPr>
        <w:ind w:firstLine="640"/>
      </w:pPr>
      <w:r>
        <w:rPr>
          <w:rFonts w:hint="eastAsia"/>
        </w:rPr>
        <w:t>县疾病预防控制中心响应措施：</w:t>
      </w:r>
    </w:p>
    <w:p w14:paraId="1D345897">
      <w:pPr>
        <w:numPr>
          <w:ilvl w:val="0"/>
          <w:numId w:val="217"/>
        </w:numPr>
        <w:ind w:firstLine="640"/>
      </w:pPr>
      <w:r>
        <w:rPr>
          <w:rFonts w:hint="eastAsia"/>
        </w:rPr>
        <w:t>开展流行病学调查，组织专业技术人员到达现场后，尽快制定流行病学调查计划和方案，并按照计划和方案，开展对突发事件涉及人群的发病情况、分布特点进行调查分析，提出并实施有针对性的预防控制措施。对传染病确诊病例、疑似病例、病原携带者及其密切接触者进行追踪调查，查明传播链，及时向市疾病预防控制中心和有关单位通报情况。</w:t>
      </w:r>
    </w:p>
    <w:p w14:paraId="1C156238">
      <w:pPr>
        <w:numPr>
          <w:ilvl w:val="0"/>
          <w:numId w:val="217"/>
        </w:numPr>
        <w:ind w:firstLine="640"/>
      </w:pPr>
      <w:r>
        <w:rPr>
          <w:rFonts w:hint="eastAsia"/>
        </w:rPr>
        <w:t>做好突发公共卫生事件的信息收集、报告与分析工作。</w:t>
      </w:r>
    </w:p>
    <w:p w14:paraId="5D0E7ACE">
      <w:pPr>
        <w:numPr>
          <w:ilvl w:val="0"/>
          <w:numId w:val="217"/>
        </w:numPr>
        <w:ind w:firstLine="640"/>
      </w:pPr>
      <w:r>
        <w:rPr>
          <w:rFonts w:hint="eastAsia"/>
        </w:rPr>
        <w:t>按有关技术规范采集足量的标本进行致病因子检测，并根据工作需要将标本分送市和省应急处置实验室检测，查找致病原因。</w:t>
      </w:r>
    </w:p>
    <w:p w14:paraId="0AD1EEF7">
      <w:pPr>
        <w:numPr>
          <w:ilvl w:val="0"/>
          <w:numId w:val="217"/>
        </w:numPr>
        <w:ind w:firstLine="640"/>
      </w:pPr>
      <w:r>
        <w:rPr>
          <w:rFonts w:hint="eastAsia"/>
        </w:rPr>
        <w:t>开展技术培训，负责全县专业技术人员的培训工作。</w:t>
      </w:r>
    </w:p>
    <w:p w14:paraId="5BA389CF">
      <w:pPr>
        <w:numPr>
          <w:ilvl w:val="0"/>
          <w:numId w:val="217"/>
        </w:numPr>
        <w:ind w:firstLine="640"/>
      </w:pPr>
      <w:r>
        <w:rPr>
          <w:rFonts w:hint="eastAsia"/>
        </w:rPr>
        <w:t>开展科研与交流，开展技术交流与合作，提高病源查寻和病因诊断水平。</w:t>
      </w:r>
    </w:p>
    <w:p w14:paraId="1FA04D6B">
      <w:pPr>
        <w:pStyle w:val="4"/>
        <w:numPr>
          <w:ilvl w:val="2"/>
          <w:numId w:val="210"/>
        </w:numPr>
        <w:tabs>
          <w:tab w:val="left" w:pos="0"/>
        </w:tabs>
        <w:rPr>
          <w:rFonts w:ascii="仿宋_GB2312" w:hAnsi="仿宋_GB2312" w:eastAsia="仿宋_GB2312" w:cs="仿宋_GB2312"/>
        </w:rPr>
      </w:pPr>
      <w:r>
        <w:rPr>
          <w:rFonts w:hint="eastAsia" w:ascii="仿宋_GB2312" w:hAnsi="仿宋_GB2312" w:eastAsia="仿宋_GB2312" w:cs="仿宋_GB2312"/>
        </w:rPr>
        <w:t>Ⅰ级应急响应</w:t>
      </w:r>
    </w:p>
    <w:p w14:paraId="5BA09FA6">
      <w:pPr>
        <w:pStyle w:val="5"/>
        <w:numPr>
          <w:ilvl w:val="3"/>
          <w:numId w:val="210"/>
        </w:numPr>
      </w:pPr>
      <w:r>
        <w:rPr>
          <w:rFonts w:hint="eastAsia"/>
        </w:rPr>
        <w:t>启动条件</w:t>
      </w:r>
    </w:p>
    <w:p w14:paraId="1691076F">
      <w:pPr>
        <w:numPr>
          <w:ilvl w:val="0"/>
          <w:numId w:val="98"/>
        </w:numPr>
        <w:ind w:firstLine="640"/>
      </w:pPr>
      <w:r>
        <w:rPr>
          <w:rFonts w:hint="eastAsia"/>
        </w:rPr>
        <w:t>发生较大以上突发公共卫生事件，需要实施公共卫生保障行动的，或国家和省市相关部门下达重要公共卫生保障任务，要求实施Ⅰ级公共卫生保障行动的；</w:t>
      </w:r>
    </w:p>
    <w:p w14:paraId="45DDF3EF">
      <w:pPr>
        <w:numPr>
          <w:ilvl w:val="0"/>
          <w:numId w:val="98"/>
        </w:numPr>
        <w:ind w:firstLine="640"/>
      </w:pPr>
      <w:r>
        <w:rPr>
          <w:rFonts w:hint="eastAsia"/>
        </w:rPr>
        <w:t>因突发公共事件引发的，已经或可能造成包括我市在内的多个地区出现紧急公共卫生事件；</w:t>
      </w:r>
    </w:p>
    <w:p w14:paraId="47069279">
      <w:pPr>
        <w:numPr>
          <w:ilvl w:val="0"/>
          <w:numId w:val="98"/>
        </w:numPr>
        <w:ind w:firstLine="640"/>
      </w:pPr>
      <w:r>
        <w:rPr>
          <w:rFonts w:hint="eastAsia"/>
        </w:rPr>
        <w:t>超出县级处置能力的；</w:t>
      </w:r>
    </w:p>
    <w:p w14:paraId="1EB87AE8">
      <w:pPr>
        <w:numPr>
          <w:ilvl w:val="0"/>
          <w:numId w:val="98"/>
        </w:numPr>
        <w:ind w:firstLine="640"/>
      </w:pPr>
      <w:r>
        <w:rPr>
          <w:rFonts w:hint="eastAsia"/>
        </w:rPr>
        <w:t>县指挥部认为应当启动Ⅰ级响应的。</w:t>
      </w:r>
    </w:p>
    <w:p w14:paraId="6A00EC4F">
      <w:pPr>
        <w:pStyle w:val="5"/>
        <w:numPr>
          <w:ilvl w:val="3"/>
          <w:numId w:val="210"/>
        </w:numPr>
      </w:pPr>
      <w:r>
        <w:rPr>
          <w:rFonts w:hint="eastAsia"/>
        </w:rPr>
        <w:t>响应行动</w:t>
      </w:r>
    </w:p>
    <w:p w14:paraId="386B7D84">
      <w:pPr>
        <w:ind w:firstLine="640"/>
      </w:pPr>
      <w:r>
        <w:rPr>
          <w:rFonts w:hint="eastAsia"/>
        </w:rPr>
        <w:t>发生较大以上突发公共卫生事件的，县指挥部接到事件信息后，经综合分析研判及请示市指挥部同意，由指挥长立即启动Ⅰ级响应。</w:t>
      </w:r>
    </w:p>
    <w:p w14:paraId="17583EED">
      <w:pPr>
        <w:ind w:firstLine="640"/>
      </w:pPr>
      <w:r>
        <w:rPr>
          <w:rFonts w:hint="eastAsia"/>
        </w:rPr>
        <w:t>发生较大以上突发公共卫生事件时，首先做好先期处置工作，控制事态发展，防止次生和衍生公共卫生事件的发生，县指挥部要根据需要及时成立现场指挥部，并向上级政府指挥机构请求支援。在上级政府指挥机构的统一指挥下，县指挥部要做好以下配合工作:</w:t>
      </w:r>
    </w:p>
    <w:p w14:paraId="220FE7A6">
      <w:pPr>
        <w:numPr>
          <w:ilvl w:val="0"/>
          <w:numId w:val="218"/>
        </w:numPr>
        <w:ind w:firstLine="640"/>
      </w:pPr>
      <w:r>
        <w:rPr>
          <w:rFonts w:hint="eastAsia"/>
        </w:rPr>
        <w:t>县政府成立突发公共卫生事件应对工作领导小组，必要时执行调度会议制度。县应急救援指挥部统筹社会面防控，牵头做好专业领域防、控、治、研工作。各专项工作组按照职责分工，统筹本组防控和处置保障工作。</w:t>
      </w:r>
    </w:p>
    <w:p w14:paraId="17F265A1">
      <w:pPr>
        <w:numPr>
          <w:ilvl w:val="0"/>
          <w:numId w:val="218"/>
        </w:numPr>
        <w:ind w:firstLine="640"/>
      </w:pPr>
      <w:r>
        <w:rPr>
          <w:rFonts w:hint="eastAsia"/>
        </w:rPr>
        <w:t>组织村（居）民落实各项预防控制措施，做好流动人口和外来暂住人口的管理工作。做好区域内患病居民的社会救济工作，安排好本行政区域内居民生活。协助基层医疗卫生机构和有关部门做好疫情信息的收集、报告、人员分散隔离、公共卫生措施的实施工作。</w:t>
      </w:r>
    </w:p>
    <w:p w14:paraId="4408238A">
      <w:pPr>
        <w:numPr>
          <w:ilvl w:val="0"/>
          <w:numId w:val="218"/>
        </w:numPr>
        <w:ind w:firstLine="640"/>
      </w:pPr>
      <w:r>
        <w:rPr>
          <w:rFonts w:hint="eastAsia"/>
        </w:rPr>
        <w:t>组织交通运输、卫生健康、农业农村等部门在交通站点设置临时交通卫生检疫站，对出入卡口、进出疫区和运行中的交通工具及其乘运人员和物资、宿主动物进行检疫查验，对相关异常症状人群、疑似病例及其密切接触者实施临时隔离、留验和转运移交。</w:t>
      </w:r>
    </w:p>
    <w:p w14:paraId="389D0976">
      <w:pPr>
        <w:numPr>
          <w:ilvl w:val="0"/>
          <w:numId w:val="218"/>
        </w:numPr>
        <w:ind w:firstLine="640"/>
      </w:pPr>
      <w:r>
        <w:rPr>
          <w:rFonts w:hint="eastAsia"/>
        </w:rPr>
        <w:t>甲类、乙类传染病暴发、流行时，经申请市人民政府同意，可以宣布疫区范围；对重大食物中毒和职业中毒以及放射事，根据污染食品扩散和职业危害因素以及放射事故波及的范围，划定控制区域。</w:t>
      </w:r>
    </w:p>
    <w:p w14:paraId="7BD417ED">
      <w:pPr>
        <w:numPr>
          <w:ilvl w:val="0"/>
          <w:numId w:val="218"/>
        </w:numPr>
        <w:ind w:firstLine="640"/>
      </w:pPr>
      <w:r>
        <w:rPr>
          <w:rFonts w:hint="eastAsia"/>
        </w:rPr>
        <w:t>根据市指挥部防控要求，采取限制或者停止集市、集会、影剧院演出或者其他人群聚集的活动，停工、停业、停课，临时征用宾馆设置为临时隔离医学观察，封闭被传染病病原体污染的公共饮用水源等紧急措施。</w:t>
      </w:r>
    </w:p>
    <w:p w14:paraId="0B17706A">
      <w:pPr>
        <w:numPr>
          <w:ilvl w:val="0"/>
          <w:numId w:val="218"/>
        </w:numPr>
        <w:ind w:firstLine="640"/>
      </w:pPr>
      <w:r>
        <w:rPr>
          <w:rFonts w:hint="eastAsia"/>
        </w:rPr>
        <w:t>县卫生健康局根据国家制定的有关技术标准和规范，组织医疗卫生机构开展全员培训。</w:t>
      </w:r>
    </w:p>
    <w:p w14:paraId="6D85F752">
      <w:pPr>
        <w:numPr>
          <w:ilvl w:val="0"/>
          <w:numId w:val="218"/>
        </w:numPr>
        <w:ind w:firstLine="640"/>
      </w:pPr>
      <w:r>
        <w:rPr>
          <w:rFonts w:hint="eastAsia"/>
        </w:rPr>
        <w:t>指定县级定点医院，督导县级医疗机构严格执行预检分诊制度，规范设置发热门诊。医疗机构接诊、收治和转运患者，严格按照有关规定和诊疗常规进行诊断、治疗和采取隔离措施。协助县疾病预防控制中心工作人员开展标本采集、流行病学调查等工作。做好消毒隔离、个人防护和医疗废物处理等工作，预防医院感染发生。对传染病、群体性不明原因疾病、放射事故和各类中毒等病例实行首诊负责制。对群体性不明原因疾病和新发传染病做好病例分析与总结，积累诊断治疗的经验。按照“集中患者、集中专家、集中资源、集中救治”原则统筹重症病例救治，派驻县级专家组指导参与重症救治。建立医护力量梯队，实施县级医疗机构、非事发地医疗机构医护力量对口支援重点地区救治工作，尽最大努力降低病死率。</w:t>
      </w:r>
    </w:p>
    <w:p w14:paraId="19054B05">
      <w:pPr>
        <w:numPr>
          <w:ilvl w:val="0"/>
          <w:numId w:val="218"/>
        </w:numPr>
        <w:ind w:firstLine="640"/>
      </w:pPr>
      <w:r>
        <w:rPr>
          <w:rFonts w:hint="eastAsia"/>
        </w:rPr>
        <w:t>县疾病预防控制中心对突发公共卫生事件相关病例发病情况、流行病学史、分布特点等进行调查分析。对传染病病例、疑似病例、病原携带者及其密切接触者进行追踪调查和跨区域协查，查明传播链，并向相关疾病预防控制机构和有关单位通报情况。县疾病预防控制中心按有关技术规范采集足量的标本进行病原学和血清学检测，并根据规定将标本送至上级疾病预防控制机构复核检测，查找致病原因。</w:t>
      </w:r>
    </w:p>
    <w:p w14:paraId="19E430A4">
      <w:pPr>
        <w:numPr>
          <w:ilvl w:val="0"/>
          <w:numId w:val="218"/>
        </w:numPr>
        <w:ind w:firstLine="640"/>
      </w:pPr>
      <w:r>
        <w:rPr>
          <w:rFonts w:hint="eastAsia"/>
        </w:rPr>
        <w:t>组织多学科专家对突发公共卫生事件的处理情况进行综合评估，包括事件概况、现场调查、处理概况、病例救治概况、所采取的措施和效果评价等。开展阶段性和中长期趋势研判，提出措施建议，分区分类指导全县突发公共卫生事件处置工作。</w:t>
      </w:r>
    </w:p>
    <w:p w14:paraId="7A0C447B">
      <w:pPr>
        <w:numPr>
          <w:ilvl w:val="0"/>
          <w:numId w:val="218"/>
        </w:numPr>
        <w:ind w:firstLine="640"/>
      </w:pPr>
      <w:r>
        <w:rPr>
          <w:rFonts w:hint="eastAsia"/>
        </w:rPr>
        <w:t>县指挥部经市卫生健康委批准，县卫生健康局在县政府统一领导下，及时向社会发布突发公共卫生事件信息和处置进展，积极回应社会关切。全县启动突发公共卫生事件日报、零报制度，每日向社会发布全县相关动态。新闻媒体对突发公共卫生事件的报道应及时主动、准确把握、实事求是，要正确引导舆论，注重社会效果，防止产生负面影响。有针对性地开展卫生知识宣教工作，提高公众健康意识和自我防护能力，消除公众心理障碍，开展心理危机干预工作。</w:t>
      </w:r>
    </w:p>
    <w:p w14:paraId="106AB142">
      <w:pPr>
        <w:numPr>
          <w:ilvl w:val="0"/>
          <w:numId w:val="218"/>
        </w:numPr>
        <w:ind w:firstLine="640"/>
      </w:pPr>
      <w:r>
        <w:rPr>
          <w:rFonts w:hint="eastAsia"/>
        </w:rPr>
        <w:t>组织有关部门保障商品供应，平抑物价，防止哄抢;严厉打击制谣传谣、哄抬价格、囤积居奇、制假售假等违法犯罪和扰乱社会治安行为。</w:t>
      </w:r>
    </w:p>
    <w:p w14:paraId="475452D7">
      <w:pPr>
        <w:numPr>
          <w:ilvl w:val="0"/>
          <w:numId w:val="218"/>
        </w:numPr>
        <w:ind w:firstLine="640"/>
      </w:pPr>
      <w:r>
        <w:rPr>
          <w:rFonts w:hint="eastAsia"/>
        </w:rPr>
        <w:t>县指挥部组织对全县或重点地区的突发公共卫生事件应急处理工作进行督导和检查。县卫生健康局对本行政区域内医疗机构、县疾病预防控制中心等突发公共卫生事件应急处理各项措施落实情况进行督导、检查，依法对医疗卫生机构在突发公共卫生事件应急处置工作中的违法行为进行调查处理。</w:t>
      </w:r>
    </w:p>
    <w:p w14:paraId="050D771F">
      <w:pPr>
        <w:numPr>
          <w:ilvl w:val="0"/>
          <w:numId w:val="218"/>
        </w:numPr>
        <w:ind w:firstLine="640"/>
      </w:pPr>
      <w:r>
        <w:rPr>
          <w:rFonts w:hint="eastAsia"/>
        </w:rPr>
        <w:t>开展与突发公共卫生事件相关的诊断试剂、疫苗、消毒方法、防护用品等方面的研究。开展技术交流合作，提高病源查寻和病因诊断水平。</w:t>
      </w:r>
    </w:p>
    <w:p w14:paraId="158D4926">
      <w:pPr>
        <w:pStyle w:val="3"/>
      </w:pPr>
      <w:bookmarkStart w:id="1221" w:name="_Toc10593"/>
      <w:r>
        <w:rPr>
          <w:rFonts w:hint="eastAsia"/>
        </w:rPr>
        <w:t>应急联动机制</w:t>
      </w:r>
      <w:bookmarkEnd w:id="1221"/>
    </w:p>
    <w:p w14:paraId="2BA6B9F1">
      <w:pPr>
        <w:ind w:firstLine="640"/>
      </w:pPr>
      <w:r>
        <w:rPr>
          <w:rFonts w:hint="eastAsia"/>
        </w:rPr>
        <w:t>县指挥部办公室要与上级及周边医疗卫生机构、疾病预防控制机构、有关实验室开展应对突发公共卫生事件应急处置技术的交流与合作，形成信息共享与应急联动。</w:t>
      </w:r>
    </w:p>
    <w:p w14:paraId="4741F21E">
      <w:pPr>
        <w:pStyle w:val="3"/>
      </w:pPr>
      <w:bookmarkStart w:id="1222" w:name="_Toc3096"/>
      <w:r>
        <w:rPr>
          <w:rFonts w:hint="eastAsia"/>
        </w:rPr>
        <w:t>响应终止</w:t>
      </w:r>
      <w:bookmarkEnd w:id="1222"/>
    </w:p>
    <w:p w14:paraId="54F765E4">
      <w:pPr>
        <w:ind w:firstLine="640"/>
      </w:pPr>
      <w:r>
        <w:rPr>
          <w:rFonts w:hint="eastAsia"/>
        </w:rPr>
        <w:t>突发公共卫生事件应急响应的终止需符合以下条件：突发公共卫生事件隐患或相关危险因素消除，最后一例相关病例经过最长潜伏期后再无新病例出现。依据“谁启动、谁终止”的原则，由相应启动应急响应的指挥机构批准宣布应急响应结束。</w:t>
      </w:r>
    </w:p>
    <w:p w14:paraId="7584713E">
      <w:pPr>
        <w:pStyle w:val="2"/>
        <w:numPr>
          <w:ilvl w:val="0"/>
          <w:numId w:val="210"/>
        </w:numPr>
        <w:tabs>
          <w:tab w:val="left" w:pos="0"/>
        </w:tabs>
        <w:rPr>
          <w:sz w:val="32"/>
          <w:szCs w:val="32"/>
        </w:rPr>
      </w:pPr>
      <w:bookmarkStart w:id="1223" w:name="_Toc24922"/>
      <w:r>
        <w:rPr>
          <w:rFonts w:hint="eastAsia"/>
          <w:sz w:val="32"/>
          <w:szCs w:val="32"/>
        </w:rPr>
        <w:t>后期处置</w:t>
      </w:r>
      <w:bookmarkEnd w:id="1223"/>
    </w:p>
    <w:p w14:paraId="4AD70FD2">
      <w:pPr>
        <w:pStyle w:val="3"/>
      </w:pPr>
      <w:bookmarkStart w:id="1224" w:name="_Toc5713"/>
      <w:r>
        <w:rPr>
          <w:rFonts w:hint="eastAsia"/>
        </w:rPr>
        <w:t>总结评估</w:t>
      </w:r>
      <w:bookmarkEnd w:id="1224"/>
    </w:p>
    <w:p w14:paraId="61CBED20">
      <w:pPr>
        <w:ind w:firstLine="640"/>
      </w:pPr>
      <w:r>
        <w:rPr>
          <w:rFonts w:hint="eastAsia"/>
        </w:rPr>
        <w:t>突发公共卫生事件结束后，县指挥部组织相关成员单位、专家和参与处置的人员对突发公共卫生事件处置情况进行总结评估。总结评估内容主要包括事件概况、溯源和流行病学调查概况、病例救治情况、所采取措施的效果评价、应急处置中存在的问题、取得的经验、终止响应后需进一步跟踪落实及常态工作相关建议。</w:t>
      </w:r>
    </w:p>
    <w:p w14:paraId="4121F09C">
      <w:pPr>
        <w:pStyle w:val="3"/>
      </w:pPr>
      <w:bookmarkStart w:id="1225" w:name="_Toc4712"/>
      <w:r>
        <w:rPr>
          <w:rFonts w:hint="eastAsia"/>
        </w:rPr>
        <w:t>抚恤和补助</w:t>
      </w:r>
      <w:bookmarkEnd w:id="1225"/>
    </w:p>
    <w:p w14:paraId="598480FA">
      <w:pPr>
        <w:ind w:firstLine="640"/>
      </w:pPr>
      <w:r>
        <w:rPr>
          <w:rFonts w:hint="eastAsia"/>
        </w:rPr>
        <w:t>县指挥部组织有关部门对因参与应急处置工作的致病、致残、死亡人员，按照国家有关规定，给予相应的补助和抚恤。对在突发公共卫生事件应急处置工作中被认定为工伤（或视同工伤）的人员，按照《工伤保险条例》《山西省实施&lt;工伤保险条例&gt;办法》规定，享受相应待遇。对在突发公共卫生事件应急处置工作中牺牲的人员，按照有关规定追认为烈士，并依规抚恤优待烈士遗属。对直接参与传染病类突发公共卫生事件的一线工作人员，按国家有关规定发放临时性工作补助。</w:t>
      </w:r>
    </w:p>
    <w:p w14:paraId="091A7F7E">
      <w:pPr>
        <w:pStyle w:val="3"/>
      </w:pPr>
      <w:bookmarkStart w:id="1226" w:name="_Toc24995"/>
      <w:r>
        <w:rPr>
          <w:rFonts w:hint="eastAsia"/>
        </w:rPr>
        <w:t>征用补偿</w:t>
      </w:r>
      <w:bookmarkEnd w:id="1226"/>
      <w:r>
        <w:rPr>
          <w:rFonts w:hint="eastAsia"/>
        </w:rPr>
        <w:t xml:space="preserve"> </w:t>
      </w:r>
    </w:p>
    <w:p w14:paraId="6DE0094E">
      <w:pPr>
        <w:ind w:firstLine="640"/>
      </w:pPr>
      <w:r>
        <w:rPr>
          <w:rFonts w:hint="eastAsia"/>
        </w:rPr>
        <w:t>县指挥部应组织有关部门对应急响应期间紧急调集、征用有关单位、企业的物资和劳务进行评估，并归还或给予补偿。</w:t>
      </w:r>
    </w:p>
    <w:p w14:paraId="41B30BC3">
      <w:pPr>
        <w:pStyle w:val="3"/>
      </w:pPr>
      <w:bookmarkStart w:id="1227" w:name="_Toc11294"/>
      <w:r>
        <w:rPr>
          <w:rFonts w:hint="eastAsia"/>
        </w:rPr>
        <w:t>奖励与责任</w:t>
      </w:r>
      <w:bookmarkEnd w:id="1227"/>
    </w:p>
    <w:p w14:paraId="24AE1F85">
      <w:pPr>
        <w:ind w:firstLine="640"/>
      </w:pPr>
      <w:r>
        <w:rPr>
          <w:rFonts w:hint="eastAsia"/>
        </w:rPr>
        <w:t>县政府对在突发公共卫生事件应急处置中作出突出贡献的单位和个人依据有关法律法规和规定给予表彰和奖励；对受伤、致残或者死亡的人员，按照国家有关规定给予补助和抚恤。对迟报、谎报、瞒报和漏报突发公共卫生事件信息或者在应急处置中有不服从调遣、玩忽职守、失职、渎职等行为的，依法对有关责 任人员给予行政处分，涉嫌违法犯罪的移交司法机关，依法追究 其刑事责任。</w:t>
      </w:r>
    </w:p>
    <w:p w14:paraId="3A6E5A31">
      <w:pPr>
        <w:pStyle w:val="2"/>
        <w:numPr>
          <w:ilvl w:val="0"/>
          <w:numId w:val="210"/>
        </w:numPr>
        <w:tabs>
          <w:tab w:val="left" w:pos="0"/>
        </w:tabs>
        <w:rPr>
          <w:sz w:val="32"/>
          <w:szCs w:val="32"/>
        </w:rPr>
      </w:pPr>
      <w:bookmarkStart w:id="1228" w:name="_Toc23573"/>
      <w:r>
        <w:rPr>
          <w:rFonts w:hint="eastAsia"/>
          <w:sz w:val="32"/>
          <w:szCs w:val="32"/>
        </w:rPr>
        <w:t>保障措施</w:t>
      </w:r>
      <w:bookmarkEnd w:id="1228"/>
    </w:p>
    <w:p w14:paraId="235BE768">
      <w:pPr>
        <w:pStyle w:val="3"/>
      </w:pPr>
      <w:bookmarkStart w:id="1229" w:name="_Toc13865"/>
      <w:r>
        <w:rPr>
          <w:rFonts w:hint="eastAsia"/>
        </w:rPr>
        <w:t>资金保障</w:t>
      </w:r>
      <w:bookmarkEnd w:id="1229"/>
      <w:r>
        <w:rPr>
          <w:rFonts w:hint="eastAsia"/>
        </w:rPr>
        <w:t xml:space="preserve"> </w:t>
      </w:r>
    </w:p>
    <w:p w14:paraId="6ADFAEFC">
      <w:pPr>
        <w:ind w:firstLine="640"/>
      </w:pPr>
      <w:r>
        <w:rPr>
          <w:rFonts w:hint="eastAsia"/>
        </w:rPr>
        <w:t>县财政局要按照各领域财政事权和支出责任划分原则，为突发公共卫生事件应对工作提供资金保障，按规定落实对突发公共卫生事件应急处理专业技术机构的财政补助政策和突发公共卫生事件应急处置经费。县发展和改革局要保障突发公共卫生事件应急基础设施项目建设经费。县卫生健康局和县医疗保障局要组织执行突发公共卫生事件相关病例医学排查和治疗费用纳入医保报销等相关政策。</w:t>
      </w:r>
    </w:p>
    <w:p w14:paraId="012FE69F">
      <w:pPr>
        <w:pStyle w:val="3"/>
      </w:pPr>
      <w:bookmarkStart w:id="1230" w:name="_Toc24952"/>
      <w:r>
        <w:rPr>
          <w:rFonts w:hint="eastAsia"/>
        </w:rPr>
        <w:t>物资保障</w:t>
      </w:r>
      <w:bookmarkEnd w:id="1230"/>
      <w:r>
        <w:rPr>
          <w:rFonts w:hint="eastAsia"/>
        </w:rPr>
        <w:t xml:space="preserve"> </w:t>
      </w:r>
    </w:p>
    <w:p w14:paraId="58BF4467">
      <w:pPr>
        <w:ind w:firstLine="640"/>
      </w:pPr>
      <w:r>
        <w:rPr>
          <w:rFonts w:hint="eastAsia"/>
        </w:rPr>
        <w:t>根据县指挥部决策部署，县卫生健康局按照突发公共卫生事件处置需要，汇总并提出药品(含中成药、中药材）及防护消杀用品等医药物资应急需求和计划。县工业信息科技局根据医药物资需求，结合生产能力和市场供应，确定医药物资储备清单和调拨计划，督导承储企业装载和调运。现有储备难以满足需求时，向市或相邻县（区）医药储备提出援助申请。必要时，组织承储企业紧急采购市场短缺药品。县发展和改革局根据物资储备需求和调拨计划，组织落实动用计划和指令。县工业和信息化、县发改局、县财政局、县卫生健康局等部门分别建立应对突发公共卫生事件的医药和物资储备及调拨机制。</w:t>
      </w:r>
    </w:p>
    <w:p w14:paraId="76531E62">
      <w:pPr>
        <w:pStyle w:val="3"/>
      </w:pPr>
      <w:bookmarkStart w:id="1231" w:name="_Toc3225"/>
      <w:r>
        <w:rPr>
          <w:rFonts w:hint="eastAsia"/>
        </w:rPr>
        <w:t>通信保障</w:t>
      </w:r>
      <w:bookmarkEnd w:id="1231"/>
    </w:p>
    <w:p w14:paraId="5602EB26">
      <w:pPr>
        <w:ind w:firstLine="640"/>
      </w:pPr>
      <w:r>
        <w:rPr>
          <w:rFonts w:hint="eastAsia"/>
        </w:rPr>
        <w:t>根据突发公共卫生事件处置需要，通信管理部门组织相关电信运营商为召开电视电话会议、通信传输等提供保障。</w:t>
      </w:r>
    </w:p>
    <w:p w14:paraId="2E1A199F">
      <w:pPr>
        <w:pStyle w:val="3"/>
      </w:pPr>
      <w:bookmarkStart w:id="1232" w:name="_Toc14070"/>
      <w:r>
        <w:rPr>
          <w:rFonts w:hint="eastAsia"/>
        </w:rPr>
        <w:t>交通保障</w:t>
      </w:r>
      <w:bookmarkEnd w:id="1232"/>
    </w:p>
    <w:p w14:paraId="4B2E5DA5">
      <w:pPr>
        <w:ind w:firstLine="640"/>
      </w:pPr>
      <w:r>
        <w:rPr>
          <w:rFonts w:hint="eastAsia"/>
        </w:rPr>
        <w:t>县交通运输、公安交警等部门组织协调相关单位(企业)和交警力量为参与突发公共卫生事件处置中的人员、物资、装备等快速投送和优先通行提供保障。</w:t>
      </w:r>
    </w:p>
    <w:p w14:paraId="4A1D654B">
      <w:pPr>
        <w:pStyle w:val="3"/>
      </w:pPr>
      <w:bookmarkStart w:id="1233" w:name="_Toc23503"/>
      <w:r>
        <w:rPr>
          <w:rFonts w:hint="eastAsia"/>
        </w:rPr>
        <w:t>治安保障</w:t>
      </w:r>
      <w:bookmarkEnd w:id="1233"/>
    </w:p>
    <w:p w14:paraId="54D2D1AD">
      <w:pPr>
        <w:ind w:firstLine="640"/>
      </w:pPr>
      <w:r>
        <w:rPr>
          <w:rFonts w:hint="eastAsia"/>
        </w:rPr>
        <w:t>县公安局、各乡镇人民政府要加强对重点地区、重点场所、重要环节的安全管理，共同做好疫区和控制区域的隔离工作和社会治安管理工作。</w:t>
      </w:r>
    </w:p>
    <w:p w14:paraId="6BD44B54">
      <w:pPr>
        <w:pStyle w:val="3"/>
      </w:pPr>
      <w:bookmarkStart w:id="1234" w:name="_Toc19430"/>
      <w:r>
        <w:rPr>
          <w:rFonts w:hint="eastAsia"/>
        </w:rPr>
        <w:t>宣传培训与应急演练保障</w:t>
      </w:r>
      <w:bookmarkEnd w:id="1234"/>
      <w:r>
        <w:rPr>
          <w:rFonts w:hint="eastAsia"/>
        </w:rPr>
        <w:t xml:space="preserve"> </w:t>
      </w:r>
    </w:p>
    <w:p w14:paraId="3F253F5D">
      <w:pPr>
        <w:ind w:firstLine="640"/>
      </w:pPr>
      <w:r>
        <w:rPr>
          <w:rFonts w:hint="eastAsia"/>
        </w:rPr>
        <w:t>县指挥部办公室负责制定应对突发公共卫生事件宣传教育计划，编制社会和公众应对突发公共卫生事件的各种宣传材料与应急手册。充分利用电视、广播、报纸、微信等多种传媒形式，对社会公众广泛开展健康教育，普及突发公共卫生事件应急常识。定期组织应急管理人员和医疗卫生技术人员开展相关知识的培训，提高应急准备和应急响应能力。每年至少进行一次突发公共卫生事件应急演练，提高应急队伍的专业化处置水平。各乡镇人民政府、各医疗卫生机构根据本乡镇本单位实际情况，制定演练计划，组织开展应急演练，并及时上报县指挥部办公室。</w:t>
      </w:r>
    </w:p>
    <w:p w14:paraId="16172E6F">
      <w:pPr>
        <w:pStyle w:val="2"/>
        <w:numPr>
          <w:ilvl w:val="0"/>
          <w:numId w:val="210"/>
        </w:numPr>
        <w:tabs>
          <w:tab w:val="left" w:pos="0"/>
        </w:tabs>
        <w:rPr>
          <w:sz w:val="36"/>
          <w:szCs w:val="36"/>
        </w:rPr>
      </w:pPr>
      <w:bookmarkStart w:id="1235" w:name="_Toc16495"/>
      <w:r>
        <w:rPr>
          <w:rFonts w:hint="eastAsia"/>
          <w:sz w:val="32"/>
          <w:szCs w:val="32"/>
        </w:rPr>
        <w:t>附则</w:t>
      </w:r>
      <w:bookmarkEnd w:id="1235"/>
    </w:p>
    <w:p w14:paraId="00E89F3C">
      <w:pPr>
        <w:pStyle w:val="3"/>
        <w:tabs>
          <w:tab w:val="left" w:pos="0"/>
        </w:tabs>
        <w:rPr>
          <w:rFonts w:ascii="Times New Roman" w:hAnsi="Times New Roman"/>
          <w:szCs w:val="32"/>
        </w:rPr>
      </w:pPr>
      <w:bookmarkStart w:id="1236" w:name="_Toc12886"/>
      <w:r>
        <w:rPr>
          <w:rFonts w:hint="eastAsia" w:ascii="Times New Roman" w:hAnsi="Times New Roman"/>
          <w:szCs w:val="32"/>
        </w:rPr>
        <w:t>预案管理与更新</w:t>
      </w:r>
      <w:bookmarkEnd w:id="1236"/>
    </w:p>
    <w:p w14:paraId="460031C0">
      <w:pPr>
        <w:ind w:firstLine="640"/>
      </w:pPr>
      <w:r>
        <w:rPr>
          <w:rFonts w:hint="eastAsia"/>
        </w:rPr>
        <w:t>本预案由县卫生健康局负责定期组织评审，并按照《山西省突发事件应对条例》《山西省突发事件应急预案管理办法》及时组织修订。</w:t>
      </w:r>
    </w:p>
    <w:p w14:paraId="1CD8B6D2">
      <w:pPr>
        <w:ind w:firstLine="640"/>
      </w:pPr>
      <w:r>
        <w:rPr>
          <w:rFonts w:hint="eastAsia"/>
        </w:rPr>
        <w:t>各乡镇人民政府、各成员单位根据本预案并结合各自实际情况，制定应急预案或应急联动方案，并报县指挥部办公室备案。</w:t>
      </w:r>
    </w:p>
    <w:p w14:paraId="68FFA63F">
      <w:pPr>
        <w:pStyle w:val="3"/>
        <w:tabs>
          <w:tab w:val="left" w:pos="0"/>
        </w:tabs>
        <w:rPr>
          <w:rFonts w:ascii="Times New Roman" w:hAnsi="Times New Roman"/>
          <w:szCs w:val="32"/>
        </w:rPr>
      </w:pPr>
      <w:bookmarkStart w:id="1237" w:name="_Toc21574"/>
      <w:r>
        <w:rPr>
          <w:rFonts w:hint="eastAsia" w:ascii="Times New Roman" w:hAnsi="Times New Roman"/>
          <w:szCs w:val="32"/>
        </w:rPr>
        <w:t>预案制定与解释</w:t>
      </w:r>
      <w:bookmarkEnd w:id="1237"/>
    </w:p>
    <w:p w14:paraId="48BC6D0A">
      <w:pPr>
        <w:ind w:firstLine="640"/>
        <w:rPr>
          <w:rFonts w:ascii="Times New Roman" w:hAnsi="Times New Roman"/>
        </w:rPr>
      </w:pPr>
      <w:r>
        <w:rPr>
          <w:rFonts w:hint="eastAsia" w:ascii="Times New Roman" w:hAnsi="Times New Roman"/>
        </w:rPr>
        <w:t>本预案由集贤县突发公共卫生事件应急指挥部负责解释。</w:t>
      </w:r>
    </w:p>
    <w:p w14:paraId="42CB1F30">
      <w:pPr>
        <w:pStyle w:val="3"/>
        <w:tabs>
          <w:tab w:val="left" w:pos="0"/>
        </w:tabs>
        <w:rPr>
          <w:rFonts w:ascii="Times New Roman" w:hAnsi="Times New Roman"/>
          <w:szCs w:val="32"/>
        </w:rPr>
      </w:pPr>
      <w:r>
        <w:rPr>
          <w:rFonts w:hint="eastAsia" w:ascii="Times New Roman" w:hAnsi="Times New Roman"/>
          <w:szCs w:val="32"/>
        </w:rPr>
        <w:t>预案的实施</w:t>
      </w:r>
    </w:p>
    <w:p w14:paraId="6327778F">
      <w:pPr>
        <w:ind w:firstLine="640"/>
      </w:pPr>
      <w:r>
        <w:rPr>
          <w:rFonts w:hint="eastAsia" w:ascii="Times New Roman" w:hAnsi="Times New Roman"/>
        </w:rPr>
        <w:t>本预案自发布之日起施行</w:t>
      </w:r>
      <w:r>
        <w:rPr>
          <w:rFonts w:hint="eastAsia"/>
        </w:rPr>
        <w:t>。</w:t>
      </w:r>
    </w:p>
    <w:p w14:paraId="0E9481C5">
      <w:pPr>
        <w:ind w:firstLine="0" w:firstLineChars="0"/>
      </w:pPr>
    </w:p>
    <w:p w14:paraId="0C77CBE8">
      <w:pPr>
        <w:pStyle w:val="15"/>
        <w:ind w:left="0" w:leftChars="0" w:firstLine="0" w:firstLineChars="0"/>
        <w:rPr>
          <w:rFonts w:ascii="Times New Roman" w:hAnsi="Times New Roman" w:cs="Times New Roman"/>
        </w:rPr>
        <w:sectPr>
          <w:headerReference r:id="rId118" w:type="default"/>
          <w:footerReference r:id="rId120" w:type="default"/>
          <w:headerReference r:id="rId119" w:type="even"/>
          <w:footerReference r:id="rId121" w:type="even"/>
          <w:pgSz w:w="11906" w:h="16838"/>
          <w:pgMar w:top="1080" w:right="1440" w:bottom="1080" w:left="1440" w:header="851" w:footer="992" w:gutter="0"/>
          <w:cols w:space="720" w:num="1"/>
          <w:docGrid w:type="lines" w:linePitch="312" w:charSpace="-842"/>
        </w:sectPr>
      </w:pPr>
    </w:p>
    <w:p w14:paraId="6F544161">
      <w:pPr>
        <w:pStyle w:val="11"/>
        <w:ind w:firstLine="632"/>
      </w:pPr>
      <w:r>
        <w:rPr>
          <w:rFonts w:hint="eastAsia"/>
        </w:rPr>
        <w:t xml:space="preserve"> </w:t>
      </w:r>
    </w:p>
    <w:p w14:paraId="22221913">
      <w:pPr>
        <w:ind w:firstLine="0" w:firstLineChars="0"/>
        <w:jc w:val="center"/>
        <w:rPr>
          <w:sz w:val="36"/>
          <w:szCs w:val="36"/>
        </w:rPr>
      </w:pPr>
    </w:p>
    <w:p w14:paraId="2B643DDD">
      <w:pPr>
        <w:pStyle w:val="42"/>
      </w:pPr>
    </w:p>
    <w:p w14:paraId="482ADE36">
      <w:pPr>
        <w:autoSpaceDE w:val="0"/>
        <w:autoSpaceDN w:val="0"/>
        <w:adjustRightInd w:val="0"/>
        <w:spacing w:line="240" w:lineRule="atLeast"/>
        <w:ind w:firstLine="0" w:firstLineChars="0"/>
        <w:jc w:val="center"/>
        <w:rPr>
          <w:rFonts w:ascii="方正小标宋简体" w:hAnsi="方正小标宋简体" w:eastAsia="方正小标宋简体" w:cs="方正小标宋简体"/>
          <w:bCs/>
          <w:color w:val="000000"/>
          <w:spacing w:val="-6"/>
          <w:kern w:val="0"/>
          <w:sz w:val="52"/>
          <w:szCs w:val="52"/>
          <w:lang w:bidi="ar"/>
        </w:rPr>
      </w:pPr>
      <w:r>
        <w:rPr>
          <w:rFonts w:hint="eastAsia" w:ascii="方正小标宋简体" w:hAnsi="方正小标宋简体" w:eastAsia="方正小标宋简体" w:cs="方正小标宋简体"/>
          <w:bCs/>
          <w:color w:val="000000"/>
          <w:spacing w:val="-6"/>
          <w:kern w:val="0"/>
          <w:sz w:val="52"/>
          <w:szCs w:val="52"/>
          <w:lang w:bidi="ar"/>
        </w:rPr>
        <w:t>集贤县重大动物疫情应急预案</w:t>
      </w:r>
    </w:p>
    <w:p w14:paraId="21E9B527">
      <w:pPr>
        <w:pStyle w:val="11"/>
        <w:ind w:firstLine="0" w:firstLineChars="0"/>
        <w:jc w:val="center"/>
        <w:rPr>
          <w:rFonts w:ascii="Times New Roman" w:hAnsi="Times New Roman" w:eastAsia="楷体_GB2312" w:cs="Times New Roman"/>
          <w:b/>
          <w:sz w:val="52"/>
          <w:szCs w:val="52"/>
        </w:rPr>
      </w:pPr>
      <w:r>
        <w:rPr>
          <w:rFonts w:hint="eastAsia" w:ascii="仿宋_GB2312" w:hAnsi="仿宋_GB2312" w:cs="仿宋_GB2312"/>
          <w:bCs/>
          <w:sz w:val="48"/>
          <w:szCs w:val="48"/>
        </w:rPr>
        <w:t>（修订稿）</w:t>
      </w:r>
    </w:p>
    <w:p w14:paraId="687E3EF8">
      <w:pPr>
        <w:ind w:firstLine="632"/>
      </w:pPr>
    </w:p>
    <w:p w14:paraId="43904E33">
      <w:pPr>
        <w:ind w:firstLine="632"/>
      </w:pPr>
    </w:p>
    <w:p w14:paraId="5BE91AAB">
      <w:pPr>
        <w:ind w:firstLine="632"/>
      </w:pPr>
    </w:p>
    <w:p w14:paraId="00B1EACB">
      <w:pPr>
        <w:pStyle w:val="11"/>
        <w:ind w:firstLine="632"/>
      </w:pPr>
    </w:p>
    <w:p w14:paraId="795AC094">
      <w:pPr>
        <w:pStyle w:val="11"/>
        <w:ind w:firstLine="632"/>
      </w:pPr>
    </w:p>
    <w:p w14:paraId="1685133A">
      <w:pPr>
        <w:pStyle w:val="11"/>
        <w:ind w:firstLine="632"/>
      </w:pPr>
    </w:p>
    <w:p w14:paraId="6B72F024">
      <w:pPr>
        <w:pStyle w:val="11"/>
        <w:ind w:firstLine="632"/>
      </w:pPr>
    </w:p>
    <w:p w14:paraId="7B357463">
      <w:pPr>
        <w:pStyle w:val="11"/>
        <w:ind w:firstLine="632"/>
      </w:pPr>
    </w:p>
    <w:p w14:paraId="744D73A6">
      <w:pPr>
        <w:ind w:firstLine="632"/>
      </w:pPr>
    </w:p>
    <w:p w14:paraId="312B1BBF">
      <w:pPr>
        <w:ind w:firstLine="632"/>
      </w:pPr>
    </w:p>
    <w:p w14:paraId="2EC274F6">
      <w:pPr>
        <w:pStyle w:val="42"/>
      </w:pPr>
    </w:p>
    <w:p w14:paraId="67946CD6">
      <w:pPr>
        <w:pStyle w:val="42"/>
      </w:pPr>
    </w:p>
    <w:p w14:paraId="66205EB2">
      <w:pPr>
        <w:ind w:firstLine="632"/>
      </w:pPr>
    </w:p>
    <w:p w14:paraId="65E2B221">
      <w:pPr>
        <w:ind w:firstLine="0" w:firstLineChars="0"/>
        <w:jc w:val="center"/>
        <w:rPr>
          <w:rFonts w:eastAsia="仿宋"/>
          <w:bCs/>
          <w:spacing w:val="-6"/>
          <w:sz w:val="36"/>
          <w:szCs w:val="24"/>
          <w:lang w:bidi="ar"/>
        </w:rPr>
      </w:pPr>
      <w:r>
        <w:rPr>
          <w:rFonts w:hint="eastAsia"/>
          <w:bCs/>
          <w:spacing w:val="-6"/>
          <w:sz w:val="36"/>
          <w:szCs w:val="24"/>
          <w:lang w:bidi="ar"/>
        </w:rPr>
        <w:t>集贤县</w:t>
      </w:r>
      <w:r>
        <w:rPr>
          <w:rFonts w:hint="eastAsia" w:eastAsia="仿宋"/>
          <w:bCs/>
          <w:spacing w:val="-6"/>
          <w:sz w:val="36"/>
          <w:szCs w:val="24"/>
          <w:lang w:bidi="ar"/>
        </w:rPr>
        <w:t>人民政府</w:t>
      </w:r>
      <w:r>
        <w:rPr>
          <w:rFonts w:hint="eastAsia"/>
          <w:bCs/>
          <w:spacing w:val="-6"/>
          <w:sz w:val="36"/>
          <w:szCs w:val="24"/>
          <w:lang w:bidi="ar"/>
        </w:rPr>
        <w:t xml:space="preserve"> </w:t>
      </w:r>
      <w:r>
        <w:rPr>
          <w:rFonts w:hint="eastAsia" w:eastAsia="仿宋"/>
          <w:bCs/>
          <w:spacing w:val="-6"/>
          <w:sz w:val="36"/>
          <w:szCs w:val="24"/>
          <w:lang w:bidi="ar"/>
        </w:rPr>
        <w:t>编制</w:t>
      </w:r>
    </w:p>
    <w:p w14:paraId="2244988D">
      <w:pPr>
        <w:ind w:firstLine="0" w:firstLineChars="0"/>
        <w:jc w:val="center"/>
        <w:rPr>
          <w:rFonts w:eastAsia="仿宋"/>
          <w:bCs/>
          <w:spacing w:val="-6"/>
          <w:sz w:val="36"/>
          <w:szCs w:val="24"/>
          <w:lang w:bidi="ar"/>
        </w:rPr>
      </w:pPr>
      <w:r>
        <w:rPr>
          <w:rFonts w:hint="eastAsia" w:eastAsia="仿宋"/>
          <w:bCs/>
          <w:spacing w:val="-6"/>
          <w:sz w:val="36"/>
          <w:szCs w:val="24"/>
          <w:lang w:bidi="ar"/>
        </w:rPr>
        <w:t>202</w:t>
      </w:r>
      <w:r>
        <w:rPr>
          <w:bCs/>
          <w:spacing w:val="-6"/>
          <w:sz w:val="36"/>
          <w:szCs w:val="24"/>
          <w:lang w:bidi="ar"/>
        </w:rPr>
        <w:t>5</w:t>
      </w:r>
      <w:r>
        <w:rPr>
          <w:rFonts w:hint="eastAsia" w:eastAsia="仿宋"/>
          <w:bCs/>
          <w:spacing w:val="-6"/>
          <w:sz w:val="36"/>
          <w:szCs w:val="24"/>
          <w:lang w:bidi="ar"/>
        </w:rPr>
        <w:t>年</w:t>
      </w:r>
      <w:r>
        <w:rPr>
          <w:rFonts w:eastAsia="仿宋"/>
          <w:bCs/>
          <w:spacing w:val="-6"/>
          <w:sz w:val="36"/>
          <w:szCs w:val="24"/>
          <w:lang w:bidi="ar"/>
        </w:rPr>
        <w:t>5</w:t>
      </w:r>
      <w:r>
        <w:rPr>
          <w:rFonts w:hint="eastAsia" w:eastAsia="仿宋"/>
          <w:bCs/>
          <w:spacing w:val="-6"/>
          <w:sz w:val="36"/>
          <w:szCs w:val="24"/>
          <w:lang w:bidi="ar"/>
        </w:rPr>
        <w:t>月</w:t>
      </w:r>
    </w:p>
    <w:p w14:paraId="3857457B">
      <w:pPr>
        <w:ind w:firstLine="0" w:firstLineChars="0"/>
        <w:sectPr>
          <w:footerReference r:id="rId122" w:type="default"/>
          <w:pgSz w:w="11906" w:h="16838"/>
          <w:pgMar w:top="2098" w:right="1474" w:bottom="1984" w:left="1587" w:header="1814" w:footer="1587" w:gutter="0"/>
          <w:pgNumType w:fmt="numberInDash"/>
          <w:cols w:space="720" w:num="1"/>
          <w:docGrid w:type="linesAndChars" w:linePitch="579" w:charSpace="-842"/>
        </w:sectPr>
      </w:pPr>
      <w:r>
        <w:rPr>
          <w:rFonts w:hint="eastAsia"/>
        </w:rPr>
        <w:br w:type="page"/>
      </w:r>
    </w:p>
    <w:p w14:paraId="1CBB32EB">
      <w:pPr>
        <w:ind w:firstLine="0" w:firstLineChars="0"/>
        <w:jc w:val="center"/>
        <w:rPr>
          <w:rFonts w:ascii="微软雅黑" w:hAnsi="微软雅黑" w:eastAsia="微软雅黑" w:cs="微软雅黑"/>
          <w:b/>
          <w:bCs/>
          <w:sz w:val="36"/>
          <w:szCs w:val="36"/>
        </w:rPr>
      </w:pPr>
      <w:r>
        <w:rPr>
          <w:rFonts w:hint="eastAsia" w:ascii="微软雅黑" w:hAnsi="微软雅黑" w:eastAsia="微软雅黑" w:cs="微软雅黑"/>
          <w:b/>
          <w:bCs/>
          <w:sz w:val="36"/>
          <w:szCs w:val="36"/>
        </w:rPr>
        <w:t>目  录</w:t>
      </w:r>
    </w:p>
    <w:p w14:paraId="235394BA">
      <w:pPr>
        <w:pStyle w:val="18"/>
        <w:tabs>
          <w:tab w:val="right" w:leader="dot" w:pos="9299"/>
          <w:tab w:val="clear" w:pos="8845"/>
        </w:tabs>
      </w:pPr>
      <w:r>
        <w:rPr>
          <w:rFonts w:hint="eastAsia" w:ascii="黑体" w:hAnsi="黑体" w:eastAsia="黑体" w:cs="黑体"/>
          <w:sz w:val="44"/>
          <w:szCs w:val="44"/>
        </w:rPr>
        <w:fldChar w:fldCharType="begin"/>
      </w:r>
      <w:r>
        <w:rPr>
          <w:rFonts w:hint="eastAsia" w:ascii="黑体" w:hAnsi="黑体" w:eastAsia="黑体" w:cs="黑体"/>
          <w:sz w:val="44"/>
          <w:szCs w:val="44"/>
        </w:rPr>
        <w:instrText xml:space="preserve">TOC \o "1-2" \h \u </w:instrText>
      </w:r>
      <w:r>
        <w:rPr>
          <w:rFonts w:hint="eastAsia" w:ascii="黑体" w:hAnsi="黑体" w:eastAsia="黑体" w:cs="黑体"/>
          <w:sz w:val="44"/>
          <w:szCs w:val="44"/>
        </w:rPr>
        <w:fldChar w:fldCharType="separate"/>
      </w:r>
      <w:r>
        <w:fldChar w:fldCharType="begin"/>
      </w:r>
      <w:r>
        <w:instrText xml:space="preserve"> HYPERLINK \l "_Toc13869" </w:instrText>
      </w:r>
      <w:r>
        <w:fldChar w:fldCharType="separate"/>
      </w:r>
      <w:r>
        <w:rPr>
          <w:rFonts w:eastAsia="仿宋"/>
        </w:rPr>
        <w:t xml:space="preserve">1 </w:t>
      </w:r>
      <w:r>
        <w:rPr>
          <w:rFonts w:hint="eastAsia" w:ascii="黑体" w:hAnsi="黑体" w:eastAsia="黑体" w:cs="黑体"/>
          <w:szCs w:val="44"/>
        </w:rPr>
        <w:t xml:space="preserve"> </w:t>
      </w:r>
      <w:r>
        <w:rPr>
          <w:rFonts w:hint="eastAsia"/>
        </w:rPr>
        <w:t>总则</w:t>
      </w:r>
      <w:r>
        <w:tab/>
      </w:r>
      <w:r>
        <w:fldChar w:fldCharType="begin"/>
      </w:r>
      <w:r>
        <w:instrText xml:space="preserve"> PAGEREF _Toc13869 \h </w:instrText>
      </w:r>
      <w:r>
        <w:fldChar w:fldCharType="separate"/>
      </w:r>
      <w:r>
        <w:t>3</w:t>
      </w:r>
      <w:r>
        <w:fldChar w:fldCharType="end"/>
      </w:r>
      <w:r>
        <w:fldChar w:fldCharType="end"/>
      </w:r>
    </w:p>
    <w:p w14:paraId="3C9DD4AB">
      <w:pPr>
        <w:pStyle w:val="19"/>
        <w:tabs>
          <w:tab w:val="right" w:leader="dot" w:pos="9299"/>
        </w:tabs>
        <w:ind w:firstLine="632"/>
      </w:pPr>
      <w:r>
        <w:fldChar w:fldCharType="begin"/>
      </w:r>
      <w:r>
        <w:instrText xml:space="preserve"> HYPERLINK \l "_Toc85" </w:instrText>
      </w:r>
      <w:r>
        <w:fldChar w:fldCharType="separate"/>
      </w:r>
      <w:r>
        <w:rPr>
          <w:rFonts w:eastAsia="仿宋"/>
          <w:bCs/>
          <w:szCs w:val="28"/>
        </w:rPr>
        <w:t xml:space="preserve">1.1 </w:t>
      </w:r>
      <w:r>
        <w:rPr>
          <w:rFonts w:hint="eastAsia"/>
        </w:rPr>
        <w:t>编制目的</w:t>
      </w:r>
      <w:r>
        <w:tab/>
      </w:r>
      <w:r>
        <w:fldChar w:fldCharType="begin"/>
      </w:r>
      <w:r>
        <w:instrText xml:space="preserve"> PAGEREF _Toc85 \h </w:instrText>
      </w:r>
      <w:r>
        <w:fldChar w:fldCharType="separate"/>
      </w:r>
      <w:r>
        <w:t>3</w:t>
      </w:r>
      <w:r>
        <w:fldChar w:fldCharType="end"/>
      </w:r>
      <w:r>
        <w:fldChar w:fldCharType="end"/>
      </w:r>
    </w:p>
    <w:p w14:paraId="5B5876A8">
      <w:pPr>
        <w:pStyle w:val="19"/>
        <w:tabs>
          <w:tab w:val="right" w:leader="dot" w:pos="9299"/>
        </w:tabs>
        <w:ind w:firstLine="632"/>
      </w:pPr>
      <w:r>
        <w:fldChar w:fldCharType="begin"/>
      </w:r>
      <w:r>
        <w:instrText xml:space="preserve"> HYPERLINK \l "_Toc9519" </w:instrText>
      </w:r>
      <w:r>
        <w:fldChar w:fldCharType="separate"/>
      </w:r>
      <w:r>
        <w:rPr>
          <w:rFonts w:eastAsia="仿宋"/>
          <w:bCs/>
          <w:szCs w:val="28"/>
        </w:rPr>
        <w:t xml:space="preserve">1.2 </w:t>
      </w:r>
      <w:r>
        <w:rPr>
          <w:rFonts w:hint="eastAsia"/>
        </w:rPr>
        <w:t>编制依据</w:t>
      </w:r>
      <w:r>
        <w:tab/>
      </w:r>
      <w:r>
        <w:fldChar w:fldCharType="begin"/>
      </w:r>
      <w:r>
        <w:instrText xml:space="preserve"> PAGEREF _Toc9519 \h </w:instrText>
      </w:r>
      <w:r>
        <w:fldChar w:fldCharType="separate"/>
      </w:r>
      <w:r>
        <w:t>3</w:t>
      </w:r>
      <w:r>
        <w:fldChar w:fldCharType="end"/>
      </w:r>
      <w:r>
        <w:fldChar w:fldCharType="end"/>
      </w:r>
    </w:p>
    <w:p w14:paraId="151EC93C">
      <w:pPr>
        <w:pStyle w:val="19"/>
        <w:tabs>
          <w:tab w:val="right" w:leader="dot" w:pos="9299"/>
        </w:tabs>
        <w:ind w:firstLine="632"/>
      </w:pPr>
      <w:r>
        <w:fldChar w:fldCharType="begin"/>
      </w:r>
      <w:r>
        <w:instrText xml:space="preserve"> HYPERLINK \l "_Toc22494" </w:instrText>
      </w:r>
      <w:r>
        <w:fldChar w:fldCharType="separate"/>
      </w:r>
      <w:r>
        <w:rPr>
          <w:rFonts w:eastAsia="仿宋"/>
          <w:bCs/>
          <w:szCs w:val="28"/>
        </w:rPr>
        <w:t xml:space="preserve">1.3 </w:t>
      </w:r>
      <w:r>
        <w:rPr>
          <w:rFonts w:hint="eastAsia"/>
        </w:rPr>
        <w:t>适用范围</w:t>
      </w:r>
      <w:r>
        <w:tab/>
      </w:r>
      <w:r>
        <w:fldChar w:fldCharType="begin"/>
      </w:r>
      <w:r>
        <w:instrText xml:space="preserve"> PAGEREF _Toc22494 \h </w:instrText>
      </w:r>
      <w:r>
        <w:fldChar w:fldCharType="separate"/>
      </w:r>
      <w:r>
        <w:t>3</w:t>
      </w:r>
      <w:r>
        <w:fldChar w:fldCharType="end"/>
      </w:r>
      <w:r>
        <w:fldChar w:fldCharType="end"/>
      </w:r>
    </w:p>
    <w:p w14:paraId="600B1903">
      <w:pPr>
        <w:pStyle w:val="19"/>
        <w:tabs>
          <w:tab w:val="right" w:leader="dot" w:pos="9299"/>
        </w:tabs>
        <w:ind w:firstLine="632"/>
      </w:pPr>
      <w:r>
        <w:fldChar w:fldCharType="begin"/>
      </w:r>
      <w:r>
        <w:instrText xml:space="preserve"> HYPERLINK \l "_Toc6795" </w:instrText>
      </w:r>
      <w:r>
        <w:fldChar w:fldCharType="separate"/>
      </w:r>
      <w:r>
        <w:rPr>
          <w:rFonts w:eastAsia="仿宋"/>
          <w:bCs/>
          <w:szCs w:val="28"/>
        </w:rPr>
        <w:t xml:space="preserve">1.4 </w:t>
      </w:r>
      <w:r>
        <w:rPr>
          <w:rFonts w:hint="eastAsia"/>
        </w:rPr>
        <w:t>工作原则</w:t>
      </w:r>
      <w:r>
        <w:tab/>
      </w:r>
      <w:r>
        <w:fldChar w:fldCharType="begin"/>
      </w:r>
      <w:r>
        <w:instrText xml:space="preserve"> PAGEREF _Toc6795 \h </w:instrText>
      </w:r>
      <w:r>
        <w:fldChar w:fldCharType="separate"/>
      </w:r>
      <w:r>
        <w:t>3</w:t>
      </w:r>
      <w:r>
        <w:fldChar w:fldCharType="end"/>
      </w:r>
      <w:r>
        <w:fldChar w:fldCharType="end"/>
      </w:r>
    </w:p>
    <w:p w14:paraId="5A7D6A66">
      <w:pPr>
        <w:pStyle w:val="19"/>
        <w:tabs>
          <w:tab w:val="right" w:leader="dot" w:pos="9299"/>
        </w:tabs>
        <w:ind w:firstLine="632"/>
      </w:pPr>
      <w:r>
        <w:fldChar w:fldCharType="begin"/>
      </w:r>
      <w:r>
        <w:instrText xml:space="preserve"> HYPERLINK \l "_Toc18183" </w:instrText>
      </w:r>
      <w:r>
        <w:fldChar w:fldCharType="separate"/>
      </w:r>
      <w:r>
        <w:rPr>
          <w:rFonts w:eastAsia="仿宋"/>
          <w:bCs/>
          <w:szCs w:val="28"/>
        </w:rPr>
        <w:t xml:space="preserve">1.5 </w:t>
      </w:r>
      <w:r>
        <w:rPr>
          <w:rFonts w:hint="eastAsia"/>
        </w:rPr>
        <w:t>重大动物疫情分级</w:t>
      </w:r>
      <w:r>
        <w:tab/>
      </w:r>
      <w:r>
        <w:fldChar w:fldCharType="begin"/>
      </w:r>
      <w:r>
        <w:instrText xml:space="preserve"> PAGEREF _Toc18183 \h </w:instrText>
      </w:r>
      <w:r>
        <w:fldChar w:fldCharType="separate"/>
      </w:r>
      <w:r>
        <w:t>3</w:t>
      </w:r>
      <w:r>
        <w:fldChar w:fldCharType="end"/>
      </w:r>
      <w:r>
        <w:fldChar w:fldCharType="end"/>
      </w:r>
    </w:p>
    <w:p w14:paraId="7C132F89">
      <w:pPr>
        <w:pStyle w:val="18"/>
        <w:tabs>
          <w:tab w:val="right" w:leader="dot" w:pos="9299"/>
          <w:tab w:val="clear" w:pos="8845"/>
        </w:tabs>
      </w:pPr>
      <w:r>
        <w:fldChar w:fldCharType="begin"/>
      </w:r>
      <w:r>
        <w:instrText xml:space="preserve"> HYPERLINK \l "_Toc5625" </w:instrText>
      </w:r>
      <w:r>
        <w:fldChar w:fldCharType="separate"/>
      </w:r>
      <w:r>
        <w:rPr>
          <w:rFonts w:eastAsia="仿宋"/>
        </w:rPr>
        <w:t xml:space="preserve">2 </w:t>
      </w:r>
      <w:r>
        <w:rPr>
          <w:rFonts w:hint="eastAsia"/>
        </w:rPr>
        <w:t>组织指挥体系及职责</w:t>
      </w:r>
      <w:r>
        <w:tab/>
      </w:r>
      <w:r>
        <w:fldChar w:fldCharType="begin"/>
      </w:r>
      <w:r>
        <w:instrText xml:space="preserve"> PAGEREF _Toc5625 \h </w:instrText>
      </w:r>
      <w:r>
        <w:fldChar w:fldCharType="separate"/>
      </w:r>
      <w:r>
        <w:t>4</w:t>
      </w:r>
      <w:r>
        <w:fldChar w:fldCharType="end"/>
      </w:r>
      <w:r>
        <w:fldChar w:fldCharType="end"/>
      </w:r>
    </w:p>
    <w:p w14:paraId="67924DCB">
      <w:pPr>
        <w:pStyle w:val="19"/>
        <w:tabs>
          <w:tab w:val="right" w:leader="dot" w:pos="9299"/>
        </w:tabs>
        <w:ind w:firstLine="632"/>
      </w:pPr>
      <w:r>
        <w:fldChar w:fldCharType="begin"/>
      </w:r>
      <w:r>
        <w:instrText xml:space="preserve"> HYPERLINK \l "_Toc22051" </w:instrText>
      </w:r>
      <w:r>
        <w:fldChar w:fldCharType="separate"/>
      </w:r>
      <w:r>
        <w:rPr>
          <w:rFonts w:eastAsia="仿宋"/>
          <w:bCs/>
          <w:szCs w:val="28"/>
        </w:rPr>
        <w:t xml:space="preserve">2.1 </w:t>
      </w:r>
      <w:r>
        <w:rPr>
          <w:rFonts w:hint="eastAsia"/>
        </w:rPr>
        <w:t>县防治指挥部组成及职责</w:t>
      </w:r>
      <w:r>
        <w:tab/>
      </w:r>
      <w:r>
        <w:fldChar w:fldCharType="begin"/>
      </w:r>
      <w:r>
        <w:instrText xml:space="preserve"> PAGEREF _Toc22051 \h </w:instrText>
      </w:r>
      <w:r>
        <w:fldChar w:fldCharType="separate"/>
      </w:r>
      <w:r>
        <w:t>4</w:t>
      </w:r>
      <w:r>
        <w:fldChar w:fldCharType="end"/>
      </w:r>
      <w:r>
        <w:fldChar w:fldCharType="end"/>
      </w:r>
    </w:p>
    <w:p w14:paraId="794FA785">
      <w:pPr>
        <w:pStyle w:val="19"/>
        <w:tabs>
          <w:tab w:val="right" w:leader="dot" w:pos="9299"/>
        </w:tabs>
        <w:ind w:firstLine="632"/>
      </w:pPr>
      <w:r>
        <w:fldChar w:fldCharType="begin"/>
      </w:r>
      <w:r>
        <w:instrText xml:space="preserve"> HYPERLINK \l "_Toc20498" </w:instrText>
      </w:r>
      <w:r>
        <w:fldChar w:fldCharType="separate"/>
      </w:r>
      <w:r>
        <w:rPr>
          <w:rFonts w:eastAsia="仿宋"/>
          <w:bCs/>
          <w:szCs w:val="28"/>
        </w:rPr>
        <w:t xml:space="preserve">2.2 </w:t>
      </w:r>
      <w:r>
        <w:rPr>
          <w:rFonts w:hint="eastAsia"/>
        </w:rPr>
        <w:t>现场指挥部</w:t>
      </w:r>
      <w:r>
        <w:tab/>
      </w:r>
      <w:r>
        <w:fldChar w:fldCharType="begin"/>
      </w:r>
      <w:r>
        <w:instrText xml:space="preserve"> PAGEREF _Toc20498 \h </w:instrText>
      </w:r>
      <w:r>
        <w:fldChar w:fldCharType="separate"/>
      </w:r>
      <w:r>
        <w:t>7</w:t>
      </w:r>
      <w:r>
        <w:fldChar w:fldCharType="end"/>
      </w:r>
      <w:r>
        <w:fldChar w:fldCharType="end"/>
      </w:r>
    </w:p>
    <w:p w14:paraId="1B7EF90D">
      <w:pPr>
        <w:pStyle w:val="18"/>
        <w:tabs>
          <w:tab w:val="right" w:leader="dot" w:pos="9299"/>
          <w:tab w:val="clear" w:pos="8845"/>
        </w:tabs>
      </w:pPr>
      <w:r>
        <w:fldChar w:fldCharType="begin"/>
      </w:r>
      <w:r>
        <w:instrText xml:space="preserve"> HYPERLINK \l "_Toc11955" </w:instrText>
      </w:r>
      <w:r>
        <w:fldChar w:fldCharType="separate"/>
      </w:r>
      <w:r>
        <w:rPr>
          <w:rFonts w:eastAsia="仿宋"/>
        </w:rPr>
        <w:t xml:space="preserve">3 </w:t>
      </w:r>
      <w:r>
        <w:rPr>
          <w:rFonts w:hint="eastAsia"/>
        </w:rPr>
        <w:t>监测、预警与报告</w:t>
      </w:r>
      <w:r>
        <w:tab/>
      </w:r>
      <w:r>
        <w:fldChar w:fldCharType="begin"/>
      </w:r>
      <w:r>
        <w:instrText xml:space="preserve"> PAGEREF _Toc11955 \h </w:instrText>
      </w:r>
      <w:r>
        <w:fldChar w:fldCharType="separate"/>
      </w:r>
      <w:r>
        <w:t>8</w:t>
      </w:r>
      <w:r>
        <w:fldChar w:fldCharType="end"/>
      </w:r>
      <w:r>
        <w:fldChar w:fldCharType="end"/>
      </w:r>
    </w:p>
    <w:p w14:paraId="33A95141">
      <w:pPr>
        <w:pStyle w:val="19"/>
        <w:tabs>
          <w:tab w:val="right" w:leader="dot" w:pos="9299"/>
        </w:tabs>
        <w:ind w:firstLine="632"/>
      </w:pPr>
      <w:r>
        <w:fldChar w:fldCharType="begin"/>
      </w:r>
      <w:r>
        <w:instrText xml:space="preserve"> HYPERLINK \l "_Toc31347" </w:instrText>
      </w:r>
      <w:r>
        <w:fldChar w:fldCharType="separate"/>
      </w:r>
      <w:r>
        <w:rPr>
          <w:rFonts w:eastAsia="仿宋"/>
          <w:bCs/>
          <w:szCs w:val="28"/>
        </w:rPr>
        <w:t xml:space="preserve">3.1 </w:t>
      </w:r>
      <w:r>
        <w:rPr>
          <w:rFonts w:hint="eastAsia"/>
        </w:rPr>
        <w:t>疫情监测</w:t>
      </w:r>
      <w:r>
        <w:tab/>
      </w:r>
      <w:r>
        <w:fldChar w:fldCharType="begin"/>
      </w:r>
      <w:r>
        <w:instrText xml:space="preserve"> PAGEREF _Toc31347 \h </w:instrText>
      </w:r>
      <w:r>
        <w:fldChar w:fldCharType="separate"/>
      </w:r>
      <w:r>
        <w:t>8</w:t>
      </w:r>
      <w:r>
        <w:fldChar w:fldCharType="end"/>
      </w:r>
      <w:r>
        <w:fldChar w:fldCharType="end"/>
      </w:r>
    </w:p>
    <w:p w14:paraId="3EA0A790">
      <w:pPr>
        <w:pStyle w:val="19"/>
        <w:tabs>
          <w:tab w:val="right" w:leader="dot" w:pos="9299"/>
        </w:tabs>
        <w:ind w:firstLine="632"/>
      </w:pPr>
      <w:r>
        <w:fldChar w:fldCharType="begin"/>
      </w:r>
      <w:r>
        <w:instrText xml:space="preserve"> HYPERLINK \l "_Toc14711" </w:instrText>
      </w:r>
      <w:r>
        <w:fldChar w:fldCharType="separate"/>
      </w:r>
      <w:r>
        <w:rPr>
          <w:rFonts w:eastAsia="仿宋"/>
          <w:bCs/>
          <w:szCs w:val="28"/>
        </w:rPr>
        <w:t xml:space="preserve">3.2 </w:t>
      </w:r>
      <w:r>
        <w:rPr>
          <w:rFonts w:hint="eastAsia"/>
        </w:rPr>
        <w:t>疫情预警</w:t>
      </w:r>
      <w:r>
        <w:tab/>
      </w:r>
      <w:r>
        <w:fldChar w:fldCharType="begin"/>
      </w:r>
      <w:r>
        <w:instrText xml:space="preserve"> PAGEREF _Toc14711 \h </w:instrText>
      </w:r>
      <w:r>
        <w:fldChar w:fldCharType="separate"/>
      </w:r>
      <w:r>
        <w:t>9</w:t>
      </w:r>
      <w:r>
        <w:fldChar w:fldCharType="end"/>
      </w:r>
      <w:r>
        <w:fldChar w:fldCharType="end"/>
      </w:r>
    </w:p>
    <w:p w14:paraId="277C723F">
      <w:pPr>
        <w:pStyle w:val="19"/>
        <w:tabs>
          <w:tab w:val="right" w:leader="dot" w:pos="9299"/>
        </w:tabs>
        <w:ind w:firstLine="632"/>
      </w:pPr>
      <w:r>
        <w:fldChar w:fldCharType="begin"/>
      </w:r>
      <w:r>
        <w:instrText xml:space="preserve"> HYPERLINK \l "_Toc18965" </w:instrText>
      </w:r>
      <w:r>
        <w:fldChar w:fldCharType="separate"/>
      </w:r>
      <w:r>
        <w:rPr>
          <w:rFonts w:eastAsia="仿宋"/>
          <w:bCs/>
          <w:szCs w:val="28"/>
        </w:rPr>
        <w:t xml:space="preserve">3.3 </w:t>
      </w:r>
      <w:r>
        <w:rPr>
          <w:rFonts w:hint="eastAsia"/>
        </w:rPr>
        <w:t>信息报告</w:t>
      </w:r>
      <w:r>
        <w:tab/>
      </w:r>
      <w:r>
        <w:fldChar w:fldCharType="begin"/>
      </w:r>
      <w:r>
        <w:instrText xml:space="preserve"> PAGEREF _Toc18965 \h </w:instrText>
      </w:r>
      <w:r>
        <w:fldChar w:fldCharType="separate"/>
      </w:r>
      <w:r>
        <w:t>9</w:t>
      </w:r>
      <w:r>
        <w:fldChar w:fldCharType="end"/>
      </w:r>
      <w:r>
        <w:fldChar w:fldCharType="end"/>
      </w:r>
    </w:p>
    <w:p w14:paraId="25981A38">
      <w:pPr>
        <w:pStyle w:val="18"/>
        <w:tabs>
          <w:tab w:val="right" w:leader="dot" w:pos="9299"/>
          <w:tab w:val="clear" w:pos="8845"/>
        </w:tabs>
      </w:pPr>
      <w:r>
        <w:fldChar w:fldCharType="begin"/>
      </w:r>
      <w:r>
        <w:instrText xml:space="preserve"> HYPERLINK \l "_Toc20976" </w:instrText>
      </w:r>
      <w:r>
        <w:fldChar w:fldCharType="separate"/>
      </w:r>
      <w:r>
        <w:rPr>
          <w:rFonts w:eastAsia="仿宋"/>
        </w:rPr>
        <w:t xml:space="preserve">4 </w:t>
      </w:r>
      <w:r>
        <w:rPr>
          <w:rFonts w:hint="eastAsia"/>
        </w:rPr>
        <w:t>应急响应</w:t>
      </w:r>
      <w:r>
        <w:tab/>
      </w:r>
      <w:r>
        <w:fldChar w:fldCharType="begin"/>
      </w:r>
      <w:r>
        <w:instrText xml:space="preserve"> PAGEREF _Toc20976 \h </w:instrText>
      </w:r>
      <w:r>
        <w:fldChar w:fldCharType="separate"/>
      </w:r>
      <w:r>
        <w:t>11</w:t>
      </w:r>
      <w:r>
        <w:fldChar w:fldCharType="end"/>
      </w:r>
      <w:r>
        <w:fldChar w:fldCharType="end"/>
      </w:r>
    </w:p>
    <w:p w14:paraId="25322655">
      <w:pPr>
        <w:pStyle w:val="19"/>
        <w:tabs>
          <w:tab w:val="right" w:leader="dot" w:pos="9299"/>
        </w:tabs>
        <w:ind w:firstLine="632"/>
      </w:pPr>
      <w:r>
        <w:fldChar w:fldCharType="begin"/>
      </w:r>
      <w:r>
        <w:instrText xml:space="preserve"> HYPERLINK \l "_Toc25903" </w:instrText>
      </w:r>
      <w:r>
        <w:fldChar w:fldCharType="separate"/>
      </w:r>
      <w:r>
        <w:rPr>
          <w:rFonts w:eastAsia="仿宋"/>
          <w:bCs/>
          <w:szCs w:val="28"/>
        </w:rPr>
        <w:t xml:space="preserve">4.1 </w:t>
      </w:r>
      <w:r>
        <w:rPr>
          <w:rFonts w:hint="eastAsia"/>
        </w:rPr>
        <w:t>先期处置</w:t>
      </w:r>
      <w:r>
        <w:tab/>
      </w:r>
      <w:r>
        <w:fldChar w:fldCharType="begin"/>
      </w:r>
      <w:r>
        <w:instrText xml:space="preserve"> PAGEREF _Toc25903 \h </w:instrText>
      </w:r>
      <w:r>
        <w:fldChar w:fldCharType="separate"/>
      </w:r>
      <w:r>
        <w:t>11</w:t>
      </w:r>
      <w:r>
        <w:fldChar w:fldCharType="end"/>
      </w:r>
      <w:r>
        <w:fldChar w:fldCharType="end"/>
      </w:r>
    </w:p>
    <w:p w14:paraId="7131E8CB">
      <w:pPr>
        <w:pStyle w:val="19"/>
        <w:tabs>
          <w:tab w:val="right" w:leader="dot" w:pos="9299"/>
        </w:tabs>
        <w:ind w:firstLine="632"/>
      </w:pPr>
      <w:r>
        <w:fldChar w:fldCharType="begin"/>
      </w:r>
      <w:r>
        <w:instrText xml:space="preserve"> HYPERLINK \l "_Toc25392" </w:instrText>
      </w:r>
      <w:r>
        <w:fldChar w:fldCharType="separate"/>
      </w:r>
      <w:r>
        <w:rPr>
          <w:rFonts w:eastAsia="仿宋"/>
          <w:bCs/>
          <w:szCs w:val="28"/>
        </w:rPr>
        <w:t xml:space="preserve">4.2 </w:t>
      </w:r>
      <w:r>
        <w:rPr>
          <w:rFonts w:hint="eastAsia"/>
        </w:rPr>
        <w:t>分级响应</w:t>
      </w:r>
      <w:r>
        <w:tab/>
      </w:r>
      <w:r>
        <w:fldChar w:fldCharType="begin"/>
      </w:r>
      <w:r>
        <w:instrText xml:space="preserve"> PAGEREF _Toc25392 \h </w:instrText>
      </w:r>
      <w:r>
        <w:fldChar w:fldCharType="separate"/>
      </w:r>
      <w:r>
        <w:t>11</w:t>
      </w:r>
      <w:r>
        <w:fldChar w:fldCharType="end"/>
      </w:r>
      <w:r>
        <w:fldChar w:fldCharType="end"/>
      </w:r>
    </w:p>
    <w:p w14:paraId="63D02ED4">
      <w:pPr>
        <w:pStyle w:val="19"/>
        <w:tabs>
          <w:tab w:val="right" w:leader="dot" w:pos="9299"/>
        </w:tabs>
        <w:ind w:firstLine="632"/>
      </w:pPr>
      <w:r>
        <w:fldChar w:fldCharType="begin"/>
      </w:r>
      <w:r>
        <w:instrText xml:space="preserve"> HYPERLINK \l "_Toc22879" </w:instrText>
      </w:r>
      <w:r>
        <w:fldChar w:fldCharType="separate"/>
      </w:r>
      <w:r>
        <w:rPr>
          <w:rFonts w:eastAsia="仿宋"/>
          <w:bCs/>
          <w:szCs w:val="28"/>
        </w:rPr>
        <w:t xml:space="preserve">4.3 </w:t>
      </w:r>
      <w:r>
        <w:rPr>
          <w:rFonts w:hint="eastAsia"/>
        </w:rPr>
        <w:t>响应措施</w:t>
      </w:r>
      <w:r>
        <w:tab/>
      </w:r>
      <w:r>
        <w:fldChar w:fldCharType="begin"/>
      </w:r>
      <w:r>
        <w:instrText xml:space="preserve"> PAGEREF _Toc22879 \h </w:instrText>
      </w:r>
      <w:r>
        <w:fldChar w:fldCharType="separate"/>
      </w:r>
      <w:r>
        <w:t>15</w:t>
      </w:r>
      <w:r>
        <w:fldChar w:fldCharType="end"/>
      </w:r>
      <w:r>
        <w:fldChar w:fldCharType="end"/>
      </w:r>
    </w:p>
    <w:p w14:paraId="2B1C0B37">
      <w:pPr>
        <w:pStyle w:val="19"/>
        <w:tabs>
          <w:tab w:val="right" w:leader="dot" w:pos="9299"/>
        </w:tabs>
        <w:ind w:firstLine="632"/>
      </w:pPr>
      <w:r>
        <w:fldChar w:fldCharType="begin"/>
      </w:r>
      <w:r>
        <w:instrText xml:space="preserve"> HYPERLINK \l "_Toc8170" </w:instrText>
      </w:r>
      <w:r>
        <w:fldChar w:fldCharType="separate"/>
      </w:r>
      <w:r>
        <w:rPr>
          <w:rFonts w:eastAsia="仿宋"/>
          <w:bCs/>
          <w:szCs w:val="28"/>
        </w:rPr>
        <w:t xml:space="preserve">4.4 </w:t>
      </w:r>
      <w:r>
        <w:rPr>
          <w:rFonts w:hint="eastAsia"/>
        </w:rPr>
        <w:t>安全防护</w:t>
      </w:r>
      <w:r>
        <w:tab/>
      </w:r>
      <w:r>
        <w:fldChar w:fldCharType="begin"/>
      </w:r>
      <w:r>
        <w:instrText xml:space="preserve"> PAGEREF _Toc8170 \h </w:instrText>
      </w:r>
      <w:r>
        <w:fldChar w:fldCharType="separate"/>
      </w:r>
      <w:r>
        <w:t>15</w:t>
      </w:r>
      <w:r>
        <w:fldChar w:fldCharType="end"/>
      </w:r>
      <w:r>
        <w:fldChar w:fldCharType="end"/>
      </w:r>
    </w:p>
    <w:p w14:paraId="456D6BCF">
      <w:pPr>
        <w:pStyle w:val="19"/>
        <w:tabs>
          <w:tab w:val="right" w:leader="dot" w:pos="9299"/>
        </w:tabs>
        <w:ind w:firstLine="632"/>
      </w:pPr>
      <w:r>
        <w:fldChar w:fldCharType="begin"/>
      </w:r>
      <w:r>
        <w:instrText xml:space="preserve"> HYPERLINK \l "_Toc9202" </w:instrText>
      </w:r>
      <w:r>
        <w:fldChar w:fldCharType="separate"/>
      </w:r>
      <w:r>
        <w:rPr>
          <w:rFonts w:eastAsia="仿宋"/>
          <w:bCs/>
          <w:szCs w:val="28"/>
        </w:rPr>
        <w:t xml:space="preserve">4.5 </w:t>
      </w:r>
      <w:r>
        <w:rPr>
          <w:rFonts w:hint="eastAsia"/>
        </w:rPr>
        <w:t>响应终止</w:t>
      </w:r>
      <w:r>
        <w:tab/>
      </w:r>
      <w:r>
        <w:fldChar w:fldCharType="begin"/>
      </w:r>
      <w:r>
        <w:instrText xml:space="preserve"> PAGEREF _Toc9202 \h </w:instrText>
      </w:r>
      <w:r>
        <w:fldChar w:fldCharType="separate"/>
      </w:r>
      <w:r>
        <w:t>16</w:t>
      </w:r>
      <w:r>
        <w:fldChar w:fldCharType="end"/>
      </w:r>
      <w:r>
        <w:fldChar w:fldCharType="end"/>
      </w:r>
    </w:p>
    <w:p w14:paraId="0BAD5B66">
      <w:pPr>
        <w:pStyle w:val="18"/>
        <w:tabs>
          <w:tab w:val="right" w:leader="dot" w:pos="9299"/>
          <w:tab w:val="clear" w:pos="8845"/>
        </w:tabs>
      </w:pPr>
      <w:r>
        <w:fldChar w:fldCharType="begin"/>
      </w:r>
      <w:r>
        <w:instrText xml:space="preserve"> HYPERLINK \l "_Toc22547" </w:instrText>
      </w:r>
      <w:r>
        <w:fldChar w:fldCharType="separate"/>
      </w:r>
      <w:r>
        <w:rPr>
          <w:rFonts w:eastAsia="仿宋"/>
        </w:rPr>
        <w:t xml:space="preserve">5 </w:t>
      </w:r>
      <w:r>
        <w:rPr>
          <w:rFonts w:hint="eastAsia"/>
        </w:rPr>
        <w:t>后期处置</w:t>
      </w:r>
      <w:r>
        <w:tab/>
      </w:r>
      <w:r>
        <w:fldChar w:fldCharType="begin"/>
      </w:r>
      <w:r>
        <w:instrText xml:space="preserve"> PAGEREF _Toc22547 \h </w:instrText>
      </w:r>
      <w:r>
        <w:fldChar w:fldCharType="separate"/>
      </w:r>
      <w:r>
        <w:t>16</w:t>
      </w:r>
      <w:r>
        <w:fldChar w:fldCharType="end"/>
      </w:r>
      <w:r>
        <w:fldChar w:fldCharType="end"/>
      </w:r>
    </w:p>
    <w:p w14:paraId="50A0307D">
      <w:pPr>
        <w:pStyle w:val="19"/>
        <w:tabs>
          <w:tab w:val="right" w:leader="dot" w:pos="9299"/>
        </w:tabs>
        <w:ind w:firstLine="632"/>
      </w:pPr>
      <w:r>
        <w:fldChar w:fldCharType="begin"/>
      </w:r>
      <w:r>
        <w:instrText xml:space="preserve"> HYPERLINK \l "_Toc25976" </w:instrText>
      </w:r>
      <w:r>
        <w:fldChar w:fldCharType="separate"/>
      </w:r>
      <w:r>
        <w:rPr>
          <w:rFonts w:eastAsia="仿宋"/>
          <w:bCs/>
          <w:szCs w:val="28"/>
        </w:rPr>
        <w:t xml:space="preserve">5.1 </w:t>
      </w:r>
      <w:r>
        <w:rPr>
          <w:rFonts w:hint="eastAsia"/>
        </w:rPr>
        <w:t>疫情评估</w:t>
      </w:r>
      <w:r>
        <w:tab/>
      </w:r>
      <w:r>
        <w:fldChar w:fldCharType="begin"/>
      </w:r>
      <w:r>
        <w:instrText xml:space="preserve"> PAGEREF _Toc25976 \h </w:instrText>
      </w:r>
      <w:r>
        <w:fldChar w:fldCharType="separate"/>
      </w:r>
      <w:r>
        <w:t>16</w:t>
      </w:r>
      <w:r>
        <w:fldChar w:fldCharType="end"/>
      </w:r>
      <w:r>
        <w:fldChar w:fldCharType="end"/>
      </w:r>
    </w:p>
    <w:p w14:paraId="4B710B3A">
      <w:pPr>
        <w:pStyle w:val="19"/>
        <w:tabs>
          <w:tab w:val="right" w:leader="dot" w:pos="9299"/>
        </w:tabs>
        <w:ind w:firstLine="632"/>
      </w:pPr>
      <w:r>
        <w:fldChar w:fldCharType="begin"/>
      </w:r>
      <w:r>
        <w:instrText xml:space="preserve"> HYPERLINK \l "_Toc16543" </w:instrText>
      </w:r>
      <w:r>
        <w:fldChar w:fldCharType="separate"/>
      </w:r>
      <w:r>
        <w:rPr>
          <w:rFonts w:eastAsia="仿宋"/>
          <w:bCs/>
          <w:szCs w:val="28"/>
        </w:rPr>
        <w:t xml:space="preserve">5.2 </w:t>
      </w:r>
      <w:r>
        <w:rPr>
          <w:rFonts w:hint="eastAsia"/>
        </w:rPr>
        <w:t>补偿</w:t>
      </w:r>
      <w:r>
        <w:tab/>
      </w:r>
      <w:r>
        <w:fldChar w:fldCharType="begin"/>
      </w:r>
      <w:r>
        <w:instrText xml:space="preserve"> PAGEREF _Toc16543 \h </w:instrText>
      </w:r>
      <w:r>
        <w:fldChar w:fldCharType="separate"/>
      </w:r>
      <w:r>
        <w:t>16</w:t>
      </w:r>
      <w:r>
        <w:fldChar w:fldCharType="end"/>
      </w:r>
      <w:r>
        <w:fldChar w:fldCharType="end"/>
      </w:r>
    </w:p>
    <w:p w14:paraId="01EA5A0D">
      <w:pPr>
        <w:pStyle w:val="19"/>
        <w:tabs>
          <w:tab w:val="right" w:leader="dot" w:pos="9299"/>
        </w:tabs>
        <w:ind w:firstLine="632"/>
      </w:pPr>
      <w:r>
        <w:fldChar w:fldCharType="begin"/>
      </w:r>
      <w:r>
        <w:instrText xml:space="preserve"> HYPERLINK \l "_Toc25364" </w:instrText>
      </w:r>
      <w:r>
        <w:fldChar w:fldCharType="separate"/>
      </w:r>
      <w:r>
        <w:rPr>
          <w:rFonts w:eastAsia="仿宋"/>
          <w:bCs/>
          <w:szCs w:val="28"/>
        </w:rPr>
        <w:t xml:space="preserve">5.3 </w:t>
      </w:r>
      <w:r>
        <w:rPr>
          <w:rFonts w:hint="eastAsia"/>
        </w:rPr>
        <w:t>抚恤和补助</w:t>
      </w:r>
      <w:r>
        <w:tab/>
      </w:r>
      <w:r>
        <w:fldChar w:fldCharType="begin"/>
      </w:r>
      <w:r>
        <w:instrText xml:space="preserve"> PAGEREF _Toc25364 \h </w:instrText>
      </w:r>
      <w:r>
        <w:fldChar w:fldCharType="separate"/>
      </w:r>
      <w:r>
        <w:t>16</w:t>
      </w:r>
      <w:r>
        <w:fldChar w:fldCharType="end"/>
      </w:r>
      <w:r>
        <w:fldChar w:fldCharType="end"/>
      </w:r>
    </w:p>
    <w:p w14:paraId="277108D2">
      <w:pPr>
        <w:pStyle w:val="19"/>
        <w:tabs>
          <w:tab w:val="right" w:leader="dot" w:pos="9299"/>
        </w:tabs>
        <w:ind w:firstLine="632"/>
      </w:pPr>
      <w:r>
        <w:fldChar w:fldCharType="begin"/>
      </w:r>
      <w:r>
        <w:instrText xml:space="preserve"> HYPERLINK \l "_Toc26146" </w:instrText>
      </w:r>
      <w:r>
        <w:fldChar w:fldCharType="separate"/>
      </w:r>
      <w:r>
        <w:rPr>
          <w:rFonts w:eastAsia="仿宋"/>
          <w:bCs/>
          <w:szCs w:val="28"/>
        </w:rPr>
        <w:t xml:space="preserve">5.4 </w:t>
      </w:r>
      <w:r>
        <w:rPr>
          <w:rFonts w:hint="eastAsia"/>
        </w:rPr>
        <w:t>恢复生产</w:t>
      </w:r>
      <w:r>
        <w:tab/>
      </w:r>
      <w:r>
        <w:fldChar w:fldCharType="begin"/>
      </w:r>
      <w:r>
        <w:instrText xml:space="preserve"> PAGEREF _Toc26146 \h </w:instrText>
      </w:r>
      <w:r>
        <w:fldChar w:fldCharType="separate"/>
      </w:r>
      <w:r>
        <w:t>16</w:t>
      </w:r>
      <w:r>
        <w:fldChar w:fldCharType="end"/>
      </w:r>
      <w:r>
        <w:fldChar w:fldCharType="end"/>
      </w:r>
    </w:p>
    <w:p w14:paraId="117018FB">
      <w:pPr>
        <w:pStyle w:val="18"/>
        <w:tabs>
          <w:tab w:val="right" w:leader="dot" w:pos="9299"/>
          <w:tab w:val="clear" w:pos="8845"/>
        </w:tabs>
      </w:pPr>
      <w:r>
        <w:fldChar w:fldCharType="begin"/>
      </w:r>
      <w:r>
        <w:instrText xml:space="preserve"> HYPERLINK \l "_Toc19236" </w:instrText>
      </w:r>
      <w:r>
        <w:fldChar w:fldCharType="separate"/>
      </w:r>
      <w:r>
        <w:rPr>
          <w:rFonts w:eastAsia="仿宋"/>
        </w:rPr>
        <w:t xml:space="preserve">6 </w:t>
      </w:r>
      <w:r>
        <w:rPr>
          <w:rFonts w:hint="eastAsia"/>
        </w:rPr>
        <w:t>保障措施</w:t>
      </w:r>
      <w:r>
        <w:tab/>
      </w:r>
      <w:r>
        <w:fldChar w:fldCharType="begin"/>
      </w:r>
      <w:r>
        <w:instrText xml:space="preserve"> PAGEREF _Toc19236 \h </w:instrText>
      </w:r>
      <w:r>
        <w:fldChar w:fldCharType="separate"/>
      </w:r>
      <w:r>
        <w:t>17</w:t>
      </w:r>
      <w:r>
        <w:fldChar w:fldCharType="end"/>
      </w:r>
      <w:r>
        <w:fldChar w:fldCharType="end"/>
      </w:r>
    </w:p>
    <w:p w14:paraId="15E904BA">
      <w:pPr>
        <w:pStyle w:val="19"/>
        <w:tabs>
          <w:tab w:val="right" w:leader="dot" w:pos="9299"/>
        </w:tabs>
        <w:ind w:firstLine="632"/>
      </w:pPr>
      <w:r>
        <w:fldChar w:fldCharType="begin"/>
      </w:r>
      <w:r>
        <w:instrText xml:space="preserve"> HYPERLINK \l "_Toc2383" </w:instrText>
      </w:r>
      <w:r>
        <w:fldChar w:fldCharType="separate"/>
      </w:r>
      <w:r>
        <w:rPr>
          <w:rFonts w:eastAsia="仿宋"/>
          <w:bCs/>
          <w:szCs w:val="28"/>
        </w:rPr>
        <w:t xml:space="preserve">6.1 </w:t>
      </w:r>
      <w:r>
        <w:rPr>
          <w:rFonts w:hint="eastAsia"/>
        </w:rPr>
        <w:t>应急队伍保障</w:t>
      </w:r>
      <w:r>
        <w:tab/>
      </w:r>
      <w:r>
        <w:fldChar w:fldCharType="begin"/>
      </w:r>
      <w:r>
        <w:instrText xml:space="preserve"> PAGEREF _Toc2383 \h </w:instrText>
      </w:r>
      <w:r>
        <w:fldChar w:fldCharType="separate"/>
      </w:r>
      <w:r>
        <w:t>17</w:t>
      </w:r>
      <w:r>
        <w:fldChar w:fldCharType="end"/>
      </w:r>
      <w:r>
        <w:fldChar w:fldCharType="end"/>
      </w:r>
    </w:p>
    <w:p w14:paraId="7B80C5C4">
      <w:pPr>
        <w:pStyle w:val="19"/>
        <w:tabs>
          <w:tab w:val="right" w:leader="dot" w:pos="9299"/>
        </w:tabs>
        <w:ind w:firstLine="632"/>
      </w:pPr>
      <w:r>
        <w:fldChar w:fldCharType="begin"/>
      </w:r>
      <w:r>
        <w:instrText xml:space="preserve"> HYPERLINK \l "_Toc8234" </w:instrText>
      </w:r>
      <w:r>
        <w:fldChar w:fldCharType="separate"/>
      </w:r>
      <w:r>
        <w:rPr>
          <w:rFonts w:eastAsia="仿宋"/>
          <w:bCs/>
          <w:szCs w:val="28"/>
        </w:rPr>
        <w:t xml:space="preserve">6.2 </w:t>
      </w:r>
      <w:r>
        <w:rPr>
          <w:rFonts w:hint="eastAsia"/>
        </w:rPr>
        <w:t>交通运输保障</w:t>
      </w:r>
      <w:r>
        <w:tab/>
      </w:r>
      <w:r>
        <w:fldChar w:fldCharType="begin"/>
      </w:r>
      <w:r>
        <w:instrText xml:space="preserve"> PAGEREF _Toc8234 \h </w:instrText>
      </w:r>
      <w:r>
        <w:fldChar w:fldCharType="separate"/>
      </w:r>
      <w:r>
        <w:t>17</w:t>
      </w:r>
      <w:r>
        <w:fldChar w:fldCharType="end"/>
      </w:r>
      <w:r>
        <w:fldChar w:fldCharType="end"/>
      </w:r>
    </w:p>
    <w:p w14:paraId="51BCB3AA">
      <w:pPr>
        <w:pStyle w:val="19"/>
        <w:tabs>
          <w:tab w:val="right" w:leader="dot" w:pos="9299"/>
        </w:tabs>
        <w:ind w:firstLine="632"/>
      </w:pPr>
      <w:r>
        <w:fldChar w:fldCharType="begin"/>
      </w:r>
      <w:r>
        <w:instrText xml:space="preserve"> HYPERLINK \l "_Toc23733" </w:instrText>
      </w:r>
      <w:r>
        <w:fldChar w:fldCharType="separate"/>
      </w:r>
      <w:r>
        <w:rPr>
          <w:rFonts w:eastAsia="仿宋"/>
          <w:bCs/>
          <w:szCs w:val="28"/>
        </w:rPr>
        <w:t xml:space="preserve">6.3 </w:t>
      </w:r>
      <w:r>
        <w:rPr>
          <w:rFonts w:hint="eastAsia"/>
        </w:rPr>
        <w:t>医疗卫生保障</w:t>
      </w:r>
      <w:r>
        <w:tab/>
      </w:r>
      <w:r>
        <w:fldChar w:fldCharType="begin"/>
      </w:r>
      <w:r>
        <w:instrText xml:space="preserve"> PAGEREF _Toc23733 \h </w:instrText>
      </w:r>
      <w:r>
        <w:fldChar w:fldCharType="separate"/>
      </w:r>
      <w:r>
        <w:t>17</w:t>
      </w:r>
      <w:r>
        <w:fldChar w:fldCharType="end"/>
      </w:r>
      <w:r>
        <w:fldChar w:fldCharType="end"/>
      </w:r>
    </w:p>
    <w:p w14:paraId="7FBF96D5">
      <w:pPr>
        <w:pStyle w:val="19"/>
        <w:tabs>
          <w:tab w:val="right" w:leader="dot" w:pos="9299"/>
        </w:tabs>
        <w:ind w:firstLine="632"/>
      </w:pPr>
      <w:r>
        <w:fldChar w:fldCharType="begin"/>
      </w:r>
      <w:r>
        <w:instrText xml:space="preserve"> HYPERLINK \l "_Toc1069" </w:instrText>
      </w:r>
      <w:r>
        <w:fldChar w:fldCharType="separate"/>
      </w:r>
      <w:r>
        <w:rPr>
          <w:rFonts w:eastAsia="仿宋"/>
          <w:bCs/>
          <w:szCs w:val="28"/>
        </w:rPr>
        <w:t xml:space="preserve">6.4 </w:t>
      </w:r>
      <w:r>
        <w:rPr>
          <w:rFonts w:hint="eastAsia"/>
        </w:rPr>
        <w:t>治安保障</w:t>
      </w:r>
      <w:r>
        <w:tab/>
      </w:r>
      <w:r>
        <w:fldChar w:fldCharType="begin"/>
      </w:r>
      <w:r>
        <w:instrText xml:space="preserve"> PAGEREF _Toc1069 \h </w:instrText>
      </w:r>
      <w:r>
        <w:fldChar w:fldCharType="separate"/>
      </w:r>
      <w:r>
        <w:t>17</w:t>
      </w:r>
      <w:r>
        <w:fldChar w:fldCharType="end"/>
      </w:r>
      <w:r>
        <w:fldChar w:fldCharType="end"/>
      </w:r>
    </w:p>
    <w:p w14:paraId="65816C84">
      <w:pPr>
        <w:pStyle w:val="19"/>
        <w:tabs>
          <w:tab w:val="right" w:leader="dot" w:pos="9299"/>
        </w:tabs>
        <w:ind w:firstLine="632"/>
      </w:pPr>
      <w:r>
        <w:fldChar w:fldCharType="begin"/>
      </w:r>
      <w:r>
        <w:instrText xml:space="preserve"> HYPERLINK \l "_Toc5421" </w:instrText>
      </w:r>
      <w:r>
        <w:fldChar w:fldCharType="separate"/>
      </w:r>
      <w:r>
        <w:rPr>
          <w:rFonts w:eastAsia="仿宋"/>
          <w:bCs/>
          <w:szCs w:val="28"/>
        </w:rPr>
        <w:t xml:space="preserve">6.5 </w:t>
      </w:r>
      <w:r>
        <w:rPr>
          <w:rFonts w:hint="eastAsia"/>
        </w:rPr>
        <w:t>物资保障</w:t>
      </w:r>
      <w:r>
        <w:tab/>
      </w:r>
      <w:r>
        <w:fldChar w:fldCharType="begin"/>
      </w:r>
      <w:r>
        <w:instrText xml:space="preserve"> PAGEREF _Toc5421 \h </w:instrText>
      </w:r>
      <w:r>
        <w:fldChar w:fldCharType="separate"/>
      </w:r>
      <w:r>
        <w:t>17</w:t>
      </w:r>
      <w:r>
        <w:fldChar w:fldCharType="end"/>
      </w:r>
      <w:r>
        <w:fldChar w:fldCharType="end"/>
      </w:r>
    </w:p>
    <w:p w14:paraId="6EC3BE11">
      <w:pPr>
        <w:pStyle w:val="19"/>
        <w:tabs>
          <w:tab w:val="right" w:leader="dot" w:pos="9299"/>
        </w:tabs>
        <w:ind w:firstLine="632"/>
      </w:pPr>
      <w:r>
        <w:fldChar w:fldCharType="begin"/>
      </w:r>
      <w:r>
        <w:instrText xml:space="preserve"> HYPERLINK \l "_Toc12259" </w:instrText>
      </w:r>
      <w:r>
        <w:fldChar w:fldCharType="separate"/>
      </w:r>
      <w:r>
        <w:rPr>
          <w:rFonts w:eastAsia="仿宋"/>
          <w:bCs/>
          <w:szCs w:val="28"/>
        </w:rPr>
        <w:t xml:space="preserve">6.6 </w:t>
      </w:r>
      <w:r>
        <w:rPr>
          <w:rFonts w:hint="eastAsia"/>
        </w:rPr>
        <w:t>经费保障</w:t>
      </w:r>
      <w:r>
        <w:tab/>
      </w:r>
      <w:r>
        <w:fldChar w:fldCharType="begin"/>
      </w:r>
      <w:r>
        <w:instrText xml:space="preserve"> PAGEREF _Toc12259 \h </w:instrText>
      </w:r>
      <w:r>
        <w:fldChar w:fldCharType="separate"/>
      </w:r>
      <w:r>
        <w:t>17</w:t>
      </w:r>
      <w:r>
        <w:fldChar w:fldCharType="end"/>
      </w:r>
      <w:r>
        <w:fldChar w:fldCharType="end"/>
      </w:r>
    </w:p>
    <w:p w14:paraId="16DADE84">
      <w:pPr>
        <w:pStyle w:val="19"/>
        <w:tabs>
          <w:tab w:val="right" w:leader="dot" w:pos="9299"/>
        </w:tabs>
        <w:ind w:firstLine="632"/>
      </w:pPr>
      <w:r>
        <w:fldChar w:fldCharType="begin"/>
      </w:r>
      <w:r>
        <w:instrText xml:space="preserve"> HYPERLINK \l "_Toc2764" </w:instrText>
      </w:r>
      <w:r>
        <w:fldChar w:fldCharType="separate"/>
      </w:r>
      <w:r>
        <w:rPr>
          <w:rFonts w:eastAsia="仿宋"/>
          <w:bCs/>
          <w:szCs w:val="28"/>
        </w:rPr>
        <w:t xml:space="preserve">6.7 </w:t>
      </w:r>
      <w:r>
        <w:rPr>
          <w:rFonts w:hint="eastAsia"/>
        </w:rPr>
        <w:t>技术保障</w:t>
      </w:r>
      <w:r>
        <w:tab/>
      </w:r>
      <w:r>
        <w:fldChar w:fldCharType="begin"/>
      </w:r>
      <w:r>
        <w:instrText xml:space="preserve"> PAGEREF _Toc2764 \h </w:instrText>
      </w:r>
      <w:r>
        <w:fldChar w:fldCharType="separate"/>
      </w:r>
      <w:r>
        <w:t>18</w:t>
      </w:r>
      <w:r>
        <w:fldChar w:fldCharType="end"/>
      </w:r>
      <w:r>
        <w:fldChar w:fldCharType="end"/>
      </w:r>
    </w:p>
    <w:p w14:paraId="5DE8C32B">
      <w:pPr>
        <w:pStyle w:val="19"/>
        <w:tabs>
          <w:tab w:val="right" w:leader="dot" w:pos="9299"/>
        </w:tabs>
        <w:ind w:firstLine="632"/>
      </w:pPr>
      <w:r>
        <w:fldChar w:fldCharType="begin"/>
      </w:r>
      <w:r>
        <w:instrText xml:space="preserve"> HYPERLINK \l "_Toc31842" </w:instrText>
      </w:r>
      <w:r>
        <w:fldChar w:fldCharType="separate"/>
      </w:r>
      <w:r>
        <w:rPr>
          <w:rFonts w:eastAsia="仿宋"/>
          <w:bCs/>
          <w:szCs w:val="28"/>
        </w:rPr>
        <w:t xml:space="preserve">6.8 </w:t>
      </w:r>
      <w:r>
        <w:rPr>
          <w:rFonts w:hint="eastAsia"/>
        </w:rPr>
        <w:t>宣传教育</w:t>
      </w:r>
      <w:r>
        <w:tab/>
      </w:r>
      <w:r>
        <w:fldChar w:fldCharType="begin"/>
      </w:r>
      <w:r>
        <w:instrText xml:space="preserve"> PAGEREF _Toc31842 \h </w:instrText>
      </w:r>
      <w:r>
        <w:fldChar w:fldCharType="separate"/>
      </w:r>
      <w:r>
        <w:t>18</w:t>
      </w:r>
      <w:r>
        <w:fldChar w:fldCharType="end"/>
      </w:r>
      <w:r>
        <w:fldChar w:fldCharType="end"/>
      </w:r>
    </w:p>
    <w:p w14:paraId="2847C193">
      <w:pPr>
        <w:pStyle w:val="19"/>
        <w:tabs>
          <w:tab w:val="right" w:leader="dot" w:pos="9299"/>
        </w:tabs>
        <w:ind w:firstLine="632"/>
      </w:pPr>
      <w:r>
        <w:fldChar w:fldCharType="begin"/>
      </w:r>
      <w:r>
        <w:instrText xml:space="preserve"> HYPERLINK \l "_Toc22107" </w:instrText>
      </w:r>
      <w:r>
        <w:fldChar w:fldCharType="separate"/>
      </w:r>
      <w:r>
        <w:rPr>
          <w:rFonts w:eastAsia="仿宋"/>
          <w:bCs/>
          <w:szCs w:val="28"/>
        </w:rPr>
        <w:t xml:space="preserve">6.9 </w:t>
      </w:r>
      <w:r>
        <w:rPr>
          <w:rFonts w:hint="eastAsia"/>
        </w:rPr>
        <w:t>培训和演练</w:t>
      </w:r>
      <w:r>
        <w:tab/>
      </w:r>
      <w:r>
        <w:fldChar w:fldCharType="begin"/>
      </w:r>
      <w:r>
        <w:instrText xml:space="preserve"> PAGEREF _Toc22107 \h </w:instrText>
      </w:r>
      <w:r>
        <w:fldChar w:fldCharType="separate"/>
      </w:r>
      <w:r>
        <w:t>18</w:t>
      </w:r>
      <w:r>
        <w:fldChar w:fldCharType="end"/>
      </w:r>
      <w:r>
        <w:fldChar w:fldCharType="end"/>
      </w:r>
    </w:p>
    <w:p w14:paraId="2B931BC4">
      <w:pPr>
        <w:pStyle w:val="18"/>
        <w:tabs>
          <w:tab w:val="right" w:leader="dot" w:pos="9299"/>
          <w:tab w:val="clear" w:pos="8845"/>
        </w:tabs>
      </w:pPr>
      <w:r>
        <w:fldChar w:fldCharType="begin"/>
      </w:r>
      <w:r>
        <w:instrText xml:space="preserve"> HYPERLINK \l "_Toc23344" </w:instrText>
      </w:r>
      <w:r>
        <w:fldChar w:fldCharType="separate"/>
      </w:r>
      <w:r>
        <w:rPr>
          <w:rFonts w:eastAsia="仿宋"/>
        </w:rPr>
        <w:t xml:space="preserve">7 </w:t>
      </w:r>
      <w:r>
        <w:rPr>
          <w:rFonts w:hint="eastAsia"/>
        </w:rPr>
        <w:t>附则</w:t>
      </w:r>
      <w:r>
        <w:tab/>
      </w:r>
      <w:r>
        <w:fldChar w:fldCharType="begin"/>
      </w:r>
      <w:r>
        <w:instrText xml:space="preserve"> PAGEREF _Toc23344 \h </w:instrText>
      </w:r>
      <w:r>
        <w:fldChar w:fldCharType="separate"/>
      </w:r>
      <w:r>
        <w:t>18</w:t>
      </w:r>
      <w:r>
        <w:fldChar w:fldCharType="end"/>
      </w:r>
      <w:r>
        <w:fldChar w:fldCharType="end"/>
      </w:r>
    </w:p>
    <w:p w14:paraId="25661329">
      <w:pPr>
        <w:pStyle w:val="19"/>
        <w:tabs>
          <w:tab w:val="right" w:leader="dot" w:pos="9299"/>
        </w:tabs>
        <w:ind w:firstLine="632"/>
      </w:pPr>
      <w:r>
        <w:fldChar w:fldCharType="begin"/>
      </w:r>
      <w:r>
        <w:instrText xml:space="preserve"> HYPERLINK \l "_Toc30628" </w:instrText>
      </w:r>
      <w:r>
        <w:fldChar w:fldCharType="separate"/>
      </w:r>
      <w:r>
        <w:rPr>
          <w:rFonts w:eastAsia="仿宋"/>
          <w:bCs/>
          <w:szCs w:val="28"/>
        </w:rPr>
        <w:t xml:space="preserve">7.1 </w:t>
      </w:r>
      <w:r>
        <w:rPr>
          <w:rFonts w:hint="eastAsia"/>
        </w:rPr>
        <w:t>名词术语</w:t>
      </w:r>
      <w:r>
        <w:tab/>
      </w:r>
      <w:r>
        <w:fldChar w:fldCharType="begin"/>
      </w:r>
      <w:r>
        <w:instrText xml:space="preserve"> PAGEREF _Toc30628 \h </w:instrText>
      </w:r>
      <w:r>
        <w:fldChar w:fldCharType="separate"/>
      </w:r>
      <w:r>
        <w:t>18</w:t>
      </w:r>
      <w:r>
        <w:fldChar w:fldCharType="end"/>
      </w:r>
      <w:r>
        <w:fldChar w:fldCharType="end"/>
      </w:r>
    </w:p>
    <w:p w14:paraId="2895E11D">
      <w:pPr>
        <w:pStyle w:val="19"/>
        <w:tabs>
          <w:tab w:val="right" w:leader="dot" w:pos="9299"/>
        </w:tabs>
        <w:ind w:firstLine="632"/>
      </w:pPr>
      <w:r>
        <w:fldChar w:fldCharType="begin"/>
      </w:r>
      <w:r>
        <w:instrText xml:space="preserve"> HYPERLINK \l "_Toc14304" </w:instrText>
      </w:r>
      <w:r>
        <w:fldChar w:fldCharType="separate"/>
      </w:r>
      <w:r>
        <w:rPr>
          <w:rFonts w:eastAsia="仿宋"/>
          <w:bCs/>
          <w:szCs w:val="28"/>
        </w:rPr>
        <w:t xml:space="preserve">7.2 </w:t>
      </w:r>
      <w:r>
        <w:rPr>
          <w:rFonts w:hint="eastAsia" w:ascii="Times New Roman" w:hAnsi="Times New Roman"/>
        </w:rPr>
        <w:t>预案管理</w:t>
      </w:r>
      <w:r>
        <w:tab/>
      </w:r>
      <w:r>
        <w:fldChar w:fldCharType="begin"/>
      </w:r>
      <w:r>
        <w:instrText xml:space="preserve"> PAGEREF _Toc14304 \h </w:instrText>
      </w:r>
      <w:r>
        <w:fldChar w:fldCharType="separate"/>
      </w:r>
      <w:r>
        <w:t>19</w:t>
      </w:r>
      <w:r>
        <w:fldChar w:fldCharType="end"/>
      </w:r>
      <w:r>
        <w:fldChar w:fldCharType="end"/>
      </w:r>
    </w:p>
    <w:p w14:paraId="21AABD6A">
      <w:pPr>
        <w:pStyle w:val="19"/>
        <w:tabs>
          <w:tab w:val="right" w:leader="dot" w:pos="9299"/>
        </w:tabs>
        <w:ind w:firstLine="632"/>
      </w:pPr>
      <w:r>
        <w:fldChar w:fldCharType="begin"/>
      </w:r>
      <w:r>
        <w:instrText xml:space="preserve"> HYPERLINK \l "_Toc13077" </w:instrText>
      </w:r>
      <w:r>
        <w:fldChar w:fldCharType="separate"/>
      </w:r>
      <w:r>
        <w:rPr>
          <w:rFonts w:eastAsia="仿宋"/>
          <w:bCs/>
          <w:szCs w:val="28"/>
        </w:rPr>
        <w:t xml:space="preserve">7.3 </w:t>
      </w:r>
      <w:r>
        <w:rPr>
          <w:rFonts w:hint="eastAsia" w:ascii="Times New Roman" w:hAnsi="Times New Roman"/>
        </w:rPr>
        <w:t>奖励与责任</w:t>
      </w:r>
      <w:r>
        <w:tab/>
      </w:r>
      <w:r>
        <w:fldChar w:fldCharType="begin"/>
      </w:r>
      <w:r>
        <w:instrText xml:space="preserve"> PAGEREF _Toc13077 \h </w:instrText>
      </w:r>
      <w:r>
        <w:fldChar w:fldCharType="separate"/>
      </w:r>
      <w:r>
        <w:t>19</w:t>
      </w:r>
      <w:r>
        <w:fldChar w:fldCharType="end"/>
      </w:r>
      <w:r>
        <w:fldChar w:fldCharType="end"/>
      </w:r>
    </w:p>
    <w:p w14:paraId="1BBD96CD">
      <w:pPr>
        <w:pStyle w:val="19"/>
        <w:tabs>
          <w:tab w:val="right" w:leader="dot" w:pos="9299"/>
        </w:tabs>
        <w:ind w:firstLine="632"/>
      </w:pPr>
      <w:r>
        <w:fldChar w:fldCharType="begin"/>
      </w:r>
      <w:r>
        <w:instrText xml:space="preserve"> HYPERLINK \l "_Toc22440" </w:instrText>
      </w:r>
      <w:r>
        <w:fldChar w:fldCharType="separate"/>
      </w:r>
      <w:r>
        <w:rPr>
          <w:rFonts w:eastAsia="仿宋"/>
          <w:bCs/>
          <w:szCs w:val="28"/>
        </w:rPr>
        <w:t xml:space="preserve">7.4 </w:t>
      </w:r>
      <w:r>
        <w:rPr>
          <w:rFonts w:hint="eastAsia" w:ascii="Times New Roman" w:hAnsi="Times New Roman"/>
        </w:rPr>
        <w:t>预案制定与解释</w:t>
      </w:r>
      <w:r>
        <w:tab/>
      </w:r>
      <w:r>
        <w:fldChar w:fldCharType="begin"/>
      </w:r>
      <w:r>
        <w:instrText xml:space="preserve"> PAGEREF _Toc22440 \h </w:instrText>
      </w:r>
      <w:r>
        <w:fldChar w:fldCharType="separate"/>
      </w:r>
      <w:r>
        <w:t>19</w:t>
      </w:r>
      <w:r>
        <w:fldChar w:fldCharType="end"/>
      </w:r>
      <w:r>
        <w:fldChar w:fldCharType="end"/>
      </w:r>
    </w:p>
    <w:p w14:paraId="6F4CB359">
      <w:pPr>
        <w:pStyle w:val="19"/>
        <w:tabs>
          <w:tab w:val="right" w:leader="dot" w:pos="9299"/>
        </w:tabs>
        <w:ind w:firstLine="632"/>
      </w:pPr>
      <w:r>
        <w:fldChar w:fldCharType="begin"/>
      </w:r>
      <w:r>
        <w:instrText xml:space="preserve"> HYPERLINK \l "_Toc2440" </w:instrText>
      </w:r>
      <w:r>
        <w:fldChar w:fldCharType="separate"/>
      </w:r>
      <w:r>
        <w:rPr>
          <w:rFonts w:eastAsia="仿宋"/>
          <w:bCs/>
          <w:szCs w:val="28"/>
        </w:rPr>
        <w:t xml:space="preserve">7.5 </w:t>
      </w:r>
      <w:r>
        <w:rPr>
          <w:rFonts w:hint="eastAsia" w:ascii="Times New Roman" w:hAnsi="Times New Roman"/>
        </w:rPr>
        <w:t>预案中“以上”“以下”的含义</w:t>
      </w:r>
      <w:r>
        <w:tab/>
      </w:r>
      <w:r>
        <w:fldChar w:fldCharType="begin"/>
      </w:r>
      <w:r>
        <w:instrText xml:space="preserve"> PAGEREF _Toc2440 \h </w:instrText>
      </w:r>
      <w:r>
        <w:fldChar w:fldCharType="separate"/>
      </w:r>
      <w:r>
        <w:t>19</w:t>
      </w:r>
      <w:r>
        <w:fldChar w:fldCharType="end"/>
      </w:r>
      <w:r>
        <w:fldChar w:fldCharType="end"/>
      </w:r>
    </w:p>
    <w:p w14:paraId="547EFC7A">
      <w:pPr>
        <w:pStyle w:val="19"/>
        <w:tabs>
          <w:tab w:val="right" w:leader="dot" w:pos="9299"/>
        </w:tabs>
        <w:ind w:firstLine="632"/>
      </w:pPr>
      <w:r>
        <w:fldChar w:fldCharType="begin"/>
      </w:r>
      <w:r>
        <w:instrText xml:space="preserve"> HYPERLINK \l "_Toc11920" </w:instrText>
      </w:r>
      <w:r>
        <w:fldChar w:fldCharType="separate"/>
      </w:r>
      <w:r>
        <w:rPr>
          <w:rFonts w:eastAsia="仿宋"/>
          <w:bCs/>
          <w:szCs w:val="28"/>
        </w:rPr>
        <w:t xml:space="preserve">7.6 </w:t>
      </w:r>
      <w:r>
        <w:rPr>
          <w:rFonts w:hint="eastAsia" w:ascii="Times New Roman" w:hAnsi="Times New Roman"/>
        </w:rPr>
        <w:t>预案的实施</w:t>
      </w:r>
      <w:r>
        <w:tab/>
      </w:r>
      <w:r>
        <w:fldChar w:fldCharType="begin"/>
      </w:r>
      <w:r>
        <w:instrText xml:space="preserve"> PAGEREF _Toc11920 \h </w:instrText>
      </w:r>
      <w:r>
        <w:fldChar w:fldCharType="separate"/>
      </w:r>
      <w:r>
        <w:t>20</w:t>
      </w:r>
      <w:r>
        <w:fldChar w:fldCharType="end"/>
      </w:r>
      <w:r>
        <w:fldChar w:fldCharType="end"/>
      </w:r>
    </w:p>
    <w:p w14:paraId="4BB098CB">
      <w:pPr>
        <w:pStyle w:val="18"/>
        <w:tabs>
          <w:tab w:val="right" w:leader="dot" w:pos="9299"/>
          <w:tab w:val="clear" w:pos="8845"/>
        </w:tabs>
      </w:pPr>
      <w:r>
        <w:fldChar w:fldCharType="begin"/>
      </w:r>
      <w:r>
        <w:instrText xml:space="preserve"> HYPERLINK \l "_Toc813" </w:instrText>
      </w:r>
      <w:r>
        <w:fldChar w:fldCharType="separate"/>
      </w:r>
      <w:r>
        <w:rPr>
          <w:rFonts w:eastAsia="仿宋"/>
        </w:rPr>
        <w:t xml:space="preserve">8 </w:t>
      </w:r>
      <w:r>
        <w:t>附件</w:t>
      </w:r>
      <w:r>
        <w:tab/>
      </w:r>
      <w:r>
        <w:fldChar w:fldCharType="begin"/>
      </w:r>
      <w:r>
        <w:instrText xml:space="preserve"> PAGEREF _Toc813 \h </w:instrText>
      </w:r>
      <w:r>
        <w:fldChar w:fldCharType="separate"/>
      </w:r>
      <w:r>
        <w:t>20</w:t>
      </w:r>
      <w:r>
        <w:fldChar w:fldCharType="end"/>
      </w:r>
      <w:r>
        <w:fldChar w:fldCharType="end"/>
      </w:r>
    </w:p>
    <w:p w14:paraId="26DA9900">
      <w:pPr>
        <w:pStyle w:val="18"/>
        <w:tabs>
          <w:tab w:val="right" w:leader="dot" w:pos="9299"/>
          <w:tab w:val="clear" w:pos="8845"/>
        </w:tabs>
      </w:pPr>
      <w:r>
        <w:fldChar w:fldCharType="begin"/>
      </w:r>
      <w:r>
        <w:instrText xml:space="preserve"> HYPERLINK \l "_Toc7978" </w:instrText>
      </w:r>
      <w:r>
        <w:fldChar w:fldCharType="separate"/>
      </w:r>
      <w:r>
        <w:rPr>
          <w:rFonts w:hint="eastAsia" w:ascii="黑体" w:hAnsi="黑体" w:eastAsia="黑体" w:cs="黑体"/>
        </w:rPr>
        <w:t>附件1</w:t>
      </w:r>
      <w:r>
        <w:rPr>
          <w:rFonts w:hint="eastAsia" w:ascii="黑体" w:hAnsi="黑体" w:cs="黑体"/>
        </w:rPr>
        <w:t xml:space="preserve"> </w:t>
      </w:r>
      <w:r>
        <w:rPr>
          <w:rFonts w:hint="eastAsia" w:ascii="黑体" w:hAnsi="黑体" w:eastAsia="黑体" w:cs="黑体"/>
        </w:rPr>
        <w:t>集贤县突发重大动物疫情应急处置工作流程图</w:t>
      </w:r>
      <w:r>
        <w:tab/>
      </w:r>
      <w:r>
        <w:fldChar w:fldCharType="begin"/>
      </w:r>
      <w:r>
        <w:instrText xml:space="preserve"> PAGEREF _Toc7978 \h </w:instrText>
      </w:r>
      <w:r>
        <w:fldChar w:fldCharType="separate"/>
      </w:r>
      <w:r>
        <w:t>21</w:t>
      </w:r>
      <w:r>
        <w:fldChar w:fldCharType="end"/>
      </w:r>
      <w:r>
        <w:fldChar w:fldCharType="end"/>
      </w:r>
    </w:p>
    <w:p w14:paraId="3A83E7D1">
      <w:pPr>
        <w:pStyle w:val="2"/>
        <w:numPr>
          <w:ilvl w:val="0"/>
          <w:numId w:val="219"/>
        </w:numPr>
        <w:tabs>
          <w:tab w:val="left" w:pos="0"/>
        </w:tabs>
        <w:rPr>
          <w:sz w:val="32"/>
          <w:szCs w:val="32"/>
        </w:rPr>
      </w:pPr>
      <w:r>
        <w:rPr>
          <w:rFonts w:hint="eastAsia" w:ascii="黑体" w:hAnsi="黑体" w:cs="黑体"/>
          <w:szCs w:val="44"/>
        </w:rPr>
        <w:fldChar w:fldCharType="end"/>
      </w:r>
      <w:bookmarkStart w:id="1238" w:name="_Toc13869"/>
      <w:r>
        <w:rPr>
          <w:rFonts w:hint="eastAsia" w:ascii="黑体" w:hAnsi="黑体" w:cs="黑体"/>
          <w:sz w:val="32"/>
          <w:szCs w:val="48"/>
        </w:rPr>
        <w:t xml:space="preserve"> </w:t>
      </w:r>
      <w:r>
        <w:rPr>
          <w:rFonts w:hint="eastAsia"/>
          <w:sz w:val="32"/>
          <w:szCs w:val="32"/>
        </w:rPr>
        <w:t>总则</w:t>
      </w:r>
      <w:bookmarkEnd w:id="1238"/>
    </w:p>
    <w:p w14:paraId="663AA871">
      <w:pPr>
        <w:pStyle w:val="3"/>
      </w:pPr>
      <w:bookmarkStart w:id="1239" w:name="_Toc85"/>
      <w:r>
        <w:rPr>
          <w:rFonts w:hint="eastAsia"/>
        </w:rPr>
        <w:t>编制目的</w:t>
      </w:r>
      <w:bookmarkEnd w:id="1239"/>
    </w:p>
    <w:p w14:paraId="173FDA97">
      <w:pPr>
        <w:ind w:firstLine="632"/>
        <w:rPr>
          <w:rFonts w:ascii="仿宋_GB2312" w:hAnsi="仿宋_GB2312" w:cs="仿宋_GB2312"/>
        </w:rPr>
      </w:pPr>
      <w:r>
        <w:rPr>
          <w:rFonts w:hint="eastAsia" w:ascii="仿宋_GB2312" w:hAnsi="仿宋_GB2312" w:cs="仿宋_GB2312"/>
        </w:rPr>
        <w:t>为及时、有效地预防、控制和扑灭全县突发重大动物疫情，最大程度地减轻突发动物疫情对畜牧业、公众健康造成的危害，保障人民身体健康安全。</w:t>
      </w:r>
    </w:p>
    <w:p w14:paraId="0E96816A">
      <w:pPr>
        <w:pStyle w:val="3"/>
      </w:pPr>
      <w:bookmarkStart w:id="1240" w:name="_Toc9519"/>
      <w:r>
        <w:rPr>
          <w:rFonts w:hint="eastAsia"/>
        </w:rPr>
        <w:t>编制依据</w:t>
      </w:r>
      <w:bookmarkEnd w:id="1240"/>
    </w:p>
    <w:p w14:paraId="740D24A2">
      <w:pPr>
        <w:ind w:firstLine="632"/>
      </w:pPr>
      <w:r>
        <w:rPr>
          <w:rFonts w:hint="eastAsia"/>
        </w:rPr>
        <w:t>依据《中华人民共和国突发事件应对法》《中华人民共和国进出境动植物检疫法》《重大动物疫情应急条例》《黑龙江省动物防疫条例》《黑龙江省突发事件应急管理办法》《黑龙江省重大动物疫情应急预案》和《集贤县突发事件总体应急预案》等相关法律、法规和规定，结合我县实际，制定本预案。</w:t>
      </w:r>
    </w:p>
    <w:p w14:paraId="09289275">
      <w:pPr>
        <w:pStyle w:val="3"/>
      </w:pPr>
      <w:bookmarkStart w:id="1241" w:name="_Toc22494"/>
      <w:r>
        <w:rPr>
          <w:rFonts w:hint="eastAsia"/>
        </w:rPr>
        <w:t>适用范围</w:t>
      </w:r>
      <w:bookmarkEnd w:id="1241"/>
    </w:p>
    <w:p w14:paraId="6F99A947">
      <w:pPr>
        <w:ind w:firstLine="632"/>
      </w:pPr>
      <w:r>
        <w:rPr>
          <w:rFonts w:hint="eastAsia"/>
        </w:rPr>
        <w:t>本预案适用于本县行政区域内造成或者可能造成社会公众健康严重损害和畜牧业生产造成严重损失的突发动物疫情应急处置工作。</w:t>
      </w:r>
    </w:p>
    <w:p w14:paraId="3CA71DDB">
      <w:pPr>
        <w:pStyle w:val="3"/>
      </w:pPr>
      <w:bookmarkStart w:id="1242" w:name="_Toc6795"/>
      <w:r>
        <w:rPr>
          <w:rFonts w:hint="eastAsia"/>
        </w:rPr>
        <w:t>工作原则</w:t>
      </w:r>
      <w:bookmarkEnd w:id="1242"/>
    </w:p>
    <w:p w14:paraId="035FB46E">
      <w:pPr>
        <w:ind w:firstLine="632"/>
      </w:pPr>
      <w:r>
        <w:rPr>
          <w:rFonts w:hint="eastAsia"/>
        </w:rPr>
        <w:t>认真贯彻落实“加强领导，密切配合，依靠科学，依法防治，群防群控，果断处置”防控方针，坚持分级响应原则。</w:t>
      </w:r>
    </w:p>
    <w:p w14:paraId="2BA779C6">
      <w:pPr>
        <w:pStyle w:val="3"/>
      </w:pPr>
      <w:bookmarkStart w:id="1243" w:name="_Toc18183"/>
      <w:r>
        <w:rPr>
          <w:rFonts w:hint="eastAsia"/>
        </w:rPr>
        <w:t>重大动物疫情分级</w:t>
      </w:r>
      <w:bookmarkEnd w:id="1243"/>
    </w:p>
    <w:p w14:paraId="18E5CBAB">
      <w:pPr>
        <w:ind w:firstLine="632"/>
      </w:pPr>
      <w:r>
        <w:rPr>
          <w:rFonts w:hint="eastAsia"/>
        </w:rPr>
        <w:t>根据突发重大动物疫情的性质、危害程度、涉及范围，将突发重大动物疫情划分为Ⅰ级、Ⅱ级、Ⅲ级和Ⅳ级重大动物疫情。</w:t>
      </w:r>
    </w:p>
    <w:p w14:paraId="0F388031">
      <w:pPr>
        <w:ind w:firstLine="632"/>
      </w:pPr>
      <w:r>
        <w:rPr>
          <w:rFonts w:hint="eastAsia"/>
        </w:rPr>
        <w:t>发生Ⅰ级、Ⅱ级、Ⅲ级和Ⅳ级重大动物疫情时，按《黑龙江省重大动物疫情应急预案》和《双鸭山市突发重大动物疫情应急预案》分级标准进行重大动物疫情级别划分。</w:t>
      </w:r>
    </w:p>
    <w:p w14:paraId="7AC4E2D7">
      <w:pPr>
        <w:pStyle w:val="2"/>
        <w:numPr>
          <w:ilvl w:val="0"/>
          <w:numId w:val="219"/>
        </w:numPr>
        <w:tabs>
          <w:tab w:val="left" w:pos="0"/>
        </w:tabs>
        <w:rPr>
          <w:sz w:val="32"/>
          <w:szCs w:val="32"/>
        </w:rPr>
      </w:pPr>
      <w:bookmarkStart w:id="1244" w:name="_Toc5625"/>
      <w:r>
        <w:rPr>
          <w:rFonts w:hint="eastAsia"/>
          <w:sz w:val="32"/>
          <w:szCs w:val="32"/>
        </w:rPr>
        <w:t>组织指挥体系及职责</w:t>
      </w:r>
      <w:bookmarkEnd w:id="1244"/>
    </w:p>
    <w:p w14:paraId="73D66D77">
      <w:pPr>
        <w:ind w:firstLine="632"/>
      </w:pPr>
      <w:r>
        <w:rPr>
          <w:rFonts w:hint="eastAsia"/>
        </w:rPr>
        <w:t>成立集贤县人民政府重大动物疫病防治指挥部（简称县防治指挥部）组织、指导、协调本县内的重大动物疫情应对工作。</w:t>
      </w:r>
    </w:p>
    <w:p w14:paraId="4DAD3175">
      <w:pPr>
        <w:pStyle w:val="3"/>
      </w:pPr>
      <w:bookmarkStart w:id="1245" w:name="_Toc22051"/>
      <w:r>
        <w:rPr>
          <w:rFonts w:hint="eastAsia"/>
        </w:rPr>
        <w:t>县防治指挥部组成及职责</w:t>
      </w:r>
      <w:bookmarkEnd w:id="1245"/>
    </w:p>
    <w:p w14:paraId="7F3F2D03">
      <w:pPr>
        <w:pStyle w:val="4"/>
        <w:numPr>
          <w:ilvl w:val="2"/>
          <w:numId w:val="219"/>
        </w:numPr>
        <w:tabs>
          <w:tab w:val="left" w:pos="0"/>
        </w:tabs>
        <w:rPr>
          <w:rFonts w:ascii="仿宋_GB2312" w:hAnsi="仿宋_GB2312" w:eastAsia="仿宋_GB2312" w:cs="仿宋_GB2312"/>
        </w:rPr>
      </w:pPr>
      <w:r>
        <w:rPr>
          <w:rFonts w:hint="eastAsia" w:ascii="仿宋_GB2312" w:hAnsi="仿宋_GB2312" w:eastAsia="仿宋_GB2312" w:cs="仿宋_GB2312"/>
        </w:rPr>
        <w:t>县防治指挥部组成</w:t>
      </w:r>
    </w:p>
    <w:p w14:paraId="2FFB9F1C">
      <w:pPr>
        <w:ind w:firstLine="632"/>
        <w:rPr>
          <w:rFonts w:ascii="仿宋_GB2312"/>
        </w:rPr>
      </w:pPr>
      <w:r>
        <w:rPr>
          <w:rFonts w:hint="eastAsia" w:ascii="仿宋_GB2312"/>
        </w:rPr>
        <w:t>县防治指挥部总指挥由县政府分管农业工作的副县长担任，副总指挥由县农业农村局、县应急管理局主要领导担任。</w:t>
      </w:r>
    </w:p>
    <w:p w14:paraId="6485747F">
      <w:pPr>
        <w:ind w:firstLine="632"/>
        <w:rPr>
          <w:rFonts w:ascii="仿宋_GB2312"/>
        </w:rPr>
      </w:pPr>
      <w:r>
        <w:rPr>
          <w:rFonts w:hint="eastAsia" w:ascii="仿宋_GB2312"/>
        </w:rPr>
        <w:t>成员单位：县委宣传部、县农业农村局、县财政局、县卫生健康局、县住房和城乡建设局、县发展和改革局、县工业信息科技局、县公安局、县应急管理局、县交通运输局、县林业和草原局、县市场监督管理局、县司法局、福利屯火车站、县邮政公司、福利镇人民政府、集贤镇人民政府、升昌镇人民政府、永安乡人民政府、腰屯乡人民政府、兴安乡人民政府、丰乐镇人民政府、太平镇人民政府等单位。</w:t>
      </w:r>
    </w:p>
    <w:p w14:paraId="6DEDD0AF">
      <w:pPr>
        <w:ind w:firstLine="632"/>
        <w:rPr>
          <w:rFonts w:ascii="仿宋_GB2312"/>
        </w:rPr>
      </w:pPr>
      <w:r>
        <w:rPr>
          <w:rFonts w:hint="eastAsia" w:ascii="仿宋_GB2312"/>
        </w:rPr>
        <w:t>县重大动物疫病防治指挥部办公室（以下简称县防治办）设在县农业农村局，办公室主任由县农业农村局分管副局长兼任。</w:t>
      </w:r>
    </w:p>
    <w:p w14:paraId="490F0DC7">
      <w:pPr>
        <w:pStyle w:val="4"/>
        <w:numPr>
          <w:ilvl w:val="2"/>
          <w:numId w:val="219"/>
        </w:numPr>
        <w:tabs>
          <w:tab w:val="left" w:pos="0"/>
        </w:tabs>
        <w:rPr>
          <w:rFonts w:ascii="仿宋_GB2312" w:hAnsi="仿宋_GB2312" w:eastAsia="仿宋_GB2312" w:cs="仿宋_GB2312"/>
        </w:rPr>
      </w:pPr>
      <w:r>
        <w:rPr>
          <w:rFonts w:hint="eastAsia" w:ascii="仿宋_GB2312" w:hAnsi="仿宋_GB2312" w:eastAsia="仿宋_GB2312" w:cs="仿宋_GB2312"/>
        </w:rPr>
        <w:t>县防治指挥部工作职责</w:t>
      </w:r>
    </w:p>
    <w:p w14:paraId="5966852F">
      <w:pPr>
        <w:numPr>
          <w:ilvl w:val="0"/>
          <w:numId w:val="220"/>
        </w:numPr>
        <w:ind w:firstLine="632"/>
      </w:pPr>
      <w:r>
        <w:rPr>
          <w:rFonts w:hint="eastAsia"/>
        </w:rPr>
        <w:t>统一领导、指挥全县突发动物疫情处置工作；</w:t>
      </w:r>
    </w:p>
    <w:p w14:paraId="20471A98">
      <w:pPr>
        <w:numPr>
          <w:ilvl w:val="0"/>
          <w:numId w:val="220"/>
        </w:numPr>
        <w:ind w:firstLine="632"/>
      </w:pPr>
      <w:r>
        <w:rPr>
          <w:rFonts w:hint="eastAsia"/>
        </w:rPr>
        <w:t>宣布启动和终止应急响应；</w:t>
      </w:r>
    </w:p>
    <w:p w14:paraId="7A03A1B1">
      <w:pPr>
        <w:numPr>
          <w:ilvl w:val="0"/>
          <w:numId w:val="220"/>
        </w:numPr>
        <w:ind w:firstLine="632"/>
      </w:pPr>
      <w:r>
        <w:rPr>
          <w:rFonts w:hint="eastAsia"/>
        </w:rPr>
        <w:t>制订和部署突发重大动物疫情应急措施；</w:t>
      </w:r>
    </w:p>
    <w:p w14:paraId="0E35FEEF">
      <w:pPr>
        <w:numPr>
          <w:ilvl w:val="0"/>
          <w:numId w:val="220"/>
        </w:numPr>
        <w:ind w:firstLine="632"/>
      </w:pPr>
      <w:r>
        <w:rPr>
          <w:rFonts w:hint="eastAsia"/>
        </w:rPr>
        <w:t>指导和协调各乡镇及有关部门的动物疫情应急处置工作；</w:t>
      </w:r>
    </w:p>
    <w:p w14:paraId="6D475FBC">
      <w:pPr>
        <w:numPr>
          <w:ilvl w:val="0"/>
          <w:numId w:val="220"/>
        </w:numPr>
        <w:ind w:firstLine="632"/>
      </w:pPr>
      <w:r>
        <w:rPr>
          <w:rFonts w:hint="eastAsia"/>
        </w:rPr>
        <w:t>分析总结动物疫情应对工作，按规定做好信息发布相关工作；</w:t>
      </w:r>
    </w:p>
    <w:p w14:paraId="1D61D56D">
      <w:pPr>
        <w:numPr>
          <w:ilvl w:val="0"/>
          <w:numId w:val="220"/>
        </w:numPr>
        <w:ind w:firstLine="632"/>
      </w:pPr>
      <w:r>
        <w:rPr>
          <w:rFonts w:hint="eastAsia"/>
        </w:rPr>
        <w:t>落实省委、省政府和市委、市政府及县委、县政府交办的关于突发动物疫情应急处置工作的其他要求。</w:t>
      </w:r>
    </w:p>
    <w:p w14:paraId="306823A3">
      <w:pPr>
        <w:pStyle w:val="4"/>
        <w:numPr>
          <w:ilvl w:val="2"/>
          <w:numId w:val="219"/>
        </w:numPr>
        <w:tabs>
          <w:tab w:val="left" w:pos="0"/>
        </w:tabs>
        <w:rPr>
          <w:rFonts w:ascii="仿宋_GB2312" w:hAnsi="仿宋_GB2312" w:eastAsia="仿宋_GB2312" w:cs="仿宋_GB2312"/>
        </w:rPr>
      </w:pPr>
      <w:r>
        <w:rPr>
          <w:rFonts w:hint="eastAsia" w:ascii="仿宋_GB2312" w:hAnsi="仿宋_GB2312" w:eastAsia="仿宋_GB2312" w:cs="仿宋_GB2312"/>
        </w:rPr>
        <w:t>县防治办工作职责</w:t>
      </w:r>
    </w:p>
    <w:p w14:paraId="3FC9E193">
      <w:pPr>
        <w:ind w:firstLine="632"/>
      </w:pPr>
      <w:r>
        <w:rPr>
          <w:rFonts w:hint="eastAsia"/>
        </w:rPr>
        <w:t>按照县防治指挥部要求，制定具体防治措施，组织全县重大动物疫情应急管理工作，并组织协调各乡镇、各有关单位按要求落实各项防治措施。提出启动、停止疫情应急控制措施建议。承担县防治指挥部日常工作。</w:t>
      </w:r>
    </w:p>
    <w:p w14:paraId="36750EE5">
      <w:pPr>
        <w:pStyle w:val="4"/>
        <w:numPr>
          <w:ilvl w:val="2"/>
          <w:numId w:val="219"/>
        </w:numPr>
        <w:tabs>
          <w:tab w:val="left" w:pos="0"/>
        </w:tabs>
        <w:rPr>
          <w:rFonts w:ascii="仿宋_GB2312" w:hAnsi="仿宋_GB2312" w:eastAsia="仿宋_GB2312" w:cs="仿宋_GB2312"/>
        </w:rPr>
      </w:pPr>
      <w:r>
        <w:rPr>
          <w:rFonts w:hint="eastAsia" w:ascii="仿宋_GB2312" w:hAnsi="仿宋_GB2312" w:eastAsia="仿宋_GB2312" w:cs="仿宋_GB2312"/>
        </w:rPr>
        <w:t>成员单位工作职责</w:t>
      </w:r>
    </w:p>
    <w:p w14:paraId="2639674A">
      <w:pPr>
        <w:ind w:firstLine="634"/>
      </w:pPr>
      <w:r>
        <w:rPr>
          <w:rFonts w:hint="eastAsia"/>
          <w:b/>
          <w:bCs/>
        </w:rPr>
        <w:t>县农业农村局：</w:t>
      </w:r>
      <w:r>
        <w:rPr>
          <w:rFonts w:hint="eastAsia"/>
        </w:rPr>
        <w:t>负责组织制定突发重大动物疫情防治技术方案；依法组织协调突发重大动物疫情的预防、控制和扑灭工作；建立重大动物疫情防疫物资储备库，并负责日常管理，紧急组织调拨疫苗、消毒药品等应急防疫物资；组织开展重大动物疫病知识、应急处理相关知识和技能的培训；</w:t>
      </w:r>
    </w:p>
    <w:p w14:paraId="053658DE">
      <w:pPr>
        <w:ind w:firstLine="634"/>
      </w:pPr>
      <w:r>
        <w:rPr>
          <w:rFonts w:hint="eastAsia"/>
          <w:b/>
          <w:bCs/>
        </w:rPr>
        <w:t>县委宣传部：</w:t>
      </w:r>
      <w:r>
        <w:rPr>
          <w:rFonts w:hint="eastAsia"/>
        </w:rPr>
        <w:t>负责组织新闻媒体和有关单位及时报道突发重大动物疫情消息，加强对疫情应急处理和防疫知识的宣传报道，正确引导重大动物疫情社会舆论，组织做好舆情应对工作。</w:t>
      </w:r>
    </w:p>
    <w:p w14:paraId="0DB4DFE4">
      <w:pPr>
        <w:ind w:firstLine="634"/>
      </w:pPr>
      <w:r>
        <w:rPr>
          <w:rFonts w:hint="eastAsia"/>
          <w:b/>
          <w:bCs/>
        </w:rPr>
        <w:t>县财政局：</w:t>
      </w:r>
      <w:r>
        <w:rPr>
          <w:rFonts w:hint="eastAsia"/>
        </w:rPr>
        <w:t>按照财政事权与支出责任相适应的原则，将县有关部门履行处置重大突发动物疫情职能必要经费纳入部门预算统筹保障。</w:t>
      </w:r>
    </w:p>
    <w:p w14:paraId="5F135807">
      <w:pPr>
        <w:ind w:firstLine="634"/>
      </w:pPr>
      <w:r>
        <w:rPr>
          <w:rFonts w:hint="eastAsia"/>
          <w:b/>
          <w:bCs/>
        </w:rPr>
        <w:t>县卫生健康局：</w:t>
      </w:r>
      <w:r>
        <w:rPr>
          <w:rFonts w:hint="eastAsia"/>
        </w:rPr>
        <w:t>负责疫区内人居环境的消毒及人群的疫情监测、预防和诊疗工作。</w:t>
      </w:r>
    </w:p>
    <w:p w14:paraId="0643853F">
      <w:pPr>
        <w:ind w:firstLine="634"/>
      </w:pPr>
      <w:r>
        <w:rPr>
          <w:rFonts w:hint="eastAsia"/>
          <w:b/>
          <w:bCs/>
        </w:rPr>
        <w:t>县住房和城乡建设局：</w:t>
      </w:r>
      <w:r>
        <w:rPr>
          <w:rFonts w:hint="eastAsia"/>
        </w:rPr>
        <w:t>负责餐厨废弃物的监督管理工作。</w:t>
      </w:r>
    </w:p>
    <w:p w14:paraId="0811215E">
      <w:pPr>
        <w:ind w:firstLine="634"/>
      </w:pPr>
      <w:r>
        <w:rPr>
          <w:rFonts w:hint="eastAsia"/>
          <w:b/>
          <w:bCs/>
        </w:rPr>
        <w:t>县发展和改革局：</w:t>
      </w:r>
      <w:r>
        <w:rPr>
          <w:rFonts w:hint="eastAsia"/>
        </w:rPr>
        <w:t>负责按照相关规划和现行的有关投资政策，支持完善疫情防控相关基础设施。</w:t>
      </w:r>
    </w:p>
    <w:p w14:paraId="5FD29E6D">
      <w:pPr>
        <w:ind w:firstLine="634"/>
      </w:pPr>
      <w:r>
        <w:rPr>
          <w:rFonts w:hint="eastAsia"/>
          <w:b/>
          <w:bCs/>
        </w:rPr>
        <w:t>县公安局：</w:t>
      </w:r>
      <w:r>
        <w:rPr>
          <w:rFonts w:hint="eastAsia"/>
        </w:rPr>
        <w:t>负责协助做好疫区封锁、动物防疫和监督检查等工作，负责疫区社会治安管理和安全保卫工作，维护疫区的社会秩序，依法严厉打击造成疫情传播及恶意传播疫情违法犯罪行为。</w:t>
      </w:r>
    </w:p>
    <w:p w14:paraId="25C4A24C">
      <w:pPr>
        <w:ind w:firstLine="634"/>
      </w:pPr>
      <w:r>
        <w:rPr>
          <w:rFonts w:hint="eastAsia"/>
          <w:b/>
          <w:bCs/>
        </w:rPr>
        <w:t>县应急管理局：</w:t>
      </w:r>
      <w:r>
        <w:rPr>
          <w:rFonts w:hint="eastAsia"/>
        </w:rPr>
        <w:t>负责组织协调疫区灾害救助工作，依法开展对突发重大动物疫情的救灾捐赠工作。</w:t>
      </w:r>
    </w:p>
    <w:p w14:paraId="0A0DAEE9">
      <w:pPr>
        <w:ind w:firstLine="634"/>
      </w:pPr>
      <w:r>
        <w:rPr>
          <w:rFonts w:hint="eastAsia"/>
          <w:b/>
          <w:bCs/>
        </w:rPr>
        <w:t>县交通运输局：</w:t>
      </w:r>
      <w:r>
        <w:rPr>
          <w:rFonts w:hint="eastAsia"/>
        </w:rPr>
        <w:t>配合做好疫区封锁、卡点设置，配合做好动物防疫监督检查站工作。优先保障防疫人员、应急物资和检测样本的运输。</w:t>
      </w:r>
    </w:p>
    <w:p w14:paraId="2B7B9776">
      <w:pPr>
        <w:ind w:firstLine="634"/>
      </w:pPr>
      <w:r>
        <w:rPr>
          <w:rFonts w:hint="eastAsia"/>
          <w:b/>
          <w:bCs/>
        </w:rPr>
        <w:t>县林业和草原局：</w:t>
      </w:r>
      <w:r>
        <w:rPr>
          <w:rFonts w:hint="eastAsia"/>
        </w:rPr>
        <w:t>负责及时掌握人工捕获驯养野生动物饲养监管情况，野生动物分布情况，开展野生动物疫病监测，加强野外巡查巡护，配合农业农村部门做好采样送检和监测评估工作。</w:t>
      </w:r>
    </w:p>
    <w:p w14:paraId="45AA069B">
      <w:pPr>
        <w:ind w:firstLine="634"/>
      </w:pPr>
      <w:r>
        <w:rPr>
          <w:rFonts w:hint="eastAsia"/>
          <w:b/>
          <w:bCs/>
        </w:rPr>
        <w:t>县市场监督管理局：</w:t>
      </w:r>
      <w:r>
        <w:rPr>
          <w:rFonts w:hint="eastAsia"/>
        </w:rPr>
        <w:t>负责监管疫区内用作食品的相关动物产品及其食用制品经营和交易市场。</w:t>
      </w:r>
    </w:p>
    <w:p w14:paraId="6B87CAE1">
      <w:pPr>
        <w:ind w:firstLine="634"/>
      </w:pPr>
      <w:r>
        <w:rPr>
          <w:rFonts w:hint="eastAsia"/>
          <w:b/>
          <w:bCs/>
        </w:rPr>
        <w:t>县司法局：</w:t>
      </w:r>
      <w:r>
        <w:rPr>
          <w:rFonts w:hint="eastAsia"/>
        </w:rPr>
        <w:t>在县防治指挥部统一领导、协调下，负责做好重大动物疫情处置工作。</w:t>
      </w:r>
    </w:p>
    <w:p w14:paraId="587373D3">
      <w:pPr>
        <w:ind w:firstLine="634"/>
      </w:pPr>
      <w:r>
        <w:rPr>
          <w:rFonts w:hint="eastAsia"/>
          <w:b/>
          <w:bCs/>
        </w:rPr>
        <w:t>福利屯火车站：</w:t>
      </w:r>
      <w:r>
        <w:rPr>
          <w:rFonts w:hint="eastAsia"/>
        </w:rPr>
        <w:t>负责优先安排运送控制扑灭疫情的人员、防疫物资和检测样本，负责铁路调入动物及其产品入境运输工具的消毒、检查和登记。</w:t>
      </w:r>
    </w:p>
    <w:p w14:paraId="152817C7">
      <w:pPr>
        <w:pStyle w:val="61"/>
        <w:ind w:firstLine="634"/>
        <w:rPr>
          <w:sz w:val="32"/>
          <w:szCs w:val="32"/>
        </w:rPr>
      </w:pPr>
      <w:r>
        <w:rPr>
          <w:rFonts w:hint="eastAsia"/>
          <w:b/>
          <w:bCs/>
          <w:sz w:val="32"/>
          <w:szCs w:val="32"/>
        </w:rPr>
        <w:t>县邮政公司：</w:t>
      </w:r>
      <w:r>
        <w:rPr>
          <w:rFonts w:hint="eastAsia"/>
          <w:sz w:val="32"/>
          <w:szCs w:val="32"/>
        </w:rPr>
        <w:t>负责做好邮寄动物、动物产品等的查验工作。</w:t>
      </w:r>
    </w:p>
    <w:p w14:paraId="7C5EBB1F">
      <w:pPr>
        <w:pStyle w:val="3"/>
      </w:pPr>
      <w:bookmarkStart w:id="1246" w:name="_Toc20498"/>
      <w:r>
        <w:rPr>
          <w:rFonts w:hint="eastAsia"/>
        </w:rPr>
        <w:t>现场指挥部</w:t>
      </w:r>
      <w:bookmarkEnd w:id="1246"/>
    </w:p>
    <w:p w14:paraId="190EDCBA">
      <w:pPr>
        <w:ind w:firstLine="632"/>
      </w:pPr>
      <w:r>
        <w:rPr>
          <w:rFonts w:hint="eastAsia"/>
        </w:rPr>
        <w:t>县防治指挥部视情况成立现场指挥部，负责突发重大动物疫情的现场应急处置。现场指挥部下设6个工作小组：综合协调组、应急处置组、技术专家组、卫生防疫组、新闻报道组、治安保卫组。</w:t>
      </w:r>
    </w:p>
    <w:p w14:paraId="1773A5A4">
      <w:pPr>
        <w:pStyle w:val="4"/>
        <w:numPr>
          <w:ilvl w:val="2"/>
          <w:numId w:val="219"/>
        </w:numPr>
        <w:tabs>
          <w:tab w:val="left" w:pos="0"/>
        </w:tabs>
        <w:rPr>
          <w:rFonts w:ascii="仿宋_GB2312" w:hAnsi="仿宋_GB2312" w:eastAsia="仿宋_GB2312" w:cs="仿宋_GB2312"/>
        </w:rPr>
      </w:pPr>
      <w:r>
        <w:rPr>
          <w:rFonts w:hint="eastAsia" w:ascii="仿宋_GB2312" w:hAnsi="仿宋_GB2312" w:eastAsia="仿宋_GB2312" w:cs="仿宋_GB2312"/>
        </w:rPr>
        <w:t>综合协调组</w:t>
      </w:r>
    </w:p>
    <w:p w14:paraId="61575CE1">
      <w:pPr>
        <w:ind w:firstLine="632"/>
      </w:pPr>
      <w:r>
        <w:rPr>
          <w:rFonts w:hint="eastAsia"/>
        </w:rPr>
        <w:t>牵头单位：县农业农村局</w:t>
      </w:r>
    </w:p>
    <w:p w14:paraId="33BABE80">
      <w:pPr>
        <w:ind w:firstLine="632"/>
      </w:pPr>
      <w:r>
        <w:rPr>
          <w:rFonts w:hint="eastAsia"/>
        </w:rPr>
        <w:t>成员单位：县发改局、县财政局、县人力资源和社会保障局、县交通运输局、县应急管理局、县工信科局等</w:t>
      </w:r>
    </w:p>
    <w:p w14:paraId="46383D9D">
      <w:pPr>
        <w:ind w:firstLine="632"/>
      </w:pPr>
      <w:r>
        <w:rPr>
          <w:rFonts w:hint="eastAsia"/>
        </w:rPr>
        <w:t>工作职责：负责应急物资筹集、发放、管理、运输车辆优先通行工作，保障应急所需经费和受灾群众生活救助，协调组织日常生活必需品的市场供应，落实应急处置人员工伤待遇政策。</w:t>
      </w:r>
    </w:p>
    <w:p w14:paraId="21A633F4">
      <w:pPr>
        <w:pStyle w:val="4"/>
        <w:numPr>
          <w:ilvl w:val="2"/>
          <w:numId w:val="219"/>
        </w:numPr>
        <w:tabs>
          <w:tab w:val="left" w:pos="0"/>
        </w:tabs>
        <w:rPr>
          <w:rFonts w:ascii="仿宋_GB2312" w:hAnsi="仿宋_GB2312" w:eastAsia="仿宋_GB2312" w:cs="仿宋_GB2312"/>
        </w:rPr>
      </w:pPr>
      <w:r>
        <w:rPr>
          <w:rFonts w:hint="eastAsia" w:ascii="仿宋_GB2312" w:hAnsi="仿宋_GB2312" w:eastAsia="仿宋_GB2312" w:cs="仿宋_GB2312"/>
        </w:rPr>
        <w:t>应急处置组</w:t>
      </w:r>
    </w:p>
    <w:p w14:paraId="1DAA53ED">
      <w:pPr>
        <w:ind w:firstLine="632"/>
      </w:pPr>
      <w:r>
        <w:rPr>
          <w:rFonts w:hint="eastAsia"/>
        </w:rPr>
        <w:t>牵头单位：县农业农村局</w:t>
      </w:r>
    </w:p>
    <w:p w14:paraId="2A6DD084">
      <w:pPr>
        <w:ind w:firstLine="632"/>
      </w:pPr>
      <w:r>
        <w:rPr>
          <w:rFonts w:hint="eastAsia"/>
        </w:rPr>
        <w:t>成员单位：县卫生健康局、县市场监督管理局、县林草局</w:t>
      </w:r>
    </w:p>
    <w:p w14:paraId="66D5B9DA">
      <w:pPr>
        <w:ind w:firstLine="632"/>
      </w:pPr>
      <w:r>
        <w:rPr>
          <w:rFonts w:hint="eastAsia"/>
        </w:rPr>
        <w:t>工作职责：组织落实突发重大动物疫情应急处置措施。</w:t>
      </w:r>
    </w:p>
    <w:p w14:paraId="5E4DD8B3">
      <w:pPr>
        <w:pStyle w:val="4"/>
        <w:numPr>
          <w:ilvl w:val="2"/>
          <w:numId w:val="219"/>
        </w:numPr>
        <w:tabs>
          <w:tab w:val="left" w:pos="0"/>
        </w:tabs>
        <w:rPr>
          <w:rFonts w:ascii="仿宋_GB2312" w:hAnsi="仿宋_GB2312" w:eastAsia="仿宋_GB2312" w:cs="仿宋_GB2312"/>
        </w:rPr>
      </w:pPr>
      <w:r>
        <w:rPr>
          <w:rFonts w:hint="eastAsia" w:ascii="仿宋_GB2312" w:hAnsi="仿宋_GB2312" w:eastAsia="仿宋_GB2312" w:cs="仿宋_GB2312"/>
        </w:rPr>
        <w:t>技术专家组</w:t>
      </w:r>
    </w:p>
    <w:p w14:paraId="5994DCFD">
      <w:pPr>
        <w:ind w:firstLine="632"/>
      </w:pPr>
      <w:r>
        <w:rPr>
          <w:rFonts w:hint="eastAsia"/>
        </w:rPr>
        <w:t>牵头单位：县农业农村局</w:t>
      </w:r>
    </w:p>
    <w:p w14:paraId="25672BAA">
      <w:pPr>
        <w:ind w:firstLine="632"/>
      </w:pPr>
      <w:r>
        <w:rPr>
          <w:rFonts w:hint="eastAsia"/>
        </w:rPr>
        <w:t>成员单位：县卫生健康局、县住建局、县林草局</w:t>
      </w:r>
    </w:p>
    <w:p w14:paraId="49B32253">
      <w:pPr>
        <w:ind w:firstLine="632"/>
      </w:pPr>
      <w:r>
        <w:rPr>
          <w:rFonts w:hint="eastAsia"/>
        </w:rPr>
        <w:t>工作职责：对突发重大动物疫情处置决策提出意见和建议，参与制订突发重大动物疫情应急技术方案。</w:t>
      </w:r>
    </w:p>
    <w:p w14:paraId="10464944">
      <w:pPr>
        <w:pStyle w:val="4"/>
        <w:numPr>
          <w:ilvl w:val="2"/>
          <w:numId w:val="219"/>
        </w:numPr>
        <w:tabs>
          <w:tab w:val="left" w:pos="0"/>
        </w:tabs>
        <w:rPr>
          <w:rFonts w:ascii="仿宋_GB2312" w:hAnsi="仿宋_GB2312" w:eastAsia="仿宋_GB2312" w:cs="仿宋_GB2312"/>
        </w:rPr>
      </w:pPr>
      <w:r>
        <w:rPr>
          <w:rFonts w:hint="eastAsia" w:ascii="仿宋_GB2312" w:hAnsi="仿宋_GB2312" w:eastAsia="仿宋_GB2312" w:cs="仿宋_GB2312"/>
        </w:rPr>
        <w:t>卫生防疫组</w:t>
      </w:r>
    </w:p>
    <w:p w14:paraId="7C62ADE5">
      <w:pPr>
        <w:ind w:firstLine="632"/>
      </w:pPr>
      <w:r>
        <w:rPr>
          <w:rFonts w:hint="eastAsia"/>
        </w:rPr>
        <w:t>牵头单位：县卫生健康局</w:t>
      </w:r>
    </w:p>
    <w:p w14:paraId="44FC400F">
      <w:pPr>
        <w:ind w:firstLine="632"/>
      </w:pPr>
      <w:r>
        <w:rPr>
          <w:rFonts w:hint="eastAsia"/>
        </w:rPr>
        <w:t>成员单位：县农业农村局、县林草局</w:t>
      </w:r>
    </w:p>
    <w:p w14:paraId="47E32881">
      <w:pPr>
        <w:ind w:firstLine="632"/>
      </w:pPr>
      <w:r>
        <w:rPr>
          <w:rFonts w:hint="eastAsia"/>
        </w:rPr>
        <w:t>工作职责：组织疫区卫生防疫、医疗救护和人畜共患病防疫工作。</w:t>
      </w:r>
    </w:p>
    <w:p w14:paraId="4A86A92D">
      <w:pPr>
        <w:pStyle w:val="4"/>
        <w:numPr>
          <w:ilvl w:val="2"/>
          <w:numId w:val="219"/>
        </w:numPr>
        <w:tabs>
          <w:tab w:val="left" w:pos="0"/>
        </w:tabs>
        <w:rPr>
          <w:rFonts w:ascii="仿宋_GB2312" w:hAnsi="仿宋_GB2312" w:eastAsia="仿宋_GB2312" w:cs="仿宋_GB2312"/>
        </w:rPr>
      </w:pPr>
      <w:r>
        <w:rPr>
          <w:rFonts w:hint="eastAsia" w:ascii="仿宋_GB2312" w:hAnsi="仿宋_GB2312" w:eastAsia="仿宋_GB2312" w:cs="仿宋_GB2312"/>
        </w:rPr>
        <w:t>新闻报道组</w:t>
      </w:r>
    </w:p>
    <w:p w14:paraId="10D616AD">
      <w:pPr>
        <w:ind w:firstLine="632"/>
      </w:pPr>
      <w:r>
        <w:rPr>
          <w:rFonts w:hint="eastAsia"/>
        </w:rPr>
        <w:t>牵头单位：县委宣传部</w:t>
      </w:r>
    </w:p>
    <w:p w14:paraId="614259ED">
      <w:pPr>
        <w:ind w:firstLine="632"/>
      </w:pPr>
      <w:r>
        <w:rPr>
          <w:rFonts w:hint="eastAsia"/>
        </w:rPr>
        <w:t>成员单位：县农业农村局、县应急管理局</w:t>
      </w:r>
    </w:p>
    <w:p w14:paraId="0AE0CAF9">
      <w:pPr>
        <w:ind w:firstLine="632"/>
      </w:pPr>
      <w:r>
        <w:rPr>
          <w:rFonts w:hint="eastAsia"/>
        </w:rPr>
        <w:t>工作职责：负责应急新闻报道，做好媒体记者的组织、管理和引导工作，积极引导舆论，关注舆情动态，及时回应社会关切。</w:t>
      </w:r>
    </w:p>
    <w:p w14:paraId="5AE0B834">
      <w:pPr>
        <w:pStyle w:val="4"/>
        <w:numPr>
          <w:ilvl w:val="2"/>
          <w:numId w:val="219"/>
        </w:numPr>
        <w:tabs>
          <w:tab w:val="left" w:pos="0"/>
        </w:tabs>
        <w:rPr>
          <w:rFonts w:ascii="仿宋_GB2312" w:hAnsi="仿宋_GB2312" w:eastAsia="仿宋_GB2312" w:cs="仿宋_GB2312"/>
        </w:rPr>
      </w:pPr>
      <w:r>
        <w:rPr>
          <w:rFonts w:hint="eastAsia" w:ascii="仿宋_GB2312" w:hAnsi="仿宋_GB2312" w:eastAsia="仿宋_GB2312" w:cs="仿宋_GB2312"/>
        </w:rPr>
        <w:t>治安保卫组</w:t>
      </w:r>
    </w:p>
    <w:p w14:paraId="131D96DA">
      <w:pPr>
        <w:ind w:firstLine="632"/>
      </w:pPr>
      <w:r>
        <w:rPr>
          <w:rFonts w:hint="eastAsia"/>
        </w:rPr>
        <w:t>牵头单位：县公安局</w:t>
      </w:r>
    </w:p>
    <w:p w14:paraId="418B8253">
      <w:pPr>
        <w:ind w:firstLine="632"/>
      </w:pPr>
      <w:r>
        <w:rPr>
          <w:rFonts w:hint="eastAsia"/>
        </w:rPr>
        <w:t>成员单位：县人武部</w:t>
      </w:r>
    </w:p>
    <w:p w14:paraId="385BA95C">
      <w:pPr>
        <w:ind w:firstLine="632"/>
      </w:pPr>
      <w:r>
        <w:rPr>
          <w:rFonts w:hint="eastAsia"/>
        </w:rPr>
        <w:t>工作职责：负责突发重大动物疫情应急处置期间的安全保卫工作，维护社会治安秩序。</w:t>
      </w:r>
    </w:p>
    <w:p w14:paraId="04AE758D">
      <w:pPr>
        <w:pStyle w:val="2"/>
        <w:numPr>
          <w:ilvl w:val="0"/>
          <w:numId w:val="219"/>
        </w:numPr>
        <w:tabs>
          <w:tab w:val="left" w:pos="0"/>
        </w:tabs>
        <w:rPr>
          <w:sz w:val="32"/>
          <w:szCs w:val="32"/>
        </w:rPr>
      </w:pPr>
      <w:bookmarkStart w:id="1247" w:name="_Toc11955"/>
      <w:r>
        <w:rPr>
          <w:rFonts w:hint="eastAsia"/>
          <w:sz w:val="32"/>
          <w:szCs w:val="32"/>
        </w:rPr>
        <w:t>监测、预警与报告</w:t>
      </w:r>
      <w:bookmarkEnd w:id="1247"/>
    </w:p>
    <w:p w14:paraId="3CFC16BC">
      <w:pPr>
        <w:pStyle w:val="3"/>
      </w:pPr>
      <w:bookmarkStart w:id="1248" w:name="_Toc31347"/>
      <w:r>
        <w:rPr>
          <w:rFonts w:hint="eastAsia"/>
        </w:rPr>
        <w:t>疫情监测</w:t>
      </w:r>
      <w:bookmarkEnd w:id="1248"/>
    </w:p>
    <w:p w14:paraId="7D6BAECD">
      <w:pPr>
        <w:ind w:firstLine="632"/>
      </w:pPr>
      <w:r>
        <w:rPr>
          <w:rFonts w:hint="eastAsia"/>
        </w:rPr>
        <w:t>县政府建立和完善突发重大动物疫情监测、报告网络体系。县直及各乡镇动物疫病预防控制机构具体实施重大动物疫情的监测。乡镇政府组织乡村动物防疫组织人员或兽医服务组织按时完成流行病学调查工作。</w:t>
      </w:r>
    </w:p>
    <w:p w14:paraId="7583C890">
      <w:pPr>
        <w:pStyle w:val="3"/>
      </w:pPr>
      <w:bookmarkStart w:id="1249" w:name="_Toc14711"/>
      <w:r>
        <w:rPr>
          <w:rFonts w:hint="eastAsia"/>
        </w:rPr>
        <w:t>疫情预警</w:t>
      </w:r>
      <w:bookmarkEnd w:id="1249"/>
    </w:p>
    <w:p w14:paraId="7D07F000">
      <w:pPr>
        <w:pStyle w:val="4"/>
        <w:numPr>
          <w:ilvl w:val="2"/>
          <w:numId w:val="219"/>
        </w:numPr>
        <w:tabs>
          <w:tab w:val="left" w:pos="0"/>
        </w:tabs>
        <w:rPr>
          <w:rFonts w:ascii="仿宋_GB2312" w:hAnsi="仿宋_GB2312" w:eastAsia="仿宋_GB2312" w:cs="仿宋_GB2312"/>
        </w:rPr>
      </w:pPr>
      <w:r>
        <w:rPr>
          <w:rFonts w:hint="eastAsia" w:ascii="仿宋_GB2312" w:hAnsi="仿宋_GB2312" w:eastAsia="仿宋_GB2312" w:cs="仿宋_GB2312"/>
        </w:rPr>
        <w:t>预警接收</w:t>
      </w:r>
    </w:p>
    <w:p w14:paraId="5350E339">
      <w:pPr>
        <w:ind w:firstLine="632"/>
      </w:pPr>
      <w:r>
        <w:rPr>
          <w:rFonts w:hint="eastAsia"/>
        </w:rPr>
        <w:t>准确接收市农业农村局发出的动物疫情预警信息，及时采取预防、控制措施。</w:t>
      </w:r>
    </w:p>
    <w:p w14:paraId="1E7D8A24">
      <w:pPr>
        <w:pStyle w:val="4"/>
        <w:numPr>
          <w:ilvl w:val="2"/>
          <w:numId w:val="219"/>
        </w:numPr>
        <w:tabs>
          <w:tab w:val="left" w:pos="0"/>
        </w:tabs>
        <w:rPr>
          <w:rFonts w:ascii="仿宋_GB2312" w:hAnsi="仿宋_GB2312" w:eastAsia="仿宋_GB2312" w:cs="仿宋_GB2312"/>
        </w:rPr>
      </w:pPr>
      <w:r>
        <w:rPr>
          <w:rFonts w:hint="eastAsia" w:ascii="仿宋_GB2312" w:hAnsi="仿宋_GB2312" w:eastAsia="仿宋_GB2312" w:cs="仿宋_GB2312"/>
        </w:rPr>
        <w:t>预警行动</w:t>
      </w:r>
    </w:p>
    <w:p w14:paraId="4613A878">
      <w:pPr>
        <w:ind w:firstLine="632"/>
      </w:pPr>
      <w:r>
        <w:rPr>
          <w:rFonts w:hint="eastAsia"/>
        </w:rPr>
        <w:t>接到预警信息的乡镇人民政府和有关部门应重点做好以下工作：</w:t>
      </w:r>
    </w:p>
    <w:p w14:paraId="4768289F">
      <w:pPr>
        <w:numPr>
          <w:ilvl w:val="0"/>
          <w:numId w:val="221"/>
        </w:numPr>
        <w:ind w:firstLine="632"/>
      </w:pPr>
      <w:r>
        <w:rPr>
          <w:rFonts w:hint="eastAsia"/>
        </w:rPr>
        <w:t>组织做好本区域应急处置所需的人员和物资准备；</w:t>
      </w:r>
    </w:p>
    <w:p w14:paraId="775E1B4F">
      <w:pPr>
        <w:numPr>
          <w:ilvl w:val="0"/>
          <w:numId w:val="221"/>
        </w:numPr>
        <w:ind w:firstLine="632"/>
      </w:pPr>
      <w:r>
        <w:rPr>
          <w:rFonts w:hint="eastAsia"/>
        </w:rPr>
        <w:t>加强对养殖、运输、屠宰和市场环节的动物疫情监测和防控工作，防止疫情的发生、传播和扩散；</w:t>
      </w:r>
    </w:p>
    <w:p w14:paraId="604277A4">
      <w:pPr>
        <w:numPr>
          <w:ilvl w:val="0"/>
          <w:numId w:val="221"/>
        </w:numPr>
        <w:ind w:firstLine="632"/>
      </w:pPr>
      <w:r>
        <w:rPr>
          <w:rFonts w:hint="eastAsia"/>
        </w:rPr>
        <w:t>开展动物防疫知识宣传，提高公众防控能力。</w:t>
      </w:r>
    </w:p>
    <w:p w14:paraId="19E38B67">
      <w:pPr>
        <w:pStyle w:val="4"/>
        <w:numPr>
          <w:ilvl w:val="2"/>
          <w:numId w:val="219"/>
        </w:numPr>
        <w:tabs>
          <w:tab w:val="left" w:pos="0"/>
        </w:tabs>
        <w:rPr>
          <w:rFonts w:ascii="仿宋_GB2312" w:hAnsi="仿宋_GB2312" w:eastAsia="仿宋_GB2312" w:cs="仿宋_GB2312"/>
        </w:rPr>
      </w:pPr>
      <w:r>
        <w:rPr>
          <w:rFonts w:hint="eastAsia" w:ascii="仿宋_GB2312" w:hAnsi="仿宋_GB2312" w:eastAsia="仿宋_GB2312" w:cs="仿宋_GB2312"/>
        </w:rPr>
        <w:t>预警解除</w:t>
      </w:r>
    </w:p>
    <w:p w14:paraId="130B8853">
      <w:pPr>
        <w:ind w:firstLine="632"/>
      </w:pPr>
      <w:r>
        <w:rPr>
          <w:rFonts w:hint="eastAsia"/>
        </w:rPr>
        <w:t>接到市农业农村局动物疫情预警解除信息后，经县防治办确认，我县动物疫病风险已不存在，由县防治办发布解除预警指令，预警区域解除已经采取的预警响应。</w:t>
      </w:r>
    </w:p>
    <w:p w14:paraId="0287B596">
      <w:pPr>
        <w:pStyle w:val="3"/>
      </w:pPr>
      <w:bookmarkStart w:id="1250" w:name="_Toc18965"/>
      <w:r>
        <w:rPr>
          <w:rFonts w:hint="eastAsia"/>
        </w:rPr>
        <w:t>信息报告</w:t>
      </w:r>
      <w:bookmarkEnd w:id="1250"/>
    </w:p>
    <w:p w14:paraId="27B09BFF">
      <w:pPr>
        <w:ind w:firstLine="632"/>
      </w:pPr>
      <w:r>
        <w:rPr>
          <w:rFonts w:hint="eastAsia"/>
        </w:rPr>
        <w:t>任何单位和个人发现已经发生、疑似发生突发重大动物疫情时，应当立即向当地农业农村部门、动物卫生监督机构或者动物疫病预防控制机构报告。</w:t>
      </w:r>
    </w:p>
    <w:p w14:paraId="0E193EC4">
      <w:pPr>
        <w:pStyle w:val="4"/>
        <w:numPr>
          <w:ilvl w:val="2"/>
          <w:numId w:val="219"/>
        </w:numPr>
        <w:tabs>
          <w:tab w:val="left" w:pos="0"/>
        </w:tabs>
        <w:rPr>
          <w:rFonts w:ascii="仿宋_GB2312" w:hAnsi="仿宋_GB2312" w:eastAsia="仿宋_GB2312" w:cs="仿宋_GB2312"/>
        </w:rPr>
      </w:pPr>
      <w:r>
        <w:rPr>
          <w:rFonts w:hint="eastAsia" w:ascii="仿宋_GB2312" w:hAnsi="仿宋_GB2312" w:eastAsia="仿宋_GB2312" w:cs="仿宋_GB2312"/>
        </w:rPr>
        <w:t>责任报告单位和责任报告人</w:t>
      </w:r>
    </w:p>
    <w:p w14:paraId="68863AB5">
      <w:pPr>
        <w:ind w:firstLine="632"/>
      </w:pPr>
      <w:r>
        <w:rPr>
          <w:rFonts w:hint="eastAsia"/>
        </w:rPr>
        <w:t>从事疫情监测、检验检疫以及动物饲养、屠宰加工、运输、经营等活动的有关单位和个人，发现动物染疫或者疑似染疫的，应当立即向当地农业农村部门、动物卫生监督机构或者动物疫病预防控制机构报告。</w:t>
      </w:r>
    </w:p>
    <w:p w14:paraId="48D3656E">
      <w:pPr>
        <w:pStyle w:val="4"/>
        <w:numPr>
          <w:ilvl w:val="2"/>
          <w:numId w:val="219"/>
        </w:numPr>
        <w:tabs>
          <w:tab w:val="left" w:pos="0"/>
        </w:tabs>
        <w:rPr>
          <w:rFonts w:ascii="仿宋_GB2312" w:hAnsi="仿宋_GB2312" w:eastAsia="仿宋_GB2312" w:cs="仿宋_GB2312"/>
        </w:rPr>
      </w:pPr>
      <w:r>
        <w:rPr>
          <w:rFonts w:hint="eastAsia" w:ascii="仿宋_GB2312" w:hAnsi="仿宋_GB2312" w:eastAsia="仿宋_GB2312" w:cs="仿宋_GB2312"/>
        </w:rPr>
        <w:t>报告时限和程序</w:t>
      </w:r>
    </w:p>
    <w:p w14:paraId="4BAC8C9E">
      <w:pPr>
        <w:ind w:firstLine="632"/>
      </w:pPr>
      <w:r>
        <w:rPr>
          <w:rFonts w:hint="eastAsia"/>
        </w:rPr>
        <w:t>县动物防疫监督机构接到报告后，应当立即赶赴现场调查核实。初步认为属于重大动物疫情的，应当在2小时内将情况逐级上报，并同时报所在地政府农业农村部门；农业农村部门应当及时通报同级卫生健康部门。</w:t>
      </w:r>
    </w:p>
    <w:p w14:paraId="14347AA8">
      <w:pPr>
        <w:ind w:firstLine="632"/>
      </w:pPr>
      <w:r>
        <w:rPr>
          <w:rFonts w:hint="eastAsia"/>
        </w:rPr>
        <w:t>初步认为疑似突发重大动物疫情的，应当立即按要求采集病料样品，送市动物疫病预防控制中心实验室确诊。按规定不能确诊的，必须派专人送省动物疫病预防控制中心实验室或送国家指定的参考实验室确诊。</w:t>
      </w:r>
    </w:p>
    <w:p w14:paraId="1C129790">
      <w:pPr>
        <w:pStyle w:val="4"/>
        <w:numPr>
          <w:ilvl w:val="2"/>
          <w:numId w:val="219"/>
        </w:numPr>
        <w:tabs>
          <w:tab w:val="left" w:pos="0"/>
        </w:tabs>
        <w:rPr>
          <w:rFonts w:ascii="仿宋_GB2312" w:hAnsi="仿宋_GB2312" w:eastAsia="仿宋_GB2312" w:cs="仿宋_GB2312"/>
        </w:rPr>
      </w:pPr>
      <w:r>
        <w:rPr>
          <w:rFonts w:hint="eastAsia" w:ascii="仿宋_GB2312" w:hAnsi="仿宋_GB2312" w:eastAsia="仿宋_GB2312" w:cs="仿宋_GB2312"/>
        </w:rPr>
        <w:t>报告内容</w:t>
      </w:r>
    </w:p>
    <w:p w14:paraId="0A4A03FC">
      <w:pPr>
        <w:numPr>
          <w:ilvl w:val="0"/>
          <w:numId w:val="222"/>
        </w:numPr>
        <w:ind w:firstLine="632"/>
      </w:pPr>
      <w:r>
        <w:rPr>
          <w:rFonts w:hint="eastAsia"/>
        </w:rPr>
        <w:t>疫情发生的时间、地点及经纬度；</w:t>
      </w:r>
    </w:p>
    <w:p w14:paraId="51EB7C7E">
      <w:pPr>
        <w:numPr>
          <w:ilvl w:val="0"/>
          <w:numId w:val="222"/>
        </w:numPr>
        <w:ind w:firstLine="632"/>
      </w:pPr>
      <w:r>
        <w:rPr>
          <w:rFonts w:hint="eastAsia"/>
        </w:rPr>
        <w:t>染疫、疑似染疫动物种类和数量、免疫情况、发病数量、死亡数量、临床症状、病理变化、诊断情况；</w:t>
      </w:r>
    </w:p>
    <w:p w14:paraId="5DDBC8EC">
      <w:pPr>
        <w:numPr>
          <w:ilvl w:val="0"/>
          <w:numId w:val="222"/>
        </w:numPr>
        <w:ind w:firstLine="632"/>
      </w:pPr>
      <w:r>
        <w:rPr>
          <w:rFonts w:hint="eastAsia"/>
        </w:rPr>
        <w:t>流行病学和疫源追踪情况，是否有人员感染；</w:t>
      </w:r>
    </w:p>
    <w:p w14:paraId="37D4646A">
      <w:pPr>
        <w:numPr>
          <w:ilvl w:val="0"/>
          <w:numId w:val="222"/>
        </w:numPr>
        <w:ind w:firstLine="632"/>
      </w:pPr>
      <w:r>
        <w:rPr>
          <w:rFonts w:hint="eastAsia"/>
        </w:rPr>
        <w:t>已采取的控制措施；</w:t>
      </w:r>
    </w:p>
    <w:p w14:paraId="660AD674">
      <w:pPr>
        <w:numPr>
          <w:ilvl w:val="0"/>
          <w:numId w:val="222"/>
        </w:numPr>
        <w:ind w:firstLine="632"/>
      </w:pPr>
      <w:r>
        <w:rPr>
          <w:rFonts w:hint="eastAsia"/>
        </w:rPr>
        <w:t>疫情报告的单位、负责人、报告人及联系方式等。</w:t>
      </w:r>
    </w:p>
    <w:p w14:paraId="068B06A8">
      <w:pPr>
        <w:pStyle w:val="4"/>
        <w:numPr>
          <w:ilvl w:val="2"/>
          <w:numId w:val="219"/>
        </w:numPr>
        <w:tabs>
          <w:tab w:val="left" w:pos="0"/>
        </w:tabs>
        <w:rPr>
          <w:rFonts w:ascii="仿宋_GB2312" w:hAnsi="仿宋_GB2312" w:eastAsia="仿宋_GB2312" w:cs="仿宋_GB2312"/>
        </w:rPr>
      </w:pPr>
      <w:r>
        <w:rPr>
          <w:rFonts w:hint="eastAsia" w:ascii="仿宋_GB2312" w:hAnsi="仿宋_GB2312" w:eastAsia="仿宋_GB2312" w:cs="仿宋_GB2312"/>
        </w:rPr>
        <w:t>报告期间采取的措施</w:t>
      </w:r>
    </w:p>
    <w:p w14:paraId="76B445C6">
      <w:pPr>
        <w:ind w:firstLine="632"/>
      </w:pPr>
      <w:r>
        <w:rPr>
          <w:rFonts w:hint="eastAsia"/>
        </w:rPr>
        <w:t>在疫情报告期间，县动物防疫监督机构应当立即采取临时隔离控制措施。必要时可采取封锁、扑杀、销毁等措施。</w:t>
      </w:r>
    </w:p>
    <w:p w14:paraId="0ECB4F50">
      <w:pPr>
        <w:pStyle w:val="2"/>
        <w:numPr>
          <w:ilvl w:val="0"/>
          <w:numId w:val="219"/>
        </w:numPr>
        <w:tabs>
          <w:tab w:val="left" w:pos="0"/>
        </w:tabs>
        <w:rPr>
          <w:sz w:val="32"/>
          <w:szCs w:val="32"/>
        </w:rPr>
      </w:pPr>
      <w:bookmarkStart w:id="1251" w:name="_Toc20976"/>
      <w:r>
        <w:rPr>
          <w:rFonts w:hint="eastAsia"/>
          <w:sz w:val="32"/>
          <w:szCs w:val="32"/>
        </w:rPr>
        <w:t>应急响应</w:t>
      </w:r>
      <w:bookmarkEnd w:id="1251"/>
    </w:p>
    <w:p w14:paraId="64DAB632">
      <w:pPr>
        <w:pStyle w:val="3"/>
      </w:pPr>
      <w:bookmarkStart w:id="1252" w:name="_Toc25903"/>
      <w:r>
        <w:rPr>
          <w:rFonts w:hint="eastAsia"/>
        </w:rPr>
        <w:t>先期处置</w:t>
      </w:r>
      <w:bookmarkEnd w:id="1252"/>
    </w:p>
    <w:p w14:paraId="13D684CA">
      <w:pPr>
        <w:ind w:firstLine="632"/>
      </w:pPr>
      <w:r>
        <w:rPr>
          <w:rFonts w:hint="eastAsia"/>
        </w:rPr>
        <w:t>发生疑似疫情时，在疫情报告的同时，事发地领导组应组织对发病场（户）实施隔离、监控，禁止动物及其产品、饲料及相关物品移动，进行严格消毒等临时处置措施，限制人员流动。对可能存在的传染源，以及在疫情潜伏期和发病期间售出的动物及其产品、被污染或可疑污染的物品（包括粪便、垫料、饲料等），立即开展追踪调查，并按规定进行彻底消毒和无害化处理，必要时可以采取封锁、扑杀等措施。</w:t>
      </w:r>
    </w:p>
    <w:p w14:paraId="164B5E12">
      <w:pPr>
        <w:pStyle w:val="3"/>
      </w:pPr>
      <w:bookmarkStart w:id="1253" w:name="_Toc25392"/>
      <w:r>
        <w:rPr>
          <w:rFonts w:hint="eastAsia"/>
        </w:rPr>
        <w:t>分级响应</w:t>
      </w:r>
      <w:bookmarkEnd w:id="1253"/>
    </w:p>
    <w:p w14:paraId="29720F8C">
      <w:pPr>
        <w:ind w:firstLine="632"/>
      </w:pPr>
      <w:r>
        <w:rPr>
          <w:rFonts w:hint="eastAsia"/>
        </w:rPr>
        <w:t>县级响应由低到高设定Ⅲ级响应、Ⅱ级响应、Ⅰ级3个响应等级。重大动物疫情发生后，依据响应条件，启动相应县级响应。</w:t>
      </w:r>
    </w:p>
    <w:p w14:paraId="11C7D5B8">
      <w:pPr>
        <w:pStyle w:val="4"/>
        <w:numPr>
          <w:ilvl w:val="2"/>
          <w:numId w:val="219"/>
        </w:numPr>
        <w:tabs>
          <w:tab w:val="left" w:pos="0"/>
        </w:tabs>
        <w:rPr>
          <w:rFonts w:ascii="仿宋_GB2312" w:hAnsi="仿宋_GB2312" w:eastAsia="仿宋_GB2312" w:cs="仿宋_GB2312"/>
        </w:rPr>
      </w:pPr>
      <w:r>
        <w:rPr>
          <w:rFonts w:hint="eastAsia" w:ascii="仿宋_GB2312" w:hAnsi="仿宋_GB2312" w:eastAsia="仿宋_GB2312" w:cs="仿宋_GB2312"/>
        </w:rPr>
        <w:t>Ⅲ级应急响应</w:t>
      </w:r>
    </w:p>
    <w:p w14:paraId="1FD95FE8">
      <w:pPr>
        <w:pStyle w:val="5"/>
        <w:numPr>
          <w:ilvl w:val="3"/>
          <w:numId w:val="219"/>
        </w:numPr>
      </w:pPr>
      <w:r>
        <w:rPr>
          <w:rFonts w:hint="eastAsia"/>
        </w:rPr>
        <w:t>启动条件</w:t>
      </w:r>
    </w:p>
    <w:p w14:paraId="54FA43D5">
      <w:pPr>
        <w:ind w:firstLine="632"/>
      </w:pPr>
      <w:r>
        <w:rPr>
          <w:rFonts w:hint="eastAsia"/>
        </w:rPr>
        <w:t>当发生或预计发生符合下列条件之一的，经会商研判后启动Ⅲ级响应：</w:t>
      </w:r>
    </w:p>
    <w:p w14:paraId="7F20C92C">
      <w:pPr>
        <w:numPr>
          <w:ilvl w:val="0"/>
          <w:numId w:val="94"/>
        </w:numPr>
        <w:ind w:firstLine="632"/>
      </w:pPr>
      <w:r>
        <w:rPr>
          <w:rFonts w:hint="eastAsia"/>
        </w:rPr>
        <w:t>高致病性禽流感在21日内，3个以下乡镇5个以下行政村发生疫情；</w:t>
      </w:r>
    </w:p>
    <w:p w14:paraId="4636EF2B">
      <w:pPr>
        <w:numPr>
          <w:ilvl w:val="0"/>
          <w:numId w:val="94"/>
        </w:numPr>
        <w:ind w:firstLine="632"/>
      </w:pPr>
      <w:r>
        <w:rPr>
          <w:rFonts w:hint="eastAsia"/>
        </w:rPr>
        <w:t>口蹄疫在14日内，在3个以下乡镇5个以下行政村发生疫情；</w:t>
      </w:r>
    </w:p>
    <w:p w14:paraId="271B69F5">
      <w:pPr>
        <w:numPr>
          <w:ilvl w:val="0"/>
          <w:numId w:val="94"/>
        </w:numPr>
        <w:ind w:firstLine="632"/>
      </w:pPr>
      <w:r>
        <w:rPr>
          <w:rFonts w:hint="eastAsia"/>
        </w:rPr>
        <w:t>1个平均潜伏期内，在3个以下乡镇发生高致病性猪蓝耳病、猪瘟、新城疫疫情，或疫点数达到10个以上20个以下；</w:t>
      </w:r>
    </w:p>
    <w:p w14:paraId="17FEFA65">
      <w:pPr>
        <w:numPr>
          <w:ilvl w:val="0"/>
          <w:numId w:val="94"/>
        </w:numPr>
        <w:ind w:firstLine="632"/>
      </w:pPr>
      <w:r>
        <w:rPr>
          <w:rFonts w:hint="eastAsia"/>
        </w:rPr>
        <w:t>1个平均潜伏期内，在3个乡镇发现布鲁氏菌病、结核病、狂犬病、炭疽等二类动物疫病呈暴发流行，或动物发生的人畜共患病引发人感染病例；</w:t>
      </w:r>
    </w:p>
    <w:p w14:paraId="295D5DDB">
      <w:pPr>
        <w:numPr>
          <w:ilvl w:val="0"/>
          <w:numId w:val="94"/>
        </w:numPr>
        <w:ind w:firstLine="632"/>
      </w:pPr>
      <w:r>
        <w:rPr>
          <w:rFonts w:hint="eastAsia"/>
        </w:rPr>
        <w:t>县防治指挥部认定的其他需要启动III级应急响应的情形的。</w:t>
      </w:r>
    </w:p>
    <w:p w14:paraId="316A66B5">
      <w:pPr>
        <w:pStyle w:val="5"/>
        <w:numPr>
          <w:ilvl w:val="3"/>
          <w:numId w:val="219"/>
        </w:numPr>
      </w:pPr>
      <w:r>
        <w:rPr>
          <w:rFonts w:hint="eastAsia"/>
        </w:rPr>
        <w:t>启动程序</w:t>
      </w:r>
    </w:p>
    <w:p w14:paraId="5F680F8F">
      <w:pPr>
        <w:ind w:firstLine="632"/>
      </w:pPr>
      <w:r>
        <w:rPr>
          <w:rFonts w:hint="eastAsia"/>
        </w:rPr>
        <w:t>符合Ⅲ级响应条件时，县防治办主任向总指挥报告后宣布启动Ⅲ级响应。</w:t>
      </w:r>
    </w:p>
    <w:p w14:paraId="26B2513D">
      <w:pPr>
        <w:ind w:firstLine="632"/>
      </w:pPr>
      <w:r>
        <w:rPr>
          <w:rFonts w:hint="eastAsia"/>
        </w:rPr>
        <w:t>县防治办加强对重大动物疫情发生地疫情应急处置工作的督导，及时组织专家对疫情应急处置工作提供技术指导和支持，并向县内有关乡镇发出通报，及时采取预防控制措施，防止疫情扩散。</w:t>
      </w:r>
    </w:p>
    <w:p w14:paraId="53FB3A57">
      <w:pPr>
        <w:pStyle w:val="4"/>
        <w:numPr>
          <w:ilvl w:val="2"/>
          <w:numId w:val="219"/>
        </w:numPr>
        <w:tabs>
          <w:tab w:val="left" w:pos="0"/>
        </w:tabs>
        <w:rPr>
          <w:rFonts w:ascii="仿宋_GB2312" w:hAnsi="仿宋_GB2312" w:eastAsia="仿宋_GB2312" w:cs="仿宋_GB2312"/>
        </w:rPr>
      </w:pPr>
      <w:r>
        <w:rPr>
          <w:rFonts w:hint="eastAsia" w:ascii="仿宋_GB2312" w:hAnsi="仿宋_GB2312" w:eastAsia="仿宋_GB2312" w:cs="仿宋_GB2312"/>
        </w:rPr>
        <w:t>Ⅱ级应急响应</w:t>
      </w:r>
    </w:p>
    <w:p w14:paraId="243F3E68">
      <w:pPr>
        <w:pStyle w:val="5"/>
        <w:numPr>
          <w:ilvl w:val="3"/>
          <w:numId w:val="219"/>
        </w:numPr>
      </w:pPr>
      <w:r>
        <w:rPr>
          <w:rFonts w:hint="eastAsia"/>
        </w:rPr>
        <w:t>启动条件</w:t>
      </w:r>
    </w:p>
    <w:p w14:paraId="60225C8E">
      <w:pPr>
        <w:ind w:firstLine="632"/>
      </w:pPr>
      <w:r>
        <w:rPr>
          <w:rFonts w:hint="eastAsia"/>
        </w:rPr>
        <w:t>当发生或预计发生符合下列条件之一的，经会商研判后启动Ⅱ级响应：</w:t>
      </w:r>
    </w:p>
    <w:p w14:paraId="011D1D6C">
      <w:pPr>
        <w:numPr>
          <w:ilvl w:val="0"/>
          <w:numId w:val="96"/>
        </w:numPr>
        <w:ind w:firstLine="632"/>
      </w:pPr>
      <w:r>
        <w:rPr>
          <w:rFonts w:hint="eastAsia"/>
        </w:rPr>
        <w:t>高致病性禽流感在21日内，全县有3个以上5个以下乡镇，或者5个以上10个以下行政村连片发生疫情，或在县内有5个以上20个以下疫点；</w:t>
      </w:r>
    </w:p>
    <w:p w14:paraId="55E46E6F">
      <w:pPr>
        <w:numPr>
          <w:ilvl w:val="0"/>
          <w:numId w:val="96"/>
        </w:numPr>
        <w:ind w:firstLine="632"/>
      </w:pPr>
      <w:r>
        <w:rPr>
          <w:rFonts w:hint="eastAsia"/>
        </w:rPr>
        <w:t>口蹄疫在14日内，全县有3个以上5个以下乡镇，或者5个以上10个以下行政村连片发生疫情，或者有新的口蹄疫亚型出现并发生疫情；</w:t>
      </w:r>
    </w:p>
    <w:p w14:paraId="21D02715">
      <w:pPr>
        <w:numPr>
          <w:ilvl w:val="0"/>
          <w:numId w:val="96"/>
        </w:numPr>
        <w:ind w:firstLine="632"/>
      </w:pPr>
      <w:r>
        <w:rPr>
          <w:rFonts w:hint="eastAsia"/>
        </w:rPr>
        <w:t>1个平均潜伏期内，全县有3个以上5个以下乡镇发生高致病性猪蓝耳病、猪瘟新城疫疫情，或疫点数达到20个以上30个以下。</w:t>
      </w:r>
    </w:p>
    <w:p w14:paraId="0BF19FFD">
      <w:pPr>
        <w:numPr>
          <w:ilvl w:val="0"/>
          <w:numId w:val="96"/>
        </w:numPr>
        <w:ind w:firstLine="632"/>
      </w:pPr>
      <w:r>
        <w:rPr>
          <w:rFonts w:hint="eastAsia"/>
        </w:rPr>
        <w:t>1个平均潜伏期内，布鲁氏菌病、结核病、狂犬病、炭疽等动物疫病呈暴发流行，波及3个以上5个以下乡镇，或二类动物疫病中的人畜共患病发生多起感染人的病例，并在一定时期内病例数出现暴发性增长；</w:t>
      </w:r>
    </w:p>
    <w:p w14:paraId="0D6F617C">
      <w:pPr>
        <w:numPr>
          <w:ilvl w:val="0"/>
          <w:numId w:val="96"/>
        </w:numPr>
        <w:ind w:firstLine="632"/>
      </w:pPr>
      <w:r>
        <w:rPr>
          <w:rFonts w:hint="eastAsia"/>
        </w:rPr>
        <w:t>在1个乡镇行政区域内出现动物不明原因大规模死亡的；</w:t>
      </w:r>
    </w:p>
    <w:p w14:paraId="4F724FF9">
      <w:pPr>
        <w:numPr>
          <w:ilvl w:val="0"/>
          <w:numId w:val="96"/>
        </w:numPr>
        <w:ind w:firstLine="632"/>
      </w:pPr>
      <w:r>
        <w:rPr>
          <w:rFonts w:hint="eastAsia"/>
        </w:rPr>
        <w:t>县防治指挥部认定的其他需要启动Ⅱ级应急响应的情形。</w:t>
      </w:r>
    </w:p>
    <w:p w14:paraId="47E121DE">
      <w:pPr>
        <w:pStyle w:val="5"/>
        <w:numPr>
          <w:ilvl w:val="3"/>
          <w:numId w:val="219"/>
        </w:numPr>
      </w:pPr>
      <w:r>
        <w:rPr>
          <w:rFonts w:hint="eastAsia"/>
        </w:rPr>
        <w:t>启动程序</w:t>
      </w:r>
    </w:p>
    <w:p w14:paraId="40F670A4">
      <w:pPr>
        <w:ind w:firstLine="632"/>
      </w:pPr>
      <w:r>
        <w:rPr>
          <w:rFonts w:hint="eastAsia"/>
        </w:rPr>
        <w:t>符合Ⅱ级响应条件时，县防治办主任向总指挥报告，由总指挥宣布启动Ⅱ级响应。</w:t>
      </w:r>
    </w:p>
    <w:p w14:paraId="38DB7C74">
      <w:pPr>
        <w:numPr>
          <w:ilvl w:val="0"/>
          <w:numId w:val="97"/>
        </w:numPr>
        <w:ind w:firstLine="632"/>
      </w:pPr>
      <w:r>
        <w:rPr>
          <w:rFonts w:hint="eastAsia"/>
        </w:rPr>
        <w:t>县防治指挥部组织疫情分析会议，向疫区派出工作组指导工作，并向县委、县政府、市农业农村局报告有关情况。</w:t>
      </w:r>
    </w:p>
    <w:p w14:paraId="2DCA7EBB">
      <w:pPr>
        <w:numPr>
          <w:ilvl w:val="0"/>
          <w:numId w:val="97"/>
        </w:numPr>
        <w:ind w:firstLine="632"/>
      </w:pPr>
      <w:r>
        <w:rPr>
          <w:rFonts w:hint="eastAsia"/>
        </w:rPr>
        <w:t>县防治办加强值班，密切监视疫情发展变化，并派专家组赴疫区组织指导疫情处置。</w:t>
      </w:r>
    </w:p>
    <w:p w14:paraId="46A8C45D">
      <w:pPr>
        <w:pStyle w:val="4"/>
        <w:numPr>
          <w:ilvl w:val="2"/>
          <w:numId w:val="219"/>
        </w:numPr>
        <w:tabs>
          <w:tab w:val="left" w:pos="0"/>
        </w:tabs>
        <w:rPr>
          <w:rFonts w:ascii="仿宋_GB2312" w:hAnsi="仿宋_GB2312" w:eastAsia="仿宋_GB2312" w:cs="仿宋_GB2312"/>
        </w:rPr>
      </w:pPr>
      <w:r>
        <w:rPr>
          <w:rFonts w:hint="eastAsia" w:ascii="仿宋_GB2312" w:hAnsi="仿宋_GB2312" w:eastAsia="仿宋_GB2312" w:cs="仿宋_GB2312"/>
        </w:rPr>
        <w:t>Ⅰ级应急响应</w:t>
      </w:r>
    </w:p>
    <w:p w14:paraId="5FBE1721">
      <w:pPr>
        <w:pStyle w:val="5"/>
        <w:numPr>
          <w:ilvl w:val="3"/>
          <w:numId w:val="219"/>
        </w:numPr>
      </w:pPr>
      <w:r>
        <w:rPr>
          <w:rFonts w:hint="eastAsia"/>
        </w:rPr>
        <w:t>启动条件</w:t>
      </w:r>
    </w:p>
    <w:p w14:paraId="3D7608E7">
      <w:pPr>
        <w:numPr>
          <w:ilvl w:val="0"/>
          <w:numId w:val="98"/>
        </w:numPr>
        <w:ind w:firstLine="632"/>
      </w:pPr>
      <w:r>
        <w:rPr>
          <w:rFonts w:hint="eastAsia"/>
        </w:rPr>
        <w:t>高致病性禽流感在21日内，有5个以上乡镇或者20个以上行政村连片发生疫情；或与毗邻县的相邻区域有10个以上行政村发生疫情；或含我县在内周边有多个县呈疫情多发态势；</w:t>
      </w:r>
    </w:p>
    <w:p w14:paraId="5AFFC2DE">
      <w:pPr>
        <w:numPr>
          <w:ilvl w:val="0"/>
          <w:numId w:val="98"/>
        </w:numPr>
        <w:ind w:firstLine="632"/>
      </w:pPr>
      <w:r>
        <w:rPr>
          <w:rFonts w:hint="eastAsia"/>
        </w:rPr>
        <w:t>口蹄疫在14日内，有5个以上乡镇或者10个以上行政村连片发生疫情；或含我县在内周边县（市、区）发生严重疫情，且区连片；</w:t>
      </w:r>
    </w:p>
    <w:p w14:paraId="5F451C16">
      <w:pPr>
        <w:numPr>
          <w:ilvl w:val="0"/>
          <w:numId w:val="98"/>
        </w:numPr>
        <w:ind w:firstLine="632"/>
      </w:pPr>
      <w:r>
        <w:rPr>
          <w:rFonts w:hint="eastAsia"/>
        </w:rPr>
        <w:t>1个平均潜伏期内，全县有5个以上乡镇发生高致病性猪蓝耳病、猪瘟、新城疫疫情，或疫点数达到30个以上；</w:t>
      </w:r>
    </w:p>
    <w:p w14:paraId="4794EC7E">
      <w:pPr>
        <w:numPr>
          <w:ilvl w:val="0"/>
          <w:numId w:val="98"/>
        </w:numPr>
        <w:ind w:firstLine="632"/>
      </w:pPr>
      <w:r>
        <w:rPr>
          <w:rFonts w:hint="eastAsia"/>
        </w:rPr>
        <w:t>我县发生高致病性禽流感、口蹄疫、小反刍兽疫、炭疽等高致病性病原微生物菌种、毒种丢失或泄漏事件，造成人员感染；</w:t>
      </w:r>
    </w:p>
    <w:p w14:paraId="1FC1BE7B">
      <w:pPr>
        <w:numPr>
          <w:ilvl w:val="0"/>
          <w:numId w:val="98"/>
        </w:numPr>
        <w:ind w:firstLine="632"/>
      </w:pPr>
      <w:r>
        <w:rPr>
          <w:rFonts w:hint="eastAsia"/>
        </w:rPr>
        <w:t>1个平均潜伏期内，布鲁氏菌病、结核病、狂犬病、炭疽等动物疫病呈暴发流行，波及5个以上乡镇，或二类动物疫病中的人畜共患病发生多起感染人的病例，并在一定时期内病例数出现暴发性增长；</w:t>
      </w:r>
    </w:p>
    <w:p w14:paraId="75C9BC45">
      <w:pPr>
        <w:numPr>
          <w:ilvl w:val="0"/>
          <w:numId w:val="98"/>
        </w:numPr>
        <w:ind w:firstLine="632"/>
      </w:pPr>
      <w:r>
        <w:rPr>
          <w:rFonts w:hint="eastAsia"/>
        </w:rPr>
        <w:t>县防治指挥部认定的其他需要启动工级应急响应的情形。</w:t>
      </w:r>
    </w:p>
    <w:p w14:paraId="20009C5D">
      <w:pPr>
        <w:pStyle w:val="5"/>
        <w:numPr>
          <w:ilvl w:val="3"/>
          <w:numId w:val="219"/>
        </w:numPr>
      </w:pPr>
      <w:r>
        <w:rPr>
          <w:rFonts w:hint="eastAsia"/>
        </w:rPr>
        <w:t>启动程序</w:t>
      </w:r>
    </w:p>
    <w:p w14:paraId="1862ADDD">
      <w:pPr>
        <w:ind w:firstLine="632"/>
      </w:pPr>
      <w:r>
        <w:rPr>
          <w:rFonts w:hint="eastAsia"/>
        </w:rPr>
        <w:t>符合Ⅰ级响应条件时，县防治指挥部总指挥向县委、县政府主要领导请示后宣布启动Ⅰ级响应。</w:t>
      </w:r>
    </w:p>
    <w:p w14:paraId="7E32451E">
      <w:pPr>
        <w:numPr>
          <w:ilvl w:val="0"/>
          <w:numId w:val="99"/>
        </w:numPr>
        <w:ind w:firstLine="632"/>
      </w:pPr>
      <w:r>
        <w:rPr>
          <w:rFonts w:hint="eastAsia"/>
        </w:rPr>
        <w:t>县防治指挥部召开会议，研究应对工作，各成员单位按职责分工做好相应应急处置工作，指挥各乡镇落实应急措施。向县委、县政府、市农业农村局报告有关情况。</w:t>
      </w:r>
    </w:p>
    <w:p w14:paraId="4B7E65E2">
      <w:pPr>
        <w:numPr>
          <w:ilvl w:val="0"/>
          <w:numId w:val="99"/>
        </w:numPr>
        <w:ind w:firstLine="632"/>
      </w:pPr>
      <w:r>
        <w:rPr>
          <w:rFonts w:hint="eastAsia"/>
        </w:rPr>
        <w:t>县防治指挥部组建现场指挥部，研究制定疫情处置方案，并根据疫情发展态势及时调整方案。</w:t>
      </w:r>
    </w:p>
    <w:p w14:paraId="78ABB352">
      <w:pPr>
        <w:numPr>
          <w:ilvl w:val="0"/>
          <w:numId w:val="99"/>
        </w:numPr>
        <w:ind w:firstLine="632"/>
      </w:pPr>
      <w:r>
        <w:rPr>
          <w:rFonts w:hint="eastAsia"/>
        </w:rPr>
        <w:t>县防治指挥部调运应急物资，组织周边地区做好疫情防控工作，针对性开展防疫知识宣教，增强群众防控意识和自我防护能力，保障商品供应，维护社会稳定。</w:t>
      </w:r>
    </w:p>
    <w:p w14:paraId="0FE08B73">
      <w:pPr>
        <w:pStyle w:val="3"/>
      </w:pPr>
      <w:bookmarkStart w:id="1254" w:name="_Toc22879"/>
      <w:r>
        <w:rPr>
          <w:rFonts w:hint="eastAsia"/>
        </w:rPr>
        <w:t>响应措施</w:t>
      </w:r>
      <w:bookmarkEnd w:id="1254"/>
    </w:p>
    <w:p w14:paraId="5BBE177E">
      <w:pPr>
        <w:ind w:firstLine="632"/>
      </w:pPr>
      <w:r>
        <w:rPr>
          <w:rFonts w:hint="eastAsia"/>
        </w:rPr>
        <w:t>应急响应启动后，县级以上人民政府发布封锁令，对疫区实施封锁。封闭被动物疫病病原体污染的公共饮用水源。扑杀并销毁疫点染疫动物和易感动物及其产品，对病死动物、动物排泄物、被污染饲料、垫料、污水等进行无害化处理，对被污染的物品、用具、动物圈舍、场地进行严格消毒。对疫区按规定扑杀并销毁染疫及疑似染疫动物及其同群动物，销毁染疫及疑似染疫动物产品，对易感动物进行监测，按规定实施紧急免疫接种，对动物圈舍、动物排泄物、被污染饲料、垫料、污水及其他可能受污染的物品、场地进行消毒和无害化处理。对受威胁区的易感动物严格按规定实施紧急免疫接种。关闭规定范围内动物及动物产品交易市场，禁止易感动物进出疫区和相关动物产品运出疫区。设置临时动物防疫监督检查站，对进出疫区的交通工具进行检查和消毒。按国家规定做好信息发布工作。在应急处置过程中，如事态不能得到及时有效控制，应立即向上级指挥部请求支援。待上级指挥部到达后及时移交指挥权，配合做好相关处置工作。</w:t>
      </w:r>
    </w:p>
    <w:p w14:paraId="27C1A85F">
      <w:pPr>
        <w:pStyle w:val="3"/>
      </w:pPr>
      <w:bookmarkStart w:id="1255" w:name="_Toc8170"/>
      <w:r>
        <w:rPr>
          <w:rFonts w:hint="eastAsia"/>
        </w:rPr>
        <w:t>安全防护</w:t>
      </w:r>
      <w:bookmarkEnd w:id="1255"/>
    </w:p>
    <w:p w14:paraId="6C4EBB26">
      <w:pPr>
        <w:ind w:firstLine="632"/>
      </w:pPr>
      <w:r>
        <w:rPr>
          <w:rFonts w:hint="eastAsia"/>
        </w:rPr>
        <w:t>应急处置人员应当配备防护用品、用具，采取安全防护措施。在处置危害严重的人畜共患病的突发重大动物疫情时，应急处置人员应当根据需要采取疫苗接种、配备特种防护服等特殊防护措施，确保应急处置人员的安全。</w:t>
      </w:r>
    </w:p>
    <w:p w14:paraId="43E9B620">
      <w:pPr>
        <w:pStyle w:val="3"/>
      </w:pPr>
      <w:bookmarkStart w:id="1256" w:name="_Toc9202"/>
      <w:r>
        <w:rPr>
          <w:rFonts w:hint="eastAsia"/>
        </w:rPr>
        <w:t>响应终止</w:t>
      </w:r>
      <w:bookmarkEnd w:id="1256"/>
    </w:p>
    <w:p w14:paraId="2CAD01A7">
      <w:pPr>
        <w:ind w:firstLine="632"/>
      </w:pPr>
      <w:r>
        <w:rPr>
          <w:rFonts w:hint="eastAsia"/>
        </w:rPr>
        <w:t>突发重大动物疫情应急处置工作结束，或相关威胁和危害得到控制、消除后，由启动应急响应的指挥部宣布结束应急响应。</w:t>
      </w:r>
    </w:p>
    <w:p w14:paraId="4F33E144">
      <w:pPr>
        <w:pStyle w:val="2"/>
        <w:numPr>
          <w:ilvl w:val="0"/>
          <w:numId w:val="219"/>
        </w:numPr>
        <w:tabs>
          <w:tab w:val="left" w:pos="0"/>
        </w:tabs>
        <w:rPr>
          <w:sz w:val="32"/>
          <w:szCs w:val="32"/>
        </w:rPr>
      </w:pPr>
      <w:bookmarkStart w:id="1257" w:name="_Toc22547"/>
      <w:r>
        <w:rPr>
          <w:rFonts w:hint="eastAsia"/>
          <w:sz w:val="32"/>
          <w:szCs w:val="32"/>
        </w:rPr>
        <w:t>后期处置</w:t>
      </w:r>
      <w:bookmarkEnd w:id="1257"/>
    </w:p>
    <w:p w14:paraId="7511E7E2">
      <w:pPr>
        <w:pStyle w:val="3"/>
      </w:pPr>
      <w:bookmarkStart w:id="1258" w:name="_Toc25976"/>
      <w:r>
        <w:rPr>
          <w:rFonts w:hint="eastAsia"/>
        </w:rPr>
        <w:t>疫情评估</w:t>
      </w:r>
      <w:bookmarkEnd w:id="1258"/>
    </w:p>
    <w:p w14:paraId="0E8CDB2B">
      <w:pPr>
        <w:ind w:firstLine="632"/>
      </w:pPr>
      <w:r>
        <w:rPr>
          <w:rFonts w:hint="eastAsia"/>
        </w:rPr>
        <w:t>突发重大动物疫情扑灭后，县防治指挥部组织有关单位和人员对突发重大动物疫情的处置情况进行评估。评估内容包括：疫情基本情况和发生的经过，现场调查和实验室检测结果，疫情发生主要原因的分析和结论，疫情处置经过，采取的防治措施和效果，应急处置过程中存在的问题和困难，以及根据本次疫情的暴发流行原因、防治工作中存在的问题和困难提出改进建议和应对措施。</w:t>
      </w:r>
    </w:p>
    <w:p w14:paraId="2FD72632">
      <w:pPr>
        <w:pStyle w:val="3"/>
      </w:pPr>
      <w:bookmarkStart w:id="1259" w:name="_Toc16543"/>
      <w:r>
        <w:rPr>
          <w:rFonts w:hint="eastAsia"/>
        </w:rPr>
        <w:t>补偿</w:t>
      </w:r>
      <w:bookmarkEnd w:id="1259"/>
    </w:p>
    <w:p w14:paraId="640B2AAD">
      <w:pPr>
        <w:ind w:firstLine="632"/>
      </w:pPr>
      <w:r>
        <w:rPr>
          <w:rFonts w:hint="eastAsia"/>
        </w:rPr>
        <w:t>因扑灭或者防治重大动物疫情受到经济损失的，县级以上人民政府应当在应急响应终止后，依照国家和省、市、县有关规定予以补偿。单位和个人的物资、运输工具以及相关设施、设备被征集使用的，按规定及时归还并给予合理补偿。</w:t>
      </w:r>
    </w:p>
    <w:p w14:paraId="6E7F41F4">
      <w:pPr>
        <w:pStyle w:val="3"/>
      </w:pPr>
      <w:bookmarkStart w:id="1260" w:name="_Toc25364"/>
      <w:r>
        <w:rPr>
          <w:rFonts w:hint="eastAsia"/>
        </w:rPr>
        <w:t>抚恤和补助</w:t>
      </w:r>
      <w:bookmarkEnd w:id="1260"/>
    </w:p>
    <w:p w14:paraId="7F3E4FB3">
      <w:pPr>
        <w:ind w:firstLine="632"/>
      </w:pPr>
      <w:r>
        <w:rPr>
          <w:rFonts w:hint="eastAsia"/>
        </w:rPr>
        <w:t>对因参与应急处置工作致病、致残、死亡的人员，按照国家和省、市、县有关规定，给予相应的抚恤和补助。</w:t>
      </w:r>
    </w:p>
    <w:p w14:paraId="75CEE415">
      <w:pPr>
        <w:pStyle w:val="3"/>
      </w:pPr>
      <w:bookmarkStart w:id="1261" w:name="_Toc26146"/>
      <w:r>
        <w:rPr>
          <w:rFonts w:hint="eastAsia"/>
        </w:rPr>
        <w:t>恢复生产</w:t>
      </w:r>
      <w:bookmarkEnd w:id="1261"/>
    </w:p>
    <w:p w14:paraId="42675C32">
      <w:pPr>
        <w:ind w:firstLine="632"/>
      </w:pPr>
      <w:r>
        <w:rPr>
          <w:rFonts w:hint="eastAsia"/>
        </w:rPr>
        <w:t>突发重大动物疫情应急处置工作结束后，要及时取消贸易限制及流通控制等限制性措施。根据相应动物疫病防治技术规范要求，对疫点和疫区进行持续监测，符合要求的，方可重新引进动物，恢复生产。</w:t>
      </w:r>
    </w:p>
    <w:p w14:paraId="2D087FE5">
      <w:pPr>
        <w:pStyle w:val="2"/>
        <w:numPr>
          <w:ilvl w:val="0"/>
          <w:numId w:val="219"/>
        </w:numPr>
        <w:tabs>
          <w:tab w:val="left" w:pos="0"/>
        </w:tabs>
        <w:rPr>
          <w:sz w:val="32"/>
          <w:szCs w:val="32"/>
        </w:rPr>
      </w:pPr>
      <w:bookmarkStart w:id="1262" w:name="_Toc19236"/>
      <w:r>
        <w:rPr>
          <w:rFonts w:hint="eastAsia"/>
          <w:sz w:val="32"/>
          <w:szCs w:val="32"/>
        </w:rPr>
        <w:t>保障措施</w:t>
      </w:r>
      <w:bookmarkEnd w:id="1262"/>
    </w:p>
    <w:p w14:paraId="501FBF7F">
      <w:pPr>
        <w:pStyle w:val="3"/>
      </w:pPr>
      <w:bookmarkStart w:id="1263" w:name="_Toc2383"/>
      <w:r>
        <w:rPr>
          <w:rFonts w:hint="eastAsia"/>
        </w:rPr>
        <w:t>应急队伍保障</w:t>
      </w:r>
      <w:bookmarkEnd w:id="1263"/>
    </w:p>
    <w:p w14:paraId="7AA6D39E">
      <w:pPr>
        <w:ind w:firstLine="632"/>
      </w:pPr>
      <w:r>
        <w:rPr>
          <w:rFonts w:hint="eastAsia"/>
        </w:rPr>
        <w:t>各级人民政府要建立突发重大动物疫情应急处置队伍，由农业农村、畜牧兽医、卫生健康、林业、公安、市场监督管理等部门人员组成，保持相对固定，并定期进行演练，增强对动物疫情快速处置能力。</w:t>
      </w:r>
    </w:p>
    <w:p w14:paraId="0C89FFED">
      <w:pPr>
        <w:pStyle w:val="3"/>
      </w:pPr>
      <w:r>
        <w:rPr>
          <w:rFonts w:hint="eastAsia"/>
        </w:rPr>
        <w:t xml:space="preserve"> </w:t>
      </w:r>
      <w:bookmarkStart w:id="1264" w:name="_Toc8234"/>
      <w:r>
        <w:rPr>
          <w:rFonts w:hint="eastAsia"/>
        </w:rPr>
        <w:t>交通运输保障</w:t>
      </w:r>
      <w:bookmarkEnd w:id="1264"/>
    </w:p>
    <w:p w14:paraId="1AFA2899">
      <w:pPr>
        <w:ind w:firstLine="632"/>
      </w:pPr>
      <w:r>
        <w:rPr>
          <w:rFonts w:hint="eastAsia"/>
        </w:rPr>
        <w:t>公路交通部门保障应急处置人员以及疫苗、消毒药品、器械等应急物资和有关样本的优先通行。</w:t>
      </w:r>
    </w:p>
    <w:p w14:paraId="4B79C94C">
      <w:pPr>
        <w:pStyle w:val="3"/>
      </w:pPr>
      <w:bookmarkStart w:id="1265" w:name="_Toc23733"/>
      <w:r>
        <w:rPr>
          <w:rFonts w:hint="eastAsia"/>
        </w:rPr>
        <w:t>医疗卫生保障</w:t>
      </w:r>
      <w:bookmarkEnd w:id="1265"/>
    </w:p>
    <w:p w14:paraId="2B109C91">
      <w:pPr>
        <w:ind w:firstLine="632"/>
      </w:pPr>
      <w:r>
        <w:rPr>
          <w:rFonts w:hint="eastAsia"/>
        </w:rPr>
        <w:t>卫生健康部门负责开展人畜共患病的人群间监测，会同畜牧兽医管理部门会商研判和联合防治。</w:t>
      </w:r>
    </w:p>
    <w:p w14:paraId="6041515D">
      <w:pPr>
        <w:pStyle w:val="3"/>
      </w:pPr>
      <w:bookmarkStart w:id="1266" w:name="_Toc1069"/>
      <w:r>
        <w:rPr>
          <w:rFonts w:hint="eastAsia"/>
        </w:rPr>
        <w:t>治安保障</w:t>
      </w:r>
      <w:bookmarkEnd w:id="1266"/>
    </w:p>
    <w:p w14:paraId="0F6E0450">
      <w:pPr>
        <w:ind w:firstLine="632"/>
      </w:pPr>
      <w:r>
        <w:rPr>
          <w:rFonts w:hint="eastAsia"/>
        </w:rPr>
        <w:t>公安部门、武警部队要协助有关部门做好疫区封锁和强制扑杀工作，维护疫区社会治安秩序。</w:t>
      </w:r>
    </w:p>
    <w:p w14:paraId="76BEA39C">
      <w:pPr>
        <w:pStyle w:val="3"/>
      </w:pPr>
      <w:r>
        <w:rPr>
          <w:rFonts w:hint="eastAsia"/>
        </w:rPr>
        <w:t xml:space="preserve"> </w:t>
      </w:r>
      <w:bookmarkStart w:id="1267" w:name="_Toc5421"/>
      <w:r>
        <w:rPr>
          <w:rFonts w:hint="eastAsia"/>
        </w:rPr>
        <w:t>物资保障</w:t>
      </w:r>
      <w:bookmarkEnd w:id="1267"/>
    </w:p>
    <w:p w14:paraId="2929DB67">
      <w:pPr>
        <w:ind w:firstLine="632"/>
      </w:pPr>
      <w:r>
        <w:rPr>
          <w:rFonts w:hint="eastAsia"/>
        </w:rPr>
        <w:t>县、乡两级人民政府应建立紧急防疫物资储备库，储备足够的药品、疫苗、诊断试剂、器械、防护用品、交通及通信工具等。</w:t>
      </w:r>
    </w:p>
    <w:p w14:paraId="2039D16A">
      <w:pPr>
        <w:pStyle w:val="3"/>
      </w:pPr>
      <w:bookmarkStart w:id="1268" w:name="_Toc12259"/>
      <w:r>
        <w:rPr>
          <w:rFonts w:hint="eastAsia"/>
        </w:rPr>
        <w:t>经费保障</w:t>
      </w:r>
      <w:bookmarkEnd w:id="1268"/>
    </w:p>
    <w:p w14:paraId="3E6A5132">
      <w:pPr>
        <w:ind w:firstLine="632"/>
      </w:pPr>
      <w:r>
        <w:rPr>
          <w:rFonts w:hint="eastAsia"/>
        </w:rPr>
        <w:t>县、乡两级人民政府按照财政分级负担的原则，为突发重大动物疫情应急处置工作提供资金保障。具体补助标准和管理办法按国家及省、市、县有关规定执行。</w:t>
      </w:r>
    </w:p>
    <w:p w14:paraId="3B2235C6">
      <w:pPr>
        <w:pStyle w:val="3"/>
      </w:pPr>
      <w:bookmarkStart w:id="1269" w:name="_Toc2764"/>
      <w:r>
        <w:rPr>
          <w:rFonts w:hint="eastAsia"/>
        </w:rPr>
        <w:t>技术保障</w:t>
      </w:r>
      <w:bookmarkEnd w:id="1269"/>
    </w:p>
    <w:p w14:paraId="1C54AF92">
      <w:pPr>
        <w:ind w:firstLine="632"/>
      </w:pPr>
      <w:r>
        <w:rPr>
          <w:rFonts w:hint="eastAsia"/>
        </w:rPr>
        <w:t>县级建立健全兽医检测实验室，配备充足的人员和设备。</w:t>
      </w:r>
    </w:p>
    <w:p w14:paraId="04D4FFC4">
      <w:pPr>
        <w:pStyle w:val="3"/>
      </w:pPr>
      <w:bookmarkStart w:id="1270" w:name="_Toc31842"/>
      <w:r>
        <w:rPr>
          <w:rFonts w:hint="eastAsia"/>
        </w:rPr>
        <w:t>宣传教育</w:t>
      </w:r>
      <w:bookmarkEnd w:id="1270"/>
    </w:p>
    <w:p w14:paraId="45BCD2D3">
      <w:pPr>
        <w:ind w:firstLine="632"/>
      </w:pPr>
      <w:r>
        <w:rPr>
          <w:rFonts w:hint="eastAsia"/>
        </w:rPr>
        <w:t>县、乡两级对社会公众广泛开展突发动物疫情应急知识的普及教育，宣传动物防疫科普知识。</w:t>
      </w:r>
    </w:p>
    <w:p w14:paraId="22291777">
      <w:pPr>
        <w:pStyle w:val="3"/>
      </w:pPr>
      <w:bookmarkStart w:id="1271" w:name="_Toc22107"/>
      <w:r>
        <w:rPr>
          <w:rFonts w:hint="eastAsia"/>
        </w:rPr>
        <w:t>培训和演练</w:t>
      </w:r>
      <w:bookmarkEnd w:id="1271"/>
    </w:p>
    <w:p w14:paraId="55F666B4">
      <w:pPr>
        <w:ind w:firstLine="632"/>
      </w:pPr>
      <w:r>
        <w:rPr>
          <w:rFonts w:hint="eastAsia"/>
        </w:rPr>
        <w:t>县、乡两级指挥部要对动物疫情处置人员进行系统培训；根据需要开展演练，提高突发动物疫情应急处置能力。</w:t>
      </w:r>
    </w:p>
    <w:p w14:paraId="69286413">
      <w:pPr>
        <w:pStyle w:val="2"/>
        <w:numPr>
          <w:ilvl w:val="0"/>
          <w:numId w:val="219"/>
        </w:numPr>
        <w:tabs>
          <w:tab w:val="left" w:pos="0"/>
        </w:tabs>
        <w:rPr>
          <w:sz w:val="32"/>
          <w:szCs w:val="32"/>
        </w:rPr>
      </w:pPr>
      <w:bookmarkStart w:id="1272" w:name="_Toc23344"/>
      <w:r>
        <w:rPr>
          <w:rFonts w:hint="eastAsia"/>
          <w:sz w:val="32"/>
          <w:szCs w:val="32"/>
        </w:rPr>
        <w:t>附则</w:t>
      </w:r>
      <w:bookmarkEnd w:id="1272"/>
    </w:p>
    <w:p w14:paraId="31E8676B">
      <w:pPr>
        <w:pStyle w:val="3"/>
      </w:pPr>
      <w:bookmarkStart w:id="1273" w:name="_Toc30628"/>
      <w:r>
        <w:rPr>
          <w:rFonts w:hint="eastAsia"/>
        </w:rPr>
        <w:t>名词术语</w:t>
      </w:r>
      <w:bookmarkEnd w:id="1273"/>
    </w:p>
    <w:p w14:paraId="30434690">
      <w:pPr>
        <w:numPr>
          <w:ilvl w:val="0"/>
          <w:numId w:val="100"/>
        </w:numPr>
        <w:ind w:firstLine="632"/>
      </w:pPr>
      <w:r>
        <w:rPr>
          <w:rFonts w:hint="eastAsia"/>
        </w:rPr>
        <w:t>重大动物疫情：是指陆生、水生动物突然发生重大疫病，且迅速传播，导致动物发病率或者死亡率高，给养殖业生产安全造成严重危害，或者可能对人民身体健康与生命安全造成危害的，具有重要经济社会影响和公共卫生意义。</w:t>
      </w:r>
    </w:p>
    <w:p w14:paraId="501E58DC">
      <w:pPr>
        <w:numPr>
          <w:ilvl w:val="0"/>
          <w:numId w:val="100"/>
        </w:numPr>
        <w:ind w:firstLine="632"/>
      </w:pPr>
      <w:r>
        <w:rPr>
          <w:rFonts w:hint="eastAsia"/>
        </w:rPr>
        <w:t>我国尚未发现的动物疫病：是指疯牛病、非洲马瘟等在其他国家和地区已经发现，在我国尚未发生过的动物疫病。</w:t>
      </w:r>
    </w:p>
    <w:p w14:paraId="01A4335C">
      <w:pPr>
        <w:numPr>
          <w:ilvl w:val="0"/>
          <w:numId w:val="100"/>
        </w:numPr>
        <w:ind w:firstLine="632"/>
      </w:pPr>
      <w:r>
        <w:rPr>
          <w:rFonts w:hint="eastAsia"/>
        </w:rPr>
        <w:t>我国已消灭的动物疫病：是指牛瘟、牛肺疫等在我国曾发生过，但已消灭净化的动物疫病。</w:t>
      </w:r>
    </w:p>
    <w:p w14:paraId="618D68F1">
      <w:pPr>
        <w:numPr>
          <w:ilvl w:val="0"/>
          <w:numId w:val="100"/>
        </w:numPr>
        <w:ind w:firstLine="632"/>
      </w:pPr>
      <w:r>
        <w:rPr>
          <w:rFonts w:hint="eastAsia"/>
        </w:rPr>
        <w:t>暴发：是指在一定区域，短时间内发生波及范围广泛、出现大量患病动物或死亡病例，其发病率远远超过常年的发病水平。</w:t>
      </w:r>
    </w:p>
    <w:p w14:paraId="3C2A975D">
      <w:pPr>
        <w:numPr>
          <w:ilvl w:val="0"/>
          <w:numId w:val="100"/>
        </w:numPr>
        <w:ind w:firstLine="632"/>
      </w:pPr>
      <w:r>
        <w:rPr>
          <w:rFonts w:hint="eastAsia"/>
        </w:rPr>
        <w:t>疫点：患病动物所在的地点划定为疫点，疫点一般是指患病畜禽所在的畜禽场（户）或其他有关屠宰、经营单位。</w:t>
      </w:r>
    </w:p>
    <w:p w14:paraId="7EB0CF47">
      <w:pPr>
        <w:numPr>
          <w:ilvl w:val="0"/>
          <w:numId w:val="100"/>
        </w:numPr>
        <w:ind w:firstLine="632"/>
      </w:pPr>
      <w:r>
        <w:rPr>
          <w:rFonts w:hint="eastAsia"/>
        </w:rPr>
        <w:t>疫区：以疫点为中心的一定范围内的区域划定为疫区，疫区划分时注意考虑当地的饲养环境、天然屏障（如河流、山脉）和交通等因素。</w:t>
      </w:r>
    </w:p>
    <w:p w14:paraId="26952F44">
      <w:pPr>
        <w:numPr>
          <w:ilvl w:val="0"/>
          <w:numId w:val="100"/>
        </w:numPr>
        <w:ind w:firstLine="632"/>
      </w:pPr>
      <w:r>
        <w:rPr>
          <w:rFonts w:hint="eastAsia"/>
        </w:rPr>
        <w:t>受威胁区：疫区外一定范围内的区域划定为受威胁区。</w:t>
      </w:r>
    </w:p>
    <w:p w14:paraId="5C8C6271">
      <w:pPr>
        <w:pStyle w:val="3"/>
        <w:tabs>
          <w:tab w:val="left" w:pos="0"/>
        </w:tabs>
        <w:rPr>
          <w:rFonts w:ascii="Times New Roman" w:hAnsi="Times New Roman"/>
          <w:szCs w:val="32"/>
        </w:rPr>
      </w:pPr>
      <w:bookmarkStart w:id="1274" w:name="_Toc14304"/>
      <w:r>
        <w:rPr>
          <w:rFonts w:hint="eastAsia" w:ascii="Times New Roman" w:hAnsi="Times New Roman"/>
          <w:szCs w:val="32"/>
        </w:rPr>
        <w:t>预案管理</w:t>
      </w:r>
      <w:bookmarkEnd w:id="1274"/>
    </w:p>
    <w:p w14:paraId="0FE238B7">
      <w:pPr>
        <w:ind w:firstLine="632"/>
      </w:pPr>
      <w:r>
        <w:rPr>
          <w:rFonts w:hint="eastAsia"/>
        </w:rPr>
        <w:t>县防治办根据突发重大动物疫情的形势变化及实施中发现的问题，对预案进行评估，符合修订情形的，及时组织对预案进行修订和完善。预案印发后，县防治办应及时召开成员单位全体会议，学习熟悉预案，明确各有关部门、单位的职责，研究协调联动事项，同时做好应急预案的编制与印发。预案中所涉及的单位，应根据应急预案结合本单位在应急预案中承担的职责编制本单位相应配套的应急联动方案，并报县防治办备案。</w:t>
      </w:r>
    </w:p>
    <w:p w14:paraId="7A3CE962">
      <w:pPr>
        <w:pStyle w:val="3"/>
        <w:tabs>
          <w:tab w:val="left" w:pos="0"/>
        </w:tabs>
        <w:rPr>
          <w:rFonts w:ascii="Times New Roman" w:hAnsi="Times New Roman"/>
          <w:szCs w:val="32"/>
        </w:rPr>
      </w:pPr>
      <w:bookmarkStart w:id="1275" w:name="_Toc13077"/>
      <w:r>
        <w:rPr>
          <w:rFonts w:hint="eastAsia" w:ascii="Times New Roman" w:hAnsi="Times New Roman"/>
          <w:szCs w:val="32"/>
        </w:rPr>
        <w:t>奖励与责任</w:t>
      </w:r>
      <w:bookmarkEnd w:id="1275"/>
    </w:p>
    <w:p w14:paraId="56C23AB7">
      <w:pPr>
        <w:ind w:firstLine="632"/>
      </w:pPr>
      <w:r>
        <w:rPr>
          <w:rFonts w:hint="eastAsia"/>
        </w:rPr>
        <w:t>县防治指挥部对在突发重大动物疫情应急处置工作中做出突出贡献的集体和个人给予表彰和奖励；对玩忽职守、失职渎职并造成严重后果的责任者依法追究责任。</w:t>
      </w:r>
    </w:p>
    <w:p w14:paraId="001BE7ED">
      <w:pPr>
        <w:pStyle w:val="3"/>
        <w:tabs>
          <w:tab w:val="left" w:pos="0"/>
        </w:tabs>
        <w:rPr>
          <w:rFonts w:ascii="Times New Roman" w:hAnsi="Times New Roman"/>
          <w:szCs w:val="32"/>
        </w:rPr>
      </w:pPr>
      <w:bookmarkStart w:id="1276" w:name="_Toc22440"/>
      <w:r>
        <w:rPr>
          <w:rFonts w:hint="eastAsia" w:ascii="Times New Roman" w:hAnsi="Times New Roman"/>
          <w:szCs w:val="32"/>
        </w:rPr>
        <w:t>预案制定与解释</w:t>
      </w:r>
      <w:bookmarkEnd w:id="1276"/>
    </w:p>
    <w:p w14:paraId="4022EC66">
      <w:pPr>
        <w:ind w:firstLine="632"/>
        <w:rPr>
          <w:rFonts w:ascii="Times New Roman" w:hAnsi="Times New Roman"/>
        </w:rPr>
      </w:pPr>
      <w:r>
        <w:rPr>
          <w:rFonts w:hint="eastAsia" w:ascii="Times New Roman" w:hAnsi="Times New Roman"/>
        </w:rPr>
        <w:t>本预案由集贤县重大动物疫病防治指挥部办公室负责解释。</w:t>
      </w:r>
    </w:p>
    <w:p w14:paraId="649885AC">
      <w:pPr>
        <w:pStyle w:val="3"/>
        <w:tabs>
          <w:tab w:val="left" w:pos="0"/>
        </w:tabs>
        <w:rPr>
          <w:rFonts w:ascii="Times New Roman" w:hAnsi="Times New Roman"/>
          <w:szCs w:val="32"/>
        </w:rPr>
      </w:pPr>
      <w:bookmarkStart w:id="1277" w:name="_Toc2440"/>
      <w:r>
        <w:rPr>
          <w:rFonts w:hint="eastAsia" w:ascii="Times New Roman" w:hAnsi="Times New Roman"/>
          <w:szCs w:val="32"/>
        </w:rPr>
        <w:t>预案中“以上”“以下”的含义</w:t>
      </w:r>
      <w:bookmarkEnd w:id="1277"/>
    </w:p>
    <w:p w14:paraId="37460F67">
      <w:pPr>
        <w:ind w:firstLine="632"/>
        <w:rPr>
          <w:rFonts w:ascii="Times New Roman" w:hAnsi="Times New Roman"/>
        </w:rPr>
      </w:pPr>
      <w:r>
        <w:rPr>
          <w:rFonts w:hint="eastAsia" w:ascii="Times New Roman" w:hAnsi="Times New Roman"/>
        </w:rPr>
        <w:t>本预案有关数量的表述中，“以上”包含本数，“以下”不包含本数。</w:t>
      </w:r>
    </w:p>
    <w:p w14:paraId="475C9E8F">
      <w:pPr>
        <w:pStyle w:val="3"/>
        <w:tabs>
          <w:tab w:val="left" w:pos="0"/>
        </w:tabs>
        <w:rPr>
          <w:rFonts w:ascii="Times New Roman" w:hAnsi="Times New Roman"/>
          <w:szCs w:val="32"/>
        </w:rPr>
      </w:pPr>
      <w:bookmarkStart w:id="1278" w:name="_Toc11920"/>
      <w:r>
        <w:rPr>
          <w:rFonts w:hint="eastAsia" w:ascii="Times New Roman" w:hAnsi="Times New Roman"/>
          <w:szCs w:val="32"/>
        </w:rPr>
        <w:t>预案的实施</w:t>
      </w:r>
      <w:bookmarkEnd w:id="1278"/>
    </w:p>
    <w:p w14:paraId="1FFA39A1">
      <w:pPr>
        <w:ind w:firstLine="632"/>
      </w:pPr>
      <w:r>
        <w:rPr>
          <w:rFonts w:hint="eastAsia" w:ascii="Times New Roman" w:hAnsi="Times New Roman"/>
        </w:rPr>
        <w:t>本预案自发布之日起施行</w:t>
      </w:r>
      <w:r>
        <w:rPr>
          <w:rFonts w:hint="eastAsia"/>
        </w:rPr>
        <w:t>。</w:t>
      </w:r>
    </w:p>
    <w:p w14:paraId="461858BB">
      <w:pPr>
        <w:pStyle w:val="2"/>
        <w:numPr>
          <w:ilvl w:val="0"/>
          <w:numId w:val="219"/>
        </w:numPr>
        <w:tabs>
          <w:tab w:val="left" w:pos="0"/>
        </w:tabs>
        <w:rPr>
          <w:sz w:val="32"/>
          <w:szCs w:val="32"/>
        </w:rPr>
      </w:pPr>
      <w:bookmarkStart w:id="1279" w:name="_Toc813"/>
      <w:r>
        <w:rPr>
          <w:sz w:val="32"/>
          <w:szCs w:val="32"/>
        </w:rPr>
        <w:t>附件</w:t>
      </w:r>
      <w:bookmarkEnd w:id="1279"/>
    </w:p>
    <w:p w14:paraId="7CF656C4">
      <w:pPr>
        <w:ind w:firstLine="632"/>
        <w:rPr>
          <w:rFonts w:ascii="Times New Roman" w:hAnsi="Times New Roman"/>
        </w:rPr>
      </w:pPr>
      <w:r>
        <w:rPr>
          <w:rFonts w:hint="eastAsia" w:ascii="Times New Roman" w:hAnsi="Times New Roman"/>
        </w:rPr>
        <w:t>8</w:t>
      </w:r>
      <w:r>
        <w:rPr>
          <w:rFonts w:ascii="Times New Roman" w:hAnsi="Times New Roman"/>
        </w:rPr>
        <w:t>.1 集贤县突发重大动物疫情应急处置工作流程图</w:t>
      </w:r>
    </w:p>
    <w:p w14:paraId="4903FDB2">
      <w:pPr>
        <w:ind w:firstLine="632"/>
        <w:rPr>
          <w:rFonts w:ascii="Times New Roman" w:hAnsi="Times New Roman"/>
        </w:rPr>
      </w:pPr>
    </w:p>
    <w:p w14:paraId="1A046E40">
      <w:pPr>
        <w:ind w:firstLine="632"/>
        <w:rPr>
          <w:rFonts w:ascii="Times New Roman" w:hAnsi="Times New Roman"/>
        </w:rPr>
      </w:pPr>
    </w:p>
    <w:p w14:paraId="3161E233">
      <w:pPr>
        <w:pStyle w:val="61"/>
        <w:ind w:firstLine="412"/>
        <w:sectPr>
          <w:headerReference r:id="rId123" w:type="default"/>
          <w:footerReference r:id="rId125" w:type="default"/>
          <w:headerReference r:id="rId124" w:type="even"/>
          <w:footerReference r:id="rId126" w:type="even"/>
          <w:pgSz w:w="11906" w:h="16838"/>
          <w:pgMar w:top="2154" w:right="1020" w:bottom="1984" w:left="1587" w:header="624" w:footer="850" w:gutter="0"/>
          <w:pgNumType w:start="1"/>
          <w:cols w:space="720" w:num="1"/>
          <w:docGrid w:type="linesAndChars" w:linePitch="579" w:charSpace="-842"/>
        </w:sectPr>
      </w:pPr>
    </w:p>
    <w:p w14:paraId="196D6931">
      <w:pPr>
        <w:pStyle w:val="2"/>
        <w:numPr>
          <w:ilvl w:val="0"/>
          <w:numId w:val="0"/>
        </w:numPr>
        <w:rPr>
          <w:rFonts w:ascii="黑体" w:hAnsi="黑体" w:cs="黑体"/>
          <w:sz w:val="36"/>
          <w:szCs w:val="36"/>
        </w:rPr>
      </w:pPr>
      <w:bookmarkStart w:id="1280" w:name="_Toc7978"/>
      <w:r>
        <w:rPr>
          <w:rFonts w:hint="eastAsia" w:ascii="黑体" w:hAnsi="黑体" w:cs="黑体"/>
          <w:sz w:val="36"/>
          <w:szCs w:val="36"/>
        </w:rPr>
        <w:t>附件1 集贤县突发重大动物疫情应急处置工作流程图</w:t>
      </w:r>
      <w:bookmarkEnd w:id="1280"/>
    </w:p>
    <w:p w14:paraId="2A595169">
      <w:pPr>
        <w:ind w:firstLine="640"/>
      </w:pPr>
    </w:p>
    <w:p w14:paraId="1320E594">
      <w:pPr>
        <w:ind w:firstLine="0" w:firstLineChars="0"/>
        <w:jc w:val="center"/>
      </w:pPr>
      <w:r>
        <w:drawing>
          <wp:inline distT="0" distB="0" distL="114300" distR="114300">
            <wp:extent cx="5372100" cy="7258050"/>
            <wp:effectExtent l="0" t="0" r="0" b="0"/>
            <wp:docPr id="369" name="图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369"/>
                    <pic:cNvPicPr>
                      <a:picLocks noChangeAspect="1"/>
                    </pic:cNvPicPr>
                  </pic:nvPicPr>
                  <pic:blipFill>
                    <a:blip r:embed="rId194"/>
                    <a:stretch>
                      <a:fillRect/>
                    </a:stretch>
                  </pic:blipFill>
                  <pic:spPr>
                    <a:xfrm>
                      <a:off x="0" y="0"/>
                      <a:ext cx="5372100" cy="7258050"/>
                    </a:xfrm>
                    <a:prstGeom prst="rect">
                      <a:avLst/>
                    </a:prstGeom>
                    <a:noFill/>
                    <a:ln>
                      <a:noFill/>
                    </a:ln>
                  </pic:spPr>
                </pic:pic>
              </a:graphicData>
            </a:graphic>
          </wp:inline>
        </w:drawing>
      </w:r>
    </w:p>
    <w:p w14:paraId="4CE4B079">
      <w:pPr>
        <w:pStyle w:val="15"/>
        <w:ind w:left="0" w:leftChars="0" w:firstLine="0" w:firstLineChars="0"/>
        <w:rPr>
          <w:rFonts w:ascii="Times New Roman" w:hAnsi="Times New Roman" w:cs="Times New Roman"/>
        </w:rPr>
        <w:sectPr>
          <w:pgSz w:w="11906" w:h="16838"/>
          <w:pgMar w:top="1080" w:right="1440" w:bottom="1080" w:left="1440" w:header="851" w:footer="992" w:gutter="0"/>
          <w:cols w:space="720" w:num="1"/>
          <w:docGrid w:type="lines" w:linePitch="312" w:charSpace="-842"/>
        </w:sectPr>
      </w:pPr>
    </w:p>
    <w:p w14:paraId="30791DBD">
      <w:pPr>
        <w:spacing w:line="560" w:lineRule="exact"/>
        <w:ind w:firstLine="632"/>
        <w:rPr>
          <w:rFonts w:ascii="Times New Roman" w:hAnsi="Times New Roman" w:cs="Times New Roman"/>
          <w:sz w:val="32"/>
        </w:rPr>
      </w:pPr>
    </w:p>
    <w:p w14:paraId="12EA9785">
      <w:pPr>
        <w:spacing w:line="560" w:lineRule="exact"/>
        <w:ind w:firstLine="632"/>
        <w:rPr>
          <w:rFonts w:ascii="Times New Roman" w:hAnsi="Times New Roman" w:cs="Times New Roman"/>
          <w:sz w:val="32"/>
        </w:rPr>
      </w:pPr>
    </w:p>
    <w:p w14:paraId="425A597C">
      <w:pPr>
        <w:pStyle w:val="13"/>
        <w:ind w:firstLine="632"/>
        <w:rPr>
          <w:rFonts w:ascii="Times New Roman" w:hAnsi="Times New Roman" w:cs="Times New Roman"/>
        </w:rPr>
      </w:pPr>
    </w:p>
    <w:p w14:paraId="6C289A46">
      <w:pPr>
        <w:spacing w:line="560" w:lineRule="exact"/>
        <w:ind w:firstLine="632"/>
        <w:rPr>
          <w:rFonts w:ascii="Times New Roman" w:hAnsi="Times New Roman" w:cs="Times New Roman"/>
          <w:sz w:val="32"/>
        </w:rPr>
      </w:pPr>
    </w:p>
    <w:p w14:paraId="79236DB9">
      <w:pPr>
        <w:ind w:firstLine="0" w:firstLineChars="0"/>
        <w:jc w:val="center"/>
        <w:rPr>
          <w:rFonts w:ascii="Times New Roman" w:hAnsi="Times New Roman" w:eastAsia="方正小标宋简体" w:cs="Times New Roman"/>
          <w:bCs/>
          <w:color w:val="000000"/>
          <w:spacing w:val="-6"/>
          <w:kern w:val="0"/>
          <w:sz w:val="52"/>
          <w:szCs w:val="52"/>
          <w:lang w:bidi="ar"/>
        </w:rPr>
      </w:pPr>
      <w:r>
        <w:rPr>
          <w:rFonts w:ascii="Times New Roman" w:hAnsi="Times New Roman" w:eastAsia="方正小标宋简体" w:cs="Times New Roman"/>
          <w:bCs/>
          <w:color w:val="000000"/>
          <w:spacing w:val="-6"/>
          <w:kern w:val="0"/>
          <w:sz w:val="52"/>
          <w:szCs w:val="52"/>
          <w:lang w:bidi="ar"/>
        </w:rPr>
        <w:t>集贤县处置大规模群体性事件应急预案</w:t>
      </w:r>
    </w:p>
    <w:p w14:paraId="18156C2C">
      <w:pPr>
        <w:ind w:firstLine="0" w:firstLineChars="0"/>
        <w:jc w:val="center"/>
        <w:rPr>
          <w:rFonts w:ascii="Times New Roman" w:hAnsi="Times New Roman" w:eastAsia="方正小标宋简体" w:cs="Times New Roman"/>
          <w:bCs/>
          <w:color w:val="000000"/>
          <w:spacing w:val="-6"/>
          <w:kern w:val="0"/>
          <w:sz w:val="52"/>
          <w:szCs w:val="52"/>
          <w:lang w:bidi="ar"/>
        </w:rPr>
      </w:pPr>
      <w:r>
        <w:rPr>
          <w:rFonts w:hint="eastAsia" w:ascii="仿宋_GB2312" w:hAnsi="仿宋_GB2312" w:cs="仿宋_GB2312"/>
          <w:bCs/>
          <w:sz w:val="48"/>
          <w:szCs w:val="48"/>
        </w:rPr>
        <w:t>（修订稿）</w:t>
      </w:r>
    </w:p>
    <w:p w14:paraId="16407A86">
      <w:pPr>
        <w:pStyle w:val="11"/>
        <w:ind w:firstLine="0" w:firstLineChars="0"/>
        <w:jc w:val="center"/>
        <w:rPr>
          <w:rFonts w:ascii="Times New Roman" w:hAnsi="Times New Roman" w:eastAsia="黑体" w:cs="Times New Roman"/>
          <w:sz w:val="52"/>
          <w:szCs w:val="52"/>
        </w:rPr>
      </w:pPr>
    </w:p>
    <w:p w14:paraId="49578749">
      <w:pPr>
        <w:pStyle w:val="11"/>
        <w:ind w:firstLine="0" w:firstLineChars="0"/>
        <w:jc w:val="center"/>
        <w:rPr>
          <w:rFonts w:ascii="Times New Roman" w:hAnsi="Times New Roman" w:eastAsia="黑体" w:cs="Times New Roman"/>
          <w:sz w:val="52"/>
          <w:szCs w:val="52"/>
        </w:rPr>
      </w:pPr>
    </w:p>
    <w:p w14:paraId="4AB26CDB">
      <w:pPr>
        <w:pStyle w:val="11"/>
        <w:ind w:firstLine="0" w:firstLineChars="0"/>
        <w:jc w:val="center"/>
        <w:rPr>
          <w:rFonts w:ascii="Times New Roman" w:hAnsi="Times New Roman" w:eastAsia="黑体" w:cs="Times New Roman"/>
          <w:sz w:val="52"/>
          <w:szCs w:val="52"/>
        </w:rPr>
      </w:pPr>
    </w:p>
    <w:p w14:paraId="753A7076">
      <w:pPr>
        <w:pStyle w:val="11"/>
        <w:ind w:firstLine="0" w:firstLineChars="0"/>
        <w:jc w:val="center"/>
        <w:rPr>
          <w:rFonts w:ascii="Times New Roman" w:hAnsi="Times New Roman" w:eastAsia="黑体" w:cs="Times New Roman"/>
          <w:sz w:val="52"/>
          <w:szCs w:val="52"/>
        </w:rPr>
      </w:pPr>
    </w:p>
    <w:p w14:paraId="609921F3">
      <w:pPr>
        <w:pStyle w:val="11"/>
        <w:ind w:firstLine="0" w:firstLineChars="0"/>
        <w:jc w:val="center"/>
        <w:rPr>
          <w:rFonts w:ascii="Times New Roman" w:hAnsi="Times New Roman" w:eastAsia="楷体_GB2312" w:cs="Times New Roman"/>
          <w:spacing w:val="-12"/>
          <w:sz w:val="44"/>
          <w:szCs w:val="44"/>
        </w:rPr>
      </w:pPr>
    </w:p>
    <w:p w14:paraId="0D142B51">
      <w:pPr>
        <w:pStyle w:val="11"/>
        <w:ind w:firstLine="0" w:firstLineChars="0"/>
        <w:jc w:val="center"/>
        <w:rPr>
          <w:rFonts w:ascii="Times New Roman" w:hAnsi="Times New Roman" w:eastAsia="楷体_GB2312" w:cs="Times New Roman"/>
          <w:spacing w:val="-12"/>
          <w:sz w:val="44"/>
          <w:szCs w:val="44"/>
        </w:rPr>
      </w:pPr>
    </w:p>
    <w:p w14:paraId="38B60E38">
      <w:pPr>
        <w:pStyle w:val="11"/>
        <w:ind w:firstLine="0" w:firstLineChars="0"/>
        <w:jc w:val="center"/>
        <w:rPr>
          <w:rFonts w:ascii="Times New Roman" w:hAnsi="Times New Roman" w:eastAsia="楷体_GB2312" w:cs="Times New Roman"/>
          <w:spacing w:val="-12"/>
          <w:sz w:val="44"/>
          <w:szCs w:val="44"/>
        </w:rPr>
      </w:pPr>
    </w:p>
    <w:p w14:paraId="1AF7CFF0">
      <w:pPr>
        <w:pStyle w:val="11"/>
        <w:ind w:firstLine="0" w:firstLineChars="0"/>
        <w:jc w:val="center"/>
        <w:rPr>
          <w:rFonts w:ascii="Times New Roman" w:hAnsi="Times New Roman" w:eastAsia="楷体_GB2312" w:cs="Times New Roman"/>
          <w:spacing w:val="-12"/>
          <w:sz w:val="44"/>
          <w:szCs w:val="44"/>
        </w:rPr>
      </w:pPr>
    </w:p>
    <w:p w14:paraId="24C076D2">
      <w:pPr>
        <w:ind w:firstLine="0" w:firstLineChars="0"/>
        <w:jc w:val="center"/>
        <w:rPr>
          <w:rFonts w:ascii="Times New Roman" w:hAnsi="Times New Roman" w:cs="Times New Roman"/>
          <w:bCs/>
          <w:spacing w:val="-6"/>
          <w:sz w:val="36"/>
          <w:szCs w:val="24"/>
          <w:lang w:bidi="ar"/>
        </w:rPr>
      </w:pPr>
      <w:r>
        <w:rPr>
          <w:rFonts w:ascii="Times New Roman" w:hAnsi="Times New Roman" w:cs="Times New Roman"/>
          <w:bCs/>
          <w:spacing w:val="-6"/>
          <w:sz w:val="36"/>
          <w:szCs w:val="24"/>
          <w:lang w:bidi="ar"/>
        </w:rPr>
        <w:t>集贤县人民政府 编制</w:t>
      </w:r>
    </w:p>
    <w:p w14:paraId="0C1BCB1B">
      <w:pPr>
        <w:ind w:firstLine="0" w:firstLineChars="0"/>
        <w:jc w:val="center"/>
        <w:rPr>
          <w:rFonts w:ascii="Times New Roman" w:hAnsi="Times New Roman" w:cs="Times New Roman"/>
          <w:bCs/>
          <w:spacing w:val="-6"/>
          <w:sz w:val="36"/>
          <w:szCs w:val="24"/>
          <w:lang w:bidi="ar"/>
        </w:rPr>
      </w:pPr>
      <w:r>
        <w:rPr>
          <w:rFonts w:ascii="Times New Roman" w:hAnsi="Times New Roman" w:cs="Times New Roman"/>
          <w:bCs/>
          <w:spacing w:val="-6"/>
          <w:sz w:val="36"/>
          <w:szCs w:val="24"/>
          <w:lang w:bidi="ar"/>
        </w:rPr>
        <w:t>2025年5月</w:t>
      </w:r>
    </w:p>
    <w:p w14:paraId="105DBA72">
      <w:pPr>
        <w:spacing w:line="560" w:lineRule="exact"/>
        <w:ind w:firstLine="608"/>
        <w:rPr>
          <w:rFonts w:ascii="Times New Roman" w:hAnsi="Times New Roman" w:cs="Times New Roman"/>
          <w:bCs/>
          <w:spacing w:val="-6"/>
          <w:sz w:val="32"/>
          <w:lang w:bidi="ar"/>
        </w:rPr>
      </w:pPr>
      <w:r>
        <w:rPr>
          <w:rFonts w:ascii="Times New Roman" w:hAnsi="Times New Roman" w:cs="Times New Roman"/>
          <w:bCs/>
          <w:spacing w:val="-6"/>
          <w:sz w:val="32"/>
          <w:lang w:bidi="ar"/>
        </w:rPr>
        <w:br w:type="page"/>
      </w:r>
    </w:p>
    <w:p w14:paraId="3A71A8BD">
      <w:pPr>
        <w:pStyle w:val="42"/>
        <w:rPr>
          <w:rFonts w:ascii="Times New Roman" w:hAnsi="Times New Roman"/>
        </w:rPr>
      </w:pPr>
    </w:p>
    <w:p w14:paraId="591A2B16">
      <w:pPr>
        <w:spacing w:line="560" w:lineRule="exact"/>
        <w:ind w:firstLine="0" w:firstLineChars="0"/>
        <w:jc w:val="center"/>
        <w:rPr>
          <w:rFonts w:ascii="Times New Roman" w:hAnsi="Times New Roman" w:cs="Times New Roman"/>
          <w:b/>
          <w:bCs/>
          <w:sz w:val="32"/>
        </w:rPr>
      </w:pPr>
    </w:p>
    <w:p w14:paraId="459218BF">
      <w:pPr>
        <w:pStyle w:val="29"/>
        <w:rPr>
          <w:rFonts w:ascii="Times New Roman" w:hAnsi="Times New Roman" w:cs="Times New Roman"/>
          <w:sz w:val="36"/>
          <w:szCs w:val="36"/>
        </w:rPr>
        <w:sectPr>
          <w:headerReference r:id="rId127" w:type="default"/>
          <w:footerReference r:id="rId129" w:type="default"/>
          <w:headerReference r:id="rId128" w:type="even"/>
          <w:footerReference r:id="rId130" w:type="even"/>
          <w:pgSz w:w="11906" w:h="16838"/>
          <w:pgMar w:top="2098" w:right="1474" w:bottom="1984" w:left="1587" w:header="624" w:footer="1134" w:gutter="0"/>
          <w:pgNumType w:start="1"/>
          <w:cols w:space="0" w:num="1"/>
          <w:docGrid w:type="linesAndChars" w:linePitch="579" w:charSpace="-842"/>
        </w:sectPr>
      </w:pPr>
    </w:p>
    <w:sdt>
      <w:sdtPr>
        <w:rPr>
          <w:rFonts w:ascii="Times New Roman" w:hAnsi="Times New Roman" w:cs="Times New Roman"/>
          <w:b/>
          <w:bCs/>
          <w:sz w:val="32"/>
        </w:rPr>
        <w:id w:val="147460637"/>
        <w15:color w:val="DBDBDB"/>
        <w:docPartObj>
          <w:docPartGallery w:val="Table of Contents"/>
          <w:docPartUnique/>
        </w:docPartObj>
      </w:sdtPr>
      <w:sdtEndPr>
        <w:rPr>
          <w:rFonts w:ascii="Times New Roman" w:hAnsi="Times New Roman" w:eastAsia="仿宋" w:cs="Times New Roman"/>
          <w:b/>
          <w:bCs/>
          <w:sz w:val="32"/>
        </w:rPr>
      </w:sdtEndPr>
      <w:sdtContent>
        <w:p w14:paraId="6DA8E533">
          <w:pPr>
            <w:spacing w:line="560" w:lineRule="exact"/>
            <w:ind w:firstLine="0" w:firstLineChars="0"/>
            <w:jc w:val="center"/>
            <w:rPr>
              <w:rFonts w:ascii="Times New Roman" w:hAnsi="Times New Roman" w:cs="Times New Roman"/>
              <w:sz w:val="32"/>
            </w:rPr>
          </w:pPr>
          <w:r>
            <w:rPr>
              <w:rFonts w:ascii="Times New Roman" w:hAnsi="Times New Roman" w:cs="Times New Roman"/>
              <w:b/>
              <w:bCs/>
              <w:sz w:val="32"/>
            </w:rPr>
            <w:t>目  录</w:t>
          </w:r>
        </w:p>
        <w:p w14:paraId="5CC9E253">
          <w:pPr>
            <w:pStyle w:val="18"/>
            <w:rPr>
              <w:rFonts w:ascii="Times New Roman" w:hAnsi="Times New Roman" w:cs="Times New Roman"/>
              <w:sz w:val="32"/>
            </w:rPr>
          </w:pPr>
          <w:r>
            <w:rPr>
              <w:rFonts w:ascii="Times New Roman" w:hAnsi="Times New Roman" w:cs="Times New Roman"/>
              <w:sz w:val="32"/>
            </w:rPr>
            <w:fldChar w:fldCharType="begin"/>
          </w:r>
          <w:r>
            <w:rPr>
              <w:rFonts w:ascii="Times New Roman" w:hAnsi="Times New Roman" w:cs="Times New Roman"/>
              <w:sz w:val="32"/>
            </w:rPr>
            <w:instrText xml:space="preserve">TOC \o "1-2" \h \u </w:instrText>
          </w:r>
          <w:r>
            <w:rPr>
              <w:rFonts w:ascii="Times New Roman" w:hAnsi="Times New Roman" w:cs="Times New Roman"/>
              <w:sz w:val="32"/>
            </w:rPr>
            <w:fldChar w:fldCharType="separate"/>
          </w:r>
          <w:r>
            <w:fldChar w:fldCharType="begin"/>
          </w:r>
          <w:r>
            <w:instrText xml:space="preserve"> HYPERLINK \l "_Toc2509" </w:instrText>
          </w:r>
          <w:r>
            <w:fldChar w:fldCharType="separate"/>
          </w:r>
          <w:r>
            <w:rPr>
              <w:rFonts w:ascii="Times New Roman" w:hAnsi="Times New Roman" w:eastAsia="仿宋" w:cs="Times New Roman"/>
              <w:sz w:val="32"/>
            </w:rPr>
            <w:t xml:space="preserve">1 </w:t>
          </w:r>
          <w:r>
            <w:rPr>
              <w:rFonts w:ascii="Times New Roman" w:hAnsi="Times New Roman" w:eastAsia="黑体" w:cs="Times New Roman"/>
              <w:sz w:val="32"/>
            </w:rPr>
            <w:t>总则</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_Toc2509 \h </w:instrText>
          </w:r>
          <w:r>
            <w:rPr>
              <w:rFonts w:ascii="Times New Roman" w:hAnsi="Times New Roman" w:cs="Times New Roman"/>
              <w:sz w:val="32"/>
            </w:rPr>
            <w:fldChar w:fldCharType="separate"/>
          </w:r>
          <w:r>
            <w:rPr>
              <w:rFonts w:ascii="Times New Roman" w:hAnsi="Times New Roman" w:cs="Times New Roman"/>
              <w:sz w:val="32"/>
            </w:rPr>
            <w:t>1</w:t>
          </w:r>
          <w:r>
            <w:rPr>
              <w:rFonts w:ascii="Times New Roman" w:hAnsi="Times New Roman" w:cs="Times New Roman"/>
              <w:sz w:val="32"/>
            </w:rPr>
            <w:fldChar w:fldCharType="end"/>
          </w:r>
          <w:r>
            <w:rPr>
              <w:rFonts w:ascii="Times New Roman" w:hAnsi="Times New Roman" w:cs="Times New Roman"/>
              <w:sz w:val="32"/>
            </w:rPr>
            <w:fldChar w:fldCharType="end"/>
          </w:r>
        </w:p>
        <w:p w14:paraId="35B58235">
          <w:pPr>
            <w:pStyle w:val="19"/>
            <w:tabs>
              <w:tab w:val="right" w:leader="dot" w:pos="8845"/>
            </w:tabs>
            <w:ind w:firstLine="552"/>
            <w:rPr>
              <w:rFonts w:ascii="Times New Roman" w:hAnsi="Times New Roman" w:cs="Times New Roman"/>
              <w:sz w:val="32"/>
            </w:rPr>
          </w:pPr>
          <w:r>
            <w:fldChar w:fldCharType="begin"/>
          </w:r>
          <w:r>
            <w:instrText xml:space="preserve"> HYPERLINK \l "_Toc3742" </w:instrText>
          </w:r>
          <w:r>
            <w:fldChar w:fldCharType="separate"/>
          </w:r>
          <w:r>
            <w:rPr>
              <w:rFonts w:ascii="Times New Roman" w:hAnsi="Times New Roman" w:eastAsia="仿宋" w:cs="Times New Roman"/>
              <w:bCs/>
              <w:sz w:val="32"/>
            </w:rPr>
            <w:t xml:space="preserve">1.1 </w:t>
          </w:r>
          <w:r>
            <w:rPr>
              <w:rFonts w:ascii="Times New Roman" w:hAnsi="Times New Roman" w:eastAsia="楷体_GB2312" w:cs="Times New Roman"/>
              <w:sz w:val="32"/>
            </w:rPr>
            <w:t>编制目的</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_Toc3742 \h </w:instrText>
          </w:r>
          <w:r>
            <w:rPr>
              <w:rFonts w:ascii="Times New Roman" w:hAnsi="Times New Roman" w:cs="Times New Roman"/>
              <w:sz w:val="32"/>
            </w:rPr>
            <w:fldChar w:fldCharType="separate"/>
          </w:r>
          <w:r>
            <w:rPr>
              <w:rFonts w:ascii="Times New Roman" w:hAnsi="Times New Roman" w:cs="Times New Roman"/>
              <w:sz w:val="32"/>
            </w:rPr>
            <w:t>1</w:t>
          </w:r>
          <w:r>
            <w:rPr>
              <w:rFonts w:ascii="Times New Roman" w:hAnsi="Times New Roman" w:cs="Times New Roman"/>
              <w:sz w:val="32"/>
            </w:rPr>
            <w:fldChar w:fldCharType="end"/>
          </w:r>
          <w:r>
            <w:rPr>
              <w:rFonts w:ascii="Times New Roman" w:hAnsi="Times New Roman" w:cs="Times New Roman"/>
              <w:sz w:val="32"/>
            </w:rPr>
            <w:fldChar w:fldCharType="end"/>
          </w:r>
        </w:p>
        <w:p w14:paraId="7238A492">
          <w:pPr>
            <w:pStyle w:val="19"/>
            <w:tabs>
              <w:tab w:val="right" w:leader="dot" w:pos="8845"/>
            </w:tabs>
            <w:ind w:firstLine="552"/>
            <w:rPr>
              <w:rFonts w:ascii="Times New Roman" w:hAnsi="Times New Roman" w:cs="Times New Roman"/>
              <w:sz w:val="32"/>
            </w:rPr>
          </w:pPr>
          <w:r>
            <w:fldChar w:fldCharType="begin"/>
          </w:r>
          <w:r>
            <w:instrText xml:space="preserve"> HYPERLINK \l "_Toc6368" </w:instrText>
          </w:r>
          <w:r>
            <w:fldChar w:fldCharType="separate"/>
          </w:r>
          <w:r>
            <w:rPr>
              <w:rFonts w:ascii="Times New Roman" w:hAnsi="Times New Roman" w:eastAsia="仿宋" w:cs="Times New Roman"/>
              <w:bCs/>
              <w:sz w:val="32"/>
            </w:rPr>
            <w:t xml:space="preserve">1.2 </w:t>
          </w:r>
          <w:r>
            <w:rPr>
              <w:rFonts w:ascii="Times New Roman" w:hAnsi="Times New Roman" w:eastAsia="楷体_GB2312" w:cs="Times New Roman"/>
              <w:sz w:val="32"/>
            </w:rPr>
            <w:t>编制依据</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_Toc6368 \h </w:instrText>
          </w:r>
          <w:r>
            <w:rPr>
              <w:rFonts w:ascii="Times New Roman" w:hAnsi="Times New Roman" w:cs="Times New Roman"/>
              <w:sz w:val="32"/>
            </w:rPr>
            <w:fldChar w:fldCharType="separate"/>
          </w:r>
          <w:r>
            <w:rPr>
              <w:rFonts w:ascii="Times New Roman" w:hAnsi="Times New Roman" w:cs="Times New Roman"/>
              <w:sz w:val="32"/>
            </w:rPr>
            <w:t>1</w:t>
          </w:r>
          <w:r>
            <w:rPr>
              <w:rFonts w:ascii="Times New Roman" w:hAnsi="Times New Roman" w:cs="Times New Roman"/>
              <w:sz w:val="32"/>
            </w:rPr>
            <w:fldChar w:fldCharType="end"/>
          </w:r>
          <w:r>
            <w:rPr>
              <w:rFonts w:ascii="Times New Roman" w:hAnsi="Times New Roman" w:cs="Times New Roman"/>
              <w:sz w:val="32"/>
            </w:rPr>
            <w:fldChar w:fldCharType="end"/>
          </w:r>
        </w:p>
        <w:p w14:paraId="74C1ADFF">
          <w:pPr>
            <w:pStyle w:val="19"/>
            <w:tabs>
              <w:tab w:val="right" w:leader="dot" w:pos="8845"/>
            </w:tabs>
            <w:ind w:firstLine="552"/>
            <w:rPr>
              <w:rFonts w:ascii="Times New Roman" w:hAnsi="Times New Roman" w:cs="Times New Roman"/>
              <w:sz w:val="32"/>
            </w:rPr>
          </w:pPr>
          <w:r>
            <w:fldChar w:fldCharType="begin"/>
          </w:r>
          <w:r>
            <w:instrText xml:space="preserve"> HYPERLINK \l "_Toc29478" </w:instrText>
          </w:r>
          <w:r>
            <w:fldChar w:fldCharType="separate"/>
          </w:r>
          <w:r>
            <w:rPr>
              <w:rFonts w:ascii="Times New Roman" w:hAnsi="Times New Roman" w:eastAsia="仿宋" w:cs="Times New Roman"/>
              <w:bCs/>
              <w:sz w:val="32"/>
            </w:rPr>
            <w:t xml:space="preserve">1.3 </w:t>
          </w:r>
          <w:r>
            <w:rPr>
              <w:rFonts w:ascii="Times New Roman" w:hAnsi="Times New Roman" w:eastAsia="楷体_GB2312" w:cs="Times New Roman"/>
              <w:sz w:val="32"/>
            </w:rPr>
            <w:t>适用范围</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_Toc29478 \h </w:instrText>
          </w:r>
          <w:r>
            <w:rPr>
              <w:rFonts w:ascii="Times New Roman" w:hAnsi="Times New Roman" w:cs="Times New Roman"/>
              <w:sz w:val="32"/>
            </w:rPr>
            <w:fldChar w:fldCharType="separate"/>
          </w:r>
          <w:r>
            <w:rPr>
              <w:rFonts w:ascii="Times New Roman" w:hAnsi="Times New Roman" w:cs="Times New Roman"/>
              <w:sz w:val="32"/>
            </w:rPr>
            <w:t>1</w:t>
          </w:r>
          <w:r>
            <w:rPr>
              <w:rFonts w:ascii="Times New Roman" w:hAnsi="Times New Roman" w:cs="Times New Roman"/>
              <w:sz w:val="32"/>
            </w:rPr>
            <w:fldChar w:fldCharType="end"/>
          </w:r>
          <w:r>
            <w:rPr>
              <w:rFonts w:ascii="Times New Roman" w:hAnsi="Times New Roman" w:cs="Times New Roman"/>
              <w:sz w:val="32"/>
            </w:rPr>
            <w:fldChar w:fldCharType="end"/>
          </w:r>
        </w:p>
        <w:p w14:paraId="6C29C26C">
          <w:pPr>
            <w:pStyle w:val="19"/>
            <w:tabs>
              <w:tab w:val="right" w:leader="dot" w:pos="8845"/>
            </w:tabs>
            <w:ind w:firstLine="552"/>
            <w:rPr>
              <w:rFonts w:ascii="Times New Roman" w:hAnsi="Times New Roman" w:cs="Times New Roman"/>
              <w:sz w:val="32"/>
            </w:rPr>
          </w:pPr>
          <w:r>
            <w:fldChar w:fldCharType="begin"/>
          </w:r>
          <w:r>
            <w:instrText xml:space="preserve"> HYPERLINK \l "_Toc28580" </w:instrText>
          </w:r>
          <w:r>
            <w:fldChar w:fldCharType="separate"/>
          </w:r>
          <w:r>
            <w:rPr>
              <w:rFonts w:ascii="Times New Roman" w:hAnsi="Times New Roman" w:eastAsia="仿宋" w:cs="Times New Roman"/>
              <w:bCs/>
              <w:sz w:val="32"/>
            </w:rPr>
            <w:t xml:space="preserve">1.4 </w:t>
          </w:r>
          <w:r>
            <w:rPr>
              <w:rFonts w:ascii="Times New Roman" w:hAnsi="Times New Roman" w:eastAsia="楷体_GB2312" w:cs="Times New Roman"/>
              <w:sz w:val="32"/>
            </w:rPr>
            <w:t>工作原则</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_Toc28580 \h </w:instrText>
          </w:r>
          <w:r>
            <w:rPr>
              <w:rFonts w:ascii="Times New Roman" w:hAnsi="Times New Roman" w:cs="Times New Roman"/>
              <w:sz w:val="32"/>
            </w:rPr>
            <w:fldChar w:fldCharType="separate"/>
          </w:r>
          <w:r>
            <w:rPr>
              <w:rFonts w:ascii="Times New Roman" w:hAnsi="Times New Roman" w:cs="Times New Roman"/>
              <w:sz w:val="32"/>
            </w:rPr>
            <w:t>2</w:t>
          </w:r>
          <w:r>
            <w:rPr>
              <w:rFonts w:ascii="Times New Roman" w:hAnsi="Times New Roman" w:cs="Times New Roman"/>
              <w:sz w:val="32"/>
            </w:rPr>
            <w:fldChar w:fldCharType="end"/>
          </w:r>
          <w:r>
            <w:rPr>
              <w:rFonts w:ascii="Times New Roman" w:hAnsi="Times New Roman" w:cs="Times New Roman"/>
              <w:sz w:val="32"/>
            </w:rPr>
            <w:fldChar w:fldCharType="end"/>
          </w:r>
        </w:p>
        <w:p w14:paraId="09EF2D87">
          <w:pPr>
            <w:pStyle w:val="18"/>
            <w:rPr>
              <w:rFonts w:ascii="Times New Roman" w:hAnsi="Times New Roman" w:cs="Times New Roman"/>
              <w:sz w:val="32"/>
            </w:rPr>
          </w:pPr>
          <w:r>
            <w:fldChar w:fldCharType="begin"/>
          </w:r>
          <w:r>
            <w:instrText xml:space="preserve"> HYPERLINK \l "_Toc13548" </w:instrText>
          </w:r>
          <w:r>
            <w:fldChar w:fldCharType="separate"/>
          </w:r>
          <w:r>
            <w:rPr>
              <w:rFonts w:ascii="Times New Roman" w:hAnsi="Times New Roman" w:eastAsia="仿宋" w:cs="Times New Roman"/>
              <w:sz w:val="32"/>
            </w:rPr>
            <w:t xml:space="preserve">2 </w:t>
          </w:r>
          <w:r>
            <w:rPr>
              <w:rFonts w:ascii="Times New Roman" w:hAnsi="Times New Roman" w:eastAsia="黑体" w:cs="Times New Roman"/>
              <w:sz w:val="32"/>
            </w:rPr>
            <w:t>组织指挥体系</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_Toc13548 \h </w:instrText>
          </w:r>
          <w:r>
            <w:rPr>
              <w:rFonts w:ascii="Times New Roman" w:hAnsi="Times New Roman" w:cs="Times New Roman"/>
              <w:sz w:val="32"/>
            </w:rPr>
            <w:fldChar w:fldCharType="separate"/>
          </w:r>
          <w:r>
            <w:rPr>
              <w:rFonts w:ascii="Times New Roman" w:hAnsi="Times New Roman" w:cs="Times New Roman"/>
              <w:sz w:val="32"/>
            </w:rPr>
            <w:t>3</w:t>
          </w:r>
          <w:r>
            <w:rPr>
              <w:rFonts w:ascii="Times New Roman" w:hAnsi="Times New Roman" w:cs="Times New Roman"/>
              <w:sz w:val="32"/>
            </w:rPr>
            <w:fldChar w:fldCharType="end"/>
          </w:r>
          <w:r>
            <w:rPr>
              <w:rFonts w:ascii="Times New Roman" w:hAnsi="Times New Roman" w:cs="Times New Roman"/>
              <w:sz w:val="32"/>
            </w:rPr>
            <w:fldChar w:fldCharType="end"/>
          </w:r>
        </w:p>
        <w:p w14:paraId="6EA55310">
          <w:pPr>
            <w:pStyle w:val="19"/>
            <w:tabs>
              <w:tab w:val="right" w:leader="dot" w:pos="8845"/>
            </w:tabs>
            <w:ind w:firstLine="552"/>
            <w:rPr>
              <w:rFonts w:ascii="Times New Roman" w:hAnsi="Times New Roman" w:cs="Times New Roman"/>
              <w:sz w:val="32"/>
            </w:rPr>
          </w:pPr>
          <w:r>
            <w:fldChar w:fldCharType="begin"/>
          </w:r>
          <w:r>
            <w:instrText xml:space="preserve"> HYPERLINK \l "_Toc24255" </w:instrText>
          </w:r>
          <w:r>
            <w:fldChar w:fldCharType="separate"/>
          </w:r>
          <w:r>
            <w:rPr>
              <w:rFonts w:ascii="Times New Roman" w:hAnsi="Times New Roman" w:eastAsia="仿宋" w:cs="Times New Roman"/>
              <w:bCs/>
              <w:sz w:val="32"/>
            </w:rPr>
            <w:t xml:space="preserve">2.1 </w:t>
          </w:r>
          <w:r>
            <w:rPr>
              <w:rFonts w:ascii="Times New Roman" w:hAnsi="Times New Roman" w:eastAsia="楷体_GB2312" w:cs="Times New Roman"/>
              <w:sz w:val="32"/>
            </w:rPr>
            <w:t>县处置大规模群体性事件应急指挥部组成及职责</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_Toc24255 \h </w:instrText>
          </w:r>
          <w:r>
            <w:rPr>
              <w:rFonts w:ascii="Times New Roman" w:hAnsi="Times New Roman" w:cs="Times New Roman"/>
              <w:sz w:val="32"/>
            </w:rPr>
            <w:fldChar w:fldCharType="separate"/>
          </w:r>
          <w:r>
            <w:rPr>
              <w:rFonts w:ascii="Times New Roman" w:hAnsi="Times New Roman" w:cs="Times New Roman"/>
              <w:sz w:val="32"/>
            </w:rPr>
            <w:t>4</w:t>
          </w:r>
          <w:r>
            <w:rPr>
              <w:rFonts w:ascii="Times New Roman" w:hAnsi="Times New Roman" w:cs="Times New Roman"/>
              <w:sz w:val="32"/>
            </w:rPr>
            <w:fldChar w:fldCharType="end"/>
          </w:r>
          <w:r>
            <w:rPr>
              <w:rFonts w:ascii="Times New Roman" w:hAnsi="Times New Roman" w:cs="Times New Roman"/>
              <w:sz w:val="32"/>
            </w:rPr>
            <w:fldChar w:fldCharType="end"/>
          </w:r>
        </w:p>
        <w:p w14:paraId="1EC75AF0">
          <w:pPr>
            <w:pStyle w:val="19"/>
            <w:tabs>
              <w:tab w:val="right" w:leader="dot" w:pos="8845"/>
            </w:tabs>
            <w:ind w:firstLine="552"/>
            <w:rPr>
              <w:rFonts w:ascii="Times New Roman" w:hAnsi="Times New Roman" w:cs="Times New Roman"/>
              <w:sz w:val="32"/>
            </w:rPr>
          </w:pPr>
          <w:r>
            <w:fldChar w:fldCharType="begin"/>
          </w:r>
          <w:r>
            <w:instrText xml:space="preserve"> HYPERLINK \l "_Toc13941" </w:instrText>
          </w:r>
          <w:r>
            <w:fldChar w:fldCharType="separate"/>
          </w:r>
          <w:r>
            <w:rPr>
              <w:rFonts w:ascii="Times New Roman" w:hAnsi="Times New Roman" w:eastAsia="仿宋" w:cs="Times New Roman"/>
              <w:bCs/>
              <w:sz w:val="32"/>
            </w:rPr>
            <w:t xml:space="preserve">2.2 </w:t>
          </w:r>
          <w:r>
            <w:rPr>
              <w:rFonts w:ascii="Times New Roman" w:hAnsi="Times New Roman" w:eastAsia="楷体_GB2312" w:cs="Times New Roman"/>
              <w:sz w:val="32"/>
            </w:rPr>
            <w:t>现场应急指挥部</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_Toc13941 \h </w:instrText>
          </w:r>
          <w:r>
            <w:rPr>
              <w:rFonts w:ascii="Times New Roman" w:hAnsi="Times New Roman" w:cs="Times New Roman"/>
              <w:sz w:val="32"/>
            </w:rPr>
            <w:fldChar w:fldCharType="separate"/>
          </w:r>
          <w:r>
            <w:rPr>
              <w:rFonts w:ascii="Times New Roman" w:hAnsi="Times New Roman" w:cs="Times New Roman"/>
              <w:sz w:val="32"/>
            </w:rPr>
            <w:t>8</w:t>
          </w:r>
          <w:r>
            <w:rPr>
              <w:rFonts w:ascii="Times New Roman" w:hAnsi="Times New Roman" w:cs="Times New Roman"/>
              <w:sz w:val="32"/>
            </w:rPr>
            <w:fldChar w:fldCharType="end"/>
          </w:r>
          <w:r>
            <w:rPr>
              <w:rFonts w:ascii="Times New Roman" w:hAnsi="Times New Roman" w:cs="Times New Roman"/>
              <w:sz w:val="32"/>
            </w:rPr>
            <w:fldChar w:fldCharType="end"/>
          </w:r>
        </w:p>
        <w:p w14:paraId="426E5820">
          <w:pPr>
            <w:pStyle w:val="19"/>
            <w:tabs>
              <w:tab w:val="right" w:leader="dot" w:pos="8845"/>
            </w:tabs>
            <w:ind w:firstLine="552"/>
            <w:rPr>
              <w:rFonts w:ascii="Times New Roman" w:hAnsi="Times New Roman" w:cs="Times New Roman"/>
              <w:sz w:val="32"/>
            </w:rPr>
          </w:pPr>
          <w:r>
            <w:fldChar w:fldCharType="begin"/>
          </w:r>
          <w:r>
            <w:instrText xml:space="preserve"> HYPERLINK \l "_Toc10546" </w:instrText>
          </w:r>
          <w:r>
            <w:fldChar w:fldCharType="separate"/>
          </w:r>
          <w:r>
            <w:rPr>
              <w:rFonts w:ascii="Times New Roman" w:hAnsi="Times New Roman" w:eastAsia="仿宋" w:cs="Times New Roman"/>
              <w:bCs/>
              <w:sz w:val="32"/>
            </w:rPr>
            <w:t xml:space="preserve">2.3 </w:t>
          </w:r>
          <w:r>
            <w:rPr>
              <w:rFonts w:ascii="Times New Roman" w:hAnsi="Times New Roman" w:eastAsia="楷体_GB2312" w:cs="Times New Roman"/>
              <w:sz w:val="32"/>
            </w:rPr>
            <w:t>专家组组成及职责</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_Toc10546 \h </w:instrText>
          </w:r>
          <w:r>
            <w:rPr>
              <w:rFonts w:ascii="Times New Roman" w:hAnsi="Times New Roman" w:cs="Times New Roman"/>
              <w:sz w:val="32"/>
            </w:rPr>
            <w:fldChar w:fldCharType="separate"/>
          </w:r>
          <w:r>
            <w:rPr>
              <w:rFonts w:ascii="Times New Roman" w:hAnsi="Times New Roman" w:cs="Times New Roman"/>
              <w:sz w:val="32"/>
            </w:rPr>
            <w:t>10</w:t>
          </w:r>
          <w:r>
            <w:rPr>
              <w:rFonts w:ascii="Times New Roman" w:hAnsi="Times New Roman" w:cs="Times New Roman"/>
              <w:sz w:val="32"/>
            </w:rPr>
            <w:fldChar w:fldCharType="end"/>
          </w:r>
          <w:r>
            <w:rPr>
              <w:rFonts w:ascii="Times New Roman" w:hAnsi="Times New Roman" w:cs="Times New Roman"/>
              <w:sz w:val="32"/>
            </w:rPr>
            <w:fldChar w:fldCharType="end"/>
          </w:r>
        </w:p>
        <w:p w14:paraId="0D233278">
          <w:pPr>
            <w:pStyle w:val="18"/>
            <w:rPr>
              <w:rFonts w:ascii="Times New Roman" w:hAnsi="Times New Roman" w:cs="Times New Roman"/>
              <w:sz w:val="32"/>
            </w:rPr>
          </w:pPr>
          <w:r>
            <w:fldChar w:fldCharType="begin"/>
          </w:r>
          <w:r>
            <w:instrText xml:space="preserve"> HYPERLINK \l "_Toc14088" </w:instrText>
          </w:r>
          <w:r>
            <w:fldChar w:fldCharType="separate"/>
          </w:r>
          <w:r>
            <w:rPr>
              <w:rFonts w:ascii="Times New Roman" w:hAnsi="Times New Roman" w:eastAsia="仿宋" w:cs="Times New Roman"/>
              <w:sz w:val="32"/>
            </w:rPr>
            <w:t xml:space="preserve">3 </w:t>
          </w:r>
          <w:r>
            <w:rPr>
              <w:rFonts w:ascii="Times New Roman" w:hAnsi="Times New Roman" w:eastAsia="黑体" w:cs="Times New Roman"/>
              <w:sz w:val="32"/>
            </w:rPr>
            <w:t>预防和预警机制</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_Toc14088 \h </w:instrText>
          </w:r>
          <w:r>
            <w:rPr>
              <w:rFonts w:ascii="Times New Roman" w:hAnsi="Times New Roman" w:cs="Times New Roman"/>
              <w:sz w:val="32"/>
            </w:rPr>
            <w:fldChar w:fldCharType="separate"/>
          </w:r>
          <w:r>
            <w:rPr>
              <w:rFonts w:ascii="Times New Roman" w:hAnsi="Times New Roman" w:cs="Times New Roman"/>
              <w:sz w:val="32"/>
            </w:rPr>
            <w:t>10</w:t>
          </w:r>
          <w:r>
            <w:rPr>
              <w:rFonts w:ascii="Times New Roman" w:hAnsi="Times New Roman" w:cs="Times New Roman"/>
              <w:sz w:val="32"/>
            </w:rPr>
            <w:fldChar w:fldCharType="end"/>
          </w:r>
          <w:r>
            <w:rPr>
              <w:rFonts w:ascii="Times New Roman" w:hAnsi="Times New Roman" w:cs="Times New Roman"/>
              <w:sz w:val="32"/>
            </w:rPr>
            <w:fldChar w:fldCharType="end"/>
          </w:r>
        </w:p>
        <w:p w14:paraId="08BFA060">
          <w:pPr>
            <w:pStyle w:val="19"/>
            <w:tabs>
              <w:tab w:val="right" w:leader="dot" w:pos="8845"/>
            </w:tabs>
            <w:ind w:firstLine="552"/>
            <w:rPr>
              <w:rFonts w:ascii="Times New Roman" w:hAnsi="Times New Roman" w:cs="Times New Roman"/>
              <w:sz w:val="32"/>
            </w:rPr>
          </w:pPr>
          <w:r>
            <w:fldChar w:fldCharType="begin"/>
          </w:r>
          <w:r>
            <w:instrText xml:space="preserve"> HYPERLINK \l "_Toc8272" </w:instrText>
          </w:r>
          <w:r>
            <w:fldChar w:fldCharType="separate"/>
          </w:r>
          <w:r>
            <w:rPr>
              <w:rFonts w:ascii="Times New Roman" w:hAnsi="Times New Roman" w:eastAsia="仿宋" w:cs="Times New Roman"/>
              <w:bCs/>
              <w:sz w:val="32"/>
            </w:rPr>
            <w:t xml:space="preserve">3.1 </w:t>
          </w:r>
          <w:r>
            <w:rPr>
              <w:rFonts w:ascii="Times New Roman" w:hAnsi="Times New Roman" w:eastAsia="楷体_GB2312" w:cs="Times New Roman"/>
              <w:sz w:val="32"/>
            </w:rPr>
            <w:t>预防预警信息</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_Toc8272 \h </w:instrText>
          </w:r>
          <w:r>
            <w:rPr>
              <w:rFonts w:ascii="Times New Roman" w:hAnsi="Times New Roman" w:cs="Times New Roman"/>
              <w:sz w:val="32"/>
            </w:rPr>
            <w:fldChar w:fldCharType="separate"/>
          </w:r>
          <w:r>
            <w:rPr>
              <w:rFonts w:ascii="Times New Roman" w:hAnsi="Times New Roman" w:cs="Times New Roman"/>
              <w:sz w:val="32"/>
            </w:rPr>
            <w:t>10</w:t>
          </w:r>
          <w:r>
            <w:rPr>
              <w:rFonts w:ascii="Times New Roman" w:hAnsi="Times New Roman" w:cs="Times New Roman"/>
              <w:sz w:val="32"/>
            </w:rPr>
            <w:fldChar w:fldCharType="end"/>
          </w:r>
          <w:r>
            <w:rPr>
              <w:rFonts w:ascii="Times New Roman" w:hAnsi="Times New Roman" w:cs="Times New Roman"/>
              <w:sz w:val="32"/>
            </w:rPr>
            <w:fldChar w:fldCharType="end"/>
          </w:r>
        </w:p>
        <w:p w14:paraId="0E1C618E">
          <w:pPr>
            <w:pStyle w:val="19"/>
            <w:tabs>
              <w:tab w:val="right" w:leader="dot" w:pos="8845"/>
            </w:tabs>
            <w:ind w:firstLine="552"/>
            <w:rPr>
              <w:rFonts w:ascii="Times New Roman" w:hAnsi="Times New Roman" w:cs="Times New Roman"/>
              <w:sz w:val="32"/>
            </w:rPr>
          </w:pPr>
          <w:r>
            <w:fldChar w:fldCharType="begin"/>
          </w:r>
          <w:r>
            <w:instrText xml:space="preserve"> HYPERLINK \l "_Toc7497" </w:instrText>
          </w:r>
          <w:r>
            <w:fldChar w:fldCharType="separate"/>
          </w:r>
          <w:r>
            <w:rPr>
              <w:rFonts w:ascii="Times New Roman" w:hAnsi="Times New Roman" w:eastAsia="仿宋" w:cs="Times New Roman"/>
              <w:bCs/>
              <w:sz w:val="32"/>
            </w:rPr>
            <w:t xml:space="preserve">3.2 </w:t>
          </w:r>
          <w:r>
            <w:rPr>
              <w:rFonts w:ascii="Times New Roman" w:hAnsi="Times New Roman" w:eastAsia="楷体_GB2312" w:cs="Times New Roman"/>
              <w:sz w:val="32"/>
            </w:rPr>
            <w:t>预防预警行动</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_Toc7497 \h </w:instrText>
          </w:r>
          <w:r>
            <w:rPr>
              <w:rFonts w:ascii="Times New Roman" w:hAnsi="Times New Roman" w:cs="Times New Roman"/>
              <w:sz w:val="32"/>
            </w:rPr>
            <w:fldChar w:fldCharType="separate"/>
          </w:r>
          <w:r>
            <w:rPr>
              <w:rFonts w:ascii="Times New Roman" w:hAnsi="Times New Roman" w:cs="Times New Roman"/>
              <w:sz w:val="32"/>
            </w:rPr>
            <w:t>11</w:t>
          </w:r>
          <w:r>
            <w:rPr>
              <w:rFonts w:ascii="Times New Roman" w:hAnsi="Times New Roman" w:cs="Times New Roman"/>
              <w:sz w:val="32"/>
            </w:rPr>
            <w:fldChar w:fldCharType="end"/>
          </w:r>
          <w:r>
            <w:rPr>
              <w:rFonts w:ascii="Times New Roman" w:hAnsi="Times New Roman" w:cs="Times New Roman"/>
              <w:sz w:val="32"/>
            </w:rPr>
            <w:fldChar w:fldCharType="end"/>
          </w:r>
        </w:p>
        <w:p w14:paraId="5C34DE9A">
          <w:pPr>
            <w:pStyle w:val="18"/>
            <w:rPr>
              <w:rFonts w:ascii="Times New Roman" w:hAnsi="Times New Roman" w:cs="Times New Roman"/>
              <w:sz w:val="32"/>
            </w:rPr>
          </w:pPr>
          <w:r>
            <w:fldChar w:fldCharType="begin"/>
          </w:r>
          <w:r>
            <w:instrText xml:space="preserve"> HYPERLINK \l "_Toc26718" </w:instrText>
          </w:r>
          <w:r>
            <w:fldChar w:fldCharType="separate"/>
          </w:r>
          <w:r>
            <w:rPr>
              <w:rFonts w:ascii="Times New Roman" w:hAnsi="Times New Roman" w:eastAsia="仿宋" w:cs="Times New Roman"/>
              <w:sz w:val="32"/>
            </w:rPr>
            <w:t xml:space="preserve">4 </w:t>
          </w:r>
          <w:r>
            <w:rPr>
              <w:rFonts w:ascii="Times New Roman" w:hAnsi="Times New Roman" w:cs="Times New Roman"/>
              <w:sz w:val="32"/>
            </w:rPr>
            <w:t>信息报告</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_Toc26718 \h </w:instrText>
          </w:r>
          <w:r>
            <w:rPr>
              <w:rFonts w:ascii="Times New Roman" w:hAnsi="Times New Roman" w:cs="Times New Roman"/>
              <w:sz w:val="32"/>
            </w:rPr>
            <w:fldChar w:fldCharType="separate"/>
          </w:r>
          <w:r>
            <w:rPr>
              <w:rFonts w:ascii="Times New Roman" w:hAnsi="Times New Roman" w:cs="Times New Roman"/>
              <w:sz w:val="32"/>
            </w:rPr>
            <w:t>12</w:t>
          </w:r>
          <w:r>
            <w:rPr>
              <w:rFonts w:ascii="Times New Roman" w:hAnsi="Times New Roman" w:cs="Times New Roman"/>
              <w:sz w:val="32"/>
            </w:rPr>
            <w:fldChar w:fldCharType="end"/>
          </w:r>
          <w:r>
            <w:rPr>
              <w:rFonts w:ascii="Times New Roman" w:hAnsi="Times New Roman" w:cs="Times New Roman"/>
              <w:sz w:val="32"/>
            </w:rPr>
            <w:fldChar w:fldCharType="end"/>
          </w:r>
        </w:p>
        <w:p w14:paraId="5F47888E">
          <w:pPr>
            <w:pStyle w:val="19"/>
            <w:tabs>
              <w:tab w:val="right" w:leader="dot" w:pos="8845"/>
            </w:tabs>
            <w:ind w:firstLine="552"/>
            <w:rPr>
              <w:rFonts w:ascii="Times New Roman" w:hAnsi="Times New Roman" w:cs="Times New Roman"/>
              <w:sz w:val="32"/>
            </w:rPr>
          </w:pPr>
          <w:r>
            <w:fldChar w:fldCharType="begin"/>
          </w:r>
          <w:r>
            <w:instrText xml:space="preserve"> HYPERLINK \l "_Toc15315" </w:instrText>
          </w:r>
          <w:r>
            <w:fldChar w:fldCharType="separate"/>
          </w:r>
          <w:r>
            <w:rPr>
              <w:rFonts w:ascii="Times New Roman" w:hAnsi="Times New Roman" w:eastAsia="仿宋" w:cs="Times New Roman"/>
              <w:bCs/>
              <w:sz w:val="32"/>
            </w:rPr>
            <w:t xml:space="preserve">4.1 </w:t>
          </w:r>
          <w:r>
            <w:rPr>
              <w:rFonts w:ascii="Times New Roman" w:hAnsi="Times New Roman" w:eastAsia="楷体_GB2312" w:cs="Times New Roman"/>
              <w:sz w:val="32"/>
            </w:rPr>
            <w:t>信息报送程序</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_Toc15315 \h </w:instrText>
          </w:r>
          <w:r>
            <w:rPr>
              <w:rFonts w:ascii="Times New Roman" w:hAnsi="Times New Roman" w:cs="Times New Roman"/>
              <w:sz w:val="32"/>
            </w:rPr>
            <w:fldChar w:fldCharType="separate"/>
          </w:r>
          <w:r>
            <w:rPr>
              <w:rFonts w:ascii="Times New Roman" w:hAnsi="Times New Roman" w:cs="Times New Roman"/>
              <w:sz w:val="32"/>
            </w:rPr>
            <w:t>12</w:t>
          </w:r>
          <w:r>
            <w:rPr>
              <w:rFonts w:ascii="Times New Roman" w:hAnsi="Times New Roman" w:cs="Times New Roman"/>
              <w:sz w:val="32"/>
            </w:rPr>
            <w:fldChar w:fldCharType="end"/>
          </w:r>
          <w:r>
            <w:rPr>
              <w:rFonts w:ascii="Times New Roman" w:hAnsi="Times New Roman" w:cs="Times New Roman"/>
              <w:sz w:val="32"/>
            </w:rPr>
            <w:fldChar w:fldCharType="end"/>
          </w:r>
        </w:p>
        <w:p w14:paraId="24CE2B74">
          <w:pPr>
            <w:pStyle w:val="19"/>
            <w:tabs>
              <w:tab w:val="right" w:leader="dot" w:pos="8845"/>
            </w:tabs>
            <w:ind w:firstLine="552"/>
            <w:rPr>
              <w:rFonts w:ascii="Times New Roman" w:hAnsi="Times New Roman" w:cs="Times New Roman"/>
              <w:sz w:val="32"/>
            </w:rPr>
          </w:pPr>
          <w:r>
            <w:fldChar w:fldCharType="begin"/>
          </w:r>
          <w:r>
            <w:instrText xml:space="preserve"> HYPERLINK \l "_Toc29514" </w:instrText>
          </w:r>
          <w:r>
            <w:fldChar w:fldCharType="separate"/>
          </w:r>
          <w:r>
            <w:rPr>
              <w:rFonts w:ascii="Times New Roman" w:hAnsi="Times New Roman" w:eastAsia="仿宋" w:cs="Times New Roman"/>
              <w:bCs/>
              <w:sz w:val="32"/>
            </w:rPr>
            <w:t xml:space="preserve">4.2 </w:t>
          </w:r>
          <w:r>
            <w:rPr>
              <w:rFonts w:ascii="Times New Roman" w:hAnsi="Times New Roman" w:eastAsia="楷体_GB2312" w:cs="Times New Roman"/>
              <w:sz w:val="32"/>
            </w:rPr>
            <w:t>信息报告内容</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_Toc29514 \h </w:instrText>
          </w:r>
          <w:r>
            <w:rPr>
              <w:rFonts w:ascii="Times New Roman" w:hAnsi="Times New Roman" w:cs="Times New Roman"/>
              <w:sz w:val="32"/>
            </w:rPr>
            <w:fldChar w:fldCharType="separate"/>
          </w:r>
          <w:r>
            <w:rPr>
              <w:rFonts w:ascii="Times New Roman" w:hAnsi="Times New Roman" w:cs="Times New Roman"/>
              <w:sz w:val="32"/>
            </w:rPr>
            <w:t>12</w:t>
          </w:r>
          <w:r>
            <w:rPr>
              <w:rFonts w:ascii="Times New Roman" w:hAnsi="Times New Roman" w:cs="Times New Roman"/>
              <w:sz w:val="32"/>
            </w:rPr>
            <w:fldChar w:fldCharType="end"/>
          </w:r>
          <w:r>
            <w:rPr>
              <w:rFonts w:ascii="Times New Roman" w:hAnsi="Times New Roman" w:cs="Times New Roman"/>
              <w:sz w:val="32"/>
            </w:rPr>
            <w:fldChar w:fldCharType="end"/>
          </w:r>
        </w:p>
        <w:p w14:paraId="74F3AC2E">
          <w:pPr>
            <w:pStyle w:val="18"/>
            <w:rPr>
              <w:rFonts w:ascii="Times New Roman" w:hAnsi="Times New Roman" w:cs="Times New Roman"/>
              <w:sz w:val="32"/>
            </w:rPr>
          </w:pPr>
          <w:r>
            <w:fldChar w:fldCharType="begin"/>
          </w:r>
          <w:r>
            <w:instrText xml:space="preserve"> HYPERLINK \l "_Toc1938" </w:instrText>
          </w:r>
          <w:r>
            <w:fldChar w:fldCharType="separate"/>
          </w:r>
          <w:r>
            <w:rPr>
              <w:rFonts w:ascii="Times New Roman" w:hAnsi="Times New Roman" w:eastAsia="仿宋" w:cs="Times New Roman"/>
              <w:sz w:val="32"/>
            </w:rPr>
            <w:t xml:space="preserve">5 </w:t>
          </w:r>
          <w:r>
            <w:rPr>
              <w:rFonts w:ascii="Times New Roman" w:hAnsi="Times New Roman" w:eastAsia="黑体" w:cs="Times New Roman"/>
              <w:sz w:val="32"/>
            </w:rPr>
            <w:t>应急响应</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_Toc1938 \h </w:instrText>
          </w:r>
          <w:r>
            <w:rPr>
              <w:rFonts w:ascii="Times New Roman" w:hAnsi="Times New Roman" w:cs="Times New Roman"/>
              <w:sz w:val="32"/>
            </w:rPr>
            <w:fldChar w:fldCharType="separate"/>
          </w:r>
          <w:r>
            <w:rPr>
              <w:rFonts w:ascii="Times New Roman" w:hAnsi="Times New Roman" w:cs="Times New Roman"/>
              <w:sz w:val="32"/>
            </w:rPr>
            <w:t>13</w:t>
          </w:r>
          <w:r>
            <w:rPr>
              <w:rFonts w:ascii="Times New Roman" w:hAnsi="Times New Roman" w:cs="Times New Roman"/>
              <w:sz w:val="32"/>
            </w:rPr>
            <w:fldChar w:fldCharType="end"/>
          </w:r>
          <w:r>
            <w:rPr>
              <w:rFonts w:ascii="Times New Roman" w:hAnsi="Times New Roman" w:cs="Times New Roman"/>
              <w:sz w:val="32"/>
            </w:rPr>
            <w:fldChar w:fldCharType="end"/>
          </w:r>
        </w:p>
        <w:p w14:paraId="7A98F1B1">
          <w:pPr>
            <w:pStyle w:val="19"/>
            <w:tabs>
              <w:tab w:val="right" w:leader="dot" w:pos="8845"/>
            </w:tabs>
            <w:ind w:firstLine="552"/>
            <w:rPr>
              <w:rFonts w:ascii="Times New Roman" w:hAnsi="Times New Roman" w:cs="Times New Roman"/>
              <w:sz w:val="32"/>
            </w:rPr>
          </w:pPr>
          <w:r>
            <w:fldChar w:fldCharType="begin"/>
          </w:r>
          <w:r>
            <w:instrText xml:space="preserve"> HYPERLINK \l "_Toc27172" </w:instrText>
          </w:r>
          <w:r>
            <w:fldChar w:fldCharType="separate"/>
          </w:r>
          <w:r>
            <w:rPr>
              <w:rFonts w:ascii="Times New Roman" w:hAnsi="Times New Roman" w:eastAsia="仿宋" w:cs="Times New Roman"/>
              <w:bCs/>
              <w:sz w:val="32"/>
            </w:rPr>
            <w:t xml:space="preserve">5.1 </w:t>
          </w:r>
          <w:r>
            <w:rPr>
              <w:rFonts w:ascii="Times New Roman" w:hAnsi="Times New Roman" w:eastAsia="楷体_GB2312" w:cs="Times New Roman"/>
              <w:sz w:val="32"/>
            </w:rPr>
            <w:t>分级响应</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_Toc27172 \h </w:instrText>
          </w:r>
          <w:r>
            <w:rPr>
              <w:rFonts w:ascii="Times New Roman" w:hAnsi="Times New Roman" w:cs="Times New Roman"/>
              <w:sz w:val="32"/>
            </w:rPr>
            <w:fldChar w:fldCharType="separate"/>
          </w:r>
          <w:r>
            <w:rPr>
              <w:rFonts w:ascii="Times New Roman" w:hAnsi="Times New Roman" w:cs="Times New Roman"/>
              <w:sz w:val="32"/>
            </w:rPr>
            <w:t>13</w:t>
          </w:r>
          <w:r>
            <w:rPr>
              <w:rFonts w:ascii="Times New Roman" w:hAnsi="Times New Roman" w:cs="Times New Roman"/>
              <w:sz w:val="32"/>
            </w:rPr>
            <w:fldChar w:fldCharType="end"/>
          </w:r>
          <w:r>
            <w:rPr>
              <w:rFonts w:ascii="Times New Roman" w:hAnsi="Times New Roman" w:cs="Times New Roman"/>
              <w:sz w:val="32"/>
            </w:rPr>
            <w:fldChar w:fldCharType="end"/>
          </w:r>
        </w:p>
        <w:p w14:paraId="350F7048">
          <w:pPr>
            <w:pStyle w:val="19"/>
            <w:tabs>
              <w:tab w:val="right" w:leader="dot" w:pos="8845"/>
            </w:tabs>
            <w:ind w:firstLine="552"/>
            <w:rPr>
              <w:rFonts w:ascii="Times New Roman" w:hAnsi="Times New Roman" w:cs="Times New Roman"/>
              <w:sz w:val="32"/>
            </w:rPr>
          </w:pPr>
          <w:r>
            <w:fldChar w:fldCharType="begin"/>
          </w:r>
          <w:r>
            <w:instrText xml:space="preserve"> HYPERLINK \l "_Toc13795" </w:instrText>
          </w:r>
          <w:r>
            <w:fldChar w:fldCharType="separate"/>
          </w:r>
          <w:r>
            <w:rPr>
              <w:rFonts w:ascii="Times New Roman" w:hAnsi="Times New Roman" w:eastAsia="仿宋" w:cs="Times New Roman"/>
              <w:bCs/>
              <w:sz w:val="32"/>
            </w:rPr>
            <w:t xml:space="preserve">5.2 </w:t>
          </w:r>
          <w:r>
            <w:rPr>
              <w:rFonts w:ascii="Times New Roman" w:hAnsi="Times New Roman" w:eastAsia="楷体_GB2312" w:cs="Times New Roman"/>
              <w:sz w:val="32"/>
            </w:rPr>
            <w:t>应急响应启动程序</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_Toc13795 \h </w:instrText>
          </w:r>
          <w:r>
            <w:rPr>
              <w:rFonts w:ascii="Times New Roman" w:hAnsi="Times New Roman" w:cs="Times New Roman"/>
              <w:sz w:val="32"/>
            </w:rPr>
            <w:fldChar w:fldCharType="separate"/>
          </w:r>
          <w:r>
            <w:rPr>
              <w:rFonts w:ascii="Times New Roman" w:hAnsi="Times New Roman" w:cs="Times New Roman"/>
              <w:sz w:val="32"/>
            </w:rPr>
            <w:t>14</w:t>
          </w:r>
          <w:r>
            <w:rPr>
              <w:rFonts w:ascii="Times New Roman" w:hAnsi="Times New Roman" w:cs="Times New Roman"/>
              <w:sz w:val="32"/>
            </w:rPr>
            <w:fldChar w:fldCharType="end"/>
          </w:r>
          <w:r>
            <w:rPr>
              <w:rFonts w:ascii="Times New Roman" w:hAnsi="Times New Roman" w:cs="Times New Roman"/>
              <w:sz w:val="32"/>
            </w:rPr>
            <w:fldChar w:fldCharType="end"/>
          </w:r>
        </w:p>
        <w:p w14:paraId="5195EB3E">
          <w:pPr>
            <w:pStyle w:val="19"/>
            <w:tabs>
              <w:tab w:val="right" w:leader="dot" w:pos="8845"/>
            </w:tabs>
            <w:ind w:firstLine="552"/>
            <w:rPr>
              <w:rFonts w:ascii="Times New Roman" w:hAnsi="Times New Roman" w:cs="Times New Roman"/>
              <w:sz w:val="32"/>
            </w:rPr>
          </w:pPr>
          <w:r>
            <w:fldChar w:fldCharType="begin"/>
          </w:r>
          <w:r>
            <w:instrText xml:space="preserve"> HYPERLINK \l "_Toc17202" </w:instrText>
          </w:r>
          <w:r>
            <w:fldChar w:fldCharType="separate"/>
          </w:r>
          <w:r>
            <w:rPr>
              <w:rFonts w:ascii="Times New Roman" w:hAnsi="Times New Roman" w:eastAsia="仿宋" w:cs="Times New Roman"/>
              <w:bCs/>
              <w:sz w:val="32"/>
            </w:rPr>
            <w:t xml:space="preserve">5.3 </w:t>
          </w:r>
          <w:r>
            <w:rPr>
              <w:rFonts w:ascii="Times New Roman" w:hAnsi="Times New Roman" w:eastAsia="楷体_GB2312" w:cs="Times New Roman"/>
              <w:sz w:val="32"/>
            </w:rPr>
            <w:t>扩大响应</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_Toc17202 \h </w:instrText>
          </w:r>
          <w:r>
            <w:rPr>
              <w:rFonts w:ascii="Times New Roman" w:hAnsi="Times New Roman" w:cs="Times New Roman"/>
              <w:sz w:val="32"/>
            </w:rPr>
            <w:fldChar w:fldCharType="separate"/>
          </w:r>
          <w:r>
            <w:rPr>
              <w:rFonts w:ascii="Times New Roman" w:hAnsi="Times New Roman" w:cs="Times New Roman"/>
              <w:sz w:val="32"/>
            </w:rPr>
            <w:t>19</w:t>
          </w:r>
          <w:r>
            <w:rPr>
              <w:rFonts w:ascii="Times New Roman" w:hAnsi="Times New Roman" w:cs="Times New Roman"/>
              <w:sz w:val="32"/>
            </w:rPr>
            <w:fldChar w:fldCharType="end"/>
          </w:r>
          <w:r>
            <w:rPr>
              <w:rFonts w:ascii="Times New Roman" w:hAnsi="Times New Roman" w:cs="Times New Roman"/>
              <w:sz w:val="32"/>
            </w:rPr>
            <w:fldChar w:fldCharType="end"/>
          </w:r>
        </w:p>
        <w:p w14:paraId="53822DD6">
          <w:pPr>
            <w:pStyle w:val="19"/>
            <w:tabs>
              <w:tab w:val="right" w:leader="dot" w:pos="8845"/>
            </w:tabs>
            <w:ind w:firstLine="552"/>
            <w:rPr>
              <w:rFonts w:ascii="Times New Roman" w:hAnsi="Times New Roman" w:cs="Times New Roman"/>
              <w:sz w:val="32"/>
            </w:rPr>
          </w:pPr>
          <w:r>
            <w:fldChar w:fldCharType="begin"/>
          </w:r>
          <w:r>
            <w:instrText xml:space="preserve"> HYPERLINK \l "_Toc10444" </w:instrText>
          </w:r>
          <w:r>
            <w:fldChar w:fldCharType="separate"/>
          </w:r>
          <w:r>
            <w:rPr>
              <w:rFonts w:ascii="Times New Roman" w:hAnsi="Times New Roman" w:eastAsia="仿宋" w:cs="Times New Roman"/>
              <w:bCs/>
              <w:sz w:val="32"/>
            </w:rPr>
            <w:t xml:space="preserve">5.4 </w:t>
          </w:r>
          <w:r>
            <w:rPr>
              <w:rFonts w:ascii="Times New Roman" w:hAnsi="Times New Roman" w:eastAsia="楷体_GB2312" w:cs="Times New Roman"/>
              <w:sz w:val="32"/>
            </w:rPr>
            <w:t>应急处置终止或解除</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_Toc10444 \h </w:instrText>
          </w:r>
          <w:r>
            <w:rPr>
              <w:rFonts w:ascii="Times New Roman" w:hAnsi="Times New Roman" w:cs="Times New Roman"/>
              <w:sz w:val="32"/>
            </w:rPr>
            <w:fldChar w:fldCharType="separate"/>
          </w:r>
          <w:r>
            <w:rPr>
              <w:rFonts w:ascii="Times New Roman" w:hAnsi="Times New Roman" w:cs="Times New Roman"/>
              <w:sz w:val="32"/>
            </w:rPr>
            <w:t>19</w:t>
          </w:r>
          <w:r>
            <w:rPr>
              <w:rFonts w:ascii="Times New Roman" w:hAnsi="Times New Roman" w:cs="Times New Roman"/>
              <w:sz w:val="32"/>
            </w:rPr>
            <w:fldChar w:fldCharType="end"/>
          </w:r>
          <w:r>
            <w:rPr>
              <w:rFonts w:ascii="Times New Roman" w:hAnsi="Times New Roman" w:cs="Times New Roman"/>
              <w:sz w:val="32"/>
            </w:rPr>
            <w:fldChar w:fldCharType="end"/>
          </w:r>
        </w:p>
        <w:p w14:paraId="66F8D9F7">
          <w:pPr>
            <w:pStyle w:val="18"/>
            <w:rPr>
              <w:rFonts w:ascii="Times New Roman" w:hAnsi="Times New Roman" w:cs="Times New Roman"/>
              <w:sz w:val="32"/>
            </w:rPr>
          </w:pPr>
          <w:r>
            <w:fldChar w:fldCharType="begin"/>
          </w:r>
          <w:r>
            <w:instrText xml:space="preserve"> HYPERLINK \l "_Toc29148" </w:instrText>
          </w:r>
          <w:r>
            <w:fldChar w:fldCharType="separate"/>
          </w:r>
          <w:r>
            <w:rPr>
              <w:rFonts w:ascii="Times New Roman" w:hAnsi="Times New Roman" w:eastAsia="仿宋" w:cs="Times New Roman"/>
              <w:sz w:val="32"/>
            </w:rPr>
            <w:t xml:space="preserve">6 </w:t>
          </w:r>
          <w:r>
            <w:rPr>
              <w:rFonts w:ascii="Times New Roman" w:hAnsi="Times New Roman" w:eastAsia="黑体" w:cs="Times New Roman"/>
              <w:sz w:val="32"/>
            </w:rPr>
            <w:t>后期处置</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_Toc29148 \h </w:instrText>
          </w:r>
          <w:r>
            <w:rPr>
              <w:rFonts w:ascii="Times New Roman" w:hAnsi="Times New Roman" w:cs="Times New Roman"/>
              <w:sz w:val="32"/>
            </w:rPr>
            <w:fldChar w:fldCharType="separate"/>
          </w:r>
          <w:r>
            <w:rPr>
              <w:rFonts w:ascii="Times New Roman" w:hAnsi="Times New Roman" w:cs="Times New Roman"/>
              <w:sz w:val="32"/>
            </w:rPr>
            <w:t>19</w:t>
          </w:r>
          <w:r>
            <w:rPr>
              <w:rFonts w:ascii="Times New Roman" w:hAnsi="Times New Roman" w:cs="Times New Roman"/>
              <w:sz w:val="32"/>
            </w:rPr>
            <w:fldChar w:fldCharType="end"/>
          </w:r>
          <w:r>
            <w:rPr>
              <w:rFonts w:ascii="Times New Roman" w:hAnsi="Times New Roman" w:cs="Times New Roman"/>
              <w:sz w:val="32"/>
            </w:rPr>
            <w:fldChar w:fldCharType="end"/>
          </w:r>
        </w:p>
        <w:p w14:paraId="1432A70B">
          <w:pPr>
            <w:pStyle w:val="19"/>
            <w:tabs>
              <w:tab w:val="right" w:leader="dot" w:pos="8845"/>
            </w:tabs>
            <w:ind w:firstLine="552"/>
            <w:rPr>
              <w:rFonts w:ascii="Times New Roman" w:hAnsi="Times New Roman" w:cs="Times New Roman"/>
              <w:sz w:val="32"/>
            </w:rPr>
          </w:pPr>
          <w:r>
            <w:fldChar w:fldCharType="begin"/>
          </w:r>
          <w:r>
            <w:instrText xml:space="preserve"> HYPERLINK \l "_Toc449" </w:instrText>
          </w:r>
          <w:r>
            <w:fldChar w:fldCharType="separate"/>
          </w:r>
          <w:r>
            <w:rPr>
              <w:rFonts w:ascii="Times New Roman" w:hAnsi="Times New Roman" w:eastAsia="仿宋" w:cs="Times New Roman"/>
              <w:bCs/>
              <w:sz w:val="32"/>
            </w:rPr>
            <w:t xml:space="preserve">6.1 </w:t>
          </w:r>
          <w:r>
            <w:rPr>
              <w:rFonts w:ascii="Times New Roman" w:hAnsi="Times New Roman" w:eastAsia="楷体_GB2312" w:cs="Times New Roman"/>
              <w:sz w:val="32"/>
            </w:rPr>
            <w:t>善后处置</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_Toc449 \h </w:instrText>
          </w:r>
          <w:r>
            <w:rPr>
              <w:rFonts w:ascii="Times New Roman" w:hAnsi="Times New Roman" w:cs="Times New Roman"/>
              <w:sz w:val="32"/>
            </w:rPr>
            <w:fldChar w:fldCharType="separate"/>
          </w:r>
          <w:r>
            <w:rPr>
              <w:rFonts w:ascii="Times New Roman" w:hAnsi="Times New Roman" w:cs="Times New Roman"/>
              <w:sz w:val="32"/>
            </w:rPr>
            <w:t>19</w:t>
          </w:r>
          <w:r>
            <w:rPr>
              <w:rFonts w:ascii="Times New Roman" w:hAnsi="Times New Roman" w:cs="Times New Roman"/>
              <w:sz w:val="32"/>
            </w:rPr>
            <w:fldChar w:fldCharType="end"/>
          </w:r>
          <w:r>
            <w:rPr>
              <w:rFonts w:ascii="Times New Roman" w:hAnsi="Times New Roman" w:cs="Times New Roman"/>
              <w:sz w:val="32"/>
            </w:rPr>
            <w:fldChar w:fldCharType="end"/>
          </w:r>
        </w:p>
        <w:p w14:paraId="30591594">
          <w:pPr>
            <w:pStyle w:val="19"/>
            <w:tabs>
              <w:tab w:val="right" w:leader="dot" w:pos="8845"/>
            </w:tabs>
            <w:ind w:firstLine="552"/>
            <w:rPr>
              <w:rFonts w:ascii="Times New Roman" w:hAnsi="Times New Roman" w:cs="Times New Roman"/>
              <w:sz w:val="32"/>
            </w:rPr>
          </w:pPr>
          <w:r>
            <w:fldChar w:fldCharType="begin"/>
          </w:r>
          <w:r>
            <w:instrText xml:space="preserve"> HYPERLINK \l "_Toc18116" </w:instrText>
          </w:r>
          <w:r>
            <w:fldChar w:fldCharType="separate"/>
          </w:r>
          <w:r>
            <w:rPr>
              <w:rFonts w:ascii="Times New Roman" w:hAnsi="Times New Roman" w:eastAsia="仿宋" w:cs="Times New Roman"/>
              <w:bCs/>
              <w:sz w:val="32"/>
            </w:rPr>
            <w:t xml:space="preserve">6.2 </w:t>
          </w:r>
          <w:r>
            <w:rPr>
              <w:rFonts w:ascii="Times New Roman" w:hAnsi="Times New Roman" w:eastAsia="楷体_GB2312" w:cs="Times New Roman"/>
              <w:sz w:val="32"/>
            </w:rPr>
            <w:t>总结评价</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_Toc18116 \h </w:instrText>
          </w:r>
          <w:r>
            <w:rPr>
              <w:rFonts w:ascii="Times New Roman" w:hAnsi="Times New Roman" w:cs="Times New Roman"/>
              <w:sz w:val="32"/>
            </w:rPr>
            <w:fldChar w:fldCharType="separate"/>
          </w:r>
          <w:r>
            <w:rPr>
              <w:rFonts w:ascii="Times New Roman" w:hAnsi="Times New Roman" w:cs="Times New Roman"/>
              <w:sz w:val="32"/>
            </w:rPr>
            <w:t>19</w:t>
          </w:r>
          <w:r>
            <w:rPr>
              <w:rFonts w:ascii="Times New Roman" w:hAnsi="Times New Roman" w:cs="Times New Roman"/>
              <w:sz w:val="32"/>
            </w:rPr>
            <w:fldChar w:fldCharType="end"/>
          </w:r>
          <w:r>
            <w:rPr>
              <w:rFonts w:ascii="Times New Roman" w:hAnsi="Times New Roman" w:cs="Times New Roman"/>
              <w:sz w:val="32"/>
            </w:rPr>
            <w:fldChar w:fldCharType="end"/>
          </w:r>
        </w:p>
        <w:p w14:paraId="1EC56F65">
          <w:pPr>
            <w:pStyle w:val="18"/>
            <w:rPr>
              <w:rFonts w:ascii="Times New Roman" w:hAnsi="Times New Roman" w:cs="Times New Roman"/>
              <w:sz w:val="32"/>
            </w:rPr>
          </w:pPr>
          <w:r>
            <w:fldChar w:fldCharType="begin"/>
          </w:r>
          <w:r>
            <w:instrText xml:space="preserve"> HYPERLINK \l "_Toc14294" </w:instrText>
          </w:r>
          <w:r>
            <w:fldChar w:fldCharType="separate"/>
          </w:r>
          <w:r>
            <w:rPr>
              <w:rFonts w:ascii="Times New Roman" w:hAnsi="Times New Roman" w:eastAsia="仿宋" w:cs="Times New Roman"/>
              <w:sz w:val="32"/>
            </w:rPr>
            <w:t xml:space="preserve">7 </w:t>
          </w:r>
          <w:r>
            <w:rPr>
              <w:rFonts w:ascii="Times New Roman" w:hAnsi="Times New Roman" w:eastAsia="黑体" w:cs="Times New Roman"/>
              <w:sz w:val="32"/>
            </w:rPr>
            <w:t>保障措施</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_Toc14294 \h </w:instrText>
          </w:r>
          <w:r>
            <w:rPr>
              <w:rFonts w:ascii="Times New Roman" w:hAnsi="Times New Roman" w:cs="Times New Roman"/>
              <w:sz w:val="32"/>
            </w:rPr>
            <w:fldChar w:fldCharType="separate"/>
          </w:r>
          <w:r>
            <w:rPr>
              <w:rFonts w:ascii="Times New Roman" w:hAnsi="Times New Roman" w:cs="Times New Roman"/>
              <w:sz w:val="32"/>
            </w:rPr>
            <w:t>20</w:t>
          </w:r>
          <w:r>
            <w:rPr>
              <w:rFonts w:ascii="Times New Roman" w:hAnsi="Times New Roman" w:cs="Times New Roman"/>
              <w:sz w:val="32"/>
            </w:rPr>
            <w:fldChar w:fldCharType="end"/>
          </w:r>
          <w:r>
            <w:rPr>
              <w:rFonts w:ascii="Times New Roman" w:hAnsi="Times New Roman" w:cs="Times New Roman"/>
              <w:sz w:val="32"/>
            </w:rPr>
            <w:fldChar w:fldCharType="end"/>
          </w:r>
        </w:p>
        <w:p w14:paraId="00B5F57A">
          <w:pPr>
            <w:pStyle w:val="19"/>
            <w:tabs>
              <w:tab w:val="right" w:leader="dot" w:pos="8845"/>
            </w:tabs>
            <w:ind w:firstLine="552"/>
            <w:rPr>
              <w:rFonts w:ascii="Times New Roman" w:hAnsi="Times New Roman" w:cs="Times New Roman"/>
              <w:sz w:val="32"/>
            </w:rPr>
          </w:pPr>
          <w:r>
            <w:fldChar w:fldCharType="begin"/>
          </w:r>
          <w:r>
            <w:instrText xml:space="preserve"> HYPERLINK \l "_Toc2495" </w:instrText>
          </w:r>
          <w:r>
            <w:fldChar w:fldCharType="separate"/>
          </w:r>
          <w:r>
            <w:rPr>
              <w:rFonts w:ascii="Times New Roman" w:hAnsi="Times New Roman" w:eastAsia="仿宋" w:cs="Times New Roman"/>
              <w:bCs/>
              <w:sz w:val="32"/>
            </w:rPr>
            <w:t xml:space="preserve">7.1 </w:t>
          </w:r>
          <w:r>
            <w:rPr>
              <w:rFonts w:ascii="Times New Roman" w:hAnsi="Times New Roman" w:eastAsia="楷体_GB2312" w:cs="Times New Roman"/>
              <w:sz w:val="32"/>
            </w:rPr>
            <w:t>通信保障</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_Toc2495 \h </w:instrText>
          </w:r>
          <w:r>
            <w:rPr>
              <w:rFonts w:ascii="Times New Roman" w:hAnsi="Times New Roman" w:cs="Times New Roman"/>
              <w:sz w:val="32"/>
            </w:rPr>
            <w:fldChar w:fldCharType="separate"/>
          </w:r>
          <w:r>
            <w:rPr>
              <w:rFonts w:ascii="Times New Roman" w:hAnsi="Times New Roman" w:cs="Times New Roman"/>
              <w:sz w:val="32"/>
            </w:rPr>
            <w:t>20</w:t>
          </w:r>
          <w:r>
            <w:rPr>
              <w:rFonts w:ascii="Times New Roman" w:hAnsi="Times New Roman" w:cs="Times New Roman"/>
              <w:sz w:val="32"/>
            </w:rPr>
            <w:fldChar w:fldCharType="end"/>
          </w:r>
          <w:r>
            <w:rPr>
              <w:rFonts w:ascii="Times New Roman" w:hAnsi="Times New Roman" w:cs="Times New Roman"/>
              <w:sz w:val="32"/>
            </w:rPr>
            <w:fldChar w:fldCharType="end"/>
          </w:r>
        </w:p>
        <w:p w14:paraId="73EE956F">
          <w:pPr>
            <w:pStyle w:val="19"/>
            <w:tabs>
              <w:tab w:val="right" w:leader="dot" w:pos="8845"/>
            </w:tabs>
            <w:ind w:firstLine="552"/>
            <w:rPr>
              <w:rFonts w:ascii="Times New Roman" w:hAnsi="Times New Roman" w:cs="Times New Roman"/>
              <w:sz w:val="32"/>
            </w:rPr>
          </w:pPr>
          <w:r>
            <w:fldChar w:fldCharType="begin"/>
          </w:r>
          <w:r>
            <w:instrText xml:space="preserve"> HYPERLINK \l "_Toc13397" </w:instrText>
          </w:r>
          <w:r>
            <w:fldChar w:fldCharType="separate"/>
          </w:r>
          <w:r>
            <w:rPr>
              <w:rFonts w:ascii="Times New Roman" w:hAnsi="Times New Roman" w:eastAsia="仿宋" w:cs="Times New Roman"/>
              <w:bCs/>
              <w:sz w:val="32"/>
            </w:rPr>
            <w:t xml:space="preserve">7.2 </w:t>
          </w:r>
          <w:r>
            <w:rPr>
              <w:rFonts w:ascii="Times New Roman" w:hAnsi="Times New Roman" w:eastAsia="楷体_GB2312" w:cs="Times New Roman"/>
              <w:sz w:val="32"/>
            </w:rPr>
            <w:t>物资保障</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_Toc13397 \h </w:instrText>
          </w:r>
          <w:r>
            <w:rPr>
              <w:rFonts w:ascii="Times New Roman" w:hAnsi="Times New Roman" w:cs="Times New Roman"/>
              <w:sz w:val="32"/>
            </w:rPr>
            <w:fldChar w:fldCharType="separate"/>
          </w:r>
          <w:r>
            <w:rPr>
              <w:rFonts w:ascii="Times New Roman" w:hAnsi="Times New Roman" w:cs="Times New Roman"/>
              <w:sz w:val="32"/>
            </w:rPr>
            <w:t>20</w:t>
          </w:r>
          <w:r>
            <w:rPr>
              <w:rFonts w:ascii="Times New Roman" w:hAnsi="Times New Roman" w:cs="Times New Roman"/>
              <w:sz w:val="32"/>
            </w:rPr>
            <w:fldChar w:fldCharType="end"/>
          </w:r>
          <w:r>
            <w:rPr>
              <w:rFonts w:ascii="Times New Roman" w:hAnsi="Times New Roman" w:cs="Times New Roman"/>
              <w:sz w:val="32"/>
            </w:rPr>
            <w:fldChar w:fldCharType="end"/>
          </w:r>
        </w:p>
        <w:p w14:paraId="70D45E82">
          <w:pPr>
            <w:pStyle w:val="19"/>
            <w:tabs>
              <w:tab w:val="right" w:leader="dot" w:pos="8845"/>
            </w:tabs>
            <w:ind w:firstLine="552"/>
            <w:rPr>
              <w:rFonts w:ascii="Times New Roman" w:hAnsi="Times New Roman" w:cs="Times New Roman"/>
              <w:sz w:val="32"/>
            </w:rPr>
          </w:pPr>
          <w:r>
            <w:fldChar w:fldCharType="begin"/>
          </w:r>
          <w:r>
            <w:instrText xml:space="preserve"> HYPERLINK \l "_Toc25748" </w:instrText>
          </w:r>
          <w:r>
            <w:fldChar w:fldCharType="separate"/>
          </w:r>
          <w:r>
            <w:rPr>
              <w:rFonts w:ascii="Times New Roman" w:hAnsi="Times New Roman" w:eastAsia="仿宋" w:cs="Times New Roman"/>
              <w:bCs/>
              <w:sz w:val="32"/>
            </w:rPr>
            <w:t xml:space="preserve">7.3 </w:t>
          </w:r>
          <w:r>
            <w:rPr>
              <w:rFonts w:ascii="Times New Roman" w:hAnsi="Times New Roman" w:eastAsia="楷体_GB2312" w:cs="Times New Roman"/>
              <w:sz w:val="32"/>
            </w:rPr>
            <w:t>应急队伍保障</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_Toc25748 \h </w:instrText>
          </w:r>
          <w:r>
            <w:rPr>
              <w:rFonts w:ascii="Times New Roman" w:hAnsi="Times New Roman" w:cs="Times New Roman"/>
              <w:sz w:val="32"/>
            </w:rPr>
            <w:fldChar w:fldCharType="separate"/>
          </w:r>
          <w:r>
            <w:rPr>
              <w:rFonts w:ascii="Times New Roman" w:hAnsi="Times New Roman" w:cs="Times New Roman"/>
              <w:sz w:val="32"/>
            </w:rPr>
            <w:t>21</w:t>
          </w:r>
          <w:r>
            <w:rPr>
              <w:rFonts w:ascii="Times New Roman" w:hAnsi="Times New Roman" w:cs="Times New Roman"/>
              <w:sz w:val="32"/>
            </w:rPr>
            <w:fldChar w:fldCharType="end"/>
          </w:r>
          <w:r>
            <w:rPr>
              <w:rFonts w:ascii="Times New Roman" w:hAnsi="Times New Roman" w:cs="Times New Roman"/>
              <w:sz w:val="32"/>
            </w:rPr>
            <w:fldChar w:fldCharType="end"/>
          </w:r>
        </w:p>
        <w:p w14:paraId="4B757A1B">
          <w:pPr>
            <w:pStyle w:val="18"/>
            <w:rPr>
              <w:rFonts w:ascii="Times New Roman" w:hAnsi="Times New Roman" w:cs="Times New Roman"/>
              <w:sz w:val="32"/>
            </w:rPr>
          </w:pPr>
          <w:r>
            <w:fldChar w:fldCharType="begin"/>
          </w:r>
          <w:r>
            <w:instrText xml:space="preserve"> HYPERLINK \l "_Toc20738" </w:instrText>
          </w:r>
          <w:r>
            <w:fldChar w:fldCharType="separate"/>
          </w:r>
          <w:r>
            <w:rPr>
              <w:rFonts w:ascii="Times New Roman" w:hAnsi="Times New Roman" w:eastAsia="仿宋" w:cs="Times New Roman"/>
              <w:sz w:val="32"/>
            </w:rPr>
            <w:t xml:space="preserve">8 </w:t>
          </w:r>
          <w:r>
            <w:rPr>
              <w:rFonts w:ascii="Times New Roman" w:hAnsi="Times New Roman" w:eastAsia="黑体" w:cs="Times New Roman"/>
              <w:sz w:val="32"/>
            </w:rPr>
            <w:t>预案管理</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_Toc20738 \h </w:instrText>
          </w:r>
          <w:r>
            <w:rPr>
              <w:rFonts w:ascii="Times New Roman" w:hAnsi="Times New Roman" w:cs="Times New Roman"/>
              <w:sz w:val="32"/>
            </w:rPr>
            <w:fldChar w:fldCharType="separate"/>
          </w:r>
          <w:r>
            <w:rPr>
              <w:rFonts w:ascii="Times New Roman" w:hAnsi="Times New Roman" w:cs="Times New Roman"/>
              <w:sz w:val="32"/>
            </w:rPr>
            <w:t>21</w:t>
          </w:r>
          <w:r>
            <w:rPr>
              <w:rFonts w:ascii="Times New Roman" w:hAnsi="Times New Roman" w:cs="Times New Roman"/>
              <w:sz w:val="32"/>
            </w:rPr>
            <w:fldChar w:fldCharType="end"/>
          </w:r>
          <w:r>
            <w:rPr>
              <w:rFonts w:ascii="Times New Roman" w:hAnsi="Times New Roman" w:cs="Times New Roman"/>
              <w:sz w:val="32"/>
            </w:rPr>
            <w:fldChar w:fldCharType="end"/>
          </w:r>
        </w:p>
        <w:p w14:paraId="09C7800A">
          <w:pPr>
            <w:pStyle w:val="19"/>
            <w:tabs>
              <w:tab w:val="right" w:leader="dot" w:pos="8845"/>
            </w:tabs>
            <w:ind w:firstLine="552"/>
            <w:rPr>
              <w:rFonts w:ascii="Times New Roman" w:hAnsi="Times New Roman" w:cs="Times New Roman"/>
              <w:sz w:val="32"/>
            </w:rPr>
          </w:pPr>
          <w:r>
            <w:fldChar w:fldCharType="begin"/>
          </w:r>
          <w:r>
            <w:instrText xml:space="preserve"> HYPERLINK \l "_Toc11431" </w:instrText>
          </w:r>
          <w:r>
            <w:fldChar w:fldCharType="separate"/>
          </w:r>
          <w:r>
            <w:rPr>
              <w:rFonts w:ascii="Times New Roman" w:hAnsi="Times New Roman" w:eastAsia="仿宋" w:cs="Times New Roman"/>
              <w:bCs/>
              <w:sz w:val="32"/>
            </w:rPr>
            <w:t xml:space="preserve">8.1 </w:t>
          </w:r>
          <w:r>
            <w:rPr>
              <w:rFonts w:ascii="Times New Roman" w:hAnsi="Times New Roman" w:eastAsia="楷体_GB2312" w:cs="Times New Roman"/>
              <w:sz w:val="32"/>
            </w:rPr>
            <w:t>宣传和演练</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_Toc11431 \h </w:instrText>
          </w:r>
          <w:r>
            <w:rPr>
              <w:rFonts w:ascii="Times New Roman" w:hAnsi="Times New Roman" w:cs="Times New Roman"/>
              <w:sz w:val="32"/>
            </w:rPr>
            <w:fldChar w:fldCharType="separate"/>
          </w:r>
          <w:r>
            <w:rPr>
              <w:rFonts w:ascii="Times New Roman" w:hAnsi="Times New Roman" w:cs="Times New Roman"/>
              <w:sz w:val="32"/>
            </w:rPr>
            <w:t>21</w:t>
          </w:r>
          <w:r>
            <w:rPr>
              <w:rFonts w:ascii="Times New Roman" w:hAnsi="Times New Roman" w:cs="Times New Roman"/>
              <w:sz w:val="32"/>
            </w:rPr>
            <w:fldChar w:fldCharType="end"/>
          </w:r>
          <w:r>
            <w:rPr>
              <w:rFonts w:ascii="Times New Roman" w:hAnsi="Times New Roman" w:cs="Times New Roman"/>
              <w:sz w:val="32"/>
            </w:rPr>
            <w:fldChar w:fldCharType="end"/>
          </w:r>
        </w:p>
        <w:p w14:paraId="33F00B26">
          <w:pPr>
            <w:pStyle w:val="19"/>
            <w:tabs>
              <w:tab w:val="right" w:leader="dot" w:pos="8845"/>
            </w:tabs>
            <w:ind w:firstLine="552"/>
            <w:rPr>
              <w:rFonts w:ascii="Times New Roman" w:hAnsi="Times New Roman" w:cs="Times New Roman"/>
              <w:sz w:val="32"/>
            </w:rPr>
          </w:pPr>
          <w:r>
            <w:fldChar w:fldCharType="begin"/>
          </w:r>
          <w:r>
            <w:instrText xml:space="preserve"> HYPERLINK \l "_Toc11678" </w:instrText>
          </w:r>
          <w:r>
            <w:fldChar w:fldCharType="separate"/>
          </w:r>
          <w:r>
            <w:rPr>
              <w:rFonts w:ascii="Times New Roman" w:hAnsi="Times New Roman" w:eastAsia="仿宋" w:cs="Times New Roman"/>
              <w:bCs/>
              <w:sz w:val="32"/>
            </w:rPr>
            <w:t xml:space="preserve">8.2 </w:t>
          </w:r>
          <w:r>
            <w:rPr>
              <w:rFonts w:ascii="Times New Roman" w:hAnsi="Times New Roman" w:eastAsia="楷体_GB2312" w:cs="Times New Roman"/>
              <w:sz w:val="32"/>
            </w:rPr>
            <w:t>预案更新</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_Toc11678 \h </w:instrText>
          </w:r>
          <w:r>
            <w:rPr>
              <w:rFonts w:ascii="Times New Roman" w:hAnsi="Times New Roman" w:cs="Times New Roman"/>
              <w:sz w:val="32"/>
            </w:rPr>
            <w:fldChar w:fldCharType="separate"/>
          </w:r>
          <w:r>
            <w:rPr>
              <w:rFonts w:ascii="Times New Roman" w:hAnsi="Times New Roman" w:cs="Times New Roman"/>
              <w:sz w:val="32"/>
            </w:rPr>
            <w:t>21</w:t>
          </w:r>
          <w:r>
            <w:rPr>
              <w:rFonts w:ascii="Times New Roman" w:hAnsi="Times New Roman" w:cs="Times New Roman"/>
              <w:sz w:val="32"/>
            </w:rPr>
            <w:fldChar w:fldCharType="end"/>
          </w:r>
          <w:r>
            <w:rPr>
              <w:rFonts w:ascii="Times New Roman" w:hAnsi="Times New Roman" w:cs="Times New Roman"/>
              <w:sz w:val="32"/>
            </w:rPr>
            <w:fldChar w:fldCharType="end"/>
          </w:r>
        </w:p>
        <w:p w14:paraId="469D8CCC">
          <w:pPr>
            <w:pStyle w:val="18"/>
            <w:rPr>
              <w:rFonts w:ascii="Times New Roman" w:hAnsi="Times New Roman" w:cs="Times New Roman"/>
              <w:sz w:val="32"/>
            </w:rPr>
          </w:pPr>
          <w:r>
            <w:fldChar w:fldCharType="begin"/>
          </w:r>
          <w:r>
            <w:instrText xml:space="preserve"> HYPERLINK \l "_Toc19189" </w:instrText>
          </w:r>
          <w:r>
            <w:fldChar w:fldCharType="separate"/>
          </w:r>
          <w:r>
            <w:rPr>
              <w:rFonts w:ascii="Times New Roman" w:hAnsi="Times New Roman" w:eastAsia="仿宋" w:cs="Times New Roman"/>
              <w:sz w:val="32"/>
            </w:rPr>
            <w:t xml:space="preserve">9 </w:t>
          </w:r>
          <w:r>
            <w:rPr>
              <w:rFonts w:ascii="Times New Roman" w:hAnsi="Times New Roman" w:eastAsia="黑体" w:cs="Times New Roman"/>
              <w:sz w:val="32"/>
            </w:rPr>
            <w:t>预案解释与实施</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_Toc19189 \h </w:instrText>
          </w:r>
          <w:r>
            <w:rPr>
              <w:rFonts w:ascii="Times New Roman" w:hAnsi="Times New Roman" w:cs="Times New Roman"/>
              <w:sz w:val="32"/>
            </w:rPr>
            <w:fldChar w:fldCharType="separate"/>
          </w:r>
          <w:r>
            <w:rPr>
              <w:rFonts w:ascii="Times New Roman" w:hAnsi="Times New Roman" w:cs="Times New Roman"/>
              <w:sz w:val="32"/>
            </w:rPr>
            <w:t>22</w:t>
          </w:r>
          <w:r>
            <w:rPr>
              <w:rFonts w:ascii="Times New Roman" w:hAnsi="Times New Roman" w:cs="Times New Roman"/>
              <w:sz w:val="32"/>
            </w:rPr>
            <w:fldChar w:fldCharType="end"/>
          </w:r>
          <w:r>
            <w:rPr>
              <w:rFonts w:ascii="Times New Roman" w:hAnsi="Times New Roman" w:cs="Times New Roman"/>
              <w:sz w:val="32"/>
            </w:rPr>
            <w:fldChar w:fldCharType="end"/>
          </w:r>
        </w:p>
        <w:p w14:paraId="49AF9CD5">
          <w:pPr>
            <w:pStyle w:val="18"/>
            <w:rPr>
              <w:rFonts w:ascii="Times New Roman" w:hAnsi="Times New Roman" w:cs="Times New Roman"/>
              <w:sz w:val="32"/>
            </w:rPr>
          </w:pPr>
          <w:r>
            <w:fldChar w:fldCharType="begin"/>
          </w:r>
          <w:r>
            <w:instrText xml:space="preserve"> HYPERLINK \l "_Toc15977" </w:instrText>
          </w:r>
          <w:r>
            <w:fldChar w:fldCharType="separate"/>
          </w:r>
          <w:r>
            <w:rPr>
              <w:rFonts w:ascii="Times New Roman" w:hAnsi="Times New Roman" w:eastAsia="黑体" w:cs="Times New Roman"/>
              <w:sz w:val="32"/>
            </w:rPr>
            <w:t>附件1：大规模群体性事件分级标准</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_Toc15977 \h </w:instrText>
          </w:r>
          <w:r>
            <w:rPr>
              <w:rFonts w:ascii="Times New Roman" w:hAnsi="Times New Roman" w:cs="Times New Roman"/>
              <w:sz w:val="32"/>
            </w:rPr>
            <w:fldChar w:fldCharType="separate"/>
          </w:r>
          <w:r>
            <w:rPr>
              <w:rFonts w:ascii="Times New Roman" w:hAnsi="Times New Roman" w:cs="Times New Roman"/>
              <w:sz w:val="32"/>
            </w:rPr>
            <w:t>23</w:t>
          </w:r>
          <w:r>
            <w:rPr>
              <w:rFonts w:ascii="Times New Roman" w:hAnsi="Times New Roman" w:cs="Times New Roman"/>
              <w:sz w:val="32"/>
            </w:rPr>
            <w:fldChar w:fldCharType="end"/>
          </w:r>
          <w:r>
            <w:rPr>
              <w:rFonts w:ascii="Times New Roman" w:hAnsi="Times New Roman" w:cs="Times New Roman"/>
              <w:sz w:val="32"/>
            </w:rPr>
            <w:fldChar w:fldCharType="end"/>
          </w:r>
        </w:p>
        <w:p w14:paraId="1D32522D">
          <w:pPr>
            <w:pStyle w:val="15"/>
            <w:ind w:left="0" w:leftChars="0" w:firstLine="0" w:firstLineChars="0"/>
            <w:rPr>
              <w:rFonts w:ascii="Times New Roman" w:hAnsi="Times New Roman" w:eastAsia="仿宋" w:cs="Times New Roman"/>
              <w:b/>
              <w:sz w:val="32"/>
            </w:rPr>
          </w:pPr>
          <w:r>
            <w:rPr>
              <w:rFonts w:ascii="Times New Roman" w:hAnsi="Times New Roman" w:cs="Times New Roman"/>
              <w:sz w:val="32"/>
            </w:rPr>
            <w:fldChar w:fldCharType="end"/>
          </w:r>
        </w:p>
      </w:sdtContent>
    </w:sdt>
    <w:p w14:paraId="7EF23A90">
      <w:pPr>
        <w:pStyle w:val="15"/>
        <w:ind w:left="0" w:leftChars="0" w:firstLine="0" w:firstLineChars="0"/>
        <w:rPr>
          <w:rFonts w:ascii="Times New Roman" w:hAnsi="Times New Roman" w:eastAsia="仿宋" w:cs="Times New Roman"/>
          <w:b/>
          <w:sz w:val="32"/>
        </w:rPr>
      </w:pPr>
    </w:p>
    <w:p w14:paraId="24326FD2">
      <w:pPr>
        <w:spacing w:line="560" w:lineRule="exact"/>
        <w:ind w:firstLine="632"/>
        <w:rPr>
          <w:rFonts w:ascii="Times New Roman" w:hAnsi="Times New Roman" w:cs="Times New Roman"/>
          <w:sz w:val="32"/>
        </w:rPr>
        <w:sectPr>
          <w:footerReference r:id="rId131" w:type="default"/>
          <w:footerReference r:id="rId132" w:type="even"/>
          <w:pgSz w:w="11906" w:h="16838"/>
          <w:pgMar w:top="2098" w:right="1474" w:bottom="1984" w:left="1587" w:header="624" w:footer="1134" w:gutter="0"/>
          <w:pgNumType w:fmt="upperRoman" w:start="1"/>
          <w:cols w:space="0" w:num="1"/>
          <w:docGrid w:type="linesAndChars" w:linePitch="579" w:charSpace="-842"/>
        </w:sectPr>
      </w:pPr>
    </w:p>
    <w:p w14:paraId="4F01B06B">
      <w:pPr>
        <w:pStyle w:val="2"/>
        <w:numPr>
          <w:ilvl w:val="0"/>
          <w:numId w:val="223"/>
        </w:numPr>
        <w:tabs>
          <w:tab w:val="left" w:pos="2211"/>
        </w:tabs>
        <w:ind w:firstLine="0"/>
        <w:rPr>
          <w:rFonts w:ascii="Times New Roman" w:hAnsi="Times New Roman" w:cs="Times New Roman"/>
          <w:sz w:val="32"/>
        </w:rPr>
      </w:pPr>
      <w:bookmarkStart w:id="1281" w:name="_Toc2509"/>
      <w:bookmarkStart w:id="1282" w:name="_Toc11417"/>
      <w:r>
        <w:rPr>
          <w:rFonts w:ascii="Times New Roman" w:hAnsi="Times New Roman" w:cs="Times New Roman"/>
          <w:sz w:val="32"/>
        </w:rPr>
        <w:t>总则</w:t>
      </w:r>
      <w:bookmarkEnd w:id="1281"/>
      <w:bookmarkEnd w:id="1282"/>
    </w:p>
    <w:p w14:paraId="4ED65985">
      <w:pPr>
        <w:pStyle w:val="3"/>
        <w:spacing w:line="560" w:lineRule="exact"/>
        <w:ind w:firstLine="0" w:firstLineChars="0"/>
        <w:rPr>
          <w:rFonts w:ascii="Times New Roman" w:hAnsi="Times New Roman" w:eastAsia="楷体_GB2312" w:cs="Times New Roman"/>
          <w:sz w:val="32"/>
        </w:rPr>
      </w:pPr>
      <w:bookmarkStart w:id="1283" w:name="_Toc3742"/>
      <w:bookmarkStart w:id="1284" w:name="_Toc23349"/>
      <w:r>
        <w:rPr>
          <w:rFonts w:ascii="Times New Roman" w:hAnsi="Times New Roman" w:eastAsia="楷体_GB2312" w:cs="Times New Roman"/>
          <w:sz w:val="32"/>
        </w:rPr>
        <w:t>编制目的</w:t>
      </w:r>
      <w:bookmarkEnd w:id="1283"/>
      <w:bookmarkEnd w:id="1284"/>
    </w:p>
    <w:p w14:paraId="08D771B5">
      <w:pPr>
        <w:spacing w:line="560" w:lineRule="exact"/>
        <w:ind w:firstLine="632"/>
        <w:rPr>
          <w:rFonts w:ascii="Times New Roman" w:hAnsi="Times New Roman" w:cs="Times New Roman"/>
          <w:sz w:val="32"/>
        </w:rPr>
      </w:pPr>
      <w:r>
        <w:rPr>
          <w:rFonts w:ascii="Times New Roman" w:hAnsi="Times New Roman" w:cs="Times New Roman"/>
          <w:sz w:val="32"/>
        </w:rPr>
        <w:t>进一步完善处置群体性事件工作机制，及时、规范处置各类群体性突发事件，最大程度地预防和减少大规模群体性事件的发生，降低事件造成的危害和影响，切实维护我县社会稳定，特制订本预案。</w:t>
      </w:r>
    </w:p>
    <w:p w14:paraId="43C4D66B">
      <w:pPr>
        <w:pStyle w:val="3"/>
        <w:spacing w:line="560" w:lineRule="exact"/>
        <w:ind w:firstLine="0" w:firstLineChars="0"/>
        <w:rPr>
          <w:rFonts w:ascii="Times New Roman" w:hAnsi="Times New Roman" w:eastAsia="楷体_GB2312" w:cs="Times New Roman"/>
          <w:sz w:val="32"/>
        </w:rPr>
      </w:pPr>
      <w:bookmarkStart w:id="1285" w:name="_Toc6368"/>
      <w:bookmarkStart w:id="1286" w:name="_Toc8410"/>
      <w:r>
        <w:rPr>
          <w:rFonts w:ascii="Times New Roman" w:hAnsi="Times New Roman" w:eastAsia="楷体_GB2312" w:cs="Times New Roman"/>
          <w:sz w:val="32"/>
        </w:rPr>
        <w:t>编制依据</w:t>
      </w:r>
      <w:bookmarkEnd w:id="1285"/>
      <w:bookmarkEnd w:id="1286"/>
    </w:p>
    <w:p w14:paraId="55B0CFD2">
      <w:pPr>
        <w:spacing w:line="560" w:lineRule="exact"/>
        <w:ind w:firstLine="632"/>
        <w:rPr>
          <w:rFonts w:ascii="Times New Roman" w:hAnsi="Times New Roman" w:cs="Times New Roman"/>
          <w:sz w:val="32"/>
        </w:rPr>
      </w:pPr>
      <w:r>
        <w:rPr>
          <w:rFonts w:ascii="Times New Roman" w:hAnsi="Times New Roman" w:cs="Times New Roman"/>
          <w:sz w:val="32"/>
        </w:rPr>
        <w:t>依据《中华人民共和国突发事件应对法》《中华人民共和国刑法》《中华人民共和国治安管理处罚法》《中华人民共和国集会游行示威法》《中华人民共和国集会游行示威法实施条例》《国家突发公共事件总体应急预案》《黑龙江省人民政府突发公共事件总体应急预案》《集贤县突发事件总体应急预案》等</w:t>
      </w:r>
      <w:r>
        <w:rPr>
          <w:rFonts w:hint="eastAsia" w:ascii="Times New Roman" w:hAnsi="Times New Roman" w:cs="Times New Roman"/>
          <w:sz w:val="32"/>
        </w:rPr>
        <w:t>法律法规</w:t>
      </w:r>
      <w:r>
        <w:rPr>
          <w:rFonts w:ascii="Times New Roman" w:hAnsi="Times New Roman" w:cs="Times New Roman"/>
          <w:sz w:val="32"/>
        </w:rPr>
        <w:t>、规章和规范性文件，制定本预案。</w:t>
      </w:r>
    </w:p>
    <w:p w14:paraId="270FE5CA">
      <w:pPr>
        <w:pStyle w:val="3"/>
        <w:spacing w:line="560" w:lineRule="exact"/>
        <w:ind w:firstLine="0" w:firstLineChars="0"/>
        <w:rPr>
          <w:rFonts w:ascii="Times New Roman" w:hAnsi="Times New Roman" w:eastAsia="楷体_GB2312" w:cs="Times New Roman"/>
          <w:sz w:val="32"/>
        </w:rPr>
      </w:pPr>
      <w:bookmarkStart w:id="1287" w:name="_Toc11246"/>
      <w:bookmarkStart w:id="1288" w:name="_Toc29478"/>
      <w:r>
        <w:rPr>
          <w:rFonts w:ascii="Times New Roman" w:hAnsi="Times New Roman" w:eastAsia="楷体_GB2312" w:cs="Times New Roman"/>
          <w:sz w:val="32"/>
        </w:rPr>
        <w:t>适用范围</w:t>
      </w:r>
      <w:bookmarkEnd w:id="1287"/>
      <w:bookmarkEnd w:id="1288"/>
    </w:p>
    <w:p w14:paraId="1CF53900">
      <w:pPr>
        <w:spacing w:line="560" w:lineRule="exact"/>
        <w:ind w:firstLine="632"/>
        <w:rPr>
          <w:rFonts w:ascii="Times New Roman" w:hAnsi="Times New Roman" w:cs="Times New Roman"/>
          <w:sz w:val="32"/>
        </w:rPr>
      </w:pPr>
      <w:r>
        <w:rPr>
          <w:rFonts w:ascii="Times New Roman" w:hAnsi="Times New Roman" w:cs="Times New Roman"/>
          <w:sz w:val="32"/>
        </w:rPr>
        <w:t>本预案适用于发生在本县范围内发生大规模群体性事件的应急处置工作。涉及暴乱、动乱或严重骚乱的应对工作，按照有关法律法规和党中央、国务院及省、市、县的有关规定办理。群体性事件主要包括下列危害人民群众生命财产安全、扰乱社会治安秩序的群体性行为，以及造成社会影响的群体性行为：</w:t>
      </w:r>
    </w:p>
    <w:p w14:paraId="7BFFF014">
      <w:pPr>
        <w:spacing w:line="560" w:lineRule="exact"/>
        <w:ind w:firstLine="632"/>
        <w:rPr>
          <w:rFonts w:ascii="Times New Roman" w:hAnsi="Times New Roman" w:cs="Times New Roman"/>
          <w:sz w:val="32"/>
        </w:rPr>
      </w:pPr>
      <w:r>
        <w:rPr>
          <w:rFonts w:ascii="Times New Roman" w:hAnsi="Times New Roman" w:cs="Times New Roman"/>
          <w:sz w:val="32"/>
        </w:rPr>
        <w:t>（1）聚众冲击、围堵党政机关、要害部门、重要场所等重要目标的；</w:t>
      </w:r>
    </w:p>
    <w:p w14:paraId="50A2C51C">
      <w:pPr>
        <w:spacing w:line="560" w:lineRule="exact"/>
        <w:ind w:firstLine="632"/>
        <w:rPr>
          <w:rFonts w:ascii="Times New Roman" w:hAnsi="Times New Roman" w:cs="Times New Roman"/>
          <w:sz w:val="32"/>
        </w:rPr>
      </w:pPr>
      <w:r>
        <w:rPr>
          <w:rFonts w:ascii="Times New Roman" w:hAnsi="Times New Roman" w:cs="Times New Roman"/>
          <w:sz w:val="32"/>
        </w:rPr>
        <w:t>（2）</w:t>
      </w:r>
      <w:r>
        <w:rPr>
          <w:rFonts w:ascii="Times New Roman" w:hAnsi="Times New Roman" w:cs="Times New Roman"/>
          <w:color w:val="000000" w:themeColor="text1"/>
          <w:sz w:val="32"/>
          <w14:textFill>
            <w14:solidFill>
              <w14:schemeClr w14:val="tx1"/>
            </w14:solidFill>
          </w14:textFill>
        </w:rPr>
        <w:t>聚众堵塞铁路、高速公路</w:t>
      </w:r>
      <w:r>
        <w:rPr>
          <w:rFonts w:ascii="Times New Roman" w:hAnsi="Times New Roman" w:cs="Times New Roman"/>
          <w:sz w:val="32"/>
        </w:rPr>
        <w:t>及重要交通枢纽的；</w:t>
      </w:r>
    </w:p>
    <w:p w14:paraId="326FD3B4">
      <w:pPr>
        <w:spacing w:line="560" w:lineRule="exact"/>
        <w:ind w:firstLine="632"/>
        <w:rPr>
          <w:rFonts w:ascii="Times New Roman" w:hAnsi="Times New Roman" w:cs="Times New Roman"/>
          <w:sz w:val="32"/>
        </w:rPr>
      </w:pPr>
      <w:r>
        <w:rPr>
          <w:rFonts w:ascii="Times New Roman" w:hAnsi="Times New Roman" w:cs="Times New Roman"/>
          <w:sz w:val="32"/>
        </w:rPr>
        <w:t>（3）聚众阻挠国家重点工程建设施工的；</w:t>
      </w:r>
    </w:p>
    <w:p w14:paraId="081E0FF6">
      <w:pPr>
        <w:spacing w:line="560" w:lineRule="exact"/>
        <w:ind w:firstLine="632"/>
        <w:rPr>
          <w:rFonts w:ascii="Times New Roman" w:hAnsi="Times New Roman" w:cs="Times New Roman"/>
          <w:sz w:val="32"/>
        </w:rPr>
      </w:pPr>
      <w:r>
        <w:rPr>
          <w:rFonts w:ascii="Times New Roman" w:hAnsi="Times New Roman" w:cs="Times New Roman"/>
          <w:sz w:val="32"/>
        </w:rPr>
        <w:t>（4）聚众哄抢国家仓库、重点工程物资的；</w:t>
      </w:r>
    </w:p>
    <w:p w14:paraId="59972286">
      <w:pPr>
        <w:spacing w:line="560" w:lineRule="exact"/>
        <w:ind w:firstLine="632"/>
        <w:rPr>
          <w:rFonts w:ascii="Times New Roman" w:hAnsi="Times New Roman" w:cs="Times New Roman"/>
          <w:sz w:val="32"/>
        </w:rPr>
      </w:pPr>
      <w:r>
        <w:rPr>
          <w:rFonts w:ascii="Times New Roman" w:hAnsi="Times New Roman" w:cs="Times New Roman"/>
          <w:sz w:val="32"/>
        </w:rPr>
        <w:t>（5）罢工、罢课，违法聚众上访、请愿，非法集会、游行、示威等引起跨地区、跨行业连锁反应的；</w:t>
      </w:r>
    </w:p>
    <w:p w14:paraId="0990F579">
      <w:pPr>
        <w:spacing w:line="560" w:lineRule="exact"/>
        <w:ind w:firstLine="632"/>
        <w:rPr>
          <w:rFonts w:ascii="Times New Roman" w:hAnsi="Times New Roman" w:cs="Times New Roman"/>
          <w:sz w:val="32"/>
        </w:rPr>
      </w:pPr>
      <w:r>
        <w:rPr>
          <w:rFonts w:ascii="Times New Roman" w:hAnsi="Times New Roman" w:cs="Times New Roman"/>
          <w:sz w:val="32"/>
        </w:rPr>
        <w:t>（6）影响社会稳定的非法宗教活动；</w:t>
      </w:r>
    </w:p>
    <w:p w14:paraId="06415369">
      <w:pPr>
        <w:spacing w:line="560" w:lineRule="exact"/>
        <w:ind w:firstLine="632"/>
        <w:rPr>
          <w:rFonts w:ascii="Times New Roman" w:hAnsi="Times New Roman" w:cs="Times New Roman"/>
          <w:sz w:val="32"/>
        </w:rPr>
      </w:pPr>
      <w:r>
        <w:rPr>
          <w:rFonts w:ascii="Times New Roman" w:hAnsi="Times New Roman" w:cs="Times New Roman"/>
          <w:sz w:val="32"/>
        </w:rPr>
        <w:t>（7）严重影响民族团结的大规模事件；</w:t>
      </w:r>
    </w:p>
    <w:p w14:paraId="2E86115F">
      <w:pPr>
        <w:spacing w:line="560" w:lineRule="exact"/>
        <w:ind w:firstLine="632"/>
        <w:rPr>
          <w:rFonts w:ascii="Times New Roman" w:hAnsi="Times New Roman" w:cs="Times New Roman"/>
          <w:sz w:val="32"/>
        </w:rPr>
      </w:pPr>
      <w:r>
        <w:rPr>
          <w:rFonts w:ascii="Times New Roman" w:hAnsi="Times New Roman" w:cs="Times New Roman"/>
          <w:sz w:val="32"/>
        </w:rPr>
        <w:t>（8）造成较大人员伤亡、财产损失的械斗及打、砸、抢、烧事件；</w:t>
      </w:r>
    </w:p>
    <w:p w14:paraId="319936D0">
      <w:pPr>
        <w:spacing w:line="560" w:lineRule="exact"/>
        <w:ind w:firstLine="632"/>
        <w:rPr>
          <w:rFonts w:ascii="Times New Roman" w:hAnsi="Times New Roman" w:cs="Times New Roman"/>
          <w:sz w:val="32"/>
        </w:rPr>
      </w:pPr>
      <w:r>
        <w:rPr>
          <w:rFonts w:ascii="Times New Roman" w:hAnsi="Times New Roman" w:cs="Times New Roman"/>
          <w:sz w:val="32"/>
        </w:rPr>
        <w:t>（9）重大文体、商贸活动中发生的大规模群体性事件；</w:t>
      </w:r>
    </w:p>
    <w:p w14:paraId="0FF9A8FD">
      <w:pPr>
        <w:spacing w:line="560" w:lineRule="exact"/>
        <w:ind w:firstLine="632"/>
        <w:rPr>
          <w:rFonts w:ascii="Times New Roman" w:hAnsi="Times New Roman" w:cs="Times New Roman"/>
          <w:sz w:val="32"/>
        </w:rPr>
      </w:pPr>
      <w:r>
        <w:rPr>
          <w:rFonts w:ascii="Times New Roman" w:hAnsi="Times New Roman" w:cs="Times New Roman"/>
          <w:sz w:val="32"/>
        </w:rPr>
        <w:t>（10）敌对势力和法轮功等邪教组织策划的大规模非法聚集活动；</w:t>
      </w:r>
    </w:p>
    <w:p w14:paraId="6E84CA4B">
      <w:pPr>
        <w:spacing w:line="560" w:lineRule="exact"/>
        <w:ind w:firstLine="632"/>
        <w:rPr>
          <w:rFonts w:ascii="Times New Roman" w:hAnsi="Times New Roman" w:cs="Times New Roman"/>
          <w:sz w:val="32"/>
        </w:rPr>
      </w:pPr>
      <w:r>
        <w:rPr>
          <w:rFonts w:ascii="Times New Roman" w:hAnsi="Times New Roman" w:cs="Times New Roman"/>
          <w:sz w:val="32"/>
        </w:rPr>
        <w:t>（11）其他严重破坏社会秩序、危害公共安全的活动或行为。</w:t>
      </w:r>
    </w:p>
    <w:p w14:paraId="2192331D">
      <w:pPr>
        <w:pStyle w:val="3"/>
        <w:spacing w:line="560" w:lineRule="exact"/>
        <w:ind w:firstLine="0" w:firstLineChars="0"/>
        <w:rPr>
          <w:rFonts w:ascii="Times New Roman" w:hAnsi="Times New Roman" w:eastAsia="楷体_GB2312" w:cs="Times New Roman"/>
          <w:sz w:val="32"/>
        </w:rPr>
      </w:pPr>
      <w:bookmarkStart w:id="1289" w:name="_Toc17752"/>
      <w:bookmarkStart w:id="1290" w:name="_Toc28580"/>
      <w:r>
        <w:rPr>
          <w:rFonts w:ascii="Times New Roman" w:hAnsi="Times New Roman" w:eastAsia="楷体_GB2312" w:cs="Times New Roman"/>
          <w:sz w:val="32"/>
        </w:rPr>
        <w:t>工作原则</w:t>
      </w:r>
      <w:bookmarkEnd w:id="1289"/>
      <w:bookmarkEnd w:id="1290"/>
    </w:p>
    <w:p w14:paraId="08B00B53">
      <w:pPr>
        <w:spacing w:line="560" w:lineRule="exact"/>
        <w:ind w:firstLine="632"/>
        <w:rPr>
          <w:rFonts w:ascii="Times New Roman" w:hAnsi="Times New Roman" w:cs="Times New Roman"/>
          <w:sz w:val="32"/>
        </w:rPr>
      </w:pPr>
      <w:r>
        <w:rPr>
          <w:rFonts w:ascii="Times New Roman" w:hAnsi="Times New Roman" w:cs="Times New Roman"/>
          <w:sz w:val="32"/>
        </w:rPr>
        <w:t>（1）统一领导，分级负责。在县委、县政府统一领导下，坚持“分级响应、条块结合、属地管理”和“谁主管、谁负责”原则，落实岗位责任制。</w:t>
      </w:r>
    </w:p>
    <w:p w14:paraId="35768F3F">
      <w:pPr>
        <w:spacing w:line="560" w:lineRule="exact"/>
        <w:ind w:firstLine="632"/>
        <w:rPr>
          <w:rFonts w:ascii="Times New Roman" w:hAnsi="Times New Roman" w:cs="Times New Roman"/>
          <w:sz w:val="32"/>
        </w:rPr>
      </w:pPr>
      <w:r>
        <w:rPr>
          <w:rFonts w:ascii="Times New Roman" w:hAnsi="Times New Roman" w:cs="Times New Roman"/>
          <w:sz w:val="32"/>
        </w:rPr>
        <w:t>（2）预防为主，化解矛盾。坚持预防为主的工作方针，正确处理改革发展稳定的关系，及时消除群体性事件诱因，从源头上防止涉及群众切身利益的群体性事件的发生。建立健全预警机制，做到早发现、早报告、早控制、早解决，力争将事件控制在萌芽状态、控制在基层。</w:t>
      </w:r>
    </w:p>
    <w:p w14:paraId="357646E1">
      <w:pPr>
        <w:spacing w:line="560" w:lineRule="exact"/>
        <w:ind w:firstLine="632"/>
        <w:rPr>
          <w:rFonts w:ascii="Times New Roman" w:hAnsi="Times New Roman" w:cs="Times New Roman"/>
          <w:sz w:val="32"/>
        </w:rPr>
      </w:pPr>
      <w:r>
        <w:rPr>
          <w:rFonts w:ascii="Times New Roman" w:hAnsi="Times New Roman" w:cs="Times New Roman"/>
          <w:sz w:val="32"/>
        </w:rPr>
        <w:t>（3）依法处置，防止激化。坚持依法行政、依法处置，自觉维护法律法规的权威性和政策的严肃性。注重工作方法和策略，综合运用法律手段和宣传、协商、调解等方法处置群体性事件，慎用警力、慎用强制措施、慎用武器警戒，加强说服教育，防止矛盾激化和事态扩大。对发生暴力行为或严重扰乱社会治安秩序、危害公共安全的事件，及时、果断采取措施，坚决防止违法犯罪行为，尽快平息事态。</w:t>
      </w:r>
    </w:p>
    <w:p w14:paraId="0D913E71">
      <w:pPr>
        <w:spacing w:line="560" w:lineRule="exact"/>
        <w:ind w:firstLine="632"/>
        <w:rPr>
          <w:rFonts w:ascii="Times New Roman" w:hAnsi="Times New Roman" w:cs="Times New Roman"/>
          <w:sz w:val="32"/>
        </w:rPr>
      </w:pPr>
      <w:r>
        <w:rPr>
          <w:rFonts w:ascii="Times New Roman" w:hAnsi="Times New Roman" w:cs="Times New Roman"/>
          <w:sz w:val="32"/>
        </w:rPr>
        <w:t>（4）快速反应，相互配合。群体性事件发生后，应根据现场情况及时启动相应的应急预案，严格落实应急工作责任制。各乡镇、各部门、各单位要相互协作、相互配合，并确保信息收集、情况报告、指挥处置等各环节的紧密衔接，实现信息资源共享，为科学决策提供可靠依据，在最短的时间内控制事态。</w:t>
      </w:r>
    </w:p>
    <w:p w14:paraId="5D997EBC">
      <w:pPr>
        <w:spacing w:line="560" w:lineRule="exact"/>
        <w:ind w:firstLine="632"/>
        <w:rPr>
          <w:rFonts w:ascii="Times New Roman" w:hAnsi="Times New Roman" w:cs="Times New Roman"/>
          <w:sz w:val="32"/>
        </w:rPr>
      </w:pPr>
      <w:r>
        <w:rPr>
          <w:rFonts w:ascii="Times New Roman" w:hAnsi="Times New Roman" w:cs="Times New Roman"/>
          <w:sz w:val="32"/>
        </w:rPr>
        <w:t>（5）加强教育，正确引导。预防和处置群体性事件，将法制宣传、教育疏导工作贯彻整个过程。通过新闻媒体、现场广播、印发通告等方式，广泛宣传有关法律法规和政策，教育群众遵守法律法规，依法维护自身合法权益，通过合法、正当渠道和方式反映问题。群体性事件一般不公开报道，确需报道的，要统一部署，组织好信息发布工作，正确引导舆论。</w:t>
      </w:r>
    </w:p>
    <w:p w14:paraId="06BBEB89">
      <w:pPr>
        <w:pStyle w:val="2"/>
        <w:numPr>
          <w:ilvl w:val="0"/>
          <w:numId w:val="224"/>
        </w:numPr>
        <w:tabs>
          <w:tab w:val="left" w:pos="0"/>
        </w:tabs>
        <w:rPr>
          <w:rFonts w:ascii="Times New Roman" w:hAnsi="Times New Roman" w:cs="Times New Roman"/>
          <w:sz w:val="32"/>
        </w:rPr>
      </w:pPr>
      <w:bookmarkStart w:id="1291" w:name="_Toc7454"/>
      <w:bookmarkStart w:id="1292" w:name="_Toc13548"/>
      <w:r>
        <w:rPr>
          <w:rFonts w:ascii="Times New Roman" w:hAnsi="Times New Roman" w:cs="Times New Roman"/>
          <w:sz w:val="32"/>
        </w:rPr>
        <w:t>组织指挥体系</w:t>
      </w:r>
      <w:bookmarkEnd w:id="1291"/>
      <w:bookmarkEnd w:id="1292"/>
    </w:p>
    <w:p w14:paraId="12C55482">
      <w:pPr>
        <w:spacing w:line="560" w:lineRule="exact"/>
        <w:ind w:firstLine="632"/>
        <w:rPr>
          <w:rFonts w:ascii="Times New Roman" w:hAnsi="Times New Roman" w:cs="Times New Roman"/>
          <w:sz w:val="32"/>
        </w:rPr>
      </w:pPr>
      <w:r>
        <w:rPr>
          <w:rFonts w:ascii="Times New Roman" w:hAnsi="Times New Roman" w:cs="Times New Roman"/>
          <w:sz w:val="32"/>
        </w:rPr>
        <w:t>集贤县人民政府设立集贤县处置大规模群体性事件应急指挥部，各乡镇设立群体性事件指挥机构，负责本行政区域的群体性事件应对处置工作。有关行业（单位）可根据需要设立处置大规模群体性事件应急指挥部，负责本行业（单位）群体性事件工作。</w:t>
      </w:r>
    </w:p>
    <w:p w14:paraId="02AD9320">
      <w:pPr>
        <w:pStyle w:val="3"/>
        <w:spacing w:line="560" w:lineRule="exact"/>
        <w:ind w:firstLine="0" w:firstLineChars="0"/>
        <w:rPr>
          <w:rFonts w:ascii="Times New Roman" w:hAnsi="Times New Roman" w:eastAsia="楷体_GB2312" w:cs="Times New Roman"/>
          <w:sz w:val="32"/>
        </w:rPr>
      </w:pPr>
      <w:bookmarkStart w:id="1293" w:name="_Toc25122"/>
      <w:bookmarkStart w:id="1294" w:name="_Toc24255"/>
      <w:bookmarkStart w:id="1295" w:name="_Toc28145"/>
      <w:r>
        <w:rPr>
          <w:rFonts w:ascii="Times New Roman" w:hAnsi="Times New Roman" w:eastAsia="楷体_GB2312" w:cs="Times New Roman"/>
          <w:sz w:val="32"/>
        </w:rPr>
        <w:t>县处置大规模群体性事件应急指挥部组成及职责</w:t>
      </w:r>
      <w:bookmarkEnd w:id="1293"/>
      <w:bookmarkEnd w:id="1294"/>
      <w:bookmarkEnd w:id="1295"/>
    </w:p>
    <w:p w14:paraId="3D596684">
      <w:pPr>
        <w:pStyle w:val="4"/>
        <w:numPr>
          <w:ilvl w:val="2"/>
          <w:numId w:val="224"/>
        </w:numPr>
        <w:tabs>
          <w:tab w:val="left" w:pos="0"/>
        </w:tabs>
        <w:spacing w:line="560" w:lineRule="exact"/>
        <w:ind w:firstLine="0" w:firstLineChars="0"/>
        <w:rPr>
          <w:rFonts w:ascii="Times New Roman" w:hAnsi="Times New Roman" w:cs="Times New Roman"/>
          <w:sz w:val="32"/>
        </w:rPr>
      </w:pPr>
      <w:r>
        <w:rPr>
          <w:rFonts w:ascii="Times New Roman" w:hAnsi="Times New Roman" w:cs="Times New Roman"/>
          <w:sz w:val="32"/>
        </w:rPr>
        <w:t>县处置大规模群体性事件应急指挥部组成</w:t>
      </w:r>
    </w:p>
    <w:p w14:paraId="77EF8409">
      <w:pPr>
        <w:spacing w:line="560" w:lineRule="exact"/>
        <w:ind w:firstLine="632"/>
        <w:rPr>
          <w:rFonts w:ascii="Times New Roman" w:hAnsi="Times New Roman" w:cs="Times New Roman"/>
          <w:kern w:val="0"/>
          <w:sz w:val="32"/>
        </w:rPr>
      </w:pPr>
      <w:r>
        <w:rPr>
          <w:rFonts w:ascii="Times New Roman" w:hAnsi="Times New Roman" w:cs="Times New Roman"/>
          <w:kern w:val="0"/>
          <w:sz w:val="32"/>
        </w:rPr>
        <w:t>处置大规模群体性事件应急指挥部由总指挥、副总指挥、指挥部成员单位组成。总指挥由县政府副县长、公安局局长担任，副总指挥由公安局分管副局长担任。</w:t>
      </w:r>
    </w:p>
    <w:p w14:paraId="39651A3E">
      <w:pPr>
        <w:spacing w:line="560" w:lineRule="exact"/>
        <w:ind w:firstLine="632"/>
        <w:rPr>
          <w:rFonts w:ascii="Times New Roman" w:hAnsi="Times New Roman" w:cs="Times New Roman"/>
          <w:kern w:val="0"/>
          <w:sz w:val="32"/>
        </w:rPr>
      </w:pPr>
      <w:r>
        <w:rPr>
          <w:rFonts w:ascii="Times New Roman" w:hAnsi="Times New Roman" w:cs="Times New Roman"/>
          <w:kern w:val="0"/>
          <w:sz w:val="32"/>
        </w:rPr>
        <w:t>成员包括：县委宣传部、县发展和改革局、县公安局、县教育和体育局、县民族宗教事务局、县农业农村局、县民政局、县司法局、县财政局、县人力资源和社会保障局、县自然资源局、县住房和城乡建设局、县交通运输局、县水务局、县文化广电和旅游局、县卫生健康局、双鸭山市集贤生态环境局、县融媒体中心、县市场监督管理局、县应急管理局、县信访局、福利屯站派出所、县消防救援大队等单位组成。</w:t>
      </w:r>
      <w:r>
        <w:rPr>
          <w:rFonts w:ascii="Times New Roman" w:hAnsi="Times New Roman" w:cs="Times New Roman"/>
          <w:sz w:val="32"/>
        </w:rPr>
        <w:t>根据工作需要，可增加有关部门和单位负责同志参加。以上成员单位各设联络员1名，负责沟通联络工作。</w:t>
      </w:r>
    </w:p>
    <w:p w14:paraId="73B07614">
      <w:pPr>
        <w:spacing w:line="560" w:lineRule="exact"/>
        <w:ind w:firstLine="632"/>
        <w:rPr>
          <w:rFonts w:ascii="Times New Roman" w:hAnsi="Times New Roman" w:cs="Times New Roman"/>
          <w:sz w:val="32"/>
        </w:rPr>
      </w:pPr>
      <w:r>
        <w:rPr>
          <w:rFonts w:ascii="Times New Roman" w:hAnsi="Times New Roman" w:cs="Times New Roman"/>
          <w:sz w:val="32"/>
        </w:rPr>
        <w:t>处置大规模群体性事件应急指挥部</w:t>
      </w:r>
      <w:r>
        <w:rPr>
          <w:rFonts w:ascii="Times New Roman" w:hAnsi="Times New Roman" w:cs="Times New Roman"/>
          <w:kern w:val="0"/>
          <w:sz w:val="32"/>
        </w:rPr>
        <w:t>办公室设在县公安局，承担处置大规模群体性事件应急指挥部日常工作。办公室主任由公安局分管副局长兼任。</w:t>
      </w:r>
    </w:p>
    <w:p w14:paraId="0C726E62">
      <w:pPr>
        <w:pStyle w:val="4"/>
        <w:numPr>
          <w:ilvl w:val="2"/>
          <w:numId w:val="224"/>
        </w:numPr>
        <w:tabs>
          <w:tab w:val="left" w:pos="0"/>
        </w:tabs>
        <w:spacing w:line="560" w:lineRule="exact"/>
        <w:ind w:firstLine="0" w:firstLineChars="0"/>
        <w:rPr>
          <w:rFonts w:ascii="Times New Roman" w:hAnsi="Times New Roman" w:cs="Times New Roman"/>
          <w:sz w:val="32"/>
        </w:rPr>
      </w:pPr>
      <w:r>
        <w:rPr>
          <w:rFonts w:ascii="Times New Roman" w:hAnsi="Times New Roman" w:cs="Times New Roman"/>
          <w:sz w:val="32"/>
        </w:rPr>
        <w:t>处置大规模群体性事件应急指挥部工作职责</w:t>
      </w:r>
    </w:p>
    <w:p w14:paraId="610512D7">
      <w:pPr>
        <w:spacing w:line="560" w:lineRule="exact"/>
        <w:ind w:firstLine="632"/>
        <w:rPr>
          <w:rFonts w:ascii="Times New Roman" w:hAnsi="Times New Roman" w:cs="Times New Roman"/>
          <w:sz w:val="32"/>
        </w:rPr>
      </w:pPr>
      <w:r>
        <w:rPr>
          <w:rFonts w:ascii="Times New Roman" w:hAnsi="Times New Roman" w:cs="Times New Roman"/>
          <w:sz w:val="32"/>
        </w:rPr>
        <w:t>（1）负责统一领导、指挥、协调事件处置工作；</w:t>
      </w:r>
    </w:p>
    <w:p w14:paraId="03F881AA">
      <w:pPr>
        <w:spacing w:line="560" w:lineRule="exact"/>
        <w:ind w:firstLine="632"/>
        <w:rPr>
          <w:rFonts w:ascii="Times New Roman" w:hAnsi="Times New Roman" w:cs="Times New Roman"/>
          <w:sz w:val="32"/>
        </w:rPr>
      </w:pPr>
      <w:r>
        <w:rPr>
          <w:rFonts w:ascii="Times New Roman" w:hAnsi="Times New Roman" w:cs="Times New Roman"/>
          <w:sz w:val="32"/>
        </w:rPr>
        <w:t>（2）负责确定相关部门、单位的职责及具体分工；</w:t>
      </w:r>
    </w:p>
    <w:p w14:paraId="2D92B703">
      <w:pPr>
        <w:spacing w:line="560" w:lineRule="exact"/>
        <w:ind w:firstLine="632"/>
        <w:rPr>
          <w:rFonts w:ascii="Times New Roman" w:hAnsi="Times New Roman" w:cs="Times New Roman"/>
          <w:sz w:val="32"/>
        </w:rPr>
      </w:pPr>
      <w:r>
        <w:rPr>
          <w:rFonts w:ascii="Times New Roman" w:hAnsi="Times New Roman" w:cs="Times New Roman"/>
          <w:sz w:val="32"/>
        </w:rPr>
        <w:t>（3）负责研究、制定事件处置措施，组织、协调相关部门及单位实施并加强监督；</w:t>
      </w:r>
    </w:p>
    <w:p w14:paraId="2298F2FE">
      <w:pPr>
        <w:spacing w:line="560" w:lineRule="exact"/>
        <w:ind w:firstLine="632"/>
        <w:rPr>
          <w:rFonts w:ascii="Times New Roman" w:hAnsi="Times New Roman" w:cs="Times New Roman"/>
          <w:sz w:val="32"/>
        </w:rPr>
      </w:pPr>
      <w:r>
        <w:rPr>
          <w:rFonts w:ascii="Times New Roman" w:hAnsi="Times New Roman" w:cs="Times New Roman"/>
          <w:sz w:val="32"/>
        </w:rPr>
        <w:t>（4）负责研究、制定信息发布、舆论引导等方面的具体措施。</w:t>
      </w:r>
    </w:p>
    <w:p w14:paraId="2A2CBD75">
      <w:pPr>
        <w:spacing w:line="560" w:lineRule="exact"/>
        <w:ind w:firstLine="632"/>
        <w:rPr>
          <w:rFonts w:ascii="Times New Roman" w:hAnsi="Times New Roman" w:cs="Times New Roman"/>
          <w:sz w:val="32"/>
        </w:rPr>
      </w:pPr>
      <w:r>
        <w:rPr>
          <w:rFonts w:ascii="Times New Roman" w:hAnsi="Times New Roman" w:cs="Times New Roman"/>
          <w:sz w:val="32"/>
        </w:rPr>
        <w:t>（5）负责组织对《应急预案》的培训及进行应急演练。</w:t>
      </w:r>
    </w:p>
    <w:p w14:paraId="25BADFAE">
      <w:pPr>
        <w:pStyle w:val="4"/>
        <w:numPr>
          <w:ilvl w:val="2"/>
          <w:numId w:val="224"/>
        </w:numPr>
        <w:tabs>
          <w:tab w:val="left" w:pos="0"/>
        </w:tabs>
        <w:spacing w:line="560" w:lineRule="exact"/>
        <w:ind w:firstLine="0" w:firstLineChars="0"/>
        <w:rPr>
          <w:rFonts w:ascii="Times New Roman" w:hAnsi="Times New Roman" w:cs="Times New Roman"/>
          <w:sz w:val="32"/>
        </w:rPr>
      </w:pPr>
      <w:r>
        <w:rPr>
          <w:rFonts w:ascii="Times New Roman" w:hAnsi="Times New Roman" w:cs="Times New Roman"/>
          <w:sz w:val="32"/>
        </w:rPr>
        <w:t>处置大规模群体性事件应急指挥部办公室职责</w:t>
      </w:r>
    </w:p>
    <w:p w14:paraId="14F192C1">
      <w:pPr>
        <w:spacing w:line="560" w:lineRule="exact"/>
        <w:ind w:firstLine="632"/>
        <w:rPr>
          <w:rFonts w:ascii="Times New Roman" w:hAnsi="Times New Roman" w:cs="Times New Roman"/>
          <w:sz w:val="32"/>
        </w:rPr>
      </w:pPr>
      <w:r>
        <w:rPr>
          <w:rFonts w:ascii="Times New Roman" w:hAnsi="Times New Roman" w:cs="Times New Roman"/>
          <w:sz w:val="32"/>
        </w:rPr>
        <w:t>落实群体性事件应急处置重大决策的实施；收集汇总突发事件信息，负责向县处置大规模群体性事件应急指挥部报告，并通报县处置大规模群体性事件应急指挥部各成员单位；组织实施群体性事件调查评估，并提出对策；协助和指导乡镇人民政府开展应急处置工作，协调有关部门落实对事发地的支持和帮助；承办县处置大规模群体性事件应急指挥部日常工作。</w:t>
      </w:r>
    </w:p>
    <w:p w14:paraId="33E2D95D">
      <w:pPr>
        <w:pStyle w:val="4"/>
        <w:numPr>
          <w:ilvl w:val="2"/>
          <w:numId w:val="224"/>
        </w:numPr>
        <w:tabs>
          <w:tab w:val="left" w:pos="0"/>
        </w:tabs>
        <w:spacing w:line="560" w:lineRule="exact"/>
        <w:ind w:firstLine="0" w:firstLineChars="0"/>
        <w:rPr>
          <w:rFonts w:ascii="Times New Roman" w:hAnsi="Times New Roman" w:cs="Times New Roman"/>
          <w:sz w:val="32"/>
        </w:rPr>
      </w:pPr>
      <w:r>
        <w:rPr>
          <w:rFonts w:ascii="Times New Roman" w:hAnsi="Times New Roman" w:cs="Times New Roman"/>
          <w:sz w:val="32"/>
        </w:rPr>
        <w:t>成员单位职责</w:t>
      </w:r>
    </w:p>
    <w:p w14:paraId="54D870C8">
      <w:pPr>
        <w:spacing w:line="560" w:lineRule="exact"/>
        <w:ind w:firstLine="634"/>
        <w:rPr>
          <w:rFonts w:ascii="Times New Roman" w:hAnsi="Times New Roman" w:cs="Times New Roman"/>
          <w:sz w:val="32"/>
        </w:rPr>
      </w:pPr>
      <w:r>
        <w:rPr>
          <w:rFonts w:ascii="Times New Roman" w:hAnsi="Times New Roman" w:cs="Times New Roman"/>
          <w:b/>
          <w:bCs/>
          <w:sz w:val="32"/>
        </w:rPr>
        <w:t>县委宣传部：</w:t>
      </w:r>
      <w:r>
        <w:rPr>
          <w:rFonts w:ascii="Times New Roman" w:hAnsi="Times New Roman" w:cs="Times New Roman"/>
          <w:sz w:val="32"/>
        </w:rPr>
        <w:t>负责组织事件处置过程中的新闻宣传报道工作。</w:t>
      </w:r>
    </w:p>
    <w:p w14:paraId="6F2A78FB">
      <w:pPr>
        <w:spacing w:line="560" w:lineRule="exact"/>
        <w:ind w:firstLine="634"/>
        <w:rPr>
          <w:rFonts w:ascii="Times New Roman" w:hAnsi="Times New Roman" w:cs="Times New Roman"/>
          <w:sz w:val="32"/>
        </w:rPr>
      </w:pPr>
      <w:r>
        <w:rPr>
          <w:rFonts w:ascii="Times New Roman" w:hAnsi="Times New Roman" w:cs="Times New Roman"/>
          <w:b/>
          <w:bCs/>
          <w:sz w:val="32"/>
        </w:rPr>
        <w:t>县发展和改革局：</w:t>
      </w:r>
      <w:r>
        <w:rPr>
          <w:rFonts w:ascii="Times New Roman" w:hAnsi="Times New Roman" w:cs="Times New Roman"/>
          <w:sz w:val="32"/>
        </w:rPr>
        <w:t>参与处置因政府投资及其他重大项目、有关经济体制改革和宏观调控政策出台引发的群体性事件。</w:t>
      </w:r>
    </w:p>
    <w:p w14:paraId="5551E876">
      <w:pPr>
        <w:spacing w:line="560" w:lineRule="exact"/>
        <w:ind w:firstLine="634"/>
        <w:rPr>
          <w:rFonts w:ascii="Times New Roman" w:hAnsi="Times New Roman" w:cs="Times New Roman"/>
          <w:sz w:val="32"/>
        </w:rPr>
      </w:pPr>
      <w:r>
        <w:rPr>
          <w:rFonts w:ascii="Times New Roman" w:hAnsi="Times New Roman" w:cs="Times New Roman"/>
          <w:b/>
          <w:bCs/>
          <w:sz w:val="32"/>
        </w:rPr>
        <w:t>县公安局：</w:t>
      </w:r>
      <w:r>
        <w:rPr>
          <w:rFonts w:ascii="Times New Roman" w:hAnsi="Times New Roman" w:cs="Times New Roman"/>
          <w:sz w:val="32"/>
        </w:rPr>
        <w:t>负责县应急指挥部日常工作，负责维护群体性事件现场的治安、交通秩序，依法处置事件中扰乱社会秩序、危害公共安全、侵犯公民人身安全和公私财产安全的行为，协同县信访局做好群体性事件的情报信息工作。</w:t>
      </w:r>
    </w:p>
    <w:p w14:paraId="77390D53">
      <w:pPr>
        <w:spacing w:line="560" w:lineRule="exact"/>
        <w:ind w:firstLine="634"/>
        <w:rPr>
          <w:rFonts w:ascii="Times New Roman" w:hAnsi="Times New Roman" w:cs="Times New Roman"/>
          <w:sz w:val="32"/>
        </w:rPr>
      </w:pPr>
      <w:r>
        <w:rPr>
          <w:rFonts w:ascii="Times New Roman" w:hAnsi="Times New Roman" w:cs="Times New Roman"/>
          <w:b/>
          <w:bCs/>
          <w:sz w:val="32"/>
        </w:rPr>
        <w:t>县教育和体育局：</w:t>
      </w:r>
      <w:r>
        <w:rPr>
          <w:rFonts w:ascii="Times New Roman" w:hAnsi="Times New Roman" w:cs="Times New Roman"/>
          <w:sz w:val="32"/>
        </w:rPr>
        <w:t>参与处置学生、教职员工参与的或教育系统内发生的群体性事件，负责指导做好参与事件学生、教职员工的教育、疏导工作。</w:t>
      </w:r>
    </w:p>
    <w:p w14:paraId="48382D4F">
      <w:pPr>
        <w:spacing w:line="560" w:lineRule="exact"/>
        <w:ind w:firstLine="634"/>
        <w:rPr>
          <w:rFonts w:ascii="Times New Roman" w:hAnsi="Times New Roman" w:cs="Times New Roman"/>
          <w:sz w:val="32"/>
        </w:rPr>
      </w:pPr>
      <w:r>
        <w:rPr>
          <w:rFonts w:ascii="Times New Roman" w:hAnsi="Times New Roman" w:cs="Times New Roman"/>
          <w:b/>
          <w:bCs/>
          <w:sz w:val="32"/>
        </w:rPr>
        <w:t>县民族宗教事务局：</w:t>
      </w:r>
      <w:r>
        <w:rPr>
          <w:rFonts w:ascii="Times New Roman" w:hAnsi="Times New Roman" w:cs="Times New Roman"/>
          <w:sz w:val="32"/>
        </w:rPr>
        <w:t>参与处置因民族、宗教问题引发的群体性事件，配合有关部门做好少数民族群众、信教群众的教育、疏导和劝解工作。</w:t>
      </w:r>
    </w:p>
    <w:p w14:paraId="1C9665E5">
      <w:pPr>
        <w:spacing w:line="560" w:lineRule="exact"/>
        <w:ind w:firstLine="634"/>
        <w:rPr>
          <w:rFonts w:ascii="Times New Roman" w:hAnsi="Times New Roman" w:cs="Times New Roman"/>
          <w:sz w:val="32"/>
        </w:rPr>
      </w:pPr>
      <w:r>
        <w:rPr>
          <w:rFonts w:ascii="Times New Roman" w:hAnsi="Times New Roman" w:cs="Times New Roman"/>
          <w:b/>
          <w:bCs/>
          <w:sz w:val="32"/>
        </w:rPr>
        <w:t>县农业农村局：</w:t>
      </w:r>
      <w:r>
        <w:rPr>
          <w:rFonts w:ascii="Times New Roman" w:hAnsi="Times New Roman" w:cs="Times New Roman"/>
          <w:sz w:val="32"/>
        </w:rPr>
        <w:t>参与处置农村干部以及农民负担、土地承包、农业结构调整等引起的群体性事件;参与处置因耕地、渔场使用权属、道路林木绿化、农药、种子、化肥、新技术推广、农垦经营问题引发的群体性事件</w:t>
      </w:r>
    </w:p>
    <w:p w14:paraId="61C5E544">
      <w:pPr>
        <w:spacing w:line="560" w:lineRule="exact"/>
        <w:ind w:firstLine="634"/>
        <w:rPr>
          <w:rFonts w:ascii="Times New Roman" w:hAnsi="Times New Roman" w:cs="Times New Roman"/>
          <w:sz w:val="32"/>
        </w:rPr>
      </w:pPr>
      <w:r>
        <w:rPr>
          <w:rFonts w:ascii="Times New Roman" w:hAnsi="Times New Roman" w:cs="Times New Roman"/>
          <w:b/>
          <w:bCs/>
          <w:sz w:val="32"/>
        </w:rPr>
        <w:t>县民政局：</w:t>
      </w:r>
      <w:r>
        <w:rPr>
          <w:rFonts w:ascii="Times New Roman" w:hAnsi="Times New Roman" w:cs="Times New Roman"/>
          <w:sz w:val="32"/>
        </w:rPr>
        <w:t>配合业务主管单位处置经民政登记的民间组织参与的群体性事件。</w:t>
      </w:r>
    </w:p>
    <w:p w14:paraId="487C51F7">
      <w:pPr>
        <w:spacing w:line="560" w:lineRule="exact"/>
        <w:ind w:firstLine="634"/>
        <w:rPr>
          <w:rFonts w:ascii="Times New Roman" w:hAnsi="Times New Roman" w:cs="Times New Roman"/>
          <w:sz w:val="32"/>
        </w:rPr>
      </w:pPr>
      <w:r>
        <w:rPr>
          <w:rFonts w:ascii="Times New Roman" w:hAnsi="Times New Roman" w:cs="Times New Roman"/>
          <w:b/>
          <w:bCs/>
          <w:sz w:val="32"/>
        </w:rPr>
        <w:t>县司法局：</w:t>
      </w:r>
      <w:r>
        <w:rPr>
          <w:rFonts w:ascii="Times New Roman" w:hAnsi="Times New Roman" w:cs="Times New Roman"/>
          <w:sz w:val="32"/>
        </w:rPr>
        <w:t>负责律师、人民调解组织、基层司法行政机关参与群体性事件的调处工作，负责协调解决有关行政机关在处置群体性事件中遇到的有关行政执法的政策法律问题。</w:t>
      </w:r>
    </w:p>
    <w:p w14:paraId="605F64EF">
      <w:pPr>
        <w:spacing w:line="560" w:lineRule="exact"/>
        <w:ind w:firstLine="634"/>
        <w:rPr>
          <w:rFonts w:ascii="Times New Roman" w:hAnsi="Times New Roman" w:cs="Times New Roman"/>
          <w:sz w:val="32"/>
        </w:rPr>
      </w:pPr>
      <w:r>
        <w:rPr>
          <w:rFonts w:ascii="Times New Roman" w:hAnsi="Times New Roman" w:cs="Times New Roman"/>
          <w:b/>
          <w:bCs/>
          <w:sz w:val="32"/>
        </w:rPr>
        <w:t>县财政局：</w:t>
      </w:r>
      <w:r>
        <w:rPr>
          <w:rFonts w:ascii="Times New Roman" w:hAnsi="Times New Roman" w:cs="Times New Roman"/>
          <w:sz w:val="32"/>
        </w:rPr>
        <w:t>负责群体性事件处置工作的经费保障，参与处置因财政政策引发的大规模群体性事件。</w:t>
      </w:r>
    </w:p>
    <w:p w14:paraId="21B6619D">
      <w:pPr>
        <w:spacing w:line="560" w:lineRule="exact"/>
        <w:ind w:firstLine="634"/>
        <w:rPr>
          <w:rFonts w:ascii="Times New Roman" w:hAnsi="Times New Roman" w:cs="Times New Roman"/>
          <w:sz w:val="32"/>
        </w:rPr>
      </w:pPr>
      <w:r>
        <w:rPr>
          <w:rFonts w:ascii="Times New Roman" w:hAnsi="Times New Roman" w:cs="Times New Roman"/>
          <w:b/>
          <w:bCs/>
          <w:sz w:val="32"/>
        </w:rPr>
        <w:t>县人力资源和社会保障局：</w:t>
      </w:r>
      <w:r>
        <w:rPr>
          <w:rFonts w:ascii="Times New Roman" w:hAnsi="Times New Roman" w:cs="Times New Roman"/>
          <w:sz w:val="32"/>
        </w:rPr>
        <w:t>参与处置因机关、事业单位人事制度改革引发的群体性事件、因劳动和社会保障、工资待遇、拖欠农民工工资问题引发的群体性事件。</w:t>
      </w:r>
    </w:p>
    <w:p w14:paraId="2D8C0309">
      <w:pPr>
        <w:spacing w:line="560" w:lineRule="exact"/>
        <w:ind w:firstLine="634"/>
        <w:rPr>
          <w:rFonts w:ascii="Times New Roman" w:hAnsi="Times New Roman" w:cs="Times New Roman"/>
          <w:sz w:val="32"/>
        </w:rPr>
      </w:pPr>
      <w:r>
        <w:rPr>
          <w:rFonts w:ascii="Times New Roman" w:hAnsi="Times New Roman" w:cs="Times New Roman"/>
          <w:b/>
          <w:bCs/>
          <w:sz w:val="32"/>
        </w:rPr>
        <w:t>县自然资源局：</w:t>
      </w:r>
      <w:r>
        <w:rPr>
          <w:rFonts w:ascii="Times New Roman" w:hAnsi="Times New Roman" w:cs="Times New Roman"/>
          <w:sz w:val="32"/>
        </w:rPr>
        <w:t>参与处置因土地征收、征用和土地、矿产权属纠纷引发的群体性事件。</w:t>
      </w:r>
    </w:p>
    <w:p w14:paraId="4090FC30">
      <w:pPr>
        <w:spacing w:line="560" w:lineRule="exact"/>
        <w:ind w:firstLine="634"/>
        <w:rPr>
          <w:rFonts w:ascii="Times New Roman" w:hAnsi="Times New Roman" w:cs="Times New Roman"/>
          <w:sz w:val="32"/>
        </w:rPr>
      </w:pPr>
      <w:r>
        <w:rPr>
          <w:rFonts w:ascii="Times New Roman" w:hAnsi="Times New Roman" w:cs="Times New Roman"/>
          <w:b/>
          <w:bCs/>
          <w:sz w:val="32"/>
        </w:rPr>
        <w:t>县住房和城乡建设局：</w:t>
      </w:r>
      <w:r>
        <w:rPr>
          <w:rFonts w:ascii="Times New Roman" w:hAnsi="Times New Roman" w:cs="Times New Roman"/>
          <w:sz w:val="32"/>
        </w:rPr>
        <w:t>参与处置因城市房屋拆迁、改造、违章搭建、拖欠工程款等引发的群体性事件。</w:t>
      </w:r>
    </w:p>
    <w:p w14:paraId="4A41B6A4">
      <w:pPr>
        <w:spacing w:line="560" w:lineRule="exact"/>
        <w:ind w:firstLine="634"/>
        <w:rPr>
          <w:rFonts w:ascii="Times New Roman" w:hAnsi="Times New Roman" w:cs="Times New Roman"/>
          <w:sz w:val="32"/>
        </w:rPr>
      </w:pPr>
      <w:r>
        <w:rPr>
          <w:rFonts w:ascii="Times New Roman" w:hAnsi="Times New Roman" w:cs="Times New Roman"/>
          <w:b/>
          <w:bCs/>
          <w:sz w:val="32"/>
        </w:rPr>
        <w:t>县交通运输局</w:t>
      </w:r>
      <w:r>
        <w:rPr>
          <w:rFonts w:hint="eastAsia" w:ascii="Times New Roman" w:hAnsi="Times New Roman" w:cs="Times New Roman"/>
          <w:b/>
          <w:bCs/>
          <w:sz w:val="32"/>
        </w:rPr>
        <w:t>：</w:t>
      </w:r>
      <w:r>
        <w:rPr>
          <w:rFonts w:ascii="Times New Roman" w:hAnsi="Times New Roman" w:cs="Times New Roman"/>
          <w:sz w:val="32"/>
        </w:rPr>
        <w:t>参与处置因公路、桥梁和水运交通、出租车经营管理等问题引发的群体性事件。</w:t>
      </w:r>
    </w:p>
    <w:p w14:paraId="0FB00464">
      <w:pPr>
        <w:spacing w:line="560" w:lineRule="exact"/>
        <w:ind w:firstLine="634"/>
        <w:rPr>
          <w:rFonts w:ascii="Times New Roman" w:hAnsi="Times New Roman" w:cs="Times New Roman"/>
          <w:sz w:val="32"/>
        </w:rPr>
      </w:pPr>
      <w:r>
        <w:rPr>
          <w:rFonts w:ascii="Times New Roman" w:hAnsi="Times New Roman" w:cs="Times New Roman"/>
          <w:b/>
          <w:bCs/>
          <w:sz w:val="32"/>
        </w:rPr>
        <w:t>县水务局</w:t>
      </w:r>
      <w:r>
        <w:rPr>
          <w:rFonts w:hint="eastAsia" w:ascii="Times New Roman" w:hAnsi="Times New Roman" w:cs="Times New Roman"/>
          <w:b/>
          <w:bCs/>
          <w:sz w:val="32"/>
        </w:rPr>
        <w:t>：</w:t>
      </w:r>
      <w:r>
        <w:rPr>
          <w:rFonts w:ascii="Times New Roman" w:hAnsi="Times New Roman" w:cs="Times New Roman"/>
          <w:sz w:val="32"/>
        </w:rPr>
        <w:t>参与处置因开发利用水资源、防治水旱灾害、水利基础设施建设引发的群体性事件。</w:t>
      </w:r>
    </w:p>
    <w:p w14:paraId="7805CE1B">
      <w:pPr>
        <w:spacing w:line="560" w:lineRule="exact"/>
        <w:ind w:firstLine="634"/>
        <w:rPr>
          <w:rFonts w:ascii="Times New Roman" w:hAnsi="Times New Roman" w:cs="Times New Roman"/>
          <w:sz w:val="32"/>
        </w:rPr>
      </w:pPr>
      <w:r>
        <w:rPr>
          <w:rFonts w:ascii="Times New Roman" w:hAnsi="Times New Roman" w:cs="Times New Roman"/>
          <w:b/>
          <w:bCs/>
          <w:sz w:val="32"/>
        </w:rPr>
        <w:t>县文化广电和旅游局</w:t>
      </w:r>
      <w:r>
        <w:rPr>
          <w:rFonts w:hint="eastAsia" w:ascii="Times New Roman" w:hAnsi="Times New Roman" w:cs="Times New Roman"/>
          <w:b/>
          <w:bCs/>
          <w:sz w:val="32"/>
        </w:rPr>
        <w:t>：</w:t>
      </w:r>
      <w:r>
        <w:rPr>
          <w:rFonts w:ascii="Times New Roman" w:hAnsi="Times New Roman" w:cs="Times New Roman"/>
          <w:sz w:val="32"/>
        </w:rPr>
        <w:t>参与处置因文化活动、旅游活动引发的群体性事件。</w:t>
      </w:r>
    </w:p>
    <w:p w14:paraId="0C32C90D">
      <w:pPr>
        <w:spacing w:line="560" w:lineRule="exact"/>
        <w:ind w:firstLine="634"/>
        <w:rPr>
          <w:rFonts w:ascii="Times New Roman" w:hAnsi="Times New Roman" w:cs="Times New Roman"/>
          <w:sz w:val="32"/>
        </w:rPr>
      </w:pPr>
      <w:r>
        <w:rPr>
          <w:rFonts w:ascii="Times New Roman" w:hAnsi="Times New Roman" w:cs="Times New Roman"/>
          <w:b/>
          <w:bCs/>
          <w:sz w:val="32"/>
        </w:rPr>
        <w:t>县卫生健康局：</w:t>
      </w:r>
      <w:r>
        <w:rPr>
          <w:rFonts w:ascii="Times New Roman" w:hAnsi="Times New Roman" w:cs="Times New Roman"/>
          <w:sz w:val="32"/>
        </w:rPr>
        <w:t>参与处置因医疗、公共卫生问题引发的群体性事件；负责组织协调群体性事件的医疗卫生救援工作，并根据需要提供医疗卫生技术支持；参与处置因人口与计划生育引发的群体性事件。</w:t>
      </w:r>
    </w:p>
    <w:p w14:paraId="19647D7D">
      <w:pPr>
        <w:spacing w:line="560" w:lineRule="exact"/>
        <w:ind w:firstLine="634"/>
        <w:rPr>
          <w:rFonts w:ascii="Times New Roman" w:hAnsi="Times New Roman" w:cs="Times New Roman"/>
          <w:sz w:val="32"/>
        </w:rPr>
      </w:pPr>
      <w:r>
        <w:rPr>
          <w:rFonts w:ascii="Times New Roman" w:hAnsi="Times New Roman" w:cs="Times New Roman"/>
          <w:b/>
          <w:bCs/>
          <w:sz w:val="32"/>
        </w:rPr>
        <w:t>双鸭山市集贤生态环境局：</w:t>
      </w:r>
      <w:r>
        <w:rPr>
          <w:rFonts w:ascii="Times New Roman" w:hAnsi="Times New Roman" w:cs="Times New Roman"/>
          <w:sz w:val="32"/>
        </w:rPr>
        <w:t>参与处置因环境保护、污染问题引发的群体性事件。</w:t>
      </w:r>
    </w:p>
    <w:p w14:paraId="4A4E1EF2">
      <w:pPr>
        <w:spacing w:line="560" w:lineRule="exact"/>
        <w:ind w:firstLine="634"/>
        <w:rPr>
          <w:rFonts w:ascii="Times New Roman" w:hAnsi="Times New Roman" w:cs="Times New Roman"/>
          <w:sz w:val="32"/>
        </w:rPr>
      </w:pPr>
      <w:r>
        <w:rPr>
          <w:rFonts w:ascii="Times New Roman" w:hAnsi="Times New Roman" w:cs="Times New Roman"/>
          <w:b/>
          <w:bCs/>
          <w:sz w:val="32"/>
        </w:rPr>
        <w:t>县融媒体中心：</w:t>
      </w:r>
      <w:r>
        <w:rPr>
          <w:rFonts w:ascii="Times New Roman" w:hAnsi="Times New Roman" w:cs="Times New Roman"/>
          <w:sz w:val="32"/>
        </w:rPr>
        <w:t>参与处置因广播影视节目相关内容引发的群体性事件。</w:t>
      </w:r>
    </w:p>
    <w:p w14:paraId="3C17A0A8">
      <w:pPr>
        <w:spacing w:line="560" w:lineRule="exact"/>
        <w:ind w:firstLine="634"/>
        <w:rPr>
          <w:rFonts w:ascii="Times New Roman" w:hAnsi="Times New Roman" w:cs="Times New Roman"/>
          <w:sz w:val="32"/>
        </w:rPr>
      </w:pPr>
      <w:r>
        <w:rPr>
          <w:rFonts w:ascii="Times New Roman" w:hAnsi="Times New Roman" w:cs="Times New Roman"/>
          <w:b/>
          <w:bCs/>
          <w:sz w:val="32"/>
        </w:rPr>
        <w:t>县市场监督管理局：</w:t>
      </w:r>
      <w:r>
        <w:rPr>
          <w:rFonts w:ascii="Times New Roman" w:hAnsi="Times New Roman" w:cs="Times New Roman"/>
          <w:sz w:val="32"/>
        </w:rPr>
        <w:t>参与处置因工商行政管理、制假、造假等违法犯罪活动引发的群体性事件。</w:t>
      </w:r>
    </w:p>
    <w:p w14:paraId="5454134F">
      <w:pPr>
        <w:spacing w:line="560" w:lineRule="exact"/>
        <w:ind w:firstLine="634"/>
        <w:rPr>
          <w:rFonts w:ascii="Times New Roman" w:hAnsi="Times New Roman" w:cs="Times New Roman"/>
          <w:sz w:val="32"/>
        </w:rPr>
      </w:pPr>
      <w:r>
        <w:rPr>
          <w:rFonts w:ascii="Times New Roman" w:hAnsi="Times New Roman" w:cs="Times New Roman"/>
          <w:b/>
          <w:bCs/>
          <w:sz w:val="32"/>
        </w:rPr>
        <w:t>县应急管理局：</w:t>
      </w:r>
      <w:r>
        <w:rPr>
          <w:rFonts w:ascii="Times New Roman" w:hAnsi="Times New Roman" w:cs="Times New Roman"/>
          <w:sz w:val="32"/>
        </w:rPr>
        <w:t>参与处置因安全生产事故引发的群体性事件。</w:t>
      </w:r>
    </w:p>
    <w:p w14:paraId="3F091E3E">
      <w:pPr>
        <w:spacing w:line="560" w:lineRule="exact"/>
        <w:ind w:firstLine="634"/>
        <w:rPr>
          <w:rFonts w:ascii="Times New Roman" w:hAnsi="Times New Roman" w:cs="Times New Roman"/>
          <w:sz w:val="32"/>
        </w:rPr>
      </w:pPr>
      <w:r>
        <w:rPr>
          <w:rFonts w:ascii="Times New Roman" w:hAnsi="Times New Roman" w:cs="Times New Roman"/>
          <w:b/>
          <w:bCs/>
          <w:sz w:val="32"/>
        </w:rPr>
        <w:t>县信访局：</w:t>
      </w:r>
      <w:r>
        <w:rPr>
          <w:rFonts w:ascii="Times New Roman" w:hAnsi="Times New Roman" w:cs="Times New Roman"/>
          <w:sz w:val="32"/>
        </w:rPr>
        <w:t>参与处置因信访突出问题引发的群体性事件。</w:t>
      </w:r>
    </w:p>
    <w:p w14:paraId="35CC594A">
      <w:pPr>
        <w:spacing w:line="560" w:lineRule="exact"/>
        <w:ind w:firstLine="634"/>
        <w:rPr>
          <w:rFonts w:ascii="Times New Roman" w:hAnsi="Times New Roman" w:cs="Times New Roman"/>
          <w:sz w:val="32"/>
        </w:rPr>
      </w:pPr>
      <w:r>
        <w:rPr>
          <w:rFonts w:ascii="Times New Roman" w:hAnsi="Times New Roman" w:cs="Times New Roman"/>
          <w:b/>
          <w:bCs/>
          <w:sz w:val="32"/>
        </w:rPr>
        <w:t>福利屯站派出所：</w:t>
      </w:r>
      <w:r>
        <w:rPr>
          <w:rFonts w:ascii="Times New Roman" w:hAnsi="Times New Roman" w:cs="Times New Roman"/>
          <w:sz w:val="32"/>
        </w:rPr>
        <w:t>参与处置拦截列车、冲击火车站等群体性事件。</w:t>
      </w:r>
    </w:p>
    <w:p w14:paraId="7D24C4B0">
      <w:pPr>
        <w:spacing w:line="560" w:lineRule="exact"/>
        <w:ind w:firstLine="634"/>
        <w:rPr>
          <w:rFonts w:ascii="Times New Roman" w:hAnsi="Times New Roman" w:cs="Times New Roman"/>
          <w:sz w:val="32"/>
        </w:rPr>
      </w:pPr>
      <w:r>
        <w:rPr>
          <w:rFonts w:ascii="Times New Roman" w:hAnsi="Times New Roman" w:cs="Times New Roman"/>
          <w:b/>
          <w:bCs/>
          <w:sz w:val="32"/>
        </w:rPr>
        <w:t>县消防救援大队：</w:t>
      </w:r>
      <w:r>
        <w:rPr>
          <w:rFonts w:ascii="Times New Roman" w:hAnsi="Times New Roman" w:cs="Times New Roman"/>
          <w:sz w:val="32"/>
        </w:rPr>
        <w:t>保证重要位置的消防安全，出现火灾及时扑灭，配合县指挥部参与应急救援。</w:t>
      </w:r>
    </w:p>
    <w:p w14:paraId="2CB8BF99">
      <w:pPr>
        <w:spacing w:line="560" w:lineRule="exact"/>
        <w:ind w:firstLine="632"/>
        <w:rPr>
          <w:rFonts w:ascii="Times New Roman" w:hAnsi="Times New Roman" w:cs="Times New Roman"/>
          <w:sz w:val="32"/>
        </w:rPr>
      </w:pPr>
      <w:r>
        <w:rPr>
          <w:rFonts w:ascii="Times New Roman" w:hAnsi="Times New Roman" w:cs="Times New Roman"/>
          <w:sz w:val="32"/>
        </w:rPr>
        <w:t>其他有关部门和单位应按照各自职责，或根据县指挥部安排，积极承担相应的群体性事件应急处置任务。</w:t>
      </w:r>
    </w:p>
    <w:p w14:paraId="69C97FB6">
      <w:pPr>
        <w:pStyle w:val="3"/>
        <w:spacing w:line="560" w:lineRule="exact"/>
        <w:ind w:firstLine="0" w:firstLineChars="0"/>
        <w:rPr>
          <w:rFonts w:ascii="Times New Roman" w:hAnsi="Times New Roman" w:eastAsia="楷体_GB2312" w:cs="Times New Roman"/>
          <w:sz w:val="32"/>
        </w:rPr>
      </w:pPr>
      <w:bookmarkStart w:id="1296" w:name="_Toc26229"/>
      <w:bookmarkStart w:id="1297" w:name="_Toc13941"/>
      <w:r>
        <w:rPr>
          <w:rFonts w:ascii="Times New Roman" w:hAnsi="Times New Roman" w:eastAsia="楷体_GB2312" w:cs="Times New Roman"/>
          <w:sz w:val="32"/>
        </w:rPr>
        <w:t>现场应急指挥部</w:t>
      </w:r>
      <w:bookmarkEnd w:id="1296"/>
      <w:bookmarkEnd w:id="1297"/>
    </w:p>
    <w:p w14:paraId="1F92BF1A">
      <w:pPr>
        <w:spacing w:line="560" w:lineRule="exact"/>
        <w:ind w:firstLine="632"/>
        <w:rPr>
          <w:rFonts w:ascii="Times New Roman" w:hAnsi="Times New Roman" w:cs="Times New Roman"/>
          <w:sz w:val="32"/>
        </w:rPr>
      </w:pPr>
      <w:r>
        <w:rPr>
          <w:rFonts w:ascii="Times New Roman" w:hAnsi="Times New Roman" w:cs="Times New Roman"/>
          <w:sz w:val="32"/>
        </w:rPr>
        <w:t>群体性事件发生后，由事发地乡镇人民政府组成现场应急指挥部，乡镇党委、政府主要负责人担任现场指挥，成员为有关部门负责人。</w:t>
      </w:r>
    </w:p>
    <w:p w14:paraId="1490AA36">
      <w:pPr>
        <w:spacing w:line="560" w:lineRule="exact"/>
        <w:ind w:firstLine="632"/>
        <w:rPr>
          <w:rFonts w:ascii="Times New Roman" w:hAnsi="Times New Roman" w:cs="Times New Roman"/>
          <w:sz w:val="32"/>
        </w:rPr>
      </w:pPr>
      <w:r>
        <w:rPr>
          <w:rFonts w:ascii="Times New Roman" w:hAnsi="Times New Roman" w:cs="Times New Roman"/>
          <w:sz w:val="32"/>
        </w:rPr>
        <w:t>发生跨区域群体性事件，由县指挥部确定现场应急指挥部组成、设置地点及负责人。</w:t>
      </w:r>
    </w:p>
    <w:p w14:paraId="68FAA293">
      <w:pPr>
        <w:spacing w:line="560" w:lineRule="exact"/>
        <w:ind w:firstLine="632"/>
        <w:rPr>
          <w:rFonts w:ascii="Times New Roman" w:hAnsi="Times New Roman" w:cs="Times New Roman"/>
          <w:sz w:val="32"/>
        </w:rPr>
      </w:pPr>
      <w:r>
        <w:rPr>
          <w:rFonts w:ascii="Times New Roman" w:hAnsi="Times New Roman" w:cs="Times New Roman"/>
          <w:sz w:val="32"/>
        </w:rPr>
        <w:t>其中，聚众冲击、围堵党政军机关、要害部门、重要场所等重要警卫目标的，县委宣传部、县公安局、县应急管理局、县信访局、县卫生健康局等有关部门，事件涉及单位及主管部门必须第一时间赶赴现场开展处置工作；</w:t>
      </w:r>
    </w:p>
    <w:p w14:paraId="61B032B0">
      <w:pPr>
        <w:spacing w:line="560" w:lineRule="exact"/>
        <w:ind w:firstLine="632"/>
        <w:rPr>
          <w:rFonts w:ascii="Times New Roman" w:hAnsi="Times New Roman" w:cs="Times New Roman"/>
          <w:sz w:val="32"/>
        </w:rPr>
      </w:pPr>
      <w:r>
        <w:rPr>
          <w:rFonts w:ascii="Times New Roman" w:hAnsi="Times New Roman" w:cs="Times New Roman"/>
          <w:sz w:val="32"/>
        </w:rPr>
        <w:t>聚众堵塞铁路、高速公路及重要交通枢纽的，县委宣传部、县公安局、县应急管理局、县信访局、县卫生健康局、县交通运输局、铁路派出所等有关部门，事件涉及单位及主管部门必须第一时间赶赴现场开展处置工作；</w:t>
      </w:r>
    </w:p>
    <w:p w14:paraId="41E27042">
      <w:pPr>
        <w:spacing w:line="560" w:lineRule="exact"/>
        <w:ind w:firstLine="632"/>
        <w:rPr>
          <w:rFonts w:ascii="Times New Roman" w:hAnsi="Times New Roman" w:cs="Times New Roman"/>
          <w:sz w:val="32"/>
        </w:rPr>
      </w:pPr>
      <w:r>
        <w:rPr>
          <w:rFonts w:ascii="Times New Roman" w:hAnsi="Times New Roman" w:cs="Times New Roman"/>
          <w:sz w:val="32"/>
        </w:rPr>
        <w:t>聚众阻挠国家重点工程建设施工的，县委宣传部、县发展和改革局、县公安局、县应急管理局、县信访局、县卫生健康局等有关部门，事件涉及单位及主管部门必须第一时间赶赴现场开展处置工作；</w:t>
      </w:r>
    </w:p>
    <w:p w14:paraId="7AA9AFFC">
      <w:pPr>
        <w:spacing w:line="560" w:lineRule="exact"/>
        <w:ind w:firstLine="632"/>
        <w:rPr>
          <w:rFonts w:ascii="Times New Roman" w:hAnsi="Times New Roman" w:cs="Times New Roman"/>
          <w:sz w:val="32"/>
        </w:rPr>
      </w:pPr>
      <w:r>
        <w:rPr>
          <w:rFonts w:ascii="Times New Roman" w:hAnsi="Times New Roman" w:cs="Times New Roman"/>
          <w:sz w:val="32"/>
        </w:rPr>
        <w:t>聚众哄抢国家仓库、重点工程物资的，县委宣传部、县商务局、县公安局、县应急管理局、县信访局、县卫生健康局等有关部门，事件涉及单位及主管部门必须第一时间赶赴现场开展处置工作；</w:t>
      </w:r>
    </w:p>
    <w:p w14:paraId="5BFE7C72">
      <w:pPr>
        <w:spacing w:line="560" w:lineRule="exact"/>
        <w:ind w:firstLine="632"/>
        <w:rPr>
          <w:rFonts w:ascii="Times New Roman" w:hAnsi="Times New Roman" w:cs="Times New Roman"/>
          <w:sz w:val="32"/>
        </w:rPr>
      </w:pPr>
      <w:r>
        <w:rPr>
          <w:rFonts w:ascii="Times New Roman" w:hAnsi="Times New Roman" w:cs="Times New Roman"/>
          <w:sz w:val="32"/>
        </w:rPr>
        <w:t>罢工、罢课，违法聚众上访、请愿，非法集会、游行、示威等，县委宣传部、县公安局、县应急管理局、县信访局、县卫生健康局、县教育和体育局等有关部门，事件涉及单位及主管部门必须第一时间赶赴现场开展处置工作；</w:t>
      </w:r>
    </w:p>
    <w:p w14:paraId="1A4E75B3">
      <w:pPr>
        <w:spacing w:line="560" w:lineRule="exact"/>
        <w:ind w:firstLine="632"/>
        <w:rPr>
          <w:rFonts w:ascii="Times New Roman" w:hAnsi="Times New Roman" w:cs="Times New Roman"/>
          <w:sz w:val="32"/>
        </w:rPr>
      </w:pPr>
      <w:r>
        <w:rPr>
          <w:rFonts w:ascii="Times New Roman" w:hAnsi="Times New Roman" w:cs="Times New Roman"/>
          <w:sz w:val="32"/>
        </w:rPr>
        <w:t>发生影响社会稳定的非法宗教活动的，县委宣传部、县公安局、县应急管理局、县卫生健康局、县信访局、县民族宗教事务局等有关部门，事件涉及单位及主管部门必须第一时间赶赴现场开展处置工作；</w:t>
      </w:r>
    </w:p>
    <w:p w14:paraId="18D0BE9F">
      <w:pPr>
        <w:spacing w:line="560" w:lineRule="exact"/>
        <w:ind w:firstLine="632"/>
        <w:rPr>
          <w:rFonts w:ascii="Times New Roman" w:hAnsi="Times New Roman" w:cs="Times New Roman"/>
          <w:sz w:val="32"/>
        </w:rPr>
      </w:pPr>
      <w:r>
        <w:rPr>
          <w:rFonts w:ascii="Times New Roman" w:hAnsi="Times New Roman" w:cs="Times New Roman"/>
          <w:sz w:val="32"/>
        </w:rPr>
        <w:t>发生严重影响民族团结的大规模事件的，县委宣传部、县公安局、县应急管理局、县卫生健康局、县信访局、县民族宗教事务局等有关部门，事件涉及单位及主管部门必须第一时间赶赴现场开展处置工作；</w:t>
      </w:r>
    </w:p>
    <w:p w14:paraId="12BA8F57">
      <w:pPr>
        <w:spacing w:line="560" w:lineRule="exact"/>
        <w:ind w:firstLine="632"/>
        <w:rPr>
          <w:rFonts w:ascii="Times New Roman" w:hAnsi="Times New Roman" w:cs="Times New Roman"/>
          <w:sz w:val="32"/>
        </w:rPr>
      </w:pPr>
      <w:r>
        <w:rPr>
          <w:rFonts w:ascii="Times New Roman" w:hAnsi="Times New Roman" w:cs="Times New Roman"/>
          <w:sz w:val="32"/>
        </w:rPr>
        <w:t>发生造成较大人员伤亡、财产损失的械斗及打、砸、抢、烧事件的，县委宣传部、县公安局、县应急管理局、县卫生健康局等有关部门，事件涉及单位及主管部门必须第一时间赶赴现场开展处置工作；</w:t>
      </w:r>
    </w:p>
    <w:p w14:paraId="5545884E">
      <w:pPr>
        <w:spacing w:line="560" w:lineRule="exact"/>
        <w:ind w:firstLine="632"/>
        <w:rPr>
          <w:rFonts w:ascii="Times New Roman" w:hAnsi="Times New Roman" w:cs="Times New Roman"/>
          <w:sz w:val="32"/>
        </w:rPr>
      </w:pPr>
      <w:r>
        <w:rPr>
          <w:rFonts w:ascii="Times New Roman" w:hAnsi="Times New Roman" w:cs="Times New Roman"/>
          <w:sz w:val="32"/>
        </w:rPr>
        <w:t>在重大文体、商贸活动中发生的大规模群体性事件，县委宣传部、县公安局、县应急管理局、县卫生健康局、县信访局、县文化广电和旅游局、县发展和改革局等有关部门，事件涉及单位及主管部门必须第一时间赶赴现场开展处置工作；</w:t>
      </w:r>
    </w:p>
    <w:p w14:paraId="20491869">
      <w:pPr>
        <w:spacing w:line="560" w:lineRule="exact"/>
        <w:ind w:firstLine="632"/>
        <w:rPr>
          <w:rFonts w:ascii="Times New Roman" w:hAnsi="Times New Roman" w:cs="Times New Roman"/>
          <w:sz w:val="32"/>
        </w:rPr>
      </w:pPr>
      <w:r>
        <w:rPr>
          <w:rFonts w:ascii="Times New Roman" w:hAnsi="Times New Roman" w:cs="Times New Roman"/>
          <w:sz w:val="32"/>
        </w:rPr>
        <w:t>发生敌对势力和法轮功等邪教组织策划的大规模非法聚集活动的，县委宣传部、县公安局、县应急管理局、县卫生健康局等有关部门，事件涉及单位及主管部门必须第一时间赶赴现场开展处置工作。</w:t>
      </w:r>
    </w:p>
    <w:p w14:paraId="5A8C9BEC">
      <w:pPr>
        <w:spacing w:line="560" w:lineRule="exact"/>
        <w:ind w:firstLine="632"/>
        <w:rPr>
          <w:rFonts w:ascii="Times New Roman" w:hAnsi="Times New Roman" w:cs="Times New Roman"/>
          <w:sz w:val="32"/>
        </w:rPr>
      </w:pPr>
      <w:r>
        <w:rPr>
          <w:rFonts w:ascii="Times New Roman" w:hAnsi="Times New Roman" w:cs="Times New Roman"/>
          <w:sz w:val="32"/>
        </w:rPr>
        <w:t>群体性事件现场指挥部负责事件处置前工作部署、下达现场处置指令，具体组织实施现场处置工作，做好应急和增援准备；全面掌握事态发生发展，及时报告情况，提出具体处置建议，根据上级指挥机构指示，组织现场善后处置。</w:t>
      </w:r>
    </w:p>
    <w:p w14:paraId="6129BD29">
      <w:pPr>
        <w:pStyle w:val="3"/>
        <w:spacing w:line="560" w:lineRule="exact"/>
        <w:ind w:firstLine="0" w:firstLineChars="0"/>
        <w:rPr>
          <w:rFonts w:ascii="Times New Roman" w:hAnsi="Times New Roman" w:eastAsia="楷体_GB2312" w:cs="Times New Roman"/>
          <w:sz w:val="32"/>
        </w:rPr>
      </w:pPr>
      <w:bookmarkStart w:id="1298" w:name="_Toc8609"/>
      <w:bookmarkStart w:id="1299" w:name="_Toc26947"/>
      <w:bookmarkStart w:id="1300" w:name="_Toc10546"/>
      <w:r>
        <w:rPr>
          <w:rFonts w:ascii="Times New Roman" w:hAnsi="Times New Roman" w:eastAsia="楷体_GB2312" w:cs="Times New Roman"/>
          <w:sz w:val="32"/>
        </w:rPr>
        <w:t>专家组组成及职责</w:t>
      </w:r>
      <w:bookmarkEnd w:id="1298"/>
      <w:bookmarkEnd w:id="1299"/>
      <w:bookmarkEnd w:id="1300"/>
    </w:p>
    <w:p w14:paraId="746B8399">
      <w:pPr>
        <w:spacing w:line="560" w:lineRule="exact"/>
        <w:ind w:firstLine="632"/>
        <w:rPr>
          <w:rFonts w:ascii="Times New Roman" w:hAnsi="Times New Roman" w:cs="Times New Roman"/>
          <w:sz w:val="32"/>
        </w:rPr>
      </w:pPr>
      <w:r>
        <w:rPr>
          <w:rFonts w:ascii="Times New Roman" w:hAnsi="Times New Roman" w:cs="Times New Roman"/>
          <w:sz w:val="32"/>
        </w:rPr>
        <w:t>县处置大规模群体性事件应急指挥部成立专家组：主要由具有群体性突发事件预防和应急处置经验的专家组成，负责向现场应急处置和救援工作提供专业或技术支持，提出疏散区域和提出应急处置和抢险救援措施建议，对事件造成的影响进行评价，视情向社会公众解答有关专业技术问题等工作。</w:t>
      </w:r>
    </w:p>
    <w:p w14:paraId="6F8FCCC6">
      <w:pPr>
        <w:pStyle w:val="2"/>
        <w:numPr>
          <w:ilvl w:val="0"/>
          <w:numId w:val="224"/>
        </w:numPr>
        <w:tabs>
          <w:tab w:val="left" w:pos="0"/>
        </w:tabs>
        <w:rPr>
          <w:rFonts w:ascii="Times New Roman" w:hAnsi="Times New Roman" w:cs="Times New Roman"/>
          <w:sz w:val="32"/>
        </w:rPr>
      </w:pPr>
      <w:bookmarkStart w:id="1301" w:name="_Toc4326"/>
      <w:bookmarkStart w:id="1302" w:name="_Toc14088"/>
      <w:r>
        <w:rPr>
          <w:rFonts w:ascii="Times New Roman" w:hAnsi="Times New Roman" w:cs="Times New Roman"/>
          <w:sz w:val="32"/>
        </w:rPr>
        <w:t>预防和预警机制</w:t>
      </w:r>
      <w:bookmarkEnd w:id="1301"/>
      <w:bookmarkEnd w:id="1302"/>
    </w:p>
    <w:p w14:paraId="16014000">
      <w:pPr>
        <w:pStyle w:val="3"/>
        <w:spacing w:line="560" w:lineRule="exact"/>
        <w:ind w:firstLine="0" w:firstLineChars="0"/>
        <w:rPr>
          <w:rFonts w:ascii="Times New Roman" w:hAnsi="Times New Roman" w:eastAsia="楷体_GB2312" w:cs="Times New Roman"/>
          <w:sz w:val="32"/>
        </w:rPr>
      </w:pPr>
      <w:bookmarkStart w:id="1303" w:name="_Toc29671"/>
      <w:bookmarkStart w:id="1304" w:name="_Toc8272"/>
      <w:r>
        <w:rPr>
          <w:rFonts w:ascii="Times New Roman" w:hAnsi="Times New Roman" w:eastAsia="楷体_GB2312" w:cs="Times New Roman"/>
          <w:sz w:val="32"/>
        </w:rPr>
        <w:t>预防预警信息</w:t>
      </w:r>
      <w:bookmarkEnd w:id="1303"/>
      <w:bookmarkEnd w:id="1304"/>
    </w:p>
    <w:p w14:paraId="684F827F">
      <w:pPr>
        <w:spacing w:line="560" w:lineRule="exact"/>
        <w:ind w:firstLine="632"/>
        <w:rPr>
          <w:rFonts w:ascii="Times New Roman" w:hAnsi="Times New Roman" w:cs="Times New Roman"/>
          <w:sz w:val="32"/>
        </w:rPr>
      </w:pPr>
      <w:r>
        <w:rPr>
          <w:rFonts w:ascii="Times New Roman" w:hAnsi="Times New Roman" w:cs="Times New Roman"/>
          <w:sz w:val="32"/>
        </w:rPr>
        <w:t>建立高效、灵敏的情报信息网络，加强对社会不稳定因素的掌握和研判，逐步形成完善的预警工作机制。对可能发生大规模群体性事件的信息，特别是苗头性信息进行全面评估和预测，做到早发现、早报告、早控制、早解决。要特别强化情报信息工作，扩大信息收集的范围，增强信息分析的深度和广度，提高信息传报的效率，报送信息必须及时、客观、全面、准确，不得瞒报、谎报、缓报。各乡镇人民政府接到预警信息后迅速核实情况，情况属实的，事发地乡镇人民政府在迅速上报信息的同时，要根据职责和规定的权限启动各自的应急预案，并考虑事件可能的方式、规模、影响，立即拟定相应工作措施，及时、有效地开展先期处置，控制事态发展，将事件消除在萌芽状态。同时，根据防控情况及时调整措施，并视情安排人员、物资、资金和技术装备，防止事态扩大。</w:t>
      </w:r>
    </w:p>
    <w:p w14:paraId="0C45212C">
      <w:pPr>
        <w:pStyle w:val="3"/>
        <w:spacing w:line="560" w:lineRule="exact"/>
        <w:ind w:firstLine="0" w:firstLineChars="0"/>
        <w:rPr>
          <w:rFonts w:ascii="Times New Roman" w:hAnsi="Times New Roman" w:eastAsia="楷体_GB2312" w:cs="Times New Roman"/>
          <w:sz w:val="32"/>
        </w:rPr>
      </w:pPr>
      <w:bookmarkStart w:id="1305" w:name="_Toc16105"/>
      <w:bookmarkStart w:id="1306" w:name="_Toc7497"/>
      <w:r>
        <w:rPr>
          <w:rFonts w:ascii="Times New Roman" w:hAnsi="Times New Roman" w:eastAsia="楷体_GB2312" w:cs="Times New Roman"/>
          <w:sz w:val="32"/>
        </w:rPr>
        <w:t>预防预警行动</w:t>
      </w:r>
      <w:bookmarkEnd w:id="1305"/>
      <w:bookmarkEnd w:id="1306"/>
    </w:p>
    <w:p w14:paraId="377E0A1A">
      <w:pPr>
        <w:pStyle w:val="4"/>
        <w:numPr>
          <w:ilvl w:val="2"/>
          <w:numId w:val="224"/>
        </w:numPr>
        <w:tabs>
          <w:tab w:val="left" w:pos="0"/>
        </w:tabs>
        <w:spacing w:line="560" w:lineRule="exact"/>
        <w:ind w:firstLine="0" w:firstLineChars="0"/>
        <w:rPr>
          <w:rFonts w:ascii="Times New Roman" w:hAnsi="Times New Roman" w:cs="Times New Roman"/>
          <w:sz w:val="32"/>
        </w:rPr>
      </w:pPr>
      <w:r>
        <w:rPr>
          <w:rFonts w:ascii="Times New Roman" w:hAnsi="Times New Roman" w:cs="Times New Roman"/>
          <w:sz w:val="32"/>
        </w:rPr>
        <w:t>预防准备</w:t>
      </w:r>
    </w:p>
    <w:p w14:paraId="5469839B">
      <w:pPr>
        <w:numPr>
          <w:ilvl w:val="0"/>
          <w:numId w:val="225"/>
        </w:numPr>
        <w:spacing w:line="560" w:lineRule="exact"/>
        <w:ind w:firstLine="632"/>
        <w:rPr>
          <w:rFonts w:ascii="Times New Roman" w:hAnsi="Times New Roman" w:cs="Times New Roman"/>
          <w:sz w:val="32"/>
        </w:rPr>
      </w:pPr>
      <w:r>
        <w:rPr>
          <w:rFonts w:ascii="Times New Roman" w:hAnsi="Times New Roman" w:cs="Times New Roman"/>
          <w:sz w:val="32"/>
        </w:rPr>
        <w:t>思想准备。加强宣传工作，增强全民群体性事件的自我保护意识。</w:t>
      </w:r>
    </w:p>
    <w:p w14:paraId="4E478B2A">
      <w:pPr>
        <w:numPr>
          <w:ilvl w:val="0"/>
          <w:numId w:val="225"/>
        </w:numPr>
        <w:spacing w:line="560" w:lineRule="exact"/>
        <w:ind w:firstLine="632"/>
        <w:rPr>
          <w:rFonts w:ascii="Times New Roman" w:hAnsi="Times New Roman" w:cs="Times New Roman"/>
          <w:sz w:val="32"/>
        </w:rPr>
      </w:pPr>
      <w:r>
        <w:rPr>
          <w:rFonts w:ascii="Times New Roman" w:hAnsi="Times New Roman" w:cs="Times New Roman"/>
          <w:sz w:val="32"/>
        </w:rPr>
        <w:t>组织准备。建立健全群体性事件组织指挥机构，落实群体性事件责任人、群体性事件队伍，加强群体性事件服务组织建设。</w:t>
      </w:r>
    </w:p>
    <w:p w14:paraId="129DC122">
      <w:pPr>
        <w:numPr>
          <w:ilvl w:val="0"/>
          <w:numId w:val="225"/>
        </w:numPr>
        <w:spacing w:line="560" w:lineRule="exact"/>
        <w:ind w:firstLine="632"/>
        <w:rPr>
          <w:rFonts w:ascii="Times New Roman" w:hAnsi="Times New Roman" w:cs="Times New Roman"/>
          <w:sz w:val="32"/>
        </w:rPr>
      </w:pPr>
      <w:r>
        <w:rPr>
          <w:rFonts w:ascii="Times New Roman" w:hAnsi="Times New Roman" w:cs="Times New Roman"/>
          <w:sz w:val="32"/>
        </w:rPr>
        <w:t>预案准备。修订完善各类群体性事件预案。</w:t>
      </w:r>
    </w:p>
    <w:p w14:paraId="2760E3E4">
      <w:pPr>
        <w:pStyle w:val="4"/>
        <w:numPr>
          <w:ilvl w:val="2"/>
          <w:numId w:val="224"/>
        </w:numPr>
        <w:tabs>
          <w:tab w:val="left" w:pos="0"/>
        </w:tabs>
        <w:spacing w:line="560" w:lineRule="exact"/>
        <w:ind w:firstLine="0" w:firstLineChars="0"/>
        <w:rPr>
          <w:rFonts w:ascii="Times New Roman" w:hAnsi="Times New Roman" w:cs="Times New Roman"/>
          <w:sz w:val="32"/>
        </w:rPr>
      </w:pPr>
      <w:r>
        <w:rPr>
          <w:rFonts w:ascii="Times New Roman" w:hAnsi="Times New Roman" w:cs="Times New Roman"/>
          <w:sz w:val="32"/>
        </w:rPr>
        <w:t>预警信息</w:t>
      </w:r>
    </w:p>
    <w:p w14:paraId="61EB2D51">
      <w:pPr>
        <w:spacing w:line="560" w:lineRule="exact"/>
        <w:ind w:firstLine="632"/>
        <w:rPr>
          <w:rFonts w:ascii="Times New Roman" w:hAnsi="Times New Roman" w:cs="Times New Roman"/>
          <w:sz w:val="32"/>
        </w:rPr>
      </w:pPr>
      <w:r>
        <w:rPr>
          <w:rFonts w:ascii="Times New Roman" w:hAnsi="Times New Roman" w:cs="Times New Roman"/>
          <w:sz w:val="32"/>
        </w:rPr>
        <w:t>（1）出现不稳定事端和群体性事件苗头，但尚处在酝酿过程中的。</w:t>
      </w:r>
    </w:p>
    <w:p w14:paraId="07EF9E11">
      <w:pPr>
        <w:spacing w:line="560" w:lineRule="exact"/>
        <w:ind w:firstLine="632"/>
        <w:rPr>
          <w:rFonts w:ascii="Times New Roman" w:hAnsi="Times New Roman" w:cs="Times New Roman"/>
          <w:sz w:val="32"/>
        </w:rPr>
      </w:pPr>
      <w:r>
        <w:rPr>
          <w:rFonts w:ascii="Times New Roman" w:hAnsi="Times New Roman" w:cs="Times New Roman"/>
          <w:sz w:val="32"/>
        </w:rPr>
        <w:t>（2）聚众上访尚未发生堵门、堵路、拦截车辆、围攻殴打国家机关工作人员或严重影响交通、治安秩序或党政机关工作秩序等严重违法违规行为的。</w:t>
      </w:r>
    </w:p>
    <w:p w14:paraId="35B1D114">
      <w:pPr>
        <w:spacing w:line="560" w:lineRule="exact"/>
        <w:ind w:firstLine="632"/>
        <w:rPr>
          <w:rFonts w:ascii="Times New Roman" w:hAnsi="Times New Roman" w:cs="Times New Roman"/>
          <w:sz w:val="32"/>
        </w:rPr>
      </w:pPr>
      <w:r>
        <w:rPr>
          <w:rFonts w:ascii="Times New Roman" w:hAnsi="Times New Roman" w:cs="Times New Roman"/>
          <w:sz w:val="32"/>
        </w:rPr>
        <w:t>（3）发生在单位内部表达共同意愿的聚集事件，尚未发生行凶伤人、扣押有关人员或打、砸、抢、烧等违法行为的。</w:t>
      </w:r>
    </w:p>
    <w:p w14:paraId="34635973">
      <w:pPr>
        <w:spacing w:line="560" w:lineRule="exact"/>
        <w:ind w:firstLine="632"/>
        <w:rPr>
          <w:rFonts w:ascii="Times New Roman" w:hAnsi="Times New Roman" w:cs="Times New Roman"/>
          <w:sz w:val="32"/>
        </w:rPr>
      </w:pPr>
      <w:r>
        <w:rPr>
          <w:rFonts w:ascii="Times New Roman" w:hAnsi="Times New Roman" w:cs="Times New Roman"/>
          <w:sz w:val="32"/>
        </w:rPr>
        <w:t>（4）网上做反动宣传，煽动群体性事件的。</w:t>
      </w:r>
    </w:p>
    <w:p w14:paraId="47C334D9">
      <w:pPr>
        <w:spacing w:line="560" w:lineRule="exact"/>
        <w:ind w:firstLine="632"/>
        <w:rPr>
          <w:rFonts w:ascii="Times New Roman" w:hAnsi="Times New Roman" w:cs="Times New Roman"/>
          <w:sz w:val="32"/>
        </w:rPr>
      </w:pPr>
      <w:r>
        <w:rPr>
          <w:rFonts w:ascii="Times New Roman" w:hAnsi="Times New Roman" w:cs="Times New Roman"/>
          <w:sz w:val="32"/>
        </w:rPr>
        <w:t>（5）其他由人民内部矛盾引起、尚未出现过激行为、可以现场开展工作、化解矛盾的群体性行为。</w:t>
      </w:r>
    </w:p>
    <w:p w14:paraId="3482BFA8">
      <w:pPr>
        <w:pStyle w:val="4"/>
        <w:numPr>
          <w:ilvl w:val="2"/>
          <w:numId w:val="224"/>
        </w:numPr>
        <w:tabs>
          <w:tab w:val="left" w:pos="0"/>
        </w:tabs>
        <w:spacing w:line="560" w:lineRule="exact"/>
        <w:ind w:firstLine="0" w:firstLineChars="0"/>
        <w:rPr>
          <w:rFonts w:ascii="Times New Roman" w:hAnsi="Times New Roman" w:cs="Times New Roman"/>
          <w:sz w:val="32"/>
        </w:rPr>
      </w:pPr>
      <w:r>
        <w:rPr>
          <w:rFonts w:ascii="Times New Roman" w:hAnsi="Times New Roman" w:cs="Times New Roman"/>
          <w:sz w:val="32"/>
        </w:rPr>
        <w:t>预警行动</w:t>
      </w:r>
    </w:p>
    <w:p w14:paraId="0F3964F1">
      <w:pPr>
        <w:spacing w:line="560" w:lineRule="exact"/>
        <w:ind w:firstLine="632"/>
        <w:rPr>
          <w:rFonts w:ascii="Times New Roman" w:hAnsi="Times New Roman" w:cs="Times New Roman"/>
          <w:sz w:val="32"/>
        </w:rPr>
      </w:pPr>
      <w:r>
        <w:rPr>
          <w:rFonts w:ascii="Times New Roman" w:hAnsi="Times New Roman" w:cs="Times New Roman"/>
          <w:sz w:val="32"/>
        </w:rPr>
        <w:t>当确认发生或即将发生群体性事件时，县处置大规模群体性事件应急指挥部应当做好启动本预案的准备。</w:t>
      </w:r>
    </w:p>
    <w:p w14:paraId="01A11A9A">
      <w:pPr>
        <w:spacing w:line="560" w:lineRule="exact"/>
        <w:ind w:firstLine="632"/>
        <w:rPr>
          <w:rFonts w:ascii="Times New Roman" w:hAnsi="Times New Roman" w:cs="Times New Roman"/>
          <w:sz w:val="32"/>
        </w:rPr>
      </w:pPr>
      <w:r>
        <w:rPr>
          <w:rFonts w:ascii="Times New Roman" w:hAnsi="Times New Roman" w:cs="Times New Roman"/>
          <w:sz w:val="32"/>
        </w:rPr>
        <w:t>县政府和有关部门接到可能导致群体性事件的信息后，应及时确定应对方案，通知有关部门、单位采取相应措施预防事故发生，并按照预案做好应急准备；及时向双鸭山市人民政府报告。</w:t>
      </w:r>
    </w:p>
    <w:p w14:paraId="3AFD60CE">
      <w:pPr>
        <w:pStyle w:val="2"/>
        <w:numPr>
          <w:ilvl w:val="0"/>
          <w:numId w:val="224"/>
        </w:numPr>
        <w:tabs>
          <w:tab w:val="left" w:pos="0"/>
        </w:tabs>
        <w:rPr>
          <w:rFonts w:ascii="Times New Roman" w:hAnsi="Times New Roman" w:cs="Times New Roman"/>
          <w:sz w:val="32"/>
        </w:rPr>
      </w:pPr>
      <w:bookmarkStart w:id="1307" w:name="_Toc26718"/>
      <w:bookmarkStart w:id="1308" w:name="_Toc11912"/>
      <w:bookmarkStart w:id="1309" w:name="_Toc13322"/>
      <w:r>
        <w:rPr>
          <w:rFonts w:ascii="Times New Roman" w:hAnsi="Times New Roman" w:cs="Times New Roman"/>
          <w:sz w:val="32"/>
        </w:rPr>
        <w:t>信息报告</w:t>
      </w:r>
      <w:bookmarkEnd w:id="1307"/>
    </w:p>
    <w:p w14:paraId="6B2E256A">
      <w:pPr>
        <w:pStyle w:val="3"/>
        <w:spacing w:line="560" w:lineRule="exact"/>
        <w:ind w:firstLine="0" w:firstLineChars="0"/>
        <w:rPr>
          <w:rFonts w:ascii="Times New Roman" w:hAnsi="Times New Roman" w:eastAsia="楷体_GB2312" w:cs="Times New Roman"/>
          <w:sz w:val="32"/>
        </w:rPr>
      </w:pPr>
      <w:bookmarkStart w:id="1310" w:name="_Toc29669"/>
      <w:bookmarkStart w:id="1311" w:name="_Toc28681"/>
      <w:bookmarkStart w:id="1312" w:name="_Toc15315"/>
      <w:r>
        <w:rPr>
          <w:rFonts w:ascii="Times New Roman" w:hAnsi="Times New Roman" w:eastAsia="楷体_GB2312" w:cs="Times New Roman"/>
          <w:sz w:val="32"/>
        </w:rPr>
        <w:t>信息报送</w:t>
      </w:r>
      <w:bookmarkEnd w:id="1310"/>
      <w:r>
        <w:rPr>
          <w:rFonts w:ascii="Times New Roman" w:hAnsi="Times New Roman" w:eastAsia="楷体_GB2312" w:cs="Times New Roman"/>
          <w:sz w:val="32"/>
        </w:rPr>
        <w:t>程序</w:t>
      </w:r>
      <w:bookmarkEnd w:id="1311"/>
      <w:bookmarkEnd w:id="1312"/>
    </w:p>
    <w:p w14:paraId="11261616">
      <w:pPr>
        <w:spacing w:line="560" w:lineRule="exact"/>
        <w:ind w:firstLine="632"/>
        <w:rPr>
          <w:rFonts w:ascii="Times New Roman" w:hAnsi="Times New Roman" w:cs="Times New Roman"/>
          <w:sz w:val="32"/>
        </w:rPr>
      </w:pPr>
      <w:r>
        <w:rPr>
          <w:rFonts w:ascii="Times New Roman" w:hAnsi="Times New Roman" w:cs="Times New Roman"/>
          <w:sz w:val="32"/>
        </w:rPr>
        <w:t>（一）110指挥中心接到突发群体性事件的警情后，要迅速甄别现场情况，在第一时间迅速指令事发地派出所、巡特警、交警第一时间赶赴现场，了解情况，疏导交通，维护秩序，控制事态，固定证据，及时反馈现场信息，对暴力性的警情要同时指令刑警队第一时间赶赴现场；有人受伤的，通知“120”急救车赶赴现场救治；现场有火情的，迅速通知消防救援大队扑救火灾，抢救财产。同时报告县处置大规模群体性事件应急指挥部和同级政府。</w:t>
      </w:r>
    </w:p>
    <w:p w14:paraId="69EE9B04">
      <w:pPr>
        <w:pStyle w:val="3"/>
        <w:spacing w:line="560" w:lineRule="exact"/>
        <w:ind w:firstLine="0" w:firstLineChars="0"/>
        <w:rPr>
          <w:rFonts w:ascii="Times New Roman" w:hAnsi="Times New Roman" w:eastAsia="楷体_GB2312" w:cs="Times New Roman"/>
          <w:sz w:val="32"/>
        </w:rPr>
      </w:pPr>
      <w:bookmarkStart w:id="1313" w:name="_Toc5587"/>
      <w:r>
        <w:rPr>
          <w:rFonts w:ascii="Times New Roman" w:hAnsi="Times New Roman" w:eastAsia="楷体_GB2312" w:cs="Times New Roman"/>
          <w:sz w:val="32"/>
        </w:rPr>
        <w:t>信息报告内容</w:t>
      </w:r>
      <w:bookmarkEnd w:id="1313"/>
    </w:p>
    <w:p w14:paraId="6A7549E8">
      <w:pPr>
        <w:spacing w:line="560" w:lineRule="exact"/>
        <w:ind w:firstLine="632"/>
        <w:rPr>
          <w:rFonts w:ascii="Times New Roman" w:hAnsi="Times New Roman" w:cs="Times New Roman"/>
          <w:sz w:val="32"/>
        </w:rPr>
      </w:pPr>
      <w:r>
        <w:rPr>
          <w:rFonts w:ascii="Times New Roman" w:hAnsi="Times New Roman" w:cs="Times New Roman"/>
          <w:sz w:val="32"/>
        </w:rPr>
        <w:t>包括事件发生时间、地点、简要经过、是否有伤亡、影响范围等；事件涉及的有关单位名称；事件发生原因及发展趋势的初步判断；采取的应急措施及处置情况；需要支持协助事项；报告人姓名、单位及联系电话等。</w:t>
      </w:r>
    </w:p>
    <w:p w14:paraId="19B4B260">
      <w:pPr>
        <w:spacing w:line="560" w:lineRule="exact"/>
        <w:ind w:firstLine="632"/>
        <w:rPr>
          <w:rFonts w:ascii="Times New Roman" w:hAnsi="Times New Roman" w:cs="Times New Roman"/>
          <w:sz w:val="32"/>
        </w:rPr>
      </w:pPr>
      <w:r>
        <w:rPr>
          <w:rFonts w:ascii="Times New Roman" w:hAnsi="Times New Roman" w:cs="Times New Roman"/>
          <w:sz w:val="32"/>
        </w:rPr>
        <w:t>以上所列内容暂时无法确定的，应当先报告已知情况。报告后出现新情况的，应当及时补报、续报。</w:t>
      </w:r>
    </w:p>
    <w:p w14:paraId="4DA72F8A">
      <w:pPr>
        <w:pStyle w:val="2"/>
        <w:numPr>
          <w:ilvl w:val="0"/>
          <w:numId w:val="224"/>
        </w:numPr>
        <w:tabs>
          <w:tab w:val="left" w:pos="0"/>
        </w:tabs>
        <w:rPr>
          <w:rFonts w:ascii="Times New Roman" w:hAnsi="Times New Roman" w:cs="Times New Roman"/>
          <w:sz w:val="32"/>
        </w:rPr>
      </w:pPr>
      <w:bookmarkStart w:id="1314" w:name="_Toc1938"/>
      <w:r>
        <w:rPr>
          <w:rFonts w:ascii="Times New Roman" w:hAnsi="Times New Roman" w:cs="Times New Roman"/>
          <w:sz w:val="32"/>
        </w:rPr>
        <w:t>应急响应</w:t>
      </w:r>
      <w:bookmarkEnd w:id="1308"/>
      <w:bookmarkEnd w:id="1309"/>
      <w:bookmarkEnd w:id="1314"/>
    </w:p>
    <w:p w14:paraId="721AA041">
      <w:pPr>
        <w:pStyle w:val="3"/>
        <w:spacing w:line="560" w:lineRule="exact"/>
        <w:ind w:firstLine="0" w:firstLineChars="0"/>
        <w:rPr>
          <w:rFonts w:ascii="Times New Roman" w:hAnsi="Times New Roman" w:eastAsia="楷体_GB2312" w:cs="Times New Roman"/>
          <w:sz w:val="32"/>
        </w:rPr>
      </w:pPr>
      <w:bookmarkStart w:id="1315" w:name="_Toc10153"/>
      <w:bookmarkStart w:id="1316" w:name="_Toc27172"/>
      <w:bookmarkStart w:id="1317" w:name="_Toc31004"/>
      <w:r>
        <w:rPr>
          <w:rFonts w:ascii="Times New Roman" w:hAnsi="Times New Roman" w:eastAsia="楷体_GB2312" w:cs="Times New Roman"/>
          <w:sz w:val="32"/>
        </w:rPr>
        <w:t>分级响应</w:t>
      </w:r>
      <w:bookmarkEnd w:id="1315"/>
      <w:bookmarkEnd w:id="1316"/>
    </w:p>
    <w:p w14:paraId="3BF47044">
      <w:pPr>
        <w:pStyle w:val="4"/>
        <w:numPr>
          <w:ilvl w:val="2"/>
          <w:numId w:val="224"/>
        </w:numPr>
        <w:tabs>
          <w:tab w:val="left" w:pos="0"/>
        </w:tabs>
        <w:spacing w:line="560" w:lineRule="exact"/>
        <w:ind w:firstLine="0" w:firstLineChars="0"/>
        <w:rPr>
          <w:rFonts w:ascii="Times New Roman" w:hAnsi="Times New Roman" w:cs="Times New Roman"/>
          <w:sz w:val="32"/>
        </w:rPr>
      </w:pPr>
      <w:r>
        <w:rPr>
          <w:rFonts w:ascii="Times New Roman" w:hAnsi="Times New Roman" w:cs="Times New Roman"/>
          <w:sz w:val="32"/>
        </w:rPr>
        <w:t>一般群体性突发事件（Ⅳ级）</w:t>
      </w:r>
    </w:p>
    <w:p w14:paraId="094A0E66">
      <w:pPr>
        <w:spacing w:line="560" w:lineRule="exact"/>
        <w:ind w:firstLine="632"/>
        <w:rPr>
          <w:rFonts w:ascii="Times New Roman" w:hAnsi="Times New Roman" w:cs="Times New Roman"/>
          <w:sz w:val="32"/>
        </w:rPr>
      </w:pPr>
      <w:r>
        <w:rPr>
          <w:rFonts w:ascii="Times New Roman" w:hAnsi="Times New Roman" w:cs="Times New Roman"/>
          <w:sz w:val="32"/>
        </w:rPr>
        <w:t>由事发地乡镇人民政府启动应急响应，组织调动事发单位（部门）及其主管部门、政府相关应急处置队伍和资源进行协同处置。必要时，根据事发地政府的请求，县政府有关部门启动县级部门应急响应并配合处置。</w:t>
      </w:r>
    </w:p>
    <w:p w14:paraId="6A07F5BD">
      <w:pPr>
        <w:pStyle w:val="4"/>
        <w:numPr>
          <w:ilvl w:val="2"/>
          <w:numId w:val="224"/>
        </w:numPr>
        <w:tabs>
          <w:tab w:val="left" w:pos="0"/>
        </w:tabs>
        <w:spacing w:line="560" w:lineRule="exact"/>
        <w:ind w:firstLine="0" w:firstLineChars="0"/>
        <w:rPr>
          <w:rFonts w:ascii="Times New Roman" w:hAnsi="Times New Roman" w:cs="Times New Roman"/>
          <w:sz w:val="32"/>
        </w:rPr>
      </w:pPr>
      <w:r>
        <w:rPr>
          <w:rFonts w:ascii="Times New Roman" w:hAnsi="Times New Roman" w:cs="Times New Roman"/>
          <w:sz w:val="32"/>
        </w:rPr>
        <w:t>较大群体性突发事件 （III级）</w:t>
      </w:r>
    </w:p>
    <w:p w14:paraId="114D990D">
      <w:pPr>
        <w:spacing w:line="560" w:lineRule="exact"/>
        <w:ind w:firstLine="632"/>
        <w:rPr>
          <w:rFonts w:ascii="Times New Roman" w:hAnsi="Times New Roman" w:cs="Times New Roman"/>
          <w:sz w:val="32"/>
        </w:rPr>
      </w:pPr>
      <w:r>
        <w:rPr>
          <w:rFonts w:ascii="Times New Roman" w:hAnsi="Times New Roman" w:cs="Times New Roman"/>
          <w:sz w:val="32"/>
        </w:rPr>
        <w:t>由县处置大规模群体性事件应急指挥部办公室提出建议，报县处置大规模群体性事件应急指挥部副总指挥批准启动应急响应，组织调动事发单位（部门）及其主管部门、县政府有关部门应急处置队伍和资源进行协同处置。</w:t>
      </w:r>
    </w:p>
    <w:p w14:paraId="568C01E2">
      <w:pPr>
        <w:pStyle w:val="4"/>
        <w:numPr>
          <w:ilvl w:val="2"/>
          <w:numId w:val="224"/>
        </w:numPr>
        <w:tabs>
          <w:tab w:val="left" w:pos="0"/>
        </w:tabs>
        <w:spacing w:line="560" w:lineRule="exact"/>
        <w:ind w:firstLine="0" w:firstLineChars="0"/>
        <w:rPr>
          <w:rFonts w:ascii="Times New Roman" w:hAnsi="Times New Roman" w:cs="Times New Roman"/>
          <w:sz w:val="32"/>
        </w:rPr>
      </w:pPr>
      <w:r>
        <w:rPr>
          <w:rFonts w:ascii="Times New Roman" w:hAnsi="Times New Roman" w:cs="Times New Roman"/>
          <w:sz w:val="32"/>
        </w:rPr>
        <w:t>重大群体性突发事件（Ⅱ级）</w:t>
      </w:r>
    </w:p>
    <w:p w14:paraId="3C6FCD95">
      <w:pPr>
        <w:spacing w:line="560" w:lineRule="exact"/>
        <w:ind w:firstLine="632"/>
        <w:rPr>
          <w:rFonts w:ascii="Times New Roman" w:hAnsi="Times New Roman" w:cs="Times New Roman"/>
          <w:sz w:val="32"/>
        </w:rPr>
      </w:pPr>
      <w:r>
        <w:rPr>
          <w:rFonts w:ascii="Times New Roman" w:hAnsi="Times New Roman" w:cs="Times New Roman"/>
          <w:sz w:val="32"/>
        </w:rPr>
        <w:t>由县处置大规模群体性事件应急指挥部办公室提出建议，报县处置大规模群体性事件应急指挥部总指挥批准启动应急响应，组织调动事发单位（部门）及其主管部门，县政府有关部门应急处置队伍和资源协同进行先期处置。</w:t>
      </w:r>
    </w:p>
    <w:p w14:paraId="07C01664">
      <w:pPr>
        <w:pStyle w:val="4"/>
        <w:numPr>
          <w:ilvl w:val="2"/>
          <w:numId w:val="224"/>
        </w:numPr>
        <w:tabs>
          <w:tab w:val="left" w:pos="0"/>
        </w:tabs>
        <w:spacing w:line="560" w:lineRule="exact"/>
        <w:ind w:firstLine="0" w:firstLineChars="0"/>
        <w:rPr>
          <w:rFonts w:ascii="Times New Roman" w:hAnsi="Times New Roman" w:cs="Times New Roman"/>
          <w:sz w:val="32"/>
        </w:rPr>
      </w:pPr>
      <w:r>
        <w:rPr>
          <w:rFonts w:ascii="Times New Roman" w:hAnsi="Times New Roman" w:cs="Times New Roman"/>
          <w:sz w:val="32"/>
        </w:rPr>
        <w:t>特别重大群体性突发事件（I级）</w:t>
      </w:r>
    </w:p>
    <w:p w14:paraId="3354CF83">
      <w:pPr>
        <w:spacing w:line="560" w:lineRule="exact"/>
        <w:ind w:firstLine="632"/>
        <w:rPr>
          <w:rFonts w:ascii="Times New Roman" w:hAnsi="Times New Roman" w:cs="Times New Roman"/>
          <w:sz w:val="32"/>
        </w:rPr>
      </w:pPr>
      <w:r>
        <w:rPr>
          <w:rFonts w:ascii="Times New Roman" w:hAnsi="Times New Roman" w:cs="Times New Roman"/>
          <w:sz w:val="32"/>
        </w:rPr>
        <w:t>由县处置大规模群体性事件应急指挥部提出建议，报县政府主要领导批准后启动应急响应，调动全县应急处置队伍和资源协同进行先期处置。</w:t>
      </w:r>
    </w:p>
    <w:p w14:paraId="7E8229B5">
      <w:pPr>
        <w:pStyle w:val="3"/>
        <w:spacing w:line="560" w:lineRule="exact"/>
        <w:ind w:firstLine="0" w:firstLineChars="0"/>
        <w:rPr>
          <w:rFonts w:ascii="Times New Roman" w:hAnsi="Times New Roman" w:eastAsia="楷体_GB2312" w:cs="Times New Roman"/>
          <w:sz w:val="32"/>
        </w:rPr>
      </w:pPr>
      <w:bookmarkStart w:id="1318" w:name="_Toc30331"/>
      <w:bookmarkStart w:id="1319" w:name="_Toc13795"/>
      <w:r>
        <w:rPr>
          <w:rFonts w:ascii="Times New Roman" w:hAnsi="Times New Roman" w:eastAsia="楷体_GB2312" w:cs="Times New Roman"/>
          <w:sz w:val="32"/>
        </w:rPr>
        <w:t>应急响应启动程序</w:t>
      </w:r>
      <w:bookmarkEnd w:id="1317"/>
      <w:bookmarkEnd w:id="1318"/>
      <w:bookmarkEnd w:id="1319"/>
    </w:p>
    <w:p w14:paraId="43BEDE1A">
      <w:pPr>
        <w:pStyle w:val="4"/>
        <w:numPr>
          <w:ilvl w:val="2"/>
          <w:numId w:val="224"/>
        </w:numPr>
        <w:tabs>
          <w:tab w:val="left" w:pos="0"/>
        </w:tabs>
        <w:spacing w:line="560" w:lineRule="exact"/>
        <w:ind w:firstLine="0" w:firstLineChars="0"/>
        <w:rPr>
          <w:rFonts w:ascii="Times New Roman" w:hAnsi="Times New Roman" w:cs="Times New Roman"/>
          <w:sz w:val="32"/>
        </w:rPr>
      </w:pPr>
      <w:r>
        <w:rPr>
          <w:rFonts w:ascii="Times New Roman" w:hAnsi="Times New Roman" w:cs="Times New Roman"/>
          <w:sz w:val="32"/>
        </w:rPr>
        <w:t>初期处置</w:t>
      </w:r>
    </w:p>
    <w:p w14:paraId="20D471B7">
      <w:pPr>
        <w:numPr>
          <w:ilvl w:val="0"/>
          <w:numId w:val="226"/>
        </w:numPr>
        <w:spacing w:line="560" w:lineRule="exact"/>
        <w:ind w:firstLine="634"/>
        <w:rPr>
          <w:rFonts w:ascii="Times New Roman" w:hAnsi="Times New Roman" w:cs="Times New Roman"/>
          <w:sz w:val="32"/>
        </w:rPr>
      </w:pPr>
      <w:r>
        <w:rPr>
          <w:rFonts w:ascii="Times New Roman" w:hAnsi="Times New Roman" w:cs="Times New Roman"/>
          <w:b/>
          <w:bCs/>
          <w:sz w:val="32"/>
        </w:rPr>
        <w:t>迅速组织力量，赶赴事件现场。</w:t>
      </w:r>
      <w:r>
        <w:rPr>
          <w:rFonts w:ascii="Times New Roman" w:hAnsi="Times New Roman" w:cs="Times New Roman"/>
          <w:sz w:val="32"/>
        </w:rPr>
        <w:t>公安机关获得事件发生的情报信息后，应迅速组织力量，以最快的速度赶赴现场并立即报告县处置大规模群体性事件应急指挥部及县政府。到达现场后，应做好两项工作：一是选择便于观察全局动态、利于内外联系、宜于机动力量隐蔽和出去的有利地形，建立现场处置指挥部，统一行使指挥权；二是根据现场情况迅速做好警力部署。</w:t>
      </w:r>
    </w:p>
    <w:p w14:paraId="370506CF">
      <w:pPr>
        <w:numPr>
          <w:ilvl w:val="0"/>
          <w:numId w:val="226"/>
        </w:numPr>
        <w:spacing w:line="560" w:lineRule="exact"/>
        <w:ind w:firstLine="634"/>
        <w:rPr>
          <w:rFonts w:ascii="Times New Roman" w:hAnsi="Times New Roman" w:cs="Times New Roman"/>
          <w:sz w:val="32"/>
        </w:rPr>
      </w:pPr>
      <w:r>
        <w:rPr>
          <w:rFonts w:ascii="Times New Roman" w:hAnsi="Times New Roman" w:cs="Times New Roman"/>
          <w:b/>
          <w:bCs/>
          <w:sz w:val="32"/>
        </w:rPr>
        <w:t>观察动态、掌握情况。</w:t>
      </w:r>
      <w:r>
        <w:rPr>
          <w:rFonts w:ascii="Times New Roman" w:hAnsi="Times New Roman" w:cs="Times New Roman"/>
          <w:sz w:val="32"/>
        </w:rPr>
        <w:t>公安民警到达现场后，首先应通过直接观察和现场调查两种渠道，了解事件主体的情绪、状态、类型、规模以及事件的发展趋势，弄清事件的起因、性质、动机、目的、指向目标、事件成员来源和事件核心层次人员的构成状况；其次，现场指挥应迅速拟定处置方案，并将现场情况和处置意见报告上级，请求决策。</w:t>
      </w:r>
    </w:p>
    <w:p w14:paraId="561379AE">
      <w:pPr>
        <w:numPr>
          <w:ilvl w:val="0"/>
          <w:numId w:val="226"/>
        </w:numPr>
        <w:spacing w:line="560" w:lineRule="exact"/>
        <w:ind w:firstLine="634"/>
        <w:rPr>
          <w:rFonts w:ascii="Times New Roman" w:hAnsi="Times New Roman" w:cs="Times New Roman"/>
          <w:sz w:val="32"/>
        </w:rPr>
      </w:pPr>
      <w:r>
        <w:rPr>
          <w:rFonts w:ascii="Times New Roman" w:hAnsi="Times New Roman" w:cs="Times New Roman"/>
          <w:b/>
          <w:bCs/>
          <w:sz w:val="32"/>
        </w:rPr>
        <w:t>管制现场，控制局势。</w:t>
      </w:r>
      <w:r>
        <w:rPr>
          <w:rFonts w:ascii="Times New Roman" w:hAnsi="Times New Roman" w:cs="Times New Roman"/>
          <w:sz w:val="32"/>
        </w:rPr>
        <w:t>在初步掌握情况的基础上，现场指挥按照县处置大规模群体性事件应急指挥部和县政府和上级公安机关的决策、命令、指示，根据现场情况迅速采取控制现场事态的有效管理措施。根据处置工作的实际需要，可以采取下列现场管制措施：第一，封闭现场和相关地区，未经检查批准，任何人不得进入；第二，设置警戒线，划定警戒区域；第三，实行区域性交通管制；第四，查验现场人员身份证件，检查嫌疑人员随身携带的物品；第五，未经批准，任何人不得在事件现场进行录音、录像、拍照、采访、报道、演讲等活动。在对现场进行有效控制的同时，处置现场出现的各种紧急情况，如对事件中的受伤人员进行抢救；对仍在制造事端的危险分子和骨干采取适宜的方式进行隔离和强制；对不便采取强制手段的，应进行控制监视，并做好取证工作；对于正在进行违法犯罪的人员应设法调离现场进行拘捕。</w:t>
      </w:r>
    </w:p>
    <w:p w14:paraId="6E901695">
      <w:pPr>
        <w:pStyle w:val="4"/>
        <w:numPr>
          <w:ilvl w:val="2"/>
          <w:numId w:val="224"/>
        </w:numPr>
        <w:tabs>
          <w:tab w:val="left" w:pos="0"/>
        </w:tabs>
        <w:spacing w:line="560" w:lineRule="exact"/>
        <w:ind w:firstLine="0" w:firstLineChars="0"/>
        <w:rPr>
          <w:rFonts w:ascii="Times New Roman" w:hAnsi="Times New Roman" w:cs="Times New Roman"/>
          <w:sz w:val="32"/>
        </w:rPr>
      </w:pPr>
      <w:r>
        <w:rPr>
          <w:rFonts w:ascii="Times New Roman" w:hAnsi="Times New Roman" w:cs="Times New Roman"/>
          <w:sz w:val="32"/>
        </w:rPr>
        <w:t>中期处置</w:t>
      </w:r>
    </w:p>
    <w:p w14:paraId="7B413B7B">
      <w:pPr>
        <w:spacing w:line="560" w:lineRule="exact"/>
        <w:ind w:firstLine="634"/>
        <w:rPr>
          <w:rFonts w:ascii="Times New Roman" w:hAnsi="Times New Roman" w:cs="Times New Roman"/>
          <w:sz w:val="32"/>
        </w:rPr>
      </w:pPr>
      <w:r>
        <w:rPr>
          <w:rFonts w:ascii="Times New Roman" w:hAnsi="Times New Roman" w:cs="Times New Roman"/>
          <w:b/>
          <w:bCs/>
          <w:sz w:val="32"/>
        </w:rPr>
        <w:t>（1）进行宣传教育，疏散现场群众。</w:t>
      </w:r>
      <w:r>
        <w:rPr>
          <w:rFonts w:ascii="Times New Roman" w:hAnsi="Times New Roman" w:cs="Times New Roman"/>
          <w:sz w:val="32"/>
        </w:rPr>
        <w:t>在事态得到基本控制和尚未恶化之前，应当及时做好宣传疏导工作，通过广播等方式，宣传有关</w:t>
      </w:r>
      <w:r>
        <w:rPr>
          <w:rFonts w:hint="eastAsia" w:ascii="Times New Roman" w:hAnsi="Times New Roman" w:cs="Times New Roman"/>
          <w:sz w:val="32"/>
        </w:rPr>
        <w:t>法律法规</w:t>
      </w:r>
      <w:r>
        <w:rPr>
          <w:rFonts w:ascii="Times New Roman" w:hAnsi="Times New Roman" w:cs="Times New Roman"/>
          <w:sz w:val="32"/>
        </w:rPr>
        <w:t>和政策；通过宣传疏导和对话，说服卷入和尚未卷入事件的群众离开现场，并及时疏通交通。</w:t>
      </w:r>
    </w:p>
    <w:p w14:paraId="7CEDDC60">
      <w:pPr>
        <w:spacing w:line="560" w:lineRule="exact"/>
        <w:ind w:firstLine="634"/>
        <w:rPr>
          <w:rFonts w:ascii="Times New Roman" w:hAnsi="Times New Roman" w:cs="Times New Roman"/>
          <w:sz w:val="32"/>
        </w:rPr>
      </w:pPr>
      <w:r>
        <w:rPr>
          <w:rFonts w:ascii="Times New Roman" w:hAnsi="Times New Roman" w:cs="Times New Roman"/>
          <w:b/>
          <w:bCs/>
          <w:sz w:val="32"/>
        </w:rPr>
        <w:t>（2）采取强制措施，果断平息事态。</w:t>
      </w:r>
      <w:r>
        <w:rPr>
          <w:rFonts w:ascii="Times New Roman" w:hAnsi="Times New Roman" w:cs="Times New Roman"/>
          <w:sz w:val="32"/>
        </w:rPr>
        <w:t>在反复宣传、教育、劝导无效的情况下，公安机关根据现场的实际情况和处置工作的需要，可以依照有关法律、行政法规的有关规定，采取以下措施：第一，责令围观人员立即离开现场；第二，责令聚集的人员在限定时间内离开现场；第三，对超过限定时间仍滞留现场的人员，可以使用各类必要的非杀伤性警械，强行驱散；第四，对经强行驱散仍拒不离去的人员，可以强行带离现场或者予以拘留；第五，对非法携带的武器、管制刀具、易燃易爆等危险物品和用于非法宣传、煽动的工具、标语、传单等物品，予以收缴。</w:t>
      </w:r>
    </w:p>
    <w:p w14:paraId="48AD47CA">
      <w:pPr>
        <w:spacing w:line="560" w:lineRule="exact"/>
        <w:ind w:firstLine="634"/>
        <w:rPr>
          <w:rFonts w:ascii="Times New Roman" w:hAnsi="Times New Roman" w:cs="Times New Roman"/>
          <w:sz w:val="32"/>
        </w:rPr>
      </w:pPr>
      <w:r>
        <w:rPr>
          <w:rFonts w:ascii="Times New Roman" w:hAnsi="Times New Roman" w:cs="Times New Roman"/>
          <w:b/>
          <w:bCs/>
          <w:sz w:val="32"/>
        </w:rPr>
        <w:t>（3）做好取证工作，掌握犯罪事实，做好现场取证工作。</w:t>
      </w:r>
      <w:r>
        <w:rPr>
          <w:rFonts w:ascii="Times New Roman" w:hAnsi="Times New Roman" w:cs="Times New Roman"/>
          <w:sz w:val="32"/>
        </w:rPr>
        <w:t>查清和掌握事件中有关人员的基本情况，可以使用录音、录像、照相等手段，采取公开与秘密的方法及时取证，为后期处理做好准备.</w:t>
      </w:r>
    </w:p>
    <w:p w14:paraId="5CA9D31D">
      <w:pPr>
        <w:spacing w:line="560" w:lineRule="exact"/>
        <w:ind w:firstLine="634"/>
        <w:rPr>
          <w:rFonts w:ascii="Times New Roman" w:hAnsi="Times New Roman" w:cs="Times New Roman"/>
          <w:sz w:val="32"/>
        </w:rPr>
      </w:pPr>
      <w:r>
        <w:rPr>
          <w:rFonts w:ascii="Times New Roman" w:hAnsi="Times New Roman" w:cs="Times New Roman"/>
          <w:b/>
          <w:bCs/>
          <w:sz w:val="32"/>
        </w:rPr>
        <w:t>（4）及时清理现场，迅速恢复秩序。</w:t>
      </w:r>
      <w:r>
        <w:rPr>
          <w:rFonts w:ascii="Times New Roman" w:hAnsi="Times New Roman" w:cs="Times New Roman"/>
          <w:sz w:val="32"/>
        </w:rPr>
        <w:t>事件平息后，应及时组织力量协助有关部门和单位清理现场，迅速恢复正常的社会秩序。要及时救治受伤人员，清理现场遗留物品，撤除路障，解除现场交通管制，恢复交通秩序。</w:t>
      </w:r>
    </w:p>
    <w:p w14:paraId="3DDBA300">
      <w:pPr>
        <w:pStyle w:val="4"/>
        <w:numPr>
          <w:ilvl w:val="2"/>
          <w:numId w:val="224"/>
        </w:numPr>
        <w:tabs>
          <w:tab w:val="left" w:pos="0"/>
        </w:tabs>
        <w:spacing w:line="560" w:lineRule="exact"/>
        <w:ind w:firstLine="0" w:firstLineChars="0"/>
        <w:rPr>
          <w:rFonts w:ascii="Times New Roman" w:hAnsi="Times New Roman" w:cs="Times New Roman"/>
          <w:sz w:val="32"/>
        </w:rPr>
      </w:pPr>
      <w:r>
        <w:rPr>
          <w:rFonts w:ascii="Times New Roman" w:hAnsi="Times New Roman" w:cs="Times New Roman"/>
          <w:sz w:val="32"/>
        </w:rPr>
        <w:t>现场处置</w:t>
      </w:r>
    </w:p>
    <w:p w14:paraId="02DCD106">
      <w:pPr>
        <w:spacing w:line="560" w:lineRule="exact"/>
        <w:ind w:firstLine="632"/>
        <w:rPr>
          <w:rFonts w:ascii="Times New Roman" w:hAnsi="Times New Roman" w:cs="Times New Roman"/>
          <w:sz w:val="32"/>
        </w:rPr>
      </w:pPr>
      <w:r>
        <w:rPr>
          <w:rFonts w:ascii="Times New Roman" w:hAnsi="Times New Roman" w:cs="Times New Roman"/>
          <w:sz w:val="32"/>
        </w:rPr>
        <w:t>现场应急指挥机构到位、应急处置人员进入事发现场后，按照职责分工迅速投入处置工作。</w:t>
      </w:r>
    </w:p>
    <w:p w14:paraId="2AA9B6DE">
      <w:pPr>
        <w:spacing w:line="560" w:lineRule="exact"/>
        <w:ind w:firstLine="634"/>
        <w:rPr>
          <w:rFonts w:ascii="Times New Roman" w:hAnsi="Times New Roman" w:cs="Times New Roman"/>
          <w:b/>
          <w:bCs/>
          <w:sz w:val="32"/>
        </w:rPr>
      </w:pPr>
      <w:r>
        <w:rPr>
          <w:rFonts w:ascii="Times New Roman" w:hAnsi="Times New Roman" w:cs="Times New Roman"/>
          <w:b/>
          <w:bCs/>
          <w:sz w:val="32"/>
        </w:rPr>
        <w:t>（一）事发地乡镇党委及政府的主要任务：</w:t>
      </w:r>
    </w:p>
    <w:p w14:paraId="28EC125D">
      <w:pPr>
        <w:spacing w:line="560" w:lineRule="exact"/>
        <w:ind w:firstLine="632"/>
        <w:rPr>
          <w:rFonts w:ascii="Times New Roman" w:hAnsi="Times New Roman" w:cs="Times New Roman"/>
          <w:sz w:val="32"/>
        </w:rPr>
      </w:pPr>
      <w:r>
        <w:rPr>
          <w:rFonts w:ascii="Times New Roman" w:hAnsi="Times New Roman" w:cs="Times New Roman"/>
          <w:sz w:val="32"/>
        </w:rPr>
        <w:t>（1）统一组织领导事件现场的处置工作，统一调用有关部门的人员、交通工具、通信工具、装备器械和其他物资等资源，决定重大处置措施。</w:t>
      </w:r>
    </w:p>
    <w:p w14:paraId="4F2022D3">
      <w:pPr>
        <w:spacing w:line="560" w:lineRule="exact"/>
        <w:ind w:firstLine="632"/>
        <w:rPr>
          <w:rFonts w:ascii="Times New Roman" w:hAnsi="Times New Roman" w:cs="Times New Roman"/>
          <w:sz w:val="32"/>
        </w:rPr>
      </w:pPr>
      <w:r>
        <w:rPr>
          <w:rFonts w:ascii="Times New Roman" w:hAnsi="Times New Roman" w:cs="Times New Roman"/>
          <w:sz w:val="32"/>
        </w:rPr>
        <w:t>（2）指令有关职能部门到现场开展相关工作。</w:t>
      </w:r>
    </w:p>
    <w:p w14:paraId="52206136">
      <w:pPr>
        <w:spacing w:line="560" w:lineRule="exact"/>
        <w:ind w:firstLine="632"/>
        <w:rPr>
          <w:rFonts w:ascii="Times New Roman" w:hAnsi="Times New Roman" w:cs="Times New Roman"/>
          <w:sz w:val="32"/>
        </w:rPr>
      </w:pPr>
      <w:r>
        <w:rPr>
          <w:rFonts w:ascii="Times New Roman" w:hAnsi="Times New Roman" w:cs="Times New Roman"/>
          <w:sz w:val="32"/>
        </w:rPr>
        <w:t>（3）主要负责人迅速赶赴现场，了解引发事件的起因和有关情况，提出工作方案，直接指挥现场处置工作，并带头与有关部门的负责人面对面地做好群众工作，及时疏导化解矛盾和冲突，尽快平息事态。</w:t>
      </w:r>
    </w:p>
    <w:p w14:paraId="7497C476">
      <w:pPr>
        <w:spacing w:line="560" w:lineRule="exact"/>
        <w:ind w:firstLine="632"/>
        <w:rPr>
          <w:rFonts w:ascii="Times New Roman" w:hAnsi="Times New Roman" w:cs="Times New Roman"/>
          <w:sz w:val="32"/>
        </w:rPr>
      </w:pPr>
      <w:r>
        <w:rPr>
          <w:rFonts w:ascii="Times New Roman" w:hAnsi="Times New Roman" w:cs="Times New Roman"/>
          <w:sz w:val="32"/>
        </w:rPr>
        <w:t>（4）对群众提出的要求，符合</w:t>
      </w:r>
      <w:r>
        <w:rPr>
          <w:rFonts w:hint="eastAsia" w:ascii="Times New Roman" w:hAnsi="Times New Roman" w:cs="Times New Roman"/>
          <w:sz w:val="32"/>
        </w:rPr>
        <w:t>法律法规</w:t>
      </w:r>
      <w:r>
        <w:rPr>
          <w:rFonts w:ascii="Times New Roman" w:hAnsi="Times New Roman" w:cs="Times New Roman"/>
          <w:sz w:val="32"/>
        </w:rPr>
        <w:t>和政策的，当场表明解决问题的态度；无法当场明确表态解决的，责成有关职能部门限期研究解决；对确因决策失误或工作不力而侵害群众利益的，据实向群众讲明情况，公开承认失误；对群众提出的不合理要求，做好劝解工作，讲清道理，有针对性地开展法制宣传，引导和教育群众知法守法。</w:t>
      </w:r>
    </w:p>
    <w:p w14:paraId="7290C282">
      <w:pPr>
        <w:spacing w:line="560" w:lineRule="exact"/>
        <w:ind w:firstLine="632"/>
        <w:rPr>
          <w:rFonts w:ascii="Times New Roman" w:hAnsi="Times New Roman" w:cs="Times New Roman"/>
          <w:sz w:val="32"/>
        </w:rPr>
      </w:pPr>
      <w:r>
        <w:rPr>
          <w:rFonts w:ascii="Times New Roman" w:hAnsi="Times New Roman" w:cs="Times New Roman"/>
          <w:sz w:val="32"/>
        </w:rPr>
        <w:t>（5）异地聚集的，群众来源地党委或政府应当劝阻本行政区域内的群众不要再异地聚集，并指派有关负责人率领工作组赶赴现场，开展疏导、化解和接返工作。事发地党委和政府积极配合、协助做好教育和送返工作，不得推诿。</w:t>
      </w:r>
    </w:p>
    <w:p w14:paraId="53FE3C26">
      <w:pPr>
        <w:spacing w:line="560" w:lineRule="exact"/>
        <w:ind w:firstLine="634"/>
        <w:rPr>
          <w:rFonts w:ascii="Times New Roman" w:hAnsi="Times New Roman" w:cs="Times New Roman"/>
          <w:b/>
          <w:bCs/>
          <w:sz w:val="32"/>
        </w:rPr>
      </w:pPr>
      <w:r>
        <w:rPr>
          <w:rFonts w:ascii="Times New Roman" w:hAnsi="Times New Roman" w:cs="Times New Roman"/>
          <w:b/>
          <w:bCs/>
          <w:sz w:val="32"/>
        </w:rPr>
        <w:t>（二）事件涉及部门、单位的主要任务：</w:t>
      </w:r>
    </w:p>
    <w:p w14:paraId="3FF3A94C">
      <w:pPr>
        <w:spacing w:line="560" w:lineRule="exact"/>
        <w:ind w:firstLine="632"/>
        <w:rPr>
          <w:rFonts w:ascii="Times New Roman" w:hAnsi="Times New Roman" w:cs="Times New Roman"/>
          <w:sz w:val="32"/>
        </w:rPr>
      </w:pPr>
      <w:r>
        <w:rPr>
          <w:rFonts w:ascii="Times New Roman" w:hAnsi="Times New Roman" w:cs="Times New Roman"/>
          <w:sz w:val="32"/>
        </w:rPr>
        <w:t>（1）主要负责人迅速赶到现场开展疏导、劝解工作，告知当事人相应的救济渠道及正当的申诉方式，通过合法手段和途径维护其合法权益。</w:t>
      </w:r>
    </w:p>
    <w:p w14:paraId="1127FAC9">
      <w:pPr>
        <w:spacing w:line="560" w:lineRule="exact"/>
        <w:ind w:firstLine="632"/>
        <w:rPr>
          <w:rFonts w:ascii="Times New Roman" w:hAnsi="Times New Roman" w:cs="Times New Roman"/>
          <w:sz w:val="32"/>
        </w:rPr>
      </w:pPr>
      <w:r>
        <w:rPr>
          <w:rFonts w:ascii="Times New Roman" w:hAnsi="Times New Roman" w:cs="Times New Roman"/>
          <w:sz w:val="32"/>
        </w:rPr>
        <w:t>（2）主要负责人直接与群众代表对话疏导。</w:t>
      </w:r>
    </w:p>
    <w:p w14:paraId="4ACE8AB9">
      <w:pPr>
        <w:spacing w:line="560" w:lineRule="exact"/>
        <w:ind w:firstLine="632"/>
        <w:rPr>
          <w:rFonts w:ascii="Times New Roman" w:hAnsi="Times New Roman" w:cs="Times New Roman"/>
          <w:sz w:val="32"/>
        </w:rPr>
      </w:pPr>
      <w:r>
        <w:rPr>
          <w:rFonts w:ascii="Times New Roman" w:hAnsi="Times New Roman" w:cs="Times New Roman"/>
          <w:sz w:val="32"/>
        </w:rPr>
        <w:t>（3）迅速研究当事人的合理要求，提出解决方案，努力化解矛盾。</w:t>
      </w:r>
    </w:p>
    <w:p w14:paraId="5731C16E">
      <w:pPr>
        <w:spacing w:line="560" w:lineRule="exact"/>
        <w:ind w:firstLine="634"/>
        <w:rPr>
          <w:rFonts w:ascii="Times New Roman" w:hAnsi="Times New Roman" w:cs="Times New Roman"/>
          <w:b/>
          <w:bCs/>
          <w:sz w:val="32"/>
        </w:rPr>
      </w:pPr>
      <w:r>
        <w:rPr>
          <w:rFonts w:ascii="Times New Roman" w:hAnsi="Times New Roman" w:cs="Times New Roman"/>
          <w:b/>
          <w:bCs/>
          <w:sz w:val="32"/>
        </w:rPr>
        <w:t>（三）公安机关根据党委、政府决定，依法行使下列职权：</w:t>
      </w:r>
    </w:p>
    <w:p w14:paraId="07C33E83">
      <w:pPr>
        <w:spacing w:line="560" w:lineRule="exact"/>
        <w:ind w:firstLine="632"/>
        <w:rPr>
          <w:rFonts w:ascii="Times New Roman" w:hAnsi="Times New Roman" w:cs="Times New Roman"/>
          <w:sz w:val="32"/>
        </w:rPr>
      </w:pPr>
      <w:r>
        <w:rPr>
          <w:rFonts w:ascii="Times New Roman" w:hAnsi="Times New Roman" w:cs="Times New Roman"/>
          <w:sz w:val="32"/>
        </w:rPr>
        <w:t>（1）采取严密措施，切实维护现场治安秩序、交通秩序。</w:t>
      </w:r>
    </w:p>
    <w:p w14:paraId="701C99D0">
      <w:pPr>
        <w:spacing w:line="560" w:lineRule="exact"/>
        <w:ind w:firstLine="632"/>
        <w:rPr>
          <w:rFonts w:ascii="Times New Roman" w:hAnsi="Times New Roman" w:cs="Times New Roman"/>
          <w:sz w:val="32"/>
        </w:rPr>
      </w:pPr>
      <w:r>
        <w:rPr>
          <w:rFonts w:ascii="Times New Roman" w:hAnsi="Times New Roman" w:cs="Times New Roman"/>
          <w:sz w:val="32"/>
        </w:rPr>
        <w:t>（2）依法迅速采取有效管制措施，控制现场事态的发展。</w:t>
      </w:r>
    </w:p>
    <w:p w14:paraId="3590395B">
      <w:pPr>
        <w:spacing w:line="560" w:lineRule="exact"/>
        <w:ind w:firstLine="632"/>
        <w:rPr>
          <w:rFonts w:ascii="Times New Roman" w:hAnsi="Times New Roman" w:cs="Times New Roman"/>
          <w:sz w:val="32"/>
        </w:rPr>
      </w:pPr>
      <w:r>
        <w:rPr>
          <w:rFonts w:ascii="Times New Roman" w:hAnsi="Times New Roman" w:cs="Times New Roman"/>
          <w:sz w:val="32"/>
        </w:rPr>
        <w:t>（3）保护党政军机关等重点部位及现场工作人员的人身安全。</w:t>
      </w:r>
    </w:p>
    <w:p w14:paraId="485B8405">
      <w:pPr>
        <w:spacing w:line="560" w:lineRule="exact"/>
        <w:ind w:firstLine="632"/>
        <w:rPr>
          <w:rFonts w:ascii="Times New Roman" w:hAnsi="Times New Roman" w:cs="Times New Roman"/>
          <w:sz w:val="32"/>
        </w:rPr>
      </w:pPr>
      <w:r>
        <w:rPr>
          <w:rFonts w:ascii="Times New Roman" w:hAnsi="Times New Roman" w:cs="Times New Roman"/>
          <w:sz w:val="32"/>
        </w:rPr>
        <w:t>（4）搜集并固定事件发生现场违法犯罪行为的证据。</w:t>
      </w:r>
    </w:p>
    <w:p w14:paraId="78F2E7AA">
      <w:pPr>
        <w:spacing w:line="560" w:lineRule="exact"/>
        <w:ind w:firstLine="632"/>
        <w:rPr>
          <w:rFonts w:ascii="Times New Roman" w:hAnsi="Times New Roman" w:cs="Times New Roman"/>
          <w:sz w:val="32"/>
        </w:rPr>
      </w:pPr>
      <w:r>
        <w:rPr>
          <w:rFonts w:ascii="Times New Roman" w:hAnsi="Times New Roman" w:cs="Times New Roman"/>
          <w:sz w:val="32"/>
        </w:rPr>
        <w:t>（5）适时采取紧急处置措施，控制局势，平息事态，恢复正常社会秩序；采取强制措施前，应向现场人员明示告知。</w:t>
      </w:r>
    </w:p>
    <w:p w14:paraId="11648A0B">
      <w:pPr>
        <w:spacing w:line="560" w:lineRule="exact"/>
        <w:ind w:firstLine="632"/>
        <w:rPr>
          <w:rFonts w:ascii="Times New Roman" w:hAnsi="Times New Roman" w:cs="Times New Roman"/>
          <w:sz w:val="32"/>
        </w:rPr>
      </w:pPr>
      <w:r>
        <w:rPr>
          <w:rFonts w:ascii="Times New Roman" w:hAnsi="Times New Roman" w:cs="Times New Roman"/>
          <w:sz w:val="32"/>
        </w:rPr>
        <w:t>（6）对事件中违法犯罪的人员以及插手事件的敌对分子，要依法严厉打击。</w:t>
      </w:r>
    </w:p>
    <w:p w14:paraId="5F277FC3">
      <w:pPr>
        <w:pStyle w:val="4"/>
        <w:numPr>
          <w:ilvl w:val="2"/>
          <w:numId w:val="224"/>
        </w:numPr>
        <w:tabs>
          <w:tab w:val="left" w:pos="0"/>
        </w:tabs>
        <w:spacing w:line="560" w:lineRule="exact"/>
        <w:ind w:firstLine="0" w:firstLineChars="0"/>
        <w:rPr>
          <w:rFonts w:ascii="Times New Roman" w:hAnsi="Times New Roman" w:cs="Times New Roman"/>
          <w:sz w:val="32"/>
        </w:rPr>
      </w:pPr>
      <w:r>
        <w:rPr>
          <w:rFonts w:ascii="Times New Roman" w:hAnsi="Times New Roman" w:cs="Times New Roman"/>
          <w:sz w:val="32"/>
        </w:rPr>
        <w:t>后期处置</w:t>
      </w:r>
    </w:p>
    <w:p w14:paraId="6E6E9866">
      <w:pPr>
        <w:numPr>
          <w:ilvl w:val="0"/>
          <w:numId w:val="227"/>
        </w:numPr>
        <w:spacing w:line="560" w:lineRule="exact"/>
        <w:ind w:firstLine="632"/>
        <w:rPr>
          <w:rFonts w:ascii="Times New Roman" w:hAnsi="Times New Roman" w:cs="Times New Roman"/>
          <w:sz w:val="32"/>
        </w:rPr>
      </w:pPr>
      <w:r>
        <w:rPr>
          <w:rFonts w:ascii="Times New Roman" w:hAnsi="Times New Roman" w:cs="Times New Roman"/>
          <w:sz w:val="32"/>
        </w:rPr>
        <w:t>事件调查</w:t>
      </w:r>
    </w:p>
    <w:p w14:paraId="16E1A20F">
      <w:pPr>
        <w:spacing w:line="560" w:lineRule="exact"/>
        <w:ind w:firstLine="632"/>
        <w:rPr>
          <w:rFonts w:ascii="Times New Roman" w:hAnsi="Times New Roman" w:cs="Times New Roman"/>
          <w:sz w:val="32"/>
        </w:rPr>
      </w:pPr>
      <w:r>
        <w:rPr>
          <w:rFonts w:ascii="Times New Roman" w:hAnsi="Times New Roman" w:cs="Times New Roman"/>
          <w:sz w:val="32"/>
        </w:rPr>
        <w:t>事态平息后，应对事件进行全面、深入的调查。了解事件真相，以便党委、政府及有关部门更好地化解矛盾，缓和事态。</w:t>
      </w:r>
    </w:p>
    <w:p w14:paraId="5A86991E">
      <w:pPr>
        <w:numPr>
          <w:ilvl w:val="0"/>
          <w:numId w:val="227"/>
        </w:numPr>
        <w:spacing w:line="560" w:lineRule="exact"/>
        <w:ind w:firstLine="632"/>
        <w:rPr>
          <w:rFonts w:ascii="Times New Roman" w:hAnsi="Times New Roman" w:cs="Times New Roman"/>
          <w:sz w:val="32"/>
        </w:rPr>
      </w:pPr>
      <w:r>
        <w:rPr>
          <w:rFonts w:ascii="Times New Roman" w:hAnsi="Times New Roman" w:cs="Times New Roman"/>
          <w:sz w:val="32"/>
        </w:rPr>
        <w:t>对事件主体的处理</w:t>
      </w:r>
    </w:p>
    <w:p w14:paraId="482ADD1F">
      <w:pPr>
        <w:spacing w:line="560" w:lineRule="exact"/>
        <w:ind w:firstLine="632"/>
        <w:rPr>
          <w:rFonts w:ascii="Times New Roman" w:hAnsi="Times New Roman" w:cs="Times New Roman"/>
          <w:sz w:val="32"/>
        </w:rPr>
      </w:pPr>
      <w:r>
        <w:rPr>
          <w:rFonts w:ascii="Times New Roman" w:hAnsi="Times New Roman" w:cs="Times New Roman"/>
          <w:sz w:val="32"/>
        </w:rPr>
        <w:t>对经劝阻、批评教育或疏导退出事件，且没有违法行为的，不予追究责任，但要对其进行法制宣传教育；对虽有危害行为但情节显著轻微的，给予批评教育，或建议其所在单位给予行政处分；对扰乱社会秩序，无理取闹并劝告无效的，要依法给予治安处罚；对外地参加闹事的，要做好遣送工作，对刑事犯罪分子要移交司法部门，依法严惩。对事件负有责任的法人，应协助有关部门进行调查，并向党委、政府报告，作出处理决定；属于民事纠纷引起的民事诉讼问题应及时移交审判机关处理。</w:t>
      </w:r>
    </w:p>
    <w:p w14:paraId="060D03FD">
      <w:pPr>
        <w:numPr>
          <w:ilvl w:val="0"/>
          <w:numId w:val="227"/>
        </w:numPr>
        <w:spacing w:line="560" w:lineRule="exact"/>
        <w:ind w:firstLine="632"/>
        <w:rPr>
          <w:rFonts w:ascii="Times New Roman" w:hAnsi="Times New Roman" w:cs="Times New Roman"/>
          <w:sz w:val="32"/>
        </w:rPr>
      </w:pPr>
      <w:r>
        <w:rPr>
          <w:rFonts w:ascii="Times New Roman" w:hAnsi="Times New Roman" w:cs="Times New Roman"/>
          <w:sz w:val="32"/>
        </w:rPr>
        <w:t>对事件危害后果的处理</w:t>
      </w:r>
    </w:p>
    <w:p w14:paraId="4C749821">
      <w:pPr>
        <w:spacing w:line="560" w:lineRule="exact"/>
        <w:ind w:firstLine="632"/>
        <w:rPr>
          <w:rFonts w:ascii="Times New Roman" w:hAnsi="Times New Roman" w:cs="Times New Roman"/>
          <w:sz w:val="32"/>
        </w:rPr>
      </w:pPr>
      <w:r>
        <w:rPr>
          <w:rFonts w:ascii="Times New Roman" w:hAnsi="Times New Roman" w:cs="Times New Roman"/>
          <w:sz w:val="32"/>
        </w:rPr>
        <w:t>公安机关要协同有关部门，做好如下宣传教育，尽快恢复正常程序，对事件中造成的人身伤亡应做好善后工作，依法分清责任，区别对待；对造成人身和财物损害需要赔偿的，要依法做好赔偿工作；对处置中获取的有关物证，进行登记造册后归档，妥为保存。</w:t>
      </w:r>
    </w:p>
    <w:p w14:paraId="6DD0A120">
      <w:pPr>
        <w:pStyle w:val="3"/>
        <w:spacing w:line="560" w:lineRule="exact"/>
        <w:ind w:firstLine="0" w:firstLineChars="0"/>
        <w:rPr>
          <w:rFonts w:ascii="Times New Roman" w:hAnsi="Times New Roman" w:eastAsia="楷体_GB2312" w:cs="Times New Roman"/>
          <w:sz w:val="32"/>
        </w:rPr>
      </w:pPr>
      <w:bookmarkStart w:id="1320" w:name="_Toc25817"/>
      <w:bookmarkStart w:id="1321" w:name="_Toc17202"/>
      <w:r>
        <w:rPr>
          <w:rFonts w:ascii="Times New Roman" w:hAnsi="Times New Roman" w:eastAsia="楷体_GB2312" w:cs="Times New Roman"/>
          <w:sz w:val="32"/>
        </w:rPr>
        <w:t>扩大响应</w:t>
      </w:r>
      <w:bookmarkEnd w:id="1320"/>
      <w:bookmarkEnd w:id="1321"/>
    </w:p>
    <w:p w14:paraId="1EBB42CC">
      <w:pPr>
        <w:spacing w:line="560" w:lineRule="exact"/>
        <w:ind w:firstLine="632"/>
        <w:rPr>
          <w:rFonts w:ascii="Times New Roman" w:hAnsi="Times New Roman" w:cs="Times New Roman"/>
          <w:sz w:val="32"/>
        </w:rPr>
      </w:pPr>
      <w:r>
        <w:rPr>
          <w:rFonts w:ascii="Times New Roman" w:hAnsi="Times New Roman" w:cs="Times New Roman"/>
          <w:sz w:val="32"/>
        </w:rPr>
        <w:t>如果群体性突发事件的事态进一步扩大，或者群体性突发事件直接或间接造成巨大危害，或已经波及我县大部分地区，应急指挥部提出建议，报请县政府主要领导同意，向上级有关方面请求支援。</w:t>
      </w:r>
    </w:p>
    <w:p w14:paraId="3D54B214">
      <w:pPr>
        <w:pStyle w:val="3"/>
        <w:spacing w:line="560" w:lineRule="exact"/>
        <w:ind w:firstLine="0" w:firstLineChars="0"/>
        <w:rPr>
          <w:rFonts w:ascii="Times New Roman" w:hAnsi="Times New Roman" w:eastAsia="楷体_GB2312" w:cs="Times New Roman"/>
          <w:sz w:val="32"/>
        </w:rPr>
      </w:pPr>
      <w:bookmarkStart w:id="1322" w:name="_Toc10444"/>
      <w:bookmarkStart w:id="1323" w:name="_Toc22339"/>
      <w:bookmarkStart w:id="1324" w:name="_Toc11504"/>
      <w:bookmarkStart w:id="1325" w:name="_Toc12069"/>
      <w:r>
        <w:rPr>
          <w:rFonts w:ascii="Times New Roman" w:hAnsi="Times New Roman" w:eastAsia="楷体_GB2312" w:cs="Times New Roman"/>
          <w:sz w:val="32"/>
        </w:rPr>
        <w:t>应急处置终止或解除</w:t>
      </w:r>
      <w:bookmarkEnd w:id="1322"/>
      <w:bookmarkEnd w:id="1323"/>
    </w:p>
    <w:p w14:paraId="01B64993">
      <w:pPr>
        <w:spacing w:line="560" w:lineRule="exact"/>
        <w:ind w:firstLine="632"/>
        <w:rPr>
          <w:rFonts w:ascii="Times New Roman" w:hAnsi="Times New Roman" w:cs="Times New Roman"/>
          <w:sz w:val="32"/>
        </w:rPr>
      </w:pPr>
      <w:r>
        <w:rPr>
          <w:rFonts w:ascii="Times New Roman" w:hAnsi="Times New Roman" w:cs="Times New Roman"/>
          <w:sz w:val="32"/>
        </w:rPr>
        <w:t>当事故危害得以控制，次生危害因素已经消除，死亡和失踪人员已经查清，受伤人员基本得到救治时，由应急响应启动单位宣布终止或解除事故应急响应，转入后期处置。</w:t>
      </w:r>
    </w:p>
    <w:bookmarkEnd w:id="1324"/>
    <w:bookmarkEnd w:id="1325"/>
    <w:p w14:paraId="47A594B3">
      <w:pPr>
        <w:pStyle w:val="2"/>
        <w:numPr>
          <w:ilvl w:val="0"/>
          <w:numId w:val="224"/>
        </w:numPr>
        <w:tabs>
          <w:tab w:val="left" w:pos="0"/>
        </w:tabs>
        <w:rPr>
          <w:rFonts w:ascii="Times New Roman" w:hAnsi="Times New Roman" w:cs="Times New Roman"/>
          <w:sz w:val="32"/>
        </w:rPr>
      </w:pPr>
      <w:bookmarkStart w:id="1326" w:name="_Toc29976"/>
      <w:bookmarkStart w:id="1327" w:name="_Toc30167"/>
      <w:bookmarkStart w:id="1328" w:name="_Toc29148"/>
      <w:r>
        <w:rPr>
          <w:rFonts w:ascii="Times New Roman" w:hAnsi="Times New Roman" w:cs="Times New Roman"/>
          <w:sz w:val="32"/>
        </w:rPr>
        <w:t>后期处置</w:t>
      </w:r>
      <w:bookmarkEnd w:id="1326"/>
      <w:bookmarkEnd w:id="1327"/>
      <w:bookmarkEnd w:id="1328"/>
    </w:p>
    <w:p w14:paraId="6B8E4591">
      <w:pPr>
        <w:pStyle w:val="3"/>
        <w:spacing w:line="560" w:lineRule="exact"/>
        <w:ind w:firstLine="0" w:firstLineChars="0"/>
        <w:rPr>
          <w:rFonts w:ascii="Times New Roman" w:hAnsi="Times New Roman" w:eastAsia="楷体_GB2312" w:cs="Times New Roman"/>
          <w:sz w:val="32"/>
        </w:rPr>
      </w:pPr>
      <w:bookmarkStart w:id="1329" w:name="_Toc16844"/>
      <w:bookmarkStart w:id="1330" w:name="_Toc3265"/>
      <w:bookmarkStart w:id="1331" w:name="_Toc449"/>
      <w:r>
        <w:rPr>
          <w:rFonts w:ascii="Times New Roman" w:hAnsi="Times New Roman" w:eastAsia="楷体_GB2312" w:cs="Times New Roman"/>
          <w:sz w:val="32"/>
        </w:rPr>
        <w:t>善后处置</w:t>
      </w:r>
      <w:bookmarkEnd w:id="1329"/>
      <w:bookmarkEnd w:id="1330"/>
      <w:bookmarkEnd w:id="1331"/>
    </w:p>
    <w:p w14:paraId="43A64E13">
      <w:pPr>
        <w:spacing w:line="560" w:lineRule="exact"/>
        <w:ind w:firstLine="632"/>
        <w:rPr>
          <w:rFonts w:ascii="Times New Roman" w:hAnsi="Times New Roman" w:cs="Times New Roman"/>
          <w:sz w:val="32"/>
        </w:rPr>
      </w:pPr>
      <w:r>
        <w:rPr>
          <w:rFonts w:ascii="Times New Roman" w:hAnsi="Times New Roman" w:cs="Times New Roman"/>
          <w:sz w:val="32"/>
        </w:rPr>
        <w:t>县处置大规模群体性事件应急指挥部指挥、协调县各有关部门和事发地乡镇党委、政府，及时开展对群体性事件中伤亡群众的救治及其他善后处理工作，积极恢复当地社会秩序。事件平息后，事发地乡镇党委、政府要继续做好群众工作，对承诺解决的问题，必须尽快解决到位，消除可能导致事件反复的不安定因素，进一步做好化解工作，并加强跟踪和督查，防止事件反复。</w:t>
      </w:r>
    </w:p>
    <w:p w14:paraId="784778DB">
      <w:pPr>
        <w:pStyle w:val="3"/>
        <w:spacing w:line="560" w:lineRule="exact"/>
        <w:ind w:firstLine="0" w:firstLineChars="0"/>
        <w:rPr>
          <w:rFonts w:ascii="Times New Roman" w:hAnsi="Times New Roman" w:eastAsia="楷体_GB2312" w:cs="Times New Roman"/>
          <w:sz w:val="32"/>
        </w:rPr>
      </w:pPr>
      <w:bookmarkStart w:id="1332" w:name="_Toc18116"/>
      <w:bookmarkStart w:id="1333" w:name="_Toc18572"/>
      <w:bookmarkStart w:id="1334" w:name="_Toc31830"/>
      <w:r>
        <w:rPr>
          <w:rFonts w:ascii="Times New Roman" w:hAnsi="Times New Roman" w:eastAsia="楷体_GB2312" w:cs="Times New Roman"/>
          <w:sz w:val="32"/>
        </w:rPr>
        <w:t>总结评价</w:t>
      </w:r>
      <w:bookmarkEnd w:id="1332"/>
      <w:bookmarkEnd w:id="1333"/>
      <w:bookmarkEnd w:id="1334"/>
    </w:p>
    <w:p w14:paraId="01C5AF3E">
      <w:pPr>
        <w:pStyle w:val="4"/>
        <w:numPr>
          <w:ilvl w:val="2"/>
          <w:numId w:val="224"/>
        </w:numPr>
        <w:tabs>
          <w:tab w:val="left" w:pos="0"/>
        </w:tabs>
        <w:spacing w:line="560" w:lineRule="exact"/>
        <w:ind w:firstLine="0" w:firstLineChars="0"/>
        <w:rPr>
          <w:rFonts w:ascii="Times New Roman" w:hAnsi="Times New Roman" w:cs="Times New Roman"/>
          <w:sz w:val="32"/>
        </w:rPr>
      </w:pPr>
      <w:r>
        <w:rPr>
          <w:rFonts w:ascii="Times New Roman" w:hAnsi="Times New Roman" w:cs="Times New Roman"/>
          <w:sz w:val="32"/>
        </w:rPr>
        <w:t>开展评估。</w:t>
      </w:r>
    </w:p>
    <w:p w14:paraId="1E752194">
      <w:pPr>
        <w:spacing w:line="560" w:lineRule="exact"/>
        <w:ind w:firstLine="632"/>
        <w:rPr>
          <w:rFonts w:ascii="Times New Roman" w:hAnsi="Times New Roman" w:cs="Times New Roman"/>
          <w:sz w:val="32"/>
        </w:rPr>
      </w:pPr>
      <w:r>
        <w:rPr>
          <w:rFonts w:ascii="Times New Roman" w:hAnsi="Times New Roman" w:cs="Times New Roman"/>
          <w:sz w:val="32"/>
        </w:rPr>
        <w:t>应急预案实施结束后，县处置大规模群体性事件应急指挥部要会同参加处置的相关单位，组织专家和有关人员，开展事件的损失评估工作，认真剖析引发事件的原因和责任，总结经验教训，并形成专门报告上报县委、县政府。</w:t>
      </w:r>
    </w:p>
    <w:p w14:paraId="64793BD9">
      <w:pPr>
        <w:pStyle w:val="4"/>
        <w:numPr>
          <w:ilvl w:val="2"/>
          <w:numId w:val="224"/>
        </w:numPr>
        <w:tabs>
          <w:tab w:val="left" w:pos="0"/>
        </w:tabs>
        <w:spacing w:line="560" w:lineRule="exact"/>
        <w:ind w:firstLine="0" w:firstLineChars="0"/>
        <w:rPr>
          <w:rFonts w:ascii="Times New Roman" w:hAnsi="Times New Roman" w:cs="Times New Roman"/>
          <w:sz w:val="32"/>
        </w:rPr>
      </w:pPr>
      <w:r>
        <w:rPr>
          <w:rFonts w:ascii="Times New Roman" w:hAnsi="Times New Roman" w:cs="Times New Roman"/>
          <w:sz w:val="32"/>
        </w:rPr>
        <w:t>评估内容。</w:t>
      </w:r>
    </w:p>
    <w:p w14:paraId="7E0F5274">
      <w:pPr>
        <w:spacing w:line="560" w:lineRule="exact"/>
        <w:ind w:firstLine="632"/>
        <w:rPr>
          <w:rFonts w:ascii="Times New Roman" w:hAnsi="Times New Roman" w:cs="Times New Roman"/>
          <w:sz w:val="32"/>
        </w:rPr>
      </w:pPr>
      <w:r>
        <w:rPr>
          <w:rFonts w:ascii="Times New Roman" w:hAnsi="Times New Roman" w:cs="Times New Roman"/>
          <w:sz w:val="32"/>
        </w:rPr>
        <w:t>总结评估要素包括：指挥体系运转是否顺畅；各级政府及相关部门职责定位是否准确；预警机制是否完善；应急响应是否及时有效；应急救援队伍是否满足需要；应急救援装备、器材的完整性和实用性；应急救援措施是否有力、有效；物资保障、医疗、交通运输、治安保卫、人员保护、通讯能力情况；预案的完整性、可行性。</w:t>
      </w:r>
    </w:p>
    <w:p w14:paraId="355E5B87">
      <w:pPr>
        <w:pStyle w:val="2"/>
        <w:numPr>
          <w:ilvl w:val="0"/>
          <w:numId w:val="224"/>
        </w:numPr>
        <w:tabs>
          <w:tab w:val="left" w:pos="0"/>
        </w:tabs>
        <w:rPr>
          <w:rFonts w:ascii="Times New Roman" w:hAnsi="Times New Roman" w:cs="Times New Roman"/>
          <w:sz w:val="32"/>
        </w:rPr>
      </w:pPr>
      <w:bookmarkStart w:id="1335" w:name="_Toc16713"/>
      <w:bookmarkStart w:id="1336" w:name="_Toc3943"/>
      <w:bookmarkStart w:id="1337" w:name="_Toc14294"/>
      <w:r>
        <w:rPr>
          <w:rFonts w:ascii="Times New Roman" w:hAnsi="Times New Roman" w:cs="Times New Roman"/>
          <w:sz w:val="32"/>
        </w:rPr>
        <w:t>保障措施</w:t>
      </w:r>
      <w:bookmarkEnd w:id="1335"/>
      <w:bookmarkEnd w:id="1336"/>
      <w:bookmarkEnd w:id="1337"/>
    </w:p>
    <w:p w14:paraId="5B0487B4">
      <w:pPr>
        <w:pStyle w:val="3"/>
        <w:spacing w:line="560" w:lineRule="exact"/>
        <w:ind w:firstLine="0" w:firstLineChars="0"/>
        <w:rPr>
          <w:rFonts w:ascii="Times New Roman" w:hAnsi="Times New Roman" w:eastAsia="楷体_GB2312" w:cs="Times New Roman"/>
          <w:sz w:val="32"/>
        </w:rPr>
      </w:pPr>
      <w:bookmarkStart w:id="1338" w:name="_Toc1144"/>
      <w:bookmarkStart w:id="1339" w:name="_Toc2495"/>
      <w:bookmarkStart w:id="1340" w:name="_Toc25929"/>
      <w:r>
        <w:rPr>
          <w:rFonts w:ascii="Times New Roman" w:hAnsi="Times New Roman" w:eastAsia="楷体_GB2312" w:cs="Times New Roman"/>
          <w:sz w:val="32"/>
        </w:rPr>
        <w:t>通信保障</w:t>
      </w:r>
      <w:bookmarkEnd w:id="1338"/>
      <w:bookmarkEnd w:id="1339"/>
      <w:bookmarkEnd w:id="1340"/>
    </w:p>
    <w:p w14:paraId="1700C3D9">
      <w:pPr>
        <w:spacing w:line="560" w:lineRule="exact"/>
        <w:ind w:firstLine="632"/>
        <w:rPr>
          <w:rFonts w:ascii="Times New Roman" w:hAnsi="Times New Roman" w:cs="Times New Roman"/>
          <w:sz w:val="32"/>
        </w:rPr>
      </w:pPr>
      <w:r>
        <w:rPr>
          <w:rFonts w:ascii="Times New Roman" w:hAnsi="Times New Roman" w:cs="Times New Roman"/>
          <w:sz w:val="32"/>
        </w:rPr>
        <w:t>各级群体性事件应急指挥机构建立包括参与应急救援的相关部门、专家组的通讯录，并定期更新。县移动、联通及电信等通信运营商负责为群体性事件应急救援提供通信保障。</w:t>
      </w:r>
    </w:p>
    <w:p w14:paraId="38066168">
      <w:pPr>
        <w:pStyle w:val="3"/>
        <w:spacing w:line="560" w:lineRule="exact"/>
        <w:ind w:firstLine="0" w:firstLineChars="0"/>
        <w:rPr>
          <w:rFonts w:ascii="Times New Roman" w:hAnsi="Times New Roman" w:eastAsia="楷体_GB2312" w:cs="Times New Roman"/>
          <w:sz w:val="32"/>
        </w:rPr>
      </w:pPr>
      <w:bookmarkStart w:id="1341" w:name="_Toc30607"/>
      <w:bookmarkStart w:id="1342" w:name="_Toc13397"/>
      <w:r>
        <w:rPr>
          <w:rFonts w:ascii="Times New Roman" w:hAnsi="Times New Roman" w:eastAsia="楷体_GB2312" w:cs="Times New Roman"/>
          <w:sz w:val="32"/>
        </w:rPr>
        <w:t>物资保障</w:t>
      </w:r>
      <w:bookmarkEnd w:id="1341"/>
      <w:bookmarkEnd w:id="1342"/>
    </w:p>
    <w:p w14:paraId="6E7F926B">
      <w:pPr>
        <w:spacing w:line="560" w:lineRule="exact"/>
        <w:ind w:firstLine="632"/>
        <w:rPr>
          <w:rFonts w:ascii="Times New Roman" w:hAnsi="Times New Roman" w:cs="Times New Roman"/>
          <w:sz w:val="32"/>
        </w:rPr>
      </w:pPr>
      <w:r>
        <w:rPr>
          <w:rFonts w:ascii="Times New Roman" w:hAnsi="Times New Roman" w:cs="Times New Roman"/>
          <w:sz w:val="32"/>
        </w:rPr>
        <w:t>县处置大规模群体性事件应急指挥部组织指导各成员单位建立应急物资装备的监管、生产、储备、更新、调拨和紧急配送等保障体系。</w:t>
      </w:r>
    </w:p>
    <w:p w14:paraId="12DAEFE6">
      <w:pPr>
        <w:spacing w:line="560" w:lineRule="exact"/>
        <w:ind w:firstLine="632"/>
        <w:rPr>
          <w:rFonts w:ascii="Times New Roman" w:hAnsi="Times New Roman" w:cs="Times New Roman"/>
          <w:sz w:val="32"/>
        </w:rPr>
      </w:pPr>
      <w:r>
        <w:rPr>
          <w:rFonts w:ascii="Times New Roman" w:hAnsi="Times New Roman" w:cs="Times New Roman"/>
          <w:sz w:val="32"/>
        </w:rPr>
        <w:t>各部门、企事业单位在现有装备的基础上，根据应急处置需要配置应急指挥、应急处置、应急救治、通讯工具等应急物资装备。</w:t>
      </w:r>
    </w:p>
    <w:p w14:paraId="00463445">
      <w:pPr>
        <w:spacing w:line="560" w:lineRule="exact"/>
        <w:ind w:firstLine="632"/>
        <w:rPr>
          <w:rFonts w:ascii="Times New Roman" w:hAnsi="Times New Roman" w:cs="Times New Roman"/>
          <w:sz w:val="32"/>
        </w:rPr>
      </w:pPr>
      <w:r>
        <w:rPr>
          <w:rFonts w:ascii="Times New Roman" w:hAnsi="Times New Roman" w:cs="Times New Roman"/>
          <w:sz w:val="32"/>
        </w:rPr>
        <w:t>县政府应鼓励和引导社区、企事业单位储备基本的应急处置和抢险救援物资、装备。</w:t>
      </w:r>
    </w:p>
    <w:p w14:paraId="71D1085F">
      <w:pPr>
        <w:spacing w:line="560" w:lineRule="exact"/>
        <w:ind w:firstLine="632"/>
        <w:rPr>
          <w:rFonts w:ascii="Times New Roman" w:hAnsi="Times New Roman" w:cs="Times New Roman"/>
          <w:sz w:val="32"/>
        </w:rPr>
      </w:pPr>
      <w:r>
        <w:rPr>
          <w:rFonts w:ascii="Times New Roman" w:hAnsi="Times New Roman" w:cs="Times New Roman"/>
          <w:sz w:val="32"/>
        </w:rPr>
        <w:t>县财政局对群体性突发事件应急处置的资金给予及时保障。加强专项保障资金的使用和管理，确保资金发挥最大的作用和效益。</w:t>
      </w:r>
    </w:p>
    <w:p w14:paraId="42B62CF7">
      <w:pPr>
        <w:pStyle w:val="3"/>
        <w:spacing w:line="560" w:lineRule="exact"/>
        <w:ind w:firstLine="0" w:firstLineChars="0"/>
        <w:rPr>
          <w:rFonts w:ascii="Times New Roman" w:hAnsi="Times New Roman" w:eastAsia="楷体_GB2312" w:cs="Times New Roman"/>
          <w:sz w:val="32"/>
        </w:rPr>
      </w:pPr>
      <w:bookmarkStart w:id="1343" w:name="_Toc23004"/>
      <w:bookmarkStart w:id="1344" w:name="_Toc25748"/>
      <w:r>
        <w:rPr>
          <w:rFonts w:ascii="Times New Roman" w:hAnsi="Times New Roman" w:eastAsia="楷体_GB2312" w:cs="Times New Roman"/>
          <w:sz w:val="32"/>
        </w:rPr>
        <w:t>应急队伍保障</w:t>
      </w:r>
      <w:bookmarkEnd w:id="1343"/>
      <w:bookmarkEnd w:id="1344"/>
    </w:p>
    <w:p w14:paraId="7F8B4934">
      <w:pPr>
        <w:spacing w:line="560" w:lineRule="exact"/>
        <w:ind w:firstLine="632"/>
        <w:rPr>
          <w:rFonts w:ascii="Times New Roman" w:hAnsi="Times New Roman" w:cs="Times New Roman"/>
          <w:sz w:val="32"/>
        </w:rPr>
      </w:pPr>
      <w:r>
        <w:rPr>
          <w:rFonts w:ascii="Times New Roman" w:hAnsi="Times New Roman" w:cs="Times New Roman"/>
          <w:sz w:val="32"/>
        </w:rPr>
        <w:t>县处置大规模群体性事件应急指挥部各成员单位应根据职责组建本单位、本部门应急救援队伍。</w:t>
      </w:r>
    </w:p>
    <w:p w14:paraId="0C8333C1">
      <w:pPr>
        <w:spacing w:line="560" w:lineRule="exact"/>
        <w:ind w:firstLine="632"/>
        <w:rPr>
          <w:rFonts w:ascii="Times New Roman" w:hAnsi="Times New Roman" w:cs="Times New Roman"/>
          <w:sz w:val="32"/>
        </w:rPr>
      </w:pPr>
      <w:r>
        <w:rPr>
          <w:rFonts w:ascii="Times New Roman" w:hAnsi="Times New Roman" w:cs="Times New Roman"/>
          <w:sz w:val="32"/>
        </w:rPr>
        <w:t>群体性突发事件发生后，县处置大规模群体性事件应急指挥部按照事件紧急程度和由近及远的原则分梯次调集各有关单位应急队伍参与应急处置和抢险救援等工作。</w:t>
      </w:r>
    </w:p>
    <w:p w14:paraId="780EFEAE">
      <w:pPr>
        <w:pStyle w:val="2"/>
        <w:numPr>
          <w:ilvl w:val="0"/>
          <w:numId w:val="224"/>
        </w:numPr>
        <w:tabs>
          <w:tab w:val="left" w:pos="0"/>
        </w:tabs>
        <w:rPr>
          <w:rFonts w:ascii="Times New Roman" w:hAnsi="Times New Roman" w:cs="Times New Roman"/>
          <w:sz w:val="32"/>
        </w:rPr>
      </w:pPr>
      <w:bookmarkStart w:id="1345" w:name="_Toc10477"/>
      <w:bookmarkStart w:id="1346" w:name="_Toc21048"/>
      <w:bookmarkStart w:id="1347" w:name="_Toc20738"/>
      <w:r>
        <w:rPr>
          <w:rFonts w:ascii="Times New Roman" w:hAnsi="Times New Roman" w:cs="Times New Roman"/>
          <w:sz w:val="32"/>
        </w:rPr>
        <w:t>预案管理</w:t>
      </w:r>
      <w:bookmarkEnd w:id="1345"/>
      <w:bookmarkEnd w:id="1346"/>
      <w:bookmarkEnd w:id="1347"/>
    </w:p>
    <w:p w14:paraId="37B36B65">
      <w:pPr>
        <w:pStyle w:val="3"/>
        <w:spacing w:line="560" w:lineRule="exact"/>
        <w:ind w:firstLine="0" w:firstLineChars="0"/>
        <w:rPr>
          <w:rFonts w:ascii="Times New Roman" w:hAnsi="Times New Roman" w:eastAsia="楷体_GB2312" w:cs="Times New Roman"/>
          <w:sz w:val="32"/>
        </w:rPr>
      </w:pPr>
      <w:bookmarkStart w:id="1348" w:name="_Toc26865"/>
      <w:bookmarkStart w:id="1349" w:name="_Toc8128"/>
      <w:bookmarkStart w:id="1350" w:name="_Toc11431"/>
      <w:r>
        <w:rPr>
          <w:rFonts w:ascii="Times New Roman" w:hAnsi="Times New Roman" w:eastAsia="楷体_GB2312" w:cs="Times New Roman"/>
          <w:sz w:val="32"/>
        </w:rPr>
        <w:t>宣传和</w:t>
      </w:r>
      <w:bookmarkEnd w:id="1348"/>
      <w:r>
        <w:rPr>
          <w:rFonts w:ascii="Times New Roman" w:hAnsi="Times New Roman" w:eastAsia="楷体_GB2312" w:cs="Times New Roman"/>
          <w:sz w:val="32"/>
        </w:rPr>
        <w:t>演练</w:t>
      </w:r>
      <w:bookmarkEnd w:id="1349"/>
      <w:bookmarkEnd w:id="1350"/>
    </w:p>
    <w:p w14:paraId="2D12B184">
      <w:pPr>
        <w:pStyle w:val="4"/>
        <w:numPr>
          <w:ilvl w:val="2"/>
          <w:numId w:val="224"/>
        </w:numPr>
        <w:tabs>
          <w:tab w:val="left" w:pos="0"/>
        </w:tabs>
        <w:spacing w:line="560" w:lineRule="exact"/>
        <w:ind w:firstLine="0" w:firstLineChars="0"/>
        <w:rPr>
          <w:rFonts w:ascii="Times New Roman" w:hAnsi="Times New Roman" w:cs="Times New Roman"/>
          <w:sz w:val="32"/>
        </w:rPr>
      </w:pPr>
      <w:r>
        <w:rPr>
          <w:rFonts w:ascii="Times New Roman" w:hAnsi="Times New Roman" w:cs="Times New Roman"/>
          <w:sz w:val="32"/>
        </w:rPr>
        <w:t>公众信息交流</w:t>
      </w:r>
    </w:p>
    <w:p w14:paraId="567DDECE">
      <w:pPr>
        <w:spacing w:line="560" w:lineRule="exact"/>
        <w:ind w:firstLine="632"/>
        <w:rPr>
          <w:rFonts w:ascii="Times New Roman" w:hAnsi="Times New Roman" w:cs="Times New Roman"/>
          <w:sz w:val="32"/>
        </w:rPr>
      </w:pPr>
      <w:r>
        <w:rPr>
          <w:rFonts w:ascii="Times New Roman" w:hAnsi="Times New Roman" w:cs="Times New Roman"/>
          <w:sz w:val="32"/>
        </w:rPr>
        <w:t>群体性事件工作等方面的公众信息交流实行分级负责制，一般公众信息由本级防指负责人审批后，可通过媒体向社会发布。</w:t>
      </w:r>
    </w:p>
    <w:p w14:paraId="5FA245BB">
      <w:pPr>
        <w:pStyle w:val="4"/>
        <w:numPr>
          <w:ilvl w:val="2"/>
          <w:numId w:val="224"/>
        </w:numPr>
        <w:tabs>
          <w:tab w:val="left" w:pos="0"/>
        </w:tabs>
        <w:spacing w:line="560" w:lineRule="exact"/>
        <w:ind w:firstLine="0" w:firstLineChars="0"/>
        <w:rPr>
          <w:rFonts w:ascii="Times New Roman" w:hAnsi="Times New Roman" w:cs="Times New Roman"/>
          <w:sz w:val="32"/>
        </w:rPr>
      </w:pPr>
      <w:r>
        <w:rPr>
          <w:rFonts w:ascii="Times New Roman" w:hAnsi="Times New Roman" w:cs="Times New Roman"/>
          <w:sz w:val="32"/>
        </w:rPr>
        <w:t>演练</w:t>
      </w:r>
    </w:p>
    <w:p w14:paraId="025FAB65">
      <w:pPr>
        <w:spacing w:line="560" w:lineRule="exact"/>
        <w:ind w:firstLine="632"/>
        <w:rPr>
          <w:rFonts w:ascii="Times New Roman" w:hAnsi="Times New Roman" w:cs="Times New Roman"/>
          <w:sz w:val="32"/>
        </w:rPr>
      </w:pPr>
      <w:r>
        <w:rPr>
          <w:rFonts w:ascii="Times New Roman" w:hAnsi="Times New Roman" w:cs="Times New Roman"/>
          <w:sz w:val="32"/>
        </w:rPr>
        <w:t>积极组织开展对群体性事件现场指挥人员及队伍的指挥和技术培训，定期进行应急模拟综合演练，提高各单位协同处置、合成作战和快速有效反应能力，进一步增强对大规模群体性事件的预防和应急处置能力，形成比较完善和规范的处置群体性事件的工作机制。</w:t>
      </w:r>
    </w:p>
    <w:p w14:paraId="31FD3DEE">
      <w:pPr>
        <w:pStyle w:val="3"/>
        <w:spacing w:line="560" w:lineRule="exact"/>
        <w:ind w:firstLine="0" w:firstLineChars="0"/>
        <w:rPr>
          <w:rFonts w:ascii="Times New Roman" w:hAnsi="Times New Roman" w:eastAsia="楷体_GB2312" w:cs="Times New Roman"/>
          <w:sz w:val="32"/>
        </w:rPr>
      </w:pPr>
      <w:bookmarkStart w:id="1351" w:name="_Toc11678"/>
      <w:bookmarkStart w:id="1352" w:name="_Toc32101"/>
      <w:bookmarkStart w:id="1353" w:name="_Toc23519"/>
      <w:r>
        <w:rPr>
          <w:rFonts w:ascii="Times New Roman" w:hAnsi="Times New Roman" w:eastAsia="楷体_GB2312" w:cs="Times New Roman"/>
          <w:sz w:val="32"/>
        </w:rPr>
        <w:t>预案更新</w:t>
      </w:r>
      <w:bookmarkEnd w:id="1351"/>
      <w:bookmarkEnd w:id="1352"/>
      <w:bookmarkEnd w:id="1353"/>
    </w:p>
    <w:p w14:paraId="317F0F28">
      <w:pPr>
        <w:spacing w:line="560" w:lineRule="exact"/>
        <w:ind w:firstLine="632"/>
        <w:rPr>
          <w:rFonts w:ascii="Times New Roman" w:hAnsi="Times New Roman" w:cs="Times New Roman"/>
          <w:sz w:val="32"/>
        </w:rPr>
      </w:pPr>
      <w:r>
        <w:rPr>
          <w:rFonts w:ascii="Times New Roman" w:hAnsi="Times New Roman" w:cs="Times New Roman"/>
          <w:sz w:val="32"/>
        </w:rPr>
        <w:t>县处置大规模群体性事件应急指挥部负责组织对预案进行评估，原则上每3年对本预案评审一次，并按程序进行修订。各乡镇政府可以根据本预案制定相关地区的群体性事件应急预案。</w:t>
      </w:r>
    </w:p>
    <w:p w14:paraId="0C47CC79">
      <w:pPr>
        <w:spacing w:line="560" w:lineRule="exact"/>
        <w:ind w:firstLine="632"/>
        <w:rPr>
          <w:rFonts w:ascii="Times New Roman" w:hAnsi="Times New Roman" w:cs="Times New Roman"/>
          <w:sz w:val="32"/>
        </w:rPr>
      </w:pPr>
      <w:r>
        <w:rPr>
          <w:rFonts w:ascii="Times New Roman" w:hAnsi="Times New Roman" w:cs="Times New Roman"/>
          <w:sz w:val="32"/>
        </w:rPr>
        <w:t>本预案有下列情形之一的，应当及时修订：</w:t>
      </w:r>
    </w:p>
    <w:p w14:paraId="33349741">
      <w:pPr>
        <w:spacing w:line="560" w:lineRule="exact"/>
        <w:ind w:firstLine="632"/>
        <w:rPr>
          <w:rFonts w:ascii="Times New Roman" w:hAnsi="Times New Roman" w:cs="Times New Roman"/>
          <w:sz w:val="32"/>
        </w:rPr>
      </w:pPr>
      <w:r>
        <w:rPr>
          <w:rFonts w:ascii="Times New Roman" w:hAnsi="Times New Roman" w:cs="Times New Roman"/>
          <w:sz w:val="32"/>
        </w:rPr>
        <w:t>（1）有关法律、行政法规、规章、标准、上位预案中的有关规定发生变化的；</w:t>
      </w:r>
    </w:p>
    <w:p w14:paraId="3A30DEB5">
      <w:pPr>
        <w:spacing w:line="560" w:lineRule="exact"/>
        <w:ind w:firstLine="632"/>
        <w:rPr>
          <w:rFonts w:ascii="Times New Roman" w:hAnsi="Times New Roman" w:cs="Times New Roman"/>
          <w:sz w:val="32"/>
        </w:rPr>
      </w:pPr>
      <w:r>
        <w:rPr>
          <w:rFonts w:ascii="Times New Roman" w:hAnsi="Times New Roman" w:cs="Times New Roman"/>
          <w:sz w:val="32"/>
        </w:rPr>
        <w:t>（2）应急指挥机构及其职责发生重大调整的；</w:t>
      </w:r>
    </w:p>
    <w:p w14:paraId="4B178A11">
      <w:pPr>
        <w:spacing w:line="560" w:lineRule="exact"/>
        <w:ind w:firstLine="632"/>
        <w:rPr>
          <w:rFonts w:ascii="Times New Roman" w:hAnsi="Times New Roman" w:cs="Times New Roman"/>
          <w:sz w:val="32"/>
        </w:rPr>
      </w:pPr>
      <w:r>
        <w:rPr>
          <w:rFonts w:ascii="Times New Roman" w:hAnsi="Times New Roman" w:cs="Times New Roman"/>
          <w:sz w:val="32"/>
        </w:rPr>
        <w:t>（3）面临的风险发生重大变化的；</w:t>
      </w:r>
    </w:p>
    <w:p w14:paraId="18967C4C">
      <w:pPr>
        <w:spacing w:line="560" w:lineRule="exact"/>
        <w:ind w:firstLine="632"/>
        <w:rPr>
          <w:rFonts w:ascii="Times New Roman" w:hAnsi="Times New Roman" w:cs="Times New Roman"/>
          <w:sz w:val="32"/>
        </w:rPr>
      </w:pPr>
      <w:r>
        <w:rPr>
          <w:rFonts w:ascii="Times New Roman" w:hAnsi="Times New Roman" w:cs="Times New Roman"/>
          <w:sz w:val="32"/>
        </w:rPr>
        <w:t>（4）重要应急资源发生重大变化的；</w:t>
      </w:r>
    </w:p>
    <w:p w14:paraId="79DD6C09">
      <w:pPr>
        <w:spacing w:line="560" w:lineRule="exact"/>
        <w:ind w:firstLine="632"/>
        <w:rPr>
          <w:rFonts w:ascii="Times New Roman" w:hAnsi="Times New Roman" w:cs="Times New Roman"/>
          <w:sz w:val="32"/>
        </w:rPr>
      </w:pPr>
      <w:r>
        <w:rPr>
          <w:rFonts w:ascii="Times New Roman" w:hAnsi="Times New Roman" w:cs="Times New Roman"/>
          <w:sz w:val="32"/>
        </w:rPr>
        <w:t>（5）预案中的其他重要信息发生变化的；</w:t>
      </w:r>
    </w:p>
    <w:p w14:paraId="292B28F8">
      <w:pPr>
        <w:spacing w:line="560" w:lineRule="exact"/>
        <w:ind w:firstLine="632"/>
        <w:rPr>
          <w:rFonts w:ascii="Times New Roman" w:hAnsi="Times New Roman" w:cs="Times New Roman"/>
          <w:sz w:val="32"/>
        </w:rPr>
      </w:pPr>
      <w:r>
        <w:rPr>
          <w:rFonts w:ascii="Times New Roman" w:hAnsi="Times New Roman" w:cs="Times New Roman"/>
          <w:sz w:val="32"/>
        </w:rPr>
        <w:t>（6）在突发事件实际应对和应急演练中发现问题需要做出重大调整的；</w:t>
      </w:r>
    </w:p>
    <w:p w14:paraId="3718FC82">
      <w:pPr>
        <w:spacing w:line="560" w:lineRule="exact"/>
        <w:ind w:firstLine="632"/>
        <w:rPr>
          <w:rFonts w:ascii="Times New Roman" w:hAnsi="Times New Roman" w:cs="Times New Roman"/>
          <w:sz w:val="32"/>
        </w:rPr>
      </w:pPr>
      <w:r>
        <w:rPr>
          <w:rFonts w:ascii="Times New Roman" w:hAnsi="Times New Roman" w:cs="Times New Roman"/>
          <w:sz w:val="32"/>
        </w:rPr>
        <w:t>（7）应急预案制定单位认为应当修订的其他情况。</w:t>
      </w:r>
    </w:p>
    <w:p w14:paraId="214A1A1E">
      <w:pPr>
        <w:pStyle w:val="2"/>
        <w:numPr>
          <w:ilvl w:val="0"/>
          <w:numId w:val="224"/>
        </w:numPr>
        <w:tabs>
          <w:tab w:val="left" w:pos="0"/>
        </w:tabs>
        <w:rPr>
          <w:rFonts w:ascii="Times New Roman" w:hAnsi="Times New Roman" w:cs="Times New Roman"/>
          <w:sz w:val="32"/>
        </w:rPr>
      </w:pPr>
      <w:bookmarkStart w:id="1354" w:name="_Toc19189"/>
      <w:bookmarkStart w:id="1355" w:name="_Toc5003"/>
      <w:r>
        <w:rPr>
          <w:rFonts w:ascii="Times New Roman" w:hAnsi="Times New Roman" w:cs="Times New Roman"/>
          <w:sz w:val="32"/>
        </w:rPr>
        <w:t>预案解释与实施</w:t>
      </w:r>
      <w:bookmarkEnd w:id="1354"/>
      <w:bookmarkEnd w:id="1355"/>
    </w:p>
    <w:p w14:paraId="6C12025C">
      <w:pPr>
        <w:spacing w:line="560" w:lineRule="exact"/>
        <w:ind w:firstLine="632"/>
        <w:rPr>
          <w:rFonts w:ascii="Times New Roman" w:hAnsi="Times New Roman" w:cs="Times New Roman"/>
          <w:sz w:val="32"/>
        </w:rPr>
      </w:pPr>
      <w:r>
        <w:rPr>
          <w:rFonts w:ascii="Times New Roman" w:hAnsi="Times New Roman" w:cs="Times New Roman"/>
          <w:sz w:val="32"/>
        </w:rPr>
        <w:t>本预案由集贤县处置大规模群体性事件应急指挥部办公室负责解释。</w:t>
      </w:r>
    </w:p>
    <w:p w14:paraId="344F1B83">
      <w:pPr>
        <w:spacing w:line="560" w:lineRule="exact"/>
        <w:ind w:firstLine="632"/>
        <w:rPr>
          <w:rFonts w:ascii="Times New Roman" w:hAnsi="Times New Roman" w:cs="Times New Roman"/>
          <w:sz w:val="32"/>
        </w:rPr>
      </w:pPr>
      <w:r>
        <w:rPr>
          <w:rFonts w:ascii="Times New Roman" w:hAnsi="Times New Roman" w:cs="Times New Roman"/>
          <w:sz w:val="32"/>
        </w:rPr>
        <w:t>本预案自发布之日起施行。</w:t>
      </w:r>
    </w:p>
    <w:p w14:paraId="7DCFADE0">
      <w:pPr>
        <w:spacing w:line="560" w:lineRule="exact"/>
        <w:ind w:firstLine="632"/>
        <w:rPr>
          <w:rFonts w:ascii="Times New Roman" w:hAnsi="Times New Roman" w:cs="Times New Roman"/>
          <w:sz w:val="32"/>
        </w:rPr>
      </w:pPr>
      <w:r>
        <w:rPr>
          <w:rFonts w:ascii="Times New Roman" w:hAnsi="Times New Roman" w:cs="Times New Roman"/>
          <w:sz w:val="32"/>
        </w:rPr>
        <w:br w:type="page"/>
      </w:r>
    </w:p>
    <w:p w14:paraId="2A9B1C5E">
      <w:pPr>
        <w:pStyle w:val="2"/>
        <w:numPr>
          <w:ilvl w:val="0"/>
          <w:numId w:val="0"/>
        </w:numPr>
        <w:rPr>
          <w:rFonts w:ascii="Times New Roman" w:hAnsi="Times New Roman" w:cs="Times New Roman"/>
          <w:sz w:val="32"/>
        </w:rPr>
      </w:pPr>
      <w:bookmarkStart w:id="1356" w:name="_Toc15977"/>
      <w:r>
        <w:rPr>
          <w:rFonts w:ascii="Times New Roman" w:hAnsi="Times New Roman" w:cs="Times New Roman"/>
          <w:sz w:val="32"/>
        </w:rPr>
        <w:t>附件1：大规模群体性事件分级标准</w:t>
      </w:r>
      <w:bookmarkEnd w:id="1356"/>
    </w:p>
    <w:p w14:paraId="52D45E1E">
      <w:pPr>
        <w:pStyle w:val="20"/>
        <w:widowControl/>
        <w:shd w:val="clear" w:color="auto" w:fill="FFFFFF"/>
        <w:spacing w:beforeAutospacing="0" w:afterAutospacing="0" w:line="560" w:lineRule="exact"/>
        <w:ind w:firstLine="632"/>
        <w:rPr>
          <w:rFonts w:ascii="Times New Roman" w:hAnsi="Times New Roman" w:eastAsia="楷体_GB2312"/>
          <w:b/>
          <w:bCs/>
          <w:color w:val="444444"/>
          <w:sz w:val="32"/>
          <w:shd w:val="clear" w:color="auto" w:fill="FFFFFF"/>
        </w:rPr>
      </w:pPr>
      <w:r>
        <w:rPr>
          <w:rFonts w:ascii="Times New Roman" w:hAnsi="Times New Roman" w:eastAsia="楷体_GB2312"/>
          <w:b/>
          <w:bCs/>
          <w:color w:val="444444"/>
          <w:sz w:val="32"/>
          <w:shd w:val="clear" w:color="auto" w:fill="FFFFFF"/>
        </w:rPr>
        <w:t>（一）特别重大群体性事件（I级）</w:t>
      </w:r>
    </w:p>
    <w:p w14:paraId="5BE1DBF5">
      <w:pPr>
        <w:spacing w:line="560" w:lineRule="exact"/>
        <w:ind w:firstLine="632"/>
        <w:rPr>
          <w:rFonts w:ascii="Times New Roman" w:hAnsi="Times New Roman" w:cs="Times New Roman"/>
          <w:sz w:val="32"/>
        </w:rPr>
      </w:pPr>
      <w:r>
        <w:rPr>
          <w:rFonts w:ascii="Times New Roman" w:hAnsi="Times New Roman" w:cs="Times New Roman"/>
          <w:sz w:val="32"/>
        </w:rPr>
        <w:t>有下列情况之一的，为特别重大群体性事件</w:t>
      </w:r>
    </w:p>
    <w:p w14:paraId="54F1C218">
      <w:pPr>
        <w:spacing w:line="560" w:lineRule="exact"/>
        <w:ind w:firstLine="632"/>
        <w:rPr>
          <w:rFonts w:ascii="Times New Roman" w:hAnsi="Times New Roman" w:cs="Times New Roman"/>
          <w:sz w:val="32"/>
        </w:rPr>
      </w:pPr>
      <w:r>
        <w:rPr>
          <w:rFonts w:ascii="Times New Roman" w:hAnsi="Times New Roman" w:cs="Times New Roman"/>
          <w:sz w:val="32"/>
        </w:rPr>
        <w:t>（1）一次参与人数5000人以上，严重影响社会稳定的事件；</w:t>
      </w:r>
    </w:p>
    <w:p w14:paraId="60BAF23D">
      <w:pPr>
        <w:spacing w:line="560" w:lineRule="exact"/>
        <w:ind w:firstLine="632"/>
        <w:rPr>
          <w:rFonts w:ascii="Times New Roman" w:hAnsi="Times New Roman" w:cs="Times New Roman"/>
          <w:sz w:val="32"/>
        </w:rPr>
      </w:pPr>
      <w:r>
        <w:rPr>
          <w:rFonts w:ascii="Times New Roman" w:hAnsi="Times New Roman" w:cs="Times New Roman"/>
          <w:sz w:val="32"/>
        </w:rPr>
        <w:t>（2）冲击、围攻县级以上党政军机关和要害部门，打、砸、抢、烧乡镇以上党政军机关的事件；</w:t>
      </w:r>
    </w:p>
    <w:p w14:paraId="49E89651">
      <w:pPr>
        <w:spacing w:line="560" w:lineRule="exact"/>
        <w:ind w:firstLine="632"/>
        <w:rPr>
          <w:rFonts w:ascii="Times New Roman" w:hAnsi="Times New Roman" w:cs="Times New Roman"/>
          <w:sz w:val="32"/>
        </w:rPr>
      </w:pPr>
      <w:r>
        <w:rPr>
          <w:rFonts w:ascii="Times New Roman" w:hAnsi="Times New Roman" w:cs="Times New Roman"/>
          <w:sz w:val="32"/>
        </w:rPr>
        <w:t>（3）参与人员对抗性特征突出，已发生大规模的打、砸、抢、烧等违法犯罪行为；</w:t>
      </w:r>
    </w:p>
    <w:p w14:paraId="1BF2B195">
      <w:pPr>
        <w:spacing w:line="560" w:lineRule="exact"/>
        <w:ind w:firstLine="632"/>
        <w:rPr>
          <w:rFonts w:ascii="Times New Roman" w:hAnsi="Times New Roman" w:cs="Times New Roman"/>
          <w:sz w:val="32"/>
        </w:rPr>
      </w:pPr>
      <w:r>
        <w:rPr>
          <w:rFonts w:ascii="Times New Roman" w:hAnsi="Times New Roman" w:cs="Times New Roman"/>
          <w:sz w:val="32"/>
        </w:rPr>
        <w:t>（4）阻断铁路繁忙干线、国道、省道、高速公路和重要交通枢纽、城市交通8小时以上停运，或阻挠、妨碍国家和省重点建设工程施工，造成停工24小时以上停工事件；</w:t>
      </w:r>
    </w:p>
    <w:p w14:paraId="10400D98">
      <w:pPr>
        <w:spacing w:line="560" w:lineRule="exact"/>
        <w:ind w:firstLine="632"/>
        <w:rPr>
          <w:rFonts w:ascii="Times New Roman" w:hAnsi="Times New Roman" w:cs="Times New Roman"/>
          <w:sz w:val="32"/>
        </w:rPr>
      </w:pPr>
      <w:r>
        <w:rPr>
          <w:rFonts w:ascii="Times New Roman" w:hAnsi="Times New Roman" w:cs="Times New Roman"/>
          <w:sz w:val="32"/>
        </w:rPr>
        <w:t>（5）造成10人以上死亡或30人以上受伤，严重危害社会稳定的事件；</w:t>
      </w:r>
    </w:p>
    <w:p w14:paraId="2510E1AF">
      <w:pPr>
        <w:spacing w:line="560" w:lineRule="exact"/>
        <w:ind w:firstLine="632"/>
        <w:rPr>
          <w:rFonts w:ascii="Times New Roman" w:hAnsi="Times New Roman" w:cs="Times New Roman"/>
          <w:sz w:val="32"/>
        </w:rPr>
      </w:pPr>
      <w:r>
        <w:rPr>
          <w:rFonts w:ascii="Times New Roman" w:hAnsi="Times New Roman" w:cs="Times New Roman"/>
          <w:sz w:val="32"/>
        </w:rPr>
        <w:t>（6）校内聚集事件失控，未经批准走出校门进行大规模游行、集会、绝食、静坐、请愿等行为，引发不同地区连锁反应，严重影响社会稳定的事件；</w:t>
      </w:r>
    </w:p>
    <w:p w14:paraId="3592F645">
      <w:pPr>
        <w:spacing w:line="560" w:lineRule="exact"/>
        <w:ind w:firstLine="632"/>
        <w:rPr>
          <w:rFonts w:ascii="Times New Roman" w:hAnsi="Times New Roman" w:cs="Times New Roman"/>
          <w:sz w:val="32"/>
        </w:rPr>
      </w:pPr>
      <w:r>
        <w:rPr>
          <w:rFonts w:ascii="Times New Roman" w:hAnsi="Times New Roman" w:cs="Times New Roman"/>
          <w:sz w:val="32"/>
        </w:rPr>
        <w:t>（7）参与人数500人以上，或造成重大人员伤亡的群体性械斗、冲突事件；</w:t>
      </w:r>
    </w:p>
    <w:p w14:paraId="2F219274">
      <w:pPr>
        <w:spacing w:line="560" w:lineRule="exact"/>
        <w:ind w:firstLine="632"/>
        <w:rPr>
          <w:rFonts w:ascii="Times New Roman" w:hAnsi="Times New Roman" w:cs="Times New Roman"/>
          <w:sz w:val="32"/>
        </w:rPr>
      </w:pPr>
      <w:r>
        <w:rPr>
          <w:rFonts w:ascii="Times New Roman" w:hAnsi="Times New Roman" w:cs="Times New Roman"/>
          <w:sz w:val="32"/>
        </w:rPr>
        <w:t>（8）参与人数在10人以上的暴狱事件；</w:t>
      </w:r>
    </w:p>
    <w:p w14:paraId="50CFC2AE">
      <w:pPr>
        <w:spacing w:line="560" w:lineRule="exact"/>
        <w:ind w:firstLine="632"/>
        <w:rPr>
          <w:rFonts w:ascii="Times New Roman" w:hAnsi="Times New Roman" w:cs="Times New Roman"/>
          <w:sz w:val="32"/>
        </w:rPr>
      </w:pPr>
      <w:r>
        <w:rPr>
          <w:rFonts w:ascii="Times New Roman" w:hAnsi="Times New Roman" w:cs="Times New Roman"/>
          <w:sz w:val="32"/>
        </w:rPr>
        <w:t>（9）出现全县范围或跨县（市）区范围或跨行业的严重影响社会稳定的互动性连锁反应事件；</w:t>
      </w:r>
    </w:p>
    <w:p w14:paraId="2CF89FE2">
      <w:pPr>
        <w:spacing w:line="560" w:lineRule="exact"/>
        <w:ind w:firstLine="632"/>
        <w:rPr>
          <w:rFonts w:ascii="Times New Roman" w:hAnsi="Times New Roman" w:cs="Times New Roman"/>
          <w:sz w:val="32"/>
        </w:rPr>
      </w:pPr>
      <w:r>
        <w:rPr>
          <w:rFonts w:ascii="Times New Roman" w:hAnsi="Times New Roman" w:cs="Times New Roman"/>
          <w:sz w:val="32"/>
        </w:rPr>
        <w:t>（10）其他特别重大群体性事件。</w:t>
      </w:r>
    </w:p>
    <w:p w14:paraId="3AA6C95B">
      <w:pPr>
        <w:pStyle w:val="20"/>
        <w:widowControl/>
        <w:shd w:val="clear" w:color="auto" w:fill="FFFFFF"/>
        <w:spacing w:beforeAutospacing="0" w:afterAutospacing="0" w:line="560" w:lineRule="exact"/>
        <w:ind w:firstLine="632"/>
        <w:rPr>
          <w:rFonts w:ascii="Times New Roman" w:hAnsi="Times New Roman" w:eastAsia="楷体_GB2312"/>
          <w:b/>
          <w:bCs/>
          <w:color w:val="444444"/>
          <w:sz w:val="32"/>
          <w:shd w:val="clear" w:color="auto" w:fill="FFFFFF"/>
        </w:rPr>
      </w:pPr>
      <w:r>
        <w:rPr>
          <w:rFonts w:ascii="Times New Roman" w:hAnsi="Times New Roman" w:eastAsia="楷体_GB2312"/>
          <w:b/>
          <w:bCs/>
          <w:color w:val="444444"/>
          <w:sz w:val="32"/>
          <w:shd w:val="clear" w:color="auto" w:fill="FFFFFF"/>
        </w:rPr>
        <w:t>（二）重大群体性事件（Ⅱ级）</w:t>
      </w:r>
    </w:p>
    <w:p w14:paraId="03741453">
      <w:pPr>
        <w:spacing w:line="560" w:lineRule="exact"/>
        <w:ind w:firstLine="632"/>
        <w:rPr>
          <w:rFonts w:ascii="Times New Roman" w:hAnsi="Times New Roman" w:cs="Times New Roman"/>
          <w:sz w:val="32"/>
        </w:rPr>
      </w:pPr>
      <w:r>
        <w:rPr>
          <w:rFonts w:ascii="Times New Roman" w:hAnsi="Times New Roman" w:cs="Times New Roman"/>
          <w:sz w:val="32"/>
        </w:rPr>
        <w:t>有下列情况之一的，为重大群体性事件：</w:t>
      </w:r>
    </w:p>
    <w:p w14:paraId="35912148">
      <w:pPr>
        <w:spacing w:line="560" w:lineRule="exact"/>
        <w:ind w:firstLine="632"/>
        <w:rPr>
          <w:rFonts w:ascii="Times New Roman" w:hAnsi="Times New Roman" w:cs="Times New Roman"/>
          <w:sz w:val="32"/>
        </w:rPr>
      </w:pPr>
      <w:r>
        <w:rPr>
          <w:rFonts w:ascii="Times New Roman" w:hAnsi="Times New Roman" w:cs="Times New Roman"/>
          <w:sz w:val="32"/>
        </w:rPr>
        <w:t>（1）参与人数在1000人以上5000人以下，影响较大的非法集会游行示威、上访请愿、聚众闹事、罢工（市、课）等，或人数不多但涉及面广和有可能进京的非法集会和集体上访事件；</w:t>
      </w:r>
    </w:p>
    <w:p w14:paraId="347FC5F9">
      <w:pPr>
        <w:spacing w:line="560" w:lineRule="exact"/>
        <w:ind w:firstLine="632"/>
        <w:rPr>
          <w:rFonts w:ascii="Times New Roman" w:hAnsi="Times New Roman" w:cs="Times New Roman"/>
          <w:sz w:val="32"/>
        </w:rPr>
      </w:pPr>
      <w:r>
        <w:rPr>
          <w:rFonts w:ascii="Times New Roman" w:hAnsi="Times New Roman" w:cs="Times New Roman"/>
          <w:sz w:val="32"/>
        </w:rPr>
        <w:t>（2）造成3人以上10人以下死亡，或10人以上30人以下受伤的群体性事件；</w:t>
      </w:r>
    </w:p>
    <w:p w14:paraId="65BAB967">
      <w:pPr>
        <w:spacing w:line="560" w:lineRule="exact"/>
        <w:ind w:firstLine="632"/>
        <w:rPr>
          <w:rFonts w:ascii="Times New Roman" w:hAnsi="Times New Roman" w:cs="Times New Roman"/>
          <w:sz w:val="32"/>
        </w:rPr>
      </w:pPr>
      <w:r>
        <w:rPr>
          <w:rFonts w:ascii="Times New Roman" w:hAnsi="Times New Roman" w:cs="Times New Roman"/>
          <w:sz w:val="32"/>
        </w:rPr>
        <w:t>（3）学校校园网上出现大范围串联、煽动和蛊惑信息，校内聚集规模迅速扩大并出现多校串联聚集趋势，学校正常教育教学秩序受到严重影响甚至瘫痪，或因学校其他问题引发的群体性事件；</w:t>
      </w:r>
    </w:p>
    <w:p w14:paraId="01C101D2">
      <w:pPr>
        <w:spacing w:line="560" w:lineRule="exact"/>
        <w:ind w:firstLine="632"/>
        <w:rPr>
          <w:rFonts w:ascii="Times New Roman" w:hAnsi="Times New Roman" w:cs="Times New Roman"/>
          <w:sz w:val="32"/>
        </w:rPr>
      </w:pPr>
      <w:r>
        <w:rPr>
          <w:rFonts w:ascii="Times New Roman" w:hAnsi="Times New Roman" w:cs="Times New Roman"/>
          <w:sz w:val="32"/>
        </w:rPr>
        <w:t>（4）参与人数200人以上500人以下，或造成较大人员伤亡的群体性械斗、冲突事件；</w:t>
      </w:r>
    </w:p>
    <w:p w14:paraId="404CBEEE">
      <w:pPr>
        <w:spacing w:line="560" w:lineRule="exact"/>
        <w:ind w:firstLine="632"/>
        <w:rPr>
          <w:rFonts w:ascii="Times New Roman" w:hAnsi="Times New Roman" w:cs="Times New Roman"/>
          <w:sz w:val="32"/>
        </w:rPr>
      </w:pPr>
      <w:r>
        <w:rPr>
          <w:rFonts w:ascii="Times New Roman" w:hAnsi="Times New Roman" w:cs="Times New Roman"/>
          <w:sz w:val="32"/>
        </w:rPr>
        <w:t>（5）涉及境内外宗教组织背景的大型非法宗教活动，或因民族宗教问题引发的严重影响民族团结的群体性事件；</w:t>
      </w:r>
    </w:p>
    <w:p w14:paraId="0CCA20AE">
      <w:pPr>
        <w:spacing w:line="560" w:lineRule="exact"/>
        <w:ind w:firstLine="632"/>
        <w:rPr>
          <w:rFonts w:ascii="Times New Roman" w:hAnsi="Times New Roman" w:cs="Times New Roman"/>
          <w:sz w:val="32"/>
        </w:rPr>
      </w:pPr>
      <w:r>
        <w:rPr>
          <w:rFonts w:ascii="Times New Roman" w:hAnsi="Times New Roman" w:cs="Times New Roman"/>
          <w:sz w:val="32"/>
        </w:rPr>
        <w:t>（6）因土地、水资源等权属争议和环境污染、生态破坏造成严重后果引发的群体性事件；</w:t>
      </w:r>
    </w:p>
    <w:p w14:paraId="04F4B756">
      <w:pPr>
        <w:spacing w:line="560" w:lineRule="exact"/>
        <w:ind w:firstLine="632"/>
        <w:rPr>
          <w:rFonts w:ascii="Times New Roman" w:hAnsi="Times New Roman" w:cs="Times New Roman"/>
          <w:sz w:val="32"/>
        </w:rPr>
      </w:pPr>
      <w:r>
        <w:rPr>
          <w:rFonts w:ascii="Times New Roman" w:hAnsi="Times New Roman" w:cs="Times New Roman"/>
          <w:sz w:val="32"/>
        </w:rPr>
        <w:t>（7）已出现跨县或跨行业影响社会稳定连锁反应，或造成较严重危害和损失，事态仍可能进一步扩大升级的群体性事件；</w:t>
      </w:r>
    </w:p>
    <w:p w14:paraId="56CFFEA4">
      <w:pPr>
        <w:spacing w:line="560" w:lineRule="exact"/>
        <w:ind w:firstLine="632"/>
        <w:rPr>
          <w:rFonts w:ascii="Times New Roman" w:hAnsi="Times New Roman" w:cs="Times New Roman"/>
          <w:sz w:val="32"/>
        </w:rPr>
      </w:pPr>
      <w:r>
        <w:rPr>
          <w:rFonts w:ascii="Times New Roman" w:hAnsi="Times New Roman" w:cs="Times New Roman"/>
          <w:sz w:val="32"/>
        </w:rPr>
        <w:t>（8）其他重大群体性事件。</w:t>
      </w:r>
    </w:p>
    <w:p w14:paraId="278AF5CD">
      <w:pPr>
        <w:pStyle w:val="20"/>
        <w:widowControl/>
        <w:shd w:val="clear" w:color="auto" w:fill="FFFFFF"/>
        <w:spacing w:beforeAutospacing="0" w:afterAutospacing="0" w:line="560" w:lineRule="exact"/>
        <w:ind w:firstLine="632"/>
        <w:rPr>
          <w:rFonts w:ascii="Times New Roman" w:hAnsi="Times New Roman" w:eastAsia="楷体_GB2312"/>
          <w:b/>
          <w:bCs/>
          <w:color w:val="444444"/>
          <w:sz w:val="32"/>
          <w:shd w:val="clear" w:color="auto" w:fill="FFFFFF"/>
        </w:rPr>
      </w:pPr>
      <w:r>
        <w:rPr>
          <w:rFonts w:ascii="Times New Roman" w:hAnsi="Times New Roman" w:eastAsia="楷体_GB2312"/>
          <w:b/>
          <w:bCs/>
          <w:color w:val="444444"/>
          <w:sz w:val="32"/>
          <w:shd w:val="clear" w:color="auto" w:fill="FFFFFF"/>
        </w:rPr>
        <w:t>（三）较大群体性事件（Ⅲ级）</w:t>
      </w:r>
    </w:p>
    <w:p w14:paraId="5C861297">
      <w:pPr>
        <w:spacing w:line="560" w:lineRule="exact"/>
        <w:ind w:firstLine="632"/>
        <w:rPr>
          <w:rFonts w:ascii="Times New Roman" w:hAnsi="Times New Roman" w:cs="Times New Roman"/>
          <w:sz w:val="32"/>
        </w:rPr>
      </w:pPr>
      <w:r>
        <w:rPr>
          <w:rFonts w:ascii="Times New Roman" w:hAnsi="Times New Roman" w:cs="Times New Roman"/>
          <w:sz w:val="32"/>
        </w:rPr>
        <w:t>有下列情况之一的，为较大群体性事件：</w:t>
      </w:r>
    </w:p>
    <w:p w14:paraId="05E8DD5C">
      <w:pPr>
        <w:spacing w:line="560" w:lineRule="exact"/>
        <w:ind w:firstLine="632"/>
        <w:rPr>
          <w:rFonts w:ascii="Times New Roman" w:hAnsi="Times New Roman" w:cs="Times New Roman"/>
          <w:sz w:val="32"/>
        </w:rPr>
      </w:pPr>
      <w:r>
        <w:rPr>
          <w:rFonts w:ascii="Times New Roman" w:hAnsi="Times New Roman" w:cs="Times New Roman"/>
          <w:sz w:val="32"/>
        </w:rPr>
        <w:t>（1）参与人数在200人以上1000人以下，影响社会稳定的事件；</w:t>
      </w:r>
    </w:p>
    <w:p w14:paraId="504C317B">
      <w:pPr>
        <w:spacing w:line="560" w:lineRule="exact"/>
        <w:ind w:firstLine="632"/>
        <w:rPr>
          <w:rFonts w:ascii="Times New Roman" w:hAnsi="Times New Roman" w:cs="Times New Roman"/>
          <w:sz w:val="32"/>
        </w:rPr>
      </w:pPr>
      <w:r>
        <w:rPr>
          <w:rFonts w:ascii="Times New Roman" w:hAnsi="Times New Roman" w:cs="Times New Roman"/>
          <w:sz w:val="32"/>
        </w:rPr>
        <w:t>（2）在重要场所、重点地区聚集人数在10人以上100人以下，参与人员有明显过激行为的事件；</w:t>
      </w:r>
    </w:p>
    <w:p w14:paraId="62A3BC10">
      <w:pPr>
        <w:spacing w:line="560" w:lineRule="exact"/>
        <w:ind w:firstLine="632"/>
        <w:rPr>
          <w:rFonts w:ascii="Times New Roman" w:hAnsi="Times New Roman" w:cs="Times New Roman"/>
          <w:sz w:val="32"/>
        </w:rPr>
      </w:pPr>
      <w:r>
        <w:rPr>
          <w:rFonts w:ascii="Times New Roman" w:hAnsi="Times New Roman" w:cs="Times New Roman"/>
          <w:sz w:val="32"/>
        </w:rPr>
        <w:t>（3）已引发跨地区、跨行业影响社会稳定及连锁反应的事件；</w:t>
      </w:r>
    </w:p>
    <w:p w14:paraId="32FE11FE">
      <w:pPr>
        <w:spacing w:line="560" w:lineRule="exact"/>
        <w:ind w:firstLine="632"/>
        <w:rPr>
          <w:rFonts w:ascii="Times New Roman" w:hAnsi="Times New Roman" w:cs="Times New Roman"/>
          <w:sz w:val="32"/>
        </w:rPr>
      </w:pPr>
      <w:r>
        <w:rPr>
          <w:rFonts w:ascii="Times New Roman" w:hAnsi="Times New Roman" w:cs="Times New Roman"/>
          <w:sz w:val="32"/>
        </w:rPr>
        <w:t>（4）死亡3人以下、受伤人数在10人以下的事件；</w:t>
      </w:r>
    </w:p>
    <w:p w14:paraId="0B9C0274">
      <w:pPr>
        <w:spacing w:line="560" w:lineRule="exact"/>
        <w:ind w:firstLine="632"/>
        <w:rPr>
          <w:rFonts w:ascii="Times New Roman" w:hAnsi="Times New Roman" w:cs="Times New Roman"/>
          <w:sz w:val="32"/>
        </w:rPr>
      </w:pPr>
      <w:r>
        <w:rPr>
          <w:rFonts w:ascii="Times New Roman" w:hAnsi="Times New Roman" w:cs="Times New Roman"/>
          <w:sz w:val="32"/>
        </w:rPr>
        <w:t>（5）其他较大群体性事件。</w:t>
      </w:r>
    </w:p>
    <w:p w14:paraId="4D597C4E">
      <w:pPr>
        <w:pStyle w:val="20"/>
        <w:widowControl/>
        <w:shd w:val="clear" w:color="auto" w:fill="FFFFFF"/>
        <w:spacing w:beforeAutospacing="0" w:afterAutospacing="0" w:line="560" w:lineRule="exact"/>
        <w:ind w:firstLine="632"/>
        <w:rPr>
          <w:rFonts w:ascii="Times New Roman" w:hAnsi="Times New Roman" w:eastAsia="楷体_GB2312"/>
          <w:b/>
          <w:bCs/>
          <w:color w:val="444444"/>
          <w:sz w:val="32"/>
          <w:shd w:val="clear" w:color="auto" w:fill="FFFFFF"/>
        </w:rPr>
      </w:pPr>
      <w:r>
        <w:rPr>
          <w:rFonts w:ascii="Times New Roman" w:hAnsi="Times New Roman" w:eastAsia="楷体_GB2312"/>
          <w:b/>
          <w:bCs/>
          <w:color w:val="444444"/>
          <w:sz w:val="32"/>
          <w:shd w:val="clear" w:color="auto" w:fill="FFFFFF"/>
        </w:rPr>
        <w:t>（四）一般群体性事件 （Ⅳ级）</w:t>
      </w:r>
    </w:p>
    <w:p w14:paraId="561D0FC0">
      <w:pPr>
        <w:spacing w:line="560" w:lineRule="exact"/>
        <w:ind w:firstLine="632"/>
        <w:rPr>
          <w:rFonts w:ascii="Times New Roman" w:hAnsi="Times New Roman" w:cs="Times New Roman"/>
          <w:sz w:val="32"/>
        </w:rPr>
      </w:pPr>
      <w:r>
        <w:rPr>
          <w:rFonts w:ascii="Times New Roman" w:hAnsi="Times New Roman" w:cs="Times New Roman"/>
          <w:sz w:val="32"/>
        </w:rPr>
        <w:t>（1）参与人数在100人以上200人以下，影响社会稳定的事件；</w:t>
      </w:r>
    </w:p>
    <w:p w14:paraId="70F77B20">
      <w:pPr>
        <w:spacing w:line="560" w:lineRule="exact"/>
        <w:ind w:firstLine="632"/>
        <w:rPr>
          <w:rFonts w:ascii="Times New Roman" w:hAnsi="Times New Roman" w:cs="Times New Roman"/>
          <w:sz w:val="32"/>
        </w:rPr>
      </w:pPr>
      <w:r>
        <w:rPr>
          <w:rFonts w:ascii="Times New Roman" w:hAnsi="Times New Roman" w:cs="Times New Roman"/>
          <w:sz w:val="32"/>
        </w:rPr>
        <w:t>（2）在重大活动、敏感时期聚集人数达10人以上100人以下，参与人员有明显过激行为的事件；</w:t>
      </w:r>
    </w:p>
    <w:p w14:paraId="4B47B370">
      <w:pPr>
        <w:spacing w:line="560" w:lineRule="exact"/>
        <w:ind w:firstLine="632"/>
        <w:rPr>
          <w:rFonts w:ascii="Times New Roman" w:hAnsi="Times New Roman" w:cs="Times New Roman"/>
          <w:sz w:val="32"/>
        </w:rPr>
      </w:pPr>
      <w:r>
        <w:rPr>
          <w:rFonts w:ascii="Times New Roman" w:hAnsi="Times New Roman" w:cs="Times New Roman"/>
          <w:sz w:val="32"/>
        </w:rPr>
        <w:t>（3）一次参与人数在50人以上的有组织的械斗、冲突事件；</w:t>
      </w:r>
    </w:p>
    <w:p w14:paraId="25E604B7">
      <w:pPr>
        <w:spacing w:line="560" w:lineRule="exact"/>
        <w:ind w:firstLine="632"/>
        <w:rPr>
          <w:rFonts w:ascii="Times New Roman" w:hAnsi="Times New Roman" w:cs="Times New Roman"/>
          <w:sz w:val="32"/>
        </w:rPr>
      </w:pPr>
      <w:r>
        <w:rPr>
          <w:rFonts w:ascii="Times New Roman" w:hAnsi="Times New Roman" w:cs="Times New Roman"/>
          <w:sz w:val="32"/>
        </w:rPr>
        <w:t>（4）一次参与人数在10人以上的公开聚集的非法宗教活动；</w:t>
      </w:r>
    </w:p>
    <w:p w14:paraId="303CA6BE">
      <w:pPr>
        <w:spacing w:line="560" w:lineRule="exact"/>
        <w:ind w:firstLine="632"/>
        <w:rPr>
          <w:rFonts w:ascii="Times New Roman" w:hAnsi="Times New Roman" w:cs="Times New Roman"/>
          <w:sz w:val="32"/>
        </w:rPr>
      </w:pPr>
      <w:r>
        <w:rPr>
          <w:rFonts w:ascii="Times New Roman" w:hAnsi="Times New Roman" w:cs="Times New Roman"/>
          <w:sz w:val="32"/>
        </w:rPr>
        <w:t>（5）其他一般群体性事件。</w:t>
      </w:r>
    </w:p>
    <w:p w14:paraId="3B385F82">
      <w:pPr>
        <w:spacing w:line="560" w:lineRule="exact"/>
        <w:ind w:firstLine="632"/>
        <w:rPr>
          <w:rFonts w:ascii="Times New Roman" w:hAnsi="Times New Roman" w:cs="Times New Roman"/>
          <w:sz w:val="32"/>
        </w:rPr>
      </w:pPr>
      <w:r>
        <w:rPr>
          <w:rFonts w:ascii="Times New Roman" w:hAnsi="Times New Roman" w:cs="Times New Roman"/>
          <w:sz w:val="32"/>
        </w:rPr>
        <w:t>上述分级标准有关数量的表述中，“以上”含本数，“以下”不含本数。</w:t>
      </w:r>
    </w:p>
    <w:p w14:paraId="6EA8BCA3">
      <w:pPr>
        <w:pStyle w:val="15"/>
        <w:ind w:left="552" w:firstLine="552"/>
        <w:rPr>
          <w:rFonts w:ascii="Times New Roman" w:hAnsi="Times New Roman" w:cs="Times New Roman"/>
        </w:rPr>
        <w:sectPr>
          <w:footerReference r:id="rId133" w:type="default"/>
          <w:footerReference r:id="rId134" w:type="even"/>
          <w:pgSz w:w="11906" w:h="16838"/>
          <w:pgMar w:top="2098" w:right="1474" w:bottom="1984" w:left="1587" w:header="624" w:footer="1134" w:gutter="0"/>
          <w:pgNumType w:start="1"/>
          <w:cols w:space="0" w:num="1"/>
          <w:docGrid w:type="linesAndChars" w:linePitch="579" w:charSpace="-842"/>
        </w:sectPr>
      </w:pPr>
    </w:p>
    <w:p w14:paraId="15FF5C79">
      <w:pPr>
        <w:ind w:firstLine="552"/>
        <w:rPr>
          <w:rFonts w:ascii="Times New Roman" w:hAnsi="Times New Roman" w:cs="Times New Roman"/>
        </w:rPr>
      </w:pPr>
    </w:p>
    <w:p w14:paraId="0B9D3578">
      <w:pPr>
        <w:ind w:firstLine="552"/>
        <w:rPr>
          <w:rFonts w:ascii="Times New Roman" w:hAnsi="Times New Roman" w:cs="Times New Roman"/>
        </w:rPr>
      </w:pPr>
    </w:p>
    <w:p w14:paraId="1A020306">
      <w:pPr>
        <w:pStyle w:val="13"/>
        <w:ind w:firstLine="632"/>
        <w:rPr>
          <w:rFonts w:ascii="Times New Roman" w:hAnsi="Times New Roman" w:cs="Times New Roman"/>
        </w:rPr>
      </w:pPr>
    </w:p>
    <w:p w14:paraId="227758CA">
      <w:pPr>
        <w:ind w:firstLine="552"/>
        <w:rPr>
          <w:rFonts w:ascii="Times New Roman" w:hAnsi="Times New Roman" w:cs="Times New Roman"/>
        </w:rPr>
      </w:pPr>
    </w:p>
    <w:p w14:paraId="7A38020A">
      <w:pPr>
        <w:ind w:firstLine="0" w:firstLineChars="0"/>
        <w:jc w:val="center"/>
        <w:rPr>
          <w:rFonts w:ascii="Times New Roman" w:hAnsi="Times New Roman" w:eastAsia="楷体" w:cs="Times New Roman"/>
          <w:b/>
          <w:bCs/>
          <w:sz w:val="72"/>
          <w:szCs w:val="72"/>
        </w:rPr>
      </w:pPr>
      <w:r>
        <w:rPr>
          <w:rFonts w:ascii="Times New Roman" w:hAnsi="Times New Roman" w:eastAsia="方正小标宋简体" w:cs="Times New Roman"/>
          <w:bCs/>
          <w:color w:val="000000"/>
          <w:spacing w:val="-6"/>
          <w:kern w:val="0"/>
          <w:sz w:val="52"/>
          <w:szCs w:val="52"/>
          <w:lang w:bidi="ar"/>
        </w:rPr>
        <w:t>集贤县教育系统突发事件应急预案</w:t>
      </w:r>
    </w:p>
    <w:p w14:paraId="7B02F4AA">
      <w:pPr>
        <w:pStyle w:val="11"/>
        <w:ind w:firstLine="0" w:firstLineChars="0"/>
        <w:jc w:val="center"/>
        <w:rPr>
          <w:rFonts w:ascii="Times New Roman" w:hAnsi="Times New Roman" w:eastAsia="楷体_GB2312" w:cs="Times New Roman"/>
          <w:b/>
          <w:sz w:val="52"/>
          <w:szCs w:val="52"/>
        </w:rPr>
      </w:pPr>
      <w:r>
        <w:rPr>
          <w:rFonts w:hint="eastAsia" w:ascii="仿宋_GB2312" w:hAnsi="仿宋_GB2312" w:cs="仿宋_GB2312"/>
          <w:bCs/>
          <w:sz w:val="48"/>
          <w:szCs w:val="48"/>
        </w:rPr>
        <w:t>（修订稿）</w:t>
      </w:r>
    </w:p>
    <w:p w14:paraId="49EB7EA9">
      <w:pPr>
        <w:pStyle w:val="11"/>
        <w:ind w:firstLine="0" w:firstLineChars="0"/>
        <w:jc w:val="center"/>
        <w:rPr>
          <w:rFonts w:ascii="Times New Roman" w:hAnsi="Times New Roman" w:eastAsia="黑体" w:cs="Times New Roman"/>
          <w:sz w:val="52"/>
          <w:szCs w:val="52"/>
        </w:rPr>
      </w:pPr>
    </w:p>
    <w:p w14:paraId="2DCF99BF">
      <w:pPr>
        <w:pStyle w:val="11"/>
        <w:ind w:firstLine="0" w:firstLineChars="0"/>
        <w:jc w:val="center"/>
        <w:rPr>
          <w:rFonts w:ascii="Times New Roman" w:hAnsi="Times New Roman" w:eastAsia="黑体" w:cs="Times New Roman"/>
          <w:sz w:val="52"/>
          <w:szCs w:val="52"/>
        </w:rPr>
      </w:pPr>
    </w:p>
    <w:p w14:paraId="0A9BA5C5">
      <w:pPr>
        <w:pStyle w:val="11"/>
        <w:ind w:firstLine="0" w:firstLineChars="0"/>
        <w:jc w:val="center"/>
        <w:rPr>
          <w:rFonts w:ascii="Times New Roman" w:hAnsi="Times New Roman" w:eastAsia="黑体" w:cs="Times New Roman"/>
          <w:sz w:val="52"/>
          <w:szCs w:val="52"/>
        </w:rPr>
      </w:pPr>
    </w:p>
    <w:p w14:paraId="596ECBED">
      <w:pPr>
        <w:pStyle w:val="11"/>
        <w:ind w:firstLine="0" w:firstLineChars="0"/>
        <w:jc w:val="center"/>
        <w:rPr>
          <w:rFonts w:ascii="Times New Roman" w:hAnsi="Times New Roman" w:eastAsia="黑体" w:cs="Times New Roman"/>
          <w:sz w:val="52"/>
          <w:szCs w:val="52"/>
        </w:rPr>
      </w:pPr>
    </w:p>
    <w:p w14:paraId="7529D556">
      <w:pPr>
        <w:pStyle w:val="11"/>
        <w:ind w:firstLine="0" w:firstLineChars="0"/>
        <w:jc w:val="center"/>
        <w:rPr>
          <w:rFonts w:ascii="Times New Roman" w:hAnsi="Times New Roman" w:eastAsia="楷体_GB2312" w:cs="Times New Roman"/>
          <w:spacing w:val="-12"/>
          <w:sz w:val="44"/>
          <w:szCs w:val="44"/>
        </w:rPr>
      </w:pPr>
    </w:p>
    <w:p w14:paraId="5FE9F0C6">
      <w:pPr>
        <w:pStyle w:val="11"/>
        <w:ind w:firstLine="0" w:firstLineChars="0"/>
        <w:jc w:val="center"/>
        <w:rPr>
          <w:rFonts w:ascii="Times New Roman" w:hAnsi="Times New Roman" w:eastAsia="楷体_GB2312" w:cs="Times New Roman"/>
          <w:spacing w:val="-12"/>
          <w:sz w:val="44"/>
          <w:szCs w:val="44"/>
        </w:rPr>
      </w:pPr>
    </w:p>
    <w:p w14:paraId="402DC452">
      <w:pPr>
        <w:pStyle w:val="11"/>
        <w:ind w:firstLine="0" w:firstLineChars="0"/>
        <w:jc w:val="center"/>
        <w:rPr>
          <w:rFonts w:ascii="Times New Roman" w:hAnsi="Times New Roman" w:eastAsia="楷体_GB2312" w:cs="Times New Roman"/>
          <w:spacing w:val="-12"/>
          <w:sz w:val="44"/>
          <w:szCs w:val="44"/>
        </w:rPr>
      </w:pPr>
    </w:p>
    <w:p w14:paraId="04CB8E13">
      <w:pPr>
        <w:pStyle w:val="11"/>
        <w:ind w:firstLine="0" w:firstLineChars="0"/>
        <w:jc w:val="center"/>
        <w:rPr>
          <w:rFonts w:ascii="Times New Roman" w:hAnsi="Times New Roman" w:eastAsia="楷体_GB2312" w:cs="Times New Roman"/>
          <w:spacing w:val="-12"/>
          <w:sz w:val="44"/>
          <w:szCs w:val="44"/>
        </w:rPr>
      </w:pPr>
    </w:p>
    <w:p w14:paraId="34632BCF">
      <w:pPr>
        <w:ind w:firstLine="0" w:firstLineChars="0"/>
        <w:jc w:val="center"/>
        <w:rPr>
          <w:rFonts w:ascii="Times New Roman" w:hAnsi="Times New Roman" w:cs="Times New Roman"/>
          <w:bCs/>
          <w:spacing w:val="-6"/>
          <w:sz w:val="36"/>
          <w:szCs w:val="24"/>
          <w:lang w:bidi="ar"/>
        </w:rPr>
      </w:pPr>
      <w:r>
        <w:rPr>
          <w:rFonts w:ascii="Times New Roman" w:hAnsi="Times New Roman" w:cs="Times New Roman"/>
          <w:bCs/>
          <w:spacing w:val="-6"/>
          <w:sz w:val="36"/>
          <w:szCs w:val="24"/>
          <w:lang w:bidi="ar"/>
        </w:rPr>
        <w:t>集贤县人民政府 编制</w:t>
      </w:r>
    </w:p>
    <w:p w14:paraId="7FC73855">
      <w:pPr>
        <w:ind w:firstLine="0" w:firstLineChars="0"/>
        <w:jc w:val="center"/>
        <w:rPr>
          <w:rFonts w:ascii="Times New Roman" w:hAnsi="Times New Roman" w:cs="Times New Roman"/>
          <w:bCs/>
          <w:spacing w:val="-6"/>
          <w:sz w:val="36"/>
          <w:szCs w:val="24"/>
          <w:lang w:bidi="ar"/>
        </w:rPr>
      </w:pPr>
      <w:r>
        <w:rPr>
          <w:rFonts w:ascii="Times New Roman" w:hAnsi="Times New Roman" w:cs="Times New Roman"/>
          <w:bCs/>
          <w:spacing w:val="-6"/>
          <w:sz w:val="36"/>
          <w:szCs w:val="24"/>
          <w:lang w:bidi="ar"/>
        </w:rPr>
        <w:t>2025年5月</w:t>
      </w:r>
    </w:p>
    <w:p w14:paraId="4D60E3ED">
      <w:pPr>
        <w:ind w:firstLine="688"/>
        <w:rPr>
          <w:rFonts w:ascii="Times New Roman" w:hAnsi="Times New Roman" w:cs="Times New Roman"/>
          <w:bCs/>
          <w:spacing w:val="-6"/>
          <w:sz w:val="36"/>
          <w:szCs w:val="24"/>
          <w:lang w:bidi="ar"/>
        </w:rPr>
      </w:pPr>
      <w:r>
        <w:rPr>
          <w:rFonts w:ascii="Times New Roman" w:hAnsi="Times New Roman" w:cs="Times New Roman"/>
          <w:bCs/>
          <w:spacing w:val="-6"/>
          <w:sz w:val="36"/>
          <w:szCs w:val="24"/>
          <w:lang w:bidi="ar"/>
        </w:rPr>
        <w:br w:type="page"/>
      </w:r>
    </w:p>
    <w:p w14:paraId="7911BFEF">
      <w:pPr>
        <w:pStyle w:val="42"/>
        <w:rPr>
          <w:rFonts w:ascii="Times New Roman" w:hAnsi="Times New Roman"/>
        </w:rPr>
      </w:pPr>
    </w:p>
    <w:sdt>
      <w:sdtPr>
        <w:rPr>
          <w:rFonts w:ascii="Times New Roman" w:hAnsi="Times New Roman" w:eastAsia="微软雅黑" w:cs="Times New Roman"/>
          <w:b/>
          <w:bCs/>
          <w:sz w:val="36"/>
          <w:szCs w:val="36"/>
        </w:rPr>
        <w:id w:val="147457023"/>
        <w15:color w:val="DBDBDB"/>
        <w:docPartObj>
          <w:docPartGallery w:val="Table of Contents"/>
          <w:docPartUnique/>
        </w:docPartObj>
      </w:sdtPr>
      <w:sdtEndPr>
        <w:rPr>
          <w:rFonts w:ascii="Times New Roman" w:hAnsi="Times New Roman" w:eastAsia="仿宋" w:cs="Times New Roman"/>
          <w:b/>
          <w:bCs/>
          <w:sz w:val="32"/>
          <w:szCs w:val="32"/>
        </w:rPr>
      </w:sdtEndPr>
      <w:sdtContent>
        <w:p w14:paraId="42597500">
          <w:pPr>
            <w:ind w:firstLine="0" w:firstLineChars="0"/>
            <w:jc w:val="center"/>
            <w:rPr>
              <w:rFonts w:ascii="Times New Roman" w:hAnsi="Times New Roman" w:cs="Times New Roman"/>
            </w:rPr>
          </w:pPr>
          <w:r>
            <w:rPr>
              <w:rFonts w:ascii="Times New Roman" w:hAnsi="Times New Roman" w:eastAsia="微软雅黑" w:cs="Times New Roman"/>
              <w:b/>
              <w:bCs/>
              <w:sz w:val="36"/>
              <w:szCs w:val="36"/>
            </w:rPr>
            <w:t>目  录</w:t>
          </w:r>
        </w:p>
        <w:p w14:paraId="4EEF5B19">
          <w:pPr>
            <w:pStyle w:val="18"/>
            <w:rPr>
              <w:rFonts w:ascii="Times New Roman" w:hAnsi="Times New Roman" w:cs="Times New Roman"/>
              <w:sz w:val="32"/>
            </w:rPr>
          </w:pPr>
          <w:r>
            <w:rPr>
              <w:rFonts w:ascii="Times New Roman" w:hAnsi="Times New Roman" w:cs="Times New Roman"/>
              <w:sz w:val="32"/>
            </w:rPr>
            <w:fldChar w:fldCharType="begin"/>
          </w:r>
          <w:r>
            <w:rPr>
              <w:rFonts w:ascii="Times New Roman" w:hAnsi="Times New Roman" w:cs="Times New Roman"/>
              <w:sz w:val="32"/>
            </w:rPr>
            <w:instrText xml:space="preserve">TOC \o "1-2" \h \u </w:instrText>
          </w:r>
          <w:r>
            <w:rPr>
              <w:rFonts w:ascii="Times New Roman" w:hAnsi="Times New Roman" w:cs="Times New Roman"/>
              <w:sz w:val="32"/>
            </w:rPr>
            <w:fldChar w:fldCharType="separate"/>
          </w:r>
          <w:r>
            <w:fldChar w:fldCharType="begin"/>
          </w:r>
          <w:r>
            <w:instrText xml:space="preserve"> HYPERLINK \l "_Toc9124" </w:instrText>
          </w:r>
          <w:r>
            <w:fldChar w:fldCharType="separate"/>
          </w:r>
          <w:r>
            <w:rPr>
              <w:rFonts w:ascii="Times New Roman" w:hAnsi="Times New Roman" w:eastAsia="仿宋" w:cs="Times New Roman"/>
              <w:sz w:val="32"/>
            </w:rPr>
            <w:t xml:space="preserve">1 </w:t>
          </w:r>
          <w:r>
            <w:rPr>
              <w:rFonts w:ascii="Times New Roman" w:hAnsi="Times New Roman" w:cs="Times New Roman"/>
              <w:sz w:val="32"/>
            </w:rPr>
            <w:t>总则</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_Toc9124 \h </w:instrText>
          </w:r>
          <w:r>
            <w:rPr>
              <w:rFonts w:ascii="Times New Roman" w:hAnsi="Times New Roman" w:cs="Times New Roman"/>
              <w:sz w:val="32"/>
            </w:rPr>
            <w:fldChar w:fldCharType="separate"/>
          </w:r>
          <w:r>
            <w:rPr>
              <w:rFonts w:ascii="Times New Roman" w:hAnsi="Times New Roman" w:cs="Times New Roman"/>
              <w:sz w:val="32"/>
            </w:rPr>
            <w:t>1</w:t>
          </w:r>
          <w:r>
            <w:rPr>
              <w:rFonts w:ascii="Times New Roman" w:hAnsi="Times New Roman" w:cs="Times New Roman"/>
              <w:sz w:val="32"/>
            </w:rPr>
            <w:fldChar w:fldCharType="end"/>
          </w:r>
          <w:r>
            <w:rPr>
              <w:rFonts w:ascii="Times New Roman" w:hAnsi="Times New Roman" w:cs="Times New Roman"/>
              <w:sz w:val="32"/>
            </w:rPr>
            <w:fldChar w:fldCharType="end"/>
          </w:r>
        </w:p>
        <w:p w14:paraId="5D2B8DCE">
          <w:pPr>
            <w:pStyle w:val="19"/>
            <w:tabs>
              <w:tab w:val="right" w:leader="dot" w:pos="8845"/>
            </w:tabs>
            <w:ind w:firstLine="552"/>
            <w:rPr>
              <w:rFonts w:ascii="Times New Roman" w:hAnsi="Times New Roman" w:cs="Times New Roman"/>
              <w:sz w:val="32"/>
            </w:rPr>
          </w:pPr>
          <w:r>
            <w:fldChar w:fldCharType="begin"/>
          </w:r>
          <w:r>
            <w:instrText xml:space="preserve"> HYPERLINK \l "_Toc21006" </w:instrText>
          </w:r>
          <w:r>
            <w:fldChar w:fldCharType="separate"/>
          </w:r>
          <w:r>
            <w:rPr>
              <w:rFonts w:ascii="Times New Roman" w:hAnsi="Times New Roman" w:eastAsia="仿宋" w:cs="Times New Roman"/>
              <w:bCs/>
              <w:sz w:val="32"/>
            </w:rPr>
            <w:t xml:space="preserve">1.1 </w:t>
          </w:r>
          <w:r>
            <w:rPr>
              <w:rFonts w:ascii="Times New Roman" w:hAnsi="Times New Roman" w:cs="Times New Roman"/>
              <w:sz w:val="32"/>
            </w:rPr>
            <w:t>编制目的</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_Toc21006 \h </w:instrText>
          </w:r>
          <w:r>
            <w:rPr>
              <w:rFonts w:ascii="Times New Roman" w:hAnsi="Times New Roman" w:cs="Times New Roman"/>
              <w:sz w:val="32"/>
            </w:rPr>
            <w:fldChar w:fldCharType="separate"/>
          </w:r>
          <w:r>
            <w:rPr>
              <w:rFonts w:ascii="Times New Roman" w:hAnsi="Times New Roman" w:cs="Times New Roman"/>
              <w:sz w:val="32"/>
            </w:rPr>
            <w:t>1</w:t>
          </w:r>
          <w:r>
            <w:rPr>
              <w:rFonts w:ascii="Times New Roman" w:hAnsi="Times New Roman" w:cs="Times New Roman"/>
              <w:sz w:val="32"/>
            </w:rPr>
            <w:fldChar w:fldCharType="end"/>
          </w:r>
          <w:r>
            <w:rPr>
              <w:rFonts w:ascii="Times New Roman" w:hAnsi="Times New Roman" w:cs="Times New Roman"/>
              <w:sz w:val="32"/>
            </w:rPr>
            <w:fldChar w:fldCharType="end"/>
          </w:r>
        </w:p>
        <w:p w14:paraId="19366BF5">
          <w:pPr>
            <w:pStyle w:val="19"/>
            <w:tabs>
              <w:tab w:val="right" w:leader="dot" w:pos="8845"/>
            </w:tabs>
            <w:ind w:firstLine="552"/>
            <w:rPr>
              <w:rFonts w:ascii="Times New Roman" w:hAnsi="Times New Roman" w:cs="Times New Roman"/>
              <w:sz w:val="32"/>
            </w:rPr>
          </w:pPr>
          <w:r>
            <w:fldChar w:fldCharType="begin"/>
          </w:r>
          <w:r>
            <w:instrText xml:space="preserve"> HYPERLINK \l "_Toc26956" </w:instrText>
          </w:r>
          <w:r>
            <w:fldChar w:fldCharType="separate"/>
          </w:r>
          <w:r>
            <w:rPr>
              <w:rFonts w:ascii="Times New Roman" w:hAnsi="Times New Roman" w:eastAsia="仿宋" w:cs="Times New Roman"/>
              <w:bCs/>
              <w:sz w:val="32"/>
            </w:rPr>
            <w:t xml:space="preserve">1.2 </w:t>
          </w:r>
          <w:r>
            <w:rPr>
              <w:rFonts w:ascii="Times New Roman" w:hAnsi="Times New Roman" w:cs="Times New Roman"/>
              <w:sz w:val="32"/>
            </w:rPr>
            <w:t>编制依据</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_Toc26956 \h </w:instrText>
          </w:r>
          <w:r>
            <w:rPr>
              <w:rFonts w:ascii="Times New Roman" w:hAnsi="Times New Roman" w:cs="Times New Roman"/>
              <w:sz w:val="32"/>
            </w:rPr>
            <w:fldChar w:fldCharType="separate"/>
          </w:r>
          <w:r>
            <w:rPr>
              <w:rFonts w:ascii="Times New Roman" w:hAnsi="Times New Roman" w:cs="Times New Roman"/>
              <w:sz w:val="32"/>
            </w:rPr>
            <w:t>1</w:t>
          </w:r>
          <w:r>
            <w:rPr>
              <w:rFonts w:ascii="Times New Roman" w:hAnsi="Times New Roman" w:cs="Times New Roman"/>
              <w:sz w:val="32"/>
            </w:rPr>
            <w:fldChar w:fldCharType="end"/>
          </w:r>
          <w:r>
            <w:rPr>
              <w:rFonts w:ascii="Times New Roman" w:hAnsi="Times New Roman" w:cs="Times New Roman"/>
              <w:sz w:val="32"/>
            </w:rPr>
            <w:fldChar w:fldCharType="end"/>
          </w:r>
        </w:p>
        <w:p w14:paraId="5BDD31CE">
          <w:pPr>
            <w:pStyle w:val="19"/>
            <w:tabs>
              <w:tab w:val="right" w:leader="dot" w:pos="8845"/>
            </w:tabs>
            <w:ind w:firstLine="552"/>
            <w:rPr>
              <w:rFonts w:ascii="Times New Roman" w:hAnsi="Times New Roman" w:cs="Times New Roman"/>
              <w:sz w:val="32"/>
            </w:rPr>
          </w:pPr>
          <w:r>
            <w:fldChar w:fldCharType="begin"/>
          </w:r>
          <w:r>
            <w:instrText xml:space="preserve"> HYPERLINK \l "_Toc18639" </w:instrText>
          </w:r>
          <w:r>
            <w:fldChar w:fldCharType="separate"/>
          </w:r>
          <w:r>
            <w:rPr>
              <w:rFonts w:ascii="Times New Roman" w:hAnsi="Times New Roman" w:eastAsia="仿宋" w:cs="Times New Roman"/>
              <w:bCs/>
              <w:sz w:val="32"/>
            </w:rPr>
            <w:t xml:space="preserve">1.3 </w:t>
          </w:r>
          <w:r>
            <w:rPr>
              <w:rFonts w:ascii="Times New Roman" w:hAnsi="Times New Roman" w:cs="Times New Roman"/>
              <w:sz w:val="32"/>
            </w:rPr>
            <w:t>适用范围</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_Toc18639 \h </w:instrText>
          </w:r>
          <w:r>
            <w:rPr>
              <w:rFonts w:ascii="Times New Roman" w:hAnsi="Times New Roman" w:cs="Times New Roman"/>
              <w:sz w:val="32"/>
            </w:rPr>
            <w:fldChar w:fldCharType="separate"/>
          </w:r>
          <w:r>
            <w:rPr>
              <w:rFonts w:ascii="Times New Roman" w:hAnsi="Times New Roman" w:cs="Times New Roman"/>
              <w:sz w:val="32"/>
            </w:rPr>
            <w:t>1</w:t>
          </w:r>
          <w:r>
            <w:rPr>
              <w:rFonts w:ascii="Times New Roman" w:hAnsi="Times New Roman" w:cs="Times New Roman"/>
              <w:sz w:val="32"/>
            </w:rPr>
            <w:fldChar w:fldCharType="end"/>
          </w:r>
          <w:r>
            <w:rPr>
              <w:rFonts w:ascii="Times New Roman" w:hAnsi="Times New Roman" w:cs="Times New Roman"/>
              <w:sz w:val="32"/>
            </w:rPr>
            <w:fldChar w:fldCharType="end"/>
          </w:r>
        </w:p>
        <w:p w14:paraId="25BA10B7">
          <w:pPr>
            <w:pStyle w:val="19"/>
            <w:tabs>
              <w:tab w:val="right" w:leader="dot" w:pos="8845"/>
            </w:tabs>
            <w:ind w:firstLine="552"/>
            <w:rPr>
              <w:rFonts w:ascii="Times New Roman" w:hAnsi="Times New Roman" w:cs="Times New Roman"/>
              <w:sz w:val="32"/>
            </w:rPr>
          </w:pPr>
          <w:r>
            <w:fldChar w:fldCharType="begin"/>
          </w:r>
          <w:r>
            <w:instrText xml:space="preserve"> HYPERLINK \l "_Toc21630" </w:instrText>
          </w:r>
          <w:r>
            <w:fldChar w:fldCharType="separate"/>
          </w:r>
          <w:r>
            <w:rPr>
              <w:rFonts w:ascii="Times New Roman" w:hAnsi="Times New Roman" w:eastAsia="仿宋" w:cs="Times New Roman"/>
              <w:bCs/>
              <w:sz w:val="32"/>
            </w:rPr>
            <w:t xml:space="preserve">1.4 </w:t>
          </w:r>
          <w:r>
            <w:rPr>
              <w:rFonts w:ascii="Times New Roman" w:hAnsi="Times New Roman" w:cs="Times New Roman"/>
              <w:sz w:val="32"/>
            </w:rPr>
            <w:t>工作原则</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_Toc21630 \h </w:instrText>
          </w:r>
          <w:r>
            <w:rPr>
              <w:rFonts w:ascii="Times New Roman" w:hAnsi="Times New Roman" w:cs="Times New Roman"/>
              <w:sz w:val="32"/>
            </w:rPr>
            <w:fldChar w:fldCharType="separate"/>
          </w:r>
          <w:r>
            <w:rPr>
              <w:rFonts w:ascii="Times New Roman" w:hAnsi="Times New Roman" w:cs="Times New Roman"/>
              <w:sz w:val="32"/>
            </w:rPr>
            <w:t>2</w:t>
          </w:r>
          <w:r>
            <w:rPr>
              <w:rFonts w:ascii="Times New Roman" w:hAnsi="Times New Roman" w:cs="Times New Roman"/>
              <w:sz w:val="32"/>
            </w:rPr>
            <w:fldChar w:fldCharType="end"/>
          </w:r>
          <w:r>
            <w:rPr>
              <w:rFonts w:ascii="Times New Roman" w:hAnsi="Times New Roman" w:cs="Times New Roman"/>
              <w:sz w:val="32"/>
            </w:rPr>
            <w:fldChar w:fldCharType="end"/>
          </w:r>
        </w:p>
        <w:p w14:paraId="28AB8826">
          <w:pPr>
            <w:pStyle w:val="19"/>
            <w:tabs>
              <w:tab w:val="right" w:leader="dot" w:pos="8845"/>
            </w:tabs>
            <w:ind w:firstLine="552"/>
            <w:rPr>
              <w:rFonts w:ascii="Times New Roman" w:hAnsi="Times New Roman" w:cs="Times New Roman"/>
              <w:sz w:val="32"/>
            </w:rPr>
          </w:pPr>
          <w:r>
            <w:fldChar w:fldCharType="begin"/>
          </w:r>
          <w:r>
            <w:instrText xml:space="preserve"> HYPERLINK \l "_Toc9469" </w:instrText>
          </w:r>
          <w:r>
            <w:fldChar w:fldCharType="separate"/>
          </w:r>
          <w:r>
            <w:rPr>
              <w:rFonts w:ascii="Times New Roman" w:hAnsi="Times New Roman" w:eastAsia="仿宋" w:cs="Times New Roman"/>
              <w:bCs/>
              <w:sz w:val="32"/>
            </w:rPr>
            <w:t xml:space="preserve">1.5 </w:t>
          </w:r>
          <w:r>
            <w:rPr>
              <w:rFonts w:ascii="Times New Roman" w:hAnsi="Times New Roman" w:cs="Times New Roman"/>
              <w:sz w:val="32"/>
            </w:rPr>
            <w:t>事件分级</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_Toc9469 \h </w:instrText>
          </w:r>
          <w:r>
            <w:rPr>
              <w:rFonts w:ascii="Times New Roman" w:hAnsi="Times New Roman" w:cs="Times New Roman"/>
              <w:sz w:val="32"/>
            </w:rPr>
            <w:fldChar w:fldCharType="separate"/>
          </w:r>
          <w:r>
            <w:rPr>
              <w:rFonts w:ascii="Times New Roman" w:hAnsi="Times New Roman" w:cs="Times New Roman"/>
              <w:sz w:val="32"/>
            </w:rPr>
            <w:t>3</w:t>
          </w:r>
          <w:r>
            <w:rPr>
              <w:rFonts w:ascii="Times New Roman" w:hAnsi="Times New Roman" w:cs="Times New Roman"/>
              <w:sz w:val="32"/>
            </w:rPr>
            <w:fldChar w:fldCharType="end"/>
          </w:r>
          <w:r>
            <w:rPr>
              <w:rFonts w:ascii="Times New Roman" w:hAnsi="Times New Roman" w:cs="Times New Roman"/>
              <w:sz w:val="32"/>
            </w:rPr>
            <w:fldChar w:fldCharType="end"/>
          </w:r>
        </w:p>
        <w:p w14:paraId="68BBE295">
          <w:pPr>
            <w:pStyle w:val="18"/>
            <w:rPr>
              <w:rFonts w:ascii="Times New Roman" w:hAnsi="Times New Roman" w:cs="Times New Roman"/>
              <w:sz w:val="32"/>
            </w:rPr>
          </w:pPr>
          <w:r>
            <w:fldChar w:fldCharType="begin"/>
          </w:r>
          <w:r>
            <w:instrText xml:space="preserve"> HYPERLINK \l "_Toc16973" </w:instrText>
          </w:r>
          <w:r>
            <w:fldChar w:fldCharType="separate"/>
          </w:r>
          <w:r>
            <w:rPr>
              <w:rFonts w:ascii="Times New Roman" w:hAnsi="Times New Roman" w:eastAsia="仿宋" w:cs="Times New Roman"/>
              <w:sz w:val="32"/>
            </w:rPr>
            <w:t xml:space="preserve">2 </w:t>
          </w:r>
          <w:r>
            <w:rPr>
              <w:rFonts w:ascii="Times New Roman" w:hAnsi="Times New Roman" w:cs="Times New Roman"/>
              <w:sz w:val="32"/>
            </w:rPr>
            <w:t>组织指挥体系</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_Toc16973 \h </w:instrText>
          </w:r>
          <w:r>
            <w:rPr>
              <w:rFonts w:ascii="Times New Roman" w:hAnsi="Times New Roman" w:cs="Times New Roman"/>
              <w:sz w:val="32"/>
            </w:rPr>
            <w:fldChar w:fldCharType="separate"/>
          </w:r>
          <w:r>
            <w:rPr>
              <w:rFonts w:ascii="Times New Roman" w:hAnsi="Times New Roman" w:cs="Times New Roman"/>
              <w:sz w:val="32"/>
            </w:rPr>
            <w:t>3</w:t>
          </w:r>
          <w:r>
            <w:rPr>
              <w:rFonts w:ascii="Times New Roman" w:hAnsi="Times New Roman" w:cs="Times New Roman"/>
              <w:sz w:val="32"/>
            </w:rPr>
            <w:fldChar w:fldCharType="end"/>
          </w:r>
          <w:r>
            <w:rPr>
              <w:rFonts w:ascii="Times New Roman" w:hAnsi="Times New Roman" w:cs="Times New Roman"/>
              <w:sz w:val="32"/>
            </w:rPr>
            <w:fldChar w:fldCharType="end"/>
          </w:r>
        </w:p>
        <w:p w14:paraId="27606675">
          <w:pPr>
            <w:pStyle w:val="19"/>
            <w:tabs>
              <w:tab w:val="right" w:leader="dot" w:pos="8845"/>
            </w:tabs>
            <w:ind w:firstLine="552"/>
            <w:rPr>
              <w:rFonts w:ascii="Times New Roman" w:hAnsi="Times New Roman" w:cs="Times New Roman"/>
              <w:sz w:val="32"/>
            </w:rPr>
          </w:pPr>
          <w:r>
            <w:fldChar w:fldCharType="begin"/>
          </w:r>
          <w:r>
            <w:instrText xml:space="preserve"> HYPERLINK \l "_Toc16806" </w:instrText>
          </w:r>
          <w:r>
            <w:fldChar w:fldCharType="separate"/>
          </w:r>
          <w:r>
            <w:rPr>
              <w:rFonts w:ascii="Times New Roman" w:hAnsi="Times New Roman" w:eastAsia="仿宋" w:cs="Times New Roman"/>
              <w:bCs/>
              <w:sz w:val="32"/>
            </w:rPr>
            <w:t xml:space="preserve">2.1 </w:t>
          </w:r>
          <w:r>
            <w:rPr>
              <w:rFonts w:ascii="Times New Roman" w:hAnsi="Times New Roman" w:cs="Times New Roman"/>
              <w:sz w:val="32"/>
            </w:rPr>
            <w:t>应急指挥机构及职责</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_Toc16806 \h </w:instrText>
          </w:r>
          <w:r>
            <w:rPr>
              <w:rFonts w:ascii="Times New Roman" w:hAnsi="Times New Roman" w:cs="Times New Roman"/>
              <w:sz w:val="32"/>
            </w:rPr>
            <w:fldChar w:fldCharType="separate"/>
          </w:r>
          <w:r>
            <w:rPr>
              <w:rFonts w:ascii="Times New Roman" w:hAnsi="Times New Roman" w:cs="Times New Roman"/>
              <w:sz w:val="32"/>
            </w:rPr>
            <w:t>3</w:t>
          </w:r>
          <w:r>
            <w:rPr>
              <w:rFonts w:ascii="Times New Roman" w:hAnsi="Times New Roman" w:cs="Times New Roman"/>
              <w:sz w:val="32"/>
            </w:rPr>
            <w:fldChar w:fldCharType="end"/>
          </w:r>
          <w:r>
            <w:rPr>
              <w:rFonts w:ascii="Times New Roman" w:hAnsi="Times New Roman" w:cs="Times New Roman"/>
              <w:sz w:val="32"/>
            </w:rPr>
            <w:fldChar w:fldCharType="end"/>
          </w:r>
        </w:p>
        <w:p w14:paraId="44857826">
          <w:pPr>
            <w:pStyle w:val="19"/>
            <w:tabs>
              <w:tab w:val="right" w:leader="dot" w:pos="8845"/>
            </w:tabs>
            <w:ind w:firstLine="552"/>
            <w:rPr>
              <w:rFonts w:ascii="Times New Roman" w:hAnsi="Times New Roman" w:cs="Times New Roman"/>
              <w:sz w:val="32"/>
            </w:rPr>
          </w:pPr>
          <w:r>
            <w:fldChar w:fldCharType="begin"/>
          </w:r>
          <w:r>
            <w:instrText xml:space="preserve"> HYPERLINK \l "_Toc29362" </w:instrText>
          </w:r>
          <w:r>
            <w:fldChar w:fldCharType="separate"/>
          </w:r>
          <w:r>
            <w:rPr>
              <w:rFonts w:ascii="Times New Roman" w:hAnsi="Times New Roman" w:eastAsia="仿宋" w:cs="Times New Roman"/>
              <w:bCs/>
              <w:sz w:val="32"/>
            </w:rPr>
            <w:t xml:space="preserve">2.2 </w:t>
          </w:r>
          <w:r>
            <w:rPr>
              <w:rFonts w:ascii="Times New Roman" w:hAnsi="Times New Roman" w:cs="Times New Roman"/>
              <w:sz w:val="32"/>
            </w:rPr>
            <w:t>应急办事机构及职责</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_Toc29362 \h </w:instrText>
          </w:r>
          <w:r>
            <w:rPr>
              <w:rFonts w:ascii="Times New Roman" w:hAnsi="Times New Roman" w:cs="Times New Roman"/>
              <w:sz w:val="32"/>
            </w:rPr>
            <w:fldChar w:fldCharType="separate"/>
          </w:r>
          <w:r>
            <w:rPr>
              <w:rFonts w:ascii="Times New Roman" w:hAnsi="Times New Roman" w:cs="Times New Roman"/>
              <w:sz w:val="32"/>
            </w:rPr>
            <w:t>4</w:t>
          </w:r>
          <w:r>
            <w:rPr>
              <w:rFonts w:ascii="Times New Roman" w:hAnsi="Times New Roman" w:cs="Times New Roman"/>
              <w:sz w:val="32"/>
            </w:rPr>
            <w:fldChar w:fldCharType="end"/>
          </w:r>
          <w:r>
            <w:rPr>
              <w:rFonts w:ascii="Times New Roman" w:hAnsi="Times New Roman" w:cs="Times New Roman"/>
              <w:sz w:val="32"/>
            </w:rPr>
            <w:fldChar w:fldCharType="end"/>
          </w:r>
        </w:p>
        <w:p w14:paraId="7C9D13EF">
          <w:pPr>
            <w:pStyle w:val="19"/>
            <w:tabs>
              <w:tab w:val="right" w:leader="dot" w:pos="8845"/>
            </w:tabs>
            <w:ind w:firstLine="552"/>
            <w:rPr>
              <w:rFonts w:ascii="Times New Roman" w:hAnsi="Times New Roman" w:cs="Times New Roman"/>
              <w:sz w:val="32"/>
            </w:rPr>
          </w:pPr>
          <w:r>
            <w:fldChar w:fldCharType="begin"/>
          </w:r>
          <w:r>
            <w:instrText xml:space="preserve"> HYPERLINK \l "_Toc29562" </w:instrText>
          </w:r>
          <w:r>
            <w:fldChar w:fldCharType="separate"/>
          </w:r>
          <w:r>
            <w:rPr>
              <w:rFonts w:ascii="Times New Roman" w:hAnsi="Times New Roman" w:eastAsia="仿宋" w:cs="Times New Roman"/>
              <w:bCs/>
              <w:sz w:val="32"/>
            </w:rPr>
            <w:t xml:space="preserve">2.3 </w:t>
          </w:r>
          <w:r>
            <w:rPr>
              <w:rFonts w:ascii="Times New Roman" w:hAnsi="Times New Roman" w:cs="Times New Roman"/>
              <w:sz w:val="32"/>
            </w:rPr>
            <w:t>成员单位及职责</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_Toc29562 \h </w:instrText>
          </w:r>
          <w:r>
            <w:rPr>
              <w:rFonts w:ascii="Times New Roman" w:hAnsi="Times New Roman" w:cs="Times New Roman"/>
              <w:sz w:val="32"/>
            </w:rPr>
            <w:fldChar w:fldCharType="separate"/>
          </w:r>
          <w:r>
            <w:rPr>
              <w:rFonts w:ascii="Times New Roman" w:hAnsi="Times New Roman" w:cs="Times New Roman"/>
              <w:sz w:val="32"/>
            </w:rPr>
            <w:t>5</w:t>
          </w:r>
          <w:r>
            <w:rPr>
              <w:rFonts w:ascii="Times New Roman" w:hAnsi="Times New Roman" w:cs="Times New Roman"/>
              <w:sz w:val="32"/>
            </w:rPr>
            <w:fldChar w:fldCharType="end"/>
          </w:r>
          <w:r>
            <w:rPr>
              <w:rFonts w:ascii="Times New Roman" w:hAnsi="Times New Roman" w:cs="Times New Roman"/>
              <w:sz w:val="32"/>
            </w:rPr>
            <w:fldChar w:fldCharType="end"/>
          </w:r>
        </w:p>
        <w:p w14:paraId="12F125D0">
          <w:pPr>
            <w:pStyle w:val="19"/>
            <w:tabs>
              <w:tab w:val="right" w:leader="dot" w:pos="8845"/>
            </w:tabs>
            <w:ind w:firstLine="552"/>
            <w:rPr>
              <w:rFonts w:ascii="Times New Roman" w:hAnsi="Times New Roman" w:cs="Times New Roman"/>
              <w:sz w:val="32"/>
            </w:rPr>
          </w:pPr>
          <w:r>
            <w:fldChar w:fldCharType="begin"/>
          </w:r>
          <w:r>
            <w:instrText xml:space="preserve"> HYPERLINK \l "_Toc4556" </w:instrText>
          </w:r>
          <w:r>
            <w:fldChar w:fldCharType="separate"/>
          </w:r>
          <w:r>
            <w:rPr>
              <w:rFonts w:ascii="Times New Roman" w:hAnsi="Times New Roman" w:eastAsia="仿宋" w:cs="Times New Roman"/>
              <w:bCs/>
              <w:sz w:val="32"/>
            </w:rPr>
            <w:t xml:space="preserve">2.4 </w:t>
          </w:r>
          <w:r>
            <w:rPr>
              <w:rFonts w:ascii="Times New Roman" w:hAnsi="Times New Roman" w:cs="Times New Roman"/>
              <w:sz w:val="32"/>
            </w:rPr>
            <w:t>应急工作机构及职责</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_Toc4556 \h </w:instrText>
          </w:r>
          <w:r>
            <w:rPr>
              <w:rFonts w:ascii="Times New Roman" w:hAnsi="Times New Roman" w:cs="Times New Roman"/>
              <w:sz w:val="32"/>
            </w:rPr>
            <w:fldChar w:fldCharType="separate"/>
          </w:r>
          <w:r>
            <w:rPr>
              <w:rFonts w:ascii="Times New Roman" w:hAnsi="Times New Roman" w:cs="Times New Roman"/>
              <w:sz w:val="32"/>
            </w:rPr>
            <w:t>6</w:t>
          </w:r>
          <w:r>
            <w:rPr>
              <w:rFonts w:ascii="Times New Roman" w:hAnsi="Times New Roman" w:cs="Times New Roman"/>
              <w:sz w:val="32"/>
            </w:rPr>
            <w:fldChar w:fldCharType="end"/>
          </w:r>
          <w:r>
            <w:rPr>
              <w:rFonts w:ascii="Times New Roman" w:hAnsi="Times New Roman" w:cs="Times New Roman"/>
              <w:sz w:val="32"/>
            </w:rPr>
            <w:fldChar w:fldCharType="end"/>
          </w:r>
        </w:p>
        <w:p w14:paraId="35A5BF0E">
          <w:pPr>
            <w:pStyle w:val="18"/>
            <w:rPr>
              <w:rFonts w:ascii="Times New Roman" w:hAnsi="Times New Roman" w:cs="Times New Roman"/>
              <w:sz w:val="32"/>
            </w:rPr>
          </w:pPr>
          <w:r>
            <w:fldChar w:fldCharType="begin"/>
          </w:r>
          <w:r>
            <w:instrText xml:space="preserve"> HYPERLINK \l "_Toc32646" </w:instrText>
          </w:r>
          <w:r>
            <w:fldChar w:fldCharType="separate"/>
          </w:r>
          <w:r>
            <w:rPr>
              <w:rFonts w:ascii="Times New Roman" w:hAnsi="Times New Roman" w:eastAsia="仿宋" w:cs="Times New Roman"/>
              <w:sz w:val="32"/>
            </w:rPr>
            <w:t xml:space="preserve">3 </w:t>
          </w:r>
          <w:r>
            <w:rPr>
              <w:rFonts w:ascii="Times New Roman" w:hAnsi="Times New Roman" w:cs="Times New Roman"/>
              <w:sz w:val="32"/>
            </w:rPr>
            <w:t>预防和预警</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_Toc32646 \h </w:instrText>
          </w:r>
          <w:r>
            <w:rPr>
              <w:rFonts w:ascii="Times New Roman" w:hAnsi="Times New Roman" w:cs="Times New Roman"/>
              <w:sz w:val="32"/>
            </w:rPr>
            <w:fldChar w:fldCharType="separate"/>
          </w:r>
          <w:r>
            <w:rPr>
              <w:rFonts w:ascii="Times New Roman" w:hAnsi="Times New Roman" w:cs="Times New Roman"/>
              <w:sz w:val="32"/>
            </w:rPr>
            <w:t>8</w:t>
          </w:r>
          <w:r>
            <w:rPr>
              <w:rFonts w:ascii="Times New Roman" w:hAnsi="Times New Roman" w:cs="Times New Roman"/>
              <w:sz w:val="32"/>
            </w:rPr>
            <w:fldChar w:fldCharType="end"/>
          </w:r>
          <w:r>
            <w:rPr>
              <w:rFonts w:ascii="Times New Roman" w:hAnsi="Times New Roman" w:cs="Times New Roman"/>
              <w:sz w:val="32"/>
            </w:rPr>
            <w:fldChar w:fldCharType="end"/>
          </w:r>
        </w:p>
        <w:p w14:paraId="4452C0F5">
          <w:pPr>
            <w:pStyle w:val="19"/>
            <w:tabs>
              <w:tab w:val="right" w:leader="dot" w:pos="8845"/>
            </w:tabs>
            <w:ind w:firstLine="552"/>
            <w:rPr>
              <w:rFonts w:ascii="Times New Roman" w:hAnsi="Times New Roman" w:cs="Times New Roman"/>
              <w:sz w:val="32"/>
            </w:rPr>
          </w:pPr>
          <w:r>
            <w:fldChar w:fldCharType="begin"/>
          </w:r>
          <w:r>
            <w:instrText xml:space="preserve"> HYPERLINK \l "_Toc7225" </w:instrText>
          </w:r>
          <w:r>
            <w:fldChar w:fldCharType="separate"/>
          </w:r>
          <w:r>
            <w:rPr>
              <w:rFonts w:ascii="Times New Roman" w:hAnsi="Times New Roman" w:eastAsia="仿宋" w:cs="Times New Roman"/>
              <w:bCs/>
              <w:sz w:val="32"/>
            </w:rPr>
            <w:t xml:space="preserve">3.1 </w:t>
          </w:r>
          <w:r>
            <w:rPr>
              <w:rFonts w:ascii="Times New Roman" w:hAnsi="Times New Roman" w:cs="Times New Roman"/>
              <w:sz w:val="32"/>
            </w:rPr>
            <w:t>风险管理和危险源治理机制</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_Toc7225 \h </w:instrText>
          </w:r>
          <w:r>
            <w:rPr>
              <w:rFonts w:ascii="Times New Roman" w:hAnsi="Times New Roman" w:cs="Times New Roman"/>
              <w:sz w:val="32"/>
            </w:rPr>
            <w:fldChar w:fldCharType="separate"/>
          </w:r>
          <w:r>
            <w:rPr>
              <w:rFonts w:ascii="Times New Roman" w:hAnsi="Times New Roman" w:cs="Times New Roman"/>
              <w:sz w:val="32"/>
            </w:rPr>
            <w:t>8</w:t>
          </w:r>
          <w:r>
            <w:rPr>
              <w:rFonts w:ascii="Times New Roman" w:hAnsi="Times New Roman" w:cs="Times New Roman"/>
              <w:sz w:val="32"/>
            </w:rPr>
            <w:fldChar w:fldCharType="end"/>
          </w:r>
          <w:r>
            <w:rPr>
              <w:rFonts w:ascii="Times New Roman" w:hAnsi="Times New Roman" w:cs="Times New Roman"/>
              <w:sz w:val="32"/>
            </w:rPr>
            <w:fldChar w:fldCharType="end"/>
          </w:r>
        </w:p>
        <w:p w14:paraId="4AA69C7E">
          <w:pPr>
            <w:pStyle w:val="19"/>
            <w:tabs>
              <w:tab w:val="right" w:leader="dot" w:pos="8845"/>
            </w:tabs>
            <w:ind w:firstLine="552"/>
            <w:rPr>
              <w:rFonts w:ascii="Times New Roman" w:hAnsi="Times New Roman" w:cs="Times New Roman"/>
              <w:sz w:val="32"/>
            </w:rPr>
          </w:pPr>
          <w:r>
            <w:fldChar w:fldCharType="begin"/>
          </w:r>
          <w:r>
            <w:instrText xml:space="preserve"> HYPERLINK \l "_Toc5290" </w:instrText>
          </w:r>
          <w:r>
            <w:fldChar w:fldCharType="separate"/>
          </w:r>
          <w:r>
            <w:rPr>
              <w:rFonts w:ascii="Times New Roman" w:hAnsi="Times New Roman" w:eastAsia="仿宋" w:cs="Times New Roman"/>
              <w:bCs/>
              <w:sz w:val="32"/>
            </w:rPr>
            <w:t xml:space="preserve">3.2 </w:t>
          </w:r>
          <w:r>
            <w:rPr>
              <w:rFonts w:ascii="Times New Roman" w:hAnsi="Times New Roman" w:cs="Times New Roman"/>
              <w:sz w:val="32"/>
            </w:rPr>
            <w:t>监测预警机制</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_Toc5290 \h </w:instrText>
          </w:r>
          <w:r>
            <w:rPr>
              <w:rFonts w:ascii="Times New Roman" w:hAnsi="Times New Roman" w:cs="Times New Roman"/>
              <w:sz w:val="32"/>
            </w:rPr>
            <w:fldChar w:fldCharType="separate"/>
          </w:r>
          <w:r>
            <w:rPr>
              <w:rFonts w:ascii="Times New Roman" w:hAnsi="Times New Roman" w:cs="Times New Roman"/>
              <w:sz w:val="32"/>
            </w:rPr>
            <w:t>9</w:t>
          </w:r>
          <w:r>
            <w:rPr>
              <w:rFonts w:ascii="Times New Roman" w:hAnsi="Times New Roman" w:cs="Times New Roman"/>
              <w:sz w:val="32"/>
            </w:rPr>
            <w:fldChar w:fldCharType="end"/>
          </w:r>
          <w:r>
            <w:rPr>
              <w:rFonts w:ascii="Times New Roman" w:hAnsi="Times New Roman" w:cs="Times New Roman"/>
              <w:sz w:val="32"/>
            </w:rPr>
            <w:fldChar w:fldCharType="end"/>
          </w:r>
        </w:p>
        <w:p w14:paraId="7171D7EC">
          <w:pPr>
            <w:pStyle w:val="18"/>
            <w:rPr>
              <w:rFonts w:ascii="Times New Roman" w:hAnsi="Times New Roman" w:cs="Times New Roman"/>
              <w:sz w:val="32"/>
            </w:rPr>
          </w:pPr>
          <w:r>
            <w:fldChar w:fldCharType="begin"/>
          </w:r>
          <w:r>
            <w:instrText xml:space="preserve"> HYPERLINK \l "_Toc32554" </w:instrText>
          </w:r>
          <w:r>
            <w:fldChar w:fldCharType="separate"/>
          </w:r>
          <w:r>
            <w:rPr>
              <w:rFonts w:ascii="Times New Roman" w:hAnsi="Times New Roman" w:eastAsia="仿宋" w:cs="Times New Roman"/>
              <w:sz w:val="32"/>
            </w:rPr>
            <w:t xml:space="preserve">4 </w:t>
          </w:r>
          <w:r>
            <w:rPr>
              <w:rFonts w:ascii="Times New Roman" w:hAnsi="Times New Roman" w:cs="Times New Roman"/>
              <w:sz w:val="32"/>
            </w:rPr>
            <w:t>信息报告</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_Toc32554 \h </w:instrText>
          </w:r>
          <w:r>
            <w:rPr>
              <w:rFonts w:ascii="Times New Roman" w:hAnsi="Times New Roman" w:cs="Times New Roman"/>
              <w:sz w:val="32"/>
            </w:rPr>
            <w:fldChar w:fldCharType="separate"/>
          </w:r>
          <w:r>
            <w:rPr>
              <w:rFonts w:ascii="Times New Roman" w:hAnsi="Times New Roman" w:cs="Times New Roman"/>
              <w:sz w:val="32"/>
            </w:rPr>
            <w:t>11</w:t>
          </w:r>
          <w:r>
            <w:rPr>
              <w:rFonts w:ascii="Times New Roman" w:hAnsi="Times New Roman" w:cs="Times New Roman"/>
              <w:sz w:val="32"/>
            </w:rPr>
            <w:fldChar w:fldCharType="end"/>
          </w:r>
          <w:r>
            <w:rPr>
              <w:rFonts w:ascii="Times New Roman" w:hAnsi="Times New Roman" w:cs="Times New Roman"/>
              <w:sz w:val="32"/>
            </w:rPr>
            <w:fldChar w:fldCharType="end"/>
          </w:r>
        </w:p>
        <w:p w14:paraId="536B278E">
          <w:pPr>
            <w:pStyle w:val="19"/>
            <w:tabs>
              <w:tab w:val="right" w:leader="dot" w:pos="8845"/>
            </w:tabs>
            <w:ind w:firstLine="552"/>
            <w:rPr>
              <w:rFonts w:ascii="Times New Roman" w:hAnsi="Times New Roman" w:cs="Times New Roman"/>
              <w:sz w:val="32"/>
            </w:rPr>
          </w:pPr>
          <w:r>
            <w:fldChar w:fldCharType="begin"/>
          </w:r>
          <w:r>
            <w:instrText xml:space="preserve"> HYPERLINK \l "_Toc17885" </w:instrText>
          </w:r>
          <w:r>
            <w:fldChar w:fldCharType="separate"/>
          </w:r>
          <w:r>
            <w:rPr>
              <w:rFonts w:ascii="Times New Roman" w:hAnsi="Times New Roman" w:eastAsia="仿宋" w:cs="Times New Roman"/>
              <w:bCs/>
              <w:sz w:val="32"/>
            </w:rPr>
            <w:t xml:space="preserve">4.1 </w:t>
          </w:r>
          <w:r>
            <w:rPr>
              <w:rFonts w:ascii="Times New Roman" w:hAnsi="Times New Roman" w:cs="Times New Roman"/>
              <w:sz w:val="32"/>
            </w:rPr>
            <w:t>报告原则及时限</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_Toc17885 \h </w:instrText>
          </w:r>
          <w:r>
            <w:rPr>
              <w:rFonts w:ascii="Times New Roman" w:hAnsi="Times New Roman" w:cs="Times New Roman"/>
              <w:sz w:val="32"/>
            </w:rPr>
            <w:fldChar w:fldCharType="separate"/>
          </w:r>
          <w:r>
            <w:rPr>
              <w:rFonts w:ascii="Times New Roman" w:hAnsi="Times New Roman" w:cs="Times New Roman"/>
              <w:sz w:val="32"/>
            </w:rPr>
            <w:t>11</w:t>
          </w:r>
          <w:r>
            <w:rPr>
              <w:rFonts w:ascii="Times New Roman" w:hAnsi="Times New Roman" w:cs="Times New Roman"/>
              <w:sz w:val="32"/>
            </w:rPr>
            <w:fldChar w:fldCharType="end"/>
          </w:r>
          <w:r>
            <w:rPr>
              <w:rFonts w:ascii="Times New Roman" w:hAnsi="Times New Roman" w:cs="Times New Roman"/>
              <w:sz w:val="32"/>
            </w:rPr>
            <w:fldChar w:fldCharType="end"/>
          </w:r>
        </w:p>
        <w:p w14:paraId="2441AF6E">
          <w:pPr>
            <w:pStyle w:val="19"/>
            <w:tabs>
              <w:tab w:val="right" w:leader="dot" w:pos="8845"/>
            </w:tabs>
            <w:ind w:firstLine="552"/>
            <w:rPr>
              <w:rFonts w:ascii="Times New Roman" w:hAnsi="Times New Roman" w:cs="Times New Roman"/>
              <w:sz w:val="32"/>
            </w:rPr>
          </w:pPr>
          <w:r>
            <w:fldChar w:fldCharType="begin"/>
          </w:r>
          <w:r>
            <w:instrText xml:space="preserve"> HYPERLINK \l "_Toc6685" </w:instrText>
          </w:r>
          <w:r>
            <w:fldChar w:fldCharType="separate"/>
          </w:r>
          <w:r>
            <w:rPr>
              <w:rFonts w:ascii="Times New Roman" w:hAnsi="Times New Roman" w:eastAsia="仿宋" w:cs="Times New Roman"/>
              <w:bCs/>
              <w:sz w:val="32"/>
            </w:rPr>
            <w:t xml:space="preserve">4.2 </w:t>
          </w:r>
          <w:r>
            <w:rPr>
              <w:rFonts w:ascii="Times New Roman" w:hAnsi="Times New Roman" w:cs="Times New Roman"/>
              <w:sz w:val="32"/>
            </w:rPr>
            <w:t>报告内容</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_Toc6685 \h </w:instrText>
          </w:r>
          <w:r>
            <w:rPr>
              <w:rFonts w:ascii="Times New Roman" w:hAnsi="Times New Roman" w:cs="Times New Roman"/>
              <w:sz w:val="32"/>
            </w:rPr>
            <w:fldChar w:fldCharType="separate"/>
          </w:r>
          <w:r>
            <w:rPr>
              <w:rFonts w:ascii="Times New Roman" w:hAnsi="Times New Roman" w:cs="Times New Roman"/>
              <w:sz w:val="32"/>
            </w:rPr>
            <w:t>11</w:t>
          </w:r>
          <w:r>
            <w:rPr>
              <w:rFonts w:ascii="Times New Roman" w:hAnsi="Times New Roman" w:cs="Times New Roman"/>
              <w:sz w:val="32"/>
            </w:rPr>
            <w:fldChar w:fldCharType="end"/>
          </w:r>
          <w:r>
            <w:rPr>
              <w:rFonts w:ascii="Times New Roman" w:hAnsi="Times New Roman" w:cs="Times New Roman"/>
              <w:sz w:val="32"/>
            </w:rPr>
            <w:fldChar w:fldCharType="end"/>
          </w:r>
        </w:p>
        <w:p w14:paraId="2E46F929">
          <w:pPr>
            <w:pStyle w:val="19"/>
            <w:tabs>
              <w:tab w:val="right" w:leader="dot" w:pos="8845"/>
            </w:tabs>
            <w:ind w:firstLine="552"/>
            <w:rPr>
              <w:rFonts w:ascii="Times New Roman" w:hAnsi="Times New Roman" w:cs="Times New Roman"/>
              <w:sz w:val="32"/>
            </w:rPr>
          </w:pPr>
          <w:r>
            <w:fldChar w:fldCharType="begin"/>
          </w:r>
          <w:r>
            <w:instrText xml:space="preserve"> HYPERLINK \l "_Toc13183" </w:instrText>
          </w:r>
          <w:r>
            <w:fldChar w:fldCharType="separate"/>
          </w:r>
          <w:r>
            <w:rPr>
              <w:rFonts w:ascii="Times New Roman" w:hAnsi="Times New Roman" w:eastAsia="仿宋" w:cs="Times New Roman"/>
              <w:bCs/>
              <w:sz w:val="32"/>
            </w:rPr>
            <w:t xml:space="preserve">4.3 </w:t>
          </w:r>
          <w:r>
            <w:rPr>
              <w:rFonts w:ascii="Times New Roman" w:hAnsi="Times New Roman" w:cs="Times New Roman"/>
              <w:sz w:val="32"/>
            </w:rPr>
            <w:t>报告形式</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_Toc13183 \h </w:instrText>
          </w:r>
          <w:r>
            <w:rPr>
              <w:rFonts w:ascii="Times New Roman" w:hAnsi="Times New Roman" w:cs="Times New Roman"/>
              <w:sz w:val="32"/>
            </w:rPr>
            <w:fldChar w:fldCharType="separate"/>
          </w:r>
          <w:r>
            <w:rPr>
              <w:rFonts w:ascii="Times New Roman" w:hAnsi="Times New Roman" w:cs="Times New Roman"/>
              <w:sz w:val="32"/>
            </w:rPr>
            <w:t>12</w:t>
          </w:r>
          <w:r>
            <w:rPr>
              <w:rFonts w:ascii="Times New Roman" w:hAnsi="Times New Roman" w:cs="Times New Roman"/>
              <w:sz w:val="32"/>
            </w:rPr>
            <w:fldChar w:fldCharType="end"/>
          </w:r>
          <w:r>
            <w:rPr>
              <w:rFonts w:ascii="Times New Roman" w:hAnsi="Times New Roman" w:cs="Times New Roman"/>
              <w:sz w:val="32"/>
            </w:rPr>
            <w:fldChar w:fldCharType="end"/>
          </w:r>
        </w:p>
        <w:p w14:paraId="0BABF49C">
          <w:pPr>
            <w:pStyle w:val="19"/>
            <w:tabs>
              <w:tab w:val="right" w:leader="dot" w:pos="8845"/>
            </w:tabs>
            <w:ind w:firstLine="552"/>
            <w:rPr>
              <w:rFonts w:ascii="Times New Roman" w:hAnsi="Times New Roman" w:cs="Times New Roman"/>
              <w:sz w:val="32"/>
            </w:rPr>
          </w:pPr>
          <w:r>
            <w:fldChar w:fldCharType="begin"/>
          </w:r>
          <w:r>
            <w:instrText xml:space="preserve"> HYPERLINK \l "_Toc14180" </w:instrText>
          </w:r>
          <w:r>
            <w:fldChar w:fldCharType="separate"/>
          </w:r>
          <w:r>
            <w:rPr>
              <w:rFonts w:ascii="Times New Roman" w:hAnsi="Times New Roman" w:eastAsia="仿宋" w:cs="Times New Roman"/>
              <w:bCs/>
              <w:sz w:val="32"/>
            </w:rPr>
            <w:t xml:space="preserve">4.4 </w:t>
          </w:r>
          <w:r>
            <w:rPr>
              <w:rFonts w:ascii="Times New Roman" w:hAnsi="Times New Roman" w:cs="Times New Roman"/>
              <w:sz w:val="32"/>
            </w:rPr>
            <w:t>信息发布</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_Toc14180 \h </w:instrText>
          </w:r>
          <w:r>
            <w:rPr>
              <w:rFonts w:ascii="Times New Roman" w:hAnsi="Times New Roman" w:cs="Times New Roman"/>
              <w:sz w:val="32"/>
            </w:rPr>
            <w:fldChar w:fldCharType="separate"/>
          </w:r>
          <w:r>
            <w:rPr>
              <w:rFonts w:ascii="Times New Roman" w:hAnsi="Times New Roman" w:cs="Times New Roman"/>
              <w:sz w:val="32"/>
            </w:rPr>
            <w:t>12</w:t>
          </w:r>
          <w:r>
            <w:rPr>
              <w:rFonts w:ascii="Times New Roman" w:hAnsi="Times New Roman" w:cs="Times New Roman"/>
              <w:sz w:val="32"/>
            </w:rPr>
            <w:fldChar w:fldCharType="end"/>
          </w:r>
          <w:r>
            <w:rPr>
              <w:rFonts w:ascii="Times New Roman" w:hAnsi="Times New Roman" w:cs="Times New Roman"/>
              <w:sz w:val="32"/>
            </w:rPr>
            <w:fldChar w:fldCharType="end"/>
          </w:r>
        </w:p>
        <w:p w14:paraId="4078866A">
          <w:pPr>
            <w:pStyle w:val="18"/>
            <w:rPr>
              <w:rFonts w:ascii="Times New Roman" w:hAnsi="Times New Roman" w:cs="Times New Roman"/>
              <w:sz w:val="32"/>
            </w:rPr>
          </w:pPr>
          <w:r>
            <w:fldChar w:fldCharType="begin"/>
          </w:r>
          <w:r>
            <w:instrText xml:space="preserve"> HYPERLINK \l "_Toc17478" </w:instrText>
          </w:r>
          <w:r>
            <w:fldChar w:fldCharType="separate"/>
          </w:r>
          <w:r>
            <w:rPr>
              <w:rFonts w:ascii="Times New Roman" w:hAnsi="Times New Roman" w:eastAsia="仿宋" w:cs="Times New Roman"/>
              <w:sz w:val="32"/>
            </w:rPr>
            <w:t xml:space="preserve">5 </w:t>
          </w:r>
          <w:r>
            <w:rPr>
              <w:rFonts w:ascii="Times New Roman" w:hAnsi="Times New Roman" w:cs="Times New Roman"/>
              <w:sz w:val="32"/>
            </w:rPr>
            <w:t>应急响应</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_Toc17478 \h </w:instrText>
          </w:r>
          <w:r>
            <w:rPr>
              <w:rFonts w:ascii="Times New Roman" w:hAnsi="Times New Roman" w:cs="Times New Roman"/>
              <w:sz w:val="32"/>
            </w:rPr>
            <w:fldChar w:fldCharType="separate"/>
          </w:r>
          <w:r>
            <w:rPr>
              <w:rFonts w:ascii="Times New Roman" w:hAnsi="Times New Roman" w:cs="Times New Roman"/>
              <w:sz w:val="32"/>
            </w:rPr>
            <w:t>12</w:t>
          </w:r>
          <w:r>
            <w:rPr>
              <w:rFonts w:ascii="Times New Roman" w:hAnsi="Times New Roman" w:cs="Times New Roman"/>
              <w:sz w:val="32"/>
            </w:rPr>
            <w:fldChar w:fldCharType="end"/>
          </w:r>
          <w:r>
            <w:rPr>
              <w:rFonts w:ascii="Times New Roman" w:hAnsi="Times New Roman" w:cs="Times New Roman"/>
              <w:sz w:val="32"/>
            </w:rPr>
            <w:fldChar w:fldCharType="end"/>
          </w:r>
        </w:p>
        <w:p w14:paraId="5378F529">
          <w:pPr>
            <w:pStyle w:val="19"/>
            <w:tabs>
              <w:tab w:val="right" w:leader="dot" w:pos="8845"/>
            </w:tabs>
            <w:ind w:firstLine="552"/>
            <w:rPr>
              <w:rFonts w:ascii="Times New Roman" w:hAnsi="Times New Roman" w:cs="Times New Roman"/>
              <w:sz w:val="32"/>
            </w:rPr>
          </w:pPr>
          <w:r>
            <w:fldChar w:fldCharType="begin"/>
          </w:r>
          <w:r>
            <w:instrText xml:space="preserve"> HYPERLINK \l "_Toc31199" </w:instrText>
          </w:r>
          <w:r>
            <w:fldChar w:fldCharType="separate"/>
          </w:r>
          <w:r>
            <w:rPr>
              <w:rFonts w:ascii="Times New Roman" w:hAnsi="Times New Roman" w:eastAsia="仿宋" w:cs="Times New Roman"/>
              <w:bCs/>
              <w:sz w:val="32"/>
            </w:rPr>
            <w:t xml:space="preserve">5.1 </w:t>
          </w:r>
          <w:r>
            <w:rPr>
              <w:rFonts w:ascii="Times New Roman" w:hAnsi="Times New Roman" w:cs="Times New Roman"/>
              <w:sz w:val="32"/>
            </w:rPr>
            <w:t>先期处置</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_Toc31199 \h </w:instrText>
          </w:r>
          <w:r>
            <w:rPr>
              <w:rFonts w:ascii="Times New Roman" w:hAnsi="Times New Roman" w:cs="Times New Roman"/>
              <w:sz w:val="32"/>
            </w:rPr>
            <w:fldChar w:fldCharType="separate"/>
          </w:r>
          <w:r>
            <w:rPr>
              <w:rFonts w:ascii="Times New Roman" w:hAnsi="Times New Roman" w:cs="Times New Roman"/>
              <w:sz w:val="32"/>
            </w:rPr>
            <w:t>12</w:t>
          </w:r>
          <w:r>
            <w:rPr>
              <w:rFonts w:ascii="Times New Roman" w:hAnsi="Times New Roman" w:cs="Times New Roman"/>
              <w:sz w:val="32"/>
            </w:rPr>
            <w:fldChar w:fldCharType="end"/>
          </w:r>
          <w:r>
            <w:rPr>
              <w:rFonts w:ascii="Times New Roman" w:hAnsi="Times New Roman" w:cs="Times New Roman"/>
              <w:sz w:val="32"/>
            </w:rPr>
            <w:fldChar w:fldCharType="end"/>
          </w:r>
        </w:p>
        <w:p w14:paraId="746E060D">
          <w:pPr>
            <w:pStyle w:val="19"/>
            <w:tabs>
              <w:tab w:val="right" w:leader="dot" w:pos="8845"/>
            </w:tabs>
            <w:ind w:firstLine="552"/>
            <w:rPr>
              <w:rFonts w:ascii="Times New Roman" w:hAnsi="Times New Roman" w:cs="Times New Roman"/>
              <w:sz w:val="32"/>
            </w:rPr>
          </w:pPr>
          <w:r>
            <w:fldChar w:fldCharType="begin"/>
          </w:r>
          <w:r>
            <w:instrText xml:space="preserve"> HYPERLINK \l "_Toc4746" </w:instrText>
          </w:r>
          <w:r>
            <w:fldChar w:fldCharType="separate"/>
          </w:r>
          <w:r>
            <w:rPr>
              <w:rFonts w:ascii="Times New Roman" w:hAnsi="Times New Roman" w:eastAsia="仿宋" w:cs="Times New Roman"/>
              <w:bCs/>
              <w:sz w:val="32"/>
            </w:rPr>
            <w:t xml:space="preserve">5.2 </w:t>
          </w:r>
          <w:r>
            <w:rPr>
              <w:rFonts w:ascii="Times New Roman" w:hAnsi="Times New Roman" w:cs="Times New Roman"/>
              <w:sz w:val="32"/>
            </w:rPr>
            <w:t>协调配合</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_Toc4746 \h </w:instrText>
          </w:r>
          <w:r>
            <w:rPr>
              <w:rFonts w:ascii="Times New Roman" w:hAnsi="Times New Roman" w:cs="Times New Roman"/>
              <w:sz w:val="32"/>
            </w:rPr>
            <w:fldChar w:fldCharType="separate"/>
          </w:r>
          <w:r>
            <w:rPr>
              <w:rFonts w:ascii="Times New Roman" w:hAnsi="Times New Roman" w:cs="Times New Roman"/>
              <w:sz w:val="32"/>
            </w:rPr>
            <w:t>13</w:t>
          </w:r>
          <w:r>
            <w:rPr>
              <w:rFonts w:ascii="Times New Roman" w:hAnsi="Times New Roman" w:cs="Times New Roman"/>
              <w:sz w:val="32"/>
            </w:rPr>
            <w:fldChar w:fldCharType="end"/>
          </w:r>
          <w:r>
            <w:rPr>
              <w:rFonts w:ascii="Times New Roman" w:hAnsi="Times New Roman" w:cs="Times New Roman"/>
              <w:sz w:val="32"/>
            </w:rPr>
            <w:fldChar w:fldCharType="end"/>
          </w:r>
        </w:p>
        <w:p w14:paraId="71E1FA21">
          <w:pPr>
            <w:pStyle w:val="19"/>
            <w:tabs>
              <w:tab w:val="right" w:leader="dot" w:pos="8845"/>
            </w:tabs>
            <w:ind w:firstLine="552"/>
            <w:rPr>
              <w:rFonts w:ascii="Times New Roman" w:hAnsi="Times New Roman" w:cs="Times New Roman"/>
              <w:sz w:val="32"/>
            </w:rPr>
          </w:pPr>
          <w:r>
            <w:fldChar w:fldCharType="begin"/>
          </w:r>
          <w:r>
            <w:instrText xml:space="preserve"> HYPERLINK \l "_Toc29078" </w:instrText>
          </w:r>
          <w:r>
            <w:fldChar w:fldCharType="separate"/>
          </w:r>
          <w:r>
            <w:rPr>
              <w:rFonts w:ascii="Times New Roman" w:hAnsi="Times New Roman" w:eastAsia="仿宋" w:cs="Times New Roman"/>
              <w:bCs/>
              <w:sz w:val="32"/>
            </w:rPr>
            <w:t xml:space="preserve">5.3 </w:t>
          </w:r>
          <w:r>
            <w:rPr>
              <w:rFonts w:ascii="Times New Roman" w:hAnsi="Times New Roman" w:cs="Times New Roman"/>
              <w:sz w:val="32"/>
            </w:rPr>
            <w:t>分级响应</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_Toc29078 \h </w:instrText>
          </w:r>
          <w:r>
            <w:rPr>
              <w:rFonts w:ascii="Times New Roman" w:hAnsi="Times New Roman" w:cs="Times New Roman"/>
              <w:sz w:val="32"/>
            </w:rPr>
            <w:fldChar w:fldCharType="separate"/>
          </w:r>
          <w:r>
            <w:rPr>
              <w:rFonts w:ascii="Times New Roman" w:hAnsi="Times New Roman" w:cs="Times New Roman"/>
              <w:sz w:val="32"/>
            </w:rPr>
            <w:t>13</w:t>
          </w:r>
          <w:r>
            <w:rPr>
              <w:rFonts w:ascii="Times New Roman" w:hAnsi="Times New Roman" w:cs="Times New Roman"/>
              <w:sz w:val="32"/>
            </w:rPr>
            <w:fldChar w:fldCharType="end"/>
          </w:r>
          <w:r>
            <w:rPr>
              <w:rFonts w:ascii="Times New Roman" w:hAnsi="Times New Roman" w:cs="Times New Roman"/>
              <w:sz w:val="32"/>
            </w:rPr>
            <w:fldChar w:fldCharType="end"/>
          </w:r>
        </w:p>
        <w:p w14:paraId="5516592F">
          <w:pPr>
            <w:pStyle w:val="19"/>
            <w:tabs>
              <w:tab w:val="right" w:leader="dot" w:pos="8845"/>
            </w:tabs>
            <w:ind w:firstLine="552"/>
            <w:rPr>
              <w:rFonts w:ascii="Times New Roman" w:hAnsi="Times New Roman" w:cs="Times New Roman"/>
              <w:sz w:val="32"/>
            </w:rPr>
          </w:pPr>
          <w:r>
            <w:fldChar w:fldCharType="begin"/>
          </w:r>
          <w:r>
            <w:instrText xml:space="preserve"> HYPERLINK \l "_Toc6396" </w:instrText>
          </w:r>
          <w:r>
            <w:fldChar w:fldCharType="separate"/>
          </w:r>
          <w:r>
            <w:rPr>
              <w:rFonts w:ascii="Times New Roman" w:hAnsi="Times New Roman" w:eastAsia="仿宋" w:cs="Times New Roman"/>
              <w:bCs/>
              <w:sz w:val="32"/>
            </w:rPr>
            <w:t xml:space="preserve">5.4 </w:t>
          </w:r>
          <w:r>
            <w:rPr>
              <w:rFonts w:ascii="Times New Roman" w:hAnsi="Times New Roman" w:cs="Times New Roman"/>
              <w:sz w:val="32"/>
            </w:rPr>
            <w:t>现场处置</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_Toc6396 \h </w:instrText>
          </w:r>
          <w:r>
            <w:rPr>
              <w:rFonts w:ascii="Times New Roman" w:hAnsi="Times New Roman" w:cs="Times New Roman"/>
              <w:sz w:val="32"/>
            </w:rPr>
            <w:fldChar w:fldCharType="separate"/>
          </w:r>
          <w:r>
            <w:rPr>
              <w:rFonts w:ascii="Times New Roman" w:hAnsi="Times New Roman" w:cs="Times New Roman"/>
              <w:sz w:val="32"/>
            </w:rPr>
            <w:t>14</w:t>
          </w:r>
          <w:r>
            <w:rPr>
              <w:rFonts w:ascii="Times New Roman" w:hAnsi="Times New Roman" w:cs="Times New Roman"/>
              <w:sz w:val="32"/>
            </w:rPr>
            <w:fldChar w:fldCharType="end"/>
          </w:r>
          <w:r>
            <w:rPr>
              <w:rFonts w:ascii="Times New Roman" w:hAnsi="Times New Roman" w:cs="Times New Roman"/>
              <w:sz w:val="32"/>
            </w:rPr>
            <w:fldChar w:fldCharType="end"/>
          </w:r>
        </w:p>
        <w:p w14:paraId="79DDC920">
          <w:pPr>
            <w:pStyle w:val="19"/>
            <w:tabs>
              <w:tab w:val="right" w:leader="dot" w:pos="8845"/>
            </w:tabs>
            <w:ind w:firstLine="552"/>
            <w:rPr>
              <w:rFonts w:ascii="Times New Roman" w:hAnsi="Times New Roman" w:cs="Times New Roman"/>
              <w:sz w:val="32"/>
            </w:rPr>
          </w:pPr>
          <w:r>
            <w:fldChar w:fldCharType="begin"/>
          </w:r>
          <w:r>
            <w:instrText xml:space="preserve"> HYPERLINK \l "_Toc22039" </w:instrText>
          </w:r>
          <w:r>
            <w:fldChar w:fldCharType="separate"/>
          </w:r>
          <w:r>
            <w:rPr>
              <w:rFonts w:ascii="Times New Roman" w:hAnsi="Times New Roman" w:eastAsia="仿宋" w:cs="Times New Roman"/>
              <w:bCs/>
              <w:sz w:val="32"/>
            </w:rPr>
            <w:t xml:space="preserve">5.5 </w:t>
          </w:r>
          <w:r>
            <w:rPr>
              <w:rFonts w:ascii="Times New Roman" w:hAnsi="Times New Roman" w:cs="Times New Roman"/>
              <w:sz w:val="32"/>
            </w:rPr>
            <w:t>应急结束</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_Toc22039 \h </w:instrText>
          </w:r>
          <w:r>
            <w:rPr>
              <w:rFonts w:ascii="Times New Roman" w:hAnsi="Times New Roman" w:cs="Times New Roman"/>
              <w:sz w:val="32"/>
            </w:rPr>
            <w:fldChar w:fldCharType="separate"/>
          </w:r>
          <w:r>
            <w:rPr>
              <w:rFonts w:ascii="Times New Roman" w:hAnsi="Times New Roman" w:cs="Times New Roman"/>
              <w:sz w:val="32"/>
            </w:rPr>
            <w:t>14</w:t>
          </w:r>
          <w:r>
            <w:rPr>
              <w:rFonts w:ascii="Times New Roman" w:hAnsi="Times New Roman" w:cs="Times New Roman"/>
              <w:sz w:val="32"/>
            </w:rPr>
            <w:fldChar w:fldCharType="end"/>
          </w:r>
          <w:r>
            <w:rPr>
              <w:rFonts w:ascii="Times New Roman" w:hAnsi="Times New Roman" w:cs="Times New Roman"/>
              <w:sz w:val="32"/>
            </w:rPr>
            <w:fldChar w:fldCharType="end"/>
          </w:r>
        </w:p>
        <w:p w14:paraId="1366268C">
          <w:pPr>
            <w:pStyle w:val="18"/>
            <w:rPr>
              <w:rFonts w:ascii="Times New Roman" w:hAnsi="Times New Roman" w:cs="Times New Roman"/>
              <w:sz w:val="32"/>
            </w:rPr>
          </w:pPr>
          <w:r>
            <w:fldChar w:fldCharType="begin"/>
          </w:r>
          <w:r>
            <w:instrText xml:space="preserve"> HYPERLINK \l "_Toc16912" </w:instrText>
          </w:r>
          <w:r>
            <w:fldChar w:fldCharType="separate"/>
          </w:r>
          <w:r>
            <w:rPr>
              <w:rFonts w:ascii="Times New Roman" w:hAnsi="Times New Roman" w:eastAsia="仿宋" w:cs="Times New Roman"/>
              <w:sz w:val="32"/>
            </w:rPr>
            <w:t xml:space="preserve">6 </w:t>
          </w:r>
          <w:r>
            <w:rPr>
              <w:rFonts w:ascii="Times New Roman" w:hAnsi="Times New Roman" w:cs="Times New Roman"/>
              <w:sz w:val="32"/>
            </w:rPr>
            <w:t>学校常见突发公共事件应急响应措施</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_Toc16912 \h </w:instrText>
          </w:r>
          <w:r>
            <w:rPr>
              <w:rFonts w:ascii="Times New Roman" w:hAnsi="Times New Roman" w:cs="Times New Roman"/>
              <w:sz w:val="32"/>
            </w:rPr>
            <w:fldChar w:fldCharType="separate"/>
          </w:r>
          <w:r>
            <w:rPr>
              <w:rFonts w:ascii="Times New Roman" w:hAnsi="Times New Roman" w:cs="Times New Roman"/>
              <w:sz w:val="32"/>
            </w:rPr>
            <w:t>15</w:t>
          </w:r>
          <w:r>
            <w:rPr>
              <w:rFonts w:ascii="Times New Roman" w:hAnsi="Times New Roman" w:cs="Times New Roman"/>
              <w:sz w:val="32"/>
            </w:rPr>
            <w:fldChar w:fldCharType="end"/>
          </w:r>
          <w:r>
            <w:rPr>
              <w:rFonts w:ascii="Times New Roman" w:hAnsi="Times New Roman" w:cs="Times New Roman"/>
              <w:sz w:val="32"/>
            </w:rPr>
            <w:fldChar w:fldCharType="end"/>
          </w:r>
        </w:p>
        <w:p w14:paraId="6C2B387C">
          <w:pPr>
            <w:pStyle w:val="19"/>
            <w:tabs>
              <w:tab w:val="right" w:leader="dot" w:pos="8845"/>
            </w:tabs>
            <w:ind w:firstLine="552"/>
            <w:rPr>
              <w:rFonts w:ascii="Times New Roman" w:hAnsi="Times New Roman" w:cs="Times New Roman"/>
              <w:sz w:val="32"/>
            </w:rPr>
          </w:pPr>
          <w:r>
            <w:fldChar w:fldCharType="begin"/>
          </w:r>
          <w:r>
            <w:instrText xml:space="preserve"> HYPERLINK \l "_Toc7358" </w:instrText>
          </w:r>
          <w:r>
            <w:fldChar w:fldCharType="separate"/>
          </w:r>
          <w:r>
            <w:rPr>
              <w:rFonts w:ascii="Times New Roman" w:hAnsi="Times New Roman" w:eastAsia="仿宋" w:cs="Times New Roman"/>
              <w:bCs/>
              <w:sz w:val="32"/>
            </w:rPr>
            <w:t xml:space="preserve">6.1 </w:t>
          </w:r>
          <w:r>
            <w:rPr>
              <w:rFonts w:ascii="Times New Roman" w:hAnsi="Times New Roman" w:cs="Times New Roman"/>
              <w:sz w:val="32"/>
            </w:rPr>
            <w:t>总体类事故</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_Toc7358 \h </w:instrText>
          </w:r>
          <w:r>
            <w:rPr>
              <w:rFonts w:ascii="Times New Roman" w:hAnsi="Times New Roman" w:cs="Times New Roman"/>
              <w:sz w:val="32"/>
            </w:rPr>
            <w:fldChar w:fldCharType="separate"/>
          </w:r>
          <w:r>
            <w:rPr>
              <w:rFonts w:ascii="Times New Roman" w:hAnsi="Times New Roman" w:cs="Times New Roman"/>
              <w:sz w:val="32"/>
            </w:rPr>
            <w:t>15</w:t>
          </w:r>
          <w:r>
            <w:rPr>
              <w:rFonts w:ascii="Times New Roman" w:hAnsi="Times New Roman" w:cs="Times New Roman"/>
              <w:sz w:val="32"/>
            </w:rPr>
            <w:fldChar w:fldCharType="end"/>
          </w:r>
          <w:r>
            <w:rPr>
              <w:rFonts w:ascii="Times New Roman" w:hAnsi="Times New Roman" w:cs="Times New Roman"/>
              <w:sz w:val="32"/>
            </w:rPr>
            <w:fldChar w:fldCharType="end"/>
          </w:r>
        </w:p>
        <w:p w14:paraId="14CDE939">
          <w:pPr>
            <w:pStyle w:val="19"/>
            <w:tabs>
              <w:tab w:val="right" w:leader="dot" w:pos="8845"/>
            </w:tabs>
            <w:ind w:firstLine="552"/>
            <w:rPr>
              <w:rFonts w:ascii="Times New Roman" w:hAnsi="Times New Roman" w:cs="Times New Roman"/>
              <w:sz w:val="32"/>
            </w:rPr>
          </w:pPr>
          <w:r>
            <w:fldChar w:fldCharType="begin"/>
          </w:r>
          <w:r>
            <w:instrText xml:space="preserve"> HYPERLINK \l "_Toc22421" </w:instrText>
          </w:r>
          <w:r>
            <w:fldChar w:fldCharType="separate"/>
          </w:r>
          <w:r>
            <w:rPr>
              <w:rFonts w:ascii="Times New Roman" w:hAnsi="Times New Roman" w:eastAsia="仿宋" w:cs="Times New Roman"/>
              <w:bCs/>
              <w:sz w:val="32"/>
            </w:rPr>
            <w:t xml:space="preserve">6.2 </w:t>
          </w:r>
          <w:r>
            <w:rPr>
              <w:rFonts w:ascii="Times New Roman" w:hAnsi="Times New Roman" w:cs="Times New Roman"/>
              <w:sz w:val="32"/>
            </w:rPr>
            <w:t>专项类事故</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_Toc22421 \h </w:instrText>
          </w:r>
          <w:r>
            <w:rPr>
              <w:rFonts w:ascii="Times New Roman" w:hAnsi="Times New Roman" w:cs="Times New Roman"/>
              <w:sz w:val="32"/>
            </w:rPr>
            <w:fldChar w:fldCharType="separate"/>
          </w:r>
          <w:r>
            <w:rPr>
              <w:rFonts w:ascii="Times New Roman" w:hAnsi="Times New Roman" w:cs="Times New Roman"/>
              <w:sz w:val="32"/>
            </w:rPr>
            <w:t>18</w:t>
          </w:r>
          <w:r>
            <w:rPr>
              <w:rFonts w:ascii="Times New Roman" w:hAnsi="Times New Roman" w:cs="Times New Roman"/>
              <w:sz w:val="32"/>
            </w:rPr>
            <w:fldChar w:fldCharType="end"/>
          </w:r>
          <w:r>
            <w:rPr>
              <w:rFonts w:ascii="Times New Roman" w:hAnsi="Times New Roman" w:cs="Times New Roman"/>
              <w:sz w:val="32"/>
            </w:rPr>
            <w:fldChar w:fldCharType="end"/>
          </w:r>
        </w:p>
        <w:p w14:paraId="3C6FF433">
          <w:pPr>
            <w:pStyle w:val="18"/>
            <w:rPr>
              <w:rFonts w:ascii="Times New Roman" w:hAnsi="Times New Roman" w:cs="Times New Roman"/>
              <w:sz w:val="32"/>
            </w:rPr>
          </w:pPr>
          <w:r>
            <w:fldChar w:fldCharType="begin"/>
          </w:r>
          <w:r>
            <w:instrText xml:space="preserve"> HYPERLINK \l "_Toc4698" </w:instrText>
          </w:r>
          <w:r>
            <w:fldChar w:fldCharType="separate"/>
          </w:r>
          <w:r>
            <w:rPr>
              <w:rFonts w:ascii="Times New Roman" w:hAnsi="Times New Roman" w:eastAsia="仿宋" w:cs="Times New Roman"/>
              <w:sz w:val="32"/>
            </w:rPr>
            <w:t xml:space="preserve">7 </w:t>
          </w:r>
          <w:r>
            <w:rPr>
              <w:rFonts w:ascii="Times New Roman" w:hAnsi="Times New Roman" w:cs="Times New Roman"/>
              <w:sz w:val="32"/>
            </w:rPr>
            <w:t>善后与恢复</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_Toc4698 \h </w:instrText>
          </w:r>
          <w:r>
            <w:rPr>
              <w:rFonts w:ascii="Times New Roman" w:hAnsi="Times New Roman" w:cs="Times New Roman"/>
              <w:sz w:val="32"/>
            </w:rPr>
            <w:fldChar w:fldCharType="separate"/>
          </w:r>
          <w:r>
            <w:rPr>
              <w:rFonts w:ascii="Times New Roman" w:hAnsi="Times New Roman" w:cs="Times New Roman"/>
              <w:sz w:val="32"/>
            </w:rPr>
            <w:t>29</w:t>
          </w:r>
          <w:r>
            <w:rPr>
              <w:rFonts w:ascii="Times New Roman" w:hAnsi="Times New Roman" w:cs="Times New Roman"/>
              <w:sz w:val="32"/>
            </w:rPr>
            <w:fldChar w:fldCharType="end"/>
          </w:r>
          <w:r>
            <w:rPr>
              <w:rFonts w:ascii="Times New Roman" w:hAnsi="Times New Roman" w:cs="Times New Roman"/>
              <w:sz w:val="32"/>
            </w:rPr>
            <w:fldChar w:fldCharType="end"/>
          </w:r>
        </w:p>
        <w:p w14:paraId="76FABD0B">
          <w:pPr>
            <w:pStyle w:val="19"/>
            <w:tabs>
              <w:tab w:val="right" w:leader="dot" w:pos="8845"/>
            </w:tabs>
            <w:ind w:firstLine="552"/>
            <w:rPr>
              <w:rFonts w:ascii="Times New Roman" w:hAnsi="Times New Roman" w:cs="Times New Roman"/>
              <w:sz w:val="32"/>
            </w:rPr>
          </w:pPr>
          <w:r>
            <w:fldChar w:fldCharType="begin"/>
          </w:r>
          <w:r>
            <w:instrText xml:space="preserve"> HYPERLINK \l "_Toc31839" </w:instrText>
          </w:r>
          <w:r>
            <w:fldChar w:fldCharType="separate"/>
          </w:r>
          <w:r>
            <w:rPr>
              <w:rFonts w:ascii="Times New Roman" w:hAnsi="Times New Roman" w:eastAsia="仿宋" w:cs="Times New Roman"/>
              <w:bCs/>
              <w:sz w:val="32"/>
            </w:rPr>
            <w:t xml:space="preserve">7.1 </w:t>
          </w:r>
          <w:r>
            <w:rPr>
              <w:rFonts w:ascii="Times New Roman" w:hAnsi="Times New Roman" w:cs="Times New Roman"/>
              <w:sz w:val="32"/>
            </w:rPr>
            <w:t>善后处置</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_Toc31839 \h </w:instrText>
          </w:r>
          <w:r>
            <w:rPr>
              <w:rFonts w:ascii="Times New Roman" w:hAnsi="Times New Roman" w:cs="Times New Roman"/>
              <w:sz w:val="32"/>
            </w:rPr>
            <w:fldChar w:fldCharType="separate"/>
          </w:r>
          <w:r>
            <w:rPr>
              <w:rFonts w:ascii="Times New Roman" w:hAnsi="Times New Roman" w:cs="Times New Roman"/>
              <w:sz w:val="32"/>
            </w:rPr>
            <w:t>29</w:t>
          </w:r>
          <w:r>
            <w:rPr>
              <w:rFonts w:ascii="Times New Roman" w:hAnsi="Times New Roman" w:cs="Times New Roman"/>
              <w:sz w:val="32"/>
            </w:rPr>
            <w:fldChar w:fldCharType="end"/>
          </w:r>
          <w:r>
            <w:rPr>
              <w:rFonts w:ascii="Times New Roman" w:hAnsi="Times New Roman" w:cs="Times New Roman"/>
              <w:sz w:val="32"/>
            </w:rPr>
            <w:fldChar w:fldCharType="end"/>
          </w:r>
        </w:p>
        <w:p w14:paraId="2AE64D45">
          <w:pPr>
            <w:pStyle w:val="19"/>
            <w:tabs>
              <w:tab w:val="right" w:leader="dot" w:pos="8845"/>
            </w:tabs>
            <w:ind w:firstLine="552"/>
            <w:rPr>
              <w:rFonts w:ascii="Times New Roman" w:hAnsi="Times New Roman" w:cs="Times New Roman"/>
              <w:sz w:val="32"/>
            </w:rPr>
          </w:pPr>
          <w:r>
            <w:fldChar w:fldCharType="begin"/>
          </w:r>
          <w:r>
            <w:instrText xml:space="preserve"> HYPERLINK \l "_Toc6851" </w:instrText>
          </w:r>
          <w:r>
            <w:fldChar w:fldCharType="separate"/>
          </w:r>
          <w:r>
            <w:rPr>
              <w:rFonts w:ascii="Times New Roman" w:hAnsi="Times New Roman" w:eastAsia="仿宋" w:cs="Times New Roman"/>
              <w:bCs/>
              <w:sz w:val="32"/>
            </w:rPr>
            <w:t xml:space="preserve">7.2 </w:t>
          </w:r>
          <w:r>
            <w:rPr>
              <w:rFonts w:ascii="Times New Roman" w:hAnsi="Times New Roman" w:cs="Times New Roman"/>
              <w:sz w:val="32"/>
            </w:rPr>
            <w:t>恢复重建</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_Toc6851 \h </w:instrText>
          </w:r>
          <w:r>
            <w:rPr>
              <w:rFonts w:ascii="Times New Roman" w:hAnsi="Times New Roman" w:cs="Times New Roman"/>
              <w:sz w:val="32"/>
            </w:rPr>
            <w:fldChar w:fldCharType="separate"/>
          </w:r>
          <w:r>
            <w:rPr>
              <w:rFonts w:ascii="Times New Roman" w:hAnsi="Times New Roman" w:cs="Times New Roman"/>
              <w:sz w:val="32"/>
            </w:rPr>
            <w:t>30</w:t>
          </w:r>
          <w:r>
            <w:rPr>
              <w:rFonts w:ascii="Times New Roman" w:hAnsi="Times New Roman" w:cs="Times New Roman"/>
              <w:sz w:val="32"/>
            </w:rPr>
            <w:fldChar w:fldCharType="end"/>
          </w:r>
          <w:r>
            <w:rPr>
              <w:rFonts w:ascii="Times New Roman" w:hAnsi="Times New Roman" w:cs="Times New Roman"/>
              <w:sz w:val="32"/>
            </w:rPr>
            <w:fldChar w:fldCharType="end"/>
          </w:r>
        </w:p>
        <w:p w14:paraId="1B899957">
          <w:pPr>
            <w:pStyle w:val="19"/>
            <w:tabs>
              <w:tab w:val="right" w:leader="dot" w:pos="8845"/>
            </w:tabs>
            <w:ind w:firstLine="552"/>
            <w:rPr>
              <w:rFonts w:ascii="Times New Roman" w:hAnsi="Times New Roman" w:cs="Times New Roman"/>
              <w:sz w:val="32"/>
            </w:rPr>
          </w:pPr>
          <w:r>
            <w:fldChar w:fldCharType="begin"/>
          </w:r>
          <w:r>
            <w:instrText xml:space="preserve"> HYPERLINK \l "_Toc26605" </w:instrText>
          </w:r>
          <w:r>
            <w:fldChar w:fldCharType="separate"/>
          </w:r>
          <w:r>
            <w:rPr>
              <w:rFonts w:ascii="Times New Roman" w:hAnsi="Times New Roman" w:eastAsia="仿宋" w:cs="Times New Roman"/>
              <w:bCs/>
              <w:sz w:val="32"/>
            </w:rPr>
            <w:t xml:space="preserve">7.3 </w:t>
          </w:r>
          <w:r>
            <w:rPr>
              <w:rFonts w:ascii="Times New Roman" w:hAnsi="Times New Roman" w:cs="Times New Roman"/>
              <w:sz w:val="32"/>
            </w:rPr>
            <w:t>调查与评估</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_Toc26605 \h </w:instrText>
          </w:r>
          <w:r>
            <w:rPr>
              <w:rFonts w:ascii="Times New Roman" w:hAnsi="Times New Roman" w:cs="Times New Roman"/>
              <w:sz w:val="32"/>
            </w:rPr>
            <w:fldChar w:fldCharType="separate"/>
          </w:r>
          <w:r>
            <w:rPr>
              <w:rFonts w:ascii="Times New Roman" w:hAnsi="Times New Roman" w:cs="Times New Roman"/>
              <w:sz w:val="32"/>
            </w:rPr>
            <w:t>31</w:t>
          </w:r>
          <w:r>
            <w:rPr>
              <w:rFonts w:ascii="Times New Roman" w:hAnsi="Times New Roman" w:cs="Times New Roman"/>
              <w:sz w:val="32"/>
            </w:rPr>
            <w:fldChar w:fldCharType="end"/>
          </w:r>
          <w:r>
            <w:rPr>
              <w:rFonts w:ascii="Times New Roman" w:hAnsi="Times New Roman" w:cs="Times New Roman"/>
              <w:sz w:val="32"/>
            </w:rPr>
            <w:fldChar w:fldCharType="end"/>
          </w:r>
        </w:p>
        <w:p w14:paraId="6B27697F">
          <w:pPr>
            <w:pStyle w:val="18"/>
            <w:rPr>
              <w:rFonts w:ascii="Times New Roman" w:hAnsi="Times New Roman" w:cs="Times New Roman"/>
              <w:sz w:val="32"/>
            </w:rPr>
          </w:pPr>
          <w:r>
            <w:fldChar w:fldCharType="begin"/>
          </w:r>
          <w:r>
            <w:instrText xml:space="preserve"> HYPERLINK \l "_Toc3680" </w:instrText>
          </w:r>
          <w:r>
            <w:fldChar w:fldCharType="separate"/>
          </w:r>
          <w:r>
            <w:rPr>
              <w:rFonts w:ascii="Times New Roman" w:hAnsi="Times New Roman" w:eastAsia="仿宋" w:cs="Times New Roman"/>
              <w:sz w:val="32"/>
            </w:rPr>
            <w:t xml:space="preserve">8 </w:t>
          </w:r>
          <w:r>
            <w:rPr>
              <w:rFonts w:ascii="Times New Roman" w:hAnsi="Times New Roman" w:cs="Times New Roman"/>
              <w:sz w:val="32"/>
            </w:rPr>
            <w:t>保障措施</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_Toc3680 \h </w:instrText>
          </w:r>
          <w:r>
            <w:rPr>
              <w:rFonts w:ascii="Times New Roman" w:hAnsi="Times New Roman" w:cs="Times New Roman"/>
              <w:sz w:val="32"/>
            </w:rPr>
            <w:fldChar w:fldCharType="separate"/>
          </w:r>
          <w:r>
            <w:rPr>
              <w:rFonts w:ascii="Times New Roman" w:hAnsi="Times New Roman" w:cs="Times New Roman"/>
              <w:sz w:val="32"/>
            </w:rPr>
            <w:t>31</w:t>
          </w:r>
          <w:r>
            <w:rPr>
              <w:rFonts w:ascii="Times New Roman" w:hAnsi="Times New Roman" w:cs="Times New Roman"/>
              <w:sz w:val="32"/>
            </w:rPr>
            <w:fldChar w:fldCharType="end"/>
          </w:r>
          <w:r>
            <w:rPr>
              <w:rFonts w:ascii="Times New Roman" w:hAnsi="Times New Roman" w:cs="Times New Roman"/>
              <w:sz w:val="32"/>
            </w:rPr>
            <w:fldChar w:fldCharType="end"/>
          </w:r>
        </w:p>
        <w:p w14:paraId="370CFEFB">
          <w:pPr>
            <w:pStyle w:val="19"/>
            <w:tabs>
              <w:tab w:val="right" w:leader="dot" w:pos="8845"/>
            </w:tabs>
            <w:ind w:firstLine="552"/>
            <w:rPr>
              <w:rFonts w:ascii="Times New Roman" w:hAnsi="Times New Roman" w:cs="Times New Roman"/>
              <w:sz w:val="32"/>
            </w:rPr>
          </w:pPr>
          <w:r>
            <w:fldChar w:fldCharType="begin"/>
          </w:r>
          <w:r>
            <w:instrText xml:space="preserve"> HYPERLINK \l "_Toc7266" </w:instrText>
          </w:r>
          <w:r>
            <w:fldChar w:fldCharType="separate"/>
          </w:r>
          <w:r>
            <w:rPr>
              <w:rFonts w:ascii="Times New Roman" w:hAnsi="Times New Roman" w:eastAsia="仿宋" w:cs="Times New Roman"/>
              <w:bCs/>
              <w:sz w:val="32"/>
            </w:rPr>
            <w:t xml:space="preserve">8.1 </w:t>
          </w:r>
          <w:r>
            <w:rPr>
              <w:rFonts w:ascii="Times New Roman" w:hAnsi="Times New Roman" w:cs="Times New Roman"/>
              <w:sz w:val="32"/>
            </w:rPr>
            <w:t>宣传教育保障</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_Toc7266 \h </w:instrText>
          </w:r>
          <w:r>
            <w:rPr>
              <w:rFonts w:ascii="Times New Roman" w:hAnsi="Times New Roman" w:cs="Times New Roman"/>
              <w:sz w:val="32"/>
            </w:rPr>
            <w:fldChar w:fldCharType="separate"/>
          </w:r>
          <w:r>
            <w:rPr>
              <w:rFonts w:ascii="Times New Roman" w:hAnsi="Times New Roman" w:cs="Times New Roman"/>
              <w:sz w:val="32"/>
            </w:rPr>
            <w:t>31</w:t>
          </w:r>
          <w:r>
            <w:rPr>
              <w:rFonts w:ascii="Times New Roman" w:hAnsi="Times New Roman" w:cs="Times New Roman"/>
              <w:sz w:val="32"/>
            </w:rPr>
            <w:fldChar w:fldCharType="end"/>
          </w:r>
          <w:r>
            <w:rPr>
              <w:rFonts w:ascii="Times New Roman" w:hAnsi="Times New Roman" w:cs="Times New Roman"/>
              <w:sz w:val="32"/>
            </w:rPr>
            <w:fldChar w:fldCharType="end"/>
          </w:r>
        </w:p>
        <w:p w14:paraId="1CC18A1C">
          <w:pPr>
            <w:pStyle w:val="19"/>
            <w:tabs>
              <w:tab w:val="right" w:leader="dot" w:pos="8845"/>
            </w:tabs>
            <w:ind w:firstLine="552"/>
            <w:rPr>
              <w:rFonts w:ascii="Times New Roman" w:hAnsi="Times New Roman" w:cs="Times New Roman"/>
              <w:sz w:val="32"/>
            </w:rPr>
          </w:pPr>
          <w:r>
            <w:fldChar w:fldCharType="begin"/>
          </w:r>
          <w:r>
            <w:instrText xml:space="preserve"> HYPERLINK \l "_Toc11446" </w:instrText>
          </w:r>
          <w:r>
            <w:fldChar w:fldCharType="separate"/>
          </w:r>
          <w:r>
            <w:rPr>
              <w:rFonts w:ascii="Times New Roman" w:hAnsi="Times New Roman" w:eastAsia="仿宋" w:cs="Times New Roman"/>
              <w:bCs/>
              <w:sz w:val="32"/>
            </w:rPr>
            <w:t xml:space="preserve">8.2 </w:t>
          </w:r>
          <w:r>
            <w:rPr>
              <w:rFonts w:ascii="Times New Roman" w:hAnsi="Times New Roman" w:cs="Times New Roman"/>
              <w:sz w:val="32"/>
            </w:rPr>
            <w:t>应急演练保障</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_Toc11446 \h </w:instrText>
          </w:r>
          <w:r>
            <w:rPr>
              <w:rFonts w:ascii="Times New Roman" w:hAnsi="Times New Roman" w:cs="Times New Roman"/>
              <w:sz w:val="32"/>
            </w:rPr>
            <w:fldChar w:fldCharType="separate"/>
          </w:r>
          <w:r>
            <w:rPr>
              <w:rFonts w:ascii="Times New Roman" w:hAnsi="Times New Roman" w:cs="Times New Roman"/>
              <w:sz w:val="32"/>
            </w:rPr>
            <w:t>31</w:t>
          </w:r>
          <w:r>
            <w:rPr>
              <w:rFonts w:ascii="Times New Roman" w:hAnsi="Times New Roman" w:cs="Times New Roman"/>
              <w:sz w:val="32"/>
            </w:rPr>
            <w:fldChar w:fldCharType="end"/>
          </w:r>
          <w:r>
            <w:rPr>
              <w:rFonts w:ascii="Times New Roman" w:hAnsi="Times New Roman" w:cs="Times New Roman"/>
              <w:sz w:val="32"/>
            </w:rPr>
            <w:fldChar w:fldCharType="end"/>
          </w:r>
        </w:p>
        <w:p w14:paraId="5C56ED5E">
          <w:pPr>
            <w:pStyle w:val="19"/>
            <w:tabs>
              <w:tab w:val="right" w:leader="dot" w:pos="8845"/>
            </w:tabs>
            <w:ind w:firstLine="552"/>
            <w:rPr>
              <w:rFonts w:ascii="Times New Roman" w:hAnsi="Times New Roman" w:cs="Times New Roman"/>
              <w:sz w:val="32"/>
            </w:rPr>
          </w:pPr>
          <w:r>
            <w:fldChar w:fldCharType="begin"/>
          </w:r>
          <w:r>
            <w:instrText xml:space="preserve"> HYPERLINK \l "_Toc20832" </w:instrText>
          </w:r>
          <w:r>
            <w:fldChar w:fldCharType="separate"/>
          </w:r>
          <w:r>
            <w:rPr>
              <w:rFonts w:ascii="Times New Roman" w:hAnsi="Times New Roman" w:eastAsia="仿宋" w:cs="Times New Roman"/>
              <w:bCs/>
              <w:sz w:val="32"/>
            </w:rPr>
            <w:t xml:space="preserve">8.3 </w:t>
          </w:r>
          <w:r>
            <w:rPr>
              <w:rFonts w:ascii="Times New Roman" w:hAnsi="Times New Roman" w:cs="Times New Roman"/>
              <w:sz w:val="32"/>
            </w:rPr>
            <w:t>队伍建设保障</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_Toc20832 \h </w:instrText>
          </w:r>
          <w:r>
            <w:rPr>
              <w:rFonts w:ascii="Times New Roman" w:hAnsi="Times New Roman" w:cs="Times New Roman"/>
              <w:sz w:val="32"/>
            </w:rPr>
            <w:fldChar w:fldCharType="separate"/>
          </w:r>
          <w:r>
            <w:rPr>
              <w:rFonts w:ascii="Times New Roman" w:hAnsi="Times New Roman" w:cs="Times New Roman"/>
              <w:sz w:val="32"/>
            </w:rPr>
            <w:t>32</w:t>
          </w:r>
          <w:r>
            <w:rPr>
              <w:rFonts w:ascii="Times New Roman" w:hAnsi="Times New Roman" w:cs="Times New Roman"/>
              <w:sz w:val="32"/>
            </w:rPr>
            <w:fldChar w:fldCharType="end"/>
          </w:r>
          <w:r>
            <w:rPr>
              <w:rFonts w:ascii="Times New Roman" w:hAnsi="Times New Roman" w:cs="Times New Roman"/>
              <w:sz w:val="32"/>
            </w:rPr>
            <w:fldChar w:fldCharType="end"/>
          </w:r>
        </w:p>
        <w:p w14:paraId="447B8372">
          <w:pPr>
            <w:pStyle w:val="19"/>
            <w:tabs>
              <w:tab w:val="right" w:leader="dot" w:pos="8845"/>
            </w:tabs>
            <w:ind w:firstLine="552"/>
            <w:rPr>
              <w:rFonts w:ascii="Times New Roman" w:hAnsi="Times New Roman" w:cs="Times New Roman"/>
              <w:sz w:val="32"/>
            </w:rPr>
          </w:pPr>
          <w:r>
            <w:fldChar w:fldCharType="begin"/>
          </w:r>
          <w:r>
            <w:instrText xml:space="preserve"> HYPERLINK \l "_Toc5222" </w:instrText>
          </w:r>
          <w:r>
            <w:fldChar w:fldCharType="separate"/>
          </w:r>
          <w:r>
            <w:rPr>
              <w:rFonts w:ascii="Times New Roman" w:hAnsi="Times New Roman" w:eastAsia="仿宋" w:cs="Times New Roman"/>
              <w:bCs/>
              <w:sz w:val="32"/>
            </w:rPr>
            <w:t xml:space="preserve">8.4 </w:t>
          </w:r>
          <w:r>
            <w:rPr>
              <w:rFonts w:ascii="Times New Roman" w:hAnsi="Times New Roman" w:cs="Times New Roman"/>
              <w:sz w:val="32"/>
            </w:rPr>
            <w:t>应急财力保障</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_Toc5222 \h </w:instrText>
          </w:r>
          <w:r>
            <w:rPr>
              <w:rFonts w:ascii="Times New Roman" w:hAnsi="Times New Roman" w:cs="Times New Roman"/>
              <w:sz w:val="32"/>
            </w:rPr>
            <w:fldChar w:fldCharType="separate"/>
          </w:r>
          <w:r>
            <w:rPr>
              <w:rFonts w:ascii="Times New Roman" w:hAnsi="Times New Roman" w:cs="Times New Roman"/>
              <w:sz w:val="32"/>
            </w:rPr>
            <w:t>32</w:t>
          </w:r>
          <w:r>
            <w:rPr>
              <w:rFonts w:ascii="Times New Roman" w:hAnsi="Times New Roman" w:cs="Times New Roman"/>
              <w:sz w:val="32"/>
            </w:rPr>
            <w:fldChar w:fldCharType="end"/>
          </w:r>
          <w:r>
            <w:rPr>
              <w:rFonts w:ascii="Times New Roman" w:hAnsi="Times New Roman" w:cs="Times New Roman"/>
              <w:sz w:val="32"/>
            </w:rPr>
            <w:fldChar w:fldCharType="end"/>
          </w:r>
        </w:p>
        <w:p w14:paraId="0481EAF3">
          <w:pPr>
            <w:pStyle w:val="19"/>
            <w:tabs>
              <w:tab w:val="right" w:leader="dot" w:pos="8845"/>
            </w:tabs>
            <w:ind w:firstLine="552"/>
            <w:rPr>
              <w:rFonts w:ascii="Times New Roman" w:hAnsi="Times New Roman" w:cs="Times New Roman"/>
              <w:sz w:val="32"/>
            </w:rPr>
          </w:pPr>
          <w:r>
            <w:fldChar w:fldCharType="begin"/>
          </w:r>
          <w:r>
            <w:instrText xml:space="preserve"> HYPERLINK \l "_Toc25204" </w:instrText>
          </w:r>
          <w:r>
            <w:fldChar w:fldCharType="separate"/>
          </w:r>
          <w:r>
            <w:rPr>
              <w:rFonts w:ascii="Times New Roman" w:hAnsi="Times New Roman" w:eastAsia="仿宋" w:cs="Times New Roman"/>
              <w:bCs/>
              <w:sz w:val="32"/>
            </w:rPr>
            <w:t xml:space="preserve">8.5 </w:t>
          </w:r>
          <w:r>
            <w:rPr>
              <w:rFonts w:ascii="Times New Roman" w:hAnsi="Times New Roman" w:cs="Times New Roman"/>
              <w:sz w:val="32"/>
            </w:rPr>
            <w:t>物资装备保障</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_Toc25204 \h </w:instrText>
          </w:r>
          <w:r>
            <w:rPr>
              <w:rFonts w:ascii="Times New Roman" w:hAnsi="Times New Roman" w:cs="Times New Roman"/>
              <w:sz w:val="32"/>
            </w:rPr>
            <w:fldChar w:fldCharType="separate"/>
          </w:r>
          <w:r>
            <w:rPr>
              <w:rFonts w:ascii="Times New Roman" w:hAnsi="Times New Roman" w:cs="Times New Roman"/>
              <w:sz w:val="32"/>
            </w:rPr>
            <w:t>33</w:t>
          </w:r>
          <w:r>
            <w:rPr>
              <w:rFonts w:ascii="Times New Roman" w:hAnsi="Times New Roman" w:cs="Times New Roman"/>
              <w:sz w:val="32"/>
            </w:rPr>
            <w:fldChar w:fldCharType="end"/>
          </w:r>
          <w:r>
            <w:rPr>
              <w:rFonts w:ascii="Times New Roman" w:hAnsi="Times New Roman" w:cs="Times New Roman"/>
              <w:sz w:val="32"/>
            </w:rPr>
            <w:fldChar w:fldCharType="end"/>
          </w:r>
        </w:p>
        <w:p w14:paraId="02243525">
          <w:pPr>
            <w:pStyle w:val="19"/>
            <w:tabs>
              <w:tab w:val="right" w:leader="dot" w:pos="8845"/>
            </w:tabs>
            <w:ind w:firstLine="552"/>
            <w:rPr>
              <w:rFonts w:ascii="Times New Roman" w:hAnsi="Times New Roman" w:cs="Times New Roman"/>
              <w:sz w:val="32"/>
            </w:rPr>
          </w:pPr>
          <w:r>
            <w:fldChar w:fldCharType="begin"/>
          </w:r>
          <w:r>
            <w:instrText xml:space="preserve"> HYPERLINK \l "_Toc29783" </w:instrText>
          </w:r>
          <w:r>
            <w:fldChar w:fldCharType="separate"/>
          </w:r>
          <w:r>
            <w:rPr>
              <w:rFonts w:ascii="Times New Roman" w:hAnsi="Times New Roman" w:eastAsia="仿宋" w:cs="Times New Roman"/>
              <w:bCs/>
              <w:sz w:val="32"/>
            </w:rPr>
            <w:t xml:space="preserve">8.6 </w:t>
          </w:r>
          <w:r>
            <w:rPr>
              <w:rFonts w:ascii="Times New Roman" w:hAnsi="Times New Roman" w:cs="Times New Roman"/>
              <w:sz w:val="32"/>
            </w:rPr>
            <w:t>公共设施保障</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_Toc29783 \h </w:instrText>
          </w:r>
          <w:r>
            <w:rPr>
              <w:rFonts w:ascii="Times New Roman" w:hAnsi="Times New Roman" w:cs="Times New Roman"/>
              <w:sz w:val="32"/>
            </w:rPr>
            <w:fldChar w:fldCharType="separate"/>
          </w:r>
          <w:r>
            <w:rPr>
              <w:rFonts w:ascii="Times New Roman" w:hAnsi="Times New Roman" w:cs="Times New Roman"/>
              <w:sz w:val="32"/>
            </w:rPr>
            <w:t>33</w:t>
          </w:r>
          <w:r>
            <w:rPr>
              <w:rFonts w:ascii="Times New Roman" w:hAnsi="Times New Roman" w:cs="Times New Roman"/>
              <w:sz w:val="32"/>
            </w:rPr>
            <w:fldChar w:fldCharType="end"/>
          </w:r>
          <w:r>
            <w:rPr>
              <w:rFonts w:ascii="Times New Roman" w:hAnsi="Times New Roman" w:cs="Times New Roman"/>
              <w:sz w:val="32"/>
            </w:rPr>
            <w:fldChar w:fldCharType="end"/>
          </w:r>
        </w:p>
        <w:p w14:paraId="341348B0">
          <w:pPr>
            <w:pStyle w:val="19"/>
            <w:tabs>
              <w:tab w:val="right" w:leader="dot" w:pos="8845"/>
            </w:tabs>
            <w:ind w:firstLine="552"/>
            <w:rPr>
              <w:rFonts w:ascii="Times New Roman" w:hAnsi="Times New Roman" w:cs="Times New Roman"/>
              <w:sz w:val="32"/>
            </w:rPr>
          </w:pPr>
          <w:r>
            <w:fldChar w:fldCharType="begin"/>
          </w:r>
          <w:r>
            <w:instrText xml:space="preserve"> HYPERLINK \l "_Toc17980" </w:instrText>
          </w:r>
          <w:r>
            <w:fldChar w:fldCharType="separate"/>
          </w:r>
          <w:r>
            <w:rPr>
              <w:rFonts w:ascii="Times New Roman" w:hAnsi="Times New Roman" w:eastAsia="仿宋" w:cs="Times New Roman"/>
              <w:bCs/>
              <w:sz w:val="32"/>
            </w:rPr>
            <w:t xml:space="preserve">8.7 </w:t>
          </w:r>
          <w:r>
            <w:rPr>
              <w:rFonts w:ascii="Times New Roman" w:hAnsi="Times New Roman" w:cs="Times New Roman"/>
              <w:sz w:val="32"/>
            </w:rPr>
            <w:t>科技应用保障</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_Toc17980 \h </w:instrText>
          </w:r>
          <w:r>
            <w:rPr>
              <w:rFonts w:ascii="Times New Roman" w:hAnsi="Times New Roman" w:cs="Times New Roman"/>
              <w:sz w:val="32"/>
            </w:rPr>
            <w:fldChar w:fldCharType="separate"/>
          </w:r>
          <w:r>
            <w:rPr>
              <w:rFonts w:ascii="Times New Roman" w:hAnsi="Times New Roman" w:cs="Times New Roman"/>
              <w:sz w:val="32"/>
            </w:rPr>
            <w:t>33</w:t>
          </w:r>
          <w:r>
            <w:rPr>
              <w:rFonts w:ascii="Times New Roman" w:hAnsi="Times New Roman" w:cs="Times New Roman"/>
              <w:sz w:val="32"/>
            </w:rPr>
            <w:fldChar w:fldCharType="end"/>
          </w:r>
          <w:r>
            <w:rPr>
              <w:rFonts w:ascii="Times New Roman" w:hAnsi="Times New Roman" w:cs="Times New Roman"/>
              <w:sz w:val="32"/>
            </w:rPr>
            <w:fldChar w:fldCharType="end"/>
          </w:r>
        </w:p>
        <w:p w14:paraId="1EC67E92">
          <w:pPr>
            <w:pStyle w:val="18"/>
            <w:rPr>
              <w:rFonts w:ascii="Times New Roman" w:hAnsi="Times New Roman" w:cs="Times New Roman"/>
              <w:sz w:val="32"/>
            </w:rPr>
          </w:pPr>
          <w:r>
            <w:fldChar w:fldCharType="begin"/>
          </w:r>
          <w:r>
            <w:instrText xml:space="preserve"> HYPERLINK \l "_Toc1746" </w:instrText>
          </w:r>
          <w:r>
            <w:fldChar w:fldCharType="separate"/>
          </w:r>
          <w:r>
            <w:rPr>
              <w:rFonts w:ascii="Times New Roman" w:hAnsi="Times New Roman" w:eastAsia="仿宋" w:cs="Times New Roman"/>
              <w:sz w:val="32"/>
            </w:rPr>
            <w:t xml:space="preserve">9 </w:t>
          </w:r>
          <w:r>
            <w:rPr>
              <w:rFonts w:ascii="Times New Roman" w:hAnsi="Times New Roman" w:cs="Times New Roman"/>
              <w:sz w:val="32"/>
            </w:rPr>
            <w:t>监督管理</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_Toc1746 \h </w:instrText>
          </w:r>
          <w:r>
            <w:rPr>
              <w:rFonts w:ascii="Times New Roman" w:hAnsi="Times New Roman" w:cs="Times New Roman"/>
              <w:sz w:val="32"/>
            </w:rPr>
            <w:fldChar w:fldCharType="separate"/>
          </w:r>
          <w:r>
            <w:rPr>
              <w:rFonts w:ascii="Times New Roman" w:hAnsi="Times New Roman" w:cs="Times New Roman"/>
              <w:sz w:val="32"/>
            </w:rPr>
            <w:t>34</w:t>
          </w:r>
          <w:r>
            <w:rPr>
              <w:rFonts w:ascii="Times New Roman" w:hAnsi="Times New Roman" w:cs="Times New Roman"/>
              <w:sz w:val="32"/>
            </w:rPr>
            <w:fldChar w:fldCharType="end"/>
          </w:r>
          <w:r>
            <w:rPr>
              <w:rFonts w:ascii="Times New Roman" w:hAnsi="Times New Roman" w:cs="Times New Roman"/>
              <w:sz w:val="32"/>
            </w:rPr>
            <w:fldChar w:fldCharType="end"/>
          </w:r>
        </w:p>
        <w:p w14:paraId="4626A1D3">
          <w:pPr>
            <w:pStyle w:val="19"/>
            <w:tabs>
              <w:tab w:val="right" w:leader="dot" w:pos="8845"/>
            </w:tabs>
            <w:ind w:firstLine="552"/>
            <w:rPr>
              <w:rFonts w:ascii="Times New Roman" w:hAnsi="Times New Roman" w:cs="Times New Roman"/>
              <w:sz w:val="32"/>
            </w:rPr>
          </w:pPr>
          <w:r>
            <w:fldChar w:fldCharType="begin"/>
          </w:r>
          <w:r>
            <w:instrText xml:space="preserve"> HYPERLINK \l "_Toc31602" </w:instrText>
          </w:r>
          <w:r>
            <w:fldChar w:fldCharType="separate"/>
          </w:r>
          <w:r>
            <w:rPr>
              <w:rFonts w:ascii="Times New Roman" w:hAnsi="Times New Roman" w:eastAsia="仿宋" w:cs="Times New Roman"/>
              <w:bCs/>
              <w:sz w:val="32"/>
            </w:rPr>
            <w:t xml:space="preserve">9.1 </w:t>
          </w:r>
          <w:r>
            <w:rPr>
              <w:rFonts w:ascii="Times New Roman" w:hAnsi="Times New Roman" w:cs="Times New Roman"/>
              <w:sz w:val="32"/>
            </w:rPr>
            <w:t>预案演练</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_Toc31602 \h </w:instrText>
          </w:r>
          <w:r>
            <w:rPr>
              <w:rFonts w:ascii="Times New Roman" w:hAnsi="Times New Roman" w:cs="Times New Roman"/>
              <w:sz w:val="32"/>
            </w:rPr>
            <w:fldChar w:fldCharType="separate"/>
          </w:r>
          <w:r>
            <w:rPr>
              <w:rFonts w:ascii="Times New Roman" w:hAnsi="Times New Roman" w:cs="Times New Roman"/>
              <w:sz w:val="32"/>
            </w:rPr>
            <w:t>34</w:t>
          </w:r>
          <w:r>
            <w:rPr>
              <w:rFonts w:ascii="Times New Roman" w:hAnsi="Times New Roman" w:cs="Times New Roman"/>
              <w:sz w:val="32"/>
            </w:rPr>
            <w:fldChar w:fldCharType="end"/>
          </w:r>
          <w:r>
            <w:rPr>
              <w:rFonts w:ascii="Times New Roman" w:hAnsi="Times New Roman" w:cs="Times New Roman"/>
              <w:sz w:val="32"/>
            </w:rPr>
            <w:fldChar w:fldCharType="end"/>
          </w:r>
        </w:p>
        <w:p w14:paraId="3847D982">
          <w:pPr>
            <w:pStyle w:val="19"/>
            <w:tabs>
              <w:tab w:val="right" w:leader="dot" w:pos="8845"/>
            </w:tabs>
            <w:ind w:firstLine="552"/>
            <w:rPr>
              <w:rFonts w:ascii="Times New Roman" w:hAnsi="Times New Roman" w:cs="Times New Roman"/>
              <w:sz w:val="32"/>
            </w:rPr>
          </w:pPr>
          <w:r>
            <w:fldChar w:fldCharType="begin"/>
          </w:r>
          <w:r>
            <w:instrText xml:space="preserve"> HYPERLINK \l "_Toc11995" </w:instrText>
          </w:r>
          <w:r>
            <w:fldChar w:fldCharType="separate"/>
          </w:r>
          <w:r>
            <w:rPr>
              <w:rFonts w:ascii="Times New Roman" w:hAnsi="Times New Roman" w:eastAsia="仿宋" w:cs="Times New Roman"/>
              <w:bCs/>
              <w:sz w:val="32"/>
            </w:rPr>
            <w:t xml:space="preserve">9.2 </w:t>
          </w:r>
          <w:r>
            <w:rPr>
              <w:rFonts w:ascii="Times New Roman" w:hAnsi="Times New Roman" w:cs="Times New Roman"/>
              <w:sz w:val="32"/>
            </w:rPr>
            <w:t>责任与奖惩</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_Toc11995 \h </w:instrText>
          </w:r>
          <w:r>
            <w:rPr>
              <w:rFonts w:ascii="Times New Roman" w:hAnsi="Times New Roman" w:cs="Times New Roman"/>
              <w:sz w:val="32"/>
            </w:rPr>
            <w:fldChar w:fldCharType="separate"/>
          </w:r>
          <w:r>
            <w:rPr>
              <w:rFonts w:ascii="Times New Roman" w:hAnsi="Times New Roman" w:cs="Times New Roman"/>
              <w:sz w:val="32"/>
            </w:rPr>
            <w:t>34</w:t>
          </w:r>
          <w:r>
            <w:rPr>
              <w:rFonts w:ascii="Times New Roman" w:hAnsi="Times New Roman" w:cs="Times New Roman"/>
              <w:sz w:val="32"/>
            </w:rPr>
            <w:fldChar w:fldCharType="end"/>
          </w:r>
          <w:r>
            <w:rPr>
              <w:rFonts w:ascii="Times New Roman" w:hAnsi="Times New Roman" w:cs="Times New Roman"/>
              <w:sz w:val="32"/>
            </w:rPr>
            <w:fldChar w:fldCharType="end"/>
          </w:r>
        </w:p>
        <w:p w14:paraId="4B353880">
          <w:pPr>
            <w:pStyle w:val="19"/>
            <w:tabs>
              <w:tab w:val="right" w:leader="dot" w:pos="8845"/>
            </w:tabs>
            <w:ind w:firstLine="552"/>
            <w:rPr>
              <w:rFonts w:ascii="Times New Roman" w:hAnsi="Times New Roman" w:cs="Times New Roman"/>
              <w:sz w:val="32"/>
            </w:rPr>
          </w:pPr>
          <w:r>
            <w:fldChar w:fldCharType="begin"/>
          </w:r>
          <w:r>
            <w:instrText xml:space="preserve"> HYPERLINK \l "_Toc885" </w:instrText>
          </w:r>
          <w:r>
            <w:fldChar w:fldCharType="separate"/>
          </w:r>
          <w:r>
            <w:rPr>
              <w:rFonts w:ascii="Times New Roman" w:hAnsi="Times New Roman" w:eastAsia="仿宋" w:cs="Times New Roman"/>
              <w:bCs/>
              <w:sz w:val="32"/>
            </w:rPr>
            <w:t xml:space="preserve">9.3 </w:t>
          </w:r>
          <w:r>
            <w:rPr>
              <w:rFonts w:ascii="Times New Roman" w:hAnsi="Times New Roman" w:cs="Times New Roman"/>
              <w:sz w:val="32"/>
            </w:rPr>
            <w:t>预案修订</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_Toc885 \h </w:instrText>
          </w:r>
          <w:r>
            <w:rPr>
              <w:rFonts w:ascii="Times New Roman" w:hAnsi="Times New Roman" w:cs="Times New Roman"/>
              <w:sz w:val="32"/>
            </w:rPr>
            <w:fldChar w:fldCharType="separate"/>
          </w:r>
          <w:r>
            <w:rPr>
              <w:rFonts w:ascii="Times New Roman" w:hAnsi="Times New Roman" w:cs="Times New Roman"/>
              <w:sz w:val="32"/>
            </w:rPr>
            <w:t>34</w:t>
          </w:r>
          <w:r>
            <w:rPr>
              <w:rFonts w:ascii="Times New Roman" w:hAnsi="Times New Roman" w:cs="Times New Roman"/>
              <w:sz w:val="32"/>
            </w:rPr>
            <w:fldChar w:fldCharType="end"/>
          </w:r>
          <w:r>
            <w:rPr>
              <w:rFonts w:ascii="Times New Roman" w:hAnsi="Times New Roman" w:cs="Times New Roman"/>
              <w:sz w:val="32"/>
            </w:rPr>
            <w:fldChar w:fldCharType="end"/>
          </w:r>
        </w:p>
        <w:p w14:paraId="1FBEBA7C">
          <w:pPr>
            <w:pStyle w:val="19"/>
            <w:tabs>
              <w:tab w:val="right" w:leader="dot" w:pos="8845"/>
            </w:tabs>
            <w:ind w:firstLine="552"/>
            <w:rPr>
              <w:rFonts w:ascii="Times New Roman" w:hAnsi="Times New Roman" w:cs="Times New Roman"/>
              <w:sz w:val="32"/>
            </w:rPr>
          </w:pPr>
          <w:r>
            <w:fldChar w:fldCharType="begin"/>
          </w:r>
          <w:r>
            <w:instrText xml:space="preserve"> HYPERLINK \l "_Toc4374" </w:instrText>
          </w:r>
          <w:r>
            <w:fldChar w:fldCharType="separate"/>
          </w:r>
          <w:r>
            <w:rPr>
              <w:rFonts w:ascii="Times New Roman" w:hAnsi="Times New Roman" w:eastAsia="仿宋" w:cs="Times New Roman"/>
              <w:bCs/>
              <w:sz w:val="32"/>
            </w:rPr>
            <w:t xml:space="preserve">9.4 </w:t>
          </w:r>
          <w:r>
            <w:rPr>
              <w:rFonts w:ascii="Times New Roman" w:hAnsi="Times New Roman" w:cs="Times New Roman"/>
              <w:sz w:val="32"/>
            </w:rPr>
            <w:t>预案实施</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_Toc4374 \h </w:instrText>
          </w:r>
          <w:r>
            <w:rPr>
              <w:rFonts w:ascii="Times New Roman" w:hAnsi="Times New Roman" w:cs="Times New Roman"/>
              <w:sz w:val="32"/>
            </w:rPr>
            <w:fldChar w:fldCharType="separate"/>
          </w:r>
          <w:r>
            <w:rPr>
              <w:rFonts w:ascii="Times New Roman" w:hAnsi="Times New Roman" w:cs="Times New Roman"/>
              <w:sz w:val="32"/>
            </w:rPr>
            <w:t>35</w:t>
          </w:r>
          <w:r>
            <w:rPr>
              <w:rFonts w:ascii="Times New Roman" w:hAnsi="Times New Roman" w:cs="Times New Roman"/>
              <w:sz w:val="32"/>
            </w:rPr>
            <w:fldChar w:fldCharType="end"/>
          </w:r>
          <w:r>
            <w:rPr>
              <w:rFonts w:ascii="Times New Roman" w:hAnsi="Times New Roman" w:cs="Times New Roman"/>
              <w:sz w:val="32"/>
            </w:rPr>
            <w:fldChar w:fldCharType="end"/>
          </w:r>
        </w:p>
        <w:p w14:paraId="59623759">
          <w:pPr>
            <w:pStyle w:val="18"/>
            <w:rPr>
              <w:rFonts w:ascii="Times New Roman" w:hAnsi="Times New Roman" w:cs="Times New Roman"/>
              <w:sz w:val="32"/>
            </w:rPr>
          </w:pPr>
          <w:r>
            <w:fldChar w:fldCharType="begin"/>
          </w:r>
          <w:r>
            <w:instrText xml:space="preserve"> HYPERLINK \l "_Toc32276" </w:instrText>
          </w:r>
          <w:r>
            <w:fldChar w:fldCharType="separate"/>
          </w:r>
          <w:r>
            <w:rPr>
              <w:rFonts w:ascii="Times New Roman" w:hAnsi="Times New Roman" w:cs="Times New Roman"/>
              <w:sz w:val="32"/>
            </w:rPr>
            <w:t>附件1：教育系统突发事件分级</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_Toc32276 \h </w:instrText>
          </w:r>
          <w:r>
            <w:rPr>
              <w:rFonts w:ascii="Times New Roman" w:hAnsi="Times New Roman" w:cs="Times New Roman"/>
              <w:sz w:val="32"/>
            </w:rPr>
            <w:fldChar w:fldCharType="separate"/>
          </w:r>
          <w:r>
            <w:rPr>
              <w:rFonts w:ascii="Times New Roman" w:hAnsi="Times New Roman" w:cs="Times New Roman"/>
              <w:sz w:val="32"/>
            </w:rPr>
            <w:t>36</w:t>
          </w:r>
          <w:r>
            <w:rPr>
              <w:rFonts w:ascii="Times New Roman" w:hAnsi="Times New Roman" w:cs="Times New Roman"/>
              <w:sz w:val="32"/>
            </w:rPr>
            <w:fldChar w:fldCharType="end"/>
          </w:r>
          <w:r>
            <w:rPr>
              <w:rFonts w:ascii="Times New Roman" w:hAnsi="Times New Roman" w:cs="Times New Roman"/>
              <w:sz w:val="32"/>
            </w:rPr>
            <w:fldChar w:fldCharType="end"/>
          </w:r>
        </w:p>
        <w:p w14:paraId="7AFA15CD">
          <w:pPr>
            <w:pStyle w:val="15"/>
            <w:ind w:left="0" w:leftChars="0" w:firstLine="0" w:firstLineChars="0"/>
            <w:rPr>
              <w:rFonts w:ascii="Times New Roman" w:hAnsi="Times New Roman" w:eastAsia="仿宋" w:cs="Times New Roman"/>
              <w:b/>
              <w:sz w:val="32"/>
            </w:rPr>
          </w:pPr>
          <w:r>
            <w:rPr>
              <w:rFonts w:ascii="Times New Roman" w:hAnsi="Times New Roman" w:cs="Times New Roman"/>
              <w:sz w:val="32"/>
            </w:rPr>
            <w:fldChar w:fldCharType="end"/>
          </w:r>
        </w:p>
      </w:sdtContent>
    </w:sdt>
    <w:p w14:paraId="490C9940">
      <w:pPr>
        <w:ind w:firstLine="0" w:firstLineChars="0"/>
        <w:rPr>
          <w:rFonts w:ascii="Times New Roman" w:hAnsi="Times New Roman" w:cs="Times New Roman"/>
        </w:rPr>
        <w:sectPr>
          <w:headerReference r:id="rId135" w:type="default"/>
          <w:footerReference r:id="rId136" w:type="default"/>
          <w:footerReference r:id="rId137" w:type="even"/>
          <w:pgSz w:w="11906" w:h="16838"/>
          <w:pgMar w:top="2098" w:right="1474" w:bottom="1984" w:left="1587" w:header="624" w:footer="1134" w:gutter="0"/>
          <w:pgNumType w:fmt="upperRoman" w:start="1"/>
          <w:cols w:space="0" w:num="1"/>
          <w:docGrid w:type="linesAndChars" w:linePitch="579" w:charSpace="-842"/>
        </w:sectPr>
      </w:pPr>
    </w:p>
    <w:p w14:paraId="32CDB3D4">
      <w:pPr>
        <w:pStyle w:val="2"/>
        <w:numPr>
          <w:ilvl w:val="0"/>
          <w:numId w:val="228"/>
        </w:numPr>
        <w:tabs>
          <w:tab w:val="left" w:pos="0"/>
        </w:tabs>
        <w:ind w:firstLine="0" w:firstLineChars="0"/>
        <w:rPr>
          <w:rFonts w:ascii="Times New Roman" w:hAnsi="Times New Roman" w:cs="Times New Roman"/>
          <w:sz w:val="32"/>
        </w:rPr>
      </w:pPr>
      <w:bookmarkStart w:id="1357" w:name="_Toc9124"/>
      <w:r>
        <w:rPr>
          <w:rFonts w:ascii="Times New Roman" w:hAnsi="Times New Roman" w:cs="Times New Roman"/>
          <w:sz w:val="32"/>
        </w:rPr>
        <w:t>总则</w:t>
      </w:r>
      <w:bookmarkEnd w:id="1357"/>
    </w:p>
    <w:p w14:paraId="38B9666A">
      <w:pPr>
        <w:pStyle w:val="3"/>
        <w:ind w:firstLine="0" w:firstLineChars="0"/>
        <w:rPr>
          <w:rFonts w:ascii="Times New Roman" w:hAnsi="Times New Roman" w:cs="Times New Roman"/>
          <w:sz w:val="32"/>
        </w:rPr>
      </w:pPr>
      <w:bookmarkStart w:id="1358" w:name="_Toc21006"/>
      <w:r>
        <w:rPr>
          <w:rFonts w:ascii="Times New Roman" w:hAnsi="Times New Roman" w:cs="Times New Roman"/>
          <w:sz w:val="32"/>
        </w:rPr>
        <w:t>编制目的</w:t>
      </w:r>
      <w:bookmarkEnd w:id="1358"/>
    </w:p>
    <w:p w14:paraId="3CD59E72">
      <w:pPr>
        <w:spacing w:line="560" w:lineRule="exact"/>
        <w:ind w:firstLine="632"/>
        <w:rPr>
          <w:rFonts w:ascii="Times New Roman" w:hAnsi="Times New Roman" w:cs="Times New Roman"/>
          <w:sz w:val="32"/>
        </w:rPr>
      </w:pPr>
      <w:r>
        <w:rPr>
          <w:rFonts w:ascii="Times New Roman" w:hAnsi="Times New Roman" w:cs="Times New Roman"/>
          <w:sz w:val="32"/>
        </w:rPr>
        <w:t>为建立和健全防范、指挥、处置集贤县行政区域范围内教育系统突发事件的工作机制，做到分工明确、责任到人、常备不懈；进一步提高我县教育系统应对校园安全稳定突发事件的能力，保障学校师生、员工生命和财产安全，维护学校正常的教育教学秩序，维护社会稳定，制定本预案。</w:t>
      </w:r>
    </w:p>
    <w:p w14:paraId="3D65739C">
      <w:pPr>
        <w:pStyle w:val="3"/>
        <w:ind w:firstLine="0" w:firstLineChars="0"/>
        <w:rPr>
          <w:rFonts w:ascii="Times New Roman" w:hAnsi="Times New Roman" w:cs="Times New Roman"/>
          <w:sz w:val="32"/>
        </w:rPr>
      </w:pPr>
      <w:bookmarkStart w:id="1359" w:name="_Toc26956"/>
      <w:r>
        <w:rPr>
          <w:rFonts w:ascii="Times New Roman" w:hAnsi="Times New Roman" w:cs="Times New Roman"/>
          <w:sz w:val="32"/>
        </w:rPr>
        <w:t>编制依据</w:t>
      </w:r>
      <w:bookmarkEnd w:id="1359"/>
    </w:p>
    <w:p w14:paraId="0B4F07E8">
      <w:pPr>
        <w:spacing w:line="560" w:lineRule="exact"/>
        <w:ind w:firstLine="632"/>
        <w:rPr>
          <w:rFonts w:ascii="Times New Roman" w:hAnsi="Times New Roman" w:cs="Times New Roman"/>
          <w:sz w:val="32"/>
        </w:rPr>
      </w:pPr>
      <w:r>
        <w:rPr>
          <w:rFonts w:ascii="Times New Roman" w:hAnsi="Times New Roman" w:cs="Times New Roman"/>
          <w:sz w:val="32"/>
        </w:rPr>
        <w:t>依据《中华人民共和国突发事件应对法》《中华人民共和国教育法》《国务院生产安全事故报告与调查处理条例》《中小学公共安全教育指导纲要》《国家突发公共事件总体应急预案》《教育部教育系统事故灾难类突发公共事件应急预案》《集贤县突发事件总体应急预案》等法律法规、规章和规范性文件，制定本预案。</w:t>
      </w:r>
    </w:p>
    <w:p w14:paraId="3F581FEA">
      <w:pPr>
        <w:pStyle w:val="3"/>
        <w:ind w:firstLine="0" w:firstLineChars="0"/>
        <w:rPr>
          <w:rFonts w:ascii="Times New Roman" w:hAnsi="Times New Roman" w:cs="Times New Roman"/>
          <w:sz w:val="32"/>
        </w:rPr>
      </w:pPr>
      <w:bookmarkStart w:id="1360" w:name="_Toc18639"/>
      <w:r>
        <w:rPr>
          <w:rFonts w:ascii="Times New Roman" w:hAnsi="Times New Roman" w:cs="Times New Roman"/>
          <w:sz w:val="32"/>
        </w:rPr>
        <w:t>适用范围</w:t>
      </w:r>
      <w:bookmarkEnd w:id="1360"/>
    </w:p>
    <w:p w14:paraId="39DB1A0B">
      <w:pPr>
        <w:spacing w:line="560" w:lineRule="exact"/>
        <w:ind w:firstLine="632"/>
        <w:rPr>
          <w:rFonts w:ascii="Times New Roman" w:hAnsi="Times New Roman" w:cs="Times New Roman"/>
          <w:sz w:val="32"/>
        </w:rPr>
      </w:pPr>
      <w:r>
        <w:rPr>
          <w:rFonts w:ascii="Times New Roman" w:hAnsi="Times New Roman" w:cs="Times New Roman"/>
          <w:sz w:val="32"/>
        </w:rPr>
        <w:t>本预案适用于全县各类学校发生的一般及以上级别突发公共事件的应急处置工作。</w:t>
      </w:r>
    </w:p>
    <w:p w14:paraId="6D2C4C08">
      <w:pPr>
        <w:spacing w:line="560" w:lineRule="exact"/>
        <w:ind w:firstLine="632"/>
        <w:rPr>
          <w:rFonts w:ascii="Times New Roman" w:hAnsi="Times New Roman" w:cs="Times New Roman"/>
          <w:sz w:val="32"/>
        </w:rPr>
      </w:pPr>
      <w:r>
        <w:rPr>
          <w:rFonts w:ascii="Times New Roman" w:hAnsi="Times New Roman" w:cs="Times New Roman"/>
          <w:sz w:val="32"/>
        </w:rPr>
        <w:t>本预案所指的突发事故类公共事件包括校园社会安全类事件、校园火灾爆炸类事故、交通事故、大型群体活动事故、突发后勤安全保障事故、校园及周边突发安全、治安、暴恐事件、外出实习、参观、考察等活动安全事故、学校食物中毒事故、校园突发传染病疫情、校园体育活动突发事故、教学实验、突发自然灾害事故、校园拥挤踩踏事故、涉校民族因素矛盾事件等14类可能发生的突发安全事故。</w:t>
      </w:r>
    </w:p>
    <w:p w14:paraId="52209ABF">
      <w:pPr>
        <w:pStyle w:val="3"/>
        <w:ind w:firstLine="0" w:firstLineChars="0"/>
        <w:rPr>
          <w:rFonts w:ascii="Times New Roman" w:hAnsi="Times New Roman" w:cs="Times New Roman"/>
          <w:sz w:val="32"/>
        </w:rPr>
      </w:pPr>
      <w:bookmarkStart w:id="1361" w:name="_Toc21630"/>
      <w:r>
        <w:rPr>
          <w:rFonts w:ascii="Times New Roman" w:hAnsi="Times New Roman" w:cs="Times New Roman"/>
          <w:sz w:val="32"/>
        </w:rPr>
        <w:t>工作原则</w:t>
      </w:r>
      <w:bookmarkEnd w:id="1361"/>
    </w:p>
    <w:p w14:paraId="60EB9BC6">
      <w:pPr>
        <w:spacing w:line="560" w:lineRule="exact"/>
        <w:ind w:firstLine="632"/>
        <w:rPr>
          <w:rFonts w:ascii="Times New Roman" w:hAnsi="Times New Roman" w:cs="Times New Roman"/>
          <w:sz w:val="32"/>
        </w:rPr>
      </w:pPr>
      <w:r>
        <w:rPr>
          <w:rFonts w:ascii="Times New Roman" w:hAnsi="Times New Roman" w:cs="Times New Roman"/>
          <w:sz w:val="32"/>
        </w:rPr>
        <w:t>（1）统一领导，快速反应：县教育和体育局和各级各类学校按照“一岗双责、党政同责、失职追责”的原则，全面负责应对管辖范围内教育系统突发事件的处置工作，形成预防和处置突发事件的快速反应机制。一旦发生重大事件，确保事件的发现、报告、指挥、处置等环节紧密衔接，做到快速反应，正确应对，果断处置，力争把问题解决在萌芽状态。</w:t>
      </w:r>
    </w:p>
    <w:p w14:paraId="3047867F">
      <w:pPr>
        <w:spacing w:line="560" w:lineRule="exact"/>
        <w:ind w:firstLine="632"/>
        <w:rPr>
          <w:rFonts w:ascii="Times New Roman" w:hAnsi="Times New Roman" w:cs="Times New Roman"/>
          <w:sz w:val="32"/>
        </w:rPr>
      </w:pPr>
      <w:r>
        <w:rPr>
          <w:rFonts w:ascii="Times New Roman" w:hAnsi="Times New Roman" w:cs="Times New Roman"/>
          <w:sz w:val="32"/>
        </w:rPr>
        <w:t>（2）预防为本，及时控制：立足于防范，强化信息的收集和分析，争取早发现，早报告，早控制，早解决。要把突发事件影响控制在一定范围内，避免造成社会秩序失控和混乱。</w:t>
      </w:r>
    </w:p>
    <w:p w14:paraId="7A69EFF8">
      <w:pPr>
        <w:spacing w:line="560" w:lineRule="exact"/>
        <w:ind w:firstLine="632"/>
        <w:rPr>
          <w:rFonts w:ascii="Times New Roman" w:hAnsi="Times New Roman" w:cs="Times New Roman"/>
          <w:sz w:val="32"/>
        </w:rPr>
      </w:pPr>
      <w:r>
        <w:rPr>
          <w:rFonts w:ascii="Times New Roman" w:hAnsi="Times New Roman" w:cs="Times New Roman"/>
          <w:sz w:val="32"/>
        </w:rPr>
        <w:t>（3）统一领导，系统联动：县教育和体育局要在县委、县政府的统一领导下开展工作，各级各类学校党政负责人是应急处置的“第一责任人”。事故发生后，各相关部门负责人应立即赶赴现场，掌握情况，开展工作，控制局面。</w:t>
      </w:r>
    </w:p>
    <w:p w14:paraId="2BAFEF42">
      <w:pPr>
        <w:spacing w:line="560" w:lineRule="exact"/>
        <w:ind w:firstLine="632"/>
        <w:rPr>
          <w:rFonts w:ascii="Times New Roman" w:hAnsi="Times New Roman" w:cs="Times New Roman"/>
          <w:sz w:val="32"/>
        </w:rPr>
      </w:pPr>
      <w:r>
        <w:rPr>
          <w:rFonts w:ascii="Times New Roman" w:hAnsi="Times New Roman" w:cs="Times New Roman"/>
          <w:sz w:val="32"/>
        </w:rPr>
        <w:t>（4）以人为本，生命至上：无论发生何种事故突发事件，在处置过程中，第一要务是确保师生生命安全。在事件处置过程中要特别注意以下几个方面：有人员伤亡的情况下，要立刻开展对伤亡人员的抢救工作，当抢救生命和抢救财产问题发生冲突时，要把抢救生命放在第一位；在布置和指挥救援工作时，要确保救援人员的安全，避免发生二次事故；不得组织未成年学生参与救火、抢险等活动。</w:t>
      </w:r>
    </w:p>
    <w:p w14:paraId="17BE3142">
      <w:pPr>
        <w:pStyle w:val="3"/>
        <w:ind w:firstLine="0" w:firstLineChars="0"/>
        <w:rPr>
          <w:rFonts w:ascii="Times New Roman" w:hAnsi="Times New Roman" w:cs="Times New Roman"/>
          <w:sz w:val="32"/>
        </w:rPr>
      </w:pPr>
      <w:bookmarkStart w:id="1362" w:name="_Toc9469"/>
      <w:r>
        <w:rPr>
          <w:rFonts w:ascii="Times New Roman" w:hAnsi="Times New Roman" w:cs="Times New Roman"/>
          <w:sz w:val="32"/>
        </w:rPr>
        <w:t>事件分级</w:t>
      </w:r>
      <w:bookmarkEnd w:id="1362"/>
    </w:p>
    <w:p w14:paraId="5F16A53B">
      <w:pPr>
        <w:spacing w:line="560" w:lineRule="exact"/>
        <w:ind w:firstLine="632"/>
        <w:rPr>
          <w:rFonts w:ascii="Times New Roman" w:hAnsi="Times New Roman" w:cs="Times New Roman"/>
          <w:sz w:val="32"/>
        </w:rPr>
      </w:pPr>
      <w:r>
        <w:rPr>
          <w:rFonts w:ascii="Times New Roman" w:hAnsi="Times New Roman" w:cs="Times New Roman"/>
          <w:sz w:val="32"/>
        </w:rPr>
        <w:t>按照造成或者可能造成人员伤亡、重大财产损失或危及正常教育教学秩序的紧急等因素，分为特别重大（Ⅰ级）、重大（Ⅱ级）、较大（Ⅲ级）和一般（Ⅳ级）四级。教育系统突发事件分级标准见附件1。</w:t>
      </w:r>
    </w:p>
    <w:p w14:paraId="09ACC060">
      <w:pPr>
        <w:pStyle w:val="2"/>
        <w:numPr>
          <w:ilvl w:val="0"/>
          <w:numId w:val="228"/>
        </w:numPr>
        <w:tabs>
          <w:tab w:val="left" w:pos="0"/>
        </w:tabs>
        <w:ind w:firstLine="0" w:firstLineChars="0"/>
        <w:rPr>
          <w:rFonts w:ascii="Times New Roman" w:hAnsi="Times New Roman" w:cs="Times New Roman"/>
          <w:sz w:val="32"/>
        </w:rPr>
      </w:pPr>
      <w:bookmarkStart w:id="1363" w:name="_Toc16973"/>
      <w:r>
        <w:rPr>
          <w:rFonts w:ascii="Times New Roman" w:hAnsi="Times New Roman" w:cs="Times New Roman"/>
          <w:sz w:val="32"/>
        </w:rPr>
        <w:t>组织指挥体系</w:t>
      </w:r>
      <w:bookmarkEnd w:id="1363"/>
    </w:p>
    <w:p w14:paraId="2FA2A5F2">
      <w:pPr>
        <w:pStyle w:val="3"/>
        <w:ind w:firstLine="0" w:firstLineChars="0"/>
        <w:rPr>
          <w:rFonts w:ascii="Times New Roman" w:hAnsi="Times New Roman" w:cs="Times New Roman"/>
          <w:sz w:val="32"/>
        </w:rPr>
      </w:pPr>
      <w:bookmarkStart w:id="1364" w:name="_Toc16806"/>
      <w:r>
        <w:rPr>
          <w:rFonts w:ascii="Times New Roman" w:hAnsi="Times New Roman" w:cs="Times New Roman"/>
          <w:sz w:val="32"/>
        </w:rPr>
        <w:t>应急指挥机构及职责</w:t>
      </w:r>
      <w:bookmarkEnd w:id="1364"/>
    </w:p>
    <w:p w14:paraId="08B9C3AE">
      <w:pPr>
        <w:spacing w:line="560" w:lineRule="exact"/>
        <w:ind w:firstLine="632"/>
        <w:rPr>
          <w:rFonts w:ascii="Times New Roman" w:hAnsi="Times New Roman" w:cs="Times New Roman"/>
          <w:sz w:val="32"/>
        </w:rPr>
      </w:pPr>
      <w:r>
        <w:rPr>
          <w:rFonts w:ascii="Times New Roman" w:hAnsi="Times New Roman" w:cs="Times New Roman"/>
          <w:sz w:val="32"/>
        </w:rPr>
        <w:t>集贤县人民政府成立县教育系统突发事件应急指挥部（以下简称“县教育应急指挥部”），全面负责全县教育系统应对突发事件的处置工作，形成处置突发事件的快速反应机制。一旦发生重大事件，指挥部要与所在乡镇人民政府及有关部门相互协作、相互配合，确保信息搜集、情况报告、指挥处置等环节的紧密衔接，切实加强沟通和交流，做到快速反应，正确应对，处置果断，力争把问题解决在萌芽状态。</w:t>
      </w:r>
    </w:p>
    <w:p w14:paraId="4892F169">
      <w:pPr>
        <w:spacing w:line="560" w:lineRule="exact"/>
        <w:ind w:firstLine="632"/>
        <w:rPr>
          <w:rFonts w:ascii="Times New Roman" w:hAnsi="Times New Roman" w:cs="Times New Roman"/>
          <w:sz w:val="32"/>
        </w:rPr>
      </w:pPr>
      <w:r>
        <w:rPr>
          <w:rFonts w:ascii="Times New Roman" w:hAnsi="Times New Roman" w:cs="Times New Roman"/>
          <w:sz w:val="32"/>
        </w:rPr>
        <w:t>总 指 挥：县政府分管副县长</w:t>
      </w:r>
    </w:p>
    <w:p w14:paraId="698EC4ED">
      <w:pPr>
        <w:spacing w:line="560" w:lineRule="exact"/>
        <w:ind w:firstLine="632"/>
        <w:rPr>
          <w:rFonts w:ascii="Times New Roman" w:hAnsi="Times New Roman" w:cs="Times New Roman"/>
          <w:sz w:val="32"/>
        </w:rPr>
      </w:pPr>
      <w:r>
        <w:rPr>
          <w:rFonts w:ascii="Times New Roman" w:hAnsi="Times New Roman" w:cs="Times New Roman"/>
          <w:sz w:val="32"/>
        </w:rPr>
        <w:t>副总指挥：县教育和体育局局长、县应急管理局局长</w:t>
      </w:r>
    </w:p>
    <w:p w14:paraId="6E98AA3A">
      <w:pPr>
        <w:spacing w:line="560" w:lineRule="exact"/>
        <w:ind w:firstLine="632"/>
        <w:rPr>
          <w:rFonts w:ascii="Times New Roman" w:hAnsi="Times New Roman" w:cs="Times New Roman"/>
          <w:sz w:val="32"/>
        </w:rPr>
      </w:pPr>
      <w:r>
        <w:rPr>
          <w:rFonts w:ascii="Times New Roman" w:hAnsi="Times New Roman" w:cs="Times New Roman"/>
          <w:sz w:val="32"/>
        </w:rPr>
        <w:t>成员单位：包括县委宣传部、县教育和体育局、县应急管理局、县发展和改革局、县卫生健康局、县公安局、县交通运输局、双鸭山市集贤生态环境局、县市场监督管理局、县消防救援大队、各乡镇人民政府等部门和单位组成。</w:t>
      </w:r>
    </w:p>
    <w:p w14:paraId="4DD9FDB4">
      <w:pPr>
        <w:spacing w:line="560" w:lineRule="exact"/>
        <w:ind w:firstLine="632"/>
        <w:rPr>
          <w:rFonts w:ascii="Times New Roman" w:hAnsi="Times New Roman" w:cs="Times New Roman"/>
          <w:sz w:val="32"/>
        </w:rPr>
      </w:pPr>
      <w:r>
        <w:rPr>
          <w:rFonts w:ascii="Times New Roman" w:hAnsi="Times New Roman" w:cs="Times New Roman"/>
          <w:sz w:val="32"/>
        </w:rPr>
        <w:t>主要职责：</w:t>
      </w:r>
    </w:p>
    <w:p w14:paraId="240D6D25">
      <w:pPr>
        <w:spacing w:line="560" w:lineRule="exact"/>
        <w:ind w:firstLine="632"/>
        <w:rPr>
          <w:rFonts w:ascii="Times New Roman" w:hAnsi="Times New Roman" w:cs="Times New Roman"/>
          <w:sz w:val="32"/>
        </w:rPr>
      </w:pPr>
      <w:r>
        <w:rPr>
          <w:rFonts w:ascii="Times New Roman" w:hAnsi="Times New Roman" w:cs="Times New Roman"/>
          <w:sz w:val="32"/>
        </w:rPr>
        <w:t>（1）贯彻落实党中央国务院、省市人民政府有关应急管理工作的法律法规、规章和政策，领导和组织全县教育系统各类突发事件应急处理工作，建立健全应急管理工作运行机制。</w:t>
      </w:r>
    </w:p>
    <w:p w14:paraId="272C0579">
      <w:pPr>
        <w:spacing w:line="560" w:lineRule="exact"/>
        <w:ind w:firstLine="632"/>
        <w:rPr>
          <w:rFonts w:ascii="Times New Roman" w:hAnsi="Times New Roman" w:cs="Times New Roman"/>
          <w:sz w:val="32"/>
        </w:rPr>
      </w:pPr>
      <w:r>
        <w:rPr>
          <w:rFonts w:ascii="Times New Roman" w:hAnsi="Times New Roman" w:cs="Times New Roman"/>
          <w:sz w:val="32"/>
        </w:rPr>
        <w:t>（2）负责做好对全县教育系统突发公共事件的信息监测、预测和预防工作，提出处理各类突发事件的指导意见和具体措施，及时向上级报告重要情况和建议。</w:t>
      </w:r>
    </w:p>
    <w:p w14:paraId="6EADD590">
      <w:pPr>
        <w:spacing w:line="560" w:lineRule="exact"/>
        <w:ind w:firstLine="632"/>
        <w:rPr>
          <w:rFonts w:ascii="Times New Roman" w:hAnsi="Times New Roman" w:cs="Times New Roman"/>
          <w:sz w:val="32"/>
        </w:rPr>
      </w:pPr>
      <w:r>
        <w:rPr>
          <w:rFonts w:ascii="Times New Roman" w:hAnsi="Times New Roman" w:cs="Times New Roman"/>
          <w:sz w:val="32"/>
        </w:rPr>
        <w:t>（3）负责在突发公共事件发生后，及时掌握事态发展，分析决策应急救援重大事项，决定启动和终止安全应急响应。组织应急救援体系建设、事故处理与责任追究机制建设。</w:t>
      </w:r>
    </w:p>
    <w:p w14:paraId="2DEA586F">
      <w:pPr>
        <w:spacing w:line="560" w:lineRule="exact"/>
        <w:ind w:firstLine="632"/>
        <w:rPr>
          <w:rFonts w:ascii="Times New Roman" w:hAnsi="Times New Roman" w:cs="Times New Roman"/>
          <w:sz w:val="32"/>
        </w:rPr>
      </w:pPr>
      <w:r>
        <w:rPr>
          <w:rFonts w:ascii="Times New Roman" w:hAnsi="Times New Roman" w:cs="Times New Roman"/>
          <w:sz w:val="32"/>
        </w:rPr>
        <w:t>（4）负责协调突发公共事件的应急处置、事件调查、事后评估和信息发布工作，及时上报应急处置情况，必要时请求支援。</w:t>
      </w:r>
    </w:p>
    <w:p w14:paraId="25971AF5">
      <w:pPr>
        <w:pStyle w:val="3"/>
        <w:ind w:firstLine="0" w:firstLineChars="0"/>
        <w:rPr>
          <w:rFonts w:ascii="Times New Roman" w:hAnsi="Times New Roman" w:cs="Times New Roman"/>
          <w:sz w:val="32"/>
        </w:rPr>
      </w:pPr>
      <w:bookmarkStart w:id="1365" w:name="_Toc29362"/>
      <w:r>
        <w:rPr>
          <w:rFonts w:ascii="Times New Roman" w:hAnsi="Times New Roman" w:cs="Times New Roman"/>
          <w:sz w:val="32"/>
        </w:rPr>
        <w:t>应急办事机构及职责</w:t>
      </w:r>
      <w:bookmarkEnd w:id="1365"/>
    </w:p>
    <w:p w14:paraId="5AB3342A">
      <w:pPr>
        <w:spacing w:line="560" w:lineRule="exact"/>
        <w:ind w:firstLine="632"/>
        <w:rPr>
          <w:rFonts w:ascii="Times New Roman" w:hAnsi="Times New Roman" w:cs="Times New Roman"/>
          <w:sz w:val="32"/>
        </w:rPr>
      </w:pPr>
      <w:r>
        <w:rPr>
          <w:rFonts w:ascii="Times New Roman" w:hAnsi="Times New Roman" w:cs="Times New Roman"/>
          <w:sz w:val="32"/>
        </w:rPr>
        <w:t>县教育应急指挥部办公室（以下简称“指挥部办公室”）设在县教育和体育局，办公室主任由县教育和体育局局长兼任，</w:t>
      </w:r>
    </w:p>
    <w:p w14:paraId="6EA6F834">
      <w:pPr>
        <w:spacing w:line="560" w:lineRule="exact"/>
        <w:ind w:firstLine="632"/>
        <w:rPr>
          <w:rFonts w:ascii="Times New Roman" w:hAnsi="Times New Roman" w:cs="Times New Roman"/>
          <w:sz w:val="32"/>
        </w:rPr>
      </w:pPr>
      <w:r>
        <w:rPr>
          <w:rFonts w:ascii="Times New Roman" w:hAnsi="Times New Roman" w:cs="Times New Roman"/>
          <w:sz w:val="32"/>
        </w:rPr>
        <w:t>主要职责：</w:t>
      </w:r>
    </w:p>
    <w:p w14:paraId="0207D066">
      <w:pPr>
        <w:spacing w:line="560" w:lineRule="exact"/>
        <w:ind w:firstLine="632"/>
        <w:rPr>
          <w:rFonts w:ascii="Times New Roman" w:hAnsi="Times New Roman" w:cs="Times New Roman"/>
          <w:sz w:val="32"/>
        </w:rPr>
      </w:pPr>
      <w:r>
        <w:rPr>
          <w:rFonts w:ascii="Times New Roman" w:hAnsi="Times New Roman" w:cs="Times New Roman"/>
          <w:sz w:val="32"/>
        </w:rPr>
        <w:t>（1）指导全县教育系统建立突发公共事件的监测预警和防控机制，负责本预案的评估、修订和管理工作。</w:t>
      </w:r>
    </w:p>
    <w:p w14:paraId="5ACF1B97">
      <w:pPr>
        <w:spacing w:line="560" w:lineRule="exact"/>
        <w:ind w:firstLine="632"/>
        <w:rPr>
          <w:rFonts w:ascii="Times New Roman" w:hAnsi="Times New Roman" w:cs="Times New Roman"/>
          <w:sz w:val="32"/>
        </w:rPr>
      </w:pPr>
      <w:r>
        <w:rPr>
          <w:rFonts w:ascii="Times New Roman" w:hAnsi="Times New Roman" w:cs="Times New Roman"/>
          <w:sz w:val="32"/>
        </w:rPr>
        <w:t>（2）对各类学校应对事故灾难类突发事件工作进行检查、指导和培训，及时总结和推广各类学校处置校园突发事件的经验和做法。</w:t>
      </w:r>
    </w:p>
    <w:p w14:paraId="212776F7">
      <w:pPr>
        <w:spacing w:line="560" w:lineRule="exact"/>
        <w:ind w:firstLine="632"/>
        <w:rPr>
          <w:rFonts w:ascii="Times New Roman" w:hAnsi="Times New Roman" w:cs="Times New Roman"/>
          <w:sz w:val="32"/>
        </w:rPr>
      </w:pPr>
      <w:r>
        <w:rPr>
          <w:rFonts w:ascii="Times New Roman" w:hAnsi="Times New Roman" w:cs="Times New Roman"/>
          <w:sz w:val="32"/>
        </w:rPr>
        <w:t>（3）及时收集和分析相应的数据和工作情况，提出处理各类突发公共事件的指导意见和具体措施。</w:t>
      </w:r>
    </w:p>
    <w:p w14:paraId="6D8ACAFC">
      <w:pPr>
        <w:spacing w:line="560" w:lineRule="exact"/>
        <w:ind w:firstLine="632"/>
        <w:rPr>
          <w:rFonts w:ascii="Times New Roman" w:hAnsi="Times New Roman" w:cs="Times New Roman"/>
          <w:sz w:val="32"/>
        </w:rPr>
      </w:pPr>
      <w:r>
        <w:rPr>
          <w:rFonts w:ascii="Times New Roman" w:hAnsi="Times New Roman" w:cs="Times New Roman"/>
          <w:sz w:val="32"/>
        </w:rPr>
        <w:t>（4）督导、检查各类学校落实突发事件应急处置工作情况，协助开展事故调查和安抚慰问等工作，采取有效措施妥善处置，控制事态发展。</w:t>
      </w:r>
    </w:p>
    <w:p w14:paraId="039FAEC2">
      <w:pPr>
        <w:spacing w:line="560" w:lineRule="exact"/>
        <w:ind w:firstLine="632"/>
        <w:rPr>
          <w:rFonts w:ascii="Times New Roman" w:hAnsi="Times New Roman" w:cs="Times New Roman"/>
          <w:sz w:val="32"/>
        </w:rPr>
      </w:pPr>
      <w:r>
        <w:rPr>
          <w:rFonts w:ascii="Times New Roman" w:hAnsi="Times New Roman" w:cs="Times New Roman"/>
          <w:sz w:val="32"/>
        </w:rPr>
        <w:t>（5）决定对外公布、公开信息的口径及发布时间、方式等，并报送相关部门统一发布。</w:t>
      </w:r>
    </w:p>
    <w:p w14:paraId="2BB0FB52">
      <w:pPr>
        <w:spacing w:line="560" w:lineRule="exact"/>
        <w:ind w:firstLine="632"/>
        <w:rPr>
          <w:rFonts w:ascii="Times New Roman" w:hAnsi="Times New Roman" w:cs="Times New Roman"/>
          <w:sz w:val="32"/>
        </w:rPr>
      </w:pPr>
      <w:r>
        <w:rPr>
          <w:rFonts w:ascii="Times New Roman" w:hAnsi="Times New Roman" w:cs="Times New Roman"/>
          <w:sz w:val="32"/>
        </w:rPr>
        <w:t>（6）根据校园突发事件的性质对有关责任人提出责任追究建议。</w:t>
      </w:r>
    </w:p>
    <w:p w14:paraId="073D1A45">
      <w:pPr>
        <w:spacing w:line="560" w:lineRule="exact"/>
        <w:ind w:firstLine="632"/>
        <w:rPr>
          <w:rFonts w:ascii="Times New Roman" w:hAnsi="Times New Roman" w:cs="Times New Roman"/>
          <w:sz w:val="32"/>
        </w:rPr>
      </w:pPr>
      <w:r>
        <w:rPr>
          <w:rFonts w:ascii="Times New Roman" w:hAnsi="Times New Roman" w:cs="Times New Roman"/>
          <w:sz w:val="32"/>
        </w:rPr>
        <w:t>（7）承担县教育应急指挥部的日常工作及交办的其他工作。</w:t>
      </w:r>
    </w:p>
    <w:p w14:paraId="78635F09">
      <w:pPr>
        <w:pStyle w:val="3"/>
        <w:ind w:firstLine="0" w:firstLineChars="0"/>
        <w:rPr>
          <w:rFonts w:ascii="Times New Roman" w:hAnsi="Times New Roman" w:cs="Times New Roman"/>
          <w:sz w:val="32"/>
        </w:rPr>
      </w:pPr>
      <w:bookmarkStart w:id="1366" w:name="_Toc29562"/>
      <w:r>
        <w:rPr>
          <w:rFonts w:ascii="Times New Roman" w:hAnsi="Times New Roman" w:cs="Times New Roman"/>
          <w:sz w:val="32"/>
        </w:rPr>
        <w:t>成员单位及职责</w:t>
      </w:r>
      <w:bookmarkEnd w:id="1366"/>
    </w:p>
    <w:p w14:paraId="1615C04D">
      <w:pPr>
        <w:ind w:firstLine="634"/>
        <w:rPr>
          <w:rFonts w:ascii="Times New Roman" w:hAnsi="Times New Roman" w:cs="Times New Roman"/>
          <w:sz w:val="32"/>
        </w:rPr>
      </w:pPr>
      <w:r>
        <w:rPr>
          <w:rFonts w:ascii="Times New Roman" w:hAnsi="Times New Roman" w:cs="Times New Roman"/>
          <w:b/>
          <w:bCs/>
          <w:sz w:val="32"/>
        </w:rPr>
        <w:t>县委宣传部：</w:t>
      </w:r>
      <w:r>
        <w:rPr>
          <w:rFonts w:ascii="Times New Roman" w:hAnsi="Times New Roman" w:cs="Times New Roman"/>
          <w:sz w:val="32"/>
        </w:rPr>
        <w:t>负责组织、指导涉事单位和相关职能部门共同做好舆情监测、分析研判、信息发布及舆论引导工作。</w:t>
      </w:r>
    </w:p>
    <w:p w14:paraId="4799801B">
      <w:pPr>
        <w:ind w:firstLine="634"/>
        <w:rPr>
          <w:rFonts w:ascii="Times New Roman" w:hAnsi="Times New Roman" w:cs="Times New Roman"/>
          <w:sz w:val="32"/>
        </w:rPr>
      </w:pPr>
      <w:r>
        <w:rPr>
          <w:rFonts w:ascii="Times New Roman" w:hAnsi="Times New Roman" w:cs="Times New Roman"/>
          <w:b/>
          <w:bCs/>
          <w:sz w:val="32"/>
        </w:rPr>
        <w:t>县教育和体育局：</w:t>
      </w:r>
      <w:r>
        <w:rPr>
          <w:rFonts w:ascii="Times New Roman" w:hAnsi="Times New Roman" w:cs="Times New Roman"/>
          <w:sz w:val="32"/>
        </w:rPr>
        <w:t>负责组织、协调处置全县教育系统突发事件；负责教育系统突发事件信息的收集与报送工作；负责指导各级各类学校做好校园安全风险防控与突发事件应对工作；配合有关部门开展校园安全事故调查工作；承担指挥部办公室工作。</w:t>
      </w:r>
    </w:p>
    <w:p w14:paraId="66AF4642">
      <w:pPr>
        <w:ind w:firstLine="634"/>
        <w:rPr>
          <w:rFonts w:ascii="Times New Roman" w:hAnsi="Times New Roman" w:cs="Times New Roman"/>
          <w:sz w:val="32"/>
        </w:rPr>
      </w:pPr>
      <w:r>
        <w:rPr>
          <w:rFonts w:ascii="Times New Roman" w:hAnsi="Times New Roman" w:cs="Times New Roman"/>
          <w:b/>
          <w:bCs/>
          <w:sz w:val="32"/>
        </w:rPr>
        <w:t>县应急管理局：</w:t>
      </w:r>
      <w:r>
        <w:rPr>
          <w:rFonts w:ascii="Times New Roman" w:hAnsi="Times New Roman" w:cs="Times New Roman"/>
          <w:sz w:val="32"/>
        </w:rPr>
        <w:t>负责指导学校开展生产安全事故应急处置工作；参与教育系统安全生产事故的调查工作。</w:t>
      </w:r>
    </w:p>
    <w:p w14:paraId="2BE463F5">
      <w:pPr>
        <w:ind w:firstLine="634"/>
        <w:rPr>
          <w:rFonts w:ascii="Times New Roman" w:hAnsi="Times New Roman" w:cs="Times New Roman"/>
          <w:sz w:val="32"/>
        </w:rPr>
      </w:pPr>
      <w:r>
        <w:rPr>
          <w:rFonts w:ascii="Times New Roman" w:hAnsi="Times New Roman" w:cs="Times New Roman"/>
          <w:b/>
          <w:bCs/>
          <w:sz w:val="32"/>
        </w:rPr>
        <w:t>县发展和改革局：</w:t>
      </w:r>
      <w:r>
        <w:rPr>
          <w:rFonts w:hint="eastAsia" w:ascii="Times New Roman" w:hAnsi="Times New Roman" w:cs="Times New Roman"/>
          <w:sz w:val="32"/>
        </w:rPr>
        <w:t>配合我县教体部门谋划项目立项及向上争取资金工作</w:t>
      </w:r>
      <w:r>
        <w:rPr>
          <w:rFonts w:ascii="Times New Roman" w:hAnsi="Times New Roman" w:cs="Times New Roman"/>
          <w:sz w:val="32"/>
        </w:rPr>
        <w:t>。</w:t>
      </w:r>
    </w:p>
    <w:p w14:paraId="7247AD4F">
      <w:pPr>
        <w:ind w:firstLine="634"/>
        <w:rPr>
          <w:rFonts w:ascii="Times New Roman" w:hAnsi="Times New Roman" w:cs="Times New Roman"/>
          <w:sz w:val="32"/>
        </w:rPr>
      </w:pPr>
      <w:r>
        <w:rPr>
          <w:rFonts w:ascii="Times New Roman" w:hAnsi="Times New Roman" w:cs="Times New Roman"/>
          <w:b/>
          <w:bCs/>
          <w:sz w:val="32"/>
        </w:rPr>
        <w:t>县卫生健康局：</w:t>
      </w:r>
      <w:r>
        <w:rPr>
          <w:rFonts w:ascii="Times New Roman" w:hAnsi="Times New Roman" w:cs="Times New Roman"/>
          <w:sz w:val="32"/>
        </w:rPr>
        <w:t>负责监督、指导学校开展疫情防控和宣传教育工作；依法对学校传染病疫情和相关突发公共卫生事件进行调查和处置；负责调度卫生技术力量，做好教育系统突发事件医疗救护和抢救伤病员工作；开展学校生活饮用水突发污染事件调查与处置工作；协调心理卫生专家指导学校开展学生心理咨询及心理援助工作。</w:t>
      </w:r>
    </w:p>
    <w:p w14:paraId="2F61C8F0">
      <w:pPr>
        <w:ind w:firstLine="634"/>
        <w:rPr>
          <w:rFonts w:ascii="Times New Roman" w:hAnsi="Times New Roman" w:cs="Times New Roman"/>
          <w:sz w:val="32"/>
        </w:rPr>
      </w:pPr>
      <w:r>
        <w:rPr>
          <w:rFonts w:ascii="Times New Roman" w:hAnsi="Times New Roman" w:cs="Times New Roman"/>
          <w:b/>
          <w:bCs/>
          <w:sz w:val="32"/>
        </w:rPr>
        <w:t>县公安局：</w:t>
      </w:r>
      <w:r>
        <w:rPr>
          <w:rFonts w:ascii="Times New Roman" w:hAnsi="Times New Roman" w:cs="Times New Roman"/>
          <w:sz w:val="32"/>
        </w:rPr>
        <w:t>负责教育系统突发事件事发现场治安秩序的维护工作；负责调查、处置影响学校正常教学秩序、危及师生安全的治安事件及群体性事件；负责调查、处置学校发生的火灾事故及需要进行人员营救的其他安全事故；负责调查、处置校车交通事故及涉及师生的道路交通事故；负责重要活动、重要时期学校周边治安、秩序的维护工作。</w:t>
      </w:r>
    </w:p>
    <w:p w14:paraId="537DFD69">
      <w:pPr>
        <w:ind w:firstLine="634"/>
        <w:rPr>
          <w:rFonts w:ascii="Times New Roman" w:hAnsi="Times New Roman" w:cs="Times New Roman"/>
          <w:sz w:val="32"/>
        </w:rPr>
      </w:pPr>
      <w:r>
        <w:rPr>
          <w:rFonts w:ascii="Times New Roman" w:hAnsi="Times New Roman" w:cs="Times New Roman"/>
          <w:b/>
          <w:bCs/>
          <w:sz w:val="32"/>
        </w:rPr>
        <w:t>县交通运输局：</w:t>
      </w:r>
      <w:r>
        <w:rPr>
          <w:rFonts w:ascii="Times New Roman" w:hAnsi="Times New Roman" w:cs="Times New Roman"/>
          <w:sz w:val="32"/>
        </w:rPr>
        <w:t>负责为处置教育系统突发事件提供交通运输保障；参与校车安全事故调查工作。</w:t>
      </w:r>
    </w:p>
    <w:p w14:paraId="7BE52F26">
      <w:pPr>
        <w:ind w:firstLine="634"/>
        <w:rPr>
          <w:rFonts w:ascii="Times New Roman" w:hAnsi="Times New Roman" w:cs="Times New Roman"/>
          <w:sz w:val="32"/>
        </w:rPr>
      </w:pPr>
      <w:r>
        <w:rPr>
          <w:rFonts w:ascii="Times New Roman" w:hAnsi="Times New Roman" w:cs="Times New Roman"/>
          <w:b/>
          <w:bCs/>
          <w:sz w:val="32"/>
        </w:rPr>
        <w:t>双鸭山市集贤生态环境局：</w:t>
      </w:r>
      <w:r>
        <w:rPr>
          <w:rFonts w:ascii="Times New Roman" w:hAnsi="Times New Roman" w:cs="Times New Roman"/>
          <w:sz w:val="32"/>
        </w:rPr>
        <w:t>负责在突发环境污染事件发生后，开展对学校周边环境影响的评估与预警工作。</w:t>
      </w:r>
    </w:p>
    <w:p w14:paraId="0264EDA0">
      <w:pPr>
        <w:ind w:firstLine="634"/>
        <w:rPr>
          <w:rFonts w:ascii="Times New Roman" w:hAnsi="Times New Roman" w:cs="Times New Roman"/>
          <w:sz w:val="32"/>
        </w:rPr>
      </w:pPr>
      <w:r>
        <w:rPr>
          <w:rFonts w:ascii="Times New Roman" w:hAnsi="Times New Roman" w:cs="Times New Roman"/>
          <w:b/>
          <w:bCs/>
          <w:sz w:val="32"/>
        </w:rPr>
        <w:t>县市场监督管理局：</w:t>
      </w:r>
      <w:r>
        <w:rPr>
          <w:rFonts w:ascii="Times New Roman" w:hAnsi="Times New Roman" w:cs="Times New Roman"/>
          <w:sz w:val="32"/>
        </w:rPr>
        <w:t>负责学校食品安全事件的应急处置和事件调查工作；指导学校开展食品安全宣教工作；依法查处学校及周边食品安全生产、流通、餐饮方面的违法行为。</w:t>
      </w:r>
    </w:p>
    <w:p w14:paraId="2A2659F9">
      <w:pPr>
        <w:ind w:firstLine="634"/>
        <w:rPr>
          <w:rFonts w:ascii="Times New Roman" w:hAnsi="Times New Roman" w:cs="Times New Roman"/>
          <w:sz w:val="32"/>
        </w:rPr>
      </w:pPr>
      <w:r>
        <w:rPr>
          <w:rFonts w:ascii="Times New Roman" w:hAnsi="Times New Roman" w:cs="Times New Roman"/>
          <w:b/>
          <w:bCs/>
          <w:sz w:val="32"/>
        </w:rPr>
        <w:t>县消防救援大队：</w:t>
      </w:r>
      <w:r>
        <w:rPr>
          <w:rFonts w:ascii="Times New Roman" w:hAnsi="Times New Roman" w:cs="Times New Roman"/>
          <w:sz w:val="32"/>
        </w:rPr>
        <w:t>负责教育系统突发事件有关事故抢险救援工作。</w:t>
      </w:r>
    </w:p>
    <w:p w14:paraId="36A4217D">
      <w:pPr>
        <w:spacing w:line="560" w:lineRule="exact"/>
        <w:ind w:firstLine="632"/>
        <w:rPr>
          <w:rFonts w:ascii="Times New Roman" w:hAnsi="Times New Roman" w:cs="Times New Roman"/>
          <w:sz w:val="32"/>
        </w:rPr>
      </w:pPr>
      <w:r>
        <w:rPr>
          <w:rFonts w:ascii="Times New Roman" w:hAnsi="Times New Roman" w:cs="Times New Roman"/>
          <w:sz w:val="32"/>
        </w:rPr>
        <w:t>其他部门（单位）负责在县教育应急指挥部统一领导下，做好本职工作。</w:t>
      </w:r>
    </w:p>
    <w:p w14:paraId="697077B8">
      <w:pPr>
        <w:pStyle w:val="3"/>
        <w:ind w:firstLine="0" w:firstLineChars="0"/>
        <w:rPr>
          <w:rFonts w:ascii="Times New Roman" w:hAnsi="Times New Roman" w:cs="Times New Roman"/>
          <w:sz w:val="32"/>
        </w:rPr>
      </w:pPr>
      <w:bookmarkStart w:id="1367" w:name="_Toc4556"/>
      <w:r>
        <w:rPr>
          <w:rFonts w:ascii="Times New Roman" w:hAnsi="Times New Roman" w:cs="Times New Roman"/>
          <w:sz w:val="32"/>
        </w:rPr>
        <w:t>应急工作机构及职责</w:t>
      </w:r>
      <w:bookmarkEnd w:id="1367"/>
    </w:p>
    <w:p w14:paraId="5E8F7B11">
      <w:pPr>
        <w:spacing w:line="560" w:lineRule="exact"/>
        <w:ind w:firstLine="632"/>
        <w:rPr>
          <w:rFonts w:ascii="Times New Roman" w:hAnsi="Times New Roman" w:cs="Times New Roman"/>
          <w:sz w:val="32"/>
        </w:rPr>
      </w:pPr>
      <w:r>
        <w:rPr>
          <w:rFonts w:ascii="Times New Roman" w:hAnsi="Times New Roman" w:cs="Times New Roman"/>
          <w:sz w:val="32"/>
        </w:rPr>
        <w:t>根据县教育系统突发事件应急处置工作的需要，成立各类专业处置工作组，开展相关应急救援处置工作。</w:t>
      </w:r>
    </w:p>
    <w:p w14:paraId="18E8AD19">
      <w:pPr>
        <w:spacing w:line="560" w:lineRule="exact"/>
        <w:ind w:firstLine="632"/>
        <w:rPr>
          <w:rFonts w:ascii="Times New Roman" w:hAnsi="Times New Roman" w:cs="Times New Roman"/>
          <w:sz w:val="32"/>
        </w:rPr>
      </w:pPr>
      <w:r>
        <w:rPr>
          <w:rFonts w:ascii="Times New Roman" w:hAnsi="Times New Roman" w:cs="Times New Roman"/>
          <w:sz w:val="32"/>
        </w:rPr>
        <w:t>（1）现场处置组。由县应急管理局牵头，主要负责组织维持事故现场秩序；控制稳定事故现场事态；组织抢险增援队伍，做好抢险人员防护，领导组织开展救护工作；研究并采取防止事故扩大的措施；及时准确向指挥部报告抢险救援进展情况。</w:t>
      </w:r>
    </w:p>
    <w:p w14:paraId="6B9E962A">
      <w:pPr>
        <w:spacing w:line="560" w:lineRule="exact"/>
        <w:ind w:firstLine="632"/>
        <w:rPr>
          <w:rFonts w:ascii="Times New Roman" w:hAnsi="Times New Roman" w:cs="Times New Roman"/>
          <w:sz w:val="32"/>
        </w:rPr>
      </w:pPr>
      <w:r>
        <w:rPr>
          <w:rFonts w:ascii="Times New Roman" w:hAnsi="Times New Roman" w:cs="Times New Roman"/>
          <w:sz w:val="32"/>
        </w:rPr>
        <w:t>（2）医疗救护组。由县卫生健康局牵头，主要负责协调医疗机构对伤病人员进行医疗救助，保证救护工作正常进行。</w:t>
      </w:r>
    </w:p>
    <w:p w14:paraId="49228CF4">
      <w:pPr>
        <w:spacing w:line="560" w:lineRule="exact"/>
        <w:ind w:firstLine="632"/>
        <w:rPr>
          <w:rFonts w:ascii="Times New Roman" w:hAnsi="Times New Roman" w:cs="Times New Roman"/>
          <w:sz w:val="32"/>
        </w:rPr>
      </w:pPr>
      <w:r>
        <w:rPr>
          <w:rFonts w:ascii="Times New Roman" w:hAnsi="Times New Roman" w:cs="Times New Roman"/>
          <w:sz w:val="32"/>
        </w:rPr>
        <w:t>（3）物资保障组。由县教育和体育局牵头，主要负责协调相关部门和学校调集、筹措抢险和救护的物品、物资及救护工具。</w:t>
      </w:r>
    </w:p>
    <w:p w14:paraId="5647B2DE">
      <w:pPr>
        <w:spacing w:line="560" w:lineRule="exact"/>
        <w:ind w:firstLine="632"/>
        <w:rPr>
          <w:rFonts w:ascii="Times New Roman" w:hAnsi="Times New Roman" w:cs="Times New Roman"/>
          <w:sz w:val="32"/>
        </w:rPr>
      </w:pPr>
      <w:r>
        <w:rPr>
          <w:rFonts w:ascii="Times New Roman" w:hAnsi="Times New Roman" w:cs="Times New Roman"/>
          <w:sz w:val="32"/>
        </w:rPr>
        <w:t>（4）治安协调组。由县公安局牵头，主要负责维护治安秩序。</w:t>
      </w:r>
    </w:p>
    <w:p w14:paraId="2EED607B">
      <w:pPr>
        <w:spacing w:line="560" w:lineRule="exact"/>
        <w:ind w:firstLine="632"/>
        <w:rPr>
          <w:rFonts w:ascii="Times New Roman" w:hAnsi="Times New Roman" w:cs="Times New Roman"/>
          <w:sz w:val="32"/>
        </w:rPr>
      </w:pPr>
      <w:r>
        <w:rPr>
          <w:rFonts w:ascii="Times New Roman" w:hAnsi="Times New Roman" w:cs="Times New Roman"/>
          <w:sz w:val="32"/>
        </w:rPr>
        <w:t>（5）综合协调组。由县教育和体育局牵头，主要负责事故相关信息的整理、报送；负责事故处理过程中信息的传阅、相关材料的记录、装档、留存；负责接待各类咨询、采访；协调相关部门共同做好舆情监控、引导等。</w:t>
      </w:r>
    </w:p>
    <w:p w14:paraId="1285F8B7">
      <w:pPr>
        <w:spacing w:line="560" w:lineRule="exact"/>
        <w:ind w:firstLine="632"/>
        <w:rPr>
          <w:rFonts w:ascii="Times New Roman" w:hAnsi="Times New Roman" w:cs="Times New Roman"/>
          <w:sz w:val="32"/>
        </w:rPr>
      </w:pPr>
      <w:r>
        <w:rPr>
          <w:rFonts w:ascii="Times New Roman" w:hAnsi="Times New Roman" w:cs="Times New Roman"/>
          <w:sz w:val="32"/>
        </w:rPr>
        <w:t>（6）善后处置组。由县教育和体育局牵头，主要负责安抚伤患人员家属情绪；接待听取事故伤患人员家属意见；依法研究提出事故善后解决办法。</w:t>
      </w:r>
    </w:p>
    <w:p w14:paraId="14805728">
      <w:pPr>
        <w:spacing w:line="560" w:lineRule="exact"/>
        <w:ind w:firstLine="632"/>
        <w:rPr>
          <w:rFonts w:ascii="Times New Roman" w:hAnsi="Times New Roman" w:cs="Times New Roman"/>
          <w:sz w:val="32"/>
        </w:rPr>
      </w:pPr>
      <w:r>
        <w:rPr>
          <w:rFonts w:ascii="Times New Roman" w:hAnsi="Times New Roman" w:cs="Times New Roman"/>
          <w:sz w:val="32"/>
        </w:rPr>
        <w:t>（7）事故调查组。由县应急管理局牵头，主要负责配合相关执法、纪检等部门对现场进行勘查和取证工作，提出对责任单位、责任人及其他相关人员的处理意见。</w:t>
      </w:r>
    </w:p>
    <w:p w14:paraId="2432BEBD">
      <w:pPr>
        <w:pStyle w:val="2"/>
        <w:numPr>
          <w:ilvl w:val="0"/>
          <w:numId w:val="228"/>
        </w:numPr>
        <w:tabs>
          <w:tab w:val="left" w:pos="0"/>
        </w:tabs>
        <w:ind w:firstLine="0" w:firstLineChars="0"/>
        <w:rPr>
          <w:rFonts w:ascii="Times New Roman" w:hAnsi="Times New Roman" w:cs="Times New Roman"/>
          <w:sz w:val="32"/>
        </w:rPr>
      </w:pPr>
      <w:bookmarkStart w:id="1368" w:name="_Toc32646"/>
      <w:r>
        <w:rPr>
          <w:rFonts w:ascii="Times New Roman" w:hAnsi="Times New Roman" w:cs="Times New Roman"/>
          <w:sz w:val="32"/>
        </w:rPr>
        <w:t>预防和预警</w:t>
      </w:r>
      <w:bookmarkEnd w:id="1368"/>
    </w:p>
    <w:p w14:paraId="7FCFD27D">
      <w:pPr>
        <w:pStyle w:val="3"/>
        <w:ind w:firstLine="0" w:firstLineChars="0"/>
        <w:rPr>
          <w:rFonts w:ascii="Times New Roman" w:hAnsi="Times New Roman" w:cs="Times New Roman"/>
          <w:sz w:val="32"/>
        </w:rPr>
      </w:pPr>
      <w:bookmarkStart w:id="1369" w:name="_Toc7225"/>
      <w:r>
        <w:rPr>
          <w:rFonts w:ascii="Times New Roman" w:hAnsi="Times New Roman" w:cs="Times New Roman"/>
          <w:sz w:val="32"/>
        </w:rPr>
        <w:t>风险管理和危险源治理机制</w:t>
      </w:r>
      <w:bookmarkEnd w:id="1369"/>
    </w:p>
    <w:p w14:paraId="0BDFC11E">
      <w:pPr>
        <w:spacing w:line="560" w:lineRule="exact"/>
        <w:ind w:firstLine="632"/>
        <w:rPr>
          <w:rFonts w:ascii="Times New Roman" w:hAnsi="Times New Roman" w:cs="Times New Roman"/>
          <w:sz w:val="32"/>
        </w:rPr>
      </w:pPr>
      <w:r>
        <w:rPr>
          <w:rFonts w:ascii="Times New Roman" w:hAnsi="Times New Roman" w:cs="Times New Roman"/>
          <w:sz w:val="32"/>
        </w:rPr>
        <w:t>（1）强化风险防控意识。涉及教育发展规划、重大决策部署、重点项目建设、重大活动安排等重要事项，应强化风险防控意识，进行科学论证，严格落实风险评估制度，分析风险因素，研究对策措施，完善应对方案，切实做好风险源头管控。</w:t>
      </w:r>
    </w:p>
    <w:p w14:paraId="660E3639">
      <w:pPr>
        <w:spacing w:line="560" w:lineRule="exact"/>
        <w:ind w:firstLine="632"/>
        <w:rPr>
          <w:rFonts w:ascii="Times New Roman" w:hAnsi="Times New Roman" w:cs="Times New Roman"/>
          <w:sz w:val="32"/>
        </w:rPr>
      </w:pPr>
      <w:r>
        <w:rPr>
          <w:rFonts w:ascii="Times New Roman" w:hAnsi="Times New Roman" w:cs="Times New Roman"/>
          <w:sz w:val="32"/>
        </w:rPr>
        <w:t>（2）建立风险防控体系。针对本地区自然灾害、事故灾难、公共卫生事件、社会安全事件等特点规律和风险因素，建立完善“纵向到底，横向到边”的网格化风险防控体系，将风险防控责任延伸到学校各部位、各岗位，制定风险防控方案，明确风险防控重点，完善风险防控机制，加强风险防控力量，建立完善风险管控“责任清单”和“任务清单”，扎实开展风险排查辨识、评估登记、建立风险台账和数据库，不断提升风险防控能力。</w:t>
      </w:r>
    </w:p>
    <w:p w14:paraId="7B91A120">
      <w:pPr>
        <w:spacing w:line="560" w:lineRule="exact"/>
        <w:ind w:firstLine="632"/>
        <w:rPr>
          <w:rFonts w:ascii="Times New Roman" w:hAnsi="Times New Roman" w:cs="Times New Roman"/>
          <w:sz w:val="32"/>
        </w:rPr>
      </w:pPr>
      <w:r>
        <w:rPr>
          <w:rFonts w:ascii="Times New Roman" w:hAnsi="Times New Roman" w:cs="Times New Roman"/>
          <w:sz w:val="32"/>
        </w:rPr>
        <w:t>（3）完善危险源排查机制。针对各类危险源、危险点、危险区域等可能引发突发事件、造成社会危害、影响安全稳定的风险因素，建立健全排查辨识、分析研判、登记建档、信息共享、协调联动、综合治理、跟踪督办、考核评估、激励约束等切实有效的工作机制，推动危险源排查制度化管理，规范化运行。</w:t>
      </w:r>
    </w:p>
    <w:p w14:paraId="2E126BE3">
      <w:pPr>
        <w:spacing w:line="560" w:lineRule="exact"/>
        <w:ind w:firstLine="632"/>
        <w:rPr>
          <w:rFonts w:ascii="Times New Roman" w:hAnsi="Times New Roman" w:cs="Times New Roman"/>
          <w:sz w:val="32"/>
        </w:rPr>
      </w:pPr>
      <w:r>
        <w:rPr>
          <w:rFonts w:ascii="Times New Roman" w:hAnsi="Times New Roman" w:cs="Times New Roman"/>
          <w:sz w:val="32"/>
        </w:rPr>
        <w:t>（4）加强危险源治理。紧盯重点目标、重点部位，督促排查风险隐患，明确整改责任、限定整改时限，实行闭环管理。完成整改的风险隐患及时销号，短期难以整改的风险隐患，实行挂牌督办，落实管控措施，确保风险可控。</w:t>
      </w:r>
    </w:p>
    <w:p w14:paraId="4FA3A8E9">
      <w:pPr>
        <w:pStyle w:val="3"/>
        <w:ind w:firstLine="0" w:firstLineChars="0"/>
        <w:rPr>
          <w:rFonts w:ascii="Times New Roman" w:hAnsi="Times New Roman" w:cs="Times New Roman"/>
          <w:sz w:val="32"/>
        </w:rPr>
      </w:pPr>
      <w:bookmarkStart w:id="1370" w:name="_Toc5290"/>
      <w:r>
        <w:rPr>
          <w:rFonts w:ascii="Times New Roman" w:hAnsi="Times New Roman" w:cs="Times New Roman"/>
          <w:sz w:val="32"/>
        </w:rPr>
        <w:t>监测预警机制</w:t>
      </w:r>
      <w:bookmarkEnd w:id="1370"/>
    </w:p>
    <w:p w14:paraId="76E0B624">
      <w:pPr>
        <w:pStyle w:val="4"/>
        <w:numPr>
          <w:ilvl w:val="2"/>
          <w:numId w:val="228"/>
        </w:numPr>
        <w:tabs>
          <w:tab w:val="left" w:pos="0"/>
        </w:tabs>
        <w:ind w:firstLine="0" w:firstLineChars="0"/>
        <w:rPr>
          <w:rFonts w:ascii="Times New Roman" w:hAnsi="Times New Roman" w:cs="Times New Roman"/>
          <w:sz w:val="32"/>
        </w:rPr>
      </w:pPr>
      <w:r>
        <w:rPr>
          <w:rFonts w:ascii="Times New Roman" w:hAnsi="Times New Roman" w:cs="Times New Roman"/>
          <w:sz w:val="32"/>
        </w:rPr>
        <w:t>监测</w:t>
      </w:r>
    </w:p>
    <w:p w14:paraId="5D03C2CE">
      <w:pPr>
        <w:ind w:firstLine="632"/>
        <w:rPr>
          <w:rFonts w:ascii="Times New Roman" w:hAnsi="Times New Roman" w:cs="Times New Roman"/>
          <w:sz w:val="32"/>
        </w:rPr>
      </w:pPr>
      <w:r>
        <w:rPr>
          <w:rFonts w:ascii="Times New Roman" w:hAnsi="Times New Roman" w:cs="Times New Roman"/>
          <w:sz w:val="32"/>
        </w:rPr>
        <w:t>县教育和体育局及各级各类学校应围绕突发事件防范应对，在相关部门指导下，配合自然灾害、事故灾难、公共卫生事件、社会安全事件防范应对牵头部门处室，建立监测制度，整合信息资源，完善共享机制，提升监测能力，力争做到早发现、早报告、早处置。</w:t>
      </w:r>
    </w:p>
    <w:p w14:paraId="157838ED">
      <w:pPr>
        <w:pStyle w:val="4"/>
        <w:numPr>
          <w:ilvl w:val="2"/>
          <w:numId w:val="228"/>
        </w:numPr>
        <w:tabs>
          <w:tab w:val="left" w:pos="0"/>
        </w:tabs>
        <w:ind w:firstLine="0" w:firstLineChars="0"/>
        <w:rPr>
          <w:rFonts w:ascii="Times New Roman" w:hAnsi="Times New Roman" w:cs="Times New Roman"/>
          <w:sz w:val="32"/>
        </w:rPr>
      </w:pPr>
      <w:r>
        <w:rPr>
          <w:rFonts w:ascii="Times New Roman" w:hAnsi="Times New Roman" w:cs="Times New Roman"/>
          <w:sz w:val="32"/>
        </w:rPr>
        <w:t>预警</w:t>
      </w:r>
    </w:p>
    <w:p w14:paraId="55D2854E">
      <w:pPr>
        <w:ind w:firstLine="632"/>
        <w:rPr>
          <w:rFonts w:ascii="Times New Roman" w:hAnsi="Times New Roman" w:cs="Times New Roman"/>
          <w:sz w:val="32"/>
        </w:rPr>
      </w:pPr>
      <w:r>
        <w:rPr>
          <w:rFonts w:ascii="Times New Roman" w:hAnsi="Times New Roman" w:cs="Times New Roman"/>
          <w:sz w:val="32"/>
        </w:rPr>
        <w:t>（1）确定预警等级。教育系统突发事件即将发生或者发生的可能性增大时，学校要依托有关部门或专业机构进行风险分析和安全评估，预判研判突发事件发生可能性及其大小、影响范围和强度以及可能发生突发事件的级别，或按照县委、县政府及有关部门发布的预警级别执行。根据突发事件可能发生的紧急程度、发展态势和可能造成的危害程度，其预警等级分为一级、二级、三级和四级，分别用红色、橙色、黄色和蓝色标示，一级为最高级别。</w:t>
      </w:r>
    </w:p>
    <w:p w14:paraId="45CAA904">
      <w:pPr>
        <w:ind w:firstLine="632"/>
        <w:rPr>
          <w:rFonts w:ascii="Times New Roman" w:hAnsi="Times New Roman" w:cs="Times New Roman"/>
          <w:sz w:val="32"/>
        </w:rPr>
      </w:pPr>
      <w:r>
        <w:rPr>
          <w:rFonts w:ascii="Times New Roman" w:hAnsi="Times New Roman" w:cs="Times New Roman"/>
          <w:sz w:val="32"/>
        </w:rPr>
        <w:t>（2）发布预警信息。县教育和体育局及学校根据风险分析和安全评估结果，或有关部门发布的预警信息，按照《集贤县突发事件总体应急预案》，立即以适当方式发布预警信息或提请县委、县政府发布预警信息，同时向上级教育主管部门报告，必要时可以越级上报。</w:t>
      </w:r>
    </w:p>
    <w:p w14:paraId="4F014237">
      <w:pPr>
        <w:ind w:firstLine="632"/>
        <w:rPr>
          <w:rFonts w:ascii="Times New Roman" w:hAnsi="Times New Roman" w:cs="Times New Roman"/>
          <w:sz w:val="32"/>
        </w:rPr>
      </w:pPr>
      <w:r>
        <w:rPr>
          <w:rFonts w:ascii="Times New Roman" w:hAnsi="Times New Roman" w:cs="Times New Roman"/>
          <w:sz w:val="32"/>
        </w:rPr>
        <w:t>（3）采取预警措施。发布预警信息后，县教育和体育局及各级各类学校应当根据实际情况和分类、分级原则，采取下列一项或多项措施：</w:t>
      </w:r>
    </w:p>
    <w:p w14:paraId="08312A47">
      <w:pPr>
        <w:ind w:firstLine="632"/>
        <w:rPr>
          <w:rFonts w:ascii="Times New Roman" w:hAnsi="Times New Roman" w:cs="Times New Roman"/>
          <w:sz w:val="32"/>
        </w:rPr>
      </w:pPr>
      <w:r>
        <w:rPr>
          <w:rFonts w:ascii="Times New Roman" w:hAnsi="Times New Roman" w:cs="Times New Roman"/>
          <w:sz w:val="32"/>
        </w:rPr>
        <w:t>①及时收集、报告有关信息，进一步加强对突发事件发生、发展情况的监测、预警和报告工作；</w:t>
      </w:r>
    </w:p>
    <w:p w14:paraId="7E79396B">
      <w:pPr>
        <w:ind w:firstLine="632"/>
        <w:rPr>
          <w:rFonts w:ascii="Times New Roman" w:hAnsi="Times New Roman" w:cs="Times New Roman"/>
          <w:sz w:val="32"/>
        </w:rPr>
      </w:pPr>
      <w:r>
        <w:rPr>
          <w:rFonts w:ascii="Times New Roman" w:hAnsi="Times New Roman" w:cs="Times New Roman"/>
          <w:sz w:val="32"/>
        </w:rPr>
        <w:t>②及时按照有关规定发布与师生员工有关的突发事件预测信息以及可能受到事件危害的警告，宣传避免或减轻危害的建议和常识，公布咨询电话；</w:t>
      </w:r>
    </w:p>
    <w:p w14:paraId="492E6C21">
      <w:pPr>
        <w:ind w:firstLine="632"/>
        <w:rPr>
          <w:rFonts w:ascii="Times New Roman" w:hAnsi="Times New Roman" w:cs="Times New Roman"/>
          <w:sz w:val="32"/>
        </w:rPr>
      </w:pPr>
      <w:r>
        <w:rPr>
          <w:rFonts w:ascii="Times New Roman" w:hAnsi="Times New Roman" w:cs="Times New Roman"/>
          <w:sz w:val="32"/>
        </w:rPr>
        <w:t>③在上级主管部门指导下，配合有关部门或应急救援队伍等进入待命状态，并做好应急处置准备；</w:t>
      </w:r>
    </w:p>
    <w:p w14:paraId="3F7AC241">
      <w:pPr>
        <w:ind w:firstLine="632"/>
        <w:rPr>
          <w:rFonts w:ascii="Times New Roman" w:hAnsi="Times New Roman" w:cs="Times New Roman"/>
          <w:sz w:val="32"/>
        </w:rPr>
      </w:pPr>
      <w:r>
        <w:rPr>
          <w:rFonts w:ascii="Times New Roman" w:hAnsi="Times New Roman" w:cs="Times New Roman"/>
          <w:sz w:val="32"/>
        </w:rPr>
        <w:t>④调集应急救援所需物资、设备、工具，准备应急设施和避难场所，并确保其随时可以投入正常使用；</w:t>
      </w:r>
    </w:p>
    <w:p w14:paraId="5F4D7875">
      <w:pPr>
        <w:ind w:firstLine="632"/>
        <w:rPr>
          <w:rFonts w:ascii="Times New Roman" w:hAnsi="Times New Roman" w:cs="Times New Roman"/>
          <w:sz w:val="32"/>
        </w:rPr>
      </w:pPr>
      <w:r>
        <w:rPr>
          <w:rFonts w:ascii="Times New Roman" w:hAnsi="Times New Roman" w:cs="Times New Roman"/>
          <w:sz w:val="32"/>
        </w:rPr>
        <w:t>⑤配合有关部门加强对重要部位和重要基础设施的安全保卫；</w:t>
      </w:r>
    </w:p>
    <w:p w14:paraId="1118DD61">
      <w:pPr>
        <w:ind w:firstLine="632"/>
        <w:rPr>
          <w:rFonts w:ascii="Times New Roman" w:hAnsi="Times New Roman" w:cs="Times New Roman"/>
          <w:sz w:val="32"/>
        </w:rPr>
      </w:pPr>
      <w:r>
        <w:rPr>
          <w:rFonts w:ascii="Times New Roman" w:hAnsi="Times New Roman" w:cs="Times New Roman"/>
          <w:sz w:val="32"/>
        </w:rPr>
        <w:t>⑥报请县委、县政府协调有关部门，采取必要措施确保校舍、教学设备以及交通、通信、水、电、热、气等公共设施的安全和正常运行；</w:t>
      </w:r>
    </w:p>
    <w:p w14:paraId="60F53D4C">
      <w:pPr>
        <w:ind w:firstLine="632"/>
        <w:rPr>
          <w:rFonts w:ascii="Times New Roman" w:hAnsi="Times New Roman" w:cs="Times New Roman"/>
          <w:sz w:val="32"/>
        </w:rPr>
      </w:pPr>
      <w:r>
        <w:rPr>
          <w:rFonts w:ascii="Times New Roman" w:hAnsi="Times New Roman" w:cs="Times New Roman"/>
          <w:sz w:val="32"/>
        </w:rPr>
        <w:t>⑦转移、疏散或者撤离易受突发事件危害或波及的人员并予以妥善安置；</w:t>
      </w:r>
    </w:p>
    <w:p w14:paraId="4B1222A6">
      <w:pPr>
        <w:ind w:firstLine="632"/>
        <w:rPr>
          <w:rFonts w:ascii="Times New Roman" w:hAnsi="Times New Roman" w:cs="Times New Roman"/>
          <w:sz w:val="32"/>
        </w:rPr>
      </w:pPr>
      <w:r>
        <w:rPr>
          <w:rFonts w:ascii="Times New Roman" w:hAnsi="Times New Roman" w:cs="Times New Roman"/>
          <w:sz w:val="32"/>
        </w:rPr>
        <w:t>⑧关闭或者限制使用易受突发事件危害的场所，控制或者限制容易导致危害扩大的公共场所的活动，防止发生次生衍生危害；</w:t>
      </w:r>
    </w:p>
    <w:p w14:paraId="5549B8E0">
      <w:pPr>
        <w:ind w:firstLine="632"/>
        <w:rPr>
          <w:rFonts w:ascii="Times New Roman" w:hAnsi="Times New Roman" w:cs="Times New Roman"/>
          <w:sz w:val="32"/>
        </w:rPr>
      </w:pPr>
      <w:r>
        <w:rPr>
          <w:rFonts w:ascii="Times New Roman" w:hAnsi="Times New Roman" w:cs="Times New Roman"/>
          <w:sz w:val="32"/>
        </w:rPr>
        <w:t>⑨法律法规规定的其他必要的防范性、保护性措施。</w:t>
      </w:r>
    </w:p>
    <w:p w14:paraId="2F57272A">
      <w:pPr>
        <w:ind w:firstLine="632"/>
        <w:rPr>
          <w:rFonts w:ascii="Times New Roman" w:hAnsi="Times New Roman" w:cs="Times New Roman"/>
          <w:sz w:val="32"/>
        </w:rPr>
      </w:pPr>
      <w:r>
        <w:rPr>
          <w:rFonts w:ascii="Times New Roman" w:hAnsi="Times New Roman" w:cs="Times New Roman"/>
          <w:sz w:val="32"/>
        </w:rPr>
        <w:t>（4）解除预警警报。当县政府或突发事件牵头部门宣布解除预警时，县教育和体育局要准确、及时传达至属地学校，学校要准确、及时传达至全体师生和员工。县教育和体育局及学校应当按有关规定立即宣布解除警报，终止预警期，并解除已经采取的有关措施，尽快恢复正常教育教学和生活秩序。</w:t>
      </w:r>
    </w:p>
    <w:p w14:paraId="4F4B3AFC">
      <w:pPr>
        <w:pStyle w:val="2"/>
        <w:numPr>
          <w:ilvl w:val="0"/>
          <w:numId w:val="228"/>
        </w:numPr>
        <w:tabs>
          <w:tab w:val="left" w:pos="0"/>
        </w:tabs>
        <w:ind w:firstLine="0" w:firstLineChars="0"/>
        <w:rPr>
          <w:rFonts w:ascii="Times New Roman" w:hAnsi="Times New Roman" w:cs="Times New Roman"/>
          <w:sz w:val="32"/>
        </w:rPr>
      </w:pPr>
      <w:bookmarkStart w:id="1371" w:name="_Toc32554"/>
      <w:r>
        <w:rPr>
          <w:rFonts w:ascii="Times New Roman" w:hAnsi="Times New Roman" w:cs="Times New Roman"/>
          <w:sz w:val="32"/>
        </w:rPr>
        <w:t>信息报告</w:t>
      </w:r>
      <w:bookmarkEnd w:id="1371"/>
    </w:p>
    <w:p w14:paraId="6BF64729">
      <w:pPr>
        <w:pStyle w:val="3"/>
        <w:ind w:firstLine="0" w:firstLineChars="0"/>
        <w:rPr>
          <w:rFonts w:ascii="Times New Roman" w:hAnsi="Times New Roman" w:cs="Times New Roman"/>
          <w:sz w:val="32"/>
        </w:rPr>
      </w:pPr>
      <w:bookmarkStart w:id="1372" w:name="_Toc17885"/>
      <w:r>
        <w:rPr>
          <w:rFonts w:ascii="Times New Roman" w:hAnsi="Times New Roman" w:cs="Times New Roman"/>
          <w:sz w:val="32"/>
        </w:rPr>
        <w:t>报告原则及时限</w:t>
      </w:r>
      <w:bookmarkEnd w:id="1372"/>
    </w:p>
    <w:p w14:paraId="1436F977">
      <w:pPr>
        <w:ind w:firstLine="632"/>
        <w:rPr>
          <w:rFonts w:ascii="Times New Roman" w:hAnsi="Times New Roman" w:cs="Times New Roman"/>
          <w:sz w:val="32"/>
        </w:rPr>
      </w:pPr>
      <w:r>
        <w:rPr>
          <w:rFonts w:ascii="Times New Roman" w:hAnsi="Times New Roman" w:cs="Times New Roman"/>
          <w:sz w:val="32"/>
        </w:rPr>
        <w:t>教育系统突发公共事件信息要按照分级负责、条块结合，逐级上报的要求报送。事发学校应在事故发生后10分钟内上报县教育和体育局分管领导和主要领导。县教育和体育局接到报告或领导指令后，要立即联系事发校园收集事件基本情况信息，形成应急信息书面材料，经县教育和体育局主要领导审签后，在事故发生后40分钟内按要求报送县委、县政府、县应急管理局和双鸭山市教育局，并根据事件舆情动态及时安排做好舆情引导工作。</w:t>
      </w:r>
    </w:p>
    <w:p w14:paraId="7170466A">
      <w:pPr>
        <w:pStyle w:val="3"/>
        <w:ind w:firstLine="0" w:firstLineChars="0"/>
        <w:rPr>
          <w:rFonts w:ascii="Times New Roman" w:hAnsi="Times New Roman" w:cs="Times New Roman"/>
          <w:sz w:val="32"/>
        </w:rPr>
      </w:pPr>
      <w:bookmarkStart w:id="1373" w:name="_Toc6685"/>
      <w:r>
        <w:rPr>
          <w:rFonts w:ascii="Times New Roman" w:hAnsi="Times New Roman" w:cs="Times New Roman"/>
          <w:sz w:val="32"/>
        </w:rPr>
        <w:t>报告内容</w:t>
      </w:r>
      <w:bookmarkEnd w:id="1373"/>
    </w:p>
    <w:p w14:paraId="5808F884">
      <w:pPr>
        <w:ind w:firstLine="632"/>
        <w:rPr>
          <w:rFonts w:ascii="Times New Roman" w:hAnsi="Times New Roman" w:cs="Times New Roman"/>
          <w:sz w:val="32"/>
        </w:rPr>
      </w:pPr>
      <w:r>
        <w:rPr>
          <w:rFonts w:ascii="Times New Roman" w:hAnsi="Times New Roman" w:cs="Times New Roman"/>
          <w:sz w:val="32"/>
        </w:rPr>
        <w:t>（1）初次报告内容：事件发生时间、地点、规模、破坏程度、伤亡人数、可控程度、发展趋势、事件的初步性质和事故发生原因等。信息内容要客观详实、全面准确，不得漏报、谎报、迟报。</w:t>
      </w:r>
    </w:p>
    <w:p w14:paraId="56847109">
      <w:pPr>
        <w:ind w:firstLine="632"/>
        <w:rPr>
          <w:rFonts w:ascii="Times New Roman" w:hAnsi="Times New Roman" w:cs="Times New Roman"/>
          <w:sz w:val="32"/>
        </w:rPr>
      </w:pPr>
      <w:r>
        <w:rPr>
          <w:rFonts w:ascii="Times New Roman" w:hAnsi="Times New Roman" w:cs="Times New Roman"/>
          <w:sz w:val="32"/>
        </w:rPr>
        <w:t>（2）过程报告内容：事件发展状态、控制情况、伤情变化、事故分析、性质判断、采取措施、下一步处置安排等。</w:t>
      </w:r>
    </w:p>
    <w:p w14:paraId="0ACFF0BB">
      <w:pPr>
        <w:ind w:firstLine="632"/>
        <w:rPr>
          <w:rFonts w:ascii="Times New Roman" w:hAnsi="Times New Roman" w:cs="Times New Roman"/>
          <w:sz w:val="32"/>
        </w:rPr>
      </w:pPr>
      <w:r>
        <w:rPr>
          <w:rFonts w:ascii="Times New Roman" w:hAnsi="Times New Roman" w:cs="Times New Roman"/>
          <w:sz w:val="32"/>
        </w:rPr>
        <w:t>（3）结果报告内容：处理结果、影响程度、责任追究、整改情况等。</w:t>
      </w:r>
    </w:p>
    <w:p w14:paraId="6B60BA83">
      <w:pPr>
        <w:pStyle w:val="3"/>
        <w:ind w:firstLine="0" w:firstLineChars="0"/>
        <w:rPr>
          <w:rFonts w:ascii="Times New Roman" w:hAnsi="Times New Roman" w:cs="Times New Roman"/>
          <w:sz w:val="32"/>
        </w:rPr>
      </w:pPr>
      <w:r>
        <w:rPr>
          <w:rFonts w:ascii="Times New Roman" w:hAnsi="Times New Roman" w:cs="Times New Roman"/>
          <w:sz w:val="32"/>
        </w:rPr>
        <w:t>报告形式</w:t>
      </w:r>
    </w:p>
    <w:p w14:paraId="63784600">
      <w:pPr>
        <w:ind w:firstLine="632"/>
        <w:rPr>
          <w:rFonts w:ascii="Times New Roman" w:hAnsi="Times New Roman" w:cs="Times New Roman"/>
          <w:sz w:val="32"/>
        </w:rPr>
      </w:pPr>
      <w:r>
        <w:rPr>
          <w:rFonts w:ascii="Times New Roman" w:hAnsi="Times New Roman" w:cs="Times New Roman"/>
          <w:sz w:val="32"/>
        </w:rPr>
        <w:t>（1）话报告。在发生突发公共事件后，学校、教育培训机构在第一时间通过电话进行信息初步报告，有条件的使用保密电话或加密传真报告。</w:t>
      </w:r>
    </w:p>
    <w:p w14:paraId="2A2E450D">
      <w:pPr>
        <w:ind w:firstLine="632"/>
        <w:rPr>
          <w:rFonts w:ascii="Times New Roman" w:hAnsi="Times New Roman" w:cs="Times New Roman"/>
          <w:sz w:val="32"/>
        </w:rPr>
      </w:pPr>
      <w:r>
        <w:rPr>
          <w:rFonts w:ascii="Times New Roman" w:hAnsi="Times New Roman" w:cs="Times New Roman"/>
          <w:sz w:val="32"/>
        </w:rPr>
        <w:t>（2）紧急文件报告。学校、教育培训机构在信息报告过程中要以书面材料形式向县教育和体育局报告，县教育和体育局再以书面材料形式向县委、县政府、相关部门和上级教育主管部门报告。由于灾难事故原因导致无条件上报书面材料时，可先口头报告，事后补报书面材料。</w:t>
      </w:r>
    </w:p>
    <w:p w14:paraId="26D8FED0">
      <w:pPr>
        <w:pStyle w:val="3"/>
        <w:ind w:firstLine="0" w:firstLineChars="0"/>
        <w:rPr>
          <w:rFonts w:ascii="Times New Roman" w:hAnsi="Times New Roman" w:cs="Times New Roman"/>
          <w:sz w:val="32"/>
        </w:rPr>
      </w:pPr>
      <w:bookmarkStart w:id="1374" w:name="_Toc14180"/>
      <w:r>
        <w:rPr>
          <w:rFonts w:ascii="Times New Roman" w:hAnsi="Times New Roman" w:cs="Times New Roman"/>
          <w:sz w:val="32"/>
        </w:rPr>
        <w:t>信息发布</w:t>
      </w:r>
      <w:bookmarkEnd w:id="1374"/>
    </w:p>
    <w:p w14:paraId="3D374D7C">
      <w:pPr>
        <w:ind w:firstLine="632"/>
        <w:rPr>
          <w:rFonts w:ascii="Times New Roman" w:hAnsi="Times New Roman" w:cs="Times New Roman"/>
          <w:sz w:val="32"/>
        </w:rPr>
      </w:pPr>
      <w:r>
        <w:rPr>
          <w:rFonts w:ascii="Times New Roman" w:hAnsi="Times New Roman" w:cs="Times New Roman"/>
          <w:sz w:val="32"/>
        </w:rPr>
        <w:t>全县教育系统突发事件的信息发布工作，由负责领导指挥突发事件应对处置的人民政府或授权突发事件应急指挥机构，按照有关规定统一发布突发事件信息。突发事件应对处置的有关单位和个人不得擅自对外发布事件信息，任何单位和个人不得编造、传播有关突发事件事态发展或者应急处置虚假信息。</w:t>
      </w:r>
    </w:p>
    <w:p w14:paraId="49D87A78">
      <w:pPr>
        <w:ind w:firstLine="632"/>
        <w:rPr>
          <w:rFonts w:ascii="Times New Roman" w:hAnsi="Times New Roman" w:cs="Times New Roman"/>
          <w:sz w:val="32"/>
        </w:rPr>
      </w:pPr>
      <w:r>
        <w:rPr>
          <w:rFonts w:ascii="Times New Roman" w:hAnsi="Times New Roman" w:cs="Times New Roman"/>
          <w:sz w:val="32"/>
        </w:rPr>
        <w:t>信息发布要全面、客观、准确、及时。重大信息发布应当按照有关程序履行审批手续，对较为复杂的事件，可分阶段公布，先简要发布基本事实。对于影响重大的突发公共事件处置结果，根据需要及时发布。</w:t>
      </w:r>
    </w:p>
    <w:p w14:paraId="7A4F4118">
      <w:pPr>
        <w:pStyle w:val="2"/>
        <w:numPr>
          <w:ilvl w:val="0"/>
          <w:numId w:val="228"/>
        </w:numPr>
        <w:tabs>
          <w:tab w:val="left" w:pos="0"/>
        </w:tabs>
        <w:ind w:firstLine="0" w:firstLineChars="0"/>
        <w:rPr>
          <w:rFonts w:ascii="Times New Roman" w:hAnsi="Times New Roman" w:cs="Times New Roman"/>
          <w:sz w:val="32"/>
        </w:rPr>
      </w:pPr>
      <w:bookmarkStart w:id="1375" w:name="_Toc17478"/>
      <w:r>
        <w:rPr>
          <w:rFonts w:ascii="Times New Roman" w:hAnsi="Times New Roman" w:cs="Times New Roman"/>
          <w:sz w:val="32"/>
        </w:rPr>
        <w:t>应急响应</w:t>
      </w:r>
      <w:bookmarkEnd w:id="1375"/>
    </w:p>
    <w:p w14:paraId="11A08A6F">
      <w:pPr>
        <w:pStyle w:val="3"/>
        <w:ind w:firstLine="0" w:firstLineChars="0"/>
        <w:rPr>
          <w:rFonts w:ascii="Times New Roman" w:hAnsi="Times New Roman" w:cs="Times New Roman"/>
          <w:sz w:val="32"/>
        </w:rPr>
      </w:pPr>
      <w:bookmarkStart w:id="1376" w:name="_Toc31199"/>
      <w:r>
        <w:rPr>
          <w:rFonts w:ascii="Times New Roman" w:hAnsi="Times New Roman" w:cs="Times New Roman"/>
          <w:sz w:val="32"/>
        </w:rPr>
        <w:t>先期处置</w:t>
      </w:r>
      <w:bookmarkEnd w:id="1376"/>
    </w:p>
    <w:p w14:paraId="2929D6A4">
      <w:pPr>
        <w:ind w:firstLine="632"/>
        <w:rPr>
          <w:rFonts w:ascii="Times New Roman" w:hAnsi="Times New Roman" w:cs="Times New Roman"/>
          <w:sz w:val="32"/>
        </w:rPr>
      </w:pPr>
      <w:r>
        <w:rPr>
          <w:rFonts w:ascii="Times New Roman" w:hAnsi="Times New Roman" w:cs="Times New Roman"/>
          <w:sz w:val="32"/>
        </w:rPr>
        <w:t>涉及教育系统的突发事件发生后，事件发生学校要立即启动应急预案，采取有效措施控制事态发展，组织开展先期应急救援和处置工作，应当迅速收集事件信息，立即获取、整理受影响情况，及时向县教育和体育局报告，必要时可以越级上报。</w:t>
      </w:r>
    </w:p>
    <w:p w14:paraId="718B84EE">
      <w:pPr>
        <w:pStyle w:val="3"/>
        <w:ind w:firstLine="0" w:firstLineChars="0"/>
        <w:rPr>
          <w:rFonts w:ascii="Times New Roman" w:hAnsi="Times New Roman" w:cs="Times New Roman"/>
          <w:sz w:val="32"/>
        </w:rPr>
      </w:pPr>
      <w:bookmarkStart w:id="1377" w:name="_Toc4746"/>
      <w:r>
        <w:rPr>
          <w:rFonts w:ascii="Times New Roman" w:hAnsi="Times New Roman" w:cs="Times New Roman"/>
          <w:sz w:val="32"/>
        </w:rPr>
        <w:t>协调配合</w:t>
      </w:r>
      <w:bookmarkEnd w:id="1377"/>
    </w:p>
    <w:p w14:paraId="546AC87A">
      <w:pPr>
        <w:ind w:firstLine="632"/>
        <w:rPr>
          <w:rFonts w:ascii="Times New Roman" w:hAnsi="Times New Roman" w:cs="Times New Roman"/>
          <w:sz w:val="32"/>
        </w:rPr>
      </w:pPr>
      <w:r>
        <w:rPr>
          <w:rFonts w:ascii="Times New Roman" w:hAnsi="Times New Roman" w:cs="Times New Roman"/>
          <w:sz w:val="32"/>
        </w:rPr>
        <w:t>事件发生学校根据突发事件的类别、特点和处置工作需要，在县教育应急指挥部统一指挥下开展应急处置工作。上级教育行政部门对事发地教育行政部门的应急处置工作给予指导。</w:t>
      </w:r>
    </w:p>
    <w:p w14:paraId="191A6FC4">
      <w:pPr>
        <w:pStyle w:val="3"/>
        <w:ind w:firstLine="0" w:firstLineChars="0"/>
        <w:rPr>
          <w:rFonts w:ascii="Times New Roman" w:hAnsi="Times New Roman" w:cs="Times New Roman"/>
          <w:sz w:val="32"/>
        </w:rPr>
      </w:pPr>
      <w:bookmarkStart w:id="1378" w:name="_Toc29078"/>
      <w:r>
        <w:rPr>
          <w:rFonts w:ascii="Times New Roman" w:hAnsi="Times New Roman" w:cs="Times New Roman"/>
          <w:sz w:val="32"/>
        </w:rPr>
        <w:t>分级响应</w:t>
      </w:r>
      <w:bookmarkEnd w:id="1378"/>
    </w:p>
    <w:p w14:paraId="5E8C716E">
      <w:pPr>
        <w:ind w:firstLine="632"/>
        <w:rPr>
          <w:rFonts w:ascii="Times New Roman" w:hAnsi="Times New Roman" w:cs="Times New Roman"/>
          <w:sz w:val="32"/>
        </w:rPr>
      </w:pPr>
      <w:r>
        <w:rPr>
          <w:rFonts w:ascii="Times New Roman" w:hAnsi="Times New Roman" w:cs="Times New Roman"/>
          <w:sz w:val="32"/>
        </w:rPr>
        <w:t>县教育应急指挥部根据事故的级别启动相应级别应急预案，按照快速反应、统一指挥、协同配合的原则，迅速开展应急救援处置工作。超出本级救援处置能力时，及时报请上一级应急救援指挥机构启动高一级别应急预案。</w:t>
      </w:r>
    </w:p>
    <w:p w14:paraId="3F11303B">
      <w:pPr>
        <w:pStyle w:val="4"/>
        <w:numPr>
          <w:ilvl w:val="2"/>
          <w:numId w:val="228"/>
        </w:numPr>
        <w:tabs>
          <w:tab w:val="left" w:pos="0"/>
        </w:tabs>
        <w:ind w:firstLine="0" w:firstLineChars="0"/>
        <w:rPr>
          <w:rFonts w:ascii="Times New Roman" w:hAnsi="Times New Roman" w:cs="Times New Roman"/>
          <w:sz w:val="32"/>
        </w:rPr>
      </w:pPr>
      <w:r>
        <w:rPr>
          <w:rFonts w:ascii="Times New Roman" w:hAnsi="Times New Roman" w:cs="Times New Roman"/>
          <w:sz w:val="32"/>
        </w:rPr>
        <w:t>一般事件（Ⅳ级）应急响应</w:t>
      </w:r>
    </w:p>
    <w:p w14:paraId="10A3169D">
      <w:pPr>
        <w:ind w:firstLine="632"/>
        <w:rPr>
          <w:rFonts w:ascii="Times New Roman" w:hAnsi="Times New Roman" w:cs="Times New Roman"/>
          <w:sz w:val="32"/>
        </w:rPr>
      </w:pPr>
      <w:r>
        <w:rPr>
          <w:rFonts w:ascii="Times New Roman" w:hAnsi="Times New Roman" w:cs="Times New Roman"/>
          <w:sz w:val="32"/>
        </w:rPr>
        <w:t>（1）一般事件由事发学校按照本学校应急预案进行先期处置，同时依规定逐级上报；</w:t>
      </w:r>
    </w:p>
    <w:p w14:paraId="7B0B5C45">
      <w:pPr>
        <w:ind w:firstLine="632"/>
        <w:rPr>
          <w:rFonts w:ascii="Times New Roman" w:hAnsi="Times New Roman" w:cs="Times New Roman"/>
          <w:sz w:val="32"/>
        </w:rPr>
      </w:pPr>
      <w:r>
        <w:rPr>
          <w:rFonts w:ascii="Times New Roman" w:hAnsi="Times New Roman" w:cs="Times New Roman"/>
          <w:sz w:val="32"/>
        </w:rPr>
        <w:t>（2）根据突发事件类别，性质和救援工作的需要，分类指导做好现场应急处置工作。</w:t>
      </w:r>
    </w:p>
    <w:p w14:paraId="5BE8CE4B">
      <w:pPr>
        <w:pStyle w:val="4"/>
        <w:numPr>
          <w:ilvl w:val="2"/>
          <w:numId w:val="228"/>
        </w:numPr>
        <w:tabs>
          <w:tab w:val="left" w:pos="0"/>
        </w:tabs>
        <w:ind w:firstLine="0" w:firstLineChars="0"/>
        <w:rPr>
          <w:rFonts w:ascii="Times New Roman" w:hAnsi="Times New Roman" w:cs="Times New Roman"/>
          <w:sz w:val="32"/>
        </w:rPr>
      </w:pPr>
      <w:r>
        <w:rPr>
          <w:rFonts w:ascii="Times New Roman" w:hAnsi="Times New Roman" w:cs="Times New Roman"/>
          <w:sz w:val="32"/>
        </w:rPr>
        <w:t>较大（Ⅲ级）及以上级别事件应急响应</w:t>
      </w:r>
    </w:p>
    <w:p w14:paraId="402B4A0C">
      <w:pPr>
        <w:ind w:firstLine="632"/>
        <w:rPr>
          <w:rFonts w:ascii="Times New Roman" w:hAnsi="Times New Roman" w:cs="Times New Roman"/>
          <w:sz w:val="32"/>
        </w:rPr>
      </w:pPr>
      <w:r>
        <w:rPr>
          <w:rFonts w:ascii="Times New Roman" w:hAnsi="Times New Roman" w:cs="Times New Roman"/>
          <w:sz w:val="32"/>
        </w:rPr>
        <w:t>（1）县教育应急指挥部应立即做出响应，按照“统一指挥、属地管理、专业处置”的要求，会同抢险、通信、救援、医疗卫生等专业处置工作组，到位开展应急处置工作；</w:t>
      </w:r>
    </w:p>
    <w:p w14:paraId="79D2A0A8">
      <w:pPr>
        <w:ind w:firstLine="632"/>
        <w:rPr>
          <w:rFonts w:ascii="Times New Roman" w:hAnsi="Times New Roman" w:cs="Times New Roman"/>
          <w:sz w:val="32"/>
        </w:rPr>
      </w:pPr>
      <w:r>
        <w:rPr>
          <w:rFonts w:ascii="Times New Roman" w:hAnsi="Times New Roman" w:cs="Times New Roman"/>
          <w:sz w:val="32"/>
        </w:rPr>
        <w:t>（2）协同有关部门维护好辖区事发学校的治安秩序，做好交通保障、人员疏散、人员安置等各项工作，尽全力防止紧急事态进一步扩大；及时掌握事件进展情况，随时向当地党委、政府报告；</w:t>
      </w:r>
    </w:p>
    <w:p w14:paraId="4310FBF7">
      <w:pPr>
        <w:ind w:firstLine="632"/>
        <w:rPr>
          <w:rFonts w:ascii="Times New Roman" w:hAnsi="Times New Roman" w:cs="Times New Roman"/>
          <w:sz w:val="32"/>
        </w:rPr>
      </w:pPr>
      <w:r>
        <w:rPr>
          <w:rFonts w:ascii="Times New Roman" w:hAnsi="Times New Roman" w:cs="Times New Roman"/>
          <w:sz w:val="32"/>
        </w:rPr>
        <w:t>（3）随时跟踪事态的进展情况，根据事故类别向县委、县政府报告，申请协调其他应急资源参与处置工作，并按照专业队伍为主体、教育行政部门为辅助的原则，调动应急抢险救援队伍；</w:t>
      </w:r>
    </w:p>
    <w:p w14:paraId="6B15CFED">
      <w:pPr>
        <w:ind w:firstLine="632"/>
        <w:rPr>
          <w:rFonts w:ascii="Times New Roman" w:hAnsi="Times New Roman" w:cs="Times New Roman"/>
          <w:sz w:val="32"/>
        </w:rPr>
      </w:pPr>
      <w:r>
        <w:rPr>
          <w:rFonts w:ascii="Times New Roman" w:hAnsi="Times New Roman" w:cs="Times New Roman"/>
          <w:sz w:val="32"/>
        </w:rPr>
        <w:t>（4）积极协调保险机构开展保险受理、赔付等工作。</w:t>
      </w:r>
    </w:p>
    <w:p w14:paraId="7CC5BBCB">
      <w:pPr>
        <w:pStyle w:val="3"/>
        <w:ind w:firstLine="0" w:firstLineChars="0"/>
        <w:rPr>
          <w:rFonts w:ascii="Times New Roman" w:hAnsi="Times New Roman" w:cs="Times New Roman"/>
          <w:sz w:val="32"/>
        </w:rPr>
      </w:pPr>
      <w:bookmarkStart w:id="1379" w:name="_Toc6396"/>
      <w:r>
        <w:rPr>
          <w:rFonts w:ascii="Times New Roman" w:hAnsi="Times New Roman" w:cs="Times New Roman"/>
          <w:sz w:val="32"/>
        </w:rPr>
        <w:t>现场处置</w:t>
      </w:r>
      <w:bookmarkEnd w:id="1379"/>
    </w:p>
    <w:p w14:paraId="73F72B93">
      <w:pPr>
        <w:ind w:firstLine="632"/>
        <w:rPr>
          <w:rFonts w:ascii="Times New Roman" w:hAnsi="Times New Roman" w:cs="Times New Roman"/>
          <w:sz w:val="32"/>
        </w:rPr>
      </w:pPr>
      <w:r>
        <w:rPr>
          <w:rFonts w:ascii="Times New Roman" w:hAnsi="Times New Roman" w:cs="Times New Roman"/>
          <w:sz w:val="32"/>
        </w:rPr>
        <w:t>事件发生后，事发学校在迅速组织抢险救护工作的同时，对事故现场实行严格保护，严格控制社会闲杂人员和家长进入校园，防止与重大事件有关的残骸、物品、文件等被随意挪动或丢失。因抢救人员、疏通交通等原因需要移动现场物件的，应当做出标志或绘制现场简图并写出书面记录，妥善保存现场重要痕迹、物证。</w:t>
      </w:r>
    </w:p>
    <w:p w14:paraId="6BB24E87">
      <w:pPr>
        <w:pStyle w:val="3"/>
        <w:ind w:firstLine="0" w:firstLineChars="0"/>
        <w:rPr>
          <w:rFonts w:ascii="Times New Roman" w:hAnsi="Times New Roman" w:cs="Times New Roman"/>
          <w:sz w:val="32"/>
        </w:rPr>
      </w:pPr>
      <w:bookmarkStart w:id="1380" w:name="_Toc22039"/>
      <w:r>
        <w:rPr>
          <w:rFonts w:ascii="Times New Roman" w:hAnsi="Times New Roman" w:cs="Times New Roman"/>
          <w:sz w:val="32"/>
        </w:rPr>
        <w:t>应急结束</w:t>
      </w:r>
      <w:bookmarkEnd w:id="1380"/>
    </w:p>
    <w:p w14:paraId="77171B60">
      <w:pPr>
        <w:ind w:firstLine="632"/>
        <w:rPr>
          <w:rFonts w:ascii="Times New Roman" w:hAnsi="Times New Roman" w:cs="Times New Roman"/>
          <w:sz w:val="32"/>
        </w:rPr>
      </w:pPr>
      <w:r>
        <w:rPr>
          <w:rFonts w:ascii="Times New Roman" w:hAnsi="Times New Roman" w:cs="Times New Roman"/>
          <w:sz w:val="32"/>
        </w:rPr>
        <w:t>学校突发公共事件处置工作基本完成，次生、衍生和事件危害被基本消除，应急处置工作即告结束。</w:t>
      </w:r>
    </w:p>
    <w:p w14:paraId="1178F42B">
      <w:pPr>
        <w:ind w:firstLine="632"/>
        <w:rPr>
          <w:rFonts w:ascii="Times New Roman" w:hAnsi="Times New Roman" w:cs="Times New Roman"/>
          <w:sz w:val="32"/>
        </w:rPr>
      </w:pPr>
      <w:r>
        <w:rPr>
          <w:rFonts w:ascii="Times New Roman" w:hAnsi="Times New Roman" w:cs="Times New Roman"/>
          <w:sz w:val="32"/>
        </w:rPr>
        <w:t>学校突发公共事件应急处置工作结束后，承担事件处置工作的县教育应急指挥部，需将应急处置工作情况按照事件等级上报县政府，报请批准后，做出同意应急结束的决定。</w:t>
      </w:r>
    </w:p>
    <w:p w14:paraId="7E9384FB">
      <w:pPr>
        <w:pStyle w:val="2"/>
        <w:numPr>
          <w:ilvl w:val="0"/>
          <w:numId w:val="228"/>
        </w:numPr>
        <w:tabs>
          <w:tab w:val="left" w:pos="0"/>
        </w:tabs>
        <w:ind w:firstLine="0" w:firstLineChars="0"/>
        <w:rPr>
          <w:rFonts w:ascii="Times New Roman" w:hAnsi="Times New Roman" w:cs="Times New Roman"/>
          <w:sz w:val="32"/>
        </w:rPr>
      </w:pPr>
      <w:bookmarkStart w:id="1381" w:name="_Toc16912"/>
      <w:r>
        <w:rPr>
          <w:rFonts w:ascii="Times New Roman" w:hAnsi="Times New Roman" w:cs="Times New Roman"/>
          <w:sz w:val="32"/>
        </w:rPr>
        <w:t>学校常见突发公共事件应急响应措施</w:t>
      </w:r>
      <w:bookmarkEnd w:id="1381"/>
    </w:p>
    <w:p w14:paraId="62A0655C">
      <w:pPr>
        <w:pStyle w:val="3"/>
        <w:ind w:firstLine="0" w:firstLineChars="0"/>
        <w:rPr>
          <w:rFonts w:ascii="Times New Roman" w:hAnsi="Times New Roman" w:cs="Times New Roman"/>
          <w:sz w:val="32"/>
        </w:rPr>
      </w:pPr>
      <w:bookmarkStart w:id="1382" w:name="_Toc7358"/>
      <w:r>
        <w:rPr>
          <w:rFonts w:ascii="Times New Roman" w:hAnsi="Times New Roman" w:cs="Times New Roman"/>
          <w:sz w:val="32"/>
        </w:rPr>
        <w:t>总体类事故</w:t>
      </w:r>
      <w:bookmarkEnd w:id="1382"/>
    </w:p>
    <w:p w14:paraId="29EC5105">
      <w:pPr>
        <w:pStyle w:val="4"/>
        <w:numPr>
          <w:ilvl w:val="2"/>
          <w:numId w:val="228"/>
        </w:numPr>
        <w:tabs>
          <w:tab w:val="left" w:pos="0"/>
        </w:tabs>
        <w:ind w:firstLine="0" w:firstLineChars="0"/>
        <w:rPr>
          <w:rFonts w:ascii="Times New Roman" w:hAnsi="Times New Roman" w:cs="Times New Roman"/>
          <w:sz w:val="32"/>
        </w:rPr>
      </w:pPr>
      <w:r>
        <w:rPr>
          <w:rFonts w:ascii="Times New Roman" w:hAnsi="Times New Roman" w:cs="Times New Roman"/>
          <w:sz w:val="32"/>
        </w:rPr>
        <w:t>自然灾害、事故灾害或公共卫生类事件</w:t>
      </w:r>
    </w:p>
    <w:p w14:paraId="2EE6B060">
      <w:pPr>
        <w:ind w:firstLine="632"/>
        <w:rPr>
          <w:rFonts w:ascii="Times New Roman" w:hAnsi="Times New Roman" w:cs="Times New Roman"/>
          <w:sz w:val="32"/>
        </w:rPr>
      </w:pPr>
      <w:r>
        <w:rPr>
          <w:rFonts w:ascii="Times New Roman" w:hAnsi="Times New Roman" w:cs="Times New Roman"/>
          <w:sz w:val="32"/>
        </w:rPr>
        <w:t>自然灾害、事故灾害或公共卫生事件发生后，县教育和体育局和有关学校在县委、县政府的统一领导下，结合相应的专项应急预案，采取下列一项或者多项应急处置措施：</w:t>
      </w:r>
    </w:p>
    <w:p w14:paraId="5423FB10">
      <w:pPr>
        <w:ind w:firstLine="632"/>
        <w:rPr>
          <w:rFonts w:ascii="Times New Roman" w:hAnsi="Times New Roman" w:cs="Times New Roman"/>
          <w:sz w:val="32"/>
        </w:rPr>
      </w:pPr>
      <w:r>
        <w:rPr>
          <w:rFonts w:ascii="Times New Roman" w:hAnsi="Times New Roman" w:cs="Times New Roman"/>
          <w:sz w:val="32"/>
        </w:rPr>
        <w:t>（1）营救人员。配合有关部门组织营救和救治受害人员，疏散、撤离并妥善安置受到威胁的人员，必要时可报请有关部门组织现场救援或医疗卫生专业队伍，赶赴现场开展医疗救治、心理疏导等工作；</w:t>
      </w:r>
    </w:p>
    <w:p w14:paraId="2DFFA3EA">
      <w:pPr>
        <w:ind w:firstLine="632"/>
        <w:rPr>
          <w:rFonts w:ascii="Times New Roman" w:hAnsi="Times New Roman" w:cs="Times New Roman"/>
          <w:sz w:val="32"/>
        </w:rPr>
      </w:pPr>
      <w:r>
        <w:rPr>
          <w:rFonts w:ascii="Times New Roman" w:hAnsi="Times New Roman" w:cs="Times New Roman"/>
          <w:sz w:val="32"/>
        </w:rPr>
        <w:t>（2）获取信息。配合相关部门运用一切手段获取现场建筑物、基础设施损毁情况，掌握重要目标物、重要场所、人员分布等关键信息，及时向本级应急指挥机构和上级主管部门报告；</w:t>
      </w:r>
    </w:p>
    <w:p w14:paraId="608F0C93">
      <w:pPr>
        <w:ind w:firstLine="632"/>
        <w:rPr>
          <w:rFonts w:ascii="Times New Roman" w:hAnsi="Times New Roman" w:cs="Times New Roman"/>
          <w:sz w:val="32"/>
        </w:rPr>
      </w:pPr>
      <w:r>
        <w:rPr>
          <w:rFonts w:ascii="Times New Roman" w:hAnsi="Times New Roman" w:cs="Times New Roman"/>
          <w:sz w:val="32"/>
        </w:rPr>
        <w:t>（3）现场管控。配合相关部门迅速控制危险源，标明危险区域，封闭危险场所，划定警戒区，必要时报请公安等有关部门实行交通管制以及其他控制措施，确保安全通道畅通，保证抢险救灾物资和人员及时、安全送达；</w:t>
      </w:r>
    </w:p>
    <w:p w14:paraId="7ADC33B8">
      <w:pPr>
        <w:ind w:firstLine="632"/>
        <w:rPr>
          <w:rFonts w:ascii="Times New Roman" w:hAnsi="Times New Roman" w:cs="Times New Roman"/>
          <w:sz w:val="32"/>
        </w:rPr>
      </w:pPr>
      <w:r>
        <w:rPr>
          <w:rFonts w:ascii="Times New Roman" w:hAnsi="Times New Roman" w:cs="Times New Roman"/>
          <w:sz w:val="32"/>
        </w:rPr>
        <w:t>（4）加强保护。禁止或者限制使用有关设备、设施，关闭或者限制使用有关场所，中止可能导致危害扩大的活动以及采取其他保护措施；</w:t>
      </w:r>
    </w:p>
    <w:p w14:paraId="133D21F0">
      <w:pPr>
        <w:ind w:firstLine="632"/>
        <w:rPr>
          <w:rFonts w:ascii="Times New Roman" w:hAnsi="Times New Roman" w:cs="Times New Roman"/>
          <w:sz w:val="32"/>
        </w:rPr>
      </w:pPr>
      <w:r>
        <w:rPr>
          <w:rFonts w:ascii="Times New Roman" w:hAnsi="Times New Roman" w:cs="Times New Roman"/>
          <w:sz w:val="32"/>
        </w:rPr>
        <w:t>（5）保障供应。做好受灾师生员工的基本生活保障工作，提供食品、饮用水、衣被等基本生活必需品和临时住所，确保受灾师生员工正常生活。启用储备的应急救援物资，必要时报告当地指挥机构或上级教育行政部门调用其他应急物资、教学设备等；</w:t>
      </w:r>
    </w:p>
    <w:p w14:paraId="6527D31D">
      <w:pPr>
        <w:ind w:firstLine="632"/>
        <w:rPr>
          <w:rFonts w:ascii="Times New Roman" w:hAnsi="Times New Roman" w:cs="Times New Roman"/>
          <w:sz w:val="32"/>
        </w:rPr>
      </w:pPr>
      <w:r>
        <w:rPr>
          <w:rFonts w:ascii="Times New Roman" w:hAnsi="Times New Roman" w:cs="Times New Roman"/>
          <w:sz w:val="32"/>
        </w:rPr>
        <w:t>（6）恢复设施。配合、协调相关部门抢修被损的校舍、教学设备以及交通、通信、水、电、热、气等公共设施，暂时难以恢复的，要实施临时过渡方案，保障教学秩序及生活基本正常；</w:t>
      </w:r>
    </w:p>
    <w:p w14:paraId="19A13A46">
      <w:pPr>
        <w:ind w:firstLine="632"/>
        <w:rPr>
          <w:rFonts w:ascii="Times New Roman" w:hAnsi="Times New Roman" w:cs="Times New Roman"/>
          <w:sz w:val="32"/>
        </w:rPr>
      </w:pPr>
      <w:r>
        <w:rPr>
          <w:rFonts w:ascii="Times New Roman" w:hAnsi="Times New Roman" w:cs="Times New Roman"/>
          <w:sz w:val="32"/>
        </w:rPr>
        <w:t>（7）维护稳定。配合、协调有关部门加强对学校重要部位、应急物资集散点等重要目标的警戒和保护，依法维护校园治安秩序和稳定；</w:t>
      </w:r>
    </w:p>
    <w:p w14:paraId="70C2AD3E">
      <w:pPr>
        <w:ind w:firstLine="632"/>
        <w:rPr>
          <w:rFonts w:ascii="Times New Roman" w:hAnsi="Times New Roman" w:cs="Times New Roman"/>
          <w:sz w:val="32"/>
        </w:rPr>
      </w:pPr>
      <w:r>
        <w:rPr>
          <w:rFonts w:ascii="Times New Roman" w:hAnsi="Times New Roman" w:cs="Times New Roman"/>
          <w:sz w:val="32"/>
        </w:rPr>
        <w:t>（8）控制影响。配合相关部门加强监测预警措施，防止次生衍生事件发生，扩大事态，加剧影响；</w:t>
      </w:r>
    </w:p>
    <w:p w14:paraId="7CDE9053">
      <w:pPr>
        <w:ind w:firstLine="632"/>
        <w:rPr>
          <w:rFonts w:ascii="Times New Roman" w:hAnsi="Times New Roman" w:cs="Times New Roman"/>
          <w:sz w:val="32"/>
        </w:rPr>
      </w:pPr>
      <w:r>
        <w:rPr>
          <w:rFonts w:ascii="Times New Roman" w:hAnsi="Times New Roman" w:cs="Times New Roman"/>
          <w:sz w:val="32"/>
        </w:rPr>
        <w:t>（9）舆论引导。会同相关部门加强舆情监控，密切关注舆情动态，多渠道搜集舆情信息，并及时将相关舆情信息按程序报告。配合相关部门依法打击制造谣言、蛊惑人心等违法行为；</w:t>
      </w:r>
    </w:p>
    <w:p w14:paraId="125ECBB5">
      <w:pPr>
        <w:ind w:firstLine="632"/>
        <w:rPr>
          <w:rFonts w:ascii="Times New Roman" w:hAnsi="Times New Roman" w:cs="Times New Roman"/>
          <w:sz w:val="32"/>
        </w:rPr>
      </w:pPr>
      <w:r>
        <w:rPr>
          <w:rFonts w:ascii="Times New Roman" w:hAnsi="Times New Roman" w:cs="Times New Roman"/>
          <w:sz w:val="32"/>
        </w:rPr>
        <w:t>（10）善后处置。开展遇难人员善后处置工作，妥善处理遇难人员遗体，做好遇难人员家属安抚和心理疏导等工作。</w:t>
      </w:r>
    </w:p>
    <w:p w14:paraId="35B15221">
      <w:pPr>
        <w:pStyle w:val="4"/>
        <w:numPr>
          <w:ilvl w:val="2"/>
          <w:numId w:val="228"/>
        </w:numPr>
        <w:tabs>
          <w:tab w:val="left" w:pos="0"/>
        </w:tabs>
        <w:ind w:firstLine="0" w:firstLineChars="0"/>
        <w:rPr>
          <w:rFonts w:ascii="Times New Roman" w:hAnsi="Times New Roman" w:cs="Times New Roman"/>
          <w:sz w:val="32"/>
        </w:rPr>
      </w:pPr>
      <w:r>
        <w:rPr>
          <w:rFonts w:ascii="Times New Roman" w:hAnsi="Times New Roman" w:cs="Times New Roman"/>
          <w:sz w:val="32"/>
        </w:rPr>
        <w:t>社会安全类事件</w:t>
      </w:r>
    </w:p>
    <w:p w14:paraId="5FACBE27">
      <w:pPr>
        <w:ind w:firstLine="632"/>
        <w:rPr>
          <w:rFonts w:ascii="Times New Roman" w:hAnsi="Times New Roman" w:cs="Times New Roman"/>
          <w:sz w:val="32"/>
        </w:rPr>
      </w:pPr>
      <w:r>
        <w:rPr>
          <w:rFonts w:ascii="Times New Roman" w:hAnsi="Times New Roman" w:cs="Times New Roman"/>
          <w:sz w:val="32"/>
        </w:rPr>
        <w:t>社会安全类事件发生后，县教育和体育局和学校、应当在第一时间报警，并在县委、县政府的统一领导下，结合相应的应急预案，会同相关部门采取下列一项或者多项应急处置措施：</w:t>
      </w:r>
    </w:p>
    <w:p w14:paraId="0CDB947C">
      <w:pPr>
        <w:ind w:firstLine="632"/>
        <w:rPr>
          <w:rFonts w:ascii="Times New Roman" w:hAnsi="Times New Roman" w:cs="Times New Roman"/>
          <w:sz w:val="32"/>
        </w:rPr>
      </w:pPr>
      <w:r>
        <w:rPr>
          <w:rFonts w:ascii="Times New Roman" w:hAnsi="Times New Roman" w:cs="Times New Roman"/>
          <w:sz w:val="32"/>
        </w:rPr>
        <w:t>（1）疏导化解矛盾。对可能影响师生情绪并引发群体性事件的矛盾和问题，相关负责人第一时间到场指挥，立即动员组织相关部门干部、党员、班主任、骨干教师、班团干部深入师生开展教育引导、政策解释等工作，及时化解矛盾、疏导情绪、稳定局面；</w:t>
      </w:r>
    </w:p>
    <w:p w14:paraId="53FD59E3">
      <w:pPr>
        <w:ind w:firstLine="632"/>
        <w:rPr>
          <w:rFonts w:ascii="Times New Roman" w:hAnsi="Times New Roman" w:cs="Times New Roman"/>
          <w:sz w:val="32"/>
        </w:rPr>
      </w:pPr>
      <w:r>
        <w:rPr>
          <w:rFonts w:ascii="Times New Roman" w:hAnsi="Times New Roman" w:cs="Times New Roman"/>
          <w:sz w:val="32"/>
        </w:rPr>
        <w:t>（2）控制事态发展。配合相关部门维护现场治安秩序，对参与群体性事件的涉事师生要立即进行劝阻和带离现场，对使用器械相互对抗或以暴力行为参与冲突的当事人实行强制隔离，妥善解决现场纠纷和争端；</w:t>
      </w:r>
    </w:p>
    <w:p w14:paraId="36E56611">
      <w:pPr>
        <w:ind w:firstLine="632"/>
        <w:rPr>
          <w:rFonts w:ascii="Times New Roman" w:hAnsi="Times New Roman" w:cs="Times New Roman"/>
          <w:sz w:val="32"/>
        </w:rPr>
      </w:pPr>
      <w:r>
        <w:rPr>
          <w:rFonts w:ascii="Times New Roman" w:hAnsi="Times New Roman" w:cs="Times New Roman"/>
          <w:sz w:val="32"/>
        </w:rPr>
        <w:t>（3）管控公共设施。配合相关部门对学校内特定区域内的建筑物、交通工具、设备、设施以及燃料、燃气、水、电的供应进行控制，必要时报请有关部门依法对网络、通信等进行管控；</w:t>
      </w:r>
    </w:p>
    <w:p w14:paraId="562D9F42">
      <w:pPr>
        <w:ind w:firstLine="632"/>
        <w:rPr>
          <w:rFonts w:ascii="Times New Roman" w:hAnsi="Times New Roman" w:cs="Times New Roman"/>
          <w:sz w:val="32"/>
        </w:rPr>
      </w:pPr>
      <w:r>
        <w:rPr>
          <w:rFonts w:ascii="Times New Roman" w:hAnsi="Times New Roman" w:cs="Times New Roman"/>
          <w:sz w:val="32"/>
        </w:rPr>
        <w:t>（4）封闭公共场所。封闭学校内有关场所，限制校园内公共场所的活动。协调相关部门对有关道路实施交通管制，查验现场人员的身份证件；</w:t>
      </w:r>
    </w:p>
    <w:p w14:paraId="09B4CDD4">
      <w:pPr>
        <w:ind w:firstLine="632"/>
        <w:rPr>
          <w:rFonts w:ascii="Times New Roman" w:hAnsi="Times New Roman" w:cs="Times New Roman"/>
          <w:sz w:val="32"/>
        </w:rPr>
      </w:pPr>
      <w:r>
        <w:rPr>
          <w:rFonts w:ascii="Times New Roman" w:hAnsi="Times New Roman" w:cs="Times New Roman"/>
          <w:sz w:val="32"/>
        </w:rPr>
        <w:t>（5）保护重点目标。配合相关单位加强对易受冲击的重点单位、重要场所的安全保卫，在校园重要部位附近设置临时警戒线，加强对重点敏感人员、场所、部位和标志性建筑的安全保护；</w:t>
      </w:r>
    </w:p>
    <w:p w14:paraId="1D900F36">
      <w:pPr>
        <w:ind w:firstLine="632"/>
        <w:rPr>
          <w:rFonts w:ascii="Times New Roman" w:hAnsi="Times New Roman" w:cs="Times New Roman"/>
          <w:sz w:val="32"/>
        </w:rPr>
      </w:pPr>
      <w:r>
        <w:rPr>
          <w:rFonts w:ascii="Times New Roman" w:hAnsi="Times New Roman" w:cs="Times New Roman"/>
          <w:sz w:val="32"/>
        </w:rPr>
        <w:t>（6）维护校园稳定。危害校园治安秩序的事件发生时，应当立即报请公安机关出动警力，加大社会面检查、巡逻力度，并根据现场情况依法采取相应的强制性措施，尽快使校园秩序恢复正常；</w:t>
      </w:r>
    </w:p>
    <w:p w14:paraId="72376A33">
      <w:pPr>
        <w:ind w:firstLine="632"/>
        <w:rPr>
          <w:rFonts w:ascii="Times New Roman" w:hAnsi="Times New Roman" w:cs="Times New Roman"/>
          <w:sz w:val="32"/>
        </w:rPr>
      </w:pPr>
      <w:r>
        <w:rPr>
          <w:rFonts w:ascii="Times New Roman" w:hAnsi="Times New Roman" w:cs="Times New Roman"/>
          <w:sz w:val="32"/>
        </w:rPr>
        <w:t>（7）采取其他措施。应对不同类型的突发社会安全事件，依据法律法规，采取其他必要措施。</w:t>
      </w:r>
    </w:p>
    <w:p w14:paraId="71860872">
      <w:pPr>
        <w:pStyle w:val="3"/>
        <w:ind w:firstLine="0" w:firstLineChars="0"/>
        <w:rPr>
          <w:rFonts w:ascii="Times New Roman" w:hAnsi="Times New Roman" w:cs="Times New Roman"/>
          <w:sz w:val="32"/>
        </w:rPr>
      </w:pPr>
      <w:bookmarkStart w:id="1383" w:name="_Toc22421"/>
      <w:r>
        <w:rPr>
          <w:rFonts w:ascii="Times New Roman" w:hAnsi="Times New Roman" w:cs="Times New Roman"/>
          <w:sz w:val="32"/>
        </w:rPr>
        <w:t>专项类事故</w:t>
      </w:r>
      <w:bookmarkEnd w:id="1383"/>
    </w:p>
    <w:p w14:paraId="2A8BC648">
      <w:pPr>
        <w:pStyle w:val="4"/>
        <w:numPr>
          <w:ilvl w:val="2"/>
          <w:numId w:val="228"/>
        </w:numPr>
        <w:tabs>
          <w:tab w:val="left" w:pos="0"/>
        </w:tabs>
        <w:ind w:firstLine="0" w:firstLineChars="0"/>
        <w:rPr>
          <w:rFonts w:ascii="Times New Roman" w:hAnsi="Times New Roman" w:cs="Times New Roman"/>
          <w:sz w:val="32"/>
        </w:rPr>
      </w:pPr>
      <w:r>
        <w:rPr>
          <w:rFonts w:ascii="Times New Roman" w:hAnsi="Times New Roman" w:cs="Times New Roman"/>
          <w:sz w:val="32"/>
        </w:rPr>
        <w:t>火灾类事故</w:t>
      </w:r>
    </w:p>
    <w:p w14:paraId="212B593D">
      <w:pPr>
        <w:ind w:firstLine="632"/>
        <w:rPr>
          <w:rFonts w:ascii="Times New Roman" w:hAnsi="Times New Roman" w:cs="Times New Roman"/>
          <w:sz w:val="32"/>
        </w:rPr>
      </w:pPr>
      <w:r>
        <w:rPr>
          <w:rFonts w:ascii="Times New Roman" w:hAnsi="Times New Roman" w:cs="Times New Roman"/>
          <w:sz w:val="32"/>
        </w:rPr>
        <w:t>（1）报警、报告：学校一旦发生火险，应在第一时间扑救。如果火势失控，专人向119、110报警，告知发生火灾的位置、燃烧物种类、被困人员情况。立即启动学校火灾应急预案，按要求向县教育和体育局和县委、县政府报告。</w:t>
      </w:r>
    </w:p>
    <w:p w14:paraId="2E83C63F">
      <w:pPr>
        <w:ind w:firstLine="632"/>
        <w:rPr>
          <w:rFonts w:ascii="Times New Roman" w:hAnsi="Times New Roman" w:cs="Times New Roman"/>
          <w:sz w:val="32"/>
        </w:rPr>
      </w:pPr>
      <w:r>
        <w:rPr>
          <w:rFonts w:ascii="Times New Roman" w:hAnsi="Times New Roman" w:cs="Times New Roman"/>
          <w:sz w:val="32"/>
        </w:rPr>
        <w:t>（2）应对措施：</w:t>
      </w:r>
    </w:p>
    <w:p w14:paraId="005AFCE5">
      <w:pPr>
        <w:ind w:firstLine="632"/>
        <w:rPr>
          <w:rFonts w:ascii="Times New Roman" w:hAnsi="Times New Roman" w:cs="Times New Roman"/>
          <w:sz w:val="32"/>
        </w:rPr>
      </w:pPr>
      <w:r>
        <w:rPr>
          <w:rFonts w:ascii="Times New Roman" w:hAnsi="Times New Roman" w:eastAsia="微软雅黑" w:cs="Times New Roman"/>
          <w:sz w:val="32"/>
        </w:rPr>
        <w:t>①</w:t>
      </w:r>
      <w:r>
        <w:rPr>
          <w:rFonts w:ascii="Times New Roman" w:hAnsi="Times New Roman" w:cs="Times New Roman"/>
          <w:sz w:val="32"/>
        </w:rPr>
        <w:t>现场教师或工作人员的主要工作：</w:t>
      </w:r>
    </w:p>
    <w:p w14:paraId="7AD6FE12">
      <w:pPr>
        <w:ind w:firstLine="632"/>
        <w:rPr>
          <w:rFonts w:ascii="Times New Roman" w:hAnsi="Times New Roman" w:cs="Times New Roman"/>
          <w:sz w:val="32"/>
        </w:rPr>
      </w:pPr>
      <w:r>
        <w:rPr>
          <w:rFonts w:ascii="Times New Roman" w:hAnsi="Times New Roman" w:cs="Times New Roman"/>
          <w:sz w:val="32"/>
        </w:rPr>
        <w:t>a.第一个发现起火的人是火灾现场第一目击者，要立即采取措施，扑灭初起火险；</w:t>
      </w:r>
    </w:p>
    <w:p w14:paraId="3F608B66">
      <w:pPr>
        <w:ind w:firstLine="632"/>
        <w:rPr>
          <w:rFonts w:ascii="Times New Roman" w:hAnsi="Times New Roman" w:cs="Times New Roman"/>
          <w:sz w:val="32"/>
        </w:rPr>
      </w:pPr>
      <w:r>
        <w:rPr>
          <w:rFonts w:ascii="Times New Roman" w:hAnsi="Times New Roman" w:cs="Times New Roman"/>
          <w:sz w:val="32"/>
        </w:rPr>
        <w:t>b.在火势无法扑灭且有失控趋势时，立即撤离，并以呼喊的方式向周围的人报告火警；</w:t>
      </w:r>
    </w:p>
    <w:p w14:paraId="6052D521">
      <w:pPr>
        <w:ind w:firstLine="632"/>
        <w:rPr>
          <w:rFonts w:ascii="Times New Roman" w:hAnsi="Times New Roman" w:cs="Times New Roman"/>
          <w:sz w:val="32"/>
        </w:rPr>
      </w:pPr>
      <w:r>
        <w:rPr>
          <w:rFonts w:ascii="Times New Roman" w:hAnsi="Times New Roman" w:cs="Times New Roman"/>
          <w:sz w:val="32"/>
        </w:rPr>
        <w:t>c.听到火警后所有人员应立即进入紧急状态，教室、实验室、办公室、档案室、图书馆等师生聚集场所的教师或工作人员立即组织师生快速有序疏散；</w:t>
      </w:r>
    </w:p>
    <w:p w14:paraId="4B7CD886">
      <w:pPr>
        <w:ind w:firstLine="632"/>
        <w:rPr>
          <w:rFonts w:ascii="Times New Roman" w:hAnsi="Times New Roman" w:cs="Times New Roman"/>
          <w:sz w:val="32"/>
        </w:rPr>
      </w:pPr>
      <w:r>
        <w:rPr>
          <w:rFonts w:ascii="Times New Roman" w:hAnsi="Times New Roman" w:cs="Times New Roman"/>
          <w:sz w:val="32"/>
        </w:rPr>
        <w:t>d.听到火警但未在师生聚集地的教师或工作人员应迅速到达通道、楼梯间、通道口等重要地点进行疏散保护；</w:t>
      </w:r>
    </w:p>
    <w:p w14:paraId="543B88B2">
      <w:pPr>
        <w:ind w:firstLine="632"/>
        <w:rPr>
          <w:rFonts w:ascii="Times New Roman" w:hAnsi="Times New Roman" w:cs="Times New Roman"/>
          <w:sz w:val="32"/>
        </w:rPr>
      </w:pPr>
      <w:r>
        <w:rPr>
          <w:rFonts w:ascii="Times New Roman" w:hAnsi="Times New Roman" w:cs="Times New Roman"/>
          <w:sz w:val="32"/>
        </w:rPr>
        <w:t>e.在火灾现场的负责人要统一指挥，果断命令距离火场最近的人员首先撤离，其余人员依次疏散；</w:t>
      </w:r>
    </w:p>
    <w:p w14:paraId="5D61B5D7">
      <w:pPr>
        <w:ind w:firstLine="632"/>
        <w:rPr>
          <w:rFonts w:ascii="Times New Roman" w:hAnsi="Times New Roman" w:cs="Times New Roman"/>
          <w:sz w:val="32"/>
        </w:rPr>
      </w:pPr>
      <w:r>
        <w:rPr>
          <w:rFonts w:ascii="Times New Roman" w:hAnsi="Times New Roman" w:cs="Times New Roman"/>
          <w:sz w:val="32"/>
        </w:rPr>
        <w:t>f.将全体师生疏散到室外安全地点并立即清点人数；</w:t>
      </w:r>
    </w:p>
    <w:p w14:paraId="26B03EC4">
      <w:pPr>
        <w:ind w:firstLine="632"/>
        <w:rPr>
          <w:rFonts w:ascii="Times New Roman" w:hAnsi="Times New Roman" w:cs="Times New Roman"/>
          <w:sz w:val="32"/>
        </w:rPr>
      </w:pPr>
      <w:r>
        <w:rPr>
          <w:rFonts w:ascii="Times New Roman" w:hAnsi="Times New Roman" w:cs="Times New Roman"/>
          <w:sz w:val="32"/>
        </w:rPr>
        <w:t>g.在确保安全的前提下指派专人断后清场，并确认人员全部撤出。</w:t>
      </w:r>
    </w:p>
    <w:p w14:paraId="10BE69A3">
      <w:pPr>
        <w:ind w:firstLine="632"/>
        <w:rPr>
          <w:rFonts w:ascii="Times New Roman" w:hAnsi="Times New Roman" w:cs="Times New Roman"/>
          <w:sz w:val="32"/>
        </w:rPr>
      </w:pPr>
      <w:r>
        <w:rPr>
          <w:rFonts w:ascii="Times New Roman" w:hAnsi="Times New Roman" w:eastAsia="微软雅黑" w:cs="Times New Roman"/>
          <w:sz w:val="32"/>
        </w:rPr>
        <w:t>②</w:t>
      </w:r>
      <w:r>
        <w:rPr>
          <w:rFonts w:ascii="Times New Roman" w:hAnsi="Times New Roman" w:cs="Times New Roman"/>
          <w:sz w:val="32"/>
        </w:rPr>
        <w:t>学校领导主要工作：</w:t>
      </w:r>
    </w:p>
    <w:p w14:paraId="1F9D40B1">
      <w:pPr>
        <w:ind w:firstLine="632"/>
        <w:rPr>
          <w:rFonts w:ascii="Times New Roman" w:hAnsi="Times New Roman" w:cs="Times New Roman"/>
          <w:sz w:val="32"/>
        </w:rPr>
      </w:pPr>
      <w:r>
        <w:rPr>
          <w:rFonts w:ascii="Times New Roman" w:hAnsi="Times New Roman" w:cs="Times New Roman"/>
          <w:sz w:val="32"/>
        </w:rPr>
        <w:t>a.组织人员进行自救：在确保安全的前提下，组织一部分人员（学校教职工）用灭火器、消防栓灭火；另一部分人抢搬重要的物资和档案、材料等。当火势无法控制且可能威胁在场人员的安全时，要果断命令所有人员撤离火场；</w:t>
      </w:r>
    </w:p>
    <w:p w14:paraId="7C95ABE6">
      <w:pPr>
        <w:ind w:firstLine="632"/>
        <w:rPr>
          <w:rFonts w:ascii="Times New Roman" w:hAnsi="Times New Roman" w:cs="Times New Roman"/>
          <w:sz w:val="32"/>
        </w:rPr>
      </w:pPr>
      <w:r>
        <w:rPr>
          <w:rFonts w:ascii="Times New Roman" w:hAnsi="Times New Roman" w:cs="Times New Roman"/>
          <w:sz w:val="32"/>
        </w:rPr>
        <w:t>b.指派专人迎候消防员，并告知火灾位置、燃烧物种类、被困人员情况；</w:t>
      </w:r>
    </w:p>
    <w:p w14:paraId="4CEA575D">
      <w:pPr>
        <w:ind w:firstLine="632"/>
        <w:rPr>
          <w:rFonts w:ascii="Times New Roman" w:hAnsi="Times New Roman" w:cs="Times New Roman"/>
          <w:sz w:val="32"/>
        </w:rPr>
      </w:pPr>
      <w:r>
        <w:rPr>
          <w:rFonts w:ascii="Times New Roman" w:hAnsi="Times New Roman" w:cs="Times New Roman"/>
          <w:sz w:val="32"/>
        </w:rPr>
        <w:t>c.指派专人切断电源、气源，关闭供油设备。如果火灾发生在夜间，应坚持到人员全部撤离以后再切断电源为宜；</w:t>
      </w:r>
    </w:p>
    <w:p w14:paraId="69A72772">
      <w:pPr>
        <w:ind w:firstLine="632"/>
        <w:rPr>
          <w:rFonts w:ascii="Times New Roman" w:hAnsi="Times New Roman" w:cs="Times New Roman"/>
          <w:sz w:val="32"/>
        </w:rPr>
      </w:pPr>
      <w:r>
        <w:rPr>
          <w:rFonts w:ascii="Times New Roman" w:hAnsi="Times New Roman" w:cs="Times New Roman"/>
          <w:sz w:val="32"/>
        </w:rPr>
        <w:t>d.指派专人（校医、卫生教师）负责现场抢救，如发现有人受伤，马上实施常规救助，并立即通知急救中心救援。</w:t>
      </w:r>
    </w:p>
    <w:p w14:paraId="26FD9CFA">
      <w:pPr>
        <w:ind w:firstLine="632"/>
        <w:rPr>
          <w:rFonts w:ascii="Times New Roman" w:hAnsi="Times New Roman" w:cs="Times New Roman"/>
          <w:sz w:val="32"/>
        </w:rPr>
      </w:pPr>
      <w:r>
        <w:rPr>
          <w:rFonts w:ascii="Times New Roman" w:hAnsi="Times New Roman" w:cs="Times New Roman"/>
          <w:sz w:val="32"/>
        </w:rPr>
        <w:t>（3）善后工作：</w:t>
      </w:r>
    </w:p>
    <w:p w14:paraId="7CA06DAC">
      <w:pPr>
        <w:ind w:firstLine="632"/>
        <w:rPr>
          <w:rFonts w:ascii="Times New Roman" w:hAnsi="Times New Roman" w:cs="Times New Roman"/>
          <w:sz w:val="32"/>
        </w:rPr>
      </w:pPr>
      <w:r>
        <w:rPr>
          <w:rFonts w:ascii="Times New Roman" w:hAnsi="Times New Roman" w:eastAsia="微软雅黑" w:cs="Times New Roman"/>
          <w:sz w:val="32"/>
        </w:rPr>
        <w:t>①</w:t>
      </w:r>
      <w:r>
        <w:rPr>
          <w:rFonts w:ascii="Times New Roman" w:hAnsi="Times New Roman" w:cs="Times New Roman"/>
          <w:sz w:val="32"/>
        </w:rPr>
        <w:t>保护现场，配合当地政府、消防和教育主管部门开展调查；</w:t>
      </w:r>
    </w:p>
    <w:p w14:paraId="3A89FA68">
      <w:pPr>
        <w:ind w:firstLine="632"/>
        <w:rPr>
          <w:rFonts w:ascii="Times New Roman" w:hAnsi="Times New Roman" w:cs="Times New Roman"/>
          <w:sz w:val="32"/>
        </w:rPr>
      </w:pPr>
      <w:r>
        <w:rPr>
          <w:rFonts w:ascii="Times New Roman" w:hAnsi="Times New Roman" w:eastAsia="微软雅黑" w:cs="Times New Roman"/>
          <w:sz w:val="32"/>
        </w:rPr>
        <w:t>②</w:t>
      </w:r>
      <w:r>
        <w:rPr>
          <w:rFonts w:ascii="Times New Roman" w:hAnsi="Times New Roman" w:cs="Times New Roman"/>
          <w:sz w:val="32"/>
        </w:rPr>
        <w:t>根据调查结果确定整改方案，配合相关部门追究责任；</w:t>
      </w:r>
    </w:p>
    <w:p w14:paraId="6ECD3585">
      <w:pPr>
        <w:ind w:firstLine="632"/>
        <w:rPr>
          <w:rFonts w:ascii="Times New Roman" w:hAnsi="Times New Roman" w:cs="Times New Roman"/>
          <w:sz w:val="32"/>
        </w:rPr>
      </w:pPr>
      <w:r>
        <w:rPr>
          <w:rFonts w:ascii="Times New Roman" w:hAnsi="Times New Roman" w:eastAsia="微软雅黑" w:cs="Times New Roman"/>
          <w:sz w:val="32"/>
        </w:rPr>
        <w:t>③</w:t>
      </w:r>
      <w:r>
        <w:rPr>
          <w:rFonts w:ascii="Times New Roman" w:hAnsi="Times New Roman" w:cs="Times New Roman"/>
          <w:sz w:val="32"/>
        </w:rPr>
        <w:t>对受伤人员进行抚慰、协助做好保险理赔等工作；</w:t>
      </w:r>
    </w:p>
    <w:p w14:paraId="5B11DC75">
      <w:pPr>
        <w:ind w:firstLine="632"/>
        <w:rPr>
          <w:rFonts w:ascii="Times New Roman" w:hAnsi="Times New Roman" w:cs="Times New Roman"/>
          <w:sz w:val="32"/>
        </w:rPr>
      </w:pPr>
      <w:r>
        <w:rPr>
          <w:rFonts w:ascii="Times New Roman" w:hAnsi="Times New Roman" w:eastAsia="微软雅黑" w:cs="Times New Roman"/>
          <w:sz w:val="32"/>
        </w:rPr>
        <w:t>④</w:t>
      </w:r>
      <w:r>
        <w:rPr>
          <w:rFonts w:ascii="Times New Roman" w:hAnsi="Times New Roman" w:cs="Times New Roman"/>
          <w:sz w:val="32"/>
        </w:rPr>
        <w:t>尽快组织力量修缮过火房间，重新配置教学设备，恢复教育教学正常秩序。</w:t>
      </w:r>
    </w:p>
    <w:p w14:paraId="73F31DF2">
      <w:pPr>
        <w:pStyle w:val="4"/>
        <w:numPr>
          <w:ilvl w:val="2"/>
          <w:numId w:val="228"/>
        </w:numPr>
        <w:tabs>
          <w:tab w:val="left" w:pos="0"/>
        </w:tabs>
        <w:ind w:firstLine="0" w:firstLineChars="0"/>
        <w:rPr>
          <w:rFonts w:ascii="Times New Roman" w:hAnsi="Times New Roman" w:cs="Times New Roman"/>
          <w:sz w:val="32"/>
        </w:rPr>
      </w:pPr>
      <w:r>
        <w:rPr>
          <w:rFonts w:ascii="Times New Roman" w:hAnsi="Times New Roman" w:cs="Times New Roman"/>
          <w:sz w:val="32"/>
        </w:rPr>
        <w:t>交通事故</w:t>
      </w:r>
    </w:p>
    <w:p w14:paraId="0517721F">
      <w:pPr>
        <w:ind w:firstLine="632"/>
        <w:rPr>
          <w:rFonts w:ascii="Times New Roman" w:hAnsi="Times New Roman" w:cs="Times New Roman"/>
          <w:sz w:val="32"/>
        </w:rPr>
      </w:pPr>
      <w:r>
        <w:rPr>
          <w:rFonts w:ascii="Times New Roman" w:hAnsi="Times New Roman" w:cs="Times New Roman"/>
          <w:sz w:val="32"/>
        </w:rPr>
        <w:t>（1）报警、报告：现场人员立即报警(122、110、119)，并向县级120指挥调度分中心求助，以防延误救助时间。</w:t>
      </w:r>
    </w:p>
    <w:p w14:paraId="20B8B4B4">
      <w:pPr>
        <w:ind w:firstLine="632"/>
        <w:rPr>
          <w:rFonts w:ascii="Times New Roman" w:hAnsi="Times New Roman" w:cs="Times New Roman"/>
          <w:sz w:val="32"/>
        </w:rPr>
      </w:pPr>
      <w:r>
        <w:rPr>
          <w:rFonts w:ascii="Times New Roman" w:hAnsi="Times New Roman" w:cs="Times New Roman"/>
          <w:sz w:val="32"/>
        </w:rPr>
        <w:t>学校领导如在现场要迅速报告上级教育主管部门，如不在现场，在向上级报告的同时，要迅速赶到现场。</w:t>
      </w:r>
    </w:p>
    <w:p w14:paraId="7D3307B1">
      <w:pPr>
        <w:ind w:firstLine="632"/>
        <w:rPr>
          <w:rFonts w:ascii="Times New Roman" w:hAnsi="Times New Roman" w:cs="Times New Roman"/>
          <w:sz w:val="32"/>
        </w:rPr>
      </w:pPr>
      <w:r>
        <w:rPr>
          <w:rFonts w:ascii="Times New Roman" w:hAnsi="Times New Roman" w:cs="Times New Roman"/>
          <w:sz w:val="32"/>
        </w:rPr>
        <w:t>（2）应对措施：事故现场的领导或教师要维持现场秩序，保护好事故现场，记录肇事车辆车牌号码，等待交管部门处理。有效控制肇事人，如出现肇事车辆逃逸，可向事发现场的人员了解车辆号码、颜色、车型等信息，以便交管部门调查。按要求放置警示标志，防止过往车辆造成二次事故。</w:t>
      </w:r>
    </w:p>
    <w:p w14:paraId="460AA900">
      <w:pPr>
        <w:ind w:firstLine="632"/>
        <w:rPr>
          <w:rFonts w:ascii="Times New Roman" w:hAnsi="Times New Roman" w:cs="Times New Roman"/>
          <w:sz w:val="32"/>
        </w:rPr>
      </w:pPr>
      <w:r>
        <w:rPr>
          <w:rFonts w:ascii="Times New Roman" w:hAnsi="Times New Roman" w:cs="Times New Roman"/>
          <w:sz w:val="32"/>
        </w:rPr>
        <w:t>如有伤员，应组织人员（校医、卫生教师）对重伤员进行抢救，嘱咐其他受伤人员在原地不动，等待专业人员救援，并以最快速度将全体事故人员送往医院进行检查治疗，确保不发生漏诊。</w:t>
      </w:r>
    </w:p>
    <w:p w14:paraId="45F0388A">
      <w:pPr>
        <w:ind w:firstLine="632"/>
        <w:rPr>
          <w:rFonts w:ascii="Times New Roman" w:hAnsi="Times New Roman" w:cs="Times New Roman"/>
          <w:sz w:val="32"/>
        </w:rPr>
      </w:pPr>
      <w:r>
        <w:rPr>
          <w:rFonts w:ascii="Times New Roman" w:hAnsi="Times New Roman" w:cs="Times New Roman"/>
          <w:sz w:val="32"/>
        </w:rPr>
        <w:t>学校接到事故通知后，应立即组织相关人员赶赴事故现场配合公安、急救部门进行救护。</w:t>
      </w:r>
    </w:p>
    <w:p w14:paraId="3936729E">
      <w:pPr>
        <w:ind w:firstLine="632"/>
        <w:rPr>
          <w:rFonts w:ascii="Times New Roman" w:hAnsi="Times New Roman" w:cs="Times New Roman"/>
          <w:sz w:val="32"/>
        </w:rPr>
      </w:pPr>
      <w:r>
        <w:rPr>
          <w:rFonts w:ascii="Times New Roman" w:hAnsi="Times New Roman" w:cs="Times New Roman"/>
          <w:sz w:val="32"/>
        </w:rPr>
        <w:t>（3）善后工作：通知家长到校（或医院），准备好接待室，接待家长。组织教职工做好其他学生的心理疏导工作，维护学校正常的教学秩序。</w:t>
      </w:r>
    </w:p>
    <w:p w14:paraId="2BD7228E">
      <w:pPr>
        <w:ind w:firstLine="632"/>
        <w:rPr>
          <w:rFonts w:ascii="Times New Roman" w:hAnsi="Times New Roman" w:cs="Times New Roman"/>
          <w:sz w:val="32"/>
        </w:rPr>
      </w:pPr>
      <w:r>
        <w:rPr>
          <w:rFonts w:ascii="Times New Roman" w:hAnsi="Times New Roman" w:cs="Times New Roman"/>
          <w:sz w:val="32"/>
        </w:rPr>
        <w:t>成立相应工作小组，组织相关人员协助交管部门做好事故调查处理工作，协助做好伤亡学生家长抚慰、保险理赔等工作。</w:t>
      </w:r>
    </w:p>
    <w:p w14:paraId="44E1F03E">
      <w:pPr>
        <w:pStyle w:val="4"/>
        <w:numPr>
          <w:ilvl w:val="2"/>
          <w:numId w:val="228"/>
        </w:numPr>
        <w:tabs>
          <w:tab w:val="left" w:pos="0"/>
        </w:tabs>
        <w:ind w:firstLine="0" w:firstLineChars="0"/>
        <w:rPr>
          <w:rFonts w:ascii="Times New Roman" w:hAnsi="Times New Roman" w:cs="Times New Roman"/>
          <w:sz w:val="32"/>
        </w:rPr>
      </w:pPr>
      <w:r>
        <w:rPr>
          <w:rFonts w:ascii="Times New Roman" w:hAnsi="Times New Roman" w:cs="Times New Roman"/>
          <w:sz w:val="32"/>
        </w:rPr>
        <w:t>大型群体活动事故</w:t>
      </w:r>
    </w:p>
    <w:p w14:paraId="33B923FF">
      <w:pPr>
        <w:ind w:firstLine="632"/>
        <w:rPr>
          <w:rFonts w:ascii="Times New Roman" w:hAnsi="Times New Roman" w:cs="Times New Roman"/>
          <w:sz w:val="32"/>
        </w:rPr>
      </w:pPr>
      <w:r>
        <w:rPr>
          <w:rFonts w:ascii="Times New Roman" w:hAnsi="Times New Roman" w:cs="Times New Roman"/>
          <w:sz w:val="32"/>
        </w:rPr>
        <w:t>（1）报警、报告：在学校举办的各类大型活动中，一旦发生较大以上安全事故，应立即启动应急预案，迅速拨打110、119、120等紧急求救电话，并第一时间向县教育和体育局报告，积极争取有关部门的支援救助。</w:t>
      </w:r>
    </w:p>
    <w:p w14:paraId="449918CD">
      <w:pPr>
        <w:ind w:firstLine="632"/>
        <w:rPr>
          <w:rFonts w:ascii="Times New Roman" w:hAnsi="Times New Roman" w:cs="Times New Roman"/>
          <w:sz w:val="32"/>
        </w:rPr>
      </w:pPr>
      <w:r>
        <w:rPr>
          <w:rFonts w:ascii="Times New Roman" w:hAnsi="Times New Roman" w:cs="Times New Roman"/>
          <w:sz w:val="32"/>
        </w:rPr>
        <w:t>（2）应对措施：活动组织者和安全工作责任人要稳定现场秩序，组织师生有序疏散逃生，避免继发性事故发生。</w:t>
      </w:r>
    </w:p>
    <w:p w14:paraId="5A5C5CE4">
      <w:pPr>
        <w:ind w:firstLine="632"/>
        <w:rPr>
          <w:rFonts w:ascii="Times New Roman" w:hAnsi="Times New Roman" w:cs="Times New Roman"/>
          <w:sz w:val="32"/>
        </w:rPr>
      </w:pPr>
      <w:r>
        <w:rPr>
          <w:rFonts w:ascii="Times New Roman" w:hAnsi="Times New Roman" w:cs="Times New Roman"/>
          <w:sz w:val="32"/>
        </w:rPr>
        <w:t>学校和有关部门领导要在第一时间赶赴现场，现场指挥，组织疏导、抢救伤员。如出现师生伤亡等情况，立即组织有救助能力人员实施现场基本救助，等待专业医疗救助人员的到来。</w:t>
      </w:r>
    </w:p>
    <w:p w14:paraId="4C827778">
      <w:pPr>
        <w:ind w:firstLine="632"/>
        <w:rPr>
          <w:rFonts w:ascii="Times New Roman" w:hAnsi="Times New Roman" w:cs="Times New Roman"/>
          <w:sz w:val="32"/>
        </w:rPr>
      </w:pPr>
      <w:r>
        <w:rPr>
          <w:rFonts w:ascii="Times New Roman" w:hAnsi="Times New Roman" w:cs="Times New Roman"/>
          <w:sz w:val="32"/>
        </w:rPr>
        <w:t>（3）善后工作：配合有关部门做好事故调查和善后工作。做好学生的心理疏导和抚慰工作，消除事件对其心理的不良影响。及时总结，进一步完善大型群体活动安全工作方案，落实安全保卫措施。</w:t>
      </w:r>
    </w:p>
    <w:p w14:paraId="164EA486">
      <w:pPr>
        <w:pStyle w:val="4"/>
        <w:numPr>
          <w:ilvl w:val="2"/>
          <w:numId w:val="228"/>
        </w:numPr>
        <w:tabs>
          <w:tab w:val="left" w:pos="0"/>
        </w:tabs>
        <w:ind w:firstLine="0" w:firstLineChars="0"/>
        <w:rPr>
          <w:rFonts w:ascii="Times New Roman" w:hAnsi="Times New Roman" w:cs="Times New Roman"/>
          <w:sz w:val="32"/>
        </w:rPr>
      </w:pPr>
      <w:r>
        <w:rPr>
          <w:rFonts w:ascii="Times New Roman" w:hAnsi="Times New Roman" w:cs="Times New Roman"/>
          <w:sz w:val="32"/>
        </w:rPr>
        <w:t>后勤安全保障事故</w:t>
      </w:r>
    </w:p>
    <w:p w14:paraId="5C1B3648">
      <w:pPr>
        <w:ind w:firstLine="632"/>
        <w:rPr>
          <w:rFonts w:ascii="Times New Roman" w:hAnsi="Times New Roman" w:cs="Times New Roman"/>
          <w:sz w:val="32"/>
        </w:rPr>
      </w:pPr>
      <w:r>
        <w:rPr>
          <w:rFonts w:ascii="Times New Roman" w:hAnsi="Times New Roman" w:cs="Times New Roman"/>
          <w:sz w:val="32"/>
        </w:rPr>
        <w:t>（1）报告：发生跑水、断电、燃气泄漏等重大事故时，立即拨打119、110报警，同时报县教育和体育局，必要时请求当地有关专业部门支持。</w:t>
      </w:r>
    </w:p>
    <w:p w14:paraId="1B4A1766">
      <w:pPr>
        <w:ind w:firstLine="632"/>
        <w:rPr>
          <w:rFonts w:ascii="Times New Roman" w:hAnsi="Times New Roman" w:cs="Times New Roman"/>
          <w:sz w:val="32"/>
        </w:rPr>
      </w:pPr>
      <w:r>
        <w:rPr>
          <w:rFonts w:ascii="Times New Roman" w:hAnsi="Times New Roman" w:cs="Times New Roman"/>
          <w:sz w:val="32"/>
        </w:rPr>
        <w:t>（2）应对措施：学校有关领导，负责同志要立即赶到现场，组织人员迅速采取应急措施，进行抢修和抢救，控制事态。必要时做好师生疏散工作，保证师生生命安全和身体健康。</w:t>
      </w:r>
    </w:p>
    <w:p w14:paraId="10F48878">
      <w:pPr>
        <w:ind w:firstLine="632"/>
        <w:rPr>
          <w:rFonts w:ascii="Times New Roman" w:hAnsi="Times New Roman" w:cs="Times New Roman"/>
          <w:sz w:val="32"/>
        </w:rPr>
      </w:pPr>
      <w:r>
        <w:rPr>
          <w:rFonts w:ascii="Times New Roman" w:hAnsi="Times New Roman" w:cs="Times New Roman"/>
          <w:sz w:val="32"/>
        </w:rPr>
        <w:t>做好现场清理工作，力争最短时间恢复正常教育教学秩序。</w:t>
      </w:r>
    </w:p>
    <w:p w14:paraId="34B2AC10">
      <w:pPr>
        <w:ind w:firstLine="632"/>
        <w:rPr>
          <w:rFonts w:ascii="Times New Roman" w:hAnsi="Times New Roman" w:cs="Times New Roman"/>
          <w:sz w:val="32"/>
        </w:rPr>
      </w:pPr>
      <w:r>
        <w:rPr>
          <w:rFonts w:ascii="Times New Roman" w:hAnsi="Times New Roman" w:cs="Times New Roman"/>
          <w:sz w:val="32"/>
        </w:rPr>
        <w:t>（3）善后工作：学校后勤部门要对校内重点场所以及供水、供电、供暖和通讯等关键设施做全面细致检查。严格落实各项安全管理制度和操作程序，确保各种服务设施的安全运行。</w:t>
      </w:r>
    </w:p>
    <w:p w14:paraId="2A94A112">
      <w:pPr>
        <w:pStyle w:val="4"/>
        <w:numPr>
          <w:ilvl w:val="2"/>
          <w:numId w:val="228"/>
        </w:numPr>
        <w:tabs>
          <w:tab w:val="left" w:pos="0"/>
        </w:tabs>
        <w:ind w:firstLine="0" w:firstLineChars="0"/>
        <w:rPr>
          <w:rFonts w:ascii="Times New Roman" w:hAnsi="Times New Roman" w:cs="Times New Roman"/>
          <w:sz w:val="32"/>
        </w:rPr>
      </w:pPr>
      <w:r>
        <w:rPr>
          <w:rFonts w:ascii="Times New Roman" w:hAnsi="Times New Roman" w:cs="Times New Roman"/>
          <w:sz w:val="32"/>
        </w:rPr>
        <w:t>校园及周边安全、治安、暴恐事件</w:t>
      </w:r>
    </w:p>
    <w:p w14:paraId="0EE08FFB">
      <w:pPr>
        <w:ind w:firstLine="632"/>
        <w:rPr>
          <w:rFonts w:ascii="Times New Roman" w:hAnsi="Times New Roman" w:cs="Times New Roman"/>
          <w:sz w:val="32"/>
        </w:rPr>
      </w:pPr>
      <w:r>
        <w:rPr>
          <w:rFonts w:ascii="Times New Roman" w:hAnsi="Times New Roman" w:cs="Times New Roman"/>
          <w:sz w:val="32"/>
        </w:rPr>
        <w:t>（1）报警、报告：发生校园及周边安全、治安、暴恐事件后，学校要立即通过一键报警器报警，并迅速向教育主管部门和属地党委、政府报告。</w:t>
      </w:r>
    </w:p>
    <w:p w14:paraId="13346F99">
      <w:pPr>
        <w:ind w:firstLine="632"/>
        <w:rPr>
          <w:rFonts w:ascii="Times New Roman" w:hAnsi="Times New Roman" w:cs="Times New Roman"/>
          <w:sz w:val="32"/>
        </w:rPr>
      </w:pPr>
      <w:r>
        <w:rPr>
          <w:rFonts w:ascii="Times New Roman" w:hAnsi="Times New Roman" w:cs="Times New Roman"/>
          <w:sz w:val="32"/>
        </w:rPr>
        <w:t>（2）应对措施：加强门卫制度，防止一切可疑人员进入校园。校内发现不良分子袭扰、行凶、行窃、斗殴，先应制止、制服，在上级教育主管部门、当地党委、政府和公安部门的统一指挥下，采取有效措施，保障师生安全。</w:t>
      </w:r>
    </w:p>
    <w:p w14:paraId="1B961439">
      <w:pPr>
        <w:ind w:firstLine="632"/>
        <w:rPr>
          <w:rFonts w:ascii="Times New Roman" w:hAnsi="Times New Roman" w:cs="Times New Roman"/>
          <w:sz w:val="32"/>
        </w:rPr>
      </w:pPr>
      <w:r>
        <w:rPr>
          <w:rFonts w:ascii="Times New Roman" w:hAnsi="Times New Roman" w:cs="Times New Roman"/>
          <w:sz w:val="32"/>
        </w:rPr>
        <w:t>积极协助当地有关部门妥善处理事件，防止事态进一步恶化。</w:t>
      </w:r>
    </w:p>
    <w:p w14:paraId="71584D82">
      <w:pPr>
        <w:ind w:firstLine="632"/>
        <w:rPr>
          <w:rFonts w:ascii="Times New Roman" w:hAnsi="Times New Roman" w:cs="Times New Roman"/>
          <w:sz w:val="32"/>
        </w:rPr>
      </w:pPr>
      <w:r>
        <w:rPr>
          <w:rFonts w:ascii="Times New Roman" w:hAnsi="Times New Roman" w:cs="Times New Roman"/>
          <w:sz w:val="32"/>
        </w:rPr>
        <w:t>及时向师生员工通报有关情况，稳定师生员工情绪，维护校园秩序，避免不必要的恐慌和动荡。</w:t>
      </w:r>
    </w:p>
    <w:p w14:paraId="2DC5F642">
      <w:pPr>
        <w:ind w:firstLine="632"/>
        <w:rPr>
          <w:rFonts w:ascii="Times New Roman" w:hAnsi="Times New Roman" w:cs="Times New Roman"/>
          <w:sz w:val="32"/>
        </w:rPr>
      </w:pPr>
      <w:r>
        <w:rPr>
          <w:rFonts w:ascii="Times New Roman" w:hAnsi="Times New Roman" w:cs="Times New Roman"/>
          <w:sz w:val="32"/>
        </w:rPr>
        <w:t>（3）善后工作：再次全面检查校园及周边环境，细致排查有可能影响师生安全的各种因素，及时向校园周边治安综合治理部门报告，提请开展集中专项整治，及时解决问题，消除隐患。</w:t>
      </w:r>
    </w:p>
    <w:p w14:paraId="18186577">
      <w:pPr>
        <w:pStyle w:val="4"/>
        <w:numPr>
          <w:ilvl w:val="2"/>
          <w:numId w:val="228"/>
        </w:numPr>
        <w:tabs>
          <w:tab w:val="left" w:pos="0"/>
        </w:tabs>
        <w:ind w:firstLine="0" w:firstLineChars="0"/>
        <w:rPr>
          <w:rFonts w:ascii="Times New Roman" w:hAnsi="Times New Roman" w:cs="Times New Roman"/>
          <w:sz w:val="32"/>
        </w:rPr>
      </w:pPr>
      <w:r>
        <w:rPr>
          <w:rFonts w:ascii="Times New Roman" w:hAnsi="Times New Roman" w:cs="Times New Roman"/>
          <w:sz w:val="32"/>
        </w:rPr>
        <w:t>师生集体外出活动安全事故</w:t>
      </w:r>
    </w:p>
    <w:p w14:paraId="0C38E930">
      <w:pPr>
        <w:ind w:firstLine="632"/>
        <w:rPr>
          <w:rFonts w:ascii="Times New Roman" w:hAnsi="Times New Roman" w:cs="Times New Roman"/>
          <w:sz w:val="32"/>
        </w:rPr>
      </w:pPr>
      <w:r>
        <w:rPr>
          <w:rFonts w:ascii="Times New Roman" w:hAnsi="Times New Roman" w:cs="Times New Roman"/>
          <w:sz w:val="32"/>
        </w:rPr>
        <w:t>（1）报警、报告：组织师生实习、参观、考察等集体活动发生意外事故时，应及时向有关领导和有关部门报告、并拨打110、120。</w:t>
      </w:r>
    </w:p>
    <w:p w14:paraId="29EED629">
      <w:pPr>
        <w:ind w:firstLine="632"/>
        <w:rPr>
          <w:rFonts w:ascii="Times New Roman" w:hAnsi="Times New Roman" w:cs="Times New Roman"/>
          <w:sz w:val="32"/>
        </w:rPr>
      </w:pPr>
      <w:r>
        <w:rPr>
          <w:rFonts w:ascii="Times New Roman" w:hAnsi="Times New Roman" w:cs="Times New Roman"/>
          <w:sz w:val="32"/>
        </w:rPr>
        <w:t>（2）应对措施：积极争取事故发生地政府和有关部门的支援帮助。组织有能力的教师和学生积极开展自救工作。</w:t>
      </w:r>
    </w:p>
    <w:p w14:paraId="6EF730B6">
      <w:pPr>
        <w:ind w:firstLine="632"/>
        <w:rPr>
          <w:rFonts w:ascii="Times New Roman" w:hAnsi="Times New Roman" w:cs="Times New Roman"/>
          <w:sz w:val="32"/>
        </w:rPr>
      </w:pPr>
      <w:r>
        <w:rPr>
          <w:rFonts w:ascii="Times New Roman" w:hAnsi="Times New Roman" w:cs="Times New Roman"/>
          <w:sz w:val="32"/>
        </w:rPr>
        <w:t>学校领导应及时向师生员工通报有关情况，消除恐慌，确保学校内部稳定。</w:t>
      </w:r>
    </w:p>
    <w:p w14:paraId="0F8B0D41">
      <w:pPr>
        <w:ind w:firstLine="632"/>
        <w:rPr>
          <w:rFonts w:ascii="Times New Roman" w:hAnsi="Times New Roman" w:cs="Times New Roman"/>
          <w:sz w:val="32"/>
        </w:rPr>
      </w:pPr>
      <w:r>
        <w:rPr>
          <w:rFonts w:ascii="Times New Roman" w:hAnsi="Times New Roman" w:cs="Times New Roman"/>
          <w:sz w:val="32"/>
        </w:rPr>
        <w:t>（3）善后工作：配合有关部门做好伤亡学生的理赔工作，慰问伤亡师生家属。</w:t>
      </w:r>
    </w:p>
    <w:p w14:paraId="64B2D8D2">
      <w:pPr>
        <w:ind w:firstLine="632"/>
        <w:rPr>
          <w:rFonts w:ascii="Times New Roman" w:hAnsi="Times New Roman" w:cs="Times New Roman"/>
          <w:sz w:val="32"/>
        </w:rPr>
      </w:pPr>
      <w:r>
        <w:rPr>
          <w:rFonts w:ascii="Times New Roman" w:hAnsi="Times New Roman" w:cs="Times New Roman"/>
          <w:sz w:val="32"/>
        </w:rPr>
        <w:t>对于师生提出的合理要求，但一时难以解决的问题，要对师生、家长做好说服疏导工作。做好师生心理安抚工作，稳定师生情绪，保障学校正常教学秩序。</w:t>
      </w:r>
    </w:p>
    <w:p w14:paraId="7E49CB32">
      <w:pPr>
        <w:pStyle w:val="4"/>
        <w:numPr>
          <w:ilvl w:val="2"/>
          <w:numId w:val="228"/>
        </w:numPr>
        <w:tabs>
          <w:tab w:val="left" w:pos="0"/>
        </w:tabs>
        <w:ind w:firstLine="0" w:firstLineChars="0"/>
        <w:rPr>
          <w:rFonts w:ascii="Times New Roman" w:hAnsi="Times New Roman" w:cs="Times New Roman"/>
          <w:sz w:val="32"/>
        </w:rPr>
      </w:pPr>
      <w:r>
        <w:rPr>
          <w:rFonts w:ascii="Times New Roman" w:hAnsi="Times New Roman" w:cs="Times New Roman"/>
          <w:sz w:val="32"/>
        </w:rPr>
        <w:t>校园食物中毒事故</w:t>
      </w:r>
    </w:p>
    <w:p w14:paraId="7CF63ADA">
      <w:pPr>
        <w:ind w:firstLine="632"/>
        <w:rPr>
          <w:rFonts w:ascii="Times New Roman" w:hAnsi="Times New Roman" w:cs="Times New Roman"/>
          <w:sz w:val="32"/>
        </w:rPr>
      </w:pPr>
      <w:r>
        <w:rPr>
          <w:rFonts w:ascii="Times New Roman" w:hAnsi="Times New Roman" w:cs="Times New Roman"/>
          <w:sz w:val="32"/>
        </w:rPr>
        <w:t>（1）报警、报告：立即拨打120，对中毒人员进行救治，向当地卫健部门和教育主管部门报告。</w:t>
      </w:r>
    </w:p>
    <w:p w14:paraId="6876E344">
      <w:pPr>
        <w:ind w:firstLine="632"/>
        <w:rPr>
          <w:rFonts w:ascii="Times New Roman" w:hAnsi="Times New Roman" w:cs="Times New Roman"/>
          <w:sz w:val="32"/>
        </w:rPr>
      </w:pPr>
      <w:r>
        <w:rPr>
          <w:rFonts w:ascii="Times New Roman" w:hAnsi="Times New Roman" w:cs="Times New Roman"/>
          <w:sz w:val="32"/>
        </w:rPr>
        <w:t>（2）应对措施：通知有关人员停止食用可疑有毒食品，或追回已出售（发出）的可疑有毒食品。停止出售和封存剩余可疑的有毒食品。控制或切断可疑水源。与中毒人员（特别是中小学生或病情严重者）家长、家属进行联系，通报情况，做好思想工作，稳定其情绪.组织人员对共同进餐的学生进行排查.积极配合卫健部门封锁和保护事发现场，对可疑有毒食品取样留验；或配合公安部门进行现场取样，开展侦破工作。按照当地政府和卫健部门要求，认真落实其他紧急应对措施。</w:t>
      </w:r>
    </w:p>
    <w:p w14:paraId="2E330EF3">
      <w:pPr>
        <w:ind w:firstLine="632"/>
        <w:rPr>
          <w:rFonts w:ascii="Times New Roman" w:hAnsi="Times New Roman" w:cs="Times New Roman"/>
          <w:sz w:val="32"/>
        </w:rPr>
      </w:pPr>
      <w:r>
        <w:rPr>
          <w:rFonts w:ascii="Times New Roman" w:hAnsi="Times New Roman" w:cs="Times New Roman"/>
          <w:sz w:val="32"/>
        </w:rPr>
        <w:t>（3）善后措施：做好师生心理安抚工作，稳定师生情绪，保障学校正常教学秩序。</w:t>
      </w:r>
    </w:p>
    <w:p w14:paraId="1132FB8F">
      <w:pPr>
        <w:ind w:firstLine="632"/>
        <w:rPr>
          <w:rFonts w:ascii="Times New Roman" w:hAnsi="Times New Roman" w:cs="Times New Roman"/>
          <w:sz w:val="32"/>
        </w:rPr>
      </w:pPr>
      <w:r>
        <w:rPr>
          <w:rFonts w:ascii="Times New Roman" w:hAnsi="Times New Roman" w:cs="Times New Roman"/>
          <w:sz w:val="32"/>
        </w:rPr>
        <w:t>开展相应的卫生宣传教育，提高师生员工的预防与自我保护意识。</w:t>
      </w:r>
    </w:p>
    <w:p w14:paraId="76B2D391">
      <w:pPr>
        <w:pStyle w:val="4"/>
        <w:numPr>
          <w:ilvl w:val="2"/>
          <w:numId w:val="228"/>
        </w:numPr>
        <w:tabs>
          <w:tab w:val="left" w:pos="0"/>
        </w:tabs>
        <w:ind w:firstLine="0" w:firstLineChars="0"/>
        <w:rPr>
          <w:rFonts w:ascii="Times New Roman" w:hAnsi="Times New Roman" w:cs="Times New Roman"/>
          <w:sz w:val="32"/>
        </w:rPr>
      </w:pPr>
      <w:r>
        <w:rPr>
          <w:rFonts w:ascii="Times New Roman" w:hAnsi="Times New Roman" w:cs="Times New Roman"/>
          <w:sz w:val="32"/>
        </w:rPr>
        <w:t>校园突发传染病疫情</w:t>
      </w:r>
    </w:p>
    <w:p w14:paraId="47B3149E">
      <w:pPr>
        <w:ind w:firstLine="632"/>
        <w:rPr>
          <w:rFonts w:ascii="Times New Roman" w:hAnsi="Times New Roman" w:cs="Times New Roman"/>
          <w:sz w:val="32"/>
        </w:rPr>
      </w:pPr>
      <w:r>
        <w:rPr>
          <w:rFonts w:ascii="Times New Roman" w:hAnsi="Times New Roman" w:cs="Times New Roman"/>
          <w:sz w:val="32"/>
        </w:rPr>
        <w:t>（1）报警、报告：学校及时隔离患病的学生，并向当地卫健部门和教育主管部门报告。</w:t>
      </w:r>
    </w:p>
    <w:p w14:paraId="7778C1C1">
      <w:pPr>
        <w:ind w:firstLine="632"/>
        <w:rPr>
          <w:rFonts w:ascii="Times New Roman" w:hAnsi="Times New Roman" w:cs="Times New Roman"/>
          <w:sz w:val="32"/>
        </w:rPr>
      </w:pPr>
      <w:r>
        <w:rPr>
          <w:rFonts w:ascii="Times New Roman" w:hAnsi="Times New Roman" w:cs="Times New Roman"/>
          <w:sz w:val="32"/>
        </w:rPr>
        <w:t>（2）应对措施：在卫健部门专业人员指导下将患病学生送至医院治疗。教室、宿舍等人员集中的室内场所应经常开窗，做到有效通风透气，确保室内的空气流通（主要针对呼吸道传染病）。</w:t>
      </w:r>
    </w:p>
    <w:p w14:paraId="61A70CAF">
      <w:pPr>
        <w:ind w:firstLine="632"/>
        <w:rPr>
          <w:rFonts w:ascii="Times New Roman" w:hAnsi="Times New Roman" w:cs="Times New Roman"/>
          <w:sz w:val="32"/>
        </w:rPr>
      </w:pPr>
      <w:r>
        <w:rPr>
          <w:rFonts w:ascii="Times New Roman" w:hAnsi="Times New Roman" w:cs="Times New Roman"/>
          <w:sz w:val="32"/>
        </w:rPr>
        <w:t>暂停组织室内场所的集体活动（主要针对呼吸道传染病）。控制或切断可疑水源（主要针对肠道传染病）。</w:t>
      </w:r>
    </w:p>
    <w:p w14:paraId="2DDE8728">
      <w:pPr>
        <w:ind w:firstLine="632"/>
        <w:rPr>
          <w:rFonts w:ascii="Times New Roman" w:hAnsi="Times New Roman" w:cs="Times New Roman"/>
          <w:sz w:val="32"/>
        </w:rPr>
      </w:pPr>
      <w:r>
        <w:rPr>
          <w:rFonts w:ascii="Times New Roman" w:hAnsi="Times New Roman" w:cs="Times New Roman"/>
          <w:sz w:val="32"/>
        </w:rPr>
        <w:t>协助卫健部门对患病人群所在场所进行彻底消毒；对病人接触过的人员，包括同学、老师进行随访，并配合当地政府或卫健部门对患病人群采取必要的隔离观察措施。</w:t>
      </w:r>
    </w:p>
    <w:p w14:paraId="0C9A3BDC">
      <w:pPr>
        <w:ind w:firstLine="632"/>
        <w:rPr>
          <w:rFonts w:ascii="Times New Roman" w:hAnsi="Times New Roman" w:cs="Times New Roman"/>
          <w:sz w:val="32"/>
        </w:rPr>
      </w:pPr>
      <w:r>
        <w:rPr>
          <w:rFonts w:ascii="Times New Roman" w:hAnsi="Times New Roman" w:cs="Times New Roman"/>
          <w:sz w:val="32"/>
        </w:rPr>
        <w:t>加强每日晨午检工作，对缺勤的师生员工逐一进行登记，并查明缺勤的原因，对患有传染病的师生劝其及时就医或在家医学观察，暂停上学或上班。每日对患病师生进行追踪和记录，了解疾病转归。</w:t>
      </w:r>
    </w:p>
    <w:p w14:paraId="65E0374F">
      <w:pPr>
        <w:ind w:firstLine="632"/>
        <w:rPr>
          <w:rFonts w:ascii="Times New Roman" w:hAnsi="Times New Roman" w:cs="Times New Roman"/>
          <w:sz w:val="32"/>
        </w:rPr>
      </w:pPr>
      <w:r>
        <w:rPr>
          <w:rFonts w:ascii="Times New Roman" w:hAnsi="Times New Roman" w:cs="Times New Roman"/>
          <w:sz w:val="32"/>
        </w:rPr>
        <w:t>密切关注传染病流行情况，必要时经当地卫生健康行政部门组织专家进行疫情风险评估后，可报请县教育和体育局并经县人民政府批准，采取临时停课等特殊措施。</w:t>
      </w:r>
    </w:p>
    <w:p w14:paraId="6218EB18">
      <w:pPr>
        <w:ind w:firstLine="632"/>
        <w:rPr>
          <w:rFonts w:ascii="Times New Roman" w:hAnsi="Times New Roman" w:cs="Times New Roman"/>
          <w:sz w:val="32"/>
        </w:rPr>
      </w:pPr>
      <w:r>
        <w:rPr>
          <w:rFonts w:ascii="Times New Roman" w:hAnsi="Times New Roman" w:cs="Times New Roman"/>
          <w:sz w:val="32"/>
        </w:rPr>
        <w:t>与患病学生（特别是中小学生或病情严重者）家长、家属进行联系，通报情况，做好思想工作，稳定其情绪。</w:t>
      </w:r>
    </w:p>
    <w:p w14:paraId="534879C6">
      <w:pPr>
        <w:ind w:firstLine="632"/>
        <w:rPr>
          <w:rFonts w:ascii="Times New Roman" w:hAnsi="Times New Roman" w:cs="Times New Roman"/>
          <w:sz w:val="32"/>
        </w:rPr>
      </w:pPr>
      <w:r>
        <w:rPr>
          <w:rFonts w:ascii="Times New Roman" w:hAnsi="Times New Roman" w:cs="Times New Roman"/>
          <w:sz w:val="32"/>
        </w:rPr>
        <w:t>按照当地政府和卫生健康行政部门要求，认真落实其他紧急应对措施。</w:t>
      </w:r>
    </w:p>
    <w:p w14:paraId="5F67D3BC">
      <w:pPr>
        <w:ind w:firstLine="632"/>
        <w:rPr>
          <w:rFonts w:ascii="Times New Roman" w:hAnsi="Times New Roman" w:cs="Times New Roman"/>
          <w:sz w:val="32"/>
        </w:rPr>
      </w:pPr>
      <w:r>
        <w:rPr>
          <w:rFonts w:ascii="Times New Roman" w:hAnsi="Times New Roman" w:cs="Times New Roman"/>
          <w:sz w:val="32"/>
        </w:rPr>
        <w:t>（3）善后工作：在学校适当的范围通报突发公共卫生事件的基本情况以及采取的措施，稳定师生员工情绪，并开展相应的卫生宣传教育，提高师生员工的预防与自我保护意识。</w:t>
      </w:r>
    </w:p>
    <w:p w14:paraId="0388AD56">
      <w:pPr>
        <w:pStyle w:val="4"/>
        <w:numPr>
          <w:ilvl w:val="2"/>
          <w:numId w:val="228"/>
        </w:numPr>
        <w:tabs>
          <w:tab w:val="left" w:pos="0"/>
        </w:tabs>
        <w:ind w:firstLine="0" w:firstLineChars="0"/>
        <w:rPr>
          <w:rFonts w:ascii="Times New Roman" w:hAnsi="Times New Roman" w:cs="Times New Roman"/>
          <w:sz w:val="32"/>
        </w:rPr>
      </w:pPr>
      <w:r>
        <w:rPr>
          <w:rFonts w:ascii="Times New Roman" w:hAnsi="Times New Roman" w:cs="Times New Roman"/>
          <w:sz w:val="32"/>
        </w:rPr>
        <w:t>校园体育活动突发事件</w:t>
      </w:r>
    </w:p>
    <w:p w14:paraId="349D373E">
      <w:pPr>
        <w:ind w:firstLine="632"/>
        <w:rPr>
          <w:rFonts w:ascii="Times New Roman" w:hAnsi="Times New Roman" w:cs="Times New Roman"/>
          <w:sz w:val="32"/>
        </w:rPr>
      </w:pPr>
      <w:r>
        <w:rPr>
          <w:rFonts w:ascii="Times New Roman" w:hAnsi="Times New Roman" w:cs="Times New Roman"/>
          <w:sz w:val="32"/>
        </w:rPr>
        <w:t>（1）报警、报告：发生体育活动突发重大事故时，现场人员立即拨打120，抢救受伤人员，同时第一时间将事故情况报告教育行政部门。</w:t>
      </w:r>
    </w:p>
    <w:p w14:paraId="54F009BA">
      <w:pPr>
        <w:ind w:firstLine="632"/>
        <w:rPr>
          <w:rFonts w:ascii="Times New Roman" w:hAnsi="Times New Roman" w:cs="Times New Roman"/>
          <w:sz w:val="32"/>
        </w:rPr>
      </w:pPr>
      <w:r>
        <w:rPr>
          <w:rFonts w:ascii="Times New Roman" w:hAnsi="Times New Roman" w:cs="Times New Roman"/>
          <w:sz w:val="32"/>
        </w:rPr>
        <w:t>（2）应对措施：因摔伤、砸伤，造成明显或不明显脱臼、骨折，均应先设法用木板、硬纸板将受伤部位固定，以免错位，减轻内出血和疼痛，然后急送医院诊治。</w:t>
      </w:r>
    </w:p>
    <w:p w14:paraId="1F460BBF">
      <w:pPr>
        <w:ind w:firstLine="632"/>
        <w:rPr>
          <w:rFonts w:ascii="Times New Roman" w:hAnsi="Times New Roman" w:cs="Times New Roman"/>
          <w:sz w:val="32"/>
        </w:rPr>
      </w:pPr>
      <w:r>
        <w:rPr>
          <w:rFonts w:ascii="Times New Roman" w:hAnsi="Times New Roman" w:cs="Times New Roman"/>
          <w:sz w:val="32"/>
        </w:rPr>
        <w:t>因摔伤、砸伤，伤及头部，头昏伴呕吐，呈明显脑震荡症状者，应通过120救护车送医院检查诊治，即使脑震荡症状不明显者，也应送医院检查为妥。</w:t>
      </w:r>
    </w:p>
    <w:p w14:paraId="6D0E8338">
      <w:pPr>
        <w:ind w:firstLine="632"/>
        <w:rPr>
          <w:rFonts w:ascii="Times New Roman" w:hAnsi="Times New Roman" w:cs="Times New Roman"/>
          <w:sz w:val="32"/>
        </w:rPr>
      </w:pPr>
      <w:r>
        <w:rPr>
          <w:rFonts w:ascii="Times New Roman" w:hAnsi="Times New Roman" w:cs="Times New Roman"/>
          <w:sz w:val="32"/>
        </w:rPr>
        <w:t>凡发生上述情况，学校应及时通知受伤学生家长（监护人）及时到医院，了解、参与治疗救护。</w:t>
      </w:r>
    </w:p>
    <w:p w14:paraId="2835E65C">
      <w:pPr>
        <w:ind w:firstLine="632"/>
        <w:rPr>
          <w:rFonts w:ascii="Times New Roman" w:hAnsi="Times New Roman" w:cs="Times New Roman"/>
          <w:sz w:val="32"/>
        </w:rPr>
      </w:pPr>
      <w:r>
        <w:rPr>
          <w:rFonts w:ascii="Times New Roman" w:hAnsi="Times New Roman" w:cs="Times New Roman"/>
          <w:sz w:val="32"/>
        </w:rPr>
        <w:t>（3）善后工作：学校要及时向教育主管部门报告事故最新情况，特别是学生伤亡的情况。</w:t>
      </w:r>
    </w:p>
    <w:p w14:paraId="256E6DAB">
      <w:pPr>
        <w:ind w:firstLine="632"/>
        <w:rPr>
          <w:rFonts w:ascii="Times New Roman" w:hAnsi="Times New Roman" w:cs="Times New Roman"/>
          <w:sz w:val="32"/>
        </w:rPr>
      </w:pPr>
      <w:r>
        <w:rPr>
          <w:rFonts w:ascii="Times New Roman" w:hAnsi="Times New Roman" w:cs="Times New Roman"/>
          <w:sz w:val="32"/>
        </w:rPr>
        <w:t>组织人员到医院看望受伤学生，协助有关部门处理好治疗、康复和医疗费等敏感问题。</w:t>
      </w:r>
    </w:p>
    <w:p w14:paraId="745E749B">
      <w:pPr>
        <w:ind w:firstLine="632"/>
        <w:rPr>
          <w:rFonts w:ascii="Times New Roman" w:hAnsi="Times New Roman" w:cs="Times New Roman"/>
          <w:sz w:val="32"/>
        </w:rPr>
      </w:pPr>
      <w:r>
        <w:rPr>
          <w:rFonts w:ascii="Times New Roman" w:hAnsi="Times New Roman" w:cs="Times New Roman"/>
          <w:sz w:val="32"/>
        </w:rPr>
        <w:t>认真接待好家长，稳定家长情绪，做好伤亡者家属的抚慰工作，协助做好保险理赔工作。</w:t>
      </w:r>
    </w:p>
    <w:p w14:paraId="22E5EDDB">
      <w:pPr>
        <w:pStyle w:val="4"/>
        <w:numPr>
          <w:ilvl w:val="2"/>
          <w:numId w:val="228"/>
        </w:numPr>
        <w:tabs>
          <w:tab w:val="left" w:pos="0"/>
        </w:tabs>
        <w:ind w:firstLine="0" w:firstLineChars="0"/>
        <w:rPr>
          <w:rFonts w:ascii="Times New Roman" w:hAnsi="Times New Roman" w:cs="Times New Roman"/>
          <w:sz w:val="32"/>
        </w:rPr>
      </w:pPr>
      <w:r>
        <w:rPr>
          <w:rFonts w:ascii="Times New Roman" w:hAnsi="Times New Roman" w:cs="Times New Roman"/>
          <w:sz w:val="32"/>
        </w:rPr>
        <w:t>教学实验突发事件</w:t>
      </w:r>
    </w:p>
    <w:p w14:paraId="70B82238">
      <w:pPr>
        <w:ind w:firstLine="632"/>
        <w:rPr>
          <w:rFonts w:ascii="Times New Roman" w:hAnsi="Times New Roman" w:cs="Times New Roman"/>
          <w:sz w:val="32"/>
        </w:rPr>
      </w:pPr>
      <w:r>
        <w:rPr>
          <w:rFonts w:ascii="Times New Roman" w:hAnsi="Times New Roman" w:cs="Times New Roman"/>
          <w:sz w:val="32"/>
        </w:rPr>
        <w:t>（1）报警、报告：发生教学实验事故时，立即拨打119、120报警，同时，报教育主管部门，必要时请求当地有关专业部门支持。</w:t>
      </w:r>
    </w:p>
    <w:p w14:paraId="75F9EF13">
      <w:pPr>
        <w:ind w:firstLine="632"/>
        <w:rPr>
          <w:rFonts w:ascii="Times New Roman" w:hAnsi="Times New Roman" w:cs="Times New Roman"/>
          <w:sz w:val="32"/>
        </w:rPr>
      </w:pPr>
      <w:r>
        <w:rPr>
          <w:rFonts w:ascii="Times New Roman" w:hAnsi="Times New Roman" w:cs="Times New Roman"/>
          <w:sz w:val="32"/>
        </w:rPr>
        <w:t>（2）应对措施：若酸液溅入眼睛，立即用大量清水冲洗后送医院检查救治。</w:t>
      </w:r>
    </w:p>
    <w:p w14:paraId="253CA5CE">
      <w:pPr>
        <w:ind w:firstLine="632"/>
        <w:rPr>
          <w:rFonts w:ascii="Times New Roman" w:hAnsi="Times New Roman" w:cs="Times New Roman"/>
          <w:sz w:val="32"/>
        </w:rPr>
      </w:pPr>
    </w:p>
    <w:p w14:paraId="06367D22">
      <w:pPr>
        <w:ind w:firstLine="632"/>
        <w:rPr>
          <w:rFonts w:ascii="Times New Roman" w:hAnsi="Times New Roman" w:cs="Times New Roman"/>
          <w:sz w:val="32"/>
        </w:rPr>
      </w:pPr>
      <w:r>
        <w:rPr>
          <w:rFonts w:ascii="Times New Roman" w:hAnsi="Times New Roman" w:cs="Times New Roman"/>
          <w:sz w:val="32"/>
        </w:rPr>
        <w:t>若开放性骨折、断指断臂，应及时止血，拣拾断指断臂清洗后浸入生理盐水（切记不可浸于酒精或消毒液中），随120急送医院救治再植。若手指轧入车床，应紧急关车制动，而不要强行拉出。</w:t>
      </w:r>
    </w:p>
    <w:p w14:paraId="31BC67F5">
      <w:pPr>
        <w:ind w:firstLine="632"/>
        <w:rPr>
          <w:rFonts w:ascii="Times New Roman" w:hAnsi="Times New Roman" w:cs="Times New Roman"/>
          <w:sz w:val="32"/>
        </w:rPr>
      </w:pPr>
      <w:r>
        <w:rPr>
          <w:rFonts w:ascii="Times New Roman" w:hAnsi="Times New Roman" w:cs="Times New Roman"/>
          <w:sz w:val="32"/>
        </w:rPr>
        <w:t>使用酒精灯不慎起火，应用毛巾、沙土、衣服覆盖扑灭，忌浇水；因起火烧及衣服，应立即脱掉衣服，严重者忌奔跑，可就地打滚灭火或其他方式灭火；烧伤、烫伤均应送医院检查治疗。</w:t>
      </w:r>
    </w:p>
    <w:p w14:paraId="2D84208B">
      <w:pPr>
        <w:ind w:firstLine="632"/>
        <w:rPr>
          <w:rFonts w:ascii="Times New Roman" w:hAnsi="Times New Roman" w:cs="Times New Roman"/>
          <w:sz w:val="32"/>
        </w:rPr>
      </w:pPr>
      <w:r>
        <w:rPr>
          <w:rFonts w:ascii="Times New Roman" w:hAnsi="Times New Roman" w:cs="Times New Roman"/>
          <w:sz w:val="32"/>
        </w:rPr>
        <w:t>及时通知突发事件学生家长（监护人）到医院，了解、参与治疗救护。</w:t>
      </w:r>
    </w:p>
    <w:p w14:paraId="190AC8DF">
      <w:pPr>
        <w:ind w:firstLine="632"/>
        <w:rPr>
          <w:rFonts w:ascii="Times New Roman" w:hAnsi="Times New Roman" w:cs="Times New Roman"/>
          <w:sz w:val="32"/>
        </w:rPr>
      </w:pPr>
      <w:r>
        <w:rPr>
          <w:rFonts w:ascii="Times New Roman" w:hAnsi="Times New Roman" w:cs="Times New Roman"/>
          <w:sz w:val="32"/>
        </w:rPr>
        <w:t>（3）善后工作：学校要及时向教育主管部门报告事故进展情况，特别是学生伤亡的情况。</w:t>
      </w:r>
    </w:p>
    <w:p w14:paraId="156E11AC">
      <w:pPr>
        <w:ind w:firstLine="632"/>
        <w:rPr>
          <w:rFonts w:ascii="Times New Roman" w:hAnsi="Times New Roman" w:cs="Times New Roman"/>
          <w:sz w:val="32"/>
        </w:rPr>
      </w:pPr>
      <w:r>
        <w:rPr>
          <w:rFonts w:ascii="Times New Roman" w:hAnsi="Times New Roman" w:cs="Times New Roman"/>
          <w:sz w:val="32"/>
        </w:rPr>
        <w:t>组织人员到医院看望受伤学生，认真接待好家长，稳定家长情绪，做好伤亡者家属的抚慰工作，协助做好治疗、康复和医疗费及保险理赔等问题。</w:t>
      </w:r>
    </w:p>
    <w:p w14:paraId="3A05A84A">
      <w:pPr>
        <w:pStyle w:val="4"/>
        <w:numPr>
          <w:ilvl w:val="2"/>
          <w:numId w:val="228"/>
        </w:numPr>
        <w:tabs>
          <w:tab w:val="left" w:pos="0"/>
        </w:tabs>
        <w:ind w:firstLine="0" w:firstLineChars="0"/>
        <w:rPr>
          <w:rFonts w:ascii="Times New Roman" w:hAnsi="Times New Roman" w:cs="Times New Roman"/>
          <w:sz w:val="32"/>
        </w:rPr>
      </w:pPr>
      <w:r>
        <w:rPr>
          <w:rFonts w:ascii="Times New Roman" w:hAnsi="Times New Roman" w:cs="Times New Roman"/>
          <w:sz w:val="32"/>
        </w:rPr>
        <w:t>突发自然灾害事件</w:t>
      </w:r>
    </w:p>
    <w:p w14:paraId="7F8CD2B8">
      <w:pPr>
        <w:ind w:firstLine="632"/>
        <w:rPr>
          <w:rFonts w:ascii="Times New Roman" w:hAnsi="Times New Roman" w:cs="Times New Roman"/>
          <w:sz w:val="32"/>
        </w:rPr>
      </w:pPr>
      <w:r>
        <w:rPr>
          <w:rFonts w:ascii="Times New Roman" w:hAnsi="Times New Roman" w:cs="Times New Roman"/>
          <w:sz w:val="32"/>
        </w:rPr>
        <w:t>（1）报警、报告：根据当地政府统一部署，启动相应级别的应急预案，同时请求当地有关专业部门救助和支持，第一时间将事件情况报告教育主管部门。</w:t>
      </w:r>
    </w:p>
    <w:p w14:paraId="4EACB03F">
      <w:pPr>
        <w:ind w:firstLine="632"/>
        <w:rPr>
          <w:rFonts w:ascii="Times New Roman" w:hAnsi="Times New Roman" w:cs="Times New Roman"/>
          <w:sz w:val="32"/>
        </w:rPr>
      </w:pPr>
      <w:r>
        <w:rPr>
          <w:rFonts w:ascii="Times New Roman" w:hAnsi="Times New Roman" w:cs="Times New Roman"/>
          <w:sz w:val="32"/>
        </w:rPr>
        <w:t>（2）应对措施：按照当地政府统一部署，发布躲避通知，必要时组织师生避灾疏散；配合有关部门开展灾情监测工作；配合有关部门开展生命线等工程的应急保护工作；督促检查抢险救灾的准备工作；防止自然灾害谣传或误传，不信谣、不传谣，避免发生衍生灾害，保持社会安定。</w:t>
      </w:r>
    </w:p>
    <w:p w14:paraId="56DE422A">
      <w:pPr>
        <w:ind w:firstLine="632"/>
        <w:rPr>
          <w:rFonts w:ascii="Times New Roman" w:hAnsi="Times New Roman" w:cs="Times New Roman"/>
          <w:sz w:val="32"/>
        </w:rPr>
      </w:pPr>
      <w:r>
        <w:rPr>
          <w:rFonts w:ascii="Times New Roman" w:hAnsi="Times New Roman" w:cs="Times New Roman"/>
          <w:sz w:val="32"/>
        </w:rPr>
        <w:t>做好本单位的抢险救灾及自救、互救，同时配合相关部门做好人员抢救与工程抢险；协助医疗救护组织力量抢救伤员，协助有关部门向受灾学校提供所需药品、医疗器械，调运食品与物资，保障受灾学校师生生活必需品的供应；协助民政部门调配救济物品，做好受灾学校师生的转移和安置工作；协助有关部门对本系统易于发生次生灾害的设施采取紧急处置措施并加强监控，及时加强宣传、教育和引导工作，稳定情绪，防止衍生灾害的发生；协助新闻部门按照规定及时发布灾情等有关信息。</w:t>
      </w:r>
    </w:p>
    <w:p w14:paraId="26A5862C">
      <w:pPr>
        <w:ind w:firstLine="632"/>
        <w:rPr>
          <w:rFonts w:ascii="Times New Roman" w:hAnsi="Times New Roman" w:cs="Times New Roman"/>
          <w:sz w:val="32"/>
        </w:rPr>
      </w:pPr>
      <w:r>
        <w:rPr>
          <w:rFonts w:ascii="Times New Roman" w:hAnsi="Times New Roman" w:cs="Times New Roman"/>
          <w:sz w:val="32"/>
        </w:rPr>
        <w:t>（3）善后工作：突发自然灾害事件应急处置完成后，应全面检查设备、设施安全性能，检查安全管理漏洞，对安全隐患及时补救、防范，避免事故再次发生。积极做好善后工作，争取在最短时间内恢复学校正常教育教学秩序。</w:t>
      </w:r>
    </w:p>
    <w:p w14:paraId="0A926DA7">
      <w:pPr>
        <w:ind w:firstLine="632"/>
        <w:rPr>
          <w:rFonts w:ascii="Times New Roman" w:hAnsi="Times New Roman" w:cs="Times New Roman"/>
          <w:sz w:val="32"/>
        </w:rPr>
      </w:pPr>
      <w:r>
        <w:rPr>
          <w:rFonts w:ascii="Times New Roman" w:hAnsi="Times New Roman" w:cs="Times New Roman"/>
          <w:sz w:val="32"/>
        </w:rPr>
        <w:t>做好事故中受伤人员的医疗、救助工作，对在事故中死亡人员进行人道主义抚恤和补偿，对受害者家属进行慰问，协助做好保险公司赔付工作。</w:t>
      </w:r>
    </w:p>
    <w:p w14:paraId="212D0C49">
      <w:pPr>
        <w:pStyle w:val="4"/>
        <w:numPr>
          <w:ilvl w:val="2"/>
          <w:numId w:val="228"/>
        </w:numPr>
        <w:tabs>
          <w:tab w:val="left" w:pos="0"/>
        </w:tabs>
        <w:ind w:firstLine="0" w:firstLineChars="0"/>
        <w:rPr>
          <w:rFonts w:ascii="Times New Roman" w:hAnsi="Times New Roman" w:cs="Times New Roman"/>
          <w:sz w:val="32"/>
        </w:rPr>
      </w:pPr>
      <w:r>
        <w:rPr>
          <w:rFonts w:ascii="Times New Roman" w:hAnsi="Times New Roman" w:cs="Times New Roman"/>
          <w:sz w:val="32"/>
        </w:rPr>
        <w:t>校园拥挤踩踏事故</w:t>
      </w:r>
    </w:p>
    <w:p w14:paraId="2DAE0132">
      <w:pPr>
        <w:ind w:firstLine="632"/>
        <w:rPr>
          <w:rFonts w:ascii="Times New Roman" w:hAnsi="Times New Roman" w:cs="Times New Roman"/>
          <w:sz w:val="32"/>
        </w:rPr>
      </w:pPr>
      <w:r>
        <w:rPr>
          <w:rFonts w:ascii="Times New Roman" w:hAnsi="Times New Roman" w:cs="Times New Roman"/>
          <w:sz w:val="32"/>
        </w:rPr>
        <w:t>（1）报警、报告：踩踏事故发生后，学校要立即启动拥挤踩踏事故应急预案，迅速拨打120、110，抢救受伤人员。在第一时间向上级教育主管部门和当地政府报告。</w:t>
      </w:r>
    </w:p>
    <w:p w14:paraId="37AAA312">
      <w:pPr>
        <w:ind w:firstLine="632"/>
        <w:rPr>
          <w:rFonts w:ascii="Times New Roman" w:hAnsi="Times New Roman" w:cs="Times New Roman"/>
          <w:sz w:val="32"/>
        </w:rPr>
      </w:pPr>
      <w:r>
        <w:rPr>
          <w:rFonts w:ascii="Times New Roman" w:hAnsi="Times New Roman" w:cs="Times New Roman"/>
          <w:sz w:val="32"/>
        </w:rPr>
        <w:t>（2）应对措施：学校要采用一切有效手段将学生尽快疏散到安全地点，禁止无关人员滞留现场，防止有人故意制造恐慌气氛，避免再次发生事故。</w:t>
      </w:r>
    </w:p>
    <w:p w14:paraId="3E5B8069">
      <w:pPr>
        <w:ind w:firstLine="632"/>
        <w:rPr>
          <w:rFonts w:ascii="Times New Roman" w:hAnsi="Times New Roman" w:cs="Times New Roman"/>
          <w:sz w:val="32"/>
        </w:rPr>
      </w:pPr>
      <w:r>
        <w:rPr>
          <w:rFonts w:ascii="Times New Roman" w:hAnsi="Times New Roman" w:cs="Times New Roman"/>
          <w:sz w:val="32"/>
        </w:rPr>
        <w:t>在专业医务人员到达之前，学校应指派专人（校医、卫生教师）对伤员采取必要的救助措施，为救治伤者赢得时间。</w:t>
      </w:r>
    </w:p>
    <w:p w14:paraId="09903E05">
      <w:pPr>
        <w:ind w:firstLine="632"/>
        <w:rPr>
          <w:rFonts w:ascii="Times New Roman" w:hAnsi="Times New Roman" w:cs="Times New Roman"/>
          <w:sz w:val="32"/>
        </w:rPr>
      </w:pPr>
      <w:r>
        <w:rPr>
          <w:rFonts w:ascii="Times New Roman" w:hAnsi="Times New Roman" w:cs="Times New Roman"/>
          <w:sz w:val="32"/>
        </w:rPr>
        <w:t>（3）善后工作：学校要及时向县教育和体育局报告事故的最新情况，特别是学生伤亡的情况。清理校舍，整合学校资源，在最短的时间内恢复学校正常秩序。</w:t>
      </w:r>
    </w:p>
    <w:p w14:paraId="0C47505F">
      <w:pPr>
        <w:ind w:firstLine="632"/>
        <w:rPr>
          <w:rFonts w:ascii="Times New Roman" w:hAnsi="Times New Roman" w:cs="Times New Roman"/>
          <w:sz w:val="32"/>
        </w:rPr>
      </w:pPr>
      <w:r>
        <w:rPr>
          <w:rFonts w:ascii="Times New Roman" w:hAnsi="Times New Roman" w:cs="Times New Roman"/>
          <w:sz w:val="32"/>
        </w:rPr>
        <w:t>组织人员到医院看望受伤学生，协助有关部门处理好治疗、康复和医疗费等敏感问题。</w:t>
      </w:r>
    </w:p>
    <w:p w14:paraId="2604DD24">
      <w:pPr>
        <w:ind w:firstLine="632"/>
        <w:rPr>
          <w:rFonts w:ascii="Times New Roman" w:hAnsi="Times New Roman" w:cs="Times New Roman"/>
          <w:sz w:val="32"/>
        </w:rPr>
      </w:pPr>
      <w:r>
        <w:rPr>
          <w:rFonts w:ascii="Times New Roman" w:hAnsi="Times New Roman" w:cs="Times New Roman"/>
          <w:sz w:val="32"/>
        </w:rPr>
        <w:t>认真接待好家长，稳定家长情绪，做好伤亡者家属的抚慰工作，协助做好保险理赔工作。</w:t>
      </w:r>
    </w:p>
    <w:p w14:paraId="52CC7A34">
      <w:pPr>
        <w:ind w:firstLine="632"/>
        <w:rPr>
          <w:rFonts w:ascii="Times New Roman" w:hAnsi="Times New Roman" w:cs="Times New Roman"/>
          <w:sz w:val="32"/>
        </w:rPr>
      </w:pPr>
      <w:r>
        <w:rPr>
          <w:rFonts w:ascii="Times New Roman" w:hAnsi="Times New Roman" w:cs="Times New Roman"/>
          <w:sz w:val="32"/>
        </w:rPr>
        <w:t>对学生进行心理辅导，消除事件对学生心理的负面影响。</w:t>
      </w:r>
    </w:p>
    <w:p w14:paraId="6797AEC5">
      <w:pPr>
        <w:ind w:firstLine="632"/>
        <w:rPr>
          <w:rFonts w:ascii="Times New Roman" w:hAnsi="Times New Roman" w:cs="Times New Roman"/>
          <w:sz w:val="32"/>
        </w:rPr>
      </w:pPr>
      <w:r>
        <w:rPr>
          <w:rFonts w:ascii="Times New Roman" w:hAnsi="Times New Roman" w:cs="Times New Roman"/>
          <w:sz w:val="32"/>
        </w:rPr>
        <w:t>配合相关部门做好事故调查和善后处理工作。</w:t>
      </w:r>
    </w:p>
    <w:p w14:paraId="26F8DCD7">
      <w:pPr>
        <w:ind w:firstLine="632"/>
        <w:rPr>
          <w:rFonts w:ascii="Times New Roman" w:hAnsi="Times New Roman" w:cs="Times New Roman"/>
          <w:sz w:val="32"/>
        </w:rPr>
      </w:pPr>
      <w:r>
        <w:rPr>
          <w:rFonts w:ascii="Times New Roman" w:hAnsi="Times New Roman" w:cs="Times New Roman"/>
          <w:sz w:val="32"/>
        </w:rPr>
        <w:t>进一步完善教师在学生集中上下楼梯时的值班制度。</w:t>
      </w:r>
    </w:p>
    <w:p w14:paraId="6C5C0A51">
      <w:pPr>
        <w:pStyle w:val="4"/>
        <w:numPr>
          <w:ilvl w:val="2"/>
          <w:numId w:val="228"/>
        </w:numPr>
        <w:tabs>
          <w:tab w:val="left" w:pos="0"/>
        </w:tabs>
        <w:ind w:firstLine="0" w:firstLineChars="0"/>
        <w:rPr>
          <w:rFonts w:ascii="Times New Roman" w:hAnsi="Times New Roman" w:cs="Times New Roman"/>
          <w:sz w:val="32"/>
        </w:rPr>
      </w:pPr>
      <w:r>
        <w:rPr>
          <w:rFonts w:ascii="Times New Roman" w:hAnsi="Times New Roman" w:cs="Times New Roman"/>
          <w:sz w:val="32"/>
        </w:rPr>
        <w:t>涉校民族因素矛盾事件</w:t>
      </w:r>
    </w:p>
    <w:p w14:paraId="077193A4">
      <w:pPr>
        <w:ind w:firstLine="632"/>
        <w:rPr>
          <w:rFonts w:ascii="Times New Roman" w:hAnsi="Times New Roman" w:cs="Times New Roman"/>
          <w:sz w:val="32"/>
        </w:rPr>
      </w:pPr>
      <w:r>
        <w:rPr>
          <w:rFonts w:ascii="Times New Roman" w:hAnsi="Times New Roman" w:cs="Times New Roman"/>
          <w:sz w:val="32"/>
        </w:rPr>
        <w:t>（1）报警、报告：涉及民族因素（包括：民族宗教政策、民族风俗饮食习惯、宗教信仰问题、民族职工节日风俗等）矛盾，引发师生及家长各种非法集会、游行、示威、请愿以及罢课、罢餐、上访、聚众闹事等群体性事件，各种非法传教活动、政治性活动，可能会引发影响学校和社会稳定的事件等，启动相应级别的应急预案。第一时间将事件情况报告上级教育主管部门，确保事件发现、报告、处置等环节紧密衔接，同时根据当地政府统一部署，做到快速反应，妥善应对，果断处置。</w:t>
      </w:r>
    </w:p>
    <w:p w14:paraId="07638DCA">
      <w:pPr>
        <w:ind w:firstLine="632"/>
        <w:rPr>
          <w:rFonts w:ascii="Times New Roman" w:hAnsi="Times New Roman" w:cs="Times New Roman"/>
          <w:sz w:val="32"/>
        </w:rPr>
      </w:pPr>
      <w:r>
        <w:rPr>
          <w:rFonts w:ascii="Times New Roman" w:hAnsi="Times New Roman" w:cs="Times New Roman"/>
          <w:sz w:val="32"/>
        </w:rPr>
        <w:t>（2）应对措施：首先应判明事件的性质和危害，事件发生后，必须迅速对事件进行调查，判明性质，并根据事件可能产生的最大危害，依据党和国家的民族宗教政策、法律法规，迅速提出处置意见建议，及时掌握事件处置和发展的动态信息。处置过程中，必须讲究方法。实行内外有别、就地处理、防止扩散，尽量化解和减少矛盾，把事故解决在萌芽状态。同时要依靠当地组织、宗教团体和民族宗教界人士，向有关人员做好思想教育和化解矛盾工作。</w:t>
      </w:r>
    </w:p>
    <w:p w14:paraId="25B29595">
      <w:pPr>
        <w:ind w:firstLine="632"/>
        <w:rPr>
          <w:rFonts w:ascii="Times New Roman" w:hAnsi="Times New Roman" w:cs="Times New Roman"/>
          <w:sz w:val="32"/>
        </w:rPr>
      </w:pPr>
      <w:r>
        <w:rPr>
          <w:rFonts w:ascii="Times New Roman" w:hAnsi="Times New Roman" w:cs="Times New Roman"/>
          <w:sz w:val="32"/>
        </w:rPr>
        <w:t>当先期处置不能有效控制事态时，要扩大应急，请求当地政府支援。</w:t>
      </w:r>
    </w:p>
    <w:p w14:paraId="2D61A538">
      <w:pPr>
        <w:ind w:firstLine="632"/>
        <w:rPr>
          <w:rFonts w:ascii="Times New Roman" w:hAnsi="Times New Roman" w:cs="Times New Roman"/>
          <w:sz w:val="32"/>
        </w:rPr>
      </w:pPr>
      <w:r>
        <w:rPr>
          <w:rFonts w:ascii="Times New Roman" w:hAnsi="Times New Roman" w:cs="Times New Roman"/>
          <w:sz w:val="32"/>
        </w:rPr>
        <w:t>事件的调查处理坚持“四不放过”的原则即：在调查处理事件时，必须坚持事件起因分析不清不放过；事件责任者和群众没有教育不放过，事件责任者没有受到严肃处理不放过；没有采取切实可行的防范措施不放过。</w:t>
      </w:r>
    </w:p>
    <w:p w14:paraId="627EC530">
      <w:pPr>
        <w:ind w:firstLine="632"/>
        <w:rPr>
          <w:rFonts w:ascii="Times New Roman" w:hAnsi="Times New Roman" w:cs="Times New Roman"/>
          <w:sz w:val="32"/>
        </w:rPr>
      </w:pPr>
      <w:r>
        <w:rPr>
          <w:rFonts w:ascii="Times New Roman" w:hAnsi="Times New Roman" w:cs="Times New Roman"/>
          <w:sz w:val="32"/>
        </w:rPr>
        <w:t>（3）善后工作：要妥善组织做好善后工作，稳定少数民族师生及家长的情绪，妥善处理好善后事宜，消除各种不安全、不稳定因素，尽快恢复学校正常教育教学秩序。同时，要对事件处置的各个环节进行总结，研究完善防范措施，为今后处置类似事件积累经验。</w:t>
      </w:r>
    </w:p>
    <w:p w14:paraId="5DCE74C5">
      <w:pPr>
        <w:pStyle w:val="2"/>
        <w:numPr>
          <w:ilvl w:val="0"/>
          <w:numId w:val="228"/>
        </w:numPr>
        <w:tabs>
          <w:tab w:val="left" w:pos="0"/>
        </w:tabs>
        <w:ind w:firstLine="0" w:firstLineChars="0"/>
        <w:rPr>
          <w:rFonts w:ascii="Times New Roman" w:hAnsi="Times New Roman" w:cs="Times New Roman"/>
          <w:sz w:val="32"/>
        </w:rPr>
      </w:pPr>
      <w:bookmarkStart w:id="1384" w:name="_Toc4698"/>
      <w:r>
        <w:rPr>
          <w:rFonts w:ascii="Times New Roman" w:hAnsi="Times New Roman" w:cs="Times New Roman"/>
          <w:sz w:val="32"/>
        </w:rPr>
        <w:t>善后与恢复</w:t>
      </w:r>
      <w:bookmarkEnd w:id="1384"/>
    </w:p>
    <w:p w14:paraId="153F304B">
      <w:pPr>
        <w:pStyle w:val="3"/>
        <w:ind w:firstLine="0" w:firstLineChars="0"/>
        <w:rPr>
          <w:rFonts w:ascii="Times New Roman" w:hAnsi="Times New Roman" w:cs="Times New Roman"/>
          <w:sz w:val="32"/>
        </w:rPr>
      </w:pPr>
      <w:bookmarkStart w:id="1385" w:name="_Toc31839"/>
      <w:r>
        <w:rPr>
          <w:rFonts w:ascii="Times New Roman" w:hAnsi="Times New Roman" w:cs="Times New Roman"/>
          <w:sz w:val="32"/>
        </w:rPr>
        <w:t>善后处置</w:t>
      </w:r>
      <w:bookmarkEnd w:id="1385"/>
    </w:p>
    <w:p w14:paraId="741C2A8E">
      <w:pPr>
        <w:ind w:firstLine="632"/>
        <w:rPr>
          <w:rFonts w:ascii="Times New Roman" w:hAnsi="Times New Roman" w:cs="Times New Roman"/>
          <w:sz w:val="32"/>
        </w:rPr>
      </w:pPr>
      <w:r>
        <w:rPr>
          <w:rFonts w:ascii="Times New Roman" w:hAnsi="Times New Roman" w:cs="Times New Roman"/>
          <w:sz w:val="32"/>
        </w:rPr>
        <w:t>教育系统突发公共事件的善后处置工作在县政府统一领导下，县教育和体育局要积极协调好事发单位与有关部门的工作，争取在最短时间内完成善后与恢复工作。</w:t>
      </w:r>
    </w:p>
    <w:p w14:paraId="73297A85">
      <w:pPr>
        <w:ind w:firstLine="632"/>
        <w:rPr>
          <w:rFonts w:ascii="Times New Roman" w:hAnsi="Times New Roman" w:cs="Times New Roman"/>
          <w:sz w:val="32"/>
        </w:rPr>
      </w:pPr>
      <w:r>
        <w:rPr>
          <w:rFonts w:ascii="Times New Roman" w:hAnsi="Times New Roman" w:cs="Times New Roman"/>
          <w:sz w:val="32"/>
        </w:rPr>
        <w:t>按照县政府统一安排做好救灾物款的筹措和拨付，充分利用各类救灾资金开展灾后学校重建工作。组织专业人员对师生进行心理干预和辅导。</w:t>
      </w:r>
    </w:p>
    <w:p w14:paraId="300F489A">
      <w:pPr>
        <w:ind w:firstLine="632"/>
        <w:rPr>
          <w:rFonts w:ascii="Times New Roman" w:hAnsi="Times New Roman" w:cs="Times New Roman"/>
          <w:sz w:val="32"/>
        </w:rPr>
      </w:pPr>
      <w:r>
        <w:rPr>
          <w:rFonts w:ascii="Times New Roman" w:hAnsi="Times New Roman" w:cs="Times New Roman"/>
          <w:sz w:val="32"/>
        </w:rPr>
        <w:t>学校要积极配合有关部门，加快学校灾后恢复重建工作。采取多种措施，尽快恢复学校的正常教育教学秩序。关注师生的心理、情绪变化，积极转化师生的心理行为问题。总结经验教训，调查、总结原因，找出预防、预警和处置环节中出现的问题，及时修订应急预案，对管理薄弱环节进行整改。</w:t>
      </w:r>
    </w:p>
    <w:p w14:paraId="6D689AC8">
      <w:pPr>
        <w:pStyle w:val="3"/>
        <w:ind w:firstLine="0" w:firstLineChars="0"/>
        <w:rPr>
          <w:rFonts w:ascii="Times New Roman" w:hAnsi="Times New Roman" w:cs="Times New Roman"/>
          <w:sz w:val="32"/>
        </w:rPr>
      </w:pPr>
      <w:bookmarkStart w:id="1386" w:name="_Toc6851"/>
      <w:r>
        <w:rPr>
          <w:rFonts w:ascii="Times New Roman" w:hAnsi="Times New Roman" w:cs="Times New Roman"/>
          <w:sz w:val="32"/>
        </w:rPr>
        <w:t>恢复重建</w:t>
      </w:r>
      <w:bookmarkEnd w:id="1386"/>
    </w:p>
    <w:p w14:paraId="78C0AD36">
      <w:pPr>
        <w:ind w:firstLine="632"/>
        <w:rPr>
          <w:rFonts w:ascii="Times New Roman" w:hAnsi="Times New Roman" w:cs="Times New Roman"/>
          <w:sz w:val="32"/>
        </w:rPr>
      </w:pPr>
      <w:r>
        <w:rPr>
          <w:rFonts w:ascii="Times New Roman" w:hAnsi="Times New Roman" w:cs="Times New Roman"/>
          <w:sz w:val="32"/>
        </w:rPr>
        <w:t>遭遇突发事件的学校恢复重建工作，在县人民政府统一领导下开展。突发事件应对处置结束后，县教育和体育局及学校立即全面调查评估损失情况，组织制定恢复重建计划，并向当地人民政府报告。县教育和体育局应当根据受危害或波及地区教育系统遭受的损失和实际情况，提供或协助提供资金、物资支持、技术指导和人力支援。必要时，县教育和体育局和学校可报请当地人民政府协调有关部门尽快修复被损坏的校舍、教学设施以及交通、通信、水、电、热、气等公共设施。需要国家和省级援助的，由省级教育行政部门会同相关部门配合事发地党委、政府按有关规定上报省政府或国务院审批实施。</w:t>
      </w:r>
    </w:p>
    <w:p w14:paraId="601C4672">
      <w:pPr>
        <w:pStyle w:val="3"/>
        <w:ind w:firstLine="0" w:firstLineChars="0"/>
        <w:rPr>
          <w:rFonts w:ascii="Times New Roman" w:hAnsi="Times New Roman" w:cs="Times New Roman"/>
          <w:sz w:val="32"/>
        </w:rPr>
      </w:pPr>
      <w:bookmarkStart w:id="1387" w:name="_Toc26605"/>
      <w:r>
        <w:rPr>
          <w:rFonts w:ascii="Times New Roman" w:hAnsi="Times New Roman" w:cs="Times New Roman"/>
          <w:sz w:val="32"/>
        </w:rPr>
        <w:t>调查与评估</w:t>
      </w:r>
      <w:bookmarkEnd w:id="1387"/>
    </w:p>
    <w:p w14:paraId="1B072A56">
      <w:pPr>
        <w:ind w:firstLine="632"/>
        <w:rPr>
          <w:rFonts w:ascii="Times New Roman" w:hAnsi="Times New Roman" w:cs="Times New Roman"/>
          <w:sz w:val="32"/>
        </w:rPr>
      </w:pPr>
      <w:r>
        <w:rPr>
          <w:rFonts w:ascii="Times New Roman" w:hAnsi="Times New Roman" w:cs="Times New Roman"/>
          <w:sz w:val="32"/>
        </w:rPr>
        <w:t>（1）调查评估：根据突发事件的类别和特点，县教育和体育局和学校配合当地人民政府及时对突发事件进行调查评估，分析原因和经过，查找问题和不足，评估影响和损失，总结经验和教训，制定切实可行的改进措施。特别重大、重大突发事件，省级教育行政部门会同省级有关部门进行调查评估，并向省政府作出报告。法律法规另有规定的，从其规定。</w:t>
      </w:r>
    </w:p>
    <w:p w14:paraId="16A35AD5">
      <w:pPr>
        <w:ind w:firstLine="632"/>
        <w:rPr>
          <w:rFonts w:ascii="Times New Roman" w:hAnsi="Times New Roman" w:cs="Times New Roman"/>
          <w:sz w:val="32"/>
        </w:rPr>
      </w:pPr>
      <w:r>
        <w:rPr>
          <w:rFonts w:ascii="Times New Roman" w:hAnsi="Times New Roman" w:cs="Times New Roman"/>
          <w:sz w:val="32"/>
        </w:rPr>
        <w:t>（2）全面总结：县教育和体育局要配合县政府及时组织对本教育系统年度突发事件基本情况、重点领域、主要特点、应急处置、经济损失、社会影响等情况进行全面总结，研究特点规律，查找问题不足，总结成功经验，提出对策措施，形成总结报告，为做好突发事件应对处置提供学习借鉴。</w:t>
      </w:r>
    </w:p>
    <w:p w14:paraId="064FF328">
      <w:pPr>
        <w:pStyle w:val="2"/>
        <w:numPr>
          <w:ilvl w:val="0"/>
          <w:numId w:val="228"/>
        </w:numPr>
        <w:tabs>
          <w:tab w:val="left" w:pos="0"/>
        </w:tabs>
        <w:ind w:firstLine="0" w:firstLineChars="0"/>
        <w:rPr>
          <w:rFonts w:ascii="Times New Roman" w:hAnsi="Times New Roman" w:cs="Times New Roman"/>
          <w:sz w:val="32"/>
        </w:rPr>
      </w:pPr>
      <w:bookmarkStart w:id="1388" w:name="_Toc3680"/>
      <w:r>
        <w:rPr>
          <w:rFonts w:ascii="Times New Roman" w:hAnsi="Times New Roman" w:cs="Times New Roman"/>
          <w:sz w:val="32"/>
        </w:rPr>
        <w:t>保障措施</w:t>
      </w:r>
      <w:bookmarkEnd w:id="1388"/>
    </w:p>
    <w:p w14:paraId="29D0DAAF">
      <w:pPr>
        <w:pStyle w:val="3"/>
        <w:ind w:firstLine="0" w:firstLineChars="0"/>
        <w:rPr>
          <w:rFonts w:ascii="Times New Roman" w:hAnsi="Times New Roman" w:cs="Times New Roman"/>
          <w:sz w:val="32"/>
        </w:rPr>
      </w:pPr>
      <w:bookmarkStart w:id="1389" w:name="_Toc7266"/>
      <w:r>
        <w:rPr>
          <w:rFonts w:ascii="Times New Roman" w:hAnsi="Times New Roman" w:cs="Times New Roman"/>
          <w:sz w:val="32"/>
        </w:rPr>
        <w:t>宣传教育保障</w:t>
      </w:r>
      <w:bookmarkEnd w:id="1389"/>
    </w:p>
    <w:p w14:paraId="6A9BADBD">
      <w:pPr>
        <w:ind w:firstLine="632"/>
        <w:rPr>
          <w:rFonts w:ascii="Times New Roman" w:hAnsi="Times New Roman" w:cs="Times New Roman"/>
          <w:sz w:val="32"/>
        </w:rPr>
      </w:pPr>
      <w:r>
        <w:rPr>
          <w:rFonts w:ascii="Times New Roman" w:hAnsi="Times New Roman" w:cs="Times New Roman"/>
          <w:sz w:val="32"/>
        </w:rPr>
        <w:t>县教育和体育局及各级各类学校应当建立健全突发事件应急管理培训制度，纳入干部教师教育培训体系，根据实际定期开展突发事件应急宣传和教育培训工作。县教育和体育局应当督促指导学校把应急知识教育纳入教学内容，对学生、幼儿进行应急与风险应对教育，培养学生、幼儿的安全意识和自救、互救能力，应当对学校开展的应急知识教育进行指导和监督。</w:t>
      </w:r>
    </w:p>
    <w:p w14:paraId="7745C155">
      <w:pPr>
        <w:pStyle w:val="3"/>
        <w:ind w:firstLine="0" w:firstLineChars="0"/>
        <w:rPr>
          <w:rFonts w:ascii="Times New Roman" w:hAnsi="Times New Roman" w:cs="Times New Roman"/>
          <w:sz w:val="32"/>
        </w:rPr>
      </w:pPr>
      <w:bookmarkStart w:id="1390" w:name="_Toc11446"/>
      <w:r>
        <w:rPr>
          <w:rFonts w:ascii="Times New Roman" w:hAnsi="Times New Roman" w:cs="Times New Roman"/>
          <w:sz w:val="32"/>
        </w:rPr>
        <w:t>应急演练保障</w:t>
      </w:r>
      <w:bookmarkEnd w:id="1390"/>
    </w:p>
    <w:p w14:paraId="6E11D2D3">
      <w:pPr>
        <w:ind w:firstLine="632"/>
        <w:rPr>
          <w:rFonts w:ascii="Times New Roman" w:hAnsi="Times New Roman" w:cs="Times New Roman"/>
          <w:sz w:val="32"/>
        </w:rPr>
      </w:pPr>
    </w:p>
    <w:p w14:paraId="45A310C8">
      <w:pPr>
        <w:ind w:firstLine="632"/>
        <w:rPr>
          <w:rFonts w:ascii="Times New Roman" w:hAnsi="Times New Roman" w:cs="Times New Roman"/>
          <w:sz w:val="32"/>
        </w:rPr>
      </w:pPr>
      <w:r>
        <w:rPr>
          <w:rFonts w:ascii="Times New Roman" w:hAnsi="Times New Roman" w:cs="Times New Roman"/>
          <w:sz w:val="32"/>
        </w:rPr>
        <w:t>县教育和体育局和学校建立健全应急演练制度，结合当地可以预见和可能发生的突发事件的类别以及学校各自特点和条件，按有关规定有计划、有重点地组织开展相关应急预案演练，提高师生逃生避险和应急反应能力。学校每学期至少组织一次针对各类灾害事故的应急演练，并根据演练暴露出的问题，及时修订和完善相关应急预案。上年度发生较大以上级别突发事件的，本年度至少进行1次同类型突发事件的应急演练，法律法规和国家另有规定的，从其规定。</w:t>
      </w:r>
    </w:p>
    <w:p w14:paraId="229609CC">
      <w:pPr>
        <w:pStyle w:val="3"/>
        <w:ind w:firstLine="0" w:firstLineChars="0"/>
        <w:rPr>
          <w:rFonts w:ascii="Times New Roman" w:hAnsi="Times New Roman" w:cs="Times New Roman"/>
          <w:sz w:val="32"/>
        </w:rPr>
      </w:pPr>
      <w:bookmarkStart w:id="1391" w:name="_Toc20832"/>
      <w:r>
        <w:rPr>
          <w:rFonts w:ascii="Times New Roman" w:hAnsi="Times New Roman" w:cs="Times New Roman"/>
          <w:sz w:val="32"/>
        </w:rPr>
        <w:t>队伍建设保障</w:t>
      </w:r>
      <w:bookmarkEnd w:id="1391"/>
    </w:p>
    <w:p w14:paraId="1DC1E701">
      <w:pPr>
        <w:ind w:firstLine="632"/>
        <w:rPr>
          <w:rFonts w:ascii="Times New Roman" w:hAnsi="Times New Roman" w:cs="Times New Roman"/>
          <w:sz w:val="32"/>
        </w:rPr>
      </w:pPr>
      <w:r>
        <w:rPr>
          <w:rFonts w:ascii="Times New Roman" w:hAnsi="Times New Roman" w:cs="Times New Roman"/>
          <w:sz w:val="32"/>
        </w:rPr>
        <w:t>县教育和体育局及各级各类学校要坚持人民至上、生命至上的发展理念，着眼应急管理体制改革和教育改革新形势、新任务、新挑战，加强应急力量建设，提升突发事件应对能力。有条件的学校应组建或联合组建突发事件应急预备队，主要由安全保卫、医疗卫生、后勤保障、心理辅导以及学生、宣传和维稳等工作部门的人员组成，并为应急救援人员购买人身意外伤害保险，配备必要的防护装备和器材。主动加强与当地综合性消防救援队伍、专业应急救援队伍、基层和社会应急队伍等的联系，寻求专业指导，加强应急能力建设。</w:t>
      </w:r>
    </w:p>
    <w:p w14:paraId="01832019">
      <w:pPr>
        <w:pStyle w:val="3"/>
        <w:ind w:firstLine="0" w:firstLineChars="0"/>
        <w:rPr>
          <w:rFonts w:ascii="Times New Roman" w:hAnsi="Times New Roman" w:cs="Times New Roman"/>
          <w:sz w:val="32"/>
        </w:rPr>
      </w:pPr>
      <w:bookmarkStart w:id="1392" w:name="_Toc5222"/>
      <w:r>
        <w:rPr>
          <w:rFonts w:ascii="Times New Roman" w:hAnsi="Times New Roman" w:cs="Times New Roman"/>
          <w:sz w:val="32"/>
        </w:rPr>
        <w:t>应急财力保障</w:t>
      </w:r>
      <w:bookmarkEnd w:id="1392"/>
    </w:p>
    <w:p w14:paraId="0ED0ACF4">
      <w:pPr>
        <w:ind w:firstLine="632"/>
        <w:rPr>
          <w:rFonts w:ascii="Times New Roman" w:hAnsi="Times New Roman" w:cs="Times New Roman"/>
          <w:sz w:val="32"/>
        </w:rPr>
      </w:pPr>
      <w:r>
        <w:rPr>
          <w:rFonts w:ascii="Times New Roman" w:hAnsi="Times New Roman" w:cs="Times New Roman"/>
          <w:sz w:val="32"/>
        </w:rPr>
        <w:t>县教育和体育局和学校按规定程序将应急经费列入年度预算，保障日常宣传、培训、演练、物资储备和应急处置工作。教育系统财务、审计部门要加强对突发事件应急保障资金的使用和效果进行监督与评估。鼓励公民、法人或者其他组织依照国家有关法律法规为教育系统应对突发事件工作提供捐赠和援助。</w:t>
      </w:r>
    </w:p>
    <w:p w14:paraId="56533EC8">
      <w:pPr>
        <w:pStyle w:val="3"/>
        <w:ind w:firstLine="0" w:firstLineChars="0"/>
        <w:rPr>
          <w:rFonts w:ascii="Times New Roman" w:hAnsi="Times New Roman" w:cs="Times New Roman"/>
          <w:sz w:val="32"/>
        </w:rPr>
      </w:pPr>
      <w:bookmarkStart w:id="1393" w:name="_Toc25204"/>
      <w:r>
        <w:rPr>
          <w:rFonts w:ascii="Times New Roman" w:hAnsi="Times New Roman" w:cs="Times New Roman"/>
          <w:sz w:val="32"/>
        </w:rPr>
        <w:t>物资装备保障</w:t>
      </w:r>
      <w:bookmarkEnd w:id="1393"/>
    </w:p>
    <w:p w14:paraId="4058A987">
      <w:pPr>
        <w:ind w:firstLine="632"/>
        <w:rPr>
          <w:rFonts w:ascii="Times New Roman" w:hAnsi="Times New Roman" w:cs="Times New Roman"/>
          <w:sz w:val="32"/>
        </w:rPr>
      </w:pPr>
      <w:r>
        <w:rPr>
          <w:rFonts w:ascii="Times New Roman" w:hAnsi="Times New Roman" w:cs="Times New Roman"/>
          <w:sz w:val="32"/>
        </w:rPr>
        <w:t>县教育和体育局和学校应当建立健全应急救援物资、教材、教学仪器设备和应急处置及救援设施、装备的储备保障制度，完善重要应急物资的购置、储备、调拨和紧急配送机制，加强对物资储备的监督管理，保证物资、器材的完好和可使用性，确保应急所需物资和生活用品及时供应。</w:t>
      </w:r>
    </w:p>
    <w:p w14:paraId="41E2A814">
      <w:pPr>
        <w:pStyle w:val="3"/>
        <w:ind w:firstLine="0" w:firstLineChars="0"/>
        <w:rPr>
          <w:rFonts w:ascii="Times New Roman" w:hAnsi="Times New Roman" w:cs="Times New Roman"/>
          <w:sz w:val="32"/>
        </w:rPr>
      </w:pPr>
      <w:bookmarkStart w:id="1394" w:name="_Toc29783"/>
      <w:r>
        <w:rPr>
          <w:rFonts w:ascii="Times New Roman" w:hAnsi="Times New Roman" w:cs="Times New Roman"/>
          <w:sz w:val="32"/>
        </w:rPr>
        <w:t>公共设施保障</w:t>
      </w:r>
      <w:bookmarkEnd w:id="1394"/>
    </w:p>
    <w:p w14:paraId="0853DBAE">
      <w:pPr>
        <w:ind w:firstLine="632"/>
        <w:rPr>
          <w:rFonts w:ascii="Times New Roman" w:hAnsi="Times New Roman" w:cs="Times New Roman"/>
          <w:sz w:val="32"/>
        </w:rPr>
      </w:pPr>
      <w:r>
        <w:rPr>
          <w:rFonts w:ascii="Times New Roman" w:hAnsi="Times New Roman" w:cs="Times New Roman"/>
          <w:sz w:val="32"/>
        </w:rPr>
        <w:t>县教育和体育局要统筹规划安排学校应当对突发事件所必需的设备和基础设施建设。教育设施规划要适应学校预防、处置突发事件需要，学校建筑物设防标准应高于当地一般建筑物。在当地党委、政府的统一领导和协调下，指定或建立与学校规模相适应的应急避险场所，满足学校及周边社区综合避难需要。</w:t>
      </w:r>
    </w:p>
    <w:p w14:paraId="3877EA20">
      <w:pPr>
        <w:pStyle w:val="3"/>
        <w:ind w:firstLine="0" w:firstLineChars="0"/>
        <w:rPr>
          <w:rFonts w:ascii="Times New Roman" w:hAnsi="Times New Roman" w:cs="Times New Roman"/>
          <w:sz w:val="32"/>
        </w:rPr>
      </w:pPr>
      <w:r>
        <w:rPr>
          <w:rFonts w:ascii="Times New Roman" w:hAnsi="Times New Roman" w:cs="Times New Roman"/>
          <w:sz w:val="32"/>
        </w:rPr>
        <w:t>科技应用保障</w:t>
      </w:r>
    </w:p>
    <w:p w14:paraId="597D45FE">
      <w:pPr>
        <w:ind w:firstLine="632"/>
        <w:rPr>
          <w:rFonts w:ascii="Times New Roman" w:hAnsi="Times New Roman" w:cs="Times New Roman"/>
          <w:sz w:val="32"/>
        </w:rPr>
      </w:pPr>
      <w:r>
        <w:rPr>
          <w:rFonts w:ascii="Times New Roman" w:hAnsi="Times New Roman" w:cs="Times New Roman"/>
          <w:sz w:val="32"/>
        </w:rPr>
        <w:t>县教育和体育局应当依法鼓励、支持具备相应条件的教学科研机构和有关企业发挥自身优势，积极开展公共安全、应急管理专门人才培养和科学研究，建立公共安全应急技术平台，研究开发用于突发事件预防、监测、预警、应急处置与救援的新技术、新设备，不断提高突发事件应对处置能力和服务社会公共安全的能力。</w:t>
      </w:r>
    </w:p>
    <w:p w14:paraId="599F2113">
      <w:pPr>
        <w:pStyle w:val="2"/>
        <w:numPr>
          <w:ilvl w:val="0"/>
          <w:numId w:val="228"/>
        </w:numPr>
        <w:tabs>
          <w:tab w:val="left" w:pos="0"/>
        </w:tabs>
        <w:ind w:firstLine="0" w:firstLineChars="0"/>
        <w:rPr>
          <w:rFonts w:ascii="Times New Roman" w:hAnsi="Times New Roman" w:cs="Times New Roman"/>
          <w:sz w:val="32"/>
        </w:rPr>
      </w:pPr>
      <w:bookmarkStart w:id="1395" w:name="_Toc1746"/>
      <w:r>
        <w:rPr>
          <w:rFonts w:ascii="Times New Roman" w:hAnsi="Times New Roman" w:cs="Times New Roman"/>
          <w:sz w:val="32"/>
        </w:rPr>
        <w:t>监督管理</w:t>
      </w:r>
      <w:bookmarkEnd w:id="1395"/>
    </w:p>
    <w:p w14:paraId="5ABE843F">
      <w:pPr>
        <w:pStyle w:val="3"/>
        <w:ind w:firstLine="0" w:firstLineChars="0"/>
        <w:rPr>
          <w:rFonts w:ascii="Times New Roman" w:hAnsi="Times New Roman" w:cs="Times New Roman"/>
          <w:sz w:val="32"/>
        </w:rPr>
      </w:pPr>
      <w:bookmarkStart w:id="1396" w:name="_Toc31602"/>
      <w:r>
        <w:rPr>
          <w:rFonts w:ascii="Times New Roman" w:hAnsi="Times New Roman" w:cs="Times New Roman"/>
          <w:sz w:val="32"/>
        </w:rPr>
        <w:t>预案演练</w:t>
      </w:r>
      <w:bookmarkEnd w:id="1396"/>
    </w:p>
    <w:p w14:paraId="717FF45D">
      <w:pPr>
        <w:ind w:firstLine="632"/>
        <w:rPr>
          <w:rFonts w:ascii="Times New Roman" w:hAnsi="Times New Roman" w:cs="Times New Roman"/>
          <w:sz w:val="32"/>
        </w:rPr>
      </w:pPr>
      <w:r>
        <w:rPr>
          <w:rFonts w:ascii="Times New Roman" w:hAnsi="Times New Roman" w:cs="Times New Roman"/>
          <w:sz w:val="32"/>
        </w:rPr>
        <w:t>积极组织开展对校园突发事件应急处置人员及队伍的指挥和技术培训，定期进行应急模拟综合演练，提高各单位协同处置、合成作战和快速有效反应能力，进一步增强对校园突发事件的预防和应急处置能力，形成比较完善和规范的处置校园安全稳定的工作机制。</w:t>
      </w:r>
    </w:p>
    <w:p w14:paraId="3487A37D">
      <w:pPr>
        <w:pStyle w:val="3"/>
        <w:ind w:firstLine="0" w:firstLineChars="0"/>
        <w:rPr>
          <w:rFonts w:ascii="Times New Roman" w:hAnsi="Times New Roman" w:cs="Times New Roman"/>
          <w:sz w:val="32"/>
        </w:rPr>
      </w:pPr>
      <w:bookmarkStart w:id="1397" w:name="_Toc11995"/>
      <w:r>
        <w:rPr>
          <w:rFonts w:ascii="Times New Roman" w:hAnsi="Times New Roman" w:cs="Times New Roman"/>
          <w:sz w:val="32"/>
        </w:rPr>
        <w:t>责任与奖惩</w:t>
      </w:r>
      <w:bookmarkEnd w:id="1397"/>
    </w:p>
    <w:p w14:paraId="61105BFD">
      <w:pPr>
        <w:ind w:firstLine="632"/>
        <w:rPr>
          <w:rFonts w:ascii="Times New Roman" w:hAnsi="Times New Roman" w:cs="Times New Roman"/>
          <w:sz w:val="32"/>
        </w:rPr>
      </w:pPr>
      <w:r>
        <w:rPr>
          <w:rFonts w:ascii="Times New Roman" w:hAnsi="Times New Roman" w:cs="Times New Roman"/>
          <w:sz w:val="32"/>
        </w:rPr>
        <w:t>县教育和体育局负责对本预案执行情况进行检查，督促有关部门（单位）对存在的问题进行整改。对在安全事故应对工作中做出突出贡献的单位和个人，按照有关规定给予表彰或奖励。对应急救援组织不力，迟报、瞒报、谎报和漏报安全事故重要情况，造成事故损失扩大或应急管理工作中有其他渎职行为的，依据有关法律法规对有关单位和个人进行处分，构成犯罪的，依法追究法律责任。</w:t>
      </w:r>
    </w:p>
    <w:p w14:paraId="3C4BDDCC">
      <w:pPr>
        <w:pStyle w:val="3"/>
        <w:ind w:firstLine="0" w:firstLineChars="0"/>
        <w:rPr>
          <w:rFonts w:ascii="Times New Roman" w:hAnsi="Times New Roman" w:cs="Times New Roman"/>
          <w:sz w:val="32"/>
        </w:rPr>
      </w:pPr>
      <w:bookmarkStart w:id="1398" w:name="_Toc885"/>
      <w:r>
        <w:rPr>
          <w:rFonts w:ascii="Times New Roman" w:hAnsi="Times New Roman" w:cs="Times New Roman"/>
          <w:sz w:val="32"/>
        </w:rPr>
        <w:t>预案修订</w:t>
      </w:r>
      <w:bookmarkEnd w:id="1398"/>
    </w:p>
    <w:p w14:paraId="5583EE3A">
      <w:pPr>
        <w:ind w:firstLine="632"/>
        <w:rPr>
          <w:rFonts w:ascii="Times New Roman" w:hAnsi="Times New Roman" w:cs="Times New Roman"/>
          <w:sz w:val="32"/>
        </w:rPr>
      </w:pPr>
      <w:r>
        <w:rPr>
          <w:rFonts w:ascii="Times New Roman" w:hAnsi="Times New Roman" w:cs="Times New Roman"/>
          <w:sz w:val="32"/>
        </w:rPr>
        <w:t>县教育应急指挥部办公室应定期开展应急预案评估工作，分析评价预案内容的针对性、实用性和可操作性，实现应急预案的动态优化和科学规范管理。</w:t>
      </w:r>
    </w:p>
    <w:p w14:paraId="2FF34E9F">
      <w:pPr>
        <w:ind w:firstLine="632"/>
        <w:rPr>
          <w:rFonts w:ascii="Times New Roman" w:hAnsi="Times New Roman" w:cs="Times New Roman"/>
          <w:sz w:val="32"/>
        </w:rPr>
      </w:pPr>
      <w:r>
        <w:rPr>
          <w:rFonts w:ascii="Times New Roman" w:hAnsi="Times New Roman" w:cs="Times New Roman"/>
          <w:sz w:val="32"/>
        </w:rPr>
        <w:t>有下列情形之一的，应当及时修订本预案：</w:t>
      </w:r>
    </w:p>
    <w:p w14:paraId="06382883">
      <w:pPr>
        <w:ind w:firstLine="632"/>
        <w:rPr>
          <w:rFonts w:ascii="Times New Roman" w:hAnsi="Times New Roman" w:cs="Times New Roman"/>
          <w:sz w:val="32"/>
        </w:rPr>
      </w:pPr>
      <w:r>
        <w:rPr>
          <w:rFonts w:ascii="Times New Roman" w:hAnsi="Times New Roman" w:cs="Times New Roman"/>
          <w:sz w:val="32"/>
        </w:rPr>
        <w:t>（1）有关法律法规、规章、标准、上位预案中的有关规定发生变化的；</w:t>
      </w:r>
    </w:p>
    <w:p w14:paraId="296B419C">
      <w:pPr>
        <w:ind w:firstLine="632"/>
        <w:rPr>
          <w:rFonts w:ascii="Times New Roman" w:hAnsi="Times New Roman" w:cs="Times New Roman"/>
          <w:sz w:val="32"/>
        </w:rPr>
      </w:pPr>
      <w:r>
        <w:rPr>
          <w:rFonts w:ascii="Times New Roman" w:hAnsi="Times New Roman" w:cs="Times New Roman"/>
          <w:sz w:val="32"/>
        </w:rPr>
        <w:t>（2）应急指挥机构及其职责发生重大调整的；</w:t>
      </w:r>
    </w:p>
    <w:p w14:paraId="76456668">
      <w:pPr>
        <w:ind w:firstLine="632"/>
        <w:rPr>
          <w:rFonts w:ascii="Times New Roman" w:hAnsi="Times New Roman" w:cs="Times New Roman"/>
          <w:sz w:val="32"/>
        </w:rPr>
      </w:pPr>
      <w:r>
        <w:rPr>
          <w:rFonts w:ascii="Times New Roman" w:hAnsi="Times New Roman" w:cs="Times New Roman"/>
          <w:sz w:val="32"/>
        </w:rPr>
        <w:t>（3）面临的风险发生重大变化的；</w:t>
      </w:r>
    </w:p>
    <w:p w14:paraId="7D7B5D91">
      <w:pPr>
        <w:ind w:firstLine="632"/>
        <w:rPr>
          <w:rFonts w:ascii="Times New Roman" w:hAnsi="Times New Roman" w:cs="Times New Roman"/>
          <w:sz w:val="32"/>
        </w:rPr>
      </w:pPr>
      <w:r>
        <w:rPr>
          <w:rFonts w:ascii="Times New Roman" w:hAnsi="Times New Roman" w:cs="Times New Roman"/>
          <w:sz w:val="32"/>
        </w:rPr>
        <w:t>（4）重要应急资源发生重大变化的；</w:t>
      </w:r>
    </w:p>
    <w:p w14:paraId="4794DDAE">
      <w:pPr>
        <w:ind w:firstLine="632"/>
        <w:rPr>
          <w:rFonts w:ascii="Times New Roman" w:hAnsi="Times New Roman" w:cs="Times New Roman"/>
          <w:sz w:val="32"/>
        </w:rPr>
      </w:pPr>
      <w:r>
        <w:rPr>
          <w:rFonts w:ascii="Times New Roman" w:hAnsi="Times New Roman" w:cs="Times New Roman"/>
          <w:sz w:val="32"/>
        </w:rPr>
        <w:t>（5）预案中的其他重要信息发生变化的；</w:t>
      </w:r>
    </w:p>
    <w:p w14:paraId="7A81142A">
      <w:pPr>
        <w:ind w:firstLine="632"/>
        <w:rPr>
          <w:rFonts w:ascii="Times New Roman" w:hAnsi="Times New Roman" w:cs="Times New Roman"/>
          <w:sz w:val="32"/>
        </w:rPr>
      </w:pPr>
      <w:r>
        <w:rPr>
          <w:rFonts w:ascii="Times New Roman" w:hAnsi="Times New Roman" w:cs="Times New Roman"/>
          <w:sz w:val="32"/>
        </w:rPr>
        <w:t>（6）在突发事件实际应对和应急演练中发现问题需要作出重大调整的；</w:t>
      </w:r>
    </w:p>
    <w:p w14:paraId="1735FCFA">
      <w:pPr>
        <w:ind w:firstLine="632"/>
        <w:rPr>
          <w:rFonts w:ascii="Times New Roman" w:hAnsi="Times New Roman" w:cs="Times New Roman"/>
          <w:sz w:val="32"/>
        </w:rPr>
      </w:pPr>
      <w:r>
        <w:rPr>
          <w:rFonts w:ascii="Times New Roman" w:hAnsi="Times New Roman" w:cs="Times New Roman"/>
          <w:sz w:val="32"/>
        </w:rPr>
        <w:t>（7）应急预案制定单位认为应当修订的其他情况。</w:t>
      </w:r>
    </w:p>
    <w:p w14:paraId="338648F7">
      <w:pPr>
        <w:pStyle w:val="3"/>
        <w:ind w:firstLine="0" w:firstLineChars="0"/>
        <w:rPr>
          <w:rFonts w:ascii="Times New Roman" w:hAnsi="Times New Roman" w:cs="Times New Roman"/>
          <w:sz w:val="32"/>
        </w:rPr>
      </w:pPr>
      <w:bookmarkStart w:id="1399" w:name="_Toc4374"/>
      <w:r>
        <w:rPr>
          <w:rFonts w:ascii="Times New Roman" w:hAnsi="Times New Roman" w:cs="Times New Roman"/>
          <w:sz w:val="32"/>
        </w:rPr>
        <w:t>预案实施</w:t>
      </w:r>
      <w:bookmarkEnd w:id="1399"/>
    </w:p>
    <w:p w14:paraId="661F3ACD">
      <w:pPr>
        <w:ind w:firstLine="632"/>
        <w:rPr>
          <w:rFonts w:ascii="Times New Roman" w:hAnsi="Times New Roman" w:cs="Times New Roman"/>
          <w:sz w:val="32"/>
        </w:rPr>
      </w:pPr>
      <w:r>
        <w:rPr>
          <w:rFonts w:ascii="Times New Roman" w:hAnsi="Times New Roman" w:cs="Times New Roman"/>
          <w:sz w:val="32"/>
        </w:rPr>
        <w:t>本预案由集贤县教育系统突发事件应急指挥部办公室负责解释。</w:t>
      </w:r>
    </w:p>
    <w:p w14:paraId="47DC9DD8">
      <w:pPr>
        <w:ind w:firstLine="632"/>
        <w:rPr>
          <w:rFonts w:ascii="Times New Roman" w:hAnsi="Times New Roman" w:cs="Times New Roman"/>
          <w:sz w:val="32"/>
        </w:rPr>
      </w:pPr>
      <w:r>
        <w:rPr>
          <w:rFonts w:ascii="Times New Roman" w:hAnsi="Times New Roman" w:cs="Times New Roman"/>
          <w:sz w:val="32"/>
        </w:rPr>
        <w:t>本预案自发布之日起施行。</w:t>
      </w:r>
    </w:p>
    <w:p w14:paraId="216DF802">
      <w:pPr>
        <w:ind w:firstLine="632"/>
        <w:rPr>
          <w:rFonts w:ascii="Times New Roman" w:hAnsi="Times New Roman" w:cs="Times New Roman"/>
          <w:sz w:val="32"/>
        </w:rPr>
      </w:pPr>
      <w:r>
        <w:rPr>
          <w:rFonts w:ascii="Times New Roman" w:hAnsi="Times New Roman" w:cs="Times New Roman"/>
          <w:sz w:val="32"/>
        </w:rPr>
        <w:br w:type="page"/>
      </w:r>
    </w:p>
    <w:p w14:paraId="3B9BAADE">
      <w:pPr>
        <w:pStyle w:val="2"/>
        <w:numPr>
          <w:ilvl w:val="0"/>
          <w:numId w:val="0"/>
        </w:numPr>
        <w:rPr>
          <w:rFonts w:ascii="Times New Roman" w:hAnsi="Times New Roman" w:cs="Times New Roman"/>
          <w:sz w:val="32"/>
        </w:rPr>
      </w:pPr>
      <w:bookmarkStart w:id="1400" w:name="_Toc32276"/>
      <w:r>
        <w:rPr>
          <w:rFonts w:ascii="Times New Roman" w:hAnsi="Times New Roman" w:cs="Times New Roman"/>
          <w:sz w:val="32"/>
        </w:rPr>
        <w:t>附件1：教育系统突发事件分级</w:t>
      </w:r>
      <w:bookmarkEnd w:id="1400"/>
    </w:p>
    <w:p w14:paraId="2204B85B">
      <w:pPr>
        <w:pStyle w:val="20"/>
        <w:widowControl/>
        <w:shd w:val="clear" w:color="auto" w:fill="FFFFFF"/>
        <w:spacing w:beforeAutospacing="0" w:afterAutospacing="0" w:line="560" w:lineRule="exact"/>
        <w:ind w:firstLine="0" w:firstLineChars="0"/>
        <w:rPr>
          <w:rFonts w:ascii="Times New Roman" w:hAnsi="Times New Roman" w:eastAsia="黑体"/>
          <w:b/>
          <w:bCs/>
          <w:color w:val="444444"/>
          <w:sz w:val="32"/>
          <w:shd w:val="clear" w:color="auto" w:fill="FFFFFF"/>
        </w:rPr>
      </w:pPr>
      <w:r>
        <w:rPr>
          <w:rFonts w:ascii="Times New Roman" w:hAnsi="Times New Roman" w:eastAsia="黑体"/>
          <w:b/>
          <w:bCs/>
          <w:color w:val="444444"/>
          <w:sz w:val="32"/>
          <w:shd w:val="clear" w:color="auto" w:fill="FFFFFF"/>
        </w:rPr>
        <w:t>一、教育系统事故灾难类突发事件的等级确认与划分</w:t>
      </w:r>
    </w:p>
    <w:p w14:paraId="1A82B876">
      <w:pPr>
        <w:pStyle w:val="20"/>
        <w:widowControl/>
        <w:shd w:val="clear" w:color="auto" w:fill="FFFFFF"/>
        <w:spacing w:beforeAutospacing="0" w:afterAutospacing="0" w:line="560" w:lineRule="exact"/>
        <w:ind w:firstLine="632"/>
        <w:rPr>
          <w:rFonts w:ascii="Times New Roman" w:hAnsi="Times New Roman" w:eastAsia="楷体_GB2312"/>
          <w:b/>
          <w:bCs/>
          <w:color w:val="444444"/>
          <w:sz w:val="32"/>
          <w:shd w:val="clear" w:color="auto" w:fill="FFFFFF"/>
        </w:rPr>
      </w:pPr>
      <w:r>
        <w:rPr>
          <w:rFonts w:ascii="Times New Roman" w:hAnsi="Times New Roman" w:eastAsia="楷体_GB2312"/>
          <w:b/>
          <w:bCs/>
          <w:color w:val="444444"/>
          <w:sz w:val="32"/>
          <w:shd w:val="clear" w:color="auto" w:fill="FFFFFF"/>
        </w:rPr>
        <w:t>（一）特别重大事故。</w:t>
      </w:r>
    </w:p>
    <w:p w14:paraId="0239B72E">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学校所在区域内的人员和财产遭受特别重大损害，对本地区学校的教学秩序产生特别重大影响的事故灾难。造成30人以上死亡（含失踪、被困），或危及30人以上生命安全，或造成100人以上重伤的事故，或造成1亿元以上直接经济损失的事故。</w:t>
      </w:r>
    </w:p>
    <w:p w14:paraId="40A10B02">
      <w:pPr>
        <w:pStyle w:val="20"/>
        <w:widowControl/>
        <w:shd w:val="clear" w:color="auto" w:fill="FFFFFF"/>
        <w:spacing w:beforeAutospacing="0" w:afterAutospacing="0" w:line="560" w:lineRule="exact"/>
        <w:ind w:firstLine="632"/>
        <w:rPr>
          <w:rFonts w:ascii="Times New Roman" w:hAnsi="Times New Roman" w:eastAsia="楷体_GB2312"/>
          <w:b/>
          <w:bCs/>
          <w:color w:val="444444"/>
          <w:sz w:val="32"/>
          <w:shd w:val="clear" w:color="auto" w:fill="FFFFFF"/>
        </w:rPr>
      </w:pPr>
      <w:r>
        <w:rPr>
          <w:rFonts w:ascii="Times New Roman" w:hAnsi="Times New Roman" w:eastAsia="楷体_GB2312"/>
          <w:b/>
          <w:bCs/>
          <w:color w:val="444444"/>
          <w:sz w:val="32"/>
          <w:shd w:val="clear" w:color="auto" w:fill="FFFFFF"/>
        </w:rPr>
        <w:t>（二）重大事故。</w:t>
      </w:r>
    </w:p>
    <w:p w14:paraId="3CFD8F9D">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学校所在区域内的人员和财产遭受重大损害，对本地区学校的教学秩序产生重大影响的事故灾难。造成10人以上30人以下死亡（含失踪、被困），或危及10人以上30人以下生命安全，或造成50人以上100人以下重伤的事故，或造成直接经济损失5000万元以上1亿元以下的事故。</w:t>
      </w:r>
    </w:p>
    <w:p w14:paraId="2C21935C">
      <w:pPr>
        <w:pStyle w:val="20"/>
        <w:widowControl/>
        <w:shd w:val="clear" w:color="auto" w:fill="FFFFFF"/>
        <w:spacing w:beforeAutospacing="0" w:afterAutospacing="0" w:line="560" w:lineRule="exact"/>
        <w:ind w:firstLine="632"/>
        <w:rPr>
          <w:rFonts w:ascii="Times New Roman" w:hAnsi="Times New Roman" w:eastAsia="楷体_GB2312"/>
          <w:b/>
          <w:bCs/>
          <w:color w:val="444444"/>
          <w:sz w:val="32"/>
          <w:shd w:val="clear" w:color="auto" w:fill="FFFFFF"/>
        </w:rPr>
      </w:pPr>
      <w:r>
        <w:rPr>
          <w:rFonts w:ascii="Times New Roman" w:hAnsi="Times New Roman" w:eastAsia="楷体_GB2312"/>
          <w:b/>
          <w:bCs/>
          <w:color w:val="444444"/>
          <w:sz w:val="32"/>
          <w:shd w:val="clear" w:color="auto" w:fill="FFFFFF"/>
        </w:rPr>
        <w:t>（三）较大事故。</w:t>
      </w:r>
    </w:p>
    <w:p w14:paraId="14FF02A2">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对学校的人员和财产造成较大损害，对学校的教学秩序产生较大影响的事故灾难。造成3人以上10人以下死亡（含失踪、被困），或危及3人以上10人以下生命安全，或造成10人以上50人以下重伤，或造成直接经济损失1000万元以上5000万元以下的事故。</w:t>
      </w:r>
    </w:p>
    <w:p w14:paraId="17F53729">
      <w:pPr>
        <w:pStyle w:val="20"/>
        <w:widowControl/>
        <w:shd w:val="clear" w:color="auto" w:fill="FFFFFF"/>
        <w:spacing w:beforeAutospacing="0" w:afterAutospacing="0" w:line="560" w:lineRule="exact"/>
        <w:ind w:firstLine="632"/>
        <w:rPr>
          <w:rFonts w:ascii="Times New Roman" w:hAnsi="Times New Roman" w:eastAsia="楷体_GB2312"/>
          <w:b/>
          <w:bCs/>
          <w:color w:val="444444"/>
          <w:sz w:val="32"/>
          <w:shd w:val="clear" w:color="auto" w:fill="FFFFFF"/>
        </w:rPr>
      </w:pPr>
      <w:r>
        <w:rPr>
          <w:rFonts w:ascii="Times New Roman" w:hAnsi="Times New Roman" w:eastAsia="楷体_GB2312"/>
          <w:b/>
          <w:bCs/>
          <w:color w:val="444444"/>
          <w:sz w:val="32"/>
          <w:shd w:val="clear" w:color="auto" w:fill="FFFFFF"/>
        </w:rPr>
        <w:t>（四）一般事故。</w:t>
      </w:r>
    </w:p>
    <w:p w14:paraId="59050C17">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对个体造成的损害，对学校教学秩序产生一定影响的事故灾难。造成3人以下死亡（含失踪、被困），或造成10人以下重伤，或造成直接经济损失1000万元以下的事故。</w:t>
      </w:r>
    </w:p>
    <w:p w14:paraId="4649FB11">
      <w:pPr>
        <w:pStyle w:val="20"/>
        <w:widowControl/>
        <w:shd w:val="clear" w:color="auto" w:fill="FFFFFF"/>
        <w:spacing w:beforeAutospacing="0" w:afterAutospacing="0" w:line="560" w:lineRule="exact"/>
        <w:ind w:firstLine="0" w:firstLineChars="0"/>
        <w:rPr>
          <w:rFonts w:ascii="Times New Roman" w:hAnsi="Times New Roman" w:eastAsia="黑体"/>
          <w:b/>
          <w:bCs/>
          <w:color w:val="444444"/>
          <w:sz w:val="32"/>
          <w:shd w:val="clear" w:color="auto" w:fill="FFFFFF"/>
        </w:rPr>
      </w:pPr>
      <w:r>
        <w:rPr>
          <w:rFonts w:ascii="Times New Roman" w:hAnsi="Times New Roman" w:eastAsia="黑体"/>
          <w:b/>
          <w:bCs/>
          <w:color w:val="444444"/>
          <w:sz w:val="32"/>
          <w:shd w:val="clear" w:color="auto" w:fill="FFFFFF"/>
        </w:rPr>
        <w:t>二、教育系统突发公共卫生类事件的等级确认与划分</w:t>
      </w:r>
    </w:p>
    <w:p w14:paraId="73E8034C">
      <w:pPr>
        <w:pStyle w:val="20"/>
        <w:widowControl/>
        <w:shd w:val="clear" w:color="auto" w:fill="FFFFFF"/>
        <w:spacing w:beforeAutospacing="0" w:afterAutospacing="0" w:line="560" w:lineRule="exact"/>
        <w:ind w:firstLine="632"/>
        <w:rPr>
          <w:rFonts w:ascii="Times New Roman" w:hAnsi="Times New Roman" w:eastAsia="楷体_GB2312"/>
          <w:b/>
          <w:bCs/>
          <w:color w:val="444444"/>
          <w:sz w:val="32"/>
          <w:shd w:val="clear" w:color="auto" w:fill="FFFFFF"/>
        </w:rPr>
      </w:pPr>
      <w:r>
        <w:rPr>
          <w:rFonts w:ascii="Times New Roman" w:hAnsi="Times New Roman" w:eastAsia="楷体_GB2312"/>
          <w:b/>
          <w:bCs/>
          <w:color w:val="444444"/>
          <w:sz w:val="32"/>
          <w:shd w:val="clear" w:color="auto" w:fill="FFFFFF"/>
        </w:rPr>
        <w:t>（一）特别重大突发公共卫生事件。</w:t>
      </w:r>
    </w:p>
    <w:p w14:paraId="27FDFA43">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（1）学校发生的肺鼠疫、肺炭疽、传染性非典型肺炎、人感染高致病性禽流感、群体性不明原因疾病、新传染病以及我国已经消灭的传染病等达到国务院卫生行政部门确定的特别重大突发公共卫生事件标准的；</w:t>
      </w:r>
    </w:p>
    <w:p w14:paraId="0DF6ADFE">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（2）发生在学校的，省级以上人民政府卫生行政部门确定的其他特别重大突发公共卫生事件。</w:t>
      </w:r>
    </w:p>
    <w:p w14:paraId="784BE422">
      <w:pPr>
        <w:pStyle w:val="20"/>
        <w:widowControl/>
        <w:shd w:val="clear" w:color="auto" w:fill="FFFFFF"/>
        <w:spacing w:beforeAutospacing="0" w:afterAutospacing="0" w:line="560" w:lineRule="exact"/>
        <w:ind w:firstLine="632"/>
        <w:rPr>
          <w:rFonts w:ascii="Times New Roman" w:hAnsi="Times New Roman" w:eastAsia="楷体_GB2312"/>
          <w:b/>
          <w:bCs/>
          <w:color w:val="444444"/>
          <w:sz w:val="32"/>
          <w:shd w:val="clear" w:color="auto" w:fill="FFFFFF"/>
        </w:rPr>
      </w:pPr>
      <w:r>
        <w:rPr>
          <w:rFonts w:ascii="Times New Roman" w:hAnsi="Times New Roman" w:eastAsia="楷体_GB2312"/>
          <w:b/>
          <w:bCs/>
          <w:color w:val="444444"/>
          <w:sz w:val="32"/>
          <w:shd w:val="clear" w:color="auto" w:fill="FFFFFF"/>
        </w:rPr>
        <w:t>（二）重大突发公共卫生事件。</w:t>
      </w:r>
    </w:p>
    <w:p w14:paraId="43BA4D30">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（1）学校集体性食物中毒，1次中毒100人以上并出现死亡病例，或出现10人以上死亡病例；</w:t>
      </w:r>
    </w:p>
    <w:p w14:paraId="47E80314">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（2）学校发生肺鼠疫、肺炭疽、腺鼠疫、霍乱等传染病病例，发病人数以及疫情波及范围达到省级以上人民政府卫生行政部门确定的重大突发公共卫生事件标准；</w:t>
      </w:r>
    </w:p>
    <w:p w14:paraId="7915183B">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（3）学校发生传染性非典型肺炎、人感染高致病性禽流感疑似病例；</w:t>
      </w:r>
    </w:p>
    <w:p w14:paraId="1C00271A">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（4）乙类、丙类传染病在短期内暴发流行，发病人数以及疫情波及范围达到省级以上卫生行政部门确定的重大突发公共卫生事件标准；</w:t>
      </w:r>
    </w:p>
    <w:p w14:paraId="1CB9F5CD">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（5）群体性不明原因疾病扩散到县（区）以外的学校；</w:t>
      </w:r>
    </w:p>
    <w:p w14:paraId="490A209D">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（6）因预防接种或预防性服药造成人员死亡；</w:t>
      </w:r>
    </w:p>
    <w:p w14:paraId="27256198">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（7）因学校实验室有毒物（药）品泄漏，造成人员急性中毒在50人以上，或者死亡5人及以上；</w:t>
      </w:r>
    </w:p>
    <w:p w14:paraId="2AEA5BA7">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（８）发生在学校的，经省级以上人民政府卫生行政部门认定的其他重大突发公共卫生事件。</w:t>
      </w:r>
    </w:p>
    <w:p w14:paraId="5E7E0B4A">
      <w:pPr>
        <w:pStyle w:val="20"/>
        <w:widowControl/>
        <w:shd w:val="clear" w:color="auto" w:fill="FFFFFF"/>
        <w:spacing w:beforeAutospacing="0" w:afterAutospacing="0" w:line="560" w:lineRule="exact"/>
        <w:ind w:firstLine="632"/>
        <w:rPr>
          <w:rFonts w:ascii="Times New Roman" w:hAnsi="Times New Roman" w:eastAsia="楷体_GB2312"/>
          <w:b/>
          <w:bCs/>
          <w:color w:val="444444"/>
          <w:sz w:val="32"/>
          <w:shd w:val="clear" w:color="auto" w:fill="FFFFFF"/>
        </w:rPr>
      </w:pPr>
      <w:r>
        <w:rPr>
          <w:rFonts w:ascii="Times New Roman" w:hAnsi="Times New Roman" w:eastAsia="楷体_GB2312"/>
          <w:b/>
          <w:bCs/>
          <w:color w:val="444444"/>
          <w:sz w:val="32"/>
          <w:shd w:val="clear" w:color="auto" w:fill="FFFFFF"/>
        </w:rPr>
        <w:t>（三）较大突发公共卫生事件。</w:t>
      </w:r>
    </w:p>
    <w:p w14:paraId="30C54E06">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（1）学校集体食物中毒，1次中毒100人以上，或出现死亡病例；</w:t>
      </w:r>
    </w:p>
    <w:p w14:paraId="0F6EC558">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（2）学校发生肺鼠疫、肺炭疽、腺鼠疫、霍乱等传染病病例，发病人数以及疫情波及范围达到地市级以上人民政府卫生行政部门确定的较大突发公共卫生事件标准；</w:t>
      </w:r>
    </w:p>
    <w:p w14:paraId="1FD0EE07">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（3）乙类传染病、丙类传染病在短期内暴发流行，疫情局限在县（区）域内的学校，发病人数达到地市级以上人民政府卫生行政部门确定的较大突发公共卫生事件标准；</w:t>
      </w:r>
    </w:p>
    <w:p w14:paraId="7B18202F">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（4）在1个县（区）域内学校发现群体性不明原因疾病；</w:t>
      </w:r>
    </w:p>
    <w:p w14:paraId="7366ACC6">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（5）发生在学校的因预防接种或预防性服药造成的群体性不良反应；</w:t>
      </w:r>
    </w:p>
    <w:p w14:paraId="3BE77A16">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（6）因学校实验室有毒物（药）品泄漏，造成人员急性中毒，1次中毒人数在10人以上，50人以下，或出现死亡病例，但死亡人员在5人以下；</w:t>
      </w:r>
    </w:p>
    <w:p w14:paraId="12DF818D">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（7）发生在学校的，经地市级以上人民政府卫生行政部门认定的其他较大突发公共卫生事件。</w:t>
      </w:r>
    </w:p>
    <w:p w14:paraId="26A1BEE3">
      <w:pPr>
        <w:pStyle w:val="20"/>
        <w:widowControl/>
        <w:shd w:val="clear" w:color="auto" w:fill="FFFFFF"/>
        <w:spacing w:beforeAutospacing="0" w:afterAutospacing="0" w:line="560" w:lineRule="exact"/>
        <w:ind w:firstLine="632"/>
        <w:rPr>
          <w:rFonts w:ascii="Times New Roman" w:hAnsi="Times New Roman" w:eastAsia="楷体_GB2312"/>
          <w:b/>
          <w:bCs/>
          <w:color w:val="444444"/>
          <w:sz w:val="32"/>
          <w:shd w:val="clear" w:color="auto" w:fill="FFFFFF"/>
        </w:rPr>
      </w:pPr>
      <w:r>
        <w:rPr>
          <w:rFonts w:ascii="Times New Roman" w:hAnsi="Times New Roman" w:eastAsia="楷体_GB2312"/>
          <w:b/>
          <w:bCs/>
          <w:color w:val="444444"/>
          <w:sz w:val="32"/>
          <w:shd w:val="clear" w:color="auto" w:fill="FFFFFF"/>
        </w:rPr>
        <w:t>（四）一般突发公共卫生事件。</w:t>
      </w:r>
    </w:p>
    <w:p w14:paraId="2DF66C44">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（1）学校发生集体食物中毒，1次食物中毒人数30人以上，100人以下，且无死亡病例；</w:t>
      </w:r>
    </w:p>
    <w:p w14:paraId="6F2F2C4F">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（2）学校发生乙类传染病、丙类传染病病例，发病人数以及疫情波及范围达到县级以上人民政府卫生行政部门确定的一般突发公共卫生事件标准；</w:t>
      </w:r>
    </w:p>
    <w:p w14:paraId="3D7CF333">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（3）因学校实验室有毒物（药）品泄漏，造成人员急性中毒，1次中毒人数在10人以下，无死亡病例；</w:t>
      </w:r>
    </w:p>
    <w:p w14:paraId="45EC6473">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（4）发生在学校的，经县级以上人民政府卫生行政部门认定的其他一般突发公共卫生事件。</w:t>
      </w:r>
    </w:p>
    <w:p w14:paraId="53C9527C">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鉴于学校公共卫生事件涉及青少年健康安全，社会关注度较高，未达到一般公共卫生事件（Ⅳ级）的，均按照一般公共卫生事件（Ⅳ级）进行应急反应。</w:t>
      </w:r>
    </w:p>
    <w:p w14:paraId="5C9BCFB6">
      <w:pPr>
        <w:pStyle w:val="20"/>
        <w:widowControl/>
        <w:shd w:val="clear" w:color="auto" w:fill="FFFFFF"/>
        <w:spacing w:beforeAutospacing="0" w:afterAutospacing="0" w:line="560" w:lineRule="exact"/>
        <w:ind w:firstLine="0" w:firstLineChars="0"/>
        <w:rPr>
          <w:rFonts w:ascii="Times New Roman" w:hAnsi="Times New Roman" w:eastAsia="黑体"/>
          <w:b/>
          <w:bCs/>
          <w:color w:val="444444"/>
          <w:sz w:val="32"/>
          <w:shd w:val="clear" w:color="auto" w:fill="FFFFFF"/>
        </w:rPr>
      </w:pPr>
      <w:r>
        <w:rPr>
          <w:rFonts w:ascii="Times New Roman" w:hAnsi="Times New Roman" w:eastAsia="黑体"/>
          <w:b/>
          <w:bCs/>
          <w:color w:val="444444"/>
          <w:sz w:val="32"/>
          <w:shd w:val="clear" w:color="auto" w:fill="FFFFFF"/>
        </w:rPr>
        <w:t>三、教育系统社会安全类事件的等级确认与划分</w:t>
      </w:r>
    </w:p>
    <w:p w14:paraId="669EC67F">
      <w:pPr>
        <w:pStyle w:val="20"/>
        <w:widowControl/>
        <w:shd w:val="clear" w:color="auto" w:fill="FFFFFF"/>
        <w:spacing w:beforeAutospacing="0" w:afterAutospacing="0" w:line="560" w:lineRule="exact"/>
        <w:ind w:firstLine="632"/>
        <w:rPr>
          <w:rFonts w:ascii="Times New Roman" w:hAnsi="Times New Roman" w:eastAsia="楷体_GB2312"/>
          <w:b/>
          <w:bCs/>
          <w:color w:val="444444"/>
          <w:sz w:val="32"/>
          <w:shd w:val="clear" w:color="auto" w:fill="FFFFFF"/>
        </w:rPr>
      </w:pPr>
      <w:r>
        <w:rPr>
          <w:rFonts w:ascii="Times New Roman" w:hAnsi="Times New Roman" w:eastAsia="楷体_GB2312"/>
          <w:b/>
          <w:bCs/>
          <w:color w:val="444444"/>
          <w:sz w:val="32"/>
          <w:shd w:val="clear" w:color="auto" w:fill="FFFFFF"/>
        </w:rPr>
        <w:t>（一）特别重大社会安全事件。</w:t>
      </w:r>
    </w:p>
    <w:p w14:paraId="5583CD24">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（1）1次参与人数5000人以上，严重影响社会稳定的事件；</w:t>
      </w:r>
    </w:p>
    <w:p w14:paraId="444DEB5E">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（2）冲击、围攻县级以上党政军机关和要害部门，打、砸、抢、烧乡镇以上党政军机关事件；</w:t>
      </w:r>
    </w:p>
    <w:p w14:paraId="5AFAD540">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（3）参与人员对抗性特征突出，已发生大规模的打、砸、抢、烧等违法犯罪行为；</w:t>
      </w:r>
    </w:p>
    <w:p w14:paraId="7059E592">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（4）阻断铁路繁忙干线、国道、高速公路和重要交通枢纽、城市交通，造成８小时以上停运，或阻挠、妨碍国家重点建设工程施工，造成24小时以上停工事件；</w:t>
      </w:r>
    </w:p>
    <w:p w14:paraId="07E867E9">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（5）造成10人以上死亡或30人以上受伤，严重危害社会稳定的事件；</w:t>
      </w:r>
    </w:p>
    <w:p w14:paraId="792AC7DE">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（6）高校内聚集事件失控，并发生未经批准走出校门进行大规模游行、集会、绝食、静坐、请愿等行为，引发不同地区连锁反应，严重影响社会稳定；</w:t>
      </w:r>
    </w:p>
    <w:p w14:paraId="0421E6DC">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（7）参与人数500人以上，或造成重大人员伤亡的群体性械斗、冲突事件；</w:t>
      </w:r>
    </w:p>
    <w:p w14:paraId="2F335744">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（８）其他视情况需要作为特别重大社会安全事件对待的事件。</w:t>
      </w:r>
    </w:p>
    <w:p w14:paraId="4C765C06">
      <w:pPr>
        <w:pStyle w:val="20"/>
        <w:widowControl/>
        <w:shd w:val="clear" w:color="auto" w:fill="FFFFFF"/>
        <w:spacing w:beforeAutospacing="0" w:afterAutospacing="0" w:line="560" w:lineRule="exact"/>
        <w:ind w:firstLine="632"/>
        <w:rPr>
          <w:rFonts w:ascii="Times New Roman" w:hAnsi="Times New Roman" w:eastAsia="楷体_GB2312"/>
          <w:b/>
          <w:bCs/>
          <w:color w:val="444444"/>
          <w:sz w:val="32"/>
          <w:shd w:val="clear" w:color="auto" w:fill="FFFFFF"/>
        </w:rPr>
      </w:pPr>
      <w:r>
        <w:rPr>
          <w:rFonts w:ascii="Times New Roman" w:hAnsi="Times New Roman" w:eastAsia="楷体_GB2312"/>
          <w:b/>
          <w:bCs/>
          <w:color w:val="444444"/>
          <w:sz w:val="32"/>
          <w:shd w:val="clear" w:color="auto" w:fill="FFFFFF"/>
        </w:rPr>
        <w:t>（二）重大社会安全事件。</w:t>
      </w:r>
    </w:p>
    <w:p w14:paraId="07964888">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（1）参与人数在1000人以上，5000人以下，影响较大的非法集会游行示威、上访请愿、聚众闹事、罢工（课）等，或人数不多但涉及面广和有可能进京的非法集会和集体上访事件；</w:t>
      </w:r>
    </w:p>
    <w:p w14:paraId="7562E101">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（2）造成3人以上10人以下死亡，或10人以上30人以下受伤的社会安全事件；</w:t>
      </w:r>
    </w:p>
    <w:p w14:paraId="01414DBB">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（3）高校校园网上出现大范围串联、煽动和蛊惑信息，校内聚集规模迅速扩大并出现多校串联聚集趋势，学校正常教育教学秩序受到严重影响甚至瘫痪，或因高校统一招生试题泄密引发的群体性事件；</w:t>
      </w:r>
    </w:p>
    <w:p w14:paraId="5DECE272">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（4）参与人数200人以上、500人以下，或造成较大人员伤亡的群体性械斗、冲突事件；</w:t>
      </w:r>
    </w:p>
    <w:p w14:paraId="591E5775">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（5）涉及境内外宗教组织背景的大型非法宗教活动，或因民族宗教问题引发的严重影响民族团结的群体性事件；</w:t>
      </w:r>
    </w:p>
    <w:p w14:paraId="7497DF0B">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（6）其他视情况需要作为重大社会安全事件对待的事件。</w:t>
      </w:r>
    </w:p>
    <w:p w14:paraId="5DF1BEEC">
      <w:pPr>
        <w:pStyle w:val="20"/>
        <w:widowControl/>
        <w:shd w:val="clear" w:color="auto" w:fill="FFFFFF"/>
        <w:spacing w:beforeAutospacing="0" w:afterAutospacing="0" w:line="560" w:lineRule="exact"/>
        <w:ind w:firstLine="632"/>
        <w:rPr>
          <w:rFonts w:ascii="Times New Roman" w:hAnsi="Times New Roman" w:eastAsia="楷体_GB2312"/>
          <w:b/>
          <w:bCs/>
          <w:color w:val="444444"/>
          <w:sz w:val="32"/>
          <w:shd w:val="clear" w:color="auto" w:fill="FFFFFF"/>
        </w:rPr>
      </w:pPr>
      <w:r>
        <w:rPr>
          <w:rFonts w:ascii="Times New Roman" w:hAnsi="Times New Roman" w:eastAsia="楷体_GB2312"/>
          <w:b/>
          <w:bCs/>
          <w:color w:val="444444"/>
          <w:sz w:val="32"/>
          <w:shd w:val="clear" w:color="auto" w:fill="FFFFFF"/>
        </w:rPr>
        <w:t>（三）较大社会安全事件。</w:t>
      </w:r>
    </w:p>
    <w:p w14:paraId="2511ACF5">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（1）造成1人以上3人以下死亡，或3人以上10人以下受伤的社会安全事件；</w:t>
      </w:r>
    </w:p>
    <w:p w14:paraId="5B55C79E">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（2）参与人数在200人以上，1000人以下，影响较大的非法集会游行示威、上访请愿、聚众闹事、罢工（课）等事件；</w:t>
      </w:r>
    </w:p>
    <w:p w14:paraId="3E95B2BE">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（3）参与人数100人以上200人以下，或造成人员死亡的群体性械斗、冲突等聚众事件；</w:t>
      </w:r>
    </w:p>
    <w:p w14:paraId="5CF2FDEB">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（4）其他视情况需要作为较大社会安全事件对待的事件。</w:t>
      </w:r>
    </w:p>
    <w:p w14:paraId="6051AC34">
      <w:pPr>
        <w:pStyle w:val="20"/>
        <w:widowControl/>
        <w:shd w:val="clear" w:color="auto" w:fill="FFFFFF"/>
        <w:spacing w:beforeAutospacing="0" w:afterAutospacing="0" w:line="560" w:lineRule="exact"/>
        <w:ind w:firstLine="632"/>
        <w:rPr>
          <w:rFonts w:ascii="Times New Roman" w:hAnsi="Times New Roman" w:eastAsia="楷体_GB2312"/>
          <w:b/>
          <w:bCs/>
          <w:color w:val="444444"/>
          <w:sz w:val="32"/>
          <w:shd w:val="clear" w:color="auto" w:fill="FFFFFF"/>
        </w:rPr>
      </w:pPr>
      <w:r>
        <w:rPr>
          <w:rFonts w:ascii="Times New Roman" w:hAnsi="Times New Roman" w:eastAsia="楷体_GB2312"/>
          <w:b/>
          <w:bCs/>
          <w:color w:val="444444"/>
          <w:sz w:val="32"/>
          <w:shd w:val="clear" w:color="auto" w:fill="FFFFFF"/>
        </w:rPr>
        <w:t>（四）一般社会安全事件。</w:t>
      </w:r>
    </w:p>
    <w:p w14:paraId="268B2D78">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（1）造成1人以上3人以下受伤，且未造成人员死亡的社会安全事件；</w:t>
      </w:r>
    </w:p>
    <w:p w14:paraId="6A9589EE">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（2）严重影响学校教学秩序的事件；</w:t>
      </w:r>
    </w:p>
    <w:p w14:paraId="770197B5">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（3）其他视情况需要作为一般社会安全事件对待的事件。</w:t>
      </w:r>
    </w:p>
    <w:p w14:paraId="349E8501">
      <w:pPr>
        <w:ind w:firstLine="632"/>
        <w:rPr>
          <w:rFonts w:ascii="Times New Roman" w:hAnsi="Times New Roman" w:cs="Times New Roman"/>
          <w:sz w:val="32"/>
        </w:rPr>
      </w:pPr>
      <w:r>
        <w:rPr>
          <w:rFonts w:ascii="Times New Roman" w:hAnsi="Times New Roman" w:cs="Times New Roman"/>
          <w:sz w:val="32"/>
        </w:rPr>
        <w:t>上述分级标准有关数量的表述中，“以上”含本数，“以下”不含本数。</w:t>
      </w:r>
    </w:p>
    <w:p w14:paraId="1B00E53E">
      <w:pPr>
        <w:pStyle w:val="15"/>
        <w:ind w:left="552" w:firstLine="552"/>
        <w:rPr>
          <w:rFonts w:ascii="Times New Roman" w:hAnsi="Times New Roman" w:cs="Times New Roman"/>
        </w:rPr>
      </w:pPr>
    </w:p>
    <w:p w14:paraId="746D48B3">
      <w:pPr>
        <w:pStyle w:val="15"/>
        <w:ind w:left="552" w:firstLine="552"/>
        <w:rPr>
          <w:rFonts w:ascii="Times New Roman" w:hAnsi="Times New Roman" w:cs="Times New Roman"/>
        </w:rPr>
      </w:pPr>
    </w:p>
    <w:p w14:paraId="35458B51">
      <w:pPr>
        <w:pStyle w:val="15"/>
        <w:ind w:left="0" w:leftChars="0" w:firstLine="0" w:firstLineChars="0"/>
        <w:rPr>
          <w:rFonts w:ascii="Times New Roman" w:hAnsi="Times New Roman" w:cs="Times New Roman"/>
        </w:rPr>
        <w:sectPr>
          <w:footerReference r:id="rId138" w:type="default"/>
          <w:pgSz w:w="11906" w:h="16838"/>
          <w:pgMar w:top="2098" w:right="1474" w:bottom="1984" w:left="1587" w:header="624" w:footer="1134" w:gutter="0"/>
          <w:pgNumType w:start="1"/>
          <w:cols w:space="0" w:num="1"/>
          <w:docGrid w:type="linesAndChars" w:linePitch="579" w:charSpace="-842"/>
        </w:sectPr>
      </w:pPr>
    </w:p>
    <w:p w14:paraId="2608EF95">
      <w:pPr>
        <w:ind w:firstLine="552"/>
        <w:rPr>
          <w:rFonts w:ascii="Times New Roman" w:hAnsi="Times New Roman" w:cs="Times New Roman"/>
        </w:rPr>
      </w:pPr>
    </w:p>
    <w:p w14:paraId="5B2D6C49">
      <w:pPr>
        <w:ind w:firstLine="552"/>
        <w:rPr>
          <w:rFonts w:ascii="Times New Roman" w:hAnsi="Times New Roman" w:cs="Times New Roman"/>
        </w:rPr>
      </w:pPr>
    </w:p>
    <w:p w14:paraId="52E741E3">
      <w:pPr>
        <w:pStyle w:val="13"/>
        <w:ind w:firstLine="632"/>
        <w:rPr>
          <w:rFonts w:ascii="Times New Roman" w:hAnsi="Times New Roman" w:cs="Times New Roman"/>
        </w:rPr>
      </w:pPr>
    </w:p>
    <w:p w14:paraId="7A4C5424">
      <w:pPr>
        <w:ind w:firstLine="552"/>
        <w:rPr>
          <w:rFonts w:ascii="Times New Roman" w:hAnsi="Times New Roman" w:cs="Times New Roman"/>
        </w:rPr>
      </w:pPr>
    </w:p>
    <w:p w14:paraId="12367285">
      <w:pPr>
        <w:ind w:firstLine="0" w:firstLineChars="0"/>
        <w:jc w:val="center"/>
        <w:rPr>
          <w:rFonts w:ascii="Times New Roman" w:hAnsi="Times New Roman" w:eastAsia="楷体" w:cs="Times New Roman"/>
          <w:b/>
          <w:bCs/>
          <w:sz w:val="72"/>
          <w:szCs w:val="72"/>
        </w:rPr>
      </w:pPr>
      <w:r>
        <w:rPr>
          <w:rFonts w:ascii="Times New Roman" w:hAnsi="Times New Roman" w:eastAsia="方正小标宋简体" w:cs="Times New Roman"/>
          <w:bCs/>
          <w:color w:val="000000"/>
          <w:spacing w:val="-6"/>
          <w:kern w:val="0"/>
          <w:sz w:val="52"/>
          <w:szCs w:val="52"/>
          <w:lang w:bidi="ar"/>
        </w:rPr>
        <w:t>集贤县民族宗教群体性事件应急预案</w:t>
      </w:r>
    </w:p>
    <w:p w14:paraId="0C772FF8">
      <w:pPr>
        <w:pStyle w:val="11"/>
        <w:ind w:firstLine="0" w:firstLineChars="0"/>
        <w:jc w:val="center"/>
        <w:rPr>
          <w:rFonts w:ascii="Times New Roman" w:hAnsi="Times New Roman" w:eastAsia="楷体_GB2312" w:cs="Times New Roman"/>
          <w:b/>
          <w:sz w:val="52"/>
          <w:szCs w:val="52"/>
        </w:rPr>
      </w:pPr>
      <w:r>
        <w:rPr>
          <w:rFonts w:hint="eastAsia" w:ascii="仿宋_GB2312" w:hAnsi="仿宋_GB2312" w:cs="仿宋_GB2312"/>
          <w:bCs/>
          <w:sz w:val="48"/>
          <w:szCs w:val="48"/>
        </w:rPr>
        <w:t>（修订稿）</w:t>
      </w:r>
    </w:p>
    <w:p w14:paraId="3F286845">
      <w:pPr>
        <w:pStyle w:val="11"/>
        <w:ind w:firstLine="0" w:firstLineChars="0"/>
        <w:jc w:val="center"/>
        <w:rPr>
          <w:rFonts w:ascii="Times New Roman" w:hAnsi="Times New Roman" w:eastAsia="黑体" w:cs="Times New Roman"/>
          <w:sz w:val="52"/>
          <w:szCs w:val="52"/>
        </w:rPr>
      </w:pPr>
    </w:p>
    <w:p w14:paraId="6AF7D1EF">
      <w:pPr>
        <w:pStyle w:val="11"/>
        <w:ind w:firstLine="0" w:firstLineChars="0"/>
        <w:jc w:val="center"/>
        <w:rPr>
          <w:rFonts w:ascii="Times New Roman" w:hAnsi="Times New Roman" w:eastAsia="黑体" w:cs="Times New Roman"/>
          <w:sz w:val="52"/>
          <w:szCs w:val="52"/>
        </w:rPr>
      </w:pPr>
    </w:p>
    <w:p w14:paraId="62CA31E2">
      <w:pPr>
        <w:pStyle w:val="11"/>
        <w:ind w:firstLine="0" w:firstLineChars="0"/>
        <w:jc w:val="center"/>
        <w:rPr>
          <w:rFonts w:ascii="Times New Roman" w:hAnsi="Times New Roman" w:eastAsia="黑体" w:cs="Times New Roman"/>
          <w:sz w:val="52"/>
          <w:szCs w:val="52"/>
        </w:rPr>
      </w:pPr>
    </w:p>
    <w:p w14:paraId="5BB804BB">
      <w:pPr>
        <w:pStyle w:val="11"/>
        <w:ind w:firstLine="0" w:firstLineChars="0"/>
        <w:jc w:val="center"/>
        <w:rPr>
          <w:rFonts w:ascii="Times New Roman" w:hAnsi="Times New Roman" w:eastAsia="黑体" w:cs="Times New Roman"/>
          <w:sz w:val="52"/>
          <w:szCs w:val="52"/>
        </w:rPr>
      </w:pPr>
    </w:p>
    <w:p w14:paraId="52F2EA02">
      <w:pPr>
        <w:pStyle w:val="11"/>
        <w:ind w:firstLine="0" w:firstLineChars="0"/>
        <w:jc w:val="center"/>
        <w:rPr>
          <w:rFonts w:ascii="Times New Roman" w:hAnsi="Times New Roman" w:eastAsia="楷体_GB2312" w:cs="Times New Roman"/>
          <w:spacing w:val="-12"/>
          <w:sz w:val="44"/>
          <w:szCs w:val="44"/>
        </w:rPr>
      </w:pPr>
    </w:p>
    <w:p w14:paraId="15D3A20B">
      <w:pPr>
        <w:pStyle w:val="11"/>
        <w:ind w:firstLine="0" w:firstLineChars="0"/>
        <w:jc w:val="center"/>
        <w:rPr>
          <w:rFonts w:ascii="Times New Roman" w:hAnsi="Times New Roman" w:eastAsia="楷体_GB2312" w:cs="Times New Roman"/>
          <w:spacing w:val="-12"/>
          <w:sz w:val="44"/>
          <w:szCs w:val="44"/>
        </w:rPr>
      </w:pPr>
    </w:p>
    <w:p w14:paraId="4696A23A">
      <w:pPr>
        <w:pStyle w:val="11"/>
        <w:ind w:firstLine="0" w:firstLineChars="0"/>
        <w:jc w:val="center"/>
        <w:rPr>
          <w:rFonts w:ascii="Times New Roman" w:hAnsi="Times New Roman" w:eastAsia="楷体_GB2312" w:cs="Times New Roman"/>
          <w:spacing w:val="-12"/>
          <w:sz w:val="44"/>
          <w:szCs w:val="44"/>
        </w:rPr>
      </w:pPr>
    </w:p>
    <w:p w14:paraId="0F5F1CC4">
      <w:pPr>
        <w:pStyle w:val="11"/>
        <w:ind w:firstLine="0" w:firstLineChars="0"/>
        <w:jc w:val="center"/>
        <w:rPr>
          <w:rFonts w:ascii="Times New Roman" w:hAnsi="Times New Roman" w:eastAsia="楷体_GB2312" w:cs="Times New Roman"/>
          <w:spacing w:val="-12"/>
          <w:sz w:val="44"/>
          <w:szCs w:val="44"/>
        </w:rPr>
      </w:pPr>
    </w:p>
    <w:p w14:paraId="13AF6501">
      <w:pPr>
        <w:ind w:firstLine="0" w:firstLineChars="0"/>
        <w:jc w:val="center"/>
        <w:rPr>
          <w:rFonts w:ascii="Times New Roman" w:hAnsi="Times New Roman" w:cs="Times New Roman"/>
          <w:bCs/>
          <w:spacing w:val="-6"/>
          <w:sz w:val="36"/>
          <w:szCs w:val="24"/>
          <w:lang w:bidi="ar"/>
        </w:rPr>
      </w:pPr>
      <w:r>
        <w:rPr>
          <w:rFonts w:ascii="Times New Roman" w:hAnsi="Times New Roman" w:cs="Times New Roman"/>
          <w:bCs/>
          <w:spacing w:val="-6"/>
          <w:sz w:val="36"/>
          <w:szCs w:val="24"/>
          <w:lang w:bidi="ar"/>
        </w:rPr>
        <w:t>集贤县人民政府 编制</w:t>
      </w:r>
    </w:p>
    <w:p w14:paraId="0B237C12">
      <w:pPr>
        <w:ind w:firstLine="0" w:firstLineChars="0"/>
        <w:jc w:val="center"/>
        <w:rPr>
          <w:rFonts w:ascii="Times New Roman" w:hAnsi="Times New Roman" w:cs="Times New Roman"/>
          <w:bCs/>
          <w:spacing w:val="-6"/>
          <w:sz w:val="36"/>
          <w:szCs w:val="24"/>
          <w:lang w:bidi="ar"/>
        </w:rPr>
      </w:pPr>
      <w:r>
        <w:rPr>
          <w:rFonts w:ascii="Times New Roman" w:hAnsi="Times New Roman" w:cs="Times New Roman"/>
          <w:bCs/>
          <w:spacing w:val="-6"/>
          <w:sz w:val="36"/>
          <w:szCs w:val="24"/>
          <w:lang w:bidi="ar"/>
        </w:rPr>
        <w:t>2025年5月</w:t>
      </w:r>
    </w:p>
    <w:p w14:paraId="0CA50D78">
      <w:pPr>
        <w:ind w:firstLine="688"/>
        <w:rPr>
          <w:rFonts w:ascii="Times New Roman" w:hAnsi="Times New Roman" w:cs="Times New Roman"/>
          <w:bCs/>
          <w:spacing w:val="-6"/>
          <w:sz w:val="36"/>
          <w:szCs w:val="24"/>
          <w:lang w:bidi="ar"/>
        </w:rPr>
      </w:pPr>
      <w:r>
        <w:rPr>
          <w:rFonts w:ascii="Times New Roman" w:hAnsi="Times New Roman" w:cs="Times New Roman"/>
          <w:bCs/>
          <w:spacing w:val="-6"/>
          <w:sz w:val="36"/>
          <w:szCs w:val="24"/>
          <w:lang w:bidi="ar"/>
        </w:rPr>
        <w:br w:type="page"/>
      </w:r>
    </w:p>
    <w:p w14:paraId="3465CBDD">
      <w:pPr>
        <w:pStyle w:val="29"/>
        <w:rPr>
          <w:rFonts w:ascii="Times New Roman" w:hAnsi="Times New Roman" w:cs="Times New Roman"/>
          <w:sz w:val="36"/>
          <w:szCs w:val="36"/>
        </w:rPr>
        <w:sectPr>
          <w:headerReference r:id="rId139" w:type="default"/>
          <w:footerReference r:id="rId141" w:type="default"/>
          <w:headerReference r:id="rId140" w:type="even"/>
          <w:footerReference r:id="rId142" w:type="even"/>
          <w:pgSz w:w="11906" w:h="16838"/>
          <w:pgMar w:top="2098" w:right="1474" w:bottom="1984" w:left="1587" w:header="624" w:footer="1134" w:gutter="0"/>
          <w:pgNumType w:start="1"/>
          <w:cols w:space="0" w:num="1"/>
          <w:docGrid w:type="linesAndChars" w:linePitch="579" w:charSpace="-842"/>
        </w:sectPr>
      </w:pPr>
    </w:p>
    <w:sdt>
      <w:sdtPr>
        <w:rPr>
          <w:rFonts w:ascii="Times New Roman" w:hAnsi="Times New Roman" w:eastAsia="微软雅黑" w:cs="Times New Roman"/>
          <w:b/>
          <w:bCs/>
          <w:sz w:val="36"/>
          <w:szCs w:val="36"/>
        </w:rPr>
        <w:id w:val="147469993"/>
        <w15:color w:val="DBDBDB"/>
        <w:docPartObj>
          <w:docPartGallery w:val="Table of Contents"/>
          <w:docPartUnique/>
        </w:docPartObj>
      </w:sdtPr>
      <w:sdtEndPr>
        <w:rPr>
          <w:rFonts w:ascii="Times New Roman" w:hAnsi="Times New Roman" w:eastAsia="仿宋" w:cs="Times New Roman"/>
          <w:b/>
          <w:bCs/>
          <w:sz w:val="32"/>
          <w:szCs w:val="32"/>
        </w:rPr>
      </w:sdtEndPr>
      <w:sdtContent>
        <w:p w14:paraId="5D78ED2C">
          <w:pPr>
            <w:ind w:firstLine="0" w:firstLineChars="0"/>
            <w:jc w:val="center"/>
            <w:rPr>
              <w:rFonts w:ascii="Times New Roman" w:hAnsi="Times New Roman" w:cs="Times New Roman"/>
            </w:rPr>
          </w:pPr>
          <w:r>
            <w:rPr>
              <w:rFonts w:ascii="Times New Roman" w:hAnsi="Times New Roman" w:eastAsia="微软雅黑" w:cs="Times New Roman"/>
              <w:b/>
              <w:bCs/>
              <w:sz w:val="36"/>
              <w:szCs w:val="36"/>
            </w:rPr>
            <w:t>目  录</w:t>
          </w:r>
        </w:p>
        <w:p w14:paraId="46DA09E6">
          <w:pPr>
            <w:pStyle w:val="18"/>
            <w:rPr>
              <w:rFonts w:ascii="Times New Roman" w:hAnsi="Times New Roman" w:cs="Times New Roman"/>
              <w:sz w:val="32"/>
            </w:rPr>
          </w:pPr>
          <w:r>
            <w:rPr>
              <w:rFonts w:ascii="Times New Roman" w:hAnsi="Times New Roman" w:cs="Times New Roman"/>
              <w:sz w:val="32"/>
            </w:rPr>
            <w:fldChar w:fldCharType="begin"/>
          </w:r>
          <w:r>
            <w:rPr>
              <w:rFonts w:ascii="Times New Roman" w:hAnsi="Times New Roman" w:cs="Times New Roman"/>
              <w:sz w:val="32"/>
            </w:rPr>
            <w:instrText xml:space="preserve">TOC \o "1-2" \h \u </w:instrText>
          </w:r>
          <w:r>
            <w:rPr>
              <w:rFonts w:ascii="Times New Roman" w:hAnsi="Times New Roman" w:cs="Times New Roman"/>
              <w:sz w:val="32"/>
            </w:rPr>
            <w:fldChar w:fldCharType="separate"/>
          </w:r>
          <w:r>
            <w:fldChar w:fldCharType="begin"/>
          </w:r>
          <w:r>
            <w:instrText xml:space="preserve"> HYPERLINK \l "_Toc30474" </w:instrText>
          </w:r>
          <w:r>
            <w:fldChar w:fldCharType="separate"/>
          </w:r>
          <w:r>
            <w:rPr>
              <w:rFonts w:ascii="Times New Roman" w:hAnsi="Times New Roman" w:eastAsia="仿宋" w:cs="Times New Roman"/>
              <w:sz w:val="32"/>
            </w:rPr>
            <w:t xml:space="preserve">1 </w:t>
          </w:r>
          <w:r>
            <w:rPr>
              <w:rFonts w:ascii="Times New Roman" w:hAnsi="Times New Roman" w:cs="Times New Roman"/>
              <w:sz w:val="32"/>
            </w:rPr>
            <w:t>总则</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_Toc30474 \h </w:instrText>
          </w:r>
          <w:r>
            <w:rPr>
              <w:rFonts w:ascii="Times New Roman" w:hAnsi="Times New Roman" w:cs="Times New Roman"/>
              <w:sz w:val="32"/>
            </w:rPr>
            <w:fldChar w:fldCharType="separate"/>
          </w:r>
          <w:r>
            <w:rPr>
              <w:rFonts w:ascii="Times New Roman" w:hAnsi="Times New Roman" w:cs="Times New Roman"/>
              <w:sz w:val="32"/>
            </w:rPr>
            <w:t>1</w:t>
          </w:r>
          <w:r>
            <w:rPr>
              <w:rFonts w:ascii="Times New Roman" w:hAnsi="Times New Roman" w:cs="Times New Roman"/>
              <w:sz w:val="32"/>
            </w:rPr>
            <w:fldChar w:fldCharType="end"/>
          </w:r>
          <w:r>
            <w:rPr>
              <w:rFonts w:ascii="Times New Roman" w:hAnsi="Times New Roman" w:cs="Times New Roman"/>
              <w:sz w:val="32"/>
            </w:rPr>
            <w:fldChar w:fldCharType="end"/>
          </w:r>
        </w:p>
        <w:p w14:paraId="763A235D">
          <w:pPr>
            <w:pStyle w:val="19"/>
            <w:tabs>
              <w:tab w:val="right" w:leader="dot" w:pos="8845"/>
            </w:tabs>
            <w:ind w:firstLine="552"/>
            <w:rPr>
              <w:rFonts w:ascii="Times New Roman" w:hAnsi="Times New Roman" w:cs="Times New Roman"/>
              <w:sz w:val="32"/>
            </w:rPr>
          </w:pPr>
          <w:r>
            <w:fldChar w:fldCharType="begin"/>
          </w:r>
          <w:r>
            <w:instrText xml:space="preserve"> HYPERLINK \l "_Toc12746" </w:instrText>
          </w:r>
          <w:r>
            <w:fldChar w:fldCharType="separate"/>
          </w:r>
          <w:r>
            <w:rPr>
              <w:rFonts w:ascii="Times New Roman" w:hAnsi="Times New Roman" w:eastAsia="仿宋" w:cs="Times New Roman"/>
              <w:bCs/>
              <w:sz w:val="32"/>
            </w:rPr>
            <w:t xml:space="preserve">1.1 </w:t>
          </w:r>
          <w:r>
            <w:rPr>
              <w:rFonts w:ascii="Times New Roman" w:hAnsi="Times New Roman" w:cs="Times New Roman"/>
              <w:sz w:val="32"/>
            </w:rPr>
            <w:t>指导思想</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_Toc12746 \h </w:instrText>
          </w:r>
          <w:r>
            <w:rPr>
              <w:rFonts w:ascii="Times New Roman" w:hAnsi="Times New Roman" w:cs="Times New Roman"/>
              <w:sz w:val="32"/>
            </w:rPr>
            <w:fldChar w:fldCharType="separate"/>
          </w:r>
          <w:r>
            <w:rPr>
              <w:rFonts w:ascii="Times New Roman" w:hAnsi="Times New Roman" w:cs="Times New Roman"/>
              <w:sz w:val="32"/>
            </w:rPr>
            <w:t>1</w:t>
          </w:r>
          <w:r>
            <w:rPr>
              <w:rFonts w:ascii="Times New Roman" w:hAnsi="Times New Roman" w:cs="Times New Roman"/>
              <w:sz w:val="32"/>
            </w:rPr>
            <w:fldChar w:fldCharType="end"/>
          </w:r>
          <w:r>
            <w:rPr>
              <w:rFonts w:ascii="Times New Roman" w:hAnsi="Times New Roman" w:cs="Times New Roman"/>
              <w:sz w:val="32"/>
            </w:rPr>
            <w:fldChar w:fldCharType="end"/>
          </w:r>
        </w:p>
        <w:p w14:paraId="774EEC08">
          <w:pPr>
            <w:pStyle w:val="19"/>
            <w:tabs>
              <w:tab w:val="right" w:leader="dot" w:pos="8845"/>
            </w:tabs>
            <w:ind w:firstLine="552"/>
            <w:rPr>
              <w:rFonts w:ascii="Times New Roman" w:hAnsi="Times New Roman" w:cs="Times New Roman"/>
              <w:sz w:val="32"/>
            </w:rPr>
          </w:pPr>
          <w:r>
            <w:fldChar w:fldCharType="begin"/>
          </w:r>
          <w:r>
            <w:instrText xml:space="preserve"> HYPERLINK \l "_Toc14385" </w:instrText>
          </w:r>
          <w:r>
            <w:fldChar w:fldCharType="separate"/>
          </w:r>
          <w:r>
            <w:rPr>
              <w:rFonts w:ascii="Times New Roman" w:hAnsi="Times New Roman" w:eastAsia="仿宋" w:cs="Times New Roman"/>
              <w:bCs/>
              <w:sz w:val="32"/>
            </w:rPr>
            <w:t xml:space="preserve">1.2 </w:t>
          </w:r>
          <w:r>
            <w:rPr>
              <w:rFonts w:ascii="Times New Roman" w:hAnsi="Times New Roman" w:cs="Times New Roman"/>
              <w:sz w:val="32"/>
            </w:rPr>
            <w:t>编制依据</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_Toc14385 \h </w:instrText>
          </w:r>
          <w:r>
            <w:rPr>
              <w:rFonts w:ascii="Times New Roman" w:hAnsi="Times New Roman" w:cs="Times New Roman"/>
              <w:sz w:val="32"/>
            </w:rPr>
            <w:fldChar w:fldCharType="separate"/>
          </w:r>
          <w:r>
            <w:rPr>
              <w:rFonts w:ascii="Times New Roman" w:hAnsi="Times New Roman" w:cs="Times New Roman"/>
              <w:sz w:val="32"/>
            </w:rPr>
            <w:t>1</w:t>
          </w:r>
          <w:r>
            <w:rPr>
              <w:rFonts w:ascii="Times New Roman" w:hAnsi="Times New Roman" w:cs="Times New Roman"/>
              <w:sz w:val="32"/>
            </w:rPr>
            <w:fldChar w:fldCharType="end"/>
          </w:r>
          <w:r>
            <w:rPr>
              <w:rFonts w:ascii="Times New Roman" w:hAnsi="Times New Roman" w:cs="Times New Roman"/>
              <w:sz w:val="32"/>
            </w:rPr>
            <w:fldChar w:fldCharType="end"/>
          </w:r>
        </w:p>
        <w:p w14:paraId="452E532F">
          <w:pPr>
            <w:pStyle w:val="19"/>
            <w:tabs>
              <w:tab w:val="right" w:leader="dot" w:pos="8845"/>
            </w:tabs>
            <w:ind w:firstLine="552"/>
            <w:rPr>
              <w:rFonts w:ascii="Times New Roman" w:hAnsi="Times New Roman" w:cs="Times New Roman"/>
              <w:sz w:val="32"/>
            </w:rPr>
          </w:pPr>
          <w:r>
            <w:fldChar w:fldCharType="begin"/>
          </w:r>
          <w:r>
            <w:instrText xml:space="preserve"> HYPERLINK \l "_Toc7739" </w:instrText>
          </w:r>
          <w:r>
            <w:fldChar w:fldCharType="separate"/>
          </w:r>
          <w:r>
            <w:rPr>
              <w:rFonts w:ascii="Times New Roman" w:hAnsi="Times New Roman" w:eastAsia="仿宋" w:cs="Times New Roman"/>
              <w:bCs/>
              <w:sz w:val="32"/>
            </w:rPr>
            <w:t xml:space="preserve">1.3 </w:t>
          </w:r>
          <w:r>
            <w:rPr>
              <w:rFonts w:ascii="Times New Roman" w:hAnsi="Times New Roman" w:cs="Times New Roman"/>
              <w:sz w:val="32"/>
            </w:rPr>
            <w:t>适用范围</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_Toc7739 \h </w:instrText>
          </w:r>
          <w:r>
            <w:rPr>
              <w:rFonts w:ascii="Times New Roman" w:hAnsi="Times New Roman" w:cs="Times New Roman"/>
              <w:sz w:val="32"/>
            </w:rPr>
            <w:fldChar w:fldCharType="separate"/>
          </w:r>
          <w:r>
            <w:rPr>
              <w:rFonts w:ascii="Times New Roman" w:hAnsi="Times New Roman" w:cs="Times New Roman"/>
              <w:sz w:val="32"/>
            </w:rPr>
            <w:t>1</w:t>
          </w:r>
          <w:r>
            <w:rPr>
              <w:rFonts w:ascii="Times New Roman" w:hAnsi="Times New Roman" w:cs="Times New Roman"/>
              <w:sz w:val="32"/>
            </w:rPr>
            <w:fldChar w:fldCharType="end"/>
          </w:r>
          <w:r>
            <w:rPr>
              <w:rFonts w:ascii="Times New Roman" w:hAnsi="Times New Roman" w:cs="Times New Roman"/>
              <w:sz w:val="32"/>
            </w:rPr>
            <w:fldChar w:fldCharType="end"/>
          </w:r>
        </w:p>
        <w:p w14:paraId="44C8A467">
          <w:pPr>
            <w:pStyle w:val="19"/>
            <w:tabs>
              <w:tab w:val="right" w:leader="dot" w:pos="8845"/>
            </w:tabs>
            <w:ind w:firstLine="552"/>
            <w:rPr>
              <w:rFonts w:ascii="Times New Roman" w:hAnsi="Times New Roman" w:cs="Times New Roman"/>
              <w:sz w:val="32"/>
            </w:rPr>
          </w:pPr>
          <w:r>
            <w:fldChar w:fldCharType="begin"/>
          </w:r>
          <w:r>
            <w:instrText xml:space="preserve"> HYPERLINK \l "_Toc26831" </w:instrText>
          </w:r>
          <w:r>
            <w:fldChar w:fldCharType="separate"/>
          </w:r>
          <w:r>
            <w:rPr>
              <w:rFonts w:ascii="Times New Roman" w:hAnsi="Times New Roman" w:eastAsia="仿宋" w:cs="Times New Roman"/>
              <w:bCs/>
              <w:sz w:val="32"/>
            </w:rPr>
            <w:t xml:space="preserve">1.4 </w:t>
          </w:r>
          <w:r>
            <w:rPr>
              <w:rFonts w:ascii="Times New Roman" w:hAnsi="Times New Roman" w:cs="Times New Roman"/>
              <w:sz w:val="32"/>
            </w:rPr>
            <w:t>工作原则</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_Toc26831 \h </w:instrText>
          </w:r>
          <w:r>
            <w:rPr>
              <w:rFonts w:ascii="Times New Roman" w:hAnsi="Times New Roman" w:cs="Times New Roman"/>
              <w:sz w:val="32"/>
            </w:rPr>
            <w:fldChar w:fldCharType="separate"/>
          </w:r>
          <w:r>
            <w:rPr>
              <w:rFonts w:ascii="Times New Roman" w:hAnsi="Times New Roman" w:cs="Times New Roman"/>
              <w:sz w:val="32"/>
            </w:rPr>
            <w:t>1</w:t>
          </w:r>
          <w:r>
            <w:rPr>
              <w:rFonts w:ascii="Times New Roman" w:hAnsi="Times New Roman" w:cs="Times New Roman"/>
              <w:sz w:val="32"/>
            </w:rPr>
            <w:fldChar w:fldCharType="end"/>
          </w:r>
          <w:r>
            <w:rPr>
              <w:rFonts w:ascii="Times New Roman" w:hAnsi="Times New Roman" w:cs="Times New Roman"/>
              <w:sz w:val="32"/>
            </w:rPr>
            <w:fldChar w:fldCharType="end"/>
          </w:r>
        </w:p>
        <w:p w14:paraId="7B37A0FD">
          <w:pPr>
            <w:pStyle w:val="19"/>
            <w:tabs>
              <w:tab w:val="right" w:leader="dot" w:pos="8845"/>
            </w:tabs>
            <w:ind w:firstLine="552"/>
            <w:rPr>
              <w:rFonts w:ascii="Times New Roman" w:hAnsi="Times New Roman" w:cs="Times New Roman"/>
              <w:sz w:val="32"/>
            </w:rPr>
          </w:pPr>
          <w:r>
            <w:fldChar w:fldCharType="begin"/>
          </w:r>
          <w:r>
            <w:instrText xml:space="preserve"> HYPERLINK \l "_Toc6572" </w:instrText>
          </w:r>
          <w:r>
            <w:fldChar w:fldCharType="separate"/>
          </w:r>
          <w:r>
            <w:rPr>
              <w:rFonts w:ascii="Times New Roman" w:hAnsi="Times New Roman" w:eastAsia="仿宋" w:cs="Times New Roman"/>
              <w:bCs/>
              <w:sz w:val="32"/>
            </w:rPr>
            <w:t xml:space="preserve">1.5 </w:t>
          </w:r>
          <w:r>
            <w:rPr>
              <w:rFonts w:ascii="Times New Roman" w:hAnsi="Times New Roman" w:cs="Times New Roman"/>
              <w:sz w:val="32"/>
            </w:rPr>
            <w:t>事件分级</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_Toc6572 \h </w:instrText>
          </w:r>
          <w:r>
            <w:rPr>
              <w:rFonts w:ascii="Times New Roman" w:hAnsi="Times New Roman" w:cs="Times New Roman"/>
              <w:sz w:val="32"/>
            </w:rPr>
            <w:fldChar w:fldCharType="separate"/>
          </w:r>
          <w:r>
            <w:rPr>
              <w:rFonts w:ascii="Times New Roman" w:hAnsi="Times New Roman" w:cs="Times New Roman"/>
              <w:sz w:val="32"/>
            </w:rPr>
            <w:t>2</w:t>
          </w:r>
          <w:r>
            <w:rPr>
              <w:rFonts w:ascii="Times New Roman" w:hAnsi="Times New Roman" w:cs="Times New Roman"/>
              <w:sz w:val="32"/>
            </w:rPr>
            <w:fldChar w:fldCharType="end"/>
          </w:r>
          <w:r>
            <w:rPr>
              <w:rFonts w:ascii="Times New Roman" w:hAnsi="Times New Roman" w:cs="Times New Roman"/>
              <w:sz w:val="32"/>
            </w:rPr>
            <w:fldChar w:fldCharType="end"/>
          </w:r>
        </w:p>
        <w:p w14:paraId="239C9474">
          <w:pPr>
            <w:pStyle w:val="18"/>
            <w:rPr>
              <w:rFonts w:ascii="Times New Roman" w:hAnsi="Times New Roman" w:cs="Times New Roman"/>
              <w:sz w:val="32"/>
            </w:rPr>
          </w:pPr>
          <w:r>
            <w:fldChar w:fldCharType="begin"/>
          </w:r>
          <w:r>
            <w:instrText xml:space="preserve"> HYPERLINK \l "_Toc311" </w:instrText>
          </w:r>
          <w:r>
            <w:fldChar w:fldCharType="separate"/>
          </w:r>
          <w:r>
            <w:rPr>
              <w:rFonts w:ascii="Times New Roman" w:hAnsi="Times New Roman" w:eastAsia="仿宋" w:cs="Times New Roman"/>
              <w:sz w:val="32"/>
            </w:rPr>
            <w:t xml:space="preserve">2 </w:t>
          </w:r>
          <w:r>
            <w:rPr>
              <w:rFonts w:ascii="Times New Roman" w:hAnsi="Times New Roman" w:cs="Times New Roman"/>
              <w:sz w:val="32"/>
            </w:rPr>
            <w:t>组织指挥体系</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_Toc311 \h </w:instrText>
          </w:r>
          <w:r>
            <w:rPr>
              <w:rFonts w:ascii="Times New Roman" w:hAnsi="Times New Roman" w:cs="Times New Roman"/>
              <w:sz w:val="32"/>
            </w:rPr>
            <w:fldChar w:fldCharType="separate"/>
          </w:r>
          <w:r>
            <w:rPr>
              <w:rFonts w:ascii="Times New Roman" w:hAnsi="Times New Roman" w:cs="Times New Roman"/>
              <w:sz w:val="32"/>
            </w:rPr>
            <w:t>2</w:t>
          </w:r>
          <w:r>
            <w:rPr>
              <w:rFonts w:ascii="Times New Roman" w:hAnsi="Times New Roman" w:cs="Times New Roman"/>
              <w:sz w:val="32"/>
            </w:rPr>
            <w:fldChar w:fldCharType="end"/>
          </w:r>
          <w:r>
            <w:rPr>
              <w:rFonts w:ascii="Times New Roman" w:hAnsi="Times New Roman" w:cs="Times New Roman"/>
              <w:sz w:val="32"/>
            </w:rPr>
            <w:fldChar w:fldCharType="end"/>
          </w:r>
        </w:p>
        <w:p w14:paraId="00207139">
          <w:pPr>
            <w:pStyle w:val="19"/>
            <w:tabs>
              <w:tab w:val="right" w:leader="dot" w:pos="8845"/>
            </w:tabs>
            <w:ind w:firstLine="552"/>
            <w:rPr>
              <w:rFonts w:ascii="Times New Roman" w:hAnsi="Times New Roman" w:cs="Times New Roman"/>
              <w:sz w:val="32"/>
            </w:rPr>
          </w:pPr>
          <w:r>
            <w:fldChar w:fldCharType="begin"/>
          </w:r>
          <w:r>
            <w:instrText xml:space="preserve"> HYPERLINK \l "_Toc6241" </w:instrText>
          </w:r>
          <w:r>
            <w:fldChar w:fldCharType="separate"/>
          </w:r>
          <w:r>
            <w:rPr>
              <w:rFonts w:ascii="Times New Roman" w:hAnsi="Times New Roman" w:eastAsia="仿宋" w:cs="Times New Roman"/>
              <w:bCs/>
              <w:sz w:val="32"/>
            </w:rPr>
            <w:t xml:space="preserve">2.1 </w:t>
          </w:r>
          <w:r>
            <w:rPr>
              <w:rFonts w:ascii="Times New Roman" w:hAnsi="Times New Roman" w:cs="Times New Roman"/>
              <w:sz w:val="32"/>
            </w:rPr>
            <w:t>领导机构组成及职责</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_Toc6241 \h </w:instrText>
          </w:r>
          <w:r>
            <w:rPr>
              <w:rFonts w:ascii="Times New Roman" w:hAnsi="Times New Roman" w:cs="Times New Roman"/>
              <w:sz w:val="32"/>
            </w:rPr>
            <w:fldChar w:fldCharType="separate"/>
          </w:r>
          <w:r>
            <w:rPr>
              <w:rFonts w:ascii="Times New Roman" w:hAnsi="Times New Roman" w:cs="Times New Roman"/>
              <w:sz w:val="32"/>
            </w:rPr>
            <w:t>2</w:t>
          </w:r>
          <w:r>
            <w:rPr>
              <w:rFonts w:ascii="Times New Roman" w:hAnsi="Times New Roman" w:cs="Times New Roman"/>
              <w:sz w:val="32"/>
            </w:rPr>
            <w:fldChar w:fldCharType="end"/>
          </w:r>
          <w:r>
            <w:rPr>
              <w:rFonts w:ascii="Times New Roman" w:hAnsi="Times New Roman" w:cs="Times New Roman"/>
              <w:sz w:val="32"/>
            </w:rPr>
            <w:fldChar w:fldCharType="end"/>
          </w:r>
        </w:p>
        <w:p w14:paraId="13B1F206">
          <w:pPr>
            <w:pStyle w:val="19"/>
            <w:tabs>
              <w:tab w:val="right" w:leader="dot" w:pos="8845"/>
            </w:tabs>
            <w:ind w:firstLine="552"/>
            <w:rPr>
              <w:rFonts w:ascii="Times New Roman" w:hAnsi="Times New Roman" w:cs="Times New Roman"/>
              <w:sz w:val="32"/>
            </w:rPr>
          </w:pPr>
          <w:r>
            <w:fldChar w:fldCharType="begin"/>
          </w:r>
          <w:r>
            <w:instrText xml:space="preserve"> HYPERLINK \l "_Toc29935" </w:instrText>
          </w:r>
          <w:r>
            <w:fldChar w:fldCharType="separate"/>
          </w:r>
          <w:r>
            <w:rPr>
              <w:rFonts w:ascii="Times New Roman" w:hAnsi="Times New Roman" w:eastAsia="仿宋" w:cs="Times New Roman"/>
              <w:bCs/>
              <w:sz w:val="32"/>
            </w:rPr>
            <w:t xml:space="preserve">2.2 </w:t>
          </w:r>
          <w:r>
            <w:rPr>
              <w:rFonts w:ascii="Times New Roman" w:hAnsi="Times New Roman" w:cs="Times New Roman"/>
              <w:sz w:val="32"/>
            </w:rPr>
            <w:t>现场指挥机构组成与职责</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_Toc29935 \h </w:instrText>
          </w:r>
          <w:r>
            <w:rPr>
              <w:rFonts w:ascii="Times New Roman" w:hAnsi="Times New Roman" w:cs="Times New Roman"/>
              <w:sz w:val="32"/>
            </w:rPr>
            <w:fldChar w:fldCharType="separate"/>
          </w:r>
          <w:r>
            <w:rPr>
              <w:rFonts w:ascii="Times New Roman" w:hAnsi="Times New Roman" w:cs="Times New Roman"/>
              <w:sz w:val="32"/>
            </w:rPr>
            <w:t>8</w:t>
          </w:r>
          <w:r>
            <w:rPr>
              <w:rFonts w:ascii="Times New Roman" w:hAnsi="Times New Roman" w:cs="Times New Roman"/>
              <w:sz w:val="32"/>
            </w:rPr>
            <w:fldChar w:fldCharType="end"/>
          </w:r>
          <w:r>
            <w:rPr>
              <w:rFonts w:ascii="Times New Roman" w:hAnsi="Times New Roman" w:cs="Times New Roman"/>
              <w:sz w:val="32"/>
            </w:rPr>
            <w:fldChar w:fldCharType="end"/>
          </w:r>
        </w:p>
        <w:p w14:paraId="373F80A6">
          <w:pPr>
            <w:pStyle w:val="19"/>
            <w:tabs>
              <w:tab w:val="right" w:leader="dot" w:pos="8845"/>
            </w:tabs>
            <w:ind w:firstLine="552"/>
            <w:rPr>
              <w:rFonts w:ascii="Times New Roman" w:hAnsi="Times New Roman" w:cs="Times New Roman"/>
              <w:sz w:val="32"/>
            </w:rPr>
          </w:pPr>
          <w:r>
            <w:fldChar w:fldCharType="begin"/>
          </w:r>
          <w:r>
            <w:instrText xml:space="preserve"> HYPERLINK \l "_Toc5842" </w:instrText>
          </w:r>
          <w:r>
            <w:fldChar w:fldCharType="separate"/>
          </w:r>
          <w:r>
            <w:rPr>
              <w:rFonts w:ascii="Times New Roman" w:hAnsi="Times New Roman" w:eastAsia="仿宋" w:cs="Times New Roman"/>
              <w:bCs/>
              <w:sz w:val="32"/>
            </w:rPr>
            <w:t xml:space="preserve">2.3 </w:t>
          </w:r>
          <w:r>
            <w:rPr>
              <w:rFonts w:ascii="Times New Roman" w:hAnsi="Times New Roman" w:cs="Times New Roman"/>
              <w:sz w:val="32"/>
            </w:rPr>
            <w:t>专家组组成与职责</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_Toc5842 \h </w:instrText>
          </w:r>
          <w:r>
            <w:rPr>
              <w:rFonts w:ascii="Times New Roman" w:hAnsi="Times New Roman" w:cs="Times New Roman"/>
              <w:sz w:val="32"/>
            </w:rPr>
            <w:fldChar w:fldCharType="separate"/>
          </w:r>
          <w:r>
            <w:rPr>
              <w:rFonts w:ascii="Times New Roman" w:hAnsi="Times New Roman" w:cs="Times New Roman"/>
              <w:sz w:val="32"/>
            </w:rPr>
            <w:t>10</w:t>
          </w:r>
          <w:r>
            <w:rPr>
              <w:rFonts w:ascii="Times New Roman" w:hAnsi="Times New Roman" w:cs="Times New Roman"/>
              <w:sz w:val="32"/>
            </w:rPr>
            <w:fldChar w:fldCharType="end"/>
          </w:r>
          <w:r>
            <w:rPr>
              <w:rFonts w:ascii="Times New Roman" w:hAnsi="Times New Roman" w:cs="Times New Roman"/>
              <w:sz w:val="32"/>
            </w:rPr>
            <w:fldChar w:fldCharType="end"/>
          </w:r>
        </w:p>
        <w:p w14:paraId="76D5260C">
          <w:pPr>
            <w:pStyle w:val="18"/>
            <w:rPr>
              <w:rFonts w:ascii="Times New Roman" w:hAnsi="Times New Roman" w:cs="Times New Roman"/>
              <w:sz w:val="32"/>
            </w:rPr>
          </w:pPr>
          <w:r>
            <w:fldChar w:fldCharType="begin"/>
          </w:r>
          <w:r>
            <w:instrText xml:space="preserve"> HYPERLINK \l "_Toc29043" </w:instrText>
          </w:r>
          <w:r>
            <w:fldChar w:fldCharType="separate"/>
          </w:r>
          <w:r>
            <w:rPr>
              <w:rFonts w:ascii="Times New Roman" w:hAnsi="Times New Roman" w:eastAsia="仿宋" w:cs="Times New Roman"/>
              <w:sz w:val="32"/>
            </w:rPr>
            <w:t xml:space="preserve">3 </w:t>
          </w:r>
          <w:r>
            <w:rPr>
              <w:rFonts w:ascii="Times New Roman" w:hAnsi="Times New Roman" w:cs="Times New Roman"/>
              <w:sz w:val="32"/>
            </w:rPr>
            <w:t>预警和预防机制</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_Toc29043 \h </w:instrText>
          </w:r>
          <w:r>
            <w:rPr>
              <w:rFonts w:ascii="Times New Roman" w:hAnsi="Times New Roman" w:cs="Times New Roman"/>
              <w:sz w:val="32"/>
            </w:rPr>
            <w:fldChar w:fldCharType="separate"/>
          </w:r>
          <w:r>
            <w:rPr>
              <w:rFonts w:ascii="Times New Roman" w:hAnsi="Times New Roman" w:cs="Times New Roman"/>
              <w:sz w:val="32"/>
            </w:rPr>
            <w:t>10</w:t>
          </w:r>
          <w:r>
            <w:rPr>
              <w:rFonts w:ascii="Times New Roman" w:hAnsi="Times New Roman" w:cs="Times New Roman"/>
              <w:sz w:val="32"/>
            </w:rPr>
            <w:fldChar w:fldCharType="end"/>
          </w:r>
          <w:r>
            <w:rPr>
              <w:rFonts w:ascii="Times New Roman" w:hAnsi="Times New Roman" w:cs="Times New Roman"/>
              <w:sz w:val="32"/>
            </w:rPr>
            <w:fldChar w:fldCharType="end"/>
          </w:r>
        </w:p>
        <w:p w14:paraId="216DCEE5">
          <w:pPr>
            <w:pStyle w:val="19"/>
            <w:tabs>
              <w:tab w:val="right" w:leader="dot" w:pos="8845"/>
            </w:tabs>
            <w:ind w:firstLine="552"/>
            <w:rPr>
              <w:rFonts w:ascii="Times New Roman" w:hAnsi="Times New Roman" w:cs="Times New Roman"/>
              <w:sz w:val="32"/>
            </w:rPr>
          </w:pPr>
          <w:r>
            <w:fldChar w:fldCharType="begin"/>
          </w:r>
          <w:r>
            <w:instrText xml:space="preserve"> HYPERLINK \l "_Toc11236" </w:instrText>
          </w:r>
          <w:r>
            <w:fldChar w:fldCharType="separate"/>
          </w:r>
          <w:r>
            <w:rPr>
              <w:rFonts w:ascii="Times New Roman" w:hAnsi="Times New Roman" w:eastAsia="仿宋" w:cs="Times New Roman"/>
              <w:bCs/>
              <w:sz w:val="32"/>
            </w:rPr>
            <w:t xml:space="preserve">3.1 </w:t>
          </w:r>
          <w:r>
            <w:rPr>
              <w:rFonts w:ascii="Times New Roman" w:hAnsi="Times New Roman" w:cs="Times New Roman"/>
              <w:sz w:val="32"/>
            </w:rPr>
            <w:t>信息监测</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_Toc11236 \h </w:instrText>
          </w:r>
          <w:r>
            <w:rPr>
              <w:rFonts w:ascii="Times New Roman" w:hAnsi="Times New Roman" w:cs="Times New Roman"/>
              <w:sz w:val="32"/>
            </w:rPr>
            <w:fldChar w:fldCharType="separate"/>
          </w:r>
          <w:r>
            <w:rPr>
              <w:rFonts w:ascii="Times New Roman" w:hAnsi="Times New Roman" w:cs="Times New Roman"/>
              <w:sz w:val="32"/>
            </w:rPr>
            <w:t>10</w:t>
          </w:r>
          <w:r>
            <w:rPr>
              <w:rFonts w:ascii="Times New Roman" w:hAnsi="Times New Roman" w:cs="Times New Roman"/>
              <w:sz w:val="32"/>
            </w:rPr>
            <w:fldChar w:fldCharType="end"/>
          </w:r>
          <w:r>
            <w:rPr>
              <w:rFonts w:ascii="Times New Roman" w:hAnsi="Times New Roman" w:cs="Times New Roman"/>
              <w:sz w:val="32"/>
            </w:rPr>
            <w:fldChar w:fldCharType="end"/>
          </w:r>
        </w:p>
        <w:p w14:paraId="4EC51E36">
          <w:pPr>
            <w:pStyle w:val="19"/>
            <w:tabs>
              <w:tab w:val="right" w:leader="dot" w:pos="8845"/>
            </w:tabs>
            <w:ind w:firstLine="552"/>
            <w:rPr>
              <w:rFonts w:ascii="Times New Roman" w:hAnsi="Times New Roman" w:cs="Times New Roman"/>
              <w:sz w:val="32"/>
            </w:rPr>
          </w:pPr>
          <w:r>
            <w:fldChar w:fldCharType="begin"/>
          </w:r>
          <w:r>
            <w:instrText xml:space="preserve"> HYPERLINK \l "_Toc15364" </w:instrText>
          </w:r>
          <w:r>
            <w:fldChar w:fldCharType="separate"/>
          </w:r>
          <w:r>
            <w:rPr>
              <w:rFonts w:ascii="Times New Roman" w:hAnsi="Times New Roman" w:eastAsia="仿宋" w:cs="Times New Roman"/>
              <w:bCs/>
              <w:sz w:val="32"/>
            </w:rPr>
            <w:t xml:space="preserve">3.2 </w:t>
          </w:r>
          <w:r>
            <w:rPr>
              <w:rFonts w:ascii="Times New Roman" w:hAnsi="Times New Roman" w:cs="Times New Roman"/>
              <w:sz w:val="32"/>
            </w:rPr>
            <w:t>风险防控</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_Toc15364 \h </w:instrText>
          </w:r>
          <w:r>
            <w:rPr>
              <w:rFonts w:ascii="Times New Roman" w:hAnsi="Times New Roman" w:cs="Times New Roman"/>
              <w:sz w:val="32"/>
            </w:rPr>
            <w:fldChar w:fldCharType="separate"/>
          </w:r>
          <w:r>
            <w:rPr>
              <w:rFonts w:ascii="Times New Roman" w:hAnsi="Times New Roman" w:cs="Times New Roman"/>
              <w:sz w:val="32"/>
            </w:rPr>
            <w:t>11</w:t>
          </w:r>
          <w:r>
            <w:rPr>
              <w:rFonts w:ascii="Times New Roman" w:hAnsi="Times New Roman" w:cs="Times New Roman"/>
              <w:sz w:val="32"/>
            </w:rPr>
            <w:fldChar w:fldCharType="end"/>
          </w:r>
          <w:r>
            <w:rPr>
              <w:rFonts w:ascii="Times New Roman" w:hAnsi="Times New Roman" w:cs="Times New Roman"/>
              <w:sz w:val="32"/>
            </w:rPr>
            <w:fldChar w:fldCharType="end"/>
          </w:r>
        </w:p>
        <w:p w14:paraId="3E9F1B19">
          <w:pPr>
            <w:pStyle w:val="19"/>
            <w:tabs>
              <w:tab w:val="right" w:leader="dot" w:pos="8845"/>
            </w:tabs>
            <w:ind w:firstLine="552"/>
            <w:rPr>
              <w:rFonts w:ascii="Times New Roman" w:hAnsi="Times New Roman" w:cs="Times New Roman"/>
              <w:sz w:val="32"/>
            </w:rPr>
          </w:pPr>
          <w:r>
            <w:fldChar w:fldCharType="begin"/>
          </w:r>
          <w:r>
            <w:instrText xml:space="preserve"> HYPERLINK \l "_Toc12799" </w:instrText>
          </w:r>
          <w:r>
            <w:fldChar w:fldCharType="separate"/>
          </w:r>
          <w:r>
            <w:rPr>
              <w:rFonts w:ascii="Times New Roman" w:hAnsi="Times New Roman" w:eastAsia="仿宋" w:cs="Times New Roman"/>
              <w:bCs/>
              <w:sz w:val="32"/>
            </w:rPr>
            <w:t xml:space="preserve">3.3 </w:t>
          </w:r>
          <w:r>
            <w:rPr>
              <w:rFonts w:ascii="Times New Roman" w:hAnsi="Times New Roman" w:cs="Times New Roman"/>
              <w:sz w:val="32"/>
            </w:rPr>
            <w:t>预警</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_Toc12799 \h </w:instrText>
          </w:r>
          <w:r>
            <w:rPr>
              <w:rFonts w:ascii="Times New Roman" w:hAnsi="Times New Roman" w:cs="Times New Roman"/>
              <w:sz w:val="32"/>
            </w:rPr>
            <w:fldChar w:fldCharType="separate"/>
          </w:r>
          <w:r>
            <w:rPr>
              <w:rFonts w:ascii="Times New Roman" w:hAnsi="Times New Roman" w:cs="Times New Roman"/>
              <w:sz w:val="32"/>
            </w:rPr>
            <w:t>11</w:t>
          </w:r>
          <w:r>
            <w:rPr>
              <w:rFonts w:ascii="Times New Roman" w:hAnsi="Times New Roman" w:cs="Times New Roman"/>
              <w:sz w:val="32"/>
            </w:rPr>
            <w:fldChar w:fldCharType="end"/>
          </w:r>
          <w:r>
            <w:rPr>
              <w:rFonts w:ascii="Times New Roman" w:hAnsi="Times New Roman" w:cs="Times New Roman"/>
              <w:sz w:val="32"/>
            </w:rPr>
            <w:fldChar w:fldCharType="end"/>
          </w:r>
        </w:p>
        <w:p w14:paraId="571D2812">
          <w:pPr>
            <w:pStyle w:val="18"/>
            <w:rPr>
              <w:rFonts w:ascii="Times New Roman" w:hAnsi="Times New Roman" w:cs="Times New Roman"/>
              <w:sz w:val="32"/>
            </w:rPr>
          </w:pPr>
          <w:r>
            <w:fldChar w:fldCharType="begin"/>
          </w:r>
          <w:r>
            <w:instrText xml:space="preserve"> HYPERLINK \l "_Toc28393" </w:instrText>
          </w:r>
          <w:r>
            <w:fldChar w:fldCharType="separate"/>
          </w:r>
          <w:r>
            <w:rPr>
              <w:rFonts w:ascii="Times New Roman" w:hAnsi="Times New Roman" w:eastAsia="仿宋" w:cs="Times New Roman"/>
              <w:sz w:val="32"/>
            </w:rPr>
            <w:t xml:space="preserve">4 </w:t>
          </w:r>
          <w:r>
            <w:rPr>
              <w:rFonts w:ascii="Times New Roman" w:hAnsi="Times New Roman" w:cs="Times New Roman"/>
              <w:sz w:val="32"/>
            </w:rPr>
            <w:t>应急响应</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_Toc28393 \h </w:instrText>
          </w:r>
          <w:r>
            <w:rPr>
              <w:rFonts w:ascii="Times New Roman" w:hAnsi="Times New Roman" w:cs="Times New Roman"/>
              <w:sz w:val="32"/>
            </w:rPr>
            <w:fldChar w:fldCharType="separate"/>
          </w:r>
          <w:r>
            <w:rPr>
              <w:rFonts w:ascii="Times New Roman" w:hAnsi="Times New Roman" w:cs="Times New Roman"/>
              <w:sz w:val="32"/>
            </w:rPr>
            <w:t>13</w:t>
          </w:r>
          <w:r>
            <w:rPr>
              <w:rFonts w:ascii="Times New Roman" w:hAnsi="Times New Roman" w:cs="Times New Roman"/>
              <w:sz w:val="32"/>
            </w:rPr>
            <w:fldChar w:fldCharType="end"/>
          </w:r>
          <w:r>
            <w:rPr>
              <w:rFonts w:ascii="Times New Roman" w:hAnsi="Times New Roman" w:cs="Times New Roman"/>
              <w:sz w:val="32"/>
            </w:rPr>
            <w:fldChar w:fldCharType="end"/>
          </w:r>
        </w:p>
        <w:p w14:paraId="3DB1F2FD">
          <w:pPr>
            <w:pStyle w:val="19"/>
            <w:tabs>
              <w:tab w:val="right" w:leader="dot" w:pos="8845"/>
            </w:tabs>
            <w:ind w:firstLine="552"/>
            <w:rPr>
              <w:rFonts w:ascii="Times New Roman" w:hAnsi="Times New Roman" w:cs="Times New Roman"/>
              <w:sz w:val="32"/>
            </w:rPr>
          </w:pPr>
          <w:r>
            <w:fldChar w:fldCharType="begin"/>
          </w:r>
          <w:r>
            <w:instrText xml:space="preserve"> HYPERLINK \l "_Toc26053" </w:instrText>
          </w:r>
          <w:r>
            <w:fldChar w:fldCharType="separate"/>
          </w:r>
          <w:r>
            <w:rPr>
              <w:rFonts w:ascii="Times New Roman" w:hAnsi="Times New Roman" w:eastAsia="仿宋" w:cs="Times New Roman"/>
              <w:bCs/>
              <w:sz w:val="32"/>
            </w:rPr>
            <w:t xml:space="preserve">4.1 </w:t>
          </w:r>
          <w:r>
            <w:rPr>
              <w:rFonts w:ascii="Times New Roman" w:hAnsi="Times New Roman" w:cs="Times New Roman"/>
              <w:sz w:val="32"/>
            </w:rPr>
            <w:t>信息报告</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_Toc26053 \h </w:instrText>
          </w:r>
          <w:r>
            <w:rPr>
              <w:rFonts w:ascii="Times New Roman" w:hAnsi="Times New Roman" w:cs="Times New Roman"/>
              <w:sz w:val="32"/>
            </w:rPr>
            <w:fldChar w:fldCharType="separate"/>
          </w:r>
          <w:r>
            <w:rPr>
              <w:rFonts w:ascii="Times New Roman" w:hAnsi="Times New Roman" w:cs="Times New Roman"/>
              <w:sz w:val="32"/>
            </w:rPr>
            <w:t>13</w:t>
          </w:r>
          <w:r>
            <w:rPr>
              <w:rFonts w:ascii="Times New Roman" w:hAnsi="Times New Roman" w:cs="Times New Roman"/>
              <w:sz w:val="32"/>
            </w:rPr>
            <w:fldChar w:fldCharType="end"/>
          </w:r>
          <w:r>
            <w:rPr>
              <w:rFonts w:ascii="Times New Roman" w:hAnsi="Times New Roman" w:cs="Times New Roman"/>
              <w:sz w:val="32"/>
            </w:rPr>
            <w:fldChar w:fldCharType="end"/>
          </w:r>
        </w:p>
        <w:p w14:paraId="5EF3B006">
          <w:pPr>
            <w:pStyle w:val="19"/>
            <w:tabs>
              <w:tab w:val="right" w:leader="dot" w:pos="8845"/>
            </w:tabs>
            <w:ind w:firstLine="552"/>
            <w:rPr>
              <w:rFonts w:ascii="Times New Roman" w:hAnsi="Times New Roman" w:cs="Times New Roman"/>
              <w:sz w:val="32"/>
            </w:rPr>
          </w:pPr>
          <w:r>
            <w:fldChar w:fldCharType="begin"/>
          </w:r>
          <w:r>
            <w:instrText xml:space="preserve"> HYPERLINK \l "_Toc6613" </w:instrText>
          </w:r>
          <w:r>
            <w:fldChar w:fldCharType="separate"/>
          </w:r>
          <w:r>
            <w:rPr>
              <w:rFonts w:ascii="Times New Roman" w:hAnsi="Times New Roman" w:eastAsia="仿宋" w:cs="Times New Roman"/>
              <w:bCs/>
              <w:sz w:val="32"/>
            </w:rPr>
            <w:t xml:space="preserve">4.2 </w:t>
          </w:r>
          <w:r>
            <w:rPr>
              <w:rFonts w:ascii="Times New Roman" w:hAnsi="Times New Roman" w:cs="Times New Roman"/>
              <w:sz w:val="32"/>
            </w:rPr>
            <w:t>先期处置</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_Toc6613 \h </w:instrText>
          </w:r>
          <w:r>
            <w:rPr>
              <w:rFonts w:ascii="Times New Roman" w:hAnsi="Times New Roman" w:cs="Times New Roman"/>
              <w:sz w:val="32"/>
            </w:rPr>
            <w:fldChar w:fldCharType="separate"/>
          </w:r>
          <w:r>
            <w:rPr>
              <w:rFonts w:ascii="Times New Roman" w:hAnsi="Times New Roman" w:cs="Times New Roman"/>
              <w:sz w:val="32"/>
            </w:rPr>
            <w:t>16</w:t>
          </w:r>
          <w:r>
            <w:rPr>
              <w:rFonts w:ascii="Times New Roman" w:hAnsi="Times New Roman" w:cs="Times New Roman"/>
              <w:sz w:val="32"/>
            </w:rPr>
            <w:fldChar w:fldCharType="end"/>
          </w:r>
          <w:r>
            <w:rPr>
              <w:rFonts w:ascii="Times New Roman" w:hAnsi="Times New Roman" w:cs="Times New Roman"/>
              <w:sz w:val="32"/>
            </w:rPr>
            <w:fldChar w:fldCharType="end"/>
          </w:r>
        </w:p>
        <w:p w14:paraId="6B424CF8">
          <w:pPr>
            <w:pStyle w:val="19"/>
            <w:tabs>
              <w:tab w:val="right" w:leader="dot" w:pos="8845"/>
            </w:tabs>
            <w:ind w:firstLine="552"/>
            <w:rPr>
              <w:rFonts w:ascii="Times New Roman" w:hAnsi="Times New Roman" w:cs="Times New Roman"/>
              <w:sz w:val="32"/>
            </w:rPr>
          </w:pPr>
          <w:r>
            <w:fldChar w:fldCharType="begin"/>
          </w:r>
          <w:r>
            <w:instrText xml:space="preserve"> HYPERLINK \l "_Toc3947" </w:instrText>
          </w:r>
          <w:r>
            <w:fldChar w:fldCharType="separate"/>
          </w:r>
          <w:r>
            <w:rPr>
              <w:rFonts w:ascii="Times New Roman" w:hAnsi="Times New Roman" w:eastAsia="仿宋" w:cs="Times New Roman"/>
              <w:bCs/>
              <w:sz w:val="32"/>
            </w:rPr>
            <w:t xml:space="preserve">4.3 </w:t>
          </w:r>
          <w:r>
            <w:rPr>
              <w:rFonts w:ascii="Times New Roman" w:hAnsi="Times New Roman" w:cs="Times New Roman"/>
              <w:sz w:val="32"/>
            </w:rPr>
            <w:t>分级响应</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_Toc3947 \h </w:instrText>
          </w:r>
          <w:r>
            <w:rPr>
              <w:rFonts w:ascii="Times New Roman" w:hAnsi="Times New Roman" w:cs="Times New Roman"/>
              <w:sz w:val="32"/>
            </w:rPr>
            <w:fldChar w:fldCharType="separate"/>
          </w:r>
          <w:r>
            <w:rPr>
              <w:rFonts w:ascii="Times New Roman" w:hAnsi="Times New Roman" w:cs="Times New Roman"/>
              <w:sz w:val="32"/>
            </w:rPr>
            <w:t>16</w:t>
          </w:r>
          <w:r>
            <w:rPr>
              <w:rFonts w:ascii="Times New Roman" w:hAnsi="Times New Roman" w:cs="Times New Roman"/>
              <w:sz w:val="32"/>
            </w:rPr>
            <w:fldChar w:fldCharType="end"/>
          </w:r>
          <w:r>
            <w:rPr>
              <w:rFonts w:ascii="Times New Roman" w:hAnsi="Times New Roman" w:cs="Times New Roman"/>
              <w:sz w:val="32"/>
            </w:rPr>
            <w:fldChar w:fldCharType="end"/>
          </w:r>
        </w:p>
        <w:p w14:paraId="206955EC">
          <w:pPr>
            <w:pStyle w:val="19"/>
            <w:tabs>
              <w:tab w:val="right" w:leader="dot" w:pos="8845"/>
            </w:tabs>
            <w:ind w:firstLine="552"/>
            <w:rPr>
              <w:rFonts w:ascii="Times New Roman" w:hAnsi="Times New Roman" w:cs="Times New Roman"/>
              <w:sz w:val="32"/>
            </w:rPr>
          </w:pPr>
          <w:r>
            <w:fldChar w:fldCharType="begin"/>
          </w:r>
          <w:r>
            <w:instrText xml:space="preserve"> HYPERLINK \l "_Toc9799" </w:instrText>
          </w:r>
          <w:r>
            <w:fldChar w:fldCharType="separate"/>
          </w:r>
          <w:r>
            <w:rPr>
              <w:rFonts w:ascii="Times New Roman" w:hAnsi="Times New Roman" w:eastAsia="仿宋" w:cs="Times New Roman"/>
              <w:bCs/>
              <w:sz w:val="32"/>
            </w:rPr>
            <w:t xml:space="preserve">4.4 </w:t>
          </w:r>
          <w:r>
            <w:rPr>
              <w:rFonts w:ascii="Times New Roman" w:hAnsi="Times New Roman" w:cs="Times New Roman"/>
              <w:sz w:val="32"/>
            </w:rPr>
            <w:t>指挥协调</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_Toc9799 \h </w:instrText>
          </w:r>
          <w:r>
            <w:rPr>
              <w:rFonts w:ascii="Times New Roman" w:hAnsi="Times New Roman" w:cs="Times New Roman"/>
              <w:sz w:val="32"/>
            </w:rPr>
            <w:fldChar w:fldCharType="separate"/>
          </w:r>
          <w:r>
            <w:rPr>
              <w:rFonts w:ascii="Times New Roman" w:hAnsi="Times New Roman" w:cs="Times New Roman"/>
              <w:sz w:val="32"/>
            </w:rPr>
            <w:t>17</w:t>
          </w:r>
          <w:r>
            <w:rPr>
              <w:rFonts w:ascii="Times New Roman" w:hAnsi="Times New Roman" w:cs="Times New Roman"/>
              <w:sz w:val="32"/>
            </w:rPr>
            <w:fldChar w:fldCharType="end"/>
          </w:r>
          <w:r>
            <w:rPr>
              <w:rFonts w:ascii="Times New Roman" w:hAnsi="Times New Roman" w:cs="Times New Roman"/>
              <w:sz w:val="32"/>
            </w:rPr>
            <w:fldChar w:fldCharType="end"/>
          </w:r>
        </w:p>
        <w:p w14:paraId="55B9592B">
          <w:pPr>
            <w:pStyle w:val="19"/>
            <w:tabs>
              <w:tab w:val="right" w:leader="dot" w:pos="8845"/>
            </w:tabs>
            <w:ind w:firstLine="552"/>
            <w:rPr>
              <w:rFonts w:ascii="Times New Roman" w:hAnsi="Times New Roman" w:cs="Times New Roman"/>
              <w:sz w:val="32"/>
            </w:rPr>
          </w:pPr>
          <w:r>
            <w:fldChar w:fldCharType="begin"/>
          </w:r>
          <w:r>
            <w:instrText xml:space="preserve"> HYPERLINK \l "_Toc13324" </w:instrText>
          </w:r>
          <w:r>
            <w:fldChar w:fldCharType="separate"/>
          </w:r>
          <w:r>
            <w:rPr>
              <w:rFonts w:ascii="Times New Roman" w:hAnsi="Times New Roman" w:eastAsia="仿宋" w:cs="Times New Roman"/>
              <w:bCs/>
              <w:sz w:val="32"/>
            </w:rPr>
            <w:t xml:space="preserve">4.5 </w:t>
          </w:r>
          <w:r>
            <w:rPr>
              <w:rFonts w:ascii="Times New Roman" w:hAnsi="Times New Roman" w:cs="Times New Roman"/>
              <w:sz w:val="32"/>
            </w:rPr>
            <w:t>处置措施</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_Toc13324 \h </w:instrText>
          </w:r>
          <w:r>
            <w:rPr>
              <w:rFonts w:ascii="Times New Roman" w:hAnsi="Times New Roman" w:cs="Times New Roman"/>
              <w:sz w:val="32"/>
            </w:rPr>
            <w:fldChar w:fldCharType="separate"/>
          </w:r>
          <w:r>
            <w:rPr>
              <w:rFonts w:ascii="Times New Roman" w:hAnsi="Times New Roman" w:cs="Times New Roman"/>
              <w:sz w:val="32"/>
            </w:rPr>
            <w:t>17</w:t>
          </w:r>
          <w:r>
            <w:rPr>
              <w:rFonts w:ascii="Times New Roman" w:hAnsi="Times New Roman" w:cs="Times New Roman"/>
              <w:sz w:val="32"/>
            </w:rPr>
            <w:fldChar w:fldCharType="end"/>
          </w:r>
          <w:r>
            <w:rPr>
              <w:rFonts w:ascii="Times New Roman" w:hAnsi="Times New Roman" w:cs="Times New Roman"/>
              <w:sz w:val="32"/>
            </w:rPr>
            <w:fldChar w:fldCharType="end"/>
          </w:r>
        </w:p>
        <w:p w14:paraId="41EC6A5A">
          <w:pPr>
            <w:pStyle w:val="19"/>
            <w:tabs>
              <w:tab w:val="right" w:leader="dot" w:pos="8845"/>
            </w:tabs>
            <w:ind w:firstLine="552"/>
            <w:rPr>
              <w:rFonts w:ascii="Times New Roman" w:hAnsi="Times New Roman" w:cs="Times New Roman"/>
              <w:sz w:val="32"/>
            </w:rPr>
          </w:pPr>
          <w:r>
            <w:fldChar w:fldCharType="begin"/>
          </w:r>
          <w:r>
            <w:instrText xml:space="preserve"> HYPERLINK \l "_Toc10272" </w:instrText>
          </w:r>
          <w:r>
            <w:fldChar w:fldCharType="separate"/>
          </w:r>
          <w:r>
            <w:rPr>
              <w:rFonts w:ascii="Times New Roman" w:hAnsi="Times New Roman" w:eastAsia="仿宋" w:cs="Times New Roman"/>
              <w:bCs/>
              <w:sz w:val="32"/>
            </w:rPr>
            <w:t xml:space="preserve">4.6 </w:t>
          </w:r>
          <w:r>
            <w:rPr>
              <w:rFonts w:ascii="Times New Roman" w:hAnsi="Times New Roman" w:cs="Times New Roman"/>
              <w:sz w:val="32"/>
            </w:rPr>
            <w:t>信息发布和舆论引导</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_Toc10272 \h </w:instrText>
          </w:r>
          <w:r>
            <w:rPr>
              <w:rFonts w:ascii="Times New Roman" w:hAnsi="Times New Roman" w:cs="Times New Roman"/>
              <w:sz w:val="32"/>
            </w:rPr>
            <w:fldChar w:fldCharType="separate"/>
          </w:r>
          <w:r>
            <w:rPr>
              <w:rFonts w:ascii="Times New Roman" w:hAnsi="Times New Roman" w:cs="Times New Roman"/>
              <w:sz w:val="32"/>
            </w:rPr>
            <w:t>19</w:t>
          </w:r>
          <w:r>
            <w:rPr>
              <w:rFonts w:ascii="Times New Roman" w:hAnsi="Times New Roman" w:cs="Times New Roman"/>
              <w:sz w:val="32"/>
            </w:rPr>
            <w:fldChar w:fldCharType="end"/>
          </w:r>
          <w:r>
            <w:rPr>
              <w:rFonts w:ascii="Times New Roman" w:hAnsi="Times New Roman" w:cs="Times New Roman"/>
              <w:sz w:val="32"/>
            </w:rPr>
            <w:fldChar w:fldCharType="end"/>
          </w:r>
        </w:p>
        <w:p w14:paraId="7D0FF8AF">
          <w:pPr>
            <w:pStyle w:val="19"/>
            <w:tabs>
              <w:tab w:val="right" w:leader="dot" w:pos="8845"/>
            </w:tabs>
            <w:ind w:firstLine="552"/>
            <w:rPr>
              <w:rFonts w:ascii="Times New Roman" w:hAnsi="Times New Roman" w:cs="Times New Roman"/>
              <w:sz w:val="32"/>
            </w:rPr>
          </w:pPr>
          <w:r>
            <w:fldChar w:fldCharType="begin"/>
          </w:r>
          <w:r>
            <w:instrText xml:space="preserve"> HYPERLINK \l "_Toc30320" </w:instrText>
          </w:r>
          <w:r>
            <w:fldChar w:fldCharType="separate"/>
          </w:r>
          <w:r>
            <w:rPr>
              <w:rFonts w:ascii="Times New Roman" w:hAnsi="Times New Roman" w:eastAsia="仿宋" w:cs="Times New Roman"/>
              <w:bCs/>
              <w:sz w:val="32"/>
            </w:rPr>
            <w:t xml:space="preserve">4.7 </w:t>
          </w:r>
          <w:r>
            <w:rPr>
              <w:rFonts w:ascii="Times New Roman" w:hAnsi="Times New Roman" w:cs="Times New Roman"/>
              <w:sz w:val="32"/>
            </w:rPr>
            <w:t>响应终止</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_Toc30320 \h </w:instrText>
          </w:r>
          <w:r>
            <w:rPr>
              <w:rFonts w:ascii="Times New Roman" w:hAnsi="Times New Roman" w:cs="Times New Roman"/>
              <w:sz w:val="32"/>
            </w:rPr>
            <w:fldChar w:fldCharType="separate"/>
          </w:r>
          <w:r>
            <w:rPr>
              <w:rFonts w:ascii="Times New Roman" w:hAnsi="Times New Roman" w:cs="Times New Roman"/>
              <w:sz w:val="32"/>
            </w:rPr>
            <w:t>20</w:t>
          </w:r>
          <w:r>
            <w:rPr>
              <w:rFonts w:ascii="Times New Roman" w:hAnsi="Times New Roman" w:cs="Times New Roman"/>
              <w:sz w:val="32"/>
            </w:rPr>
            <w:fldChar w:fldCharType="end"/>
          </w:r>
          <w:r>
            <w:rPr>
              <w:rFonts w:ascii="Times New Roman" w:hAnsi="Times New Roman" w:cs="Times New Roman"/>
              <w:sz w:val="32"/>
            </w:rPr>
            <w:fldChar w:fldCharType="end"/>
          </w:r>
        </w:p>
        <w:p w14:paraId="77816769">
          <w:pPr>
            <w:pStyle w:val="18"/>
            <w:rPr>
              <w:rFonts w:ascii="Times New Roman" w:hAnsi="Times New Roman" w:cs="Times New Roman"/>
              <w:sz w:val="32"/>
            </w:rPr>
          </w:pPr>
          <w:r>
            <w:fldChar w:fldCharType="begin"/>
          </w:r>
          <w:r>
            <w:instrText xml:space="preserve"> HYPERLINK \l "_Toc17352" </w:instrText>
          </w:r>
          <w:r>
            <w:fldChar w:fldCharType="separate"/>
          </w:r>
          <w:r>
            <w:rPr>
              <w:rFonts w:ascii="Times New Roman" w:hAnsi="Times New Roman" w:eastAsia="仿宋" w:cs="Times New Roman"/>
              <w:sz w:val="32"/>
            </w:rPr>
            <w:t xml:space="preserve">5 </w:t>
          </w:r>
          <w:r>
            <w:rPr>
              <w:rFonts w:ascii="Times New Roman" w:hAnsi="Times New Roman" w:cs="Times New Roman"/>
              <w:sz w:val="32"/>
            </w:rPr>
            <w:t>后期处置</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_Toc17352 \h </w:instrText>
          </w:r>
          <w:r>
            <w:rPr>
              <w:rFonts w:ascii="Times New Roman" w:hAnsi="Times New Roman" w:cs="Times New Roman"/>
              <w:sz w:val="32"/>
            </w:rPr>
            <w:fldChar w:fldCharType="separate"/>
          </w:r>
          <w:r>
            <w:rPr>
              <w:rFonts w:ascii="Times New Roman" w:hAnsi="Times New Roman" w:cs="Times New Roman"/>
              <w:sz w:val="32"/>
            </w:rPr>
            <w:t>21</w:t>
          </w:r>
          <w:r>
            <w:rPr>
              <w:rFonts w:ascii="Times New Roman" w:hAnsi="Times New Roman" w:cs="Times New Roman"/>
              <w:sz w:val="32"/>
            </w:rPr>
            <w:fldChar w:fldCharType="end"/>
          </w:r>
          <w:r>
            <w:rPr>
              <w:rFonts w:ascii="Times New Roman" w:hAnsi="Times New Roman" w:cs="Times New Roman"/>
              <w:sz w:val="32"/>
            </w:rPr>
            <w:fldChar w:fldCharType="end"/>
          </w:r>
        </w:p>
        <w:p w14:paraId="4EDFD9C4">
          <w:pPr>
            <w:pStyle w:val="19"/>
            <w:tabs>
              <w:tab w:val="right" w:leader="dot" w:pos="8845"/>
            </w:tabs>
            <w:ind w:firstLine="552"/>
            <w:rPr>
              <w:rFonts w:ascii="Times New Roman" w:hAnsi="Times New Roman" w:cs="Times New Roman"/>
              <w:sz w:val="32"/>
            </w:rPr>
          </w:pPr>
          <w:r>
            <w:fldChar w:fldCharType="begin"/>
          </w:r>
          <w:r>
            <w:instrText xml:space="preserve"> HYPERLINK \l "_Toc19222" </w:instrText>
          </w:r>
          <w:r>
            <w:fldChar w:fldCharType="separate"/>
          </w:r>
          <w:r>
            <w:rPr>
              <w:rFonts w:ascii="Times New Roman" w:hAnsi="Times New Roman" w:eastAsia="仿宋" w:cs="Times New Roman"/>
              <w:bCs/>
              <w:sz w:val="32"/>
            </w:rPr>
            <w:t xml:space="preserve">5.1 </w:t>
          </w:r>
          <w:r>
            <w:rPr>
              <w:rFonts w:ascii="Times New Roman" w:hAnsi="Times New Roman" w:cs="Times New Roman"/>
              <w:sz w:val="32"/>
            </w:rPr>
            <w:t>损害评估</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_Toc19222 \h </w:instrText>
          </w:r>
          <w:r>
            <w:rPr>
              <w:rFonts w:ascii="Times New Roman" w:hAnsi="Times New Roman" w:cs="Times New Roman"/>
              <w:sz w:val="32"/>
            </w:rPr>
            <w:fldChar w:fldCharType="separate"/>
          </w:r>
          <w:r>
            <w:rPr>
              <w:rFonts w:ascii="Times New Roman" w:hAnsi="Times New Roman" w:cs="Times New Roman"/>
              <w:sz w:val="32"/>
            </w:rPr>
            <w:t>21</w:t>
          </w:r>
          <w:r>
            <w:rPr>
              <w:rFonts w:ascii="Times New Roman" w:hAnsi="Times New Roman" w:cs="Times New Roman"/>
              <w:sz w:val="32"/>
            </w:rPr>
            <w:fldChar w:fldCharType="end"/>
          </w:r>
          <w:r>
            <w:rPr>
              <w:rFonts w:ascii="Times New Roman" w:hAnsi="Times New Roman" w:cs="Times New Roman"/>
              <w:sz w:val="32"/>
            </w:rPr>
            <w:fldChar w:fldCharType="end"/>
          </w:r>
        </w:p>
        <w:p w14:paraId="64F77816">
          <w:pPr>
            <w:pStyle w:val="19"/>
            <w:tabs>
              <w:tab w:val="right" w:leader="dot" w:pos="8845"/>
            </w:tabs>
            <w:ind w:firstLine="552"/>
            <w:rPr>
              <w:rFonts w:ascii="Times New Roman" w:hAnsi="Times New Roman" w:cs="Times New Roman"/>
              <w:sz w:val="32"/>
            </w:rPr>
          </w:pPr>
          <w:r>
            <w:fldChar w:fldCharType="begin"/>
          </w:r>
          <w:r>
            <w:instrText xml:space="preserve"> HYPERLINK \l "_Toc24215" </w:instrText>
          </w:r>
          <w:r>
            <w:fldChar w:fldCharType="separate"/>
          </w:r>
          <w:r>
            <w:rPr>
              <w:rFonts w:ascii="Times New Roman" w:hAnsi="Times New Roman" w:eastAsia="仿宋" w:cs="Times New Roman"/>
              <w:bCs/>
              <w:sz w:val="32"/>
            </w:rPr>
            <w:t xml:space="preserve">5.2 </w:t>
          </w:r>
          <w:r>
            <w:rPr>
              <w:rFonts w:ascii="Times New Roman" w:hAnsi="Times New Roman" w:cs="Times New Roman"/>
              <w:sz w:val="32"/>
            </w:rPr>
            <w:t>事件调查</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_Toc24215 \h </w:instrText>
          </w:r>
          <w:r>
            <w:rPr>
              <w:rFonts w:ascii="Times New Roman" w:hAnsi="Times New Roman" w:cs="Times New Roman"/>
              <w:sz w:val="32"/>
            </w:rPr>
            <w:fldChar w:fldCharType="separate"/>
          </w:r>
          <w:r>
            <w:rPr>
              <w:rFonts w:ascii="Times New Roman" w:hAnsi="Times New Roman" w:cs="Times New Roman"/>
              <w:sz w:val="32"/>
            </w:rPr>
            <w:t>21</w:t>
          </w:r>
          <w:r>
            <w:rPr>
              <w:rFonts w:ascii="Times New Roman" w:hAnsi="Times New Roman" w:cs="Times New Roman"/>
              <w:sz w:val="32"/>
            </w:rPr>
            <w:fldChar w:fldCharType="end"/>
          </w:r>
          <w:r>
            <w:rPr>
              <w:rFonts w:ascii="Times New Roman" w:hAnsi="Times New Roman" w:cs="Times New Roman"/>
              <w:sz w:val="32"/>
            </w:rPr>
            <w:fldChar w:fldCharType="end"/>
          </w:r>
        </w:p>
        <w:p w14:paraId="2AC7B5D7">
          <w:pPr>
            <w:pStyle w:val="19"/>
            <w:tabs>
              <w:tab w:val="right" w:leader="dot" w:pos="8845"/>
            </w:tabs>
            <w:ind w:firstLine="552"/>
            <w:rPr>
              <w:rFonts w:ascii="Times New Roman" w:hAnsi="Times New Roman" w:cs="Times New Roman"/>
              <w:sz w:val="32"/>
            </w:rPr>
          </w:pPr>
          <w:r>
            <w:fldChar w:fldCharType="begin"/>
          </w:r>
          <w:r>
            <w:instrText xml:space="preserve"> HYPERLINK \l "_Toc390" </w:instrText>
          </w:r>
          <w:r>
            <w:fldChar w:fldCharType="separate"/>
          </w:r>
          <w:r>
            <w:rPr>
              <w:rFonts w:ascii="Times New Roman" w:hAnsi="Times New Roman" w:eastAsia="仿宋" w:cs="Times New Roman"/>
              <w:bCs/>
              <w:sz w:val="32"/>
            </w:rPr>
            <w:t xml:space="preserve">5.3 </w:t>
          </w:r>
          <w:r>
            <w:rPr>
              <w:rFonts w:ascii="Times New Roman" w:hAnsi="Times New Roman" w:cs="Times New Roman"/>
              <w:sz w:val="32"/>
            </w:rPr>
            <w:t>善后处置</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_Toc390 \h </w:instrText>
          </w:r>
          <w:r>
            <w:rPr>
              <w:rFonts w:ascii="Times New Roman" w:hAnsi="Times New Roman" w:cs="Times New Roman"/>
              <w:sz w:val="32"/>
            </w:rPr>
            <w:fldChar w:fldCharType="separate"/>
          </w:r>
          <w:r>
            <w:rPr>
              <w:rFonts w:ascii="Times New Roman" w:hAnsi="Times New Roman" w:cs="Times New Roman"/>
              <w:sz w:val="32"/>
            </w:rPr>
            <w:t>21</w:t>
          </w:r>
          <w:r>
            <w:rPr>
              <w:rFonts w:ascii="Times New Roman" w:hAnsi="Times New Roman" w:cs="Times New Roman"/>
              <w:sz w:val="32"/>
            </w:rPr>
            <w:fldChar w:fldCharType="end"/>
          </w:r>
          <w:r>
            <w:rPr>
              <w:rFonts w:ascii="Times New Roman" w:hAnsi="Times New Roman" w:cs="Times New Roman"/>
              <w:sz w:val="32"/>
            </w:rPr>
            <w:fldChar w:fldCharType="end"/>
          </w:r>
        </w:p>
        <w:p w14:paraId="5CECB7AE">
          <w:pPr>
            <w:pStyle w:val="18"/>
            <w:rPr>
              <w:rFonts w:ascii="Times New Roman" w:hAnsi="Times New Roman" w:cs="Times New Roman"/>
              <w:sz w:val="32"/>
            </w:rPr>
          </w:pPr>
          <w:r>
            <w:fldChar w:fldCharType="begin"/>
          </w:r>
          <w:r>
            <w:instrText xml:space="preserve"> HYPERLINK \l "_Toc13144" </w:instrText>
          </w:r>
          <w:r>
            <w:fldChar w:fldCharType="separate"/>
          </w:r>
          <w:r>
            <w:rPr>
              <w:rFonts w:ascii="Times New Roman" w:hAnsi="Times New Roman" w:eastAsia="仿宋" w:cs="Times New Roman"/>
              <w:sz w:val="32"/>
            </w:rPr>
            <w:t xml:space="preserve">6 </w:t>
          </w:r>
          <w:r>
            <w:rPr>
              <w:rFonts w:ascii="Times New Roman" w:hAnsi="Times New Roman" w:cs="Times New Roman"/>
              <w:sz w:val="32"/>
            </w:rPr>
            <w:t>保障措施</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_Toc13144 \h </w:instrText>
          </w:r>
          <w:r>
            <w:rPr>
              <w:rFonts w:ascii="Times New Roman" w:hAnsi="Times New Roman" w:cs="Times New Roman"/>
              <w:sz w:val="32"/>
            </w:rPr>
            <w:fldChar w:fldCharType="separate"/>
          </w:r>
          <w:r>
            <w:rPr>
              <w:rFonts w:ascii="Times New Roman" w:hAnsi="Times New Roman" w:cs="Times New Roman"/>
              <w:sz w:val="32"/>
            </w:rPr>
            <w:t>21</w:t>
          </w:r>
          <w:r>
            <w:rPr>
              <w:rFonts w:ascii="Times New Roman" w:hAnsi="Times New Roman" w:cs="Times New Roman"/>
              <w:sz w:val="32"/>
            </w:rPr>
            <w:fldChar w:fldCharType="end"/>
          </w:r>
          <w:r>
            <w:rPr>
              <w:rFonts w:ascii="Times New Roman" w:hAnsi="Times New Roman" w:cs="Times New Roman"/>
              <w:sz w:val="32"/>
            </w:rPr>
            <w:fldChar w:fldCharType="end"/>
          </w:r>
        </w:p>
        <w:p w14:paraId="1F34587C">
          <w:pPr>
            <w:pStyle w:val="19"/>
            <w:tabs>
              <w:tab w:val="right" w:leader="dot" w:pos="8845"/>
            </w:tabs>
            <w:ind w:firstLine="552"/>
            <w:rPr>
              <w:rFonts w:ascii="Times New Roman" w:hAnsi="Times New Roman" w:cs="Times New Roman"/>
              <w:sz w:val="32"/>
            </w:rPr>
          </w:pPr>
          <w:r>
            <w:fldChar w:fldCharType="begin"/>
          </w:r>
          <w:r>
            <w:instrText xml:space="preserve"> HYPERLINK \l "_Toc30001" </w:instrText>
          </w:r>
          <w:r>
            <w:fldChar w:fldCharType="separate"/>
          </w:r>
          <w:r>
            <w:rPr>
              <w:rFonts w:ascii="Times New Roman" w:hAnsi="Times New Roman" w:eastAsia="仿宋" w:cs="Times New Roman"/>
              <w:bCs/>
              <w:sz w:val="32"/>
            </w:rPr>
            <w:t xml:space="preserve">6.1 </w:t>
          </w:r>
          <w:r>
            <w:rPr>
              <w:rFonts w:ascii="Times New Roman" w:hAnsi="Times New Roman" w:cs="Times New Roman"/>
              <w:sz w:val="32"/>
            </w:rPr>
            <w:t>通信与信息保障</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_Toc30001 \h </w:instrText>
          </w:r>
          <w:r>
            <w:rPr>
              <w:rFonts w:ascii="Times New Roman" w:hAnsi="Times New Roman" w:cs="Times New Roman"/>
              <w:sz w:val="32"/>
            </w:rPr>
            <w:fldChar w:fldCharType="separate"/>
          </w:r>
          <w:r>
            <w:rPr>
              <w:rFonts w:ascii="Times New Roman" w:hAnsi="Times New Roman" w:cs="Times New Roman"/>
              <w:sz w:val="32"/>
            </w:rPr>
            <w:t>21</w:t>
          </w:r>
          <w:r>
            <w:rPr>
              <w:rFonts w:ascii="Times New Roman" w:hAnsi="Times New Roman" w:cs="Times New Roman"/>
              <w:sz w:val="32"/>
            </w:rPr>
            <w:fldChar w:fldCharType="end"/>
          </w:r>
          <w:r>
            <w:rPr>
              <w:rFonts w:ascii="Times New Roman" w:hAnsi="Times New Roman" w:cs="Times New Roman"/>
              <w:sz w:val="32"/>
            </w:rPr>
            <w:fldChar w:fldCharType="end"/>
          </w:r>
        </w:p>
        <w:p w14:paraId="62B8BB9F">
          <w:pPr>
            <w:pStyle w:val="19"/>
            <w:tabs>
              <w:tab w:val="right" w:leader="dot" w:pos="8845"/>
            </w:tabs>
            <w:ind w:firstLine="552"/>
            <w:rPr>
              <w:rFonts w:ascii="Times New Roman" w:hAnsi="Times New Roman" w:cs="Times New Roman"/>
              <w:sz w:val="32"/>
            </w:rPr>
          </w:pPr>
          <w:r>
            <w:fldChar w:fldCharType="begin"/>
          </w:r>
          <w:r>
            <w:instrText xml:space="preserve"> HYPERLINK \l "_Toc29736" </w:instrText>
          </w:r>
          <w:r>
            <w:fldChar w:fldCharType="separate"/>
          </w:r>
          <w:r>
            <w:rPr>
              <w:rFonts w:ascii="Times New Roman" w:hAnsi="Times New Roman" w:eastAsia="仿宋" w:cs="Times New Roman"/>
              <w:bCs/>
              <w:sz w:val="32"/>
            </w:rPr>
            <w:t xml:space="preserve">6.2 </w:t>
          </w:r>
          <w:r>
            <w:rPr>
              <w:rFonts w:ascii="Times New Roman" w:hAnsi="Times New Roman" w:cs="Times New Roman"/>
              <w:sz w:val="32"/>
            </w:rPr>
            <w:t>应急支援与装备保障</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_Toc29736 \h </w:instrText>
          </w:r>
          <w:r>
            <w:rPr>
              <w:rFonts w:ascii="Times New Roman" w:hAnsi="Times New Roman" w:cs="Times New Roman"/>
              <w:sz w:val="32"/>
            </w:rPr>
            <w:fldChar w:fldCharType="separate"/>
          </w:r>
          <w:r>
            <w:rPr>
              <w:rFonts w:ascii="Times New Roman" w:hAnsi="Times New Roman" w:cs="Times New Roman"/>
              <w:sz w:val="32"/>
            </w:rPr>
            <w:t>22</w:t>
          </w:r>
          <w:r>
            <w:rPr>
              <w:rFonts w:ascii="Times New Roman" w:hAnsi="Times New Roman" w:cs="Times New Roman"/>
              <w:sz w:val="32"/>
            </w:rPr>
            <w:fldChar w:fldCharType="end"/>
          </w:r>
          <w:r>
            <w:rPr>
              <w:rFonts w:ascii="Times New Roman" w:hAnsi="Times New Roman" w:cs="Times New Roman"/>
              <w:sz w:val="32"/>
            </w:rPr>
            <w:fldChar w:fldCharType="end"/>
          </w:r>
        </w:p>
        <w:p w14:paraId="17A023F4">
          <w:pPr>
            <w:pStyle w:val="19"/>
            <w:tabs>
              <w:tab w:val="right" w:leader="dot" w:pos="8845"/>
            </w:tabs>
            <w:ind w:firstLine="552"/>
            <w:rPr>
              <w:rFonts w:ascii="Times New Roman" w:hAnsi="Times New Roman" w:cs="Times New Roman"/>
              <w:sz w:val="32"/>
            </w:rPr>
          </w:pPr>
          <w:r>
            <w:fldChar w:fldCharType="begin"/>
          </w:r>
          <w:r>
            <w:instrText xml:space="preserve"> HYPERLINK \l "_Toc2673" </w:instrText>
          </w:r>
          <w:r>
            <w:fldChar w:fldCharType="separate"/>
          </w:r>
          <w:r>
            <w:rPr>
              <w:rFonts w:ascii="Times New Roman" w:hAnsi="Times New Roman" w:eastAsia="仿宋" w:cs="Times New Roman"/>
              <w:bCs/>
              <w:sz w:val="32"/>
            </w:rPr>
            <w:t xml:space="preserve">6.3 </w:t>
          </w:r>
          <w:r>
            <w:rPr>
              <w:rFonts w:ascii="Times New Roman" w:hAnsi="Times New Roman" w:cs="Times New Roman"/>
              <w:sz w:val="32"/>
            </w:rPr>
            <w:t>技术储备与保障</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_Toc2673 \h </w:instrText>
          </w:r>
          <w:r>
            <w:rPr>
              <w:rFonts w:ascii="Times New Roman" w:hAnsi="Times New Roman" w:cs="Times New Roman"/>
              <w:sz w:val="32"/>
            </w:rPr>
            <w:fldChar w:fldCharType="separate"/>
          </w:r>
          <w:r>
            <w:rPr>
              <w:rFonts w:ascii="Times New Roman" w:hAnsi="Times New Roman" w:cs="Times New Roman"/>
              <w:sz w:val="32"/>
            </w:rPr>
            <w:t>23</w:t>
          </w:r>
          <w:r>
            <w:rPr>
              <w:rFonts w:ascii="Times New Roman" w:hAnsi="Times New Roman" w:cs="Times New Roman"/>
              <w:sz w:val="32"/>
            </w:rPr>
            <w:fldChar w:fldCharType="end"/>
          </w:r>
          <w:r>
            <w:rPr>
              <w:rFonts w:ascii="Times New Roman" w:hAnsi="Times New Roman" w:cs="Times New Roman"/>
              <w:sz w:val="32"/>
            </w:rPr>
            <w:fldChar w:fldCharType="end"/>
          </w:r>
        </w:p>
        <w:p w14:paraId="6F8A8567">
          <w:pPr>
            <w:pStyle w:val="18"/>
            <w:rPr>
              <w:rFonts w:ascii="Times New Roman" w:hAnsi="Times New Roman" w:cs="Times New Roman"/>
              <w:sz w:val="32"/>
            </w:rPr>
          </w:pPr>
          <w:r>
            <w:fldChar w:fldCharType="begin"/>
          </w:r>
          <w:r>
            <w:instrText xml:space="preserve"> HYPERLINK \l "_Toc11257" </w:instrText>
          </w:r>
          <w:r>
            <w:fldChar w:fldCharType="separate"/>
          </w:r>
          <w:r>
            <w:rPr>
              <w:rFonts w:ascii="Times New Roman" w:hAnsi="Times New Roman" w:eastAsia="仿宋" w:cs="Times New Roman"/>
              <w:sz w:val="32"/>
            </w:rPr>
            <w:t xml:space="preserve">7 </w:t>
          </w:r>
          <w:r>
            <w:rPr>
              <w:rFonts w:ascii="Times New Roman" w:hAnsi="Times New Roman" w:cs="Times New Roman"/>
              <w:sz w:val="32"/>
            </w:rPr>
            <w:t>教育培训和应急演练</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_Toc11257 \h </w:instrText>
          </w:r>
          <w:r>
            <w:rPr>
              <w:rFonts w:ascii="Times New Roman" w:hAnsi="Times New Roman" w:cs="Times New Roman"/>
              <w:sz w:val="32"/>
            </w:rPr>
            <w:fldChar w:fldCharType="separate"/>
          </w:r>
          <w:r>
            <w:rPr>
              <w:rFonts w:ascii="Times New Roman" w:hAnsi="Times New Roman" w:cs="Times New Roman"/>
              <w:sz w:val="32"/>
            </w:rPr>
            <w:t>23</w:t>
          </w:r>
          <w:r>
            <w:rPr>
              <w:rFonts w:ascii="Times New Roman" w:hAnsi="Times New Roman" w:cs="Times New Roman"/>
              <w:sz w:val="32"/>
            </w:rPr>
            <w:fldChar w:fldCharType="end"/>
          </w:r>
          <w:r>
            <w:rPr>
              <w:rFonts w:ascii="Times New Roman" w:hAnsi="Times New Roman" w:cs="Times New Roman"/>
              <w:sz w:val="32"/>
            </w:rPr>
            <w:fldChar w:fldCharType="end"/>
          </w:r>
        </w:p>
        <w:p w14:paraId="56BF9EC6">
          <w:pPr>
            <w:pStyle w:val="19"/>
            <w:tabs>
              <w:tab w:val="right" w:leader="dot" w:pos="8845"/>
            </w:tabs>
            <w:ind w:firstLine="552"/>
            <w:rPr>
              <w:rFonts w:ascii="Times New Roman" w:hAnsi="Times New Roman" w:cs="Times New Roman"/>
              <w:sz w:val="32"/>
            </w:rPr>
          </w:pPr>
          <w:r>
            <w:fldChar w:fldCharType="begin"/>
          </w:r>
          <w:r>
            <w:instrText xml:space="preserve"> HYPERLINK \l "_Toc102" </w:instrText>
          </w:r>
          <w:r>
            <w:fldChar w:fldCharType="separate"/>
          </w:r>
          <w:r>
            <w:rPr>
              <w:rFonts w:ascii="Times New Roman" w:hAnsi="Times New Roman" w:eastAsia="仿宋" w:cs="Times New Roman"/>
              <w:bCs/>
              <w:sz w:val="32"/>
            </w:rPr>
            <w:t xml:space="preserve">7.1 </w:t>
          </w:r>
          <w:r>
            <w:rPr>
              <w:rFonts w:ascii="Times New Roman" w:hAnsi="Times New Roman" w:cs="Times New Roman"/>
              <w:sz w:val="32"/>
            </w:rPr>
            <w:t>预案培训</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_Toc102 \h </w:instrText>
          </w:r>
          <w:r>
            <w:rPr>
              <w:rFonts w:ascii="Times New Roman" w:hAnsi="Times New Roman" w:cs="Times New Roman"/>
              <w:sz w:val="32"/>
            </w:rPr>
            <w:fldChar w:fldCharType="separate"/>
          </w:r>
          <w:r>
            <w:rPr>
              <w:rFonts w:ascii="Times New Roman" w:hAnsi="Times New Roman" w:cs="Times New Roman"/>
              <w:sz w:val="32"/>
            </w:rPr>
            <w:t>23</w:t>
          </w:r>
          <w:r>
            <w:rPr>
              <w:rFonts w:ascii="Times New Roman" w:hAnsi="Times New Roman" w:cs="Times New Roman"/>
              <w:sz w:val="32"/>
            </w:rPr>
            <w:fldChar w:fldCharType="end"/>
          </w:r>
          <w:r>
            <w:rPr>
              <w:rFonts w:ascii="Times New Roman" w:hAnsi="Times New Roman" w:cs="Times New Roman"/>
              <w:sz w:val="32"/>
            </w:rPr>
            <w:fldChar w:fldCharType="end"/>
          </w:r>
        </w:p>
        <w:p w14:paraId="7AEBAC5C">
          <w:pPr>
            <w:pStyle w:val="19"/>
            <w:tabs>
              <w:tab w:val="right" w:leader="dot" w:pos="8845"/>
            </w:tabs>
            <w:ind w:firstLine="552"/>
            <w:rPr>
              <w:rFonts w:ascii="Times New Roman" w:hAnsi="Times New Roman" w:cs="Times New Roman"/>
              <w:sz w:val="32"/>
            </w:rPr>
          </w:pPr>
          <w:r>
            <w:fldChar w:fldCharType="begin"/>
          </w:r>
          <w:r>
            <w:instrText xml:space="preserve"> HYPERLINK \l "_Toc25985" </w:instrText>
          </w:r>
          <w:r>
            <w:fldChar w:fldCharType="separate"/>
          </w:r>
          <w:r>
            <w:rPr>
              <w:rFonts w:ascii="Times New Roman" w:hAnsi="Times New Roman" w:eastAsia="仿宋" w:cs="Times New Roman"/>
              <w:bCs/>
              <w:sz w:val="32"/>
            </w:rPr>
            <w:t xml:space="preserve">7.2 </w:t>
          </w:r>
          <w:r>
            <w:rPr>
              <w:rFonts w:ascii="Times New Roman" w:hAnsi="Times New Roman" w:cs="Times New Roman"/>
              <w:sz w:val="32"/>
            </w:rPr>
            <w:t>应急演练</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_Toc25985 \h </w:instrText>
          </w:r>
          <w:r>
            <w:rPr>
              <w:rFonts w:ascii="Times New Roman" w:hAnsi="Times New Roman" w:cs="Times New Roman"/>
              <w:sz w:val="32"/>
            </w:rPr>
            <w:fldChar w:fldCharType="separate"/>
          </w:r>
          <w:r>
            <w:rPr>
              <w:rFonts w:ascii="Times New Roman" w:hAnsi="Times New Roman" w:cs="Times New Roman"/>
              <w:sz w:val="32"/>
            </w:rPr>
            <w:t>23</w:t>
          </w:r>
          <w:r>
            <w:rPr>
              <w:rFonts w:ascii="Times New Roman" w:hAnsi="Times New Roman" w:cs="Times New Roman"/>
              <w:sz w:val="32"/>
            </w:rPr>
            <w:fldChar w:fldCharType="end"/>
          </w:r>
          <w:r>
            <w:rPr>
              <w:rFonts w:ascii="Times New Roman" w:hAnsi="Times New Roman" w:cs="Times New Roman"/>
              <w:sz w:val="32"/>
            </w:rPr>
            <w:fldChar w:fldCharType="end"/>
          </w:r>
        </w:p>
        <w:p w14:paraId="4CA2A955">
          <w:pPr>
            <w:pStyle w:val="18"/>
            <w:rPr>
              <w:rFonts w:ascii="Times New Roman" w:hAnsi="Times New Roman" w:cs="Times New Roman"/>
              <w:sz w:val="32"/>
            </w:rPr>
          </w:pPr>
          <w:r>
            <w:fldChar w:fldCharType="begin"/>
          </w:r>
          <w:r>
            <w:instrText xml:space="preserve"> HYPERLINK \l "_Toc9913" </w:instrText>
          </w:r>
          <w:r>
            <w:fldChar w:fldCharType="separate"/>
          </w:r>
          <w:r>
            <w:rPr>
              <w:rFonts w:ascii="Times New Roman" w:hAnsi="Times New Roman" w:eastAsia="仿宋" w:cs="Times New Roman"/>
              <w:sz w:val="32"/>
            </w:rPr>
            <w:t xml:space="preserve">8 </w:t>
          </w:r>
          <w:r>
            <w:rPr>
              <w:rFonts w:ascii="Times New Roman" w:hAnsi="Times New Roman" w:cs="Times New Roman"/>
              <w:sz w:val="32"/>
            </w:rPr>
            <w:t>预案管理</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_Toc9913 \h </w:instrText>
          </w:r>
          <w:r>
            <w:rPr>
              <w:rFonts w:ascii="Times New Roman" w:hAnsi="Times New Roman" w:cs="Times New Roman"/>
              <w:sz w:val="32"/>
            </w:rPr>
            <w:fldChar w:fldCharType="separate"/>
          </w:r>
          <w:r>
            <w:rPr>
              <w:rFonts w:ascii="Times New Roman" w:hAnsi="Times New Roman" w:cs="Times New Roman"/>
              <w:sz w:val="32"/>
            </w:rPr>
            <w:t>24</w:t>
          </w:r>
          <w:r>
            <w:rPr>
              <w:rFonts w:ascii="Times New Roman" w:hAnsi="Times New Roman" w:cs="Times New Roman"/>
              <w:sz w:val="32"/>
            </w:rPr>
            <w:fldChar w:fldCharType="end"/>
          </w:r>
          <w:r>
            <w:rPr>
              <w:rFonts w:ascii="Times New Roman" w:hAnsi="Times New Roman" w:cs="Times New Roman"/>
              <w:sz w:val="32"/>
            </w:rPr>
            <w:fldChar w:fldCharType="end"/>
          </w:r>
        </w:p>
        <w:p w14:paraId="78670A55">
          <w:pPr>
            <w:pStyle w:val="19"/>
            <w:tabs>
              <w:tab w:val="right" w:leader="dot" w:pos="8845"/>
            </w:tabs>
            <w:ind w:firstLine="552"/>
            <w:rPr>
              <w:rFonts w:ascii="Times New Roman" w:hAnsi="Times New Roman" w:cs="Times New Roman"/>
              <w:sz w:val="32"/>
            </w:rPr>
          </w:pPr>
          <w:r>
            <w:fldChar w:fldCharType="begin"/>
          </w:r>
          <w:r>
            <w:instrText xml:space="preserve"> HYPERLINK \l "_Toc2661" </w:instrText>
          </w:r>
          <w:r>
            <w:fldChar w:fldCharType="separate"/>
          </w:r>
          <w:r>
            <w:rPr>
              <w:rFonts w:ascii="Times New Roman" w:hAnsi="Times New Roman" w:eastAsia="仿宋" w:cs="Times New Roman"/>
              <w:bCs/>
              <w:sz w:val="32"/>
            </w:rPr>
            <w:t xml:space="preserve">8.1 </w:t>
          </w:r>
          <w:r>
            <w:rPr>
              <w:rFonts w:ascii="Times New Roman" w:hAnsi="Times New Roman" w:cs="Times New Roman"/>
              <w:sz w:val="32"/>
            </w:rPr>
            <w:t>预案评估与修订</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_Toc2661 \h </w:instrText>
          </w:r>
          <w:r>
            <w:rPr>
              <w:rFonts w:ascii="Times New Roman" w:hAnsi="Times New Roman" w:cs="Times New Roman"/>
              <w:sz w:val="32"/>
            </w:rPr>
            <w:fldChar w:fldCharType="separate"/>
          </w:r>
          <w:r>
            <w:rPr>
              <w:rFonts w:ascii="Times New Roman" w:hAnsi="Times New Roman" w:cs="Times New Roman"/>
              <w:sz w:val="32"/>
            </w:rPr>
            <w:t>24</w:t>
          </w:r>
          <w:r>
            <w:rPr>
              <w:rFonts w:ascii="Times New Roman" w:hAnsi="Times New Roman" w:cs="Times New Roman"/>
              <w:sz w:val="32"/>
            </w:rPr>
            <w:fldChar w:fldCharType="end"/>
          </w:r>
          <w:r>
            <w:rPr>
              <w:rFonts w:ascii="Times New Roman" w:hAnsi="Times New Roman" w:cs="Times New Roman"/>
              <w:sz w:val="32"/>
            </w:rPr>
            <w:fldChar w:fldCharType="end"/>
          </w:r>
        </w:p>
        <w:p w14:paraId="4ECC039C">
          <w:pPr>
            <w:pStyle w:val="19"/>
            <w:tabs>
              <w:tab w:val="right" w:leader="dot" w:pos="8845"/>
            </w:tabs>
            <w:ind w:firstLine="552"/>
            <w:rPr>
              <w:rFonts w:ascii="Times New Roman" w:hAnsi="Times New Roman" w:cs="Times New Roman"/>
              <w:sz w:val="32"/>
            </w:rPr>
          </w:pPr>
          <w:r>
            <w:fldChar w:fldCharType="begin"/>
          </w:r>
          <w:r>
            <w:instrText xml:space="preserve"> HYPERLINK \l "_Toc16022" </w:instrText>
          </w:r>
          <w:r>
            <w:fldChar w:fldCharType="separate"/>
          </w:r>
          <w:r>
            <w:rPr>
              <w:rFonts w:ascii="Times New Roman" w:hAnsi="Times New Roman" w:eastAsia="仿宋" w:cs="Times New Roman"/>
              <w:bCs/>
              <w:sz w:val="32"/>
            </w:rPr>
            <w:t xml:space="preserve">8.2 </w:t>
          </w:r>
          <w:r>
            <w:rPr>
              <w:rFonts w:ascii="Times New Roman" w:hAnsi="Times New Roman" w:cs="Times New Roman"/>
              <w:sz w:val="32"/>
            </w:rPr>
            <w:t>预案解释与实施</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_Toc16022 \h </w:instrText>
          </w:r>
          <w:r>
            <w:rPr>
              <w:rFonts w:ascii="Times New Roman" w:hAnsi="Times New Roman" w:cs="Times New Roman"/>
              <w:sz w:val="32"/>
            </w:rPr>
            <w:fldChar w:fldCharType="separate"/>
          </w:r>
          <w:r>
            <w:rPr>
              <w:rFonts w:ascii="Times New Roman" w:hAnsi="Times New Roman" w:cs="Times New Roman"/>
              <w:sz w:val="32"/>
            </w:rPr>
            <w:t>24</w:t>
          </w:r>
          <w:r>
            <w:rPr>
              <w:rFonts w:ascii="Times New Roman" w:hAnsi="Times New Roman" w:cs="Times New Roman"/>
              <w:sz w:val="32"/>
            </w:rPr>
            <w:fldChar w:fldCharType="end"/>
          </w:r>
          <w:r>
            <w:rPr>
              <w:rFonts w:ascii="Times New Roman" w:hAnsi="Times New Roman" w:cs="Times New Roman"/>
              <w:sz w:val="32"/>
            </w:rPr>
            <w:fldChar w:fldCharType="end"/>
          </w:r>
        </w:p>
        <w:p w14:paraId="591D3A34">
          <w:pPr>
            <w:pStyle w:val="18"/>
            <w:rPr>
              <w:rFonts w:ascii="Times New Roman" w:hAnsi="Times New Roman" w:cs="Times New Roman"/>
              <w:sz w:val="32"/>
            </w:rPr>
          </w:pPr>
          <w:r>
            <w:fldChar w:fldCharType="begin"/>
          </w:r>
          <w:r>
            <w:instrText xml:space="preserve"> HYPERLINK \l "_Toc17620" </w:instrText>
          </w:r>
          <w:r>
            <w:fldChar w:fldCharType="separate"/>
          </w:r>
          <w:r>
            <w:rPr>
              <w:rFonts w:ascii="Times New Roman" w:hAnsi="Times New Roman" w:cs="Times New Roman"/>
              <w:sz w:val="32"/>
            </w:rPr>
            <w:t>附件1：突发环境事件分级标准</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_Toc17620 \h </w:instrText>
          </w:r>
          <w:r>
            <w:rPr>
              <w:rFonts w:ascii="Times New Roman" w:hAnsi="Times New Roman" w:cs="Times New Roman"/>
              <w:sz w:val="32"/>
            </w:rPr>
            <w:fldChar w:fldCharType="separate"/>
          </w:r>
          <w:r>
            <w:rPr>
              <w:rFonts w:ascii="Times New Roman" w:hAnsi="Times New Roman" w:cs="Times New Roman"/>
              <w:sz w:val="32"/>
            </w:rPr>
            <w:t>25</w:t>
          </w:r>
          <w:r>
            <w:rPr>
              <w:rFonts w:ascii="Times New Roman" w:hAnsi="Times New Roman" w:cs="Times New Roman"/>
              <w:sz w:val="32"/>
            </w:rPr>
            <w:fldChar w:fldCharType="end"/>
          </w:r>
          <w:r>
            <w:rPr>
              <w:rFonts w:ascii="Times New Roman" w:hAnsi="Times New Roman" w:cs="Times New Roman"/>
              <w:sz w:val="32"/>
            </w:rPr>
            <w:fldChar w:fldCharType="end"/>
          </w:r>
        </w:p>
        <w:p w14:paraId="66F0A98E">
          <w:pPr>
            <w:pStyle w:val="15"/>
            <w:ind w:left="0" w:leftChars="0" w:firstLine="0" w:firstLineChars="0"/>
            <w:rPr>
              <w:rFonts w:ascii="Times New Roman" w:hAnsi="Times New Roman" w:eastAsia="仿宋" w:cs="Times New Roman"/>
              <w:b/>
              <w:sz w:val="32"/>
            </w:rPr>
          </w:pPr>
          <w:r>
            <w:rPr>
              <w:rFonts w:ascii="Times New Roman" w:hAnsi="Times New Roman" w:cs="Times New Roman"/>
              <w:sz w:val="32"/>
            </w:rPr>
            <w:fldChar w:fldCharType="end"/>
          </w:r>
        </w:p>
      </w:sdtContent>
    </w:sdt>
    <w:p w14:paraId="0D4AA9CD">
      <w:pPr>
        <w:pStyle w:val="15"/>
        <w:ind w:left="0" w:leftChars="0" w:firstLine="0" w:firstLineChars="0"/>
        <w:rPr>
          <w:rFonts w:ascii="Times New Roman" w:hAnsi="Times New Roman" w:eastAsia="仿宋" w:cs="Times New Roman"/>
          <w:b/>
          <w:sz w:val="32"/>
        </w:rPr>
      </w:pPr>
    </w:p>
    <w:p w14:paraId="7BCA9772">
      <w:pPr>
        <w:ind w:firstLine="552"/>
        <w:rPr>
          <w:rFonts w:ascii="Times New Roman" w:hAnsi="Times New Roman" w:cs="Times New Roman"/>
        </w:rPr>
        <w:sectPr>
          <w:footerReference r:id="rId143" w:type="default"/>
          <w:footerReference r:id="rId144" w:type="even"/>
          <w:pgSz w:w="11906" w:h="16838"/>
          <w:pgMar w:top="2098" w:right="1474" w:bottom="1984" w:left="1587" w:header="624" w:footer="1134" w:gutter="0"/>
          <w:pgNumType w:fmt="upperRoman" w:start="1"/>
          <w:cols w:space="0" w:num="1"/>
          <w:docGrid w:type="linesAndChars" w:linePitch="579" w:charSpace="-842"/>
        </w:sectPr>
      </w:pPr>
    </w:p>
    <w:p w14:paraId="4DF06573">
      <w:pPr>
        <w:pStyle w:val="2"/>
        <w:numPr>
          <w:ilvl w:val="0"/>
          <w:numId w:val="229"/>
        </w:numPr>
        <w:tabs>
          <w:tab w:val="left" w:pos="0"/>
        </w:tabs>
        <w:ind w:firstLine="0" w:firstLineChars="0"/>
        <w:rPr>
          <w:rFonts w:ascii="Times New Roman" w:hAnsi="Times New Roman" w:cs="Times New Roman"/>
          <w:sz w:val="32"/>
        </w:rPr>
      </w:pPr>
      <w:r>
        <w:rPr>
          <w:rFonts w:ascii="Times New Roman" w:hAnsi="Times New Roman" w:cs="Times New Roman"/>
          <w:sz w:val="32"/>
        </w:rPr>
        <w:t>总则</w:t>
      </w:r>
    </w:p>
    <w:p w14:paraId="08114AAC">
      <w:pPr>
        <w:pStyle w:val="3"/>
        <w:ind w:firstLine="0" w:firstLineChars="0"/>
        <w:rPr>
          <w:rFonts w:ascii="Times New Roman" w:hAnsi="Times New Roman" w:cs="Times New Roman"/>
          <w:sz w:val="32"/>
        </w:rPr>
      </w:pPr>
      <w:r>
        <w:rPr>
          <w:rFonts w:ascii="Times New Roman" w:hAnsi="Times New Roman" w:cs="Times New Roman"/>
          <w:sz w:val="32"/>
        </w:rPr>
        <w:t>指导思想</w:t>
      </w:r>
    </w:p>
    <w:p w14:paraId="38344653">
      <w:pPr>
        <w:ind w:firstLine="632"/>
        <w:rPr>
          <w:rFonts w:ascii="Times New Roman" w:hAnsi="Times New Roman" w:cs="Times New Roman"/>
          <w:sz w:val="32"/>
        </w:rPr>
      </w:pPr>
      <w:r>
        <w:rPr>
          <w:rFonts w:ascii="Times New Roman" w:hAnsi="Times New Roman" w:cs="Times New Roman"/>
          <w:sz w:val="32"/>
        </w:rPr>
        <w:t>为进一步增强民族团结，保障公民的宗教信仰自由，维护宗教和睦与社会和谐，及时、妥善处置涉及民族、宗教方面突发群体事件，切实维护好少数民族和信教群众的合法权益。明确各单位、部门在处置民宗事件中的职责任务，积极预防和妥善处置民族、宗教问题引发的群体性冲突事件、群体性非正常上访事件，维护各民族人民群众的生命财产安全，保持民族宗教领域的安定团结，保护人民群众生命财产安全，制定本预案。</w:t>
      </w:r>
    </w:p>
    <w:p w14:paraId="4BE5AEE0">
      <w:pPr>
        <w:pStyle w:val="3"/>
        <w:ind w:firstLine="0" w:firstLineChars="0"/>
        <w:rPr>
          <w:rFonts w:ascii="Times New Roman" w:hAnsi="Times New Roman" w:cs="Times New Roman"/>
          <w:sz w:val="32"/>
        </w:rPr>
      </w:pPr>
      <w:r>
        <w:rPr>
          <w:rFonts w:ascii="Times New Roman" w:hAnsi="Times New Roman" w:cs="Times New Roman"/>
          <w:sz w:val="32"/>
        </w:rPr>
        <w:t>编制依据</w:t>
      </w:r>
    </w:p>
    <w:p w14:paraId="49D301F9">
      <w:pPr>
        <w:ind w:firstLine="632"/>
        <w:rPr>
          <w:rFonts w:ascii="Times New Roman" w:hAnsi="Times New Roman" w:cs="Times New Roman"/>
          <w:sz w:val="32"/>
        </w:rPr>
      </w:pPr>
      <w:r>
        <w:rPr>
          <w:rFonts w:ascii="Times New Roman" w:hAnsi="Times New Roman" w:cs="Times New Roman"/>
          <w:sz w:val="32"/>
        </w:rPr>
        <w:t>依据《中华人民共和国突发事件应对法》《突发事件应急预案管理办法》《中华人民共和国治安管理处罚法》《中华人民共和国集会游行示威法》《中华人民共和国宗教事务条例》《黑龙江省宗教条例》《集贤县人民政府突发事件总体应急预案》等法律法规、上位预案要求，结合县政府及相关部门职责和工作实际，编制本预案。</w:t>
      </w:r>
    </w:p>
    <w:p w14:paraId="3D871E13">
      <w:pPr>
        <w:pStyle w:val="3"/>
        <w:ind w:firstLine="0" w:firstLineChars="0"/>
        <w:rPr>
          <w:rFonts w:ascii="Times New Roman" w:hAnsi="Times New Roman" w:cs="Times New Roman"/>
          <w:sz w:val="32"/>
        </w:rPr>
      </w:pPr>
      <w:r>
        <w:rPr>
          <w:rFonts w:ascii="Times New Roman" w:hAnsi="Times New Roman" w:cs="Times New Roman"/>
          <w:sz w:val="32"/>
        </w:rPr>
        <w:t>适用范围</w:t>
      </w:r>
    </w:p>
    <w:p w14:paraId="33054894">
      <w:pPr>
        <w:ind w:firstLine="632"/>
        <w:rPr>
          <w:rFonts w:ascii="Times New Roman" w:hAnsi="Times New Roman" w:cs="Times New Roman"/>
          <w:sz w:val="32"/>
        </w:rPr>
      </w:pPr>
      <w:r>
        <w:rPr>
          <w:rFonts w:ascii="Times New Roman" w:hAnsi="Times New Roman" w:cs="Times New Roman"/>
          <w:sz w:val="32"/>
        </w:rPr>
        <w:t>涉及民族宗教群体性事件是指突然发生的涉及少数民族和信教公民宗教活动方面具有一定规模的事件，主要包括：</w:t>
      </w:r>
    </w:p>
    <w:p w14:paraId="002A17C2">
      <w:pPr>
        <w:ind w:firstLine="632"/>
        <w:rPr>
          <w:rFonts w:ascii="Times New Roman" w:hAnsi="Times New Roman" w:cs="Times New Roman"/>
          <w:sz w:val="32"/>
        </w:rPr>
      </w:pPr>
      <w:r>
        <w:rPr>
          <w:rFonts w:ascii="Times New Roman" w:hAnsi="Times New Roman" w:cs="Times New Roman"/>
          <w:sz w:val="32"/>
        </w:rPr>
        <w:t>（1）不同民族成员因经济、民事、治安等问题发生矛盾纠纷，少数民族一方不接受或不服从有关部门的处理，致使矛盾升级、影响扩大而引发的连带纠纷事件；</w:t>
      </w:r>
    </w:p>
    <w:p w14:paraId="1BFE25A4">
      <w:pPr>
        <w:ind w:firstLine="632"/>
        <w:rPr>
          <w:rFonts w:ascii="Times New Roman" w:hAnsi="Times New Roman" w:cs="Times New Roman"/>
          <w:sz w:val="32"/>
        </w:rPr>
      </w:pPr>
      <w:r>
        <w:rPr>
          <w:rFonts w:ascii="Times New Roman" w:hAnsi="Times New Roman" w:cs="Times New Roman"/>
          <w:sz w:val="32"/>
        </w:rPr>
        <w:t>（2）出现违反民族、宗教政策，伤害少数民族和信教群众感情的内容而引发的矛盾和纠纷事件；</w:t>
      </w:r>
    </w:p>
    <w:p w14:paraId="16C0695D">
      <w:pPr>
        <w:ind w:firstLine="632"/>
        <w:rPr>
          <w:rFonts w:ascii="Times New Roman" w:hAnsi="Times New Roman" w:cs="Times New Roman"/>
          <w:sz w:val="32"/>
        </w:rPr>
      </w:pPr>
      <w:r>
        <w:rPr>
          <w:rFonts w:ascii="Times New Roman" w:hAnsi="Times New Roman" w:cs="Times New Roman"/>
          <w:sz w:val="32"/>
        </w:rPr>
        <w:t>（3）由于民族间文化传统、风俗习惯、宗教信仰和心理认同等方面的多样性、差异性而产生的矛盾和纠纷事件；</w:t>
      </w:r>
    </w:p>
    <w:p w14:paraId="2732FBD6">
      <w:pPr>
        <w:ind w:firstLine="632"/>
        <w:rPr>
          <w:rFonts w:ascii="Times New Roman" w:hAnsi="Times New Roman" w:cs="Times New Roman"/>
          <w:sz w:val="32"/>
        </w:rPr>
      </w:pPr>
      <w:r>
        <w:rPr>
          <w:rFonts w:ascii="Times New Roman" w:hAnsi="Times New Roman" w:cs="Times New Roman"/>
          <w:sz w:val="32"/>
        </w:rPr>
        <w:t>（4）外来少数民族群众在我县经商、务工、旅游、求学、探亲访友等过程中发生的矛盾纠纷事件；</w:t>
      </w:r>
    </w:p>
    <w:p w14:paraId="3B9E4CE7">
      <w:pPr>
        <w:ind w:firstLine="632"/>
        <w:rPr>
          <w:rFonts w:ascii="Times New Roman" w:hAnsi="Times New Roman" w:cs="Times New Roman"/>
          <w:sz w:val="32"/>
        </w:rPr>
      </w:pPr>
      <w:r>
        <w:rPr>
          <w:rFonts w:ascii="Times New Roman" w:hAnsi="Times New Roman" w:cs="Times New Roman"/>
          <w:sz w:val="32"/>
        </w:rPr>
        <w:t>（5）对少数民族食品生产、加工、销售、广告和包装不当引发的矛盾纠纷事件；</w:t>
      </w:r>
    </w:p>
    <w:p w14:paraId="53BC797F">
      <w:pPr>
        <w:ind w:firstLine="632"/>
        <w:rPr>
          <w:rFonts w:ascii="Times New Roman" w:hAnsi="Times New Roman" w:cs="Times New Roman"/>
          <w:sz w:val="32"/>
        </w:rPr>
      </w:pPr>
      <w:r>
        <w:rPr>
          <w:rFonts w:ascii="Times New Roman" w:hAnsi="Times New Roman" w:cs="Times New Roman"/>
          <w:sz w:val="32"/>
        </w:rPr>
        <w:t>（6）少数别有用心的人利用民族、宗教感情，挑起不同民族之间的纠纷或煽动制造的矛盾纠纷事件；</w:t>
      </w:r>
    </w:p>
    <w:p w14:paraId="0DA5056B">
      <w:pPr>
        <w:ind w:firstLine="632"/>
        <w:rPr>
          <w:rFonts w:ascii="Times New Roman" w:hAnsi="Times New Roman" w:cs="Times New Roman"/>
          <w:sz w:val="32"/>
        </w:rPr>
      </w:pPr>
      <w:r>
        <w:rPr>
          <w:rFonts w:ascii="Times New Roman" w:hAnsi="Times New Roman" w:cs="Times New Roman"/>
          <w:sz w:val="32"/>
        </w:rPr>
        <w:t>（7）民族分裂分子、宗教极端主义分子和暴力恐怖分子打着民族宗教的旗号，进行破坏民族团结和社会稳定的活动；</w:t>
      </w:r>
    </w:p>
    <w:p w14:paraId="1B108CD4">
      <w:pPr>
        <w:ind w:firstLine="632"/>
        <w:rPr>
          <w:rFonts w:ascii="Times New Roman" w:hAnsi="Times New Roman" w:cs="Times New Roman"/>
          <w:sz w:val="32"/>
        </w:rPr>
      </w:pPr>
      <w:r>
        <w:rPr>
          <w:rFonts w:ascii="Times New Roman" w:hAnsi="Times New Roman" w:cs="Times New Roman"/>
          <w:sz w:val="32"/>
        </w:rPr>
        <w:t>（8）其它原因导致的民族宗教纠纷事件。</w:t>
      </w:r>
    </w:p>
    <w:p w14:paraId="7246A03F">
      <w:pPr>
        <w:pStyle w:val="3"/>
        <w:ind w:firstLine="0" w:firstLineChars="0"/>
        <w:rPr>
          <w:rFonts w:ascii="Times New Roman" w:hAnsi="Times New Roman" w:cs="Times New Roman"/>
          <w:sz w:val="32"/>
        </w:rPr>
      </w:pPr>
      <w:r>
        <w:rPr>
          <w:rFonts w:ascii="Times New Roman" w:hAnsi="Times New Roman" w:cs="Times New Roman"/>
          <w:sz w:val="32"/>
        </w:rPr>
        <w:t>工作原则</w:t>
      </w:r>
    </w:p>
    <w:p w14:paraId="4955CF4A">
      <w:pPr>
        <w:ind w:firstLine="634"/>
        <w:rPr>
          <w:rFonts w:ascii="Times New Roman" w:hAnsi="Times New Roman" w:cs="Times New Roman"/>
          <w:sz w:val="32"/>
        </w:rPr>
      </w:pPr>
      <w:r>
        <w:rPr>
          <w:rFonts w:ascii="Times New Roman" w:hAnsi="Times New Roman" w:cs="Times New Roman"/>
          <w:b/>
          <w:bCs/>
          <w:sz w:val="32"/>
        </w:rPr>
        <w:t>（1）统一领导，分工协作。</w:t>
      </w:r>
      <w:r>
        <w:rPr>
          <w:rFonts w:ascii="Times New Roman" w:hAnsi="Times New Roman" w:cs="Times New Roman"/>
          <w:sz w:val="32"/>
        </w:rPr>
        <w:t>涉及民族与宗教方面群体性突发事件的处置，要在县委、县政府的统一领导下，各乡镇人民政府，各有关单位，要按照“属地管理、分级负责和谁主管谁负责”的原则，遵守本预案的规定，密切配合，各司其职，齐抓共管，形成合力。</w:t>
      </w:r>
    </w:p>
    <w:p w14:paraId="3501584E">
      <w:pPr>
        <w:ind w:firstLine="634"/>
        <w:rPr>
          <w:rFonts w:ascii="Times New Roman" w:hAnsi="Times New Roman" w:cs="Times New Roman"/>
          <w:sz w:val="32"/>
        </w:rPr>
      </w:pPr>
      <w:r>
        <w:rPr>
          <w:rFonts w:ascii="Times New Roman" w:hAnsi="Times New Roman" w:cs="Times New Roman"/>
          <w:b/>
          <w:bCs/>
          <w:sz w:val="32"/>
        </w:rPr>
        <w:t>（2）坚持“五个维护”。</w:t>
      </w:r>
      <w:r>
        <w:rPr>
          <w:rFonts w:ascii="Times New Roman" w:hAnsi="Times New Roman" w:cs="Times New Roman"/>
          <w:sz w:val="32"/>
        </w:rPr>
        <w:t>必须坚持维护社会主义法治、维护人民群众利益、维护国家统一、维护民族团结、维护社会主义民主的原则处置涉及民族宗教方面群体性突发事件。</w:t>
      </w:r>
    </w:p>
    <w:p w14:paraId="7971A370">
      <w:pPr>
        <w:ind w:firstLine="634"/>
        <w:rPr>
          <w:rFonts w:ascii="Times New Roman" w:hAnsi="Times New Roman" w:cs="Times New Roman"/>
          <w:sz w:val="32"/>
        </w:rPr>
      </w:pPr>
      <w:r>
        <w:rPr>
          <w:rFonts w:ascii="Times New Roman" w:hAnsi="Times New Roman" w:cs="Times New Roman"/>
          <w:b/>
          <w:bCs/>
          <w:sz w:val="32"/>
        </w:rPr>
        <w:t>（3）严格区分和正确处理两类不同性质的矛盾。</w:t>
      </w:r>
      <w:r>
        <w:rPr>
          <w:rFonts w:ascii="Times New Roman" w:hAnsi="Times New Roman" w:cs="Times New Roman"/>
          <w:sz w:val="32"/>
        </w:rPr>
        <w:t>对于大多数属于人民内部矛盾事件，要运用教育、疏导的办法，切实加强群众的思想政治工作，避免因工作简单化而激化矛盾。对于不属于人民内部矛盾的事件，要最大限度地团结各族群众和信教群众，最大限度地孤立和打击极少数不法分子，坚决防范、打击、抵御境外敌对势力的渗透和破坏。</w:t>
      </w:r>
    </w:p>
    <w:p w14:paraId="2215D941">
      <w:pPr>
        <w:ind w:firstLine="634"/>
        <w:rPr>
          <w:rFonts w:ascii="Times New Roman" w:hAnsi="Times New Roman" w:cs="Times New Roman"/>
          <w:sz w:val="32"/>
        </w:rPr>
      </w:pPr>
      <w:r>
        <w:rPr>
          <w:rFonts w:ascii="Times New Roman" w:hAnsi="Times New Roman" w:cs="Times New Roman"/>
          <w:b/>
          <w:bCs/>
          <w:sz w:val="32"/>
        </w:rPr>
        <w:t>（4）坚持依法处置。</w:t>
      </w:r>
      <w:r>
        <w:rPr>
          <w:rFonts w:ascii="Times New Roman" w:hAnsi="Times New Roman" w:cs="Times New Roman"/>
          <w:sz w:val="32"/>
        </w:rPr>
        <w:t>对涉及民族与宗教方面群体性突发事件的处置，要以事实为依据，以法律为准绳，坚持法律面前人人平等，坚持依法处理，做到严格执法、公正执法。</w:t>
      </w:r>
    </w:p>
    <w:p w14:paraId="5B076D9B">
      <w:pPr>
        <w:ind w:firstLine="634"/>
        <w:rPr>
          <w:rFonts w:ascii="Times New Roman" w:hAnsi="Times New Roman" w:cs="Times New Roman"/>
          <w:sz w:val="32"/>
        </w:rPr>
      </w:pPr>
      <w:r>
        <w:rPr>
          <w:rFonts w:ascii="Times New Roman" w:hAnsi="Times New Roman" w:cs="Times New Roman"/>
          <w:b/>
          <w:bCs/>
          <w:sz w:val="32"/>
        </w:rPr>
        <w:t>（5）坚持防范为主，基层为主的原则。</w:t>
      </w:r>
      <w:r>
        <w:rPr>
          <w:rFonts w:ascii="Times New Roman" w:hAnsi="Times New Roman" w:cs="Times New Roman"/>
          <w:sz w:val="32"/>
        </w:rPr>
        <w:t>要加强调查研究，开展经常性的矛盾纠纷排查调处，及时发现引发突发性事件的苗头性、倾向性的问题，采取有效措施，力争把问题解决在基层、解决在当地、解决在萌芽状态。</w:t>
      </w:r>
    </w:p>
    <w:p w14:paraId="267BA182">
      <w:pPr>
        <w:ind w:firstLine="634"/>
        <w:rPr>
          <w:rFonts w:ascii="Times New Roman" w:hAnsi="Times New Roman" w:cs="Times New Roman"/>
          <w:sz w:val="32"/>
        </w:rPr>
      </w:pPr>
      <w:r>
        <w:rPr>
          <w:rFonts w:ascii="Times New Roman" w:hAnsi="Times New Roman" w:cs="Times New Roman"/>
          <w:b/>
          <w:bCs/>
          <w:sz w:val="32"/>
        </w:rPr>
        <w:t>（6）相信和依靠各族干部群众和爱国宗教团体、宗教界人士。</w:t>
      </w:r>
      <w:r>
        <w:rPr>
          <w:rFonts w:ascii="Times New Roman" w:hAnsi="Times New Roman" w:cs="Times New Roman"/>
          <w:sz w:val="32"/>
        </w:rPr>
        <w:t>坚持走群众路线，充分发挥各族干部群众在加强民族团结、维护社会稳定方面的积极作用，充分发挥爱国宗教团体和宗教界上层人士在处理群体性突发事件中的特殊作用，及时动员和依靠他们配合政府做好劝导、化解矛盾工作。</w:t>
      </w:r>
    </w:p>
    <w:p w14:paraId="771BE82E">
      <w:pPr>
        <w:pStyle w:val="3"/>
        <w:ind w:firstLine="0" w:firstLineChars="0"/>
        <w:rPr>
          <w:rFonts w:ascii="Times New Roman" w:hAnsi="Times New Roman" w:cs="Times New Roman"/>
          <w:sz w:val="32"/>
        </w:rPr>
      </w:pPr>
      <w:r>
        <w:rPr>
          <w:rFonts w:ascii="Times New Roman" w:hAnsi="Times New Roman" w:cs="Times New Roman"/>
          <w:sz w:val="32"/>
        </w:rPr>
        <w:t>事件分级</w:t>
      </w:r>
    </w:p>
    <w:p w14:paraId="1604AD09">
      <w:pPr>
        <w:ind w:firstLine="632"/>
        <w:rPr>
          <w:rFonts w:ascii="Times New Roman" w:hAnsi="Times New Roman" w:cs="Times New Roman"/>
          <w:sz w:val="32"/>
        </w:rPr>
      </w:pPr>
      <w:r>
        <w:rPr>
          <w:rFonts w:ascii="Times New Roman" w:hAnsi="Times New Roman" w:cs="Times New Roman"/>
          <w:sz w:val="32"/>
        </w:rPr>
        <w:t>按照突发事件的规模、造成的影响和后果以及事件的紧急程度，涉及民族宗教方面突发事件分为特别重大（Ⅰ级）、重大（Ⅱ级）、较大（Ⅲ级）和一般（Ⅳ级）四级。突发环境事件分级标准见附件1。</w:t>
      </w:r>
    </w:p>
    <w:p w14:paraId="07231986">
      <w:pPr>
        <w:pStyle w:val="2"/>
        <w:numPr>
          <w:ilvl w:val="0"/>
          <w:numId w:val="229"/>
        </w:numPr>
        <w:tabs>
          <w:tab w:val="left" w:pos="0"/>
        </w:tabs>
        <w:ind w:firstLine="0" w:firstLineChars="0"/>
        <w:rPr>
          <w:rFonts w:ascii="Times New Roman" w:hAnsi="Times New Roman" w:cs="Times New Roman"/>
          <w:sz w:val="32"/>
        </w:rPr>
      </w:pPr>
      <w:r>
        <w:rPr>
          <w:rFonts w:ascii="Times New Roman" w:hAnsi="Times New Roman" w:cs="Times New Roman"/>
          <w:sz w:val="32"/>
        </w:rPr>
        <w:t>组织指挥体系</w:t>
      </w:r>
    </w:p>
    <w:p w14:paraId="436B1B09">
      <w:pPr>
        <w:ind w:firstLine="632"/>
        <w:rPr>
          <w:rFonts w:ascii="Times New Roman" w:hAnsi="Times New Roman" w:cs="Times New Roman"/>
          <w:sz w:val="32"/>
        </w:rPr>
      </w:pPr>
      <w:r>
        <w:rPr>
          <w:rFonts w:ascii="Times New Roman" w:hAnsi="Times New Roman" w:cs="Times New Roman"/>
          <w:sz w:val="32"/>
        </w:rPr>
        <w:t>集贤县人民政府设立县处置民族宗教群体性事件应急指挥部，负责本县行政区域的民族宗教群体性突发事件应对处置工作。有关行业（单位）可根据需要设立民族宗教群体性事件应急指挥机构，负责本行业（单位）民族宗教突发事件工作。</w:t>
      </w:r>
    </w:p>
    <w:p w14:paraId="483AC45A">
      <w:pPr>
        <w:pStyle w:val="3"/>
        <w:ind w:firstLine="0" w:firstLineChars="0"/>
        <w:rPr>
          <w:rFonts w:ascii="Times New Roman" w:hAnsi="Times New Roman" w:cs="Times New Roman"/>
          <w:sz w:val="32"/>
        </w:rPr>
      </w:pPr>
      <w:bookmarkStart w:id="1401" w:name="_Toc24004"/>
      <w:r>
        <w:rPr>
          <w:rFonts w:ascii="Times New Roman" w:hAnsi="Times New Roman" w:cs="Times New Roman"/>
          <w:sz w:val="32"/>
        </w:rPr>
        <w:t>应急指挥部组成及职责</w:t>
      </w:r>
      <w:bookmarkEnd w:id="1401"/>
    </w:p>
    <w:p w14:paraId="25C27399">
      <w:pPr>
        <w:ind w:firstLine="632"/>
        <w:rPr>
          <w:rFonts w:ascii="Times New Roman" w:hAnsi="Times New Roman" w:cs="Times New Roman"/>
          <w:sz w:val="32"/>
        </w:rPr>
      </w:pPr>
      <w:r>
        <w:rPr>
          <w:rFonts w:ascii="Times New Roman" w:hAnsi="Times New Roman" w:cs="Times New Roman"/>
          <w:sz w:val="32"/>
        </w:rPr>
        <w:t>县处置民族宗教群体性事件应急指挥部由总指挥、副总指挥、成员单位组成。指挥部总指挥由县委常委、县统战部部长担任，副总指挥由县民族宗教事务局长担任。</w:t>
      </w:r>
    </w:p>
    <w:p w14:paraId="34041430">
      <w:pPr>
        <w:ind w:firstLine="632"/>
        <w:rPr>
          <w:rFonts w:ascii="Times New Roman" w:hAnsi="Times New Roman" w:cs="Times New Roman"/>
          <w:sz w:val="32"/>
        </w:rPr>
      </w:pPr>
      <w:r>
        <w:rPr>
          <w:rFonts w:ascii="Times New Roman" w:hAnsi="Times New Roman" w:cs="Times New Roman"/>
          <w:sz w:val="32"/>
        </w:rPr>
        <w:t>成员单位包括：县委统战部、县委宣传部、县民族宗教事务局、县应急管理局、县公安局、县卫生健康局、县司法局、各乡镇人民政府等。根据工作需要，可增加有关部门和单位负责同志参加。</w:t>
      </w:r>
    </w:p>
    <w:p w14:paraId="3CAEE10C">
      <w:pPr>
        <w:ind w:firstLine="632"/>
        <w:rPr>
          <w:rFonts w:ascii="Times New Roman" w:hAnsi="Times New Roman" w:cs="Times New Roman"/>
          <w:sz w:val="32"/>
        </w:rPr>
      </w:pPr>
      <w:r>
        <w:rPr>
          <w:rFonts w:ascii="Times New Roman" w:hAnsi="Times New Roman" w:cs="Times New Roman"/>
          <w:sz w:val="32"/>
        </w:rPr>
        <w:t>县处置民族宗教群体性事件应急指挥部办公室设在县民族宗教事务局，承担县处置民族宗教群体性事件应急指挥部日常工作。办公室主任由县民族宗教事务局局长兼任。</w:t>
      </w:r>
    </w:p>
    <w:p w14:paraId="2310031D">
      <w:pPr>
        <w:pStyle w:val="4"/>
        <w:numPr>
          <w:ilvl w:val="2"/>
          <w:numId w:val="229"/>
        </w:numPr>
        <w:tabs>
          <w:tab w:val="left" w:pos="0"/>
        </w:tabs>
        <w:ind w:firstLine="0" w:firstLineChars="0"/>
        <w:rPr>
          <w:rFonts w:ascii="Times New Roman" w:hAnsi="Times New Roman" w:cs="Times New Roman"/>
          <w:sz w:val="32"/>
        </w:rPr>
      </w:pPr>
      <w:r>
        <w:rPr>
          <w:rFonts w:ascii="Times New Roman" w:hAnsi="Times New Roman" w:cs="Times New Roman"/>
          <w:sz w:val="32"/>
        </w:rPr>
        <w:t>应急指挥部工作职责</w:t>
      </w:r>
    </w:p>
    <w:p w14:paraId="26CBDBF0">
      <w:pPr>
        <w:ind w:firstLine="632"/>
        <w:rPr>
          <w:rFonts w:ascii="Times New Roman" w:hAnsi="Times New Roman" w:cs="Times New Roman"/>
          <w:sz w:val="32"/>
        </w:rPr>
      </w:pPr>
      <w:r>
        <w:rPr>
          <w:rFonts w:ascii="Times New Roman" w:hAnsi="Times New Roman" w:cs="Times New Roman"/>
          <w:sz w:val="32"/>
        </w:rPr>
        <w:t>主要负责统一决策、组织、指挥突发民族宗教突发事件的响应行动；研究确定事件性质、类型和级别，确定与其他类特定事件应急处置预案的联系，下达应急处置任务；决定信息报送市政府和相关部门的标准、内容以及请求上级部门指示、援助等事项；决定对外公布、公开的口径及发布时间方式等，并报送主管部门统一发布；督查事发地分局的处置工作。</w:t>
      </w:r>
    </w:p>
    <w:p w14:paraId="6FBCE775">
      <w:pPr>
        <w:pStyle w:val="4"/>
        <w:numPr>
          <w:ilvl w:val="2"/>
          <w:numId w:val="229"/>
        </w:numPr>
        <w:tabs>
          <w:tab w:val="left" w:pos="0"/>
        </w:tabs>
        <w:ind w:firstLine="0" w:firstLineChars="0"/>
        <w:rPr>
          <w:rFonts w:ascii="Times New Roman" w:hAnsi="Times New Roman" w:cs="Times New Roman"/>
          <w:sz w:val="32"/>
        </w:rPr>
      </w:pPr>
      <w:bookmarkStart w:id="1402" w:name="_Toc6453"/>
      <w:r>
        <w:rPr>
          <w:rFonts w:ascii="Times New Roman" w:hAnsi="Times New Roman" w:cs="Times New Roman"/>
          <w:sz w:val="32"/>
        </w:rPr>
        <w:t>应急指挥部办公室职责</w:t>
      </w:r>
      <w:bookmarkEnd w:id="1402"/>
    </w:p>
    <w:p w14:paraId="53A630CD">
      <w:pPr>
        <w:ind w:firstLine="632"/>
        <w:rPr>
          <w:rFonts w:ascii="Times New Roman" w:hAnsi="Times New Roman" w:cs="Times New Roman"/>
          <w:sz w:val="32"/>
        </w:rPr>
      </w:pPr>
      <w:r>
        <w:rPr>
          <w:rFonts w:ascii="Times New Roman" w:hAnsi="Times New Roman" w:cs="Times New Roman"/>
          <w:sz w:val="32"/>
        </w:rPr>
        <w:t>主要负责落实民族宗教突发事件应急处置重大决策的实施；收集汇总突发事件信息，负责向县处置民族宗教群体性事件应急指挥部报告，并通报指挥部各成员单位；组织实施民族宗教突发事件调查评估，并提出对策；指导乡镇人民政府开展应急处置工作，协调有关部门落实对事发地的支持和帮助；承办县处置民族宗教群体性事件应急指挥部日常工作。</w:t>
      </w:r>
    </w:p>
    <w:p w14:paraId="7F186603">
      <w:pPr>
        <w:pStyle w:val="4"/>
        <w:numPr>
          <w:ilvl w:val="2"/>
          <w:numId w:val="229"/>
        </w:numPr>
        <w:tabs>
          <w:tab w:val="left" w:pos="0"/>
        </w:tabs>
        <w:ind w:firstLine="0" w:firstLineChars="0"/>
        <w:rPr>
          <w:rFonts w:ascii="Times New Roman" w:hAnsi="Times New Roman" w:cs="Times New Roman"/>
          <w:sz w:val="32"/>
        </w:rPr>
      </w:pPr>
      <w:bookmarkStart w:id="1403" w:name="_Toc19955"/>
      <w:r>
        <w:rPr>
          <w:rFonts w:ascii="Times New Roman" w:hAnsi="Times New Roman" w:cs="Times New Roman"/>
          <w:sz w:val="32"/>
        </w:rPr>
        <w:t>成员单位职责</w:t>
      </w:r>
      <w:bookmarkEnd w:id="1403"/>
    </w:p>
    <w:p w14:paraId="4BC36623">
      <w:pPr>
        <w:ind w:firstLine="634"/>
        <w:rPr>
          <w:rFonts w:ascii="Times New Roman" w:hAnsi="Times New Roman" w:cs="Times New Roman"/>
          <w:sz w:val="32"/>
        </w:rPr>
      </w:pPr>
      <w:r>
        <w:rPr>
          <w:rFonts w:ascii="Times New Roman" w:hAnsi="Times New Roman" w:cs="Times New Roman"/>
          <w:b/>
          <w:bCs/>
          <w:sz w:val="32"/>
        </w:rPr>
        <w:t>县委统战部：</w:t>
      </w:r>
      <w:r>
        <w:rPr>
          <w:rFonts w:ascii="Times New Roman" w:hAnsi="Times New Roman" w:cs="Times New Roman"/>
          <w:sz w:val="32"/>
        </w:rPr>
        <w:t>代表党委切实履行牵头协调的职责，认真调查研究，协调检查有关民族宗教工作的重大方针政策问题，提出政策性、对策性建议，协调和配合有关部门处理好涉及民族宗教的重大问题。</w:t>
      </w:r>
    </w:p>
    <w:p w14:paraId="49A79512">
      <w:pPr>
        <w:ind w:firstLine="634"/>
        <w:rPr>
          <w:rFonts w:ascii="Times New Roman" w:hAnsi="Times New Roman" w:cs="Times New Roman"/>
          <w:sz w:val="32"/>
        </w:rPr>
      </w:pPr>
      <w:r>
        <w:rPr>
          <w:rFonts w:ascii="Times New Roman" w:hAnsi="Times New Roman" w:cs="Times New Roman"/>
          <w:b/>
          <w:bCs/>
          <w:sz w:val="32"/>
        </w:rPr>
        <w:t>县委宣传部：</w:t>
      </w:r>
      <w:r>
        <w:rPr>
          <w:rFonts w:ascii="Times New Roman" w:hAnsi="Times New Roman" w:cs="Times New Roman"/>
          <w:sz w:val="32"/>
        </w:rPr>
        <w:t>负责指导、组织、协调相关媒体在事件处置过程中的信息发布和对外报道工作。</w:t>
      </w:r>
    </w:p>
    <w:p w14:paraId="76E91E95">
      <w:pPr>
        <w:ind w:firstLine="634"/>
        <w:rPr>
          <w:rFonts w:ascii="Times New Roman" w:hAnsi="Times New Roman" w:cs="Times New Roman"/>
          <w:sz w:val="32"/>
        </w:rPr>
      </w:pPr>
      <w:r>
        <w:rPr>
          <w:rFonts w:ascii="Times New Roman" w:hAnsi="Times New Roman" w:cs="Times New Roman"/>
          <w:b/>
          <w:bCs/>
          <w:sz w:val="32"/>
        </w:rPr>
        <w:t>县民族宗教事务局：</w:t>
      </w:r>
      <w:r>
        <w:rPr>
          <w:rFonts w:ascii="Times New Roman" w:hAnsi="Times New Roman" w:cs="Times New Roman"/>
          <w:sz w:val="32"/>
        </w:rPr>
        <w:t>负责民族宗教应急工作的具体组织、协调、指导、监督以及向县政府报送进入或解除紧急状态的相关信息资料，负责向县政府提出预警的启动和预警解除的建议，分析民族宗教突发事件形势、提出应对措施，并负责资源的配置工作。</w:t>
      </w:r>
    </w:p>
    <w:p w14:paraId="0DB01ECC">
      <w:pPr>
        <w:ind w:firstLine="634"/>
        <w:rPr>
          <w:rFonts w:ascii="Times New Roman" w:hAnsi="Times New Roman" w:cs="Times New Roman"/>
          <w:sz w:val="32"/>
        </w:rPr>
      </w:pPr>
      <w:r>
        <w:rPr>
          <w:rFonts w:ascii="Times New Roman" w:hAnsi="Times New Roman" w:cs="Times New Roman"/>
          <w:b/>
          <w:bCs/>
          <w:sz w:val="32"/>
        </w:rPr>
        <w:t>县应急管理局：</w:t>
      </w:r>
      <w:r>
        <w:rPr>
          <w:rFonts w:ascii="Times New Roman" w:hAnsi="Times New Roman" w:cs="Times New Roman"/>
          <w:sz w:val="32"/>
        </w:rPr>
        <w:t>负责责民族宗教突发事件处置中应急值守、信息汇总、综合协调等职责。</w:t>
      </w:r>
    </w:p>
    <w:p w14:paraId="5E5E735B">
      <w:pPr>
        <w:ind w:firstLine="634"/>
        <w:rPr>
          <w:rFonts w:ascii="Times New Roman" w:hAnsi="Times New Roman" w:cs="Times New Roman"/>
          <w:sz w:val="32"/>
        </w:rPr>
      </w:pPr>
      <w:r>
        <w:rPr>
          <w:rFonts w:ascii="Times New Roman" w:hAnsi="Times New Roman" w:cs="Times New Roman"/>
          <w:b/>
          <w:bCs/>
          <w:sz w:val="32"/>
        </w:rPr>
        <w:t>县公安局：</w:t>
      </w:r>
      <w:r>
        <w:rPr>
          <w:rFonts w:ascii="Times New Roman" w:hAnsi="Times New Roman" w:cs="Times New Roman"/>
          <w:sz w:val="32"/>
        </w:rPr>
        <w:t>负责维护突发事件区域公共秩序和社会稳定，严厉打击扰乱现场秩序的犯罪活动；严防因民族宗教突发事件而引发的各类治安事件，及时处理突发性群体事件。</w:t>
      </w:r>
    </w:p>
    <w:p w14:paraId="28D36102">
      <w:pPr>
        <w:ind w:firstLine="634"/>
        <w:rPr>
          <w:rFonts w:ascii="Times New Roman" w:hAnsi="Times New Roman" w:cs="Times New Roman"/>
          <w:sz w:val="32"/>
        </w:rPr>
      </w:pPr>
      <w:r>
        <w:rPr>
          <w:rFonts w:ascii="Times New Roman" w:hAnsi="Times New Roman" w:cs="Times New Roman"/>
          <w:b/>
          <w:bCs/>
          <w:sz w:val="32"/>
        </w:rPr>
        <w:t>县卫生健康局：</w:t>
      </w:r>
      <w:r>
        <w:rPr>
          <w:rFonts w:ascii="Times New Roman" w:hAnsi="Times New Roman" w:cs="Times New Roman"/>
          <w:sz w:val="32"/>
        </w:rPr>
        <w:t>负责组织协调民族宗教突发事件中的医疗卫生救援工作，及时组织相关人员对突发事件有关卫生医疗方面事项进行有效处置，并根据需要提供医疗卫生技术支持。</w:t>
      </w:r>
    </w:p>
    <w:p w14:paraId="50554A51">
      <w:pPr>
        <w:ind w:firstLine="634"/>
        <w:rPr>
          <w:rFonts w:ascii="Times New Roman" w:hAnsi="Times New Roman" w:cs="Times New Roman"/>
          <w:sz w:val="32"/>
        </w:rPr>
      </w:pPr>
      <w:r>
        <w:rPr>
          <w:rFonts w:ascii="Times New Roman" w:hAnsi="Times New Roman" w:cs="Times New Roman"/>
          <w:b/>
          <w:bCs/>
          <w:sz w:val="32"/>
        </w:rPr>
        <w:t>县司法局：</w:t>
      </w:r>
      <w:r>
        <w:rPr>
          <w:rFonts w:ascii="Times New Roman" w:hAnsi="Times New Roman" w:cs="Times New Roman"/>
          <w:sz w:val="32"/>
        </w:rPr>
        <w:t>负责民族宗教法律法规和政策的宣传，提出法律依据和意见、建议，组织、协调、指导基层法律服务工作者参与涉及民族宗教问题的突发性事件的调处工作。</w:t>
      </w:r>
    </w:p>
    <w:p w14:paraId="62A9D516">
      <w:pPr>
        <w:ind w:firstLine="634"/>
        <w:rPr>
          <w:rFonts w:ascii="Times New Roman" w:hAnsi="Times New Roman" w:cs="Times New Roman"/>
          <w:sz w:val="32"/>
        </w:rPr>
      </w:pPr>
      <w:r>
        <w:rPr>
          <w:rFonts w:ascii="Times New Roman" w:hAnsi="Times New Roman" w:cs="Times New Roman"/>
          <w:b/>
          <w:bCs/>
          <w:sz w:val="32"/>
        </w:rPr>
        <w:t>乡镇人民政府：</w:t>
      </w:r>
      <w:r>
        <w:rPr>
          <w:rFonts w:ascii="Times New Roman" w:hAnsi="Times New Roman" w:cs="Times New Roman"/>
          <w:sz w:val="32"/>
        </w:rPr>
        <w:t>按照属地管理、分级负责的原则，报告当地民族宗教群体性事件信息，参与处置工作。</w:t>
      </w:r>
    </w:p>
    <w:p w14:paraId="455FA064">
      <w:pPr>
        <w:pStyle w:val="4"/>
        <w:numPr>
          <w:ilvl w:val="2"/>
          <w:numId w:val="229"/>
        </w:numPr>
        <w:tabs>
          <w:tab w:val="left" w:pos="0"/>
        </w:tabs>
        <w:ind w:firstLine="0" w:firstLineChars="0"/>
        <w:rPr>
          <w:rFonts w:ascii="Times New Roman" w:hAnsi="Times New Roman" w:cs="Times New Roman"/>
          <w:sz w:val="32"/>
        </w:rPr>
      </w:pPr>
      <w:bookmarkStart w:id="1404" w:name="_Toc23674"/>
      <w:r>
        <w:rPr>
          <w:rFonts w:ascii="Times New Roman" w:hAnsi="Times New Roman" w:cs="Times New Roman"/>
          <w:sz w:val="32"/>
        </w:rPr>
        <w:t>乡镇职责</w:t>
      </w:r>
      <w:bookmarkEnd w:id="1404"/>
    </w:p>
    <w:p w14:paraId="187781C3">
      <w:pPr>
        <w:ind w:firstLine="632"/>
        <w:rPr>
          <w:rFonts w:ascii="Times New Roman" w:hAnsi="Times New Roman" w:cs="Times New Roman"/>
          <w:sz w:val="32"/>
        </w:rPr>
      </w:pPr>
      <w:r>
        <w:rPr>
          <w:rFonts w:ascii="Times New Roman" w:hAnsi="Times New Roman" w:cs="Times New Roman"/>
          <w:sz w:val="32"/>
        </w:rPr>
        <w:t>（1）各乡镇要建立健全预警机制，确定本辖区处置涉及民族与宗教方面群体性突发事件的工作机制和应急预案，特别是民族宗教工作重点乡镇要加强预警工作，重在日常防范，一旦发现苗头，要迅速化解，妥善处理，坚持将问题解决在萌发状态、解决在当地。</w:t>
      </w:r>
    </w:p>
    <w:p w14:paraId="2090EA16">
      <w:pPr>
        <w:ind w:firstLine="632"/>
        <w:rPr>
          <w:rFonts w:ascii="Times New Roman" w:hAnsi="Times New Roman" w:cs="Times New Roman"/>
          <w:sz w:val="32"/>
        </w:rPr>
      </w:pPr>
      <w:r>
        <w:rPr>
          <w:rFonts w:ascii="Times New Roman" w:hAnsi="Times New Roman" w:cs="Times New Roman"/>
          <w:sz w:val="32"/>
        </w:rPr>
        <w:t>（2）发生涉及民族宗教方面群体性突发事件时，要在第一时间报告市民族宗教突发事件应急指挥部，如因延误报告时间导致事态发展、恶化，应当追究主要领导和相关责任人的责任。</w:t>
      </w:r>
    </w:p>
    <w:p w14:paraId="72903ABD">
      <w:pPr>
        <w:ind w:firstLine="632"/>
        <w:rPr>
          <w:rFonts w:ascii="Times New Roman" w:hAnsi="Times New Roman" w:cs="Times New Roman"/>
          <w:sz w:val="32"/>
        </w:rPr>
      </w:pPr>
      <w:r>
        <w:rPr>
          <w:rFonts w:ascii="Times New Roman" w:hAnsi="Times New Roman" w:cs="Times New Roman"/>
          <w:sz w:val="32"/>
        </w:rPr>
        <w:t>（3）乡镇分管民族宗教工作的负责人要第一时间迅速到达事发现场，了解情况，及时妥善处理，防止事态蔓延。</w:t>
      </w:r>
    </w:p>
    <w:p w14:paraId="184A3B58">
      <w:pPr>
        <w:ind w:firstLine="632"/>
        <w:rPr>
          <w:rFonts w:ascii="Times New Roman" w:hAnsi="Times New Roman" w:cs="Times New Roman"/>
          <w:sz w:val="32"/>
        </w:rPr>
      </w:pPr>
      <w:r>
        <w:rPr>
          <w:rFonts w:ascii="Times New Roman" w:hAnsi="Times New Roman" w:cs="Times New Roman"/>
          <w:sz w:val="32"/>
        </w:rPr>
        <w:t>（4）执行上级政府和民族宗教工作部门及民族宗教突发事件应急指挥部的指令，及时组织力量紧急处置。</w:t>
      </w:r>
    </w:p>
    <w:p w14:paraId="5C11CB59">
      <w:pPr>
        <w:ind w:firstLine="632"/>
        <w:rPr>
          <w:rFonts w:ascii="Times New Roman" w:hAnsi="Times New Roman" w:cs="Times New Roman"/>
          <w:sz w:val="32"/>
        </w:rPr>
      </w:pPr>
      <w:r>
        <w:rPr>
          <w:rFonts w:ascii="Times New Roman" w:hAnsi="Times New Roman" w:cs="Times New Roman"/>
          <w:sz w:val="32"/>
        </w:rPr>
        <w:t>（5）认真做好善后工作，及时总结经验教训，并在事件结束后一周内书面报告县处置民族宗教群体性事件应急指挥部。</w:t>
      </w:r>
    </w:p>
    <w:p w14:paraId="0ED87568">
      <w:pPr>
        <w:pStyle w:val="3"/>
        <w:ind w:firstLine="0" w:firstLineChars="0"/>
        <w:rPr>
          <w:rFonts w:ascii="Times New Roman" w:hAnsi="Times New Roman" w:cs="Times New Roman"/>
          <w:sz w:val="32"/>
        </w:rPr>
      </w:pPr>
      <w:r>
        <w:rPr>
          <w:rFonts w:ascii="Times New Roman" w:hAnsi="Times New Roman" w:cs="Times New Roman"/>
          <w:sz w:val="32"/>
        </w:rPr>
        <w:t>现场指挥部组成及职责</w:t>
      </w:r>
    </w:p>
    <w:p w14:paraId="069ED834">
      <w:pPr>
        <w:ind w:firstLine="632"/>
        <w:rPr>
          <w:rFonts w:ascii="Times New Roman" w:hAnsi="Times New Roman" w:cs="Times New Roman"/>
          <w:sz w:val="32"/>
        </w:rPr>
      </w:pPr>
      <w:r>
        <w:rPr>
          <w:rFonts w:ascii="Times New Roman" w:hAnsi="Times New Roman" w:cs="Times New Roman"/>
          <w:sz w:val="32"/>
        </w:rPr>
        <w:t>当发生民族宗教突发事件时，根据突发事件性质及响应级别，成立现场指挥部。现场指挥部总指挥由县处置民族宗教群体性事件应急指挥部总指挥或指定负责同志担任。</w:t>
      </w:r>
    </w:p>
    <w:p w14:paraId="006441BF">
      <w:pPr>
        <w:ind w:firstLine="632"/>
        <w:rPr>
          <w:rFonts w:ascii="Times New Roman" w:hAnsi="Times New Roman" w:cs="Times New Roman"/>
          <w:sz w:val="32"/>
        </w:rPr>
      </w:pPr>
      <w:r>
        <w:rPr>
          <w:rFonts w:ascii="Times New Roman" w:hAnsi="Times New Roman" w:cs="Times New Roman"/>
          <w:sz w:val="32"/>
        </w:rPr>
        <w:t>县处置民族宗教群体性事件应急指挥部各成员单位在应急状态下，要服从统一调度和指挥，做好民族群众代表、宗教界人士的思想工作，引导他们积极配合政府做好参与人员的说服教育工作。相关人员要严格遵守保密制度，不得将保密内容向外泄露，以免影响社会稳定。根据民族事务和宗教方面群体性突发事件发生的实际情况，现场指挥部成立以下专业处置组进行现场处置。</w:t>
      </w:r>
    </w:p>
    <w:p w14:paraId="61553E8F">
      <w:pPr>
        <w:ind w:firstLine="634"/>
        <w:rPr>
          <w:rFonts w:ascii="Times New Roman" w:hAnsi="Times New Roman" w:cs="Times New Roman"/>
          <w:sz w:val="32"/>
        </w:rPr>
      </w:pPr>
      <w:r>
        <w:rPr>
          <w:rFonts w:ascii="Times New Roman" w:hAnsi="Times New Roman" w:cs="Times New Roman"/>
          <w:b/>
          <w:bCs/>
          <w:sz w:val="32"/>
        </w:rPr>
        <w:t>综合协调组：</w:t>
      </w:r>
      <w:r>
        <w:rPr>
          <w:rFonts w:ascii="Times New Roman" w:hAnsi="Times New Roman" w:cs="Times New Roman"/>
          <w:sz w:val="32"/>
        </w:rPr>
        <w:t>由县委统战部牵头，成员包括县应急管理局、县民族宗教事务局、县公安局、事发地乡镇人民政府等单位，主要负责及时传达上级单位关于群体性突发事件的领导批示、协调各专业组开展群体性突发事件处置工作等。</w:t>
      </w:r>
    </w:p>
    <w:p w14:paraId="028546B9">
      <w:pPr>
        <w:pStyle w:val="11"/>
        <w:ind w:firstLine="634"/>
        <w:rPr>
          <w:rFonts w:ascii="Times New Roman" w:hAnsi="Times New Roman" w:cs="Times New Roman"/>
          <w:sz w:val="32"/>
        </w:rPr>
      </w:pPr>
      <w:r>
        <w:rPr>
          <w:rFonts w:ascii="Times New Roman" w:hAnsi="Times New Roman" w:cs="Times New Roman"/>
          <w:b/>
          <w:bCs/>
          <w:sz w:val="32"/>
        </w:rPr>
        <w:t>安全保卫及交通管制组：</w:t>
      </w:r>
      <w:r>
        <w:rPr>
          <w:rFonts w:ascii="Times New Roman" w:hAnsi="Times New Roman" w:cs="Times New Roman"/>
          <w:sz w:val="32"/>
        </w:rPr>
        <w:t>由县公安局牵头，成员包括交管部门、乡镇派出所等单位，主要负责迅速对突发事件现场及周边地区和道路进行警戒、实行交通管制、禁止无关人员和无关车辆进入危险区域，维护群体性突发事件现场交通运输秩序，保障应急群体性突发事件处置指挥部工作的正常开展。</w:t>
      </w:r>
    </w:p>
    <w:p w14:paraId="64E86576">
      <w:pPr>
        <w:pStyle w:val="11"/>
        <w:ind w:firstLine="634"/>
        <w:rPr>
          <w:rFonts w:ascii="Times New Roman" w:hAnsi="Times New Roman" w:cs="Times New Roman"/>
          <w:sz w:val="32"/>
        </w:rPr>
      </w:pPr>
      <w:r>
        <w:rPr>
          <w:rFonts w:ascii="Times New Roman" w:hAnsi="Times New Roman" w:cs="Times New Roman"/>
          <w:b/>
          <w:bCs/>
          <w:sz w:val="32"/>
        </w:rPr>
        <w:t>群众疏导组：</w:t>
      </w:r>
      <w:r>
        <w:rPr>
          <w:rFonts w:ascii="Times New Roman" w:hAnsi="Times New Roman" w:cs="Times New Roman"/>
          <w:sz w:val="32"/>
        </w:rPr>
        <w:t>由县民族宗教事务局牵头，成员包括事发地乡镇人民政府、县司法局、乡镇派出所等单位，主要负责群体性突发事件现场群众的防护指导，引导群众有秩序地撤离，组织好特殊人群的疏散安置。</w:t>
      </w:r>
    </w:p>
    <w:p w14:paraId="715A0D0E">
      <w:pPr>
        <w:pStyle w:val="11"/>
        <w:ind w:firstLine="634"/>
        <w:rPr>
          <w:rFonts w:ascii="Times New Roman" w:hAnsi="Times New Roman" w:cs="Times New Roman"/>
          <w:sz w:val="32"/>
        </w:rPr>
      </w:pPr>
      <w:r>
        <w:rPr>
          <w:rFonts w:ascii="Times New Roman" w:hAnsi="Times New Roman" w:cs="Times New Roman"/>
          <w:b/>
          <w:bCs/>
          <w:sz w:val="32"/>
        </w:rPr>
        <w:t>医疗救护组：</w:t>
      </w:r>
      <w:r>
        <w:rPr>
          <w:rFonts w:ascii="Times New Roman" w:hAnsi="Times New Roman" w:cs="Times New Roman"/>
          <w:sz w:val="32"/>
        </w:rPr>
        <w:t>由县卫生健康局牵头，成员包括县人民医院、县中医院、各乡镇中心医院等单位，主要负责设立现场医疗急救站、对伤员进行现场分类和急救处理，并及时转送到医院救治，对现场救援人员进行医疗监护。</w:t>
      </w:r>
    </w:p>
    <w:p w14:paraId="6EBA25E7">
      <w:pPr>
        <w:pStyle w:val="11"/>
        <w:ind w:firstLine="634"/>
        <w:rPr>
          <w:rFonts w:ascii="Times New Roman" w:hAnsi="Times New Roman" w:cs="Times New Roman"/>
          <w:sz w:val="32"/>
        </w:rPr>
      </w:pPr>
      <w:r>
        <w:rPr>
          <w:rFonts w:ascii="Times New Roman" w:hAnsi="Times New Roman" w:cs="Times New Roman"/>
          <w:b/>
          <w:bCs/>
          <w:sz w:val="32"/>
        </w:rPr>
        <w:t>善后处理组：</w:t>
      </w:r>
      <w:r>
        <w:rPr>
          <w:rFonts w:ascii="Times New Roman" w:hAnsi="Times New Roman" w:cs="Times New Roman"/>
          <w:sz w:val="32"/>
        </w:rPr>
        <w:t>由事发地乡镇人民政府牵头，成员包括县民族宗教事务局、县司法局、县民政局等单位，主要负责对伤亡人员家属的接待、安抚和慰问工作及伤亡人员善后事宜，做好群众的思想稳定工作，消除不安定因素。</w:t>
      </w:r>
    </w:p>
    <w:p w14:paraId="762883CA">
      <w:pPr>
        <w:pStyle w:val="11"/>
        <w:ind w:firstLine="634"/>
        <w:rPr>
          <w:rFonts w:ascii="Times New Roman" w:hAnsi="Times New Roman" w:cs="Times New Roman"/>
          <w:b/>
          <w:bCs/>
          <w:sz w:val="32"/>
        </w:rPr>
      </w:pPr>
      <w:r>
        <w:rPr>
          <w:rFonts w:ascii="Times New Roman" w:hAnsi="Times New Roman" w:cs="Times New Roman"/>
          <w:b/>
          <w:bCs/>
          <w:sz w:val="32"/>
        </w:rPr>
        <w:t>新闻报道组：</w:t>
      </w:r>
      <w:r>
        <w:rPr>
          <w:rFonts w:ascii="Times New Roman" w:hAnsi="Times New Roman" w:cs="Times New Roman"/>
          <w:sz w:val="32"/>
        </w:rPr>
        <w:t>由县委宣传部牵头，成员包括县民族宗教事务局、县融媒体中心、事发地乡镇人民政府等单位，主要负责民族宗教群体性突发事件信息的统一发布，及时向社会发布有关保护措施的紧急公告，播放疏散词，正确引导社会舆论。</w:t>
      </w:r>
    </w:p>
    <w:p w14:paraId="37697256">
      <w:pPr>
        <w:pStyle w:val="2"/>
        <w:numPr>
          <w:ilvl w:val="0"/>
          <w:numId w:val="229"/>
        </w:numPr>
        <w:tabs>
          <w:tab w:val="left" w:pos="0"/>
        </w:tabs>
        <w:ind w:firstLine="0" w:firstLineChars="0"/>
        <w:rPr>
          <w:rFonts w:ascii="Times New Roman" w:hAnsi="Times New Roman" w:cs="Times New Roman"/>
          <w:sz w:val="32"/>
        </w:rPr>
      </w:pPr>
      <w:r>
        <w:rPr>
          <w:rFonts w:ascii="Times New Roman" w:hAnsi="Times New Roman" w:cs="Times New Roman"/>
          <w:sz w:val="32"/>
        </w:rPr>
        <w:t>预防和预警机制</w:t>
      </w:r>
    </w:p>
    <w:p w14:paraId="29F2790C">
      <w:pPr>
        <w:pStyle w:val="3"/>
        <w:ind w:firstLine="0" w:firstLineChars="0"/>
        <w:rPr>
          <w:rFonts w:ascii="Times New Roman" w:hAnsi="Times New Roman" w:cs="Times New Roman"/>
          <w:sz w:val="32"/>
        </w:rPr>
      </w:pPr>
      <w:r>
        <w:rPr>
          <w:rFonts w:ascii="Times New Roman" w:hAnsi="Times New Roman" w:cs="Times New Roman"/>
          <w:sz w:val="32"/>
        </w:rPr>
        <w:t>预防预警信息</w:t>
      </w:r>
    </w:p>
    <w:p w14:paraId="5D9D3527">
      <w:pPr>
        <w:ind w:firstLine="632"/>
        <w:rPr>
          <w:rFonts w:ascii="Times New Roman" w:hAnsi="Times New Roman" w:cs="Times New Roman"/>
          <w:sz w:val="32"/>
        </w:rPr>
      </w:pPr>
      <w:r>
        <w:rPr>
          <w:rFonts w:ascii="Times New Roman" w:hAnsi="Times New Roman" w:cs="Times New Roman"/>
          <w:sz w:val="32"/>
        </w:rPr>
        <w:t>县民族宗教事务局要建立高效、灵敏的情报信息网络，加强对社会不稳定因素的掌握和研判，逐步形成完善的预警工作机制。对可能发生大规模民族宗教突发事件的信息，特别是苗头性信息进行全面评估和预测，做到早发现、早报告、早控制、早解决。要特别强化情报信息工作，扩大信息收集的范围，增强信息分析的深度和广度，提高信息传报的效率，报送信息必须及时、客观、全面、准确，不得瞒报、谎报、缓报。</w:t>
      </w:r>
    </w:p>
    <w:p w14:paraId="4BD5FC2B">
      <w:pPr>
        <w:ind w:firstLine="632"/>
        <w:rPr>
          <w:rFonts w:ascii="Times New Roman" w:hAnsi="Times New Roman" w:cs="Times New Roman"/>
          <w:sz w:val="32"/>
        </w:rPr>
      </w:pPr>
      <w:r>
        <w:rPr>
          <w:rFonts w:ascii="Times New Roman" w:hAnsi="Times New Roman" w:cs="Times New Roman"/>
          <w:sz w:val="32"/>
        </w:rPr>
        <w:t>各乡镇接到预警信息后迅速核实情况，情况属实的，事发地乡镇人民政府在迅速上报信息的同时，要根据职责和规定的权限启动各自的应急预案，并考虑事件可能的方式、规模、影响，立即拟定相应工作措施，及时、有效地开展先期处置，控制事态发展，将事件消除在萌芽状态。同时，根据防控情况及时调整措施，并视情安排人员、物资、资金和技术装备，防止事态扩大。</w:t>
      </w:r>
    </w:p>
    <w:p w14:paraId="68526614">
      <w:pPr>
        <w:pStyle w:val="3"/>
        <w:ind w:firstLine="0" w:firstLineChars="0"/>
        <w:rPr>
          <w:rFonts w:ascii="Times New Roman" w:hAnsi="Times New Roman" w:cs="Times New Roman"/>
          <w:sz w:val="32"/>
        </w:rPr>
      </w:pPr>
      <w:r>
        <w:rPr>
          <w:rFonts w:ascii="Times New Roman" w:hAnsi="Times New Roman" w:cs="Times New Roman"/>
          <w:sz w:val="32"/>
        </w:rPr>
        <w:t>预防预警行动</w:t>
      </w:r>
    </w:p>
    <w:p w14:paraId="17489D7F">
      <w:pPr>
        <w:pStyle w:val="4"/>
        <w:numPr>
          <w:ilvl w:val="2"/>
          <w:numId w:val="229"/>
        </w:numPr>
        <w:tabs>
          <w:tab w:val="left" w:pos="0"/>
        </w:tabs>
        <w:ind w:firstLine="0" w:firstLineChars="0"/>
        <w:rPr>
          <w:rFonts w:ascii="Times New Roman" w:hAnsi="Times New Roman" w:cs="Times New Roman"/>
          <w:sz w:val="32"/>
        </w:rPr>
      </w:pPr>
      <w:r>
        <w:rPr>
          <w:rFonts w:ascii="Times New Roman" w:hAnsi="Times New Roman" w:cs="Times New Roman"/>
          <w:sz w:val="32"/>
        </w:rPr>
        <w:t>预测</w:t>
      </w:r>
    </w:p>
    <w:p w14:paraId="54C740C5">
      <w:pPr>
        <w:pStyle w:val="20"/>
        <w:widowControl/>
        <w:spacing w:beforeAutospacing="0" w:afterAutospacing="0" w:line="555" w:lineRule="atLeast"/>
        <w:ind w:firstLine="612"/>
        <w:rPr>
          <w:rFonts w:ascii="Times New Roman" w:hAnsi="Times New Roman"/>
          <w:color w:val="000000"/>
          <w:sz w:val="31"/>
          <w:szCs w:val="31"/>
        </w:rPr>
      </w:pPr>
      <w:r>
        <w:rPr>
          <w:rFonts w:ascii="Times New Roman" w:hAnsi="Times New Roman"/>
          <w:color w:val="000000"/>
          <w:sz w:val="31"/>
          <w:szCs w:val="31"/>
        </w:rPr>
        <w:t>（1）县处置民族宗教群体性事件应急指挥部办公室负责全县民族宗教突发事件的预防、监测、信息监测网络建设和管理工作，规范信息的获取、报送、分析、发布格式和程序。</w:t>
      </w:r>
    </w:p>
    <w:p w14:paraId="0DED2293">
      <w:pPr>
        <w:pStyle w:val="20"/>
        <w:widowControl/>
        <w:spacing w:beforeAutospacing="0" w:afterAutospacing="0" w:line="555" w:lineRule="atLeast"/>
        <w:ind w:firstLine="612"/>
        <w:rPr>
          <w:rFonts w:ascii="Times New Roman" w:hAnsi="Times New Roman"/>
          <w:color w:val="000000"/>
          <w:sz w:val="31"/>
          <w:szCs w:val="31"/>
        </w:rPr>
      </w:pPr>
      <w:r>
        <w:rPr>
          <w:rFonts w:ascii="Times New Roman" w:hAnsi="Times New Roman"/>
          <w:color w:val="000000"/>
          <w:sz w:val="31"/>
          <w:szCs w:val="31"/>
        </w:rPr>
        <w:t>（2）涉及民族宗教工作的相关单位应根据各自职责分工，及时收集、分析、汇总本单位影响民族宗教方面稳定的信息，收集、整理和研究发生在国内外可能对所属区域、部门、系统造成重大影响的突发事件信息，按照“早发现、早控制、早报告、早处理”的原则，预测可能发生的情况，及时上报县处置民族宗教群体性事件应急指挥部。</w:t>
      </w:r>
    </w:p>
    <w:p w14:paraId="7CD6D8E4">
      <w:pPr>
        <w:pStyle w:val="20"/>
        <w:widowControl/>
        <w:spacing w:beforeAutospacing="0" w:afterAutospacing="0" w:line="555" w:lineRule="atLeast"/>
        <w:ind w:firstLine="612"/>
        <w:rPr>
          <w:rFonts w:ascii="Times New Roman" w:hAnsi="Times New Roman"/>
          <w:color w:val="000000"/>
          <w:sz w:val="31"/>
          <w:szCs w:val="31"/>
        </w:rPr>
      </w:pPr>
      <w:r>
        <w:rPr>
          <w:rFonts w:ascii="Times New Roman" w:hAnsi="Times New Roman"/>
          <w:color w:val="000000"/>
          <w:sz w:val="31"/>
          <w:szCs w:val="31"/>
        </w:rPr>
        <w:t>（3）预测将有一般突发事件发生时，事发地乡镇政府及相关部门应及时了解事态，做好相关预防、处理工作，并于事态平稳或处理完毕后将信息报送县处置民族宗教群体性事件应急指挥部办公室；预测将有较大以上突发事件发生时，事发地乡镇人民政府及相关部门应密切关注事态的发展趋势，并及时上报县处置民族宗教群体性事件应急指挥部办公室。根据事件的发展状况和严重程度，由县处置民族宗教群体性事件应急指挥部及时将信息报县委、县政府，通报各成员单位。</w:t>
      </w:r>
    </w:p>
    <w:p w14:paraId="5D4CF39B">
      <w:pPr>
        <w:pStyle w:val="2"/>
        <w:numPr>
          <w:ilvl w:val="0"/>
          <w:numId w:val="229"/>
        </w:numPr>
        <w:tabs>
          <w:tab w:val="left" w:pos="0"/>
        </w:tabs>
        <w:ind w:firstLine="0" w:firstLineChars="0"/>
        <w:rPr>
          <w:rFonts w:ascii="Times New Roman" w:hAnsi="Times New Roman" w:cs="Times New Roman"/>
          <w:sz w:val="32"/>
        </w:rPr>
      </w:pPr>
      <w:r>
        <w:rPr>
          <w:rFonts w:ascii="Times New Roman" w:hAnsi="Times New Roman" w:cs="Times New Roman"/>
          <w:sz w:val="32"/>
        </w:rPr>
        <w:t>响应启动</w:t>
      </w:r>
    </w:p>
    <w:p w14:paraId="62B903C3">
      <w:pPr>
        <w:pStyle w:val="3"/>
        <w:ind w:firstLine="0" w:firstLineChars="0"/>
        <w:rPr>
          <w:rFonts w:ascii="Times New Roman" w:hAnsi="Times New Roman" w:cs="Times New Roman"/>
          <w:sz w:val="32"/>
        </w:rPr>
      </w:pPr>
      <w:r>
        <w:rPr>
          <w:rFonts w:ascii="Times New Roman" w:hAnsi="Times New Roman" w:cs="Times New Roman"/>
          <w:sz w:val="32"/>
        </w:rPr>
        <w:t>特别重大事件或重大事件</w:t>
      </w:r>
    </w:p>
    <w:p w14:paraId="743E05CF">
      <w:pPr>
        <w:ind w:firstLine="632"/>
        <w:rPr>
          <w:rFonts w:ascii="Times New Roman" w:hAnsi="Times New Roman" w:cs="Times New Roman"/>
          <w:sz w:val="32"/>
        </w:rPr>
      </w:pPr>
      <w:r>
        <w:rPr>
          <w:rFonts w:ascii="Times New Roman" w:hAnsi="Times New Roman" w:cs="Times New Roman"/>
          <w:sz w:val="32"/>
        </w:rPr>
        <w:t>县处置民族宗教群体性事件应急指挥部收到发生特别重大事件或重大事件事件信息后，指挥部总指挥、副总指挥在第一时间赶赴现场，召集指挥部成员单位成立现场指挥部，开展应急处置工作；指挥部办公室立即与事发乡镇人民政府取得联系，对事件信息进一步了解、核实；指挥部办公室及时将信息上报县人民政府；由县人民政府上报至双鸭山市政府并调动全县资源和力量进行紧急处置，并向双鸭山市政府请求援助，待市内援助人员到达及时向其描述现场情况，并配合双鸭山市应急指挥人员参与现场处置工作。</w:t>
      </w:r>
    </w:p>
    <w:p w14:paraId="1DC07606">
      <w:pPr>
        <w:pStyle w:val="3"/>
        <w:ind w:firstLine="0" w:firstLineChars="0"/>
        <w:rPr>
          <w:rFonts w:ascii="Times New Roman" w:hAnsi="Times New Roman" w:cs="Times New Roman"/>
          <w:sz w:val="32"/>
        </w:rPr>
      </w:pPr>
      <w:r>
        <w:rPr>
          <w:rFonts w:ascii="Times New Roman" w:hAnsi="Times New Roman" w:cs="Times New Roman"/>
          <w:sz w:val="32"/>
        </w:rPr>
        <w:t>较大事件</w:t>
      </w:r>
    </w:p>
    <w:p w14:paraId="774E8D7B">
      <w:pPr>
        <w:ind w:firstLine="632"/>
        <w:rPr>
          <w:rFonts w:ascii="Times New Roman" w:hAnsi="Times New Roman" w:cs="Times New Roman"/>
          <w:sz w:val="32"/>
        </w:rPr>
      </w:pPr>
      <w:r>
        <w:rPr>
          <w:rFonts w:ascii="Times New Roman" w:hAnsi="Times New Roman" w:cs="Times New Roman"/>
          <w:sz w:val="32"/>
        </w:rPr>
        <w:t>县处置民族宗教群体性事件应急指挥部收到发生较大事件信息后，责令事发地乡镇人民政府要立即启动应急预案开展应急处置，并立即向县人民政府报告。指挥部总指挥、副总指挥在第一时间赶赴现场，召集指挥部成员单位成立现场指挥部，开展应急处置工作；必要时，向双鸭山市政府请求帮助。</w:t>
      </w:r>
    </w:p>
    <w:p w14:paraId="479232D9">
      <w:pPr>
        <w:pStyle w:val="3"/>
        <w:ind w:firstLine="0" w:firstLineChars="0"/>
        <w:rPr>
          <w:rFonts w:ascii="Times New Roman" w:hAnsi="Times New Roman" w:cs="Times New Roman"/>
          <w:sz w:val="32"/>
        </w:rPr>
      </w:pPr>
      <w:r>
        <w:rPr>
          <w:rFonts w:ascii="Times New Roman" w:hAnsi="Times New Roman" w:cs="Times New Roman"/>
          <w:sz w:val="32"/>
        </w:rPr>
        <w:t>一般事件</w:t>
      </w:r>
    </w:p>
    <w:p w14:paraId="08552D6F">
      <w:pPr>
        <w:ind w:firstLine="632"/>
        <w:rPr>
          <w:rFonts w:ascii="Times New Roman" w:hAnsi="Times New Roman" w:cs="Times New Roman"/>
          <w:sz w:val="32"/>
        </w:rPr>
      </w:pPr>
      <w:r>
        <w:rPr>
          <w:rFonts w:ascii="Times New Roman" w:hAnsi="Times New Roman" w:cs="Times New Roman"/>
          <w:sz w:val="32"/>
        </w:rPr>
        <w:t>县处置民族宗教群体性事件应急指挥部收到发生一般事件信息后，指挥部办公室立即与事发地乡镇人民政府取得联系，对事件信息进一步了解、核实并提出处置建议，由县处置民族宗教群体性事件应急指挥部在请示县人民政府主要领导后，决定启动应急响应程序，要求事发地乡镇人民政府立即启动本级应急预案开展应急处置。</w:t>
      </w:r>
    </w:p>
    <w:p w14:paraId="0412F102">
      <w:pPr>
        <w:pStyle w:val="3"/>
        <w:ind w:firstLine="0" w:firstLineChars="0"/>
        <w:rPr>
          <w:rFonts w:ascii="Times New Roman" w:hAnsi="Times New Roman" w:cs="Times New Roman"/>
          <w:sz w:val="32"/>
        </w:rPr>
      </w:pPr>
      <w:r>
        <w:rPr>
          <w:rFonts w:ascii="Times New Roman" w:hAnsi="Times New Roman" w:cs="Times New Roman"/>
          <w:sz w:val="32"/>
        </w:rPr>
        <w:t>处置措施</w:t>
      </w:r>
    </w:p>
    <w:p w14:paraId="641FAA0F">
      <w:pPr>
        <w:ind w:firstLine="632"/>
        <w:rPr>
          <w:rFonts w:ascii="Times New Roman" w:hAnsi="Times New Roman" w:cs="Times New Roman"/>
          <w:sz w:val="32"/>
        </w:rPr>
      </w:pPr>
      <w:r>
        <w:rPr>
          <w:rFonts w:ascii="Times New Roman" w:hAnsi="Times New Roman" w:cs="Times New Roman"/>
          <w:sz w:val="32"/>
        </w:rPr>
        <w:t>（1）及时收集、研判、报告有关信息，加强事件的发生、发展情况的监测、预报和处置措施的准备，为应急处置提供准确的信息保障。</w:t>
      </w:r>
    </w:p>
    <w:p w14:paraId="01A0DEA0">
      <w:pPr>
        <w:ind w:firstLine="632"/>
        <w:rPr>
          <w:rFonts w:ascii="Times New Roman" w:hAnsi="Times New Roman" w:cs="Times New Roman"/>
          <w:sz w:val="32"/>
        </w:rPr>
      </w:pPr>
      <w:r>
        <w:rPr>
          <w:rFonts w:ascii="Times New Roman" w:hAnsi="Times New Roman" w:cs="Times New Roman"/>
          <w:sz w:val="32"/>
        </w:rPr>
        <w:t>（2）组织民族宗教方面的专家和专业人员跟踪分析评估，预测民宗事件可能性、规模、影响程度和范围，防范突发事件升级。</w:t>
      </w:r>
    </w:p>
    <w:p w14:paraId="36E95089">
      <w:pPr>
        <w:ind w:firstLine="632"/>
        <w:rPr>
          <w:rFonts w:ascii="Times New Roman" w:hAnsi="Times New Roman" w:cs="Times New Roman"/>
          <w:sz w:val="32"/>
        </w:rPr>
      </w:pPr>
      <w:r>
        <w:rPr>
          <w:rFonts w:ascii="Times New Roman" w:hAnsi="Times New Roman" w:cs="Times New Roman"/>
          <w:sz w:val="32"/>
        </w:rPr>
        <w:t>（3）组织营救和救治受害人员，疏散、撤离并妥善安置受到威胁的人员。</w:t>
      </w:r>
    </w:p>
    <w:p w14:paraId="47BF11F7">
      <w:pPr>
        <w:ind w:firstLine="632"/>
        <w:rPr>
          <w:rFonts w:ascii="Times New Roman" w:hAnsi="Times New Roman" w:cs="Times New Roman"/>
          <w:sz w:val="32"/>
        </w:rPr>
      </w:pPr>
      <w:r>
        <w:rPr>
          <w:rFonts w:ascii="Times New Roman" w:hAnsi="Times New Roman" w:cs="Times New Roman"/>
          <w:sz w:val="32"/>
        </w:rPr>
        <w:t>（4）强制隔离持械和使用暴力的当事人，妥善处置现场纠纷和事端，控制事态发展。</w:t>
      </w:r>
    </w:p>
    <w:p w14:paraId="6AB9B7B1">
      <w:pPr>
        <w:ind w:firstLine="632"/>
        <w:rPr>
          <w:rFonts w:ascii="Times New Roman" w:hAnsi="Times New Roman" w:cs="Times New Roman"/>
          <w:sz w:val="32"/>
        </w:rPr>
      </w:pPr>
      <w:r>
        <w:rPr>
          <w:rFonts w:ascii="Times New Roman" w:hAnsi="Times New Roman" w:cs="Times New Roman"/>
          <w:sz w:val="32"/>
        </w:rPr>
        <w:t>（5）控制并保护特定区域内的建筑物、交通工具和燃料（气）供电供水设施设备。</w:t>
      </w:r>
    </w:p>
    <w:p w14:paraId="4C3673C2">
      <w:pPr>
        <w:ind w:firstLine="632"/>
        <w:rPr>
          <w:rFonts w:ascii="Times New Roman" w:hAnsi="Times New Roman" w:cs="Times New Roman"/>
          <w:sz w:val="32"/>
        </w:rPr>
      </w:pPr>
      <w:r>
        <w:rPr>
          <w:rFonts w:ascii="Times New Roman" w:hAnsi="Times New Roman" w:cs="Times New Roman"/>
          <w:sz w:val="32"/>
        </w:rPr>
        <w:t>（6）封锁（或者管制）有关场所、道路，实行有效证件查验通行措施。</w:t>
      </w:r>
    </w:p>
    <w:p w14:paraId="59BD0AAF">
      <w:pPr>
        <w:ind w:firstLine="632"/>
        <w:rPr>
          <w:rFonts w:ascii="Times New Roman" w:hAnsi="Times New Roman" w:cs="Times New Roman"/>
        </w:rPr>
      </w:pPr>
      <w:r>
        <w:rPr>
          <w:rFonts w:ascii="Times New Roman" w:hAnsi="Times New Roman" w:cs="Times New Roman"/>
          <w:sz w:val="32"/>
        </w:rPr>
        <w:t>（7）及时准确、客观公正对民宗事件应急处置的信息进行发布和管理。</w:t>
      </w:r>
    </w:p>
    <w:p w14:paraId="5DDF8456">
      <w:pPr>
        <w:pStyle w:val="3"/>
        <w:ind w:firstLine="0" w:firstLineChars="0"/>
        <w:rPr>
          <w:rFonts w:ascii="Times New Roman" w:hAnsi="Times New Roman" w:cs="Times New Roman"/>
          <w:sz w:val="32"/>
        </w:rPr>
      </w:pPr>
      <w:bookmarkStart w:id="1405" w:name="_Toc14216"/>
      <w:r>
        <w:rPr>
          <w:rFonts w:ascii="Times New Roman" w:hAnsi="Times New Roman" w:cs="Times New Roman"/>
          <w:sz w:val="32"/>
        </w:rPr>
        <w:t>应急处置终止或解除</w:t>
      </w:r>
      <w:bookmarkEnd w:id="1405"/>
    </w:p>
    <w:p w14:paraId="1E5A814F">
      <w:pPr>
        <w:ind w:firstLine="632"/>
        <w:rPr>
          <w:rFonts w:ascii="Times New Roman" w:hAnsi="Times New Roman" w:cs="Times New Roman"/>
          <w:sz w:val="32"/>
        </w:rPr>
      </w:pPr>
      <w:r>
        <w:rPr>
          <w:rFonts w:ascii="Times New Roman" w:hAnsi="Times New Roman" w:cs="Times New Roman"/>
          <w:sz w:val="32"/>
        </w:rPr>
        <w:t>当事件危害得以控制，次生危害因素已经消除，死亡和失踪人员已经查清，受伤人员基本得到救治时，由应急响应启动单位宣布终止或解除旅游事故应急响应，转入后期处置。</w:t>
      </w:r>
    </w:p>
    <w:p w14:paraId="7B8A4E18">
      <w:pPr>
        <w:pStyle w:val="2"/>
        <w:numPr>
          <w:ilvl w:val="0"/>
          <w:numId w:val="229"/>
        </w:numPr>
        <w:tabs>
          <w:tab w:val="left" w:pos="0"/>
        </w:tabs>
        <w:ind w:firstLine="0" w:firstLineChars="0"/>
        <w:rPr>
          <w:rFonts w:ascii="Times New Roman" w:hAnsi="Times New Roman" w:cs="Times New Roman"/>
          <w:sz w:val="32"/>
        </w:rPr>
      </w:pPr>
      <w:bookmarkStart w:id="1406" w:name="_Toc2161"/>
      <w:r>
        <w:rPr>
          <w:rFonts w:ascii="Times New Roman" w:hAnsi="Times New Roman" w:cs="Times New Roman"/>
          <w:sz w:val="32"/>
        </w:rPr>
        <w:t>后期处置</w:t>
      </w:r>
      <w:bookmarkEnd w:id="1406"/>
    </w:p>
    <w:p w14:paraId="689406C5">
      <w:pPr>
        <w:pStyle w:val="3"/>
        <w:ind w:firstLine="0" w:firstLineChars="0"/>
        <w:rPr>
          <w:rFonts w:ascii="Times New Roman" w:hAnsi="Times New Roman" w:cs="Times New Roman"/>
          <w:sz w:val="32"/>
        </w:rPr>
      </w:pPr>
      <w:r>
        <w:rPr>
          <w:rFonts w:ascii="Times New Roman" w:hAnsi="Times New Roman" w:cs="Times New Roman"/>
          <w:sz w:val="32"/>
        </w:rPr>
        <w:t>后期评估</w:t>
      </w:r>
    </w:p>
    <w:p w14:paraId="6BB6676E">
      <w:pPr>
        <w:pStyle w:val="20"/>
        <w:widowControl/>
        <w:spacing w:beforeAutospacing="0" w:afterAutospacing="0" w:line="555" w:lineRule="atLeast"/>
        <w:ind w:firstLine="612"/>
        <w:rPr>
          <w:rFonts w:ascii="Times New Roman" w:hAnsi="Times New Roman" w:eastAsia="微软雅黑"/>
          <w:color w:val="333333"/>
          <w:sz w:val="21"/>
          <w:szCs w:val="21"/>
        </w:rPr>
      </w:pPr>
      <w:r>
        <w:rPr>
          <w:rFonts w:ascii="Times New Roman" w:hAnsi="Times New Roman"/>
          <w:color w:val="000000"/>
          <w:sz w:val="31"/>
          <w:szCs w:val="31"/>
        </w:rPr>
        <w:t>群体性事件应急处置完毕后，公安机关应当在县政府的领导下，组织有关单位对处置情况进行评估。评估内容主要包括：群体性事件时间、地点、原因、人员组成和经过，现场处置情况，指挥机制运行情况，伤亡人员救治情况，采取措施和效果，应急处置过程中存在的问题和取得的经验及改进建议。评估报告应当报告本级政府，并抄报上一级公安机关。</w:t>
      </w:r>
    </w:p>
    <w:p w14:paraId="1F54F528">
      <w:pPr>
        <w:pStyle w:val="3"/>
        <w:ind w:firstLine="0" w:firstLineChars="0"/>
        <w:rPr>
          <w:rFonts w:ascii="Times New Roman" w:hAnsi="Times New Roman" w:cs="Times New Roman"/>
          <w:sz w:val="32"/>
        </w:rPr>
      </w:pPr>
      <w:r>
        <w:rPr>
          <w:rFonts w:ascii="Times New Roman" w:hAnsi="Times New Roman" w:cs="Times New Roman"/>
          <w:sz w:val="32"/>
        </w:rPr>
        <w:t>补偿与赔偿</w:t>
      </w:r>
    </w:p>
    <w:p w14:paraId="717F2376">
      <w:pPr>
        <w:pStyle w:val="20"/>
        <w:widowControl/>
        <w:spacing w:beforeAutospacing="0" w:afterAutospacing="0" w:line="555" w:lineRule="atLeast"/>
        <w:ind w:firstLine="612"/>
        <w:rPr>
          <w:rFonts w:ascii="Times New Roman" w:hAnsi="Times New Roman" w:eastAsia="微软雅黑"/>
          <w:color w:val="333333"/>
          <w:sz w:val="21"/>
          <w:szCs w:val="21"/>
        </w:rPr>
      </w:pPr>
      <w:r>
        <w:rPr>
          <w:rFonts w:ascii="Times New Roman" w:hAnsi="Times New Roman"/>
          <w:color w:val="000000"/>
          <w:sz w:val="31"/>
          <w:szCs w:val="31"/>
        </w:rPr>
        <w:t>因处置群体性事件受到经济损失的，应急指挥部应当在应急响应终止后60日内，依照国家、省、市有关规定予以补偿。单位和个人的物资、运输工具以及相关设施、设备被征集使用的，有关政府应当及时归还并给予合理补偿。不能返还或损坏的应给予赔偿。</w:t>
      </w:r>
    </w:p>
    <w:p w14:paraId="0D3B64FE">
      <w:pPr>
        <w:pStyle w:val="3"/>
        <w:ind w:firstLine="0" w:firstLineChars="0"/>
        <w:rPr>
          <w:rFonts w:ascii="Times New Roman" w:hAnsi="Times New Roman" w:cs="Times New Roman"/>
          <w:sz w:val="32"/>
        </w:rPr>
      </w:pPr>
      <w:r>
        <w:rPr>
          <w:rFonts w:ascii="Times New Roman" w:hAnsi="Times New Roman" w:cs="Times New Roman"/>
          <w:sz w:val="32"/>
        </w:rPr>
        <w:t>抚恤与补助</w:t>
      </w:r>
    </w:p>
    <w:p w14:paraId="444BC5D8">
      <w:pPr>
        <w:pStyle w:val="20"/>
        <w:widowControl/>
        <w:spacing w:beforeAutospacing="0" w:afterAutospacing="0" w:line="555" w:lineRule="atLeast"/>
        <w:ind w:firstLine="612"/>
        <w:rPr>
          <w:rFonts w:ascii="Times New Roman" w:hAnsi="Times New Roman" w:eastAsia="微软雅黑"/>
          <w:color w:val="333333"/>
          <w:sz w:val="21"/>
          <w:szCs w:val="21"/>
        </w:rPr>
      </w:pPr>
      <w:r>
        <w:rPr>
          <w:rFonts w:ascii="Times New Roman" w:hAnsi="Times New Roman"/>
          <w:color w:val="000000"/>
          <w:sz w:val="31"/>
          <w:szCs w:val="31"/>
        </w:rPr>
        <w:t>县政府要组织有关部门，对参与群体性事件应急处置工作中伤残、死亡的人员，按照国家、省、市有关规定给予相应的补助、抚恤。</w:t>
      </w:r>
    </w:p>
    <w:p w14:paraId="0F4D32DC">
      <w:pPr>
        <w:pStyle w:val="2"/>
        <w:numPr>
          <w:ilvl w:val="0"/>
          <w:numId w:val="229"/>
        </w:numPr>
        <w:tabs>
          <w:tab w:val="left" w:pos="0"/>
        </w:tabs>
        <w:ind w:firstLine="0" w:firstLineChars="0"/>
        <w:rPr>
          <w:rFonts w:ascii="Times New Roman" w:hAnsi="Times New Roman" w:cs="Times New Roman"/>
          <w:sz w:val="32"/>
        </w:rPr>
      </w:pPr>
      <w:bookmarkStart w:id="1407" w:name="_Toc15289"/>
      <w:r>
        <w:rPr>
          <w:rFonts w:ascii="Times New Roman" w:hAnsi="Times New Roman" w:cs="Times New Roman"/>
          <w:sz w:val="32"/>
        </w:rPr>
        <w:t>保障措施</w:t>
      </w:r>
      <w:bookmarkEnd w:id="1407"/>
    </w:p>
    <w:p w14:paraId="50B8026F">
      <w:pPr>
        <w:pStyle w:val="3"/>
        <w:ind w:firstLine="0" w:firstLineChars="0"/>
        <w:rPr>
          <w:rFonts w:ascii="Times New Roman" w:hAnsi="Times New Roman" w:cs="Times New Roman"/>
          <w:sz w:val="32"/>
        </w:rPr>
      </w:pPr>
      <w:r>
        <w:rPr>
          <w:rFonts w:ascii="Times New Roman" w:hAnsi="Times New Roman" w:cs="Times New Roman"/>
          <w:sz w:val="32"/>
        </w:rPr>
        <w:t>信息与通信保障</w:t>
      </w:r>
    </w:p>
    <w:p w14:paraId="5AF2E3ED">
      <w:pPr>
        <w:pStyle w:val="20"/>
        <w:widowControl/>
        <w:spacing w:beforeAutospacing="0" w:afterAutospacing="0" w:line="555" w:lineRule="atLeast"/>
        <w:ind w:firstLine="612"/>
        <w:rPr>
          <w:rFonts w:ascii="Times New Roman" w:hAnsi="Times New Roman" w:eastAsia="微软雅黑"/>
          <w:color w:val="333333"/>
          <w:sz w:val="21"/>
          <w:szCs w:val="21"/>
        </w:rPr>
      </w:pPr>
      <w:r>
        <w:rPr>
          <w:rFonts w:ascii="Times New Roman" w:hAnsi="Times New Roman"/>
          <w:color w:val="000000"/>
          <w:sz w:val="31"/>
          <w:szCs w:val="31"/>
        </w:rPr>
        <w:t>（1）建立健全并落实群体性事件信息收集、传递、处理、报送各环节的工作制度，完善各有关部门、单位已有的信息传输渠道，保持信息报送设施特别是现场应急通信系统性能完好，并配备必要的应急备用设施和技术力量，确保信息报送渠道的安全畅通。</w:t>
      </w:r>
    </w:p>
    <w:p w14:paraId="4556284B">
      <w:pPr>
        <w:pStyle w:val="20"/>
        <w:widowControl/>
        <w:spacing w:beforeAutospacing="0" w:afterAutospacing="0" w:line="555" w:lineRule="atLeast"/>
        <w:ind w:firstLine="612"/>
        <w:rPr>
          <w:rFonts w:ascii="Times New Roman" w:hAnsi="Times New Roman" w:eastAsia="微软雅黑"/>
          <w:color w:val="333333"/>
          <w:sz w:val="21"/>
          <w:szCs w:val="21"/>
        </w:rPr>
      </w:pPr>
      <w:r>
        <w:rPr>
          <w:rFonts w:ascii="Times New Roman" w:hAnsi="Times New Roman"/>
          <w:color w:val="000000"/>
          <w:sz w:val="31"/>
          <w:szCs w:val="31"/>
        </w:rPr>
        <w:t>（2）指挥部公室应组织、协调有关电信运营企业做好应急过程中的通信保障工作。</w:t>
      </w:r>
    </w:p>
    <w:p w14:paraId="1B4F3637">
      <w:pPr>
        <w:pStyle w:val="3"/>
        <w:ind w:firstLine="0" w:firstLineChars="0"/>
        <w:rPr>
          <w:rFonts w:ascii="Times New Roman" w:hAnsi="Times New Roman" w:cs="Times New Roman"/>
          <w:sz w:val="32"/>
        </w:rPr>
      </w:pPr>
      <w:r>
        <w:rPr>
          <w:rFonts w:ascii="Times New Roman" w:hAnsi="Times New Roman" w:cs="Times New Roman"/>
          <w:sz w:val="32"/>
        </w:rPr>
        <w:t>应急队伍保障</w:t>
      </w:r>
    </w:p>
    <w:p w14:paraId="5402F8B9">
      <w:pPr>
        <w:pStyle w:val="20"/>
        <w:widowControl/>
        <w:spacing w:beforeAutospacing="0" w:afterAutospacing="0" w:line="555" w:lineRule="atLeast"/>
        <w:ind w:firstLine="612"/>
        <w:rPr>
          <w:rFonts w:ascii="Times New Roman" w:hAnsi="Times New Roman" w:eastAsia="微软雅黑"/>
          <w:color w:val="333333"/>
          <w:sz w:val="21"/>
          <w:szCs w:val="21"/>
        </w:rPr>
      </w:pPr>
      <w:r>
        <w:rPr>
          <w:rFonts w:ascii="Times New Roman" w:hAnsi="Times New Roman"/>
          <w:color w:val="000000"/>
          <w:sz w:val="31"/>
          <w:szCs w:val="31"/>
        </w:rPr>
        <w:t>群体性事件处置成员单位及相关部门应当建立应急处置预备队伍。群体性事件应急处置预备队伍的组成单位和人员平时由所在部门、单位管理，参加本部门、本单位的工作，在发生群体性事件后，由各级应急指挥部统一调动使用，并按有关应急预案实施应急处置工作。</w:t>
      </w:r>
    </w:p>
    <w:p w14:paraId="2FD21954">
      <w:pPr>
        <w:pStyle w:val="3"/>
        <w:ind w:firstLine="0" w:firstLineChars="0"/>
        <w:rPr>
          <w:rFonts w:ascii="Times New Roman" w:hAnsi="Times New Roman" w:cs="Times New Roman"/>
          <w:sz w:val="32"/>
        </w:rPr>
      </w:pPr>
      <w:r>
        <w:rPr>
          <w:rFonts w:ascii="Times New Roman" w:hAnsi="Times New Roman" w:cs="Times New Roman"/>
          <w:sz w:val="32"/>
        </w:rPr>
        <w:t>现场支援保障</w:t>
      </w:r>
    </w:p>
    <w:p w14:paraId="3FC1074E">
      <w:pPr>
        <w:pStyle w:val="20"/>
        <w:widowControl/>
        <w:spacing w:beforeAutospacing="0" w:afterAutospacing="0" w:line="555" w:lineRule="atLeast"/>
        <w:ind w:firstLine="612"/>
        <w:rPr>
          <w:rFonts w:ascii="Times New Roman" w:hAnsi="Times New Roman" w:eastAsia="微软雅黑"/>
          <w:color w:val="333333"/>
          <w:sz w:val="21"/>
          <w:szCs w:val="21"/>
        </w:rPr>
      </w:pPr>
      <w:r>
        <w:rPr>
          <w:rFonts w:ascii="Times New Roman" w:hAnsi="Times New Roman"/>
          <w:color w:val="000000"/>
          <w:sz w:val="31"/>
          <w:szCs w:val="31"/>
        </w:rPr>
        <w:t>群体性事件处置成员单位和事发地的政府要组织好处置、救援保障工作，保证所需设备、工具等物资及时到位；保证食品、药品、饮用水等生活用品的供应。</w:t>
      </w:r>
    </w:p>
    <w:p w14:paraId="38573DCD">
      <w:pPr>
        <w:pStyle w:val="3"/>
        <w:ind w:firstLine="0" w:firstLineChars="0"/>
        <w:rPr>
          <w:rFonts w:ascii="Times New Roman" w:hAnsi="Times New Roman" w:cs="Times New Roman"/>
          <w:sz w:val="32"/>
        </w:rPr>
      </w:pPr>
      <w:r>
        <w:rPr>
          <w:rFonts w:ascii="Times New Roman" w:hAnsi="Times New Roman" w:cs="Times New Roman"/>
          <w:sz w:val="32"/>
        </w:rPr>
        <w:t>装备保障</w:t>
      </w:r>
    </w:p>
    <w:p w14:paraId="6EAE3E77">
      <w:pPr>
        <w:pStyle w:val="20"/>
        <w:widowControl/>
        <w:spacing w:beforeAutospacing="0" w:afterAutospacing="0" w:line="555" w:lineRule="atLeast"/>
        <w:ind w:firstLine="612"/>
        <w:rPr>
          <w:rFonts w:ascii="Times New Roman" w:hAnsi="Times New Roman" w:eastAsia="微软雅黑"/>
          <w:color w:val="333333"/>
          <w:sz w:val="21"/>
          <w:szCs w:val="21"/>
        </w:rPr>
      </w:pPr>
      <w:r>
        <w:rPr>
          <w:rFonts w:ascii="Times New Roman" w:hAnsi="Times New Roman"/>
          <w:color w:val="000000"/>
          <w:sz w:val="31"/>
          <w:szCs w:val="31"/>
        </w:rPr>
        <w:t>各地应当根据本地应对群体性事件工作的实际需要，建立紧急处置装备储备库，储备相应的紧急处置装备，并负责维护、保养和更新，使之处于完好状态。组织有关部门制定科学合理的物资储备与保障计划，做好装备器材、交通通信工具等物资的储备工作。</w:t>
      </w:r>
    </w:p>
    <w:p w14:paraId="4469958B">
      <w:pPr>
        <w:pStyle w:val="3"/>
        <w:ind w:firstLine="0" w:firstLineChars="0"/>
        <w:rPr>
          <w:rFonts w:ascii="Times New Roman" w:hAnsi="Times New Roman" w:cs="Times New Roman"/>
          <w:sz w:val="32"/>
        </w:rPr>
      </w:pPr>
      <w:r>
        <w:rPr>
          <w:rFonts w:ascii="Times New Roman" w:hAnsi="Times New Roman" w:cs="Times New Roman"/>
          <w:sz w:val="32"/>
        </w:rPr>
        <w:t>经费保障</w:t>
      </w:r>
    </w:p>
    <w:p w14:paraId="2B2E2643">
      <w:pPr>
        <w:pStyle w:val="20"/>
        <w:widowControl/>
        <w:spacing w:beforeAutospacing="0" w:afterAutospacing="0" w:line="555" w:lineRule="atLeast"/>
        <w:ind w:firstLine="612"/>
        <w:rPr>
          <w:rFonts w:ascii="Times New Roman" w:hAnsi="Times New Roman" w:eastAsia="微软雅黑"/>
          <w:color w:val="333333"/>
          <w:sz w:val="21"/>
          <w:szCs w:val="21"/>
        </w:rPr>
      </w:pPr>
      <w:r>
        <w:rPr>
          <w:rFonts w:ascii="Times New Roman" w:hAnsi="Times New Roman"/>
          <w:color w:val="000000"/>
          <w:sz w:val="31"/>
          <w:szCs w:val="31"/>
        </w:rPr>
        <w:t>预防和处置群体性事件及疏散、安置参与人员所需经费纳入各级财政预算保障范围。县财政局根据我县处置群体性事件的需要和上级财政部门有关突发事件财政保障的规定，组织指导各地财政部门按照财政分级负担原则，为应急处置工作提供必要的资金保障。</w:t>
      </w:r>
    </w:p>
    <w:p w14:paraId="1EED9A16">
      <w:pPr>
        <w:pStyle w:val="3"/>
        <w:ind w:firstLine="0" w:firstLineChars="0"/>
        <w:rPr>
          <w:rFonts w:ascii="Times New Roman" w:hAnsi="Times New Roman" w:cs="Times New Roman"/>
          <w:sz w:val="32"/>
        </w:rPr>
      </w:pPr>
      <w:r>
        <w:rPr>
          <w:rFonts w:ascii="Times New Roman" w:hAnsi="Times New Roman" w:cs="Times New Roman"/>
          <w:sz w:val="32"/>
        </w:rPr>
        <w:t>培训保障</w:t>
      </w:r>
    </w:p>
    <w:p w14:paraId="2CBDAFED">
      <w:pPr>
        <w:pStyle w:val="20"/>
        <w:widowControl/>
        <w:spacing w:beforeAutospacing="0" w:afterAutospacing="0" w:line="555" w:lineRule="atLeast"/>
        <w:ind w:firstLine="612"/>
        <w:rPr>
          <w:rFonts w:ascii="Times New Roman" w:hAnsi="Times New Roman" w:eastAsia="微软雅黑"/>
          <w:color w:val="333333"/>
          <w:sz w:val="21"/>
          <w:szCs w:val="21"/>
        </w:rPr>
      </w:pPr>
      <w:r>
        <w:rPr>
          <w:rFonts w:ascii="Times New Roman" w:hAnsi="Times New Roman"/>
          <w:color w:val="000000"/>
          <w:sz w:val="31"/>
          <w:szCs w:val="31"/>
        </w:rPr>
        <w:t>指挥部办公室应当积极组织开展应对群体性事件现场指挥员及队伍的指挥和技能培训，定期进行应急模拟综合演练，提高各单位协同处置、合成作战和快速反应能力，进一步增强群体性事件的应急处置能力，形成较为完善和规范的处置群体性事件的工作机制。</w:t>
      </w:r>
    </w:p>
    <w:p w14:paraId="0C833B39">
      <w:pPr>
        <w:pStyle w:val="20"/>
        <w:widowControl/>
        <w:spacing w:beforeAutospacing="0" w:afterAutospacing="0" w:line="555" w:lineRule="atLeast"/>
        <w:ind w:firstLine="612"/>
        <w:rPr>
          <w:rFonts w:ascii="Times New Roman" w:hAnsi="Times New Roman" w:eastAsia="微软雅黑"/>
          <w:color w:val="333333"/>
          <w:sz w:val="21"/>
          <w:szCs w:val="21"/>
        </w:rPr>
      </w:pPr>
      <w:r>
        <w:rPr>
          <w:rFonts w:ascii="Times New Roman" w:hAnsi="Times New Roman"/>
          <w:color w:val="000000"/>
          <w:sz w:val="31"/>
          <w:szCs w:val="31"/>
        </w:rPr>
        <w:t>培训的内容应当包括：</w:t>
      </w:r>
    </w:p>
    <w:p w14:paraId="4DFD7FB6">
      <w:pPr>
        <w:pStyle w:val="20"/>
        <w:widowControl/>
        <w:spacing w:beforeAutospacing="0" w:afterAutospacing="0" w:line="555" w:lineRule="atLeast"/>
        <w:ind w:firstLine="612"/>
        <w:rPr>
          <w:rFonts w:ascii="Times New Roman" w:hAnsi="Times New Roman" w:eastAsia="微软雅黑"/>
          <w:color w:val="333333"/>
          <w:sz w:val="21"/>
          <w:szCs w:val="21"/>
        </w:rPr>
      </w:pPr>
      <w:r>
        <w:rPr>
          <w:rFonts w:ascii="Times New Roman" w:hAnsi="Times New Roman"/>
          <w:color w:val="000000"/>
          <w:sz w:val="31"/>
          <w:szCs w:val="31"/>
        </w:rPr>
        <w:t>（1）与群体性事件处置有关的法律、法规、规章和规定；</w:t>
      </w:r>
    </w:p>
    <w:p w14:paraId="2D86D0C2">
      <w:pPr>
        <w:pStyle w:val="20"/>
        <w:widowControl/>
        <w:spacing w:beforeAutospacing="0" w:afterAutospacing="0" w:line="555" w:lineRule="atLeast"/>
        <w:ind w:firstLine="612"/>
        <w:rPr>
          <w:rFonts w:ascii="Times New Roman" w:hAnsi="Times New Roman" w:eastAsia="微软雅黑"/>
          <w:color w:val="333333"/>
          <w:sz w:val="21"/>
          <w:szCs w:val="21"/>
        </w:rPr>
      </w:pPr>
      <w:r>
        <w:rPr>
          <w:rFonts w:ascii="Times New Roman" w:hAnsi="Times New Roman"/>
          <w:color w:val="000000"/>
          <w:sz w:val="31"/>
          <w:szCs w:val="31"/>
        </w:rPr>
        <w:t>（2）处置群体性事件现场指挥员指挥能力；</w:t>
      </w:r>
    </w:p>
    <w:p w14:paraId="016339F7">
      <w:pPr>
        <w:pStyle w:val="20"/>
        <w:widowControl/>
        <w:spacing w:beforeAutospacing="0" w:afterAutospacing="0" w:line="555" w:lineRule="atLeast"/>
        <w:ind w:firstLine="612"/>
        <w:rPr>
          <w:rFonts w:ascii="Times New Roman" w:hAnsi="Times New Roman" w:eastAsia="微软雅黑"/>
          <w:color w:val="333333"/>
          <w:sz w:val="21"/>
          <w:szCs w:val="21"/>
        </w:rPr>
      </w:pPr>
      <w:r>
        <w:rPr>
          <w:rFonts w:ascii="Times New Roman" w:hAnsi="Times New Roman"/>
          <w:color w:val="000000"/>
          <w:sz w:val="31"/>
          <w:szCs w:val="31"/>
        </w:rPr>
        <w:t>（3）处置群体性事件战术；</w:t>
      </w:r>
    </w:p>
    <w:p w14:paraId="5EF92898">
      <w:pPr>
        <w:pStyle w:val="20"/>
        <w:widowControl/>
        <w:spacing w:beforeAutospacing="0" w:afterAutospacing="0" w:line="555" w:lineRule="atLeast"/>
        <w:ind w:firstLine="612"/>
        <w:rPr>
          <w:rFonts w:ascii="Times New Roman" w:hAnsi="Times New Roman" w:eastAsia="微软雅黑"/>
          <w:color w:val="333333"/>
          <w:sz w:val="21"/>
          <w:szCs w:val="21"/>
        </w:rPr>
      </w:pPr>
      <w:r>
        <w:rPr>
          <w:rFonts w:ascii="Times New Roman" w:hAnsi="Times New Roman"/>
          <w:color w:val="000000"/>
          <w:sz w:val="31"/>
          <w:szCs w:val="31"/>
        </w:rPr>
        <w:t>（4）个人安全防护知识；</w:t>
      </w:r>
    </w:p>
    <w:p w14:paraId="2EE00754">
      <w:pPr>
        <w:pStyle w:val="20"/>
        <w:widowControl/>
        <w:spacing w:beforeAutospacing="0" w:afterAutospacing="0" w:line="555" w:lineRule="atLeast"/>
        <w:ind w:firstLine="612"/>
        <w:rPr>
          <w:rFonts w:ascii="Times New Roman" w:hAnsi="Times New Roman" w:eastAsia="微软雅黑"/>
          <w:color w:val="333333"/>
          <w:sz w:val="21"/>
          <w:szCs w:val="21"/>
        </w:rPr>
      </w:pPr>
      <w:r>
        <w:rPr>
          <w:rFonts w:ascii="Times New Roman" w:hAnsi="Times New Roman"/>
          <w:color w:val="000000"/>
          <w:sz w:val="31"/>
          <w:szCs w:val="31"/>
        </w:rPr>
        <w:t>（5）处置方法和步骤。</w:t>
      </w:r>
    </w:p>
    <w:p w14:paraId="7F579CDA">
      <w:pPr>
        <w:pStyle w:val="3"/>
        <w:ind w:firstLine="0" w:firstLineChars="0"/>
        <w:rPr>
          <w:rFonts w:ascii="Times New Roman" w:hAnsi="Times New Roman" w:cs="Times New Roman"/>
          <w:sz w:val="32"/>
        </w:rPr>
      </w:pPr>
      <w:r>
        <w:rPr>
          <w:rFonts w:ascii="Times New Roman" w:hAnsi="Times New Roman" w:cs="Times New Roman"/>
          <w:sz w:val="32"/>
        </w:rPr>
        <w:t>社会公众的宣传教育</w:t>
      </w:r>
    </w:p>
    <w:p w14:paraId="32B4BB64">
      <w:pPr>
        <w:pStyle w:val="20"/>
        <w:widowControl/>
        <w:spacing w:beforeAutospacing="0" w:afterAutospacing="0" w:line="555" w:lineRule="atLeast"/>
        <w:ind w:firstLine="612"/>
        <w:rPr>
          <w:rFonts w:ascii="Times New Roman" w:hAnsi="Times New Roman" w:eastAsia="微软雅黑"/>
          <w:color w:val="333333"/>
          <w:sz w:val="21"/>
          <w:szCs w:val="21"/>
        </w:rPr>
      </w:pPr>
      <w:r>
        <w:rPr>
          <w:rFonts w:ascii="Times New Roman" w:hAnsi="Times New Roman"/>
          <w:color w:val="000000"/>
          <w:sz w:val="31"/>
          <w:szCs w:val="31"/>
        </w:rPr>
        <w:t>指挥部办公室应当组织有关部门，利用广播、电视、报刊、网络等媒体，对社会公众广泛宣传县委、县政府的方针、政策。特别是在重大活动期间、重大政策措施出台前后和敏感时期，要加强宣传工作，提高群众的心理承受能力。</w:t>
      </w:r>
    </w:p>
    <w:p w14:paraId="73501639">
      <w:pPr>
        <w:pStyle w:val="2"/>
        <w:numPr>
          <w:ilvl w:val="0"/>
          <w:numId w:val="229"/>
        </w:numPr>
        <w:tabs>
          <w:tab w:val="left" w:pos="0"/>
        </w:tabs>
        <w:ind w:firstLine="0" w:firstLineChars="0"/>
        <w:rPr>
          <w:rFonts w:ascii="Times New Roman" w:hAnsi="Times New Roman" w:cs="Times New Roman"/>
          <w:sz w:val="32"/>
        </w:rPr>
      </w:pPr>
      <w:bookmarkStart w:id="1408" w:name="_Toc30872"/>
      <w:r>
        <w:rPr>
          <w:rFonts w:ascii="Times New Roman" w:hAnsi="Times New Roman" w:cs="Times New Roman"/>
          <w:sz w:val="32"/>
        </w:rPr>
        <w:t>预案管理</w:t>
      </w:r>
      <w:bookmarkEnd w:id="1408"/>
    </w:p>
    <w:p w14:paraId="4B519058">
      <w:pPr>
        <w:pStyle w:val="3"/>
        <w:ind w:firstLine="0" w:firstLineChars="0"/>
        <w:rPr>
          <w:rFonts w:ascii="Times New Roman" w:hAnsi="Times New Roman" w:cs="Times New Roman"/>
          <w:sz w:val="32"/>
        </w:rPr>
      </w:pPr>
      <w:bookmarkStart w:id="1409" w:name="_Toc3966"/>
      <w:r>
        <w:rPr>
          <w:rFonts w:ascii="Times New Roman" w:hAnsi="Times New Roman" w:cs="Times New Roman"/>
          <w:sz w:val="32"/>
        </w:rPr>
        <w:t>预案更新</w:t>
      </w:r>
      <w:bookmarkEnd w:id="1409"/>
    </w:p>
    <w:p w14:paraId="1A96D320">
      <w:pPr>
        <w:ind w:firstLine="632"/>
        <w:rPr>
          <w:rFonts w:ascii="Times New Roman" w:hAnsi="Times New Roman" w:cs="Times New Roman"/>
          <w:sz w:val="32"/>
        </w:rPr>
      </w:pPr>
      <w:r>
        <w:rPr>
          <w:rFonts w:ascii="Times New Roman" w:hAnsi="Times New Roman" w:cs="Times New Roman"/>
          <w:sz w:val="32"/>
        </w:rPr>
        <w:t>县处置民族宗教群体性事件应急指挥部负责组织对预案进行评估，原则上每3年对本预案评审一次，并按程序进行修订。</w:t>
      </w:r>
    </w:p>
    <w:p w14:paraId="67CAB973">
      <w:pPr>
        <w:ind w:firstLine="632"/>
        <w:rPr>
          <w:rFonts w:ascii="Times New Roman" w:hAnsi="Times New Roman" w:cs="Times New Roman"/>
          <w:sz w:val="32"/>
        </w:rPr>
      </w:pPr>
      <w:r>
        <w:rPr>
          <w:rFonts w:ascii="Times New Roman" w:hAnsi="Times New Roman" w:cs="Times New Roman"/>
          <w:sz w:val="32"/>
        </w:rPr>
        <w:t>本预案有下列情形之一的，应当及时修订：</w:t>
      </w:r>
    </w:p>
    <w:p w14:paraId="286437D7">
      <w:pPr>
        <w:ind w:firstLine="632"/>
        <w:rPr>
          <w:rFonts w:ascii="Times New Roman" w:hAnsi="Times New Roman" w:cs="Times New Roman"/>
          <w:sz w:val="32"/>
        </w:rPr>
      </w:pPr>
      <w:r>
        <w:rPr>
          <w:rFonts w:ascii="Times New Roman" w:hAnsi="Times New Roman" w:cs="Times New Roman"/>
          <w:sz w:val="32"/>
        </w:rPr>
        <w:t>（1）有关法律、行政法规、规章、标准、上位预案中的有关规定发生变化的；</w:t>
      </w:r>
    </w:p>
    <w:p w14:paraId="4DF9E297">
      <w:pPr>
        <w:ind w:firstLine="632"/>
        <w:rPr>
          <w:rFonts w:ascii="Times New Roman" w:hAnsi="Times New Roman" w:cs="Times New Roman"/>
          <w:sz w:val="32"/>
        </w:rPr>
      </w:pPr>
      <w:r>
        <w:rPr>
          <w:rFonts w:ascii="Times New Roman" w:hAnsi="Times New Roman" w:cs="Times New Roman"/>
          <w:sz w:val="32"/>
        </w:rPr>
        <w:t>（2）应急指挥机构及其职责发生重大调整的；</w:t>
      </w:r>
    </w:p>
    <w:p w14:paraId="4B74DB30">
      <w:pPr>
        <w:ind w:firstLine="632"/>
        <w:rPr>
          <w:rFonts w:ascii="Times New Roman" w:hAnsi="Times New Roman" w:cs="Times New Roman"/>
          <w:sz w:val="32"/>
        </w:rPr>
      </w:pPr>
      <w:r>
        <w:rPr>
          <w:rFonts w:ascii="Times New Roman" w:hAnsi="Times New Roman" w:cs="Times New Roman"/>
          <w:sz w:val="32"/>
        </w:rPr>
        <w:t>（3）面临的风险发生重大变化的；</w:t>
      </w:r>
    </w:p>
    <w:p w14:paraId="570093CD">
      <w:pPr>
        <w:ind w:firstLine="632"/>
        <w:rPr>
          <w:rFonts w:ascii="Times New Roman" w:hAnsi="Times New Roman" w:cs="Times New Roman"/>
          <w:sz w:val="32"/>
        </w:rPr>
      </w:pPr>
      <w:r>
        <w:rPr>
          <w:rFonts w:ascii="Times New Roman" w:hAnsi="Times New Roman" w:cs="Times New Roman"/>
          <w:sz w:val="32"/>
        </w:rPr>
        <w:t>（4）重要应急资源发生重大变化的；</w:t>
      </w:r>
    </w:p>
    <w:p w14:paraId="22E17523">
      <w:pPr>
        <w:ind w:firstLine="632"/>
        <w:rPr>
          <w:rFonts w:ascii="Times New Roman" w:hAnsi="Times New Roman" w:cs="Times New Roman"/>
          <w:sz w:val="32"/>
        </w:rPr>
      </w:pPr>
      <w:r>
        <w:rPr>
          <w:rFonts w:ascii="Times New Roman" w:hAnsi="Times New Roman" w:cs="Times New Roman"/>
          <w:sz w:val="32"/>
        </w:rPr>
        <w:t>（5）预案中的其他重要信息发生变化的；</w:t>
      </w:r>
    </w:p>
    <w:p w14:paraId="779FDFFC">
      <w:pPr>
        <w:ind w:firstLine="632"/>
        <w:rPr>
          <w:rFonts w:ascii="Times New Roman" w:hAnsi="Times New Roman" w:cs="Times New Roman"/>
          <w:sz w:val="32"/>
        </w:rPr>
      </w:pPr>
      <w:r>
        <w:rPr>
          <w:rFonts w:ascii="Times New Roman" w:hAnsi="Times New Roman" w:cs="Times New Roman"/>
          <w:sz w:val="32"/>
        </w:rPr>
        <w:t>（6）在突发事件实际应对和应急演练中发现问题需要做出重大调整的；</w:t>
      </w:r>
    </w:p>
    <w:p w14:paraId="09CBBD31">
      <w:pPr>
        <w:ind w:firstLine="632"/>
        <w:rPr>
          <w:rFonts w:ascii="Times New Roman" w:hAnsi="Times New Roman" w:cs="Times New Roman"/>
          <w:sz w:val="32"/>
        </w:rPr>
      </w:pPr>
      <w:r>
        <w:rPr>
          <w:rFonts w:ascii="Times New Roman" w:hAnsi="Times New Roman" w:cs="Times New Roman"/>
          <w:sz w:val="32"/>
        </w:rPr>
        <w:t>（7）应急预案制定单位认为应当修订的其他情况。</w:t>
      </w:r>
    </w:p>
    <w:p w14:paraId="19238B29">
      <w:pPr>
        <w:pStyle w:val="3"/>
        <w:ind w:firstLine="0" w:firstLineChars="0"/>
        <w:rPr>
          <w:rFonts w:ascii="Times New Roman" w:hAnsi="Times New Roman" w:cs="Times New Roman"/>
          <w:sz w:val="32"/>
        </w:rPr>
      </w:pPr>
      <w:r>
        <w:rPr>
          <w:rFonts w:ascii="Times New Roman" w:hAnsi="Times New Roman" w:cs="Times New Roman"/>
          <w:sz w:val="32"/>
        </w:rPr>
        <w:t>预案解释与实施</w:t>
      </w:r>
    </w:p>
    <w:p w14:paraId="5D6C37BE">
      <w:pPr>
        <w:ind w:firstLine="632"/>
        <w:rPr>
          <w:rFonts w:ascii="Times New Roman" w:hAnsi="Times New Roman" w:cs="Times New Roman"/>
          <w:sz w:val="32"/>
        </w:rPr>
      </w:pPr>
      <w:r>
        <w:rPr>
          <w:rFonts w:ascii="Times New Roman" w:hAnsi="Times New Roman" w:cs="Times New Roman"/>
          <w:sz w:val="32"/>
        </w:rPr>
        <w:t>本预案由集贤县处置民族宗教群体性事件应急指挥部办公室负责解释。</w:t>
      </w:r>
    </w:p>
    <w:p w14:paraId="23373657">
      <w:pPr>
        <w:ind w:firstLine="632"/>
        <w:rPr>
          <w:rFonts w:ascii="Times New Roman" w:hAnsi="Times New Roman" w:cs="Times New Roman"/>
          <w:sz w:val="32"/>
        </w:rPr>
      </w:pPr>
      <w:r>
        <w:rPr>
          <w:rFonts w:ascii="Times New Roman" w:hAnsi="Times New Roman" w:cs="Times New Roman"/>
          <w:sz w:val="32"/>
        </w:rPr>
        <w:t>本预案自发布之日起施行。</w:t>
      </w:r>
    </w:p>
    <w:p w14:paraId="190B5BB5">
      <w:pPr>
        <w:ind w:firstLine="632"/>
        <w:rPr>
          <w:rFonts w:ascii="Times New Roman" w:hAnsi="Times New Roman" w:cs="Times New Roman"/>
          <w:sz w:val="32"/>
        </w:rPr>
      </w:pPr>
      <w:r>
        <w:rPr>
          <w:rFonts w:ascii="Times New Roman" w:hAnsi="Times New Roman" w:cs="Times New Roman"/>
          <w:sz w:val="32"/>
        </w:rPr>
        <w:br w:type="page"/>
      </w:r>
    </w:p>
    <w:p w14:paraId="42913810">
      <w:pPr>
        <w:pStyle w:val="2"/>
        <w:numPr>
          <w:ilvl w:val="0"/>
          <w:numId w:val="0"/>
        </w:numPr>
        <w:rPr>
          <w:rFonts w:ascii="Times New Roman" w:hAnsi="Times New Roman" w:cs="Times New Roman"/>
          <w:sz w:val="32"/>
        </w:rPr>
      </w:pPr>
      <w:r>
        <w:rPr>
          <w:rFonts w:ascii="Times New Roman" w:hAnsi="Times New Roman" w:cs="Times New Roman"/>
          <w:sz w:val="32"/>
        </w:rPr>
        <w:t>附件1：民族宗教群体性事件分级标准</w:t>
      </w:r>
    </w:p>
    <w:p w14:paraId="43DC074A">
      <w:pPr>
        <w:pStyle w:val="20"/>
        <w:widowControl/>
        <w:shd w:val="clear" w:color="auto" w:fill="FFFFFF"/>
        <w:spacing w:beforeAutospacing="0" w:afterAutospacing="0" w:line="560" w:lineRule="exact"/>
        <w:ind w:firstLine="632"/>
        <w:rPr>
          <w:rFonts w:ascii="Times New Roman" w:hAnsi="Times New Roman" w:eastAsia="楷体_GB2312"/>
          <w:b/>
          <w:bCs/>
          <w:color w:val="444444"/>
          <w:sz w:val="32"/>
          <w:shd w:val="clear" w:color="auto" w:fill="FFFFFF"/>
        </w:rPr>
      </w:pPr>
      <w:r>
        <w:rPr>
          <w:rFonts w:ascii="Times New Roman" w:hAnsi="Times New Roman" w:eastAsia="楷体_GB2312"/>
          <w:b/>
          <w:bCs/>
          <w:color w:val="444444"/>
          <w:sz w:val="32"/>
          <w:shd w:val="clear" w:color="auto" w:fill="FFFFFF"/>
        </w:rPr>
        <w:t>（一）特别重大事件（Ⅰ级）</w:t>
      </w:r>
    </w:p>
    <w:p w14:paraId="1C345F9D">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凡符合下列情形之一的，为特别重大事件：</w:t>
      </w:r>
    </w:p>
    <w:p w14:paraId="19231100">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（1）因不尊重少数民族风俗习惯和宗教信仰引发的串联、聚集、声援、游行，并造成重大影响的事件；</w:t>
      </w:r>
    </w:p>
    <w:p w14:paraId="1B60FD91">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（2）因经济、民事等纠纷引发的涉及少数民族或者信教群众5000人以上的集体上访、请愿、聚集和游行的事件；</w:t>
      </w:r>
    </w:p>
    <w:p w14:paraId="78D21A7E">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（3）不同民族之间、某一少数民族内部或者信教群众500人以上的聚众械斗并造成10人以上死亡或者30人以上受伤的事件；</w:t>
      </w:r>
    </w:p>
    <w:p w14:paraId="0909B7D9">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（4）涉及少数民族或者信教群众500人以上的堵塞交通要道、打砸抢烧和冲击党政机关等要害部门、重要场所的事件；</w:t>
      </w:r>
    </w:p>
    <w:p w14:paraId="2D1CDEEA">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（5）国内外敌对势力的破坏活动使各民族群众生命财产遭受特大损失的事件；</w:t>
      </w:r>
    </w:p>
    <w:p w14:paraId="0337EFB0">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（6）其他可能对民族团结和宗教领域稳定造成重大影响和严重后果的事件等。</w:t>
      </w:r>
    </w:p>
    <w:p w14:paraId="6F764B07">
      <w:pPr>
        <w:pStyle w:val="20"/>
        <w:widowControl/>
        <w:shd w:val="clear" w:color="auto" w:fill="FFFFFF"/>
        <w:spacing w:beforeAutospacing="0" w:afterAutospacing="0" w:line="560" w:lineRule="exact"/>
        <w:ind w:firstLine="632"/>
        <w:rPr>
          <w:rFonts w:ascii="Times New Roman" w:hAnsi="Times New Roman" w:eastAsia="楷体_GB2312"/>
          <w:b/>
          <w:bCs/>
          <w:color w:val="444444"/>
          <w:sz w:val="32"/>
          <w:shd w:val="clear" w:color="auto" w:fill="FFFFFF"/>
        </w:rPr>
      </w:pPr>
      <w:r>
        <w:rPr>
          <w:rFonts w:ascii="Times New Roman" w:hAnsi="Times New Roman" w:eastAsia="楷体_GB2312"/>
          <w:b/>
          <w:bCs/>
          <w:color w:val="444444"/>
          <w:sz w:val="32"/>
          <w:shd w:val="clear" w:color="auto" w:fill="FFFFFF"/>
        </w:rPr>
        <w:t>（二）重大事件（Ⅱ级）</w:t>
      </w:r>
    </w:p>
    <w:p w14:paraId="207225FB">
      <w:pPr>
        <w:pStyle w:val="20"/>
        <w:widowControl/>
        <w:shd w:val="clear" w:color="auto" w:fill="FFFFFF"/>
        <w:spacing w:beforeAutospacing="0" w:afterAutospacing="0" w:line="560" w:lineRule="exact"/>
        <w:ind w:firstLine="632"/>
        <w:rPr>
          <w:rFonts w:ascii="Times New Roman" w:hAnsi="Times New Roman"/>
          <w:sz w:val="32"/>
        </w:rPr>
      </w:pPr>
      <w:r>
        <w:rPr>
          <w:rFonts w:ascii="Times New Roman" w:hAnsi="Times New Roman"/>
          <w:sz w:val="32"/>
        </w:rPr>
        <w:t>凡符合下列情形之一的，为重大事件：</w:t>
      </w:r>
    </w:p>
    <w:p w14:paraId="76D9D99C">
      <w:pPr>
        <w:pStyle w:val="20"/>
        <w:widowControl/>
        <w:shd w:val="clear" w:color="auto" w:fill="FFFFFF"/>
        <w:spacing w:beforeAutospacing="0" w:afterAutospacing="0" w:line="560" w:lineRule="exact"/>
        <w:ind w:firstLine="632"/>
        <w:rPr>
          <w:rFonts w:ascii="Times New Roman" w:hAnsi="Times New Roman"/>
          <w:sz w:val="32"/>
        </w:rPr>
      </w:pPr>
      <w:r>
        <w:rPr>
          <w:rFonts w:ascii="Times New Roman" w:hAnsi="Times New Roman"/>
          <w:sz w:val="32"/>
        </w:rPr>
        <w:t>（1）因不尊重少数民族风俗习惯和宗教信仰引发的跨地区串联、聚集、声援、游行，并造成严重影响的事件；</w:t>
      </w:r>
    </w:p>
    <w:p w14:paraId="376FAD67">
      <w:pPr>
        <w:pStyle w:val="20"/>
        <w:widowControl/>
        <w:shd w:val="clear" w:color="auto" w:fill="FFFFFF"/>
        <w:spacing w:beforeAutospacing="0" w:afterAutospacing="0" w:line="560" w:lineRule="exact"/>
        <w:ind w:firstLine="632"/>
        <w:rPr>
          <w:rFonts w:ascii="Times New Roman" w:hAnsi="Times New Roman"/>
          <w:sz w:val="32"/>
        </w:rPr>
      </w:pPr>
      <w:r>
        <w:rPr>
          <w:rFonts w:ascii="Times New Roman" w:hAnsi="Times New Roman"/>
          <w:sz w:val="32"/>
        </w:rPr>
        <w:t>（2）因经济、民事等纠纷引发的涉及少数民族或者信教群众1000人以上5000人以下的集体上访、请愿、聚集和游行的事件；</w:t>
      </w:r>
    </w:p>
    <w:p w14:paraId="2FE9F035">
      <w:pPr>
        <w:pStyle w:val="20"/>
        <w:widowControl/>
        <w:shd w:val="clear" w:color="auto" w:fill="FFFFFF"/>
        <w:spacing w:beforeAutospacing="0" w:afterAutospacing="0" w:line="560" w:lineRule="exact"/>
        <w:ind w:firstLine="632"/>
        <w:rPr>
          <w:rFonts w:ascii="Times New Roman" w:hAnsi="Times New Roman"/>
          <w:sz w:val="32"/>
        </w:rPr>
      </w:pPr>
      <w:r>
        <w:rPr>
          <w:rFonts w:ascii="Times New Roman" w:hAnsi="Times New Roman"/>
          <w:sz w:val="32"/>
        </w:rPr>
        <w:t>（3）不同民族之间、某一少数民族内部或者信教群众200人以上500人以下的聚众械斗并造成3人以上10人以下死亡或者10人以上30人以下受伤的事件；</w:t>
      </w:r>
    </w:p>
    <w:p w14:paraId="7FAA2C2A">
      <w:pPr>
        <w:pStyle w:val="20"/>
        <w:widowControl/>
        <w:shd w:val="clear" w:color="auto" w:fill="FFFFFF"/>
        <w:spacing w:beforeAutospacing="0" w:afterAutospacing="0" w:line="560" w:lineRule="exact"/>
        <w:ind w:firstLine="632"/>
        <w:rPr>
          <w:rFonts w:ascii="Times New Roman" w:hAnsi="Times New Roman"/>
          <w:sz w:val="32"/>
        </w:rPr>
      </w:pPr>
      <w:r>
        <w:rPr>
          <w:rFonts w:ascii="Times New Roman" w:hAnsi="Times New Roman"/>
          <w:sz w:val="32"/>
        </w:rPr>
        <w:t>（4）涉及少数民族或者信教群众300人以上500人以下的堵塞交通要道、打砸抢烧和冲击党政机关等要害部门、重要场所的事件；</w:t>
      </w:r>
    </w:p>
    <w:p w14:paraId="23018B57">
      <w:pPr>
        <w:pStyle w:val="20"/>
        <w:widowControl/>
        <w:shd w:val="clear" w:color="auto" w:fill="FFFFFF"/>
        <w:spacing w:beforeAutospacing="0" w:afterAutospacing="0" w:line="560" w:lineRule="exact"/>
        <w:ind w:firstLine="632"/>
        <w:rPr>
          <w:rFonts w:ascii="Times New Roman" w:hAnsi="Times New Roman"/>
          <w:sz w:val="32"/>
        </w:rPr>
      </w:pPr>
      <w:r>
        <w:rPr>
          <w:rFonts w:ascii="Times New Roman" w:hAnsi="Times New Roman"/>
          <w:sz w:val="32"/>
        </w:rPr>
        <w:t>（5）国内外敌对势力的破坏活动造成的严重威胁各民族群众生命财产安全的事件；</w:t>
      </w:r>
    </w:p>
    <w:p w14:paraId="39474710">
      <w:pPr>
        <w:pStyle w:val="20"/>
        <w:widowControl/>
        <w:shd w:val="clear" w:color="auto" w:fill="FFFFFF"/>
        <w:spacing w:beforeAutospacing="0" w:afterAutospacing="0" w:line="560" w:lineRule="exact"/>
        <w:ind w:firstLine="632"/>
        <w:rPr>
          <w:rFonts w:ascii="Times New Roman" w:hAnsi="Times New Roman"/>
          <w:sz w:val="32"/>
        </w:rPr>
      </w:pPr>
      <w:r>
        <w:rPr>
          <w:rFonts w:ascii="Times New Roman" w:hAnsi="Times New Roman"/>
          <w:sz w:val="32"/>
        </w:rPr>
        <w:t>（6）其他可能对民族团结和宗教领域稳定造成较大影响和后果的事件等。</w:t>
      </w:r>
    </w:p>
    <w:p w14:paraId="7B9F9786">
      <w:pPr>
        <w:pStyle w:val="20"/>
        <w:widowControl/>
        <w:shd w:val="clear" w:color="auto" w:fill="FFFFFF"/>
        <w:spacing w:beforeAutospacing="0" w:afterAutospacing="0" w:line="560" w:lineRule="exact"/>
        <w:ind w:firstLine="632"/>
        <w:rPr>
          <w:rFonts w:ascii="Times New Roman" w:hAnsi="Times New Roman" w:eastAsia="楷体_GB2312"/>
          <w:b/>
          <w:bCs/>
          <w:color w:val="444444"/>
          <w:sz w:val="32"/>
          <w:shd w:val="clear" w:color="auto" w:fill="FFFFFF"/>
        </w:rPr>
      </w:pPr>
      <w:r>
        <w:rPr>
          <w:rFonts w:ascii="Times New Roman" w:hAnsi="Times New Roman" w:eastAsia="楷体_GB2312"/>
          <w:b/>
          <w:bCs/>
          <w:color w:val="444444"/>
          <w:sz w:val="32"/>
          <w:shd w:val="clear" w:color="auto" w:fill="FFFFFF"/>
        </w:rPr>
        <w:t>（三）较大事件（</w:t>
      </w:r>
      <w:r>
        <w:rPr>
          <w:rFonts w:ascii="Times New Roman" w:hAnsi="Times New Roman" w:eastAsia="仿宋"/>
          <w:b/>
          <w:bCs/>
          <w:color w:val="444444"/>
          <w:sz w:val="32"/>
          <w:shd w:val="clear" w:color="auto" w:fill="FFFFFF"/>
          <w:lang w:bidi="ar"/>
        </w:rPr>
        <w:t>Ⅲ</w:t>
      </w:r>
      <w:r>
        <w:rPr>
          <w:rFonts w:ascii="Times New Roman" w:hAnsi="Times New Roman" w:eastAsia="楷体_GB2312"/>
          <w:b/>
          <w:bCs/>
          <w:color w:val="444444"/>
          <w:sz w:val="32"/>
          <w:shd w:val="clear" w:color="auto" w:fill="FFFFFF"/>
        </w:rPr>
        <w:t>级）</w:t>
      </w:r>
    </w:p>
    <w:p w14:paraId="34DBF491">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凡符合下列情形之一的，为较大事件：</w:t>
      </w:r>
    </w:p>
    <w:p w14:paraId="7B098A43">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（1）因不尊重少数民族风俗习惯和宗教信仰引发的造成严重影响的事件；</w:t>
      </w:r>
    </w:p>
    <w:p w14:paraId="1B9041C5">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（2）因经济、民事等纠纷引发的涉及少数民族或者信教群众200人以上1000人以下的集体上访、请愿、聚集和游行的事件；</w:t>
      </w:r>
    </w:p>
    <w:p w14:paraId="39B1BE92">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（3）不同民族之间、某一少数民族内部或者信教群众50人以上200人以下的聚众械斗并造成死亡3人以下、受伤10人以下的事件；</w:t>
      </w:r>
    </w:p>
    <w:p w14:paraId="26815834">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（4）涉及少数民族或者信教群众200人以上300人以下的堵塞交通要道、打砸抢烧和冲击党政机关等要害部门、重要场所的事件；</w:t>
      </w:r>
    </w:p>
    <w:p w14:paraId="24E8197E">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（5）其他可能对民族团结和社会稳定造成影响的事件等。</w:t>
      </w:r>
    </w:p>
    <w:p w14:paraId="16E56911">
      <w:pPr>
        <w:pStyle w:val="20"/>
        <w:widowControl/>
        <w:shd w:val="clear" w:color="auto" w:fill="FFFFFF"/>
        <w:spacing w:beforeAutospacing="0" w:afterAutospacing="0" w:line="560" w:lineRule="exact"/>
        <w:ind w:firstLine="632"/>
        <w:rPr>
          <w:rFonts w:ascii="Times New Roman" w:hAnsi="Times New Roman" w:eastAsia="楷体_GB2312"/>
          <w:b/>
          <w:bCs/>
          <w:color w:val="444444"/>
          <w:sz w:val="32"/>
          <w:shd w:val="clear" w:color="auto" w:fill="FFFFFF"/>
        </w:rPr>
      </w:pPr>
      <w:r>
        <w:rPr>
          <w:rFonts w:ascii="Times New Roman" w:hAnsi="Times New Roman" w:eastAsia="楷体_GB2312"/>
          <w:b/>
          <w:bCs/>
          <w:color w:val="444444"/>
          <w:sz w:val="32"/>
          <w:shd w:val="clear" w:color="auto" w:fill="FFFFFF"/>
        </w:rPr>
        <w:t>（四）一般事件（Ⅳ级）</w:t>
      </w:r>
    </w:p>
    <w:p w14:paraId="4D38FDFC">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凡符合下列情形之一的，为一般事件：</w:t>
      </w:r>
    </w:p>
    <w:p w14:paraId="4E5A876E">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（1）因不尊重少数民族风俗习惯和宗教信仰引发的造成一定影响的事件；</w:t>
      </w:r>
    </w:p>
    <w:p w14:paraId="006DB62C">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（2）因经济、民事等纠纷引发的涉及少数民族或者信教群众100人以上200人以下的集体上访、请愿、聚集和游行的事件；</w:t>
      </w:r>
    </w:p>
    <w:p w14:paraId="39008A8D">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（3）不同民族之间、某一少数民族内部或者信教群众10人以上50人以下的聚众械斗，并造成受伤3人以下的事件；</w:t>
      </w:r>
    </w:p>
    <w:p w14:paraId="3B285C9E">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（4）涉及少数民族或者信教群众20人以下的堵塞交通要道、打砸抢烧和冲击党政机关等要害部门、重要场所的事件；</w:t>
      </w:r>
    </w:p>
    <w:p w14:paraId="2F0A0749">
      <w:pPr>
        <w:spacing w:line="560" w:lineRule="exact"/>
        <w:ind w:firstLine="480" w:firstLineChars="0"/>
        <w:textAlignment w:val="baseline"/>
        <w:rPr>
          <w:rFonts w:ascii="Times New Roman" w:hAnsi="Times New Roman" w:cs="Times New Roman"/>
          <w:sz w:val="32"/>
        </w:rPr>
      </w:pPr>
      <w:r>
        <w:rPr>
          <w:rFonts w:ascii="Times New Roman" w:hAnsi="Times New Roman" w:cs="Times New Roman"/>
          <w:sz w:val="32"/>
        </w:rPr>
        <w:t>（5）其他可能对民族团结和社会稳定造成影响的一般事件等。</w:t>
      </w:r>
    </w:p>
    <w:p w14:paraId="337FF849">
      <w:pPr>
        <w:ind w:firstLine="632"/>
        <w:rPr>
          <w:rFonts w:ascii="Times New Roman" w:hAnsi="Times New Roman" w:cs="Times New Roman"/>
          <w:sz w:val="32"/>
        </w:rPr>
      </w:pPr>
      <w:r>
        <w:rPr>
          <w:rFonts w:ascii="Times New Roman" w:hAnsi="Times New Roman" w:cs="Times New Roman"/>
          <w:sz w:val="32"/>
        </w:rPr>
        <w:t>上述分级标准有关数量的表述中，“以上”含本数，“以下”不含本数。</w:t>
      </w:r>
    </w:p>
    <w:p w14:paraId="5A374BC5">
      <w:pPr>
        <w:pStyle w:val="15"/>
        <w:ind w:left="552" w:firstLine="552"/>
        <w:rPr>
          <w:rFonts w:ascii="Times New Roman" w:hAnsi="Times New Roman" w:cs="Times New Roman"/>
        </w:rPr>
      </w:pPr>
    </w:p>
    <w:p w14:paraId="69A2DB30">
      <w:pPr>
        <w:pStyle w:val="15"/>
        <w:ind w:left="0" w:leftChars="0" w:firstLine="0" w:firstLineChars="0"/>
        <w:rPr>
          <w:rFonts w:ascii="Times New Roman" w:hAnsi="Times New Roman" w:cs="Times New Roman"/>
        </w:rPr>
        <w:sectPr>
          <w:footerReference r:id="rId145" w:type="default"/>
          <w:footerReference r:id="rId146" w:type="even"/>
          <w:pgSz w:w="11906" w:h="16838"/>
          <w:pgMar w:top="2098" w:right="1474" w:bottom="1984" w:left="1587" w:header="624" w:footer="1134" w:gutter="0"/>
          <w:pgNumType w:start="1"/>
          <w:cols w:space="0" w:num="1"/>
          <w:docGrid w:type="linesAndChars" w:linePitch="579" w:charSpace="-842"/>
        </w:sectPr>
      </w:pPr>
    </w:p>
    <w:p w14:paraId="67440AD6">
      <w:pPr>
        <w:spacing w:line="560" w:lineRule="exact"/>
        <w:ind w:firstLine="632"/>
        <w:rPr>
          <w:rFonts w:ascii="Times New Roman" w:hAnsi="Times New Roman" w:cs="Times New Roman"/>
          <w:sz w:val="32"/>
        </w:rPr>
      </w:pPr>
    </w:p>
    <w:p w14:paraId="2E3B78C2">
      <w:pPr>
        <w:spacing w:line="560" w:lineRule="exact"/>
        <w:ind w:firstLine="632"/>
        <w:rPr>
          <w:rFonts w:ascii="Times New Roman" w:hAnsi="Times New Roman" w:cs="Times New Roman"/>
          <w:sz w:val="32"/>
        </w:rPr>
      </w:pPr>
    </w:p>
    <w:p w14:paraId="4B42D4FE">
      <w:pPr>
        <w:pStyle w:val="13"/>
        <w:ind w:firstLine="632"/>
        <w:rPr>
          <w:rFonts w:ascii="Times New Roman" w:hAnsi="Times New Roman" w:cs="Times New Roman"/>
        </w:rPr>
      </w:pPr>
    </w:p>
    <w:p w14:paraId="0291A023">
      <w:pPr>
        <w:spacing w:line="560" w:lineRule="exact"/>
        <w:ind w:firstLine="632"/>
        <w:rPr>
          <w:rFonts w:ascii="Times New Roman" w:hAnsi="Times New Roman" w:cs="Times New Roman"/>
          <w:sz w:val="32"/>
        </w:rPr>
      </w:pPr>
    </w:p>
    <w:p w14:paraId="20D3080A">
      <w:pPr>
        <w:ind w:firstLine="0" w:firstLineChars="0"/>
        <w:jc w:val="center"/>
        <w:rPr>
          <w:rFonts w:ascii="Times New Roman" w:hAnsi="Times New Roman" w:eastAsia="方正小标宋简体" w:cs="Times New Roman"/>
          <w:bCs/>
          <w:color w:val="000000"/>
          <w:spacing w:val="-6"/>
          <w:kern w:val="0"/>
          <w:sz w:val="52"/>
          <w:szCs w:val="52"/>
          <w:lang w:bidi="ar"/>
        </w:rPr>
      </w:pPr>
      <w:r>
        <w:rPr>
          <w:rFonts w:hint="eastAsia" w:ascii="Times New Roman" w:hAnsi="Times New Roman" w:eastAsia="方正小标宋简体" w:cs="Times New Roman"/>
          <w:bCs/>
          <w:color w:val="000000"/>
          <w:spacing w:val="-6"/>
          <w:kern w:val="0"/>
          <w:sz w:val="52"/>
          <w:szCs w:val="52"/>
          <w:lang w:bidi="ar"/>
        </w:rPr>
        <w:t>集贤县处置恐怖袭击事件应急预案</w:t>
      </w:r>
    </w:p>
    <w:p w14:paraId="606FB53C">
      <w:pPr>
        <w:ind w:firstLine="0" w:firstLineChars="0"/>
        <w:jc w:val="center"/>
        <w:rPr>
          <w:rFonts w:ascii="Times New Roman" w:hAnsi="Times New Roman" w:eastAsia="方正小标宋简体" w:cs="Times New Roman"/>
          <w:bCs/>
          <w:color w:val="000000"/>
          <w:spacing w:val="-6"/>
          <w:kern w:val="0"/>
          <w:sz w:val="52"/>
          <w:szCs w:val="52"/>
          <w:lang w:bidi="ar"/>
        </w:rPr>
      </w:pPr>
      <w:r>
        <w:rPr>
          <w:rFonts w:hint="eastAsia" w:ascii="仿宋_GB2312" w:hAnsi="仿宋_GB2312" w:cs="仿宋_GB2312"/>
          <w:bCs/>
          <w:sz w:val="48"/>
          <w:szCs w:val="48"/>
        </w:rPr>
        <w:t>（修订稿）</w:t>
      </w:r>
    </w:p>
    <w:p w14:paraId="10B32417">
      <w:pPr>
        <w:pStyle w:val="11"/>
        <w:ind w:firstLine="0" w:firstLineChars="0"/>
        <w:jc w:val="center"/>
        <w:rPr>
          <w:rFonts w:ascii="Times New Roman" w:hAnsi="Times New Roman" w:eastAsia="黑体" w:cs="Times New Roman"/>
          <w:sz w:val="52"/>
          <w:szCs w:val="52"/>
        </w:rPr>
      </w:pPr>
    </w:p>
    <w:p w14:paraId="443F397A">
      <w:pPr>
        <w:pStyle w:val="11"/>
        <w:ind w:firstLine="0" w:firstLineChars="0"/>
        <w:jc w:val="center"/>
        <w:rPr>
          <w:rFonts w:ascii="Times New Roman" w:hAnsi="Times New Roman" w:eastAsia="黑体" w:cs="Times New Roman"/>
          <w:sz w:val="52"/>
          <w:szCs w:val="52"/>
        </w:rPr>
      </w:pPr>
    </w:p>
    <w:p w14:paraId="316814E2">
      <w:pPr>
        <w:pStyle w:val="11"/>
        <w:ind w:firstLine="0" w:firstLineChars="0"/>
        <w:jc w:val="center"/>
        <w:rPr>
          <w:rFonts w:ascii="Times New Roman" w:hAnsi="Times New Roman" w:eastAsia="黑体" w:cs="Times New Roman"/>
          <w:sz w:val="52"/>
          <w:szCs w:val="52"/>
        </w:rPr>
      </w:pPr>
    </w:p>
    <w:p w14:paraId="24BEB1F6">
      <w:pPr>
        <w:pStyle w:val="11"/>
        <w:ind w:firstLine="0" w:firstLineChars="0"/>
        <w:jc w:val="center"/>
        <w:rPr>
          <w:rFonts w:ascii="Times New Roman" w:hAnsi="Times New Roman" w:eastAsia="黑体" w:cs="Times New Roman"/>
          <w:sz w:val="52"/>
          <w:szCs w:val="52"/>
        </w:rPr>
      </w:pPr>
    </w:p>
    <w:p w14:paraId="1F8088FD">
      <w:pPr>
        <w:pStyle w:val="11"/>
        <w:ind w:firstLine="0" w:firstLineChars="0"/>
        <w:jc w:val="center"/>
        <w:rPr>
          <w:rFonts w:ascii="Times New Roman" w:hAnsi="Times New Roman" w:eastAsia="楷体_GB2312" w:cs="Times New Roman"/>
          <w:spacing w:val="-12"/>
          <w:sz w:val="44"/>
          <w:szCs w:val="44"/>
        </w:rPr>
      </w:pPr>
    </w:p>
    <w:p w14:paraId="15B4DC59">
      <w:pPr>
        <w:pStyle w:val="11"/>
        <w:ind w:firstLine="0" w:firstLineChars="0"/>
        <w:jc w:val="center"/>
        <w:rPr>
          <w:rFonts w:ascii="Times New Roman" w:hAnsi="Times New Roman" w:eastAsia="楷体_GB2312" w:cs="Times New Roman"/>
          <w:spacing w:val="-12"/>
          <w:sz w:val="44"/>
          <w:szCs w:val="44"/>
        </w:rPr>
      </w:pPr>
    </w:p>
    <w:p w14:paraId="18597350">
      <w:pPr>
        <w:pStyle w:val="11"/>
        <w:ind w:firstLine="0" w:firstLineChars="0"/>
        <w:jc w:val="center"/>
        <w:rPr>
          <w:rFonts w:ascii="Times New Roman" w:hAnsi="Times New Roman" w:eastAsia="楷体_GB2312" w:cs="Times New Roman"/>
          <w:spacing w:val="-12"/>
          <w:sz w:val="44"/>
          <w:szCs w:val="44"/>
        </w:rPr>
      </w:pPr>
    </w:p>
    <w:p w14:paraId="5A339961">
      <w:pPr>
        <w:pStyle w:val="11"/>
        <w:ind w:firstLine="0" w:firstLineChars="0"/>
        <w:jc w:val="center"/>
        <w:rPr>
          <w:rFonts w:ascii="Times New Roman" w:hAnsi="Times New Roman" w:eastAsia="楷体_GB2312" w:cs="Times New Roman"/>
          <w:spacing w:val="-12"/>
          <w:sz w:val="44"/>
          <w:szCs w:val="44"/>
        </w:rPr>
      </w:pPr>
    </w:p>
    <w:p w14:paraId="53650C08">
      <w:pPr>
        <w:ind w:firstLine="0" w:firstLineChars="0"/>
        <w:jc w:val="center"/>
        <w:rPr>
          <w:rFonts w:ascii="Times New Roman" w:hAnsi="Times New Roman" w:cs="Times New Roman"/>
          <w:bCs/>
          <w:spacing w:val="-6"/>
          <w:sz w:val="36"/>
          <w:szCs w:val="24"/>
          <w:lang w:bidi="ar"/>
        </w:rPr>
      </w:pPr>
      <w:r>
        <w:rPr>
          <w:rFonts w:ascii="Times New Roman" w:hAnsi="Times New Roman" w:cs="Times New Roman"/>
          <w:bCs/>
          <w:spacing w:val="-6"/>
          <w:sz w:val="36"/>
          <w:szCs w:val="24"/>
          <w:lang w:bidi="ar"/>
        </w:rPr>
        <w:t>集贤县人民政府 编制</w:t>
      </w:r>
    </w:p>
    <w:p w14:paraId="1F037F9A">
      <w:pPr>
        <w:ind w:firstLine="0" w:firstLineChars="0"/>
        <w:jc w:val="center"/>
        <w:rPr>
          <w:rFonts w:ascii="Times New Roman" w:hAnsi="Times New Roman" w:cs="Times New Roman"/>
          <w:bCs/>
          <w:spacing w:val="-6"/>
          <w:sz w:val="36"/>
          <w:szCs w:val="24"/>
          <w:lang w:bidi="ar"/>
        </w:rPr>
      </w:pPr>
      <w:r>
        <w:rPr>
          <w:rFonts w:ascii="Times New Roman" w:hAnsi="Times New Roman" w:cs="Times New Roman"/>
          <w:bCs/>
          <w:spacing w:val="-6"/>
          <w:sz w:val="36"/>
          <w:szCs w:val="24"/>
          <w:lang w:bidi="ar"/>
        </w:rPr>
        <w:t>2025年5月</w:t>
      </w:r>
    </w:p>
    <w:p w14:paraId="5D37C8DC">
      <w:pPr>
        <w:spacing w:line="560" w:lineRule="exact"/>
        <w:ind w:firstLine="608"/>
        <w:rPr>
          <w:rFonts w:ascii="Times New Roman" w:hAnsi="Times New Roman" w:cs="Times New Roman"/>
          <w:bCs/>
          <w:spacing w:val="-6"/>
          <w:sz w:val="32"/>
          <w:lang w:bidi="ar"/>
        </w:rPr>
      </w:pPr>
      <w:r>
        <w:rPr>
          <w:rFonts w:ascii="Times New Roman" w:hAnsi="Times New Roman" w:cs="Times New Roman"/>
          <w:bCs/>
          <w:spacing w:val="-6"/>
          <w:sz w:val="32"/>
          <w:lang w:bidi="ar"/>
        </w:rPr>
        <w:br w:type="page"/>
      </w:r>
    </w:p>
    <w:p w14:paraId="4D4757CE">
      <w:pPr>
        <w:pStyle w:val="42"/>
        <w:rPr>
          <w:rFonts w:ascii="Times New Roman" w:hAnsi="Times New Roman"/>
        </w:rPr>
      </w:pPr>
    </w:p>
    <w:sdt>
      <w:sdtPr>
        <w:rPr>
          <w:rFonts w:ascii="Times New Roman" w:hAnsi="Times New Roman" w:cs="Times New Roman"/>
          <w:b/>
          <w:bCs/>
          <w:sz w:val="32"/>
        </w:rPr>
        <w:id w:val="147473036"/>
        <w15:color w:val="DBDBDB"/>
        <w:docPartObj>
          <w:docPartGallery w:val="Table of Contents"/>
          <w:docPartUnique/>
        </w:docPartObj>
      </w:sdtPr>
      <w:sdtEndPr>
        <w:rPr>
          <w:rFonts w:ascii="Times New Roman" w:hAnsi="Times New Roman" w:eastAsia="仿宋" w:cs="Times New Roman"/>
          <w:b/>
          <w:bCs/>
          <w:sz w:val="32"/>
        </w:rPr>
      </w:sdtEndPr>
      <w:sdtContent>
        <w:p w14:paraId="6786F8AF">
          <w:pPr>
            <w:spacing w:line="560" w:lineRule="exact"/>
            <w:ind w:firstLine="0" w:firstLineChars="0"/>
            <w:jc w:val="center"/>
            <w:rPr>
              <w:rFonts w:ascii="Times New Roman" w:hAnsi="Times New Roman" w:cs="Times New Roman"/>
              <w:sz w:val="32"/>
            </w:rPr>
          </w:pPr>
          <w:r>
            <w:rPr>
              <w:rFonts w:ascii="Times New Roman" w:hAnsi="Times New Roman" w:cs="Times New Roman"/>
              <w:b/>
              <w:bCs/>
              <w:sz w:val="32"/>
            </w:rPr>
            <w:t>目  录</w:t>
          </w:r>
        </w:p>
        <w:p w14:paraId="2AE1631E">
          <w:pPr>
            <w:pStyle w:val="18"/>
            <w:rPr>
              <w:sz w:val="32"/>
            </w:rPr>
          </w:pPr>
          <w:r>
            <w:rPr>
              <w:rFonts w:ascii="Times New Roman" w:hAnsi="Times New Roman" w:cs="Times New Roman"/>
              <w:sz w:val="32"/>
            </w:rPr>
            <w:fldChar w:fldCharType="begin"/>
          </w:r>
          <w:r>
            <w:rPr>
              <w:rFonts w:ascii="Times New Roman" w:hAnsi="Times New Roman" w:cs="Times New Roman"/>
              <w:sz w:val="32"/>
            </w:rPr>
            <w:instrText xml:space="preserve">TOC \o "1-2" \h \u </w:instrText>
          </w:r>
          <w:r>
            <w:rPr>
              <w:rFonts w:ascii="Times New Roman" w:hAnsi="Times New Roman" w:cs="Times New Roman"/>
              <w:sz w:val="32"/>
            </w:rPr>
            <w:fldChar w:fldCharType="separate"/>
          </w:r>
          <w:r>
            <w:fldChar w:fldCharType="begin"/>
          </w:r>
          <w:r>
            <w:instrText xml:space="preserve"> HYPERLINK \l "_Toc13778" </w:instrText>
          </w:r>
          <w:r>
            <w:fldChar w:fldCharType="separate"/>
          </w:r>
          <w:r>
            <w:rPr>
              <w:rFonts w:ascii="Times New Roman" w:hAnsi="Times New Roman" w:eastAsia="仿宋" w:cs="Times New Roman"/>
              <w:sz w:val="32"/>
            </w:rPr>
            <w:t xml:space="preserve">1 </w:t>
          </w:r>
          <w:r>
            <w:rPr>
              <w:rFonts w:ascii="Times New Roman" w:hAnsi="Times New Roman" w:eastAsia="黑体" w:cs="Times New Roman"/>
              <w:sz w:val="32"/>
            </w:rPr>
            <w:t>总则</w:t>
          </w:r>
          <w:r>
            <w:rPr>
              <w:sz w:val="32"/>
            </w:rPr>
            <w:tab/>
          </w:r>
          <w:r>
            <w:rPr>
              <w:sz w:val="32"/>
            </w:rPr>
            <w:fldChar w:fldCharType="begin"/>
          </w:r>
          <w:r>
            <w:rPr>
              <w:sz w:val="32"/>
            </w:rPr>
            <w:instrText xml:space="preserve"> PAGEREF _Toc13778 \h </w:instrText>
          </w:r>
          <w:r>
            <w:rPr>
              <w:sz w:val="32"/>
            </w:rPr>
            <w:fldChar w:fldCharType="separate"/>
          </w:r>
          <w:r>
            <w:rPr>
              <w:sz w:val="32"/>
            </w:rPr>
            <w:t>1</w:t>
          </w:r>
          <w:r>
            <w:rPr>
              <w:sz w:val="32"/>
            </w:rPr>
            <w:fldChar w:fldCharType="end"/>
          </w:r>
          <w:r>
            <w:rPr>
              <w:sz w:val="32"/>
            </w:rPr>
            <w:fldChar w:fldCharType="end"/>
          </w:r>
        </w:p>
        <w:p w14:paraId="60D53F48">
          <w:pPr>
            <w:pStyle w:val="19"/>
            <w:tabs>
              <w:tab w:val="right" w:leader="dot" w:pos="8845"/>
            </w:tabs>
            <w:ind w:firstLine="552"/>
            <w:rPr>
              <w:sz w:val="32"/>
            </w:rPr>
          </w:pPr>
          <w:r>
            <w:fldChar w:fldCharType="begin"/>
          </w:r>
          <w:r>
            <w:instrText xml:space="preserve"> HYPERLINK \l "_Toc32012" </w:instrText>
          </w:r>
          <w:r>
            <w:fldChar w:fldCharType="separate"/>
          </w:r>
          <w:r>
            <w:rPr>
              <w:rFonts w:ascii="Times New Roman" w:hAnsi="Times New Roman" w:eastAsia="仿宋" w:cs="Times New Roman"/>
              <w:bCs/>
              <w:sz w:val="32"/>
            </w:rPr>
            <w:t xml:space="preserve">1.1 </w:t>
          </w:r>
          <w:r>
            <w:rPr>
              <w:rFonts w:ascii="Times New Roman" w:hAnsi="Times New Roman" w:eastAsia="楷体_GB2312" w:cs="Times New Roman"/>
              <w:sz w:val="32"/>
            </w:rPr>
            <w:t>编制目的</w:t>
          </w:r>
          <w:r>
            <w:rPr>
              <w:sz w:val="32"/>
            </w:rPr>
            <w:tab/>
          </w:r>
          <w:r>
            <w:rPr>
              <w:sz w:val="32"/>
            </w:rPr>
            <w:fldChar w:fldCharType="begin"/>
          </w:r>
          <w:r>
            <w:rPr>
              <w:sz w:val="32"/>
            </w:rPr>
            <w:instrText xml:space="preserve"> PAGEREF _Toc32012 \h </w:instrText>
          </w:r>
          <w:r>
            <w:rPr>
              <w:sz w:val="32"/>
            </w:rPr>
            <w:fldChar w:fldCharType="separate"/>
          </w:r>
          <w:r>
            <w:rPr>
              <w:sz w:val="32"/>
            </w:rPr>
            <w:t>1</w:t>
          </w:r>
          <w:r>
            <w:rPr>
              <w:sz w:val="32"/>
            </w:rPr>
            <w:fldChar w:fldCharType="end"/>
          </w:r>
          <w:r>
            <w:rPr>
              <w:sz w:val="32"/>
            </w:rPr>
            <w:fldChar w:fldCharType="end"/>
          </w:r>
        </w:p>
        <w:p w14:paraId="28543224">
          <w:pPr>
            <w:pStyle w:val="19"/>
            <w:tabs>
              <w:tab w:val="right" w:leader="dot" w:pos="8845"/>
            </w:tabs>
            <w:ind w:firstLine="552"/>
            <w:rPr>
              <w:sz w:val="32"/>
            </w:rPr>
          </w:pPr>
          <w:r>
            <w:fldChar w:fldCharType="begin"/>
          </w:r>
          <w:r>
            <w:instrText xml:space="preserve"> HYPERLINK \l "_Toc18158" </w:instrText>
          </w:r>
          <w:r>
            <w:fldChar w:fldCharType="separate"/>
          </w:r>
          <w:r>
            <w:rPr>
              <w:rFonts w:ascii="Times New Roman" w:hAnsi="Times New Roman" w:eastAsia="仿宋" w:cs="Times New Roman"/>
              <w:bCs/>
              <w:sz w:val="32"/>
            </w:rPr>
            <w:t xml:space="preserve">1.2 </w:t>
          </w:r>
          <w:r>
            <w:rPr>
              <w:rFonts w:ascii="Times New Roman" w:hAnsi="Times New Roman" w:eastAsia="楷体_GB2312" w:cs="Times New Roman"/>
              <w:sz w:val="32"/>
            </w:rPr>
            <w:t>编制依据</w:t>
          </w:r>
          <w:r>
            <w:rPr>
              <w:sz w:val="32"/>
            </w:rPr>
            <w:tab/>
          </w:r>
          <w:r>
            <w:rPr>
              <w:sz w:val="32"/>
            </w:rPr>
            <w:fldChar w:fldCharType="begin"/>
          </w:r>
          <w:r>
            <w:rPr>
              <w:sz w:val="32"/>
            </w:rPr>
            <w:instrText xml:space="preserve"> PAGEREF _Toc18158 \h </w:instrText>
          </w:r>
          <w:r>
            <w:rPr>
              <w:sz w:val="32"/>
            </w:rPr>
            <w:fldChar w:fldCharType="separate"/>
          </w:r>
          <w:r>
            <w:rPr>
              <w:sz w:val="32"/>
            </w:rPr>
            <w:t>1</w:t>
          </w:r>
          <w:r>
            <w:rPr>
              <w:sz w:val="32"/>
            </w:rPr>
            <w:fldChar w:fldCharType="end"/>
          </w:r>
          <w:r>
            <w:rPr>
              <w:sz w:val="32"/>
            </w:rPr>
            <w:fldChar w:fldCharType="end"/>
          </w:r>
        </w:p>
        <w:p w14:paraId="69704BB4">
          <w:pPr>
            <w:pStyle w:val="19"/>
            <w:tabs>
              <w:tab w:val="right" w:leader="dot" w:pos="8845"/>
            </w:tabs>
            <w:ind w:firstLine="552"/>
            <w:rPr>
              <w:sz w:val="32"/>
            </w:rPr>
          </w:pPr>
          <w:r>
            <w:fldChar w:fldCharType="begin"/>
          </w:r>
          <w:r>
            <w:instrText xml:space="preserve"> HYPERLINK \l "_Toc19082" </w:instrText>
          </w:r>
          <w:r>
            <w:fldChar w:fldCharType="separate"/>
          </w:r>
          <w:r>
            <w:rPr>
              <w:rFonts w:ascii="Times New Roman" w:hAnsi="Times New Roman" w:eastAsia="仿宋" w:cs="Times New Roman"/>
              <w:bCs/>
              <w:sz w:val="32"/>
            </w:rPr>
            <w:t xml:space="preserve">1.3 </w:t>
          </w:r>
          <w:r>
            <w:rPr>
              <w:rFonts w:ascii="Times New Roman" w:hAnsi="Times New Roman" w:eastAsia="楷体_GB2312" w:cs="Times New Roman"/>
              <w:sz w:val="32"/>
            </w:rPr>
            <w:t>适用范围</w:t>
          </w:r>
          <w:r>
            <w:rPr>
              <w:sz w:val="32"/>
            </w:rPr>
            <w:tab/>
          </w:r>
          <w:r>
            <w:rPr>
              <w:sz w:val="32"/>
            </w:rPr>
            <w:fldChar w:fldCharType="begin"/>
          </w:r>
          <w:r>
            <w:rPr>
              <w:sz w:val="32"/>
            </w:rPr>
            <w:instrText xml:space="preserve"> PAGEREF _Toc19082 \h </w:instrText>
          </w:r>
          <w:r>
            <w:rPr>
              <w:sz w:val="32"/>
            </w:rPr>
            <w:fldChar w:fldCharType="separate"/>
          </w:r>
          <w:r>
            <w:rPr>
              <w:sz w:val="32"/>
            </w:rPr>
            <w:t>1</w:t>
          </w:r>
          <w:r>
            <w:rPr>
              <w:sz w:val="32"/>
            </w:rPr>
            <w:fldChar w:fldCharType="end"/>
          </w:r>
          <w:r>
            <w:rPr>
              <w:sz w:val="32"/>
            </w:rPr>
            <w:fldChar w:fldCharType="end"/>
          </w:r>
        </w:p>
        <w:p w14:paraId="2C4807C1">
          <w:pPr>
            <w:pStyle w:val="19"/>
            <w:tabs>
              <w:tab w:val="right" w:leader="dot" w:pos="8845"/>
            </w:tabs>
            <w:ind w:firstLine="552"/>
            <w:rPr>
              <w:sz w:val="32"/>
            </w:rPr>
          </w:pPr>
          <w:r>
            <w:fldChar w:fldCharType="begin"/>
          </w:r>
          <w:r>
            <w:instrText xml:space="preserve"> HYPERLINK \l "_Toc7198" </w:instrText>
          </w:r>
          <w:r>
            <w:fldChar w:fldCharType="separate"/>
          </w:r>
          <w:r>
            <w:rPr>
              <w:rFonts w:ascii="Times New Roman" w:hAnsi="Times New Roman" w:eastAsia="仿宋" w:cs="Times New Roman"/>
              <w:bCs/>
              <w:sz w:val="32"/>
            </w:rPr>
            <w:t xml:space="preserve">1.4 </w:t>
          </w:r>
          <w:r>
            <w:rPr>
              <w:rFonts w:ascii="Times New Roman" w:hAnsi="Times New Roman" w:eastAsia="楷体_GB2312" w:cs="Times New Roman"/>
              <w:sz w:val="32"/>
            </w:rPr>
            <w:t>工作原则</w:t>
          </w:r>
          <w:r>
            <w:rPr>
              <w:sz w:val="32"/>
            </w:rPr>
            <w:tab/>
          </w:r>
          <w:r>
            <w:rPr>
              <w:sz w:val="32"/>
            </w:rPr>
            <w:fldChar w:fldCharType="begin"/>
          </w:r>
          <w:r>
            <w:rPr>
              <w:sz w:val="32"/>
            </w:rPr>
            <w:instrText xml:space="preserve"> PAGEREF _Toc7198 \h </w:instrText>
          </w:r>
          <w:r>
            <w:rPr>
              <w:sz w:val="32"/>
            </w:rPr>
            <w:fldChar w:fldCharType="separate"/>
          </w:r>
          <w:r>
            <w:rPr>
              <w:sz w:val="32"/>
            </w:rPr>
            <w:t>2</w:t>
          </w:r>
          <w:r>
            <w:rPr>
              <w:sz w:val="32"/>
            </w:rPr>
            <w:fldChar w:fldCharType="end"/>
          </w:r>
          <w:r>
            <w:rPr>
              <w:sz w:val="32"/>
            </w:rPr>
            <w:fldChar w:fldCharType="end"/>
          </w:r>
        </w:p>
        <w:p w14:paraId="0EA4ED01">
          <w:pPr>
            <w:pStyle w:val="18"/>
            <w:rPr>
              <w:sz w:val="32"/>
            </w:rPr>
          </w:pPr>
          <w:r>
            <w:fldChar w:fldCharType="begin"/>
          </w:r>
          <w:r>
            <w:instrText xml:space="preserve"> HYPERLINK \l "_Toc20887" </w:instrText>
          </w:r>
          <w:r>
            <w:fldChar w:fldCharType="separate"/>
          </w:r>
          <w:r>
            <w:rPr>
              <w:rFonts w:ascii="Times New Roman" w:hAnsi="Times New Roman" w:eastAsia="仿宋" w:cs="Times New Roman"/>
              <w:sz w:val="32"/>
            </w:rPr>
            <w:t xml:space="preserve">2 </w:t>
          </w:r>
          <w:r>
            <w:rPr>
              <w:rFonts w:ascii="Times New Roman" w:hAnsi="Times New Roman" w:eastAsia="黑体" w:cs="Times New Roman"/>
              <w:sz w:val="32"/>
            </w:rPr>
            <w:t>组织指挥体系</w:t>
          </w:r>
          <w:r>
            <w:rPr>
              <w:sz w:val="32"/>
            </w:rPr>
            <w:tab/>
          </w:r>
          <w:r>
            <w:rPr>
              <w:sz w:val="32"/>
            </w:rPr>
            <w:fldChar w:fldCharType="begin"/>
          </w:r>
          <w:r>
            <w:rPr>
              <w:sz w:val="32"/>
            </w:rPr>
            <w:instrText xml:space="preserve"> PAGEREF _Toc20887 \h </w:instrText>
          </w:r>
          <w:r>
            <w:rPr>
              <w:sz w:val="32"/>
            </w:rPr>
            <w:fldChar w:fldCharType="separate"/>
          </w:r>
          <w:r>
            <w:rPr>
              <w:sz w:val="32"/>
            </w:rPr>
            <w:t>4</w:t>
          </w:r>
          <w:r>
            <w:rPr>
              <w:sz w:val="32"/>
            </w:rPr>
            <w:fldChar w:fldCharType="end"/>
          </w:r>
          <w:r>
            <w:rPr>
              <w:sz w:val="32"/>
            </w:rPr>
            <w:fldChar w:fldCharType="end"/>
          </w:r>
        </w:p>
        <w:p w14:paraId="1FB78C11">
          <w:pPr>
            <w:pStyle w:val="19"/>
            <w:tabs>
              <w:tab w:val="right" w:leader="dot" w:pos="8845"/>
            </w:tabs>
            <w:ind w:firstLine="552"/>
            <w:rPr>
              <w:sz w:val="32"/>
            </w:rPr>
          </w:pPr>
          <w:r>
            <w:fldChar w:fldCharType="begin"/>
          </w:r>
          <w:r>
            <w:instrText xml:space="preserve"> HYPERLINK \l "_Toc13373" </w:instrText>
          </w:r>
          <w:r>
            <w:fldChar w:fldCharType="separate"/>
          </w:r>
          <w:r>
            <w:rPr>
              <w:rFonts w:ascii="Times New Roman" w:hAnsi="Times New Roman" w:eastAsia="仿宋" w:cs="Times New Roman"/>
              <w:bCs/>
              <w:sz w:val="32"/>
            </w:rPr>
            <w:t xml:space="preserve">2.1 </w:t>
          </w:r>
          <w:r>
            <w:rPr>
              <w:rFonts w:hint="eastAsia" w:ascii="Times New Roman" w:hAnsi="Times New Roman" w:eastAsia="楷体_GB2312" w:cs="Times New Roman"/>
              <w:sz w:val="32"/>
            </w:rPr>
            <w:t>指挥机构</w:t>
          </w:r>
          <w:r>
            <w:rPr>
              <w:sz w:val="32"/>
            </w:rPr>
            <w:tab/>
          </w:r>
          <w:r>
            <w:rPr>
              <w:sz w:val="32"/>
            </w:rPr>
            <w:fldChar w:fldCharType="begin"/>
          </w:r>
          <w:r>
            <w:rPr>
              <w:sz w:val="32"/>
            </w:rPr>
            <w:instrText xml:space="preserve"> PAGEREF _Toc13373 \h </w:instrText>
          </w:r>
          <w:r>
            <w:rPr>
              <w:sz w:val="32"/>
            </w:rPr>
            <w:fldChar w:fldCharType="separate"/>
          </w:r>
          <w:r>
            <w:rPr>
              <w:sz w:val="32"/>
            </w:rPr>
            <w:t>4</w:t>
          </w:r>
          <w:r>
            <w:rPr>
              <w:sz w:val="32"/>
            </w:rPr>
            <w:fldChar w:fldCharType="end"/>
          </w:r>
          <w:r>
            <w:rPr>
              <w:sz w:val="32"/>
            </w:rPr>
            <w:fldChar w:fldCharType="end"/>
          </w:r>
        </w:p>
        <w:p w14:paraId="4BCC4FE7">
          <w:pPr>
            <w:pStyle w:val="19"/>
            <w:tabs>
              <w:tab w:val="right" w:leader="dot" w:pos="8845"/>
            </w:tabs>
            <w:ind w:firstLine="552"/>
            <w:rPr>
              <w:sz w:val="32"/>
            </w:rPr>
          </w:pPr>
          <w:r>
            <w:fldChar w:fldCharType="begin"/>
          </w:r>
          <w:r>
            <w:instrText xml:space="preserve"> HYPERLINK \l "_Toc15877" </w:instrText>
          </w:r>
          <w:r>
            <w:fldChar w:fldCharType="separate"/>
          </w:r>
          <w:r>
            <w:rPr>
              <w:rFonts w:ascii="Times New Roman" w:hAnsi="Times New Roman" w:eastAsia="仿宋" w:cs="Times New Roman"/>
              <w:bCs/>
              <w:sz w:val="32"/>
            </w:rPr>
            <w:t xml:space="preserve">2.2 </w:t>
          </w:r>
          <w:r>
            <w:rPr>
              <w:rFonts w:ascii="Times New Roman" w:hAnsi="Times New Roman" w:eastAsia="楷体_GB2312" w:cs="Times New Roman"/>
              <w:sz w:val="32"/>
            </w:rPr>
            <w:t>办事机构</w:t>
          </w:r>
          <w:r>
            <w:rPr>
              <w:sz w:val="32"/>
            </w:rPr>
            <w:tab/>
          </w:r>
          <w:r>
            <w:rPr>
              <w:sz w:val="32"/>
            </w:rPr>
            <w:fldChar w:fldCharType="begin"/>
          </w:r>
          <w:r>
            <w:rPr>
              <w:sz w:val="32"/>
            </w:rPr>
            <w:instrText xml:space="preserve"> PAGEREF _Toc15877 \h </w:instrText>
          </w:r>
          <w:r>
            <w:rPr>
              <w:sz w:val="32"/>
            </w:rPr>
            <w:fldChar w:fldCharType="separate"/>
          </w:r>
          <w:r>
            <w:rPr>
              <w:sz w:val="32"/>
            </w:rPr>
            <w:t>7</w:t>
          </w:r>
          <w:r>
            <w:rPr>
              <w:sz w:val="32"/>
            </w:rPr>
            <w:fldChar w:fldCharType="end"/>
          </w:r>
          <w:r>
            <w:rPr>
              <w:sz w:val="32"/>
            </w:rPr>
            <w:fldChar w:fldCharType="end"/>
          </w:r>
        </w:p>
        <w:p w14:paraId="3EEE43FB">
          <w:pPr>
            <w:pStyle w:val="18"/>
            <w:rPr>
              <w:sz w:val="32"/>
            </w:rPr>
          </w:pPr>
          <w:r>
            <w:fldChar w:fldCharType="begin"/>
          </w:r>
          <w:r>
            <w:instrText xml:space="preserve"> HYPERLINK \l "_Toc6832" </w:instrText>
          </w:r>
          <w:r>
            <w:fldChar w:fldCharType="separate"/>
          </w:r>
          <w:r>
            <w:rPr>
              <w:rFonts w:ascii="Times New Roman" w:hAnsi="Times New Roman" w:eastAsia="仿宋" w:cs="Times New Roman"/>
              <w:sz w:val="32"/>
            </w:rPr>
            <w:t xml:space="preserve">3 </w:t>
          </w:r>
          <w:r>
            <w:rPr>
              <w:rFonts w:ascii="Times New Roman" w:hAnsi="Times New Roman" w:eastAsia="黑体" w:cs="Times New Roman"/>
              <w:sz w:val="32"/>
            </w:rPr>
            <w:t>预测与预警</w:t>
          </w:r>
          <w:r>
            <w:rPr>
              <w:sz w:val="32"/>
            </w:rPr>
            <w:tab/>
          </w:r>
          <w:r>
            <w:rPr>
              <w:sz w:val="32"/>
            </w:rPr>
            <w:fldChar w:fldCharType="begin"/>
          </w:r>
          <w:r>
            <w:rPr>
              <w:sz w:val="32"/>
            </w:rPr>
            <w:instrText xml:space="preserve"> PAGEREF _Toc6832 \h </w:instrText>
          </w:r>
          <w:r>
            <w:rPr>
              <w:sz w:val="32"/>
            </w:rPr>
            <w:fldChar w:fldCharType="separate"/>
          </w:r>
          <w:r>
            <w:rPr>
              <w:sz w:val="32"/>
            </w:rPr>
            <w:t>8</w:t>
          </w:r>
          <w:r>
            <w:rPr>
              <w:sz w:val="32"/>
            </w:rPr>
            <w:fldChar w:fldCharType="end"/>
          </w:r>
          <w:r>
            <w:rPr>
              <w:sz w:val="32"/>
            </w:rPr>
            <w:fldChar w:fldCharType="end"/>
          </w:r>
        </w:p>
        <w:p w14:paraId="79B43456">
          <w:pPr>
            <w:pStyle w:val="19"/>
            <w:tabs>
              <w:tab w:val="right" w:leader="dot" w:pos="8845"/>
            </w:tabs>
            <w:ind w:firstLine="552"/>
            <w:rPr>
              <w:sz w:val="32"/>
            </w:rPr>
          </w:pPr>
          <w:r>
            <w:fldChar w:fldCharType="begin"/>
          </w:r>
          <w:r>
            <w:instrText xml:space="preserve"> HYPERLINK \l "_Toc10521" </w:instrText>
          </w:r>
          <w:r>
            <w:fldChar w:fldCharType="separate"/>
          </w:r>
          <w:r>
            <w:rPr>
              <w:rFonts w:ascii="Times New Roman" w:hAnsi="Times New Roman" w:eastAsia="仿宋" w:cs="Times New Roman"/>
              <w:bCs/>
              <w:sz w:val="32"/>
            </w:rPr>
            <w:t xml:space="preserve">3.1 </w:t>
          </w:r>
          <w:r>
            <w:rPr>
              <w:rFonts w:ascii="Times New Roman" w:hAnsi="Times New Roman" w:eastAsia="楷体_GB2312" w:cs="Times New Roman"/>
              <w:sz w:val="32"/>
            </w:rPr>
            <w:t>预测预警系统</w:t>
          </w:r>
          <w:r>
            <w:rPr>
              <w:sz w:val="32"/>
            </w:rPr>
            <w:tab/>
          </w:r>
          <w:r>
            <w:rPr>
              <w:sz w:val="32"/>
            </w:rPr>
            <w:fldChar w:fldCharType="begin"/>
          </w:r>
          <w:r>
            <w:rPr>
              <w:sz w:val="32"/>
            </w:rPr>
            <w:instrText xml:space="preserve"> PAGEREF _Toc10521 \h </w:instrText>
          </w:r>
          <w:r>
            <w:rPr>
              <w:sz w:val="32"/>
            </w:rPr>
            <w:fldChar w:fldCharType="separate"/>
          </w:r>
          <w:r>
            <w:rPr>
              <w:sz w:val="32"/>
            </w:rPr>
            <w:t>8</w:t>
          </w:r>
          <w:r>
            <w:rPr>
              <w:sz w:val="32"/>
            </w:rPr>
            <w:fldChar w:fldCharType="end"/>
          </w:r>
          <w:r>
            <w:rPr>
              <w:sz w:val="32"/>
            </w:rPr>
            <w:fldChar w:fldCharType="end"/>
          </w:r>
        </w:p>
        <w:p w14:paraId="68A447FD">
          <w:pPr>
            <w:pStyle w:val="19"/>
            <w:tabs>
              <w:tab w:val="right" w:leader="dot" w:pos="8845"/>
            </w:tabs>
            <w:ind w:firstLine="552"/>
            <w:rPr>
              <w:sz w:val="32"/>
            </w:rPr>
          </w:pPr>
          <w:r>
            <w:fldChar w:fldCharType="begin"/>
          </w:r>
          <w:r>
            <w:instrText xml:space="preserve"> HYPERLINK \l "_Toc6480" </w:instrText>
          </w:r>
          <w:r>
            <w:fldChar w:fldCharType="separate"/>
          </w:r>
          <w:r>
            <w:rPr>
              <w:rFonts w:ascii="Times New Roman" w:hAnsi="Times New Roman" w:eastAsia="仿宋" w:cs="Times New Roman"/>
              <w:bCs/>
              <w:sz w:val="32"/>
            </w:rPr>
            <w:t xml:space="preserve">3.2 </w:t>
          </w:r>
          <w:r>
            <w:rPr>
              <w:rFonts w:ascii="Times New Roman" w:hAnsi="Times New Roman" w:eastAsia="楷体_GB2312" w:cs="Times New Roman"/>
              <w:sz w:val="32"/>
            </w:rPr>
            <w:t>信息报告</w:t>
          </w:r>
          <w:r>
            <w:rPr>
              <w:sz w:val="32"/>
            </w:rPr>
            <w:tab/>
          </w:r>
          <w:r>
            <w:rPr>
              <w:sz w:val="32"/>
            </w:rPr>
            <w:fldChar w:fldCharType="begin"/>
          </w:r>
          <w:r>
            <w:rPr>
              <w:sz w:val="32"/>
            </w:rPr>
            <w:instrText xml:space="preserve"> PAGEREF _Toc6480 \h </w:instrText>
          </w:r>
          <w:r>
            <w:rPr>
              <w:sz w:val="32"/>
            </w:rPr>
            <w:fldChar w:fldCharType="separate"/>
          </w:r>
          <w:r>
            <w:rPr>
              <w:sz w:val="32"/>
            </w:rPr>
            <w:t>9</w:t>
          </w:r>
          <w:r>
            <w:rPr>
              <w:sz w:val="32"/>
            </w:rPr>
            <w:fldChar w:fldCharType="end"/>
          </w:r>
          <w:r>
            <w:rPr>
              <w:sz w:val="32"/>
            </w:rPr>
            <w:fldChar w:fldCharType="end"/>
          </w:r>
        </w:p>
        <w:p w14:paraId="47546967">
          <w:pPr>
            <w:pStyle w:val="18"/>
            <w:rPr>
              <w:sz w:val="32"/>
            </w:rPr>
          </w:pPr>
          <w:r>
            <w:fldChar w:fldCharType="begin"/>
          </w:r>
          <w:r>
            <w:instrText xml:space="preserve"> HYPERLINK \l "_Toc7239" </w:instrText>
          </w:r>
          <w:r>
            <w:fldChar w:fldCharType="separate"/>
          </w:r>
          <w:r>
            <w:rPr>
              <w:rFonts w:ascii="Times New Roman" w:hAnsi="Times New Roman" w:eastAsia="仿宋" w:cs="Times New Roman"/>
              <w:sz w:val="32"/>
            </w:rPr>
            <w:t xml:space="preserve">4 </w:t>
          </w:r>
          <w:r>
            <w:rPr>
              <w:rFonts w:ascii="Times New Roman" w:hAnsi="Times New Roman" w:eastAsia="黑体" w:cs="Times New Roman"/>
              <w:sz w:val="32"/>
            </w:rPr>
            <w:t>应急响应</w:t>
          </w:r>
          <w:r>
            <w:rPr>
              <w:sz w:val="32"/>
            </w:rPr>
            <w:tab/>
          </w:r>
          <w:r>
            <w:rPr>
              <w:sz w:val="32"/>
            </w:rPr>
            <w:fldChar w:fldCharType="begin"/>
          </w:r>
          <w:r>
            <w:rPr>
              <w:sz w:val="32"/>
            </w:rPr>
            <w:instrText xml:space="preserve"> PAGEREF _Toc7239 \h </w:instrText>
          </w:r>
          <w:r>
            <w:rPr>
              <w:sz w:val="32"/>
            </w:rPr>
            <w:fldChar w:fldCharType="separate"/>
          </w:r>
          <w:r>
            <w:rPr>
              <w:sz w:val="32"/>
            </w:rPr>
            <w:t>11</w:t>
          </w:r>
          <w:r>
            <w:rPr>
              <w:sz w:val="32"/>
            </w:rPr>
            <w:fldChar w:fldCharType="end"/>
          </w:r>
          <w:r>
            <w:rPr>
              <w:sz w:val="32"/>
            </w:rPr>
            <w:fldChar w:fldCharType="end"/>
          </w:r>
        </w:p>
        <w:p w14:paraId="54E20AAC">
          <w:pPr>
            <w:pStyle w:val="19"/>
            <w:tabs>
              <w:tab w:val="right" w:leader="dot" w:pos="8845"/>
            </w:tabs>
            <w:ind w:firstLine="552"/>
            <w:rPr>
              <w:sz w:val="32"/>
            </w:rPr>
          </w:pPr>
          <w:r>
            <w:fldChar w:fldCharType="begin"/>
          </w:r>
          <w:r>
            <w:instrText xml:space="preserve"> HYPERLINK \l "_Toc26298" </w:instrText>
          </w:r>
          <w:r>
            <w:fldChar w:fldCharType="separate"/>
          </w:r>
          <w:r>
            <w:rPr>
              <w:rFonts w:ascii="Times New Roman" w:hAnsi="Times New Roman" w:eastAsia="仿宋" w:cs="Times New Roman"/>
              <w:bCs/>
              <w:sz w:val="32"/>
            </w:rPr>
            <w:t xml:space="preserve">4.1 </w:t>
          </w:r>
          <w:r>
            <w:rPr>
              <w:rFonts w:ascii="Times New Roman" w:hAnsi="Times New Roman" w:eastAsia="楷体_GB2312" w:cs="Times New Roman"/>
              <w:sz w:val="32"/>
            </w:rPr>
            <w:t>先期处置</w:t>
          </w:r>
          <w:r>
            <w:rPr>
              <w:sz w:val="32"/>
            </w:rPr>
            <w:tab/>
          </w:r>
          <w:r>
            <w:rPr>
              <w:sz w:val="32"/>
            </w:rPr>
            <w:fldChar w:fldCharType="begin"/>
          </w:r>
          <w:r>
            <w:rPr>
              <w:sz w:val="32"/>
            </w:rPr>
            <w:instrText xml:space="preserve"> PAGEREF _Toc26298 \h </w:instrText>
          </w:r>
          <w:r>
            <w:rPr>
              <w:sz w:val="32"/>
            </w:rPr>
            <w:fldChar w:fldCharType="separate"/>
          </w:r>
          <w:r>
            <w:rPr>
              <w:sz w:val="32"/>
            </w:rPr>
            <w:t>11</w:t>
          </w:r>
          <w:r>
            <w:rPr>
              <w:sz w:val="32"/>
            </w:rPr>
            <w:fldChar w:fldCharType="end"/>
          </w:r>
          <w:r>
            <w:rPr>
              <w:sz w:val="32"/>
            </w:rPr>
            <w:fldChar w:fldCharType="end"/>
          </w:r>
        </w:p>
        <w:p w14:paraId="7D389A21">
          <w:pPr>
            <w:pStyle w:val="19"/>
            <w:tabs>
              <w:tab w:val="right" w:leader="dot" w:pos="8845"/>
            </w:tabs>
            <w:ind w:firstLine="552"/>
            <w:rPr>
              <w:sz w:val="32"/>
            </w:rPr>
          </w:pPr>
          <w:r>
            <w:fldChar w:fldCharType="begin"/>
          </w:r>
          <w:r>
            <w:instrText xml:space="preserve"> HYPERLINK \l "_Toc25292" </w:instrText>
          </w:r>
          <w:r>
            <w:fldChar w:fldCharType="separate"/>
          </w:r>
          <w:r>
            <w:rPr>
              <w:rFonts w:ascii="Times New Roman" w:hAnsi="Times New Roman" w:eastAsia="仿宋" w:cs="Times New Roman"/>
              <w:bCs/>
              <w:sz w:val="32"/>
            </w:rPr>
            <w:t xml:space="preserve">4.2 </w:t>
          </w:r>
          <w:r>
            <w:rPr>
              <w:rFonts w:ascii="Times New Roman" w:hAnsi="Times New Roman" w:eastAsia="楷体_GB2312" w:cs="Times New Roman"/>
              <w:sz w:val="32"/>
            </w:rPr>
            <w:t>应急响应</w:t>
          </w:r>
          <w:r>
            <w:rPr>
              <w:sz w:val="32"/>
            </w:rPr>
            <w:tab/>
          </w:r>
          <w:r>
            <w:rPr>
              <w:sz w:val="32"/>
            </w:rPr>
            <w:fldChar w:fldCharType="begin"/>
          </w:r>
          <w:r>
            <w:rPr>
              <w:sz w:val="32"/>
            </w:rPr>
            <w:instrText xml:space="preserve"> PAGEREF _Toc25292 \h </w:instrText>
          </w:r>
          <w:r>
            <w:rPr>
              <w:sz w:val="32"/>
            </w:rPr>
            <w:fldChar w:fldCharType="separate"/>
          </w:r>
          <w:r>
            <w:rPr>
              <w:sz w:val="32"/>
            </w:rPr>
            <w:t>12</w:t>
          </w:r>
          <w:r>
            <w:rPr>
              <w:sz w:val="32"/>
            </w:rPr>
            <w:fldChar w:fldCharType="end"/>
          </w:r>
          <w:r>
            <w:rPr>
              <w:sz w:val="32"/>
            </w:rPr>
            <w:fldChar w:fldCharType="end"/>
          </w:r>
        </w:p>
        <w:p w14:paraId="1FAB06FB">
          <w:pPr>
            <w:pStyle w:val="19"/>
            <w:tabs>
              <w:tab w:val="right" w:leader="dot" w:pos="8845"/>
            </w:tabs>
            <w:ind w:firstLine="552"/>
            <w:rPr>
              <w:sz w:val="32"/>
            </w:rPr>
          </w:pPr>
          <w:r>
            <w:fldChar w:fldCharType="begin"/>
          </w:r>
          <w:r>
            <w:instrText xml:space="preserve"> HYPERLINK \l "_Toc7172" </w:instrText>
          </w:r>
          <w:r>
            <w:fldChar w:fldCharType="separate"/>
          </w:r>
          <w:r>
            <w:rPr>
              <w:rFonts w:ascii="Times New Roman" w:hAnsi="Times New Roman" w:eastAsia="仿宋" w:cs="Times New Roman"/>
              <w:bCs/>
              <w:sz w:val="32"/>
            </w:rPr>
            <w:t xml:space="preserve">4.3 </w:t>
          </w:r>
          <w:r>
            <w:rPr>
              <w:rFonts w:ascii="Times New Roman" w:hAnsi="Times New Roman" w:eastAsia="楷体_GB2312" w:cs="Times New Roman"/>
              <w:sz w:val="32"/>
            </w:rPr>
            <w:t>紧急状态</w:t>
          </w:r>
          <w:r>
            <w:rPr>
              <w:sz w:val="32"/>
            </w:rPr>
            <w:tab/>
          </w:r>
          <w:r>
            <w:rPr>
              <w:sz w:val="32"/>
            </w:rPr>
            <w:fldChar w:fldCharType="begin"/>
          </w:r>
          <w:r>
            <w:rPr>
              <w:sz w:val="32"/>
            </w:rPr>
            <w:instrText xml:space="preserve"> PAGEREF _Toc7172 \h </w:instrText>
          </w:r>
          <w:r>
            <w:rPr>
              <w:sz w:val="32"/>
            </w:rPr>
            <w:fldChar w:fldCharType="separate"/>
          </w:r>
          <w:r>
            <w:rPr>
              <w:sz w:val="32"/>
            </w:rPr>
            <w:t>15</w:t>
          </w:r>
          <w:r>
            <w:rPr>
              <w:sz w:val="32"/>
            </w:rPr>
            <w:fldChar w:fldCharType="end"/>
          </w:r>
          <w:r>
            <w:rPr>
              <w:sz w:val="32"/>
            </w:rPr>
            <w:fldChar w:fldCharType="end"/>
          </w:r>
        </w:p>
        <w:p w14:paraId="05C45958">
          <w:pPr>
            <w:pStyle w:val="19"/>
            <w:tabs>
              <w:tab w:val="right" w:leader="dot" w:pos="8845"/>
            </w:tabs>
            <w:ind w:firstLine="552"/>
            <w:rPr>
              <w:sz w:val="32"/>
            </w:rPr>
          </w:pPr>
          <w:r>
            <w:fldChar w:fldCharType="begin"/>
          </w:r>
          <w:r>
            <w:instrText xml:space="preserve"> HYPERLINK \l "_Toc26888" </w:instrText>
          </w:r>
          <w:r>
            <w:fldChar w:fldCharType="separate"/>
          </w:r>
          <w:r>
            <w:rPr>
              <w:rFonts w:ascii="Times New Roman" w:hAnsi="Times New Roman" w:eastAsia="仿宋" w:cs="Times New Roman"/>
              <w:bCs/>
              <w:sz w:val="32"/>
            </w:rPr>
            <w:t xml:space="preserve">4.4 </w:t>
          </w:r>
          <w:r>
            <w:rPr>
              <w:rFonts w:ascii="Times New Roman" w:hAnsi="Times New Roman" w:eastAsia="楷体_GB2312" w:cs="Times New Roman"/>
              <w:sz w:val="32"/>
            </w:rPr>
            <w:t>指挥与协调</w:t>
          </w:r>
          <w:r>
            <w:rPr>
              <w:sz w:val="32"/>
            </w:rPr>
            <w:tab/>
          </w:r>
          <w:r>
            <w:rPr>
              <w:sz w:val="32"/>
            </w:rPr>
            <w:fldChar w:fldCharType="begin"/>
          </w:r>
          <w:r>
            <w:rPr>
              <w:sz w:val="32"/>
            </w:rPr>
            <w:instrText xml:space="preserve"> PAGEREF _Toc26888 \h </w:instrText>
          </w:r>
          <w:r>
            <w:rPr>
              <w:sz w:val="32"/>
            </w:rPr>
            <w:fldChar w:fldCharType="separate"/>
          </w:r>
          <w:r>
            <w:rPr>
              <w:sz w:val="32"/>
            </w:rPr>
            <w:t>15</w:t>
          </w:r>
          <w:r>
            <w:rPr>
              <w:sz w:val="32"/>
            </w:rPr>
            <w:fldChar w:fldCharType="end"/>
          </w:r>
          <w:r>
            <w:rPr>
              <w:sz w:val="32"/>
            </w:rPr>
            <w:fldChar w:fldCharType="end"/>
          </w:r>
        </w:p>
        <w:p w14:paraId="3E3F40C8">
          <w:pPr>
            <w:pStyle w:val="19"/>
            <w:tabs>
              <w:tab w:val="right" w:leader="dot" w:pos="8845"/>
            </w:tabs>
            <w:ind w:firstLine="552"/>
            <w:rPr>
              <w:sz w:val="32"/>
            </w:rPr>
          </w:pPr>
          <w:r>
            <w:fldChar w:fldCharType="begin"/>
          </w:r>
          <w:r>
            <w:instrText xml:space="preserve"> HYPERLINK \l "_Toc21794" </w:instrText>
          </w:r>
          <w:r>
            <w:fldChar w:fldCharType="separate"/>
          </w:r>
          <w:r>
            <w:rPr>
              <w:rFonts w:ascii="Times New Roman" w:hAnsi="Times New Roman" w:eastAsia="仿宋" w:cs="Times New Roman"/>
              <w:bCs/>
              <w:sz w:val="32"/>
            </w:rPr>
            <w:t xml:space="preserve">4.5 </w:t>
          </w:r>
          <w:r>
            <w:rPr>
              <w:rFonts w:hint="eastAsia" w:ascii="Times New Roman" w:hAnsi="Times New Roman" w:eastAsia="楷体_GB2312" w:cs="Times New Roman"/>
              <w:sz w:val="32"/>
            </w:rPr>
            <w:t>信息发布</w:t>
          </w:r>
          <w:r>
            <w:rPr>
              <w:sz w:val="32"/>
            </w:rPr>
            <w:tab/>
          </w:r>
          <w:r>
            <w:rPr>
              <w:sz w:val="32"/>
            </w:rPr>
            <w:fldChar w:fldCharType="begin"/>
          </w:r>
          <w:r>
            <w:rPr>
              <w:sz w:val="32"/>
            </w:rPr>
            <w:instrText xml:space="preserve"> PAGEREF _Toc21794 \h </w:instrText>
          </w:r>
          <w:r>
            <w:rPr>
              <w:sz w:val="32"/>
            </w:rPr>
            <w:fldChar w:fldCharType="separate"/>
          </w:r>
          <w:r>
            <w:rPr>
              <w:sz w:val="32"/>
            </w:rPr>
            <w:t>15</w:t>
          </w:r>
          <w:r>
            <w:rPr>
              <w:sz w:val="32"/>
            </w:rPr>
            <w:fldChar w:fldCharType="end"/>
          </w:r>
          <w:r>
            <w:rPr>
              <w:sz w:val="32"/>
            </w:rPr>
            <w:fldChar w:fldCharType="end"/>
          </w:r>
        </w:p>
        <w:p w14:paraId="55C762D0">
          <w:pPr>
            <w:pStyle w:val="19"/>
            <w:tabs>
              <w:tab w:val="right" w:leader="dot" w:pos="8845"/>
            </w:tabs>
            <w:ind w:firstLine="552"/>
            <w:rPr>
              <w:sz w:val="32"/>
            </w:rPr>
          </w:pPr>
          <w:r>
            <w:fldChar w:fldCharType="begin"/>
          </w:r>
          <w:r>
            <w:instrText xml:space="preserve"> HYPERLINK \l "_Toc8143" </w:instrText>
          </w:r>
          <w:r>
            <w:fldChar w:fldCharType="separate"/>
          </w:r>
          <w:r>
            <w:rPr>
              <w:rFonts w:ascii="Times New Roman" w:hAnsi="Times New Roman" w:eastAsia="仿宋" w:cs="Times New Roman"/>
              <w:bCs/>
              <w:sz w:val="32"/>
            </w:rPr>
            <w:t xml:space="preserve">4.6 </w:t>
          </w:r>
          <w:r>
            <w:rPr>
              <w:rFonts w:ascii="Times New Roman" w:hAnsi="Times New Roman" w:eastAsia="楷体_GB2312" w:cs="Times New Roman"/>
              <w:sz w:val="32"/>
            </w:rPr>
            <w:t>应急结束</w:t>
          </w:r>
          <w:r>
            <w:rPr>
              <w:sz w:val="32"/>
            </w:rPr>
            <w:tab/>
          </w:r>
          <w:r>
            <w:rPr>
              <w:sz w:val="32"/>
            </w:rPr>
            <w:fldChar w:fldCharType="begin"/>
          </w:r>
          <w:r>
            <w:rPr>
              <w:sz w:val="32"/>
            </w:rPr>
            <w:instrText xml:space="preserve"> PAGEREF _Toc8143 \h </w:instrText>
          </w:r>
          <w:r>
            <w:rPr>
              <w:sz w:val="32"/>
            </w:rPr>
            <w:fldChar w:fldCharType="separate"/>
          </w:r>
          <w:r>
            <w:rPr>
              <w:sz w:val="32"/>
            </w:rPr>
            <w:t>16</w:t>
          </w:r>
          <w:r>
            <w:rPr>
              <w:sz w:val="32"/>
            </w:rPr>
            <w:fldChar w:fldCharType="end"/>
          </w:r>
          <w:r>
            <w:rPr>
              <w:sz w:val="32"/>
            </w:rPr>
            <w:fldChar w:fldCharType="end"/>
          </w:r>
        </w:p>
        <w:p w14:paraId="7792EA6C">
          <w:pPr>
            <w:pStyle w:val="18"/>
            <w:rPr>
              <w:sz w:val="32"/>
            </w:rPr>
          </w:pPr>
          <w:r>
            <w:fldChar w:fldCharType="begin"/>
          </w:r>
          <w:r>
            <w:instrText xml:space="preserve"> HYPERLINK \l "_Toc14731" </w:instrText>
          </w:r>
          <w:r>
            <w:fldChar w:fldCharType="separate"/>
          </w:r>
          <w:r>
            <w:rPr>
              <w:rFonts w:ascii="Times New Roman" w:hAnsi="Times New Roman" w:eastAsia="仿宋" w:cs="Times New Roman"/>
              <w:sz w:val="32"/>
            </w:rPr>
            <w:t xml:space="preserve">5 </w:t>
          </w:r>
          <w:r>
            <w:rPr>
              <w:rFonts w:ascii="Times New Roman" w:hAnsi="Times New Roman" w:eastAsia="黑体" w:cs="Times New Roman"/>
              <w:sz w:val="32"/>
            </w:rPr>
            <w:t>后期处置</w:t>
          </w:r>
          <w:r>
            <w:rPr>
              <w:sz w:val="32"/>
            </w:rPr>
            <w:tab/>
          </w:r>
          <w:r>
            <w:rPr>
              <w:sz w:val="32"/>
            </w:rPr>
            <w:fldChar w:fldCharType="begin"/>
          </w:r>
          <w:r>
            <w:rPr>
              <w:sz w:val="32"/>
            </w:rPr>
            <w:instrText xml:space="preserve"> PAGEREF _Toc14731 \h </w:instrText>
          </w:r>
          <w:r>
            <w:rPr>
              <w:sz w:val="32"/>
            </w:rPr>
            <w:fldChar w:fldCharType="separate"/>
          </w:r>
          <w:r>
            <w:rPr>
              <w:sz w:val="32"/>
            </w:rPr>
            <w:t>16</w:t>
          </w:r>
          <w:r>
            <w:rPr>
              <w:sz w:val="32"/>
            </w:rPr>
            <w:fldChar w:fldCharType="end"/>
          </w:r>
          <w:r>
            <w:rPr>
              <w:sz w:val="32"/>
            </w:rPr>
            <w:fldChar w:fldCharType="end"/>
          </w:r>
        </w:p>
        <w:p w14:paraId="4A502C12">
          <w:pPr>
            <w:pStyle w:val="19"/>
            <w:tabs>
              <w:tab w:val="right" w:leader="dot" w:pos="8845"/>
            </w:tabs>
            <w:ind w:firstLine="552"/>
            <w:rPr>
              <w:sz w:val="32"/>
            </w:rPr>
          </w:pPr>
          <w:r>
            <w:fldChar w:fldCharType="begin"/>
          </w:r>
          <w:r>
            <w:instrText xml:space="preserve"> HYPERLINK \l "_Toc19200" </w:instrText>
          </w:r>
          <w:r>
            <w:fldChar w:fldCharType="separate"/>
          </w:r>
          <w:r>
            <w:rPr>
              <w:rFonts w:ascii="Times New Roman" w:hAnsi="Times New Roman" w:eastAsia="仿宋" w:cs="Times New Roman"/>
              <w:bCs/>
              <w:sz w:val="32"/>
            </w:rPr>
            <w:t xml:space="preserve">5.1 </w:t>
          </w:r>
          <w:r>
            <w:rPr>
              <w:rFonts w:ascii="Times New Roman" w:hAnsi="Times New Roman" w:eastAsia="楷体_GB2312" w:cs="Times New Roman"/>
              <w:sz w:val="32"/>
            </w:rPr>
            <w:t>善后处置</w:t>
          </w:r>
          <w:r>
            <w:rPr>
              <w:sz w:val="32"/>
            </w:rPr>
            <w:tab/>
          </w:r>
          <w:r>
            <w:rPr>
              <w:sz w:val="32"/>
            </w:rPr>
            <w:fldChar w:fldCharType="begin"/>
          </w:r>
          <w:r>
            <w:rPr>
              <w:sz w:val="32"/>
            </w:rPr>
            <w:instrText xml:space="preserve"> PAGEREF _Toc19200 \h </w:instrText>
          </w:r>
          <w:r>
            <w:rPr>
              <w:sz w:val="32"/>
            </w:rPr>
            <w:fldChar w:fldCharType="separate"/>
          </w:r>
          <w:r>
            <w:rPr>
              <w:sz w:val="32"/>
            </w:rPr>
            <w:t>16</w:t>
          </w:r>
          <w:r>
            <w:rPr>
              <w:sz w:val="32"/>
            </w:rPr>
            <w:fldChar w:fldCharType="end"/>
          </w:r>
          <w:r>
            <w:rPr>
              <w:sz w:val="32"/>
            </w:rPr>
            <w:fldChar w:fldCharType="end"/>
          </w:r>
        </w:p>
        <w:p w14:paraId="2CDAA79F">
          <w:pPr>
            <w:pStyle w:val="19"/>
            <w:tabs>
              <w:tab w:val="right" w:leader="dot" w:pos="8845"/>
            </w:tabs>
            <w:ind w:firstLine="552"/>
            <w:rPr>
              <w:sz w:val="32"/>
            </w:rPr>
          </w:pPr>
          <w:r>
            <w:fldChar w:fldCharType="begin"/>
          </w:r>
          <w:r>
            <w:instrText xml:space="preserve"> HYPERLINK \l "_Toc22229" </w:instrText>
          </w:r>
          <w:r>
            <w:fldChar w:fldCharType="separate"/>
          </w:r>
          <w:r>
            <w:rPr>
              <w:rFonts w:ascii="Times New Roman" w:hAnsi="Times New Roman" w:eastAsia="仿宋" w:cs="Times New Roman"/>
              <w:bCs/>
              <w:sz w:val="32"/>
            </w:rPr>
            <w:t xml:space="preserve">5.2 </w:t>
          </w:r>
          <w:r>
            <w:rPr>
              <w:rFonts w:ascii="Times New Roman" w:hAnsi="Times New Roman" w:eastAsia="楷体_GB2312" w:cs="Times New Roman"/>
              <w:sz w:val="32"/>
            </w:rPr>
            <w:t>调查与评估</w:t>
          </w:r>
          <w:r>
            <w:rPr>
              <w:sz w:val="32"/>
            </w:rPr>
            <w:tab/>
          </w:r>
          <w:r>
            <w:rPr>
              <w:sz w:val="32"/>
            </w:rPr>
            <w:fldChar w:fldCharType="begin"/>
          </w:r>
          <w:r>
            <w:rPr>
              <w:sz w:val="32"/>
            </w:rPr>
            <w:instrText xml:space="preserve"> PAGEREF _Toc22229 \h </w:instrText>
          </w:r>
          <w:r>
            <w:rPr>
              <w:sz w:val="32"/>
            </w:rPr>
            <w:fldChar w:fldCharType="separate"/>
          </w:r>
          <w:r>
            <w:rPr>
              <w:sz w:val="32"/>
            </w:rPr>
            <w:t>18</w:t>
          </w:r>
          <w:r>
            <w:rPr>
              <w:sz w:val="32"/>
            </w:rPr>
            <w:fldChar w:fldCharType="end"/>
          </w:r>
          <w:r>
            <w:rPr>
              <w:sz w:val="32"/>
            </w:rPr>
            <w:fldChar w:fldCharType="end"/>
          </w:r>
        </w:p>
        <w:p w14:paraId="11F98F3D">
          <w:pPr>
            <w:pStyle w:val="18"/>
            <w:rPr>
              <w:sz w:val="32"/>
            </w:rPr>
          </w:pPr>
          <w:r>
            <w:fldChar w:fldCharType="begin"/>
          </w:r>
          <w:r>
            <w:instrText xml:space="preserve"> HYPERLINK \l "_Toc7721" </w:instrText>
          </w:r>
          <w:r>
            <w:fldChar w:fldCharType="separate"/>
          </w:r>
          <w:r>
            <w:rPr>
              <w:rFonts w:ascii="Times New Roman" w:hAnsi="Times New Roman" w:eastAsia="仿宋" w:cs="Times New Roman"/>
              <w:sz w:val="32"/>
            </w:rPr>
            <w:t xml:space="preserve">6 </w:t>
          </w:r>
          <w:r>
            <w:rPr>
              <w:rFonts w:ascii="Times New Roman" w:hAnsi="Times New Roman" w:eastAsia="黑体" w:cs="Times New Roman"/>
              <w:sz w:val="32"/>
            </w:rPr>
            <w:t>应急保障</w:t>
          </w:r>
          <w:r>
            <w:rPr>
              <w:sz w:val="32"/>
            </w:rPr>
            <w:tab/>
          </w:r>
          <w:r>
            <w:rPr>
              <w:sz w:val="32"/>
            </w:rPr>
            <w:fldChar w:fldCharType="begin"/>
          </w:r>
          <w:r>
            <w:rPr>
              <w:sz w:val="32"/>
            </w:rPr>
            <w:instrText xml:space="preserve"> PAGEREF _Toc7721 \h </w:instrText>
          </w:r>
          <w:r>
            <w:rPr>
              <w:sz w:val="32"/>
            </w:rPr>
            <w:fldChar w:fldCharType="separate"/>
          </w:r>
          <w:r>
            <w:rPr>
              <w:sz w:val="32"/>
            </w:rPr>
            <w:t>18</w:t>
          </w:r>
          <w:r>
            <w:rPr>
              <w:sz w:val="32"/>
            </w:rPr>
            <w:fldChar w:fldCharType="end"/>
          </w:r>
          <w:r>
            <w:rPr>
              <w:sz w:val="32"/>
            </w:rPr>
            <w:fldChar w:fldCharType="end"/>
          </w:r>
        </w:p>
        <w:p w14:paraId="2077B068">
          <w:pPr>
            <w:pStyle w:val="19"/>
            <w:tabs>
              <w:tab w:val="right" w:leader="dot" w:pos="8845"/>
            </w:tabs>
            <w:ind w:firstLine="552"/>
            <w:rPr>
              <w:sz w:val="32"/>
            </w:rPr>
          </w:pPr>
          <w:r>
            <w:fldChar w:fldCharType="begin"/>
          </w:r>
          <w:r>
            <w:instrText xml:space="preserve"> HYPERLINK \l "_Toc17763" </w:instrText>
          </w:r>
          <w:r>
            <w:fldChar w:fldCharType="separate"/>
          </w:r>
          <w:r>
            <w:rPr>
              <w:rFonts w:ascii="Times New Roman" w:hAnsi="Times New Roman" w:eastAsia="仿宋" w:cs="Times New Roman"/>
              <w:bCs/>
              <w:sz w:val="32"/>
            </w:rPr>
            <w:t xml:space="preserve">6.1 </w:t>
          </w:r>
          <w:r>
            <w:rPr>
              <w:rFonts w:ascii="Times New Roman" w:hAnsi="Times New Roman" w:eastAsia="楷体_GB2312" w:cs="Times New Roman"/>
              <w:sz w:val="32"/>
            </w:rPr>
            <w:t>人力资源</w:t>
          </w:r>
          <w:r>
            <w:rPr>
              <w:sz w:val="32"/>
            </w:rPr>
            <w:tab/>
          </w:r>
          <w:r>
            <w:rPr>
              <w:sz w:val="32"/>
            </w:rPr>
            <w:fldChar w:fldCharType="begin"/>
          </w:r>
          <w:r>
            <w:rPr>
              <w:sz w:val="32"/>
            </w:rPr>
            <w:instrText xml:space="preserve"> PAGEREF _Toc17763 \h </w:instrText>
          </w:r>
          <w:r>
            <w:rPr>
              <w:sz w:val="32"/>
            </w:rPr>
            <w:fldChar w:fldCharType="separate"/>
          </w:r>
          <w:r>
            <w:rPr>
              <w:sz w:val="32"/>
            </w:rPr>
            <w:t>18</w:t>
          </w:r>
          <w:r>
            <w:rPr>
              <w:sz w:val="32"/>
            </w:rPr>
            <w:fldChar w:fldCharType="end"/>
          </w:r>
          <w:r>
            <w:rPr>
              <w:sz w:val="32"/>
            </w:rPr>
            <w:fldChar w:fldCharType="end"/>
          </w:r>
        </w:p>
        <w:p w14:paraId="4702D0F7">
          <w:pPr>
            <w:pStyle w:val="19"/>
            <w:tabs>
              <w:tab w:val="right" w:leader="dot" w:pos="8845"/>
            </w:tabs>
            <w:ind w:firstLine="552"/>
            <w:rPr>
              <w:sz w:val="32"/>
            </w:rPr>
          </w:pPr>
          <w:r>
            <w:fldChar w:fldCharType="begin"/>
          </w:r>
          <w:r>
            <w:instrText xml:space="preserve"> HYPERLINK \l "_Toc24324" </w:instrText>
          </w:r>
          <w:r>
            <w:fldChar w:fldCharType="separate"/>
          </w:r>
          <w:r>
            <w:rPr>
              <w:rFonts w:ascii="Times New Roman" w:hAnsi="Times New Roman" w:eastAsia="仿宋" w:cs="Times New Roman"/>
              <w:bCs/>
              <w:sz w:val="32"/>
            </w:rPr>
            <w:t xml:space="preserve">6.2 </w:t>
          </w:r>
          <w:r>
            <w:rPr>
              <w:rFonts w:ascii="Times New Roman" w:hAnsi="Times New Roman" w:eastAsia="楷体_GB2312" w:cs="Times New Roman"/>
              <w:sz w:val="32"/>
            </w:rPr>
            <w:t>财力保障</w:t>
          </w:r>
          <w:r>
            <w:rPr>
              <w:sz w:val="32"/>
            </w:rPr>
            <w:tab/>
          </w:r>
          <w:r>
            <w:rPr>
              <w:sz w:val="32"/>
            </w:rPr>
            <w:fldChar w:fldCharType="begin"/>
          </w:r>
          <w:r>
            <w:rPr>
              <w:sz w:val="32"/>
            </w:rPr>
            <w:instrText xml:space="preserve"> PAGEREF _Toc24324 \h </w:instrText>
          </w:r>
          <w:r>
            <w:rPr>
              <w:sz w:val="32"/>
            </w:rPr>
            <w:fldChar w:fldCharType="separate"/>
          </w:r>
          <w:r>
            <w:rPr>
              <w:sz w:val="32"/>
            </w:rPr>
            <w:t>19</w:t>
          </w:r>
          <w:r>
            <w:rPr>
              <w:sz w:val="32"/>
            </w:rPr>
            <w:fldChar w:fldCharType="end"/>
          </w:r>
          <w:r>
            <w:rPr>
              <w:sz w:val="32"/>
            </w:rPr>
            <w:fldChar w:fldCharType="end"/>
          </w:r>
        </w:p>
        <w:p w14:paraId="5A7A7CF5">
          <w:pPr>
            <w:pStyle w:val="19"/>
            <w:tabs>
              <w:tab w:val="right" w:leader="dot" w:pos="8845"/>
            </w:tabs>
            <w:ind w:firstLine="552"/>
            <w:rPr>
              <w:sz w:val="32"/>
            </w:rPr>
          </w:pPr>
          <w:r>
            <w:fldChar w:fldCharType="begin"/>
          </w:r>
          <w:r>
            <w:instrText xml:space="preserve"> HYPERLINK \l "_Toc3934" </w:instrText>
          </w:r>
          <w:r>
            <w:fldChar w:fldCharType="separate"/>
          </w:r>
          <w:r>
            <w:rPr>
              <w:rFonts w:ascii="Times New Roman" w:hAnsi="Times New Roman" w:eastAsia="仿宋" w:cs="Times New Roman"/>
              <w:bCs/>
              <w:sz w:val="32"/>
            </w:rPr>
            <w:t xml:space="preserve">6.3 </w:t>
          </w:r>
          <w:r>
            <w:rPr>
              <w:rFonts w:ascii="Times New Roman" w:hAnsi="Times New Roman" w:eastAsia="楷体_GB2312" w:cs="Times New Roman"/>
              <w:sz w:val="32"/>
            </w:rPr>
            <w:t>物资保障</w:t>
          </w:r>
          <w:r>
            <w:rPr>
              <w:sz w:val="32"/>
            </w:rPr>
            <w:tab/>
          </w:r>
          <w:r>
            <w:rPr>
              <w:sz w:val="32"/>
            </w:rPr>
            <w:fldChar w:fldCharType="begin"/>
          </w:r>
          <w:r>
            <w:rPr>
              <w:sz w:val="32"/>
            </w:rPr>
            <w:instrText xml:space="preserve"> PAGEREF _Toc3934 \h </w:instrText>
          </w:r>
          <w:r>
            <w:rPr>
              <w:sz w:val="32"/>
            </w:rPr>
            <w:fldChar w:fldCharType="separate"/>
          </w:r>
          <w:r>
            <w:rPr>
              <w:sz w:val="32"/>
            </w:rPr>
            <w:t>19</w:t>
          </w:r>
          <w:r>
            <w:rPr>
              <w:sz w:val="32"/>
            </w:rPr>
            <w:fldChar w:fldCharType="end"/>
          </w:r>
          <w:r>
            <w:rPr>
              <w:sz w:val="32"/>
            </w:rPr>
            <w:fldChar w:fldCharType="end"/>
          </w:r>
        </w:p>
        <w:p w14:paraId="7241486A">
          <w:pPr>
            <w:pStyle w:val="19"/>
            <w:tabs>
              <w:tab w:val="right" w:leader="dot" w:pos="8845"/>
            </w:tabs>
            <w:ind w:firstLine="552"/>
            <w:rPr>
              <w:sz w:val="32"/>
            </w:rPr>
          </w:pPr>
          <w:r>
            <w:fldChar w:fldCharType="begin"/>
          </w:r>
          <w:r>
            <w:instrText xml:space="preserve"> HYPERLINK \l "_Toc17675" </w:instrText>
          </w:r>
          <w:r>
            <w:fldChar w:fldCharType="separate"/>
          </w:r>
          <w:r>
            <w:rPr>
              <w:rFonts w:ascii="Times New Roman" w:hAnsi="Times New Roman" w:eastAsia="仿宋" w:cs="Times New Roman"/>
              <w:bCs/>
              <w:sz w:val="32"/>
            </w:rPr>
            <w:t xml:space="preserve">6.4 </w:t>
          </w:r>
          <w:r>
            <w:rPr>
              <w:rFonts w:ascii="Times New Roman" w:hAnsi="Times New Roman" w:eastAsia="楷体_GB2312" w:cs="Times New Roman"/>
              <w:sz w:val="32"/>
            </w:rPr>
            <w:t>医疗卫生保障</w:t>
          </w:r>
          <w:r>
            <w:rPr>
              <w:sz w:val="32"/>
            </w:rPr>
            <w:tab/>
          </w:r>
          <w:r>
            <w:rPr>
              <w:sz w:val="32"/>
            </w:rPr>
            <w:fldChar w:fldCharType="begin"/>
          </w:r>
          <w:r>
            <w:rPr>
              <w:sz w:val="32"/>
            </w:rPr>
            <w:instrText xml:space="preserve"> PAGEREF _Toc17675 \h </w:instrText>
          </w:r>
          <w:r>
            <w:rPr>
              <w:sz w:val="32"/>
            </w:rPr>
            <w:fldChar w:fldCharType="separate"/>
          </w:r>
          <w:r>
            <w:rPr>
              <w:sz w:val="32"/>
            </w:rPr>
            <w:t>20</w:t>
          </w:r>
          <w:r>
            <w:rPr>
              <w:sz w:val="32"/>
            </w:rPr>
            <w:fldChar w:fldCharType="end"/>
          </w:r>
          <w:r>
            <w:rPr>
              <w:sz w:val="32"/>
            </w:rPr>
            <w:fldChar w:fldCharType="end"/>
          </w:r>
        </w:p>
        <w:p w14:paraId="0D2B78FA">
          <w:pPr>
            <w:pStyle w:val="19"/>
            <w:tabs>
              <w:tab w:val="right" w:leader="dot" w:pos="8845"/>
            </w:tabs>
            <w:ind w:firstLine="552"/>
            <w:rPr>
              <w:sz w:val="32"/>
            </w:rPr>
          </w:pPr>
          <w:r>
            <w:fldChar w:fldCharType="begin"/>
          </w:r>
          <w:r>
            <w:instrText xml:space="preserve"> HYPERLINK \l "_Toc21641" </w:instrText>
          </w:r>
          <w:r>
            <w:fldChar w:fldCharType="separate"/>
          </w:r>
          <w:r>
            <w:rPr>
              <w:rFonts w:ascii="Times New Roman" w:hAnsi="Times New Roman" w:eastAsia="仿宋" w:cs="Times New Roman"/>
              <w:bCs/>
              <w:sz w:val="32"/>
            </w:rPr>
            <w:t xml:space="preserve">6.5 </w:t>
          </w:r>
          <w:r>
            <w:rPr>
              <w:rFonts w:ascii="Times New Roman" w:hAnsi="Times New Roman" w:eastAsia="楷体_GB2312" w:cs="Times New Roman"/>
              <w:sz w:val="32"/>
            </w:rPr>
            <w:t>交通运输保障</w:t>
          </w:r>
          <w:r>
            <w:rPr>
              <w:sz w:val="32"/>
            </w:rPr>
            <w:tab/>
          </w:r>
          <w:r>
            <w:rPr>
              <w:sz w:val="32"/>
            </w:rPr>
            <w:fldChar w:fldCharType="begin"/>
          </w:r>
          <w:r>
            <w:rPr>
              <w:sz w:val="32"/>
            </w:rPr>
            <w:instrText xml:space="preserve"> PAGEREF _Toc21641 \h </w:instrText>
          </w:r>
          <w:r>
            <w:rPr>
              <w:sz w:val="32"/>
            </w:rPr>
            <w:fldChar w:fldCharType="separate"/>
          </w:r>
          <w:r>
            <w:rPr>
              <w:sz w:val="32"/>
            </w:rPr>
            <w:t>21</w:t>
          </w:r>
          <w:r>
            <w:rPr>
              <w:sz w:val="32"/>
            </w:rPr>
            <w:fldChar w:fldCharType="end"/>
          </w:r>
          <w:r>
            <w:rPr>
              <w:sz w:val="32"/>
            </w:rPr>
            <w:fldChar w:fldCharType="end"/>
          </w:r>
        </w:p>
        <w:p w14:paraId="4F2D107A">
          <w:pPr>
            <w:pStyle w:val="19"/>
            <w:tabs>
              <w:tab w:val="right" w:leader="dot" w:pos="8845"/>
            </w:tabs>
            <w:ind w:firstLine="552"/>
            <w:rPr>
              <w:sz w:val="32"/>
            </w:rPr>
          </w:pPr>
          <w:r>
            <w:fldChar w:fldCharType="begin"/>
          </w:r>
          <w:r>
            <w:instrText xml:space="preserve"> HYPERLINK \l "_Toc18035" </w:instrText>
          </w:r>
          <w:r>
            <w:fldChar w:fldCharType="separate"/>
          </w:r>
          <w:r>
            <w:rPr>
              <w:rFonts w:ascii="Times New Roman" w:hAnsi="Times New Roman" w:eastAsia="仿宋" w:cs="Times New Roman"/>
              <w:bCs/>
              <w:sz w:val="32"/>
            </w:rPr>
            <w:t xml:space="preserve">6.6 </w:t>
          </w:r>
          <w:r>
            <w:rPr>
              <w:rFonts w:ascii="Times New Roman" w:hAnsi="Times New Roman" w:eastAsia="楷体_GB2312" w:cs="Times New Roman"/>
              <w:sz w:val="32"/>
            </w:rPr>
            <w:t>治安维护</w:t>
          </w:r>
          <w:r>
            <w:rPr>
              <w:rFonts w:hint="eastAsia" w:ascii="Times New Roman" w:hAnsi="Times New Roman" w:eastAsia="楷体_GB2312" w:cs="Times New Roman"/>
              <w:sz w:val="32"/>
            </w:rPr>
            <w:t>保障</w:t>
          </w:r>
          <w:r>
            <w:rPr>
              <w:sz w:val="32"/>
            </w:rPr>
            <w:tab/>
          </w:r>
          <w:r>
            <w:rPr>
              <w:sz w:val="32"/>
            </w:rPr>
            <w:fldChar w:fldCharType="begin"/>
          </w:r>
          <w:r>
            <w:rPr>
              <w:sz w:val="32"/>
            </w:rPr>
            <w:instrText xml:space="preserve"> PAGEREF _Toc18035 \h </w:instrText>
          </w:r>
          <w:r>
            <w:rPr>
              <w:sz w:val="32"/>
            </w:rPr>
            <w:fldChar w:fldCharType="separate"/>
          </w:r>
          <w:r>
            <w:rPr>
              <w:sz w:val="32"/>
            </w:rPr>
            <w:t>21</w:t>
          </w:r>
          <w:r>
            <w:rPr>
              <w:sz w:val="32"/>
            </w:rPr>
            <w:fldChar w:fldCharType="end"/>
          </w:r>
          <w:r>
            <w:rPr>
              <w:sz w:val="32"/>
            </w:rPr>
            <w:fldChar w:fldCharType="end"/>
          </w:r>
        </w:p>
        <w:p w14:paraId="700F73D8">
          <w:pPr>
            <w:pStyle w:val="19"/>
            <w:tabs>
              <w:tab w:val="right" w:leader="dot" w:pos="8845"/>
            </w:tabs>
            <w:ind w:firstLine="552"/>
            <w:rPr>
              <w:sz w:val="32"/>
            </w:rPr>
          </w:pPr>
          <w:r>
            <w:fldChar w:fldCharType="begin"/>
          </w:r>
          <w:r>
            <w:instrText xml:space="preserve"> HYPERLINK \l "_Toc14775" </w:instrText>
          </w:r>
          <w:r>
            <w:fldChar w:fldCharType="separate"/>
          </w:r>
          <w:r>
            <w:rPr>
              <w:rFonts w:ascii="Times New Roman" w:hAnsi="Times New Roman" w:eastAsia="仿宋" w:cs="Times New Roman"/>
              <w:bCs/>
              <w:sz w:val="32"/>
            </w:rPr>
            <w:t xml:space="preserve">6.7 </w:t>
          </w:r>
          <w:r>
            <w:rPr>
              <w:rFonts w:ascii="Times New Roman" w:hAnsi="Times New Roman" w:eastAsia="楷体_GB2312" w:cs="Times New Roman"/>
              <w:sz w:val="32"/>
            </w:rPr>
            <w:t>人员防护</w:t>
          </w:r>
          <w:r>
            <w:rPr>
              <w:rFonts w:hint="eastAsia" w:ascii="Times New Roman" w:hAnsi="Times New Roman" w:eastAsia="楷体_GB2312" w:cs="Times New Roman"/>
              <w:sz w:val="32"/>
            </w:rPr>
            <w:t>保障</w:t>
          </w:r>
          <w:r>
            <w:rPr>
              <w:sz w:val="32"/>
            </w:rPr>
            <w:tab/>
          </w:r>
          <w:r>
            <w:rPr>
              <w:sz w:val="32"/>
            </w:rPr>
            <w:fldChar w:fldCharType="begin"/>
          </w:r>
          <w:r>
            <w:rPr>
              <w:sz w:val="32"/>
            </w:rPr>
            <w:instrText xml:space="preserve"> PAGEREF _Toc14775 \h </w:instrText>
          </w:r>
          <w:r>
            <w:rPr>
              <w:sz w:val="32"/>
            </w:rPr>
            <w:fldChar w:fldCharType="separate"/>
          </w:r>
          <w:r>
            <w:rPr>
              <w:sz w:val="32"/>
            </w:rPr>
            <w:t>22</w:t>
          </w:r>
          <w:r>
            <w:rPr>
              <w:sz w:val="32"/>
            </w:rPr>
            <w:fldChar w:fldCharType="end"/>
          </w:r>
          <w:r>
            <w:rPr>
              <w:sz w:val="32"/>
            </w:rPr>
            <w:fldChar w:fldCharType="end"/>
          </w:r>
        </w:p>
        <w:p w14:paraId="0372A6B0">
          <w:pPr>
            <w:pStyle w:val="19"/>
            <w:tabs>
              <w:tab w:val="right" w:leader="dot" w:pos="8845"/>
            </w:tabs>
            <w:ind w:firstLine="552"/>
            <w:rPr>
              <w:sz w:val="32"/>
            </w:rPr>
          </w:pPr>
          <w:r>
            <w:fldChar w:fldCharType="begin"/>
          </w:r>
          <w:r>
            <w:instrText xml:space="preserve"> HYPERLINK \l "_Toc18005" </w:instrText>
          </w:r>
          <w:r>
            <w:fldChar w:fldCharType="separate"/>
          </w:r>
          <w:r>
            <w:rPr>
              <w:rFonts w:ascii="Times New Roman" w:hAnsi="Times New Roman" w:eastAsia="仿宋" w:cs="Times New Roman"/>
              <w:bCs/>
              <w:sz w:val="32"/>
            </w:rPr>
            <w:t xml:space="preserve">6.8 </w:t>
          </w:r>
          <w:r>
            <w:rPr>
              <w:rFonts w:ascii="Times New Roman" w:hAnsi="Times New Roman" w:eastAsia="楷体_GB2312" w:cs="Times New Roman"/>
              <w:sz w:val="32"/>
            </w:rPr>
            <w:t>通信保障</w:t>
          </w:r>
          <w:r>
            <w:rPr>
              <w:sz w:val="32"/>
            </w:rPr>
            <w:tab/>
          </w:r>
          <w:r>
            <w:rPr>
              <w:sz w:val="32"/>
            </w:rPr>
            <w:fldChar w:fldCharType="begin"/>
          </w:r>
          <w:r>
            <w:rPr>
              <w:sz w:val="32"/>
            </w:rPr>
            <w:instrText xml:space="preserve"> PAGEREF _Toc18005 \h </w:instrText>
          </w:r>
          <w:r>
            <w:rPr>
              <w:sz w:val="32"/>
            </w:rPr>
            <w:fldChar w:fldCharType="separate"/>
          </w:r>
          <w:r>
            <w:rPr>
              <w:sz w:val="32"/>
            </w:rPr>
            <w:t>23</w:t>
          </w:r>
          <w:r>
            <w:rPr>
              <w:sz w:val="32"/>
            </w:rPr>
            <w:fldChar w:fldCharType="end"/>
          </w:r>
          <w:r>
            <w:rPr>
              <w:sz w:val="32"/>
            </w:rPr>
            <w:fldChar w:fldCharType="end"/>
          </w:r>
        </w:p>
        <w:p w14:paraId="4B8726FA">
          <w:pPr>
            <w:pStyle w:val="19"/>
            <w:tabs>
              <w:tab w:val="right" w:leader="dot" w:pos="8845"/>
            </w:tabs>
            <w:ind w:firstLine="552"/>
            <w:rPr>
              <w:sz w:val="32"/>
            </w:rPr>
          </w:pPr>
          <w:r>
            <w:fldChar w:fldCharType="begin"/>
          </w:r>
          <w:r>
            <w:instrText xml:space="preserve"> HYPERLINK \l "_Toc26858" </w:instrText>
          </w:r>
          <w:r>
            <w:fldChar w:fldCharType="separate"/>
          </w:r>
          <w:r>
            <w:rPr>
              <w:rFonts w:ascii="Times New Roman" w:hAnsi="Times New Roman" w:eastAsia="仿宋" w:cs="Times New Roman"/>
              <w:bCs/>
              <w:sz w:val="32"/>
            </w:rPr>
            <w:t xml:space="preserve">6.9 </w:t>
          </w:r>
          <w:r>
            <w:rPr>
              <w:rFonts w:ascii="Times New Roman" w:hAnsi="Times New Roman" w:eastAsia="楷体_GB2312" w:cs="Times New Roman"/>
              <w:sz w:val="32"/>
            </w:rPr>
            <w:t>社会动员保障</w:t>
          </w:r>
          <w:r>
            <w:rPr>
              <w:sz w:val="32"/>
            </w:rPr>
            <w:tab/>
          </w:r>
          <w:r>
            <w:rPr>
              <w:sz w:val="32"/>
            </w:rPr>
            <w:fldChar w:fldCharType="begin"/>
          </w:r>
          <w:r>
            <w:rPr>
              <w:sz w:val="32"/>
            </w:rPr>
            <w:instrText xml:space="preserve"> PAGEREF _Toc26858 \h </w:instrText>
          </w:r>
          <w:r>
            <w:rPr>
              <w:sz w:val="32"/>
            </w:rPr>
            <w:fldChar w:fldCharType="separate"/>
          </w:r>
          <w:r>
            <w:rPr>
              <w:sz w:val="32"/>
            </w:rPr>
            <w:t>23</w:t>
          </w:r>
          <w:r>
            <w:rPr>
              <w:sz w:val="32"/>
            </w:rPr>
            <w:fldChar w:fldCharType="end"/>
          </w:r>
          <w:r>
            <w:rPr>
              <w:sz w:val="32"/>
            </w:rPr>
            <w:fldChar w:fldCharType="end"/>
          </w:r>
        </w:p>
        <w:p w14:paraId="39629BD9">
          <w:pPr>
            <w:pStyle w:val="19"/>
            <w:tabs>
              <w:tab w:val="right" w:leader="dot" w:pos="8845"/>
            </w:tabs>
            <w:ind w:firstLine="552"/>
            <w:rPr>
              <w:sz w:val="32"/>
            </w:rPr>
          </w:pPr>
          <w:r>
            <w:fldChar w:fldCharType="begin"/>
          </w:r>
          <w:r>
            <w:instrText xml:space="preserve"> HYPERLINK \l "_Toc29904" </w:instrText>
          </w:r>
          <w:r>
            <w:fldChar w:fldCharType="separate"/>
          </w:r>
          <w:r>
            <w:rPr>
              <w:rFonts w:ascii="Times New Roman" w:hAnsi="Times New Roman" w:eastAsia="仿宋" w:cs="Times New Roman"/>
              <w:bCs/>
              <w:sz w:val="32"/>
            </w:rPr>
            <w:t xml:space="preserve">6.10 </w:t>
          </w:r>
          <w:r>
            <w:rPr>
              <w:rFonts w:ascii="Times New Roman" w:hAnsi="Times New Roman" w:eastAsia="楷体_GB2312" w:cs="Times New Roman"/>
              <w:sz w:val="32"/>
            </w:rPr>
            <w:t>法制保障</w:t>
          </w:r>
          <w:r>
            <w:rPr>
              <w:sz w:val="32"/>
            </w:rPr>
            <w:tab/>
          </w:r>
          <w:r>
            <w:rPr>
              <w:sz w:val="32"/>
            </w:rPr>
            <w:fldChar w:fldCharType="begin"/>
          </w:r>
          <w:r>
            <w:rPr>
              <w:sz w:val="32"/>
            </w:rPr>
            <w:instrText xml:space="preserve"> PAGEREF _Toc29904 \h </w:instrText>
          </w:r>
          <w:r>
            <w:rPr>
              <w:sz w:val="32"/>
            </w:rPr>
            <w:fldChar w:fldCharType="separate"/>
          </w:r>
          <w:r>
            <w:rPr>
              <w:sz w:val="32"/>
            </w:rPr>
            <w:t>24</w:t>
          </w:r>
          <w:r>
            <w:rPr>
              <w:sz w:val="32"/>
            </w:rPr>
            <w:fldChar w:fldCharType="end"/>
          </w:r>
          <w:r>
            <w:rPr>
              <w:sz w:val="32"/>
            </w:rPr>
            <w:fldChar w:fldCharType="end"/>
          </w:r>
        </w:p>
        <w:p w14:paraId="2B90D131">
          <w:pPr>
            <w:pStyle w:val="18"/>
            <w:rPr>
              <w:sz w:val="32"/>
            </w:rPr>
          </w:pPr>
          <w:r>
            <w:fldChar w:fldCharType="begin"/>
          </w:r>
          <w:r>
            <w:instrText xml:space="preserve"> HYPERLINK \l "_Toc20319" </w:instrText>
          </w:r>
          <w:r>
            <w:fldChar w:fldCharType="separate"/>
          </w:r>
          <w:r>
            <w:rPr>
              <w:rFonts w:ascii="Times New Roman" w:hAnsi="Times New Roman" w:eastAsia="仿宋" w:cs="Times New Roman"/>
              <w:sz w:val="32"/>
            </w:rPr>
            <w:t xml:space="preserve">7 </w:t>
          </w:r>
          <w:r>
            <w:rPr>
              <w:rFonts w:ascii="Times New Roman" w:hAnsi="Times New Roman" w:eastAsia="黑体" w:cs="Times New Roman"/>
              <w:sz w:val="32"/>
            </w:rPr>
            <w:t>预案管理</w:t>
          </w:r>
          <w:r>
            <w:rPr>
              <w:sz w:val="32"/>
            </w:rPr>
            <w:tab/>
          </w:r>
          <w:r>
            <w:rPr>
              <w:sz w:val="32"/>
            </w:rPr>
            <w:fldChar w:fldCharType="begin"/>
          </w:r>
          <w:r>
            <w:rPr>
              <w:sz w:val="32"/>
            </w:rPr>
            <w:instrText xml:space="preserve"> PAGEREF _Toc20319 \h </w:instrText>
          </w:r>
          <w:r>
            <w:rPr>
              <w:sz w:val="32"/>
            </w:rPr>
            <w:fldChar w:fldCharType="separate"/>
          </w:r>
          <w:r>
            <w:rPr>
              <w:sz w:val="32"/>
            </w:rPr>
            <w:t>24</w:t>
          </w:r>
          <w:r>
            <w:rPr>
              <w:sz w:val="32"/>
            </w:rPr>
            <w:fldChar w:fldCharType="end"/>
          </w:r>
          <w:r>
            <w:rPr>
              <w:sz w:val="32"/>
            </w:rPr>
            <w:fldChar w:fldCharType="end"/>
          </w:r>
        </w:p>
        <w:p w14:paraId="23FCD5F7">
          <w:pPr>
            <w:pStyle w:val="19"/>
            <w:tabs>
              <w:tab w:val="right" w:leader="dot" w:pos="8845"/>
            </w:tabs>
            <w:ind w:firstLine="552"/>
            <w:rPr>
              <w:sz w:val="32"/>
            </w:rPr>
          </w:pPr>
          <w:r>
            <w:fldChar w:fldCharType="begin"/>
          </w:r>
          <w:r>
            <w:instrText xml:space="preserve"> HYPERLINK \l "_Toc31068" </w:instrText>
          </w:r>
          <w:r>
            <w:fldChar w:fldCharType="separate"/>
          </w:r>
          <w:r>
            <w:rPr>
              <w:rFonts w:ascii="Times New Roman" w:hAnsi="Times New Roman" w:eastAsia="仿宋" w:cs="Times New Roman"/>
              <w:bCs/>
              <w:sz w:val="32"/>
            </w:rPr>
            <w:t xml:space="preserve">7.1 </w:t>
          </w:r>
          <w:r>
            <w:rPr>
              <w:rFonts w:ascii="Times New Roman" w:hAnsi="Times New Roman" w:eastAsia="楷体_GB2312" w:cs="Times New Roman"/>
              <w:sz w:val="32"/>
            </w:rPr>
            <w:t>预案演练</w:t>
          </w:r>
          <w:r>
            <w:rPr>
              <w:sz w:val="32"/>
            </w:rPr>
            <w:tab/>
          </w:r>
          <w:r>
            <w:rPr>
              <w:sz w:val="32"/>
            </w:rPr>
            <w:fldChar w:fldCharType="begin"/>
          </w:r>
          <w:r>
            <w:rPr>
              <w:sz w:val="32"/>
            </w:rPr>
            <w:instrText xml:space="preserve"> PAGEREF _Toc31068 \h </w:instrText>
          </w:r>
          <w:r>
            <w:rPr>
              <w:sz w:val="32"/>
            </w:rPr>
            <w:fldChar w:fldCharType="separate"/>
          </w:r>
          <w:r>
            <w:rPr>
              <w:sz w:val="32"/>
            </w:rPr>
            <w:t>24</w:t>
          </w:r>
          <w:r>
            <w:rPr>
              <w:sz w:val="32"/>
            </w:rPr>
            <w:fldChar w:fldCharType="end"/>
          </w:r>
          <w:r>
            <w:rPr>
              <w:sz w:val="32"/>
            </w:rPr>
            <w:fldChar w:fldCharType="end"/>
          </w:r>
        </w:p>
        <w:p w14:paraId="2A1EEFA6">
          <w:pPr>
            <w:pStyle w:val="19"/>
            <w:tabs>
              <w:tab w:val="right" w:leader="dot" w:pos="8845"/>
            </w:tabs>
            <w:ind w:firstLine="552"/>
            <w:rPr>
              <w:sz w:val="32"/>
            </w:rPr>
          </w:pPr>
          <w:r>
            <w:fldChar w:fldCharType="begin"/>
          </w:r>
          <w:r>
            <w:instrText xml:space="preserve"> HYPERLINK \l "_Toc28954" </w:instrText>
          </w:r>
          <w:r>
            <w:fldChar w:fldCharType="separate"/>
          </w:r>
          <w:r>
            <w:rPr>
              <w:rFonts w:ascii="Times New Roman" w:hAnsi="Times New Roman" w:eastAsia="仿宋" w:cs="Times New Roman"/>
              <w:bCs/>
              <w:sz w:val="32"/>
            </w:rPr>
            <w:t xml:space="preserve">7.2 </w:t>
          </w:r>
          <w:r>
            <w:rPr>
              <w:rFonts w:ascii="Times New Roman" w:hAnsi="Times New Roman" w:eastAsia="楷体_GB2312" w:cs="Times New Roman"/>
              <w:sz w:val="32"/>
            </w:rPr>
            <w:t>宣传和培训</w:t>
          </w:r>
          <w:r>
            <w:rPr>
              <w:sz w:val="32"/>
            </w:rPr>
            <w:tab/>
          </w:r>
          <w:r>
            <w:rPr>
              <w:sz w:val="32"/>
            </w:rPr>
            <w:fldChar w:fldCharType="begin"/>
          </w:r>
          <w:r>
            <w:rPr>
              <w:sz w:val="32"/>
            </w:rPr>
            <w:instrText xml:space="preserve"> PAGEREF _Toc28954 \h </w:instrText>
          </w:r>
          <w:r>
            <w:rPr>
              <w:sz w:val="32"/>
            </w:rPr>
            <w:fldChar w:fldCharType="separate"/>
          </w:r>
          <w:r>
            <w:rPr>
              <w:sz w:val="32"/>
            </w:rPr>
            <w:t>25</w:t>
          </w:r>
          <w:r>
            <w:rPr>
              <w:sz w:val="32"/>
            </w:rPr>
            <w:fldChar w:fldCharType="end"/>
          </w:r>
          <w:r>
            <w:rPr>
              <w:sz w:val="32"/>
            </w:rPr>
            <w:fldChar w:fldCharType="end"/>
          </w:r>
        </w:p>
        <w:p w14:paraId="0A84B350">
          <w:pPr>
            <w:pStyle w:val="19"/>
            <w:tabs>
              <w:tab w:val="right" w:leader="dot" w:pos="8845"/>
            </w:tabs>
            <w:ind w:firstLine="552"/>
            <w:rPr>
              <w:sz w:val="32"/>
            </w:rPr>
          </w:pPr>
          <w:r>
            <w:fldChar w:fldCharType="begin"/>
          </w:r>
          <w:r>
            <w:instrText xml:space="preserve"> HYPERLINK \l "_Toc176" </w:instrText>
          </w:r>
          <w:r>
            <w:fldChar w:fldCharType="separate"/>
          </w:r>
          <w:r>
            <w:rPr>
              <w:rFonts w:ascii="Times New Roman" w:hAnsi="Times New Roman" w:eastAsia="仿宋" w:cs="Times New Roman"/>
              <w:bCs/>
              <w:sz w:val="32"/>
            </w:rPr>
            <w:t xml:space="preserve">7.3 </w:t>
          </w:r>
          <w:r>
            <w:rPr>
              <w:rFonts w:ascii="Times New Roman" w:hAnsi="Times New Roman" w:eastAsia="楷体_GB2312" w:cs="Times New Roman"/>
              <w:sz w:val="32"/>
            </w:rPr>
            <w:t>责任与奖惩</w:t>
          </w:r>
          <w:r>
            <w:rPr>
              <w:sz w:val="32"/>
            </w:rPr>
            <w:tab/>
          </w:r>
          <w:r>
            <w:rPr>
              <w:sz w:val="32"/>
            </w:rPr>
            <w:fldChar w:fldCharType="begin"/>
          </w:r>
          <w:r>
            <w:rPr>
              <w:sz w:val="32"/>
            </w:rPr>
            <w:instrText xml:space="preserve"> PAGEREF _Toc176 \h </w:instrText>
          </w:r>
          <w:r>
            <w:rPr>
              <w:sz w:val="32"/>
            </w:rPr>
            <w:fldChar w:fldCharType="separate"/>
          </w:r>
          <w:r>
            <w:rPr>
              <w:sz w:val="32"/>
            </w:rPr>
            <w:t>25</w:t>
          </w:r>
          <w:r>
            <w:rPr>
              <w:sz w:val="32"/>
            </w:rPr>
            <w:fldChar w:fldCharType="end"/>
          </w:r>
          <w:r>
            <w:rPr>
              <w:sz w:val="32"/>
            </w:rPr>
            <w:fldChar w:fldCharType="end"/>
          </w:r>
        </w:p>
        <w:p w14:paraId="02BD0E75">
          <w:pPr>
            <w:pStyle w:val="19"/>
            <w:tabs>
              <w:tab w:val="right" w:leader="dot" w:pos="8845"/>
            </w:tabs>
            <w:ind w:firstLine="552"/>
            <w:rPr>
              <w:sz w:val="32"/>
            </w:rPr>
          </w:pPr>
          <w:r>
            <w:fldChar w:fldCharType="begin"/>
          </w:r>
          <w:r>
            <w:instrText xml:space="preserve"> HYPERLINK \l "_Toc9644" </w:instrText>
          </w:r>
          <w:r>
            <w:fldChar w:fldCharType="separate"/>
          </w:r>
          <w:r>
            <w:rPr>
              <w:rFonts w:ascii="Times New Roman" w:hAnsi="Times New Roman" w:eastAsia="仿宋" w:cs="Times New Roman"/>
              <w:bCs/>
              <w:sz w:val="32"/>
            </w:rPr>
            <w:t xml:space="preserve">7.4 </w:t>
          </w:r>
          <w:r>
            <w:rPr>
              <w:rFonts w:ascii="Times New Roman" w:hAnsi="Times New Roman" w:eastAsia="楷体_GB2312" w:cs="Times New Roman"/>
              <w:sz w:val="32"/>
            </w:rPr>
            <w:t>预案更新</w:t>
          </w:r>
          <w:r>
            <w:rPr>
              <w:sz w:val="32"/>
            </w:rPr>
            <w:tab/>
          </w:r>
          <w:r>
            <w:rPr>
              <w:sz w:val="32"/>
            </w:rPr>
            <w:fldChar w:fldCharType="begin"/>
          </w:r>
          <w:r>
            <w:rPr>
              <w:sz w:val="32"/>
            </w:rPr>
            <w:instrText xml:space="preserve"> PAGEREF _Toc9644 \h </w:instrText>
          </w:r>
          <w:r>
            <w:rPr>
              <w:sz w:val="32"/>
            </w:rPr>
            <w:fldChar w:fldCharType="separate"/>
          </w:r>
          <w:r>
            <w:rPr>
              <w:sz w:val="32"/>
            </w:rPr>
            <w:t>26</w:t>
          </w:r>
          <w:r>
            <w:rPr>
              <w:sz w:val="32"/>
            </w:rPr>
            <w:fldChar w:fldCharType="end"/>
          </w:r>
          <w:r>
            <w:rPr>
              <w:sz w:val="32"/>
            </w:rPr>
            <w:fldChar w:fldCharType="end"/>
          </w:r>
        </w:p>
        <w:p w14:paraId="2883BD6D">
          <w:pPr>
            <w:pStyle w:val="18"/>
            <w:rPr>
              <w:sz w:val="32"/>
            </w:rPr>
          </w:pPr>
          <w:r>
            <w:fldChar w:fldCharType="begin"/>
          </w:r>
          <w:r>
            <w:instrText xml:space="preserve"> HYPERLINK \l "_Toc21226" </w:instrText>
          </w:r>
          <w:r>
            <w:fldChar w:fldCharType="separate"/>
          </w:r>
          <w:r>
            <w:rPr>
              <w:rFonts w:ascii="Times New Roman" w:hAnsi="Times New Roman" w:eastAsia="仿宋" w:cs="Times New Roman"/>
              <w:sz w:val="32"/>
            </w:rPr>
            <w:t xml:space="preserve">8 </w:t>
          </w:r>
          <w:r>
            <w:rPr>
              <w:rFonts w:ascii="Times New Roman" w:hAnsi="Times New Roman" w:eastAsia="黑体" w:cs="Times New Roman"/>
              <w:sz w:val="32"/>
            </w:rPr>
            <w:t>预案解释与实施</w:t>
          </w:r>
          <w:r>
            <w:rPr>
              <w:sz w:val="32"/>
            </w:rPr>
            <w:tab/>
          </w:r>
          <w:r>
            <w:rPr>
              <w:sz w:val="32"/>
            </w:rPr>
            <w:fldChar w:fldCharType="begin"/>
          </w:r>
          <w:r>
            <w:rPr>
              <w:sz w:val="32"/>
            </w:rPr>
            <w:instrText xml:space="preserve"> PAGEREF _Toc21226 \h </w:instrText>
          </w:r>
          <w:r>
            <w:rPr>
              <w:sz w:val="32"/>
            </w:rPr>
            <w:fldChar w:fldCharType="separate"/>
          </w:r>
          <w:r>
            <w:rPr>
              <w:sz w:val="32"/>
            </w:rPr>
            <w:t>26</w:t>
          </w:r>
          <w:r>
            <w:rPr>
              <w:sz w:val="32"/>
            </w:rPr>
            <w:fldChar w:fldCharType="end"/>
          </w:r>
          <w:r>
            <w:rPr>
              <w:sz w:val="32"/>
            </w:rPr>
            <w:fldChar w:fldCharType="end"/>
          </w:r>
        </w:p>
        <w:p w14:paraId="4AB1F4A1">
          <w:pPr>
            <w:pStyle w:val="15"/>
            <w:ind w:left="0" w:leftChars="0" w:firstLine="0" w:firstLineChars="0"/>
            <w:rPr>
              <w:rFonts w:ascii="Times New Roman" w:hAnsi="Times New Roman" w:eastAsia="仿宋" w:cs="Times New Roman"/>
              <w:b/>
              <w:sz w:val="32"/>
            </w:rPr>
          </w:pPr>
          <w:r>
            <w:rPr>
              <w:rFonts w:ascii="Times New Roman" w:hAnsi="Times New Roman" w:cs="Times New Roman"/>
              <w:sz w:val="32"/>
            </w:rPr>
            <w:fldChar w:fldCharType="end"/>
          </w:r>
        </w:p>
      </w:sdtContent>
    </w:sdt>
    <w:p w14:paraId="5C15C652">
      <w:pPr>
        <w:pStyle w:val="15"/>
        <w:ind w:left="0" w:leftChars="0" w:firstLine="0" w:firstLineChars="0"/>
        <w:rPr>
          <w:rFonts w:ascii="Times New Roman" w:hAnsi="Times New Roman" w:eastAsia="仿宋" w:cs="Times New Roman"/>
          <w:b/>
          <w:sz w:val="32"/>
        </w:rPr>
      </w:pPr>
    </w:p>
    <w:p w14:paraId="15E2876B">
      <w:pPr>
        <w:spacing w:line="560" w:lineRule="exact"/>
        <w:ind w:firstLine="632"/>
        <w:rPr>
          <w:rFonts w:ascii="Times New Roman" w:hAnsi="Times New Roman" w:cs="Times New Roman"/>
          <w:sz w:val="32"/>
        </w:rPr>
        <w:sectPr>
          <w:headerReference r:id="rId147" w:type="default"/>
          <w:footerReference r:id="rId148" w:type="default"/>
          <w:footerReference r:id="rId149" w:type="even"/>
          <w:pgSz w:w="11906" w:h="16838"/>
          <w:pgMar w:top="2098" w:right="1474" w:bottom="1984" w:left="1587" w:header="624" w:footer="1134" w:gutter="0"/>
          <w:pgNumType w:fmt="upperRoman" w:start="1"/>
          <w:cols w:space="0" w:num="1"/>
          <w:docGrid w:type="linesAndChars" w:linePitch="579" w:charSpace="-842"/>
        </w:sectPr>
      </w:pPr>
    </w:p>
    <w:p w14:paraId="64F3ADE5">
      <w:pPr>
        <w:pStyle w:val="2"/>
        <w:numPr>
          <w:ilvl w:val="0"/>
          <w:numId w:val="230"/>
        </w:numPr>
        <w:tabs>
          <w:tab w:val="left" w:pos="0"/>
          <w:tab w:val="left" w:pos="2211"/>
        </w:tabs>
        <w:ind w:firstLine="0"/>
        <w:rPr>
          <w:rFonts w:ascii="Times New Roman" w:hAnsi="Times New Roman" w:cs="Times New Roman"/>
          <w:sz w:val="32"/>
        </w:rPr>
      </w:pPr>
      <w:bookmarkStart w:id="1410" w:name="_Toc13778"/>
      <w:r>
        <w:rPr>
          <w:rFonts w:ascii="Times New Roman" w:hAnsi="Times New Roman" w:cs="Times New Roman"/>
          <w:sz w:val="32"/>
        </w:rPr>
        <w:t>总则</w:t>
      </w:r>
      <w:bookmarkEnd w:id="1410"/>
    </w:p>
    <w:p w14:paraId="16942090">
      <w:pPr>
        <w:pStyle w:val="3"/>
        <w:spacing w:line="560" w:lineRule="exact"/>
        <w:ind w:firstLine="0" w:firstLineChars="0"/>
        <w:rPr>
          <w:rFonts w:ascii="Times New Roman" w:hAnsi="Times New Roman" w:eastAsia="楷体_GB2312" w:cs="Times New Roman"/>
          <w:sz w:val="32"/>
        </w:rPr>
      </w:pPr>
      <w:bookmarkStart w:id="1411" w:name="_Toc32012"/>
      <w:r>
        <w:rPr>
          <w:rFonts w:ascii="Times New Roman" w:hAnsi="Times New Roman" w:eastAsia="楷体_GB2312" w:cs="Times New Roman"/>
          <w:sz w:val="32"/>
        </w:rPr>
        <w:t>编制目的</w:t>
      </w:r>
      <w:bookmarkEnd w:id="1411"/>
    </w:p>
    <w:p w14:paraId="67A90FC7">
      <w:pPr>
        <w:spacing w:line="560" w:lineRule="exact"/>
        <w:ind w:firstLine="632"/>
        <w:rPr>
          <w:rFonts w:ascii="Times New Roman" w:hAnsi="Times New Roman" w:cs="Times New Roman"/>
          <w:sz w:val="32"/>
        </w:rPr>
      </w:pPr>
      <w:r>
        <w:rPr>
          <w:rFonts w:ascii="Times New Roman" w:hAnsi="Times New Roman" w:cs="Times New Roman"/>
          <w:sz w:val="32"/>
        </w:rPr>
        <w:t>为建立健全</w:t>
      </w:r>
      <w:r>
        <w:rPr>
          <w:rFonts w:hint="eastAsia" w:ascii="Times New Roman" w:hAnsi="Times New Roman" w:cs="Times New Roman"/>
          <w:sz w:val="32"/>
        </w:rPr>
        <w:t>我县应对</w:t>
      </w:r>
      <w:r>
        <w:rPr>
          <w:rFonts w:ascii="Times New Roman" w:hAnsi="Times New Roman" w:cs="Times New Roman"/>
          <w:sz w:val="32"/>
        </w:rPr>
        <w:t>恐怖袭击事件预警和应急机制，提高政府应对恐怖袭击事件能力，有效预防、及时控制和消除恐怖袭击事件的危害，及时、高效、妥善地处置发生在我县境内的恐怖袭击事件，维护社会稳定，维护公共利益，保护人民群众生命和财产安全，为建设和谐平安</w:t>
      </w:r>
      <w:r>
        <w:rPr>
          <w:rFonts w:hint="eastAsia" w:ascii="Times New Roman" w:hAnsi="Times New Roman" w:cs="Times New Roman"/>
          <w:sz w:val="32"/>
        </w:rPr>
        <w:t>集贤</w:t>
      </w:r>
      <w:r>
        <w:rPr>
          <w:rFonts w:ascii="Times New Roman" w:hAnsi="Times New Roman" w:cs="Times New Roman"/>
          <w:sz w:val="32"/>
        </w:rPr>
        <w:t>创造安全稳定的环境，制定本专项预案。</w:t>
      </w:r>
    </w:p>
    <w:p w14:paraId="41F16027">
      <w:pPr>
        <w:pStyle w:val="3"/>
        <w:spacing w:line="560" w:lineRule="exact"/>
        <w:ind w:firstLine="0" w:firstLineChars="0"/>
        <w:rPr>
          <w:rFonts w:ascii="Times New Roman" w:hAnsi="Times New Roman" w:eastAsia="楷体_GB2312" w:cs="Times New Roman"/>
          <w:sz w:val="32"/>
        </w:rPr>
      </w:pPr>
      <w:bookmarkStart w:id="1412" w:name="_Toc18158"/>
      <w:r>
        <w:rPr>
          <w:rFonts w:ascii="Times New Roman" w:hAnsi="Times New Roman" w:eastAsia="楷体_GB2312" w:cs="Times New Roman"/>
          <w:sz w:val="32"/>
        </w:rPr>
        <w:t>编制依据</w:t>
      </w:r>
      <w:bookmarkEnd w:id="1412"/>
    </w:p>
    <w:p w14:paraId="5A8BF33B">
      <w:pPr>
        <w:spacing w:line="560" w:lineRule="exact"/>
        <w:ind w:firstLine="632"/>
        <w:rPr>
          <w:rFonts w:ascii="Times New Roman" w:hAnsi="Times New Roman" w:cs="Times New Roman"/>
          <w:sz w:val="32"/>
        </w:rPr>
      </w:pPr>
      <w:r>
        <w:rPr>
          <w:rFonts w:ascii="Times New Roman" w:hAnsi="Times New Roman" w:cs="Times New Roman"/>
          <w:sz w:val="32"/>
        </w:rPr>
        <w:t>依据《中华人民共和国突发事件应对法》《中华人民共和国刑法》《中华人民共和国戒严法》《中华人民共和国人民警察法</w:t>
      </w:r>
      <w:r>
        <w:rPr>
          <w:rFonts w:hint="eastAsia" w:ascii="Times New Roman" w:hAnsi="Times New Roman" w:cs="Times New Roman"/>
          <w:sz w:val="32"/>
        </w:rPr>
        <w:t>》《</w:t>
      </w:r>
      <w:r>
        <w:rPr>
          <w:rFonts w:ascii="Times New Roman" w:hAnsi="Times New Roman" w:cs="Times New Roman"/>
          <w:sz w:val="32"/>
        </w:rPr>
        <w:t>中华人民共和国治安管理处罚法》《中华人民共和国人民警察使用警械和武器条例》《黑龙江省人民政府突发公共事件总体应急预案》《集贤县突发事件总体应急预案》等</w:t>
      </w:r>
      <w:r>
        <w:rPr>
          <w:rFonts w:hint="eastAsia" w:ascii="Times New Roman" w:hAnsi="Times New Roman" w:cs="Times New Roman"/>
          <w:sz w:val="32"/>
        </w:rPr>
        <w:t>法律法规</w:t>
      </w:r>
      <w:r>
        <w:rPr>
          <w:rFonts w:ascii="Times New Roman" w:hAnsi="Times New Roman" w:cs="Times New Roman"/>
          <w:sz w:val="32"/>
        </w:rPr>
        <w:t>、规章和规范性文件，制定本预案。</w:t>
      </w:r>
    </w:p>
    <w:p w14:paraId="17DA5049">
      <w:pPr>
        <w:pStyle w:val="3"/>
        <w:spacing w:line="560" w:lineRule="exact"/>
        <w:ind w:firstLine="0" w:firstLineChars="0"/>
        <w:rPr>
          <w:rFonts w:ascii="Times New Roman" w:hAnsi="Times New Roman" w:eastAsia="楷体_GB2312" w:cs="Times New Roman"/>
          <w:sz w:val="32"/>
        </w:rPr>
      </w:pPr>
      <w:bookmarkStart w:id="1413" w:name="_Toc19082"/>
      <w:r>
        <w:rPr>
          <w:rFonts w:ascii="Times New Roman" w:hAnsi="Times New Roman" w:eastAsia="楷体_GB2312" w:cs="Times New Roman"/>
          <w:sz w:val="32"/>
        </w:rPr>
        <w:t>适用范围</w:t>
      </w:r>
      <w:bookmarkEnd w:id="1413"/>
    </w:p>
    <w:p w14:paraId="08517060">
      <w:pPr>
        <w:spacing w:line="560" w:lineRule="exact"/>
        <w:ind w:firstLine="632"/>
        <w:rPr>
          <w:rFonts w:ascii="Times New Roman" w:hAnsi="Times New Roman" w:cs="Times New Roman"/>
          <w:sz w:val="32"/>
        </w:rPr>
      </w:pPr>
      <w:r>
        <w:rPr>
          <w:rFonts w:ascii="Times New Roman" w:hAnsi="Times New Roman" w:cs="Times New Roman"/>
          <w:sz w:val="32"/>
        </w:rPr>
        <w:t>本预案适用于</w:t>
      </w:r>
      <w:r>
        <w:rPr>
          <w:rFonts w:hint="eastAsia" w:ascii="Times New Roman" w:hAnsi="Times New Roman" w:cs="Times New Roman"/>
          <w:sz w:val="32"/>
        </w:rPr>
        <w:t>我</w:t>
      </w:r>
      <w:r>
        <w:rPr>
          <w:rFonts w:ascii="Times New Roman" w:hAnsi="Times New Roman" w:cs="Times New Roman"/>
          <w:sz w:val="32"/>
        </w:rPr>
        <w:t>县行政区域内可能发生或者已经发生的，需要由</w:t>
      </w:r>
      <w:r>
        <w:rPr>
          <w:rFonts w:hint="eastAsia" w:ascii="Times New Roman" w:hAnsi="Times New Roman" w:cs="Times New Roman"/>
          <w:sz w:val="32"/>
        </w:rPr>
        <w:t>我</w:t>
      </w:r>
      <w:r>
        <w:rPr>
          <w:rFonts w:ascii="Times New Roman" w:hAnsi="Times New Roman" w:cs="Times New Roman"/>
          <w:sz w:val="32"/>
        </w:rPr>
        <w:t>县处置大规模恐怖袭击事件应急指挥部负责处置的较大恐怖袭击事件的应对工作。</w:t>
      </w:r>
    </w:p>
    <w:p w14:paraId="10DB2A90">
      <w:pPr>
        <w:spacing w:line="560" w:lineRule="exact"/>
        <w:ind w:firstLine="632"/>
        <w:rPr>
          <w:rFonts w:ascii="Times New Roman" w:hAnsi="Times New Roman" w:cs="Times New Roman"/>
          <w:sz w:val="32"/>
        </w:rPr>
      </w:pPr>
      <w:r>
        <w:rPr>
          <w:rFonts w:ascii="Times New Roman" w:hAnsi="Times New Roman" w:cs="Times New Roman"/>
          <w:sz w:val="32"/>
        </w:rPr>
        <w:t>本预案所称的恐怖袭击</w:t>
      </w:r>
      <w:r>
        <w:rPr>
          <w:rFonts w:hint="eastAsia" w:ascii="Times New Roman" w:hAnsi="Times New Roman" w:cs="Times New Roman"/>
          <w:sz w:val="32"/>
        </w:rPr>
        <w:t>指的是国</w:t>
      </w:r>
      <w:r>
        <w:rPr>
          <w:rFonts w:ascii="Times New Roman" w:hAnsi="Times New Roman" w:cs="Times New Roman"/>
          <w:sz w:val="32"/>
        </w:rPr>
        <w:t>内外恐怖组织和恐怖分子在我县境内实</w:t>
      </w:r>
      <w:r>
        <w:rPr>
          <w:rFonts w:hint="eastAsia" w:ascii="Times New Roman" w:hAnsi="Times New Roman" w:cs="Times New Roman"/>
          <w:sz w:val="32"/>
        </w:rPr>
        <w:t>施大</w:t>
      </w:r>
      <w:r>
        <w:rPr>
          <w:rFonts w:ascii="Times New Roman" w:hAnsi="Times New Roman" w:cs="Times New Roman"/>
          <w:sz w:val="32"/>
        </w:rPr>
        <w:t>规模恐怖袭击给国家利益、政府安全、社会秩序和公众生命财产造成重大危害、县处置大规模恐怖袭击事件应急指挥部认为需要直接指挥处置的较大恐怖袭击事件。主要包括：</w:t>
      </w:r>
    </w:p>
    <w:p w14:paraId="46C97C68">
      <w:pPr>
        <w:spacing w:line="560" w:lineRule="exact"/>
        <w:ind w:firstLine="632"/>
        <w:rPr>
          <w:rFonts w:ascii="Times New Roman" w:hAnsi="Times New Roman" w:cs="Times New Roman"/>
          <w:sz w:val="32"/>
        </w:rPr>
      </w:pPr>
      <w:r>
        <w:rPr>
          <w:rFonts w:hint="eastAsia" w:ascii="Times New Roman" w:hAnsi="Times New Roman" w:cs="Times New Roman"/>
          <w:sz w:val="32"/>
        </w:rPr>
        <w:t>（1）</w:t>
      </w:r>
      <w:r>
        <w:rPr>
          <w:rFonts w:ascii="Times New Roman" w:hAnsi="Times New Roman" w:cs="Times New Roman"/>
          <w:sz w:val="32"/>
        </w:rPr>
        <w:t>利用生物战剂、化学毒剂进行较大规模袭击或者攻击生产、贮存、运输生化毒物设施、工具的；</w:t>
      </w:r>
    </w:p>
    <w:p w14:paraId="0510A11C">
      <w:pPr>
        <w:spacing w:line="560" w:lineRule="exact"/>
        <w:ind w:firstLine="632"/>
        <w:rPr>
          <w:rFonts w:ascii="Times New Roman" w:hAnsi="Times New Roman" w:cs="Times New Roman"/>
          <w:sz w:val="32"/>
        </w:rPr>
      </w:pPr>
      <w:r>
        <w:rPr>
          <w:rFonts w:hint="eastAsia" w:ascii="Times New Roman" w:hAnsi="Times New Roman" w:cs="Times New Roman"/>
          <w:sz w:val="32"/>
        </w:rPr>
        <w:t>（2）</w:t>
      </w:r>
      <w:r>
        <w:rPr>
          <w:rFonts w:ascii="Times New Roman" w:hAnsi="Times New Roman" w:cs="Times New Roman"/>
          <w:sz w:val="32"/>
        </w:rPr>
        <w:t>利用核爆炸、核辐射进行袭击或者进行核威胁的；</w:t>
      </w:r>
    </w:p>
    <w:p w14:paraId="4328FCA4">
      <w:pPr>
        <w:spacing w:line="560" w:lineRule="exact"/>
        <w:ind w:firstLine="632"/>
        <w:rPr>
          <w:rFonts w:ascii="Times New Roman" w:hAnsi="Times New Roman" w:cs="Times New Roman"/>
          <w:sz w:val="32"/>
        </w:rPr>
      </w:pPr>
      <w:r>
        <w:rPr>
          <w:rFonts w:hint="eastAsia" w:ascii="Times New Roman" w:hAnsi="Times New Roman" w:cs="Times New Roman"/>
          <w:sz w:val="32"/>
        </w:rPr>
        <w:t>（3）</w:t>
      </w:r>
      <w:r>
        <w:rPr>
          <w:rFonts w:ascii="Times New Roman" w:hAnsi="Times New Roman" w:cs="Times New Roman"/>
          <w:sz w:val="32"/>
        </w:rPr>
        <w:t>利用爆炸手段，袭击党政首脑机关、城市标志性建筑物、公共聚集场所、主要军事设施的；</w:t>
      </w:r>
    </w:p>
    <w:p w14:paraId="3F845B06">
      <w:pPr>
        <w:spacing w:line="560" w:lineRule="exact"/>
        <w:ind w:firstLine="632"/>
        <w:rPr>
          <w:rFonts w:ascii="Times New Roman" w:hAnsi="Times New Roman" w:cs="Times New Roman"/>
          <w:sz w:val="32"/>
        </w:rPr>
      </w:pPr>
      <w:r>
        <w:rPr>
          <w:rFonts w:hint="eastAsia" w:ascii="Times New Roman" w:hAnsi="Times New Roman" w:cs="Times New Roman"/>
          <w:sz w:val="32"/>
        </w:rPr>
        <w:t>（4）</w:t>
      </w:r>
      <w:r>
        <w:rPr>
          <w:rFonts w:ascii="Times New Roman" w:hAnsi="Times New Roman" w:cs="Times New Roman"/>
          <w:sz w:val="32"/>
        </w:rPr>
        <w:t>大规模攻击国家党政机关、军队或民用计算机信息系统，构成较大危害的；</w:t>
      </w:r>
    </w:p>
    <w:p w14:paraId="4FA0CE71">
      <w:pPr>
        <w:spacing w:line="560" w:lineRule="exact"/>
        <w:ind w:firstLine="632"/>
        <w:rPr>
          <w:rFonts w:ascii="Times New Roman" w:hAnsi="Times New Roman" w:cs="Times New Roman"/>
          <w:sz w:val="32"/>
        </w:rPr>
      </w:pPr>
      <w:r>
        <w:rPr>
          <w:rFonts w:hint="eastAsia" w:ascii="Times New Roman" w:hAnsi="Times New Roman" w:cs="Times New Roman"/>
          <w:sz w:val="32"/>
        </w:rPr>
        <w:t>（5）</w:t>
      </w:r>
      <w:r>
        <w:rPr>
          <w:rFonts w:ascii="Times New Roman" w:hAnsi="Times New Roman" w:cs="Times New Roman"/>
          <w:sz w:val="32"/>
        </w:rPr>
        <w:t>大规模袭击大型企业、外资机构及其人员寓所等重要、敏感涉外场所的；</w:t>
      </w:r>
    </w:p>
    <w:p w14:paraId="43956AD9">
      <w:pPr>
        <w:spacing w:line="560" w:lineRule="exact"/>
        <w:ind w:firstLine="632"/>
        <w:rPr>
          <w:rFonts w:ascii="Times New Roman" w:hAnsi="Times New Roman" w:cs="Times New Roman"/>
          <w:sz w:val="32"/>
        </w:rPr>
      </w:pPr>
      <w:r>
        <w:rPr>
          <w:rFonts w:hint="eastAsia" w:ascii="Times New Roman" w:hAnsi="Times New Roman" w:cs="Times New Roman"/>
          <w:sz w:val="32"/>
        </w:rPr>
        <w:t>（6）</w:t>
      </w:r>
      <w:r>
        <w:rPr>
          <w:rFonts w:ascii="Times New Roman" w:hAnsi="Times New Roman" w:cs="Times New Roman"/>
          <w:sz w:val="32"/>
        </w:rPr>
        <w:t>袭击重要知名人士、警卫对象以及大规模袭击或劫持平民，造成较大影响和危害的；</w:t>
      </w:r>
    </w:p>
    <w:p w14:paraId="54F57E43">
      <w:pPr>
        <w:spacing w:line="560" w:lineRule="exact"/>
        <w:ind w:firstLine="632"/>
        <w:rPr>
          <w:rFonts w:ascii="Times New Roman" w:hAnsi="Times New Roman" w:cs="Times New Roman"/>
          <w:sz w:val="32"/>
        </w:rPr>
      </w:pPr>
      <w:r>
        <w:rPr>
          <w:rFonts w:hint="eastAsia" w:ascii="Times New Roman" w:hAnsi="Times New Roman" w:cs="Times New Roman"/>
          <w:sz w:val="32"/>
        </w:rPr>
        <w:t>（7）</w:t>
      </w:r>
      <w:r>
        <w:rPr>
          <w:rFonts w:ascii="Times New Roman" w:hAnsi="Times New Roman" w:cs="Times New Roman"/>
          <w:sz w:val="32"/>
        </w:rPr>
        <w:t>劫持轮船、火车等公共交通工具，造成较严重危害后果的；</w:t>
      </w:r>
    </w:p>
    <w:p w14:paraId="6DE7B0DB">
      <w:pPr>
        <w:spacing w:line="560" w:lineRule="exact"/>
        <w:ind w:firstLine="632"/>
        <w:rPr>
          <w:rFonts w:ascii="Times New Roman" w:hAnsi="Times New Roman" w:cs="Times New Roman"/>
          <w:sz w:val="32"/>
        </w:rPr>
      </w:pPr>
      <w:r>
        <w:rPr>
          <w:rFonts w:hint="eastAsia" w:ascii="Times New Roman" w:hAnsi="Times New Roman" w:cs="Times New Roman"/>
          <w:sz w:val="32"/>
        </w:rPr>
        <w:t>（8）</w:t>
      </w:r>
      <w:r>
        <w:rPr>
          <w:rFonts w:ascii="Times New Roman" w:hAnsi="Times New Roman" w:cs="Times New Roman"/>
          <w:sz w:val="32"/>
        </w:rPr>
        <w:t>其他大规模恐怖袭击事件。</w:t>
      </w:r>
    </w:p>
    <w:p w14:paraId="01CA11A7">
      <w:pPr>
        <w:pStyle w:val="3"/>
        <w:spacing w:line="560" w:lineRule="exact"/>
        <w:ind w:firstLine="0" w:firstLineChars="0"/>
        <w:rPr>
          <w:rFonts w:ascii="Times New Roman" w:hAnsi="Times New Roman" w:eastAsia="楷体_GB2312" w:cs="Times New Roman"/>
          <w:sz w:val="32"/>
        </w:rPr>
      </w:pPr>
      <w:bookmarkStart w:id="1414" w:name="_Toc7198"/>
      <w:r>
        <w:rPr>
          <w:rFonts w:ascii="Times New Roman" w:hAnsi="Times New Roman" w:eastAsia="楷体_GB2312" w:cs="Times New Roman"/>
          <w:sz w:val="32"/>
        </w:rPr>
        <w:t>工作原则</w:t>
      </w:r>
      <w:bookmarkEnd w:id="1414"/>
    </w:p>
    <w:p w14:paraId="60C411D3">
      <w:pPr>
        <w:spacing w:line="560" w:lineRule="exact"/>
        <w:ind w:firstLine="632"/>
        <w:rPr>
          <w:rFonts w:ascii="Times New Roman" w:hAnsi="Times New Roman" w:cs="Times New Roman"/>
          <w:sz w:val="32"/>
        </w:rPr>
      </w:pPr>
      <w:r>
        <w:rPr>
          <w:rFonts w:hint="eastAsia" w:ascii="Times New Roman" w:hAnsi="Times New Roman" w:cs="Times New Roman"/>
          <w:sz w:val="32"/>
        </w:rPr>
        <w:t>（1）</w:t>
      </w:r>
      <w:r>
        <w:rPr>
          <w:rFonts w:ascii="Times New Roman" w:hAnsi="Times New Roman" w:cs="Times New Roman"/>
          <w:sz w:val="32"/>
        </w:rPr>
        <w:t>以人为本、减少危害。把维护国家安全和利益、保障人民群众生命和财产安全作为恐怖袭击事件应急工作的出发点和落脚点，尽最大努力和可能，最大限度地避免和减少因恐怖袭击事件而造成的人员伤亡，减少财产损失和社会影响，尽快恢复社会秩序。</w:t>
      </w:r>
    </w:p>
    <w:p w14:paraId="3332F706">
      <w:pPr>
        <w:spacing w:line="560" w:lineRule="exact"/>
        <w:ind w:firstLine="632"/>
        <w:rPr>
          <w:rFonts w:ascii="Times New Roman" w:hAnsi="Times New Roman" w:cs="Times New Roman"/>
          <w:sz w:val="32"/>
        </w:rPr>
      </w:pPr>
      <w:r>
        <w:rPr>
          <w:rFonts w:hint="eastAsia" w:ascii="Times New Roman" w:hAnsi="Times New Roman" w:cs="Times New Roman"/>
          <w:sz w:val="32"/>
        </w:rPr>
        <w:t>（2）</w:t>
      </w:r>
      <w:r>
        <w:rPr>
          <w:rFonts w:ascii="Times New Roman" w:hAnsi="Times New Roman" w:cs="Times New Roman"/>
          <w:sz w:val="32"/>
        </w:rPr>
        <w:t>统一指挥，分级负责。在县委、县政府的统一领导下，充分依靠各级领导干部和广大人民群众，建立健全组织和动员人民群众参与处置大规模恐怖袭击事件的有效机制。根据恐怖袭击事件的严重性、可控性、所需动用的资源、影响范围等因素，由县政府设定和启动应急预案。本级政府负责统一领导、组织、指挥和协调本行政区域较大、一般恐怖袭击事件的应急工作。</w:t>
      </w:r>
    </w:p>
    <w:p w14:paraId="26744A09">
      <w:pPr>
        <w:spacing w:line="560" w:lineRule="exact"/>
        <w:ind w:firstLine="632"/>
        <w:rPr>
          <w:rFonts w:ascii="Times New Roman" w:hAnsi="Times New Roman" w:cs="Times New Roman"/>
          <w:sz w:val="32"/>
        </w:rPr>
      </w:pPr>
      <w:r>
        <w:rPr>
          <w:rFonts w:hint="eastAsia" w:ascii="Times New Roman" w:hAnsi="Times New Roman" w:cs="Times New Roman"/>
          <w:sz w:val="32"/>
        </w:rPr>
        <w:t>（3）</w:t>
      </w:r>
      <w:r>
        <w:rPr>
          <w:rFonts w:ascii="Times New Roman" w:hAnsi="Times New Roman" w:cs="Times New Roman"/>
          <w:sz w:val="32"/>
        </w:rPr>
        <w:t>预防为主，常备不懈。把预防作为反恐应急工作的中心环节和主要任务，建立和不断完善各项应急机制和保障措施，做好应对恐怖袭击事件的人员、装备、技术和物资等储备工作，加强专业应急队伍的培训和演练。加强对党政首脑机关、事关国计民生的重点单位、要害部位、国家重点工程、重要基础设施、公众聚集场所安全防范和保卫工作，加强专业应急队伍的培训和演练。加大对公众的宣传教育，</w:t>
      </w:r>
      <w:r>
        <w:rPr>
          <w:rFonts w:hint="eastAsia" w:ascii="Times New Roman" w:hAnsi="Times New Roman" w:cs="Times New Roman"/>
          <w:sz w:val="32"/>
        </w:rPr>
        <w:t>增强</w:t>
      </w:r>
      <w:r>
        <w:rPr>
          <w:rFonts w:ascii="Times New Roman" w:hAnsi="Times New Roman" w:cs="Times New Roman"/>
          <w:sz w:val="32"/>
        </w:rPr>
        <w:t>公众的防范意识和自救能力。</w:t>
      </w:r>
    </w:p>
    <w:p w14:paraId="5D72CE79">
      <w:pPr>
        <w:spacing w:line="560" w:lineRule="exact"/>
        <w:ind w:firstLine="632"/>
        <w:rPr>
          <w:rFonts w:ascii="Times New Roman" w:hAnsi="Times New Roman" w:cs="Times New Roman"/>
          <w:sz w:val="32"/>
        </w:rPr>
      </w:pPr>
      <w:r>
        <w:rPr>
          <w:rFonts w:hint="eastAsia" w:ascii="Times New Roman" w:hAnsi="Times New Roman" w:cs="Times New Roman"/>
          <w:sz w:val="32"/>
        </w:rPr>
        <w:t>（4）</w:t>
      </w:r>
      <w:r>
        <w:rPr>
          <w:rFonts w:ascii="Times New Roman" w:hAnsi="Times New Roman" w:cs="Times New Roman"/>
          <w:sz w:val="32"/>
        </w:rPr>
        <w:t>信息共享，资源整合。依托突发公共事件应急的统一的信息系统，建立恐怖袭击事件应急信息平台及共享机制，明确不同类型的恐怖袭击事件应急处置的牵头部门及其职责、权限，其他相关部门、单位充分发挥职能作用，密切配合。充分依靠和发挥武警部队和预备役民兵在处置大规模恐怖袭击事件中的骨干和突击队作用，充分发挥社会力量的基础性作用。</w:t>
      </w:r>
    </w:p>
    <w:p w14:paraId="1ED3B54E">
      <w:pPr>
        <w:spacing w:line="560" w:lineRule="exact"/>
        <w:ind w:firstLine="632"/>
        <w:rPr>
          <w:rFonts w:ascii="Times New Roman" w:hAnsi="Times New Roman" w:cs="Times New Roman"/>
          <w:sz w:val="32"/>
        </w:rPr>
      </w:pPr>
      <w:r>
        <w:rPr>
          <w:rFonts w:hint="eastAsia" w:ascii="Times New Roman" w:hAnsi="Times New Roman" w:cs="Times New Roman"/>
          <w:sz w:val="32"/>
        </w:rPr>
        <w:t>（5）</w:t>
      </w:r>
      <w:r>
        <w:rPr>
          <w:rFonts w:ascii="Times New Roman" w:hAnsi="Times New Roman" w:cs="Times New Roman"/>
          <w:sz w:val="32"/>
        </w:rPr>
        <w:t>反应及时，措施果断。建立恐怖袭击事件预警和快速反应机制，保证预警、响应、处置等环节紧密衔接。采取一切有效措施和手段，控制事态，尽快查清事件真相，缉捕或歼灭并依法从重从快惩治制造恐怖事件或企图制造恐怖袭击事件的恐怖分子，摧毁恐怖组织，保护人民群众生命财产安全。</w:t>
      </w:r>
    </w:p>
    <w:p w14:paraId="29E313A6">
      <w:pPr>
        <w:pStyle w:val="2"/>
        <w:numPr>
          <w:ilvl w:val="0"/>
          <w:numId w:val="231"/>
        </w:numPr>
        <w:tabs>
          <w:tab w:val="left" w:pos="0"/>
        </w:tabs>
        <w:rPr>
          <w:rFonts w:ascii="Times New Roman" w:hAnsi="Times New Roman" w:cs="Times New Roman"/>
          <w:sz w:val="32"/>
        </w:rPr>
      </w:pPr>
      <w:bookmarkStart w:id="1415" w:name="_Toc20887"/>
      <w:r>
        <w:rPr>
          <w:rFonts w:ascii="Times New Roman" w:hAnsi="Times New Roman" w:cs="Times New Roman"/>
          <w:sz w:val="32"/>
        </w:rPr>
        <w:t>组织指挥体系</w:t>
      </w:r>
      <w:bookmarkEnd w:id="1415"/>
    </w:p>
    <w:p w14:paraId="054088A1">
      <w:pPr>
        <w:pStyle w:val="3"/>
        <w:spacing w:line="560" w:lineRule="exact"/>
        <w:ind w:firstLine="0" w:firstLineChars="0"/>
        <w:rPr>
          <w:rFonts w:ascii="Times New Roman" w:hAnsi="Times New Roman" w:eastAsia="楷体_GB2312" w:cs="Times New Roman"/>
          <w:sz w:val="32"/>
        </w:rPr>
      </w:pPr>
      <w:bookmarkStart w:id="1416" w:name="_Toc13373"/>
      <w:r>
        <w:rPr>
          <w:rFonts w:hint="eastAsia" w:ascii="Times New Roman" w:hAnsi="Times New Roman" w:eastAsia="楷体_GB2312" w:cs="Times New Roman"/>
          <w:sz w:val="32"/>
        </w:rPr>
        <w:t>指挥机构</w:t>
      </w:r>
      <w:bookmarkEnd w:id="1416"/>
    </w:p>
    <w:p w14:paraId="743CA25D">
      <w:pPr>
        <w:spacing w:line="560" w:lineRule="exact"/>
        <w:ind w:firstLine="632"/>
        <w:rPr>
          <w:rFonts w:ascii="Times New Roman" w:hAnsi="Times New Roman" w:cs="Times New Roman"/>
          <w:kern w:val="0"/>
          <w:sz w:val="32"/>
        </w:rPr>
      </w:pPr>
      <w:r>
        <w:rPr>
          <w:rFonts w:hint="eastAsia" w:ascii="Times New Roman" w:hAnsi="Times New Roman" w:cs="Times New Roman"/>
          <w:kern w:val="0"/>
          <w:sz w:val="32"/>
        </w:rPr>
        <w:t>集贤县人民政府成立县处置大规模恐怖袭击事件应急指挥部（以下简称县指挥部），作为全县恐怖袭击事件应急工作的指挥机构，在县突发公共事件应急委员会统一领导下开展工作。其主要职责是：根据县应急委的指令，启动相应的应急预案，统一组织、指挥较大恐怖袭击事件的应急处置；根据情况，报请省、市启动重大、特别重大恐怖袭击事件预案；向县应急委提出结束应急状态的建议；组织编制、评估、修订我县处置大规模恐怖袭击事件应急预案和各类专业应急预案，向县应急委提出修订专项应急预案建议等。</w:t>
      </w:r>
    </w:p>
    <w:p w14:paraId="4D3A16B4">
      <w:pPr>
        <w:spacing w:line="560" w:lineRule="exact"/>
        <w:ind w:firstLine="632"/>
        <w:rPr>
          <w:rFonts w:ascii="Times New Roman" w:hAnsi="Times New Roman" w:cs="Times New Roman"/>
          <w:kern w:val="0"/>
          <w:sz w:val="32"/>
        </w:rPr>
      </w:pPr>
      <w:r>
        <w:rPr>
          <w:rFonts w:hint="eastAsia" w:ascii="Times New Roman" w:hAnsi="Times New Roman" w:cs="Times New Roman"/>
          <w:kern w:val="0"/>
          <w:sz w:val="32"/>
        </w:rPr>
        <w:t>县处置大规模恐怖袭击事件应急指挥部由县政府分管副县长、县公安局局长任总指挥，县人民武装部长、县武警中队中队长任副总指挥；县政府办公室、县委宣传部、县人民武装部、县外事办、县公安局、县财政局、县应急管理局、县发展和改革局、县卫生健康局、县人民法院、县人民检察院、县住房和城乡建设局、乡镇人民政府、县武警中队、国家电网集贤供电公司、各通信公司等相关部门、单位为县指挥部成员单位。</w:t>
      </w:r>
    </w:p>
    <w:p w14:paraId="5D4CFD9D">
      <w:pPr>
        <w:spacing w:line="560" w:lineRule="exact"/>
        <w:ind w:firstLine="632"/>
        <w:rPr>
          <w:rFonts w:ascii="Times New Roman" w:hAnsi="Times New Roman" w:cs="Times New Roman"/>
          <w:kern w:val="0"/>
          <w:sz w:val="32"/>
        </w:rPr>
      </w:pPr>
      <w:r>
        <w:rPr>
          <w:rFonts w:hint="eastAsia" w:ascii="Times New Roman" w:hAnsi="Times New Roman" w:cs="Times New Roman"/>
          <w:kern w:val="0"/>
          <w:sz w:val="32"/>
        </w:rPr>
        <w:t>各成员单位在应急指挥部中分别承担如下职责：</w:t>
      </w:r>
    </w:p>
    <w:p w14:paraId="714E6A8C">
      <w:pPr>
        <w:spacing w:line="560" w:lineRule="exact"/>
        <w:ind w:firstLine="634"/>
        <w:rPr>
          <w:rFonts w:ascii="Times New Roman" w:hAnsi="Times New Roman" w:cs="Times New Roman"/>
          <w:kern w:val="0"/>
          <w:sz w:val="32"/>
        </w:rPr>
      </w:pPr>
      <w:r>
        <w:rPr>
          <w:rFonts w:hint="eastAsia" w:ascii="Times New Roman" w:hAnsi="Times New Roman" w:cs="Times New Roman"/>
          <w:b/>
          <w:bCs/>
          <w:kern w:val="0"/>
          <w:sz w:val="32"/>
        </w:rPr>
        <w:t>县政府办公室：</w:t>
      </w:r>
      <w:r>
        <w:rPr>
          <w:rFonts w:hint="eastAsia" w:ascii="Times New Roman" w:hAnsi="Times New Roman" w:cs="Times New Roman"/>
          <w:kern w:val="0"/>
          <w:sz w:val="32"/>
        </w:rPr>
        <w:t>做好以县政府或县政府办公室名义下发有关反恐文件的审核工作，参与协调处置涉及国家安全和有重大影响的恐怖事件。</w:t>
      </w:r>
    </w:p>
    <w:p w14:paraId="6EA02E2C">
      <w:pPr>
        <w:spacing w:line="560" w:lineRule="exact"/>
        <w:ind w:firstLine="634"/>
        <w:rPr>
          <w:rFonts w:ascii="Times New Roman" w:hAnsi="Times New Roman" w:cs="Times New Roman"/>
          <w:kern w:val="0"/>
          <w:sz w:val="32"/>
        </w:rPr>
      </w:pPr>
      <w:r>
        <w:rPr>
          <w:rFonts w:hint="eastAsia" w:ascii="Times New Roman" w:hAnsi="Times New Roman" w:cs="Times New Roman"/>
          <w:b/>
          <w:bCs/>
          <w:kern w:val="0"/>
          <w:sz w:val="32"/>
        </w:rPr>
        <w:t>县委宣传部：</w:t>
      </w:r>
      <w:r>
        <w:rPr>
          <w:rFonts w:hint="eastAsia" w:ascii="Times New Roman" w:hAnsi="Times New Roman" w:cs="Times New Roman"/>
          <w:kern w:val="0"/>
          <w:sz w:val="32"/>
        </w:rPr>
        <w:t>把握对内、对外新闻舆论导向，减小恐怖事件所产生的负面影响。</w:t>
      </w:r>
    </w:p>
    <w:p w14:paraId="741DD01A">
      <w:pPr>
        <w:spacing w:line="560" w:lineRule="exact"/>
        <w:ind w:firstLine="634"/>
        <w:rPr>
          <w:rFonts w:ascii="Times New Roman" w:hAnsi="Times New Roman" w:cs="Times New Roman"/>
          <w:kern w:val="0"/>
          <w:sz w:val="32"/>
        </w:rPr>
      </w:pPr>
      <w:r>
        <w:rPr>
          <w:rFonts w:hint="eastAsia" w:ascii="Times New Roman" w:hAnsi="Times New Roman" w:cs="Times New Roman"/>
          <w:b/>
          <w:bCs/>
          <w:kern w:val="0"/>
          <w:sz w:val="32"/>
        </w:rPr>
        <w:t>县人民武装部：</w:t>
      </w:r>
      <w:r>
        <w:rPr>
          <w:rFonts w:hint="eastAsia" w:ascii="Times New Roman" w:hAnsi="Times New Roman" w:cs="Times New Roman"/>
          <w:kern w:val="0"/>
          <w:sz w:val="32"/>
        </w:rPr>
        <w:t>搜集、整理境内外恐怖活动的情报信息，为有关部门打击恐怖活动提供决策性、预警性情报；根据应急处置工作需要及县指挥部要求，并报经上级相关部门批准，派遣和协调相关部队配合公安、武警处置恐怖事件和紧急救援工作。</w:t>
      </w:r>
    </w:p>
    <w:p w14:paraId="54E7643B">
      <w:pPr>
        <w:spacing w:line="560" w:lineRule="exact"/>
        <w:ind w:firstLine="634"/>
        <w:rPr>
          <w:rFonts w:ascii="Times New Roman" w:hAnsi="Times New Roman" w:cs="Times New Roman"/>
          <w:kern w:val="0"/>
          <w:sz w:val="32"/>
        </w:rPr>
      </w:pPr>
      <w:r>
        <w:rPr>
          <w:rFonts w:hint="eastAsia" w:ascii="Times New Roman" w:hAnsi="Times New Roman" w:cs="Times New Roman"/>
          <w:b/>
          <w:bCs/>
          <w:kern w:val="0"/>
          <w:sz w:val="32"/>
        </w:rPr>
        <w:t>县外事办：</w:t>
      </w:r>
      <w:r>
        <w:rPr>
          <w:rFonts w:hint="eastAsia" w:ascii="Times New Roman" w:hAnsi="Times New Roman" w:cs="Times New Roman"/>
          <w:kern w:val="0"/>
          <w:sz w:val="32"/>
        </w:rPr>
        <w:t>负责在省、市有关部门指导下处理我县应急处置工作中的涉外事项。</w:t>
      </w:r>
    </w:p>
    <w:p w14:paraId="5C30D21F">
      <w:pPr>
        <w:spacing w:line="560" w:lineRule="exact"/>
        <w:ind w:firstLine="634"/>
        <w:rPr>
          <w:rFonts w:ascii="Times New Roman" w:hAnsi="Times New Roman" w:cs="Times New Roman"/>
          <w:kern w:val="0"/>
          <w:sz w:val="32"/>
        </w:rPr>
      </w:pPr>
      <w:r>
        <w:rPr>
          <w:rFonts w:hint="eastAsia" w:ascii="Times New Roman" w:hAnsi="Times New Roman" w:cs="Times New Roman"/>
          <w:b/>
          <w:bCs/>
          <w:kern w:val="0"/>
          <w:sz w:val="32"/>
        </w:rPr>
        <w:t>县公安局：</w:t>
      </w:r>
      <w:r>
        <w:rPr>
          <w:rFonts w:hint="eastAsia" w:ascii="Times New Roman" w:hAnsi="Times New Roman" w:cs="Times New Roman"/>
          <w:kern w:val="0"/>
          <w:sz w:val="32"/>
        </w:rPr>
        <w:t>负责制定落实县指挥部应急处置工作方案等具体实施，负责县指挥部办公室的日常工作。组织、开展对恐怖活动情报的搜集、整理、评估、核实工作，分析、研究反恐怖斗争的形势，为应急处置工作提供决策性、预警性情报信息。</w:t>
      </w:r>
    </w:p>
    <w:p w14:paraId="753874AF">
      <w:pPr>
        <w:spacing w:line="560" w:lineRule="exact"/>
        <w:ind w:firstLine="634"/>
        <w:rPr>
          <w:rFonts w:ascii="Times New Roman" w:hAnsi="Times New Roman" w:cs="Times New Roman"/>
          <w:kern w:val="0"/>
          <w:sz w:val="32"/>
        </w:rPr>
      </w:pPr>
      <w:r>
        <w:rPr>
          <w:rFonts w:hint="eastAsia" w:ascii="Times New Roman" w:hAnsi="Times New Roman" w:cs="Times New Roman"/>
          <w:b/>
          <w:bCs/>
          <w:kern w:val="0"/>
          <w:sz w:val="32"/>
        </w:rPr>
        <w:t>县财政局：</w:t>
      </w:r>
      <w:r>
        <w:rPr>
          <w:rFonts w:hint="eastAsia" w:ascii="Times New Roman" w:hAnsi="Times New Roman" w:cs="Times New Roman"/>
          <w:kern w:val="0"/>
          <w:sz w:val="32"/>
        </w:rPr>
        <w:t>负责为应急处置工作提供经费保障。</w:t>
      </w:r>
    </w:p>
    <w:p w14:paraId="65514E6C">
      <w:pPr>
        <w:spacing w:line="560" w:lineRule="exact"/>
        <w:ind w:firstLine="634"/>
        <w:rPr>
          <w:rFonts w:ascii="Times New Roman" w:hAnsi="Times New Roman" w:cs="Times New Roman"/>
          <w:kern w:val="0"/>
          <w:sz w:val="32"/>
        </w:rPr>
      </w:pPr>
      <w:r>
        <w:rPr>
          <w:rFonts w:hint="eastAsia" w:ascii="Times New Roman" w:hAnsi="Times New Roman" w:cs="Times New Roman"/>
          <w:b/>
          <w:bCs/>
          <w:kern w:val="0"/>
          <w:sz w:val="32"/>
        </w:rPr>
        <w:t>县应急管理局：</w:t>
      </w:r>
      <w:r>
        <w:rPr>
          <w:rFonts w:hint="eastAsia" w:ascii="Times New Roman" w:hAnsi="Times New Roman" w:cs="Times New Roman"/>
          <w:kern w:val="0"/>
          <w:sz w:val="32"/>
        </w:rPr>
        <w:t>负责恐怖袭击事件处置中应急值守、信息汇总、综合协调等职责。</w:t>
      </w:r>
    </w:p>
    <w:p w14:paraId="4FA400F4">
      <w:pPr>
        <w:spacing w:line="560" w:lineRule="exact"/>
        <w:ind w:firstLine="634"/>
        <w:rPr>
          <w:rFonts w:ascii="Times New Roman" w:hAnsi="Times New Roman" w:cs="Times New Roman"/>
          <w:kern w:val="0"/>
          <w:sz w:val="32"/>
        </w:rPr>
      </w:pPr>
      <w:r>
        <w:rPr>
          <w:rFonts w:hint="eastAsia" w:ascii="Times New Roman" w:hAnsi="Times New Roman" w:cs="Times New Roman"/>
          <w:b/>
          <w:bCs/>
          <w:kern w:val="0"/>
          <w:sz w:val="32"/>
        </w:rPr>
        <w:t>县发展和改革局：</w:t>
      </w:r>
      <w:r>
        <w:rPr>
          <w:rFonts w:hint="eastAsia" w:ascii="Times New Roman" w:hAnsi="Times New Roman" w:cs="Times New Roman"/>
          <w:kern w:val="0"/>
          <w:sz w:val="32"/>
        </w:rPr>
        <w:t>负责我县有关部门开展反恐怖工作和加强反恐怖重要设施、技术装备的立项和投资安排。</w:t>
      </w:r>
    </w:p>
    <w:p w14:paraId="211E873E">
      <w:pPr>
        <w:spacing w:line="560" w:lineRule="exact"/>
        <w:ind w:firstLine="634"/>
        <w:rPr>
          <w:rFonts w:ascii="Times New Roman" w:hAnsi="Times New Roman" w:cs="Times New Roman"/>
          <w:kern w:val="0"/>
          <w:sz w:val="32"/>
        </w:rPr>
      </w:pPr>
      <w:r>
        <w:rPr>
          <w:rFonts w:hint="eastAsia" w:ascii="Times New Roman" w:hAnsi="Times New Roman" w:cs="Times New Roman"/>
          <w:b/>
          <w:bCs/>
          <w:kern w:val="0"/>
          <w:sz w:val="32"/>
        </w:rPr>
        <w:t>县卫生健康局：</w:t>
      </w:r>
      <w:r>
        <w:rPr>
          <w:rFonts w:hint="eastAsia" w:ascii="Times New Roman" w:hAnsi="Times New Roman" w:cs="Times New Roman"/>
          <w:kern w:val="0"/>
          <w:sz w:val="32"/>
        </w:rPr>
        <w:t>为我县应急处置和紧急救援提供公共卫生及医疗保障，组织协调药监、医药部门提供药品保障。</w:t>
      </w:r>
    </w:p>
    <w:p w14:paraId="6DEF1210">
      <w:pPr>
        <w:spacing w:line="560" w:lineRule="exact"/>
        <w:ind w:firstLine="634"/>
        <w:rPr>
          <w:rFonts w:ascii="Times New Roman" w:hAnsi="Times New Roman" w:cs="Times New Roman"/>
          <w:kern w:val="0"/>
          <w:sz w:val="32"/>
        </w:rPr>
      </w:pPr>
      <w:r>
        <w:rPr>
          <w:rFonts w:hint="eastAsia" w:ascii="Times New Roman" w:hAnsi="Times New Roman" w:cs="Times New Roman"/>
          <w:b/>
          <w:bCs/>
          <w:kern w:val="0"/>
          <w:sz w:val="32"/>
        </w:rPr>
        <w:t>县人民法院：</w:t>
      </w:r>
      <w:r>
        <w:rPr>
          <w:rFonts w:hint="eastAsia" w:ascii="Times New Roman" w:hAnsi="Times New Roman" w:cs="Times New Roman"/>
          <w:kern w:val="0"/>
          <w:sz w:val="32"/>
        </w:rPr>
        <w:t>对恐怖犯罪涉案嫌疑人依法进行审判。</w:t>
      </w:r>
    </w:p>
    <w:p w14:paraId="779B47D0">
      <w:pPr>
        <w:spacing w:line="560" w:lineRule="exact"/>
        <w:ind w:firstLine="634"/>
        <w:rPr>
          <w:rFonts w:ascii="Times New Roman" w:hAnsi="Times New Roman" w:cs="Times New Roman"/>
          <w:kern w:val="0"/>
          <w:sz w:val="32"/>
        </w:rPr>
      </w:pPr>
      <w:r>
        <w:rPr>
          <w:rFonts w:hint="eastAsia" w:ascii="Times New Roman" w:hAnsi="Times New Roman" w:cs="Times New Roman"/>
          <w:b/>
          <w:bCs/>
          <w:kern w:val="0"/>
          <w:sz w:val="32"/>
        </w:rPr>
        <w:t>县人民检察院：</w:t>
      </w:r>
      <w:r>
        <w:rPr>
          <w:rFonts w:hint="eastAsia" w:ascii="Times New Roman" w:hAnsi="Times New Roman" w:cs="Times New Roman"/>
          <w:kern w:val="0"/>
          <w:sz w:val="32"/>
        </w:rPr>
        <w:t>对恐怖犯罪涉案嫌疑人依法进行起诉。</w:t>
      </w:r>
    </w:p>
    <w:p w14:paraId="69A339C6">
      <w:pPr>
        <w:spacing w:line="560" w:lineRule="exact"/>
        <w:ind w:firstLine="634"/>
        <w:rPr>
          <w:rFonts w:ascii="Times New Roman" w:hAnsi="Times New Roman" w:cs="Times New Roman"/>
          <w:kern w:val="0"/>
          <w:sz w:val="32"/>
        </w:rPr>
      </w:pPr>
      <w:r>
        <w:rPr>
          <w:rFonts w:hint="eastAsia" w:ascii="Times New Roman" w:hAnsi="Times New Roman" w:cs="Times New Roman"/>
          <w:b/>
          <w:bCs/>
          <w:kern w:val="0"/>
          <w:sz w:val="32"/>
        </w:rPr>
        <w:t>县住房和城乡建设局</w:t>
      </w:r>
      <w:r>
        <w:rPr>
          <w:rFonts w:hint="eastAsia" w:ascii="Times New Roman" w:hAnsi="Times New Roman" w:cs="Times New Roman"/>
          <w:kern w:val="0"/>
          <w:sz w:val="32"/>
        </w:rPr>
        <w:t>：加强城市公共交通、城市水源地、供水、供热、供气、紧急避难场所等公共设施的安全与防范工作，参与恐怖袭击事件发生后的应急处置、工程抢险和有关保障等工作。</w:t>
      </w:r>
    </w:p>
    <w:p w14:paraId="1FE12BEA">
      <w:pPr>
        <w:ind w:firstLine="634"/>
        <w:rPr>
          <w:rFonts w:ascii="Times New Roman" w:hAnsi="Times New Roman"/>
          <w:sz w:val="32"/>
        </w:rPr>
      </w:pPr>
      <w:r>
        <w:rPr>
          <w:rFonts w:hint="eastAsia" w:ascii="Times New Roman" w:hAnsi="Times New Roman"/>
          <w:b/>
          <w:bCs/>
          <w:sz w:val="32"/>
        </w:rPr>
        <w:t>乡镇人民政府：</w:t>
      </w:r>
      <w:r>
        <w:rPr>
          <w:rFonts w:hint="eastAsia" w:ascii="Times New Roman" w:hAnsi="Times New Roman"/>
          <w:sz w:val="32"/>
        </w:rPr>
        <w:t>按照属地管理、分级负责的原则，报告当地民族宗教群体性事件信息，参与处置工作。</w:t>
      </w:r>
    </w:p>
    <w:p w14:paraId="298EC118">
      <w:pPr>
        <w:spacing w:line="560" w:lineRule="exact"/>
        <w:ind w:firstLine="634"/>
        <w:rPr>
          <w:rFonts w:ascii="Times New Roman" w:hAnsi="Times New Roman" w:cs="Times New Roman"/>
          <w:kern w:val="0"/>
          <w:sz w:val="32"/>
        </w:rPr>
      </w:pPr>
      <w:r>
        <w:rPr>
          <w:rFonts w:hint="eastAsia" w:ascii="Times New Roman" w:hAnsi="Times New Roman" w:cs="Times New Roman"/>
          <w:b/>
          <w:bCs/>
          <w:kern w:val="0"/>
          <w:sz w:val="32"/>
        </w:rPr>
        <w:t>县武警中队：</w:t>
      </w:r>
      <w:r>
        <w:rPr>
          <w:rFonts w:hint="eastAsia" w:ascii="Times New Roman" w:hAnsi="Times New Roman" w:cs="Times New Roman"/>
          <w:kern w:val="0"/>
          <w:sz w:val="32"/>
        </w:rPr>
        <w:t>严密组织重要目标警戒，防止恐怖活动对重要目标的侵害，组织武警部队参与处置暴力恐怖事件和紧急救援工作。</w:t>
      </w:r>
    </w:p>
    <w:p w14:paraId="1CD8013C">
      <w:pPr>
        <w:spacing w:line="560" w:lineRule="exact"/>
        <w:ind w:firstLine="634"/>
        <w:rPr>
          <w:rFonts w:ascii="Times New Roman" w:hAnsi="Times New Roman" w:cs="Times New Roman"/>
          <w:kern w:val="0"/>
          <w:sz w:val="32"/>
        </w:rPr>
      </w:pPr>
      <w:r>
        <w:rPr>
          <w:rFonts w:hint="eastAsia" w:ascii="Times New Roman" w:hAnsi="Times New Roman" w:cs="Times New Roman"/>
          <w:b/>
          <w:bCs/>
          <w:kern w:val="0"/>
          <w:sz w:val="32"/>
        </w:rPr>
        <w:t>国家电网集贤供电公司：</w:t>
      </w:r>
      <w:r>
        <w:rPr>
          <w:rFonts w:hint="eastAsia" w:ascii="Times New Roman" w:hAnsi="Times New Roman" w:cs="Times New Roman"/>
          <w:kern w:val="0"/>
          <w:sz w:val="32"/>
        </w:rPr>
        <w:t>担负恐怖袭击事件发生后我县电力设施的安全维护和抢险，确保电力供给等工作。</w:t>
      </w:r>
    </w:p>
    <w:p w14:paraId="45ABF321">
      <w:pPr>
        <w:ind w:firstLine="634"/>
        <w:rPr>
          <w:rFonts w:ascii="Times New Roman" w:hAnsi="Times New Roman" w:cs="Times New Roman"/>
          <w:kern w:val="0"/>
          <w:sz w:val="32"/>
        </w:rPr>
      </w:pPr>
      <w:r>
        <w:rPr>
          <w:rFonts w:hint="eastAsia" w:ascii="Times New Roman" w:hAnsi="Times New Roman" w:cs="Times New Roman"/>
          <w:b/>
          <w:bCs/>
          <w:kern w:val="0"/>
          <w:sz w:val="32"/>
        </w:rPr>
        <w:t>县电信、移动、联通公司：</w:t>
      </w:r>
      <w:r>
        <w:rPr>
          <w:rFonts w:hint="eastAsia" w:ascii="Times New Roman" w:hAnsi="Times New Roman" w:cs="Times New Roman"/>
          <w:kern w:val="0"/>
          <w:sz w:val="32"/>
        </w:rPr>
        <w:t>负责配合有关部门查询境内外恐怖组织和恐怖分子利用通信网络从事恐怖活动的情况；按照有关规定封堵境内外互联网散布的不利于应急指挥部开展应急处置工作的信息，负责应急处置和紧急救援工作的通信保障组织工作。</w:t>
      </w:r>
    </w:p>
    <w:p w14:paraId="1CBBD24D">
      <w:pPr>
        <w:spacing w:line="560" w:lineRule="exact"/>
        <w:ind w:firstLine="632"/>
        <w:rPr>
          <w:rFonts w:ascii="Times New Roman" w:hAnsi="Times New Roman" w:cs="Times New Roman"/>
          <w:sz w:val="32"/>
        </w:rPr>
      </w:pPr>
      <w:r>
        <w:rPr>
          <w:rFonts w:hint="eastAsia" w:ascii="Times New Roman" w:hAnsi="Times New Roman" w:cs="Times New Roman"/>
          <w:kern w:val="0"/>
          <w:sz w:val="32"/>
        </w:rPr>
        <w:t>恐怖袭击事件发生后，县指挥部可以根据需要，在事发地设立现场指挥部，由县政府主要领导任总指挥（特殊的恐怖袭击事件由县指挥部指定现场总指挥），有关部门和单位的负责人为指挥部成员。现场指挥部的主要职责是：在县指挥部的领导下，具体负责指挥事发现场的应急处置工作；全面掌握和控制事件发展态势，及时向县指挥部报告有关情况，为上级决策提供建议等。</w:t>
      </w:r>
    </w:p>
    <w:p w14:paraId="18082080">
      <w:pPr>
        <w:pStyle w:val="3"/>
        <w:spacing w:line="560" w:lineRule="exact"/>
        <w:ind w:firstLine="0" w:firstLineChars="0"/>
        <w:rPr>
          <w:rFonts w:ascii="Times New Roman" w:hAnsi="Times New Roman" w:eastAsia="楷体_GB2312" w:cs="Times New Roman"/>
          <w:sz w:val="32"/>
        </w:rPr>
      </w:pPr>
      <w:bookmarkStart w:id="1417" w:name="_Toc15877"/>
      <w:r>
        <w:rPr>
          <w:rFonts w:ascii="Times New Roman" w:hAnsi="Times New Roman" w:eastAsia="楷体_GB2312" w:cs="Times New Roman"/>
          <w:sz w:val="32"/>
        </w:rPr>
        <w:t>办事机构</w:t>
      </w:r>
      <w:bookmarkEnd w:id="1417"/>
    </w:p>
    <w:p w14:paraId="41A4C087">
      <w:pPr>
        <w:spacing w:line="560" w:lineRule="exact"/>
        <w:ind w:firstLine="632"/>
        <w:rPr>
          <w:rFonts w:ascii="Times New Roman" w:hAnsi="Times New Roman" w:cs="Times New Roman"/>
          <w:sz w:val="32"/>
        </w:rPr>
      </w:pPr>
      <w:r>
        <w:rPr>
          <w:rFonts w:ascii="Times New Roman" w:hAnsi="Times New Roman" w:cs="Times New Roman"/>
          <w:sz w:val="32"/>
        </w:rPr>
        <w:t>县处置大规模恐怖袭击事件应急指挥部下设办公室（设县公安局），作为其日常办事机构，主任由县公安局分管副局长担任，其职责是：</w:t>
      </w:r>
    </w:p>
    <w:p w14:paraId="6C4AB45B">
      <w:pPr>
        <w:spacing w:line="560" w:lineRule="exact"/>
        <w:ind w:firstLine="632"/>
        <w:rPr>
          <w:rFonts w:ascii="Times New Roman" w:hAnsi="Times New Roman" w:cs="Times New Roman"/>
          <w:sz w:val="32"/>
        </w:rPr>
      </w:pPr>
      <w:r>
        <w:rPr>
          <w:rFonts w:hint="eastAsia" w:ascii="Times New Roman" w:hAnsi="Times New Roman" w:cs="Times New Roman"/>
          <w:sz w:val="32"/>
        </w:rPr>
        <w:t>（1）</w:t>
      </w:r>
      <w:r>
        <w:rPr>
          <w:rFonts w:ascii="Times New Roman" w:hAnsi="Times New Roman" w:cs="Times New Roman"/>
          <w:sz w:val="32"/>
        </w:rPr>
        <w:t>执行县指挥部决定，负责全县恐怖袭击事件应急处置工作的综合协调及相关组织管理工作；</w:t>
      </w:r>
    </w:p>
    <w:p w14:paraId="2A00DD3D">
      <w:pPr>
        <w:spacing w:line="560" w:lineRule="exact"/>
        <w:ind w:firstLine="632"/>
        <w:rPr>
          <w:rFonts w:ascii="Times New Roman" w:hAnsi="Times New Roman" w:cs="Times New Roman"/>
          <w:sz w:val="32"/>
        </w:rPr>
      </w:pPr>
      <w:r>
        <w:rPr>
          <w:rFonts w:hint="eastAsia" w:ascii="Times New Roman" w:hAnsi="Times New Roman" w:cs="Times New Roman"/>
          <w:sz w:val="32"/>
        </w:rPr>
        <w:t>（2）</w:t>
      </w:r>
      <w:r>
        <w:rPr>
          <w:rFonts w:ascii="Times New Roman" w:hAnsi="Times New Roman" w:cs="Times New Roman"/>
          <w:sz w:val="32"/>
        </w:rPr>
        <w:t>及时掌握、分析重要情报信息并向县指挥部提出处理意见，为县指挥部拟定决策意见；</w:t>
      </w:r>
    </w:p>
    <w:p w14:paraId="40CBF1AF">
      <w:pPr>
        <w:spacing w:line="560" w:lineRule="exact"/>
        <w:ind w:firstLine="632"/>
        <w:rPr>
          <w:rFonts w:ascii="Times New Roman" w:hAnsi="Times New Roman" w:cs="Times New Roman"/>
          <w:sz w:val="32"/>
        </w:rPr>
      </w:pPr>
      <w:r>
        <w:rPr>
          <w:rFonts w:hint="eastAsia" w:ascii="Times New Roman" w:hAnsi="Times New Roman" w:cs="Times New Roman"/>
          <w:sz w:val="32"/>
        </w:rPr>
        <w:t>（3）</w:t>
      </w:r>
      <w:r>
        <w:rPr>
          <w:rFonts w:ascii="Times New Roman" w:hAnsi="Times New Roman" w:cs="Times New Roman"/>
          <w:sz w:val="32"/>
        </w:rPr>
        <w:t>建立全县恐怖袭击事件应急信息管理系统、应急指挥机制和落实各项保障措施；</w:t>
      </w:r>
    </w:p>
    <w:p w14:paraId="1D82E6B3">
      <w:pPr>
        <w:spacing w:line="560" w:lineRule="exact"/>
        <w:ind w:firstLine="632"/>
        <w:rPr>
          <w:rFonts w:ascii="Times New Roman" w:hAnsi="Times New Roman" w:cs="Times New Roman"/>
          <w:sz w:val="32"/>
        </w:rPr>
      </w:pPr>
      <w:r>
        <w:rPr>
          <w:rFonts w:hint="eastAsia" w:ascii="Times New Roman" w:hAnsi="Times New Roman" w:cs="Times New Roman"/>
          <w:sz w:val="32"/>
        </w:rPr>
        <w:t>（4）</w:t>
      </w:r>
      <w:r>
        <w:rPr>
          <w:rFonts w:ascii="Times New Roman" w:hAnsi="Times New Roman" w:cs="Times New Roman"/>
          <w:sz w:val="32"/>
        </w:rPr>
        <w:t>负责指导现场指挥部开展具体工作，组织对应急处置工作进行评估和总结；</w:t>
      </w:r>
    </w:p>
    <w:p w14:paraId="136865CA">
      <w:pPr>
        <w:spacing w:line="560" w:lineRule="exact"/>
        <w:ind w:firstLine="632"/>
        <w:rPr>
          <w:rFonts w:ascii="Times New Roman" w:hAnsi="Times New Roman" w:cs="Times New Roman"/>
          <w:sz w:val="32"/>
        </w:rPr>
      </w:pPr>
      <w:r>
        <w:rPr>
          <w:rFonts w:hint="eastAsia" w:ascii="Times New Roman" w:hAnsi="Times New Roman" w:cs="Times New Roman"/>
          <w:sz w:val="32"/>
        </w:rPr>
        <w:t>（5）</w:t>
      </w:r>
      <w:r>
        <w:rPr>
          <w:rFonts w:ascii="Times New Roman" w:hAnsi="Times New Roman" w:cs="Times New Roman"/>
          <w:sz w:val="32"/>
        </w:rPr>
        <w:t>联系各成员单位，对其履行应急预案的职责情况进行指导、督促和检查；</w:t>
      </w:r>
    </w:p>
    <w:p w14:paraId="1AB4D963">
      <w:pPr>
        <w:spacing w:line="560" w:lineRule="exact"/>
        <w:ind w:firstLine="632"/>
        <w:rPr>
          <w:rFonts w:ascii="Times New Roman" w:hAnsi="Times New Roman" w:cs="Times New Roman"/>
          <w:sz w:val="32"/>
        </w:rPr>
      </w:pPr>
      <w:r>
        <w:rPr>
          <w:rFonts w:hint="eastAsia" w:ascii="Times New Roman" w:hAnsi="Times New Roman" w:cs="Times New Roman"/>
          <w:sz w:val="32"/>
        </w:rPr>
        <w:t>（6）</w:t>
      </w:r>
      <w:r>
        <w:rPr>
          <w:rFonts w:ascii="Times New Roman" w:hAnsi="Times New Roman" w:cs="Times New Roman"/>
          <w:sz w:val="32"/>
        </w:rPr>
        <w:t>组织、指导专业应急队伍的培训与演练；</w:t>
      </w:r>
    </w:p>
    <w:p w14:paraId="56233CE8">
      <w:pPr>
        <w:spacing w:line="560" w:lineRule="exact"/>
        <w:ind w:firstLine="632"/>
        <w:rPr>
          <w:rFonts w:ascii="Times New Roman" w:hAnsi="Times New Roman" w:cs="Times New Roman"/>
          <w:sz w:val="32"/>
        </w:rPr>
      </w:pPr>
      <w:r>
        <w:rPr>
          <w:rFonts w:hint="eastAsia" w:ascii="Times New Roman" w:hAnsi="Times New Roman" w:cs="Times New Roman"/>
          <w:sz w:val="32"/>
        </w:rPr>
        <w:t>（7）</w:t>
      </w:r>
      <w:r>
        <w:rPr>
          <w:rFonts w:ascii="Times New Roman" w:hAnsi="Times New Roman" w:cs="Times New Roman"/>
          <w:sz w:val="32"/>
        </w:rPr>
        <w:t>组织开展恐怖袭击事件的预防和宣传教育；</w:t>
      </w:r>
    </w:p>
    <w:p w14:paraId="784B9860">
      <w:pPr>
        <w:spacing w:line="560" w:lineRule="exact"/>
        <w:ind w:firstLine="632"/>
        <w:rPr>
          <w:rFonts w:ascii="Times New Roman" w:hAnsi="Times New Roman" w:cs="Times New Roman"/>
          <w:sz w:val="32"/>
        </w:rPr>
      </w:pPr>
      <w:r>
        <w:rPr>
          <w:rFonts w:hint="eastAsia" w:ascii="Times New Roman" w:hAnsi="Times New Roman" w:cs="Times New Roman"/>
          <w:sz w:val="32"/>
        </w:rPr>
        <w:t>（8）</w:t>
      </w:r>
      <w:r>
        <w:rPr>
          <w:rFonts w:ascii="Times New Roman" w:hAnsi="Times New Roman" w:cs="Times New Roman"/>
          <w:sz w:val="32"/>
        </w:rPr>
        <w:t>组织、推动处置恐怖袭击事件的技术手段、专用装备及救援设备的运用工作；</w:t>
      </w:r>
    </w:p>
    <w:p w14:paraId="20B8F6D2">
      <w:pPr>
        <w:spacing w:line="560" w:lineRule="exact"/>
        <w:ind w:firstLine="632"/>
        <w:rPr>
          <w:rFonts w:ascii="Times New Roman" w:hAnsi="Times New Roman" w:cs="Times New Roman"/>
          <w:sz w:val="32"/>
        </w:rPr>
      </w:pPr>
      <w:r>
        <w:rPr>
          <w:rFonts w:hint="eastAsia" w:ascii="Times New Roman" w:hAnsi="Times New Roman" w:cs="Times New Roman"/>
          <w:sz w:val="32"/>
        </w:rPr>
        <w:t>（9）</w:t>
      </w:r>
      <w:r>
        <w:rPr>
          <w:rFonts w:ascii="Times New Roman" w:hAnsi="Times New Roman" w:cs="Times New Roman"/>
          <w:sz w:val="32"/>
        </w:rPr>
        <w:t>承担组织编制、评估、修订县政府处置恐怖袭击事件各类专业预案的具体工作等；</w:t>
      </w:r>
    </w:p>
    <w:p w14:paraId="4178D8C5">
      <w:pPr>
        <w:spacing w:line="560" w:lineRule="exact"/>
        <w:ind w:firstLine="632"/>
        <w:rPr>
          <w:rFonts w:ascii="Times New Roman" w:hAnsi="Times New Roman" w:cs="Times New Roman"/>
          <w:sz w:val="32"/>
        </w:rPr>
      </w:pPr>
      <w:r>
        <w:rPr>
          <w:rFonts w:hint="eastAsia" w:ascii="Times New Roman" w:hAnsi="Times New Roman" w:cs="Times New Roman"/>
          <w:sz w:val="32"/>
        </w:rPr>
        <w:t>（10）</w:t>
      </w:r>
      <w:r>
        <w:rPr>
          <w:rFonts w:ascii="Times New Roman" w:hAnsi="Times New Roman" w:cs="Times New Roman"/>
          <w:sz w:val="32"/>
        </w:rPr>
        <w:t>县指挥部交办的</w:t>
      </w:r>
      <w:r>
        <w:rPr>
          <w:rFonts w:hint="eastAsia" w:ascii="Times New Roman" w:hAnsi="Times New Roman" w:cs="Times New Roman"/>
          <w:sz w:val="32"/>
        </w:rPr>
        <w:t>其他</w:t>
      </w:r>
      <w:r>
        <w:rPr>
          <w:rFonts w:ascii="Times New Roman" w:hAnsi="Times New Roman" w:cs="Times New Roman"/>
          <w:sz w:val="32"/>
        </w:rPr>
        <w:t>工作。</w:t>
      </w:r>
    </w:p>
    <w:p w14:paraId="67CBB2CA">
      <w:pPr>
        <w:pStyle w:val="2"/>
        <w:numPr>
          <w:ilvl w:val="0"/>
          <w:numId w:val="231"/>
        </w:numPr>
        <w:tabs>
          <w:tab w:val="left" w:pos="0"/>
        </w:tabs>
        <w:rPr>
          <w:rFonts w:ascii="Times New Roman" w:hAnsi="Times New Roman" w:cs="Times New Roman"/>
          <w:sz w:val="32"/>
        </w:rPr>
      </w:pPr>
      <w:bookmarkStart w:id="1418" w:name="_Toc6832"/>
      <w:r>
        <w:rPr>
          <w:rFonts w:ascii="Times New Roman" w:hAnsi="Times New Roman" w:cs="Times New Roman"/>
          <w:sz w:val="32"/>
        </w:rPr>
        <w:t>预测与预警</w:t>
      </w:r>
      <w:bookmarkEnd w:id="1418"/>
    </w:p>
    <w:p w14:paraId="3E9B8D8C">
      <w:pPr>
        <w:pStyle w:val="3"/>
        <w:spacing w:line="560" w:lineRule="exact"/>
        <w:ind w:firstLine="0" w:firstLineChars="0"/>
        <w:rPr>
          <w:rFonts w:ascii="Times New Roman" w:hAnsi="Times New Roman" w:eastAsia="楷体_GB2312" w:cs="Times New Roman"/>
          <w:sz w:val="32"/>
        </w:rPr>
      </w:pPr>
      <w:r>
        <w:rPr>
          <w:rFonts w:ascii="Times New Roman" w:hAnsi="Times New Roman" w:eastAsia="楷体_GB2312" w:cs="Times New Roman"/>
          <w:sz w:val="32"/>
        </w:rPr>
        <w:t>预测预警系统</w:t>
      </w:r>
    </w:p>
    <w:p w14:paraId="58EF70AE">
      <w:pPr>
        <w:spacing w:line="560" w:lineRule="exact"/>
        <w:ind w:firstLine="632"/>
        <w:rPr>
          <w:rFonts w:ascii="Times New Roman" w:hAnsi="Times New Roman" w:cs="Times New Roman"/>
          <w:sz w:val="32"/>
        </w:rPr>
      </w:pPr>
      <w:r>
        <w:rPr>
          <w:rFonts w:ascii="Times New Roman" w:hAnsi="Times New Roman" w:cs="Times New Roman"/>
          <w:sz w:val="32"/>
        </w:rPr>
        <w:t>县指挥部办公室按照“高效、快捷”的原则，建立和完善以各类恐怖袭击事件的监测、预警、信息传输、分析处理为主要内容的预警服务系统和相关技术支持平台，并实现与县</w:t>
      </w:r>
      <w:r>
        <w:rPr>
          <w:rFonts w:hint="eastAsia" w:ascii="Times New Roman" w:hAnsi="Times New Roman" w:cs="Times New Roman"/>
          <w:sz w:val="32"/>
        </w:rPr>
        <w:t>应急委</w:t>
      </w:r>
      <w:r>
        <w:rPr>
          <w:rFonts w:ascii="Times New Roman" w:hAnsi="Times New Roman" w:cs="Times New Roman"/>
          <w:sz w:val="32"/>
        </w:rPr>
        <w:t>办公室、县指挥部各成员单位以及联动单位的联网互通，做到信息共享，提高预警能力。</w:t>
      </w:r>
    </w:p>
    <w:p w14:paraId="01AC755B">
      <w:pPr>
        <w:spacing w:line="560" w:lineRule="exact"/>
        <w:ind w:firstLine="632"/>
        <w:rPr>
          <w:rFonts w:ascii="Times New Roman" w:hAnsi="Times New Roman" w:cs="Times New Roman"/>
          <w:sz w:val="32"/>
        </w:rPr>
      </w:pPr>
      <w:r>
        <w:rPr>
          <w:rFonts w:ascii="Times New Roman" w:hAnsi="Times New Roman" w:cs="Times New Roman"/>
          <w:sz w:val="32"/>
        </w:rPr>
        <w:t>县指挥部按照“资源共享、运转正常、指挥有力”的要求，</w:t>
      </w:r>
      <w:r>
        <w:rPr>
          <w:rFonts w:hint="eastAsia" w:ascii="Times New Roman" w:hAnsi="Times New Roman" w:cs="Times New Roman"/>
          <w:sz w:val="32"/>
        </w:rPr>
        <w:t>依法</w:t>
      </w:r>
      <w:r>
        <w:rPr>
          <w:rFonts w:ascii="Times New Roman" w:hAnsi="Times New Roman" w:cs="Times New Roman"/>
          <w:sz w:val="32"/>
        </w:rPr>
        <w:t>建立和完善恐怖袭击事件应急指挥信息系统。</w:t>
      </w:r>
    </w:p>
    <w:p w14:paraId="15351D22">
      <w:pPr>
        <w:spacing w:line="560" w:lineRule="exact"/>
        <w:ind w:firstLine="632"/>
        <w:rPr>
          <w:rFonts w:ascii="Times New Roman" w:hAnsi="Times New Roman" w:cs="Times New Roman"/>
          <w:sz w:val="32"/>
        </w:rPr>
      </w:pPr>
      <w:r>
        <w:rPr>
          <w:rFonts w:ascii="Times New Roman" w:hAnsi="Times New Roman" w:cs="Times New Roman"/>
          <w:sz w:val="32"/>
        </w:rPr>
        <w:t>建立健全恐怖袭击事件快速应急信息系统，包括常规信息和现场信息采集及快速传送系统。</w:t>
      </w:r>
    </w:p>
    <w:p w14:paraId="5AF8C885">
      <w:pPr>
        <w:spacing w:line="560" w:lineRule="exact"/>
        <w:ind w:firstLine="632"/>
        <w:rPr>
          <w:rFonts w:ascii="Times New Roman" w:hAnsi="Times New Roman" w:cs="Times New Roman"/>
          <w:sz w:val="32"/>
        </w:rPr>
      </w:pPr>
      <w:r>
        <w:rPr>
          <w:rFonts w:ascii="Times New Roman" w:hAnsi="Times New Roman" w:cs="Times New Roman"/>
          <w:sz w:val="32"/>
        </w:rPr>
        <w:t>常规信息主要包括应急指挥体制、专业应急队伍、应急装备器材、物资、专家库、电子地图及地域地貌气候特征、重要目标、重点工程、核心部位、重要基础设施有关结构及数据等信息，由</w:t>
      </w:r>
      <w:r>
        <w:rPr>
          <w:rFonts w:hint="eastAsia" w:ascii="Times New Roman" w:hAnsi="Times New Roman" w:cs="Times New Roman"/>
          <w:sz w:val="32"/>
        </w:rPr>
        <w:t>县</w:t>
      </w:r>
      <w:r>
        <w:rPr>
          <w:rFonts w:ascii="Times New Roman" w:hAnsi="Times New Roman" w:cs="Times New Roman"/>
          <w:sz w:val="32"/>
        </w:rPr>
        <w:t>指挥部办公室提供，县指挥部掌握；现场信息主要是事发地现场秩序、人员伤亡、财产损失等相关信息，由现场指挥部组织采集，由县指挥部掌握。</w:t>
      </w:r>
    </w:p>
    <w:p w14:paraId="01D756D2">
      <w:pPr>
        <w:spacing w:line="560" w:lineRule="exact"/>
        <w:ind w:firstLine="632"/>
        <w:rPr>
          <w:rFonts w:ascii="Times New Roman" w:hAnsi="Times New Roman" w:cs="Times New Roman"/>
          <w:sz w:val="32"/>
        </w:rPr>
      </w:pPr>
      <w:r>
        <w:rPr>
          <w:rFonts w:ascii="Times New Roman" w:hAnsi="Times New Roman" w:cs="Times New Roman"/>
          <w:sz w:val="32"/>
        </w:rPr>
        <w:t>县指挥部办公室对常规信息和现场信息进行综合分析，为县指挥部和县应急委正确决策提供依据。采集的信息应当准确、客观、真实、可靠，信息报送要快捷、保密。对外公开的信息要符合国家和省、市有关规定。</w:t>
      </w:r>
    </w:p>
    <w:p w14:paraId="186B787D">
      <w:pPr>
        <w:spacing w:line="560" w:lineRule="exact"/>
        <w:ind w:firstLine="632"/>
        <w:rPr>
          <w:rFonts w:ascii="Times New Roman" w:hAnsi="Times New Roman" w:cs="Times New Roman"/>
          <w:sz w:val="32"/>
        </w:rPr>
      </w:pPr>
      <w:r>
        <w:rPr>
          <w:rFonts w:ascii="Times New Roman" w:hAnsi="Times New Roman" w:cs="Times New Roman"/>
          <w:sz w:val="32"/>
        </w:rPr>
        <w:t>恐怖袭击事件发生后，县指挥部办公室应及时将恐怖袭击事件的有关情况报告县指挥部</w:t>
      </w:r>
      <w:r>
        <w:rPr>
          <w:rFonts w:hint="eastAsia" w:ascii="Times New Roman" w:hAnsi="Times New Roman" w:cs="Times New Roman"/>
          <w:sz w:val="32"/>
        </w:rPr>
        <w:t>负责人</w:t>
      </w:r>
      <w:r>
        <w:rPr>
          <w:rFonts w:ascii="Times New Roman" w:hAnsi="Times New Roman" w:cs="Times New Roman"/>
          <w:sz w:val="32"/>
        </w:rPr>
        <w:t>和县</w:t>
      </w:r>
      <w:r>
        <w:rPr>
          <w:rFonts w:hint="eastAsia" w:ascii="Times New Roman" w:hAnsi="Times New Roman" w:cs="Times New Roman"/>
          <w:sz w:val="32"/>
        </w:rPr>
        <w:t>应急委</w:t>
      </w:r>
      <w:r>
        <w:rPr>
          <w:rFonts w:ascii="Times New Roman" w:hAnsi="Times New Roman" w:cs="Times New Roman"/>
          <w:sz w:val="32"/>
        </w:rPr>
        <w:t>办公室，并通报其他相关部门。必要时，向各乡镇</w:t>
      </w:r>
      <w:r>
        <w:rPr>
          <w:rFonts w:hint="eastAsia" w:ascii="Times New Roman" w:hAnsi="Times New Roman" w:cs="Times New Roman"/>
          <w:sz w:val="32"/>
        </w:rPr>
        <w:t>人民政府</w:t>
      </w:r>
      <w:r>
        <w:rPr>
          <w:rFonts w:ascii="Times New Roman" w:hAnsi="Times New Roman" w:cs="Times New Roman"/>
          <w:sz w:val="32"/>
        </w:rPr>
        <w:t>通报。应采取有效措施避免恐怖袭击事件可能造成的次生、衍生的耦合事件。</w:t>
      </w:r>
    </w:p>
    <w:p w14:paraId="4859AB39">
      <w:pPr>
        <w:pStyle w:val="3"/>
        <w:spacing w:line="560" w:lineRule="exact"/>
        <w:ind w:firstLine="0" w:firstLineChars="0"/>
        <w:rPr>
          <w:rFonts w:ascii="Times New Roman" w:hAnsi="Times New Roman" w:eastAsia="楷体_GB2312" w:cs="Times New Roman"/>
          <w:sz w:val="32"/>
        </w:rPr>
      </w:pPr>
      <w:bookmarkStart w:id="1419" w:name="_Toc6480"/>
      <w:r>
        <w:rPr>
          <w:rFonts w:ascii="Times New Roman" w:hAnsi="Times New Roman" w:eastAsia="楷体_GB2312" w:cs="Times New Roman"/>
          <w:sz w:val="32"/>
        </w:rPr>
        <w:t>信息报告</w:t>
      </w:r>
      <w:bookmarkEnd w:id="1419"/>
    </w:p>
    <w:p w14:paraId="14BCE03C">
      <w:pPr>
        <w:spacing w:line="560" w:lineRule="exact"/>
        <w:ind w:firstLine="632"/>
        <w:rPr>
          <w:rFonts w:ascii="Times New Roman" w:hAnsi="Times New Roman" w:cs="Times New Roman"/>
          <w:sz w:val="32"/>
        </w:rPr>
      </w:pPr>
      <w:r>
        <w:rPr>
          <w:rFonts w:ascii="Times New Roman" w:hAnsi="Times New Roman" w:cs="Times New Roman"/>
          <w:sz w:val="32"/>
        </w:rPr>
        <w:t>公安</w:t>
      </w:r>
      <w:r>
        <w:rPr>
          <w:rFonts w:hint="eastAsia" w:ascii="Times New Roman" w:hAnsi="Times New Roman" w:cs="Times New Roman"/>
          <w:sz w:val="32"/>
        </w:rPr>
        <w:t>机关</w:t>
      </w:r>
      <w:r>
        <w:rPr>
          <w:rFonts w:ascii="Times New Roman" w:hAnsi="Times New Roman" w:cs="Times New Roman"/>
          <w:sz w:val="32"/>
        </w:rPr>
        <w:t>负责搜集发生在本行政区域内外和境外可能对本县造成重大影响的恐怖袭击事件的相关信息。在县指挥部办公室设置专门的反恐怖情报信息监测机构，配备必要的监测技术设备和设施，并配备专、兼职人员，建立常规监测网络和风险分析与</w:t>
      </w:r>
      <w:r>
        <w:rPr>
          <w:rFonts w:hint="eastAsia" w:ascii="Times New Roman" w:hAnsi="Times New Roman" w:cs="Times New Roman"/>
          <w:sz w:val="32"/>
        </w:rPr>
        <w:t>评级</w:t>
      </w:r>
      <w:r>
        <w:rPr>
          <w:rFonts w:ascii="Times New Roman" w:hAnsi="Times New Roman" w:cs="Times New Roman"/>
          <w:sz w:val="32"/>
        </w:rPr>
        <w:t>制度；对恐怖事件信息进行收集、汇总、分析和研判，并及时报警和预警。</w:t>
      </w:r>
    </w:p>
    <w:p w14:paraId="48347C54">
      <w:pPr>
        <w:spacing w:line="560" w:lineRule="exact"/>
        <w:ind w:firstLine="634"/>
        <w:rPr>
          <w:rFonts w:ascii="Times New Roman" w:hAnsi="Times New Roman" w:cs="Times New Roman"/>
          <w:sz w:val="32"/>
        </w:rPr>
      </w:pPr>
      <w:r>
        <w:rPr>
          <w:rFonts w:ascii="Times New Roman" w:hAnsi="Times New Roman" w:cs="Times New Roman"/>
          <w:b/>
          <w:bCs/>
          <w:sz w:val="32"/>
        </w:rPr>
        <w:t>报告时限：</w:t>
      </w:r>
      <w:r>
        <w:rPr>
          <w:rFonts w:ascii="Times New Roman" w:hAnsi="Times New Roman" w:cs="Times New Roman"/>
          <w:sz w:val="32"/>
        </w:rPr>
        <w:t>各类监测机构、有关部门发现或接到有关恐怖袭击事件的信息或报警后，应迅速核实并立即按程序在半小时内报告县</w:t>
      </w:r>
      <w:r>
        <w:rPr>
          <w:rFonts w:hint="eastAsia" w:ascii="Times New Roman" w:hAnsi="Times New Roman" w:cs="Times New Roman"/>
          <w:sz w:val="32"/>
        </w:rPr>
        <w:t>指挥部办公室</w:t>
      </w:r>
      <w:r>
        <w:rPr>
          <w:rFonts w:ascii="Times New Roman" w:hAnsi="Times New Roman" w:cs="Times New Roman"/>
          <w:sz w:val="32"/>
        </w:rPr>
        <w:t>。县</w:t>
      </w:r>
      <w:r>
        <w:rPr>
          <w:rFonts w:hint="eastAsia" w:ascii="Times New Roman" w:hAnsi="Times New Roman" w:cs="Times New Roman"/>
          <w:sz w:val="32"/>
        </w:rPr>
        <w:t>指挥部办公室</w:t>
      </w:r>
      <w:r>
        <w:rPr>
          <w:rFonts w:ascii="Times New Roman" w:hAnsi="Times New Roman" w:cs="Times New Roman"/>
          <w:sz w:val="32"/>
        </w:rPr>
        <w:t>在接到报告后</w:t>
      </w:r>
      <w:r>
        <w:rPr>
          <w:rFonts w:hint="eastAsia" w:ascii="Times New Roman" w:hAnsi="Times New Roman" w:cs="Times New Roman"/>
          <w:sz w:val="32"/>
        </w:rPr>
        <w:t>最迟</w:t>
      </w:r>
      <w:r>
        <w:rPr>
          <w:rFonts w:ascii="Times New Roman" w:hAnsi="Times New Roman" w:cs="Times New Roman"/>
          <w:sz w:val="32"/>
        </w:rPr>
        <w:t>半小时内向</w:t>
      </w:r>
      <w:r>
        <w:rPr>
          <w:rFonts w:hint="eastAsia" w:ascii="Times New Roman" w:hAnsi="Times New Roman" w:cs="Times New Roman"/>
          <w:sz w:val="32"/>
        </w:rPr>
        <w:t>县指挥部负责人及</w:t>
      </w:r>
      <w:r>
        <w:rPr>
          <w:rFonts w:ascii="Times New Roman" w:hAnsi="Times New Roman" w:cs="Times New Roman"/>
          <w:sz w:val="32"/>
        </w:rPr>
        <w:t>县</w:t>
      </w:r>
      <w:r>
        <w:rPr>
          <w:rFonts w:hint="eastAsia" w:ascii="Times New Roman" w:hAnsi="Times New Roman" w:cs="Times New Roman"/>
          <w:sz w:val="32"/>
        </w:rPr>
        <w:t>应急委</w:t>
      </w:r>
      <w:r>
        <w:rPr>
          <w:rFonts w:ascii="Times New Roman" w:hAnsi="Times New Roman" w:cs="Times New Roman"/>
          <w:sz w:val="32"/>
        </w:rPr>
        <w:t>办公室报告，特别重大的恐怖袭击事件必须在15分钟内报告。报送信息必须客观、真实、准确、及时。</w:t>
      </w:r>
    </w:p>
    <w:p w14:paraId="2CEF9869">
      <w:pPr>
        <w:spacing w:line="560" w:lineRule="exact"/>
        <w:ind w:firstLine="632"/>
        <w:rPr>
          <w:rFonts w:ascii="Times New Roman" w:hAnsi="Times New Roman" w:cs="Times New Roman"/>
          <w:sz w:val="32"/>
        </w:rPr>
      </w:pPr>
      <w:r>
        <w:rPr>
          <w:rFonts w:ascii="Times New Roman" w:hAnsi="Times New Roman" w:cs="Times New Roman"/>
          <w:sz w:val="32"/>
        </w:rPr>
        <w:t>各监测机构和各部门应当根据恐怖事件发生、发展的最新情况，及时进行后续报告。</w:t>
      </w:r>
    </w:p>
    <w:p w14:paraId="1ABEDBB9">
      <w:pPr>
        <w:spacing w:line="560" w:lineRule="exact"/>
        <w:ind w:firstLine="632"/>
        <w:rPr>
          <w:rFonts w:ascii="Times New Roman" w:hAnsi="Times New Roman" w:cs="Times New Roman"/>
          <w:sz w:val="32"/>
        </w:rPr>
      </w:pPr>
      <w:r>
        <w:rPr>
          <w:rFonts w:ascii="Times New Roman" w:hAnsi="Times New Roman" w:cs="Times New Roman"/>
          <w:sz w:val="32"/>
        </w:rPr>
        <w:t>恐怖袭击事件出现征兆或发生时，知情单位或个人应当立即通过</w:t>
      </w:r>
      <w:r>
        <w:rPr>
          <w:rFonts w:hint="eastAsia" w:ascii="Times New Roman" w:hAnsi="Times New Roman" w:cs="Times New Roman"/>
          <w:sz w:val="32"/>
        </w:rPr>
        <w:t>“</w:t>
      </w:r>
      <w:r>
        <w:rPr>
          <w:rFonts w:ascii="Times New Roman" w:hAnsi="Times New Roman" w:cs="Times New Roman"/>
          <w:sz w:val="32"/>
        </w:rPr>
        <w:t>110、119、120、122</w:t>
      </w:r>
      <w:r>
        <w:rPr>
          <w:rFonts w:hint="eastAsia" w:ascii="Times New Roman" w:hAnsi="Times New Roman" w:cs="Times New Roman"/>
          <w:sz w:val="32"/>
        </w:rPr>
        <w:t>”</w:t>
      </w:r>
      <w:r>
        <w:rPr>
          <w:rFonts w:ascii="Times New Roman" w:hAnsi="Times New Roman" w:cs="Times New Roman"/>
          <w:sz w:val="32"/>
        </w:rPr>
        <w:t>等报警电话和其他途径报警。</w:t>
      </w:r>
    </w:p>
    <w:p w14:paraId="7DFD2CA4">
      <w:pPr>
        <w:spacing w:line="560" w:lineRule="exact"/>
        <w:ind w:firstLine="634"/>
        <w:rPr>
          <w:rFonts w:ascii="Times New Roman" w:hAnsi="Times New Roman" w:cs="Times New Roman"/>
          <w:sz w:val="32"/>
        </w:rPr>
      </w:pPr>
      <w:r>
        <w:rPr>
          <w:rFonts w:ascii="Times New Roman" w:hAnsi="Times New Roman" w:cs="Times New Roman"/>
          <w:b/>
          <w:bCs/>
          <w:sz w:val="32"/>
        </w:rPr>
        <w:t>报告内容应当包括：</w:t>
      </w:r>
      <w:r>
        <w:rPr>
          <w:rFonts w:ascii="Times New Roman" w:hAnsi="Times New Roman" w:cs="Times New Roman"/>
          <w:sz w:val="32"/>
        </w:rPr>
        <w:t>报告单位、报告人或联系人，联系方式；恐怖袭击事件发生的地区（单位、部门）、时间、地点和现场情况；事件所造成的人员伤亡、财产损失等情况初步统计；事件原因的初步分析；事件发生后已采取的应急处置措施、效果及下一步工作方案；其他需要报告的有关事项。报告采用电话报告和传真相结合的方式，情况紧急时可采取先电话口述后传真文字方式报告。</w:t>
      </w:r>
    </w:p>
    <w:p w14:paraId="196495D9">
      <w:pPr>
        <w:spacing w:line="560" w:lineRule="exact"/>
        <w:ind w:firstLine="632"/>
        <w:rPr>
          <w:rFonts w:ascii="Times New Roman" w:hAnsi="Times New Roman" w:cs="Times New Roman"/>
          <w:sz w:val="32"/>
        </w:rPr>
      </w:pPr>
      <w:r>
        <w:rPr>
          <w:rFonts w:hint="eastAsia" w:ascii="Times New Roman" w:hAnsi="Times New Roman" w:cs="Times New Roman"/>
          <w:sz w:val="32"/>
        </w:rPr>
        <w:t>县指挥部办公室</w:t>
      </w:r>
      <w:r>
        <w:rPr>
          <w:rFonts w:ascii="Times New Roman" w:hAnsi="Times New Roman" w:cs="Times New Roman"/>
          <w:sz w:val="32"/>
        </w:rPr>
        <w:t>接到县外对本县可能造成较大影响的恐怖袭击事件信息的通报后，应当在半小时内向县政府和县指挥</w:t>
      </w:r>
      <w:r>
        <w:rPr>
          <w:rFonts w:hint="eastAsia" w:ascii="Times New Roman" w:hAnsi="Times New Roman" w:cs="Times New Roman"/>
          <w:sz w:val="32"/>
        </w:rPr>
        <w:t>部负责人</w:t>
      </w:r>
      <w:r>
        <w:rPr>
          <w:rFonts w:ascii="Times New Roman" w:hAnsi="Times New Roman" w:cs="Times New Roman"/>
          <w:sz w:val="32"/>
        </w:rPr>
        <w:t>报告。1小时内层报至</w:t>
      </w:r>
      <w:r>
        <w:rPr>
          <w:rFonts w:hint="eastAsia" w:ascii="Times New Roman" w:hAnsi="Times New Roman" w:cs="Times New Roman"/>
          <w:sz w:val="32"/>
        </w:rPr>
        <w:t>双鸭山市人民政府</w:t>
      </w:r>
      <w:r>
        <w:rPr>
          <w:rFonts w:ascii="Times New Roman" w:hAnsi="Times New Roman" w:cs="Times New Roman"/>
          <w:sz w:val="32"/>
        </w:rPr>
        <w:t>，情况紧急时可采取电话口述后传真文字方式报告。</w:t>
      </w:r>
    </w:p>
    <w:p w14:paraId="79B92DDF">
      <w:pPr>
        <w:spacing w:line="560" w:lineRule="exact"/>
        <w:ind w:firstLine="632"/>
        <w:rPr>
          <w:rFonts w:ascii="Times New Roman" w:hAnsi="Times New Roman" w:cs="Times New Roman"/>
          <w:sz w:val="32"/>
        </w:rPr>
      </w:pPr>
      <w:r>
        <w:rPr>
          <w:rFonts w:hint="eastAsia" w:ascii="Times New Roman" w:hAnsi="Times New Roman" w:cs="Times New Roman"/>
          <w:sz w:val="32"/>
        </w:rPr>
        <w:t>县</w:t>
      </w:r>
      <w:r>
        <w:rPr>
          <w:rFonts w:ascii="Times New Roman" w:hAnsi="Times New Roman" w:cs="Times New Roman"/>
          <w:sz w:val="32"/>
        </w:rPr>
        <w:t>指挥部有关成员单位之间建立恐怖袭击事件信息交流、会商与通报制度，并对该项制度的执行情况进行督促检查，确保信息交流渠道畅通。</w:t>
      </w:r>
    </w:p>
    <w:p w14:paraId="444674CA">
      <w:pPr>
        <w:spacing w:line="560" w:lineRule="exact"/>
        <w:ind w:firstLine="632"/>
        <w:rPr>
          <w:rFonts w:ascii="Times New Roman" w:hAnsi="Times New Roman" w:cs="Times New Roman"/>
          <w:sz w:val="32"/>
        </w:rPr>
      </w:pPr>
      <w:r>
        <w:rPr>
          <w:rFonts w:hint="eastAsia" w:ascii="Times New Roman" w:hAnsi="Times New Roman" w:cs="Times New Roman"/>
          <w:sz w:val="32"/>
        </w:rPr>
        <w:t>县公安局指挥中心</w:t>
      </w:r>
      <w:r>
        <w:rPr>
          <w:rFonts w:ascii="Times New Roman" w:hAnsi="Times New Roman" w:cs="Times New Roman"/>
          <w:sz w:val="32"/>
        </w:rPr>
        <w:t>负责全县恐怖袭击事件信息的接警工作，设立接警平台，接受有关监测机构和各部门报送的恐怖袭击事件信息以及知情单位、知情人的直接报警。</w:t>
      </w:r>
    </w:p>
    <w:p w14:paraId="7EE7A42E">
      <w:pPr>
        <w:spacing w:line="560" w:lineRule="exact"/>
        <w:ind w:firstLine="632"/>
        <w:rPr>
          <w:rFonts w:ascii="Times New Roman" w:hAnsi="Times New Roman" w:cs="Times New Roman"/>
          <w:sz w:val="32"/>
        </w:rPr>
      </w:pPr>
      <w:r>
        <w:rPr>
          <w:rFonts w:hint="eastAsia" w:ascii="Times New Roman" w:hAnsi="Times New Roman" w:cs="Times New Roman"/>
          <w:sz w:val="32"/>
        </w:rPr>
        <w:t>县公安局指挥中心</w:t>
      </w:r>
      <w:r>
        <w:rPr>
          <w:rFonts w:ascii="Times New Roman" w:hAnsi="Times New Roman" w:cs="Times New Roman"/>
          <w:sz w:val="32"/>
        </w:rPr>
        <w:t>接到恐怖袭击事件报警信息后，应当立即报告县指挥部办公室，由县指挥部办公室进行分析、判断或组织有关部门和专家进行分析、评估和预测，作出预警，同时由县指挥部向县应急委提出是否启动应急预案、拟采取的预警措施等建议。</w:t>
      </w:r>
    </w:p>
    <w:p w14:paraId="3BE3E8A5">
      <w:pPr>
        <w:spacing w:line="560" w:lineRule="exact"/>
        <w:ind w:firstLine="632"/>
        <w:rPr>
          <w:rFonts w:ascii="Times New Roman" w:hAnsi="Times New Roman" w:cs="Times New Roman"/>
          <w:sz w:val="32"/>
        </w:rPr>
      </w:pPr>
      <w:r>
        <w:rPr>
          <w:rFonts w:ascii="Times New Roman" w:hAnsi="Times New Roman" w:cs="Times New Roman"/>
          <w:sz w:val="32"/>
        </w:rPr>
        <w:t>县应急委作出预警决定后，按照有关</w:t>
      </w:r>
      <w:r>
        <w:rPr>
          <w:rFonts w:hint="eastAsia" w:ascii="Times New Roman" w:hAnsi="Times New Roman" w:cs="Times New Roman"/>
          <w:sz w:val="32"/>
        </w:rPr>
        <w:t>法律法规</w:t>
      </w:r>
      <w:r>
        <w:rPr>
          <w:rFonts w:ascii="Times New Roman" w:hAnsi="Times New Roman" w:cs="Times New Roman"/>
          <w:sz w:val="32"/>
        </w:rPr>
        <w:t>和规章，由县指挥部以公告形式，通过电视、广播、报刊、政府网络等媒体向社会发布。</w:t>
      </w:r>
    </w:p>
    <w:p w14:paraId="1E8FDB75">
      <w:pPr>
        <w:spacing w:line="560" w:lineRule="exact"/>
        <w:ind w:firstLine="632"/>
        <w:rPr>
          <w:rFonts w:ascii="Times New Roman" w:hAnsi="Times New Roman" w:cs="Times New Roman"/>
          <w:sz w:val="32"/>
        </w:rPr>
      </w:pPr>
      <w:r>
        <w:rPr>
          <w:rFonts w:ascii="Times New Roman" w:hAnsi="Times New Roman" w:cs="Times New Roman"/>
          <w:sz w:val="32"/>
        </w:rPr>
        <w:t>县指挥部接到县应急委预警决定后，立即通知各成员单位按县应急委的预警决定和各自职责，迅速做好有关应急处置的准备工作；与处置大规模恐怖袭击事件有关的各专业应急队伍应当立即进入待命状态。县指挥部办公室在县指挥部和县应急委的领导下，根据需要进行检查、督促、指导，做好各项预警工作。</w:t>
      </w:r>
    </w:p>
    <w:p w14:paraId="548E0402">
      <w:pPr>
        <w:spacing w:line="560" w:lineRule="exact"/>
        <w:ind w:firstLine="632"/>
        <w:rPr>
          <w:rFonts w:ascii="Times New Roman" w:hAnsi="Times New Roman" w:cs="Times New Roman"/>
          <w:sz w:val="32"/>
        </w:rPr>
      </w:pPr>
      <w:r>
        <w:rPr>
          <w:rFonts w:ascii="Times New Roman" w:hAnsi="Times New Roman" w:cs="Times New Roman"/>
          <w:sz w:val="32"/>
        </w:rPr>
        <w:t>恐怖袭击事件涉及或影响到我县行政区域外的，由县指挥部办公室请示</w:t>
      </w:r>
      <w:r>
        <w:rPr>
          <w:rFonts w:hint="eastAsia" w:ascii="Times New Roman" w:hAnsi="Times New Roman" w:cs="Times New Roman"/>
          <w:sz w:val="32"/>
        </w:rPr>
        <w:t>双鸭山市人民政府</w:t>
      </w:r>
      <w:r>
        <w:rPr>
          <w:rFonts w:ascii="Times New Roman" w:hAnsi="Times New Roman" w:cs="Times New Roman"/>
          <w:sz w:val="32"/>
        </w:rPr>
        <w:t>后向有关地方通报。</w:t>
      </w:r>
    </w:p>
    <w:p w14:paraId="2457CDE4">
      <w:pPr>
        <w:spacing w:line="560" w:lineRule="exact"/>
        <w:ind w:firstLine="632"/>
        <w:rPr>
          <w:rFonts w:ascii="Times New Roman" w:hAnsi="Times New Roman" w:cs="Times New Roman"/>
          <w:sz w:val="32"/>
        </w:rPr>
      </w:pPr>
      <w:r>
        <w:rPr>
          <w:rFonts w:ascii="Times New Roman" w:hAnsi="Times New Roman" w:cs="Times New Roman"/>
          <w:sz w:val="32"/>
        </w:rPr>
        <w:t>恐怖袭击事件中有港澳台或外国籍人员伤亡、失踪、被困，或者可能影响到境外，需要向香港、澳门、台湾地区有关机构或有关国家进行通报时，由县</w:t>
      </w:r>
      <w:r>
        <w:rPr>
          <w:rFonts w:hint="eastAsia" w:ascii="Times New Roman" w:hAnsi="Times New Roman" w:cs="Times New Roman"/>
          <w:sz w:val="32"/>
        </w:rPr>
        <w:t>外事</w:t>
      </w:r>
      <w:r>
        <w:rPr>
          <w:rFonts w:ascii="Times New Roman" w:hAnsi="Times New Roman" w:cs="Times New Roman"/>
          <w:sz w:val="32"/>
        </w:rPr>
        <w:t>办按规定渠道上报省、市相关部门。</w:t>
      </w:r>
    </w:p>
    <w:p w14:paraId="6B5AE051">
      <w:pPr>
        <w:pStyle w:val="2"/>
        <w:numPr>
          <w:ilvl w:val="0"/>
          <w:numId w:val="231"/>
        </w:numPr>
        <w:tabs>
          <w:tab w:val="left" w:pos="0"/>
        </w:tabs>
        <w:rPr>
          <w:rFonts w:ascii="Times New Roman" w:hAnsi="Times New Roman" w:cs="Times New Roman"/>
          <w:sz w:val="32"/>
        </w:rPr>
      </w:pPr>
      <w:bookmarkStart w:id="1420" w:name="_Toc7239"/>
      <w:r>
        <w:rPr>
          <w:rFonts w:ascii="Times New Roman" w:hAnsi="Times New Roman" w:cs="Times New Roman"/>
          <w:sz w:val="32"/>
        </w:rPr>
        <w:t>应急响应</w:t>
      </w:r>
      <w:bookmarkEnd w:id="1420"/>
    </w:p>
    <w:p w14:paraId="671CE941">
      <w:pPr>
        <w:pStyle w:val="3"/>
        <w:spacing w:line="560" w:lineRule="exact"/>
        <w:ind w:firstLine="0" w:firstLineChars="0"/>
        <w:rPr>
          <w:rFonts w:ascii="Times New Roman" w:hAnsi="Times New Roman" w:eastAsia="楷体_GB2312" w:cs="Times New Roman"/>
          <w:sz w:val="32"/>
        </w:rPr>
      </w:pPr>
      <w:bookmarkStart w:id="1421" w:name="_Toc26298"/>
      <w:r>
        <w:rPr>
          <w:rFonts w:ascii="Times New Roman" w:hAnsi="Times New Roman" w:eastAsia="楷体_GB2312" w:cs="Times New Roman"/>
          <w:sz w:val="32"/>
        </w:rPr>
        <w:t>先期处置</w:t>
      </w:r>
      <w:bookmarkEnd w:id="1421"/>
    </w:p>
    <w:p w14:paraId="29D70945">
      <w:pPr>
        <w:spacing w:line="560" w:lineRule="exact"/>
        <w:ind w:firstLine="632"/>
        <w:rPr>
          <w:rFonts w:ascii="Times New Roman" w:hAnsi="Times New Roman" w:cs="Times New Roman"/>
          <w:sz w:val="32"/>
        </w:rPr>
      </w:pPr>
      <w:r>
        <w:rPr>
          <w:rFonts w:ascii="Times New Roman" w:hAnsi="Times New Roman" w:cs="Times New Roman"/>
          <w:sz w:val="32"/>
        </w:rPr>
        <w:t>恐怖袭击事件发生后，在及时上报恐怖袭击事件信息的同时，要对事件进行先期应急处置，并根据需要组织相应力量开展紧急救援，全力控制事态扩大。</w:t>
      </w:r>
    </w:p>
    <w:p w14:paraId="350B8AA9">
      <w:pPr>
        <w:spacing w:line="560" w:lineRule="exact"/>
        <w:ind w:firstLine="632"/>
        <w:rPr>
          <w:rFonts w:ascii="Times New Roman" w:hAnsi="Times New Roman" w:cs="Times New Roman"/>
          <w:sz w:val="32"/>
        </w:rPr>
      </w:pPr>
      <w:r>
        <w:rPr>
          <w:rFonts w:ascii="Times New Roman" w:hAnsi="Times New Roman" w:cs="Times New Roman"/>
          <w:sz w:val="32"/>
        </w:rPr>
        <w:t>县</w:t>
      </w:r>
      <w:r>
        <w:rPr>
          <w:rFonts w:hint="eastAsia" w:ascii="Times New Roman" w:hAnsi="Times New Roman" w:cs="Times New Roman"/>
          <w:sz w:val="32"/>
        </w:rPr>
        <w:t>公安局指挥中心</w:t>
      </w:r>
      <w:r>
        <w:rPr>
          <w:rFonts w:ascii="Times New Roman" w:hAnsi="Times New Roman" w:cs="Times New Roman"/>
          <w:sz w:val="32"/>
        </w:rPr>
        <w:t>接到报警后，应详细询问并记录恐怖袭击事件的概况，同时立即向县指挥部办公室和县应急</w:t>
      </w:r>
      <w:r>
        <w:rPr>
          <w:rFonts w:hint="eastAsia" w:ascii="Times New Roman" w:hAnsi="Times New Roman" w:cs="Times New Roman"/>
          <w:sz w:val="32"/>
        </w:rPr>
        <w:t>委</w:t>
      </w:r>
      <w:r>
        <w:rPr>
          <w:rFonts w:ascii="Times New Roman" w:hAnsi="Times New Roman" w:cs="Times New Roman"/>
          <w:sz w:val="32"/>
        </w:rPr>
        <w:t>办公室报告并提出建议；在省、市、县应急委作出迅速启动专项预案决定后，县指挥部根据专项预案和专业预案，组织、指挥、协调各有关部门、单位和专业应急队伍，迅速开展抢险救援、医疗救护、现场及交通管制、人员疏散、现场监控和监测、侦查调查、安全防护等先期处置工作。各有关部门应按照分工，认真履行各自的职责。</w:t>
      </w:r>
    </w:p>
    <w:p w14:paraId="5DFBEBE9">
      <w:pPr>
        <w:pStyle w:val="3"/>
        <w:spacing w:line="560" w:lineRule="exact"/>
        <w:ind w:firstLine="0" w:firstLineChars="0"/>
        <w:rPr>
          <w:rFonts w:ascii="Times New Roman" w:hAnsi="Times New Roman" w:eastAsia="楷体_GB2312" w:cs="Times New Roman"/>
          <w:sz w:val="32"/>
        </w:rPr>
      </w:pPr>
      <w:bookmarkStart w:id="1422" w:name="_Toc25292"/>
      <w:r>
        <w:rPr>
          <w:rFonts w:ascii="Times New Roman" w:hAnsi="Times New Roman" w:eastAsia="楷体_GB2312" w:cs="Times New Roman"/>
          <w:sz w:val="32"/>
        </w:rPr>
        <w:t>应急响应</w:t>
      </w:r>
      <w:bookmarkEnd w:id="1422"/>
    </w:p>
    <w:p w14:paraId="4B15986F">
      <w:pPr>
        <w:pStyle w:val="4"/>
        <w:numPr>
          <w:ilvl w:val="2"/>
          <w:numId w:val="231"/>
        </w:numPr>
        <w:tabs>
          <w:tab w:val="left" w:pos="0"/>
        </w:tabs>
        <w:ind w:firstLine="0" w:firstLineChars="0"/>
        <w:rPr>
          <w:rFonts w:ascii="Times New Roman" w:hAnsi="Times New Roman"/>
          <w:sz w:val="32"/>
        </w:rPr>
      </w:pPr>
      <w:r>
        <w:rPr>
          <w:rFonts w:ascii="Times New Roman" w:hAnsi="Times New Roman"/>
          <w:sz w:val="32"/>
        </w:rPr>
        <w:t>及时判明事件的性质和危害程度</w:t>
      </w:r>
    </w:p>
    <w:p w14:paraId="19608142">
      <w:pPr>
        <w:spacing w:line="560" w:lineRule="exact"/>
        <w:ind w:firstLine="632"/>
        <w:rPr>
          <w:rFonts w:ascii="Times New Roman" w:hAnsi="Times New Roman"/>
          <w:sz w:val="32"/>
        </w:rPr>
      </w:pPr>
      <w:r>
        <w:rPr>
          <w:rFonts w:hint="eastAsia" w:ascii="Times New Roman" w:hAnsi="Times New Roman" w:cs="Times New Roman"/>
          <w:sz w:val="32"/>
        </w:rPr>
        <w:t>县</w:t>
      </w:r>
      <w:r>
        <w:rPr>
          <w:rFonts w:ascii="Times New Roman" w:hAnsi="Times New Roman" w:cs="Times New Roman"/>
          <w:sz w:val="32"/>
        </w:rPr>
        <w:t>指挥部启动</w:t>
      </w:r>
      <w:r>
        <w:rPr>
          <w:rFonts w:hint="eastAsia" w:ascii="Times New Roman" w:hAnsi="Times New Roman" w:cs="Times New Roman"/>
          <w:sz w:val="32"/>
        </w:rPr>
        <w:t>应急预案</w:t>
      </w:r>
      <w:r>
        <w:rPr>
          <w:rFonts w:ascii="Times New Roman" w:hAnsi="Times New Roman" w:cs="Times New Roman"/>
          <w:sz w:val="32"/>
        </w:rPr>
        <w:t>后，</w:t>
      </w:r>
      <w:r>
        <w:rPr>
          <w:rFonts w:hint="eastAsia" w:ascii="Times New Roman" w:hAnsi="Times New Roman" w:cs="Times New Roman"/>
          <w:sz w:val="32"/>
        </w:rPr>
        <w:t>各成员单位</w:t>
      </w:r>
      <w:r>
        <w:rPr>
          <w:rFonts w:ascii="Times New Roman" w:hAnsi="Times New Roman" w:cs="Times New Roman"/>
          <w:sz w:val="32"/>
        </w:rPr>
        <w:t>要各负其责，迅速对事件现场进行实时监控、追踪，逐级报告事态发展变化情况。对于核辐射、化学、生物等重大、特别重大的恐怖袭击事件，要在县应急委的统一协调和指挥下，迅速报告</w:t>
      </w:r>
      <w:r>
        <w:rPr>
          <w:rFonts w:hint="eastAsia" w:ascii="Times New Roman" w:hAnsi="Times New Roman" w:cs="Times New Roman"/>
          <w:sz w:val="32"/>
        </w:rPr>
        <w:t>双鸭山</w:t>
      </w:r>
      <w:r>
        <w:rPr>
          <w:rFonts w:ascii="Times New Roman" w:hAnsi="Times New Roman" w:cs="Times New Roman"/>
          <w:sz w:val="32"/>
        </w:rPr>
        <w:t>市、</w:t>
      </w:r>
      <w:r>
        <w:rPr>
          <w:rFonts w:hint="eastAsia" w:ascii="Times New Roman" w:hAnsi="Times New Roman" w:cs="Times New Roman"/>
          <w:sz w:val="32"/>
        </w:rPr>
        <w:t>黑龙江</w:t>
      </w:r>
      <w:r>
        <w:rPr>
          <w:rFonts w:ascii="Times New Roman" w:hAnsi="Times New Roman" w:cs="Times New Roman"/>
          <w:sz w:val="32"/>
        </w:rPr>
        <w:t>省应急委启动相应预案并组织、协调专门检验、鉴定力量和相关专家深入研究、判明事件的性质和危害程度，采取相应的前期处置措施。</w:t>
      </w:r>
    </w:p>
    <w:p w14:paraId="1AD864E2">
      <w:pPr>
        <w:pStyle w:val="4"/>
        <w:numPr>
          <w:ilvl w:val="2"/>
          <w:numId w:val="231"/>
        </w:numPr>
        <w:tabs>
          <w:tab w:val="left" w:pos="0"/>
        </w:tabs>
        <w:ind w:firstLine="0" w:firstLineChars="0"/>
        <w:rPr>
          <w:rFonts w:ascii="Times New Roman" w:hAnsi="Times New Roman"/>
          <w:sz w:val="32"/>
        </w:rPr>
      </w:pPr>
      <w:r>
        <w:rPr>
          <w:rFonts w:ascii="Times New Roman" w:hAnsi="Times New Roman"/>
          <w:sz w:val="32"/>
        </w:rPr>
        <w:t>迅速开展现场处置和救援工作</w:t>
      </w:r>
    </w:p>
    <w:p w14:paraId="3CC7F75E">
      <w:pPr>
        <w:spacing w:line="560" w:lineRule="exact"/>
        <w:ind w:firstLine="632"/>
        <w:rPr>
          <w:rFonts w:ascii="Times New Roman" w:hAnsi="Times New Roman" w:cs="Times New Roman"/>
          <w:sz w:val="32"/>
        </w:rPr>
      </w:pPr>
      <w:r>
        <w:rPr>
          <w:rFonts w:ascii="Times New Roman" w:hAnsi="Times New Roman" w:cs="Times New Roman"/>
          <w:sz w:val="32"/>
        </w:rPr>
        <w:t>恐怖袭击事件发生后，县指挥部应指令现场指挥部迅速调集本地资源和力量，先行采取应急处置和救援行动，同时迅速协调、调动本县相关力量予以支援，并向县应急委报告处置情况。</w:t>
      </w:r>
    </w:p>
    <w:p w14:paraId="1E389265">
      <w:pPr>
        <w:spacing w:line="560" w:lineRule="exact"/>
        <w:ind w:firstLine="632"/>
        <w:rPr>
          <w:rFonts w:ascii="Times New Roman" w:hAnsi="Times New Roman" w:cs="Times New Roman"/>
          <w:sz w:val="32"/>
        </w:rPr>
      </w:pPr>
      <w:r>
        <w:rPr>
          <w:rFonts w:hint="eastAsia" w:ascii="Times New Roman" w:hAnsi="Times New Roman" w:cs="Times New Roman"/>
          <w:sz w:val="32"/>
        </w:rPr>
        <w:t>各成员单位</w:t>
      </w:r>
      <w:r>
        <w:rPr>
          <w:rFonts w:ascii="Times New Roman" w:hAnsi="Times New Roman" w:cs="Times New Roman"/>
          <w:sz w:val="32"/>
        </w:rPr>
        <w:t>应当依照职责分工，立即组织力量开展抢救伤员，疏散人群，安置群众，封锁和隔离相关区域，防止建筑物坍塌、水电气泄漏，排除爆炸装置、辐射源等，控制核辐射、疫情、毒情扩散等工作，及时组织实施现场勘查或人质谈判、解救工作。</w:t>
      </w:r>
      <w:r>
        <w:rPr>
          <w:rFonts w:hint="eastAsia" w:ascii="Times New Roman" w:hAnsi="Times New Roman" w:cs="Times New Roman"/>
          <w:sz w:val="32"/>
        </w:rPr>
        <w:t>驻县武警部队</w:t>
      </w:r>
      <w:r>
        <w:rPr>
          <w:rFonts w:ascii="Times New Roman" w:hAnsi="Times New Roman" w:cs="Times New Roman"/>
          <w:sz w:val="32"/>
        </w:rPr>
        <w:t>要积极配合地方政府开展各项处置和救援工作，及时提供人员、装备、技术支援。</w:t>
      </w:r>
    </w:p>
    <w:p w14:paraId="2F25D9B5">
      <w:pPr>
        <w:spacing w:line="560" w:lineRule="exact"/>
        <w:ind w:firstLine="632"/>
        <w:rPr>
          <w:rFonts w:ascii="Times New Roman" w:hAnsi="Times New Roman" w:cs="Times New Roman"/>
          <w:sz w:val="32"/>
        </w:rPr>
      </w:pPr>
      <w:r>
        <w:rPr>
          <w:rFonts w:ascii="Times New Roman" w:hAnsi="Times New Roman" w:cs="Times New Roman"/>
          <w:sz w:val="32"/>
        </w:rPr>
        <w:t>对于不同类型恐怖袭击事件的现场处置和救援工作，应区别不同情况责成有关部门负责。生物恐怖袭击事件主要由公安、农业、卫生、检验检疫等部门负责；化学恐怖袭击事件主要由公安、</w:t>
      </w:r>
      <w:r>
        <w:rPr>
          <w:rFonts w:hint="eastAsia" w:ascii="Times New Roman" w:hAnsi="Times New Roman" w:cs="Times New Roman"/>
          <w:sz w:val="32"/>
        </w:rPr>
        <w:t>应急、</w:t>
      </w:r>
      <w:r>
        <w:rPr>
          <w:rFonts w:ascii="Times New Roman" w:hAnsi="Times New Roman" w:cs="Times New Roman"/>
          <w:sz w:val="32"/>
        </w:rPr>
        <w:t>卫生、环保等部门负责；核辐射恐怖袭击事件主要公安、卫生、环保、检验检疫等部门负责；爆炸恐怖袭击事件主要由公安、卫生等部门和驻县武警部队负责；攻击国家和民用信息系统（包括金融网络系统）恐怖事件主要由通信管理、公安、卫生等部门负责；袭击国内外重要知名人士及大规模袭击平民恐怖事件由公安、外事、卫生等部门和驻县武警部队负责；劫持汽车、火车等交通工具恐怖事件由公安、铁路、交通、卫生等部门和驻县武警部队负责。</w:t>
      </w:r>
    </w:p>
    <w:p w14:paraId="65C5AD84">
      <w:pPr>
        <w:pStyle w:val="4"/>
        <w:numPr>
          <w:ilvl w:val="2"/>
          <w:numId w:val="231"/>
        </w:numPr>
        <w:tabs>
          <w:tab w:val="left" w:pos="0"/>
        </w:tabs>
        <w:ind w:firstLine="0" w:firstLineChars="0"/>
        <w:rPr>
          <w:rFonts w:ascii="Times New Roman" w:hAnsi="Times New Roman"/>
          <w:sz w:val="32"/>
        </w:rPr>
      </w:pPr>
      <w:r>
        <w:rPr>
          <w:rFonts w:ascii="Times New Roman" w:hAnsi="Times New Roman"/>
          <w:sz w:val="32"/>
        </w:rPr>
        <w:t>全力维护事发地的社会稳定</w:t>
      </w:r>
    </w:p>
    <w:p w14:paraId="3F38F27C">
      <w:pPr>
        <w:spacing w:line="560" w:lineRule="exact"/>
        <w:ind w:firstLine="632"/>
        <w:rPr>
          <w:rFonts w:ascii="Times New Roman" w:hAnsi="Times New Roman" w:cs="Times New Roman"/>
          <w:sz w:val="32"/>
        </w:rPr>
      </w:pPr>
      <w:r>
        <w:rPr>
          <w:rFonts w:ascii="Times New Roman" w:hAnsi="Times New Roman" w:cs="Times New Roman"/>
          <w:sz w:val="32"/>
        </w:rPr>
        <w:t>县指挥部、现场指挥部要根据恐怖袭击事件的具体情况，组织力量，采取各种预防性紧急措施，严防恐怖分子发动新一轮或连环式的恐怖袭击，全力维护事件发生地及其周边地区的社会稳定。</w:t>
      </w:r>
    </w:p>
    <w:p w14:paraId="2319AC82">
      <w:pPr>
        <w:spacing w:line="560" w:lineRule="exact"/>
        <w:ind w:firstLine="632"/>
        <w:rPr>
          <w:rFonts w:ascii="Times New Roman" w:hAnsi="Times New Roman" w:cs="Times New Roman"/>
          <w:sz w:val="32"/>
        </w:rPr>
      </w:pPr>
      <w:r>
        <w:rPr>
          <w:rFonts w:hint="eastAsia" w:ascii="Times New Roman" w:hAnsi="Times New Roman" w:cs="Times New Roman"/>
          <w:sz w:val="32"/>
        </w:rPr>
        <w:t>（1）</w:t>
      </w:r>
      <w:r>
        <w:rPr>
          <w:rFonts w:ascii="Times New Roman" w:hAnsi="Times New Roman" w:cs="Times New Roman"/>
          <w:sz w:val="32"/>
        </w:rPr>
        <w:t>关闭、封锁水库、县城水源地、重要水利工程、桥梁、车站、邮局等场所，必要时停止供电、供水、供热、供气、供油，切断通风、中央空调等系统；</w:t>
      </w:r>
    </w:p>
    <w:p w14:paraId="57000849">
      <w:pPr>
        <w:spacing w:line="560" w:lineRule="exact"/>
        <w:ind w:firstLine="632"/>
        <w:rPr>
          <w:rFonts w:ascii="Times New Roman" w:hAnsi="Times New Roman" w:cs="Times New Roman"/>
          <w:sz w:val="32"/>
        </w:rPr>
      </w:pPr>
      <w:r>
        <w:rPr>
          <w:rFonts w:hint="eastAsia" w:ascii="Times New Roman" w:hAnsi="Times New Roman" w:cs="Times New Roman"/>
          <w:sz w:val="32"/>
        </w:rPr>
        <w:t>（2）</w:t>
      </w:r>
      <w:r>
        <w:rPr>
          <w:rFonts w:ascii="Times New Roman" w:hAnsi="Times New Roman" w:cs="Times New Roman"/>
          <w:sz w:val="32"/>
        </w:rPr>
        <w:t>加强对通信枢纽的管制，加强对重点、敏感人员、场所、部位、设施和标志性建筑物的安全保护；</w:t>
      </w:r>
    </w:p>
    <w:p w14:paraId="59A3BF04">
      <w:pPr>
        <w:spacing w:line="560" w:lineRule="exact"/>
        <w:ind w:firstLine="632"/>
        <w:rPr>
          <w:rFonts w:ascii="Times New Roman" w:hAnsi="Times New Roman" w:cs="Times New Roman"/>
          <w:sz w:val="32"/>
        </w:rPr>
      </w:pPr>
      <w:r>
        <w:rPr>
          <w:rFonts w:hint="eastAsia" w:ascii="Times New Roman" w:hAnsi="Times New Roman" w:cs="Times New Roman"/>
          <w:sz w:val="32"/>
        </w:rPr>
        <w:t>（3）</w:t>
      </w:r>
      <w:r>
        <w:rPr>
          <w:rFonts w:ascii="Times New Roman" w:hAnsi="Times New Roman" w:cs="Times New Roman"/>
          <w:sz w:val="32"/>
        </w:rPr>
        <w:t>加大社会面检查、巡逻、控制力度；</w:t>
      </w:r>
    </w:p>
    <w:p w14:paraId="21A086D8">
      <w:pPr>
        <w:spacing w:line="560" w:lineRule="exact"/>
        <w:ind w:firstLine="632"/>
        <w:rPr>
          <w:rFonts w:ascii="Times New Roman" w:hAnsi="Times New Roman" w:cs="Times New Roman"/>
          <w:sz w:val="32"/>
        </w:rPr>
      </w:pPr>
      <w:r>
        <w:rPr>
          <w:rFonts w:hint="eastAsia" w:ascii="Times New Roman" w:hAnsi="Times New Roman" w:cs="Times New Roman"/>
          <w:sz w:val="32"/>
        </w:rPr>
        <w:t>（4）</w:t>
      </w:r>
      <w:r>
        <w:rPr>
          <w:rFonts w:ascii="Times New Roman" w:hAnsi="Times New Roman" w:cs="Times New Roman"/>
          <w:sz w:val="32"/>
        </w:rPr>
        <w:t>严格出入境管理与控制；</w:t>
      </w:r>
    </w:p>
    <w:p w14:paraId="0DC0E125">
      <w:pPr>
        <w:spacing w:line="560" w:lineRule="exact"/>
        <w:ind w:firstLine="632"/>
        <w:rPr>
          <w:rFonts w:ascii="Times New Roman" w:hAnsi="Times New Roman" w:cs="Times New Roman"/>
          <w:sz w:val="32"/>
        </w:rPr>
      </w:pPr>
      <w:r>
        <w:rPr>
          <w:rFonts w:hint="eastAsia" w:ascii="Times New Roman" w:hAnsi="Times New Roman" w:cs="Times New Roman"/>
          <w:sz w:val="32"/>
        </w:rPr>
        <w:t>（5）</w:t>
      </w:r>
      <w:r>
        <w:rPr>
          <w:rFonts w:ascii="Times New Roman" w:hAnsi="Times New Roman" w:cs="Times New Roman"/>
          <w:sz w:val="32"/>
        </w:rPr>
        <w:t>请求和协调军队划分空中禁区、空中限制区或发布禁飞指令及调动战机紧急巡逻警戒；</w:t>
      </w:r>
    </w:p>
    <w:p w14:paraId="38E9E55E">
      <w:pPr>
        <w:spacing w:line="560" w:lineRule="exact"/>
        <w:ind w:firstLine="632"/>
        <w:rPr>
          <w:rFonts w:ascii="Times New Roman" w:hAnsi="Times New Roman" w:cs="Times New Roman"/>
          <w:sz w:val="32"/>
        </w:rPr>
      </w:pPr>
      <w:r>
        <w:rPr>
          <w:rFonts w:hint="eastAsia" w:ascii="Times New Roman" w:hAnsi="Times New Roman" w:cs="Times New Roman"/>
          <w:sz w:val="32"/>
        </w:rPr>
        <w:t>（6）</w:t>
      </w:r>
      <w:r>
        <w:rPr>
          <w:rFonts w:ascii="Times New Roman" w:hAnsi="Times New Roman" w:cs="Times New Roman"/>
          <w:sz w:val="32"/>
        </w:rPr>
        <w:t>组织、协调公安、武警等力量，发动并依靠基层组织、单位和广大群众，严密防范和严厉打击趁机抢劫、盗窃、制造恐怖气氛、煽动骚乱等犯罪活动。</w:t>
      </w:r>
    </w:p>
    <w:p w14:paraId="3891010C">
      <w:pPr>
        <w:pStyle w:val="4"/>
        <w:numPr>
          <w:ilvl w:val="2"/>
          <w:numId w:val="231"/>
        </w:numPr>
        <w:tabs>
          <w:tab w:val="left" w:pos="0"/>
        </w:tabs>
        <w:ind w:firstLine="0" w:firstLineChars="0"/>
        <w:rPr>
          <w:rFonts w:ascii="Times New Roman" w:hAnsi="Times New Roman"/>
          <w:sz w:val="32"/>
        </w:rPr>
      </w:pPr>
      <w:r>
        <w:rPr>
          <w:rFonts w:ascii="Times New Roman" w:hAnsi="Times New Roman"/>
          <w:sz w:val="32"/>
        </w:rPr>
        <w:t>缜密侦查，严惩恐怖分子</w:t>
      </w:r>
    </w:p>
    <w:p w14:paraId="681C9BCC">
      <w:pPr>
        <w:spacing w:line="560" w:lineRule="exact"/>
        <w:ind w:firstLine="632"/>
        <w:rPr>
          <w:rFonts w:ascii="Times New Roman" w:hAnsi="Times New Roman" w:cs="Times New Roman"/>
          <w:sz w:val="32"/>
        </w:rPr>
      </w:pPr>
      <w:r>
        <w:rPr>
          <w:rFonts w:ascii="Times New Roman" w:hAnsi="Times New Roman" w:cs="Times New Roman"/>
          <w:sz w:val="32"/>
        </w:rPr>
        <w:t>县指挥部、现场指挥部要组织协调公安、武警的力量，立即对恐怖袭击事件开展全面侦查和调查工作，及时查清事实，收集证据，依法严厉惩处制造事件的恐怖分子。根据需要，可利用各种媒体公布案情和举报电话，发动群众参与打击和防范恐怖犯罪活动。公安机关应当有针对性地加强相关情报工作，为侦查破案和防范、打击恐怖活动提供情报支持。</w:t>
      </w:r>
    </w:p>
    <w:p w14:paraId="4174DF08">
      <w:pPr>
        <w:pStyle w:val="4"/>
        <w:numPr>
          <w:ilvl w:val="2"/>
          <w:numId w:val="231"/>
        </w:numPr>
        <w:tabs>
          <w:tab w:val="left" w:pos="0"/>
        </w:tabs>
        <w:ind w:firstLine="0" w:firstLineChars="0"/>
        <w:rPr>
          <w:rFonts w:ascii="Times New Roman" w:hAnsi="Times New Roman"/>
          <w:sz w:val="32"/>
        </w:rPr>
      </w:pPr>
      <w:r>
        <w:rPr>
          <w:rFonts w:ascii="Times New Roman" w:hAnsi="Times New Roman"/>
          <w:sz w:val="32"/>
        </w:rPr>
        <w:t>积极争取国内外、省内外支持和合作</w:t>
      </w:r>
    </w:p>
    <w:p w14:paraId="59D571B0">
      <w:pPr>
        <w:spacing w:line="560" w:lineRule="exact"/>
        <w:ind w:firstLine="632"/>
        <w:rPr>
          <w:rFonts w:ascii="Times New Roman" w:hAnsi="Times New Roman" w:cs="Times New Roman"/>
          <w:sz w:val="32"/>
        </w:rPr>
      </w:pPr>
      <w:r>
        <w:rPr>
          <w:rFonts w:ascii="Times New Roman" w:hAnsi="Times New Roman" w:cs="Times New Roman"/>
          <w:sz w:val="32"/>
        </w:rPr>
        <w:t>县政府办公室和县外</w:t>
      </w:r>
      <w:r>
        <w:rPr>
          <w:rFonts w:hint="eastAsia" w:ascii="Times New Roman" w:hAnsi="Times New Roman" w:cs="Times New Roman"/>
          <w:sz w:val="32"/>
        </w:rPr>
        <w:t>事</w:t>
      </w:r>
      <w:r>
        <w:rPr>
          <w:rFonts w:ascii="Times New Roman" w:hAnsi="Times New Roman" w:cs="Times New Roman"/>
          <w:sz w:val="32"/>
        </w:rPr>
        <w:t>办要积极开展对外交往和联系，充分利用国际、国内合作机制，通过各种合作渠道，最大限度地争取国内外省内外的支持和合作，对恐怖组织和恐怖分子予以打击。</w:t>
      </w:r>
    </w:p>
    <w:p w14:paraId="695A6609">
      <w:pPr>
        <w:pStyle w:val="4"/>
        <w:numPr>
          <w:ilvl w:val="2"/>
          <w:numId w:val="231"/>
        </w:numPr>
        <w:tabs>
          <w:tab w:val="left" w:pos="0"/>
        </w:tabs>
        <w:ind w:firstLine="0" w:firstLineChars="0"/>
        <w:rPr>
          <w:rFonts w:ascii="Times New Roman" w:hAnsi="Times New Roman"/>
          <w:sz w:val="32"/>
        </w:rPr>
      </w:pPr>
      <w:r>
        <w:rPr>
          <w:rFonts w:ascii="Times New Roman" w:hAnsi="Times New Roman"/>
          <w:sz w:val="32"/>
        </w:rPr>
        <w:t>扩大应急</w:t>
      </w:r>
    </w:p>
    <w:p w14:paraId="2C2F0C78">
      <w:pPr>
        <w:spacing w:line="560" w:lineRule="exact"/>
        <w:ind w:firstLine="632"/>
        <w:rPr>
          <w:rFonts w:ascii="Times New Roman" w:hAnsi="Times New Roman" w:cs="Times New Roman"/>
          <w:sz w:val="32"/>
        </w:rPr>
      </w:pPr>
      <w:r>
        <w:rPr>
          <w:rFonts w:ascii="Times New Roman" w:hAnsi="Times New Roman" w:cs="Times New Roman"/>
          <w:sz w:val="32"/>
        </w:rPr>
        <w:t>当事态难以控制或有扩大、发展趋势时，县指挥部应迅速报告县应急委，请求支援。县应急委员会接报后，应当根据事态发展情况，协调、调动增援力量、后备力量给予支援。必要时，经县人民政府批准，可请示</w:t>
      </w:r>
      <w:r>
        <w:rPr>
          <w:rFonts w:hint="eastAsia" w:ascii="Times New Roman" w:hAnsi="Times New Roman" w:cs="Times New Roman"/>
          <w:sz w:val="32"/>
        </w:rPr>
        <w:t>双鸭山</w:t>
      </w:r>
      <w:r>
        <w:rPr>
          <w:rFonts w:ascii="Times New Roman" w:hAnsi="Times New Roman" w:cs="Times New Roman"/>
          <w:sz w:val="32"/>
        </w:rPr>
        <w:t>市</w:t>
      </w:r>
      <w:r>
        <w:rPr>
          <w:rFonts w:hint="eastAsia" w:ascii="Times New Roman" w:hAnsi="Times New Roman" w:cs="Times New Roman"/>
          <w:sz w:val="32"/>
        </w:rPr>
        <w:t>人民政府</w:t>
      </w:r>
      <w:r>
        <w:rPr>
          <w:rFonts w:ascii="Times New Roman" w:hAnsi="Times New Roman" w:cs="Times New Roman"/>
          <w:sz w:val="32"/>
        </w:rPr>
        <w:t>向其他区县请求支援。</w:t>
      </w:r>
    </w:p>
    <w:p w14:paraId="1C501D97">
      <w:pPr>
        <w:pStyle w:val="3"/>
        <w:spacing w:line="560" w:lineRule="exact"/>
        <w:ind w:firstLine="0" w:firstLineChars="0"/>
        <w:rPr>
          <w:rFonts w:ascii="Times New Roman" w:hAnsi="Times New Roman" w:eastAsia="楷体_GB2312" w:cs="Times New Roman"/>
          <w:sz w:val="32"/>
        </w:rPr>
      </w:pPr>
      <w:bookmarkStart w:id="1423" w:name="_Toc7172"/>
      <w:r>
        <w:rPr>
          <w:rFonts w:ascii="Times New Roman" w:hAnsi="Times New Roman" w:eastAsia="楷体_GB2312" w:cs="Times New Roman"/>
          <w:sz w:val="32"/>
        </w:rPr>
        <w:t>紧急状态</w:t>
      </w:r>
      <w:bookmarkEnd w:id="1423"/>
    </w:p>
    <w:p w14:paraId="2782C75B">
      <w:pPr>
        <w:spacing w:line="560" w:lineRule="exact"/>
        <w:ind w:firstLine="632"/>
        <w:rPr>
          <w:rFonts w:ascii="Times New Roman" w:hAnsi="Times New Roman" w:cs="Times New Roman"/>
          <w:sz w:val="32"/>
        </w:rPr>
      </w:pPr>
      <w:r>
        <w:rPr>
          <w:rFonts w:ascii="Times New Roman" w:hAnsi="Times New Roman" w:cs="Times New Roman"/>
          <w:sz w:val="32"/>
        </w:rPr>
        <w:t>发生或即将发生特别重大恐怖袭击事件，采取一般处置措施无法控制和消除其严重社会危害，需要宣布全县或县内部分地区进入紧急状态的，依照法定程序办理。</w:t>
      </w:r>
    </w:p>
    <w:p w14:paraId="26CF7295">
      <w:pPr>
        <w:pStyle w:val="3"/>
        <w:spacing w:line="560" w:lineRule="exact"/>
        <w:ind w:firstLine="0" w:firstLineChars="0"/>
        <w:rPr>
          <w:rFonts w:ascii="Times New Roman" w:hAnsi="Times New Roman" w:eastAsia="楷体_GB2312" w:cs="Times New Roman"/>
          <w:sz w:val="32"/>
        </w:rPr>
      </w:pPr>
      <w:bookmarkStart w:id="1424" w:name="_Toc26888"/>
      <w:r>
        <w:rPr>
          <w:rFonts w:ascii="Times New Roman" w:hAnsi="Times New Roman" w:eastAsia="楷体_GB2312" w:cs="Times New Roman"/>
          <w:sz w:val="32"/>
        </w:rPr>
        <w:t>指挥与协调</w:t>
      </w:r>
      <w:bookmarkEnd w:id="1424"/>
    </w:p>
    <w:p w14:paraId="3C2548FF">
      <w:pPr>
        <w:spacing w:line="560" w:lineRule="exact"/>
        <w:ind w:firstLine="632"/>
        <w:rPr>
          <w:rFonts w:ascii="Times New Roman" w:hAnsi="Times New Roman" w:cs="Times New Roman"/>
          <w:sz w:val="32"/>
        </w:rPr>
      </w:pPr>
      <w:r>
        <w:rPr>
          <w:rFonts w:ascii="Times New Roman" w:hAnsi="Times New Roman" w:cs="Times New Roman"/>
          <w:sz w:val="32"/>
        </w:rPr>
        <w:t>预案启动后，县指挥部在县应急委统一领导下（性质特别重大、重大的恐怖袭击事件要在国家、省指挥部统一领导下），依托</w:t>
      </w:r>
      <w:r>
        <w:rPr>
          <w:rFonts w:hint="eastAsia" w:ascii="Times New Roman" w:hAnsi="Times New Roman" w:cs="Times New Roman"/>
          <w:sz w:val="32"/>
        </w:rPr>
        <w:t>县应急委办公室</w:t>
      </w:r>
      <w:r>
        <w:rPr>
          <w:rFonts w:ascii="Times New Roman" w:hAnsi="Times New Roman" w:cs="Times New Roman"/>
          <w:sz w:val="32"/>
        </w:rPr>
        <w:t>统一组织、做好相应工作。建立以政府为主，有关部门、单位和相关地区协调配合的现场指挥部，具体负责指挥事发现场的应急处置工作。各成员单位、协作参与单位和联动单位应当各司其职、协同配合，全力以赴做好应急处置工作。</w:t>
      </w:r>
    </w:p>
    <w:p w14:paraId="3D10D405">
      <w:pPr>
        <w:pStyle w:val="3"/>
        <w:spacing w:line="560" w:lineRule="exact"/>
        <w:ind w:firstLine="0" w:firstLineChars="0"/>
        <w:rPr>
          <w:rFonts w:ascii="Times New Roman" w:hAnsi="Times New Roman" w:eastAsia="楷体_GB2312" w:cs="Times New Roman"/>
          <w:sz w:val="32"/>
        </w:rPr>
      </w:pPr>
      <w:bookmarkStart w:id="1425" w:name="_Toc21794"/>
      <w:r>
        <w:rPr>
          <w:rFonts w:hint="eastAsia" w:ascii="Times New Roman" w:hAnsi="Times New Roman" w:eastAsia="楷体_GB2312" w:cs="Times New Roman"/>
          <w:sz w:val="32"/>
        </w:rPr>
        <w:t>信息发布</w:t>
      </w:r>
      <w:bookmarkEnd w:id="1425"/>
    </w:p>
    <w:p w14:paraId="14D15352">
      <w:pPr>
        <w:spacing w:line="560" w:lineRule="exact"/>
        <w:ind w:firstLine="632"/>
        <w:rPr>
          <w:rFonts w:ascii="Times New Roman" w:hAnsi="Times New Roman" w:cs="Times New Roman"/>
          <w:sz w:val="32"/>
        </w:rPr>
      </w:pPr>
      <w:r>
        <w:rPr>
          <w:rFonts w:hint="eastAsia" w:ascii="Times New Roman" w:hAnsi="Times New Roman" w:cs="Times New Roman"/>
          <w:sz w:val="32"/>
        </w:rPr>
        <w:t>恐怖袭击事件的新闻报道应当及时主动，正确引导舆论，注重社会效果，有利于党和国家工作大局，有利于维护人民群众切身利益，有利于社会稳定和人心安定，有利于事件的妥善处理。</w:t>
      </w:r>
    </w:p>
    <w:p w14:paraId="1D6D4AA9">
      <w:pPr>
        <w:spacing w:line="560" w:lineRule="exact"/>
        <w:ind w:firstLine="632"/>
        <w:rPr>
          <w:rFonts w:ascii="Times New Roman" w:hAnsi="Times New Roman" w:cs="Times New Roman"/>
          <w:sz w:val="32"/>
        </w:rPr>
      </w:pPr>
      <w:r>
        <w:rPr>
          <w:rFonts w:hint="eastAsia" w:ascii="Times New Roman" w:hAnsi="Times New Roman" w:cs="Times New Roman"/>
          <w:sz w:val="32"/>
        </w:rPr>
        <w:t>由县政府负责处置的较大恐怖袭击事件的信息发布，由县政府办公室会同新闻宣传主管部门和牵头处置的县政府主管部门采取必要的形式，将事件伤亡人员、财产损失、应急处置等情况以规范化格式及时、准确向社会公布。</w:t>
      </w:r>
    </w:p>
    <w:p w14:paraId="6459B212">
      <w:pPr>
        <w:spacing w:line="560" w:lineRule="exact"/>
        <w:ind w:firstLine="632"/>
        <w:rPr>
          <w:rFonts w:ascii="Times New Roman" w:hAnsi="Times New Roman" w:cs="Times New Roman"/>
          <w:sz w:val="32"/>
        </w:rPr>
      </w:pPr>
      <w:r>
        <w:rPr>
          <w:rFonts w:hint="eastAsia" w:ascii="Times New Roman" w:hAnsi="Times New Roman" w:cs="Times New Roman"/>
          <w:sz w:val="32"/>
        </w:rPr>
        <w:t>发生恐怖袭击事件，新闻媒体应当根据县主管部门的通报及时报道。涉外、涉港澳台和涉及民族、宗教等问题的恐怖袭击事件的新闻报道，按照有关规定执行。</w:t>
      </w:r>
    </w:p>
    <w:p w14:paraId="71661C73">
      <w:pPr>
        <w:spacing w:line="560" w:lineRule="exact"/>
        <w:ind w:firstLine="632"/>
        <w:rPr>
          <w:rFonts w:ascii="Times New Roman" w:hAnsi="Times New Roman" w:cs="Times New Roman"/>
          <w:sz w:val="32"/>
        </w:rPr>
      </w:pPr>
      <w:r>
        <w:rPr>
          <w:rFonts w:hint="eastAsia" w:ascii="Times New Roman" w:hAnsi="Times New Roman" w:cs="Times New Roman"/>
          <w:sz w:val="32"/>
        </w:rPr>
        <w:t>恐怖袭击事件新闻报道应当遵守纪律，有关主管部门应当严格把关。媒体记者进入事件现场进行拍摄与采访，应当依法进行，遵守新闻职业道德，不得妨碍事件处理工作，不得编发未经核实、没有根据的信息和传言，不得泄露国家秘密。杜绝可能激化社会矛盾、诱发不稳定因素的报道。难以把握的问题应当及时请示，涉及重要、敏感问题的稿件应当按照有关规定送审。</w:t>
      </w:r>
    </w:p>
    <w:p w14:paraId="09F2E913">
      <w:pPr>
        <w:pStyle w:val="3"/>
        <w:spacing w:line="560" w:lineRule="exact"/>
        <w:ind w:firstLine="0" w:firstLineChars="0"/>
        <w:rPr>
          <w:rFonts w:ascii="Times New Roman" w:hAnsi="Times New Roman" w:eastAsia="楷体_GB2312" w:cs="Times New Roman"/>
          <w:sz w:val="32"/>
        </w:rPr>
      </w:pPr>
      <w:bookmarkStart w:id="1426" w:name="_Toc8143"/>
      <w:r>
        <w:rPr>
          <w:rFonts w:ascii="Times New Roman" w:hAnsi="Times New Roman" w:eastAsia="楷体_GB2312" w:cs="Times New Roman"/>
          <w:sz w:val="32"/>
        </w:rPr>
        <w:t>应急结束</w:t>
      </w:r>
      <w:bookmarkEnd w:id="1426"/>
    </w:p>
    <w:p w14:paraId="6180596B">
      <w:pPr>
        <w:spacing w:line="560" w:lineRule="exact"/>
        <w:ind w:firstLine="632"/>
        <w:rPr>
          <w:rFonts w:ascii="Times New Roman" w:hAnsi="Times New Roman" w:cs="Times New Roman"/>
          <w:sz w:val="32"/>
        </w:rPr>
      </w:pPr>
      <w:r>
        <w:rPr>
          <w:rFonts w:ascii="Times New Roman" w:hAnsi="Times New Roman" w:cs="Times New Roman"/>
          <w:sz w:val="32"/>
        </w:rPr>
        <w:t>较大恐怖袭击事件应急处置工作完成后，县指挥部应组织有关部门、单位和专家进行分析评估，在确认事件得到有效控制、危害已经基本消除、善后工作已有序展开后，应判定为应急结束，由县指挥部向县应急委提出终止处置行动建议；县应急委作出应急结束决定后，由县应急委发布结束应急状态公告。</w:t>
      </w:r>
    </w:p>
    <w:p w14:paraId="24FDDAEE">
      <w:pPr>
        <w:spacing w:line="560" w:lineRule="exact"/>
        <w:ind w:firstLine="632"/>
        <w:rPr>
          <w:rFonts w:ascii="Times New Roman" w:hAnsi="Times New Roman" w:cs="Times New Roman"/>
          <w:sz w:val="32"/>
        </w:rPr>
      </w:pPr>
      <w:r>
        <w:rPr>
          <w:rFonts w:ascii="Times New Roman" w:hAnsi="Times New Roman" w:cs="Times New Roman"/>
          <w:sz w:val="32"/>
        </w:rPr>
        <w:t>宣布应急状态结束后，相关部门和单位应按照专项预案的要求，及时补充应急处置救援物资和设备，重新回到应急准备状态。各有关部门在县政府领导下开展善后工作。</w:t>
      </w:r>
    </w:p>
    <w:p w14:paraId="13C6108B">
      <w:pPr>
        <w:pStyle w:val="2"/>
        <w:numPr>
          <w:ilvl w:val="0"/>
          <w:numId w:val="231"/>
        </w:numPr>
        <w:tabs>
          <w:tab w:val="left" w:pos="0"/>
        </w:tabs>
        <w:rPr>
          <w:rFonts w:ascii="Times New Roman" w:hAnsi="Times New Roman" w:cs="Times New Roman"/>
          <w:sz w:val="32"/>
        </w:rPr>
      </w:pPr>
      <w:bookmarkStart w:id="1427" w:name="_Toc14731"/>
      <w:r>
        <w:rPr>
          <w:rFonts w:ascii="Times New Roman" w:hAnsi="Times New Roman" w:cs="Times New Roman"/>
          <w:sz w:val="32"/>
        </w:rPr>
        <w:t>后期处置</w:t>
      </w:r>
      <w:bookmarkEnd w:id="1427"/>
    </w:p>
    <w:p w14:paraId="578A8235">
      <w:pPr>
        <w:pStyle w:val="3"/>
        <w:spacing w:line="560" w:lineRule="exact"/>
        <w:ind w:firstLine="0" w:firstLineChars="0"/>
        <w:rPr>
          <w:rFonts w:ascii="Times New Roman" w:hAnsi="Times New Roman" w:eastAsia="楷体_GB2312" w:cs="Times New Roman"/>
          <w:sz w:val="32"/>
        </w:rPr>
      </w:pPr>
      <w:bookmarkStart w:id="1428" w:name="_Toc19200"/>
      <w:r>
        <w:rPr>
          <w:rFonts w:ascii="Times New Roman" w:hAnsi="Times New Roman" w:eastAsia="楷体_GB2312" w:cs="Times New Roman"/>
          <w:sz w:val="32"/>
        </w:rPr>
        <w:t>善后处置</w:t>
      </w:r>
      <w:bookmarkEnd w:id="1428"/>
    </w:p>
    <w:p w14:paraId="778BC8AD">
      <w:pPr>
        <w:spacing w:line="560" w:lineRule="exact"/>
        <w:ind w:firstLine="632"/>
        <w:rPr>
          <w:rFonts w:ascii="Times New Roman" w:hAnsi="Times New Roman" w:cs="Times New Roman"/>
          <w:sz w:val="32"/>
        </w:rPr>
      </w:pPr>
      <w:r>
        <w:rPr>
          <w:rFonts w:ascii="Times New Roman" w:hAnsi="Times New Roman" w:cs="Times New Roman"/>
          <w:sz w:val="32"/>
        </w:rPr>
        <w:t>恐怖袭击事件应急处置结束后，县政府和有关部门要迅速采取有效措施，安置群众，开展社会救助、医疗救治、丧葬抚恤和疫情监控，清理现场，恢复基本生活秩序和正常的社会秩序。</w:t>
      </w:r>
    </w:p>
    <w:p w14:paraId="61A05B70">
      <w:pPr>
        <w:spacing w:line="560" w:lineRule="exact"/>
        <w:ind w:firstLine="632"/>
        <w:rPr>
          <w:rFonts w:ascii="Times New Roman" w:hAnsi="Times New Roman" w:cs="Times New Roman"/>
          <w:sz w:val="32"/>
        </w:rPr>
      </w:pPr>
      <w:r>
        <w:rPr>
          <w:rFonts w:hint="eastAsia" w:ascii="Times New Roman" w:hAnsi="Times New Roman" w:cs="Times New Roman"/>
          <w:sz w:val="32"/>
        </w:rPr>
        <w:t>县</w:t>
      </w:r>
      <w:r>
        <w:rPr>
          <w:rFonts w:ascii="Times New Roman" w:hAnsi="Times New Roman" w:cs="Times New Roman"/>
          <w:sz w:val="32"/>
        </w:rPr>
        <w:t>指挥部办公室要及时组织力量对恐怖袭击事件所造成的危害程度、影响范围、损失情况进行调查、评估和核实，报</w:t>
      </w:r>
      <w:r>
        <w:rPr>
          <w:rFonts w:hint="eastAsia" w:ascii="Times New Roman" w:hAnsi="Times New Roman" w:cs="Times New Roman"/>
          <w:sz w:val="32"/>
        </w:rPr>
        <w:t>县</w:t>
      </w:r>
      <w:r>
        <w:rPr>
          <w:rFonts w:ascii="Times New Roman" w:hAnsi="Times New Roman" w:cs="Times New Roman"/>
          <w:sz w:val="32"/>
        </w:rPr>
        <w:t>政府和县</w:t>
      </w:r>
      <w:r>
        <w:rPr>
          <w:rFonts w:hint="eastAsia" w:ascii="Times New Roman" w:hAnsi="Times New Roman" w:cs="Times New Roman"/>
          <w:sz w:val="32"/>
        </w:rPr>
        <w:t>应急委</w:t>
      </w:r>
      <w:r>
        <w:rPr>
          <w:rFonts w:ascii="Times New Roman" w:hAnsi="Times New Roman" w:cs="Times New Roman"/>
          <w:sz w:val="32"/>
        </w:rPr>
        <w:t>办公室，并视情向社会公布。</w:t>
      </w:r>
    </w:p>
    <w:p w14:paraId="3BDD66F9">
      <w:pPr>
        <w:spacing w:line="560" w:lineRule="exact"/>
        <w:ind w:firstLine="632"/>
        <w:rPr>
          <w:rFonts w:ascii="Times New Roman" w:hAnsi="Times New Roman" w:cs="Times New Roman"/>
          <w:sz w:val="32"/>
        </w:rPr>
      </w:pPr>
      <w:r>
        <w:rPr>
          <w:rFonts w:hint="eastAsia" w:ascii="Times New Roman" w:hAnsi="Times New Roman" w:cs="Times New Roman"/>
          <w:sz w:val="32"/>
        </w:rPr>
        <w:t>县应急管理局</w:t>
      </w:r>
      <w:r>
        <w:rPr>
          <w:rFonts w:ascii="Times New Roman" w:hAnsi="Times New Roman" w:cs="Times New Roman"/>
          <w:sz w:val="32"/>
        </w:rPr>
        <w:t>应当迅速设立灾民安置场所和救济物资供应站，依法做好灾民安置和救灾款物的接收、发放、使用与管理工作，确保灾民的基本生活保障，并做好灾民的安抚工作。</w:t>
      </w:r>
    </w:p>
    <w:p w14:paraId="4361FAA6">
      <w:pPr>
        <w:spacing w:line="560" w:lineRule="exact"/>
        <w:ind w:firstLine="632"/>
        <w:rPr>
          <w:rFonts w:ascii="Times New Roman" w:hAnsi="Times New Roman" w:cs="Times New Roman"/>
          <w:sz w:val="32"/>
        </w:rPr>
      </w:pPr>
      <w:r>
        <w:rPr>
          <w:rFonts w:hint="eastAsia" w:ascii="Times New Roman" w:hAnsi="Times New Roman" w:cs="Times New Roman"/>
          <w:sz w:val="32"/>
        </w:rPr>
        <w:t>县卫生健康局</w:t>
      </w:r>
      <w:r>
        <w:rPr>
          <w:rFonts w:ascii="Times New Roman" w:hAnsi="Times New Roman" w:cs="Times New Roman"/>
          <w:sz w:val="32"/>
        </w:rPr>
        <w:t>应当做好恐怖袭击事件现场的消毒与疫情的监控工作。</w:t>
      </w:r>
      <w:r>
        <w:rPr>
          <w:rFonts w:hint="eastAsia" w:ascii="Times New Roman" w:hAnsi="Times New Roman" w:cs="Times New Roman"/>
          <w:sz w:val="32"/>
        </w:rPr>
        <w:t>生态环境保护</w:t>
      </w:r>
      <w:r>
        <w:rPr>
          <w:rFonts w:ascii="Times New Roman" w:hAnsi="Times New Roman" w:cs="Times New Roman"/>
          <w:sz w:val="32"/>
        </w:rPr>
        <w:t>部门应当根据各自职责，做好恐怖袭击事件不同污染物的收集、清理与处理工作。</w:t>
      </w:r>
    </w:p>
    <w:p w14:paraId="199ABE99">
      <w:pPr>
        <w:spacing w:line="560" w:lineRule="exact"/>
        <w:ind w:firstLine="632"/>
        <w:rPr>
          <w:rFonts w:ascii="Times New Roman" w:hAnsi="Times New Roman" w:cs="Times New Roman"/>
          <w:sz w:val="32"/>
        </w:rPr>
      </w:pPr>
      <w:r>
        <w:rPr>
          <w:rFonts w:ascii="Times New Roman" w:hAnsi="Times New Roman" w:cs="Times New Roman"/>
          <w:sz w:val="32"/>
        </w:rPr>
        <w:t>县政府应当依法对恐怖袭击事件应急处置或者演习、演练中征用的劳务、物资给予补偿；征用完毕，物资应当及时返还。征用的物资造成损坏的，由县政府负责修复或按直接经济损失予以适当补偿。</w:t>
      </w:r>
    </w:p>
    <w:p w14:paraId="267B015C">
      <w:pPr>
        <w:spacing w:line="560" w:lineRule="exact"/>
        <w:ind w:firstLine="632"/>
        <w:rPr>
          <w:rFonts w:ascii="Times New Roman" w:hAnsi="Times New Roman" w:cs="Times New Roman"/>
          <w:sz w:val="32"/>
        </w:rPr>
      </w:pPr>
      <w:r>
        <w:rPr>
          <w:rFonts w:ascii="Times New Roman" w:hAnsi="Times New Roman" w:cs="Times New Roman"/>
          <w:sz w:val="32"/>
        </w:rPr>
        <w:t>企事业单位的人员参加恐怖袭击事件应急处置和救援工作或者参加演习，原单位工资和奖金照发，原有的福利待遇不变；没有单位的人员由县政府给予适当的补贴。根据恐怖袭击事件所造成的有关损失情况，民政、人事劳动和社会保障、工会等部门要启动政府救济、司法救济、单位内部救济等程序，制定捐赠资金和物资的监督和管理方案，组织协调开展社会、单位、个人或境外机构进行救助活动。</w:t>
      </w:r>
    </w:p>
    <w:p w14:paraId="79D14DAF">
      <w:pPr>
        <w:spacing w:line="560" w:lineRule="exact"/>
        <w:ind w:firstLine="632"/>
        <w:rPr>
          <w:rFonts w:ascii="Times New Roman" w:hAnsi="Times New Roman" w:cs="Times New Roman"/>
          <w:sz w:val="32"/>
        </w:rPr>
      </w:pPr>
      <w:r>
        <w:rPr>
          <w:rFonts w:ascii="Times New Roman" w:hAnsi="Times New Roman" w:cs="Times New Roman"/>
          <w:sz w:val="32"/>
        </w:rPr>
        <w:t>保险公司、人事劳动和社会保障等部门对投保单位和个人在恐怖袭击事件中的财产损失和人身伤害情况要及时进行评估，应当根据相关法律和保险合同的约定，及时兑现保险理赔金，为生活特别困难的群体提供必要的社会最低生活保障等。</w:t>
      </w:r>
    </w:p>
    <w:p w14:paraId="196774B1">
      <w:pPr>
        <w:pStyle w:val="3"/>
        <w:spacing w:line="560" w:lineRule="exact"/>
        <w:ind w:firstLine="0" w:firstLineChars="0"/>
        <w:rPr>
          <w:rFonts w:ascii="Times New Roman" w:hAnsi="Times New Roman" w:eastAsia="楷体_GB2312" w:cs="Times New Roman"/>
          <w:sz w:val="32"/>
        </w:rPr>
      </w:pPr>
      <w:bookmarkStart w:id="1429" w:name="_Toc22229"/>
      <w:r>
        <w:rPr>
          <w:rFonts w:ascii="Times New Roman" w:hAnsi="Times New Roman" w:eastAsia="楷体_GB2312" w:cs="Times New Roman"/>
          <w:sz w:val="32"/>
        </w:rPr>
        <w:t>调查与评估</w:t>
      </w:r>
      <w:bookmarkEnd w:id="1429"/>
    </w:p>
    <w:p w14:paraId="22368964">
      <w:pPr>
        <w:spacing w:line="560" w:lineRule="exact"/>
        <w:ind w:firstLine="632"/>
        <w:rPr>
          <w:rFonts w:ascii="Times New Roman" w:hAnsi="Times New Roman" w:cs="Times New Roman"/>
          <w:sz w:val="32"/>
        </w:rPr>
      </w:pPr>
      <w:r>
        <w:rPr>
          <w:rFonts w:ascii="Times New Roman" w:hAnsi="Times New Roman" w:cs="Times New Roman"/>
          <w:sz w:val="32"/>
        </w:rPr>
        <w:t>恐怖袭击事件应急处置工作结束后，县指挥部办公室应当会同县政府及时组织事件调查，提交调查报告，报县应急委办公室和县指挥部</w:t>
      </w:r>
      <w:r>
        <w:rPr>
          <w:rFonts w:hint="eastAsia" w:ascii="Times New Roman" w:hAnsi="Times New Roman" w:cs="Times New Roman"/>
          <w:sz w:val="32"/>
        </w:rPr>
        <w:t>负责人</w:t>
      </w:r>
      <w:r>
        <w:rPr>
          <w:rFonts w:ascii="Times New Roman" w:hAnsi="Times New Roman" w:cs="Times New Roman"/>
          <w:sz w:val="32"/>
        </w:rPr>
        <w:t>。调查的内容应当包括：事件发生经过；伤亡情况，所造成的经济、政治和社会等方面的影响；分析事件产生的原因，明确责任者的责任及对责任者的处理建议；提出今后应采取的防范措施。</w:t>
      </w:r>
    </w:p>
    <w:p w14:paraId="1F025079">
      <w:pPr>
        <w:spacing w:line="560" w:lineRule="exact"/>
        <w:ind w:firstLine="632"/>
        <w:rPr>
          <w:rFonts w:ascii="Times New Roman" w:hAnsi="Times New Roman" w:cs="Times New Roman"/>
          <w:sz w:val="32"/>
        </w:rPr>
      </w:pPr>
      <w:r>
        <w:rPr>
          <w:rFonts w:ascii="Times New Roman" w:hAnsi="Times New Roman" w:cs="Times New Roman"/>
          <w:sz w:val="32"/>
        </w:rPr>
        <w:t>恐怖袭击事件应急工作结束后，县指挥部办公室应当对恐怖袭击事件应急工作进行全面总结，提交总结报告，报县应急委办公室和县指挥部</w:t>
      </w:r>
      <w:r>
        <w:rPr>
          <w:rFonts w:hint="eastAsia" w:ascii="Times New Roman" w:hAnsi="Times New Roman" w:cs="Times New Roman"/>
          <w:sz w:val="32"/>
        </w:rPr>
        <w:t>负责人</w:t>
      </w:r>
      <w:r>
        <w:rPr>
          <w:rFonts w:ascii="Times New Roman" w:hAnsi="Times New Roman" w:cs="Times New Roman"/>
          <w:sz w:val="32"/>
        </w:rPr>
        <w:t>。总结报告应当包括：事件的基本情况，事件产生的原因，应急处置过程（包括各阶段采取的主要措施及其功效），应急处置过程中存在的问题，今后应采取的防范措施和改进应急处置措施的建议，评估应急预案在恐怖袭击事件中的作用，并针对应急预案存在的问题，提出相应的修改意见。</w:t>
      </w:r>
    </w:p>
    <w:p w14:paraId="53254991">
      <w:pPr>
        <w:pStyle w:val="2"/>
        <w:numPr>
          <w:ilvl w:val="0"/>
          <w:numId w:val="231"/>
        </w:numPr>
        <w:tabs>
          <w:tab w:val="left" w:pos="0"/>
        </w:tabs>
        <w:rPr>
          <w:rFonts w:ascii="Times New Roman" w:hAnsi="Times New Roman" w:cs="Times New Roman"/>
          <w:sz w:val="32"/>
        </w:rPr>
      </w:pPr>
      <w:bookmarkStart w:id="1430" w:name="_Toc7721"/>
      <w:r>
        <w:rPr>
          <w:rFonts w:ascii="Times New Roman" w:hAnsi="Times New Roman" w:cs="Times New Roman"/>
          <w:sz w:val="32"/>
        </w:rPr>
        <w:t>应急保障</w:t>
      </w:r>
      <w:bookmarkEnd w:id="1430"/>
    </w:p>
    <w:p w14:paraId="7D681931">
      <w:pPr>
        <w:pStyle w:val="3"/>
        <w:spacing w:line="560" w:lineRule="exact"/>
        <w:ind w:firstLine="0" w:firstLineChars="0"/>
        <w:rPr>
          <w:rFonts w:ascii="Times New Roman" w:hAnsi="Times New Roman" w:eastAsia="楷体_GB2312" w:cs="Times New Roman"/>
          <w:sz w:val="32"/>
        </w:rPr>
      </w:pPr>
      <w:bookmarkStart w:id="1431" w:name="_Toc17763"/>
      <w:r>
        <w:rPr>
          <w:rFonts w:ascii="Times New Roman" w:hAnsi="Times New Roman" w:eastAsia="楷体_GB2312" w:cs="Times New Roman"/>
          <w:sz w:val="32"/>
        </w:rPr>
        <w:t>人力资源</w:t>
      </w:r>
      <w:bookmarkEnd w:id="1431"/>
    </w:p>
    <w:p w14:paraId="1F6E7CD4">
      <w:pPr>
        <w:spacing w:line="560" w:lineRule="exact"/>
        <w:ind w:firstLine="632"/>
        <w:rPr>
          <w:rFonts w:ascii="Times New Roman" w:hAnsi="Times New Roman" w:cs="Times New Roman"/>
          <w:sz w:val="32"/>
        </w:rPr>
      </w:pPr>
      <w:r>
        <w:rPr>
          <w:rFonts w:ascii="Times New Roman" w:hAnsi="Times New Roman" w:cs="Times New Roman"/>
          <w:sz w:val="32"/>
        </w:rPr>
        <w:t>按照“平战结合、军地结合、专兼结合、社会参与、规模适度、协调配合、指挥灵便、反应快速、应急有效”的原则，构建恐怖袭击事件应急专业队伍体系。各专业应急队伍要合理部署和配置。</w:t>
      </w:r>
    </w:p>
    <w:p w14:paraId="527A5F17">
      <w:pPr>
        <w:spacing w:line="560" w:lineRule="exact"/>
        <w:ind w:firstLine="632"/>
        <w:rPr>
          <w:rFonts w:ascii="Times New Roman" w:hAnsi="Times New Roman" w:cs="Times New Roman"/>
          <w:sz w:val="32"/>
        </w:rPr>
      </w:pPr>
      <w:r>
        <w:rPr>
          <w:rFonts w:hint="eastAsia" w:ascii="Times New Roman" w:hAnsi="Times New Roman" w:cs="Times New Roman"/>
          <w:sz w:val="32"/>
        </w:rPr>
        <w:t>县人民</w:t>
      </w:r>
      <w:r>
        <w:rPr>
          <w:rFonts w:ascii="Times New Roman" w:hAnsi="Times New Roman" w:cs="Times New Roman"/>
          <w:sz w:val="32"/>
        </w:rPr>
        <w:t>武装部、县武警中队、县公安局、县</w:t>
      </w:r>
      <w:r>
        <w:rPr>
          <w:rFonts w:hint="eastAsia" w:ascii="Times New Roman" w:hAnsi="Times New Roman" w:cs="Times New Roman"/>
          <w:sz w:val="32"/>
        </w:rPr>
        <w:t>消防救援大队</w:t>
      </w:r>
      <w:r>
        <w:rPr>
          <w:rFonts w:ascii="Times New Roman" w:hAnsi="Times New Roman" w:cs="Times New Roman"/>
          <w:sz w:val="32"/>
        </w:rPr>
        <w:t>、县卫生</w:t>
      </w:r>
      <w:r>
        <w:rPr>
          <w:rFonts w:hint="eastAsia" w:ascii="Times New Roman" w:hAnsi="Times New Roman" w:cs="Times New Roman"/>
          <w:sz w:val="32"/>
        </w:rPr>
        <w:t>健康</w:t>
      </w:r>
      <w:r>
        <w:rPr>
          <w:rFonts w:ascii="Times New Roman" w:hAnsi="Times New Roman" w:cs="Times New Roman"/>
          <w:sz w:val="32"/>
        </w:rPr>
        <w:t>局、</w:t>
      </w:r>
      <w:r>
        <w:rPr>
          <w:rFonts w:hint="eastAsia" w:ascii="Times New Roman" w:hAnsi="Times New Roman" w:cs="Times New Roman"/>
          <w:sz w:val="32"/>
        </w:rPr>
        <w:t>国家电网集贤</w:t>
      </w:r>
      <w:r>
        <w:rPr>
          <w:rFonts w:ascii="Times New Roman" w:hAnsi="Times New Roman" w:cs="Times New Roman"/>
          <w:sz w:val="32"/>
        </w:rPr>
        <w:t>供电公司、县电信公司、县移动公司、县联通公司等部门根据各自工作职责和应急处置工作需要，分别组建一支适应处置不同类型的恐怖袭击事件的专业应急队伍，一旦发生恐怖袭击事件，在县指挥部和现场指挥部统一指挥下，参与应急处置和救援工作。</w:t>
      </w:r>
    </w:p>
    <w:p w14:paraId="3B05E399">
      <w:pPr>
        <w:spacing w:line="560" w:lineRule="exact"/>
        <w:ind w:firstLine="632"/>
        <w:rPr>
          <w:rFonts w:ascii="Times New Roman" w:hAnsi="Times New Roman" w:cs="Times New Roman"/>
          <w:sz w:val="32"/>
        </w:rPr>
      </w:pPr>
      <w:r>
        <w:rPr>
          <w:rFonts w:ascii="Times New Roman" w:hAnsi="Times New Roman" w:cs="Times New Roman"/>
          <w:sz w:val="32"/>
        </w:rPr>
        <w:t>在应急期间，各专业应急队伍要服从指挥调度，加强协调配合，互联互动，形成处置合力。</w:t>
      </w:r>
    </w:p>
    <w:p w14:paraId="14007CAA">
      <w:pPr>
        <w:spacing w:line="560" w:lineRule="exact"/>
        <w:ind w:firstLine="632"/>
        <w:rPr>
          <w:rFonts w:ascii="Times New Roman" w:hAnsi="Times New Roman" w:cs="Times New Roman"/>
          <w:sz w:val="32"/>
        </w:rPr>
      </w:pPr>
      <w:r>
        <w:rPr>
          <w:rFonts w:ascii="Times New Roman" w:hAnsi="Times New Roman" w:cs="Times New Roman"/>
          <w:sz w:val="32"/>
        </w:rPr>
        <w:t>建立专业应急队伍值班备勤、管理教育、训练演练、装备配备及经费保障等制度和措施。各专业应急队伍要配备先进、高效、适应性强的救援、排险、侦察装备、器材和通信、交通工具，加强值班备勤，加强应急专业技能的培训和演练。</w:t>
      </w:r>
    </w:p>
    <w:p w14:paraId="20FE8312">
      <w:pPr>
        <w:pStyle w:val="3"/>
        <w:spacing w:line="560" w:lineRule="exact"/>
        <w:ind w:firstLine="0" w:firstLineChars="0"/>
        <w:rPr>
          <w:rFonts w:ascii="Times New Roman" w:hAnsi="Times New Roman" w:eastAsia="楷体_GB2312" w:cs="Times New Roman"/>
          <w:sz w:val="32"/>
        </w:rPr>
      </w:pPr>
      <w:bookmarkStart w:id="1432" w:name="_Toc24324"/>
      <w:r>
        <w:rPr>
          <w:rFonts w:ascii="Times New Roman" w:hAnsi="Times New Roman" w:eastAsia="楷体_GB2312" w:cs="Times New Roman"/>
          <w:sz w:val="32"/>
        </w:rPr>
        <w:t>财力保障</w:t>
      </w:r>
      <w:bookmarkEnd w:id="1432"/>
    </w:p>
    <w:p w14:paraId="0B49923E">
      <w:pPr>
        <w:spacing w:line="560" w:lineRule="exact"/>
        <w:ind w:firstLine="632"/>
        <w:rPr>
          <w:rFonts w:ascii="Times New Roman" w:hAnsi="Times New Roman" w:cs="Times New Roman"/>
          <w:sz w:val="32"/>
        </w:rPr>
      </w:pPr>
      <w:r>
        <w:rPr>
          <w:rFonts w:ascii="Times New Roman" w:hAnsi="Times New Roman" w:cs="Times New Roman"/>
          <w:sz w:val="32"/>
        </w:rPr>
        <w:t>建立恐怖袭击事件应急经费保障制度。预防和处置恐怖袭击事件所需经费按照分级负担原则，纳入政府财政专项预算予以保障，县级财政给予一定补助，并争取上级财政的支持。县财政要为恐怖袭击事件应急工作的信息化建设、日常运作与保障、反恐技术规划、应急处置、应急救援、专案侦查、预案维护、专业培训、演习、演练等提供必要的经费保障。审计、财政、国有资产管理等部门负责对应急经费使用情况进行监督检查，保证专款专用。</w:t>
      </w:r>
    </w:p>
    <w:p w14:paraId="328A0A65">
      <w:pPr>
        <w:pStyle w:val="3"/>
        <w:spacing w:line="560" w:lineRule="exact"/>
        <w:ind w:firstLine="0" w:firstLineChars="0"/>
        <w:rPr>
          <w:rFonts w:ascii="Times New Roman" w:hAnsi="Times New Roman" w:eastAsia="楷体_GB2312" w:cs="Times New Roman"/>
          <w:sz w:val="32"/>
        </w:rPr>
      </w:pPr>
      <w:bookmarkStart w:id="1433" w:name="_Toc3934"/>
      <w:r>
        <w:rPr>
          <w:rFonts w:ascii="Times New Roman" w:hAnsi="Times New Roman" w:eastAsia="楷体_GB2312" w:cs="Times New Roman"/>
          <w:sz w:val="32"/>
        </w:rPr>
        <w:t>物资保障</w:t>
      </w:r>
      <w:bookmarkEnd w:id="1433"/>
    </w:p>
    <w:p w14:paraId="08937329">
      <w:pPr>
        <w:spacing w:line="560" w:lineRule="exact"/>
        <w:ind w:firstLine="632"/>
        <w:rPr>
          <w:rFonts w:ascii="Times New Roman" w:hAnsi="Times New Roman" w:cs="Times New Roman"/>
          <w:sz w:val="32"/>
        </w:rPr>
      </w:pPr>
      <w:r>
        <w:rPr>
          <w:rFonts w:ascii="Times New Roman" w:hAnsi="Times New Roman" w:cs="Times New Roman"/>
          <w:sz w:val="32"/>
        </w:rPr>
        <w:t>县政府应当在突发公共事件应急救援物资储备体系内，建立恐怖袭击事件应急救援物资储备、调拨和紧急配送制度，保障应对恐怖袭击事件的物资供应。</w:t>
      </w:r>
    </w:p>
    <w:p w14:paraId="6D7341CA">
      <w:pPr>
        <w:spacing w:line="560" w:lineRule="exact"/>
        <w:ind w:firstLine="632"/>
        <w:rPr>
          <w:rFonts w:ascii="Times New Roman" w:hAnsi="Times New Roman" w:cs="Times New Roman"/>
          <w:sz w:val="32"/>
        </w:rPr>
      </w:pPr>
      <w:r>
        <w:rPr>
          <w:rFonts w:hint="eastAsia" w:ascii="Times New Roman" w:hAnsi="Times New Roman" w:cs="Times New Roman"/>
          <w:sz w:val="32"/>
        </w:rPr>
        <w:t>县应急管理局、县发展和改革局</w:t>
      </w:r>
      <w:r>
        <w:rPr>
          <w:rFonts w:ascii="Times New Roman" w:hAnsi="Times New Roman" w:cs="Times New Roman"/>
          <w:sz w:val="32"/>
        </w:rPr>
        <w:t>负责组织、协调恐怖袭击事件应急物资的储存、调拨和紧急供应等物资保障工作，并进行规划和立项；其他有关部门、单位按照各自的职责和预案的要求，做好相关物资的保障工作。</w:t>
      </w:r>
    </w:p>
    <w:p w14:paraId="3A7D9C7B">
      <w:pPr>
        <w:spacing w:line="560" w:lineRule="exact"/>
        <w:ind w:firstLine="632"/>
        <w:rPr>
          <w:rFonts w:ascii="Times New Roman" w:hAnsi="Times New Roman" w:cs="Times New Roman"/>
          <w:sz w:val="32"/>
        </w:rPr>
      </w:pPr>
      <w:r>
        <w:rPr>
          <w:rFonts w:ascii="Times New Roman" w:hAnsi="Times New Roman" w:cs="Times New Roman"/>
          <w:sz w:val="32"/>
        </w:rPr>
        <w:t>县指挥部办公室要建立有关数据库，并根据情况随时更新，其内容包括应急物资的种类、数量、存放地点、更新年限等。</w:t>
      </w:r>
      <w:r>
        <w:rPr>
          <w:rFonts w:hint="eastAsia" w:ascii="Times New Roman" w:hAnsi="Times New Roman" w:cs="Times New Roman"/>
          <w:sz w:val="32"/>
        </w:rPr>
        <w:t>县发展和改革局、县财政局</w:t>
      </w:r>
      <w:r>
        <w:rPr>
          <w:rFonts w:ascii="Times New Roman" w:hAnsi="Times New Roman" w:cs="Times New Roman"/>
          <w:sz w:val="32"/>
        </w:rPr>
        <w:t>要将应急物资生产、加工、储备进行规划和立项，纳入各级财政预算。各有关部门要制定相关应急物资中长期及年度储备计划。</w:t>
      </w:r>
    </w:p>
    <w:p w14:paraId="23F9688A">
      <w:pPr>
        <w:spacing w:line="560" w:lineRule="exact"/>
        <w:ind w:firstLine="632"/>
        <w:rPr>
          <w:rFonts w:ascii="Times New Roman" w:hAnsi="Times New Roman" w:cs="Times New Roman"/>
          <w:sz w:val="32"/>
        </w:rPr>
      </w:pPr>
      <w:r>
        <w:rPr>
          <w:rFonts w:ascii="Times New Roman" w:hAnsi="Times New Roman" w:cs="Times New Roman"/>
          <w:sz w:val="32"/>
        </w:rPr>
        <w:t>要加强对应急储备物资的管理，防止储备物资被盗用、挪用、流散或者失效；一旦发生上述情况，要及时予以补充和更新。</w:t>
      </w:r>
    </w:p>
    <w:p w14:paraId="0D00339B">
      <w:pPr>
        <w:pStyle w:val="3"/>
        <w:spacing w:line="560" w:lineRule="exact"/>
        <w:ind w:firstLine="0" w:firstLineChars="0"/>
        <w:rPr>
          <w:rFonts w:ascii="Times New Roman" w:hAnsi="Times New Roman" w:eastAsia="楷体_GB2312" w:cs="Times New Roman"/>
          <w:sz w:val="32"/>
        </w:rPr>
      </w:pPr>
      <w:bookmarkStart w:id="1434" w:name="_Toc17675"/>
      <w:r>
        <w:rPr>
          <w:rFonts w:ascii="Times New Roman" w:hAnsi="Times New Roman" w:eastAsia="楷体_GB2312" w:cs="Times New Roman"/>
          <w:sz w:val="32"/>
        </w:rPr>
        <w:t>医疗卫生保障</w:t>
      </w:r>
      <w:bookmarkEnd w:id="1434"/>
    </w:p>
    <w:p w14:paraId="301B7B75">
      <w:pPr>
        <w:spacing w:line="560" w:lineRule="exact"/>
        <w:ind w:firstLine="632"/>
        <w:rPr>
          <w:rFonts w:ascii="Times New Roman" w:hAnsi="Times New Roman" w:cs="Times New Roman"/>
          <w:sz w:val="32"/>
        </w:rPr>
      </w:pPr>
      <w:r>
        <w:rPr>
          <w:rFonts w:ascii="Times New Roman" w:hAnsi="Times New Roman" w:cs="Times New Roman"/>
          <w:sz w:val="32"/>
        </w:rPr>
        <w:t>县卫生</w:t>
      </w:r>
      <w:r>
        <w:rPr>
          <w:rFonts w:hint="eastAsia" w:ascii="Times New Roman" w:hAnsi="Times New Roman" w:cs="Times New Roman"/>
          <w:sz w:val="32"/>
        </w:rPr>
        <w:t>健康</w:t>
      </w:r>
      <w:r>
        <w:rPr>
          <w:rFonts w:ascii="Times New Roman" w:hAnsi="Times New Roman" w:cs="Times New Roman"/>
          <w:sz w:val="32"/>
        </w:rPr>
        <w:t>局会同医药、药监、防疫、检验检疫等部门负责恐怖袭击事件的医疗保障工作。要建立动态数据库，包括医疗救治单位的数量、分布、救治能力和专业特长等；拟定应急医疗救护保障计划，制定相应的应急准备措施，建立医疗应急救援队伍，建立医疗卫生应急设备、物资等的调度方案。</w:t>
      </w:r>
    </w:p>
    <w:p w14:paraId="639645FA">
      <w:pPr>
        <w:spacing w:line="560" w:lineRule="exact"/>
        <w:ind w:firstLine="632"/>
        <w:rPr>
          <w:rFonts w:ascii="Times New Roman" w:hAnsi="Times New Roman" w:cs="Times New Roman"/>
          <w:sz w:val="32"/>
        </w:rPr>
      </w:pPr>
      <w:r>
        <w:rPr>
          <w:rFonts w:ascii="Times New Roman" w:hAnsi="Times New Roman" w:cs="Times New Roman"/>
          <w:sz w:val="32"/>
        </w:rPr>
        <w:t>恐怖袭击事件的应急医疗救护工作必须坚持“救死扶伤、以人为本”的原则，尽最大可能减少人员伤亡，并按照现场抢救、院前急救、专科救治的不同环节和实际需要组织实施应急救护。医疗急救机构负责院前急救工作，各级医院负责后续专科医疗救护工作。</w:t>
      </w:r>
    </w:p>
    <w:p w14:paraId="47632B5A">
      <w:pPr>
        <w:pStyle w:val="3"/>
        <w:spacing w:line="560" w:lineRule="exact"/>
        <w:ind w:firstLine="0" w:firstLineChars="0"/>
        <w:rPr>
          <w:rFonts w:ascii="Times New Roman" w:hAnsi="Times New Roman" w:eastAsia="楷体_GB2312" w:cs="Times New Roman"/>
          <w:sz w:val="32"/>
        </w:rPr>
      </w:pPr>
      <w:bookmarkStart w:id="1435" w:name="_Toc21641"/>
      <w:r>
        <w:rPr>
          <w:rFonts w:ascii="Times New Roman" w:hAnsi="Times New Roman" w:eastAsia="楷体_GB2312" w:cs="Times New Roman"/>
          <w:sz w:val="32"/>
        </w:rPr>
        <w:t>交通运输保障</w:t>
      </w:r>
      <w:bookmarkEnd w:id="1435"/>
    </w:p>
    <w:p w14:paraId="7D9A8397">
      <w:pPr>
        <w:spacing w:line="560" w:lineRule="exact"/>
        <w:ind w:firstLine="632"/>
        <w:rPr>
          <w:rFonts w:ascii="Times New Roman" w:hAnsi="Times New Roman" w:cs="Times New Roman"/>
          <w:sz w:val="32"/>
        </w:rPr>
      </w:pPr>
      <w:r>
        <w:rPr>
          <w:rFonts w:ascii="Times New Roman" w:hAnsi="Times New Roman" w:cs="Times New Roman"/>
          <w:sz w:val="32"/>
        </w:rPr>
        <w:t>县交通</w:t>
      </w:r>
      <w:r>
        <w:rPr>
          <w:rFonts w:hint="eastAsia" w:ascii="Times New Roman" w:hAnsi="Times New Roman" w:cs="Times New Roman"/>
          <w:sz w:val="32"/>
        </w:rPr>
        <w:t>运输</w:t>
      </w:r>
      <w:r>
        <w:rPr>
          <w:rFonts w:ascii="Times New Roman" w:hAnsi="Times New Roman" w:cs="Times New Roman"/>
          <w:sz w:val="32"/>
        </w:rPr>
        <w:t>局负责公路、水路运输设施、工具及水路运输秩序的保障工作；县公安局负责道路运输秩序的保障工作；其他部门要按照各自的职责，做好交通运输保障工作。</w:t>
      </w:r>
    </w:p>
    <w:p w14:paraId="3E540D6D">
      <w:pPr>
        <w:spacing w:line="560" w:lineRule="exact"/>
        <w:ind w:firstLine="632"/>
        <w:rPr>
          <w:rFonts w:ascii="Times New Roman" w:hAnsi="Times New Roman" w:cs="Times New Roman"/>
          <w:sz w:val="32"/>
        </w:rPr>
      </w:pPr>
      <w:r>
        <w:rPr>
          <w:rFonts w:ascii="Times New Roman" w:hAnsi="Times New Roman" w:cs="Times New Roman"/>
          <w:sz w:val="32"/>
        </w:rPr>
        <w:t>县指挥部办公室建立交通运输保障动态数据库，包括应急处置和救援所需的各类交通运输工具的数量、分布、功能、使用状态等。县交通</w:t>
      </w:r>
      <w:r>
        <w:rPr>
          <w:rFonts w:hint="eastAsia" w:ascii="Times New Roman" w:hAnsi="Times New Roman" w:cs="Times New Roman"/>
          <w:sz w:val="32"/>
        </w:rPr>
        <w:t>运输</w:t>
      </w:r>
      <w:r>
        <w:rPr>
          <w:rFonts w:ascii="Times New Roman" w:hAnsi="Times New Roman" w:cs="Times New Roman"/>
          <w:sz w:val="32"/>
        </w:rPr>
        <w:t>局要按照平战结合的原则，做好道路运输的应急保障车辆储备的组织工作，确定储备标准，由政府负责落实；同时建立相应的管理和紧急调用等制度，确保在应急状态下能够及时组织和调集应急交通工具，紧急输送指挥人员、专家、救援人员、应急队伍、救援物资和被疏散群众；必要时，可紧急动员和征用社会交通设施、装备。</w:t>
      </w:r>
    </w:p>
    <w:p w14:paraId="7C12032A">
      <w:pPr>
        <w:spacing w:line="560" w:lineRule="exact"/>
        <w:ind w:firstLine="632"/>
        <w:rPr>
          <w:rFonts w:ascii="Times New Roman" w:hAnsi="Times New Roman" w:cs="Times New Roman"/>
          <w:sz w:val="32"/>
        </w:rPr>
      </w:pPr>
      <w:r>
        <w:rPr>
          <w:rFonts w:ascii="Times New Roman" w:hAnsi="Times New Roman" w:cs="Times New Roman"/>
          <w:sz w:val="32"/>
        </w:rPr>
        <w:t>怖袭击事件发生后，公安机关要及时对事发现场或一定区域实施交通管制，根据需要和可能开辟应急“绿色通道”，确保应急指挥、救援人员和物资、器材、装备的优先输送。</w:t>
      </w:r>
    </w:p>
    <w:p w14:paraId="0BAD0D8D">
      <w:pPr>
        <w:pStyle w:val="3"/>
        <w:spacing w:line="560" w:lineRule="exact"/>
        <w:ind w:firstLine="0" w:firstLineChars="0"/>
        <w:rPr>
          <w:rFonts w:ascii="Times New Roman" w:hAnsi="Times New Roman" w:eastAsia="楷体_GB2312" w:cs="Times New Roman"/>
          <w:sz w:val="32"/>
        </w:rPr>
      </w:pPr>
      <w:bookmarkStart w:id="1436" w:name="_Toc18035"/>
      <w:r>
        <w:rPr>
          <w:rFonts w:ascii="Times New Roman" w:hAnsi="Times New Roman" w:eastAsia="楷体_GB2312" w:cs="Times New Roman"/>
          <w:sz w:val="32"/>
        </w:rPr>
        <w:t>治安维护</w:t>
      </w:r>
      <w:r>
        <w:rPr>
          <w:rFonts w:hint="eastAsia" w:ascii="Times New Roman" w:hAnsi="Times New Roman" w:eastAsia="楷体_GB2312" w:cs="Times New Roman"/>
          <w:sz w:val="32"/>
        </w:rPr>
        <w:t>保障</w:t>
      </w:r>
      <w:bookmarkEnd w:id="1436"/>
    </w:p>
    <w:p w14:paraId="1092A621">
      <w:pPr>
        <w:spacing w:line="560" w:lineRule="exact"/>
        <w:ind w:firstLine="632"/>
        <w:rPr>
          <w:rFonts w:ascii="Times New Roman" w:hAnsi="Times New Roman" w:cs="Times New Roman"/>
          <w:sz w:val="32"/>
        </w:rPr>
      </w:pPr>
      <w:r>
        <w:rPr>
          <w:rFonts w:ascii="Times New Roman" w:hAnsi="Times New Roman" w:cs="Times New Roman"/>
          <w:sz w:val="32"/>
        </w:rPr>
        <w:t>公安机关负责组织恐怖袭击事件的应急治安保障工作，</w:t>
      </w:r>
      <w:r>
        <w:rPr>
          <w:rFonts w:hint="eastAsia" w:ascii="Times New Roman" w:hAnsi="Times New Roman" w:cs="Times New Roman"/>
          <w:sz w:val="32"/>
        </w:rPr>
        <w:t>驻县</w:t>
      </w:r>
      <w:r>
        <w:rPr>
          <w:rFonts w:ascii="Times New Roman" w:hAnsi="Times New Roman" w:cs="Times New Roman"/>
          <w:sz w:val="32"/>
        </w:rPr>
        <w:t>武警部队予以协助和配合。</w:t>
      </w:r>
    </w:p>
    <w:p w14:paraId="207476A7">
      <w:pPr>
        <w:spacing w:line="560" w:lineRule="exact"/>
        <w:ind w:firstLine="632"/>
        <w:rPr>
          <w:rFonts w:ascii="Times New Roman" w:hAnsi="Times New Roman" w:cs="Times New Roman"/>
          <w:sz w:val="32"/>
        </w:rPr>
      </w:pPr>
      <w:r>
        <w:rPr>
          <w:rFonts w:ascii="Times New Roman" w:hAnsi="Times New Roman" w:cs="Times New Roman"/>
          <w:sz w:val="32"/>
        </w:rPr>
        <w:t>县公安局会同县武警中队拟定应急状态下维护治安秩序的各项工作方案和计划，包括警力集结、布控方案、勤务方式和行动措施等，报县应急委批准后组织实施。</w:t>
      </w:r>
    </w:p>
    <w:p w14:paraId="4238B1FF">
      <w:pPr>
        <w:spacing w:line="560" w:lineRule="exact"/>
        <w:ind w:firstLine="632"/>
        <w:rPr>
          <w:rFonts w:ascii="Times New Roman" w:hAnsi="Times New Roman" w:cs="Times New Roman"/>
          <w:sz w:val="32"/>
        </w:rPr>
      </w:pPr>
    </w:p>
    <w:p w14:paraId="67AC0E44">
      <w:pPr>
        <w:spacing w:line="560" w:lineRule="exact"/>
        <w:ind w:firstLine="632"/>
        <w:rPr>
          <w:rFonts w:ascii="Times New Roman" w:hAnsi="Times New Roman" w:cs="Times New Roman"/>
          <w:sz w:val="32"/>
        </w:rPr>
      </w:pPr>
      <w:r>
        <w:rPr>
          <w:rFonts w:ascii="Times New Roman" w:hAnsi="Times New Roman" w:cs="Times New Roman"/>
          <w:sz w:val="32"/>
        </w:rPr>
        <w:t>恐怖袭击事件发生后，公安机关要迅速组织相关警力进行治安警戒和治安管理；根据需要，对事发地及周边地区实行现场监控、交通管制、侦查缉捕及出入境与边防</w:t>
      </w:r>
      <w:r>
        <w:rPr>
          <w:rFonts w:hint="eastAsia" w:ascii="Times New Roman" w:hAnsi="Times New Roman" w:cs="Times New Roman"/>
          <w:sz w:val="32"/>
        </w:rPr>
        <w:t>管控</w:t>
      </w:r>
      <w:r>
        <w:rPr>
          <w:rFonts w:ascii="Times New Roman" w:hAnsi="Times New Roman" w:cs="Times New Roman"/>
          <w:sz w:val="32"/>
        </w:rPr>
        <w:t>等工作，加强对重点地区、重点场所、重要目标、重点人群、重要物资设备特别是应急物资设备的警卫和防范保护，严惩趁火打劫和制造事端的违法犯罪行为；要采取各种预防性紧急措施，及时疏散群众，防止事态及其危害进一步扩大，全力维护社会稳定和治安秩序。</w:t>
      </w:r>
    </w:p>
    <w:p w14:paraId="338294C1">
      <w:pPr>
        <w:spacing w:line="560" w:lineRule="exact"/>
        <w:ind w:firstLine="632"/>
        <w:rPr>
          <w:rFonts w:ascii="Times New Roman" w:hAnsi="Times New Roman" w:cs="Times New Roman"/>
          <w:sz w:val="32"/>
        </w:rPr>
      </w:pPr>
      <w:r>
        <w:rPr>
          <w:rFonts w:ascii="Times New Roman" w:hAnsi="Times New Roman" w:cs="Times New Roman"/>
          <w:sz w:val="32"/>
        </w:rPr>
        <w:t>恐怖袭击事件事发地的基层政府和社区组织要积极发动和组织群众，开展群防联防，协助公安机关实施治安保卫工作。</w:t>
      </w:r>
    </w:p>
    <w:p w14:paraId="3DC0AFAB">
      <w:pPr>
        <w:pStyle w:val="3"/>
        <w:spacing w:line="560" w:lineRule="exact"/>
        <w:ind w:firstLine="0" w:firstLineChars="0"/>
        <w:rPr>
          <w:rFonts w:ascii="Times New Roman" w:hAnsi="Times New Roman" w:eastAsia="楷体_GB2312" w:cs="Times New Roman"/>
          <w:sz w:val="32"/>
        </w:rPr>
      </w:pPr>
      <w:bookmarkStart w:id="1437" w:name="_Toc14775"/>
      <w:r>
        <w:rPr>
          <w:rFonts w:ascii="Times New Roman" w:hAnsi="Times New Roman" w:eastAsia="楷体_GB2312" w:cs="Times New Roman"/>
          <w:sz w:val="32"/>
        </w:rPr>
        <w:t>人员防护</w:t>
      </w:r>
      <w:r>
        <w:rPr>
          <w:rFonts w:hint="eastAsia" w:ascii="Times New Roman" w:hAnsi="Times New Roman" w:eastAsia="楷体_GB2312" w:cs="Times New Roman"/>
          <w:sz w:val="32"/>
        </w:rPr>
        <w:t>保障</w:t>
      </w:r>
      <w:bookmarkEnd w:id="1437"/>
    </w:p>
    <w:p w14:paraId="4FF6E852">
      <w:pPr>
        <w:spacing w:line="560" w:lineRule="exact"/>
        <w:ind w:firstLine="632"/>
        <w:rPr>
          <w:rFonts w:ascii="Times New Roman" w:hAnsi="Times New Roman" w:cs="Times New Roman"/>
          <w:sz w:val="32"/>
        </w:rPr>
      </w:pPr>
      <w:r>
        <w:rPr>
          <w:rFonts w:ascii="Times New Roman" w:hAnsi="Times New Roman" w:cs="Times New Roman"/>
          <w:sz w:val="32"/>
        </w:rPr>
        <w:t>县政府要按照平战结合的原则，根据本地经济社会发展等实际情况，科学规划、合理布建恐怖袭击事件的人员紧急避难场所。紧急避难场所可与公园、广场、体育场馆等县政公共基础设施的建设或改造工程</w:t>
      </w:r>
      <w:r>
        <w:rPr>
          <w:rFonts w:hint="eastAsia" w:ascii="Times New Roman" w:hAnsi="Times New Roman" w:cs="Times New Roman"/>
          <w:sz w:val="32"/>
        </w:rPr>
        <w:t>相结合</w:t>
      </w:r>
      <w:r>
        <w:rPr>
          <w:rFonts w:ascii="Times New Roman" w:hAnsi="Times New Roman" w:cs="Times New Roman"/>
          <w:sz w:val="32"/>
        </w:rPr>
        <w:t>，可与突发公共事件紧急避难场所共用；科学合理设立进出通道，保证应急状态下可迅速安置群众进入紧急避难场所。必要时，可以紧急征用机关、社会团体、学校以及经营性宾馆、招待所、酒店、文化娱乐场所等作为临时避难场所。</w:t>
      </w:r>
    </w:p>
    <w:p w14:paraId="2717BE8A">
      <w:pPr>
        <w:spacing w:line="560" w:lineRule="exact"/>
        <w:ind w:firstLine="632"/>
        <w:rPr>
          <w:rFonts w:ascii="Times New Roman" w:hAnsi="Times New Roman" w:cs="Times New Roman"/>
          <w:sz w:val="32"/>
        </w:rPr>
      </w:pPr>
      <w:r>
        <w:rPr>
          <w:rFonts w:ascii="Times New Roman" w:hAnsi="Times New Roman" w:cs="Times New Roman"/>
          <w:sz w:val="32"/>
        </w:rPr>
        <w:t>县政府应当制定人员紧急疏散预案，确保恐怖袭击事件发生后需疏散人员能在最短时间内疏散至安全区域、紧急避难场所；对因恐怖袭击事件紧急疏散的人员要妥善安置，并确保疏散人员的生活所需。</w:t>
      </w:r>
    </w:p>
    <w:p w14:paraId="77532493">
      <w:pPr>
        <w:pStyle w:val="3"/>
        <w:spacing w:line="560" w:lineRule="exact"/>
        <w:ind w:firstLine="0" w:firstLineChars="0"/>
        <w:rPr>
          <w:rFonts w:ascii="Times New Roman" w:hAnsi="Times New Roman" w:eastAsia="楷体_GB2312" w:cs="Times New Roman"/>
          <w:sz w:val="32"/>
        </w:rPr>
      </w:pPr>
      <w:bookmarkStart w:id="1438" w:name="_Toc18005"/>
      <w:r>
        <w:rPr>
          <w:rFonts w:ascii="Times New Roman" w:hAnsi="Times New Roman" w:eastAsia="楷体_GB2312" w:cs="Times New Roman"/>
          <w:sz w:val="32"/>
        </w:rPr>
        <w:t>通信保障</w:t>
      </w:r>
      <w:bookmarkEnd w:id="1438"/>
    </w:p>
    <w:p w14:paraId="6EC021E2">
      <w:pPr>
        <w:spacing w:line="560" w:lineRule="exact"/>
        <w:ind w:firstLine="632"/>
        <w:rPr>
          <w:rFonts w:ascii="Times New Roman" w:hAnsi="Times New Roman" w:cs="Times New Roman"/>
          <w:sz w:val="32"/>
        </w:rPr>
      </w:pPr>
      <w:r>
        <w:rPr>
          <w:rFonts w:ascii="Times New Roman" w:hAnsi="Times New Roman" w:cs="Times New Roman"/>
          <w:sz w:val="32"/>
        </w:rPr>
        <w:t>建立稳定、可靠、便捷、保密的恐怖袭击事件应急通信保障系统，确保恐怖袭击事件预案启动后县指挥部与现场指挥部、事发地</w:t>
      </w:r>
      <w:r>
        <w:rPr>
          <w:rFonts w:hint="eastAsia" w:ascii="Times New Roman" w:hAnsi="Times New Roman" w:cs="Times New Roman"/>
          <w:sz w:val="32"/>
        </w:rPr>
        <w:t>乡镇人民政府</w:t>
      </w:r>
      <w:r>
        <w:rPr>
          <w:rFonts w:ascii="Times New Roman" w:hAnsi="Times New Roman" w:cs="Times New Roman"/>
          <w:sz w:val="32"/>
        </w:rPr>
        <w:t>、</w:t>
      </w:r>
      <w:r>
        <w:rPr>
          <w:rFonts w:hint="eastAsia" w:ascii="Times New Roman" w:hAnsi="Times New Roman" w:cs="Times New Roman"/>
          <w:sz w:val="32"/>
        </w:rPr>
        <w:t>指挥部成员单位</w:t>
      </w:r>
      <w:r>
        <w:rPr>
          <w:rFonts w:ascii="Times New Roman" w:hAnsi="Times New Roman" w:cs="Times New Roman"/>
          <w:sz w:val="32"/>
        </w:rPr>
        <w:t>、联动单位以及与县应急</w:t>
      </w:r>
      <w:r>
        <w:rPr>
          <w:rFonts w:hint="eastAsia" w:ascii="Times New Roman" w:hAnsi="Times New Roman" w:cs="Times New Roman"/>
          <w:sz w:val="32"/>
        </w:rPr>
        <w:t>委</w:t>
      </w:r>
      <w:r>
        <w:rPr>
          <w:rFonts w:ascii="Times New Roman" w:hAnsi="Times New Roman" w:cs="Times New Roman"/>
          <w:sz w:val="32"/>
        </w:rPr>
        <w:t>办公室之间的通信联络畅通。同时，建立备用的通信设施和方案及通讯录，确保紧急情况下可随时调用。应急各成员单位和联动单位要建立和完善内部畅通的通信联络体系。</w:t>
      </w:r>
    </w:p>
    <w:p w14:paraId="54257EB1">
      <w:pPr>
        <w:spacing w:line="560" w:lineRule="exact"/>
        <w:ind w:firstLine="632"/>
        <w:rPr>
          <w:rFonts w:ascii="Times New Roman" w:hAnsi="Times New Roman" w:cs="Times New Roman"/>
          <w:sz w:val="32"/>
        </w:rPr>
      </w:pPr>
      <w:r>
        <w:rPr>
          <w:rFonts w:ascii="Times New Roman" w:hAnsi="Times New Roman" w:cs="Times New Roman"/>
          <w:sz w:val="32"/>
        </w:rPr>
        <w:t>参与恐怖袭击事件应急处置工作的各有关部门、联动单位、各应急专业队伍，要确保一部专用固定电话机24小时有人值守，并明确带班领导，其主要领导、分管领导要确保县指挥部办公室能够通过其办公、住宅或者移动电话随时与之保持联系，确因出国等原因不能保持联系的，要报告替代领导及联系方式。有关部门、单位可以与突发公共事件其他专项应急指挥机构合并值班备勤。</w:t>
      </w:r>
    </w:p>
    <w:p w14:paraId="6ECAEFFD">
      <w:pPr>
        <w:spacing w:line="560" w:lineRule="exact"/>
        <w:ind w:firstLine="632"/>
        <w:rPr>
          <w:rFonts w:ascii="Times New Roman" w:hAnsi="Times New Roman" w:cs="Times New Roman"/>
          <w:sz w:val="32"/>
        </w:rPr>
      </w:pPr>
      <w:r>
        <w:rPr>
          <w:rFonts w:ascii="Times New Roman" w:hAnsi="Times New Roman" w:cs="Times New Roman"/>
          <w:sz w:val="32"/>
        </w:rPr>
        <w:t>应急</w:t>
      </w:r>
      <w:r>
        <w:rPr>
          <w:rFonts w:hint="eastAsia" w:ascii="Times New Roman" w:hAnsi="Times New Roman" w:cs="Times New Roman"/>
          <w:sz w:val="32"/>
        </w:rPr>
        <w:t>处置</w:t>
      </w:r>
      <w:r>
        <w:rPr>
          <w:rFonts w:ascii="Times New Roman" w:hAnsi="Times New Roman" w:cs="Times New Roman"/>
          <w:sz w:val="32"/>
        </w:rPr>
        <w:t>期间，县各通讯公司要组织调度县内通信网络及相应的通信手段，做好应急通讯相关保障工作；县政府负责协助现场应急处置的通信保障。</w:t>
      </w:r>
    </w:p>
    <w:p w14:paraId="1C7013A0">
      <w:pPr>
        <w:pStyle w:val="3"/>
        <w:spacing w:line="560" w:lineRule="exact"/>
        <w:ind w:firstLine="0" w:firstLineChars="0"/>
        <w:rPr>
          <w:rFonts w:ascii="Times New Roman" w:hAnsi="Times New Roman" w:eastAsia="楷体_GB2312" w:cs="Times New Roman"/>
          <w:sz w:val="32"/>
        </w:rPr>
      </w:pPr>
      <w:bookmarkStart w:id="1439" w:name="_Toc26858"/>
      <w:r>
        <w:rPr>
          <w:rFonts w:ascii="Times New Roman" w:hAnsi="Times New Roman" w:eastAsia="楷体_GB2312" w:cs="Times New Roman"/>
          <w:sz w:val="32"/>
        </w:rPr>
        <w:t>社会动员保障</w:t>
      </w:r>
      <w:bookmarkEnd w:id="1439"/>
    </w:p>
    <w:p w14:paraId="3429E33C">
      <w:pPr>
        <w:spacing w:line="560" w:lineRule="exact"/>
        <w:ind w:firstLine="632"/>
        <w:rPr>
          <w:rFonts w:ascii="Times New Roman" w:hAnsi="Times New Roman" w:cs="Times New Roman"/>
          <w:sz w:val="32"/>
        </w:rPr>
      </w:pPr>
      <w:r>
        <w:rPr>
          <w:rFonts w:ascii="Times New Roman" w:hAnsi="Times New Roman" w:cs="Times New Roman"/>
          <w:sz w:val="32"/>
        </w:rPr>
        <w:t>县政府要建立健全组织和动员人民群众参与应对恐怖袭击事件的有效机制，为处置恐怖袭击事件提供强大的群众基础和社会资源保障。</w:t>
      </w:r>
    </w:p>
    <w:p w14:paraId="715FD0BD">
      <w:pPr>
        <w:spacing w:line="560" w:lineRule="exact"/>
        <w:ind w:firstLine="632"/>
        <w:rPr>
          <w:rFonts w:ascii="Times New Roman" w:hAnsi="Times New Roman" w:cs="Times New Roman"/>
          <w:sz w:val="32"/>
        </w:rPr>
      </w:pPr>
    </w:p>
    <w:p w14:paraId="14097510">
      <w:pPr>
        <w:spacing w:line="560" w:lineRule="exact"/>
        <w:ind w:firstLine="632"/>
        <w:rPr>
          <w:rFonts w:ascii="Times New Roman" w:hAnsi="Times New Roman" w:cs="Times New Roman"/>
          <w:sz w:val="32"/>
        </w:rPr>
      </w:pPr>
      <w:r>
        <w:rPr>
          <w:rFonts w:ascii="Times New Roman" w:hAnsi="Times New Roman" w:cs="Times New Roman"/>
          <w:sz w:val="32"/>
        </w:rPr>
        <w:t>当恐怖袭击事件升级扩大到难以控制需要进行社会动员时，县政府要通过各种形式、运用方便快捷的宣传工具和通信手段，以最快的速度将有关动员通知传达到动员对象。任何单位都必须向本单位被动员人员及时传达动员通知，并为其按时报到提供便利。被动员人员接到通知后，必须按要求到指定地点报到。</w:t>
      </w:r>
    </w:p>
    <w:p w14:paraId="311243B8">
      <w:pPr>
        <w:spacing w:line="560" w:lineRule="exact"/>
        <w:ind w:firstLine="632"/>
        <w:rPr>
          <w:rFonts w:ascii="Times New Roman" w:hAnsi="Times New Roman" w:cs="Times New Roman"/>
          <w:sz w:val="32"/>
        </w:rPr>
      </w:pPr>
      <w:r>
        <w:rPr>
          <w:rFonts w:ascii="Times New Roman" w:hAnsi="Times New Roman" w:cs="Times New Roman"/>
          <w:sz w:val="32"/>
        </w:rPr>
        <w:t>县指挥部有权在应急预案启动后或进行应急演习、演练时，按照规定的程序发出现场应急处置、救援、抢险设施和装备以及物资的调用指令；接到指令的单位和个人必须无条件服从，并将有关设施、装备、物资投入救援、抢险或演习、演练。</w:t>
      </w:r>
    </w:p>
    <w:p w14:paraId="4BE3E908">
      <w:pPr>
        <w:pStyle w:val="3"/>
        <w:spacing w:line="560" w:lineRule="exact"/>
        <w:ind w:firstLine="0" w:firstLineChars="0"/>
        <w:rPr>
          <w:rFonts w:ascii="Times New Roman" w:hAnsi="Times New Roman" w:eastAsia="楷体_GB2312" w:cs="Times New Roman"/>
          <w:sz w:val="32"/>
        </w:rPr>
      </w:pPr>
      <w:bookmarkStart w:id="1440" w:name="_Toc29904"/>
      <w:r>
        <w:rPr>
          <w:rFonts w:ascii="Times New Roman" w:hAnsi="Times New Roman" w:eastAsia="楷体_GB2312" w:cs="Times New Roman"/>
          <w:sz w:val="32"/>
        </w:rPr>
        <w:t>法制保障</w:t>
      </w:r>
      <w:bookmarkEnd w:id="1440"/>
    </w:p>
    <w:p w14:paraId="3E098902">
      <w:pPr>
        <w:spacing w:line="560" w:lineRule="exact"/>
        <w:ind w:firstLine="632"/>
        <w:rPr>
          <w:rFonts w:ascii="Times New Roman" w:hAnsi="Times New Roman" w:cs="Times New Roman"/>
          <w:sz w:val="32"/>
        </w:rPr>
      </w:pPr>
      <w:r>
        <w:rPr>
          <w:rFonts w:ascii="Times New Roman" w:hAnsi="Times New Roman" w:cs="Times New Roman"/>
          <w:sz w:val="32"/>
        </w:rPr>
        <w:t>通过加强恐怖袭击事件应急工作的法制建设，使恐怖袭击事件应急处置工作走向规范化、制度化和</w:t>
      </w:r>
      <w:r>
        <w:rPr>
          <w:rFonts w:hint="eastAsia" w:ascii="Times New Roman" w:hAnsi="Times New Roman" w:cs="Times New Roman"/>
          <w:sz w:val="32"/>
        </w:rPr>
        <w:t>法制化</w:t>
      </w:r>
      <w:r>
        <w:rPr>
          <w:rFonts w:ascii="Times New Roman" w:hAnsi="Times New Roman" w:cs="Times New Roman"/>
          <w:sz w:val="32"/>
        </w:rPr>
        <w:t>轨道。</w:t>
      </w:r>
    </w:p>
    <w:p w14:paraId="4A91AFE1">
      <w:pPr>
        <w:pStyle w:val="2"/>
        <w:numPr>
          <w:ilvl w:val="0"/>
          <w:numId w:val="231"/>
        </w:numPr>
        <w:tabs>
          <w:tab w:val="left" w:pos="0"/>
        </w:tabs>
        <w:rPr>
          <w:rFonts w:ascii="Times New Roman" w:hAnsi="Times New Roman" w:cs="Times New Roman"/>
          <w:sz w:val="32"/>
        </w:rPr>
      </w:pPr>
      <w:bookmarkStart w:id="1441" w:name="_Toc20319"/>
      <w:r>
        <w:rPr>
          <w:rFonts w:ascii="Times New Roman" w:hAnsi="Times New Roman" w:cs="Times New Roman"/>
          <w:sz w:val="32"/>
        </w:rPr>
        <w:t>预案管理</w:t>
      </w:r>
      <w:bookmarkEnd w:id="1441"/>
    </w:p>
    <w:p w14:paraId="240A37E3">
      <w:pPr>
        <w:pStyle w:val="3"/>
        <w:spacing w:line="560" w:lineRule="exact"/>
        <w:ind w:firstLine="0" w:firstLineChars="0"/>
        <w:rPr>
          <w:rFonts w:ascii="Times New Roman" w:hAnsi="Times New Roman" w:eastAsia="楷体_GB2312" w:cs="Times New Roman"/>
          <w:sz w:val="32"/>
        </w:rPr>
      </w:pPr>
      <w:bookmarkStart w:id="1442" w:name="_Toc31068"/>
      <w:r>
        <w:rPr>
          <w:rFonts w:ascii="Times New Roman" w:hAnsi="Times New Roman" w:eastAsia="楷体_GB2312" w:cs="Times New Roman"/>
          <w:sz w:val="32"/>
        </w:rPr>
        <w:t>预案演练</w:t>
      </w:r>
      <w:bookmarkEnd w:id="1442"/>
    </w:p>
    <w:p w14:paraId="05B416C7">
      <w:pPr>
        <w:spacing w:line="560" w:lineRule="exact"/>
        <w:ind w:firstLine="632"/>
        <w:rPr>
          <w:rFonts w:ascii="Times New Roman" w:hAnsi="Times New Roman" w:cs="Times New Roman"/>
          <w:sz w:val="32"/>
        </w:rPr>
      </w:pPr>
      <w:r>
        <w:rPr>
          <w:rFonts w:ascii="Times New Roman" w:hAnsi="Times New Roman" w:cs="Times New Roman"/>
          <w:sz w:val="32"/>
        </w:rPr>
        <w:t>适时组织处置不同类型的恐怖袭击事件的应急实战演习，包括应急机制的演练、指挥协调系统的演练、应急专业队伍的演练、应急处置过程的演练等。</w:t>
      </w:r>
    </w:p>
    <w:p w14:paraId="425DB40F">
      <w:pPr>
        <w:spacing w:line="560" w:lineRule="exact"/>
        <w:ind w:firstLine="632"/>
        <w:rPr>
          <w:rFonts w:ascii="Times New Roman" w:hAnsi="Times New Roman" w:cs="Times New Roman"/>
          <w:sz w:val="32"/>
        </w:rPr>
      </w:pPr>
      <w:r>
        <w:rPr>
          <w:rFonts w:ascii="Times New Roman" w:hAnsi="Times New Roman" w:cs="Times New Roman"/>
          <w:sz w:val="32"/>
        </w:rPr>
        <w:t>应急演习包括编制应急演习方案、明确演习任务、组织演习队伍、确定演习范围和场所、开展应急演习以及进行评价和总结等。</w:t>
      </w:r>
    </w:p>
    <w:p w14:paraId="1C71BC6B">
      <w:pPr>
        <w:spacing w:line="560" w:lineRule="exact"/>
        <w:ind w:firstLine="632"/>
        <w:rPr>
          <w:rFonts w:ascii="Times New Roman" w:hAnsi="Times New Roman" w:cs="Times New Roman"/>
          <w:sz w:val="32"/>
        </w:rPr>
      </w:pPr>
      <w:r>
        <w:rPr>
          <w:rFonts w:ascii="Times New Roman" w:hAnsi="Times New Roman" w:cs="Times New Roman"/>
          <w:sz w:val="32"/>
        </w:rPr>
        <w:t>县指挥部负责组织跨区域、跨部门处置恐怖袭击事件综合应急演习；各应急部门和联动单位负责组织本部门、本单位</w:t>
      </w:r>
      <w:r>
        <w:rPr>
          <w:rFonts w:hint="eastAsia" w:ascii="Times New Roman" w:hAnsi="Times New Roman" w:cs="Times New Roman"/>
          <w:sz w:val="32"/>
        </w:rPr>
        <w:t>（</w:t>
      </w:r>
      <w:r>
        <w:rPr>
          <w:rFonts w:ascii="Times New Roman" w:hAnsi="Times New Roman" w:cs="Times New Roman"/>
          <w:sz w:val="32"/>
        </w:rPr>
        <w:t>系统</w:t>
      </w:r>
      <w:r>
        <w:rPr>
          <w:rFonts w:hint="eastAsia" w:ascii="Times New Roman" w:hAnsi="Times New Roman" w:cs="Times New Roman"/>
          <w:sz w:val="32"/>
        </w:rPr>
        <w:t>）</w:t>
      </w:r>
      <w:r>
        <w:rPr>
          <w:rFonts w:ascii="Times New Roman" w:hAnsi="Times New Roman" w:cs="Times New Roman"/>
          <w:sz w:val="32"/>
        </w:rPr>
        <w:t>范围内的专业应急演习；县指挥部需要组织的综合性应急演习需报县应急委批准。应急综合性演习应在本预案生效后每2年组织一次</w:t>
      </w:r>
    </w:p>
    <w:p w14:paraId="165646DE">
      <w:pPr>
        <w:spacing w:line="560" w:lineRule="exact"/>
        <w:ind w:firstLine="632"/>
        <w:rPr>
          <w:rFonts w:ascii="Times New Roman" w:hAnsi="Times New Roman" w:cs="Times New Roman"/>
          <w:sz w:val="32"/>
        </w:rPr>
      </w:pPr>
      <w:r>
        <w:rPr>
          <w:rFonts w:ascii="Times New Roman" w:hAnsi="Times New Roman" w:cs="Times New Roman"/>
          <w:sz w:val="32"/>
        </w:rPr>
        <w:t>应急演习结束后</w:t>
      </w:r>
      <w:r>
        <w:rPr>
          <w:rFonts w:hint="eastAsia" w:ascii="Times New Roman" w:hAnsi="Times New Roman" w:cs="Times New Roman"/>
          <w:sz w:val="32"/>
        </w:rPr>
        <w:t>县指挥部办公室</w:t>
      </w:r>
      <w:r>
        <w:rPr>
          <w:rFonts w:ascii="Times New Roman" w:hAnsi="Times New Roman" w:cs="Times New Roman"/>
          <w:sz w:val="32"/>
        </w:rPr>
        <w:t>应对演习进行全面总结和评价。总结报告包括演习地点、时间、气象、环境等背景信息；演习方案和演习情景；演习的规模、范围、投入的人员及装备情况；演习应急组织及保障情况；演习目标和演示的范围；演习过程等基本内容。演习的评价包括对存在的重大缺陷的评述、应急预案的完善、应急专用装备及设施的维护与更新等方面的意见和建议。</w:t>
      </w:r>
    </w:p>
    <w:p w14:paraId="6F4BC427">
      <w:pPr>
        <w:pStyle w:val="3"/>
        <w:spacing w:line="560" w:lineRule="exact"/>
        <w:ind w:firstLine="0" w:firstLineChars="0"/>
        <w:rPr>
          <w:rFonts w:ascii="Times New Roman" w:hAnsi="Times New Roman" w:eastAsia="楷体_GB2312" w:cs="Times New Roman"/>
          <w:sz w:val="32"/>
        </w:rPr>
      </w:pPr>
      <w:bookmarkStart w:id="1443" w:name="_Toc28954"/>
      <w:r>
        <w:rPr>
          <w:rFonts w:ascii="Times New Roman" w:hAnsi="Times New Roman" w:eastAsia="楷体_GB2312" w:cs="Times New Roman"/>
          <w:sz w:val="32"/>
        </w:rPr>
        <w:t>宣传和培训</w:t>
      </w:r>
      <w:bookmarkEnd w:id="1443"/>
    </w:p>
    <w:p w14:paraId="15BF2F5D">
      <w:pPr>
        <w:spacing w:line="560" w:lineRule="exact"/>
        <w:ind w:firstLine="632"/>
        <w:rPr>
          <w:rFonts w:ascii="Times New Roman" w:hAnsi="Times New Roman" w:cs="Times New Roman"/>
          <w:sz w:val="32"/>
        </w:rPr>
      </w:pPr>
      <w:r>
        <w:rPr>
          <w:rFonts w:ascii="Times New Roman" w:hAnsi="Times New Roman" w:cs="Times New Roman"/>
          <w:sz w:val="32"/>
        </w:rPr>
        <w:t>县政府要组织宣传、法制、教育、新闻出版、科技、文化、卫生、环保、公安、检验检疫等部门广泛开展应急法律法规和预防、避险、防护、自救、互救等常识的宣传教育工作，增强公众防范意识和心理准备，提高公众的防范能力。</w:t>
      </w:r>
    </w:p>
    <w:p w14:paraId="7D1C85A5">
      <w:pPr>
        <w:spacing w:line="560" w:lineRule="exact"/>
        <w:ind w:firstLine="632"/>
        <w:rPr>
          <w:rFonts w:ascii="Times New Roman" w:hAnsi="Times New Roman" w:cs="Times New Roman"/>
          <w:sz w:val="32"/>
        </w:rPr>
      </w:pPr>
      <w:r>
        <w:rPr>
          <w:rFonts w:ascii="Times New Roman" w:hAnsi="Times New Roman" w:cs="Times New Roman"/>
          <w:sz w:val="32"/>
        </w:rPr>
        <w:t>各应急部门、联动单位要有针对性地开展对指挥员、工作人员、救援人员及专业应急力量日常培训和专业训练，不断提高本部门、本单位预防和处置恐怖袭击事件的能力。</w:t>
      </w:r>
    </w:p>
    <w:p w14:paraId="1C7819F9">
      <w:pPr>
        <w:pStyle w:val="3"/>
        <w:spacing w:line="560" w:lineRule="exact"/>
        <w:ind w:firstLine="0" w:firstLineChars="0"/>
        <w:rPr>
          <w:rFonts w:ascii="Times New Roman" w:hAnsi="Times New Roman" w:eastAsia="楷体_GB2312" w:cs="Times New Roman"/>
          <w:sz w:val="32"/>
        </w:rPr>
      </w:pPr>
      <w:bookmarkStart w:id="1444" w:name="_Toc176"/>
      <w:r>
        <w:rPr>
          <w:rFonts w:ascii="Times New Roman" w:hAnsi="Times New Roman" w:eastAsia="楷体_GB2312" w:cs="Times New Roman"/>
          <w:sz w:val="32"/>
        </w:rPr>
        <w:t>责任与奖惩</w:t>
      </w:r>
      <w:bookmarkEnd w:id="1444"/>
    </w:p>
    <w:p w14:paraId="215E9EDD">
      <w:pPr>
        <w:spacing w:line="560" w:lineRule="exact"/>
        <w:ind w:firstLine="632"/>
        <w:rPr>
          <w:rFonts w:ascii="Times New Roman" w:hAnsi="Times New Roman" w:cs="Times New Roman"/>
          <w:sz w:val="32"/>
        </w:rPr>
      </w:pPr>
      <w:r>
        <w:rPr>
          <w:rFonts w:ascii="Times New Roman" w:hAnsi="Times New Roman" w:cs="Times New Roman"/>
          <w:sz w:val="32"/>
        </w:rPr>
        <w:t>县政府及其有关部门应当对参加应急处置和救援的人员，给予适当的补助；对在预防和处置恐怖袭击事件工作中作出贡献的单位和个人，给予表彰奖励；对因参与应急处置和救援工作致伤、致残、死亡的人员，按照国家有关规定，给予相应的补助和抚恤。对拒绝参与应急处置和救援、延误应急处置救援时机、处置不力、措施不当而导致事态扩大，造成严重后果的责任单位和个人，应当依法依纪追究其责任。</w:t>
      </w:r>
    </w:p>
    <w:p w14:paraId="7353C7D7">
      <w:pPr>
        <w:pStyle w:val="3"/>
        <w:spacing w:line="560" w:lineRule="exact"/>
        <w:ind w:firstLine="0" w:firstLineChars="0"/>
        <w:rPr>
          <w:rFonts w:ascii="Times New Roman" w:hAnsi="Times New Roman" w:eastAsia="楷体_GB2312" w:cs="Times New Roman"/>
          <w:sz w:val="32"/>
        </w:rPr>
      </w:pPr>
      <w:bookmarkStart w:id="1445" w:name="_Toc9644"/>
      <w:r>
        <w:rPr>
          <w:rFonts w:ascii="Times New Roman" w:hAnsi="Times New Roman" w:eastAsia="楷体_GB2312" w:cs="Times New Roman"/>
          <w:sz w:val="32"/>
        </w:rPr>
        <w:t>预案更新</w:t>
      </w:r>
      <w:bookmarkEnd w:id="1445"/>
    </w:p>
    <w:p w14:paraId="46A6DD19">
      <w:pPr>
        <w:spacing w:line="560" w:lineRule="exact"/>
        <w:ind w:firstLine="632"/>
        <w:rPr>
          <w:rFonts w:ascii="Times New Roman" w:hAnsi="Times New Roman" w:cs="Times New Roman"/>
          <w:sz w:val="32"/>
        </w:rPr>
      </w:pPr>
      <w:r>
        <w:rPr>
          <w:rFonts w:ascii="Times New Roman" w:hAnsi="Times New Roman" w:cs="Times New Roman"/>
          <w:sz w:val="32"/>
        </w:rPr>
        <w:t>县处置大规模恐怖袭击事件应急指挥部负责组织对预案进行评估，原则上每3年对本预案评审一次，并按程序进行修订。本预案有下列情形之一的，应当及时修订：</w:t>
      </w:r>
    </w:p>
    <w:p w14:paraId="4ACC539A">
      <w:pPr>
        <w:spacing w:line="560" w:lineRule="exact"/>
        <w:ind w:firstLine="632"/>
        <w:rPr>
          <w:rFonts w:ascii="Times New Roman" w:hAnsi="Times New Roman" w:cs="Times New Roman"/>
          <w:sz w:val="32"/>
        </w:rPr>
      </w:pPr>
      <w:r>
        <w:rPr>
          <w:rFonts w:ascii="Times New Roman" w:hAnsi="Times New Roman" w:cs="Times New Roman"/>
          <w:sz w:val="32"/>
        </w:rPr>
        <w:t>（1）有关法律、行政法规、规章、标准、上位预案中的有关规定发生变化的；</w:t>
      </w:r>
    </w:p>
    <w:p w14:paraId="27CD2D1D">
      <w:pPr>
        <w:spacing w:line="560" w:lineRule="exact"/>
        <w:ind w:firstLine="632"/>
        <w:rPr>
          <w:rFonts w:ascii="Times New Roman" w:hAnsi="Times New Roman" w:cs="Times New Roman"/>
          <w:sz w:val="32"/>
        </w:rPr>
      </w:pPr>
      <w:r>
        <w:rPr>
          <w:rFonts w:ascii="Times New Roman" w:hAnsi="Times New Roman" w:cs="Times New Roman"/>
          <w:sz w:val="32"/>
        </w:rPr>
        <w:t>（2）应急指挥机构及其职责发生重大调整的；</w:t>
      </w:r>
    </w:p>
    <w:p w14:paraId="358D4EF9">
      <w:pPr>
        <w:spacing w:line="560" w:lineRule="exact"/>
        <w:ind w:firstLine="632"/>
        <w:rPr>
          <w:rFonts w:ascii="Times New Roman" w:hAnsi="Times New Roman" w:cs="Times New Roman"/>
          <w:sz w:val="32"/>
        </w:rPr>
      </w:pPr>
      <w:r>
        <w:rPr>
          <w:rFonts w:ascii="Times New Roman" w:hAnsi="Times New Roman" w:cs="Times New Roman"/>
          <w:sz w:val="32"/>
        </w:rPr>
        <w:t>（3）面临的风险发生重大变化的；</w:t>
      </w:r>
    </w:p>
    <w:p w14:paraId="2144DD2B">
      <w:pPr>
        <w:spacing w:line="560" w:lineRule="exact"/>
        <w:ind w:firstLine="632"/>
        <w:rPr>
          <w:rFonts w:ascii="Times New Roman" w:hAnsi="Times New Roman" w:cs="Times New Roman"/>
          <w:sz w:val="32"/>
        </w:rPr>
      </w:pPr>
      <w:r>
        <w:rPr>
          <w:rFonts w:ascii="Times New Roman" w:hAnsi="Times New Roman" w:cs="Times New Roman"/>
          <w:sz w:val="32"/>
        </w:rPr>
        <w:t>（4）重要应急资源发生重大变化的；</w:t>
      </w:r>
    </w:p>
    <w:p w14:paraId="74EB333C">
      <w:pPr>
        <w:spacing w:line="560" w:lineRule="exact"/>
        <w:ind w:firstLine="632"/>
        <w:rPr>
          <w:rFonts w:ascii="Times New Roman" w:hAnsi="Times New Roman" w:cs="Times New Roman"/>
          <w:sz w:val="32"/>
        </w:rPr>
      </w:pPr>
      <w:r>
        <w:rPr>
          <w:rFonts w:ascii="Times New Roman" w:hAnsi="Times New Roman" w:cs="Times New Roman"/>
          <w:sz w:val="32"/>
        </w:rPr>
        <w:t>（5）预案中的其他重要信息发生变化的；</w:t>
      </w:r>
    </w:p>
    <w:p w14:paraId="06F2726E">
      <w:pPr>
        <w:spacing w:line="560" w:lineRule="exact"/>
        <w:ind w:firstLine="632"/>
        <w:rPr>
          <w:rFonts w:ascii="Times New Roman" w:hAnsi="Times New Roman" w:cs="Times New Roman"/>
          <w:sz w:val="32"/>
        </w:rPr>
      </w:pPr>
      <w:r>
        <w:rPr>
          <w:rFonts w:ascii="Times New Roman" w:hAnsi="Times New Roman" w:cs="Times New Roman"/>
          <w:sz w:val="32"/>
        </w:rPr>
        <w:t>（6）在突发事件实际应对和应急演练中发现问题需要做出重大调整的；</w:t>
      </w:r>
    </w:p>
    <w:p w14:paraId="7AF0CE1E">
      <w:pPr>
        <w:spacing w:line="560" w:lineRule="exact"/>
        <w:ind w:firstLine="632"/>
        <w:rPr>
          <w:rFonts w:ascii="Times New Roman" w:hAnsi="Times New Roman" w:cs="Times New Roman"/>
          <w:sz w:val="32"/>
        </w:rPr>
      </w:pPr>
      <w:r>
        <w:rPr>
          <w:rFonts w:ascii="Times New Roman" w:hAnsi="Times New Roman" w:cs="Times New Roman"/>
          <w:sz w:val="32"/>
        </w:rPr>
        <w:t>（7）应急预案制定单位认为应当修订的其他情况。</w:t>
      </w:r>
    </w:p>
    <w:p w14:paraId="3CA74102">
      <w:pPr>
        <w:pStyle w:val="2"/>
        <w:numPr>
          <w:ilvl w:val="0"/>
          <w:numId w:val="231"/>
        </w:numPr>
        <w:tabs>
          <w:tab w:val="left" w:pos="0"/>
        </w:tabs>
        <w:rPr>
          <w:rFonts w:ascii="Times New Roman" w:hAnsi="Times New Roman" w:cs="Times New Roman"/>
          <w:sz w:val="32"/>
        </w:rPr>
      </w:pPr>
      <w:bookmarkStart w:id="1446" w:name="_Toc21226"/>
      <w:r>
        <w:rPr>
          <w:rFonts w:ascii="Times New Roman" w:hAnsi="Times New Roman" w:cs="Times New Roman"/>
          <w:sz w:val="32"/>
        </w:rPr>
        <w:t>预案解释与实施</w:t>
      </w:r>
      <w:bookmarkEnd w:id="1446"/>
    </w:p>
    <w:p w14:paraId="3F8E8A7D">
      <w:pPr>
        <w:spacing w:line="560" w:lineRule="exact"/>
        <w:ind w:firstLine="632"/>
        <w:rPr>
          <w:rFonts w:ascii="Times New Roman" w:hAnsi="Times New Roman" w:cs="Times New Roman"/>
          <w:sz w:val="32"/>
        </w:rPr>
      </w:pPr>
      <w:r>
        <w:rPr>
          <w:rFonts w:ascii="Times New Roman" w:hAnsi="Times New Roman" w:cs="Times New Roman"/>
          <w:sz w:val="32"/>
        </w:rPr>
        <w:t>本预案由集贤县处置大规模恐怖袭击事件应急指挥部办公室负责解释。</w:t>
      </w:r>
    </w:p>
    <w:p w14:paraId="3B56C5E3">
      <w:pPr>
        <w:spacing w:line="560" w:lineRule="exact"/>
        <w:ind w:firstLine="632"/>
        <w:rPr>
          <w:rFonts w:ascii="Times New Roman" w:hAnsi="Times New Roman" w:cs="Times New Roman"/>
          <w:sz w:val="32"/>
        </w:rPr>
      </w:pPr>
      <w:r>
        <w:rPr>
          <w:rFonts w:ascii="Times New Roman" w:hAnsi="Times New Roman" w:cs="Times New Roman"/>
          <w:sz w:val="32"/>
        </w:rPr>
        <w:t>本预案自发布之日起施行。</w:t>
      </w:r>
    </w:p>
    <w:p w14:paraId="335DB201">
      <w:pPr>
        <w:spacing w:line="560" w:lineRule="exact"/>
        <w:ind w:firstLine="632"/>
        <w:rPr>
          <w:rFonts w:ascii="Times New Roman" w:hAnsi="Times New Roman" w:cs="Times New Roman"/>
          <w:sz w:val="32"/>
        </w:rPr>
      </w:pPr>
      <w:r>
        <w:rPr>
          <w:rFonts w:ascii="Times New Roman" w:hAnsi="Times New Roman" w:cs="Times New Roman"/>
          <w:sz w:val="32"/>
        </w:rPr>
        <w:br w:type="page"/>
      </w:r>
    </w:p>
    <w:p w14:paraId="4F8BF33F">
      <w:pPr>
        <w:spacing w:line="560" w:lineRule="exact"/>
        <w:ind w:firstLine="632"/>
        <w:rPr>
          <w:rFonts w:ascii="Times New Roman" w:hAnsi="Times New Roman" w:cs="Times New Roman"/>
          <w:sz w:val="32"/>
        </w:rPr>
      </w:pPr>
    </w:p>
    <w:p w14:paraId="3B3FBE43">
      <w:pPr>
        <w:spacing w:line="560" w:lineRule="exact"/>
        <w:ind w:firstLine="632"/>
        <w:rPr>
          <w:rFonts w:ascii="Times New Roman" w:hAnsi="Times New Roman" w:cs="Times New Roman"/>
          <w:sz w:val="32"/>
        </w:rPr>
      </w:pPr>
    </w:p>
    <w:p w14:paraId="3FF9B097">
      <w:pPr>
        <w:pStyle w:val="13"/>
        <w:ind w:firstLine="632"/>
        <w:rPr>
          <w:rFonts w:ascii="Times New Roman" w:hAnsi="Times New Roman" w:cs="Times New Roman"/>
        </w:rPr>
      </w:pPr>
    </w:p>
    <w:p w14:paraId="0A46B30A">
      <w:pPr>
        <w:spacing w:line="560" w:lineRule="exact"/>
        <w:ind w:firstLine="632"/>
        <w:rPr>
          <w:rFonts w:ascii="Times New Roman" w:hAnsi="Times New Roman" w:cs="Times New Roman"/>
          <w:sz w:val="32"/>
        </w:rPr>
      </w:pPr>
    </w:p>
    <w:p w14:paraId="29E4A2EE">
      <w:pPr>
        <w:ind w:firstLine="0" w:firstLineChars="0"/>
        <w:jc w:val="center"/>
        <w:rPr>
          <w:rFonts w:ascii="Times New Roman" w:hAnsi="Times New Roman" w:eastAsia="方正小标宋简体" w:cs="Times New Roman"/>
          <w:bCs/>
          <w:color w:val="000000"/>
          <w:spacing w:val="-6"/>
          <w:kern w:val="0"/>
          <w:sz w:val="52"/>
          <w:szCs w:val="52"/>
          <w:lang w:bidi="ar"/>
        </w:rPr>
      </w:pPr>
      <w:r>
        <w:rPr>
          <w:rFonts w:hint="eastAsia" w:ascii="Times New Roman" w:hAnsi="Times New Roman" w:eastAsia="方正小标宋简体" w:cs="Times New Roman"/>
          <w:bCs/>
          <w:color w:val="000000"/>
          <w:spacing w:val="-6"/>
          <w:kern w:val="0"/>
          <w:sz w:val="52"/>
          <w:szCs w:val="52"/>
          <w:lang w:bidi="ar"/>
        </w:rPr>
        <w:t>集贤县处置重特大刑事案件应急预案</w:t>
      </w:r>
    </w:p>
    <w:p w14:paraId="62B47E72">
      <w:pPr>
        <w:ind w:firstLine="0" w:firstLineChars="0"/>
        <w:jc w:val="center"/>
        <w:rPr>
          <w:rFonts w:ascii="Times New Roman" w:hAnsi="Times New Roman" w:eastAsia="方正小标宋简体" w:cs="Times New Roman"/>
          <w:bCs/>
          <w:color w:val="000000"/>
          <w:spacing w:val="-6"/>
          <w:kern w:val="0"/>
          <w:sz w:val="52"/>
          <w:szCs w:val="52"/>
          <w:lang w:bidi="ar"/>
        </w:rPr>
      </w:pPr>
      <w:r>
        <w:rPr>
          <w:rFonts w:hint="eastAsia" w:ascii="仿宋_GB2312" w:hAnsi="仿宋_GB2312" w:cs="仿宋_GB2312"/>
          <w:bCs/>
          <w:sz w:val="48"/>
          <w:szCs w:val="48"/>
        </w:rPr>
        <w:t>（修订稿）</w:t>
      </w:r>
    </w:p>
    <w:p w14:paraId="597881DD">
      <w:pPr>
        <w:pStyle w:val="11"/>
        <w:ind w:firstLine="0" w:firstLineChars="0"/>
        <w:jc w:val="center"/>
        <w:rPr>
          <w:rFonts w:ascii="Times New Roman" w:hAnsi="Times New Roman" w:eastAsia="黑体" w:cs="Times New Roman"/>
          <w:sz w:val="52"/>
          <w:szCs w:val="52"/>
        </w:rPr>
      </w:pPr>
    </w:p>
    <w:p w14:paraId="6EB2F008">
      <w:pPr>
        <w:pStyle w:val="11"/>
        <w:ind w:firstLine="0" w:firstLineChars="0"/>
        <w:jc w:val="center"/>
        <w:rPr>
          <w:rFonts w:ascii="Times New Roman" w:hAnsi="Times New Roman" w:eastAsia="黑体" w:cs="Times New Roman"/>
          <w:sz w:val="52"/>
          <w:szCs w:val="52"/>
        </w:rPr>
      </w:pPr>
    </w:p>
    <w:p w14:paraId="4F719833">
      <w:pPr>
        <w:pStyle w:val="11"/>
        <w:ind w:firstLine="0" w:firstLineChars="0"/>
        <w:jc w:val="center"/>
        <w:rPr>
          <w:rFonts w:ascii="Times New Roman" w:hAnsi="Times New Roman" w:eastAsia="黑体" w:cs="Times New Roman"/>
          <w:sz w:val="52"/>
          <w:szCs w:val="52"/>
        </w:rPr>
      </w:pPr>
    </w:p>
    <w:p w14:paraId="15BCE1F2">
      <w:pPr>
        <w:pStyle w:val="11"/>
        <w:ind w:firstLine="0" w:firstLineChars="0"/>
        <w:jc w:val="center"/>
        <w:rPr>
          <w:rFonts w:ascii="Times New Roman" w:hAnsi="Times New Roman" w:eastAsia="黑体" w:cs="Times New Roman"/>
          <w:sz w:val="52"/>
          <w:szCs w:val="52"/>
        </w:rPr>
      </w:pPr>
    </w:p>
    <w:p w14:paraId="4E77A38F">
      <w:pPr>
        <w:pStyle w:val="11"/>
        <w:ind w:firstLine="0" w:firstLineChars="0"/>
        <w:jc w:val="center"/>
        <w:rPr>
          <w:rFonts w:ascii="Times New Roman" w:hAnsi="Times New Roman" w:eastAsia="楷体_GB2312" w:cs="Times New Roman"/>
          <w:spacing w:val="-12"/>
          <w:sz w:val="44"/>
          <w:szCs w:val="44"/>
        </w:rPr>
      </w:pPr>
    </w:p>
    <w:p w14:paraId="5E4F0108">
      <w:pPr>
        <w:pStyle w:val="11"/>
        <w:ind w:firstLine="0" w:firstLineChars="0"/>
        <w:jc w:val="center"/>
        <w:rPr>
          <w:rFonts w:ascii="Times New Roman" w:hAnsi="Times New Roman" w:eastAsia="楷体_GB2312" w:cs="Times New Roman"/>
          <w:spacing w:val="-12"/>
          <w:sz w:val="44"/>
          <w:szCs w:val="44"/>
        </w:rPr>
      </w:pPr>
    </w:p>
    <w:p w14:paraId="5B5452FF">
      <w:pPr>
        <w:pStyle w:val="11"/>
        <w:ind w:firstLine="0" w:firstLineChars="0"/>
        <w:jc w:val="center"/>
        <w:rPr>
          <w:rFonts w:ascii="Times New Roman" w:hAnsi="Times New Roman" w:eastAsia="楷体_GB2312" w:cs="Times New Roman"/>
          <w:spacing w:val="-12"/>
          <w:sz w:val="44"/>
          <w:szCs w:val="44"/>
        </w:rPr>
      </w:pPr>
    </w:p>
    <w:p w14:paraId="69303209">
      <w:pPr>
        <w:pStyle w:val="11"/>
        <w:ind w:firstLine="0" w:firstLineChars="0"/>
        <w:jc w:val="center"/>
        <w:rPr>
          <w:rFonts w:ascii="Times New Roman" w:hAnsi="Times New Roman" w:eastAsia="楷体_GB2312" w:cs="Times New Roman"/>
          <w:spacing w:val="-12"/>
          <w:sz w:val="44"/>
          <w:szCs w:val="44"/>
        </w:rPr>
      </w:pPr>
    </w:p>
    <w:p w14:paraId="5F56FF5C">
      <w:pPr>
        <w:ind w:firstLine="0" w:firstLineChars="0"/>
        <w:jc w:val="center"/>
        <w:rPr>
          <w:rFonts w:ascii="Times New Roman" w:hAnsi="Times New Roman" w:cs="Times New Roman"/>
          <w:bCs/>
          <w:spacing w:val="-6"/>
          <w:sz w:val="36"/>
          <w:szCs w:val="24"/>
          <w:lang w:bidi="ar"/>
        </w:rPr>
      </w:pPr>
      <w:r>
        <w:rPr>
          <w:rFonts w:ascii="Times New Roman" w:hAnsi="Times New Roman" w:cs="Times New Roman"/>
          <w:bCs/>
          <w:spacing w:val="-6"/>
          <w:sz w:val="36"/>
          <w:szCs w:val="24"/>
          <w:lang w:bidi="ar"/>
        </w:rPr>
        <w:t>集贤县人民政府 编制</w:t>
      </w:r>
    </w:p>
    <w:p w14:paraId="3F9765DD">
      <w:pPr>
        <w:ind w:firstLine="0" w:firstLineChars="0"/>
        <w:jc w:val="center"/>
        <w:rPr>
          <w:rFonts w:ascii="Times New Roman" w:hAnsi="Times New Roman" w:cs="Times New Roman"/>
          <w:bCs/>
          <w:spacing w:val="-6"/>
          <w:sz w:val="36"/>
          <w:szCs w:val="24"/>
          <w:lang w:bidi="ar"/>
        </w:rPr>
      </w:pPr>
      <w:r>
        <w:rPr>
          <w:rFonts w:ascii="Times New Roman" w:hAnsi="Times New Roman" w:cs="Times New Roman"/>
          <w:bCs/>
          <w:spacing w:val="-6"/>
          <w:sz w:val="36"/>
          <w:szCs w:val="24"/>
          <w:lang w:bidi="ar"/>
        </w:rPr>
        <w:t>2025年5月</w:t>
      </w:r>
    </w:p>
    <w:p w14:paraId="1373B97A">
      <w:pPr>
        <w:spacing w:line="560" w:lineRule="exact"/>
        <w:ind w:firstLine="608"/>
        <w:rPr>
          <w:rFonts w:ascii="Times New Roman" w:hAnsi="Times New Roman" w:cs="Times New Roman"/>
          <w:bCs/>
          <w:spacing w:val="-6"/>
          <w:sz w:val="32"/>
          <w:lang w:bidi="ar"/>
        </w:rPr>
      </w:pPr>
      <w:r>
        <w:rPr>
          <w:rFonts w:ascii="Times New Roman" w:hAnsi="Times New Roman" w:cs="Times New Roman"/>
          <w:bCs/>
          <w:spacing w:val="-6"/>
          <w:sz w:val="32"/>
          <w:lang w:bidi="ar"/>
        </w:rPr>
        <w:br w:type="page"/>
      </w:r>
    </w:p>
    <w:p w14:paraId="73E62EDC">
      <w:pPr>
        <w:pStyle w:val="42"/>
        <w:rPr>
          <w:rFonts w:ascii="Times New Roman" w:hAnsi="Times New Roman"/>
        </w:rPr>
      </w:pPr>
    </w:p>
    <w:p w14:paraId="6DFE99BF">
      <w:pPr>
        <w:spacing w:line="560" w:lineRule="exact"/>
        <w:ind w:firstLine="0" w:firstLineChars="0"/>
        <w:jc w:val="center"/>
        <w:rPr>
          <w:rFonts w:ascii="Times New Roman" w:hAnsi="Times New Roman" w:cs="Times New Roman"/>
          <w:b/>
          <w:bCs/>
          <w:sz w:val="32"/>
        </w:rPr>
      </w:pPr>
    </w:p>
    <w:p w14:paraId="07910CF3">
      <w:pPr>
        <w:pStyle w:val="29"/>
        <w:rPr>
          <w:rFonts w:ascii="Times New Roman" w:hAnsi="Times New Roman" w:cs="Times New Roman"/>
          <w:sz w:val="36"/>
          <w:szCs w:val="36"/>
        </w:rPr>
        <w:sectPr>
          <w:headerReference r:id="rId150" w:type="default"/>
          <w:footerReference r:id="rId152" w:type="default"/>
          <w:headerReference r:id="rId151" w:type="even"/>
          <w:footerReference r:id="rId153" w:type="even"/>
          <w:pgSz w:w="11906" w:h="16838"/>
          <w:pgMar w:top="2098" w:right="1474" w:bottom="1984" w:left="1587" w:header="624" w:footer="1134" w:gutter="0"/>
          <w:pgNumType w:start="1"/>
          <w:cols w:space="0" w:num="1"/>
          <w:docGrid w:type="linesAndChars" w:linePitch="579" w:charSpace="-842"/>
        </w:sectPr>
      </w:pPr>
    </w:p>
    <w:sdt>
      <w:sdtPr>
        <w:rPr>
          <w:rFonts w:ascii="Times New Roman" w:hAnsi="Times New Roman" w:cs="Times New Roman"/>
          <w:b/>
          <w:bCs/>
          <w:sz w:val="32"/>
        </w:rPr>
        <w:id w:val="147464244"/>
        <w15:color w:val="DBDBDB"/>
        <w:docPartObj>
          <w:docPartGallery w:val="Table of Contents"/>
          <w:docPartUnique/>
        </w:docPartObj>
      </w:sdtPr>
      <w:sdtEndPr>
        <w:rPr>
          <w:rFonts w:ascii="Times New Roman" w:hAnsi="Times New Roman" w:eastAsia="仿宋" w:cs="Times New Roman"/>
          <w:b/>
          <w:bCs/>
          <w:sz w:val="32"/>
        </w:rPr>
      </w:sdtEndPr>
      <w:sdtContent>
        <w:p w14:paraId="2C24A764">
          <w:pPr>
            <w:spacing w:line="560" w:lineRule="exact"/>
            <w:ind w:firstLine="0" w:firstLineChars="0"/>
            <w:jc w:val="center"/>
            <w:rPr>
              <w:rFonts w:ascii="Times New Roman" w:hAnsi="Times New Roman" w:cs="Times New Roman"/>
              <w:sz w:val="32"/>
            </w:rPr>
          </w:pPr>
          <w:r>
            <w:rPr>
              <w:rFonts w:ascii="Times New Roman" w:hAnsi="Times New Roman" w:cs="Times New Roman"/>
              <w:b/>
              <w:bCs/>
              <w:sz w:val="32"/>
            </w:rPr>
            <w:t>目  录</w:t>
          </w:r>
        </w:p>
        <w:p w14:paraId="716FC2B4">
          <w:pPr>
            <w:pStyle w:val="18"/>
            <w:rPr>
              <w:sz w:val="32"/>
            </w:rPr>
          </w:pPr>
          <w:r>
            <w:rPr>
              <w:rFonts w:ascii="Times New Roman" w:hAnsi="Times New Roman" w:cs="Times New Roman"/>
              <w:sz w:val="32"/>
            </w:rPr>
            <w:fldChar w:fldCharType="begin"/>
          </w:r>
          <w:r>
            <w:rPr>
              <w:rFonts w:ascii="Times New Roman" w:hAnsi="Times New Roman" w:cs="Times New Roman"/>
              <w:sz w:val="32"/>
            </w:rPr>
            <w:instrText xml:space="preserve">TOC \o "1-2" \h \u </w:instrText>
          </w:r>
          <w:r>
            <w:rPr>
              <w:rFonts w:ascii="Times New Roman" w:hAnsi="Times New Roman" w:cs="Times New Roman"/>
              <w:sz w:val="32"/>
            </w:rPr>
            <w:fldChar w:fldCharType="separate"/>
          </w:r>
          <w:r>
            <w:fldChar w:fldCharType="begin"/>
          </w:r>
          <w:r>
            <w:instrText xml:space="preserve"> HYPERLINK \l "_Toc22858" </w:instrText>
          </w:r>
          <w:r>
            <w:fldChar w:fldCharType="separate"/>
          </w:r>
          <w:r>
            <w:rPr>
              <w:rFonts w:ascii="Times New Roman" w:hAnsi="Times New Roman" w:eastAsia="仿宋" w:cs="Times New Roman"/>
              <w:sz w:val="32"/>
            </w:rPr>
            <w:t xml:space="preserve">1 </w:t>
          </w:r>
          <w:r>
            <w:rPr>
              <w:rFonts w:ascii="Times New Roman" w:hAnsi="Times New Roman" w:eastAsia="黑体" w:cs="Times New Roman"/>
              <w:sz w:val="32"/>
            </w:rPr>
            <w:t>总则</w:t>
          </w:r>
          <w:r>
            <w:rPr>
              <w:sz w:val="32"/>
            </w:rPr>
            <w:tab/>
          </w:r>
          <w:r>
            <w:rPr>
              <w:sz w:val="32"/>
            </w:rPr>
            <w:fldChar w:fldCharType="begin"/>
          </w:r>
          <w:r>
            <w:rPr>
              <w:sz w:val="32"/>
            </w:rPr>
            <w:instrText xml:space="preserve"> PAGEREF _Toc22858 \h </w:instrText>
          </w:r>
          <w:r>
            <w:rPr>
              <w:sz w:val="32"/>
            </w:rPr>
            <w:fldChar w:fldCharType="separate"/>
          </w:r>
          <w:r>
            <w:rPr>
              <w:sz w:val="32"/>
            </w:rPr>
            <w:t>1</w:t>
          </w:r>
          <w:r>
            <w:rPr>
              <w:sz w:val="32"/>
            </w:rPr>
            <w:fldChar w:fldCharType="end"/>
          </w:r>
          <w:r>
            <w:rPr>
              <w:sz w:val="32"/>
            </w:rPr>
            <w:fldChar w:fldCharType="end"/>
          </w:r>
        </w:p>
        <w:p w14:paraId="65B2E2A5">
          <w:pPr>
            <w:pStyle w:val="19"/>
            <w:tabs>
              <w:tab w:val="right" w:leader="dot" w:pos="8845"/>
            </w:tabs>
            <w:ind w:firstLine="552"/>
            <w:rPr>
              <w:sz w:val="32"/>
            </w:rPr>
          </w:pPr>
          <w:r>
            <w:fldChar w:fldCharType="begin"/>
          </w:r>
          <w:r>
            <w:instrText xml:space="preserve"> HYPERLINK \l "_Toc31746" </w:instrText>
          </w:r>
          <w:r>
            <w:fldChar w:fldCharType="separate"/>
          </w:r>
          <w:r>
            <w:rPr>
              <w:rFonts w:ascii="Times New Roman" w:hAnsi="Times New Roman" w:eastAsia="仿宋" w:cs="Times New Roman"/>
              <w:bCs/>
              <w:sz w:val="32"/>
            </w:rPr>
            <w:t xml:space="preserve">1.1 </w:t>
          </w:r>
          <w:r>
            <w:rPr>
              <w:rFonts w:ascii="Times New Roman" w:hAnsi="Times New Roman" w:eastAsia="楷体_GB2312" w:cs="Times New Roman"/>
              <w:sz w:val="32"/>
            </w:rPr>
            <w:t>编制目的</w:t>
          </w:r>
          <w:r>
            <w:rPr>
              <w:sz w:val="32"/>
            </w:rPr>
            <w:tab/>
          </w:r>
          <w:r>
            <w:rPr>
              <w:sz w:val="32"/>
            </w:rPr>
            <w:fldChar w:fldCharType="begin"/>
          </w:r>
          <w:r>
            <w:rPr>
              <w:sz w:val="32"/>
            </w:rPr>
            <w:instrText xml:space="preserve"> PAGEREF _Toc31746 \h </w:instrText>
          </w:r>
          <w:r>
            <w:rPr>
              <w:sz w:val="32"/>
            </w:rPr>
            <w:fldChar w:fldCharType="separate"/>
          </w:r>
          <w:r>
            <w:rPr>
              <w:sz w:val="32"/>
            </w:rPr>
            <w:t>1</w:t>
          </w:r>
          <w:r>
            <w:rPr>
              <w:sz w:val="32"/>
            </w:rPr>
            <w:fldChar w:fldCharType="end"/>
          </w:r>
          <w:r>
            <w:rPr>
              <w:sz w:val="32"/>
            </w:rPr>
            <w:fldChar w:fldCharType="end"/>
          </w:r>
        </w:p>
        <w:p w14:paraId="2E554F87">
          <w:pPr>
            <w:pStyle w:val="19"/>
            <w:tabs>
              <w:tab w:val="right" w:leader="dot" w:pos="8845"/>
            </w:tabs>
            <w:ind w:firstLine="552"/>
            <w:rPr>
              <w:sz w:val="32"/>
            </w:rPr>
          </w:pPr>
          <w:r>
            <w:fldChar w:fldCharType="begin"/>
          </w:r>
          <w:r>
            <w:instrText xml:space="preserve"> HYPERLINK \l "_Toc178" </w:instrText>
          </w:r>
          <w:r>
            <w:fldChar w:fldCharType="separate"/>
          </w:r>
          <w:r>
            <w:rPr>
              <w:rFonts w:ascii="Times New Roman" w:hAnsi="Times New Roman" w:eastAsia="仿宋" w:cs="Times New Roman"/>
              <w:bCs/>
              <w:sz w:val="32"/>
            </w:rPr>
            <w:t xml:space="preserve">1.2 </w:t>
          </w:r>
          <w:r>
            <w:rPr>
              <w:rFonts w:ascii="Times New Roman" w:hAnsi="Times New Roman" w:eastAsia="楷体_GB2312" w:cs="Times New Roman"/>
              <w:sz w:val="32"/>
            </w:rPr>
            <w:t>编制依据</w:t>
          </w:r>
          <w:r>
            <w:rPr>
              <w:sz w:val="32"/>
            </w:rPr>
            <w:tab/>
          </w:r>
          <w:r>
            <w:rPr>
              <w:sz w:val="32"/>
            </w:rPr>
            <w:fldChar w:fldCharType="begin"/>
          </w:r>
          <w:r>
            <w:rPr>
              <w:sz w:val="32"/>
            </w:rPr>
            <w:instrText xml:space="preserve"> PAGEREF _Toc178 \h </w:instrText>
          </w:r>
          <w:r>
            <w:rPr>
              <w:sz w:val="32"/>
            </w:rPr>
            <w:fldChar w:fldCharType="separate"/>
          </w:r>
          <w:r>
            <w:rPr>
              <w:sz w:val="32"/>
            </w:rPr>
            <w:t>1</w:t>
          </w:r>
          <w:r>
            <w:rPr>
              <w:sz w:val="32"/>
            </w:rPr>
            <w:fldChar w:fldCharType="end"/>
          </w:r>
          <w:r>
            <w:rPr>
              <w:sz w:val="32"/>
            </w:rPr>
            <w:fldChar w:fldCharType="end"/>
          </w:r>
        </w:p>
        <w:p w14:paraId="5FC6553B">
          <w:pPr>
            <w:pStyle w:val="19"/>
            <w:tabs>
              <w:tab w:val="right" w:leader="dot" w:pos="8845"/>
            </w:tabs>
            <w:ind w:firstLine="552"/>
            <w:rPr>
              <w:sz w:val="32"/>
            </w:rPr>
          </w:pPr>
          <w:r>
            <w:fldChar w:fldCharType="begin"/>
          </w:r>
          <w:r>
            <w:instrText xml:space="preserve"> HYPERLINK \l "_Toc8456" </w:instrText>
          </w:r>
          <w:r>
            <w:fldChar w:fldCharType="separate"/>
          </w:r>
          <w:r>
            <w:rPr>
              <w:rFonts w:ascii="Times New Roman" w:hAnsi="Times New Roman" w:eastAsia="仿宋" w:cs="Times New Roman"/>
              <w:bCs/>
              <w:sz w:val="32"/>
            </w:rPr>
            <w:t xml:space="preserve">1.3 </w:t>
          </w:r>
          <w:r>
            <w:rPr>
              <w:rFonts w:ascii="Times New Roman" w:hAnsi="Times New Roman" w:eastAsia="楷体_GB2312" w:cs="Times New Roman"/>
              <w:sz w:val="32"/>
            </w:rPr>
            <w:t>适用范围</w:t>
          </w:r>
          <w:r>
            <w:rPr>
              <w:sz w:val="32"/>
            </w:rPr>
            <w:tab/>
          </w:r>
          <w:r>
            <w:rPr>
              <w:sz w:val="32"/>
            </w:rPr>
            <w:fldChar w:fldCharType="begin"/>
          </w:r>
          <w:r>
            <w:rPr>
              <w:sz w:val="32"/>
            </w:rPr>
            <w:instrText xml:space="preserve"> PAGEREF _Toc8456 \h </w:instrText>
          </w:r>
          <w:r>
            <w:rPr>
              <w:sz w:val="32"/>
            </w:rPr>
            <w:fldChar w:fldCharType="separate"/>
          </w:r>
          <w:r>
            <w:rPr>
              <w:sz w:val="32"/>
            </w:rPr>
            <w:t>1</w:t>
          </w:r>
          <w:r>
            <w:rPr>
              <w:sz w:val="32"/>
            </w:rPr>
            <w:fldChar w:fldCharType="end"/>
          </w:r>
          <w:r>
            <w:rPr>
              <w:sz w:val="32"/>
            </w:rPr>
            <w:fldChar w:fldCharType="end"/>
          </w:r>
        </w:p>
        <w:p w14:paraId="3E4EE552">
          <w:pPr>
            <w:pStyle w:val="19"/>
            <w:tabs>
              <w:tab w:val="right" w:leader="dot" w:pos="8845"/>
            </w:tabs>
            <w:ind w:firstLine="552"/>
            <w:rPr>
              <w:sz w:val="32"/>
            </w:rPr>
          </w:pPr>
          <w:r>
            <w:fldChar w:fldCharType="begin"/>
          </w:r>
          <w:r>
            <w:instrText xml:space="preserve"> HYPERLINK \l "_Toc5636" </w:instrText>
          </w:r>
          <w:r>
            <w:fldChar w:fldCharType="separate"/>
          </w:r>
          <w:r>
            <w:rPr>
              <w:rFonts w:ascii="Times New Roman" w:hAnsi="Times New Roman" w:eastAsia="仿宋" w:cs="Times New Roman"/>
              <w:bCs/>
              <w:sz w:val="32"/>
            </w:rPr>
            <w:t xml:space="preserve">1.4 </w:t>
          </w:r>
          <w:r>
            <w:rPr>
              <w:rFonts w:ascii="Times New Roman" w:hAnsi="Times New Roman" w:eastAsia="楷体_GB2312" w:cs="Times New Roman"/>
              <w:sz w:val="32"/>
            </w:rPr>
            <w:t>工作原则</w:t>
          </w:r>
          <w:r>
            <w:rPr>
              <w:sz w:val="32"/>
            </w:rPr>
            <w:tab/>
          </w:r>
          <w:r>
            <w:rPr>
              <w:sz w:val="32"/>
            </w:rPr>
            <w:fldChar w:fldCharType="begin"/>
          </w:r>
          <w:r>
            <w:rPr>
              <w:sz w:val="32"/>
            </w:rPr>
            <w:instrText xml:space="preserve"> PAGEREF _Toc5636 \h </w:instrText>
          </w:r>
          <w:r>
            <w:rPr>
              <w:sz w:val="32"/>
            </w:rPr>
            <w:fldChar w:fldCharType="separate"/>
          </w:r>
          <w:r>
            <w:rPr>
              <w:sz w:val="32"/>
            </w:rPr>
            <w:t>1</w:t>
          </w:r>
          <w:r>
            <w:rPr>
              <w:sz w:val="32"/>
            </w:rPr>
            <w:fldChar w:fldCharType="end"/>
          </w:r>
          <w:r>
            <w:rPr>
              <w:sz w:val="32"/>
            </w:rPr>
            <w:fldChar w:fldCharType="end"/>
          </w:r>
        </w:p>
        <w:p w14:paraId="1F6930A2">
          <w:pPr>
            <w:pStyle w:val="18"/>
            <w:rPr>
              <w:sz w:val="32"/>
            </w:rPr>
          </w:pPr>
          <w:r>
            <w:fldChar w:fldCharType="begin"/>
          </w:r>
          <w:r>
            <w:instrText xml:space="preserve"> HYPERLINK \l "_Toc20873" </w:instrText>
          </w:r>
          <w:r>
            <w:fldChar w:fldCharType="separate"/>
          </w:r>
          <w:r>
            <w:rPr>
              <w:rFonts w:ascii="Times New Roman" w:hAnsi="Times New Roman" w:eastAsia="仿宋" w:cs="Times New Roman"/>
              <w:sz w:val="32"/>
            </w:rPr>
            <w:t xml:space="preserve">2 </w:t>
          </w:r>
          <w:r>
            <w:rPr>
              <w:rFonts w:ascii="Times New Roman" w:hAnsi="Times New Roman" w:eastAsia="黑体" w:cs="Times New Roman"/>
              <w:sz w:val="32"/>
            </w:rPr>
            <w:t>组织指挥体系</w:t>
          </w:r>
          <w:r>
            <w:rPr>
              <w:sz w:val="32"/>
            </w:rPr>
            <w:tab/>
          </w:r>
          <w:r>
            <w:rPr>
              <w:sz w:val="32"/>
            </w:rPr>
            <w:fldChar w:fldCharType="begin"/>
          </w:r>
          <w:r>
            <w:rPr>
              <w:sz w:val="32"/>
            </w:rPr>
            <w:instrText xml:space="preserve"> PAGEREF _Toc20873 \h </w:instrText>
          </w:r>
          <w:r>
            <w:rPr>
              <w:sz w:val="32"/>
            </w:rPr>
            <w:fldChar w:fldCharType="separate"/>
          </w:r>
          <w:r>
            <w:rPr>
              <w:sz w:val="32"/>
            </w:rPr>
            <w:t>2</w:t>
          </w:r>
          <w:r>
            <w:rPr>
              <w:sz w:val="32"/>
            </w:rPr>
            <w:fldChar w:fldCharType="end"/>
          </w:r>
          <w:r>
            <w:rPr>
              <w:sz w:val="32"/>
            </w:rPr>
            <w:fldChar w:fldCharType="end"/>
          </w:r>
        </w:p>
        <w:p w14:paraId="12DA06B7">
          <w:pPr>
            <w:pStyle w:val="19"/>
            <w:tabs>
              <w:tab w:val="right" w:leader="dot" w:pos="8845"/>
            </w:tabs>
            <w:ind w:firstLine="552"/>
            <w:rPr>
              <w:sz w:val="32"/>
            </w:rPr>
          </w:pPr>
          <w:r>
            <w:fldChar w:fldCharType="begin"/>
          </w:r>
          <w:r>
            <w:instrText xml:space="preserve"> HYPERLINK \l "_Toc14906" </w:instrText>
          </w:r>
          <w:r>
            <w:fldChar w:fldCharType="separate"/>
          </w:r>
          <w:r>
            <w:rPr>
              <w:rFonts w:ascii="Times New Roman" w:hAnsi="Times New Roman" w:eastAsia="仿宋" w:cs="Times New Roman"/>
              <w:bCs/>
              <w:sz w:val="32"/>
            </w:rPr>
            <w:t xml:space="preserve">2.1 </w:t>
          </w:r>
          <w:r>
            <w:rPr>
              <w:rFonts w:ascii="Times New Roman" w:hAnsi="Times New Roman" w:eastAsia="楷体_GB2312" w:cs="Times New Roman"/>
              <w:sz w:val="32"/>
            </w:rPr>
            <w:t>组织指挥体系</w:t>
          </w:r>
          <w:r>
            <w:rPr>
              <w:sz w:val="32"/>
            </w:rPr>
            <w:tab/>
          </w:r>
          <w:r>
            <w:rPr>
              <w:sz w:val="32"/>
            </w:rPr>
            <w:fldChar w:fldCharType="begin"/>
          </w:r>
          <w:r>
            <w:rPr>
              <w:sz w:val="32"/>
            </w:rPr>
            <w:instrText xml:space="preserve"> PAGEREF _Toc14906 \h </w:instrText>
          </w:r>
          <w:r>
            <w:rPr>
              <w:sz w:val="32"/>
            </w:rPr>
            <w:fldChar w:fldCharType="separate"/>
          </w:r>
          <w:r>
            <w:rPr>
              <w:sz w:val="32"/>
            </w:rPr>
            <w:t>2</w:t>
          </w:r>
          <w:r>
            <w:rPr>
              <w:sz w:val="32"/>
            </w:rPr>
            <w:fldChar w:fldCharType="end"/>
          </w:r>
          <w:r>
            <w:rPr>
              <w:sz w:val="32"/>
            </w:rPr>
            <w:fldChar w:fldCharType="end"/>
          </w:r>
        </w:p>
        <w:p w14:paraId="5367D1D0">
          <w:pPr>
            <w:pStyle w:val="19"/>
            <w:tabs>
              <w:tab w:val="right" w:leader="dot" w:pos="8845"/>
            </w:tabs>
            <w:ind w:firstLine="552"/>
            <w:rPr>
              <w:sz w:val="32"/>
            </w:rPr>
          </w:pPr>
          <w:r>
            <w:fldChar w:fldCharType="begin"/>
          </w:r>
          <w:r>
            <w:instrText xml:space="preserve"> HYPERLINK \l "_Toc11867" </w:instrText>
          </w:r>
          <w:r>
            <w:fldChar w:fldCharType="separate"/>
          </w:r>
          <w:r>
            <w:rPr>
              <w:rFonts w:ascii="Times New Roman" w:hAnsi="Times New Roman" w:eastAsia="仿宋" w:cs="Times New Roman"/>
              <w:bCs/>
              <w:sz w:val="32"/>
            </w:rPr>
            <w:t xml:space="preserve">2.2 </w:t>
          </w:r>
          <w:r>
            <w:rPr>
              <w:rFonts w:hint="eastAsia" w:ascii="Times New Roman" w:hAnsi="Times New Roman" w:eastAsia="楷体_GB2312" w:cs="Times New Roman"/>
              <w:sz w:val="32"/>
            </w:rPr>
            <w:t>成员单位职责</w:t>
          </w:r>
          <w:r>
            <w:rPr>
              <w:sz w:val="32"/>
            </w:rPr>
            <w:tab/>
          </w:r>
          <w:r>
            <w:rPr>
              <w:sz w:val="32"/>
            </w:rPr>
            <w:fldChar w:fldCharType="begin"/>
          </w:r>
          <w:r>
            <w:rPr>
              <w:sz w:val="32"/>
            </w:rPr>
            <w:instrText xml:space="preserve"> PAGEREF _Toc11867 \h </w:instrText>
          </w:r>
          <w:r>
            <w:rPr>
              <w:sz w:val="32"/>
            </w:rPr>
            <w:fldChar w:fldCharType="separate"/>
          </w:r>
          <w:r>
            <w:rPr>
              <w:sz w:val="32"/>
            </w:rPr>
            <w:t>3</w:t>
          </w:r>
          <w:r>
            <w:rPr>
              <w:sz w:val="32"/>
            </w:rPr>
            <w:fldChar w:fldCharType="end"/>
          </w:r>
          <w:r>
            <w:rPr>
              <w:sz w:val="32"/>
            </w:rPr>
            <w:fldChar w:fldCharType="end"/>
          </w:r>
        </w:p>
        <w:p w14:paraId="49D6A5EA">
          <w:pPr>
            <w:pStyle w:val="19"/>
            <w:tabs>
              <w:tab w:val="right" w:leader="dot" w:pos="8845"/>
            </w:tabs>
            <w:ind w:firstLine="552"/>
            <w:rPr>
              <w:sz w:val="32"/>
            </w:rPr>
          </w:pPr>
          <w:r>
            <w:fldChar w:fldCharType="begin"/>
          </w:r>
          <w:r>
            <w:instrText xml:space="preserve"> HYPERLINK \l "_Toc1937" </w:instrText>
          </w:r>
          <w:r>
            <w:fldChar w:fldCharType="separate"/>
          </w:r>
          <w:r>
            <w:rPr>
              <w:rFonts w:ascii="Times New Roman" w:hAnsi="Times New Roman" w:eastAsia="仿宋" w:cs="Times New Roman"/>
              <w:bCs/>
              <w:sz w:val="32"/>
            </w:rPr>
            <w:t xml:space="preserve">2.3 </w:t>
          </w:r>
          <w:r>
            <w:rPr>
              <w:rFonts w:hint="eastAsia" w:ascii="Times New Roman" w:hAnsi="Times New Roman" w:eastAsia="楷体_GB2312" w:cs="Times New Roman"/>
              <w:sz w:val="32"/>
            </w:rPr>
            <w:t>应急处置工作组</w:t>
          </w:r>
          <w:r>
            <w:rPr>
              <w:sz w:val="32"/>
            </w:rPr>
            <w:tab/>
          </w:r>
          <w:r>
            <w:rPr>
              <w:sz w:val="32"/>
            </w:rPr>
            <w:fldChar w:fldCharType="begin"/>
          </w:r>
          <w:r>
            <w:rPr>
              <w:sz w:val="32"/>
            </w:rPr>
            <w:instrText xml:space="preserve"> PAGEREF _Toc1937 \h </w:instrText>
          </w:r>
          <w:r>
            <w:rPr>
              <w:sz w:val="32"/>
            </w:rPr>
            <w:fldChar w:fldCharType="separate"/>
          </w:r>
          <w:r>
            <w:rPr>
              <w:sz w:val="32"/>
            </w:rPr>
            <w:t>4</w:t>
          </w:r>
          <w:r>
            <w:rPr>
              <w:sz w:val="32"/>
            </w:rPr>
            <w:fldChar w:fldCharType="end"/>
          </w:r>
          <w:r>
            <w:rPr>
              <w:sz w:val="32"/>
            </w:rPr>
            <w:fldChar w:fldCharType="end"/>
          </w:r>
        </w:p>
        <w:p w14:paraId="48EA1ADF">
          <w:pPr>
            <w:pStyle w:val="18"/>
            <w:rPr>
              <w:sz w:val="32"/>
            </w:rPr>
          </w:pPr>
          <w:r>
            <w:fldChar w:fldCharType="begin"/>
          </w:r>
          <w:r>
            <w:instrText xml:space="preserve"> HYPERLINK \l "_Toc23187" </w:instrText>
          </w:r>
          <w:r>
            <w:fldChar w:fldCharType="separate"/>
          </w:r>
          <w:r>
            <w:rPr>
              <w:rFonts w:ascii="Times New Roman" w:hAnsi="Times New Roman" w:eastAsia="仿宋" w:cs="Times New Roman"/>
              <w:sz w:val="32"/>
            </w:rPr>
            <w:t xml:space="preserve">3 </w:t>
          </w:r>
          <w:r>
            <w:rPr>
              <w:rFonts w:ascii="Times New Roman" w:hAnsi="Times New Roman" w:eastAsia="黑体" w:cs="Times New Roman"/>
              <w:sz w:val="32"/>
            </w:rPr>
            <w:t>监测预警和信息报告</w:t>
          </w:r>
          <w:r>
            <w:rPr>
              <w:sz w:val="32"/>
            </w:rPr>
            <w:tab/>
          </w:r>
          <w:r>
            <w:rPr>
              <w:sz w:val="32"/>
            </w:rPr>
            <w:fldChar w:fldCharType="begin"/>
          </w:r>
          <w:r>
            <w:rPr>
              <w:sz w:val="32"/>
            </w:rPr>
            <w:instrText xml:space="preserve"> PAGEREF _Toc23187 \h </w:instrText>
          </w:r>
          <w:r>
            <w:rPr>
              <w:sz w:val="32"/>
            </w:rPr>
            <w:fldChar w:fldCharType="separate"/>
          </w:r>
          <w:r>
            <w:rPr>
              <w:sz w:val="32"/>
            </w:rPr>
            <w:t>5</w:t>
          </w:r>
          <w:r>
            <w:rPr>
              <w:sz w:val="32"/>
            </w:rPr>
            <w:fldChar w:fldCharType="end"/>
          </w:r>
          <w:r>
            <w:rPr>
              <w:sz w:val="32"/>
            </w:rPr>
            <w:fldChar w:fldCharType="end"/>
          </w:r>
        </w:p>
        <w:p w14:paraId="1D05C127">
          <w:pPr>
            <w:pStyle w:val="19"/>
            <w:tabs>
              <w:tab w:val="right" w:leader="dot" w:pos="8845"/>
            </w:tabs>
            <w:ind w:firstLine="552"/>
            <w:rPr>
              <w:sz w:val="32"/>
            </w:rPr>
          </w:pPr>
          <w:r>
            <w:fldChar w:fldCharType="begin"/>
          </w:r>
          <w:r>
            <w:instrText xml:space="preserve"> HYPERLINK \l "_Toc1870" </w:instrText>
          </w:r>
          <w:r>
            <w:fldChar w:fldCharType="separate"/>
          </w:r>
          <w:r>
            <w:rPr>
              <w:rFonts w:ascii="Times New Roman" w:hAnsi="Times New Roman" w:eastAsia="仿宋" w:cs="Times New Roman"/>
              <w:bCs/>
              <w:sz w:val="32"/>
            </w:rPr>
            <w:t xml:space="preserve">3.1 </w:t>
          </w:r>
          <w:r>
            <w:rPr>
              <w:rFonts w:ascii="Times New Roman" w:hAnsi="Times New Roman" w:eastAsia="楷体_GB2312" w:cs="Times New Roman"/>
              <w:sz w:val="32"/>
            </w:rPr>
            <w:t>监测预警</w:t>
          </w:r>
          <w:r>
            <w:rPr>
              <w:sz w:val="32"/>
            </w:rPr>
            <w:tab/>
          </w:r>
          <w:r>
            <w:rPr>
              <w:sz w:val="32"/>
            </w:rPr>
            <w:fldChar w:fldCharType="begin"/>
          </w:r>
          <w:r>
            <w:rPr>
              <w:sz w:val="32"/>
            </w:rPr>
            <w:instrText xml:space="preserve"> PAGEREF _Toc1870 \h </w:instrText>
          </w:r>
          <w:r>
            <w:rPr>
              <w:sz w:val="32"/>
            </w:rPr>
            <w:fldChar w:fldCharType="separate"/>
          </w:r>
          <w:r>
            <w:rPr>
              <w:sz w:val="32"/>
            </w:rPr>
            <w:t>5</w:t>
          </w:r>
          <w:r>
            <w:rPr>
              <w:sz w:val="32"/>
            </w:rPr>
            <w:fldChar w:fldCharType="end"/>
          </w:r>
          <w:r>
            <w:rPr>
              <w:sz w:val="32"/>
            </w:rPr>
            <w:fldChar w:fldCharType="end"/>
          </w:r>
        </w:p>
        <w:p w14:paraId="46834A11">
          <w:pPr>
            <w:pStyle w:val="19"/>
            <w:tabs>
              <w:tab w:val="right" w:leader="dot" w:pos="8845"/>
            </w:tabs>
            <w:ind w:firstLine="552"/>
            <w:rPr>
              <w:sz w:val="32"/>
            </w:rPr>
          </w:pPr>
          <w:r>
            <w:fldChar w:fldCharType="begin"/>
          </w:r>
          <w:r>
            <w:instrText xml:space="preserve"> HYPERLINK \l "_Toc2758" </w:instrText>
          </w:r>
          <w:r>
            <w:fldChar w:fldCharType="separate"/>
          </w:r>
          <w:r>
            <w:rPr>
              <w:rFonts w:ascii="Times New Roman" w:hAnsi="Times New Roman" w:eastAsia="仿宋" w:cs="Times New Roman"/>
              <w:bCs/>
              <w:sz w:val="32"/>
            </w:rPr>
            <w:t xml:space="preserve">3.2 </w:t>
          </w:r>
          <w:r>
            <w:rPr>
              <w:rFonts w:ascii="Times New Roman" w:hAnsi="Times New Roman" w:eastAsia="楷体_GB2312" w:cs="Times New Roman"/>
              <w:sz w:val="32"/>
            </w:rPr>
            <w:t>信息报告</w:t>
          </w:r>
          <w:r>
            <w:rPr>
              <w:sz w:val="32"/>
            </w:rPr>
            <w:tab/>
          </w:r>
          <w:r>
            <w:rPr>
              <w:sz w:val="32"/>
            </w:rPr>
            <w:fldChar w:fldCharType="begin"/>
          </w:r>
          <w:r>
            <w:rPr>
              <w:sz w:val="32"/>
            </w:rPr>
            <w:instrText xml:space="preserve"> PAGEREF _Toc2758 \h </w:instrText>
          </w:r>
          <w:r>
            <w:rPr>
              <w:sz w:val="32"/>
            </w:rPr>
            <w:fldChar w:fldCharType="separate"/>
          </w:r>
          <w:r>
            <w:rPr>
              <w:sz w:val="32"/>
            </w:rPr>
            <w:t>6</w:t>
          </w:r>
          <w:r>
            <w:rPr>
              <w:sz w:val="32"/>
            </w:rPr>
            <w:fldChar w:fldCharType="end"/>
          </w:r>
          <w:r>
            <w:rPr>
              <w:sz w:val="32"/>
            </w:rPr>
            <w:fldChar w:fldCharType="end"/>
          </w:r>
        </w:p>
        <w:p w14:paraId="74BB57EA">
          <w:pPr>
            <w:pStyle w:val="18"/>
            <w:rPr>
              <w:sz w:val="32"/>
            </w:rPr>
          </w:pPr>
          <w:r>
            <w:fldChar w:fldCharType="begin"/>
          </w:r>
          <w:r>
            <w:instrText xml:space="preserve"> HYPERLINK \l "_Toc12945" </w:instrText>
          </w:r>
          <w:r>
            <w:fldChar w:fldCharType="separate"/>
          </w:r>
          <w:r>
            <w:rPr>
              <w:rFonts w:ascii="Times New Roman" w:hAnsi="Times New Roman" w:eastAsia="仿宋" w:cs="Times New Roman"/>
              <w:sz w:val="32"/>
            </w:rPr>
            <w:t xml:space="preserve">4 </w:t>
          </w:r>
          <w:r>
            <w:rPr>
              <w:rFonts w:ascii="Times New Roman" w:hAnsi="Times New Roman" w:eastAsia="黑体" w:cs="Times New Roman"/>
              <w:sz w:val="32"/>
            </w:rPr>
            <w:t>应急响应</w:t>
          </w:r>
          <w:r>
            <w:rPr>
              <w:sz w:val="32"/>
            </w:rPr>
            <w:tab/>
          </w:r>
          <w:r>
            <w:rPr>
              <w:sz w:val="32"/>
            </w:rPr>
            <w:fldChar w:fldCharType="begin"/>
          </w:r>
          <w:r>
            <w:rPr>
              <w:sz w:val="32"/>
            </w:rPr>
            <w:instrText xml:space="preserve"> PAGEREF _Toc12945 \h </w:instrText>
          </w:r>
          <w:r>
            <w:rPr>
              <w:sz w:val="32"/>
            </w:rPr>
            <w:fldChar w:fldCharType="separate"/>
          </w:r>
          <w:r>
            <w:rPr>
              <w:sz w:val="32"/>
            </w:rPr>
            <w:t>7</w:t>
          </w:r>
          <w:r>
            <w:rPr>
              <w:sz w:val="32"/>
            </w:rPr>
            <w:fldChar w:fldCharType="end"/>
          </w:r>
          <w:r>
            <w:rPr>
              <w:sz w:val="32"/>
            </w:rPr>
            <w:fldChar w:fldCharType="end"/>
          </w:r>
        </w:p>
        <w:p w14:paraId="03D3CA71">
          <w:pPr>
            <w:pStyle w:val="19"/>
            <w:tabs>
              <w:tab w:val="right" w:leader="dot" w:pos="8845"/>
            </w:tabs>
            <w:ind w:firstLine="552"/>
            <w:rPr>
              <w:sz w:val="32"/>
            </w:rPr>
          </w:pPr>
          <w:r>
            <w:fldChar w:fldCharType="begin"/>
          </w:r>
          <w:r>
            <w:instrText xml:space="preserve"> HYPERLINK \l "_Toc30476" </w:instrText>
          </w:r>
          <w:r>
            <w:fldChar w:fldCharType="separate"/>
          </w:r>
          <w:r>
            <w:rPr>
              <w:rFonts w:ascii="Times New Roman" w:hAnsi="Times New Roman" w:eastAsia="仿宋" w:cs="Times New Roman"/>
              <w:bCs/>
              <w:sz w:val="32"/>
            </w:rPr>
            <w:t xml:space="preserve">4.1 </w:t>
          </w:r>
          <w:r>
            <w:rPr>
              <w:rFonts w:hint="eastAsia" w:ascii="Times New Roman" w:hAnsi="Times New Roman" w:eastAsia="楷体_GB2312" w:cs="Times New Roman"/>
              <w:sz w:val="32"/>
            </w:rPr>
            <w:t>先期处置</w:t>
          </w:r>
          <w:r>
            <w:rPr>
              <w:sz w:val="32"/>
            </w:rPr>
            <w:tab/>
          </w:r>
          <w:r>
            <w:rPr>
              <w:sz w:val="32"/>
            </w:rPr>
            <w:fldChar w:fldCharType="begin"/>
          </w:r>
          <w:r>
            <w:rPr>
              <w:sz w:val="32"/>
            </w:rPr>
            <w:instrText xml:space="preserve"> PAGEREF _Toc30476 \h </w:instrText>
          </w:r>
          <w:r>
            <w:rPr>
              <w:sz w:val="32"/>
            </w:rPr>
            <w:fldChar w:fldCharType="separate"/>
          </w:r>
          <w:r>
            <w:rPr>
              <w:sz w:val="32"/>
            </w:rPr>
            <w:t>7</w:t>
          </w:r>
          <w:r>
            <w:rPr>
              <w:sz w:val="32"/>
            </w:rPr>
            <w:fldChar w:fldCharType="end"/>
          </w:r>
          <w:r>
            <w:rPr>
              <w:sz w:val="32"/>
            </w:rPr>
            <w:fldChar w:fldCharType="end"/>
          </w:r>
        </w:p>
        <w:p w14:paraId="6C487144">
          <w:pPr>
            <w:pStyle w:val="19"/>
            <w:tabs>
              <w:tab w:val="right" w:leader="dot" w:pos="8845"/>
            </w:tabs>
            <w:ind w:firstLine="552"/>
            <w:rPr>
              <w:sz w:val="32"/>
            </w:rPr>
          </w:pPr>
          <w:r>
            <w:fldChar w:fldCharType="begin"/>
          </w:r>
          <w:r>
            <w:instrText xml:space="preserve"> HYPERLINK \l "_Toc16059" </w:instrText>
          </w:r>
          <w:r>
            <w:fldChar w:fldCharType="separate"/>
          </w:r>
          <w:r>
            <w:rPr>
              <w:rFonts w:ascii="Times New Roman" w:hAnsi="Times New Roman" w:eastAsia="仿宋" w:cs="Times New Roman"/>
              <w:bCs/>
              <w:sz w:val="32"/>
            </w:rPr>
            <w:t xml:space="preserve">4.2 </w:t>
          </w:r>
          <w:r>
            <w:rPr>
              <w:rFonts w:ascii="Times New Roman" w:hAnsi="Times New Roman" w:eastAsia="楷体_GB2312" w:cs="Times New Roman"/>
              <w:sz w:val="32"/>
            </w:rPr>
            <w:t>处置措施</w:t>
          </w:r>
          <w:r>
            <w:rPr>
              <w:sz w:val="32"/>
            </w:rPr>
            <w:tab/>
          </w:r>
          <w:r>
            <w:rPr>
              <w:sz w:val="32"/>
            </w:rPr>
            <w:fldChar w:fldCharType="begin"/>
          </w:r>
          <w:r>
            <w:rPr>
              <w:sz w:val="32"/>
            </w:rPr>
            <w:instrText xml:space="preserve"> PAGEREF _Toc16059 \h </w:instrText>
          </w:r>
          <w:r>
            <w:rPr>
              <w:sz w:val="32"/>
            </w:rPr>
            <w:fldChar w:fldCharType="separate"/>
          </w:r>
          <w:r>
            <w:rPr>
              <w:sz w:val="32"/>
            </w:rPr>
            <w:t>7</w:t>
          </w:r>
          <w:r>
            <w:rPr>
              <w:sz w:val="32"/>
            </w:rPr>
            <w:fldChar w:fldCharType="end"/>
          </w:r>
          <w:r>
            <w:rPr>
              <w:sz w:val="32"/>
            </w:rPr>
            <w:fldChar w:fldCharType="end"/>
          </w:r>
        </w:p>
        <w:p w14:paraId="57113016">
          <w:pPr>
            <w:pStyle w:val="19"/>
            <w:tabs>
              <w:tab w:val="right" w:leader="dot" w:pos="8845"/>
            </w:tabs>
            <w:ind w:firstLine="552"/>
            <w:rPr>
              <w:sz w:val="32"/>
            </w:rPr>
          </w:pPr>
          <w:r>
            <w:fldChar w:fldCharType="begin"/>
          </w:r>
          <w:r>
            <w:instrText xml:space="preserve"> HYPERLINK \l "_Toc3642" </w:instrText>
          </w:r>
          <w:r>
            <w:fldChar w:fldCharType="separate"/>
          </w:r>
          <w:r>
            <w:rPr>
              <w:rFonts w:ascii="Times New Roman" w:hAnsi="Times New Roman" w:eastAsia="仿宋" w:cs="Times New Roman"/>
              <w:bCs/>
              <w:sz w:val="32"/>
            </w:rPr>
            <w:t xml:space="preserve">4.3 </w:t>
          </w:r>
          <w:r>
            <w:rPr>
              <w:rFonts w:ascii="Times New Roman" w:hAnsi="Times New Roman" w:eastAsia="楷体_GB2312" w:cs="Times New Roman"/>
              <w:sz w:val="32"/>
            </w:rPr>
            <w:t>信息发布</w:t>
          </w:r>
          <w:r>
            <w:rPr>
              <w:sz w:val="32"/>
            </w:rPr>
            <w:tab/>
          </w:r>
          <w:r>
            <w:rPr>
              <w:sz w:val="32"/>
            </w:rPr>
            <w:fldChar w:fldCharType="begin"/>
          </w:r>
          <w:r>
            <w:rPr>
              <w:sz w:val="32"/>
            </w:rPr>
            <w:instrText xml:space="preserve"> PAGEREF _Toc3642 \h </w:instrText>
          </w:r>
          <w:r>
            <w:rPr>
              <w:sz w:val="32"/>
            </w:rPr>
            <w:fldChar w:fldCharType="separate"/>
          </w:r>
          <w:r>
            <w:rPr>
              <w:sz w:val="32"/>
            </w:rPr>
            <w:t>9</w:t>
          </w:r>
          <w:r>
            <w:rPr>
              <w:sz w:val="32"/>
            </w:rPr>
            <w:fldChar w:fldCharType="end"/>
          </w:r>
          <w:r>
            <w:rPr>
              <w:sz w:val="32"/>
            </w:rPr>
            <w:fldChar w:fldCharType="end"/>
          </w:r>
        </w:p>
        <w:p w14:paraId="5D72800F">
          <w:pPr>
            <w:pStyle w:val="19"/>
            <w:tabs>
              <w:tab w:val="right" w:leader="dot" w:pos="8845"/>
            </w:tabs>
            <w:ind w:firstLine="552"/>
            <w:rPr>
              <w:sz w:val="32"/>
            </w:rPr>
          </w:pPr>
          <w:r>
            <w:fldChar w:fldCharType="begin"/>
          </w:r>
          <w:r>
            <w:instrText xml:space="preserve"> HYPERLINK \l "_Toc14917" </w:instrText>
          </w:r>
          <w:r>
            <w:fldChar w:fldCharType="separate"/>
          </w:r>
          <w:r>
            <w:rPr>
              <w:rFonts w:ascii="Times New Roman" w:hAnsi="Times New Roman" w:eastAsia="仿宋" w:cs="Times New Roman"/>
              <w:bCs/>
              <w:sz w:val="32"/>
            </w:rPr>
            <w:t xml:space="preserve">4.4 </w:t>
          </w:r>
          <w:r>
            <w:rPr>
              <w:rFonts w:ascii="Times New Roman" w:hAnsi="Times New Roman" w:eastAsia="楷体_GB2312" w:cs="Times New Roman"/>
              <w:sz w:val="32"/>
            </w:rPr>
            <w:t>应急结束</w:t>
          </w:r>
          <w:r>
            <w:rPr>
              <w:sz w:val="32"/>
            </w:rPr>
            <w:tab/>
          </w:r>
          <w:r>
            <w:rPr>
              <w:sz w:val="32"/>
            </w:rPr>
            <w:fldChar w:fldCharType="begin"/>
          </w:r>
          <w:r>
            <w:rPr>
              <w:sz w:val="32"/>
            </w:rPr>
            <w:instrText xml:space="preserve"> PAGEREF _Toc14917 \h </w:instrText>
          </w:r>
          <w:r>
            <w:rPr>
              <w:sz w:val="32"/>
            </w:rPr>
            <w:fldChar w:fldCharType="separate"/>
          </w:r>
          <w:r>
            <w:rPr>
              <w:sz w:val="32"/>
            </w:rPr>
            <w:t>9</w:t>
          </w:r>
          <w:r>
            <w:rPr>
              <w:sz w:val="32"/>
            </w:rPr>
            <w:fldChar w:fldCharType="end"/>
          </w:r>
          <w:r>
            <w:rPr>
              <w:sz w:val="32"/>
            </w:rPr>
            <w:fldChar w:fldCharType="end"/>
          </w:r>
        </w:p>
        <w:p w14:paraId="5CB3F81E">
          <w:pPr>
            <w:pStyle w:val="18"/>
            <w:rPr>
              <w:sz w:val="32"/>
            </w:rPr>
          </w:pPr>
          <w:r>
            <w:fldChar w:fldCharType="begin"/>
          </w:r>
          <w:r>
            <w:instrText xml:space="preserve"> HYPERLINK \l "_Toc31743" </w:instrText>
          </w:r>
          <w:r>
            <w:fldChar w:fldCharType="separate"/>
          </w:r>
          <w:r>
            <w:rPr>
              <w:rFonts w:ascii="Times New Roman" w:hAnsi="Times New Roman" w:eastAsia="仿宋" w:cs="Times New Roman"/>
              <w:sz w:val="32"/>
            </w:rPr>
            <w:t xml:space="preserve">5 </w:t>
          </w:r>
          <w:r>
            <w:rPr>
              <w:rFonts w:ascii="Times New Roman" w:hAnsi="Times New Roman" w:eastAsia="黑体" w:cs="Times New Roman"/>
              <w:sz w:val="32"/>
            </w:rPr>
            <w:t>后期处置</w:t>
          </w:r>
          <w:r>
            <w:rPr>
              <w:sz w:val="32"/>
            </w:rPr>
            <w:tab/>
          </w:r>
          <w:r>
            <w:rPr>
              <w:sz w:val="32"/>
            </w:rPr>
            <w:fldChar w:fldCharType="begin"/>
          </w:r>
          <w:r>
            <w:rPr>
              <w:sz w:val="32"/>
            </w:rPr>
            <w:instrText xml:space="preserve"> PAGEREF _Toc31743 \h </w:instrText>
          </w:r>
          <w:r>
            <w:rPr>
              <w:sz w:val="32"/>
            </w:rPr>
            <w:fldChar w:fldCharType="separate"/>
          </w:r>
          <w:r>
            <w:rPr>
              <w:sz w:val="32"/>
            </w:rPr>
            <w:t>9</w:t>
          </w:r>
          <w:r>
            <w:rPr>
              <w:sz w:val="32"/>
            </w:rPr>
            <w:fldChar w:fldCharType="end"/>
          </w:r>
          <w:r>
            <w:rPr>
              <w:sz w:val="32"/>
            </w:rPr>
            <w:fldChar w:fldCharType="end"/>
          </w:r>
        </w:p>
        <w:p w14:paraId="28259EA0">
          <w:pPr>
            <w:pStyle w:val="19"/>
            <w:tabs>
              <w:tab w:val="right" w:leader="dot" w:pos="8845"/>
            </w:tabs>
            <w:ind w:firstLine="552"/>
            <w:rPr>
              <w:sz w:val="32"/>
            </w:rPr>
          </w:pPr>
          <w:r>
            <w:fldChar w:fldCharType="begin"/>
          </w:r>
          <w:r>
            <w:instrText xml:space="preserve"> HYPERLINK \l "_Toc25838" </w:instrText>
          </w:r>
          <w:r>
            <w:fldChar w:fldCharType="separate"/>
          </w:r>
          <w:r>
            <w:rPr>
              <w:rFonts w:ascii="Times New Roman" w:hAnsi="Times New Roman" w:eastAsia="仿宋" w:cs="Times New Roman"/>
              <w:bCs/>
              <w:sz w:val="32"/>
            </w:rPr>
            <w:t xml:space="preserve">5.1 </w:t>
          </w:r>
          <w:r>
            <w:rPr>
              <w:rFonts w:ascii="Times New Roman" w:hAnsi="Times New Roman" w:eastAsia="楷体_GB2312" w:cs="Times New Roman"/>
              <w:sz w:val="32"/>
            </w:rPr>
            <w:t>善后处理</w:t>
          </w:r>
          <w:r>
            <w:rPr>
              <w:sz w:val="32"/>
            </w:rPr>
            <w:tab/>
          </w:r>
          <w:r>
            <w:rPr>
              <w:sz w:val="32"/>
            </w:rPr>
            <w:fldChar w:fldCharType="begin"/>
          </w:r>
          <w:r>
            <w:rPr>
              <w:sz w:val="32"/>
            </w:rPr>
            <w:instrText xml:space="preserve"> PAGEREF _Toc25838 \h </w:instrText>
          </w:r>
          <w:r>
            <w:rPr>
              <w:sz w:val="32"/>
            </w:rPr>
            <w:fldChar w:fldCharType="separate"/>
          </w:r>
          <w:r>
            <w:rPr>
              <w:sz w:val="32"/>
            </w:rPr>
            <w:t>9</w:t>
          </w:r>
          <w:r>
            <w:rPr>
              <w:sz w:val="32"/>
            </w:rPr>
            <w:fldChar w:fldCharType="end"/>
          </w:r>
          <w:r>
            <w:rPr>
              <w:sz w:val="32"/>
            </w:rPr>
            <w:fldChar w:fldCharType="end"/>
          </w:r>
        </w:p>
        <w:p w14:paraId="6B72C974">
          <w:pPr>
            <w:pStyle w:val="19"/>
            <w:tabs>
              <w:tab w:val="right" w:leader="dot" w:pos="8845"/>
            </w:tabs>
            <w:ind w:firstLine="552"/>
            <w:rPr>
              <w:sz w:val="32"/>
            </w:rPr>
          </w:pPr>
          <w:r>
            <w:fldChar w:fldCharType="begin"/>
          </w:r>
          <w:r>
            <w:instrText xml:space="preserve"> HYPERLINK \l "_Toc24766" </w:instrText>
          </w:r>
          <w:r>
            <w:fldChar w:fldCharType="separate"/>
          </w:r>
          <w:r>
            <w:rPr>
              <w:rFonts w:ascii="Times New Roman" w:hAnsi="Times New Roman" w:eastAsia="仿宋" w:cs="Times New Roman"/>
              <w:bCs/>
              <w:sz w:val="32"/>
            </w:rPr>
            <w:t xml:space="preserve">5.2 </w:t>
          </w:r>
          <w:r>
            <w:rPr>
              <w:rFonts w:ascii="Times New Roman" w:hAnsi="Times New Roman" w:eastAsia="楷体_GB2312" w:cs="Times New Roman"/>
              <w:sz w:val="32"/>
            </w:rPr>
            <w:t>调查评估</w:t>
          </w:r>
          <w:r>
            <w:rPr>
              <w:sz w:val="32"/>
            </w:rPr>
            <w:tab/>
          </w:r>
          <w:r>
            <w:rPr>
              <w:sz w:val="32"/>
            </w:rPr>
            <w:fldChar w:fldCharType="begin"/>
          </w:r>
          <w:r>
            <w:rPr>
              <w:sz w:val="32"/>
            </w:rPr>
            <w:instrText xml:space="preserve"> PAGEREF _Toc24766 \h </w:instrText>
          </w:r>
          <w:r>
            <w:rPr>
              <w:sz w:val="32"/>
            </w:rPr>
            <w:fldChar w:fldCharType="separate"/>
          </w:r>
          <w:r>
            <w:rPr>
              <w:sz w:val="32"/>
            </w:rPr>
            <w:t>10</w:t>
          </w:r>
          <w:r>
            <w:rPr>
              <w:sz w:val="32"/>
            </w:rPr>
            <w:fldChar w:fldCharType="end"/>
          </w:r>
          <w:r>
            <w:rPr>
              <w:sz w:val="32"/>
            </w:rPr>
            <w:fldChar w:fldCharType="end"/>
          </w:r>
        </w:p>
        <w:p w14:paraId="5743BFBA">
          <w:pPr>
            <w:pStyle w:val="18"/>
            <w:rPr>
              <w:sz w:val="32"/>
            </w:rPr>
          </w:pPr>
          <w:r>
            <w:fldChar w:fldCharType="begin"/>
          </w:r>
          <w:r>
            <w:instrText xml:space="preserve"> HYPERLINK \l "_Toc18085" </w:instrText>
          </w:r>
          <w:r>
            <w:fldChar w:fldCharType="separate"/>
          </w:r>
          <w:r>
            <w:rPr>
              <w:rFonts w:ascii="Times New Roman" w:hAnsi="Times New Roman" w:eastAsia="仿宋" w:cs="Times New Roman"/>
              <w:sz w:val="32"/>
            </w:rPr>
            <w:t xml:space="preserve">6 </w:t>
          </w:r>
          <w:r>
            <w:rPr>
              <w:rFonts w:ascii="Times New Roman" w:hAnsi="Times New Roman" w:eastAsia="黑体" w:cs="Times New Roman"/>
              <w:sz w:val="32"/>
            </w:rPr>
            <w:t>应急保障</w:t>
          </w:r>
          <w:r>
            <w:rPr>
              <w:sz w:val="32"/>
            </w:rPr>
            <w:tab/>
          </w:r>
          <w:r>
            <w:rPr>
              <w:sz w:val="32"/>
            </w:rPr>
            <w:fldChar w:fldCharType="begin"/>
          </w:r>
          <w:r>
            <w:rPr>
              <w:sz w:val="32"/>
            </w:rPr>
            <w:instrText xml:space="preserve"> PAGEREF _Toc18085 \h </w:instrText>
          </w:r>
          <w:r>
            <w:rPr>
              <w:sz w:val="32"/>
            </w:rPr>
            <w:fldChar w:fldCharType="separate"/>
          </w:r>
          <w:r>
            <w:rPr>
              <w:sz w:val="32"/>
            </w:rPr>
            <w:t>10</w:t>
          </w:r>
          <w:r>
            <w:rPr>
              <w:sz w:val="32"/>
            </w:rPr>
            <w:fldChar w:fldCharType="end"/>
          </w:r>
          <w:r>
            <w:rPr>
              <w:sz w:val="32"/>
            </w:rPr>
            <w:fldChar w:fldCharType="end"/>
          </w:r>
        </w:p>
        <w:p w14:paraId="1BBBDEEF">
          <w:pPr>
            <w:pStyle w:val="19"/>
            <w:tabs>
              <w:tab w:val="right" w:leader="dot" w:pos="8845"/>
            </w:tabs>
            <w:ind w:firstLine="552"/>
            <w:rPr>
              <w:sz w:val="32"/>
            </w:rPr>
          </w:pPr>
          <w:r>
            <w:fldChar w:fldCharType="begin"/>
          </w:r>
          <w:r>
            <w:instrText xml:space="preserve"> HYPERLINK \l "_Toc20827" </w:instrText>
          </w:r>
          <w:r>
            <w:fldChar w:fldCharType="separate"/>
          </w:r>
          <w:r>
            <w:rPr>
              <w:rFonts w:ascii="Times New Roman" w:hAnsi="Times New Roman" w:eastAsia="仿宋" w:cs="Times New Roman"/>
              <w:bCs/>
              <w:sz w:val="32"/>
            </w:rPr>
            <w:t xml:space="preserve">6.1 </w:t>
          </w:r>
          <w:r>
            <w:rPr>
              <w:rFonts w:ascii="Times New Roman" w:hAnsi="Times New Roman" w:eastAsia="楷体_GB2312" w:cs="Times New Roman"/>
              <w:sz w:val="32"/>
            </w:rPr>
            <w:t>队伍保障</w:t>
          </w:r>
          <w:r>
            <w:rPr>
              <w:sz w:val="32"/>
            </w:rPr>
            <w:tab/>
          </w:r>
          <w:r>
            <w:rPr>
              <w:sz w:val="32"/>
            </w:rPr>
            <w:fldChar w:fldCharType="begin"/>
          </w:r>
          <w:r>
            <w:rPr>
              <w:sz w:val="32"/>
            </w:rPr>
            <w:instrText xml:space="preserve"> PAGEREF _Toc20827 \h </w:instrText>
          </w:r>
          <w:r>
            <w:rPr>
              <w:sz w:val="32"/>
            </w:rPr>
            <w:fldChar w:fldCharType="separate"/>
          </w:r>
          <w:r>
            <w:rPr>
              <w:sz w:val="32"/>
            </w:rPr>
            <w:t>10</w:t>
          </w:r>
          <w:r>
            <w:rPr>
              <w:sz w:val="32"/>
            </w:rPr>
            <w:fldChar w:fldCharType="end"/>
          </w:r>
          <w:r>
            <w:rPr>
              <w:sz w:val="32"/>
            </w:rPr>
            <w:fldChar w:fldCharType="end"/>
          </w:r>
        </w:p>
        <w:p w14:paraId="65C118D8">
          <w:pPr>
            <w:pStyle w:val="19"/>
            <w:tabs>
              <w:tab w:val="right" w:leader="dot" w:pos="8845"/>
            </w:tabs>
            <w:ind w:firstLine="552"/>
            <w:rPr>
              <w:sz w:val="32"/>
            </w:rPr>
          </w:pPr>
          <w:r>
            <w:fldChar w:fldCharType="begin"/>
          </w:r>
          <w:r>
            <w:instrText xml:space="preserve"> HYPERLINK \l "_Toc25257" </w:instrText>
          </w:r>
          <w:r>
            <w:fldChar w:fldCharType="separate"/>
          </w:r>
          <w:r>
            <w:rPr>
              <w:rFonts w:ascii="Times New Roman" w:hAnsi="Times New Roman" w:eastAsia="仿宋" w:cs="Times New Roman"/>
              <w:bCs/>
              <w:sz w:val="32"/>
            </w:rPr>
            <w:t xml:space="preserve">6.2 </w:t>
          </w:r>
          <w:r>
            <w:rPr>
              <w:rFonts w:hint="eastAsia" w:ascii="Times New Roman" w:hAnsi="Times New Roman" w:eastAsia="楷体_GB2312" w:cs="Times New Roman"/>
              <w:sz w:val="32"/>
            </w:rPr>
            <w:t>装备</w:t>
          </w:r>
          <w:r>
            <w:rPr>
              <w:rFonts w:ascii="Times New Roman" w:hAnsi="Times New Roman" w:eastAsia="楷体_GB2312" w:cs="Times New Roman"/>
              <w:sz w:val="32"/>
            </w:rPr>
            <w:t>保障</w:t>
          </w:r>
          <w:r>
            <w:rPr>
              <w:sz w:val="32"/>
            </w:rPr>
            <w:tab/>
          </w:r>
          <w:r>
            <w:rPr>
              <w:sz w:val="32"/>
            </w:rPr>
            <w:fldChar w:fldCharType="begin"/>
          </w:r>
          <w:r>
            <w:rPr>
              <w:sz w:val="32"/>
            </w:rPr>
            <w:instrText xml:space="preserve"> PAGEREF _Toc25257 \h </w:instrText>
          </w:r>
          <w:r>
            <w:rPr>
              <w:sz w:val="32"/>
            </w:rPr>
            <w:fldChar w:fldCharType="separate"/>
          </w:r>
          <w:r>
            <w:rPr>
              <w:sz w:val="32"/>
            </w:rPr>
            <w:t>10</w:t>
          </w:r>
          <w:r>
            <w:rPr>
              <w:sz w:val="32"/>
            </w:rPr>
            <w:fldChar w:fldCharType="end"/>
          </w:r>
          <w:r>
            <w:rPr>
              <w:sz w:val="32"/>
            </w:rPr>
            <w:fldChar w:fldCharType="end"/>
          </w:r>
        </w:p>
        <w:p w14:paraId="5CEFC741">
          <w:pPr>
            <w:pStyle w:val="19"/>
            <w:tabs>
              <w:tab w:val="right" w:leader="dot" w:pos="8845"/>
            </w:tabs>
            <w:ind w:firstLine="552"/>
            <w:rPr>
              <w:sz w:val="32"/>
            </w:rPr>
          </w:pPr>
          <w:r>
            <w:fldChar w:fldCharType="begin"/>
          </w:r>
          <w:r>
            <w:instrText xml:space="preserve"> HYPERLINK \l "_Toc9818" </w:instrText>
          </w:r>
          <w:r>
            <w:fldChar w:fldCharType="separate"/>
          </w:r>
          <w:r>
            <w:rPr>
              <w:rFonts w:ascii="Times New Roman" w:hAnsi="Times New Roman" w:eastAsia="仿宋" w:cs="Times New Roman"/>
              <w:bCs/>
              <w:sz w:val="32"/>
            </w:rPr>
            <w:t xml:space="preserve">6.3 </w:t>
          </w:r>
          <w:r>
            <w:rPr>
              <w:rFonts w:hint="eastAsia" w:ascii="Times New Roman" w:hAnsi="Times New Roman" w:eastAsia="楷体_GB2312" w:cs="Times New Roman"/>
              <w:sz w:val="32"/>
            </w:rPr>
            <w:t>医疗保障</w:t>
          </w:r>
          <w:r>
            <w:rPr>
              <w:sz w:val="32"/>
            </w:rPr>
            <w:tab/>
          </w:r>
          <w:r>
            <w:rPr>
              <w:sz w:val="32"/>
            </w:rPr>
            <w:fldChar w:fldCharType="begin"/>
          </w:r>
          <w:r>
            <w:rPr>
              <w:sz w:val="32"/>
            </w:rPr>
            <w:instrText xml:space="preserve"> PAGEREF _Toc9818 \h </w:instrText>
          </w:r>
          <w:r>
            <w:rPr>
              <w:sz w:val="32"/>
            </w:rPr>
            <w:fldChar w:fldCharType="separate"/>
          </w:r>
          <w:r>
            <w:rPr>
              <w:sz w:val="32"/>
            </w:rPr>
            <w:t>10</w:t>
          </w:r>
          <w:r>
            <w:rPr>
              <w:sz w:val="32"/>
            </w:rPr>
            <w:fldChar w:fldCharType="end"/>
          </w:r>
          <w:r>
            <w:rPr>
              <w:sz w:val="32"/>
            </w:rPr>
            <w:fldChar w:fldCharType="end"/>
          </w:r>
        </w:p>
        <w:p w14:paraId="6DCDD75B">
          <w:pPr>
            <w:pStyle w:val="19"/>
            <w:tabs>
              <w:tab w:val="right" w:leader="dot" w:pos="8845"/>
            </w:tabs>
            <w:ind w:firstLine="552"/>
            <w:rPr>
              <w:sz w:val="32"/>
            </w:rPr>
          </w:pPr>
          <w:r>
            <w:fldChar w:fldCharType="begin"/>
          </w:r>
          <w:r>
            <w:instrText xml:space="preserve"> HYPERLINK \l "_Toc4268" </w:instrText>
          </w:r>
          <w:r>
            <w:fldChar w:fldCharType="separate"/>
          </w:r>
          <w:r>
            <w:rPr>
              <w:rFonts w:ascii="Times New Roman" w:hAnsi="Times New Roman" w:eastAsia="仿宋" w:cs="Times New Roman"/>
              <w:bCs/>
              <w:sz w:val="32"/>
            </w:rPr>
            <w:t xml:space="preserve">6.4 </w:t>
          </w:r>
          <w:r>
            <w:rPr>
              <w:rFonts w:hint="eastAsia" w:ascii="Times New Roman" w:hAnsi="Times New Roman" w:eastAsia="楷体_GB2312" w:cs="Times New Roman"/>
              <w:sz w:val="32"/>
            </w:rPr>
            <w:t>通信保障</w:t>
          </w:r>
          <w:r>
            <w:rPr>
              <w:sz w:val="32"/>
            </w:rPr>
            <w:tab/>
          </w:r>
          <w:r>
            <w:rPr>
              <w:sz w:val="32"/>
            </w:rPr>
            <w:fldChar w:fldCharType="begin"/>
          </w:r>
          <w:r>
            <w:rPr>
              <w:sz w:val="32"/>
            </w:rPr>
            <w:instrText xml:space="preserve"> PAGEREF _Toc4268 \h </w:instrText>
          </w:r>
          <w:r>
            <w:rPr>
              <w:sz w:val="32"/>
            </w:rPr>
            <w:fldChar w:fldCharType="separate"/>
          </w:r>
          <w:r>
            <w:rPr>
              <w:sz w:val="32"/>
            </w:rPr>
            <w:t>10</w:t>
          </w:r>
          <w:r>
            <w:rPr>
              <w:sz w:val="32"/>
            </w:rPr>
            <w:fldChar w:fldCharType="end"/>
          </w:r>
          <w:r>
            <w:rPr>
              <w:sz w:val="32"/>
            </w:rPr>
            <w:fldChar w:fldCharType="end"/>
          </w:r>
        </w:p>
        <w:p w14:paraId="1124FCF6">
          <w:pPr>
            <w:pStyle w:val="19"/>
            <w:tabs>
              <w:tab w:val="right" w:leader="dot" w:pos="8845"/>
            </w:tabs>
            <w:ind w:firstLine="552"/>
            <w:rPr>
              <w:sz w:val="32"/>
            </w:rPr>
          </w:pPr>
          <w:r>
            <w:fldChar w:fldCharType="begin"/>
          </w:r>
          <w:r>
            <w:instrText xml:space="preserve"> HYPERLINK \l "_Toc7416" </w:instrText>
          </w:r>
          <w:r>
            <w:fldChar w:fldCharType="separate"/>
          </w:r>
          <w:r>
            <w:rPr>
              <w:rFonts w:ascii="Times New Roman" w:hAnsi="Times New Roman" w:eastAsia="仿宋" w:cs="Times New Roman"/>
              <w:bCs/>
              <w:sz w:val="32"/>
            </w:rPr>
            <w:t xml:space="preserve">6.5 </w:t>
          </w:r>
          <w:r>
            <w:rPr>
              <w:rFonts w:hint="eastAsia" w:ascii="Times New Roman" w:hAnsi="Times New Roman" w:eastAsia="楷体_GB2312" w:cs="Times New Roman"/>
              <w:sz w:val="32"/>
            </w:rPr>
            <w:t>经费保障</w:t>
          </w:r>
          <w:r>
            <w:rPr>
              <w:sz w:val="32"/>
            </w:rPr>
            <w:tab/>
          </w:r>
          <w:r>
            <w:rPr>
              <w:sz w:val="32"/>
            </w:rPr>
            <w:fldChar w:fldCharType="begin"/>
          </w:r>
          <w:r>
            <w:rPr>
              <w:sz w:val="32"/>
            </w:rPr>
            <w:instrText xml:space="preserve"> PAGEREF _Toc7416 \h </w:instrText>
          </w:r>
          <w:r>
            <w:rPr>
              <w:sz w:val="32"/>
            </w:rPr>
            <w:fldChar w:fldCharType="separate"/>
          </w:r>
          <w:r>
            <w:rPr>
              <w:sz w:val="32"/>
            </w:rPr>
            <w:t>11</w:t>
          </w:r>
          <w:r>
            <w:rPr>
              <w:sz w:val="32"/>
            </w:rPr>
            <w:fldChar w:fldCharType="end"/>
          </w:r>
          <w:r>
            <w:rPr>
              <w:sz w:val="32"/>
            </w:rPr>
            <w:fldChar w:fldCharType="end"/>
          </w:r>
        </w:p>
        <w:p w14:paraId="26797BD2">
          <w:pPr>
            <w:pStyle w:val="19"/>
            <w:tabs>
              <w:tab w:val="right" w:leader="dot" w:pos="8845"/>
            </w:tabs>
            <w:ind w:firstLine="552"/>
            <w:rPr>
              <w:sz w:val="32"/>
            </w:rPr>
          </w:pPr>
          <w:r>
            <w:fldChar w:fldCharType="begin"/>
          </w:r>
          <w:r>
            <w:instrText xml:space="preserve"> HYPERLINK \l "_Toc5115" </w:instrText>
          </w:r>
          <w:r>
            <w:fldChar w:fldCharType="separate"/>
          </w:r>
          <w:r>
            <w:rPr>
              <w:rFonts w:ascii="Times New Roman" w:hAnsi="Times New Roman" w:eastAsia="仿宋" w:cs="Times New Roman"/>
              <w:bCs/>
              <w:sz w:val="32"/>
            </w:rPr>
            <w:t xml:space="preserve">6.6 </w:t>
          </w:r>
          <w:r>
            <w:rPr>
              <w:rFonts w:ascii="Times New Roman" w:hAnsi="Times New Roman" w:eastAsia="楷体_GB2312" w:cs="Times New Roman"/>
              <w:sz w:val="32"/>
            </w:rPr>
            <w:t>交通保障</w:t>
          </w:r>
          <w:r>
            <w:rPr>
              <w:sz w:val="32"/>
            </w:rPr>
            <w:tab/>
          </w:r>
          <w:r>
            <w:rPr>
              <w:sz w:val="32"/>
            </w:rPr>
            <w:fldChar w:fldCharType="begin"/>
          </w:r>
          <w:r>
            <w:rPr>
              <w:sz w:val="32"/>
            </w:rPr>
            <w:instrText xml:space="preserve"> PAGEREF _Toc5115 \h </w:instrText>
          </w:r>
          <w:r>
            <w:rPr>
              <w:sz w:val="32"/>
            </w:rPr>
            <w:fldChar w:fldCharType="separate"/>
          </w:r>
          <w:r>
            <w:rPr>
              <w:sz w:val="32"/>
            </w:rPr>
            <w:t>11</w:t>
          </w:r>
          <w:r>
            <w:rPr>
              <w:sz w:val="32"/>
            </w:rPr>
            <w:fldChar w:fldCharType="end"/>
          </w:r>
          <w:r>
            <w:rPr>
              <w:sz w:val="32"/>
            </w:rPr>
            <w:fldChar w:fldCharType="end"/>
          </w:r>
        </w:p>
        <w:p w14:paraId="042B006A">
          <w:pPr>
            <w:pStyle w:val="18"/>
            <w:rPr>
              <w:sz w:val="32"/>
            </w:rPr>
          </w:pPr>
          <w:r>
            <w:fldChar w:fldCharType="begin"/>
          </w:r>
          <w:r>
            <w:instrText xml:space="preserve"> HYPERLINK \l "_Toc8755" </w:instrText>
          </w:r>
          <w:r>
            <w:fldChar w:fldCharType="separate"/>
          </w:r>
          <w:r>
            <w:rPr>
              <w:rFonts w:ascii="Times New Roman" w:hAnsi="Times New Roman" w:eastAsia="仿宋" w:cs="Times New Roman"/>
              <w:sz w:val="32"/>
            </w:rPr>
            <w:t xml:space="preserve">7 </w:t>
          </w:r>
          <w:r>
            <w:rPr>
              <w:rFonts w:ascii="Times New Roman" w:hAnsi="Times New Roman" w:eastAsia="黑体" w:cs="Times New Roman"/>
              <w:sz w:val="32"/>
            </w:rPr>
            <w:t>预案管理</w:t>
          </w:r>
          <w:r>
            <w:rPr>
              <w:sz w:val="32"/>
            </w:rPr>
            <w:tab/>
          </w:r>
          <w:r>
            <w:rPr>
              <w:sz w:val="32"/>
            </w:rPr>
            <w:fldChar w:fldCharType="begin"/>
          </w:r>
          <w:r>
            <w:rPr>
              <w:sz w:val="32"/>
            </w:rPr>
            <w:instrText xml:space="preserve"> PAGEREF _Toc8755 \h </w:instrText>
          </w:r>
          <w:r>
            <w:rPr>
              <w:sz w:val="32"/>
            </w:rPr>
            <w:fldChar w:fldCharType="separate"/>
          </w:r>
          <w:r>
            <w:rPr>
              <w:sz w:val="32"/>
            </w:rPr>
            <w:t>11</w:t>
          </w:r>
          <w:r>
            <w:rPr>
              <w:sz w:val="32"/>
            </w:rPr>
            <w:fldChar w:fldCharType="end"/>
          </w:r>
          <w:r>
            <w:rPr>
              <w:sz w:val="32"/>
            </w:rPr>
            <w:fldChar w:fldCharType="end"/>
          </w:r>
        </w:p>
        <w:p w14:paraId="66D78440">
          <w:pPr>
            <w:pStyle w:val="19"/>
            <w:tabs>
              <w:tab w:val="right" w:leader="dot" w:pos="8845"/>
            </w:tabs>
            <w:ind w:firstLine="552"/>
            <w:rPr>
              <w:sz w:val="32"/>
            </w:rPr>
          </w:pPr>
          <w:r>
            <w:fldChar w:fldCharType="begin"/>
          </w:r>
          <w:r>
            <w:instrText xml:space="preserve"> HYPERLINK \l "_Toc2295" </w:instrText>
          </w:r>
          <w:r>
            <w:fldChar w:fldCharType="separate"/>
          </w:r>
          <w:r>
            <w:rPr>
              <w:rFonts w:ascii="Times New Roman" w:hAnsi="Times New Roman" w:eastAsia="仿宋" w:cs="Times New Roman"/>
              <w:bCs/>
              <w:sz w:val="32"/>
            </w:rPr>
            <w:t xml:space="preserve">7.1 </w:t>
          </w:r>
          <w:r>
            <w:rPr>
              <w:rFonts w:ascii="Times New Roman" w:hAnsi="Times New Roman" w:eastAsia="楷体_GB2312" w:cs="Times New Roman"/>
              <w:sz w:val="32"/>
            </w:rPr>
            <w:t>应急宣传和教育</w:t>
          </w:r>
          <w:r>
            <w:rPr>
              <w:sz w:val="32"/>
            </w:rPr>
            <w:tab/>
          </w:r>
          <w:r>
            <w:rPr>
              <w:sz w:val="32"/>
            </w:rPr>
            <w:fldChar w:fldCharType="begin"/>
          </w:r>
          <w:r>
            <w:rPr>
              <w:sz w:val="32"/>
            </w:rPr>
            <w:instrText xml:space="preserve"> PAGEREF _Toc2295 \h </w:instrText>
          </w:r>
          <w:r>
            <w:rPr>
              <w:sz w:val="32"/>
            </w:rPr>
            <w:fldChar w:fldCharType="separate"/>
          </w:r>
          <w:r>
            <w:rPr>
              <w:sz w:val="32"/>
            </w:rPr>
            <w:t>11</w:t>
          </w:r>
          <w:r>
            <w:rPr>
              <w:sz w:val="32"/>
            </w:rPr>
            <w:fldChar w:fldCharType="end"/>
          </w:r>
          <w:r>
            <w:rPr>
              <w:sz w:val="32"/>
            </w:rPr>
            <w:fldChar w:fldCharType="end"/>
          </w:r>
        </w:p>
        <w:p w14:paraId="154E3CA0">
          <w:pPr>
            <w:pStyle w:val="19"/>
            <w:tabs>
              <w:tab w:val="right" w:leader="dot" w:pos="8845"/>
            </w:tabs>
            <w:ind w:firstLine="552"/>
            <w:rPr>
              <w:sz w:val="32"/>
            </w:rPr>
          </w:pPr>
          <w:r>
            <w:fldChar w:fldCharType="begin"/>
          </w:r>
          <w:r>
            <w:instrText xml:space="preserve"> HYPERLINK \l "_Toc7893" </w:instrText>
          </w:r>
          <w:r>
            <w:fldChar w:fldCharType="separate"/>
          </w:r>
          <w:r>
            <w:rPr>
              <w:rFonts w:ascii="Times New Roman" w:hAnsi="Times New Roman" w:eastAsia="仿宋" w:cs="Times New Roman"/>
              <w:bCs/>
              <w:sz w:val="32"/>
            </w:rPr>
            <w:t xml:space="preserve">7.2 </w:t>
          </w:r>
          <w:r>
            <w:rPr>
              <w:rFonts w:ascii="Times New Roman" w:hAnsi="Times New Roman" w:eastAsia="楷体_GB2312" w:cs="Times New Roman"/>
              <w:sz w:val="32"/>
            </w:rPr>
            <w:t>预案演练</w:t>
          </w:r>
          <w:r>
            <w:rPr>
              <w:sz w:val="32"/>
            </w:rPr>
            <w:tab/>
          </w:r>
          <w:r>
            <w:rPr>
              <w:sz w:val="32"/>
            </w:rPr>
            <w:fldChar w:fldCharType="begin"/>
          </w:r>
          <w:r>
            <w:rPr>
              <w:sz w:val="32"/>
            </w:rPr>
            <w:instrText xml:space="preserve"> PAGEREF _Toc7893 \h </w:instrText>
          </w:r>
          <w:r>
            <w:rPr>
              <w:sz w:val="32"/>
            </w:rPr>
            <w:fldChar w:fldCharType="separate"/>
          </w:r>
          <w:r>
            <w:rPr>
              <w:sz w:val="32"/>
            </w:rPr>
            <w:t>11</w:t>
          </w:r>
          <w:r>
            <w:rPr>
              <w:sz w:val="32"/>
            </w:rPr>
            <w:fldChar w:fldCharType="end"/>
          </w:r>
          <w:r>
            <w:rPr>
              <w:sz w:val="32"/>
            </w:rPr>
            <w:fldChar w:fldCharType="end"/>
          </w:r>
        </w:p>
        <w:p w14:paraId="4D3B8F59">
          <w:pPr>
            <w:pStyle w:val="19"/>
            <w:tabs>
              <w:tab w:val="right" w:leader="dot" w:pos="8845"/>
            </w:tabs>
            <w:ind w:firstLine="552"/>
            <w:rPr>
              <w:sz w:val="32"/>
            </w:rPr>
          </w:pPr>
          <w:r>
            <w:fldChar w:fldCharType="begin"/>
          </w:r>
          <w:r>
            <w:instrText xml:space="preserve"> HYPERLINK \l "_Toc17262" </w:instrText>
          </w:r>
          <w:r>
            <w:fldChar w:fldCharType="separate"/>
          </w:r>
          <w:r>
            <w:rPr>
              <w:rFonts w:ascii="Times New Roman" w:hAnsi="Times New Roman" w:eastAsia="仿宋" w:cs="Times New Roman"/>
              <w:bCs/>
              <w:sz w:val="32"/>
            </w:rPr>
            <w:t xml:space="preserve">7.3 </w:t>
          </w:r>
          <w:r>
            <w:rPr>
              <w:rFonts w:ascii="Times New Roman" w:hAnsi="Times New Roman" w:eastAsia="楷体_GB2312" w:cs="Times New Roman"/>
              <w:sz w:val="32"/>
            </w:rPr>
            <w:t>预案更新</w:t>
          </w:r>
          <w:r>
            <w:rPr>
              <w:sz w:val="32"/>
            </w:rPr>
            <w:tab/>
          </w:r>
          <w:r>
            <w:rPr>
              <w:sz w:val="32"/>
            </w:rPr>
            <w:fldChar w:fldCharType="begin"/>
          </w:r>
          <w:r>
            <w:rPr>
              <w:sz w:val="32"/>
            </w:rPr>
            <w:instrText xml:space="preserve"> PAGEREF _Toc17262 \h </w:instrText>
          </w:r>
          <w:r>
            <w:rPr>
              <w:sz w:val="32"/>
            </w:rPr>
            <w:fldChar w:fldCharType="separate"/>
          </w:r>
          <w:r>
            <w:rPr>
              <w:sz w:val="32"/>
            </w:rPr>
            <w:t>11</w:t>
          </w:r>
          <w:r>
            <w:rPr>
              <w:sz w:val="32"/>
            </w:rPr>
            <w:fldChar w:fldCharType="end"/>
          </w:r>
          <w:r>
            <w:rPr>
              <w:sz w:val="32"/>
            </w:rPr>
            <w:fldChar w:fldCharType="end"/>
          </w:r>
        </w:p>
        <w:p w14:paraId="17339C93">
          <w:pPr>
            <w:pStyle w:val="18"/>
            <w:rPr>
              <w:sz w:val="32"/>
            </w:rPr>
          </w:pPr>
          <w:r>
            <w:fldChar w:fldCharType="begin"/>
          </w:r>
          <w:r>
            <w:instrText xml:space="preserve"> HYPERLINK \l "_Toc5367" </w:instrText>
          </w:r>
          <w:r>
            <w:fldChar w:fldCharType="separate"/>
          </w:r>
          <w:r>
            <w:rPr>
              <w:rFonts w:ascii="Times New Roman" w:hAnsi="Times New Roman" w:eastAsia="仿宋" w:cs="Times New Roman"/>
              <w:sz w:val="32"/>
            </w:rPr>
            <w:t xml:space="preserve">8 </w:t>
          </w:r>
          <w:r>
            <w:rPr>
              <w:rFonts w:ascii="Times New Roman" w:hAnsi="Times New Roman" w:eastAsia="黑体" w:cs="Times New Roman"/>
              <w:sz w:val="32"/>
            </w:rPr>
            <w:t>预案解释与实施</w:t>
          </w:r>
          <w:r>
            <w:rPr>
              <w:sz w:val="32"/>
            </w:rPr>
            <w:tab/>
          </w:r>
          <w:r>
            <w:rPr>
              <w:sz w:val="32"/>
            </w:rPr>
            <w:fldChar w:fldCharType="begin"/>
          </w:r>
          <w:r>
            <w:rPr>
              <w:sz w:val="32"/>
            </w:rPr>
            <w:instrText xml:space="preserve"> PAGEREF _Toc5367 \h </w:instrText>
          </w:r>
          <w:r>
            <w:rPr>
              <w:sz w:val="32"/>
            </w:rPr>
            <w:fldChar w:fldCharType="separate"/>
          </w:r>
          <w:r>
            <w:rPr>
              <w:sz w:val="32"/>
            </w:rPr>
            <w:t>12</w:t>
          </w:r>
          <w:r>
            <w:rPr>
              <w:sz w:val="32"/>
            </w:rPr>
            <w:fldChar w:fldCharType="end"/>
          </w:r>
          <w:r>
            <w:rPr>
              <w:sz w:val="32"/>
            </w:rPr>
            <w:fldChar w:fldCharType="end"/>
          </w:r>
        </w:p>
        <w:p w14:paraId="70FC801D">
          <w:pPr>
            <w:pStyle w:val="18"/>
            <w:rPr>
              <w:sz w:val="32"/>
            </w:rPr>
          </w:pPr>
          <w:r>
            <w:fldChar w:fldCharType="begin"/>
          </w:r>
          <w:r>
            <w:instrText xml:space="preserve"> HYPERLINK \l "_Toc19598" </w:instrText>
          </w:r>
          <w:r>
            <w:fldChar w:fldCharType="separate"/>
          </w:r>
          <w:r>
            <w:rPr>
              <w:rFonts w:ascii="Times New Roman" w:hAnsi="Times New Roman" w:eastAsia="黑体" w:cs="Times New Roman"/>
              <w:sz w:val="32"/>
            </w:rPr>
            <w:t>附件1：刑事案件分级标准</w:t>
          </w:r>
          <w:r>
            <w:rPr>
              <w:sz w:val="32"/>
            </w:rPr>
            <w:tab/>
          </w:r>
          <w:r>
            <w:rPr>
              <w:sz w:val="32"/>
            </w:rPr>
            <w:fldChar w:fldCharType="begin"/>
          </w:r>
          <w:r>
            <w:rPr>
              <w:sz w:val="32"/>
            </w:rPr>
            <w:instrText xml:space="preserve"> PAGEREF _Toc19598 \h </w:instrText>
          </w:r>
          <w:r>
            <w:rPr>
              <w:sz w:val="32"/>
            </w:rPr>
            <w:fldChar w:fldCharType="separate"/>
          </w:r>
          <w:r>
            <w:rPr>
              <w:sz w:val="32"/>
            </w:rPr>
            <w:t>13</w:t>
          </w:r>
          <w:r>
            <w:rPr>
              <w:sz w:val="32"/>
            </w:rPr>
            <w:fldChar w:fldCharType="end"/>
          </w:r>
          <w:r>
            <w:rPr>
              <w:sz w:val="32"/>
            </w:rPr>
            <w:fldChar w:fldCharType="end"/>
          </w:r>
        </w:p>
        <w:p w14:paraId="066B8704">
          <w:pPr>
            <w:pStyle w:val="15"/>
            <w:ind w:left="0" w:leftChars="0" w:firstLine="0" w:firstLineChars="0"/>
            <w:rPr>
              <w:rFonts w:ascii="Times New Roman" w:hAnsi="Times New Roman" w:eastAsia="仿宋" w:cs="Times New Roman"/>
              <w:b/>
              <w:sz w:val="32"/>
            </w:rPr>
          </w:pPr>
          <w:r>
            <w:rPr>
              <w:rFonts w:ascii="Times New Roman" w:hAnsi="Times New Roman" w:cs="Times New Roman"/>
              <w:sz w:val="32"/>
            </w:rPr>
            <w:fldChar w:fldCharType="end"/>
          </w:r>
        </w:p>
      </w:sdtContent>
    </w:sdt>
    <w:p w14:paraId="20BAD626">
      <w:pPr>
        <w:pStyle w:val="15"/>
        <w:ind w:left="0" w:leftChars="0" w:firstLine="0" w:firstLineChars="0"/>
        <w:rPr>
          <w:rFonts w:ascii="Times New Roman" w:hAnsi="Times New Roman" w:eastAsia="仿宋" w:cs="Times New Roman"/>
          <w:b/>
          <w:sz w:val="32"/>
        </w:rPr>
      </w:pPr>
    </w:p>
    <w:p w14:paraId="755240EB">
      <w:pPr>
        <w:spacing w:line="560" w:lineRule="exact"/>
        <w:ind w:firstLine="632"/>
        <w:rPr>
          <w:rFonts w:ascii="Times New Roman" w:hAnsi="Times New Roman" w:cs="Times New Roman"/>
          <w:sz w:val="32"/>
        </w:rPr>
        <w:sectPr>
          <w:footerReference r:id="rId154" w:type="default"/>
          <w:footerReference r:id="rId155" w:type="even"/>
          <w:pgSz w:w="11906" w:h="16838"/>
          <w:pgMar w:top="2098" w:right="1474" w:bottom="1984" w:left="1587" w:header="624" w:footer="1134" w:gutter="0"/>
          <w:pgNumType w:fmt="upperRoman" w:start="1"/>
          <w:cols w:space="0" w:num="1"/>
          <w:docGrid w:type="linesAndChars" w:linePitch="579" w:charSpace="-842"/>
        </w:sectPr>
      </w:pPr>
    </w:p>
    <w:p w14:paraId="26CA6FC1">
      <w:pPr>
        <w:pStyle w:val="2"/>
        <w:numPr>
          <w:ilvl w:val="0"/>
          <w:numId w:val="232"/>
        </w:numPr>
        <w:tabs>
          <w:tab w:val="left" w:pos="0"/>
          <w:tab w:val="left" w:pos="2211"/>
        </w:tabs>
        <w:ind w:firstLine="0"/>
        <w:rPr>
          <w:rFonts w:ascii="Times New Roman" w:hAnsi="Times New Roman" w:cs="Times New Roman"/>
          <w:sz w:val="32"/>
        </w:rPr>
      </w:pPr>
      <w:bookmarkStart w:id="1447" w:name="_Toc22858"/>
      <w:r>
        <w:rPr>
          <w:rFonts w:ascii="Times New Roman" w:hAnsi="Times New Roman" w:cs="Times New Roman"/>
          <w:sz w:val="32"/>
        </w:rPr>
        <w:t>总则</w:t>
      </w:r>
      <w:bookmarkEnd w:id="1447"/>
    </w:p>
    <w:p w14:paraId="16A3855C">
      <w:pPr>
        <w:pStyle w:val="3"/>
        <w:spacing w:line="560" w:lineRule="exact"/>
        <w:ind w:firstLine="0" w:firstLineChars="0"/>
        <w:rPr>
          <w:rFonts w:ascii="Times New Roman" w:hAnsi="Times New Roman" w:eastAsia="楷体_GB2312" w:cs="Times New Roman"/>
          <w:sz w:val="32"/>
        </w:rPr>
      </w:pPr>
      <w:bookmarkStart w:id="1448" w:name="_Toc31746"/>
      <w:r>
        <w:rPr>
          <w:rFonts w:ascii="Times New Roman" w:hAnsi="Times New Roman" w:eastAsia="楷体_GB2312" w:cs="Times New Roman"/>
          <w:sz w:val="32"/>
        </w:rPr>
        <w:t>编制目的</w:t>
      </w:r>
      <w:bookmarkEnd w:id="1448"/>
    </w:p>
    <w:p w14:paraId="00B4F172">
      <w:pPr>
        <w:spacing w:line="560" w:lineRule="exact"/>
        <w:ind w:firstLine="632"/>
        <w:rPr>
          <w:rFonts w:ascii="Times New Roman" w:hAnsi="Times New Roman" w:cs="Times New Roman"/>
          <w:sz w:val="32"/>
        </w:rPr>
      </w:pPr>
      <w:r>
        <w:rPr>
          <w:rFonts w:ascii="Times New Roman" w:hAnsi="Times New Roman" w:cs="Times New Roman"/>
          <w:sz w:val="32"/>
        </w:rPr>
        <w:t>建立快速反应、打防结合、协同作战、打击有效的重特大刑事案件应急处置体系，有效处置、及时打击重特大刑事犯罪，切实保障人民群众生命财产安全，维护社会稳定。</w:t>
      </w:r>
    </w:p>
    <w:p w14:paraId="2984474A">
      <w:pPr>
        <w:pStyle w:val="3"/>
        <w:spacing w:line="560" w:lineRule="exact"/>
        <w:ind w:firstLine="0" w:firstLineChars="0"/>
        <w:rPr>
          <w:rFonts w:ascii="Times New Roman" w:hAnsi="Times New Roman" w:eastAsia="楷体_GB2312" w:cs="Times New Roman"/>
          <w:sz w:val="32"/>
        </w:rPr>
      </w:pPr>
      <w:bookmarkStart w:id="1449" w:name="_Toc178"/>
      <w:r>
        <w:rPr>
          <w:rFonts w:ascii="Times New Roman" w:hAnsi="Times New Roman" w:eastAsia="楷体_GB2312" w:cs="Times New Roman"/>
          <w:sz w:val="32"/>
        </w:rPr>
        <w:t>编制依据</w:t>
      </w:r>
      <w:bookmarkEnd w:id="1449"/>
    </w:p>
    <w:p w14:paraId="53024D97">
      <w:pPr>
        <w:spacing w:line="560" w:lineRule="exact"/>
        <w:ind w:firstLine="632"/>
        <w:rPr>
          <w:rFonts w:ascii="Times New Roman" w:hAnsi="Times New Roman" w:cs="Times New Roman"/>
          <w:sz w:val="32"/>
        </w:rPr>
      </w:pPr>
      <w:r>
        <w:rPr>
          <w:rFonts w:ascii="Times New Roman" w:hAnsi="Times New Roman" w:cs="Times New Roman"/>
          <w:sz w:val="32"/>
        </w:rPr>
        <w:t>依据《中华人民共和国突发事件应对法》《中华人民共和国刑法》《中华人民共和国刑事诉讼法》《公安机关办理刑事案件程序规定》《黑龙江省人民政府突发公共事件总体应急预案》《集贤县突发事件总体应急预案》等</w:t>
      </w:r>
      <w:r>
        <w:rPr>
          <w:rFonts w:hint="eastAsia" w:ascii="Times New Roman" w:hAnsi="Times New Roman" w:cs="Times New Roman"/>
          <w:sz w:val="32"/>
        </w:rPr>
        <w:t>法律法规</w:t>
      </w:r>
      <w:r>
        <w:rPr>
          <w:rFonts w:ascii="Times New Roman" w:hAnsi="Times New Roman" w:cs="Times New Roman"/>
          <w:sz w:val="32"/>
        </w:rPr>
        <w:t>、规章和规范性文件，制定本预案。</w:t>
      </w:r>
    </w:p>
    <w:p w14:paraId="3AFF8FBE">
      <w:pPr>
        <w:pStyle w:val="3"/>
        <w:spacing w:line="560" w:lineRule="exact"/>
        <w:ind w:firstLine="0" w:firstLineChars="0"/>
        <w:rPr>
          <w:rFonts w:ascii="Times New Roman" w:hAnsi="Times New Roman" w:eastAsia="楷体_GB2312" w:cs="Times New Roman"/>
          <w:sz w:val="32"/>
        </w:rPr>
      </w:pPr>
      <w:bookmarkStart w:id="1450" w:name="_Toc8456"/>
      <w:r>
        <w:rPr>
          <w:rFonts w:ascii="Times New Roman" w:hAnsi="Times New Roman" w:eastAsia="楷体_GB2312" w:cs="Times New Roman"/>
          <w:sz w:val="32"/>
        </w:rPr>
        <w:t>适用范围</w:t>
      </w:r>
      <w:bookmarkEnd w:id="1450"/>
    </w:p>
    <w:p w14:paraId="417E7DC1">
      <w:pPr>
        <w:spacing w:line="560" w:lineRule="exact"/>
        <w:ind w:firstLine="632"/>
        <w:rPr>
          <w:rFonts w:ascii="Times New Roman" w:hAnsi="Times New Roman" w:cs="Times New Roman"/>
          <w:sz w:val="32"/>
        </w:rPr>
      </w:pPr>
      <w:r>
        <w:rPr>
          <w:rFonts w:ascii="Times New Roman" w:hAnsi="Times New Roman" w:cs="Times New Roman"/>
          <w:sz w:val="32"/>
        </w:rPr>
        <w:t>本预案适用于</w:t>
      </w:r>
      <w:r>
        <w:rPr>
          <w:rFonts w:hint="eastAsia" w:ascii="Times New Roman" w:hAnsi="Times New Roman" w:cs="Times New Roman"/>
          <w:sz w:val="32"/>
        </w:rPr>
        <w:t>集贤县</w:t>
      </w:r>
      <w:r>
        <w:rPr>
          <w:rFonts w:ascii="Times New Roman" w:hAnsi="Times New Roman" w:cs="Times New Roman"/>
          <w:sz w:val="32"/>
        </w:rPr>
        <w:t>行政区域内发生或可能涉及</w:t>
      </w:r>
      <w:r>
        <w:rPr>
          <w:rFonts w:hint="eastAsia" w:ascii="Times New Roman" w:hAnsi="Times New Roman" w:cs="Times New Roman"/>
          <w:sz w:val="32"/>
        </w:rPr>
        <w:t>集贤县</w:t>
      </w:r>
      <w:r>
        <w:rPr>
          <w:rFonts w:ascii="Times New Roman" w:hAnsi="Times New Roman" w:cs="Times New Roman"/>
          <w:sz w:val="32"/>
        </w:rPr>
        <w:t>行政区域内的重特大刑事案件的应急处置工作。</w:t>
      </w:r>
    </w:p>
    <w:p w14:paraId="7027E42F">
      <w:pPr>
        <w:pStyle w:val="3"/>
        <w:spacing w:line="560" w:lineRule="exact"/>
        <w:ind w:firstLine="0" w:firstLineChars="0"/>
        <w:rPr>
          <w:rFonts w:ascii="Times New Roman" w:hAnsi="Times New Roman" w:eastAsia="楷体_GB2312" w:cs="Times New Roman"/>
          <w:sz w:val="32"/>
        </w:rPr>
      </w:pPr>
      <w:bookmarkStart w:id="1451" w:name="_Toc5636"/>
      <w:r>
        <w:rPr>
          <w:rFonts w:ascii="Times New Roman" w:hAnsi="Times New Roman" w:eastAsia="楷体_GB2312" w:cs="Times New Roman"/>
          <w:sz w:val="32"/>
        </w:rPr>
        <w:t>工作原则</w:t>
      </w:r>
      <w:bookmarkEnd w:id="1451"/>
    </w:p>
    <w:p w14:paraId="3F60957B">
      <w:pPr>
        <w:spacing w:line="560" w:lineRule="exact"/>
        <w:ind w:firstLine="632"/>
        <w:rPr>
          <w:rFonts w:ascii="Times New Roman" w:hAnsi="Times New Roman" w:cs="Times New Roman"/>
          <w:sz w:val="32"/>
        </w:rPr>
      </w:pPr>
      <w:r>
        <w:rPr>
          <w:rFonts w:hint="eastAsia" w:ascii="Times New Roman" w:hAnsi="Times New Roman" w:cs="Times New Roman"/>
          <w:sz w:val="32"/>
        </w:rPr>
        <w:t>（1）</w:t>
      </w:r>
      <w:r>
        <w:rPr>
          <w:rFonts w:ascii="Times New Roman" w:hAnsi="Times New Roman" w:cs="Times New Roman"/>
          <w:sz w:val="32"/>
        </w:rPr>
        <w:t>统一指挥、协同作战原则。县政府统一领导全县重大刑事案件处置工作，全县各部门密切配合，协同作战。</w:t>
      </w:r>
    </w:p>
    <w:p w14:paraId="0408CE0D">
      <w:pPr>
        <w:spacing w:line="560" w:lineRule="exact"/>
        <w:ind w:firstLine="632"/>
        <w:rPr>
          <w:rFonts w:ascii="Times New Roman" w:hAnsi="Times New Roman" w:cs="Times New Roman"/>
          <w:sz w:val="32"/>
        </w:rPr>
      </w:pPr>
      <w:r>
        <w:rPr>
          <w:rFonts w:hint="eastAsia" w:ascii="Times New Roman" w:hAnsi="Times New Roman" w:cs="Times New Roman"/>
          <w:sz w:val="32"/>
        </w:rPr>
        <w:t>（2）</w:t>
      </w:r>
      <w:r>
        <w:rPr>
          <w:rFonts w:ascii="Times New Roman" w:hAnsi="Times New Roman" w:cs="Times New Roman"/>
          <w:sz w:val="32"/>
        </w:rPr>
        <w:t>属地管辖、分级负责原则。重大刑事案件发生后，按照属地管辖，上级指导，分级负责，条块结合，以块为主的原则进行处置。</w:t>
      </w:r>
    </w:p>
    <w:p w14:paraId="76475B04">
      <w:pPr>
        <w:spacing w:line="560" w:lineRule="exact"/>
        <w:ind w:firstLine="632"/>
        <w:rPr>
          <w:rFonts w:ascii="Times New Roman" w:hAnsi="Times New Roman" w:cs="Times New Roman"/>
          <w:sz w:val="32"/>
        </w:rPr>
      </w:pPr>
      <w:r>
        <w:rPr>
          <w:rFonts w:hint="eastAsia" w:ascii="Times New Roman" w:hAnsi="Times New Roman" w:cs="Times New Roman"/>
          <w:sz w:val="32"/>
        </w:rPr>
        <w:t>（3）</w:t>
      </w:r>
      <w:r>
        <w:rPr>
          <w:rFonts w:ascii="Times New Roman" w:hAnsi="Times New Roman" w:cs="Times New Roman"/>
          <w:sz w:val="32"/>
        </w:rPr>
        <w:t>快速反应、减少损失原则。建立以公安机关为主，消防、武警、卫生等部门共同参与的快速反应机制，快速联动处置重大刑事案件，最大限度减少人员伤亡和财产损失，缩小社会影响。</w:t>
      </w:r>
    </w:p>
    <w:p w14:paraId="06D5F1DC">
      <w:pPr>
        <w:spacing w:line="560" w:lineRule="exact"/>
        <w:ind w:firstLine="632"/>
        <w:rPr>
          <w:rFonts w:ascii="Times New Roman" w:hAnsi="Times New Roman" w:cs="Times New Roman"/>
          <w:sz w:val="32"/>
        </w:rPr>
      </w:pPr>
      <w:r>
        <w:rPr>
          <w:rFonts w:hint="eastAsia" w:ascii="Times New Roman" w:hAnsi="Times New Roman" w:cs="Times New Roman"/>
          <w:sz w:val="32"/>
        </w:rPr>
        <w:t>（4）</w:t>
      </w:r>
      <w:r>
        <w:rPr>
          <w:rFonts w:ascii="Times New Roman" w:hAnsi="Times New Roman" w:cs="Times New Roman"/>
          <w:sz w:val="32"/>
        </w:rPr>
        <w:t>证据充分、依法处置原则。严格依照《中华人民共和国刑法》《中华人民共和国刑事诉讼法》等</w:t>
      </w:r>
      <w:r>
        <w:rPr>
          <w:rFonts w:hint="eastAsia" w:ascii="Times New Roman" w:hAnsi="Times New Roman" w:cs="Times New Roman"/>
          <w:sz w:val="32"/>
        </w:rPr>
        <w:t>法律法规</w:t>
      </w:r>
      <w:r>
        <w:rPr>
          <w:rFonts w:ascii="Times New Roman" w:hAnsi="Times New Roman" w:cs="Times New Roman"/>
          <w:sz w:val="32"/>
        </w:rPr>
        <w:t>处置重大刑事案件，做到事实清楚、证据确凿、法律手续完备。</w:t>
      </w:r>
    </w:p>
    <w:p w14:paraId="7E57B927">
      <w:pPr>
        <w:pStyle w:val="2"/>
        <w:numPr>
          <w:ilvl w:val="0"/>
          <w:numId w:val="233"/>
        </w:numPr>
        <w:tabs>
          <w:tab w:val="left" w:pos="0"/>
        </w:tabs>
        <w:rPr>
          <w:rFonts w:ascii="Times New Roman" w:hAnsi="Times New Roman" w:cs="Times New Roman"/>
          <w:sz w:val="32"/>
        </w:rPr>
      </w:pPr>
      <w:bookmarkStart w:id="1452" w:name="_Toc20873"/>
      <w:r>
        <w:rPr>
          <w:rFonts w:ascii="Times New Roman" w:hAnsi="Times New Roman" w:cs="Times New Roman"/>
          <w:sz w:val="32"/>
        </w:rPr>
        <w:t>组织指挥体系</w:t>
      </w:r>
      <w:bookmarkEnd w:id="1452"/>
    </w:p>
    <w:p w14:paraId="634B4993">
      <w:pPr>
        <w:pStyle w:val="3"/>
        <w:spacing w:line="560" w:lineRule="exact"/>
        <w:ind w:firstLine="0" w:firstLineChars="0"/>
        <w:rPr>
          <w:rFonts w:ascii="Times New Roman" w:hAnsi="Times New Roman" w:eastAsia="楷体_GB2312" w:cs="Times New Roman"/>
          <w:sz w:val="32"/>
        </w:rPr>
      </w:pPr>
      <w:r>
        <w:rPr>
          <w:rFonts w:ascii="Times New Roman" w:hAnsi="Times New Roman" w:eastAsia="楷体_GB2312" w:cs="Times New Roman"/>
          <w:sz w:val="32"/>
        </w:rPr>
        <w:t>组织指挥体系</w:t>
      </w:r>
    </w:p>
    <w:p w14:paraId="43D209E3">
      <w:pPr>
        <w:spacing w:line="560" w:lineRule="exact"/>
        <w:ind w:firstLine="632"/>
        <w:rPr>
          <w:rFonts w:ascii="Times New Roman" w:hAnsi="Times New Roman" w:cs="Times New Roman"/>
          <w:kern w:val="0"/>
          <w:sz w:val="32"/>
        </w:rPr>
      </w:pPr>
      <w:r>
        <w:rPr>
          <w:rFonts w:hint="eastAsia" w:ascii="Times New Roman" w:hAnsi="Times New Roman" w:cs="Times New Roman"/>
          <w:kern w:val="0"/>
          <w:sz w:val="32"/>
        </w:rPr>
        <w:t>集贤县人民</w:t>
      </w:r>
      <w:r>
        <w:rPr>
          <w:rFonts w:ascii="Times New Roman" w:hAnsi="Times New Roman" w:cs="Times New Roman"/>
          <w:kern w:val="0"/>
          <w:sz w:val="32"/>
        </w:rPr>
        <w:t>政府根据工作需要，成立</w:t>
      </w:r>
      <w:r>
        <w:rPr>
          <w:rFonts w:hint="eastAsia" w:ascii="Times New Roman" w:hAnsi="Times New Roman" w:cs="Times New Roman"/>
          <w:kern w:val="0"/>
          <w:sz w:val="32"/>
        </w:rPr>
        <w:t>县处置重大刑事案件应急指挥部</w:t>
      </w:r>
      <w:r>
        <w:rPr>
          <w:rFonts w:ascii="Times New Roman" w:hAnsi="Times New Roman" w:cs="Times New Roman"/>
          <w:kern w:val="0"/>
          <w:sz w:val="32"/>
        </w:rPr>
        <w:t>（以下简称</w:t>
      </w:r>
      <w:r>
        <w:rPr>
          <w:rFonts w:hint="eastAsia" w:ascii="Times New Roman" w:hAnsi="Times New Roman" w:cs="Times New Roman"/>
          <w:kern w:val="0"/>
          <w:sz w:val="32"/>
        </w:rPr>
        <w:t>县</w:t>
      </w:r>
      <w:r>
        <w:rPr>
          <w:rFonts w:ascii="Times New Roman" w:hAnsi="Times New Roman" w:cs="Times New Roman"/>
          <w:kern w:val="0"/>
          <w:sz w:val="32"/>
        </w:rPr>
        <w:t>指挥部），统一指挥突发重大刑事案件的应对工作。</w:t>
      </w:r>
    </w:p>
    <w:p w14:paraId="3D2EFF10">
      <w:pPr>
        <w:spacing w:line="560" w:lineRule="exact"/>
        <w:ind w:firstLine="632"/>
        <w:rPr>
          <w:rFonts w:ascii="Times New Roman" w:hAnsi="Times New Roman" w:cs="Times New Roman"/>
          <w:kern w:val="0"/>
          <w:sz w:val="32"/>
        </w:rPr>
      </w:pPr>
      <w:r>
        <w:rPr>
          <w:rFonts w:hint="eastAsia" w:ascii="Times New Roman" w:hAnsi="Times New Roman" w:cs="Times New Roman"/>
          <w:kern w:val="0"/>
          <w:sz w:val="32"/>
        </w:rPr>
        <w:t>县</w:t>
      </w:r>
      <w:r>
        <w:rPr>
          <w:rFonts w:ascii="Times New Roman" w:hAnsi="Times New Roman" w:cs="Times New Roman"/>
          <w:kern w:val="0"/>
          <w:sz w:val="32"/>
        </w:rPr>
        <w:t>指挥部总指挥由</w:t>
      </w:r>
      <w:r>
        <w:rPr>
          <w:rFonts w:hint="eastAsia" w:ascii="Times New Roman" w:hAnsi="Times New Roman" w:cs="Times New Roman"/>
          <w:kern w:val="0"/>
          <w:sz w:val="32"/>
        </w:rPr>
        <w:t>县</w:t>
      </w:r>
      <w:r>
        <w:rPr>
          <w:rFonts w:ascii="Times New Roman" w:hAnsi="Times New Roman" w:cs="Times New Roman"/>
          <w:kern w:val="0"/>
          <w:sz w:val="32"/>
        </w:rPr>
        <w:t>政府分管副</w:t>
      </w:r>
      <w:r>
        <w:rPr>
          <w:rFonts w:hint="eastAsia" w:ascii="Times New Roman" w:hAnsi="Times New Roman" w:cs="Times New Roman"/>
          <w:kern w:val="0"/>
          <w:sz w:val="32"/>
        </w:rPr>
        <w:t>县</w:t>
      </w:r>
      <w:r>
        <w:rPr>
          <w:rFonts w:ascii="Times New Roman" w:hAnsi="Times New Roman" w:cs="Times New Roman"/>
          <w:kern w:val="0"/>
          <w:sz w:val="32"/>
        </w:rPr>
        <w:t>长</w:t>
      </w:r>
      <w:r>
        <w:rPr>
          <w:rFonts w:hint="eastAsia" w:ascii="Times New Roman" w:hAnsi="Times New Roman" w:cs="Times New Roman"/>
          <w:kern w:val="0"/>
          <w:sz w:val="32"/>
        </w:rPr>
        <w:t>、县公安局局长</w:t>
      </w:r>
      <w:r>
        <w:rPr>
          <w:rFonts w:ascii="Times New Roman" w:hAnsi="Times New Roman" w:cs="Times New Roman"/>
          <w:kern w:val="0"/>
          <w:sz w:val="32"/>
        </w:rPr>
        <w:t>担任，副总指挥由</w:t>
      </w:r>
      <w:r>
        <w:rPr>
          <w:rFonts w:hint="eastAsia" w:ascii="Times New Roman" w:hAnsi="Times New Roman" w:cs="Times New Roman"/>
          <w:kern w:val="0"/>
          <w:sz w:val="32"/>
        </w:rPr>
        <w:t>县公安局分管副局长</w:t>
      </w:r>
      <w:r>
        <w:rPr>
          <w:rFonts w:ascii="Times New Roman" w:hAnsi="Times New Roman" w:cs="Times New Roman"/>
          <w:kern w:val="0"/>
          <w:sz w:val="32"/>
        </w:rPr>
        <w:t>担任。</w:t>
      </w:r>
    </w:p>
    <w:p w14:paraId="6ADFAD91">
      <w:pPr>
        <w:spacing w:line="560" w:lineRule="exact"/>
        <w:ind w:firstLine="632"/>
        <w:rPr>
          <w:rFonts w:ascii="Times New Roman" w:hAnsi="Times New Roman" w:cs="Times New Roman"/>
          <w:kern w:val="0"/>
          <w:sz w:val="32"/>
        </w:rPr>
      </w:pPr>
      <w:r>
        <w:rPr>
          <w:rFonts w:hint="eastAsia" w:ascii="Times New Roman" w:hAnsi="Times New Roman" w:cs="Times New Roman"/>
          <w:kern w:val="0"/>
          <w:sz w:val="32"/>
        </w:rPr>
        <w:t>县</w:t>
      </w:r>
      <w:r>
        <w:rPr>
          <w:rFonts w:ascii="Times New Roman" w:hAnsi="Times New Roman" w:cs="Times New Roman"/>
          <w:kern w:val="0"/>
          <w:sz w:val="32"/>
        </w:rPr>
        <w:t>指挥部成员单位包括</w:t>
      </w:r>
      <w:r>
        <w:rPr>
          <w:rFonts w:hint="eastAsia" w:ascii="Times New Roman" w:hAnsi="Times New Roman" w:cs="Times New Roman"/>
          <w:kern w:val="0"/>
          <w:sz w:val="32"/>
        </w:rPr>
        <w:t>县委宣传部、县公安局、县应急管理局、县卫生健康局、县交通运输局、县民政局、县消防救援大队等</w:t>
      </w:r>
      <w:r>
        <w:rPr>
          <w:rFonts w:ascii="Times New Roman" w:hAnsi="Times New Roman" w:cs="Times New Roman"/>
          <w:kern w:val="0"/>
          <w:sz w:val="32"/>
        </w:rPr>
        <w:t>单位，并视处置工作需要作适当调整。</w:t>
      </w:r>
    </w:p>
    <w:p w14:paraId="227F7A56">
      <w:pPr>
        <w:spacing w:line="560" w:lineRule="exact"/>
        <w:ind w:firstLine="632"/>
        <w:rPr>
          <w:rFonts w:ascii="Times New Roman" w:hAnsi="Times New Roman" w:cs="Times New Roman"/>
          <w:kern w:val="0"/>
          <w:sz w:val="32"/>
        </w:rPr>
      </w:pPr>
      <w:r>
        <w:rPr>
          <w:rFonts w:hint="eastAsia" w:ascii="Times New Roman" w:hAnsi="Times New Roman" w:cs="Times New Roman"/>
          <w:kern w:val="0"/>
          <w:sz w:val="32"/>
        </w:rPr>
        <w:t>县处置重大刑事案件应急指挥部</w:t>
      </w:r>
      <w:r>
        <w:rPr>
          <w:rFonts w:ascii="Times New Roman" w:hAnsi="Times New Roman" w:cs="Times New Roman"/>
          <w:kern w:val="0"/>
          <w:sz w:val="32"/>
        </w:rPr>
        <w:t>下设办公室，办公室设在</w:t>
      </w:r>
      <w:r>
        <w:rPr>
          <w:rFonts w:hint="eastAsia" w:ascii="Times New Roman" w:hAnsi="Times New Roman" w:cs="Times New Roman"/>
          <w:kern w:val="0"/>
          <w:sz w:val="32"/>
        </w:rPr>
        <w:t>县公安局</w:t>
      </w:r>
      <w:r>
        <w:rPr>
          <w:rFonts w:ascii="Times New Roman" w:hAnsi="Times New Roman" w:cs="Times New Roman"/>
          <w:kern w:val="0"/>
          <w:sz w:val="32"/>
        </w:rPr>
        <w:t>，</w:t>
      </w:r>
      <w:r>
        <w:rPr>
          <w:rFonts w:hint="eastAsia" w:ascii="Times New Roman" w:hAnsi="Times New Roman" w:cs="Times New Roman"/>
          <w:kern w:val="0"/>
          <w:sz w:val="32"/>
        </w:rPr>
        <w:t>办公室主任由县公安局刑事侦查大队大队长担任。</w:t>
      </w:r>
    </w:p>
    <w:p w14:paraId="5C350D63">
      <w:pPr>
        <w:spacing w:line="560" w:lineRule="exact"/>
        <w:ind w:firstLine="632"/>
        <w:rPr>
          <w:rFonts w:ascii="Times New Roman" w:hAnsi="Times New Roman" w:cs="Times New Roman"/>
          <w:kern w:val="0"/>
          <w:sz w:val="32"/>
        </w:rPr>
      </w:pPr>
      <w:r>
        <w:rPr>
          <w:rFonts w:hint="eastAsia" w:ascii="Times New Roman" w:hAnsi="Times New Roman" w:cs="Times New Roman"/>
          <w:kern w:val="0"/>
          <w:sz w:val="32"/>
        </w:rPr>
        <w:t>县</w:t>
      </w:r>
      <w:r>
        <w:rPr>
          <w:rFonts w:ascii="Times New Roman" w:hAnsi="Times New Roman" w:cs="Times New Roman"/>
          <w:kern w:val="0"/>
          <w:sz w:val="32"/>
        </w:rPr>
        <w:t>指挥部主要职责：负责全县重大刑事案件的指挥、组织、协调、人员调动、安全保障工作</w:t>
      </w:r>
      <w:r>
        <w:rPr>
          <w:rFonts w:hint="eastAsia" w:ascii="Times New Roman" w:hAnsi="Times New Roman" w:cs="Times New Roman"/>
          <w:kern w:val="0"/>
          <w:sz w:val="32"/>
        </w:rPr>
        <w:t>，</w:t>
      </w:r>
      <w:r>
        <w:rPr>
          <w:rFonts w:ascii="Times New Roman" w:hAnsi="Times New Roman" w:cs="Times New Roman"/>
          <w:kern w:val="0"/>
          <w:sz w:val="32"/>
        </w:rPr>
        <w:t>并及时向县政府汇报重大刑事案件的工作进展情况</w:t>
      </w:r>
      <w:r>
        <w:rPr>
          <w:rFonts w:hint="eastAsia" w:ascii="Times New Roman" w:hAnsi="Times New Roman" w:cs="Times New Roman"/>
          <w:kern w:val="0"/>
          <w:sz w:val="32"/>
        </w:rPr>
        <w:t>，</w:t>
      </w:r>
      <w:r>
        <w:rPr>
          <w:rFonts w:ascii="Times New Roman" w:hAnsi="Times New Roman" w:cs="Times New Roman"/>
          <w:kern w:val="0"/>
          <w:sz w:val="32"/>
        </w:rPr>
        <w:t>协助有关部门做好处置工作。研究制定全县应对突发重大刑事案件的重大决策和指导意见；审定处置突发重大刑事案件预案；开展突发重大刑事案件的组织指挥；当突发重大刑事案件超出我县处置能力时，建议县政府请求市政府支援；根据有关情况提出部分地区或全县进入紧急状态的建议；分析总结突发重大刑事案件应对工作。</w:t>
      </w:r>
    </w:p>
    <w:p w14:paraId="649D1ADA">
      <w:pPr>
        <w:spacing w:line="560" w:lineRule="exact"/>
        <w:ind w:firstLine="632"/>
        <w:rPr>
          <w:rFonts w:ascii="Times New Roman" w:hAnsi="Times New Roman" w:cs="Times New Roman"/>
          <w:kern w:val="0"/>
          <w:sz w:val="32"/>
        </w:rPr>
      </w:pPr>
      <w:r>
        <w:rPr>
          <w:rFonts w:hint="eastAsia" w:ascii="Times New Roman" w:hAnsi="Times New Roman" w:cs="Times New Roman"/>
          <w:kern w:val="0"/>
          <w:sz w:val="32"/>
        </w:rPr>
        <w:t>县指挥部办公室主要职责：负责收集、分析和报告事件信息，保证指挥救援系统信息畅通；传达指挥部的应急命令；负责联系相关部门人力、物力的调度和实情信息反馈；组织相关人员培训和预案的演练；负责应急过程中新闻信息的发布。</w:t>
      </w:r>
    </w:p>
    <w:p w14:paraId="3AA5587A">
      <w:pPr>
        <w:pStyle w:val="3"/>
        <w:spacing w:line="560" w:lineRule="exact"/>
        <w:ind w:firstLine="0" w:firstLineChars="0"/>
        <w:rPr>
          <w:rFonts w:ascii="Times New Roman" w:hAnsi="Times New Roman" w:eastAsia="楷体_GB2312" w:cs="Times New Roman"/>
          <w:sz w:val="32"/>
        </w:rPr>
      </w:pPr>
      <w:bookmarkStart w:id="1453" w:name="_Toc11867"/>
      <w:r>
        <w:rPr>
          <w:rFonts w:hint="eastAsia" w:ascii="Times New Roman" w:hAnsi="Times New Roman" w:eastAsia="楷体_GB2312" w:cs="Times New Roman"/>
          <w:sz w:val="32"/>
        </w:rPr>
        <w:t>成员单位职责</w:t>
      </w:r>
      <w:bookmarkEnd w:id="1453"/>
    </w:p>
    <w:p w14:paraId="2851252B">
      <w:pPr>
        <w:spacing w:line="560" w:lineRule="exact"/>
        <w:ind w:firstLine="634"/>
        <w:rPr>
          <w:rFonts w:ascii="Times New Roman" w:hAnsi="Times New Roman" w:cs="Times New Roman"/>
          <w:sz w:val="32"/>
        </w:rPr>
      </w:pPr>
      <w:r>
        <w:rPr>
          <w:rFonts w:hint="eastAsia" w:ascii="Times New Roman" w:hAnsi="Times New Roman" w:cs="Times New Roman"/>
          <w:b/>
          <w:bCs/>
          <w:sz w:val="32"/>
        </w:rPr>
        <w:t>县委宣传部：</w:t>
      </w:r>
      <w:r>
        <w:rPr>
          <w:rFonts w:hint="eastAsia" w:ascii="Times New Roman" w:hAnsi="Times New Roman" w:cs="Times New Roman"/>
          <w:sz w:val="32"/>
        </w:rPr>
        <w:t>负责起草新闻通稿，组织新闻发布会，正确引导舆论；做好现场新闻媒体接待和服务工作。</w:t>
      </w:r>
    </w:p>
    <w:p w14:paraId="4EB050B2">
      <w:pPr>
        <w:spacing w:line="560" w:lineRule="exact"/>
        <w:ind w:firstLine="634"/>
        <w:rPr>
          <w:rFonts w:ascii="Times New Roman" w:hAnsi="Times New Roman" w:cs="Times New Roman"/>
          <w:sz w:val="32"/>
        </w:rPr>
      </w:pPr>
      <w:r>
        <w:rPr>
          <w:rFonts w:hint="eastAsia" w:ascii="Times New Roman" w:hAnsi="Times New Roman" w:cs="Times New Roman"/>
          <w:b/>
          <w:bCs/>
          <w:sz w:val="32"/>
        </w:rPr>
        <w:t>县公安局：</w:t>
      </w:r>
      <w:r>
        <w:rPr>
          <w:rFonts w:hint="eastAsia" w:ascii="Times New Roman" w:hAnsi="Times New Roman" w:cs="Times New Roman"/>
          <w:sz w:val="32"/>
        </w:rPr>
        <w:t>负责统筹协调重特大刑事案件应急处置；组织开展现场保护、交通疏导、抢险救援、案件侦破、犯罪嫌疑人抓捕等工作。</w:t>
      </w:r>
    </w:p>
    <w:p w14:paraId="12882927">
      <w:pPr>
        <w:spacing w:line="560" w:lineRule="exact"/>
        <w:ind w:firstLine="634"/>
        <w:rPr>
          <w:rFonts w:ascii="Times New Roman" w:hAnsi="Times New Roman" w:cs="Times New Roman"/>
          <w:sz w:val="32"/>
        </w:rPr>
      </w:pPr>
      <w:r>
        <w:rPr>
          <w:rFonts w:hint="eastAsia" w:ascii="Times New Roman" w:hAnsi="Times New Roman" w:cs="Times New Roman"/>
          <w:b/>
          <w:bCs/>
          <w:sz w:val="32"/>
        </w:rPr>
        <w:t>县应急管理局：</w:t>
      </w:r>
      <w:r>
        <w:rPr>
          <w:rFonts w:hint="eastAsia" w:ascii="Times New Roman" w:hAnsi="Times New Roman" w:cs="Times New Roman"/>
          <w:sz w:val="32"/>
        </w:rPr>
        <w:t>负责协助做好综合协调有关工作</w:t>
      </w:r>
    </w:p>
    <w:p w14:paraId="63BF7D8D">
      <w:pPr>
        <w:spacing w:line="560" w:lineRule="exact"/>
        <w:ind w:firstLine="634"/>
        <w:rPr>
          <w:rFonts w:ascii="Times New Roman" w:hAnsi="Times New Roman" w:cs="Times New Roman"/>
          <w:sz w:val="32"/>
        </w:rPr>
      </w:pPr>
      <w:r>
        <w:rPr>
          <w:rFonts w:hint="eastAsia" w:ascii="Times New Roman" w:hAnsi="Times New Roman" w:cs="Times New Roman"/>
          <w:b/>
          <w:bCs/>
          <w:sz w:val="32"/>
        </w:rPr>
        <w:t>县卫生健康局：</w:t>
      </w:r>
      <w:r>
        <w:rPr>
          <w:rFonts w:hint="eastAsia" w:ascii="Times New Roman" w:hAnsi="Times New Roman" w:cs="Times New Roman"/>
          <w:sz w:val="32"/>
        </w:rPr>
        <w:t>负责在案发现场设置临时医疗急救区；负责对伤员进行紧急医疗处置，及时转运伤员到指定医院；负责统计伤亡人员情况。</w:t>
      </w:r>
    </w:p>
    <w:p w14:paraId="5319F77A">
      <w:pPr>
        <w:spacing w:line="560" w:lineRule="exact"/>
        <w:ind w:firstLine="634"/>
        <w:rPr>
          <w:rFonts w:ascii="Times New Roman" w:hAnsi="Times New Roman" w:cs="Times New Roman"/>
          <w:sz w:val="32"/>
        </w:rPr>
      </w:pPr>
      <w:r>
        <w:rPr>
          <w:rFonts w:hint="eastAsia" w:ascii="Times New Roman" w:hAnsi="Times New Roman" w:cs="Times New Roman"/>
          <w:b/>
          <w:bCs/>
          <w:sz w:val="32"/>
        </w:rPr>
        <w:t>县交通运输局：</w:t>
      </w:r>
      <w:r>
        <w:rPr>
          <w:rFonts w:hint="eastAsia" w:ascii="Times New Roman" w:hAnsi="Times New Roman" w:cs="Times New Roman"/>
          <w:sz w:val="32"/>
        </w:rPr>
        <w:t>负责组织、协调有关部门恢复公路、桥梁等交通基础设施，做好应急救援交通运输保障。</w:t>
      </w:r>
    </w:p>
    <w:p w14:paraId="6E4DA22B">
      <w:pPr>
        <w:spacing w:line="560" w:lineRule="exact"/>
        <w:ind w:firstLine="634"/>
        <w:rPr>
          <w:rFonts w:ascii="Times New Roman" w:hAnsi="Times New Roman" w:cs="Times New Roman"/>
          <w:sz w:val="32"/>
        </w:rPr>
      </w:pPr>
      <w:r>
        <w:rPr>
          <w:rFonts w:hint="eastAsia" w:ascii="Times New Roman" w:hAnsi="Times New Roman" w:cs="Times New Roman"/>
          <w:b/>
          <w:bCs/>
          <w:sz w:val="32"/>
        </w:rPr>
        <w:t>县民政局：</w:t>
      </w:r>
      <w:r>
        <w:rPr>
          <w:rFonts w:hint="eastAsia" w:ascii="Times New Roman" w:hAnsi="Times New Roman" w:cs="Times New Roman"/>
          <w:sz w:val="32"/>
        </w:rPr>
        <w:t>按照相关政策规定，为生活困难的伤亡人员及家属提供救助，会同相关部门和镇街处置遗体等事宜。</w:t>
      </w:r>
    </w:p>
    <w:p w14:paraId="43EE8969">
      <w:pPr>
        <w:spacing w:line="560" w:lineRule="exact"/>
        <w:ind w:firstLine="634"/>
        <w:rPr>
          <w:rFonts w:ascii="Times New Roman" w:hAnsi="Times New Roman" w:cs="Times New Roman"/>
          <w:sz w:val="32"/>
        </w:rPr>
      </w:pPr>
      <w:r>
        <w:rPr>
          <w:rFonts w:hint="eastAsia" w:ascii="Times New Roman" w:hAnsi="Times New Roman" w:cs="Times New Roman"/>
          <w:b/>
          <w:bCs/>
          <w:sz w:val="32"/>
        </w:rPr>
        <w:t>县消防救援大队：</w:t>
      </w:r>
      <w:r>
        <w:rPr>
          <w:rFonts w:hint="eastAsia" w:ascii="Times New Roman" w:hAnsi="Times New Roman" w:cs="Times New Roman"/>
          <w:sz w:val="32"/>
        </w:rPr>
        <w:t>负责参与抢险救援工作。</w:t>
      </w:r>
    </w:p>
    <w:p w14:paraId="6E4A5240">
      <w:pPr>
        <w:spacing w:line="560" w:lineRule="exact"/>
        <w:ind w:firstLine="634"/>
        <w:rPr>
          <w:rFonts w:ascii="Times New Roman" w:hAnsi="Times New Roman" w:cs="Times New Roman"/>
          <w:sz w:val="32"/>
        </w:rPr>
      </w:pPr>
      <w:r>
        <w:rPr>
          <w:rFonts w:hint="eastAsia" w:ascii="Times New Roman" w:hAnsi="Times New Roman" w:cs="Times New Roman"/>
          <w:b/>
          <w:bCs/>
          <w:sz w:val="32"/>
        </w:rPr>
        <w:t>案发地派出所：</w:t>
      </w:r>
      <w:r>
        <w:rPr>
          <w:rFonts w:hint="eastAsia" w:ascii="Times New Roman" w:hAnsi="Times New Roman" w:cs="Times New Roman"/>
          <w:sz w:val="32"/>
        </w:rPr>
        <w:t>负责在重大刑事案件发生后，负责现场勘查调查重大刑事案件的先期处置、交通秩序的控制和运输管理；负责保护人员和财物的安全，控制无关人员进入现场和危险区域。</w:t>
      </w:r>
    </w:p>
    <w:p w14:paraId="5C6BA01B">
      <w:pPr>
        <w:pStyle w:val="3"/>
        <w:spacing w:line="560" w:lineRule="exact"/>
        <w:ind w:firstLine="0" w:firstLineChars="0"/>
        <w:rPr>
          <w:rFonts w:ascii="Times New Roman" w:hAnsi="Times New Roman" w:eastAsia="楷体_GB2312" w:cs="Times New Roman"/>
          <w:sz w:val="32"/>
        </w:rPr>
      </w:pPr>
      <w:bookmarkStart w:id="1454" w:name="_Toc1937"/>
      <w:r>
        <w:rPr>
          <w:rFonts w:hint="eastAsia" w:ascii="Times New Roman" w:hAnsi="Times New Roman" w:eastAsia="楷体_GB2312" w:cs="Times New Roman"/>
          <w:sz w:val="32"/>
        </w:rPr>
        <w:t>应急处置工作组</w:t>
      </w:r>
      <w:bookmarkEnd w:id="1454"/>
    </w:p>
    <w:p w14:paraId="030E3B1B">
      <w:pPr>
        <w:spacing w:line="560" w:lineRule="exact"/>
        <w:ind w:firstLine="634"/>
        <w:rPr>
          <w:rFonts w:ascii="Times New Roman" w:hAnsi="Times New Roman" w:cs="Times New Roman"/>
          <w:sz w:val="32"/>
        </w:rPr>
      </w:pPr>
      <w:r>
        <w:rPr>
          <w:rFonts w:hint="eastAsia" w:ascii="Times New Roman" w:hAnsi="Times New Roman" w:cs="Times New Roman"/>
          <w:b/>
          <w:bCs/>
          <w:sz w:val="32"/>
        </w:rPr>
        <w:t>（1）综合协调组：</w:t>
      </w:r>
      <w:r>
        <w:rPr>
          <w:rFonts w:hint="eastAsia" w:ascii="Times New Roman" w:hAnsi="Times New Roman" w:cs="Times New Roman"/>
          <w:sz w:val="32"/>
        </w:rPr>
        <w:t>由县应急管理局牵头，县公安局、案发地乡镇人民政府等参加。主要职责：履行信息汇总和综合协调职责，发挥信息枢纽作用；传达上级有关指示；协调调配有关应急资源；协调各工作组全力开展应急处置工作。</w:t>
      </w:r>
    </w:p>
    <w:p w14:paraId="600C41A9">
      <w:pPr>
        <w:spacing w:line="560" w:lineRule="exact"/>
        <w:ind w:firstLine="634"/>
        <w:rPr>
          <w:rFonts w:ascii="Times New Roman" w:hAnsi="Times New Roman" w:cs="Times New Roman"/>
          <w:sz w:val="32"/>
        </w:rPr>
      </w:pPr>
      <w:r>
        <w:rPr>
          <w:rFonts w:hint="eastAsia" w:ascii="Times New Roman" w:hAnsi="Times New Roman" w:cs="Times New Roman"/>
          <w:b/>
          <w:bCs/>
          <w:sz w:val="32"/>
        </w:rPr>
        <w:t>（2）现场处置组：</w:t>
      </w:r>
      <w:r>
        <w:rPr>
          <w:rFonts w:hint="eastAsia" w:ascii="Times New Roman" w:hAnsi="Times New Roman" w:cs="Times New Roman"/>
          <w:sz w:val="32"/>
        </w:rPr>
        <w:t>由县公安局牵头，县消防救援大队、案发地乡镇人民政府等参加。主要职责：采取排爆拆爆、谈判交涉、武力攻击等手段做好现场处置工作；组织救援队伍实施救援，消除次生隐患，清理现场等。</w:t>
      </w:r>
    </w:p>
    <w:p w14:paraId="1AD8E56F">
      <w:pPr>
        <w:spacing w:line="560" w:lineRule="exact"/>
        <w:ind w:firstLine="634"/>
        <w:rPr>
          <w:rFonts w:ascii="Times New Roman" w:hAnsi="Times New Roman" w:cs="Times New Roman"/>
          <w:sz w:val="32"/>
        </w:rPr>
      </w:pPr>
      <w:r>
        <w:rPr>
          <w:rFonts w:hint="eastAsia" w:ascii="Times New Roman" w:hAnsi="Times New Roman" w:cs="Times New Roman"/>
          <w:b/>
          <w:bCs/>
          <w:sz w:val="32"/>
        </w:rPr>
        <w:t>（3）医疗救护组：</w:t>
      </w:r>
      <w:r>
        <w:rPr>
          <w:rFonts w:hint="eastAsia" w:ascii="Times New Roman" w:hAnsi="Times New Roman" w:cs="Times New Roman"/>
          <w:sz w:val="32"/>
        </w:rPr>
        <w:t>由县卫生健康局牵头，有关医疗卫生机构参加。主要职责：组织开展伤员医疗救治、心理援助；统计核实案件伤亡情况等。</w:t>
      </w:r>
    </w:p>
    <w:p w14:paraId="1F2C48CF">
      <w:pPr>
        <w:spacing w:line="560" w:lineRule="exact"/>
        <w:ind w:firstLine="634"/>
        <w:rPr>
          <w:rFonts w:ascii="Times New Roman" w:hAnsi="Times New Roman" w:cs="Times New Roman"/>
          <w:sz w:val="32"/>
        </w:rPr>
      </w:pPr>
      <w:r>
        <w:rPr>
          <w:rFonts w:hint="eastAsia" w:ascii="Times New Roman" w:hAnsi="Times New Roman" w:cs="Times New Roman"/>
          <w:b/>
          <w:bCs/>
          <w:sz w:val="32"/>
        </w:rPr>
        <w:t>（4）秩序维护组：</w:t>
      </w:r>
      <w:r>
        <w:rPr>
          <w:rFonts w:hint="eastAsia" w:ascii="Times New Roman" w:hAnsi="Times New Roman" w:cs="Times New Roman"/>
          <w:sz w:val="32"/>
        </w:rPr>
        <w:t>由县公安局牵头，案发地乡镇人民政府等参加。主要职责：封锁、警戒、控制、保护案件现场及周边区域，维护现场治安；疏散转移现场和周边受威胁区域群众；开展交通管制，在现场外围开辟专用通道供应急救援车辆和人员通行。</w:t>
      </w:r>
    </w:p>
    <w:p w14:paraId="0C28D52B">
      <w:pPr>
        <w:spacing w:line="560" w:lineRule="exact"/>
        <w:ind w:firstLine="634"/>
        <w:rPr>
          <w:rFonts w:ascii="Times New Roman" w:hAnsi="Times New Roman" w:cs="Times New Roman"/>
          <w:sz w:val="32"/>
        </w:rPr>
      </w:pPr>
      <w:r>
        <w:rPr>
          <w:rFonts w:hint="eastAsia" w:ascii="Times New Roman" w:hAnsi="Times New Roman" w:cs="Times New Roman"/>
          <w:b/>
          <w:bCs/>
          <w:sz w:val="32"/>
        </w:rPr>
        <w:t>（5）案件侦破组：</w:t>
      </w:r>
      <w:r>
        <w:rPr>
          <w:rFonts w:hint="eastAsia" w:ascii="Times New Roman" w:hAnsi="Times New Roman" w:cs="Times New Roman"/>
          <w:sz w:val="32"/>
        </w:rPr>
        <w:t>由县公安局牵头。主要职责：采取各种侦查手段侦破刑事案件，抓获犯罪嫌疑人</w:t>
      </w:r>
    </w:p>
    <w:p w14:paraId="4C5DB9C7">
      <w:pPr>
        <w:spacing w:line="560" w:lineRule="exact"/>
        <w:ind w:firstLine="634"/>
        <w:rPr>
          <w:rFonts w:ascii="Times New Roman" w:hAnsi="Times New Roman" w:cs="Times New Roman"/>
          <w:sz w:val="32"/>
        </w:rPr>
      </w:pPr>
      <w:r>
        <w:rPr>
          <w:rFonts w:hint="eastAsia" w:ascii="Times New Roman" w:hAnsi="Times New Roman" w:cs="Times New Roman"/>
          <w:b/>
          <w:bCs/>
          <w:sz w:val="32"/>
        </w:rPr>
        <w:t>（6）新闻宣传组：</w:t>
      </w:r>
      <w:r>
        <w:rPr>
          <w:rFonts w:hint="eastAsia" w:ascii="Times New Roman" w:hAnsi="Times New Roman" w:cs="Times New Roman"/>
          <w:sz w:val="32"/>
        </w:rPr>
        <w:t>由县委宣传部牵头。县公安局等参加。主要职责：组织开展宣传报道，及时、准确、正面、客观发布权威信息；做好现场媒体记者的接待工作；收集汇总相关舆情，做好舆论引导工作。</w:t>
      </w:r>
    </w:p>
    <w:p w14:paraId="137245EE">
      <w:pPr>
        <w:spacing w:line="560" w:lineRule="exact"/>
        <w:ind w:firstLine="634"/>
        <w:rPr>
          <w:rFonts w:ascii="Times New Roman" w:hAnsi="Times New Roman" w:cs="Times New Roman"/>
          <w:sz w:val="32"/>
        </w:rPr>
      </w:pPr>
      <w:r>
        <w:rPr>
          <w:rFonts w:hint="eastAsia" w:ascii="Times New Roman" w:hAnsi="Times New Roman" w:cs="Times New Roman"/>
          <w:b/>
          <w:bCs/>
          <w:sz w:val="32"/>
        </w:rPr>
        <w:t>（7）后勤保障组：</w:t>
      </w:r>
      <w:r>
        <w:rPr>
          <w:rFonts w:hint="eastAsia" w:ascii="Times New Roman" w:hAnsi="Times New Roman" w:cs="Times New Roman"/>
          <w:sz w:val="32"/>
        </w:rPr>
        <w:t>由案发地乡镇政府牵头。县财政局、县交通运输局等参加。主要职责：提供应急处置后勤服务；提供办公用品和交通、通信等工具；调集救援所需装备、物资等；保障应急通信。</w:t>
      </w:r>
    </w:p>
    <w:p w14:paraId="3D14D4BB">
      <w:pPr>
        <w:spacing w:line="560" w:lineRule="exact"/>
        <w:ind w:firstLine="634"/>
      </w:pPr>
      <w:r>
        <w:rPr>
          <w:rFonts w:hint="eastAsia" w:ascii="Times New Roman" w:hAnsi="Times New Roman" w:cs="Times New Roman"/>
          <w:b/>
          <w:bCs/>
          <w:sz w:val="32"/>
        </w:rPr>
        <w:t>（8）善后工作组：</w:t>
      </w:r>
      <w:r>
        <w:rPr>
          <w:rFonts w:hint="eastAsia" w:ascii="Times New Roman" w:hAnsi="Times New Roman" w:cs="Times New Roman"/>
          <w:sz w:val="32"/>
        </w:rPr>
        <w:t>由案发地乡镇政府牵头。县民政局、县应急管理局等参加。主要职责：开展伤亡人员及家属的安抚、补偿和保险理赔；做好遇难人员遗体处置工作；恢复正常的生产、生活秩序。</w:t>
      </w:r>
    </w:p>
    <w:p w14:paraId="09657509">
      <w:pPr>
        <w:pStyle w:val="2"/>
        <w:numPr>
          <w:ilvl w:val="0"/>
          <w:numId w:val="233"/>
        </w:numPr>
        <w:tabs>
          <w:tab w:val="left" w:pos="0"/>
        </w:tabs>
        <w:rPr>
          <w:rFonts w:ascii="Times New Roman" w:hAnsi="Times New Roman" w:cs="Times New Roman"/>
          <w:sz w:val="32"/>
        </w:rPr>
      </w:pPr>
      <w:bookmarkStart w:id="1455" w:name="_Toc23187"/>
      <w:r>
        <w:rPr>
          <w:rFonts w:ascii="Times New Roman" w:hAnsi="Times New Roman" w:cs="Times New Roman"/>
          <w:sz w:val="32"/>
        </w:rPr>
        <w:t>监测预警和信息报告</w:t>
      </w:r>
      <w:bookmarkEnd w:id="1455"/>
    </w:p>
    <w:p w14:paraId="324A463A">
      <w:pPr>
        <w:pStyle w:val="3"/>
        <w:spacing w:line="560" w:lineRule="exact"/>
        <w:ind w:firstLine="0" w:firstLineChars="0"/>
        <w:rPr>
          <w:rFonts w:ascii="Times New Roman" w:hAnsi="Times New Roman" w:eastAsia="楷体_GB2312" w:cs="Times New Roman"/>
          <w:sz w:val="32"/>
        </w:rPr>
      </w:pPr>
      <w:bookmarkStart w:id="1456" w:name="_Toc1870"/>
      <w:r>
        <w:rPr>
          <w:rFonts w:ascii="Times New Roman" w:hAnsi="Times New Roman" w:eastAsia="楷体_GB2312" w:cs="Times New Roman"/>
          <w:sz w:val="32"/>
        </w:rPr>
        <w:t>监测预警</w:t>
      </w:r>
      <w:bookmarkEnd w:id="1456"/>
    </w:p>
    <w:p w14:paraId="2F0CC810">
      <w:pPr>
        <w:spacing w:line="560" w:lineRule="exact"/>
        <w:ind w:firstLine="632"/>
        <w:rPr>
          <w:rFonts w:ascii="Times New Roman" w:hAnsi="Times New Roman" w:cs="Times New Roman"/>
          <w:sz w:val="32"/>
        </w:rPr>
      </w:pPr>
      <w:r>
        <w:rPr>
          <w:rFonts w:ascii="Times New Roman" w:hAnsi="Times New Roman" w:cs="Times New Roman"/>
          <w:sz w:val="32"/>
        </w:rPr>
        <w:t>各</w:t>
      </w:r>
      <w:r>
        <w:rPr>
          <w:rFonts w:hint="eastAsia" w:ascii="Times New Roman" w:hAnsi="Times New Roman" w:cs="Times New Roman"/>
          <w:sz w:val="32"/>
        </w:rPr>
        <w:t>乡镇人民政府</w:t>
      </w:r>
      <w:r>
        <w:rPr>
          <w:rFonts w:ascii="Times New Roman" w:hAnsi="Times New Roman" w:cs="Times New Roman"/>
          <w:sz w:val="32"/>
        </w:rPr>
        <w:t>、</w:t>
      </w:r>
      <w:r>
        <w:rPr>
          <w:rFonts w:hint="eastAsia" w:ascii="Times New Roman" w:hAnsi="Times New Roman" w:cs="Times New Roman"/>
          <w:sz w:val="32"/>
        </w:rPr>
        <w:t>县</w:t>
      </w:r>
      <w:r>
        <w:rPr>
          <w:rFonts w:ascii="Times New Roman" w:hAnsi="Times New Roman" w:cs="Times New Roman"/>
          <w:sz w:val="32"/>
        </w:rPr>
        <w:t>政府有关部门和单位要按照早发现、早报告、早预防、早处置的要求，监测本辖区、本行业和本单位发生或可能发生重特大刑事案件的信息，做好相关情报信息搜集和报告工作。</w:t>
      </w:r>
      <w:r>
        <w:rPr>
          <w:rFonts w:hint="eastAsia" w:ascii="Times New Roman" w:hAnsi="Times New Roman" w:cs="Times New Roman"/>
          <w:sz w:val="32"/>
        </w:rPr>
        <w:t>县</w:t>
      </w:r>
      <w:r>
        <w:rPr>
          <w:rFonts w:ascii="Times New Roman" w:hAnsi="Times New Roman" w:cs="Times New Roman"/>
          <w:sz w:val="32"/>
        </w:rPr>
        <w:t>公安局要建立多渠道、多手段、跨部门、反应快速、稳定可靠的刑事案件监测预警系统。</w:t>
      </w:r>
    </w:p>
    <w:p w14:paraId="04CCAEBE">
      <w:pPr>
        <w:pStyle w:val="4"/>
        <w:numPr>
          <w:ilvl w:val="2"/>
          <w:numId w:val="233"/>
        </w:numPr>
        <w:tabs>
          <w:tab w:val="left" w:pos="0"/>
        </w:tabs>
        <w:ind w:firstLine="0" w:firstLineChars="0"/>
        <w:rPr>
          <w:rFonts w:ascii="Times New Roman" w:hAnsi="Times New Roman"/>
          <w:sz w:val="32"/>
        </w:rPr>
      </w:pPr>
      <w:r>
        <w:rPr>
          <w:rFonts w:ascii="Times New Roman" w:hAnsi="Times New Roman"/>
          <w:sz w:val="32"/>
        </w:rPr>
        <w:t>预警分级</w:t>
      </w:r>
    </w:p>
    <w:p w14:paraId="22357C34">
      <w:pPr>
        <w:spacing w:line="560" w:lineRule="exact"/>
        <w:ind w:firstLine="632"/>
        <w:rPr>
          <w:rFonts w:ascii="Times New Roman" w:hAnsi="Times New Roman" w:cs="Times New Roman"/>
          <w:sz w:val="32"/>
        </w:rPr>
      </w:pPr>
      <w:r>
        <w:rPr>
          <w:rFonts w:ascii="Times New Roman" w:hAnsi="Times New Roman" w:cs="Times New Roman"/>
          <w:sz w:val="32"/>
        </w:rPr>
        <w:t>根据搜集掌握的情报信息，综合分析评估结果，对可能发生的重特大刑事案件进行预警。预警级别由高到低分为一级、二级，分别用红色、橙色标示。可能发生特别重大刑事案件时发布红色预警，可能发生重大刑事案件时发布橙色预警。</w:t>
      </w:r>
    </w:p>
    <w:p w14:paraId="6B9A7B88">
      <w:pPr>
        <w:pStyle w:val="4"/>
        <w:numPr>
          <w:ilvl w:val="2"/>
          <w:numId w:val="233"/>
        </w:numPr>
        <w:tabs>
          <w:tab w:val="left" w:pos="0"/>
        </w:tabs>
        <w:ind w:firstLine="0" w:firstLineChars="0"/>
        <w:rPr>
          <w:rFonts w:ascii="Times New Roman" w:hAnsi="Times New Roman"/>
          <w:sz w:val="32"/>
        </w:rPr>
      </w:pPr>
      <w:r>
        <w:rPr>
          <w:rFonts w:ascii="Times New Roman" w:hAnsi="Times New Roman"/>
          <w:sz w:val="32"/>
        </w:rPr>
        <w:t>预警信息通报</w:t>
      </w:r>
    </w:p>
    <w:p w14:paraId="60E83FB9">
      <w:pPr>
        <w:spacing w:line="560" w:lineRule="exact"/>
        <w:ind w:firstLine="632"/>
        <w:rPr>
          <w:rFonts w:ascii="Times New Roman" w:hAnsi="Times New Roman" w:cs="Times New Roman"/>
          <w:sz w:val="32"/>
        </w:rPr>
      </w:pPr>
      <w:r>
        <w:rPr>
          <w:rFonts w:ascii="Times New Roman" w:hAnsi="Times New Roman" w:cs="Times New Roman"/>
          <w:sz w:val="32"/>
        </w:rPr>
        <w:t>重特大刑事案件预警信息由</w:t>
      </w:r>
      <w:r>
        <w:rPr>
          <w:rFonts w:hint="eastAsia" w:ascii="Times New Roman" w:hAnsi="Times New Roman" w:cs="Times New Roman"/>
          <w:sz w:val="32"/>
        </w:rPr>
        <w:t>县</w:t>
      </w:r>
      <w:r>
        <w:rPr>
          <w:rFonts w:ascii="Times New Roman" w:hAnsi="Times New Roman" w:cs="Times New Roman"/>
          <w:sz w:val="32"/>
        </w:rPr>
        <w:t>公安局向</w:t>
      </w:r>
      <w:r>
        <w:rPr>
          <w:rFonts w:hint="eastAsia" w:ascii="Times New Roman" w:hAnsi="Times New Roman" w:cs="Times New Roman"/>
          <w:sz w:val="32"/>
        </w:rPr>
        <w:t>各乡镇人民政府</w:t>
      </w:r>
      <w:r>
        <w:rPr>
          <w:rFonts w:ascii="Times New Roman" w:hAnsi="Times New Roman" w:cs="Times New Roman"/>
          <w:sz w:val="32"/>
        </w:rPr>
        <w:t>、</w:t>
      </w:r>
      <w:r>
        <w:rPr>
          <w:rFonts w:hint="eastAsia" w:ascii="Times New Roman" w:hAnsi="Times New Roman" w:cs="Times New Roman"/>
          <w:sz w:val="32"/>
        </w:rPr>
        <w:t>县</w:t>
      </w:r>
      <w:r>
        <w:rPr>
          <w:rFonts w:ascii="Times New Roman" w:hAnsi="Times New Roman" w:cs="Times New Roman"/>
          <w:sz w:val="32"/>
        </w:rPr>
        <w:t>政府有关部门和单位进行内部通报。预警信息内容包括通报单位、通报时间、可能发生突发事件的类别、起始时间、可能影响范围、预警级别、警示事项、事态发展、相关措施等内容。</w:t>
      </w:r>
    </w:p>
    <w:p w14:paraId="7E44FB63">
      <w:pPr>
        <w:pStyle w:val="4"/>
        <w:numPr>
          <w:ilvl w:val="2"/>
          <w:numId w:val="233"/>
        </w:numPr>
        <w:tabs>
          <w:tab w:val="left" w:pos="0"/>
        </w:tabs>
        <w:ind w:firstLine="0" w:firstLineChars="0"/>
        <w:rPr>
          <w:rFonts w:ascii="Times New Roman" w:hAnsi="Times New Roman"/>
          <w:sz w:val="32"/>
        </w:rPr>
      </w:pPr>
      <w:r>
        <w:rPr>
          <w:rFonts w:ascii="Times New Roman" w:hAnsi="Times New Roman"/>
          <w:sz w:val="32"/>
        </w:rPr>
        <w:t>预警行动</w:t>
      </w:r>
    </w:p>
    <w:p w14:paraId="2367C157">
      <w:pPr>
        <w:spacing w:line="560" w:lineRule="exact"/>
        <w:ind w:firstLine="632"/>
        <w:rPr>
          <w:rFonts w:ascii="Times New Roman" w:hAnsi="Times New Roman" w:cs="Times New Roman"/>
          <w:sz w:val="32"/>
        </w:rPr>
      </w:pPr>
      <w:r>
        <w:rPr>
          <w:rFonts w:ascii="Times New Roman" w:hAnsi="Times New Roman" w:cs="Times New Roman"/>
          <w:sz w:val="32"/>
        </w:rPr>
        <w:t>各乡镇人民政府、县政府有关部门和单位可视情况迅速采取以下措施：</w:t>
      </w:r>
    </w:p>
    <w:p w14:paraId="3A119B2D">
      <w:pPr>
        <w:spacing w:line="560" w:lineRule="exact"/>
        <w:ind w:firstLine="632"/>
        <w:rPr>
          <w:rFonts w:ascii="Times New Roman" w:hAnsi="Times New Roman" w:cs="Times New Roman"/>
          <w:sz w:val="32"/>
        </w:rPr>
      </w:pPr>
      <w:r>
        <w:rPr>
          <w:rFonts w:ascii="Times New Roman" w:hAnsi="Times New Roman" w:cs="Times New Roman"/>
          <w:sz w:val="32"/>
        </w:rPr>
        <w:t>（1）及时研判。组织有关部门、机构、专家对可能引发重特大刑事案件的风险进行分析研判，预估可能的影响范围和危害程度以及可能发生的级别，制定相应防范应对措施。</w:t>
      </w:r>
    </w:p>
    <w:p w14:paraId="288CF63A">
      <w:pPr>
        <w:spacing w:line="560" w:lineRule="exact"/>
        <w:ind w:firstLine="632"/>
        <w:rPr>
          <w:rFonts w:ascii="Times New Roman" w:hAnsi="Times New Roman" w:cs="Times New Roman"/>
          <w:sz w:val="32"/>
        </w:rPr>
      </w:pPr>
      <w:r>
        <w:rPr>
          <w:rFonts w:ascii="Times New Roman" w:hAnsi="Times New Roman" w:cs="Times New Roman"/>
          <w:sz w:val="32"/>
        </w:rPr>
        <w:t>（2）防范处置。在危险区域设置警示标志，告知公众避险信息；提前疏散、转移可能受到危害的人员，并进行妥善安置；必要时实施交通管制，封闭危险区域、路段。</w:t>
      </w:r>
    </w:p>
    <w:p w14:paraId="46785352">
      <w:pPr>
        <w:spacing w:line="560" w:lineRule="exact"/>
        <w:ind w:firstLine="632"/>
        <w:rPr>
          <w:rFonts w:ascii="Times New Roman" w:hAnsi="Times New Roman" w:cs="Times New Roman"/>
          <w:sz w:val="32"/>
        </w:rPr>
      </w:pPr>
      <w:r>
        <w:rPr>
          <w:rFonts w:ascii="Times New Roman" w:hAnsi="Times New Roman" w:cs="Times New Roman"/>
          <w:sz w:val="32"/>
        </w:rPr>
        <w:t>（3）应急准备。通知应急救援队伍进入待命状态，做好应急装备、器材和物资准备。加强舆情监测，做好舆论引导工作。</w:t>
      </w:r>
    </w:p>
    <w:p w14:paraId="04B712C1">
      <w:pPr>
        <w:pStyle w:val="3"/>
        <w:spacing w:line="560" w:lineRule="exact"/>
        <w:ind w:firstLine="0" w:firstLineChars="0"/>
        <w:rPr>
          <w:rFonts w:ascii="Times New Roman" w:hAnsi="Times New Roman" w:eastAsia="楷体_GB2312" w:cs="Times New Roman"/>
          <w:sz w:val="32"/>
        </w:rPr>
      </w:pPr>
      <w:bookmarkStart w:id="1457" w:name="_Toc2758"/>
      <w:r>
        <w:rPr>
          <w:rFonts w:ascii="Times New Roman" w:hAnsi="Times New Roman" w:eastAsia="楷体_GB2312" w:cs="Times New Roman"/>
          <w:sz w:val="32"/>
        </w:rPr>
        <w:t>信息报告</w:t>
      </w:r>
      <w:bookmarkEnd w:id="1457"/>
    </w:p>
    <w:p w14:paraId="6964C622">
      <w:pPr>
        <w:pStyle w:val="4"/>
        <w:numPr>
          <w:ilvl w:val="2"/>
          <w:numId w:val="233"/>
        </w:numPr>
        <w:tabs>
          <w:tab w:val="left" w:pos="0"/>
        </w:tabs>
        <w:ind w:firstLine="0" w:firstLineChars="0"/>
        <w:rPr>
          <w:rFonts w:ascii="Times New Roman" w:hAnsi="Times New Roman"/>
          <w:sz w:val="32"/>
        </w:rPr>
      </w:pPr>
      <w:r>
        <w:rPr>
          <w:rFonts w:ascii="Times New Roman" w:hAnsi="Times New Roman"/>
          <w:sz w:val="32"/>
        </w:rPr>
        <w:t>报送程序</w:t>
      </w:r>
    </w:p>
    <w:p w14:paraId="633C79DB">
      <w:pPr>
        <w:spacing w:line="560" w:lineRule="exact"/>
        <w:ind w:firstLine="632"/>
        <w:rPr>
          <w:rFonts w:ascii="Times New Roman" w:hAnsi="Times New Roman" w:cs="Times New Roman"/>
          <w:sz w:val="32"/>
        </w:rPr>
      </w:pPr>
      <w:r>
        <w:rPr>
          <w:rFonts w:ascii="Times New Roman" w:hAnsi="Times New Roman" w:cs="Times New Roman"/>
          <w:sz w:val="32"/>
        </w:rPr>
        <w:t>发生重特大刑事案件后，案发地</w:t>
      </w:r>
      <w:r>
        <w:rPr>
          <w:rFonts w:hint="eastAsia" w:ascii="Times New Roman" w:hAnsi="Times New Roman" w:cs="Times New Roman"/>
          <w:sz w:val="32"/>
        </w:rPr>
        <w:t>乡镇人民政府</w:t>
      </w:r>
      <w:r>
        <w:rPr>
          <w:rFonts w:ascii="Times New Roman" w:hAnsi="Times New Roman" w:cs="Times New Roman"/>
          <w:sz w:val="32"/>
        </w:rPr>
        <w:t>、</w:t>
      </w:r>
      <w:r>
        <w:rPr>
          <w:rFonts w:hint="eastAsia" w:ascii="Times New Roman" w:hAnsi="Times New Roman" w:cs="Times New Roman"/>
          <w:sz w:val="32"/>
        </w:rPr>
        <w:t>派出所</w:t>
      </w:r>
      <w:r>
        <w:rPr>
          <w:rFonts w:ascii="Times New Roman" w:hAnsi="Times New Roman" w:cs="Times New Roman"/>
          <w:sz w:val="32"/>
        </w:rPr>
        <w:t>要采取一切措施尽快掌握情况，力争</w:t>
      </w:r>
      <w:r>
        <w:rPr>
          <w:rFonts w:hint="eastAsia" w:ascii="Times New Roman" w:hAnsi="Times New Roman" w:cs="Times New Roman"/>
          <w:sz w:val="32"/>
        </w:rPr>
        <w:t>20</w:t>
      </w:r>
      <w:r>
        <w:rPr>
          <w:rFonts w:ascii="Times New Roman" w:hAnsi="Times New Roman" w:cs="Times New Roman"/>
          <w:sz w:val="32"/>
        </w:rPr>
        <w:t>分钟内向</w:t>
      </w:r>
      <w:r>
        <w:rPr>
          <w:rFonts w:hint="eastAsia" w:ascii="Times New Roman" w:hAnsi="Times New Roman" w:cs="Times New Roman"/>
          <w:sz w:val="32"/>
        </w:rPr>
        <w:t>县指挥部办公室</w:t>
      </w:r>
      <w:r>
        <w:rPr>
          <w:rFonts w:ascii="Times New Roman" w:hAnsi="Times New Roman" w:cs="Times New Roman"/>
          <w:sz w:val="32"/>
        </w:rPr>
        <w:t>电话报告、40分钟内书面报告。</w:t>
      </w:r>
      <w:r>
        <w:rPr>
          <w:rFonts w:hint="eastAsia" w:ascii="Times New Roman" w:hAnsi="Times New Roman" w:cs="Times New Roman"/>
          <w:sz w:val="32"/>
        </w:rPr>
        <w:t>县应急管理局、县</w:t>
      </w:r>
      <w:r>
        <w:rPr>
          <w:rFonts w:ascii="Times New Roman" w:hAnsi="Times New Roman" w:cs="Times New Roman"/>
          <w:sz w:val="32"/>
        </w:rPr>
        <w:t>公安局按有关时限规定分别向</w:t>
      </w:r>
      <w:r>
        <w:rPr>
          <w:rFonts w:hint="eastAsia" w:ascii="Times New Roman" w:hAnsi="Times New Roman" w:cs="Times New Roman"/>
          <w:sz w:val="32"/>
        </w:rPr>
        <w:t>双鸭山市人民政府、市公安局</w:t>
      </w:r>
      <w:r>
        <w:rPr>
          <w:rFonts w:ascii="Times New Roman" w:hAnsi="Times New Roman" w:cs="Times New Roman"/>
          <w:sz w:val="32"/>
        </w:rPr>
        <w:t>报告。</w:t>
      </w:r>
    </w:p>
    <w:p w14:paraId="0D8EFE43">
      <w:pPr>
        <w:spacing w:line="560" w:lineRule="exact"/>
        <w:ind w:firstLine="632"/>
        <w:rPr>
          <w:rFonts w:ascii="Times New Roman" w:hAnsi="Times New Roman" w:cs="Times New Roman"/>
          <w:sz w:val="32"/>
        </w:rPr>
      </w:pPr>
      <w:r>
        <w:rPr>
          <w:rFonts w:ascii="Times New Roman" w:hAnsi="Times New Roman" w:cs="Times New Roman"/>
          <w:sz w:val="32"/>
        </w:rPr>
        <w:t>对首报要素不齐全或案件衍生出新情况、侦办处置工作有新进展的要及时续报，重特大刑事案件的侦办处置信息至少每日</w:t>
      </w:r>
      <w:r>
        <w:rPr>
          <w:rFonts w:hint="eastAsia" w:ascii="Times New Roman" w:hAnsi="Times New Roman" w:cs="Times New Roman"/>
          <w:sz w:val="32"/>
        </w:rPr>
        <w:t>一</w:t>
      </w:r>
      <w:r>
        <w:rPr>
          <w:rFonts w:ascii="Times New Roman" w:hAnsi="Times New Roman" w:cs="Times New Roman"/>
          <w:sz w:val="32"/>
        </w:rPr>
        <w:t>报。侦破、处置结束后要及时终报。</w:t>
      </w:r>
    </w:p>
    <w:p w14:paraId="62349B77">
      <w:pPr>
        <w:pStyle w:val="4"/>
        <w:numPr>
          <w:ilvl w:val="2"/>
          <w:numId w:val="233"/>
        </w:numPr>
        <w:tabs>
          <w:tab w:val="left" w:pos="0"/>
        </w:tabs>
        <w:ind w:firstLine="0" w:firstLineChars="0"/>
        <w:rPr>
          <w:rFonts w:ascii="Times New Roman" w:hAnsi="Times New Roman"/>
          <w:sz w:val="32"/>
        </w:rPr>
      </w:pPr>
      <w:r>
        <w:rPr>
          <w:rFonts w:ascii="Times New Roman" w:hAnsi="Times New Roman"/>
          <w:sz w:val="32"/>
        </w:rPr>
        <w:t>报告内容</w:t>
      </w:r>
    </w:p>
    <w:p w14:paraId="4A9C4113">
      <w:pPr>
        <w:spacing w:line="560" w:lineRule="exact"/>
        <w:ind w:firstLine="632"/>
        <w:rPr>
          <w:rFonts w:ascii="Times New Roman" w:hAnsi="Times New Roman" w:cs="Times New Roman"/>
          <w:sz w:val="32"/>
        </w:rPr>
      </w:pPr>
      <w:r>
        <w:rPr>
          <w:rFonts w:ascii="Times New Roman" w:hAnsi="Times New Roman" w:cs="Times New Roman"/>
          <w:sz w:val="32"/>
        </w:rPr>
        <w:t>报告内容主要包括：案件发生的时间、地点、伤亡及被困人数，案件发生原因的初步判定、基本情况，案件简要经过、直接经济损失，已采取的处置措施及进展，负责先期处置的指挥人员姓名、职务、联系方式，需请求支援的事项等。</w:t>
      </w:r>
    </w:p>
    <w:p w14:paraId="56B4777B">
      <w:pPr>
        <w:pStyle w:val="4"/>
        <w:numPr>
          <w:ilvl w:val="2"/>
          <w:numId w:val="233"/>
        </w:numPr>
        <w:tabs>
          <w:tab w:val="left" w:pos="0"/>
        </w:tabs>
        <w:ind w:firstLine="0" w:firstLineChars="0"/>
        <w:rPr>
          <w:rFonts w:ascii="Times New Roman" w:hAnsi="Times New Roman"/>
          <w:sz w:val="32"/>
        </w:rPr>
      </w:pPr>
      <w:r>
        <w:rPr>
          <w:rFonts w:ascii="Times New Roman" w:hAnsi="Times New Roman"/>
          <w:sz w:val="32"/>
        </w:rPr>
        <w:t>信息通报</w:t>
      </w:r>
    </w:p>
    <w:p w14:paraId="72789CD3">
      <w:pPr>
        <w:spacing w:line="560" w:lineRule="exact"/>
        <w:ind w:firstLine="632"/>
        <w:rPr>
          <w:rFonts w:ascii="Times New Roman" w:hAnsi="Times New Roman" w:cs="Times New Roman"/>
          <w:sz w:val="32"/>
        </w:rPr>
      </w:pPr>
      <w:r>
        <w:rPr>
          <w:rFonts w:ascii="Times New Roman" w:hAnsi="Times New Roman" w:cs="Times New Roman"/>
          <w:sz w:val="32"/>
        </w:rPr>
        <w:t>发生重特大刑事案件后，</w:t>
      </w:r>
      <w:r>
        <w:rPr>
          <w:rFonts w:hint="eastAsia" w:ascii="Times New Roman" w:hAnsi="Times New Roman" w:cs="Times New Roman"/>
          <w:sz w:val="32"/>
        </w:rPr>
        <w:t>县</w:t>
      </w:r>
      <w:r>
        <w:rPr>
          <w:rFonts w:ascii="Times New Roman" w:hAnsi="Times New Roman" w:cs="Times New Roman"/>
          <w:sz w:val="32"/>
        </w:rPr>
        <w:t>公安局应当通报同级有关部门，并及时通告案发地周边可能受影响区域的单位和居民。对涉及或影响到我</w:t>
      </w:r>
      <w:r>
        <w:rPr>
          <w:rFonts w:hint="eastAsia" w:ascii="Times New Roman" w:hAnsi="Times New Roman" w:cs="Times New Roman"/>
          <w:sz w:val="32"/>
        </w:rPr>
        <w:t>县</w:t>
      </w:r>
      <w:r>
        <w:rPr>
          <w:rFonts w:ascii="Times New Roman" w:hAnsi="Times New Roman" w:cs="Times New Roman"/>
          <w:sz w:val="32"/>
        </w:rPr>
        <w:t>行政区域以外的重特大刑事案件，由</w:t>
      </w:r>
      <w:r>
        <w:rPr>
          <w:rFonts w:hint="eastAsia" w:ascii="Times New Roman" w:hAnsi="Times New Roman" w:cs="Times New Roman"/>
          <w:sz w:val="32"/>
        </w:rPr>
        <w:t>县</w:t>
      </w:r>
      <w:r>
        <w:rPr>
          <w:rFonts w:ascii="Times New Roman" w:hAnsi="Times New Roman" w:cs="Times New Roman"/>
          <w:sz w:val="32"/>
        </w:rPr>
        <w:t>公安局向有关公安机关通报情况。</w:t>
      </w:r>
    </w:p>
    <w:p w14:paraId="24D06C50">
      <w:pPr>
        <w:pStyle w:val="2"/>
        <w:numPr>
          <w:ilvl w:val="0"/>
          <w:numId w:val="233"/>
        </w:numPr>
        <w:tabs>
          <w:tab w:val="left" w:pos="0"/>
        </w:tabs>
        <w:rPr>
          <w:rFonts w:ascii="Times New Roman" w:hAnsi="Times New Roman" w:cs="Times New Roman"/>
          <w:sz w:val="32"/>
        </w:rPr>
      </w:pPr>
      <w:bookmarkStart w:id="1458" w:name="_Toc12945"/>
      <w:r>
        <w:rPr>
          <w:rFonts w:ascii="Times New Roman" w:hAnsi="Times New Roman" w:cs="Times New Roman"/>
          <w:sz w:val="32"/>
        </w:rPr>
        <w:t>应急响应</w:t>
      </w:r>
      <w:bookmarkEnd w:id="1458"/>
    </w:p>
    <w:p w14:paraId="4C6FEAEE">
      <w:pPr>
        <w:pStyle w:val="3"/>
        <w:spacing w:line="560" w:lineRule="exact"/>
        <w:ind w:firstLine="0" w:firstLineChars="0"/>
        <w:rPr>
          <w:rFonts w:ascii="Times New Roman" w:hAnsi="Times New Roman" w:eastAsia="楷体_GB2312" w:cs="Times New Roman"/>
          <w:sz w:val="32"/>
        </w:rPr>
      </w:pPr>
      <w:bookmarkStart w:id="1459" w:name="_Toc30476"/>
      <w:r>
        <w:rPr>
          <w:rFonts w:hint="eastAsia" w:ascii="Times New Roman" w:hAnsi="Times New Roman" w:eastAsia="楷体_GB2312" w:cs="Times New Roman"/>
          <w:sz w:val="32"/>
        </w:rPr>
        <w:t>先期处置</w:t>
      </w:r>
      <w:bookmarkEnd w:id="1459"/>
    </w:p>
    <w:p w14:paraId="6DE29E39">
      <w:pPr>
        <w:spacing w:line="560" w:lineRule="exact"/>
        <w:ind w:firstLine="632"/>
        <w:rPr>
          <w:rFonts w:ascii="Times New Roman" w:hAnsi="Times New Roman" w:cs="Times New Roman"/>
          <w:sz w:val="32"/>
        </w:rPr>
      </w:pPr>
      <w:r>
        <w:rPr>
          <w:rFonts w:ascii="Times New Roman" w:hAnsi="Times New Roman" w:cs="Times New Roman"/>
          <w:sz w:val="32"/>
        </w:rPr>
        <w:t>重特大刑事案件发生后，案发地</w:t>
      </w:r>
      <w:r>
        <w:rPr>
          <w:rFonts w:hint="eastAsia" w:ascii="Times New Roman" w:hAnsi="Times New Roman" w:cs="Times New Roman"/>
          <w:sz w:val="32"/>
        </w:rPr>
        <w:t>乡镇人民政府</w:t>
      </w:r>
      <w:r>
        <w:rPr>
          <w:rFonts w:ascii="Times New Roman" w:hAnsi="Times New Roman" w:cs="Times New Roman"/>
          <w:sz w:val="32"/>
        </w:rPr>
        <w:t>和先行到达处置的部门和单位立即组织力量进行现场保护、交通管制、现场封控，全力救助伤员，及时疏散受威胁人员，控制事态发展，最大限度地防止次生、衍生危害发生。</w:t>
      </w:r>
    </w:p>
    <w:p w14:paraId="6E7F2AFF">
      <w:pPr>
        <w:pStyle w:val="3"/>
        <w:spacing w:line="560" w:lineRule="exact"/>
        <w:ind w:firstLine="0" w:firstLineChars="0"/>
        <w:rPr>
          <w:rFonts w:ascii="Times New Roman" w:hAnsi="Times New Roman" w:eastAsia="楷体_GB2312" w:cs="Times New Roman"/>
          <w:sz w:val="32"/>
        </w:rPr>
      </w:pPr>
      <w:bookmarkStart w:id="1460" w:name="_Toc16059"/>
      <w:r>
        <w:rPr>
          <w:rFonts w:ascii="Times New Roman" w:hAnsi="Times New Roman" w:eastAsia="楷体_GB2312" w:cs="Times New Roman"/>
          <w:sz w:val="32"/>
        </w:rPr>
        <w:t>处置措施</w:t>
      </w:r>
      <w:bookmarkEnd w:id="1460"/>
    </w:p>
    <w:p w14:paraId="1F7B3F52">
      <w:pPr>
        <w:spacing w:line="560" w:lineRule="exact"/>
        <w:ind w:firstLine="632"/>
        <w:rPr>
          <w:rFonts w:ascii="Times New Roman" w:hAnsi="Times New Roman" w:cs="Times New Roman"/>
          <w:sz w:val="32"/>
        </w:rPr>
      </w:pPr>
      <w:r>
        <w:rPr>
          <w:rFonts w:ascii="Times New Roman" w:hAnsi="Times New Roman" w:cs="Times New Roman"/>
          <w:sz w:val="32"/>
        </w:rPr>
        <w:t>突发重大刑事案件发生后，各有关部门根据各自职责和分工，迅速启动有关预案，采取相关处置措施。</w:t>
      </w:r>
    </w:p>
    <w:p w14:paraId="754B11D3">
      <w:pPr>
        <w:spacing w:line="560" w:lineRule="exact"/>
        <w:ind w:firstLine="632"/>
        <w:rPr>
          <w:rFonts w:ascii="Times New Roman" w:hAnsi="Times New Roman" w:cs="Times New Roman"/>
          <w:sz w:val="32"/>
        </w:rPr>
      </w:pPr>
      <w:r>
        <w:rPr>
          <w:rFonts w:hint="eastAsia" w:ascii="Times New Roman" w:hAnsi="Times New Roman" w:cs="Times New Roman"/>
          <w:sz w:val="32"/>
        </w:rPr>
        <w:t>（一）</w:t>
      </w:r>
      <w:r>
        <w:rPr>
          <w:rFonts w:ascii="Times New Roman" w:hAnsi="Times New Roman" w:cs="Times New Roman"/>
          <w:sz w:val="32"/>
        </w:rPr>
        <w:t>组织现场处置和救援工作。各相关行动处置组立即组织力量开展现场处置和救援工作，主要措施包括：</w:t>
      </w:r>
    </w:p>
    <w:p w14:paraId="1F19114F">
      <w:pPr>
        <w:spacing w:line="560" w:lineRule="exact"/>
        <w:ind w:firstLine="632"/>
        <w:rPr>
          <w:rFonts w:ascii="Times New Roman" w:hAnsi="Times New Roman" w:cs="Times New Roman"/>
          <w:sz w:val="32"/>
        </w:rPr>
      </w:pPr>
      <w:r>
        <w:rPr>
          <w:rFonts w:ascii="Times New Roman" w:hAnsi="Times New Roman" w:cs="Times New Roman"/>
          <w:sz w:val="32"/>
        </w:rPr>
        <w:t>（1）组织消防部门灭火、转移现场易燃易爆物品；</w:t>
      </w:r>
    </w:p>
    <w:p w14:paraId="3CD0E790">
      <w:pPr>
        <w:spacing w:line="560" w:lineRule="exact"/>
        <w:ind w:firstLine="632"/>
        <w:rPr>
          <w:rFonts w:ascii="Times New Roman" w:hAnsi="Times New Roman" w:cs="Times New Roman"/>
          <w:sz w:val="32"/>
        </w:rPr>
      </w:pPr>
      <w:r>
        <w:rPr>
          <w:rFonts w:ascii="Times New Roman" w:hAnsi="Times New Roman" w:cs="Times New Roman"/>
          <w:sz w:val="32"/>
        </w:rPr>
        <w:t>（2）疏散、抢救群众，在人员疏散中要做好通道引导工作，防止因群众恐慌拥挤造成挤死踩伤等次生灾害；</w:t>
      </w:r>
    </w:p>
    <w:p w14:paraId="73C58829">
      <w:pPr>
        <w:spacing w:line="560" w:lineRule="exact"/>
        <w:ind w:firstLine="632"/>
        <w:rPr>
          <w:rFonts w:ascii="Times New Roman" w:hAnsi="Times New Roman" w:cs="Times New Roman"/>
          <w:sz w:val="32"/>
        </w:rPr>
      </w:pPr>
      <w:r>
        <w:rPr>
          <w:rFonts w:ascii="Times New Roman" w:hAnsi="Times New Roman" w:cs="Times New Roman"/>
          <w:sz w:val="32"/>
        </w:rPr>
        <w:t>（3）封锁隔离相关区域，对火情予以控制，对污染区域进行清洗消毒，防止火情、疫情、毒情蔓延扩散；</w:t>
      </w:r>
    </w:p>
    <w:p w14:paraId="1DA66446">
      <w:pPr>
        <w:spacing w:line="560" w:lineRule="exact"/>
        <w:ind w:firstLine="632"/>
        <w:rPr>
          <w:rFonts w:ascii="Times New Roman" w:hAnsi="Times New Roman" w:cs="Times New Roman"/>
          <w:sz w:val="32"/>
        </w:rPr>
      </w:pPr>
      <w:r>
        <w:rPr>
          <w:rFonts w:ascii="Times New Roman" w:hAnsi="Times New Roman" w:cs="Times New Roman"/>
          <w:sz w:val="32"/>
        </w:rPr>
        <w:t>（4）组织有关水、电、气、热部门进行抢险、抢修，或切断水、电、气、热源；</w:t>
      </w:r>
    </w:p>
    <w:p w14:paraId="23B2DD37">
      <w:pPr>
        <w:spacing w:line="560" w:lineRule="exact"/>
        <w:ind w:firstLine="632"/>
        <w:rPr>
          <w:rFonts w:ascii="Times New Roman" w:hAnsi="Times New Roman" w:cs="Times New Roman"/>
          <w:sz w:val="32"/>
        </w:rPr>
      </w:pPr>
      <w:r>
        <w:rPr>
          <w:rFonts w:ascii="Times New Roman" w:hAnsi="Times New Roman" w:cs="Times New Roman"/>
          <w:sz w:val="32"/>
        </w:rPr>
        <w:t>（5）组织车辆运送伤员，安排医院紧急救治等。</w:t>
      </w:r>
    </w:p>
    <w:p w14:paraId="4CA82EC3">
      <w:pPr>
        <w:spacing w:line="560" w:lineRule="exact"/>
        <w:ind w:firstLine="632"/>
        <w:rPr>
          <w:rFonts w:ascii="Times New Roman" w:hAnsi="Times New Roman" w:cs="Times New Roman"/>
          <w:sz w:val="32"/>
        </w:rPr>
      </w:pPr>
      <w:r>
        <w:rPr>
          <w:rFonts w:hint="eastAsia" w:ascii="Times New Roman" w:hAnsi="Times New Roman" w:cs="Times New Roman"/>
          <w:sz w:val="32"/>
        </w:rPr>
        <w:t>（二）</w:t>
      </w:r>
      <w:r>
        <w:rPr>
          <w:rFonts w:ascii="Times New Roman" w:hAnsi="Times New Roman" w:cs="Times New Roman"/>
          <w:sz w:val="32"/>
        </w:rPr>
        <w:t>全力维护社会稳定。组织现场处置和救援的同时，县指挥部要组织力量采取预防性紧急措施，严防重大刑事犯罪分子发动新一轮或连环式袭击。</w:t>
      </w:r>
    </w:p>
    <w:p w14:paraId="5E9383F8">
      <w:pPr>
        <w:spacing w:line="560" w:lineRule="exact"/>
        <w:ind w:firstLine="632"/>
        <w:rPr>
          <w:rFonts w:ascii="Times New Roman" w:hAnsi="Times New Roman" w:cs="Times New Roman"/>
          <w:sz w:val="32"/>
        </w:rPr>
      </w:pPr>
      <w:r>
        <w:rPr>
          <w:rFonts w:ascii="Times New Roman" w:hAnsi="Times New Roman" w:cs="Times New Roman"/>
          <w:sz w:val="32"/>
        </w:rPr>
        <w:t>主要措施包括：</w:t>
      </w:r>
    </w:p>
    <w:p w14:paraId="2A0B9879">
      <w:pPr>
        <w:spacing w:line="560" w:lineRule="exact"/>
        <w:ind w:firstLine="632"/>
        <w:rPr>
          <w:rFonts w:ascii="Times New Roman" w:hAnsi="Times New Roman" w:cs="Times New Roman"/>
          <w:sz w:val="32"/>
        </w:rPr>
      </w:pPr>
      <w:r>
        <w:rPr>
          <w:rFonts w:ascii="Times New Roman" w:hAnsi="Times New Roman" w:cs="Times New Roman"/>
          <w:sz w:val="32"/>
        </w:rPr>
        <w:t>（1）关闭、封锁水库、车站</w:t>
      </w:r>
      <w:r>
        <w:rPr>
          <w:rFonts w:hint="eastAsia" w:ascii="Times New Roman" w:hAnsi="Times New Roman" w:cs="Times New Roman"/>
          <w:sz w:val="32"/>
        </w:rPr>
        <w:t>等</w:t>
      </w:r>
      <w:r>
        <w:rPr>
          <w:rFonts w:ascii="Times New Roman" w:hAnsi="Times New Roman" w:cs="Times New Roman"/>
          <w:sz w:val="32"/>
        </w:rPr>
        <w:t>地，必要时切断水电气热等系统；</w:t>
      </w:r>
    </w:p>
    <w:p w14:paraId="6711D001">
      <w:pPr>
        <w:spacing w:line="560" w:lineRule="exact"/>
        <w:ind w:firstLine="632"/>
        <w:rPr>
          <w:rFonts w:ascii="Times New Roman" w:hAnsi="Times New Roman" w:cs="Times New Roman"/>
          <w:sz w:val="32"/>
        </w:rPr>
      </w:pPr>
      <w:r>
        <w:rPr>
          <w:rFonts w:ascii="Times New Roman" w:hAnsi="Times New Roman" w:cs="Times New Roman"/>
          <w:sz w:val="32"/>
        </w:rPr>
        <w:t>（2）对党政军首脑机关、重点要害部位、主要物资仓库要落实防范力量；</w:t>
      </w:r>
    </w:p>
    <w:p w14:paraId="54F06EF9">
      <w:pPr>
        <w:spacing w:line="560" w:lineRule="exact"/>
        <w:ind w:firstLine="632"/>
        <w:rPr>
          <w:rFonts w:ascii="Times New Roman" w:hAnsi="Times New Roman" w:cs="Times New Roman"/>
          <w:sz w:val="32"/>
        </w:rPr>
      </w:pPr>
      <w:r>
        <w:rPr>
          <w:rFonts w:ascii="Times New Roman" w:hAnsi="Times New Roman" w:cs="Times New Roman"/>
          <w:sz w:val="32"/>
        </w:rPr>
        <w:t>（3）严格出入境管理与控制；</w:t>
      </w:r>
    </w:p>
    <w:p w14:paraId="5F6C9394">
      <w:pPr>
        <w:spacing w:line="560" w:lineRule="exact"/>
        <w:ind w:firstLine="632"/>
        <w:rPr>
          <w:rFonts w:ascii="Times New Roman" w:hAnsi="Times New Roman" w:cs="Times New Roman"/>
          <w:sz w:val="32"/>
        </w:rPr>
      </w:pPr>
      <w:r>
        <w:rPr>
          <w:rFonts w:ascii="Times New Roman" w:hAnsi="Times New Roman" w:cs="Times New Roman"/>
          <w:sz w:val="32"/>
        </w:rPr>
        <w:t>（4）加大社会治安巡逻控制力度，发动、组织社会力量积极开展自救互救，群防群治，严密防范和严厉打击趁机“打、砸、抢”制造骚乱的犯罪活动，全力维护社会稳定。</w:t>
      </w:r>
    </w:p>
    <w:p w14:paraId="5C2042B0">
      <w:pPr>
        <w:spacing w:line="560" w:lineRule="exact"/>
        <w:ind w:firstLine="632"/>
        <w:rPr>
          <w:rFonts w:ascii="Times New Roman" w:hAnsi="Times New Roman" w:cs="Times New Roman"/>
          <w:sz w:val="32"/>
        </w:rPr>
      </w:pPr>
      <w:r>
        <w:rPr>
          <w:rFonts w:hint="eastAsia" w:ascii="Times New Roman" w:hAnsi="Times New Roman" w:cs="Times New Roman"/>
          <w:sz w:val="32"/>
        </w:rPr>
        <w:t>（三）</w:t>
      </w:r>
      <w:r>
        <w:rPr>
          <w:rFonts w:ascii="Times New Roman" w:hAnsi="Times New Roman" w:cs="Times New Roman"/>
          <w:sz w:val="32"/>
        </w:rPr>
        <w:t>缜密侦查，缉捕刑事犯罪分子。</w:t>
      </w:r>
      <w:r>
        <w:rPr>
          <w:rFonts w:hint="eastAsia" w:ascii="Times New Roman" w:hAnsi="Times New Roman" w:cs="Times New Roman"/>
          <w:sz w:val="32"/>
        </w:rPr>
        <w:t>县公安局</w:t>
      </w:r>
      <w:r>
        <w:rPr>
          <w:rFonts w:ascii="Times New Roman" w:hAnsi="Times New Roman" w:cs="Times New Roman"/>
          <w:sz w:val="32"/>
        </w:rPr>
        <w:t>立即组织力量对现场进行勘查取证，开展案件、事件侦查、调查，抓捕或歼灭刑事犯罪分子，根据需要，使用各种媒体，适当公开案情，公布举报电话，广泛深入发动群众参与打击刑事犯罪活动和恐怖犯罪活动。情报信息部门要及时搜集有关情报信息，为抓捕刑事犯罪分子，获取证据、防范和打击刑事犯罪活动提供情报支援。</w:t>
      </w:r>
    </w:p>
    <w:p w14:paraId="05AC0272">
      <w:pPr>
        <w:pStyle w:val="3"/>
        <w:spacing w:line="560" w:lineRule="exact"/>
        <w:ind w:firstLine="0" w:firstLineChars="0"/>
        <w:rPr>
          <w:rFonts w:ascii="Times New Roman" w:hAnsi="Times New Roman" w:eastAsia="楷体_GB2312" w:cs="Times New Roman"/>
          <w:sz w:val="32"/>
        </w:rPr>
      </w:pPr>
      <w:bookmarkStart w:id="1461" w:name="_Toc3642"/>
      <w:r>
        <w:rPr>
          <w:rFonts w:ascii="Times New Roman" w:hAnsi="Times New Roman" w:eastAsia="楷体_GB2312" w:cs="Times New Roman"/>
          <w:sz w:val="32"/>
        </w:rPr>
        <w:t>信息发布</w:t>
      </w:r>
      <w:bookmarkEnd w:id="1461"/>
    </w:p>
    <w:p w14:paraId="5BB9B2C1">
      <w:pPr>
        <w:spacing w:line="560" w:lineRule="exact"/>
        <w:ind w:firstLine="632"/>
        <w:rPr>
          <w:rFonts w:ascii="Times New Roman" w:hAnsi="Times New Roman" w:cs="Times New Roman"/>
          <w:sz w:val="32"/>
        </w:rPr>
      </w:pPr>
      <w:r>
        <w:rPr>
          <w:rFonts w:ascii="Times New Roman" w:hAnsi="Times New Roman" w:cs="Times New Roman"/>
          <w:sz w:val="32"/>
        </w:rPr>
        <w:t>发生</w:t>
      </w:r>
      <w:r>
        <w:rPr>
          <w:rFonts w:hint="eastAsia" w:ascii="Times New Roman" w:hAnsi="Times New Roman" w:cs="Times New Roman"/>
          <w:sz w:val="32"/>
        </w:rPr>
        <w:t>重特大刑事案件</w:t>
      </w:r>
      <w:r>
        <w:rPr>
          <w:rFonts w:ascii="Times New Roman" w:hAnsi="Times New Roman" w:cs="Times New Roman"/>
          <w:sz w:val="32"/>
        </w:rPr>
        <w:t>时，由</w:t>
      </w:r>
      <w:r>
        <w:rPr>
          <w:rFonts w:hint="eastAsia" w:ascii="Times New Roman" w:hAnsi="Times New Roman" w:cs="Times New Roman"/>
          <w:sz w:val="32"/>
        </w:rPr>
        <w:t>县</w:t>
      </w:r>
      <w:r>
        <w:rPr>
          <w:rFonts w:ascii="Times New Roman" w:hAnsi="Times New Roman" w:cs="Times New Roman"/>
          <w:sz w:val="32"/>
        </w:rPr>
        <w:t>指挥部进行新闻发布。</w:t>
      </w:r>
      <w:r>
        <w:rPr>
          <w:rFonts w:hint="eastAsia" w:ascii="Times New Roman" w:hAnsi="Times New Roman" w:cs="Times New Roman"/>
          <w:sz w:val="32"/>
        </w:rPr>
        <w:t>县委宣传部</w:t>
      </w:r>
      <w:r>
        <w:rPr>
          <w:rFonts w:ascii="Times New Roman" w:hAnsi="Times New Roman" w:cs="Times New Roman"/>
          <w:sz w:val="32"/>
        </w:rPr>
        <w:t>负责协调新闻发布和危机公关工作，实施舆情监测分析，指导突发事件处置主管部门新闻发言人开展新闻发布、媒体沟通和舆论引导工作。</w:t>
      </w:r>
    </w:p>
    <w:p w14:paraId="183B2F94">
      <w:pPr>
        <w:pStyle w:val="3"/>
        <w:spacing w:line="560" w:lineRule="exact"/>
        <w:ind w:firstLine="0" w:firstLineChars="0"/>
        <w:rPr>
          <w:rFonts w:ascii="Times New Roman" w:hAnsi="Times New Roman" w:eastAsia="楷体_GB2312" w:cs="Times New Roman"/>
          <w:sz w:val="32"/>
        </w:rPr>
      </w:pPr>
      <w:bookmarkStart w:id="1462" w:name="_Toc14917"/>
      <w:r>
        <w:rPr>
          <w:rFonts w:ascii="Times New Roman" w:hAnsi="Times New Roman" w:eastAsia="楷体_GB2312" w:cs="Times New Roman"/>
          <w:sz w:val="32"/>
        </w:rPr>
        <w:t>应急结束</w:t>
      </w:r>
      <w:bookmarkEnd w:id="1462"/>
    </w:p>
    <w:p w14:paraId="652735FA">
      <w:pPr>
        <w:spacing w:line="560" w:lineRule="exact"/>
        <w:ind w:firstLine="632"/>
        <w:rPr>
          <w:rFonts w:ascii="Times New Roman" w:hAnsi="Times New Roman" w:cs="Times New Roman"/>
          <w:sz w:val="32"/>
        </w:rPr>
      </w:pPr>
      <w:r>
        <w:rPr>
          <w:rFonts w:ascii="Times New Roman" w:hAnsi="Times New Roman" w:cs="Times New Roman"/>
          <w:sz w:val="32"/>
        </w:rPr>
        <w:t>重特大刑事案件现场危险完全消除，事态得到全面控制，已无次生、衍生灾害发生可能，由现场应急处置指挥部决定终止响应。</w:t>
      </w:r>
    </w:p>
    <w:p w14:paraId="2D6DBE3E">
      <w:pPr>
        <w:pStyle w:val="2"/>
        <w:numPr>
          <w:ilvl w:val="0"/>
          <w:numId w:val="233"/>
        </w:numPr>
        <w:tabs>
          <w:tab w:val="left" w:pos="0"/>
        </w:tabs>
        <w:rPr>
          <w:rFonts w:ascii="Times New Roman" w:hAnsi="Times New Roman" w:cs="Times New Roman"/>
          <w:sz w:val="32"/>
        </w:rPr>
      </w:pPr>
      <w:bookmarkStart w:id="1463" w:name="_Toc31743"/>
      <w:r>
        <w:rPr>
          <w:rFonts w:ascii="Times New Roman" w:hAnsi="Times New Roman" w:cs="Times New Roman"/>
          <w:sz w:val="32"/>
        </w:rPr>
        <w:t>后期处置</w:t>
      </w:r>
      <w:bookmarkEnd w:id="1463"/>
    </w:p>
    <w:p w14:paraId="54188CA9">
      <w:pPr>
        <w:pStyle w:val="3"/>
        <w:spacing w:line="560" w:lineRule="exact"/>
        <w:ind w:firstLine="0" w:firstLineChars="0"/>
        <w:rPr>
          <w:rFonts w:ascii="Times New Roman" w:hAnsi="Times New Roman" w:eastAsia="楷体_GB2312" w:cs="Times New Roman"/>
          <w:sz w:val="32"/>
        </w:rPr>
      </w:pPr>
      <w:r>
        <w:rPr>
          <w:rFonts w:ascii="Times New Roman" w:hAnsi="Times New Roman" w:eastAsia="楷体_GB2312" w:cs="Times New Roman"/>
          <w:sz w:val="32"/>
        </w:rPr>
        <w:t>善后处理</w:t>
      </w:r>
    </w:p>
    <w:p w14:paraId="699460B5">
      <w:pPr>
        <w:spacing w:line="560" w:lineRule="exact"/>
        <w:ind w:firstLine="632"/>
        <w:rPr>
          <w:rFonts w:ascii="Times New Roman" w:hAnsi="Times New Roman" w:cs="Times New Roman"/>
          <w:sz w:val="32"/>
        </w:rPr>
      </w:pPr>
      <w:r>
        <w:rPr>
          <w:rFonts w:ascii="Times New Roman" w:hAnsi="Times New Roman" w:cs="Times New Roman"/>
          <w:sz w:val="32"/>
        </w:rPr>
        <w:t>应急处置结束后，</w:t>
      </w:r>
      <w:r>
        <w:rPr>
          <w:rFonts w:hint="eastAsia" w:ascii="Times New Roman" w:hAnsi="Times New Roman" w:cs="Times New Roman"/>
          <w:sz w:val="32"/>
        </w:rPr>
        <w:t>县</w:t>
      </w:r>
      <w:r>
        <w:rPr>
          <w:rFonts w:ascii="Times New Roman" w:hAnsi="Times New Roman" w:cs="Times New Roman"/>
          <w:sz w:val="32"/>
        </w:rPr>
        <w:t>政府责成相关单位统筹做好抚慰、抚恤、安置、重建等善后工作。有关保险机构及时进行现场查勘和理赔工作。</w:t>
      </w:r>
    </w:p>
    <w:p w14:paraId="07A0B2B4">
      <w:pPr>
        <w:pStyle w:val="3"/>
        <w:spacing w:line="560" w:lineRule="exact"/>
        <w:ind w:firstLine="0" w:firstLineChars="0"/>
        <w:rPr>
          <w:rFonts w:ascii="Times New Roman" w:hAnsi="Times New Roman" w:eastAsia="楷体_GB2312" w:cs="Times New Roman"/>
          <w:sz w:val="32"/>
        </w:rPr>
      </w:pPr>
      <w:bookmarkStart w:id="1464" w:name="_Toc24766"/>
      <w:r>
        <w:rPr>
          <w:rFonts w:ascii="Times New Roman" w:hAnsi="Times New Roman" w:eastAsia="楷体_GB2312" w:cs="Times New Roman"/>
          <w:sz w:val="32"/>
        </w:rPr>
        <w:t>调查评估</w:t>
      </w:r>
      <w:bookmarkEnd w:id="1464"/>
    </w:p>
    <w:p w14:paraId="63108AC3">
      <w:pPr>
        <w:spacing w:line="560" w:lineRule="exact"/>
        <w:ind w:firstLine="632"/>
        <w:rPr>
          <w:rFonts w:ascii="Times New Roman" w:hAnsi="Times New Roman" w:cs="Times New Roman"/>
          <w:sz w:val="32"/>
        </w:rPr>
      </w:pPr>
      <w:r>
        <w:rPr>
          <w:rFonts w:ascii="Times New Roman" w:hAnsi="Times New Roman" w:cs="Times New Roman"/>
          <w:sz w:val="32"/>
        </w:rPr>
        <w:t>应急处置结束后，</w:t>
      </w:r>
      <w:r>
        <w:rPr>
          <w:rFonts w:hint="eastAsia" w:ascii="Times New Roman" w:hAnsi="Times New Roman" w:cs="Times New Roman"/>
          <w:sz w:val="32"/>
        </w:rPr>
        <w:t>县</w:t>
      </w:r>
      <w:r>
        <w:rPr>
          <w:rFonts w:ascii="Times New Roman" w:hAnsi="Times New Roman" w:cs="Times New Roman"/>
          <w:sz w:val="32"/>
        </w:rPr>
        <w:t>公安局要牵头组织相关专家对重特大刑事案件现场处置和侦查工作进行调查评估，完成分析评估报告，并及时上报</w:t>
      </w:r>
      <w:r>
        <w:rPr>
          <w:rFonts w:hint="eastAsia" w:ascii="Times New Roman" w:hAnsi="Times New Roman" w:cs="Times New Roman"/>
          <w:sz w:val="32"/>
        </w:rPr>
        <w:t>县</w:t>
      </w:r>
      <w:r>
        <w:rPr>
          <w:rFonts w:ascii="Times New Roman" w:hAnsi="Times New Roman" w:cs="Times New Roman"/>
          <w:sz w:val="32"/>
        </w:rPr>
        <w:t>政府。</w:t>
      </w:r>
    </w:p>
    <w:p w14:paraId="289F0A42">
      <w:pPr>
        <w:pStyle w:val="2"/>
        <w:numPr>
          <w:ilvl w:val="0"/>
          <w:numId w:val="233"/>
        </w:numPr>
        <w:tabs>
          <w:tab w:val="left" w:pos="0"/>
        </w:tabs>
        <w:rPr>
          <w:rFonts w:ascii="Times New Roman" w:hAnsi="Times New Roman" w:cs="Times New Roman"/>
          <w:sz w:val="32"/>
        </w:rPr>
      </w:pPr>
      <w:bookmarkStart w:id="1465" w:name="_Toc18085"/>
      <w:r>
        <w:rPr>
          <w:rFonts w:ascii="Times New Roman" w:hAnsi="Times New Roman" w:cs="Times New Roman"/>
          <w:sz w:val="32"/>
        </w:rPr>
        <w:t>应急保障</w:t>
      </w:r>
      <w:bookmarkEnd w:id="1465"/>
    </w:p>
    <w:p w14:paraId="1F0573F7">
      <w:pPr>
        <w:pStyle w:val="3"/>
        <w:spacing w:line="560" w:lineRule="exact"/>
        <w:ind w:firstLine="0" w:firstLineChars="0"/>
        <w:rPr>
          <w:rFonts w:ascii="Times New Roman" w:hAnsi="Times New Roman" w:eastAsia="楷体_GB2312" w:cs="Times New Roman"/>
          <w:sz w:val="32"/>
        </w:rPr>
      </w:pPr>
      <w:bookmarkStart w:id="1466" w:name="_Toc20827"/>
      <w:r>
        <w:rPr>
          <w:rFonts w:ascii="Times New Roman" w:hAnsi="Times New Roman" w:eastAsia="楷体_GB2312" w:cs="Times New Roman"/>
          <w:sz w:val="32"/>
        </w:rPr>
        <w:t>队伍保障</w:t>
      </w:r>
      <w:bookmarkEnd w:id="1466"/>
    </w:p>
    <w:p w14:paraId="63910886">
      <w:pPr>
        <w:spacing w:line="560" w:lineRule="exact"/>
        <w:ind w:firstLine="632"/>
        <w:rPr>
          <w:rFonts w:ascii="Times New Roman" w:hAnsi="Times New Roman" w:cs="Times New Roman"/>
          <w:sz w:val="32"/>
        </w:rPr>
      </w:pPr>
      <w:r>
        <w:rPr>
          <w:rFonts w:ascii="Times New Roman" w:hAnsi="Times New Roman" w:cs="Times New Roman"/>
          <w:sz w:val="32"/>
        </w:rPr>
        <w:t>各</w:t>
      </w:r>
      <w:r>
        <w:rPr>
          <w:rFonts w:hint="eastAsia" w:ascii="Times New Roman" w:hAnsi="Times New Roman" w:cs="Times New Roman"/>
          <w:sz w:val="32"/>
        </w:rPr>
        <w:t>乡镇人民政府、县</w:t>
      </w:r>
      <w:r>
        <w:rPr>
          <w:rFonts w:ascii="Times New Roman" w:hAnsi="Times New Roman" w:cs="Times New Roman"/>
          <w:sz w:val="32"/>
        </w:rPr>
        <w:t>政府有关部门和单位要加强重特大刑事案件应急队伍建设，定期组织开展训练和演练。</w:t>
      </w:r>
      <w:r>
        <w:rPr>
          <w:rFonts w:hint="eastAsia" w:ascii="Times New Roman" w:hAnsi="Times New Roman" w:cs="Times New Roman"/>
          <w:sz w:val="32"/>
        </w:rPr>
        <w:t>县</w:t>
      </w:r>
      <w:r>
        <w:rPr>
          <w:rFonts w:ascii="Times New Roman" w:hAnsi="Times New Roman" w:cs="Times New Roman"/>
          <w:sz w:val="32"/>
        </w:rPr>
        <w:t>公安局要牵头建立涉及犯罪心理学、危机谈判、搜排爆、消防、刑事科学技术、计算机网络、情报研判、大数据分析、侦查破案、射击等众多专业领域的人才库，必要时向</w:t>
      </w:r>
      <w:r>
        <w:rPr>
          <w:rFonts w:hint="eastAsia" w:ascii="Times New Roman" w:hAnsi="Times New Roman" w:cs="Times New Roman"/>
          <w:sz w:val="32"/>
        </w:rPr>
        <w:t>双鸭山</w:t>
      </w:r>
      <w:r>
        <w:rPr>
          <w:rFonts w:ascii="Times New Roman" w:hAnsi="Times New Roman" w:cs="Times New Roman"/>
          <w:sz w:val="32"/>
        </w:rPr>
        <w:t>市公安局请求支援。</w:t>
      </w:r>
    </w:p>
    <w:p w14:paraId="43E1EDA4">
      <w:pPr>
        <w:pStyle w:val="3"/>
        <w:spacing w:line="560" w:lineRule="exact"/>
        <w:ind w:firstLine="0" w:firstLineChars="0"/>
        <w:rPr>
          <w:rFonts w:ascii="Times New Roman" w:hAnsi="Times New Roman" w:eastAsia="楷体_GB2312" w:cs="Times New Roman"/>
          <w:sz w:val="32"/>
        </w:rPr>
      </w:pPr>
      <w:bookmarkStart w:id="1467" w:name="_Toc25257"/>
      <w:r>
        <w:rPr>
          <w:rFonts w:hint="eastAsia" w:ascii="Times New Roman" w:hAnsi="Times New Roman" w:eastAsia="楷体_GB2312" w:cs="Times New Roman"/>
          <w:sz w:val="32"/>
        </w:rPr>
        <w:t>装备</w:t>
      </w:r>
      <w:r>
        <w:rPr>
          <w:rFonts w:ascii="Times New Roman" w:hAnsi="Times New Roman" w:eastAsia="楷体_GB2312" w:cs="Times New Roman"/>
          <w:sz w:val="32"/>
        </w:rPr>
        <w:t>保障</w:t>
      </w:r>
      <w:bookmarkEnd w:id="1467"/>
    </w:p>
    <w:p w14:paraId="3653052A">
      <w:pPr>
        <w:spacing w:line="560" w:lineRule="exact"/>
        <w:ind w:firstLine="632"/>
        <w:rPr>
          <w:rFonts w:ascii="Times New Roman" w:hAnsi="Times New Roman" w:cs="Times New Roman"/>
          <w:sz w:val="32"/>
        </w:rPr>
      </w:pPr>
      <w:r>
        <w:rPr>
          <w:rFonts w:hint="eastAsia" w:ascii="Times New Roman" w:hAnsi="Times New Roman" w:cs="Times New Roman"/>
          <w:sz w:val="32"/>
        </w:rPr>
        <w:t>区公安局要加强应急处置所需装备和设施的配备，建立健全装备维护、保养、调用等制度，保障应急处置工作需要。各乡镇人民政府、县政府有关部门和单位要配置基本的应急处置所需物资装备。</w:t>
      </w:r>
    </w:p>
    <w:p w14:paraId="5A20AE75">
      <w:pPr>
        <w:pStyle w:val="3"/>
        <w:spacing w:line="560" w:lineRule="exact"/>
        <w:ind w:firstLine="0" w:firstLineChars="0"/>
        <w:rPr>
          <w:rFonts w:ascii="Times New Roman" w:hAnsi="Times New Roman" w:eastAsia="楷体_GB2312" w:cs="Times New Roman"/>
          <w:sz w:val="32"/>
        </w:rPr>
      </w:pPr>
      <w:bookmarkStart w:id="1468" w:name="_Toc9818"/>
      <w:r>
        <w:rPr>
          <w:rFonts w:hint="eastAsia" w:ascii="Times New Roman" w:hAnsi="Times New Roman" w:eastAsia="楷体_GB2312" w:cs="Times New Roman"/>
          <w:sz w:val="32"/>
        </w:rPr>
        <w:t>医疗保障</w:t>
      </w:r>
      <w:bookmarkEnd w:id="1468"/>
    </w:p>
    <w:p w14:paraId="20B8ED13">
      <w:pPr>
        <w:spacing w:line="560" w:lineRule="exact"/>
        <w:ind w:firstLine="632"/>
        <w:rPr>
          <w:rFonts w:ascii="Times New Roman" w:hAnsi="Times New Roman" w:cs="Times New Roman"/>
          <w:sz w:val="32"/>
        </w:rPr>
      </w:pPr>
      <w:r>
        <w:rPr>
          <w:rFonts w:hint="eastAsia" w:ascii="Times New Roman" w:hAnsi="Times New Roman" w:cs="Times New Roman"/>
          <w:sz w:val="32"/>
        </w:rPr>
        <w:t>县卫生健康局要组织医疗卫生机构为重特大刑事案件处置提供医疗保障。</w:t>
      </w:r>
    </w:p>
    <w:p w14:paraId="57FB3D2A">
      <w:pPr>
        <w:pStyle w:val="3"/>
        <w:spacing w:line="560" w:lineRule="exact"/>
        <w:ind w:firstLine="0" w:firstLineChars="0"/>
        <w:rPr>
          <w:rFonts w:ascii="Times New Roman" w:hAnsi="Times New Roman" w:eastAsia="楷体_GB2312" w:cs="Times New Roman"/>
          <w:sz w:val="32"/>
        </w:rPr>
      </w:pPr>
      <w:bookmarkStart w:id="1469" w:name="_Toc4268"/>
      <w:r>
        <w:rPr>
          <w:rFonts w:hint="eastAsia" w:ascii="Times New Roman" w:hAnsi="Times New Roman" w:eastAsia="楷体_GB2312" w:cs="Times New Roman"/>
          <w:sz w:val="32"/>
        </w:rPr>
        <w:t>通信保障</w:t>
      </w:r>
      <w:bookmarkEnd w:id="1469"/>
    </w:p>
    <w:p w14:paraId="0360D29E">
      <w:pPr>
        <w:spacing w:line="560" w:lineRule="exact"/>
        <w:ind w:firstLine="632"/>
        <w:rPr>
          <w:rFonts w:ascii="Times New Roman" w:hAnsi="Times New Roman" w:cs="Times New Roman"/>
          <w:sz w:val="32"/>
        </w:rPr>
      </w:pPr>
      <w:r>
        <w:rPr>
          <w:rFonts w:hint="eastAsia" w:ascii="Times New Roman" w:hAnsi="Times New Roman" w:cs="Times New Roman"/>
          <w:sz w:val="32"/>
        </w:rPr>
        <w:t>县指挥部办公室会同县通信运营商做好保障应急处置期间的通信联络和信息传递畅通工作。</w:t>
      </w:r>
    </w:p>
    <w:p w14:paraId="65D91FD3">
      <w:pPr>
        <w:pStyle w:val="3"/>
        <w:spacing w:line="560" w:lineRule="exact"/>
        <w:ind w:firstLine="0" w:firstLineChars="0"/>
        <w:rPr>
          <w:rFonts w:ascii="Times New Roman" w:hAnsi="Times New Roman" w:eastAsia="楷体_GB2312" w:cs="Times New Roman"/>
          <w:sz w:val="32"/>
        </w:rPr>
      </w:pPr>
      <w:bookmarkStart w:id="1470" w:name="_Toc7416"/>
      <w:r>
        <w:rPr>
          <w:rFonts w:hint="eastAsia" w:ascii="Times New Roman" w:hAnsi="Times New Roman" w:eastAsia="楷体_GB2312" w:cs="Times New Roman"/>
          <w:sz w:val="32"/>
        </w:rPr>
        <w:t>经费保障</w:t>
      </w:r>
      <w:bookmarkEnd w:id="1470"/>
    </w:p>
    <w:p w14:paraId="76434FA1">
      <w:pPr>
        <w:spacing w:line="560" w:lineRule="exact"/>
        <w:ind w:firstLine="632"/>
        <w:rPr>
          <w:rFonts w:ascii="Times New Roman" w:hAnsi="Times New Roman" w:cs="Times New Roman"/>
          <w:sz w:val="32"/>
        </w:rPr>
      </w:pPr>
      <w:r>
        <w:rPr>
          <w:rFonts w:hint="eastAsia" w:ascii="Times New Roman" w:hAnsi="Times New Roman" w:cs="Times New Roman"/>
          <w:sz w:val="32"/>
        </w:rPr>
        <w:t>县</w:t>
      </w:r>
      <w:r>
        <w:rPr>
          <w:rFonts w:ascii="Times New Roman" w:hAnsi="Times New Roman" w:cs="Times New Roman"/>
          <w:sz w:val="32"/>
        </w:rPr>
        <w:t>财政局要为应急处置工作提供必要经费保障。</w:t>
      </w:r>
    </w:p>
    <w:p w14:paraId="59272219">
      <w:pPr>
        <w:pStyle w:val="3"/>
        <w:spacing w:line="560" w:lineRule="exact"/>
        <w:ind w:firstLine="0" w:firstLineChars="0"/>
        <w:rPr>
          <w:rFonts w:ascii="Times New Roman" w:hAnsi="Times New Roman" w:eastAsia="楷体_GB2312" w:cs="Times New Roman"/>
          <w:sz w:val="32"/>
        </w:rPr>
      </w:pPr>
      <w:bookmarkStart w:id="1471" w:name="_Toc5115"/>
      <w:r>
        <w:rPr>
          <w:rFonts w:ascii="Times New Roman" w:hAnsi="Times New Roman" w:eastAsia="楷体_GB2312" w:cs="Times New Roman"/>
          <w:sz w:val="32"/>
        </w:rPr>
        <w:t>交通保障</w:t>
      </w:r>
      <w:bookmarkEnd w:id="1471"/>
    </w:p>
    <w:p w14:paraId="0261CA96">
      <w:pPr>
        <w:spacing w:line="560" w:lineRule="exact"/>
        <w:ind w:firstLine="632"/>
        <w:rPr>
          <w:rFonts w:ascii="Times New Roman" w:hAnsi="Times New Roman" w:cs="Times New Roman"/>
          <w:sz w:val="32"/>
        </w:rPr>
      </w:pPr>
      <w:r>
        <w:rPr>
          <w:rFonts w:hint="eastAsia" w:ascii="Times New Roman" w:hAnsi="Times New Roman" w:cs="Times New Roman"/>
          <w:sz w:val="32"/>
        </w:rPr>
        <w:t>县交通运输局</w:t>
      </w:r>
      <w:r>
        <w:rPr>
          <w:rFonts w:ascii="Times New Roman" w:hAnsi="Times New Roman" w:cs="Times New Roman"/>
          <w:sz w:val="32"/>
        </w:rPr>
        <w:t>根据应急处置需要开设绿色通道，为应急处置工作提供快速、高效、顺畅的交通保障。</w:t>
      </w:r>
    </w:p>
    <w:p w14:paraId="0031951B">
      <w:pPr>
        <w:pStyle w:val="2"/>
        <w:numPr>
          <w:ilvl w:val="0"/>
          <w:numId w:val="233"/>
        </w:numPr>
        <w:tabs>
          <w:tab w:val="left" w:pos="0"/>
        </w:tabs>
        <w:rPr>
          <w:rFonts w:ascii="Times New Roman" w:hAnsi="Times New Roman" w:cs="Times New Roman"/>
          <w:sz w:val="32"/>
        </w:rPr>
      </w:pPr>
      <w:bookmarkStart w:id="1472" w:name="_Toc8755"/>
      <w:r>
        <w:rPr>
          <w:rFonts w:ascii="Times New Roman" w:hAnsi="Times New Roman" w:cs="Times New Roman"/>
          <w:sz w:val="32"/>
        </w:rPr>
        <w:t>预案管理</w:t>
      </w:r>
      <w:bookmarkEnd w:id="1472"/>
    </w:p>
    <w:p w14:paraId="517684C8">
      <w:pPr>
        <w:pStyle w:val="3"/>
        <w:spacing w:line="560" w:lineRule="exact"/>
        <w:ind w:firstLine="0" w:firstLineChars="0"/>
        <w:rPr>
          <w:rFonts w:ascii="Times New Roman" w:hAnsi="Times New Roman" w:eastAsia="楷体_GB2312" w:cs="Times New Roman"/>
          <w:sz w:val="32"/>
        </w:rPr>
      </w:pPr>
      <w:bookmarkStart w:id="1473" w:name="_Toc2295"/>
      <w:r>
        <w:rPr>
          <w:rFonts w:ascii="Times New Roman" w:hAnsi="Times New Roman" w:eastAsia="楷体_GB2312" w:cs="Times New Roman"/>
          <w:sz w:val="32"/>
        </w:rPr>
        <w:t>应急宣传和教育</w:t>
      </w:r>
      <w:bookmarkEnd w:id="1473"/>
    </w:p>
    <w:p w14:paraId="310403E0">
      <w:pPr>
        <w:spacing w:line="560" w:lineRule="exact"/>
        <w:ind w:firstLine="632"/>
        <w:rPr>
          <w:rFonts w:ascii="Times New Roman" w:hAnsi="Times New Roman" w:cs="Times New Roman"/>
          <w:sz w:val="32"/>
        </w:rPr>
      </w:pPr>
      <w:r>
        <w:rPr>
          <w:rFonts w:ascii="Times New Roman" w:hAnsi="Times New Roman" w:cs="Times New Roman"/>
          <w:sz w:val="32"/>
        </w:rPr>
        <w:t>各成员单位须加强对</w:t>
      </w:r>
      <w:r>
        <w:rPr>
          <w:rFonts w:hint="eastAsia" w:ascii="Times New Roman" w:hAnsi="Times New Roman" w:cs="Times New Roman"/>
          <w:sz w:val="32"/>
        </w:rPr>
        <w:t>重特大刑事案件</w:t>
      </w:r>
      <w:r>
        <w:rPr>
          <w:rFonts w:ascii="Times New Roman" w:hAnsi="Times New Roman" w:cs="Times New Roman"/>
          <w:sz w:val="32"/>
        </w:rPr>
        <w:t>应急管理工作的宣传教育，普及应急救援基本知识和技能，教育我</w:t>
      </w:r>
      <w:r>
        <w:rPr>
          <w:rFonts w:hint="eastAsia" w:ascii="Times New Roman" w:hAnsi="Times New Roman" w:cs="Times New Roman"/>
          <w:sz w:val="32"/>
        </w:rPr>
        <w:t>县</w:t>
      </w:r>
      <w:r>
        <w:rPr>
          <w:rFonts w:ascii="Times New Roman" w:hAnsi="Times New Roman" w:cs="Times New Roman"/>
          <w:sz w:val="32"/>
        </w:rPr>
        <w:t>公民树立忧患意识、危机意识和应变意识。加强安全防范意识，提出注意事项，避免或减少我</w:t>
      </w:r>
      <w:r>
        <w:rPr>
          <w:rFonts w:hint="eastAsia" w:ascii="Times New Roman" w:hAnsi="Times New Roman" w:cs="Times New Roman"/>
          <w:sz w:val="32"/>
        </w:rPr>
        <w:t>县人民群众</w:t>
      </w:r>
      <w:r>
        <w:rPr>
          <w:rFonts w:ascii="Times New Roman" w:hAnsi="Times New Roman" w:cs="Times New Roman"/>
          <w:sz w:val="32"/>
        </w:rPr>
        <w:t>遭受损害。</w:t>
      </w:r>
    </w:p>
    <w:p w14:paraId="082236C9">
      <w:pPr>
        <w:pStyle w:val="3"/>
        <w:spacing w:line="560" w:lineRule="exact"/>
        <w:ind w:firstLine="0" w:firstLineChars="0"/>
        <w:rPr>
          <w:rFonts w:ascii="Times New Roman" w:hAnsi="Times New Roman" w:eastAsia="楷体_GB2312" w:cs="Times New Roman"/>
          <w:sz w:val="32"/>
        </w:rPr>
      </w:pPr>
      <w:bookmarkStart w:id="1474" w:name="_Toc7893"/>
      <w:r>
        <w:rPr>
          <w:rFonts w:ascii="Times New Roman" w:hAnsi="Times New Roman" w:eastAsia="楷体_GB2312" w:cs="Times New Roman"/>
          <w:sz w:val="32"/>
        </w:rPr>
        <w:t>预案演练</w:t>
      </w:r>
      <w:bookmarkEnd w:id="1474"/>
    </w:p>
    <w:p w14:paraId="0CC5489F">
      <w:pPr>
        <w:spacing w:line="560" w:lineRule="exact"/>
        <w:ind w:firstLine="632"/>
        <w:rPr>
          <w:rFonts w:ascii="Times New Roman" w:hAnsi="Times New Roman" w:cs="Times New Roman"/>
          <w:sz w:val="32"/>
        </w:rPr>
      </w:pPr>
      <w:r>
        <w:rPr>
          <w:rFonts w:ascii="Times New Roman" w:hAnsi="Times New Roman" w:cs="Times New Roman"/>
          <w:sz w:val="32"/>
        </w:rPr>
        <w:t>各成员单位应加强对重特大刑事案件</w:t>
      </w:r>
      <w:r>
        <w:rPr>
          <w:rFonts w:hint="eastAsia" w:ascii="Times New Roman" w:hAnsi="Times New Roman" w:cs="Times New Roman"/>
          <w:sz w:val="32"/>
        </w:rPr>
        <w:t>应急</w:t>
      </w:r>
      <w:r>
        <w:rPr>
          <w:rFonts w:ascii="Times New Roman" w:hAnsi="Times New Roman" w:cs="Times New Roman"/>
          <w:sz w:val="32"/>
        </w:rPr>
        <w:t>处置工作的研究，制订预案演练计划，适时开展应急模拟演练活动，提高部门协同配合、快速反应能力和应急处置水平，增强预案的针对性和实战性。</w:t>
      </w:r>
    </w:p>
    <w:p w14:paraId="4BAAEB43">
      <w:pPr>
        <w:pStyle w:val="3"/>
        <w:spacing w:line="560" w:lineRule="exact"/>
        <w:ind w:firstLine="0" w:firstLineChars="0"/>
        <w:rPr>
          <w:rFonts w:ascii="Times New Roman" w:hAnsi="Times New Roman" w:eastAsia="楷体_GB2312" w:cs="Times New Roman"/>
          <w:sz w:val="32"/>
        </w:rPr>
      </w:pPr>
      <w:bookmarkStart w:id="1475" w:name="_Toc17262"/>
      <w:r>
        <w:rPr>
          <w:rFonts w:ascii="Times New Roman" w:hAnsi="Times New Roman" w:eastAsia="楷体_GB2312" w:cs="Times New Roman"/>
          <w:sz w:val="32"/>
        </w:rPr>
        <w:t>预案更新</w:t>
      </w:r>
      <w:bookmarkEnd w:id="1475"/>
    </w:p>
    <w:p w14:paraId="325894CB">
      <w:pPr>
        <w:spacing w:line="560" w:lineRule="exact"/>
        <w:ind w:firstLine="632"/>
        <w:rPr>
          <w:rFonts w:ascii="Times New Roman" w:hAnsi="Times New Roman" w:cs="Times New Roman"/>
          <w:sz w:val="32"/>
        </w:rPr>
      </w:pPr>
      <w:r>
        <w:rPr>
          <w:rFonts w:ascii="Times New Roman" w:hAnsi="Times New Roman" w:cs="Times New Roman"/>
          <w:sz w:val="32"/>
        </w:rPr>
        <w:t>县处置重大刑事案件应急指挥部负责组织对预案进行评估，原则上每3年对本预案评审一次，并按程序进行修订。</w:t>
      </w:r>
    </w:p>
    <w:p w14:paraId="002337C2">
      <w:pPr>
        <w:spacing w:line="560" w:lineRule="exact"/>
        <w:ind w:firstLine="632"/>
        <w:rPr>
          <w:rFonts w:ascii="Times New Roman" w:hAnsi="Times New Roman" w:cs="Times New Roman"/>
          <w:sz w:val="32"/>
        </w:rPr>
      </w:pPr>
      <w:r>
        <w:rPr>
          <w:rFonts w:ascii="Times New Roman" w:hAnsi="Times New Roman" w:cs="Times New Roman"/>
          <w:sz w:val="32"/>
        </w:rPr>
        <w:t>本预案有下列情形之一的，应当及时修订：</w:t>
      </w:r>
    </w:p>
    <w:p w14:paraId="7F425671">
      <w:pPr>
        <w:spacing w:line="560" w:lineRule="exact"/>
        <w:ind w:firstLine="632"/>
        <w:rPr>
          <w:rFonts w:ascii="Times New Roman" w:hAnsi="Times New Roman" w:cs="Times New Roman"/>
          <w:sz w:val="32"/>
        </w:rPr>
      </w:pPr>
      <w:r>
        <w:rPr>
          <w:rFonts w:ascii="Times New Roman" w:hAnsi="Times New Roman" w:cs="Times New Roman"/>
          <w:sz w:val="32"/>
        </w:rPr>
        <w:t>（1）有关法律、行政法规、规章、标准、上位预案中的有关规定发生变化的；</w:t>
      </w:r>
    </w:p>
    <w:p w14:paraId="79450405">
      <w:pPr>
        <w:spacing w:line="560" w:lineRule="exact"/>
        <w:ind w:firstLine="632"/>
        <w:rPr>
          <w:rFonts w:ascii="Times New Roman" w:hAnsi="Times New Roman" w:cs="Times New Roman"/>
          <w:sz w:val="32"/>
        </w:rPr>
      </w:pPr>
      <w:r>
        <w:rPr>
          <w:rFonts w:ascii="Times New Roman" w:hAnsi="Times New Roman" w:cs="Times New Roman"/>
          <w:sz w:val="32"/>
        </w:rPr>
        <w:t>（2）应急指挥机构及其职责发生重大调整的；</w:t>
      </w:r>
    </w:p>
    <w:p w14:paraId="6F52B64D">
      <w:pPr>
        <w:spacing w:line="560" w:lineRule="exact"/>
        <w:ind w:firstLine="632"/>
        <w:rPr>
          <w:rFonts w:ascii="Times New Roman" w:hAnsi="Times New Roman" w:cs="Times New Roman"/>
          <w:sz w:val="32"/>
        </w:rPr>
      </w:pPr>
      <w:r>
        <w:rPr>
          <w:rFonts w:ascii="Times New Roman" w:hAnsi="Times New Roman" w:cs="Times New Roman"/>
          <w:sz w:val="32"/>
        </w:rPr>
        <w:t>（3）面临的风险发生重大变化的；</w:t>
      </w:r>
    </w:p>
    <w:p w14:paraId="1775AEB7">
      <w:pPr>
        <w:spacing w:line="560" w:lineRule="exact"/>
        <w:ind w:firstLine="632"/>
        <w:rPr>
          <w:rFonts w:ascii="Times New Roman" w:hAnsi="Times New Roman" w:cs="Times New Roman"/>
          <w:sz w:val="32"/>
        </w:rPr>
      </w:pPr>
      <w:r>
        <w:rPr>
          <w:rFonts w:ascii="Times New Roman" w:hAnsi="Times New Roman" w:cs="Times New Roman"/>
          <w:sz w:val="32"/>
        </w:rPr>
        <w:t>（4）重要应急资源发生重大变化的；</w:t>
      </w:r>
    </w:p>
    <w:p w14:paraId="2868A0D3">
      <w:pPr>
        <w:spacing w:line="560" w:lineRule="exact"/>
        <w:ind w:firstLine="632"/>
        <w:rPr>
          <w:rFonts w:ascii="Times New Roman" w:hAnsi="Times New Roman" w:cs="Times New Roman"/>
          <w:sz w:val="32"/>
        </w:rPr>
      </w:pPr>
      <w:r>
        <w:rPr>
          <w:rFonts w:ascii="Times New Roman" w:hAnsi="Times New Roman" w:cs="Times New Roman"/>
          <w:sz w:val="32"/>
        </w:rPr>
        <w:t>（5）预案中的其他重要信息发生变化的；</w:t>
      </w:r>
    </w:p>
    <w:p w14:paraId="1245E012">
      <w:pPr>
        <w:spacing w:line="560" w:lineRule="exact"/>
        <w:ind w:firstLine="632"/>
        <w:rPr>
          <w:rFonts w:ascii="Times New Roman" w:hAnsi="Times New Roman" w:cs="Times New Roman"/>
          <w:sz w:val="32"/>
        </w:rPr>
      </w:pPr>
      <w:r>
        <w:rPr>
          <w:rFonts w:ascii="Times New Roman" w:hAnsi="Times New Roman" w:cs="Times New Roman"/>
          <w:sz w:val="32"/>
        </w:rPr>
        <w:t>（6）在突发事件实际应对和应急演练中发现问题需要做出重大调整的；</w:t>
      </w:r>
    </w:p>
    <w:p w14:paraId="45F08CCF">
      <w:pPr>
        <w:spacing w:line="560" w:lineRule="exact"/>
        <w:ind w:firstLine="632"/>
        <w:rPr>
          <w:rFonts w:ascii="Times New Roman" w:hAnsi="Times New Roman" w:cs="Times New Roman"/>
          <w:sz w:val="32"/>
        </w:rPr>
      </w:pPr>
      <w:r>
        <w:rPr>
          <w:rFonts w:ascii="Times New Roman" w:hAnsi="Times New Roman" w:cs="Times New Roman"/>
          <w:sz w:val="32"/>
        </w:rPr>
        <w:t>（7）应急预案制定单位认为应当修订的其他情况。</w:t>
      </w:r>
    </w:p>
    <w:p w14:paraId="29A7B273">
      <w:pPr>
        <w:pStyle w:val="2"/>
        <w:numPr>
          <w:ilvl w:val="0"/>
          <w:numId w:val="233"/>
        </w:numPr>
        <w:tabs>
          <w:tab w:val="left" w:pos="0"/>
        </w:tabs>
        <w:rPr>
          <w:rFonts w:ascii="Times New Roman" w:hAnsi="Times New Roman" w:cs="Times New Roman"/>
          <w:sz w:val="32"/>
        </w:rPr>
      </w:pPr>
      <w:bookmarkStart w:id="1476" w:name="_Toc5367"/>
      <w:r>
        <w:rPr>
          <w:rFonts w:ascii="Times New Roman" w:hAnsi="Times New Roman" w:cs="Times New Roman"/>
          <w:sz w:val="32"/>
        </w:rPr>
        <w:t>预案解释与实施</w:t>
      </w:r>
      <w:bookmarkEnd w:id="1476"/>
    </w:p>
    <w:p w14:paraId="777017A5">
      <w:pPr>
        <w:spacing w:line="560" w:lineRule="exact"/>
        <w:ind w:firstLine="632"/>
        <w:rPr>
          <w:rFonts w:ascii="Times New Roman" w:hAnsi="Times New Roman" w:cs="Times New Roman"/>
          <w:sz w:val="32"/>
        </w:rPr>
      </w:pPr>
      <w:r>
        <w:rPr>
          <w:rFonts w:ascii="Times New Roman" w:hAnsi="Times New Roman" w:cs="Times New Roman"/>
          <w:sz w:val="32"/>
        </w:rPr>
        <w:t>本预案由集贤县处置重大刑事案件应急指挥部办公室负责解释。</w:t>
      </w:r>
    </w:p>
    <w:p w14:paraId="75610885">
      <w:pPr>
        <w:spacing w:line="560" w:lineRule="exact"/>
        <w:ind w:firstLine="632"/>
        <w:rPr>
          <w:rFonts w:ascii="Times New Roman" w:hAnsi="Times New Roman" w:cs="Times New Roman"/>
          <w:sz w:val="32"/>
        </w:rPr>
      </w:pPr>
      <w:r>
        <w:rPr>
          <w:rFonts w:ascii="Times New Roman" w:hAnsi="Times New Roman" w:cs="Times New Roman"/>
          <w:sz w:val="32"/>
        </w:rPr>
        <w:t>本预案自发布之日起施行。</w:t>
      </w:r>
    </w:p>
    <w:p w14:paraId="7A8600D0">
      <w:pPr>
        <w:spacing w:line="560" w:lineRule="exact"/>
        <w:ind w:firstLine="632"/>
        <w:rPr>
          <w:rFonts w:ascii="Times New Roman" w:hAnsi="Times New Roman" w:cs="Times New Roman"/>
          <w:sz w:val="32"/>
        </w:rPr>
      </w:pPr>
      <w:r>
        <w:rPr>
          <w:rFonts w:ascii="Times New Roman" w:hAnsi="Times New Roman" w:cs="Times New Roman"/>
          <w:sz w:val="32"/>
        </w:rPr>
        <w:br w:type="page"/>
      </w:r>
    </w:p>
    <w:p w14:paraId="0343D581">
      <w:pPr>
        <w:pStyle w:val="2"/>
        <w:numPr>
          <w:ilvl w:val="0"/>
          <w:numId w:val="0"/>
        </w:numPr>
        <w:rPr>
          <w:rFonts w:ascii="Times New Roman" w:hAnsi="Times New Roman" w:cs="Times New Roman"/>
          <w:sz w:val="32"/>
        </w:rPr>
      </w:pPr>
      <w:bookmarkStart w:id="1477" w:name="_Toc19598"/>
      <w:r>
        <w:rPr>
          <w:rFonts w:ascii="Times New Roman" w:hAnsi="Times New Roman" w:cs="Times New Roman"/>
          <w:sz w:val="32"/>
        </w:rPr>
        <w:t>附件1：刑事案件分级标准</w:t>
      </w:r>
      <w:bookmarkEnd w:id="1477"/>
    </w:p>
    <w:p w14:paraId="52E27718">
      <w:pPr>
        <w:spacing w:line="560" w:lineRule="exact"/>
        <w:ind w:firstLine="632"/>
        <w:rPr>
          <w:rFonts w:ascii="Times New Roman" w:hAnsi="Times New Roman" w:eastAsia="楷体_GB2312" w:cs="Times New Roman"/>
          <w:b/>
          <w:bCs/>
          <w:color w:val="444444"/>
          <w:sz w:val="32"/>
          <w:shd w:val="clear" w:color="auto" w:fill="FFFFFF"/>
        </w:rPr>
      </w:pPr>
      <w:r>
        <w:rPr>
          <w:rFonts w:hint="eastAsia" w:ascii="Times New Roman" w:hAnsi="Times New Roman" w:eastAsia="楷体_GB2312" w:cs="Times New Roman"/>
          <w:b/>
          <w:bCs/>
          <w:color w:val="444444"/>
          <w:sz w:val="32"/>
          <w:shd w:val="clear" w:color="auto" w:fill="FFFFFF"/>
        </w:rPr>
        <w:t>（一）</w:t>
      </w:r>
      <w:r>
        <w:rPr>
          <w:rFonts w:ascii="Times New Roman" w:hAnsi="Times New Roman" w:eastAsia="楷体_GB2312" w:cs="Times New Roman"/>
          <w:b/>
          <w:bCs/>
          <w:color w:val="444444"/>
          <w:sz w:val="32"/>
          <w:shd w:val="clear" w:color="auto" w:fill="FFFFFF"/>
        </w:rPr>
        <w:t>特别重大刑事案件包括：</w:t>
      </w:r>
    </w:p>
    <w:p w14:paraId="1BFC6CB9">
      <w:pPr>
        <w:spacing w:line="560" w:lineRule="exact"/>
        <w:ind w:firstLine="632"/>
        <w:rPr>
          <w:rFonts w:ascii="Times New Roman" w:hAnsi="Times New Roman" w:cs="Times New Roman"/>
          <w:sz w:val="32"/>
        </w:rPr>
      </w:pPr>
      <w:r>
        <w:rPr>
          <w:rFonts w:ascii="Times New Roman" w:hAnsi="Times New Roman" w:cs="Times New Roman"/>
          <w:sz w:val="32"/>
        </w:rPr>
        <w:t>（1）一次造成10人以上死亡的杀人、爆炸、纵火、毒气、投放危险物质和邮寄危险物品等案件，或在公共场所造成6人以上死亡的案件，或采取绑架、劫持人质等手段，造成恶劣社会影响或可能造成严重后果的案件；</w:t>
      </w:r>
    </w:p>
    <w:p w14:paraId="61896AAB">
      <w:pPr>
        <w:spacing w:line="560" w:lineRule="exact"/>
        <w:ind w:firstLine="632"/>
        <w:rPr>
          <w:rFonts w:ascii="Times New Roman" w:hAnsi="Times New Roman" w:cs="Times New Roman"/>
          <w:sz w:val="32"/>
        </w:rPr>
      </w:pPr>
      <w:r>
        <w:rPr>
          <w:rFonts w:ascii="Times New Roman" w:hAnsi="Times New Roman" w:cs="Times New Roman"/>
          <w:sz w:val="32"/>
        </w:rPr>
        <w:t>（2）抢劫金融机构或运钞车，盗窃金融机构现金100万元以上的案件；</w:t>
      </w:r>
    </w:p>
    <w:p w14:paraId="18DEB77D">
      <w:pPr>
        <w:spacing w:line="560" w:lineRule="exact"/>
        <w:ind w:firstLine="632"/>
        <w:rPr>
          <w:rFonts w:ascii="Times New Roman" w:hAnsi="Times New Roman" w:cs="Times New Roman"/>
          <w:sz w:val="32"/>
        </w:rPr>
      </w:pPr>
      <w:r>
        <w:rPr>
          <w:rFonts w:hint="eastAsia" w:ascii="Times New Roman" w:hAnsi="Times New Roman" w:cs="Times New Roman"/>
          <w:sz w:val="32"/>
        </w:rPr>
        <w:t>（3）</w:t>
      </w:r>
      <w:r>
        <w:rPr>
          <w:rFonts w:ascii="Times New Roman" w:hAnsi="Times New Roman" w:cs="Times New Roman"/>
          <w:sz w:val="32"/>
        </w:rPr>
        <w:t>在国内发生的劫持民用运输航空器、客轮和货轮等，或国内运输航空器、客轮和货轮等在境外被劫持案件；</w:t>
      </w:r>
    </w:p>
    <w:p w14:paraId="746BF4BB">
      <w:pPr>
        <w:spacing w:line="560" w:lineRule="exact"/>
        <w:ind w:firstLine="632"/>
        <w:rPr>
          <w:rFonts w:ascii="Times New Roman" w:hAnsi="Times New Roman" w:cs="Times New Roman"/>
          <w:sz w:val="32"/>
        </w:rPr>
      </w:pPr>
      <w:r>
        <w:rPr>
          <w:rFonts w:hint="eastAsia" w:ascii="Times New Roman" w:hAnsi="Times New Roman" w:cs="Times New Roman"/>
          <w:sz w:val="32"/>
        </w:rPr>
        <w:t>（4）</w:t>
      </w:r>
      <w:r>
        <w:rPr>
          <w:rFonts w:ascii="Times New Roman" w:hAnsi="Times New Roman" w:cs="Times New Roman"/>
          <w:sz w:val="32"/>
        </w:rPr>
        <w:t>抢劫、走私、盗窃军（警）用枪械10支以上的案件；</w:t>
      </w:r>
    </w:p>
    <w:p w14:paraId="1E0F12DF">
      <w:pPr>
        <w:spacing w:line="560" w:lineRule="exact"/>
        <w:ind w:firstLine="632"/>
        <w:rPr>
          <w:rFonts w:ascii="Times New Roman" w:hAnsi="Times New Roman" w:cs="Times New Roman"/>
          <w:sz w:val="32"/>
        </w:rPr>
      </w:pPr>
      <w:r>
        <w:rPr>
          <w:rFonts w:hint="eastAsia" w:ascii="Times New Roman" w:hAnsi="Times New Roman" w:cs="Times New Roman"/>
          <w:sz w:val="32"/>
        </w:rPr>
        <w:t>（5）</w:t>
      </w:r>
      <w:r>
        <w:rPr>
          <w:rFonts w:ascii="Times New Roman" w:hAnsi="Times New Roman" w:cs="Times New Roman"/>
          <w:sz w:val="32"/>
        </w:rPr>
        <w:t>危害性大的放射性材料或数量特大的炸药或雷管被盗、丢失案件</w:t>
      </w:r>
      <w:r>
        <w:rPr>
          <w:rFonts w:hint="eastAsia" w:ascii="Times New Roman" w:hAnsi="Times New Roman" w:cs="Times New Roman"/>
          <w:sz w:val="32"/>
        </w:rPr>
        <w:t>；</w:t>
      </w:r>
    </w:p>
    <w:p w14:paraId="7FE2635F">
      <w:pPr>
        <w:spacing w:line="560" w:lineRule="exact"/>
        <w:ind w:firstLine="632"/>
        <w:rPr>
          <w:rFonts w:ascii="Times New Roman" w:hAnsi="Times New Roman" w:cs="Times New Roman"/>
          <w:sz w:val="32"/>
        </w:rPr>
      </w:pPr>
      <w:r>
        <w:rPr>
          <w:rFonts w:hint="eastAsia" w:ascii="Times New Roman" w:hAnsi="Times New Roman" w:cs="Times New Roman"/>
          <w:sz w:val="32"/>
        </w:rPr>
        <w:t>（6）</w:t>
      </w:r>
      <w:r>
        <w:rPr>
          <w:rFonts w:ascii="Times New Roman" w:hAnsi="Times New Roman" w:cs="Times New Roman"/>
          <w:sz w:val="32"/>
        </w:rPr>
        <w:t>走私危害性大的放射性材料，走私固体废物达100吨以上的案件</w:t>
      </w:r>
      <w:r>
        <w:rPr>
          <w:rFonts w:hint="eastAsia" w:ascii="Times New Roman" w:hAnsi="Times New Roman" w:cs="Times New Roman"/>
          <w:sz w:val="32"/>
        </w:rPr>
        <w:t>；</w:t>
      </w:r>
    </w:p>
    <w:p w14:paraId="4FE95317">
      <w:pPr>
        <w:spacing w:line="560" w:lineRule="exact"/>
        <w:ind w:firstLine="632"/>
        <w:rPr>
          <w:rFonts w:ascii="Times New Roman" w:hAnsi="Times New Roman" w:cs="Times New Roman"/>
          <w:sz w:val="32"/>
        </w:rPr>
      </w:pPr>
      <w:r>
        <w:rPr>
          <w:rFonts w:hint="eastAsia" w:ascii="Times New Roman" w:hAnsi="Times New Roman" w:cs="Times New Roman"/>
          <w:sz w:val="32"/>
        </w:rPr>
        <w:t>（7）</w:t>
      </w:r>
      <w:r>
        <w:rPr>
          <w:rFonts w:ascii="Times New Roman" w:hAnsi="Times New Roman" w:cs="Times New Roman"/>
          <w:sz w:val="32"/>
        </w:rPr>
        <w:t>制服毒品（海洛因、冰毒）20公斤以上案件</w:t>
      </w:r>
      <w:r>
        <w:rPr>
          <w:rFonts w:hint="eastAsia" w:ascii="Times New Roman" w:hAnsi="Times New Roman" w:cs="Times New Roman"/>
          <w:sz w:val="32"/>
        </w:rPr>
        <w:t>；</w:t>
      </w:r>
    </w:p>
    <w:p w14:paraId="5F7EEFDD">
      <w:pPr>
        <w:spacing w:line="560" w:lineRule="exact"/>
        <w:ind w:firstLine="632"/>
        <w:rPr>
          <w:rFonts w:ascii="Times New Roman" w:hAnsi="Times New Roman" w:cs="Times New Roman"/>
          <w:sz w:val="32"/>
        </w:rPr>
      </w:pPr>
      <w:r>
        <w:rPr>
          <w:rFonts w:hint="eastAsia" w:ascii="Times New Roman" w:hAnsi="Times New Roman" w:cs="Times New Roman"/>
          <w:sz w:val="32"/>
        </w:rPr>
        <w:t>（8）</w:t>
      </w:r>
      <w:r>
        <w:rPr>
          <w:rFonts w:ascii="Times New Roman" w:hAnsi="Times New Roman" w:cs="Times New Roman"/>
          <w:sz w:val="32"/>
        </w:rPr>
        <w:t>盗窃、出卖、泄露及丢失国家秘密资料等可能造成严重后果的案件</w:t>
      </w:r>
      <w:r>
        <w:rPr>
          <w:rFonts w:hint="eastAsia" w:ascii="Times New Roman" w:hAnsi="Times New Roman" w:cs="Times New Roman"/>
          <w:sz w:val="32"/>
        </w:rPr>
        <w:t>；</w:t>
      </w:r>
    </w:p>
    <w:p w14:paraId="6D2D1BFD">
      <w:pPr>
        <w:spacing w:line="560" w:lineRule="exact"/>
        <w:ind w:firstLine="632"/>
        <w:rPr>
          <w:rFonts w:ascii="Times New Roman" w:hAnsi="Times New Roman" w:cs="Times New Roman"/>
          <w:sz w:val="32"/>
        </w:rPr>
      </w:pPr>
      <w:r>
        <w:rPr>
          <w:rFonts w:hint="eastAsia" w:ascii="Times New Roman" w:hAnsi="Times New Roman" w:cs="Times New Roman"/>
          <w:sz w:val="32"/>
        </w:rPr>
        <w:t>（9）</w:t>
      </w:r>
      <w:r>
        <w:rPr>
          <w:rFonts w:ascii="Times New Roman" w:hAnsi="Times New Roman" w:cs="Times New Roman"/>
          <w:sz w:val="32"/>
        </w:rPr>
        <w:t>攻击和破坏计算机网络、卫星通信、广播电视传输系统等，并对社会稳定造成特大影响的信息安全案件</w:t>
      </w:r>
      <w:r>
        <w:rPr>
          <w:rFonts w:hint="eastAsia" w:ascii="Times New Roman" w:hAnsi="Times New Roman" w:cs="Times New Roman"/>
          <w:sz w:val="32"/>
        </w:rPr>
        <w:t>；</w:t>
      </w:r>
    </w:p>
    <w:p w14:paraId="3936B32C">
      <w:pPr>
        <w:spacing w:line="560" w:lineRule="exact"/>
        <w:ind w:firstLine="632"/>
        <w:rPr>
          <w:rFonts w:ascii="Times New Roman" w:hAnsi="Times New Roman" w:cs="Times New Roman"/>
          <w:sz w:val="32"/>
        </w:rPr>
      </w:pPr>
      <w:r>
        <w:rPr>
          <w:rFonts w:hint="eastAsia" w:ascii="Times New Roman" w:hAnsi="Times New Roman" w:cs="Times New Roman"/>
          <w:sz w:val="32"/>
        </w:rPr>
        <w:t>（10）</w:t>
      </w:r>
      <w:r>
        <w:rPr>
          <w:rFonts w:ascii="Times New Roman" w:hAnsi="Times New Roman" w:cs="Times New Roman"/>
          <w:sz w:val="32"/>
        </w:rPr>
        <w:t>在我国境内发生的涉外、涉港澳台侨重大刑事案件。</w:t>
      </w:r>
    </w:p>
    <w:p w14:paraId="4BF329C3">
      <w:pPr>
        <w:spacing w:line="560" w:lineRule="exact"/>
        <w:ind w:firstLine="632"/>
        <w:rPr>
          <w:rFonts w:ascii="Times New Roman" w:hAnsi="Times New Roman" w:eastAsia="楷体_GB2312" w:cs="Times New Roman"/>
          <w:color w:val="444444"/>
          <w:sz w:val="32"/>
          <w:shd w:val="clear" w:color="auto" w:fill="FFFFFF"/>
        </w:rPr>
      </w:pPr>
    </w:p>
    <w:p w14:paraId="0A04E760">
      <w:pPr>
        <w:spacing w:line="560" w:lineRule="exact"/>
        <w:ind w:firstLine="632"/>
        <w:rPr>
          <w:rFonts w:ascii="Times New Roman" w:hAnsi="Times New Roman" w:eastAsia="楷体_GB2312" w:cs="Times New Roman"/>
          <w:b/>
          <w:bCs/>
          <w:color w:val="444444"/>
          <w:sz w:val="32"/>
          <w:shd w:val="clear" w:color="auto" w:fill="FFFFFF"/>
        </w:rPr>
      </w:pPr>
      <w:r>
        <w:rPr>
          <w:rFonts w:hint="eastAsia" w:ascii="Times New Roman" w:hAnsi="Times New Roman" w:eastAsia="楷体_GB2312" w:cs="Times New Roman"/>
          <w:b/>
          <w:bCs/>
          <w:color w:val="444444"/>
          <w:sz w:val="32"/>
          <w:shd w:val="clear" w:color="auto" w:fill="FFFFFF"/>
        </w:rPr>
        <w:t>（二）</w:t>
      </w:r>
      <w:r>
        <w:rPr>
          <w:rFonts w:ascii="Times New Roman" w:hAnsi="Times New Roman" w:eastAsia="楷体_GB2312" w:cs="Times New Roman"/>
          <w:b/>
          <w:bCs/>
          <w:color w:val="444444"/>
          <w:sz w:val="32"/>
          <w:shd w:val="clear" w:color="auto" w:fill="FFFFFF"/>
        </w:rPr>
        <w:t>重大刑事案件包括：</w:t>
      </w:r>
    </w:p>
    <w:p w14:paraId="7EA18B59">
      <w:pPr>
        <w:spacing w:line="560" w:lineRule="exact"/>
        <w:ind w:firstLine="1036" w:firstLineChars="328"/>
        <w:rPr>
          <w:rFonts w:ascii="Times New Roman" w:hAnsi="Times New Roman" w:cs="Times New Roman"/>
          <w:sz w:val="32"/>
        </w:rPr>
      </w:pPr>
      <w:r>
        <w:rPr>
          <w:rFonts w:hint="eastAsia" w:ascii="Times New Roman" w:hAnsi="Times New Roman" w:cs="Times New Roman"/>
          <w:sz w:val="32"/>
        </w:rPr>
        <w:t>（1）</w:t>
      </w:r>
      <w:r>
        <w:rPr>
          <w:rFonts w:ascii="Times New Roman" w:hAnsi="Times New Roman" w:cs="Times New Roman"/>
          <w:sz w:val="32"/>
        </w:rPr>
        <w:t>一次造成公共场所3人以上死亡，或学校内发生的造成人员伤亡、危害严重的杀人、爆炸、纵火、毒气、绑架、劫持人质和投入危险物质案件</w:t>
      </w:r>
      <w:r>
        <w:rPr>
          <w:rFonts w:hint="eastAsia" w:ascii="Times New Roman" w:hAnsi="Times New Roman" w:cs="Times New Roman"/>
          <w:sz w:val="32"/>
        </w:rPr>
        <w:t>；</w:t>
      </w:r>
    </w:p>
    <w:p w14:paraId="1F693091">
      <w:pPr>
        <w:spacing w:line="560" w:lineRule="exact"/>
        <w:ind w:firstLine="1036" w:firstLineChars="328"/>
        <w:rPr>
          <w:rFonts w:ascii="Times New Roman" w:hAnsi="Times New Roman" w:cs="Times New Roman"/>
          <w:sz w:val="32"/>
        </w:rPr>
      </w:pPr>
      <w:r>
        <w:rPr>
          <w:rFonts w:hint="eastAsia" w:ascii="Times New Roman" w:hAnsi="Times New Roman" w:cs="Times New Roman"/>
          <w:sz w:val="32"/>
        </w:rPr>
        <w:t>（2）</w:t>
      </w:r>
      <w:r>
        <w:rPr>
          <w:rFonts w:ascii="Times New Roman" w:hAnsi="Times New Roman" w:cs="Times New Roman"/>
          <w:sz w:val="32"/>
        </w:rPr>
        <w:t>劫持现金50万元以上或财物价值200万元以上，盗窃现金100万元以上的或财物价值300万元以上，或抢劫金融机构或运钞车，盗窃金融机构现金30万元以上的案件</w:t>
      </w:r>
      <w:r>
        <w:rPr>
          <w:rFonts w:hint="eastAsia" w:ascii="Times New Roman" w:hAnsi="Times New Roman" w:cs="Times New Roman"/>
          <w:sz w:val="32"/>
        </w:rPr>
        <w:t>；</w:t>
      </w:r>
    </w:p>
    <w:p w14:paraId="6F2B49AD">
      <w:pPr>
        <w:spacing w:line="560" w:lineRule="exact"/>
        <w:ind w:firstLine="1036" w:firstLineChars="328"/>
        <w:rPr>
          <w:rFonts w:ascii="Times New Roman" w:hAnsi="Times New Roman" w:cs="Times New Roman"/>
          <w:sz w:val="32"/>
        </w:rPr>
      </w:pPr>
      <w:r>
        <w:rPr>
          <w:rFonts w:hint="eastAsia" w:ascii="Times New Roman" w:hAnsi="Times New Roman" w:cs="Times New Roman"/>
          <w:sz w:val="32"/>
        </w:rPr>
        <w:t>（3）</w:t>
      </w:r>
      <w:r>
        <w:rPr>
          <w:rFonts w:ascii="Times New Roman" w:hAnsi="Times New Roman" w:cs="Times New Roman"/>
          <w:sz w:val="32"/>
        </w:rPr>
        <w:t>有组织团伙性制售假劣药品、医疗器械和有毒有害食品，对人体健康和生命安全造成威胁的案件</w:t>
      </w:r>
      <w:r>
        <w:rPr>
          <w:rFonts w:hint="eastAsia" w:ascii="Times New Roman" w:hAnsi="Times New Roman" w:cs="Times New Roman"/>
          <w:sz w:val="32"/>
        </w:rPr>
        <w:t>；</w:t>
      </w:r>
    </w:p>
    <w:p w14:paraId="0FA352E7">
      <w:pPr>
        <w:spacing w:line="560" w:lineRule="exact"/>
        <w:ind w:firstLine="1036" w:firstLineChars="328"/>
        <w:rPr>
          <w:rFonts w:ascii="Times New Roman" w:hAnsi="Times New Roman" w:cs="Times New Roman"/>
          <w:sz w:val="32"/>
        </w:rPr>
      </w:pPr>
      <w:r>
        <w:rPr>
          <w:rFonts w:hint="eastAsia" w:ascii="Times New Roman" w:hAnsi="Times New Roman" w:cs="Times New Roman"/>
          <w:sz w:val="32"/>
        </w:rPr>
        <w:t>（4）</w:t>
      </w:r>
      <w:r>
        <w:rPr>
          <w:rFonts w:ascii="Times New Roman" w:hAnsi="Times New Roman" w:cs="Times New Roman"/>
          <w:sz w:val="32"/>
        </w:rPr>
        <w:t>案值数额在2000万元以上的走私、骗汇、逃汇、洗钱、金融诈骗案、增值税发票及其它票证案，面值在200万元以上的制贩假币案件</w:t>
      </w:r>
      <w:r>
        <w:rPr>
          <w:rFonts w:hint="eastAsia" w:ascii="Times New Roman" w:hAnsi="Times New Roman" w:cs="Times New Roman"/>
          <w:sz w:val="32"/>
        </w:rPr>
        <w:t>；</w:t>
      </w:r>
    </w:p>
    <w:p w14:paraId="69F0E4CC">
      <w:pPr>
        <w:spacing w:line="560" w:lineRule="exact"/>
        <w:ind w:firstLine="1036" w:firstLineChars="328"/>
        <w:rPr>
          <w:rFonts w:ascii="Times New Roman" w:hAnsi="Times New Roman" w:cs="Times New Roman"/>
          <w:sz w:val="32"/>
        </w:rPr>
      </w:pPr>
      <w:r>
        <w:rPr>
          <w:rFonts w:hint="eastAsia" w:ascii="Times New Roman" w:hAnsi="Times New Roman" w:cs="Times New Roman"/>
          <w:sz w:val="32"/>
        </w:rPr>
        <w:t>（5）</w:t>
      </w:r>
      <w:r>
        <w:rPr>
          <w:rFonts w:ascii="Times New Roman" w:hAnsi="Times New Roman" w:cs="Times New Roman"/>
          <w:sz w:val="32"/>
        </w:rPr>
        <w:t>因假劣种子、化肥、农药等农用生产资料造成大面积绝收、减产的坑农案件</w:t>
      </w:r>
      <w:r>
        <w:rPr>
          <w:rFonts w:hint="eastAsia" w:ascii="Times New Roman" w:hAnsi="Times New Roman" w:cs="Times New Roman"/>
          <w:sz w:val="32"/>
        </w:rPr>
        <w:t>；</w:t>
      </w:r>
    </w:p>
    <w:p w14:paraId="050A3A42">
      <w:pPr>
        <w:spacing w:line="560" w:lineRule="exact"/>
        <w:ind w:firstLine="1036" w:firstLineChars="328"/>
        <w:rPr>
          <w:rFonts w:ascii="Times New Roman" w:hAnsi="Times New Roman" w:cs="Times New Roman"/>
          <w:sz w:val="32"/>
        </w:rPr>
      </w:pPr>
      <w:r>
        <w:rPr>
          <w:rFonts w:hint="eastAsia" w:ascii="Times New Roman" w:hAnsi="Times New Roman" w:cs="Times New Roman"/>
          <w:sz w:val="32"/>
        </w:rPr>
        <w:t>（6）</w:t>
      </w:r>
      <w:r>
        <w:rPr>
          <w:rFonts w:ascii="Times New Roman" w:hAnsi="Times New Roman" w:cs="Times New Roman"/>
          <w:sz w:val="32"/>
        </w:rPr>
        <w:t>非法猎捕、采集国家重点保护野生动植物和破坏物种资源致使物种或种群面临灭绝危险的重大案件</w:t>
      </w:r>
      <w:r>
        <w:rPr>
          <w:rFonts w:hint="eastAsia" w:ascii="Times New Roman" w:hAnsi="Times New Roman" w:cs="Times New Roman"/>
          <w:sz w:val="32"/>
        </w:rPr>
        <w:t>；</w:t>
      </w:r>
    </w:p>
    <w:p w14:paraId="4707879D">
      <w:pPr>
        <w:spacing w:line="560" w:lineRule="exact"/>
        <w:ind w:firstLine="1036" w:firstLineChars="328"/>
        <w:rPr>
          <w:rFonts w:ascii="Times New Roman" w:hAnsi="Times New Roman" w:cs="Times New Roman"/>
          <w:sz w:val="32"/>
        </w:rPr>
      </w:pPr>
      <w:r>
        <w:rPr>
          <w:rFonts w:hint="eastAsia" w:ascii="Times New Roman" w:hAnsi="Times New Roman" w:cs="Times New Roman"/>
          <w:sz w:val="32"/>
        </w:rPr>
        <w:t>（7）</w:t>
      </w:r>
      <w:r>
        <w:rPr>
          <w:rFonts w:ascii="Times New Roman" w:hAnsi="Times New Roman" w:cs="Times New Roman"/>
          <w:sz w:val="32"/>
        </w:rPr>
        <w:t>重大制贩毒品（海洛因、冰毒）案件</w:t>
      </w:r>
      <w:r>
        <w:rPr>
          <w:rFonts w:hint="eastAsia" w:ascii="Times New Roman" w:hAnsi="Times New Roman" w:cs="Times New Roman"/>
          <w:sz w:val="32"/>
        </w:rPr>
        <w:t>；</w:t>
      </w:r>
    </w:p>
    <w:p w14:paraId="65689F96">
      <w:pPr>
        <w:spacing w:line="560" w:lineRule="exact"/>
        <w:ind w:firstLine="1036" w:firstLineChars="328"/>
        <w:rPr>
          <w:rFonts w:ascii="Times New Roman" w:hAnsi="Times New Roman" w:cs="Times New Roman"/>
          <w:sz w:val="32"/>
        </w:rPr>
      </w:pPr>
      <w:r>
        <w:rPr>
          <w:rFonts w:hint="eastAsia" w:ascii="Times New Roman" w:hAnsi="Times New Roman" w:cs="Times New Roman"/>
          <w:sz w:val="32"/>
        </w:rPr>
        <w:t>（8）</w:t>
      </w:r>
      <w:r>
        <w:rPr>
          <w:rFonts w:ascii="Times New Roman" w:hAnsi="Times New Roman" w:cs="Times New Roman"/>
          <w:sz w:val="32"/>
        </w:rPr>
        <w:t>涉及50人以上，或者偷渡人员较多，且有人员伤亡，在国际上造成一定影响的偷渡案件。</w:t>
      </w:r>
    </w:p>
    <w:p w14:paraId="20827AE6">
      <w:pPr>
        <w:spacing w:line="560" w:lineRule="exact"/>
        <w:ind w:firstLine="1036" w:firstLineChars="328"/>
        <w:rPr>
          <w:rFonts w:ascii="Times New Roman" w:hAnsi="Times New Roman" w:cs="Times New Roman"/>
          <w:sz w:val="32"/>
        </w:rPr>
      </w:pPr>
      <w:r>
        <w:rPr>
          <w:rFonts w:ascii="Times New Roman" w:hAnsi="Times New Roman" w:cs="Times New Roman"/>
          <w:sz w:val="32"/>
        </w:rPr>
        <w:t>上述分级标准有关数量的表述中，“以上”含本数，“以下”不含本数。</w:t>
      </w:r>
    </w:p>
    <w:p w14:paraId="1CA53519">
      <w:pPr>
        <w:pStyle w:val="15"/>
        <w:ind w:left="0" w:leftChars="0" w:firstLine="0" w:firstLineChars="0"/>
        <w:rPr>
          <w:rFonts w:ascii="Times New Roman" w:hAnsi="Times New Roman" w:cs="Times New Roman"/>
        </w:rPr>
        <w:sectPr>
          <w:footerReference r:id="rId156" w:type="default"/>
          <w:footerReference r:id="rId157" w:type="even"/>
          <w:pgSz w:w="11906" w:h="16838"/>
          <w:pgMar w:top="2098" w:right="1474" w:bottom="1984" w:left="1587" w:header="624" w:footer="1134" w:gutter="0"/>
          <w:pgNumType w:start="1"/>
          <w:cols w:space="0" w:num="1"/>
          <w:docGrid w:type="linesAndChars" w:linePitch="579" w:charSpace="-842"/>
        </w:sectPr>
      </w:pPr>
    </w:p>
    <w:p w14:paraId="087A74A5">
      <w:pPr>
        <w:spacing w:line="560" w:lineRule="exact"/>
        <w:ind w:firstLine="632"/>
        <w:rPr>
          <w:rFonts w:ascii="Times New Roman" w:hAnsi="Times New Roman" w:cs="Times New Roman"/>
          <w:sz w:val="32"/>
        </w:rPr>
      </w:pPr>
    </w:p>
    <w:p w14:paraId="59B0290F">
      <w:pPr>
        <w:spacing w:line="560" w:lineRule="exact"/>
        <w:ind w:firstLine="632"/>
        <w:rPr>
          <w:rFonts w:ascii="Times New Roman" w:hAnsi="Times New Roman" w:cs="Times New Roman"/>
          <w:sz w:val="32"/>
        </w:rPr>
      </w:pPr>
    </w:p>
    <w:p w14:paraId="02827408">
      <w:pPr>
        <w:pStyle w:val="13"/>
        <w:ind w:firstLine="632"/>
        <w:rPr>
          <w:rFonts w:ascii="Times New Roman" w:hAnsi="Times New Roman" w:cs="Times New Roman"/>
        </w:rPr>
      </w:pPr>
    </w:p>
    <w:p w14:paraId="2001C2FF">
      <w:pPr>
        <w:spacing w:line="560" w:lineRule="exact"/>
        <w:ind w:firstLine="632"/>
        <w:rPr>
          <w:rFonts w:ascii="Times New Roman" w:hAnsi="Times New Roman" w:cs="Times New Roman"/>
          <w:sz w:val="32"/>
        </w:rPr>
      </w:pPr>
    </w:p>
    <w:p w14:paraId="74380A3D">
      <w:pPr>
        <w:ind w:firstLine="0" w:firstLineChars="0"/>
        <w:jc w:val="center"/>
        <w:rPr>
          <w:rFonts w:ascii="Times New Roman" w:hAnsi="Times New Roman" w:eastAsia="方正小标宋简体" w:cs="Times New Roman"/>
          <w:bCs/>
          <w:color w:val="000000"/>
          <w:spacing w:val="-6"/>
          <w:kern w:val="0"/>
          <w:sz w:val="52"/>
          <w:szCs w:val="52"/>
          <w:lang w:bidi="ar"/>
        </w:rPr>
      </w:pPr>
      <w:r>
        <w:rPr>
          <w:rFonts w:hint="eastAsia" w:ascii="Times New Roman" w:hAnsi="Times New Roman" w:eastAsia="方正小标宋简体" w:cs="Times New Roman"/>
          <w:bCs/>
          <w:color w:val="000000"/>
          <w:spacing w:val="-6"/>
          <w:kern w:val="0"/>
          <w:sz w:val="52"/>
          <w:szCs w:val="52"/>
          <w:lang w:bidi="ar"/>
        </w:rPr>
        <w:t>集贤县涉外突发事件应急预案</w:t>
      </w:r>
    </w:p>
    <w:p w14:paraId="1E3F9EBD">
      <w:pPr>
        <w:ind w:firstLine="0" w:firstLineChars="0"/>
        <w:jc w:val="center"/>
        <w:rPr>
          <w:rFonts w:ascii="Times New Roman" w:hAnsi="Times New Roman" w:eastAsia="方正小标宋简体" w:cs="Times New Roman"/>
          <w:bCs/>
          <w:color w:val="000000"/>
          <w:spacing w:val="-6"/>
          <w:kern w:val="0"/>
          <w:sz w:val="52"/>
          <w:szCs w:val="52"/>
          <w:lang w:bidi="ar"/>
        </w:rPr>
      </w:pPr>
      <w:r>
        <w:rPr>
          <w:rFonts w:hint="eastAsia" w:ascii="仿宋_GB2312" w:hAnsi="仿宋_GB2312" w:cs="仿宋_GB2312"/>
          <w:bCs/>
          <w:sz w:val="48"/>
          <w:szCs w:val="48"/>
        </w:rPr>
        <w:t>（修订稿）</w:t>
      </w:r>
    </w:p>
    <w:p w14:paraId="0704031E">
      <w:pPr>
        <w:pStyle w:val="11"/>
        <w:ind w:firstLine="0" w:firstLineChars="0"/>
        <w:jc w:val="center"/>
        <w:rPr>
          <w:rFonts w:ascii="Times New Roman" w:hAnsi="Times New Roman" w:eastAsia="黑体" w:cs="Times New Roman"/>
          <w:sz w:val="52"/>
          <w:szCs w:val="52"/>
        </w:rPr>
      </w:pPr>
    </w:p>
    <w:p w14:paraId="1244F95C">
      <w:pPr>
        <w:pStyle w:val="11"/>
        <w:ind w:firstLine="0" w:firstLineChars="0"/>
        <w:jc w:val="center"/>
        <w:rPr>
          <w:rFonts w:ascii="Times New Roman" w:hAnsi="Times New Roman" w:eastAsia="黑体" w:cs="Times New Roman"/>
          <w:sz w:val="52"/>
          <w:szCs w:val="52"/>
        </w:rPr>
      </w:pPr>
    </w:p>
    <w:p w14:paraId="2479939A">
      <w:pPr>
        <w:pStyle w:val="11"/>
        <w:ind w:firstLine="0" w:firstLineChars="0"/>
        <w:jc w:val="center"/>
        <w:rPr>
          <w:rFonts w:ascii="Times New Roman" w:hAnsi="Times New Roman" w:eastAsia="黑体" w:cs="Times New Roman"/>
          <w:sz w:val="52"/>
          <w:szCs w:val="52"/>
        </w:rPr>
      </w:pPr>
    </w:p>
    <w:p w14:paraId="7F231F98">
      <w:pPr>
        <w:pStyle w:val="11"/>
        <w:ind w:firstLine="0" w:firstLineChars="0"/>
        <w:jc w:val="center"/>
        <w:rPr>
          <w:rFonts w:ascii="Times New Roman" w:hAnsi="Times New Roman" w:eastAsia="黑体" w:cs="Times New Roman"/>
          <w:sz w:val="52"/>
          <w:szCs w:val="52"/>
        </w:rPr>
      </w:pPr>
    </w:p>
    <w:p w14:paraId="53792352">
      <w:pPr>
        <w:pStyle w:val="11"/>
        <w:ind w:firstLine="0" w:firstLineChars="0"/>
        <w:jc w:val="center"/>
        <w:rPr>
          <w:rFonts w:ascii="Times New Roman" w:hAnsi="Times New Roman" w:eastAsia="楷体_GB2312" w:cs="Times New Roman"/>
          <w:spacing w:val="-12"/>
          <w:sz w:val="44"/>
          <w:szCs w:val="44"/>
        </w:rPr>
      </w:pPr>
    </w:p>
    <w:p w14:paraId="054F95EB">
      <w:pPr>
        <w:pStyle w:val="11"/>
        <w:ind w:firstLine="0" w:firstLineChars="0"/>
        <w:jc w:val="center"/>
        <w:rPr>
          <w:rFonts w:ascii="Times New Roman" w:hAnsi="Times New Roman" w:eastAsia="楷体_GB2312" w:cs="Times New Roman"/>
          <w:spacing w:val="-12"/>
          <w:sz w:val="44"/>
          <w:szCs w:val="44"/>
        </w:rPr>
      </w:pPr>
    </w:p>
    <w:p w14:paraId="3ECECF43">
      <w:pPr>
        <w:pStyle w:val="11"/>
        <w:ind w:firstLine="0" w:firstLineChars="0"/>
        <w:jc w:val="center"/>
        <w:rPr>
          <w:rFonts w:ascii="Times New Roman" w:hAnsi="Times New Roman" w:eastAsia="楷体_GB2312" w:cs="Times New Roman"/>
          <w:spacing w:val="-12"/>
          <w:sz w:val="44"/>
          <w:szCs w:val="44"/>
        </w:rPr>
      </w:pPr>
    </w:p>
    <w:p w14:paraId="7AAAE720">
      <w:pPr>
        <w:pStyle w:val="11"/>
        <w:ind w:firstLine="0" w:firstLineChars="0"/>
        <w:jc w:val="center"/>
        <w:rPr>
          <w:rFonts w:ascii="Times New Roman" w:hAnsi="Times New Roman" w:eastAsia="楷体_GB2312" w:cs="Times New Roman"/>
          <w:spacing w:val="-12"/>
          <w:sz w:val="44"/>
          <w:szCs w:val="44"/>
        </w:rPr>
      </w:pPr>
    </w:p>
    <w:p w14:paraId="63343715">
      <w:pPr>
        <w:ind w:firstLine="0" w:firstLineChars="0"/>
        <w:jc w:val="center"/>
        <w:rPr>
          <w:rFonts w:ascii="Times New Roman" w:hAnsi="Times New Roman" w:cs="Times New Roman"/>
          <w:bCs/>
          <w:spacing w:val="-6"/>
          <w:sz w:val="36"/>
          <w:szCs w:val="24"/>
          <w:lang w:bidi="ar"/>
        </w:rPr>
      </w:pPr>
      <w:r>
        <w:rPr>
          <w:rFonts w:ascii="Times New Roman" w:hAnsi="Times New Roman" w:cs="Times New Roman"/>
          <w:bCs/>
          <w:spacing w:val="-6"/>
          <w:sz w:val="36"/>
          <w:szCs w:val="24"/>
          <w:lang w:bidi="ar"/>
        </w:rPr>
        <w:t>集贤县人民政府 编制</w:t>
      </w:r>
    </w:p>
    <w:p w14:paraId="1FCF9D49">
      <w:pPr>
        <w:ind w:firstLine="0" w:firstLineChars="0"/>
        <w:jc w:val="center"/>
        <w:rPr>
          <w:rFonts w:ascii="Times New Roman" w:hAnsi="Times New Roman" w:cs="Times New Roman"/>
          <w:bCs/>
          <w:spacing w:val="-6"/>
          <w:sz w:val="36"/>
          <w:szCs w:val="24"/>
          <w:lang w:bidi="ar"/>
        </w:rPr>
      </w:pPr>
      <w:r>
        <w:rPr>
          <w:rFonts w:ascii="Times New Roman" w:hAnsi="Times New Roman" w:cs="Times New Roman"/>
          <w:bCs/>
          <w:spacing w:val="-6"/>
          <w:sz w:val="36"/>
          <w:szCs w:val="24"/>
          <w:lang w:bidi="ar"/>
        </w:rPr>
        <w:t>2025年5月</w:t>
      </w:r>
    </w:p>
    <w:p w14:paraId="53045873">
      <w:pPr>
        <w:spacing w:line="560" w:lineRule="exact"/>
        <w:ind w:firstLine="608"/>
        <w:rPr>
          <w:rFonts w:ascii="Times New Roman" w:hAnsi="Times New Roman" w:cs="Times New Roman"/>
          <w:bCs/>
          <w:spacing w:val="-6"/>
          <w:sz w:val="32"/>
          <w:lang w:bidi="ar"/>
        </w:rPr>
      </w:pPr>
      <w:r>
        <w:rPr>
          <w:rFonts w:ascii="Times New Roman" w:hAnsi="Times New Roman" w:cs="Times New Roman"/>
          <w:bCs/>
          <w:spacing w:val="-6"/>
          <w:sz w:val="32"/>
          <w:lang w:bidi="ar"/>
        </w:rPr>
        <w:br w:type="page"/>
      </w:r>
    </w:p>
    <w:p w14:paraId="5FE8A1CA">
      <w:pPr>
        <w:pStyle w:val="42"/>
        <w:rPr>
          <w:rFonts w:ascii="Times New Roman" w:hAnsi="Times New Roman"/>
        </w:rPr>
      </w:pPr>
    </w:p>
    <w:sdt>
      <w:sdtPr>
        <w:rPr>
          <w:rFonts w:ascii="Times New Roman" w:hAnsi="Times New Roman" w:cs="Times New Roman"/>
          <w:b/>
          <w:bCs/>
          <w:sz w:val="32"/>
        </w:rPr>
        <w:id w:val="147460871"/>
        <w15:color w:val="DBDBDB"/>
        <w:docPartObj>
          <w:docPartGallery w:val="Table of Contents"/>
          <w:docPartUnique/>
        </w:docPartObj>
      </w:sdtPr>
      <w:sdtEndPr>
        <w:rPr>
          <w:rFonts w:ascii="Times New Roman" w:hAnsi="Times New Roman" w:eastAsia="仿宋" w:cs="Times New Roman"/>
          <w:b/>
          <w:bCs/>
          <w:sz w:val="32"/>
        </w:rPr>
      </w:sdtEndPr>
      <w:sdtContent>
        <w:p w14:paraId="0C25FC1E">
          <w:pPr>
            <w:spacing w:line="560" w:lineRule="exact"/>
            <w:ind w:firstLine="0" w:firstLineChars="0"/>
            <w:jc w:val="center"/>
            <w:rPr>
              <w:rFonts w:ascii="Times New Roman" w:hAnsi="Times New Roman" w:cs="Times New Roman"/>
              <w:sz w:val="32"/>
            </w:rPr>
          </w:pPr>
          <w:r>
            <w:rPr>
              <w:rFonts w:ascii="Times New Roman" w:hAnsi="Times New Roman" w:cs="Times New Roman"/>
              <w:b/>
              <w:bCs/>
              <w:sz w:val="32"/>
            </w:rPr>
            <w:t>目  录</w:t>
          </w:r>
        </w:p>
        <w:p w14:paraId="4205ED72">
          <w:pPr>
            <w:pStyle w:val="18"/>
            <w:rPr>
              <w:sz w:val="32"/>
            </w:rPr>
          </w:pPr>
          <w:r>
            <w:rPr>
              <w:rFonts w:ascii="Times New Roman" w:hAnsi="Times New Roman" w:cs="Times New Roman"/>
              <w:sz w:val="32"/>
            </w:rPr>
            <w:fldChar w:fldCharType="begin"/>
          </w:r>
          <w:r>
            <w:rPr>
              <w:rFonts w:ascii="Times New Roman" w:hAnsi="Times New Roman" w:cs="Times New Roman"/>
              <w:sz w:val="32"/>
            </w:rPr>
            <w:instrText xml:space="preserve">TOC \o "1-2" \h \u </w:instrText>
          </w:r>
          <w:r>
            <w:rPr>
              <w:rFonts w:ascii="Times New Roman" w:hAnsi="Times New Roman" w:cs="Times New Roman"/>
              <w:sz w:val="32"/>
            </w:rPr>
            <w:fldChar w:fldCharType="separate"/>
          </w:r>
          <w:r>
            <w:fldChar w:fldCharType="begin"/>
          </w:r>
          <w:r>
            <w:instrText xml:space="preserve"> HYPERLINK \l "_Toc23237" </w:instrText>
          </w:r>
          <w:r>
            <w:fldChar w:fldCharType="separate"/>
          </w:r>
          <w:r>
            <w:rPr>
              <w:rFonts w:ascii="Times New Roman" w:hAnsi="Times New Roman" w:eastAsia="仿宋" w:cs="Times New Roman"/>
              <w:sz w:val="32"/>
            </w:rPr>
            <w:t xml:space="preserve">1 </w:t>
          </w:r>
          <w:r>
            <w:rPr>
              <w:rFonts w:ascii="Times New Roman" w:hAnsi="Times New Roman" w:eastAsia="黑体" w:cs="Times New Roman"/>
              <w:sz w:val="32"/>
            </w:rPr>
            <w:t>总则</w:t>
          </w:r>
          <w:r>
            <w:rPr>
              <w:sz w:val="32"/>
            </w:rPr>
            <w:tab/>
          </w:r>
          <w:r>
            <w:rPr>
              <w:sz w:val="32"/>
            </w:rPr>
            <w:fldChar w:fldCharType="begin"/>
          </w:r>
          <w:r>
            <w:rPr>
              <w:sz w:val="32"/>
            </w:rPr>
            <w:instrText xml:space="preserve"> PAGEREF _Toc23237 \h </w:instrText>
          </w:r>
          <w:r>
            <w:rPr>
              <w:sz w:val="32"/>
            </w:rPr>
            <w:fldChar w:fldCharType="separate"/>
          </w:r>
          <w:r>
            <w:rPr>
              <w:sz w:val="32"/>
            </w:rPr>
            <w:t>1</w:t>
          </w:r>
          <w:r>
            <w:rPr>
              <w:sz w:val="32"/>
            </w:rPr>
            <w:fldChar w:fldCharType="end"/>
          </w:r>
          <w:r>
            <w:rPr>
              <w:sz w:val="32"/>
            </w:rPr>
            <w:fldChar w:fldCharType="end"/>
          </w:r>
        </w:p>
        <w:p w14:paraId="3C5FDC02">
          <w:pPr>
            <w:pStyle w:val="19"/>
            <w:tabs>
              <w:tab w:val="right" w:leader="dot" w:pos="8845"/>
            </w:tabs>
            <w:ind w:firstLine="552"/>
            <w:rPr>
              <w:sz w:val="32"/>
            </w:rPr>
          </w:pPr>
          <w:r>
            <w:fldChar w:fldCharType="begin"/>
          </w:r>
          <w:r>
            <w:instrText xml:space="preserve"> HYPERLINK \l "_Toc440" </w:instrText>
          </w:r>
          <w:r>
            <w:fldChar w:fldCharType="separate"/>
          </w:r>
          <w:r>
            <w:rPr>
              <w:rFonts w:ascii="Times New Roman" w:hAnsi="Times New Roman" w:eastAsia="仿宋" w:cs="Times New Roman"/>
              <w:bCs/>
              <w:sz w:val="32"/>
            </w:rPr>
            <w:t xml:space="preserve">1.1 </w:t>
          </w:r>
          <w:r>
            <w:rPr>
              <w:rFonts w:ascii="Times New Roman" w:hAnsi="Times New Roman" w:eastAsia="楷体_GB2312" w:cs="Times New Roman"/>
              <w:sz w:val="32"/>
            </w:rPr>
            <w:t>编制目的</w:t>
          </w:r>
          <w:r>
            <w:rPr>
              <w:sz w:val="32"/>
            </w:rPr>
            <w:tab/>
          </w:r>
          <w:r>
            <w:rPr>
              <w:sz w:val="32"/>
            </w:rPr>
            <w:fldChar w:fldCharType="begin"/>
          </w:r>
          <w:r>
            <w:rPr>
              <w:sz w:val="32"/>
            </w:rPr>
            <w:instrText xml:space="preserve"> PAGEREF _Toc440 \h </w:instrText>
          </w:r>
          <w:r>
            <w:rPr>
              <w:sz w:val="32"/>
            </w:rPr>
            <w:fldChar w:fldCharType="separate"/>
          </w:r>
          <w:r>
            <w:rPr>
              <w:sz w:val="32"/>
            </w:rPr>
            <w:t>1</w:t>
          </w:r>
          <w:r>
            <w:rPr>
              <w:sz w:val="32"/>
            </w:rPr>
            <w:fldChar w:fldCharType="end"/>
          </w:r>
          <w:r>
            <w:rPr>
              <w:sz w:val="32"/>
            </w:rPr>
            <w:fldChar w:fldCharType="end"/>
          </w:r>
        </w:p>
        <w:p w14:paraId="35B4AB45">
          <w:pPr>
            <w:pStyle w:val="19"/>
            <w:tabs>
              <w:tab w:val="right" w:leader="dot" w:pos="8845"/>
            </w:tabs>
            <w:ind w:firstLine="552"/>
            <w:rPr>
              <w:sz w:val="32"/>
            </w:rPr>
          </w:pPr>
          <w:r>
            <w:fldChar w:fldCharType="begin"/>
          </w:r>
          <w:r>
            <w:instrText xml:space="preserve"> HYPERLINK \l "_Toc4201" </w:instrText>
          </w:r>
          <w:r>
            <w:fldChar w:fldCharType="separate"/>
          </w:r>
          <w:r>
            <w:rPr>
              <w:rFonts w:ascii="Times New Roman" w:hAnsi="Times New Roman" w:eastAsia="仿宋" w:cs="Times New Roman"/>
              <w:bCs/>
              <w:sz w:val="32"/>
            </w:rPr>
            <w:t xml:space="preserve">1.2 </w:t>
          </w:r>
          <w:r>
            <w:rPr>
              <w:rFonts w:ascii="Times New Roman" w:hAnsi="Times New Roman" w:eastAsia="楷体_GB2312" w:cs="Times New Roman"/>
              <w:sz w:val="32"/>
            </w:rPr>
            <w:t>编制依据</w:t>
          </w:r>
          <w:r>
            <w:rPr>
              <w:sz w:val="32"/>
            </w:rPr>
            <w:tab/>
          </w:r>
          <w:r>
            <w:rPr>
              <w:sz w:val="32"/>
            </w:rPr>
            <w:fldChar w:fldCharType="begin"/>
          </w:r>
          <w:r>
            <w:rPr>
              <w:sz w:val="32"/>
            </w:rPr>
            <w:instrText xml:space="preserve"> PAGEREF _Toc4201 \h </w:instrText>
          </w:r>
          <w:r>
            <w:rPr>
              <w:sz w:val="32"/>
            </w:rPr>
            <w:fldChar w:fldCharType="separate"/>
          </w:r>
          <w:r>
            <w:rPr>
              <w:sz w:val="32"/>
            </w:rPr>
            <w:t>1</w:t>
          </w:r>
          <w:r>
            <w:rPr>
              <w:sz w:val="32"/>
            </w:rPr>
            <w:fldChar w:fldCharType="end"/>
          </w:r>
          <w:r>
            <w:rPr>
              <w:sz w:val="32"/>
            </w:rPr>
            <w:fldChar w:fldCharType="end"/>
          </w:r>
        </w:p>
        <w:p w14:paraId="64B52E37">
          <w:pPr>
            <w:pStyle w:val="19"/>
            <w:tabs>
              <w:tab w:val="right" w:leader="dot" w:pos="8845"/>
            </w:tabs>
            <w:ind w:firstLine="552"/>
            <w:rPr>
              <w:sz w:val="32"/>
            </w:rPr>
          </w:pPr>
          <w:r>
            <w:fldChar w:fldCharType="begin"/>
          </w:r>
          <w:r>
            <w:instrText xml:space="preserve"> HYPERLINK \l "_Toc4456" </w:instrText>
          </w:r>
          <w:r>
            <w:fldChar w:fldCharType="separate"/>
          </w:r>
          <w:r>
            <w:rPr>
              <w:rFonts w:ascii="Times New Roman" w:hAnsi="Times New Roman" w:eastAsia="仿宋" w:cs="Times New Roman"/>
              <w:bCs/>
              <w:sz w:val="32"/>
            </w:rPr>
            <w:t xml:space="preserve">1.3 </w:t>
          </w:r>
          <w:r>
            <w:rPr>
              <w:rFonts w:ascii="Times New Roman" w:hAnsi="Times New Roman" w:eastAsia="楷体_GB2312" w:cs="Times New Roman"/>
              <w:sz w:val="32"/>
            </w:rPr>
            <w:t>适用范围</w:t>
          </w:r>
          <w:r>
            <w:rPr>
              <w:sz w:val="32"/>
            </w:rPr>
            <w:tab/>
          </w:r>
          <w:r>
            <w:rPr>
              <w:sz w:val="32"/>
            </w:rPr>
            <w:fldChar w:fldCharType="begin"/>
          </w:r>
          <w:r>
            <w:rPr>
              <w:sz w:val="32"/>
            </w:rPr>
            <w:instrText xml:space="preserve"> PAGEREF _Toc4456 \h </w:instrText>
          </w:r>
          <w:r>
            <w:rPr>
              <w:sz w:val="32"/>
            </w:rPr>
            <w:fldChar w:fldCharType="separate"/>
          </w:r>
          <w:r>
            <w:rPr>
              <w:sz w:val="32"/>
            </w:rPr>
            <w:t>1</w:t>
          </w:r>
          <w:r>
            <w:rPr>
              <w:sz w:val="32"/>
            </w:rPr>
            <w:fldChar w:fldCharType="end"/>
          </w:r>
          <w:r>
            <w:rPr>
              <w:sz w:val="32"/>
            </w:rPr>
            <w:fldChar w:fldCharType="end"/>
          </w:r>
        </w:p>
        <w:p w14:paraId="4914E786">
          <w:pPr>
            <w:pStyle w:val="19"/>
            <w:tabs>
              <w:tab w:val="right" w:leader="dot" w:pos="8845"/>
            </w:tabs>
            <w:ind w:firstLine="552"/>
            <w:rPr>
              <w:sz w:val="32"/>
            </w:rPr>
          </w:pPr>
          <w:r>
            <w:fldChar w:fldCharType="begin"/>
          </w:r>
          <w:r>
            <w:instrText xml:space="preserve"> HYPERLINK \l "_Toc8230" </w:instrText>
          </w:r>
          <w:r>
            <w:fldChar w:fldCharType="separate"/>
          </w:r>
          <w:r>
            <w:rPr>
              <w:rFonts w:ascii="Times New Roman" w:hAnsi="Times New Roman" w:eastAsia="仿宋" w:cs="Times New Roman"/>
              <w:bCs/>
              <w:sz w:val="32"/>
            </w:rPr>
            <w:t xml:space="preserve">1.4 </w:t>
          </w:r>
          <w:r>
            <w:rPr>
              <w:rFonts w:ascii="Times New Roman" w:hAnsi="Times New Roman" w:eastAsia="楷体_GB2312" w:cs="Times New Roman"/>
              <w:sz w:val="32"/>
            </w:rPr>
            <w:t>工作原则</w:t>
          </w:r>
          <w:r>
            <w:rPr>
              <w:sz w:val="32"/>
            </w:rPr>
            <w:tab/>
          </w:r>
          <w:r>
            <w:rPr>
              <w:sz w:val="32"/>
            </w:rPr>
            <w:fldChar w:fldCharType="begin"/>
          </w:r>
          <w:r>
            <w:rPr>
              <w:sz w:val="32"/>
            </w:rPr>
            <w:instrText xml:space="preserve"> PAGEREF _Toc8230 \h </w:instrText>
          </w:r>
          <w:r>
            <w:rPr>
              <w:sz w:val="32"/>
            </w:rPr>
            <w:fldChar w:fldCharType="separate"/>
          </w:r>
          <w:r>
            <w:rPr>
              <w:sz w:val="32"/>
            </w:rPr>
            <w:t>1</w:t>
          </w:r>
          <w:r>
            <w:rPr>
              <w:sz w:val="32"/>
            </w:rPr>
            <w:fldChar w:fldCharType="end"/>
          </w:r>
          <w:r>
            <w:rPr>
              <w:sz w:val="32"/>
            </w:rPr>
            <w:fldChar w:fldCharType="end"/>
          </w:r>
        </w:p>
        <w:p w14:paraId="021325F7">
          <w:pPr>
            <w:pStyle w:val="18"/>
            <w:rPr>
              <w:sz w:val="32"/>
            </w:rPr>
          </w:pPr>
          <w:r>
            <w:fldChar w:fldCharType="begin"/>
          </w:r>
          <w:r>
            <w:instrText xml:space="preserve"> HYPERLINK \l "_Toc13290" </w:instrText>
          </w:r>
          <w:r>
            <w:fldChar w:fldCharType="separate"/>
          </w:r>
          <w:r>
            <w:rPr>
              <w:rFonts w:ascii="Times New Roman" w:hAnsi="Times New Roman" w:eastAsia="仿宋" w:cs="Times New Roman"/>
              <w:sz w:val="32"/>
            </w:rPr>
            <w:t xml:space="preserve">2 </w:t>
          </w:r>
          <w:r>
            <w:rPr>
              <w:rFonts w:ascii="Times New Roman" w:hAnsi="Times New Roman" w:eastAsia="黑体" w:cs="Times New Roman"/>
              <w:sz w:val="32"/>
            </w:rPr>
            <w:t>组织指挥体系</w:t>
          </w:r>
          <w:r>
            <w:rPr>
              <w:sz w:val="32"/>
            </w:rPr>
            <w:tab/>
          </w:r>
          <w:r>
            <w:rPr>
              <w:sz w:val="32"/>
            </w:rPr>
            <w:fldChar w:fldCharType="begin"/>
          </w:r>
          <w:r>
            <w:rPr>
              <w:sz w:val="32"/>
            </w:rPr>
            <w:instrText xml:space="preserve"> PAGEREF _Toc13290 \h </w:instrText>
          </w:r>
          <w:r>
            <w:rPr>
              <w:sz w:val="32"/>
            </w:rPr>
            <w:fldChar w:fldCharType="separate"/>
          </w:r>
          <w:r>
            <w:rPr>
              <w:sz w:val="32"/>
            </w:rPr>
            <w:t>3</w:t>
          </w:r>
          <w:r>
            <w:rPr>
              <w:sz w:val="32"/>
            </w:rPr>
            <w:fldChar w:fldCharType="end"/>
          </w:r>
          <w:r>
            <w:rPr>
              <w:sz w:val="32"/>
            </w:rPr>
            <w:fldChar w:fldCharType="end"/>
          </w:r>
        </w:p>
        <w:p w14:paraId="21149B60">
          <w:pPr>
            <w:pStyle w:val="19"/>
            <w:tabs>
              <w:tab w:val="right" w:leader="dot" w:pos="8845"/>
            </w:tabs>
            <w:ind w:firstLine="552"/>
            <w:rPr>
              <w:sz w:val="32"/>
            </w:rPr>
          </w:pPr>
          <w:r>
            <w:fldChar w:fldCharType="begin"/>
          </w:r>
          <w:r>
            <w:instrText xml:space="preserve"> HYPERLINK \l "_Toc6422" </w:instrText>
          </w:r>
          <w:r>
            <w:fldChar w:fldCharType="separate"/>
          </w:r>
          <w:r>
            <w:rPr>
              <w:rFonts w:ascii="Times New Roman" w:hAnsi="Times New Roman" w:eastAsia="仿宋" w:cs="Times New Roman"/>
              <w:bCs/>
              <w:sz w:val="32"/>
            </w:rPr>
            <w:t xml:space="preserve">2.1 </w:t>
          </w:r>
          <w:r>
            <w:rPr>
              <w:rFonts w:ascii="Times New Roman" w:hAnsi="Times New Roman" w:eastAsia="楷体_GB2312" w:cs="Times New Roman"/>
              <w:sz w:val="32"/>
            </w:rPr>
            <w:t>组织指挥体系</w:t>
          </w:r>
          <w:r>
            <w:rPr>
              <w:sz w:val="32"/>
            </w:rPr>
            <w:tab/>
          </w:r>
          <w:r>
            <w:rPr>
              <w:sz w:val="32"/>
            </w:rPr>
            <w:fldChar w:fldCharType="begin"/>
          </w:r>
          <w:r>
            <w:rPr>
              <w:sz w:val="32"/>
            </w:rPr>
            <w:instrText xml:space="preserve"> PAGEREF _Toc6422 \h </w:instrText>
          </w:r>
          <w:r>
            <w:rPr>
              <w:sz w:val="32"/>
            </w:rPr>
            <w:fldChar w:fldCharType="separate"/>
          </w:r>
          <w:r>
            <w:rPr>
              <w:sz w:val="32"/>
            </w:rPr>
            <w:t>3</w:t>
          </w:r>
          <w:r>
            <w:rPr>
              <w:sz w:val="32"/>
            </w:rPr>
            <w:fldChar w:fldCharType="end"/>
          </w:r>
          <w:r>
            <w:rPr>
              <w:sz w:val="32"/>
            </w:rPr>
            <w:fldChar w:fldCharType="end"/>
          </w:r>
        </w:p>
        <w:p w14:paraId="54934577">
          <w:pPr>
            <w:pStyle w:val="19"/>
            <w:tabs>
              <w:tab w:val="right" w:leader="dot" w:pos="8845"/>
            </w:tabs>
            <w:ind w:firstLine="552"/>
            <w:rPr>
              <w:sz w:val="32"/>
            </w:rPr>
          </w:pPr>
          <w:r>
            <w:fldChar w:fldCharType="begin"/>
          </w:r>
          <w:r>
            <w:instrText xml:space="preserve"> HYPERLINK \l "_Toc9946" </w:instrText>
          </w:r>
          <w:r>
            <w:fldChar w:fldCharType="separate"/>
          </w:r>
          <w:r>
            <w:rPr>
              <w:rFonts w:ascii="Times New Roman" w:hAnsi="Times New Roman" w:eastAsia="仿宋" w:cs="Times New Roman"/>
              <w:bCs/>
              <w:sz w:val="32"/>
            </w:rPr>
            <w:t xml:space="preserve">2.2 </w:t>
          </w:r>
          <w:r>
            <w:rPr>
              <w:rFonts w:ascii="Times New Roman" w:hAnsi="Times New Roman" w:eastAsia="楷体_GB2312" w:cs="Times New Roman"/>
              <w:sz w:val="32"/>
            </w:rPr>
            <w:t>职责分工</w:t>
          </w:r>
          <w:r>
            <w:rPr>
              <w:sz w:val="32"/>
            </w:rPr>
            <w:tab/>
          </w:r>
          <w:r>
            <w:rPr>
              <w:sz w:val="32"/>
            </w:rPr>
            <w:fldChar w:fldCharType="begin"/>
          </w:r>
          <w:r>
            <w:rPr>
              <w:sz w:val="32"/>
            </w:rPr>
            <w:instrText xml:space="preserve"> PAGEREF _Toc9946 \h </w:instrText>
          </w:r>
          <w:r>
            <w:rPr>
              <w:sz w:val="32"/>
            </w:rPr>
            <w:fldChar w:fldCharType="separate"/>
          </w:r>
          <w:r>
            <w:rPr>
              <w:sz w:val="32"/>
            </w:rPr>
            <w:t>4</w:t>
          </w:r>
          <w:r>
            <w:rPr>
              <w:sz w:val="32"/>
            </w:rPr>
            <w:fldChar w:fldCharType="end"/>
          </w:r>
          <w:r>
            <w:rPr>
              <w:sz w:val="32"/>
            </w:rPr>
            <w:fldChar w:fldCharType="end"/>
          </w:r>
        </w:p>
        <w:p w14:paraId="531C042F">
          <w:pPr>
            <w:pStyle w:val="18"/>
            <w:rPr>
              <w:sz w:val="32"/>
            </w:rPr>
          </w:pPr>
          <w:r>
            <w:fldChar w:fldCharType="begin"/>
          </w:r>
          <w:r>
            <w:instrText xml:space="preserve"> HYPERLINK \l "_Toc10660" </w:instrText>
          </w:r>
          <w:r>
            <w:fldChar w:fldCharType="separate"/>
          </w:r>
          <w:r>
            <w:rPr>
              <w:rFonts w:ascii="Times New Roman" w:hAnsi="Times New Roman" w:eastAsia="仿宋" w:cs="Times New Roman"/>
              <w:sz w:val="32"/>
            </w:rPr>
            <w:t xml:space="preserve">3 </w:t>
          </w:r>
          <w:r>
            <w:rPr>
              <w:rFonts w:ascii="Times New Roman" w:hAnsi="Times New Roman" w:eastAsia="黑体" w:cs="Times New Roman"/>
              <w:sz w:val="32"/>
            </w:rPr>
            <w:t>监测预警</w:t>
          </w:r>
          <w:r>
            <w:rPr>
              <w:sz w:val="32"/>
            </w:rPr>
            <w:tab/>
          </w:r>
          <w:r>
            <w:rPr>
              <w:sz w:val="32"/>
            </w:rPr>
            <w:fldChar w:fldCharType="begin"/>
          </w:r>
          <w:r>
            <w:rPr>
              <w:sz w:val="32"/>
            </w:rPr>
            <w:instrText xml:space="preserve"> PAGEREF _Toc10660 \h </w:instrText>
          </w:r>
          <w:r>
            <w:rPr>
              <w:sz w:val="32"/>
            </w:rPr>
            <w:fldChar w:fldCharType="separate"/>
          </w:r>
          <w:r>
            <w:rPr>
              <w:sz w:val="32"/>
            </w:rPr>
            <w:t>7</w:t>
          </w:r>
          <w:r>
            <w:rPr>
              <w:sz w:val="32"/>
            </w:rPr>
            <w:fldChar w:fldCharType="end"/>
          </w:r>
          <w:r>
            <w:rPr>
              <w:sz w:val="32"/>
            </w:rPr>
            <w:fldChar w:fldCharType="end"/>
          </w:r>
        </w:p>
        <w:p w14:paraId="46F7B98F">
          <w:pPr>
            <w:pStyle w:val="19"/>
            <w:tabs>
              <w:tab w:val="right" w:leader="dot" w:pos="8845"/>
            </w:tabs>
            <w:ind w:firstLine="552"/>
            <w:rPr>
              <w:sz w:val="32"/>
            </w:rPr>
          </w:pPr>
          <w:r>
            <w:fldChar w:fldCharType="begin"/>
          </w:r>
          <w:r>
            <w:instrText xml:space="preserve"> HYPERLINK \l "_Toc12594" </w:instrText>
          </w:r>
          <w:r>
            <w:fldChar w:fldCharType="separate"/>
          </w:r>
          <w:r>
            <w:rPr>
              <w:rFonts w:ascii="Times New Roman" w:hAnsi="Times New Roman" w:eastAsia="仿宋" w:cs="Times New Roman"/>
              <w:bCs/>
              <w:sz w:val="32"/>
            </w:rPr>
            <w:t xml:space="preserve">3.1 </w:t>
          </w:r>
          <w:r>
            <w:rPr>
              <w:rFonts w:ascii="Times New Roman" w:hAnsi="Times New Roman" w:eastAsia="楷体_GB2312" w:cs="Times New Roman"/>
              <w:sz w:val="32"/>
            </w:rPr>
            <w:t>监测</w:t>
          </w:r>
          <w:r>
            <w:rPr>
              <w:sz w:val="32"/>
            </w:rPr>
            <w:tab/>
          </w:r>
          <w:r>
            <w:rPr>
              <w:sz w:val="32"/>
            </w:rPr>
            <w:fldChar w:fldCharType="begin"/>
          </w:r>
          <w:r>
            <w:rPr>
              <w:sz w:val="32"/>
            </w:rPr>
            <w:instrText xml:space="preserve"> PAGEREF _Toc12594 \h </w:instrText>
          </w:r>
          <w:r>
            <w:rPr>
              <w:sz w:val="32"/>
            </w:rPr>
            <w:fldChar w:fldCharType="separate"/>
          </w:r>
          <w:r>
            <w:rPr>
              <w:sz w:val="32"/>
            </w:rPr>
            <w:t>7</w:t>
          </w:r>
          <w:r>
            <w:rPr>
              <w:sz w:val="32"/>
            </w:rPr>
            <w:fldChar w:fldCharType="end"/>
          </w:r>
          <w:r>
            <w:rPr>
              <w:sz w:val="32"/>
            </w:rPr>
            <w:fldChar w:fldCharType="end"/>
          </w:r>
        </w:p>
        <w:p w14:paraId="5788925A">
          <w:pPr>
            <w:pStyle w:val="19"/>
            <w:tabs>
              <w:tab w:val="right" w:leader="dot" w:pos="8845"/>
            </w:tabs>
            <w:ind w:firstLine="552"/>
            <w:rPr>
              <w:sz w:val="32"/>
            </w:rPr>
          </w:pPr>
          <w:r>
            <w:fldChar w:fldCharType="begin"/>
          </w:r>
          <w:r>
            <w:instrText xml:space="preserve"> HYPERLINK \l "_Toc28217" </w:instrText>
          </w:r>
          <w:r>
            <w:fldChar w:fldCharType="separate"/>
          </w:r>
          <w:r>
            <w:rPr>
              <w:rFonts w:ascii="Times New Roman" w:hAnsi="Times New Roman" w:eastAsia="仿宋" w:cs="Times New Roman"/>
              <w:bCs/>
              <w:sz w:val="32"/>
            </w:rPr>
            <w:t xml:space="preserve">3.2 </w:t>
          </w:r>
          <w:r>
            <w:rPr>
              <w:rFonts w:ascii="Times New Roman" w:hAnsi="Times New Roman" w:eastAsia="楷体_GB2312" w:cs="Times New Roman"/>
              <w:sz w:val="32"/>
            </w:rPr>
            <w:t>预警分级</w:t>
          </w:r>
          <w:r>
            <w:rPr>
              <w:sz w:val="32"/>
            </w:rPr>
            <w:tab/>
          </w:r>
          <w:r>
            <w:rPr>
              <w:sz w:val="32"/>
            </w:rPr>
            <w:fldChar w:fldCharType="begin"/>
          </w:r>
          <w:r>
            <w:rPr>
              <w:sz w:val="32"/>
            </w:rPr>
            <w:instrText xml:space="preserve"> PAGEREF _Toc28217 \h </w:instrText>
          </w:r>
          <w:r>
            <w:rPr>
              <w:sz w:val="32"/>
            </w:rPr>
            <w:fldChar w:fldCharType="separate"/>
          </w:r>
          <w:r>
            <w:rPr>
              <w:sz w:val="32"/>
            </w:rPr>
            <w:t>7</w:t>
          </w:r>
          <w:r>
            <w:rPr>
              <w:sz w:val="32"/>
            </w:rPr>
            <w:fldChar w:fldCharType="end"/>
          </w:r>
          <w:r>
            <w:rPr>
              <w:sz w:val="32"/>
            </w:rPr>
            <w:fldChar w:fldCharType="end"/>
          </w:r>
        </w:p>
        <w:p w14:paraId="396EA903">
          <w:pPr>
            <w:pStyle w:val="19"/>
            <w:tabs>
              <w:tab w:val="right" w:leader="dot" w:pos="8845"/>
            </w:tabs>
            <w:ind w:firstLine="552"/>
            <w:rPr>
              <w:sz w:val="32"/>
            </w:rPr>
          </w:pPr>
          <w:r>
            <w:fldChar w:fldCharType="begin"/>
          </w:r>
          <w:r>
            <w:instrText xml:space="preserve"> HYPERLINK \l "_Toc29118" </w:instrText>
          </w:r>
          <w:r>
            <w:fldChar w:fldCharType="separate"/>
          </w:r>
          <w:r>
            <w:rPr>
              <w:rFonts w:ascii="Times New Roman" w:hAnsi="Times New Roman" w:eastAsia="仿宋" w:cs="Times New Roman"/>
              <w:bCs/>
              <w:sz w:val="32"/>
            </w:rPr>
            <w:t xml:space="preserve">3.3 </w:t>
          </w:r>
          <w:r>
            <w:rPr>
              <w:rFonts w:ascii="Times New Roman" w:hAnsi="Times New Roman" w:eastAsia="楷体_GB2312" w:cs="Times New Roman"/>
              <w:sz w:val="32"/>
            </w:rPr>
            <w:t>预警响应</w:t>
          </w:r>
          <w:r>
            <w:rPr>
              <w:sz w:val="32"/>
            </w:rPr>
            <w:tab/>
          </w:r>
          <w:r>
            <w:rPr>
              <w:sz w:val="32"/>
            </w:rPr>
            <w:fldChar w:fldCharType="begin"/>
          </w:r>
          <w:r>
            <w:rPr>
              <w:sz w:val="32"/>
            </w:rPr>
            <w:instrText xml:space="preserve"> PAGEREF _Toc29118 \h </w:instrText>
          </w:r>
          <w:r>
            <w:rPr>
              <w:sz w:val="32"/>
            </w:rPr>
            <w:fldChar w:fldCharType="separate"/>
          </w:r>
          <w:r>
            <w:rPr>
              <w:sz w:val="32"/>
            </w:rPr>
            <w:t>8</w:t>
          </w:r>
          <w:r>
            <w:rPr>
              <w:sz w:val="32"/>
            </w:rPr>
            <w:fldChar w:fldCharType="end"/>
          </w:r>
          <w:r>
            <w:rPr>
              <w:sz w:val="32"/>
            </w:rPr>
            <w:fldChar w:fldCharType="end"/>
          </w:r>
        </w:p>
        <w:p w14:paraId="2E36715C">
          <w:pPr>
            <w:pStyle w:val="18"/>
            <w:rPr>
              <w:sz w:val="32"/>
            </w:rPr>
          </w:pPr>
          <w:r>
            <w:fldChar w:fldCharType="begin"/>
          </w:r>
          <w:r>
            <w:instrText xml:space="preserve"> HYPERLINK \l "_Toc22096" </w:instrText>
          </w:r>
          <w:r>
            <w:fldChar w:fldCharType="separate"/>
          </w:r>
          <w:r>
            <w:rPr>
              <w:rFonts w:ascii="Times New Roman" w:hAnsi="Times New Roman" w:eastAsia="仿宋" w:cs="Times New Roman"/>
              <w:sz w:val="32"/>
            </w:rPr>
            <w:t xml:space="preserve">4 </w:t>
          </w:r>
          <w:r>
            <w:rPr>
              <w:rFonts w:ascii="Times New Roman" w:hAnsi="Times New Roman" w:eastAsia="黑体" w:cs="Times New Roman"/>
              <w:sz w:val="32"/>
            </w:rPr>
            <w:t>应急响应</w:t>
          </w:r>
          <w:r>
            <w:rPr>
              <w:sz w:val="32"/>
            </w:rPr>
            <w:tab/>
          </w:r>
          <w:r>
            <w:rPr>
              <w:sz w:val="32"/>
            </w:rPr>
            <w:fldChar w:fldCharType="begin"/>
          </w:r>
          <w:r>
            <w:rPr>
              <w:sz w:val="32"/>
            </w:rPr>
            <w:instrText xml:space="preserve"> PAGEREF _Toc22096 \h </w:instrText>
          </w:r>
          <w:r>
            <w:rPr>
              <w:sz w:val="32"/>
            </w:rPr>
            <w:fldChar w:fldCharType="separate"/>
          </w:r>
          <w:r>
            <w:rPr>
              <w:sz w:val="32"/>
            </w:rPr>
            <w:t>9</w:t>
          </w:r>
          <w:r>
            <w:rPr>
              <w:sz w:val="32"/>
            </w:rPr>
            <w:fldChar w:fldCharType="end"/>
          </w:r>
          <w:r>
            <w:rPr>
              <w:sz w:val="32"/>
            </w:rPr>
            <w:fldChar w:fldCharType="end"/>
          </w:r>
        </w:p>
        <w:p w14:paraId="6A425633">
          <w:pPr>
            <w:pStyle w:val="19"/>
            <w:tabs>
              <w:tab w:val="right" w:leader="dot" w:pos="8845"/>
            </w:tabs>
            <w:ind w:firstLine="552"/>
            <w:rPr>
              <w:sz w:val="32"/>
            </w:rPr>
          </w:pPr>
          <w:r>
            <w:fldChar w:fldCharType="begin"/>
          </w:r>
          <w:r>
            <w:instrText xml:space="preserve"> HYPERLINK \l "_Toc15980" </w:instrText>
          </w:r>
          <w:r>
            <w:fldChar w:fldCharType="separate"/>
          </w:r>
          <w:r>
            <w:rPr>
              <w:rFonts w:ascii="Times New Roman" w:hAnsi="Times New Roman" w:eastAsia="仿宋" w:cs="Times New Roman"/>
              <w:bCs/>
              <w:sz w:val="32"/>
            </w:rPr>
            <w:t xml:space="preserve">4.1 </w:t>
          </w:r>
          <w:r>
            <w:rPr>
              <w:rFonts w:ascii="Times New Roman" w:hAnsi="Times New Roman" w:eastAsia="楷体_GB2312" w:cs="Times New Roman"/>
              <w:sz w:val="32"/>
            </w:rPr>
            <w:t>应急启动</w:t>
          </w:r>
          <w:r>
            <w:rPr>
              <w:sz w:val="32"/>
            </w:rPr>
            <w:tab/>
          </w:r>
          <w:r>
            <w:rPr>
              <w:sz w:val="32"/>
            </w:rPr>
            <w:fldChar w:fldCharType="begin"/>
          </w:r>
          <w:r>
            <w:rPr>
              <w:sz w:val="32"/>
            </w:rPr>
            <w:instrText xml:space="preserve"> PAGEREF _Toc15980 \h </w:instrText>
          </w:r>
          <w:r>
            <w:rPr>
              <w:sz w:val="32"/>
            </w:rPr>
            <w:fldChar w:fldCharType="separate"/>
          </w:r>
          <w:r>
            <w:rPr>
              <w:sz w:val="32"/>
            </w:rPr>
            <w:t>9</w:t>
          </w:r>
          <w:r>
            <w:rPr>
              <w:sz w:val="32"/>
            </w:rPr>
            <w:fldChar w:fldCharType="end"/>
          </w:r>
          <w:r>
            <w:rPr>
              <w:sz w:val="32"/>
            </w:rPr>
            <w:fldChar w:fldCharType="end"/>
          </w:r>
        </w:p>
        <w:p w14:paraId="1FD394DD">
          <w:pPr>
            <w:pStyle w:val="19"/>
            <w:tabs>
              <w:tab w:val="right" w:leader="dot" w:pos="8845"/>
            </w:tabs>
            <w:ind w:firstLine="552"/>
            <w:rPr>
              <w:sz w:val="32"/>
            </w:rPr>
          </w:pPr>
          <w:r>
            <w:fldChar w:fldCharType="begin"/>
          </w:r>
          <w:r>
            <w:instrText xml:space="preserve"> HYPERLINK \l "_Toc23311" </w:instrText>
          </w:r>
          <w:r>
            <w:fldChar w:fldCharType="separate"/>
          </w:r>
          <w:r>
            <w:rPr>
              <w:rFonts w:ascii="Times New Roman" w:hAnsi="Times New Roman" w:eastAsia="仿宋" w:cs="Times New Roman"/>
              <w:bCs/>
              <w:sz w:val="32"/>
            </w:rPr>
            <w:t xml:space="preserve">4.2 </w:t>
          </w:r>
          <w:r>
            <w:rPr>
              <w:rFonts w:ascii="Times New Roman" w:hAnsi="Times New Roman" w:eastAsia="楷体_GB2312" w:cs="Times New Roman"/>
              <w:sz w:val="32"/>
            </w:rPr>
            <w:t>应急处置</w:t>
          </w:r>
          <w:r>
            <w:rPr>
              <w:sz w:val="32"/>
            </w:rPr>
            <w:tab/>
          </w:r>
          <w:r>
            <w:rPr>
              <w:sz w:val="32"/>
            </w:rPr>
            <w:fldChar w:fldCharType="begin"/>
          </w:r>
          <w:r>
            <w:rPr>
              <w:sz w:val="32"/>
            </w:rPr>
            <w:instrText xml:space="preserve"> PAGEREF _Toc23311 \h </w:instrText>
          </w:r>
          <w:r>
            <w:rPr>
              <w:sz w:val="32"/>
            </w:rPr>
            <w:fldChar w:fldCharType="separate"/>
          </w:r>
          <w:r>
            <w:rPr>
              <w:sz w:val="32"/>
            </w:rPr>
            <w:t>9</w:t>
          </w:r>
          <w:r>
            <w:rPr>
              <w:sz w:val="32"/>
            </w:rPr>
            <w:fldChar w:fldCharType="end"/>
          </w:r>
          <w:r>
            <w:rPr>
              <w:sz w:val="32"/>
            </w:rPr>
            <w:fldChar w:fldCharType="end"/>
          </w:r>
        </w:p>
        <w:p w14:paraId="4B807AA5">
          <w:pPr>
            <w:pStyle w:val="19"/>
            <w:tabs>
              <w:tab w:val="right" w:leader="dot" w:pos="8845"/>
            </w:tabs>
            <w:ind w:firstLine="552"/>
            <w:rPr>
              <w:sz w:val="32"/>
            </w:rPr>
          </w:pPr>
          <w:r>
            <w:fldChar w:fldCharType="begin"/>
          </w:r>
          <w:r>
            <w:instrText xml:space="preserve"> HYPERLINK \l "_Toc752" </w:instrText>
          </w:r>
          <w:r>
            <w:fldChar w:fldCharType="separate"/>
          </w:r>
          <w:r>
            <w:rPr>
              <w:rFonts w:ascii="Times New Roman" w:hAnsi="Times New Roman" w:eastAsia="仿宋" w:cs="Times New Roman"/>
              <w:bCs/>
              <w:sz w:val="32"/>
            </w:rPr>
            <w:t xml:space="preserve">4.3 </w:t>
          </w:r>
          <w:r>
            <w:rPr>
              <w:rFonts w:ascii="Times New Roman" w:hAnsi="Times New Roman" w:eastAsia="楷体_GB2312" w:cs="Times New Roman"/>
              <w:sz w:val="32"/>
            </w:rPr>
            <w:t>信息发布</w:t>
          </w:r>
          <w:r>
            <w:rPr>
              <w:sz w:val="32"/>
            </w:rPr>
            <w:tab/>
          </w:r>
          <w:r>
            <w:rPr>
              <w:sz w:val="32"/>
            </w:rPr>
            <w:fldChar w:fldCharType="begin"/>
          </w:r>
          <w:r>
            <w:rPr>
              <w:sz w:val="32"/>
            </w:rPr>
            <w:instrText xml:space="preserve"> PAGEREF _Toc752 \h </w:instrText>
          </w:r>
          <w:r>
            <w:rPr>
              <w:sz w:val="32"/>
            </w:rPr>
            <w:fldChar w:fldCharType="separate"/>
          </w:r>
          <w:r>
            <w:rPr>
              <w:sz w:val="32"/>
            </w:rPr>
            <w:t>11</w:t>
          </w:r>
          <w:r>
            <w:rPr>
              <w:sz w:val="32"/>
            </w:rPr>
            <w:fldChar w:fldCharType="end"/>
          </w:r>
          <w:r>
            <w:rPr>
              <w:sz w:val="32"/>
            </w:rPr>
            <w:fldChar w:fldCharType="end"/>
          </w:r>
        </w:p>
        <w:p w14:paraId="0281061B">
          <w:pPr>
            <w:pStyle w:val="19"/>
            <w:tabs>
              <w:tab w:val="right" w:leader="dot" w:pos="8845"/>
            </w:tabs>
            <w:ind w:firstLine="552"/>
            <w:rPr>
              <w:sz w:val="32"/>
            </w:rPr>
          </w:pPr>
          <w:r>
            <w:fldChar w:fldCharType="begin"/>
          </w:r>
          <w:r>
            <w:instrText xml:space="preserve"> HYPERLINK \l "_Toc23521" </w:instrText>
          </w:r>
          <w:r>
            <w:fldChar w:fldCharType="separate"/>
          </w:r>
          <w:r>
            <w:rPr>
              <w:rFonts w:ascii="Times New Roman" w:hAnsi="Times New Roman" w:eastAsia="仿宋" w:cs="Times New Roman"/>
              <w:bCs/>
              <w:sz w:val="32"/>
            </w:rPr>
            <w:t xml:space="preserve">4.4 </w:t>
          </w:r>
          <w:r>
            <w:rPr>
              <w:rFonts w:ascii="Times New Roman" w:hAnsi="Times New Roman" w:eastAsia="楷体_GB2312" w:cs="Times New Roman"/>
              <w:sz w:val="32"/>
            </w:rPr>
            <w:t>应急结束</w:t>
          </w:r>
          <w:r>
            <w:rPr>
              <w:sz w:val="32"/>
            </w:rPr>
            <w:tab/>
          </w:r>
          <w:r>
            <w:rPr>
              <w:sz w:val="32"/>
            </w:rPr>
            <w:fldChar w:fldCharType="begin"/>
          </w:r>
          <w:r>
            <w:rPr>
              <w:sz w:val="32"/>
            </w:rPr>
            <w:instrText xml:space="preserve"> PAGEREF _Toc23521 \h </w:instrText>
          </w:r>
          <w:r>
            <w:rPr>
              <w:sz w:val="32"/>
            </w:rPr>
            <w:fldChar w:fldCharType="separate"/>
          </w:r>
          <w:r>
            <w:rPr>
              <w:sz w:val="32"/>
            </w:rPr>
            <w:t>11</w:t>
          </w:r>
          <w:r>
            <w:rPr>
              <w:sz w:val="32"/>
            </w:rPr>
            <w:fldChar w:fldCharType="end"/>
          </w:r>
          <w:r>
            <w:rPr>
              <w:sz w:val="32"/>
            </w:rPr>
            <w:fldChar w:fldCharType="end"/>
          </w:r>
        </w:p>
        <w:p w14:paraId="60255BAB">
          <w:pPr>
            <w:pStyle w:val="18"/>
            <w:rPr>
              <w:sz w:val="32"/>
            </w:rPr>
          </w:pPr>
          <w:r>
            <w:fldChar w:fldCharType="begin"/>
          </w:r>
          <w:r>
            <w:instrText xml:space="preserve"> HYPERLINK \l "_Toc16773" </w:instrText>
          </w:r>
          <w:r>
            <w:fldChar w:fldCharType="separate"/>
          </w:r>
          <w:r>
            <w:rPr>
              <w:rFonts w:ascii="Times New Roman" w:hAnsi="Times New Roman" w:eastAsia="仿宋" w:cs="Times New Roman"/>
              <w:sz w:val="32"/>
            </w:rPr>
            <w:t xml:space="preserve">5 </w:t>
          </w:r>
          <w:r>
            <w:rPr>
              <w:rFonts w:ascii="Times New Roman" w:hAnsi="Times New Roman" w:eastAsia="黑体" w:cs="Times New Roman"/>
              <w:sz w:val="32"/>
            </w:rPr>
            <w:t>后期处置</w:t>
          </w:r>
          <w:r>
            <w:rPr>
              <w:sz w:val="32"/>
            </w:rPr>
            <w:tab/>
          </w:r>
          <w:r>
            <w:rPr>
              <w:sz w:val="32"/>
            </w:rPr>
            <w:fldChar w:fldCharType="begin"/>
          </w:r>
          <w:r>
            <w:rPr>
              <w:sz w:val="32"/>
            </w:rPr>
            <w:instrText xml:space="preserve"> PAGEREF _Toc16773 \h </w:instrText>
          </w:r>
          <w:r>
            <w:rPr>
              <w:sz w:val="32"/>
            </w:rPr>
            <w:fldChar w:fldCharType="separate"/>
          </w:r>
          <w:r>
            <w:rPr>
              <w:sz w:val="32"/>
            </w:rPr>
            <w:t>11</w:t>
          </w:r>
          <w:r>
            <w:rPr>
              <w:sz w:val="32"/>
            </w:rPr>
            <w:fldChar w:fldCharType="end"/>
          </w:r>
          <w:r>
            <w:rPr>
              <w:sz w:val="32"/>
            </w:rPr>
            <w:fldChar w:fldCharType="end"/>
          </w:r>
        </w:p>
        <w:p w14:paraId="49BD79CC">
          <w:pPr>
            <w:pStyle w:val="18"/>
            <w:rPr>
              <w:sz w:val="32"/>
            </w:rPr>
          </w:pPr>
          <w:r>
            <w:fldChar w:fldCharType="begin"/>
          </w:r>
          <w:r>
            <w:instrText xml:space="preserve"> HYPERLINK \l "_Toc22690" </w:instrText>
          </w:r>
          <w:r>
            <w:fldChar w:fldCharType="separate"/>
          </w:r>
          <w:r>
            <w:rPr>
              <w:rFonts w:ascii="Times New Roman" w:hAnsi="Times New Roman" w:eastAsia="仿宋" w:cs="Times New Roman"/>
              <w:sz w:val="32"/>
            </w:rPr>
            <w:t xml:space="preserve">6 </w:t>
          </w:r>
          <w:r>
            <w:rPr>
              <w:rFonts w:ascii="Times New Roman" w:hAnsi="Times New Roman" w:eastAsia="黑体" w:cs="Times New Roman"/>
              <w:sz w:val="32"/>
            </w:rPr>
            <w:t>应急保障</w:t>
          </w:r>
          <w:r>
            <w:rPr>
              <w:sz w:val="32"/>
            </w:rPr>
            <w:tab/>
          </w:r>
          <w:r>
            <w:rPr>
              <w:sz w:val="32"/>
            </w:rPr>
            <w:fldChar w:fldCharType="begin"/>
          </w:r>
          <w:r>
            <w:rPr>
              <w:sz w:val="32"/>
            </w:rPr>
            <w:instrText xml:space="preserve"> PAGEREF _Toc22690 \h </w:instrText>
          </w:r>
          <w:r>
            <w:rPr>
              <w:sz w:val="32"/>
            </w:rPr>
            <w:fldChar w:fldCharType="separate"/>
          </w:r>
          <w:r>
            <w:rPr>
              <w:sz w:val="32"/>
            </w:rPr>
            <w:t>12</w:t>
          </w:r>
          <w:r>
            <w:rPr>
              <w:sz w:val="32"/>
            </w:rPr>
            <w:fldChar w:fldCharType="end"/>
          </w:r>
          <w:r>
            <w:rPr>
              <w:sz w:val="32"/>
            </w:rPr>
            <w:fldChar w:fldCharType="end"/>
          </w:r>
        </w:p>
        <w:p w14:paraId="5AC467DC">
          <w:pPr>
            <w:pStyle w:val="19"/>
            <w:tabs>
              <w:tab w:val="right" w:leader="dot" w:pos="8845"/>
            </w:tabs>
            <w:ind w:firstLine="552"/>
            <w:rPr>
              <w:sz w:val="32"/>
            </w:rPr>
          </w:pPr>
          <w:r>
            <w:fldChar w:fldCharType="begin"/>
          </w:r>
          <w:r>
            <w:instrText xml:space="preserve"> HYPERLINK \l "_Toc12001" </w:instrText>
          </w:r>
          <w:r>
            <w:fldChar w:fldCharType="separate"/>
          </w:r>
          <w:r>
            <w:rPr>
              <w:rFonts w:ascii="Times New Roman" w:hAnsi="Times New Roman" w:eastAsia="仿宋" w:cs="Times New Roman"/>
              <w:bCs/>
              <w:sz w:val="32"/>
            </w:rPr>
            <w:t xml:space="preserve">6.1 </w:t>
          </w:r>
          <w:r>
            <w:rPr>
              <w:rFonts w:ascii="Times New Roman" w:hAnsi="Times New Roman" w:eastAsia="楷体_GB2312" w:cs="Times New Roman"/>
              <w:sz w:val="32"/>
            </w:rPr>
            <w:t>队伍保障</w:t>
          </w:r>
          <w:r>
            <w:rPr>
              <w:sz w:val="32"/>
            </w:rPr>
            <w:tab/>
          </w:r>
          <w:r>
            <w:rPr>
              <w:sz w:val="32"/>
            </w:rPr>
            <w:fldChar w:fldCharType="begin"/>
          </w:r>
          <w:r>
            <w:rPr>
              <w:sz w:val="32"/>
            </w:rPr>
            <w:instrText xml:space="preserve"> PAGEREF _Toc12001 \h </w:instrText>
          </w:r>
          <w:r>
            <w:rPr>
              <w:sz w:val="32"/>
            </w:rPr>
            <w:fldChar w:fldCharType="separate"/>
          </w:r>
          <w:r>
            <w:rPr>
              <w:sz w:val="32"/>
            </w:rPr>
            <w:t>12</w:t>
          </w:r>
          <w:r>
            <w:rPr>
              <w:sz w:val="32"/>
            </w:rPr>
            <w:fldChar w:fldCharType="end"/>
          </w:r>
          <w:r>
            <w:rPr>
              <w:sz w:val="32"/>
            </w:rPr>
            <w:fldChar w:fldCharType="end"/>
          </w:r>
        </w:p>
        <w:p w14:paraId="7151C069">
          <w:pPr>
            <w:pStyle w:val="19"/>
            <w:tabs>
              <w:tab w:val="right" w:leader="dot" w:pos="8845"/>
            </w:tabs>
            <w:ind w:firstLine="552"/>
            <w:rPr>
              <w:sz w:val="32"/>
            </w:rPr>
          </w:pPr>
          <w:r>
            <w:fldChar w:fldCharType="begin"/>
          </w:r>
          <w:r>
            <w:instrText xml:space="preserve"> HYPERLINK \l "_Toc15958" </w:instrText>
          </w:r>
          <w:r>
            <w:fldChar w:fldCharType="separate"/>
          </w:r>
          <w:r>
            <w:rPr>
              <w:rFonts w:ascii="Times New Roman" w:hAnsi="Times New Roman" w:eastAsia="仿宋" w:cs="Times New Roman"/>
              <w:bCs/>
              <w:sz w:val="32"/>
            </w:rPr>
            <w:t xml:space="preserve">6.2 </w:t>
          </w:r>
          <w:r>
            <w:rPr>
              <w:rFonts w:ascii="Times New Roman" w:hAnsi="Times New Roman" w:eastAsia="楷体_GB2312" w:cs="Times New Roman"/>
              <w:sz w:val="32"/>
            </w:rPr>
            <w:t>经费保障</w:t>
          </w:r>
          <w:r>
            <w:rPr>
              <w:sz w:val="32"/>
            </w:rPr>
            <w:tab/>
          </w:r>
          <w:r>
            <w:rPr>
              <w:sz w:val="32"/>
            </w:rPr>
            <w:fldChar w:fldCharType="begin"/>
          </w:r>
          <w:r>
            <w:rPr>
              <w:sz w:val="32"/>
            </w:rPr>
            <w:instrText xml:space="preserve"> PAGEREF _Toc15958 \h </w:instrText>
          </w:r>
          <w:r>
            <w:rPr>
              <w:sz w:val="32"/>
            </w:rPr>
            <w:fldChar w:fldCharType="separate"/>
          </w:r>
          <w:r>
            <w:rPr>
              <w:sz w:val="32"/>
            </w:rPr>
            <w:t>12</w:t>
          </w:r>
          <w:r>
            <w:rPr>
              <w:sz w:val="32"/>
            </w:rPr>
            <w:fldChar w:fldCharType="end"/>
          </w:r>
          <w:r>
            <w:rPr>
              <w:sz w:val="32"/>
            </w:rPr>
            <w:fldChar w:fldCharType="end"/>
          </w:r>
        </w:p>
        <w:p w14:paraId="016731D8">
          <w:pPr>
            <w:pStyle w:val="19"/>
            <w:tabs>
              <w:tab w:val="right" w:leader="dot" w:pos="8845"/>
            </w:tabs>
            <w:ind w:firstLine="552"/>
            <w:rPr>
              <w:sz w:val="32"/>
            </w:rPr>
          </w:pPr>
          <w:r>
            <w:fldChar w:fldCharType="begin"/>
          </w:r>
          <w:r>
            <w:instrText xml:space="preserve"> HYPERLINK \l "_Toc27277" </w:instrText>
          </w:r>
          <w:r>
            <w:fldChar w:fldCharType="separate"/>
          </w:r>
          <w:r>
            <w:rPr>
              <w:rFonts w:ascii="Times New Roman" w:hAnsi="Times New Roman" w:eastAsia="仿宋" w:cs="Times New Roman"/>
              <w:bCs/>
              <w:sz w:val="32"/>
            </w:rPr>
            <w:t xml:space="preserve">6.3 </w:t>
          </w:r>
          <w:r>
            <w:rPr>
              <w:rFonts w:ascii="Times New Roman" w:hAnsi="Times New Roman" w:eastAsia="楷体_GB2312" w:cs="Times New Roman"/>
              <w:sz w:val="32"/>
            </w:rPr>
            <w:t>物资保障</w:t>
          </w:r>
          <w:r>
            <w:rPr>
              <w:sz w:val="32"/>
            </w:rPr>
            <w:tab/>
          </w:r>
          <w:r>
            <w:rPr>
              <w:sz w:val="32"/>
            </w:rPr>
            <w:fldChar w:fldCharType="begin"/>
          </w:r>
          <w:r>
            <w:rPr>
              <w:sz w:val="32"/>
            </w:rPr>
            <w:instrText xml:space="preserve"> PAGEREF _Toc27277 \h </w:instrText>
          </w:r>
          <w:r>
            <w:rPr>
              <w:sz w:val="32"/>
            </w:rPr>
            <w:fldChar w:fldCharType="separate"/>
          </w:r>
          <w:r>
            <w:rPr>
              <w:sz w:val="32"/>
            </w:rPr>
            <w:t>12</w:t>
          </w:r>
          <w:r>
            <w:rPr>
              <w:sz w:val="32"/>
            </w:rPr>
            <w:fldChar w:fldCharType="end"/>
          </w:r>
          <w:r>
            <w:rPr>
              <w:sz w:val="32"/>
            </w:rPr>
            <w:fldChar w:fldCharType="end"/>
          </w:r>
        </w:p>
        <w:p w14:paraId="6E1CE2A6">
          <w:pPr>
            <w:pStyle w:val="18"/>
            <w:rPr>
              <w:sz w:val="32"/>
            </w:rPr>
          </w:pPr>
          <w:r>
            <w:fldChar w:fldCharType="begin"/>
          </w:r>
          <w:r>
            <w:instrText xml:space="preserve"> HYPERLINK \l "_Toc25231" </w:instrText>
          </w:r>
          <w:r>
            <w:fldChar w:fldCharType="separate"/>
          </w:r>
          <w:r>
            <w:rPr>
              <w:rFonts w:ascii="Times New Roman" w:hAnsi="Times New Roman" w:eastAsia="仿宋" w:cs="Times New Roman"/>
              <w:sz w:val="32"/>
            </w:rPr>
            <w:t xml:space="preserve">7 </w:t>
          </w:r>
          <w:r>
            <w:rPr>
              <w:rFonts w:ascii="Times New Roman" w:hAnsi="Times New Roman" w:eastAsia="黑体" w:cs="Times New Roman"/>
              <w:sz w:val="32"/>
            </w:rPr>
            <w:t>预案管理</w:t>
          </w:r>
          <w:r>
            <w:rPr>
              <w:sz w:val="32"/>
            </w:rPr>
            <w:tab/>
          </w:r>
          <w:r>
            <w:rPr>
              <w:sz w:val="32"/>
            </w:rPr>
            <w:fldChar w:fldCharType="begin"/>
          </w:r>
          <w:r>
            <w:rPr>
              <w:sz w:val="32"/>
            </w:rPr>
            <w:instrText xml:space="preserve"> PAGEREF _Toc25231 \h </w:instrText>
          </w:r>
          <w:r>
            <w:rPr>
              <w:sz w:val="32"/>
            </w:rPr>
            <w:fldChar w:fldCharType="separate"/>
          </w:r>
          <w:r>
            <w:rPr>
              <w:sz w:val="32"/>
            </w:rPr>
            <w:t>12</w:t>
          </w:r>
          <w:r>
            <w:rPr>
              <w:sz w:val="32"/>
            </w:rPr>
            <w:fldChar w:fldCharType="end"/>
          </w:r>
          <w:r>
            <w:rPr>
              <w:sz w:val="32"/>
            </w:rPr>
            <w:fldChar w:fldCharType="end"/>
          </w:r>
        </w:p>
        <w:p w14:paraId="55FCD07D">
          <w:pPr>
            <w:pStyle w:val="19"/>
            <w:tabs>
              <w:tab w:val="right" w:leader="dot" w:pos="8845"/>
            </w:tabs>
            <w:ind w:firstLine="552"/>
            <w:rPr>
              <w:sz w:val="32"/>
            </w:rPr>
          </w:pPr>
          <w:r>
            <w:fldChar w:fldCharType="begin"/>
          </w:r>
          <w:r>
            <w:instrText xml:space="preserve"> HYPERLINK \l "_Toc8006" </w:instrText>
          </w:r>
          <w:r>
            <w:fldChar w:fldCharType="separate"/>
          </w:r>
          <w:r>
            <w:rPr>
              <w:rFonts w:ascii="Times New Roman" w:hAnsi="Times New Roman" w:eastAsia="仿宋" w:cs="Times New Roman"/>
              <w:bCs/>
              <w:sz w:val="32"/>
            </w:rPr>
            <w:t xml:space="preserve">7.1 </w:t>
          </w:r>
          <w:r>
            <w:rPr>
              <w:rFonts w:ascii="Times New Roman" w:hAnsi="Times New Roman" w:eastAsia="楷体_GB2312" w:cs="Times New Roman"/>
              <w:sz w:val="32"/>
            </w:rPr>
            <w:t>建立健全涉外应急预案</w:t>
          </w:r>
          <w:r>
            <w:rPr>
              <w:sz w:val="32"/>
            </w:rPr>
            <w:tab/>
          </w:r>
          <w:r>
            <w:rPr>
              <w:sz w:val="32"/>
            </w:rPr>
            <w:fldChar w:fldCharType="begin"/>
          </w:r>
          <w:r>
            <w:rPr>
              <w:sz w:val="32"/>
            </w:rPr>
            <w:instrText xml:space="preserve"> PAGEREF _Toc8006 \h </w:instrText>
          </w:r>
          <w:r>
            <w:rPr>
              <w:sz w:val="32"/>
            </w:rPr>
            <w:fldChar w:fldCharType="separate"/>
          </w:r>
          <w:r>
            <w:rPr>
              <w:sz w:val="32"/>
            </w:rPr>
            <w:t>12</w:t>
          </w:r>
          <w:r>
            <w:rPr>
              <w:sz w:val="32"/>
            </w:rPr>
            <w:fldChar w:fldCharType="end"/>
          </w:r>
          <w:r>
            <w:rPr>
              <w:sz w:val="32"/>
            </w:rPr>
            <w:fldChar w:fldCharType="end"/>
          </w:r>
        </w:p>
        <w:p w14:paraId="7D22C34A">
          <w:pPr>
            <w:pStyle w:val="19"/>
            <w:tabs>
              <w:tab w:val="right" w:leader="dot" w:pos="8845"/>
            </w:tabs>
            <w:ind w:firstLine="552"/>
            <w:rPr>
              <w:sz w:val="32"/>
            </w:rPr>
          </w:pPr>
          <w:r>
            <w:fldChar w:fldCharType="begin"/>
          </w:r>
          <w:r>
            <w:instrText xml:space="preserve"> HYPERLINK \l "_Toc27357" </w:instrText>
          </w:r>
          <w:r>
            <w:fldChar w:fldCharType="separate"/>
          </w:r>
          <w:r>
            <w:rPr>
              <w:rFonts w:ascii="Times New Roman" w:hAnsi="Times New Roman" w:eastAsia="仿宋" w:cs="Times New Roman"/>
              <w:bCs/>
              <w:sz w:val="32"/>
            </w:rPr>
            <w:t xml:space="preserve">7.2 </w:t>
          </w:r>
          <w:r>
            <w:rPr>
              <w:rFonts w:ascii="Times New Roman" w:hAnsi="Times New Roman" w:eastAsia="楷体_GB2312" w:cs="Times New Roman"/>
              <w:sz w:val="32"/>
            </w:rPr>
            <w:t>应急宣传和教育</w:t>
          </w:r>
          <w:r>
            <w:rPr>
              <w:sz w:val="32"/>
            </w:rPr>
            <w:tab/>
          </w:r>
          <w:r>
            <w:rPr>
              <w:sz w:val="32"/>
            </w:rPr>
            <w:fldChar w:fldCharType="begin"/>
          </w:r>
          <w:r>
            <w:rPr>
              <w:sz w:val="32"/>
            </w:rPr>
            <w:instrText xml:space="preserve"> PAGEREF _Toc27357 \h </w:instrText>
          </w:r>
          <w:r>
            <w:rPr>
              <w:sz w:val="32"/>
            </w:rPr>
            <w:fldChar w:fldCharType="separate"/>
          </w:r>
          <w:r>
            <w:rPr>
              <w:sz w:val="32"/>
            </w:rPr>
            <w:t>13</w:t>
          </w:r>
          <w:r>
            <w:rPr>
              <w:sz w:val="32"/>
            </w:rPr>
            <w:fldChar w:fldCharType="end"/>
          </w:r>
          <w:r>
            <w:rPr>
              <w:sz w:val="32"/>
            </w:rPr>
            <w:fldChar w:fldCharType="end"/>
          </w:r>
        </w:p>
        <w:p w14:paraId="3962CE79">
          <w:pPr>
            <w:pStyle w:val="19"/>
            <w:tabs>
              <w:tab w:val="right" w:leader="dot" w:pos="8845"/>
            </w:tabs>
            <w:ind w:firstLine="552"/>
            <w:rPr>
              <w:sz w:val="32"/>
            </w:rPr>
          </w:pPr>
          <w:r>
            <w:fldChar w:fldCharType="begin"/>
          </w:r>
          <w:r>
            <w:instrText xml:space="preserve"> HYPERLINK \l "_Toc29454" </w:instrText>
          </w:r>
          <w:r>
            <w:fldChar w:fldCharType="separate"/>
          </w:r>
          <w:r>
            <w:rPr>
              <w:rFonts w:ascii="Times New Roman" w:hAnsi="Times New Roman" w:eastAsia="仿宋" w:cs="Times New Roman"/>
              <w:bCs/>
              <w:sz w:val="32"/>
            </w:rPr>
            <w:t xml:space="preserve">7.3 </w:t>
          </w:r>
          <w:r>
            <w:rPr>
              <w:rFonts w:ascii="Times New Roman" w:hAnsi="Times New Roman" w:eastAsia="楷体_GB2312" w:cs="Times New Roman"/>
              <w:sz w:val="32"/>
            </w:rPr>
            <w:t>预案演练</w:t>
          </w:r>
          <w:r>
            <w:rPr>
              <w:sz w:val="32"/>
            </w:rPr>
            <w:tab/>
          </w:r>
          <w:r>
            <w:rPr>
              <w:sz w:val="32"/>
            </w:rPr>
            <w:fldChar w:fldCharType="begin"/>
          </w:r>
          <w:r>
            <w:rPr>
              <w:sz w:val="32"/>
            </w:rPr>
            <w:instrText xml:space="preserve"> PAGEREF _Toc29454 \h </w:instrText>
          </w:r>
          <w:r>
            <w:rPr>
              <w:sz w:val="32"/>
            </w:rPr>
            <w:fldChar w:fldCharType="separate"/>
          </w:r>
          <w:r>
            <w:rPr>
              <w:sz w:val="32"/>
            </w:rPr>
            <w:t>13</w:t>
          </w:r>
          <w:r>
            <w:rPr>
              <w:sz w:val="32"/>
            </w:rPr>
            <w:fldChar w:fldCharType="end"/>
          </w:r>
          <w:r>
            <w:rPr>
              <w:sz w:val="32"/>
            </w:rPr>
            <w:fldChar w:fldCharType="end"/>
          </w:r>
        </w:p>
        <w:p w14:paraId="036EA74C">
          <w:pPr>
            <w:pStyle w:val="19"/>
            <w:tabs>
              <w:tab w:val="right" w:leader="dot" w:pos="8845"/>
            </w:tabs>
            <w:ind w:firstLine="552"/>
            <w:rPr>
              <w:sz w:val="32"/>
            </w:rPr>
          </w:pPr>
          <w:r>
            <w:fldChar w:fldCharType="begin"/>
          </w:r>
          <w:r>
            <w:instrText xml:space="preserve"> HYPERLINK \l "_Toc2315" </w:instrText>
          </w:r>
          <w:r>
            <w:fldChar w:fldCharType="separate"/>
          </w:r>
          <w:r>
            <w:rPr>
              <w:rFonts w:ascii="Times New Roman" w:hAnsi="Times New Roman" w:eastAsia="仿宋" w:cs="Times New Roman"/>
              <w:bCs/>
              <w:sz w:val="32"/>
            </w:rPr>
            <w:t xml:space="preserve">7.4 </w:t>
          </w:r>
          <w:r>
            <w:rPr>
              <w:rFonts w:ascii="Times New Roman" w:hAnsi="Times New Roman" w:eastAsia="楷体_GB2312" w:cs="Times New Roman"/>
              <w:sz w:val="32"/>
            </w:rPr>
            <w:t>预案更新</w:t>
          </w:r>
          <w:r>
            <w:rPr>
              <w:sz w:val="32"/>
            </w:rPr>
            <w:tab/>
          </w:r>
          <w:r>
            <w:rPr>
              <w:sz w:val="32"/>
            </w:rPr>
            <w:fldChar w:fldCharType="begin"/>
          </w:r>
          <w:r>
            <w:rPr>
              <w:sz w:val="32"/>
            </w:rPr>
            <w:instrText xml:space="preserve"> PAGEREF _Toc2315 \h </w:instrText>
          </w:r>
          <w:r>
            <w:rPr>
              <w:sz w:val="32"/>
            </w:rPr>
            <w:fldChar w:fldCharType="separate"/>
          </w:r>
          <w:r>
            <w:rPr>
              <w:sz w:val="32"/>
            </w:rPr>
            <w:t>13</w:t>
          </w:r>
          <w:r>
            <w:rPr>
              <w:sz w:val="32"/>
            </w:rPr>
            <w:fldChar w:fldCharType="end"/>
          </w:r>
          <w:r>
            <w:rPr>
              <w:sz w:val="32"/>
            </w:rPr>
            <w:fldChar w:fldCharType="end"/>
          </w:r>
        </w:p>
        <w:p w14:paraId="34CCA34A">
          <w:pPr>
            <w:pStyle w:val="18"/>
            <w:rPr>
              <w:sz w:val="32"/>
            </w:rPr>
          </w:pPr>
          <w:r>
            <w:fldChar w:fldCharType="begin"/>
          </w:r>
          <w:r>
            <w:instrText xml:space="preserve"> HYPERLINK \l "_Toc11538" </w:instrText>
          </w:r>
          <w:r>
            <w:fldChar w:fldCharType="separate"/>
          </w:r>
          <w:r>
            <w:rPr>
              <w:rFonts w:ascii="Times New Roman" w:hAnsi="Times New Roman" w:eastAsia="仿宋" w:cs="Times New Roman"/>
              <w:sz w:val="32"/>
            </w:rPr>
            <w:t xml:space="preserve">8 </w:t>
          </w:r>
          <w:r>
            <w:rPr>
              <w:rFonts w:ascii="Times New Roman" w:hAnsi="Times New Roman" w:eastAsia="黑体" w:cs="Times New Roman"/>
              <w:sz w:val="32"/>
            </w:rPr>
            <w:t>预案解释与实施</w:t>
          </w:r>
          <w:r>
            <w:rPr>
              <w:sz w:val="32"/>
            </w:rPr>
            <w:tab/>
          </w:r>
          <w:r>
            <w:rPr>
              <w:sz w:val="32"/>
            </w:rPr>
            <w:fldChar w:fldCharType="begin"/>
          </w:r>
          <w:r>
            <w:rPr>
              <w:sz w:val="32"/>
            </w:rPr>
            <w:instrText xml:space="preserve"> PAGEREF _Toc11538 \h </w:instrText>
          </w:r>
          <w:r>
            <w:rPr>
              <w:sz w:val="32"/>
            </w:rPr>
            <w:fldChar w:fldCharType="separate"/>
          </w:r>
          <w:r>
            <w:rPr>
              <w:sz w:val="32"/>
            </w:rPr>
            <w:t>14</w:t>
          </w:r>
          <w:r>
            <w:rPr>
              <w:sz w:val="32"/>
            </w:rPr>
            <w:fldChar w:fldCharType="end"/>
          </w:r>
          <w:r>
            <w:rPr>
              <w:sz w:val="32"/>
            </w:rPr>
            <w:fldChar w:fldCharType="end"/>
          </w:r>
        </w:p>
        <w:p w14:paraId="4412241B">
          <w:pPr>
            <w:pStyle w:val="18"/>
            <w:rPr>
              <w:sz w:val="32"/>
            </w:rPr>
          </w:pPr>
          <w:r>
            <w:fldChar w:fldCharType="begin"/>
          </w:r>
          <w:r>
            <w:instrText xml:space="preserve"> HYPERLINK \l "_Toc31220" </w:instrText>
          </w:r>
          <w:r>
            <w:fldChar w:fldCharType="separate"/>
          </w:r>
          <w:r>
            <w:rPr>
              <w:rFonts w:ascii="Times New Roman" w:hAnsi="Times New Roman" w:eastAsia="黑体" w:cs="Times New Roman"/>
              <w:sz w:val="32"/>
            </w:rPr>
            <w:t>附件1：涉外突发事件分级标准</w:t>
          </w:r>
          <w:r>
            <w:rPr>
              <w:sz w:val="32"/>
            </w:rPr>
            <w:tab/>
          </w:r>
          <w:r>
            <w:rPr>
              <w:sz w:val="32"/>
            </w:rPr>
            <w:fldChar w:fldCharType="begin"/>
          </w:r>
          <w:r>
            <w:rPr>
              <w:sz w:val="32"/>
            </w:rPr>
            <w:instrText xml:space="preserve"> PAGEREF _Toc31220 \h </w:instrText>
          </w:r>
          <w:r>
            <w:rPr>
              <w:sz w:val="32"/>
            </w:rPr>
            <w:fldChar w:fldCharType="separate"/>
          </w:r>
          <w:r>
            <w:rPr>
              <w:sz w:val="32"/>
            </w:rPr>
            <w:t>15</w:t>
          </w:r>
          <w:r>
            <w:rPr>
              <w:sz w:val="32"/>
            </w:rPr>
            <w:fldChar w:fldCharType="end"/>
          </w:r>
          <w:r>
            <w:rPr>
              <w:sz w:val="32"/>
            </w:rPr>
            <w:fldChar w:fldCharType="end"/>
          </w:r>
        </w:p>
        <w:p w14:paraId="7131A54B">
          <w:pPr>
            <w:pStyle w:val="15"/>
            <w:ind w:left="0" w:leftChars="0" w:firstLine="0" w:firstLineChars="0"/>
            <w:rPr>
              <w:rFonts w:ascii="Times New Roman" w:hAnsi="Times New Roman" w:eastAsia="仿宋" w:cs="Times New Roman"/>
              <w:b/>
              <w:sz w:val="32"/>
            </w:rPr>
          </w:pPr>
          <w:r>
            <w:rPr>
              <w:rFonts w:ascii="Times New Roman" w:hAnsi="Times New Roman" w:cs="Times New Roman"/>
              <w:sz w:val="32"/>
            </w:rPr>
            <w:fldChar w:fldCharType="end"/>
          </w:r>
        </w:p>
      </w:sdtContent>
    </w:sdt>
    <w:p w14:paraId="5BC67CB7">
      <w:pPr>
        <w:pStyle w:val="15"/>
        <w:ind w:left="0" w:leftChars="0" w:firstLine="0" w:firstLineChars="0"/>
        <w:rPr>
          <w:rFonts w:ascii="Times New Roman" w:hAnsi="Times New Roman" w:eastAsia="仿宋" w:cs="Times New Roman"/>
          <w:b/>
          <w:sz w:val="32"/>
        </w:rPr>
      </w:pPr>
    </w:p>
    <w:p w14:paraId="6A56F8F5">
      <w:pPr>
        <w:spacing w:line="560" w:lineRule="exact"/>
        <w:ind w:firstLine="632"/>
        <w:rPr>
          <w:rFonts w:ascii="Times New Roman" w:hAnsi="Times New Roman" w:cs="Times New Roman"/>
          <w:sz w:val="32"/>
        </w:rPr>
        <w:sectPr>
          <w:headerReference r:id="rId158" w:type="default"/>
          <w:footerReference r:id="rId159" w:type="default"/>
          <w:footerReference r:id="rId160" w:type="even"/>
          <w:pgSz w:w="11906" w:h="16838"/>
          <w:pgMar w:top="2098" w:right="1474" w:bottom="1984" w:left="1587" w:header="624" w:footer="1134" w:gutter="0"/>
          <w:pgNumType w:fmt="upperRoman" w:start="1"/>
          <w:cols w:space="0" w:num="1"/>
          <w:docGrid w:type="linesAndChars" w:linePitch="579" w:charSpace="-842"/>
        </w:sectPr>
      </w:pPr>
    </w:p>
    <w:p w14:paraId="0F18DCFF">
      <w:pPr>
        <w:pStyle w:val="2"/>
        <w:numPr>
          <w:ilvl w:val="0"/>
          <w:numId w:val="234"/>
        </w:numPr>
        <w:tabs>
          <w:tab w:val="left" w:pos="0"/>
          <w:tab w:val="left" w:pos="2211"/>
        </w:tabs>
        <w:ind w:firstLine="0"/>
        <w:rPr>
          <w:rFonts w:ascii="Times New Roman" w:hAnsi="Times New Roman" w:cs="Times New Roman"/>
          <w:sz w:val="32"/>
        </w:rPr>
      </w:pPr>
      <w:bookmarkStart w:id="1478" w:name="_Toc23237"/>
      <w:r>
        <w:rPr>
          <w:rFonts w:ascii="Times New Roman" w:hAnsi="Times New Roman" w:cs="Times New Roman"/>
          <w:sz w:val="32"/>
        </w:rPr>
        <w:t>总则</w:t>
      </w:r>
      <w:bookmarkEnd w:id="1478"/>
    </w:p>
    <w:p w14:paraId="54511F53">
      <w:pPr>
        <w:pStyle w:val="3"/>
        <w:spacing w:line="560" w:lineRule="exact"/>
        <w:ind w:firstLine="0" w:firstLineChars="0"/>
        <w:rPr>
          <w:rFonts w:ascii="Times New Roman" w:hAnsi="Times New Roman" w:eastAsia="楷体_GB2312" w:cs="Times New Roman"/>
          <w:sz w:val="32"/>
        </w:rPr>
      </w:pPr>
      <w:bookmarkStart w:id="1479" w:name="_Toc440"/>
      <w:r>
        <w:rPr>
          <w:rFonts w:ascii="Times New Roman" w:hAnsi="Times New Roman" w:eastAsia="楷体_GB2312" w:cs="Times New Roman"/>
          <w:sz w:val="32"/>
        </w:rPr>
        <w:t>编制目的</w:t>
      </w:r>
      <w:bookmarkEnd w:id="1479"/>
    </w:p>
    <w:p w14:paraId="65D8DAA2">
      <w:pPr>
        <w:spacing w:line="560" w:lineRule="exact"/>
        <w:ind w:firstLine="632"/>
        <w:rPr>
          <w:rFonts w:ascii="Times New Roman" w:hAnsi="Times New Roman" w:cs="Times New Roman"/>
          <w:sz w:val="32"/>
        </w:rPr>
      </w:pPr>
      <w:r>
        <w:rPr>
          <w:rFonts w:ascii="Times New Roman" w:hAnsi="Times New Roman" w:cs="Times New Roman"/>
          <w:sz w:val="32"/>
        </w:rPr>
        <w:t>建立健全我</w:t>
      </w:r>
      <w:r>
        <w:rPr>
          <w:rFonts w:hint="eastAsia" w:ascii="Times New Roman" w:hAnsi="Times New Roman" w:cs="Times New Roman"/>
          <w:sz w:val="32"/>
        </w:rPr>
        <w:t>县</w:t>
      </w:r>
      <w:r>
        <w:rPr>
          <w:rFonts w:ascii="Times New Roman" w:hAnsi="Times New Roman" w:cs="Times New Roman"/>
          <w:sz w:val="32"/>
        </w:rPr>
        <w:t>处置涉外突发事件应急机制，确保涉外突发事件应对工作科学化、规范化，提高应对突发事件的快速反应能力和应急处置能力，维护国家利益和社会稳定，保障我</w:t>
      </w:r>
      <w:r>
        <w:rPr>
          <w:rFonts w:hint="eastAsia" w:ascii="Times New Roman" w:hAnsi="Times New Roman" w:cs="Times New Roman"/>
          <w:sz w:val="32"/>
        </w:rPr>
        <w:t>县</w:t>
      </w:r>
      <w:r>
        <w:rPr>
          <w:rFonts w:ascii="Times New Roman" w:hAnsi="Times New Roman" w:cs="Times New Roman"/>
          <w:sz w:val="32"/>
        </w:rPr>
        <w:t>在境外机构和人员、外国</w:t>
      </w:r>
      <w:r>
        <w:rPr>
          <w:rFonts w:hint="eastAsia" w:ascii="Times New Roman" w:hAnsi="Times New Roman" w:cs="Times New Roman"/>
          <w:sz w:val="32"/>
        </w:rPr>
        <w:t>驻我县</w:t>
      </w:r>
      <w:r>
        <w:rPr>
          <w:rFonts w:ascii="Times New Roman" w:hAnsi="Times New Roman" w:cs="Times New Roman"/>
          <w:sz w:val="32"/>
        </w:rPr>
        <w:t>机构和人员的生命财产安全和合法权益，维护良好的对外开放环境。</w:t>
      </w:r>
    </w:p>
    <w:p w14:paraId="1B01EE85">
      <w:pPr>
        <w:pStyle w:val="3"/>
        <w:spacing w:line="560" w:lineRule="exact"/>
        <w:ind w:firstLine="0" w:firstLineChars="0"/>
        <w:rPr>
          <w:rFonts w:ascii="Times New Roman" w:hAnsi="Times New Roman" w:eastAsia="楷体_GB2312" w:cs="Times New Roman"/>
          <w:sz w:val="32"/>
        </w:rPr>
      </w:pPr>
      <w:bookmarkStart w:id="1480" w:name="_Toc4201"/>
      <w:r>
        <w:rPr>
          <w:rFonts w:ascii="Times New Roman" w:hAnsi="Times New Roman" w:eastAsia="楷体_GB2312" w:cs="Times New Roman"/>
          <w:sz w:val="32"/>
        </w:rPr>
        <w:t>编制依据</w:t>
      </w:r>
      <w:bookmarkEnd w:id="1480"/>
    </w:p>
    <w:p w14:paraId="68F8EE6C">
      <w:pPr>
        <w:spacing w:line="560" w:lineRule="exact"/>
        <w:ind w:firstLine="632"/>
        <w:rPr>
          <w:rFonts w:ascii="Times New Roman" w:hAnsi="Times New Roman" w:cs="Times New Roman"/>
          <w:sz w:val="32"/>
        </w:rPr>
      </w:pPr>
      <w:r>
        <w:rPr>
          <w:rFonts w:ascii="Times New Roman" w:hAnsi="Times New Roman" w:cs="Times New Roman"/>
          <w:sz w:val="32"/>
        </w:rPr>
        <w:t>依据《中华人民共和国突发事件应对法》《国家涉外突发事件应急预案》《黑龙江省人民政府突发公共事件总体应急预案》《黑龙江省重大涉外突发事件应急预案》《集贤县突发事件总体应急预案》等</w:t>
      </w:r>
      <w:r>
        <w:rPr>
          <w:rFonts w:hint="eastAsia" w:ascii="Times New Roman" w:hAnsi="Times New Roman" w:cs="Times New Roman"/>
          <w:sz w:val="32"/>
        </w:rPr>
        <w:t>法律法规</w:t>
      </w:r>
      <w:r>
        <w:rPr>
          <w:rFonts w:ascii="Times New Roman" w:hAnsi="Times New Roman" w:cs="Times New Roman"/>
          <w:sz w:val="32"/>
        </w:rPr>
        <w:t>、规章和规范性文件，制定本预案。</w:t>
      </w:r>
    </w:p>
    <w:p w14:paraId="41E4B9A6">
      <w:pPr>
        <w:pStyle w:val="3"/>
        <w:spacing w:line="560" w:lineRule="exact"/>
        <w:ind w:firstLine="0" w:firstLineChars="0"/>
        <w:rPr>
          <w:rFonts w:ascii="Times New Roman" w:hAnsi="Times New Roman" w:eastAsia="楷体_GB2312" w:cs="Times New Roman"/>
          <w:sz w:val="32"/>
        </w:rPr>
      </w:pPr>
      <w:bookmarkStart w:id="1481" w:name="_Toc4456"/>
      <w:r>
        <w:rPr>
          <w:rFonts w:ascii="Times New Roman" w:hAnsi="Times New Roman" w:eastAsia="楷体_GB2312" w:cs="Times New Roman"/>
          <w:sz w:val="32"/>
        </w:rPr>
        <w:t>适用范围</w:t>
      </w:r>
      <w:bookmarkEnd w:id="1481"/>
    </w:p>
    <w:p w14:paraId="6759B919">
      <w:pPr>
        <w:spacing w:line="560" w:lineRule="exact"/>
        <w:ind w:firstLine="632"/>
        <w:rPr>
          <w:rFonts w:ascii="Times New Roman" w:hAnsi="Times New Roman" w:cs="Times New Roman"/>
          <w:sz w:val="32"/>
        </w:rPr>
      </w:pPr>
      <w:r>
        <w:rPr>
          <w:rFonts w:ascii="Times New Roman" w:hAnsi="Times New Roman" w:cs="Times New Roman"/>
          <w:sz w:val="32"/>
        </w:rPr>
        <w:t>本预案适用于境外发生的涉及我</w:t>
      </w:r>
      <w:r>
        <w:rPr>
          <w:rFonts w:hint="eastAsia" w:ascii="Times New Roman" w:hAnsi="Times New Roman" w:cs="Times New Roman"/>
          <w:sz w:val="32"/>
        </w:rPr>
        <w:t>县</w:t>
      </w:r>
      <w:r>
        <w:rPr>
          <w:rFonts w:ascii="Times New Roman" w:hAnsi="Times New Roman" w:cs="Times New Roman"/>
          <w:sz w:val="32"/>
        </w:rPr>
        <w:t>公民及机构的突发事件和我</w:t>
      </w:r>
      <w:r>
        <w:rPr>
          <w:rFonts w:hint="eastAsia" w:ascii="Times New Roman" w:hAnsi="Times New Roman" w:cs="Times New Roman"/>
          <w:sz w:val="32"/>
        </w:rPr>
        <w:t>县</w:t>
      </w:r>
      <w:r>
        <w:rPr>
          <w:rFonts w:ascii="Times New Roman" w:hAnsi="Times New Roman" w:cs="Times New Roman"/>
          <w:sz w:val="32"/>
        </w:rPr>
        <w:t>行政区域内发生的涉及外国公民及机构的突发事件的应急处置工作。</w:t>
      </w:r>
    </w:p>
    <w:p w14:paraId="62EE4821">
      <w:pPr>
        <w:spacing w:line="560" w:lineRule="exact"/>
        <w:ind w:firstLine="632"/>
        <w:rPr>
          <w:rFonts w:ascii="Times New Roman" w:hAnsi="Times New Roman" w:cs="Times New Roman"/>
          <w:sz w:val="32"/>
        </w:rPr>
      </w:pPr>
      <w:r>
        <w:rPr>
          <w:rFonts w:ascii="Times New Roman" w:hAnsi="Times New Roman" w:cs="Times New Roman"/>
          <w:sz w:val="32"/>
        </w:rPr>
        <w:t>涉外突发事件是造成或可能造成上述人员或机构人身伤害、财产损失，需要采取应急处置措施予以应对的自然灾害、事故灾害、公共卫生（重大疫情）事件和社会安全事件。</w:t>
      </w:r>
    </w:p>
    <w:p w14:paraId="4EF3DB86">
      <w:pPr>
        <w:pStyle w:val="3"/>
        <w:spacing w:line="560" w:lineRule="exact"/>
        <w:ind w:firstLine="0" w:firstLineChars="0"/>
        <w:rPr>
          <w:rFonts w:ascii="Times New Roman" w:hAnsi="Times New Roman" w:eastAsia="楷体_GB2312" w:cs="Times New Roman"/>
          <w:sz w:val="32"/>
        </w:rPr>
      </w:pPr>
      <w:bookmarkStart w:id="1482" w:name="_Toc8230"/>
      <w:r>
        <w:rPr>
          <w:rFonts w:ascii="Times New Roman" w:hAnsi="Times New Roman" w:eastAsia="楷体_GB2312" w:cs="Times New Roman"/>
          <w:sz w:val="32"/>
        </w:rPr>
        <w:t>工作原则</w:t>
      </w:r>
      <w:bookmarkEnd w:id="1482"/>
    </w:p>
    <w:p w14:paraId="5ED71272">
      <w:pPr>
        <w:spacing w:line="560" w:lineRule="exact"/>
        <w:ind w:firstLine="632"/>
        <w:rPr>
          <w:rFonts w:ascii="Times New Roman" w:hAnsi="Times New Roman" w:cs="Times New Roman"/>
          <w:sz w:val="32"/>
        </w:rPr>
      </w:pPr>
      <w:r>
        <w:rPr>
          <w:rFonts w:ascii="Times New Roman" w:hAnsi="Times New Roman" w:cs="Times New Roman"/>
          <w:sz w:val="32"/>
        </w:rPr>
        <w:t>（1）以人为本、力保安全。人民群众的生命财产安全为处置涉外突发事件的基本原则，最大限度地维护我县在境外机构和人员、驻</w:t>
      </w:r>
      <w:r>
        <w:rPr>
          <w:rFonts w:hint="eastAsia" w:ascii="Times New Roman" w:hAnsi="Times New Roman" w:cs="Times New Roman"/>
          <w:sz w:val="32"/>
        </w:rPr>
        <w:t>我县</w:t>
      </w:r>
      <w:r>
        <w:rPr>
          <w:rFonts w:ascii="Times New Roman" w:hAnsi="Times New Roman" w:cs="Times New Roman"/>
          <w:sz w:val="32"/>
        </w:rPr>
        <w:t>外国机构和人员的生命财产安全及合法权益，避免或减少损失。</w:t>
      </w:r>
    </w:p>
    <w:p w14:paraId="577F53BE">
      <w:pPr>
        <w:spacing w:line="560" w:lineRule="exact"/>
        <w:ind w:firstLine="632"/>
        <w:rPr>
          <w:rFonts w:ascii="Times New Roman" w:hAnsi="Times New Roman" w:cs="Times New Roman"/>
          <w:sz w:val="32"/>
        </w:rPr>
      </w:pPr>
      <w:r>
        <w:rPr>
          <w:rFonts w:ascii="Times New Roman" w:hAnsi="Times New Roman" w:cs="Times New Roman"/>
          <w:sz w:val="32"/>
        </w:rPr>
        <w:t>（2）统筹协调，加强配合。在</w:t>
      </w:r>
      <w:r>
        <w:rPr>
          <w:rFonts w:hint="eastAsia" w:ascii="Times New Roman" w:hAnsi="Times New Roman" w:cs="Times New Roman"/>
          <w:sz w:val="32"/>
        </w:rPr>
        <w:t>县</w:t>
      </w:r>
      <w:r>
        <w:rPr>
          <w:rFonts w:ascii="Times New Roman" w:hAnsi="Times New Roman" w:cs="Times New Roman"/>
          <w:sz w:val="32"/>
        </w:rPr>
        <w:t>委、</w:t>
      </w:r>
      <w:r>
        <w:rPr>
          <w:rFonts w:hint="eastAsia" w:ascii="Times New Roman" w:hAnsi="Times New Roman" w:cs="Times New Roman"/>
          <w:sz w:val="32"/>
        </w:rPr>
        <w:t>县</w:t>
      </w:r>
      <w:r>
        <w:rPr>
          <w:rFonts w:ascii="Times New Roman" w:hAnsi="Times New Roman" w:cs="Times New Roman"/>
          <w:sz w:val="32"/>
        </w:rPr>
        <w:t>政府的统一领导下，各</w:t>
      </w:r>
      <w:r>
        <w:rPr>
          <w:rFonts w:hint="eastAsia" w:ascii="Times New Roman" w:hAnsi="Times New Roman" w:cs="Times New Roman"/>
          <w:sz w:val="32"/>
        </w:rPr>
        <w:t>乡镇人民</w:t>
      </w:r>
      <w:r>
        <w:rPr>
          <w:rFonts w:ascii="Times New Roman" w:hAnsi="Times New Roman" w:cs="Times New Roman"/>
          <w:sz w:val="32"/>
        </w:rPr>
        <w:t>政府、各</w:t>
      </w:r>
      <w:r>
        <w:rPr>
          <w:rFonts w:hint="eastAsia" w:ascii="Times New Roman" w:hAnsi="Times New Roman" w:cs="Times New Roman"/>
          <w:sz w:val="32"/>
        </w:rPr>
        <w:t>有关</w:t>
      </w:r>
      <w:r>
        <w:rPr>
          <w:rFonts w:ascii="Times New Roman" w:hAnsi="Times New Roman" w:cs="Times New Roman"/>
          <w:sz w:val="32"/>
        </w:rPr>
        <w:t>部门根据各自职能，分工协作，密切配合，分级负责，快速反应，及时、妥善地开展处置工作。根据发生事件性质和处置工作需要，不断健全完善境外我</w:t>
      </w:r>
      <w:r>
        <w:rPr>
          <w:rFonts w:hint="eastAsia" w:ascii="Times New Roman" w:hAnsi="Times New Roman" w:cs="Times New Roman"/>
          <w:sz w:val="32"/>
        </w:rPr>
        <w:t>县</w:t>
      </w:r>
      <w:r>
        <w:rPr>
          <w:rFonts w:ascii="Times New Roman" w:hAnsi="Times New Roman" w:cs="Times New Roman"/>
          <w:sz w:val="32"/>
        </w:rPr>
        <w:t>公民和企业、机构安全保护以及涉外突发事件协调和应急处置机制。</w:t>
      </w:r>
    </w:p>
    <w:p w14:paraId="660E453D">
      <w:pPr>
        <w:spacing w:line="560" w:lineRule="exact"/>
        <w:ind w:firstLine="632"/>
        <w:rPr>
          <w:rFonts w:ascii="Times New Roman" w:hAnsi="Times New Roman" w:cs="Times New Roman"/>
          <w:sz w:val="32"/>
        </w:rPr>
      </w:pPr>
      <w:r>
        <w:rPr>
          <w:rFonts w:ascii="Times New Roman" w:hAnsi="Times New Roman" w:cs="Times New Roman"/>
          <w:sz w:val="32"/>
        </w:rPr>
        <w:t>（3）明确责任，妥善处置。境外发生的造成我</w:t>
      </w:r>
      <w:r>
        <w:rPr>
          <w:rFonts w:hint="eastAsia" w:ascii="Times New Roman" w:hAnsi="Times New Roman" w:cs="Times New Roman"/>
          <w:sz w:val="32"/>
        </w:rPr>
        <w:t>县</w:t>
      </w:r>
      <w:r>
        <w:rPr>
          <w:rFonts w:ascii="Times New Roman" w:hAnsi="Times New Roman" w:cs="Times New Roman"/>
          <w:sz w:val="32"/>
        </w:rPr>
        <w:t>公民和企业、机构人员伤亡、财产损失的突发事件，按照</w:t>
      </w:r>
      <w:r>
        <w:rPr>
          <w:rFonts w:hint="eastAsia" w:ascii="Times New Roman" w:hAnsi="Times New Roman" w:cs="Times New Roman"/>
          <w:sz w:val="32"/>
        </w:rPr>
        <w:t>“</w:t>
      </w:r>
      <w:r>
        <w:rPr>
          <w:rFonts w:ascii="Times New Roman" w:hAnsi="Times New Roman" w:cs="Times New Roman"/>
          <w:sz w:val="32"/>
        </w:rPr>
        <w:t>谁派出、谁负责</w:t>
      </w:r>
      <w:r>
        <w:rPr>
          <w:rFonts w:hint="eastAsia" w:ascii="Times New Roman" w:hAnsi="Times New Roman" w:cs="Times New Roman"/>
          <w:sz w:val="32"/>
        </w:rPr>
        <w:t>”</w:t>
      </w:r>
      <w:r>
        <w:rPr>
          <w:rFonts w:ascii="Times New Roman" w:hAnsi="Times New Roman" w:cs="Times New Roman"/>
          <w:sz w:val="32"/>
        </w:rPr>
        <w:t>及属地管理的原则，开展处置工作；在</w:t>
      </w:r>
      <w:r>
        <w:rPr>
          <w:rFonts w:hint="eastAsia" w:ascii="Times New Roman" w:hAnsi="Times New Roman" w:cs="Times New Roman"/>
          <w:sz w:val="32"/>
        </w:rPr>
        <w:t>我县</w:t>
      </w:r>
      <w:r>
        <w:rPr>
          <w:rFonts w:ascii="Times New Roman" w:hAnsi="Times New Roman" w:cs="Times New Roman"/>
          <w:sz w:val="32"/>
        </w:rPr>
        <w:t>发生的造成外国人员和企业、机构人员伤亡、财产损失的突发事件，按照</w:t>
      </w:r>
      <w:r>
        <w:rPr>
          <w:rFonts w:hint="eastAsia" w:ascii="Times New Roman" w:hAnsi="Times New Roman" w:cs="Times New Roman"/>
          <w:sz w:val="32"/>
        </w:rPr>
        <w:t>“</w:t>
      </w:r>
      <w:r>
        <w:rPr>
          <w:rFonts w:ascii="Times New Roman" w:hAnsi="Times New Roman" w:cs="Times New Roman"/>
          <w:sz w:val="32"/>
        </w:rPr>
        <w:t>谁邀请、谁负责，谁接待、谁负责，谁受益、谁负责</w:t>
      </w:r>
      <w:r>
        <w:rPr>
          <w:rFonts w:hint="eastAsia" w:ascii="Times New Roman" w:hAnsi="Times New Roman" w:cs="Times New Roman"/>
          <w:sz w:val="32"/>
        </w:rPr>
        <w:t>”</w:t>
      </w:r>
      <w:r>
        <w:rPr>
          <w:rFonts w:ascii="Times New Roman" w:hAnsi="Times New Roman" w:cs="Times New Roman"/>
          <w:sz w:val="32"/>
        </w:rPr>
        <w:t>及属地管理的原则，开展处置工作。</w:t>
      </w:r>
    </w:p>
    <w:p w14:paraId="014288A1">
      <w:pPr>
        <w:spacing w:line="560" w:lineRule="exact"/>
        <w:ind w:firstLine="632"/>
        <w:rPr>
          <w:rFonts w:ascii="Times New Roman" w:hAnsi="Times New Roman" w:cs="Times New Roman"/>
          <w:sz w:val="32"/>
        </w:rPr>
      </w:pPr>
      <w:r>
        <w:rPr>
          <w:rFonts w:ascii="Times New Roman" w:hAnsi="Times New Roman" w:cs="Times New Roman"/>
          <w:sz w:val="32"/>
        </w:rPr>
        <w:t>（4）预防为主，平战结合。坚持预防为主、防范处置并重，增强忧患意识，强化宣传教育，开展培训演练，加强队伍建设，做好应对涉外突发事件的思想准备、预案准备、组织准备及物资准备。</w:t>
      </w:r>
    </w:p>
    <w:p w14:paraId="39B67C4C">
      <w:pPr>
        <w:spacing w:line="560" w:lineRule="exact"/>
        <w:ind w:firstLine="632"/>
        <w:rPr>
          <w:rFonts w:ascii="Times New Roman" w:hAnsi="Times New Roman" w:cs="Times New Roman"/>
          <w:sz w:val="32"/>
        </w:rPr>
      </w:pPr>
      <w:r>
        <w:rPr>
          <w:rFonts w:ascii="Times New Roman" w:hAnsi="Times New Roman" w:cs="Times New Roman"/>
          <w:sz w:val="32"/>
        </w:rPr>
        <w:t>（5）依法办事，保守秘密。对涉外突发事件须依法决策和处置，遵守国家法律法规和国际条约，参照事发国或地区法律法规的相关规定，保障境外我</w:t>
      </w:r>
      <w:r>
        <w:rPr>
          <w:rFonts w:hint="eastAsia" w:ascii="Times New Roman" w:hAnsi="Times New Roman" w:cs="Times New Roman"/>
          <w:sz w:val="32"/>
        </w:rPr>
        <w:t>县</w:t>
      </w:r>
      <w:r>
        <w:rPr>
          <w:rFonts w:ascii="Times New Roman" w:hAnsi="Times New Roman" w:cs="Times New Roman"/>
          <w:sz w:val="32"/>
        </w:rPr>
        <w:t>公民和机构、我</w:t>
      </w:r>
      <w:r>
        <w:rPr>
          <w:rFonts w:hint="eastAsia" w:ascii="Times New Roman" w:hAnsi="Times New Roman" w:cs="Times New Roman"/>
          <w:sz w:val="32"/>
        </w:rPr>
        <w:t>县</w:t>
      </w:r>
      <w:r>
        <w:rPr>
          <w:rFonts w:ascii="Times New Roman" w:hAnsi="Times New Roman" w:cs="Times New Roman"/>
          <w:sz w:val="32"/>
        </w:rPr>
        <w:t>境内外国机构和人员的生命财产安全及其合法权益不受侵犯。在处置突发事件的过程中，严格遵守国家保密规定和外事纪律，保守国家机密和商业秘密。</w:t>
      </w:r>
    </w:p>
    <w:p w14:paraId="5BAEDC00">
      <w:pPr>
        <w:pStyle w:val="2"/>
        <w:numPr>
          <w:ilvl w:val="0"/>
          <w:numId w:val="235"/>
        </w:numPr>
        <w:tabs>
          <w:tab w:val="left" w:pos="0"/>
        </w:tabs>
        <w:rPr>
          <w:rFonts w:ascii="Times New Roman" w:hAnsi="Times New Roman" w:cs="Times New Roman"/>
          <w:sz w:val="32"/>
        </w:rPr>
      </w:pPr>
      <w:bookmarkStart w:id="1483" w:name="_Toc13290"/>
      <w:r>
        <w:rPr>
          <w:rFonts w:ascii="Times New Roman" w:hAnsi="Times New Roman" w:cs="Times New Roman"/>
          <w:sz w:val="32"/>
        </w:rPr>
        <w:t>组织指挥体系</w:t>
      </w:r>
      <w:bookmarkEnd w:id="1483"/>
    </w:p>
    <w:p w14:paraId="3CD8C1D4">
      <w:pPr>
        <w:pStyle w:val="3"/>
        <w:spacing w:line="560" w:lineRule="exact"/>
        <w:ind w:firstLine="0" w:firstLineChars="0"/>
        <w:rPr>
          <w:rFonts w:ascii="Times New Roman" w:hAnsi="Times New Roman" w:eastAsia="楷体_GB2312" w:cs="Times New Roman"/>
          <w:sz w:val="32"/>
        </w:rPr>
      </w:pPr>
      <w:bookmarkStart w:id="1484" w:name="_Toc6422"/>
      <w:r>
        <w:rPr>
          <w:rFonts w:ascii="Times New Roman" w:hAnsi="Times New Roman" w:eastAsia="楷体_GB2312" w:cs="Times New Roman"/>
          <w:sz w:val="32"/>
        </w:rPr>
        <w:t>组织指挥体系</w:t>
      </w:r>
      <w:bookmarkEnd w:id="1484"/>
    </w:p>
    <w:p w14:paraId="11ED75BA">
      <w:pPr>
        <w:spacing w:line="560" w:lineRule="exact"/>
        <w:ind w:firstLine="632"/>
        <w:rPr>
          <w:rFonts w:ascii="Times New Roman" w:hAnsi="Times New Roman" w:cs="Times New Roman"/>
          <w:kern w:val="0"/>
          <w:sz w:val="32"/>
        </w:rPr>
      </w:pPr>
      <w:r>
        <w:rPr>
          <w:rFonts w:hint="eastAsia" w:ascii="Times New Roman" w:hAnsi="Times New Roman" w:cs="Times New Roman"/>
          <w:kern w:val="0"/>
          <w:sz w:val="32"/>
        </w:rPr>
        <w:t>集贤县人民</w:t>
      </w:r>
      <w:r>
        <w:rPr>
          <w:rFonts w:ascii="Times New Roman" w:hAnsi="Times New Roman" w:cs="Times New Roman"/>
          <w:kern w:val="0"/>
          <w:sz w:val="32"/>
        </w:rPr>
        <w:t>政府根据工作需要，成立</w:t>
      </w:r>
      <w:r>
        <w:rPr>
          <w:rFonts w:hint="eastAsia" w:ascii="Times New Roman" w:hAnsi="Times New Roman" w:cs="Times New Roman"/>
          <w:kern w:val="0"/>
          <w:sz w:val="32"/>
        </w:rPr>
        <w:t>县</w:t>
      </w:r>
      <w:r>
        <w:rPr>
          <w:rFonts w:ascii="Times New Roman" w:hAnsi="Times New Roman" w:cs="Times New Roman"/>
          <w:kern w:val="0"/>
          <w:sz w:val="32"/>
        </w:rPr>
        <w:t>涉外突发事件应急指挥部（以下简称</w:t>
      </w:r>
      <w:r>
        <w:rPr>
          <w:rFonts w:hint="eastAsia" w:ascii="Times New Roman" w:hAnsi="Times New Roman" w:cs="Times New Roman"/>
          <w:kern w:val="0"/>
          <w:sz w:val="32"/>
        </w:rPr>
        <w:t>县</w:t>
      </w:r>
      <w:r>
        <w:rPr>
          <w:rFonts w:ascii="Times New Roman" w:hAnsi="Times New Roman" w:cs="Times New Roman"/>
          <w:kern w:val="0"/>
          <w:sz w:val="32"/>
        </w:rPr>
        <w:t>指挥部），统一领导和指挥涉外突发事件处置工作。</w:t>
      </w:r>
    </w:p>
    <w:p w14:paraId="2D6E6FFB">
      <w:pPr>
        <w:spacing w:line="560" w:lineRule="exact"/>
        <w:ind w:firstLine="632"/>
        <w:rPr>
          <w:rFonts w:ascii="Times New Roman" w:hAnsi="Times New Roman" w:cs="Times New Roman"/>
          <w:kern w:val="0"/>
          <w:sz w:val="32"/>
        </w:rPr>
      </w:pPr>
      <w:r>
        <w:rPr>
          <w:rFonts w:hint="eastAsia" w:ascii="Times New Roman" w:hAnsi="Times New Roman" w:cs="Times New Roman"/>
          <w:kern w:val="0"/>
          <w:sz w:val="32"/>
        </w:rPr>
        <w:t>县</w:t>
      </w:r>
      <w:r>
        <w:rPr>
          <w:rFonts w:ascii="Times New Roman" w:hAnsi="Times New Roman" w:cs="Times New Roman"/>
          <w:kern w:val="0"/>
          <w:sz w:val="32"/>
        </w:rPr>
        <w:t>指挥部总指挥由</w:t>
      </w:r>
      <w:r>
        <w:rPr>
          <w:rFonts w:hint="eastAsia" w:ascii="Times New Roman" w:hAnsi="Times New Roman" w:cs="Times New Roman"/>
          <w:kern w:val="0"/>
          <w:sz w:val="32"/>
        </w:rPr>
        <w:t>县</w:t>
      </w:r>
      <w:r>
        <w:rPr>
          <w:rFonts w:ascii="Times New Roman" w:hAnsi="Times New Roman" w:cs="Times New Roman"/>
          <w:kern w:val="0"/>
          <w:sz w:val="32"/>
        </w:rPr>
        <w:t>政府分管外事工作的副</w:t>
      </w:r>
      <w:r>
        <w:rPr>
          <w:rFonts w:hint="eastAsia" w:ascii="Times New Roman" w:hAnsi="Times New Roman" w:cs="Times New Roman"/>
          <w:kern w:val="0"/>
          <w:sz w:val="32"/>
        </w:rPr>
        <w:t>县</w:t>
      </w:r>
      <w:r>
        <w:rPr>
          <w:rFonts w:ascii="Times New Roman" w:hAnsi="Times New Roman" w:cs="Times New Roman"/>
          <w:kern w:val="0"/>
          <w:sz w:val="32"/>
        </w:rPr>
        <w:t>长担任，副总指挥由</w:t>
      </w:r>
      <w:r>
        <w:rPr>
          <w:rFonts w:hint="eastAsia" w:ascii="Times New Roman" w:hAnsi="Times New Roman" w:cs="Times New Roman"/>
          <w:kern w:val="0"/>
          <w:sz w:val="32"/>
        </w:rPr>
        <w:t>县</w:t>
      </w:r>
      <w:r>
        <w:rPr>
          <w:rFonts w:ascii="Times New Roman" w:hAnsi="Times New Roman" w:cs="Times New Roman"/>
          <w:kern w:val="0"/>
          <w:sz w:val="32"/>
        </w:rPr>
        <w:t>政府</w:t>
      </w:r>
      <w:r>
        <w:rPr>
          <w:rFonts w:hint="eastAsia" w:ascii="Times New Roman" w:hAnsi="Times New Roman" w:cs="Times New Roman"/>
          <w:kern w:val="0"/>
          <w:sz w:val="32"/>
        </w:rPr>
        <w:t>外事办</w:t>
      </w:r>
      <w:r>
        <w:rPr>
          <w:rFonts w:ascii="Times New Roman" w:hAnsi="Times New Roman" w:cs="Times New Roman"/>
          <w:kern w:val="0"/>
          <w:sz w:val="32"/>
        </w:rPr>
        <w:t>主任担任。</w:t>
      </w:r>
    </w:p>
    <w:p w14:paraId="344E7AE7">
      <w:pPr>
        <w:spacing w:line="560" w:lineRule="exact"/>
        <w:ind w:firstLine="632"/>
        <w:rPr>
          <w:rFonts w:ascii="Times New Roman" w:hAnsi="Times New Roman" w:cs="Times New Roman"/>
          <w:kern w:val="0"/>
          <w:sz w:val="32"/>
        </w:rPr>
      </w:pPr>
      <w:r>
        <w:rPr>
          <w:rFonts w:hint="eastAsia" w:ascii="Times New Roman" w:hAnsi="Times New Roman" w:cs="Times New Roman"/>
          <w:kern w:val="0"/>
          <w:sz w:val="32"/>
        </w:rPr>
        <w:t>县</w:t>
      </w:r>
      <w:r>
        <w:rPr>
          <w:rFonts w:ascii="Times New Roman" w:hAnsi="Times New Roman" w:cs="Times New Roman"/>
          <w:kern w:val="0"/>
          <w:sz w:val="32"/>
        </w:rPr>
        <w:t>指挥部成员单位包括</w:t>
      </w:r>
      <w:r>
        <w:rPr>
          <w:rFonts w:hint="eastAsia" w:ascii="Times New Roman" w:hAnsi="Times New Roman" w:cs="Times New Roman"/>
          <w:kern w:val="0"/>
          <w:sz w:val="32"/>
        </w:rPr>
        <w:t>县委宣传部、县</w:t>
      </w:r>
      <w:r>
        <w:rPr>
          <w:rFonts w:ascii="Times New Roman" w:hAnsi="Times New Roman" w:cs="Times New Roman"/>
          <w:kern w:val="0"/>
          <w:sz w:val="32"/>
        </w:rPr>
        <w:t>应急管理局、</w:t>
      </w:r>
      <w:r>
        <w:rPr>
          <w:rFonts w:hint="eastAsia" w:ascii="Times New Roman" w:hAnsi="Times New Roman" w:cs="Times New Roman"/>
          <w:kern w:val="0"/>
          <w:sz w:val="32"/>
        </w:rPr>
        <w:t>县政府</w:t>
      </w:r>
      <w:r>
        <w:rPr>
          <w:rFonts w:ascii="Times New Roman" w:hAnsi="Times New Roman" w:cs="Times New Roman"/>
          <w:kern w:val="0"/>
          <w:sz w:val="32"/>
        </w:rPr>
        <w:t>外</w:t>
      </w:r>
      <w:r>
        <w:rPr>
          <w:rFonts w:hint="eastAsia" w:ascii="Times New Roman" w:hAnsi="Times New Roman" w:cs="Times New Roman"/>
          <w:kern w:val="0"/>
          <w:sz w:val="32"/>
        </w:rPr>
        <w:t>事</w:t>
      </w:r>
      <w:r>
        <w:rPr>
          <w:rFonts w:ascii="Times New Roman" w:hAnsi="Times New Roman" w:cs="Times New Roman"/>
          <w:kern w:val="0"/>
          <w:sz w:val="32"/>
        </w:rPr>
        <w:t>办、</w:t>
      </w:r>
      <w:r>
        <w:rPr>
          <w:rFonts w:hint="eastAsia" w:ascii="Times New Roman" w:hAnsi="Times New Roman" w:cs="Times New Roman"/>
          <w:kern w:val="0"/>
          <w:sz w:val="32"/>
        </w:rPr>
        <w:t>县</w:t>
      </w:r>
      <w:r>
        <w:rPr>
          <w:rFonts w:ascii="Times New Roman" w:hAnsi="Times New Roman" w:cs="Times New Roman"/>
          <w:kern w:val="0"/>
          <w:sz w:val="32"/>
        </w:rPr>
        <w:t>公安局、</w:t>
      </w:r>
      <w:r>
        <w:rPr>
          <w:rFonts w:hint="eastAsia" w:ascii="Times New Roman" w:hAnsi="Times New Roman" w:cs="Times New Roman"/>
          <w:kern w:val="0"/>
          <w:sz w:val="32"/>
        </w:rPr>
        <w:t>县发展和改革局、县</w:t>
      </w:r>
      <w:r>
        <w:rPr>
          <w:rFonts w:ascii="Times New Roman" w:hAnsi="Times New Roman" w:cs="Times New Roman"/>
          <w:kern w:val="0"/>
          <w:sz w:val="32"/>
        </w:rPr>
        <w:t>财政局</w:t>
      </w:r>
      <w:r>
        <w:rPr>
          <w:rFonts w:hint="eastAsia" w:ascii="Times New Roman" w:hAnsi="Times New Roman" w:cs="Times New Roman"/>
          <w:kern w:val="0"/>
          <w:sz w:val="32"/>
        </w:rPr>
        <w:t>、县</w:t>
      </w:r>
      <w:r>
        <w:rPr>
          <w:rFonts w:ascii="Times New Roman" w:hAnsi="Times New Roman" w:cs="Times New Roman"/>
          <w:kern w:val="0"/>
          <w:sz w:val="32"/>
        </w:rPr>
        <w:t>文</w:t>
      </w:r>
      <w:r>
        <w:rPr>
          <w:rFonts w:hint="eastAsia" w:ascii="Times New Roman" w:hAnsi="Times New Roman" w:cs="Times New Roman"/>
          <w:kern w:val="0"/>
          <w:sz w:val="32"/>
        </w:rPr>
        <w:t>化广电和旅游</w:t>
      </w:r>
      <w:r>
        <w:rPr>
          <w:rFonts w:ascii="Times New Roman" w:hAnsi="Times New Roman" w:cs="Times New Roman"/>
          <w:kern w:val="0"/>
          <w:sz w:val="32"/>
        </w:rPr>
        <w:t>局、</w:t>
      </w:r>
      <w:r>
        <w:rPr>
          <w:rFonts w:hint="eastAsia" w:ascii="Times New Roman" w:hAnsi="Times New Roman" w:cs="Times New Roman"/>
          <w:kern w:val="0"/>
          <w:sz w:val="32"/>
        </w:rPr>
        <w:t>县</w:t>
      </w:r>
      <w:r>
        <w:rPr>
          <w:rFonts w:ascii="Times New Roman" w:hAnsi="Times New Roman" w:cs="Times New Roman"/>
          <w:kern w:val="0"/>
          <w:sz w:val="32"/>
        </w:rPr>
        <w:t>民政局、</w:t>
      </w:r>
      <w:r>
        <w:rPr>
          <w:rFonts w:hint="eastAsia" w:ascii="Times New Roman" w:hAnsi="Times New Roman" w:cs="Times New Roman"/>
          <w:kern w:val="0"/>
          <w:sz w:val="32"/>
        </w:rPr>
        <w:t>县</w:t>
      </w:r>
      <w:r>
        <w:rPr>
          <w:rFonts w:ascii="Times New Roman" w:hAnsi="Times New Roman" w:cs="Times New Roman"/>
          <w:kern w:val="0"/>
          <w:sz w:val="32"/>
        </w:rPr>
        <w:t>教育</w:t>
      </w:r>
      <w:r>
        <w:rPr>
          <w:rFonts w:hint="eastAsia" w:ascii="Times New Roman" w:hAnsi="Times New Roman" w:cs="Times New Roman"/>
          <w:kern w:val="0"/>
          <w:sz w:val="32"/>
        </w:rPr>
        <w:t>和体育</w:t>
      </w:r>
      <w:r>
        <w:rPr>
          <w:rFonts w:ascii="Times New Roman" w:hAnsi="Times New Roman" w:cs="Times New Roman"/>
          <w:kern w:val="0"/>
          <w:sz w:val="32"/>
        </w:rPr>
        <w:t>局、</w:t>
      </w:r>
      <w:r>
        <w:rPr>
          <w:rFonts w:hint="eastAsia" w:ascii="Times New Roman" w:hAnsi="Times New Roman" w:cs="Times New Roman"/>
          <w:kern w:val="0"/>
          <w:sz w:val="32"/>
        </w:rPr>
        <w:t>县卫生健康局</w:t>
      </w:r>
      <w:r>
        <w:rPr>
          <w:rFonts w:ascii="Times New Roman" w:hAnsi="Times New Roman" w:cs="Times New Roman"/>
          <w:kern w:val="0"/>
          <w:sz w:val="32"/>
        </w:rPr>
        <w:t>、</w:t>
      </w:r>
      <w:r>
        <w:rPr>
          <w:rFonts w:hint="eastAsia" w:ascii="Times New Roman" w:hAnsi="Times New Roman" w:cs="Times New Roman"/>
          <w:kern w:val="0"/>
          <w:sz w:val="32"/>
        </w:rPr>
        <w:t>县</w:t>
      </w:r>
      <w:r>
        <w:rPr>
          <w:rFonts w:ascii="Times New Roman" w:hAnsi="Times New Roman" w:cs="Times New Roman"/>
          <w:kern w:val="0"/>
          <w:sz w:val="32"/>
        </w:rPr>
        <w:t>市场监督管理局、</w:t>
      </w:r>
      <w:r>
        <w:rPr>
          <w:rFonts w:hint="eastAsia" w:ascii="Times New Roman" w:hAnsi="Times New Roman" w:cs="Times New Roman"/>
          <w:kern w:val="0"/>
          <w:sz w:val="32"/>
        </w:rPr>
        <w:t>县</w:t>
      </w:r>
      <w:r>
        <w:rPr>
          <w:rFonts w:ascii="Times New Roman" w:hAnsi="Times New Roman" w:cs="Times New Roman"/>
          <w:kern w:val="0"/>
          <w:sz w:val="32"/>
        </w:rPr>
        <w:t>交通运输局、</w:t>
      </w:r>
      <w:r>
        <w:rPr>
          <w:rFonts w:hint="eastAsia" w:ascii="Times New Roman" w:hAnsi="Times New Roman" w:cs="Times New Roman"/>
          <w:kern w:val="0"/>
          <w:sz w:val="32"/>
        </w:rPr>
        <w:t>县</w:t>
      </w:r>
      <w:r>
        <w:rPr>
          <w:rFonts w:ascii="Times New Roman" w:hAnsi="Times New Roman" w:cs="Times New Roman"/>
          <w:kern w:val="0"/>
          <w:sz w:val="32"/>
        </w:rPr>
        <w:t>民族宗教事务局、</w:t>
      </w:r>
      <w:r>
        <w:rPr>
          <w:rFonts w:hint="eastAsia" w:ascii="Times New Roman" w:hAnsi="Times New Roman" w:cs="Times New Roman"/>
          <w:kern w:val="0"/>
          <w:sz w:val="32"/>
        </w:rPr>
        <w:t>各乡镇人民</w:t>
      </w:r>
      <w:r>
        <w:rPr>
          <w:rFonts w:ascii="Times New Roman" w:hAnsi="Times New Roman" w:cs="Times New Roman"/>
          <w:kern w:val="0"/>
          <w:sz w:val="32"/>
        </w:rPr>
        <w:t>政府</w:t>
      </w:r>
      <w:r>
        <w:rPr>
          <w:rFonts w:hint="eastAsia" w:ascii="Times New Roman" w:hAnsi="Times New Roman" w:cs="Times New Roman"/>
          <w:kern w:val="0"/>
          <w:sz w:val="32"/>
        </w:rPr>
        <w:t>等</w:t>
      </w:r>
      <w:r>
        <w:rPr>
          <w:rFonts w:ascii="Times New Roman" w:hAnsi="Times New Roman" w:cs="Times New Roman"/>
          <w:kern w:val="0"/>
          <w:sz w:val="32"/>
        </w:rPr>
        <w:t>单位，并视处置工作需要作适当调整。</w:t>
      </w:r>
    </w:p>
    <w:p w14:paraId="0395EF9D">
      <w:pPr>
        <w:spacing w:line="560" w:lineRule="exact"/>
        <w:ind w:firstLine="632"/>
        <w:rPr>
          <w:rFonts w:ascii="Times New Roman" w:hAnsi="Times New Roman" w:cs="Times New Roman"/>
          <w:kern w:val="0"/>
          <w:sz w:val="32"/>
        </w:rPr>
      </w:pPr>
      <w:r>
        <w:rPr>
          <w:rFonts w:hint="eastAsia" w:ascii="Times New Roman" w:hAnsi="Times New Roman" w:cs="Times New Roman"/>
          <w:kern w:val="0"/>
          <w:sz w:val="32"/>
        </w:rPr>
        <w:t>县</w:t>
      </w:r>
      <w:r>
        <w:rPr>
          <w:rFonts w:ascii="Times New Roman" w:hAnsi="Times New Roman" w:cs="Times New Roman"/>
          <w:kern w:val="0"/>
          <w:sz w:val="32"/>
        </w:rPr>
        <w:t>指挥部下设办公室，办公室设在</w:t>
      </w:r>
      <w:r>
        <w:rPr>
          <w:rFonts w:hint="eastAsia" w:ascii="Times New Roman" w:hAnsi="Times New Roman" w:cs="Times New Roman"/>
          <w:kern w:val="0"/>
          <w:sz w:val="32"/>
        </w:rPr>
        <w:t>县政府外事办</w:t>
      </w:r>
      <w:r>
        <w:rPr>
          <w:rFonts w:ascii="Times New Roman" w:hAnsi="Times New Roman" w:cs="Times New Roman"/>
          <w:kern w:val="0"/>
          <w:sz w:val="32"/>
        </w:rPr>
        <w:t>，负责全</w:t>
      </w:r>
      <w:r>
        <w:rPr>
          <w:rFonts w:hint="eastAsia" w:ascii="Times New Roman" w:hAnsi="Times New Roman" w:cs="Times New Roman"/>
          <w:kern w:val="0"/>
          <w:sz w:val="32"/>
        </w:rPr>
        <w:t>县</w:t>
      </w:r>
      <w:r>
        <w:rPr>
          <w:rFonts w:ascii="Times New Roman" w:hAnsi="Times New Roman" w:cs="Times New Roman"/>
          <w:kern w:val="0"/>
          <w:sz w:val="32"/>
        </w:rPr>
        <w:t>涉外应急日常管理和应急指挥协调工作，完成</w:t>
      </w:r>
      <w:r>
        <w:rPr>
          <w:rFonts w:hint="eastAsia" w:ascii="Times New Roman" w:hAnsi="Times New Roman" w:cs="Times New Roman"/>
          <w:kern w:val="0"/>
          <w:sz w:val="32"/>
        </w:rPr>
        <w:t>县</w:t>
      </w:r>
      <w:r>
        <w:rPr>
          <w:rFonts w:ascii="Times New Roman" w:hAnsi="Times New Roman" w:cs="Times New Roman"/>
          <w:kern w:val="0"/>
          <w:sz w:val="32"/>
        </w:rPr>
        <w:t>指挥部交办的各项工作。</w:t>
      </w:r>
    </w:p>
    <w:p w14:paraId="1FB8CC57">
      <w:pPr>
        <w:spacing w:line="560" w:lineRule="exact"/>
        <w:ind w:firstLine="632"/>
        <w:rPr>
          <w:rFonts w:ascii="Times New Roman" w:hAnsi="Times New Roman" w:cs="Times New Roman"/>
          <w:sz w:val="32"/>
        </w:rPr>
      </w:pPr>
      <w:r>
        <w:rPr>
          <w:rFonts w:hint="eastAsia" w:ascii="Times New Roman" w:hAnsi="Times New Roman" w:cs="Times New Roman"/>
          <w:kern w:val="0"/>
          <w:sz w:val="32"/>
        </w:rPr>
        <w:t>县</w:t>
      </w:r>
      <w:r>
        <w:rPr>
          <w:rFonts w:ascii="Times New Roman" w:hAnsi="Times New Roman" w:cs="Times New Roman"/>
          <w:kern w:val="0"/>
          <w:sz w:val="32"/>
        </w:rPr>
        <w:t>指挥部主要职责：贯彻落实国家、省、市有关突发事件应急的法律法规，分析研究涉外突发事件防范与处置工作重大问题及主要决策事项。组织指挥</w:t>
      </w:r>
      <w:r>
        <w:rPr>
          <w:rFonts w:hint="eastAsia" w:ascii="Times New Roman" w:hAnsi="Times New Roman" w:cs="Times New Roman"/>
          <w:kern w:val="0"/>
          <w:sz w:val="32"/>
        </w:rPr>
        <w:t>一般</w:t>
      </w:r>
      <w:r>
        <w:rPr>
          <w:rFonts w:ascii="Times New Roman" w:hAnsi="Times New Roman" w:cs="Times New Roman"/>
          <w:kern w:val="0"/>
          <w:sz w:val="32"/>
        </w:rPr>
        <w:t>涉外突发事件应急处置，负责</w:t>
      </w:r>
      <w:r>
        <w:rPr>
          <w:rFonts w:hint="eastAsia" w:ascii="Times New Roman" w:hAnsi="Times New Roman" w:cs="Times New Roman"/>
          <w:kern w:val="0"/>
          <w:sz w:val="32"/>
        </w:rPr>
        <w:t>较大以上</w:t>
      </w:r>
      <w:r>
        <w:rPr>
          <w:rFonts w:ascii="Times New Roman" w:hAnsi="Times New Roman" w:cs="Times New Roman"/>
          <w:kern w:val="0"/>
          <w:sz w:val="32"/>
        </w:rPr>
        <w:t>涉外突发事件的先期处置，必要时请求</w:t>
      </w:r>
      <w:r>
        <w:rPr>
          <w:rFonts w:hint="eastAsia" w:ascii="Times New Roman" w:hAnsi="Times New Roman" w:cs="Times New Roman"/>
          <w:kern w:val="0"/>
          <w:sz w:val="32"/>
        </w:rPr>
        <w:t>双鸭山市政府、黑龙江</w:t>
      </w:r>
      <w:r>
        <w:rPr>
          <w:rFonts w:ascii="Times New Roman" w:hAnsi="Times New Roman" w:cs="Times New Roman"/>
          <w:kern w:val="0"/>
          <w:sz w:val="32"/>
        </w:rPr>
        <w:t>省政府</w:t>
      </w:r>
      <w:r>
        <w:rPr>
          <w:rFonts w:hint="eastAsia" w:ascii="Times New Roman" w:hAnsi="Times New Roman" w:cs="Times New Roman"/>
          <w:kern w:val="0"/>
          <w:sz w:val="32"/>
        </w:rPr>
        <w:t>涉外主管部门</w:t>
      </w:r>
      <w:r>
        <w:rPr>
          <w:rFonts w:ascii="Times New Roman" w:hAnsi="Times New Roman" w:cs="Times New Roman"/>
          <w:kern w:val="0"/>
          <w:sz w:val="32"/>
        </w:rPr>
        <w:t>给予支持。对于敏感的、可能有次生或衍生危害性的突发事件或预警信息，按规定做好信息报告、预警和应急响应，必要时提升响应级别。根据涉外突发事件的发生、发展趋势，决定启动、终止应急响应，负责组建现场指挥部。指导各</w:t>
      </w:r>
      <w:r>
        <w:rPr>
          <w:rFonts w:hint="eastAsia" w:ascii="Times New Roman" w:hAnsi="Times New Roman" w:cs="Times New Roman"/>
          <w:kern w:val="0"/>
          <w:sz w:val="32"/>
        </w:rPr>
        <w:t>乡镇人民政府</w:t>
      </w:r>
      <w:r>
        <w:rPr>
          <w:rFonts w:ascii="Times New Roman" w:hAnsi="Times New Roman" w:cs="Times New Roman"/>
          <w:kern w:val="0"/>
          <w:sz w:val="32"/>
        </w:rPr>
        <w:t>做好</w:t>
      </w:r>
      <w:r>
        <w:rPr>
          <w:rFonts w:hint="eastAsia" w:ascii="Times New Roman" w:hAnsi="Times New Roman" w:cs="Times New Roman"/>
          <w:kern w:val="0"/>
          <w:sz w:val="32"/>
        </w:rPr>
        <w:t>涉外</w:t>
      </w:r>
      <w:r>
        <w:rPr>
          <w:rFonts w:ascii="Times New Roman" w:hAnsi="Times New Roman" w:cs="Times New Roman"/>
          <w:kern w:val="0"/>
          <w:sz w:val="32"/>
        </w:rPr>
        <w:t>突发事件的应对处置工作。</w:t>
      </w:r>
    </w:p>
    <w:p w14:paraId="4276F594">
      <w:pPr>
        <w:pStyle w:val="3"/>
        <w:spacing w:line="560" w:lineRule="exact"/>
        <w:ind w:firstLine="0" w:firstLineChars="0"/>
        <w:rPr>
          <w:rFonts w:ascii="Times New Roman" w:hAnsi="Times New Roman" w:eastAsia="楷体_GB2312" w:cs="Times New Roman"/>
          <w:sz w:val="32"/>
        </w:rPr>
      </w:pPr>
      <w:bookmarkStart w:id="1485" w:name="_Toc9946"/>
      <w:r>
        <w:rPr>
          <w:rFonts w:ascii="Times New Roman" w:hAnsi="Times New Roman" w:eastAsia="楷体_GB2312" w:cs="Times New Roman"/>
          <w:sz w:val="32"/>
        </w:rPr>
        <w:t>职责分工</w:t>
      </w:r>
      <w:bookmarkEnd w:id="1485"/>
    </w:p>
    <w:p w14:paraId="41C911CF">
      <w:pPr>
        <w:pStyle w:val="4"/>
        <w:numPr>
          <w:ilvl w:val="2"/>
          <w:numId w:val="235"/>
        </w:numPr>
        <w:tabs>
          <w:tab w:val="left" w:pos="0"/>
        </w:tabs>
        <w:spacing w:line="560" w:lineRule="exact"/>
        <w:ind w:firstLine="0" w:firstLineChars="0"/>
        <w:rPr>
          <w:rFonts w:ascii="Times New Roman" w:hAnsi="Times New Roman" w:cs="Times New Roman"/>
          <w:sz w:val="32"/>
        </w:rPr>
      </w:pPr>
      <w:r>
        <w:rPr>
          <w:rFonts w:ascii="Times New Roman" w:hAnsi="Times New Roman" w:cs="Times New Roman"/>
          <w:sz w:val="32"/>
        </w:rPr>
        <w:t>处置境外涉我突发事件</w:t>
      </w:r>
    </w:p>
    <w:p w14:paraId="7CC5AF66">
      <w:pPr>
        <w:spacing w:line="560" w:lineRule="exact"/>
        <w:ind w:firstLine="632"/>
        <w:rPr>
          <w:rFonts w:ascii="Times New Roman" w:hAnsi="Times New Roman" w:cs="Times New Roman"/>
          <w:sz w:val="32"/>
        </w:rPr>
      </w:pPr>
      <w:r>
        <w:rPr>
          <w:rFonts w:ascii="Times New Roman" w:hAnsi="Times New Roman" w:cs="Times New Roman"/>
          <w:sz w:val="32"/>
        </w:rPr>
        <w:t>（1）驻外</w:t>
      </w:r>
      <w:r>
        <w:rPr>
          <w:rFonts w:hint="eastAsia" w:ascii="Times New Roman" w:hAnsi="Times New Roman" w:cs="Times New Roman"/>
          <w:sz w:val="32"/>
        </w:rPr>
        <w:t>我县</w:t>
      </w:r>
      <w:r>
        <w:rPr>
          <w:rFonts w:ascii="Times New Roman" w:hAnsi="Times New Roman" w:cs="Times New Roman"/>
          <w:sz w:val="32"/>
        </w:rPr>
        <w:t>机构及人员、援外人员、外派劳务人员及其他从事商务活动、商务交流培训人员的生命财产受到损害或严重威胁的突发事件，由商务部门牵头，</w:t>
      </w:r>
      <w:r>
        <w:rPr>
          <w:rFonts w:hint="eastAsia" w:ascii="Times New Roman" w:hAnsi="Times New Roman" w:cs="Times New Roman"/>
          <w:sz w:val="32"/>
        </w:rPr>
        <w:t>县政府外事办</w:t>
      </w:r>
      <w:r>
        <w:rPr>
          <w:rFonts w:ascii="Times New Roman" w:hAnsi="Times New Roman" w:cs="Times New Roman"/>
          <w:sz w:val="32"/>
        </w:rPr>
        <w:t>配合，相关</w:t>
      </w:r>
      <w:r>
        <w:rPr>
          <w:rFonts w:hint="eastAsia" w:ascii="Times New Roman" w:hAnsi="Times New Roman" w:cs="Times New Roman"/>
          <w:sz w:val="32"/>
        </w:rPr>
        <w:t>乡镇人民政府</w:t>
      </w:r>
      <w:r>
        <w:rPr>
          <w:rFonts w:ascii="Times New Roman" w:hAnsi="Times New Roman" w:cs="Times New Roman"/>
          <w:sz w:val="32"/>
        </w:rPr>
        <w:t>、伤亡人员的国内派出单位、其他相关单位依其职责协助处置。</w:t>
      </w:r>
    </w:p>
    <w:p w14:paraId="1914032F">
      <w:pPr>
        <w:spacing w:line="560" w:lineRule="exact"/>
        <w:ind w:firstLine="632"/>
        <w:rPr>
          <w:rFonts w:ascii="Times New Roman" w:hAnsi="Times New Roman" w:cs="Times New Roman"/>
          <w:sz w:val="32"/>
        </w:rPr>
      </w:pPr>
      <w:r>
        <w:rPr>
          <w:rFonts w:ascii="Times New Roman" w:hAnsi="Times New Roman" w:cs="Times New Roman"/>
          <w:sz w:val="32"/>
        </w:rPr>
        <w:t>（2）留学生、进修生、交流访问学者、援教人员的生命财产受到损害或严重威胁的突发事件，由伤亡人员的国内派出单位承担主体责任，县政府外事办、县教育和体育局配合，相关</w:t>
      </w:r>
      <w:r>
        <w:rPr>
          <w:rFonts w:hint="eastAsia" w:ascii="Times New Roman" w:hAnsi="Times New Roman" w:cs="Times New Roman"/>
          <w:sz w:val="32"/>
        </w:rPr>
        <w:t>乡镇人民政府</w:t>
      </w:r>
      <w:r>
        <w:rPr>
          <w:rFonts w:ascii="Times New Roman" w:hAnsi="Times New Roman" w:cs="Times New Roman"/>
          <w:sz w:val="32"/>
        </w:rPr>
        <w:t>等有关单位依其职责协助处置。</w:t>
      </w:r>
    </w:p>
    <w:p w14:paraId="722B635A">
      <w:pPr>
        <w:spacing w:line="560" w:lineRule="exact"/>
        <w:ind w:firstLine="632"/>
        <w:rPr>
          <w:rFonts w:ascii="Times New Roman" w:hAnsi="Times New Roman" w:cs="Times New Roman"/>
          <w:sz w:val="32"/>
        </w:rPr>
      </w:pPr>
      <w:r>
        <w:rPr>
          <w:rFonts w:ascii="Times New Roman" w:hAnsi="Times New Roman" w:cs="Times New Roman"/>
          <w:sz w:val="32"/>
        </w:rPr>
        <w:t>（3）赴境外文化艺术、体育交流演出团体人员生命财产受到损害或严重威胁的突发事件，分别由</w:t>
      </w:r>
      <w:r>
        <w:rPr>
          <w:rFonts w:hint="eastAsia" w:ascii="Times New Roman" w:hAnsi="Times New Roman" w:cs="Times New Roman"/>
          <w:sz w:val="32"/>
        </w:rPr>
        <w:t>县文化广电和旅游局</w:t>
      </w:r>
      <w:r>
        <w:rPr>
          <w:rFonts w:ascii="Times New Roman" w:hAnsi="Times New Roman" w:cs="Times New Roman"/>
          <w:sz w:val="32"/>
        </w:rPr>
        <w:t>、</w:t>
      </w:r>
      <w:r>
        <w:rPr>
          <w:rFonts w:hint="eastAsia" w:ascii="Times New Roman" w:hAnsi="Times New Roman" w:cs="Times New Roman"/>
          <w:sz w:val="32"/>
        </w:rPr>
        <w:t>县教育和体育局</w:t>
      </w:r>
      <w:r>
        <w:rPr>
          <w:rFonts w:ascii="Times New Roman" w:hAnsi="Times New Roman" w:cs="Times New Roman"/>
          <w:sz w:val="32"/>
        </w:rPr>
        <w:t>牵头，县政府外事办配合，相关</w:t>
      </w:r>
      <w:r>
        <w:rPr>
          <w:rFonts w:hint="eastAsia" w:ascii="Times New Roman" w:hAnsi="Times New Roman" w:cs="Times New Roman"/>
          <w:sz w:val="32"/>
        </w:rPr>
        <w:t>乡镇人民政府</w:t>
      </w:r>
      <w:r>
        <w:rPr>
          <w:rFonts w:ascii="Times New Roman" w:hAnsi="Times New Roman" w:cs="Times New Roman"/>
          <w:sz w:val="32"/>
        </w:rPr>
        <w:t>、伤亡人员的国内派出单位、其他相关单位依其职责协助处置。</w:t>
      </w:r>
    </w:p>
    <w:p w14:paraId="5CA2D8AB">
      <w:pPr>
        <w:spacing w:line="560" w:lineRule="exact"/>
        <w:ind w:firstLine="632"/>
        <w:rPr>
          <w:rFonts w:ascii="Times New Roman" w:hAnsi="Times New Roman" w:cs="Times New Roman"/>
          <w:sz w:val="32"/>
        </w:rPr>
      </w:pPr>
      <w:r>
        <w:rPr>
          <w:rFonts w:ascii="Times New Roman" w:hAnsi="Times New Roman" w:cs="Times New Roman"/>
          <w:sz w:val="32"/>
        </w:rPr>
        <w:t>（4）赴境外进行科技访问、考察交流、培训、援外医疗、科研人员生命财产及生产设施受到严重损害或严重威胁的突发事件，由伤亡人员的国内派出单位承担主体责任，县政府外事办配合，相关</w:t>
      </w:r>
      <w:r>
        <w:rPr>
          <w:rFonts w:hint="eastAsia" w:ascii="Times New Roman" w:hAnsi="Times New Roman" w:cs="Times New Roman"/>
          <w:sz w:val="32"/>
        </w:rPr>
        <w:t>乡镇人民</w:t>
      </w:r>
      <w:r>
        <w:rPr>
          <w:rFonts w:ascii="Times New Roman" w:hAnsi="Times New Roman" w:cs="Times New Roman"/>
          <w:sz w:val="32"/>
        </w:rPr>
        <w:t>政府等有关单位依其职责协助处置。</w:t>
      </w:r>
    </w:p>
    <w:p w14:paraId="4A1E6078">
      <w:pPr>
        <w:spacing w:line="560" w:lineRule="exact"/>
        <w:ind w:firstLine="632"/>
        <w:rPr>
          <w:rFonts w:ascii="Times New Roman" w:hAnsi="Times New Roman" w:cs="Times New Roman"/>
          <w:sz w:val="32"/>
        </w:rPr>
      </w:pPr>
      <w:r>
        <w:rPr>
          <w:rFonts w:ascii="Times New Roman" w:hAnsi="Times New Roman" w:cs="Times New Roman"/>
          <w:sz w:val="32"/>
        </w:rPr>
        <w:t>（5）驻外旅游机构及人员、出境旅游团人员的生命财产受到损害或严重威胁的突发事件，由伤亡人员的国内派出单位承担主体责任，</w:t>
      </w:r>
      <w:r>
        <w:rPr>
          <w:rFonts w:hint="eastAsia" w:ascii="Times New Roman" w:hAnsi="Times New Roman" w:cs="Times New Roman"/>
          <w:sz w:val="32"/>
        </w:rPr>
        <w:t>县文化广电和旅游局</w:t>
      </w:r>
      <w:r>
        <w:rPr>
          <w:rFonts w:ascii="Times New Roman" w:hAnsi="Times New Roman" w:cs="Times New Roman"/>
          <w:sz w:val="32"/>
        </w:rPr>
        <w:t>、县政府外事办配合，相关</w:t>
      </w:r>
      <w:r>
        <w:rPr>
          <w:rFonts w:hint="eastAsia" w:ascii="Times New Roman" w:hAnsi="Times New Roman" w:cs="Times New Roman"/>
          <w:sz w:val="32"/>
        </w:rPr>
        <w:t>乡镇人民政府及其他单位</w:t>
      </w:r>
      <w:r>
        <w:rPr>
          <w:rFonts w:ascii="Times New Roman" w:hAnsi="Times New Roman" w:cs="Times New Roman"/>
          <w:sz w:val="32"/>
        </w:rPr>
        <w:t>依其职责协助处置。</w:t>
      </w:r>
    </w:p>
    <w:p w14:paraId="73CD4579">
      <w:pPr>
        <w:spacing w:line="560" w:lineRule="exact"/>
        <w:ind w:firstLine="632"/>
        <w:rPr>
          <w:rFonts w:ascii="Times New Roman" w:hAnsi="Times New Roman" w:cs="Times New Roman"/>
          <w:sz w:val="32"/>
        </w:rPr>
      </w:pPr>
      <w:r>
        <w:rPr>
          <w:rFonts w:ascii="Times New Roman" w:hAnsi="Times New Roman" w:cs="Times New Roman"/>
          <w:sz w:val="32"/>
        </w:rPr>
        <w:t>（6）我</w:t>
      </w:r>
      <w:r>
        <w:rPr>
          <w:rFonts w:hint="eastAsia" w:ascii="Times New Roman" w:hAnsi="Times New Roman" w:cs="Times New Roman"/>
          <w:sz w:val="32"/>
        </w:rPr>
        <w:t>县</w:t>
      </w:r>
      <w:r>
        <w:rPr>
          <w:rFonts w:ascii="Times New Roman" w:hAnsi="Times New Roman" w:cs="Times New Roman"/>
          <w:sz w:val="32"/>
        </w:rPr>
        <w:t>派出的演出团体、留学生等人员在境外发生罢工、罢课、游行示威等群体性突发事件，由国内派出单位承担主体责任，县政府外事办配合，</w:t>
      </w:r>
      <w:r>
        <w:rPr>
          <w:rFonts w:hint="eastAsia" w:ascii="Times New Roman" w:hAnsi="Times New Roman" w:cs="Times New Roman"/>
          <w:sz w:val="32"/>
        </w:rPr>
        <w:t>县文化广电和旅游局</w:t>
      </w:r>
      <w:r>
        <w:rPr>
          <w:rFonts w:ascii="Times New Roman" w:hAnsi="Times New Roman" w:cs="Times New Roman"/>
          <w:sz w:val="32"/>
        </w:rPr>
        <w:t>、</w:t>
      </w:r>
      <w:r>
        <w:rPr>
          <w:rFonts w:hint="eastAsia" w:ascii="Times New Roman" w:hAnsi="Times New Roman" w:cs="Times New Roman"/>
          <w:sz w:val="32"/>
        </w:rPr>
        <w:t>县教育和体育局</w:t>
      </w:r>
      <w:r>
        <w:rPr>
          <w:rFonts w:ascii="Times New Roman" w:hAnsi="Times New Roman" w:cs="Times New Roman"/>
          <w:sz w:val="32"/>
        </w:rPr>
        <w:t>、</w:t>
      </w:r>
      <w:r>
        <w:rPr>
          <w:rFonts w:hint="eastAsia" w:ascii="Times New Roman" w:hAnsi="Times New Roman" w:cs="Times New Roman"/>
          <w:sz w:val="32"/>
        </w:rPr>
        <w:t>县</w:t>
      </w:r>
      <w:r>
        <w:rPr>
          <w:rFonts w:ascii="Times New Roman" w:hAnsi="Times New Roman" w:cs="Times New Roman"/>
          <w:sz w:val="32"/>
        </w:rPr>
        <w:t>公安局等有关部门、相关</w:t>
      </w:r>
      <w:r>
        <w:rPr>
          <w:rFonts w:hint="eastAsia" w:ascii="Times New Roman" w:hAnsi="Times New Roman" w:cs="Times New Roman"/>
          <w:sz w:val="32"/>
        </w:rPr>
        <w:t>乡镇人民</w:t>
      </w:r>
      <w:r>
        <w:rPr>
          <w:rFonts w:ascii="Times New Roman" w:hAnsi="Times New Roman" w:cs="Times New Roman"/>
          <w:sz w:val="32"/>
        </w:rPr>
        <w:t>政府</w:t>
      </w:r>
      <w:r>
        <w:rPr>
          <w:rFonts w:hint="eastAsia" w:ascii="Times New Roman" w:hAnsi="Times New Roman" w:cs="Times New Roman"/>
          <w:sz w:val="32"/>
        </w:rPr>
        <w:t>及其他相关</w:t>
      </w:r>
      <w:r>
        <w:rPr>
          <w:rFonts w:ascii="Times New Roman" w:hAnsi="Times New Roman" w:cs="Times New Roman"/>
          <w:sz w:val="32"/>
        </w:rPr>
        <w:t>单位依其职责分工协助处置。</w:t>
      </w:r>
    </w:p>
    <w:p w14:paraId="19ECF1AA">
      <w:pPr>
        <w:spacing w:line="560" w:lineRule="exact"/>
        <w:ind w:firstLine="632"/>
        <w:rPr>
          <w:rFonts w:ascii="Times New Roman" w:hAnsi="Times New Roman" w:cs="Times New Roman"/>
          <w:sz w:val="32"/>
        </w:rPr>
      </w:pPr>
      <w:r>
        <w:rPr>
          <w:rFonts w:ascii="Times New Roman" w:hAnsi="Times New Roman" w:cs="Times New Roman"/>
          <w:sz w:val="32"/>
        </w:rPr>
        <w:t>（7）我</w:t>
      </w:r>
      <w:r>
        <w:rPr>
          <w:rFonts w:hint="eastAsia" w:ascii="Times New Roman" w:hAnsi="Times New Roman" w:cs="Times New Roman"/>
          <w:sz w:val="32"/>
        </w:rPr>
        <w:t>县</w:t>
      </w:r>
      <w:r>
        <w:rPr>
          <w:rFonts w:ascii="Times New Roman" w:hAnsi="Times New Roman" w:cs="Times New Roman"/>
          <w:sz w:val="32"/>
        </w:rPr>
        <w:t>驻境外各类机构人员、临时因公出国（境）人员、出境旅游团人员以及留学生、进修生、交流访问学者、援教人员遇到境外重大突发公共卫生事件（重大疫情），应按照国家有关政策和法律法规，并遵守所在国家或地区的法律，由国内派出单位承担主体责任，县政府外事办配合，</w:t>
      </w:r>
      <w:r>
        <w:rPr>
          <w:rFonts w:hint="eastAsia" w:ascii="Times New Roman" w:hAnsi="Times New Roman" w:cs="Times New Roman"/>
          <w:sz w:val="32"/>
        </w:rPr>
        <w:t>县政府</w:t>
      </w:r>
      <w:r>
        <w:rPr>
          <w:rFonts w:ascii="Times New Roman" w:hAnsi="Times New Roman" w:cs="Times New Roman"/>
          <w:sz w:val="32"/>
        </w:rPr>
        <w:t>各相关部门、相关</w:t>
      </w:r>
      <w:r>
        <w:rPr>
          <w:rFonts w:hint="eastAsia" w:ascii="Times New Roman" w:hAnsi="Times New Roman" w:cs="Times New Roman"/>
          <w:sz w:val="32"/>
        </w:rPr>
        <w:t>乡镇人民</w:t>
      </w:r>
      <w:r>
        <w:rPr>
          <w:rFonts w:ascii="Times New Roman" w:hAnsi="Times New Roman" w:cs="Times New Roman"/>
          <w:sz w:val="32"/>
        </w:rPr>
        <w:t>政府</w:t>
      </w:r>
      <w:r>
        <w:rPr>
          <w:rFonts w:hint="eastAsia" w:ascii="Times New Roman" w:hAnsi="Times New Roman" w:cs="Times New Roman"/>
          <w:sz w:val="32"/>
        </w:rPr>
        <w:t>及其他相关</w:t>
      </w:r>
      <w:r>
        <w:rPr>
          <w:rFonts w:ascii="Times New Roman" w:hAnsi="Times New Roman" w:cs="Times New Roman"/>
          <w:sz w:val="32"/>
        </w:rPr>
        <w:t>单位依其职责分工协助处置。</w:t>
      </w:r>
    </w:p>
    <w:p w14:paraId="36611E18">
      <w:pPr>
        <w:spacing w:line="560" w:lineRule="exact"/>
        <w:ind w:firstLine="632"/>
        <w:rPr>
          <w:rFonts w:ascii="Times New Roman" w:hAnsi="Times New Roman" w:cs="Times New Roman"/>
          <w:sz w:val="32"/>
        </w:rPr>
      </w:pPr>
      <w:r>
        <w:rPr>
          <w:rFonts w:ascii="Times New Roman" w:hAnsi="Times New Roman" w:cs="Times New Roman"/>
          <w:sz w:val="32"/>
        </w:rPr>
        <w:t>（8）</w:t>
      </w:r>
      <w:r>
        <w:rPr>
          <w:rFonts w:hint="eastAsia" w:ascii="Times New Roman" w:hAnsi="Times New Roman" w:cs="Times New Roman"/>
          <w:sz w:val="32"/>
        </w:rPr>
        <w:t>县</w:t>
      </w:r>
      <w:r>
        <w:rPr>
          <w:rFonts w:ascii="Times New Roman" w:hAnsi="Times New Roman" w:cs="Times New Roman"/>
          <w:sz w:val="32"/>
        </w:rPr>
        <w:t>政府其他有关工作部门在必要时在</w:t>
      </w:r>
      <w:r>
        <w:rPr>
          <w:rFonts w:hint="eastAsia" w:ascii="Times New Roman" w:hAnsi="Times New Roman" w:cs="Times New Roman"/>
          <w:sz w:val="32"/>
        </w:rPr>
        <w:t>县</w:t>
      </w:r>
      <w:r>
        <w:rPr>
          <w:rFonts w:ascii="Times New Roman" w:hAnsi="Times New Roman" w:cs="Times New Roman"/>
          <w:sz w:val="32"/>
        </w:rPr>
        <w:t>指挥部的统一领导下做好应急处置工作。</w:t>
      </w:r>
    </w:p>
    <w:p w14:paraId="05CCA308">
      <w:pPr>
        <w:pStyle w:val="4"/>
        <w:numPr>
          <w:ilvl w:val="2"/>
          <w:numId w:val="235"/>
        </w:numPr>
        <w:tabs>
          <w:tab w:val="left" w:pos="0"/>
        </w:tabs>
        <w:spacing w:line="560" w:lineRule="exact"/>
        <w:ind w:firstLine="0" w:firstLineChars="0"/>
        <w:rPr>
          <w:rFonts w:ascii="Times New Roman" w:hAnsi="Times New Roman" w:cs="Times New Roman"/>
          <w:sz w:val="32"/>
        </w:rPr>
      </w:pPr>
      <w:r>
        <w:rPr>
          <w:rFonts w:ascii="Times New Roman" w:hAnsi="Times New Roman" w:cs="Times New Roman"/>
          <w:sz w:val="32"/>
        </w:rPr>
        <w:t>处置辖区内涉外突发事件</w:t>
      </w:r>
    </w:p>
    <w:p w14:paraId="547FF2DE">
      <w:pPr>
        <w:spacing w:line="560" w:lineRule="exact"/>
        <w:ind w:firstLine="632"/>
        <w:rPr>
          <w:rFonts w:ascii="Times New Roman" w:hAnsi="Times New Roman" w:cs="Times New Roman"/>
          <w:sz w:val="32"/>
        </w:rPr>
      </w:pPr>
      <w:r>
        <w:rPr>
          <w:rFonts w:ascii="Times New Roman" w:hAnsi="Times New Roman" w:cs="Times New Roman"/>
          <w:sz w:val="32"/>
        </w:rPr>
        <w:t>（1）外国驻华外交人员生命财产在</w:t>
      </w:r>
      <w:r>
        <w:rPr>
          <w:rFonts w:hint="eastAsia" w:ascii="Times New Roman" w:hAnsi="Times New Roman" w:cs="Times New Roman"/>
          <w:sz w:val="32"/>
        </w:rPr>
        <w:t>我县</w:t>
      </w:r>
      <w:r>
        <w:rPr>
          <w:rFonts w:ascii="Times New Roman" w:hAnsi="Times New Roman" w:cs="Times New Roman"/>
          <w:sz w:val="32"/>
        </w:rPr>
        <w:t>受到损害或严重威胁的突发事件，由县政府外事办牵头，</w:t>
      </w:r>
      <w:r>
        <w:rPr>
          <w:rFonts w:hint="eastAsia" w:ascii="Times New Roman" w:hAnsi="Times New Roman" w:cs="Times New Roman"/>
          <w:sz w:val="32"/>
        </w:rPr>
        <w:t>县</w:t>
      </w:r>
      <w:r>
        <w:rPr>
          <w:rFonts w:ascii="Times New Roman" w:hAnsi="Times New Roman" w:cs="Times New Roman"/>
          <w:sz w:val="32"/>
        </w:rPr>
        <w:t>政府有关部门、相关</w:t>
      </w:r>
      <w:r>
        <w:rPr>
          <w:rFonts w:hint="eastAsia" w:ascii="Times New Roman" w:hAnsi="Times New Roman" w:cs="Times New Roman"/>
          <w:sz w:val="32"/>
        </w:rPr>
        <w:t>乡镇人民</w:t>
      </w:r>
      <w:r>
        <w:rPr>
          <w:rFonts w:ascii="Times New Roman" w:hAnsi="Times New Roman" w:cs="Times New Roman"/>
          <w:sz w:val="32"/>
        </w:rPr>
        <w:t>政府及其他相关单位依其职责分工协助处置。</w:t>
      </w:r>
    </w:p>
    <w:p w14:paraId="4365E7ED">
      <w:pPr>
        <w:spacing w:line="560" w:lineRule="exact"/>
        <w:ind w:firstLine="632"/>
        <w:rPr>
          <w:rFonts w:ascii="Times New Roman" w:hAnsi="Times New Roman" w:cs="Times New Roman"/>
          <w:sz w:val="32"/>
        </w:rPr>
      </w:pPr>
      <w:r>
        <w:rPr>
          <w:rFonts w:ascii="Times New Roman" w:hAnsi="Times New Roman" w:cs="Times New Roman"/>
          <w:sz w:val="32"/>
        </w:rPr>
        <w:t>（2）外国驻华商务机构及人员、外资企业及人员、其他从事经贸、商务、培训人员的生命财产在</w:t>
      </w:r>
      <w:r>
        <w:rPr>
          <w:rFonts w:hint="eastAsia" w:ascii="Times New Roman" w:hAnsi="Times New Roman" w:cs="Times New Roman"/>
          <w:sz w:val="32"/>
        </w:rPr>
        <w:t>我县</w:t>
      </w:r>
      <w:r>
        <w:rPr>
          <w:rFonts w:ascii="Times New Roman" w:hAnsi="Times New Roman" w:cs="Times New Roman"/>
          <w:sz w:val="32"/>
        </w:rPr>
        <w:t>受到损害或严重威胁的突发事件，由事发地</w:t>
      </w:r>
      <w:r>
        <w:rPr>
          <w:rFonts w:hint="eastAsia" w:ascii="Times New Roman" w:hAnsi="Times New Roman" w:cs="Times New Roman"/>
          <w:sz w:val="32"/>
        </w:rPr>
        <w:t>乡镇人民</w:t>
      </w:r>
      <w:r>
        <w:rPr>
          <w:rFonts w:ascii="Times New Roman" w:hAnsi="Times New Roman" w:cs="Times New Roman"/>
          <w:sz w:val="32"/>
        </w:rPr>
        <w:t>政府牵头，</w:t>
      </w:r>
      <w:r>
        <w:rPr>
          <w:rFonts w:hint="eastAsia" w:ascii="Times New Roman" w:hAnsi="Times New Roman" w:cs="Times New Roman"/>
          <w:sz w:val="32"/>
        </w:rPr>
        <w:t>县发展和改革局</w:t>
      </w:r>
      <w:r>
        <w:rPr>
          <w:rFonts w:ascii="Times New Roman" w:hAnsi="Times New Roman" w:cs="Times New Roman"/>
          <w:sz w:val="32"/>
        </w:rPr>
        <w:t>、</w:t>
      </w:r>
      <w:r>
        <w:rPr>
          <w:rFonts w:hint="eastAsia" w:ascii="Times New Roman" w:hAnsi="Times New Roman" w:cs="Times New Roman"/>
          <w:sz w:val="32"/>
        </w:rPr>
        <w:t>县</w:t>
      </w:r>
      <w:r>
        <w:rPr>
          <w:rFonts w:ascii="Times New Roman" w:hAnsi="Times New Roman" w:cs="Times New Roman"/>
          <w:sz w:val="32"/>
        </w:rPr>
        <w:t>公安局、县政府外事办及其他相关单位依其职责分工协助处置。</w:t>
      </w:r>
    </w:p>
    <w:p w14:paraId="743CE454">
      <w:pPr>
        <w:spacing w:line="560" w:lineRule="exact"/>
        <w:ind w:firstLine="632"/>
        <w:rPr>
          <w:rFonts w:ascii="Times New Roman" w:hAnsi="Times New Roman" w:cs="Times New Roman"/>
          <w:sz w:val="32"/>
        </w:rPr>
      </w:pPr>
      <w:r>
        <w:rPr>
          <w:rFonts w:ascii="Times New Roman" w:hAnsi="Times New Roman" w:cs="Times New Roman"/>
          <w:sz w:val="32"/>
        </w:rPr>
        <w:t>（3）在</w:t>
      </w:r>
      <w:r>
        <w:rPr>
          <w:rFonts w:hint="eastAsia" w:ascii="Times New Roman" w:hAnsi="Times New Roman" w:cs="Times New Roman"/>
          <w:sz w:val="32"/>
        </w:rPr>
        <w:t>我县的</w:t>
      </w:r>
      <w:r>
        <w:rPr>
          <w:rFonts w:ascii="Times New Roman" w:hAnsi="Times New Roman" w:cs="Times New Roman"/>
          <w:sz w:val="32"/>
        </w:rPr>
        <w:t>交流访问学者、外国专家（外国高端人才、外国专业人才等）的生命财产受到损害或严重威胁的突发事件，由事发地</w:t>
      </w:r>
      <w:r>
        <w:rPr>
          <w:rFonts w:hint="eastAsia" w:ascii="Times New Roman" w:hAnsi="Times New Roman" w:cs="Times New Roman"/>
          <w:sz w:val="32"/>
        </w:rPr>
        <w:t>乡镇人民</w:t>
      </w:r>
      <w:r>
        <w:rPr>
          <w:rFonts w:ascii="Times New Roman" w:hAnsi="Times New Roman" w:cs="Times New Roman"/>
          <w:sz w:val="32"/>
        </w:rPr>
        <w:t>政府牵头，</w:t>
      </w:r>
      <w:r>
        <w:rPr>
          <w:rFonts w:hint="eastAsia" w:ascii="Times New Roman" w:hAnsi="Times New Roman" w:cs="Times New Roman"/>
          <w:sz w:val="32"/>
        </w:rPr>
        <w:t>县教育和体育局</w:t>
      </w:r>
      <w:r>
        <w:rPr>
          <w:rFonts w:ascii="Times New Roman" w:hAnsi="Times New Roman" w:cs="Times New Roman"/>
          <w:sz w:val="32"/>
        </w:rPr>
        <w:t>、</w:t>
      </w:r>
      <w:r>
        <w:rPr>
          <w:rFonts w:hint="eastAsia" w:ascii="Times New Roman" w:hAnsi="Times New Roman" w:cs="Times New Roman"/>
          <w:sz w:val="32"/>
        </w:rPr>
        <w:t>县</w:t>
      </w:r>
      <w:r>
        <w:rPr>
          <w:rFonts w:ascii="Times New Roman" w:hAnsi="Times New Roman" w:cs="Times New Roman"/>
          <w:sz w:val="32"/>
        </w:rPr>
        <w:t>公安局、县政府外事办及其他相关单位依其职责分工协助处置。</w:t>
      </w:r>
    </w:p>
    <w:p w14:paraId="26ED4390">
      <w:pPr>
        <w:spacing w:line="560" w:lineRule="exact"/>
        <w:ind w:firstLine="632"/>
        <w:rPr>
          <w:rFonts w:ascii="Times New Roman" w:hAnsi="Times New Roman" w:cs="Times New Roman"/>
          <w:sz w:val="32"/>
        </w:rPr>
      </w:pPr>
      <w:r>
        <w:rPr>
          <w:rFonts w:ascii="Times New Roman" w:hAnsi="Times New Roman" w:cs="Times New Roman"/>
          <w:sz w:val="32"/>
        </w:rPr>
        <w:t>（4）外国驻华文化机构、文化艺术体育交流演出团体人员生命财产在</w:t>
      </w:r>
      <w:r>
        <w:rPr>
          <w:rFonts w:hint="eastAsia" w:ascii="Times New Roman" w:hAnsi="Times New Roman" w:cs="Times New Roman"/>
          <w:sz w:val="32"/>
        </w:rPr>
        <w:t>我县</w:t>
      </w:r>
      <w:r>
        <w:rPr>
          <w:rFonts w:ascii="Times New Roman" w:hAnsi="Times New Roman" w:cs="Times New Roman"/>
          <w:sz w:val="32"/>
        </w:rPr>
        <w:t>受到损害或严重威胁的突发事件，由事发地</w:t>
      </w:r>
      <w:r>
        <w:rPr>
          <w:rFonts w:hint="eastAsia" w:ascii="Times New Roman" w:hAnsi="Times New Roman" w:cs="Times New Roman"/>
          <w:sz w:val="32"/>
        </w:rPr>
        <w:t>乡镇人民</w:t>
      </w:r>
      <w:r>
        <w:rPr>
          <w:rFonts w:ascii="Times New Roman" w:hAnsi="Times New Roman" w:cs="Times New Roman"/>
          <w:sz w:val="32"/>
        </w:rPr>
        <w:t>政府牵头，县文化广电和旅游局、县教育和体育局、</w:t>
      </w:r>
      <w:r>
        <w:rPr>
          <w:rFonts w:hint="eastAsia" w:ascii="Times New Roman" w:hAnsi="Times New Roman" w:cs="Times New Roman"/>
          <w:sz w:val="32"/>
        </w:rPr>
        <w:t>县</w:t>
      </w:r>
      <w:r>
        <w:rPr>
          <w:rFonts w:ascii="Times New Roman" w:hAnsi="Times New Roman" w:cs="Times New Roman"/>
          <w:sz w:val="32"/>
        </w:rPr>
        <w:t>公安局、县政府外事办及其他相关单位依其职责分工协助处置。</w:t>
      </w:r>
    </w:p>
    <w:p w14:paraId="764E33C3">
      <w:pPr>
        <w:spacing w:line="560" w:lineRule="exact"/>
        <w:ind w:firstLine="632"/>
        <w:rPr>
          <w:rFonts w:ascii="Times New Roman" w:hAnsi="Times New Roman" w:cs="Times New Roman"/>
          <w:sz w:val="32"/>
        </w:rPr>
      </w:pPr>
      <w:r>
        <w:rPr>
          <w:rFonts w:ascii="Times New Roman" w:hAnsi="Times New Roman" w:cs="Times New Roman"/>
          <w:sz w:val="32"/>
        </w:rPr>
        <w:t>（5）来</w:t>
      </w:r>
      <w:r>
        <w:rPr>
          <w:rFonts w:hint="eastAsia" w:ascii="Times New Roman" w:hAnsi="Times New Roman" w:cs="Times New Roman"/>
          <w:sz w:val="32"/>
        </w:rPr>
        <w:t>我县</w:t>
      </w:r>
      <w:r>
        <w:rPr>
          <w:rFonts w:ascii="Times New Roman" w:hAnsi="Times New Roman" w:cs="Times New Roman"/>
          <w:sz w:val="32"/>
        </w:rPr>
        <w:t>旅游团组等人员生命财产受到损害或严重威胁的突发事件，由事发地</w:t>
      </w:r>
      <w:r>
        <w:rPr>
          <w:rFonts w:hint="eastAsia" w:ascii="Times New Roman" w:hAnsi="Times New Roman" w:cs="Times New Roman"/>
          <w:sz w:val="32"/>
        </w:rPr>
        <w:t>乡镇人民</w:t>
      </w:r>
      <w:r>
        <w:rPr>
          <w:rFonts w:ascii="Times New Roman" w:hAnsi="Times New Roman" w:cs="Times New Roman"/>
          <w:sz w:val="32"/>
        </w:rPr>
        <w:t>政府牵头，</w:t>
      </w:r>
      <w:r>
        <w:rPr>
          <w:rFonts w:hint="eastAsia" w:ascii="Times New Roman" w:hAnsi="Times New Roman" w:cs="Times New Roman"/>
          <w:sz w:val="32"/>
        </w:rPr>
        <w:t>县文化广电和旅游</w:t>
      </w:r>
      <w:r>
        <w:rPr>
          <w:rFonts w:ascii="Times New Roman" w:hAnsi="Times New Roman" w:cs="Times New Roman"/>
          <w:sz w:val="32"/>
        </w:rPr>
        <w:t>局、</w:t>
      </w:r>
      <w:r>
        <w:rPr>
          <w:rFonts w:hint="eastAsia" w:ascii="Times New Roman" w:hAnsi="Times New Roman" w:cs="Times New Roman"/>
          <w:sz w:val="32"/>
        </w:rPr>
        <w:t>县</w:t>
      </w:r>
      <w:r>
        <w:rPr>
          <w:rFonts w:ascii="Times New Roman" w:hAnsi="Times New Roman" w:cs="Times New Roman"/>
          <w:sz w:val="32"/>
        </w:rPr>
        <w:t>公安局、县政府外事办及其他相关单位依其职责分工协助处置。</w:t>
      </w:r>
    </w:p>
    <w:p w14:paraId="17E7003A">
      <w:pPr>
        <w:spacing w:line="560" w:lineRule="exact"/>
        <w:ind w:firstLine="632"/>
        <w:rPr>
          <w:rFonts w:ascii="Times New Roman" w:hAnsi="Times New Roman" w:cs="Times New Roman"/>
          <w:sz w:val="32"/>
        </w:rPr>
      </w:pPr>
      <w:r>
        <w:rPr>
          <w:rFonts w:ascii="Times New Roman" w:hAnsi="Times New Roman" w:cs="Times New Roman"/>
          <w:sz w:val="32"/>
        </w:rPr>
        <w:t>（6）辖区内其他外国机构、外国公民、临时来华团组人员生命财产受到损害或严重威胁的突发事件，由事发地</w:t>
      </w:r>
      <w:r>
        <w:rPr>
          <w:rFonts w:hint="eastAsia" w:ascii="Times New Roman" w:hAnsi="Times New Roman" w:cs="Times New Roman"/>
          <w:sz w:val="32"/>
        </w:rPr>
        <w:t>乡镇人民</w:t>
      </w:r>
      <w:r>
        <w:rPr>
          <w:rFonts w:ascii="Times New Roman" w:hAnsi="Times New Roman" w:cs="Times New Roman"/>
          <w:sz w:val="32"/>
        </w:rPr>
        <w:t>政府牵头，县政府外事办、</w:t>
      </w:r>
      <w:r>
        <w:rPr>
          <w:rFonts w:hint="eastAsia" w:ascii="Times New Roman" w:hAnsi="Times New Roman" w:cs="Times New Roman"/>
          <w:sz w:val="32"/>
        </w:rPr>
        <w:t>县</w:t>
      </w:r>
      <w:r>
        <w:rPr>
          <w:rFonts w:ascii="Times New Roman" w:hAnsi="Times New Roman" w:cs="Times New Roman"/>
          <w:sz w:val="32"/>
        </w:rPr>
        <w:t>公安局等有关部门、伤亡人员的邀请接待单位及其他相关单位依其职责分工协助处置。</w:t>
      </w:r>
    </w:p>
    <w:p w14:paraId="11678C85">
      <w:pPr>
        <w:spacing w:line="560" w:lineRule="exact"/>
        <w:ind w:firstLine="632"/>
        <w:rPr>
          <w:rFonts w:ascii="Times New Roman" w:hAnsi="Times New Roman" w:cs="Times New Roman"/>
          <w:sz w:val="32"/>
        </w:rPr>
      </w:pPr>
      <w:r>
        <w:rPr>
          <w:rFonts w:ascii="Times New Roman" w:hAnsi="Times New Roman" w:cs="Times New Roman"/>
          <w:sz w:val="32"/>
        </w:rPr>
        <w:t>（7）</w:t>
      </w:r>
      <w:r>
        <w:rPr>
          <w:rFonts w:hint="eastAsia" w:ascii="Times New Roman" w:hAnsi="Times New Roman" w:cs="Times New Roman"/>
          <w:sz w:val="32"/>
        </w:rPr>
        <w:t>县</w:t>
      </w:r>
      <w:r>
        <w:rPr>
          <w:rFonts w:ascii="Times New Roman" w:hAnsi="Times New Roman" w:cs="Times New Roman"/>
          <w:sz w:val="32"/>
        </w:rPr>
        <w:t>内多个</w:t>
      </w:r>
      <w:r>
        <w:rPr>
          <w:rFonts w:hint="eastAsia" w:ascii="Times New Roman" w:hAnsi="Times New Roman" w:cs="Times New Roman"/>
          <w:sz w:val="32"/>
        </w:rPr>
        <w:t>乡镇</w:t>
      </w:r>
      <w:r>
        <w:rPr>
          <w:rFonts w:ascii="Times New Roman" w:hAnsi="Times New Roman" w:cs="Times New Roman"/>
          <w:sz w:val="32"/>
        </w:rPr>
        <w:t>同时发生外国在华人员和机构生命财产受到损害或严重威胁的突发事件，由</w:t>
      </w:r>
      <w:r>
        <w:rPr>
          <w:rFonts w:hint="eastAsia" w:ascii="Times New Roman" w:hAnsi="Times New Roman" w:cs="Times New Roman"/>
          <w:sz w:val="32"/>
        </w:rPr>
        <w:t>县</w:t>
      </w:r>
      <w:r>
        <w:rPr>
          <w:rFonts w:ascii="Times New Roman" w:hAnsi="Times New Roman" w:cs="Times New Roman"/>
          <w:sz w:val="32"/>
        </w:rPr>
        <w:t>指挥部指定牵头单位，相关</w:t>
      </w:r>
      <w:r>
        <w:rPr>
          <w:rFonts w:hint="eastAsia" w:ascii="Times New Roman" w:hAnsi="Times New Roman" w:cs="Times New Roman"/>
          <w:sz w:val="32"/>
        </w:rPr>
        <w:t>乡镇人民</w:t>
      </w:r>
      <w:r>
        <w:rPr>
          <w:rFonts w:ascii="Times New Roman" w:hAnsi="Times New Roman" w:cs="Times New Roman"/>
          <w:sz w:val="32"/>
        </w:rPr>
        <w:t>政府及有关部门、伤亡人员的接待单位依其职责分工协助处置。</w:t>
      </w:r>
    </w:p>
    <w:p w14:paraId="44493335">
      <w:pPr>
        <w:pStyle w:val="2"/>
        <w:numPr>
          <w:ilvl w:val="0"/>
          <w:numId w:val="235"/>
        </w:numPr>
        <w:tabs>
          <w:tab w:val="left" w:pos="0"/>
        </w:tabs>
        <w:rPr>
          <w:rFonts w:ascii="Times New Roman" w:hAnsi="Times New Roman" w:cs="Times New Roman"/>
          <w:sz w:val="32"/>
        </w:rPr>
      </w:pPr>
      <w:bookmarkStart w:id="1486" w:name="_Toc10660"/>
      <w:r>
        <w:rPr>
          <w:rFonts w:ascii="Times New Roman" w:hAnsi="Times New Roman" w:cs="Times New Roman"/>
          <w:sz w:val="32"/>
        </w:rPr>
        <w:t>监测预警</w:t>
      </w:r>
      <w:bookmarkEnd w:id="1486"/>
    </w:p>
    <w:p w14:paraId="2E0E2F4C">
      <w:pPr>
        <w:pStyle w:val="3"/>
        <w:spacing w:line="560" w:lineRule="exact"/>
        <w:ind w:firstLine="0" w:firstLineChars="0"/>
        <w:rPr>
          <w:rFonts w:ascii="Times New Roman" w:hAnsi="Times New Roman" w:eastAsia="楷体_GB2312" w:cs="Times New Roman"/>
          <w:sz w:val="32"/>
        </w:rPr>
      </w:pPr>
      <w:bookmarkStart w:id="1487" w:name="_Toc12594"/>
      <w:r>
        <w:rPr>
          <w:rFonts w:ascii="Times New Roman" w:hAnsi="Times New Roman" w:eastAsia="楷体_GB2312" w:cs="Times New Roman"/>
          <w:sz w:val="32"/>
        </w:rPr>
        <w:t>监测</w:t>
      </w:r>
      <w:bookmarkEnd w:id="1487"/>
    </w:p>
    <w:p w14:paraId="4009D809">
      <w:pPr>
        <w:spacing w:line="560" w:lineRule="exact"/>
        <w:ind w:firstLine="632"/>
        <w:rPr>
          <w:rFonts w:ascii="Times New Roman" w:hAnsi="Times New Roman" w:cs="Times New Roman"/>
          <w:sz w:val="32"/>
        </w:rPr>
      </w:pPr>
      <w:r>
        <w:rPr>
          <w:rFonts w:ascii="Times New Roman" w:hAnsi="Times New Roman" w:cs="Times New Roman"/>
          <w:sz w:val="32"/>
        </w:rPr>
        <w:t>全</w:t>
      </w:r>
      <w:r>
        <w:rPr>
          <w:rFonts w:hint="eastAsia" w:ascii="Times New Roman" w:hAnsi="Times New Roman" w:cs="Times New Roman"/>
          <w:sz w:val="32"/>
        </w:rPr>
        <w:t>县</w:t>
      </w:r>
      <w:r>
        <w:rPr>
          <w:rFonts w:ascii="Times New Roman" w:hAnsi="Times New Roman" w:cs="Times New Roman"/>
          <w:sz w:val="32"/>
        </w:rPr>
        <w:t>逐步建立和完善涉外突发事件风险管理体系，健全风险排查、监测、评估、整改工作机制，实行分类分级管理和动态</w:t>
      </w:r>
      <w:r>
        <w:rPr>
          <w:rFonts w:hint="eastAsia" w:ascii="Times New Roman" w:hAnsi="Times New Roman" w:cs="Times New Roman"/>
          <w:sz w:val="32"/>
        </w:rPr>
        <w:t>监测</w:t>
      </w:r>
      <w:r>
        <w:rPr>
          <w:rFonts w:ascii="Times New Roman" w:hAnsi="Times New Roman" w:cs="Times New Roman"/>
          <w:sz w:val="32"/>
        </w:rPr>
        <w:t>。</w:t>
      </w:r>
      <w:r>
        <w:rPr>
          <w:rFonts w:hint="eastAsia" w:ascii="Times New Roman" w:hAnsi="Times New Roman" w:cs="Times New Roman"/>
          <w:sz w:val="32"/>
        </w:rPr>
        <w:t>县</w:t>
      </w:r>
      <w:r>
        <w:rPr>
          <w:rFonts w:ascii="Times New Roman" w:hAnsi="Times New Roman" w:cs="Times New Roman"/>
          <w:sz w:val="32"/>
        </w:rPr>
        <w:t>指挥部各成员单位建立和完善本辖区、本系统内涉外突发事件的信息收集、分析、研判和交流制度，明确规定检测信息报告人员、渠道、时限、程序等事项。平时应注意收集境外可能发生涉我突发事件的各种信息和境内主管业务范围内或本地区可能发生涉外突发事件的各种信息，及时报告</w:t>
      </w:r>
      <w:r>
        <w:rPr>
          <w:rFonts w:hint="eastAsia" w:ascii="Times New Roman" w:hAnsi="Times New Roman" w:cs="Times New Roman"/>
          <w:sz w:val="32"/>
        </w:rPr>
        <w:t>县</w:t>
      </w:r>
      <w:r>
        <w:rPr>
          <w:rFonts w:ascii="Times New Roman" w:hAnsi="Times New Roman" w:cs="Times New Roman"/>
          <w:sz w:val="32"/>
        </w:rPr>
        <w:t>指挥部并转发相关单位，做到信息共享。</w:t>
      </w:r>
    </w:p>
    <w:p w14:paraId="2FB83041">
      <w:pPr>
        <w:pStyle w:val="3"/>
        <w:spacing w:line="560" w:lineRule="exact"/>
        <w:ind w:firstLine="0" w:firstLineChars="0"/>
        <w:rPr>
          <w:rFonts w:ascii="Times New Roman" w:hAnsi="Times New Roman" w:eastAsia="楷体_GB2312" w:cs="Times New Roman"/>
          <w:sz w:val="32"/>
        </w:rPr>
      </w:pPr>
      <w:bookmarkStart w:id="1488" w:name="_Toc28217"/>
      <w:r>
        <w:rPr>
          <w:rFonts w:ascii="Times New Roman" w:hAnsi="Times New Roman" w:eastAsia="楷体_GB2312" w:cs="Times New Roman"/>
          <w:sz w:val="32"/>
        </w:rPr>
        <w:t>预警分级</w:t>
      </w:r>
      <w:bookmarkEnd w:id="1488"/>
    </w:p>
    <w:p w14:paraId="5FF75C1C">
      <w:pPr>
        <w:spacing w:line="560" w:lineRule="exact"/>
        <w:ind w:firstLine="632"/>
        <w:rPr>
          <w:rFonts w:ascii="Times New Roman" w:hAnsi="Times New Roman" w:cs="Times New Roman"/>
          <w:sz w:val="32"/>
        </w:rPr>
      </w:pPr>
      <w:r>
        <w:rPr>
          <w:rFonts w:ascii="Times New Roman" w:hAnsi="Times New Roman" w:cs="Times New Roman"/>
          <w:sz w:val="32"/>
        </w:rPr>
        <w:t>建立健全涉外突发事件警告、警示和预警发布机制。</w:t>
      </w:r>
      <w:r>
        <w:rPr>
          <w:rFonts w:hint="eastAsia" w:ascii="Times New Roman" w:hAnsi="Times New Roman" w:cs="Times New Roman"/>
          <w:sz w:val="32"/>
        </w:rPr>
        <w:t>县政府</w:t>
      </w:r>
      <w:r>
        <w:rPr>
          <w:rFonts w:ascii="Times New Roman" w:hAnsi="Times New Roman" w:cs="Times New Roman"/>
          <w:sz w:val="32"/>
        </w:rPr>
        <w:t>和</w:t>
      </w:r>
      <w:r>
        <w:rPr>
          <w:rFonts w:hint="eastAsia" w:ascii="Times New Roman" w:hAnsi="Times New Roman" w:cs="Times New Roman"/>
          <w:sz w:val="32"/>
        </w:rPr>
        <w:t>县</w:t>
      </w:r>
      <w:r>
        <w:rPr>
          <w:rFonts w:ascii="Times New Roman" w:hAnsi="Times New Roman" w:cs="Times New Roman"/>
          <w:sz w:val="32"/>
        </w:rPr>
        <w:t>指挥部各成员单位应根据有关部门提供的重大突发事件的预警信息，以及本地区、本系统有关涉外安全的实际情况，适时通过媒体发布本地区、本系统相关涉外安全警告、警示，并及时将情况逐级上报。</w:t>
      </w:r>
    </w:p>
    <w:p w14:paraId="752FFEA4">
      <w:pPr>
        <w:spacing w:line="560" w:lineRule="exact"/>
        <w:ind w:firstLine="632"/>
        <w:rPr>
          <w:rFonts w:ascii="Times New Roman" w:hAnsi="Times New Roman" w:cs="Times New Roman"/>
          <w:sz w:val="32"/>
        </w:rPr>
      </w:pPr>
      <w:r>
        <w:rPr>
          <w:rFonts w:ascii="Times New Roman" w:hAnsi="Times New Roman" w:cs="Times New Roman"/>
          <w:sz w:val="32"/>
        </w:rPr>
        <w:t>可预警的涉外突发事件，其预警级别按照紧急程度、发展趋势和可能造成的危害程度，由高到低分为一级、二级、三级和四级，分别用红色、橙色、黄色和蓝色表示。</w:t>
      </w:r>
    </w:p>
    <w:p w14:paraId="2C2B7A3A">
      <w:pPr>
        <w:spacing w:line="560" w:lineRule="exact"/>
        <w:ind w:firstLine="632"/>
        <w:rPr>
          <w:rFonts w:ascii="Times New Roman" w:hAnsi="Times New Roman" w:cs="Times New Roman"/>
          <w:sz w:val="32"/>
        </w:rPr>
      </w:pPr>
      <w:r>
        <w:rPr>
          <w:rFonts w:ascii="Times New Roman" w:hAnsi="Times New Roman" w:cs="Times New Roman"/>
          <w:sz w:val="32"/>
        </w:rPr>
        <w:t>（1）红色等级</w:t>
      </w:r>
    </w:p>
    <w:p w14:paraId="11F963BF">
      <w:pPr>
        <w:spacing w:line="560" w:lineRule="exact"/>
        <w:ind w:firstLine="632"/>
        <w:rPr>
          <w:rFonts w:ascii="Times New Roman" w:hAnsi="Times New Roman" w:cs="Times New Roman"/>
          <w:sz w:val="32"/>
        </w:rPr>
      </w:pPr>
      <w:r>
        <w:rPr>
          <w:rFonts w:ascii="Times New Roman" w:hAnsi="Times New Roman" w:cs="Times New Roman"/>
          <w:sz w:val="32"/>
        </w:rPr>
        <w:t>指标迹象：表明突发事件威胁逼近；或局部地区发生冲突、战乱、重大疫情，或情报证实将发生武装恐怖袭击。</w:t>
      </w:r>
    </w:p>
    <w:p w14:paraId="18C2E6D8">
      <w:pPr>
        <w:spacing w:line="560" w:lineRule="exact"/>
        <w:ind w:firstLine="632"/>
        <w:rPr>
          <w:rFonts w:ascii="Times New Roman" w:hAnsi="Times New Roman" w:cs="Times New Roman"/>
          <w:sz w:val="32"/>
        </w:rPr>
      </w:pPr>
      <w:r>
        <w:rPr>
          <w:rFonts w:ascii="Times New Roman" w:hAnsi="Times New Roman" w:cs="Times New Roman"/>
          <w:sz w:val="32"/>
        </w:rPr>
        <w:t>行动：有关机构做好应急准备，警告有关人员减少外出或不去危险的地区。根据国务院</w:t>
      </w:r>
      <w:r>
        <w:rPr>
          <w:rFonts w:hint="eastAsia" w:ascii="Times New Roman" w:hAnsi="Times New Roman" w:cs="Times New Roman"/>
          <w:sz w:val="32"/>
        </w:rPr>
        <w:t>、省政府</w:t>
      </w:r>
      <w:r>
        <w:rPr>
          <w:rFonts w:ascii="Times New Roman" w:hAnsi="Times New Roman" w:cs="Times New Roman"/>
          <w:sz w:val="32"/>
        </w:rPr>
        <w:t>的有关指示，经</w:t>
      </w:r>
      <w:r>
        <w:rPr>
          <w:rFonts w:hint="eastAsia" w:ascii="Times New Roman" w:hAnsi="Times New Roman" w:cs="Times New Roman"/>
          <w:sz w:val="32"/>
        </w:rPr>
        <w:t>双鸭山市人民</w:t>
      </w:r>
      <w:r>
        <w:rPr>
          <w:rFonts w:ascii="Times New Roman" w:hAnsi="Times New Roman" w:cs="Times New Roman"/>
          <w:sz w:val="32"/>
        </w:rPr>
        <w:t>政府批准，启动应急预案，采取各项措施保护有关人员和机构的生命财产安全。</w:t>
      </w:r>
    </w:p>
    <w:p w14:paraId="73DC29F7">
      <w:pPr>
        <w:spacing w:line="560" w:lineRule="exact"/>
        <w:ind w:firstLine="632"/>
        <w:rPr>
          <w:rFonts w:ascii="Times New Roman" w:hAnsi="Times New Roman" w:cs="Times New Roman"/>
          <w:sz w:val="32"/>
        </w:rPr>
      </w:pPr>
      <w:r>
        <w:rPr>
          <w:rFonts w:ascii="Times New Roman" w:hAnsi="Times New Roman" w:cs="Times New Roman"/>
          <w:sz w:val="32"/>
        </w:rPr>
        <w:t>（2）橙色等级</w:t>
      </w:r>
    </w:p>
    <w:p w14:paraId="4CA1A470">
      <w:pPr>
        <w:spacing w:line="560" w:lineRule="exact"/>
        <w:ind w:firstLine="632"/>
        <w:rPr>
          <w:rFonts w:ascii="Times New Roman" w:hAnsi="Times New Roman" w:cs="Times New Roman"/>
          <w:sz w:val="32"/>
        </w:rPr>
      </w:pPr>
      <w:r>
        <w:rPr>
          <w:rFonts w:ascii="Times New Roman" w:hAnsi="Times New Roman" w:cs="Times New Roman"/>
          <w:sz w:val="32"/>
        </w:rPr>
        <w:t>指标迹象：表明有发生突发事件的现实可能性，或局部地区发生冲突、动荡。</w:t>
      </w:r>
    </w:p>
    <w:p w14:paraId="357FA6D4">
      <w:pPr>
        <w:spacing w:line="560" w:lineRule="exact"/>
        <w:ind w:firstLine="632"/>
        <w:rPr>
          <w:rFonts w:ascii="Times New Roman" w:hAnsi="Times New Roman" w:cs="Times New Roman"/>
          <w:sz w:val="32"/>
        </w:rPr>
      </w:pPr>
      <w:r>
        <w:rPr>
          <w:rFonts w:ascii="Times New Roman" w:hAnsi="Times New Roman" w:cs="Times New Roman"/>
          <w:sz w:val="32"/>
        </w:rPr>
        <w:t>行动：有关部门注意收集情报信息，跟踪事件动态，考虑发生突发事件的方式、规模、影响，完善或制订具体应对措施。</w:t>
      </w:r>
    </w:p>
    <w:p w14:paraId="19EEBF09">
      <w:pPr>
        <w:spacing w:line="560" w:lineRule="exact"/>
        <w:ind w:firstLine="632"/>
        <w:rPr>
          <w:rFonts w:ascii="Times New Roman" w:hAnsi="Times New Roman" w:cs="Times New Roman"/>
          <w:sz w:val="32"/>
        </w:rPr>
      </w:pPr>
      <w:r>
        <w:rPr>
          <w:rFonts w:ascii="Times New Roman" w:hAnsi="Times New Roman" w:cs="Times New Roman"/>
          <w:sz w:val="32"/>
        </w:rPr>
        <w:t>（3）黄色等级</w:t>
      </w:r>
    </w:p>
    <w:p w14:paraId="0BFC2121">
      <w:pPr>
        <w:spacing w:line="560" w:lineRule="exact"/>
        <w:ind w:firstLine="632"/>
        <w:rPr>
          <w:rFonts w:ascii="Times New Roman" w:hAnsi="Times New Roman" w:cs="Times New Roman"/>
          <w:sz w:val="32"/>
        </w:rPr>
      </w:pPr>
      <w:r>
        <w:rPr>
          <w:rFonts w:ascii="Times New Roman" w:hAnsi="Times New Roman" w:cs="Times New Roman"/>
          <w:sz w:val="32"/>
        </w:rPr>
        <w:t>指标迹象：表明发生突发事件的可能性增大。</w:t>
      </w:r>
    </w:p>
    <w:p w14:paraId="3CF8DCB1">
      <w:pPr>
        <w:spacing w:line="560" w:lineRule="exact"/>
        <w:ind w:firstLine="632"/>
        <w:rPr>
          <w:rFonts w:ascii="Times New Roman" w:hAnsi="Times New Roman" w:cs="Times New Roman"/>
          <w:sz w:val="32"/>
        </w:rPr>
      </w:pPr>
      <w:r>
        <w:rPr>
          <w:rFonts w:ascii="Times New Roman" w:hAnsi="Times New Roman" w:cs="Times New Roman"/>
          <w:sz w:val="32"/>
        </w:rPr>
        <w:t>行动：提醒有关机构和人员高度重视，注意收集情报信息，跟踪事件动态，同时考虑突发事件可能发生的方式、规模及初步应对措施。</w:t>
      </w:r>
    </w:p>
    <w:p w14:paraId="34C7B37B">
      <w:pPr>
        <w:spacing w:line="560" w:lineRule="exact"/>
        <w:ind w:firstLine="632"/>
        <w:rPr>
          <w:rFonts w:ascii="Times New Roman" w:hAnsi="Times New Roman" w:cs="Times New Roman"/>
          <w:sz w:val="32"/>
        </w:rPr>
      </w:pPr>
      <w:r>
        <w:rPr>
          <w:rFonts w:ascii="Times New Roman" w:hAnsi="Times New Roman" w:cs="Times New Roman"/>
          <w:sz w:val="32"/>
        </w:rPr>
        <w:t>（4）蓝色等级</w:t>
      </w:r>
    </w:p>
    <w:p w14:paraId="30335AF7">
      <w:pPr>
        <w:spacing w:line="560" w:lineRule="exact"/>
        <w:ind w:firstLine="632"/>
        <w:rPr>
          <w:rFonts w:ascii="Times New Roman" w:hAnsi="Times New Roman" w:cs="Times New Roman"/>
          <w:sz w:val="32"/>
        </w:rPr>
      </w:pPr>
      <w:r>
        <w:rPr>
          <w:rFonts w:ascii="Times New Roman" w:hAnsi="Times New Roman" w:cs="Times New Roman"/>
          <w:sz w:val="32"/>
        </w:rPr>
        <w:t>指标迹象：表明可能发生突发事件。</w:t>
      </w:r>
    </w:p>
    <w:p w14:paraId="616439DA">
      <w:pPr>
        <w:spacing w:line="560" w:lineRule="exact"/>
        <w:ind w:firstLine="632"/>
        <w:rPr>
          <w:rFonts w:ascii="Times New Roman" w:hAnsi="Times New Roman" w:cs="Times New Roman"/>
          <w:sz w:val="32"/>
        </w:rPr>
      </w:pPr>
      <w:r>
        <w:rPr>
          <w:rFonts w:ascii="Times New Roman" w:hAnsi="Times New Roman" w:cs="Times New Roman"/>
          <w:sz w:val="32"/>
        </w:rPr>
        <w:t>行动：提醒有关机构和人员思想重视，注意收集情报信息，跟踪事件动态，注意安全。</w:t>
      </w:r>
    </w:p>
    <w:p w14:paraId="49D5047F">
      <w:pPr>
        <w:spacing w:line="560" w:lineRule="exact"/>
        <w:ind w:firstLine="632"/>
        <w:rPr>
          <w:rFonts w:ascii="Times New Roman" w:hAnsi="Times New Roman" w:cs="Times New Roman"/>
          <w:sz w:val="32"/>
        </w:rPr>
      </w:pPr>
      <w:r>
        <w:rPr>
          <w:rFonts w:ascii="Times New Roman" w:hAnsi="Times New Roman" w:cs="Times New Roman"/>
          <w:sz w:val="32"/>
        </w:rPr>
        <w:t>预警信息发布按照《</w:t>
      </w:r>
      <w:r>
        <w:rPr>
          <w:rFonts w:hint="eastAsia" w:ascii="Times New Roman" w:hAnsi="Times New Roman" w:cs="Times New Roman"/>
          <w:sz w:val="32"/>
        </w:rPr>
        <w:t>集贤县突发事件总体应急预案</w:t>
      </w:r>
      <w:r>
        <w:rPr>
          <w:rFonts w:ascii="Times New Roman" w:hAnsi="Times New Roman" w:cs="Times New Roman"/>
          <w:sz w:val="32"/>
        </w:rPr>
        <w:t>》</w:t>
      </w:r>
      <w:r>
        <w:rPr>
          <w:rFonts w:hint="eastAsia" w:ascii="Times New Roman" w:hAnsi="Times New Roman" w:cs="Times New Roman"/>
          <w:sz w:val="32"/>
        </w:rPr>
        <w:t>有关规定</w:t>
      </w:r>
      <w:r>
        <w:rPr>
          <w:rFonts w:ascii="Times New Roman" w:hAnsi="Times New Roman" w:cs="Times New Roman"/>
          <w:sz w:val="32"/>
        </w:rPr>
        <w:t>执行。</w:t>
      </w:r>
    </w:p>
    <w:p w14:paraId="1F02D595">
      <w:pPr>
        <w:pStyle w:val="3"/>
        <w:spacing w:line="560" w:lineRule="exact"/>
        <w:ind w:firstLine="0" w:firstLineChars="0"/>
        <w:rPr>
          <w:rFonts w:ascii="Times New Roman" w:hAnsi="Times New Roman" w:eastAsia="楷体_GB2312" w:cs="Times New Roman"/>
          <w:sz w:val="32"/>
        </w:rPr>
      </w:pPr>
      <w:bookmarkStart w:id="1489" w:name="_Toc29118"/>
      <w:r>
        <w:rPr>
          <w:rFonts w:ascii="Times New Roman" w:hAnsi="Times New Roman" w:eastAsia="楷体_GB2312" w:cs="Times New Roman"/>
          <w:sz w:val="32"/>
        </w:rPr>
        <w:t>预警响应</w:t>
      </w:r>
      <w:bookmarkEnd w:id="1489"/>
    </w:p>
    <w:p w14:paraId="5A9D72C9">
      <w:pPr>
        <w:spacing w:line="560" w:lineRule="exact"/>
        <w:ind w:firstLine="632"/>
        <w:rPr>
          <w:rFonts w:ascii="Times New Roman" w:hAnsi="Times New Roman" w:cs="Times New Roman"/>
          <w:sz w:val="32"/>
        </w:rPr>
      </w:pPr>
      <w:r>
        <w:rPr>
          <w:rFonts w:ascii="Times New Roman" w:hAnsi="Times New Roman" w:cs="Times New Roman"/>
          <w:sz w:val="32"/>
        </w:rPr>
        <w:t>预警信息发布后，根据突发事件发展态势、事件特点和发展趋势，预警区域内各有关单位应依据相关应急预案立即做好应急准备，进入应急状态。</w:t>
      </w:r>
    </w:p>
    <w:p w14:paraId="72A2FA86">
      <w:pPr>
        <w:pStyle w:val="2"/>
        <w:numPr>
          <w:ilvl w:val="0"/>
          <w:numId w:val="235"/>
        </w:numPr>
        <w:tabs>
          <w:tab w:val="left" w:pos="0"/>
        </w:tabs>
        <w:rPr>
          <w:rFonts w:ascii="Times New Roman" w:hAnsi="Times New Roman" w:cs="Times New Roman"/>
          <w:sz w:val="32"/>
        </w:rPr>
      </w:pPr>
      <w:bookmarkStart w:id="1490" w:name="_Toc22096"/>
      <w:r>
        <w:rPr>
          <w:rFonts w:ascii="Times New Roman" w:hAnsi="Times New Roman" w:cs="Times New Roman"/>
          <w:sz w:val="32"/>
        </w:rPr>
        <w:t>应急响应</w:t>
      </w:r>
      <w:bookmarkEnd w:id="1490"/>
    </w:p>
    <w:p w14:paraId="4E263F45">
      <w:pPr>
        <w:pStyle w:val="3"/>
        <w:spacing w:line="560" w:lineRule="exact"/>
        <w:ind w:firstLine="0" w:firstLineChars="0"/>
        <w:rPr>
          <w:rFonts w:ascii="Times New Roman" w:hAnsi="Times New Roman" w:eastAsia="楷体_GB2312" w:cs="Times New Roman"/>
          <w:sz w:val="32"/>
        </w:rPr>
      </w:pPr>
      <w:bookmarkStart w:id="1491" w:name="_Toc15980"/>
      <w:r>
        <w:rPr>
          <w:rFonts w:ascii="Times New Roman" w:hAnsi="Times New Roman" w:eastAsia="楷体_GB2312" w:cs="Times New Roman"/>
          <w:sz w:val="32"/>
        </w:rPr>
        <w:t>应急启动</w:t>
      </w:r>
      <w:bookmarkEnd w:id="1491"/>
    </w:p>
    <w:p w14:paraId="6CB794B4">
      <w:pPr>
        <w:spacing w:line="560" w:lineRule="exact"/>
        <w:ind w:firstLine="632"/>
        <w:rPr>
          <w:rFonts w:ascii="Times New Roman" w:hAnsi="Times New Roman" w:cs="Times New Roman"/>
          <w:sz w:val="32"/>
        </w:rPr>
      </w:pPr>
      <w:r>
        <w:rPr>
          <w:rFonts w:ascii="Times New Roman" w:hAnsi="Times New Roman" w:cs="Times New Roman"/>
          <w:sz w:val="32"/>
        </w:rPr>
        <w:t>（1）一般</w:t>
      </w:r>
      <w:r>
        <w:rPr>
          <w:rFonts w:hint="eastAsia" w:ascii="Times New Roman" w:hAnsi="Times New Roman" w:cs="Times New Roman"/>
          <w:sz w:val="32"/>
        </w:rPr>
        <w:t>涉外突发</w:t>
      </w:r>
      <w:r>
        <w:rPr>
          <w:rFonts w:ascii="Times New Roman" w:hAnsi="Times New Roman" w:cs="Times New Roman"/>
          <w:sz w:val="32"/>
        </w:rPr>
        <w:t>事件。由</w:t>
      </w:r>
      <w:r>
        <w:rPr>
          <w:rFonts w:hint="eastAsia" w:ascii="Times New Roman" w:hAnsi="Times New Roman" w:cs="Times New Roman"/>
          <w:sz w:val="32"/>
        </w:rPr>
        <w:t>县指挥部</w:t>
      </w:r>
      <w:r>
        <w:rPr>
          <w:rFonts w:ascii="Times New Roman" w:hAnsi="Times New Roman" w:cs="Times New Roman"/>
          <w:sz w:val="32"/>
        </w:rPr>
        <w:t>启动</w:t>
      </w:r>
      <w:r>
        <w:rPr>
          <w:rFonts w:hint="eastAsia" w:ascii="Times New Roman" w:hAnsi="Times New Roman" w:cs="Times New Roman"/>
          <w:sz w:val="32"/>
        </w:rPr>
        <w:t>应急</w:t>
      </w:r>
      <w:r>
        <w:rPr>
          <w:rFonts w:ascii="Times New Roman" w:hAnsi="Times New Roman" w:cs="Times New Roman"/>
          <w:sz w:val="32"/>
        </w:rPr>
        <w:t>预案予以处置，</w:t>
      </w:r>
      <w:r>
        <w:rPr>
          <w:rFonts w:hint="eastAsia" w:ascii="Times New Roman" w:hAnsi="Times New Roman" w:cs="Times New Roman"/>
          <w:sz w:val="32"/>
        </w:rPr>
        <w:t>必要时请求双鸭山市人民政府涉外应急指挥机构</w:t>
      </w:r>
      <w:r>
        <w:rPr>
          <w:rFonts w:ascii="Times New Roman" w:hAnsi="Times New Roman" w:cs="Times New Roman"/>
          <w:sz w:val="32"/>
        </w:rPr>
        <w:t>给予指导与支持。</w:t>
      </w:r>
    </w:p>
    <w:p w14:paraId="6B89BDEF">
      <w:pPr>
        <w:spacing w:line="560" w:lineRule="exact"/>
        <w:ind w:firstLine="632"/>
        <w:rPr>
          <w:rFonts w:ascii="Times New Roman" w:hAnsi="Times New Roman" w:cs="Times New Roman"/>
          <w:sz w:val="32"/>
        </w:rPr>
      </w:pPr>
      <w:r>
        <w:rPr>
          <w:rFonts w:ascii="Times New Roman" w:hAnsi="Times New Roman" w:cs="Times New Roman"/>
          <w:sz w:val="32"/>
        </w:rPr>
        <w:t>（2）较大</w:t>
      </w:r>
      <w:r>
        <w:rPr>
          <w:rFonts w:hint="eastAsia" w:ascii="Times New Roman" w:hAnsi="Times New Roman" w:cs="Times New Roman"/>
          <w:sz w:val="32"/>
        </w:rPr>
        <w:t>涉外突发</w:t>
      </w:r>
      <w:r>
        <w:rPr>
          <w:rFonts w:ascii="Times New Roman" w:hAnsi="Times New Roman" w:cs="Times New Roman"/>
          <w:sz w:val="32"/>
        </w:rPr>
        <w:t>事件。由</w:t>
      </w:r>
      <w:r>
        <w:rPr>
          <w:rFonts w:hint="eastAsia" w:ascii="Times New Roman" w:hAnsi="Times New Roman" w:cs="Times New Roman"/>
          <w:sz w:val="32"/>
        </w:rPr>
        <w:t>县指挥部启动应急预案，县指挥部负责人应立即赶赴现场，组织开展先期处置；并由县指挥部提请双鸭山市人民政府涉外应急指挥机构寻求支援，当双鸭山市人民政府涉外应急指挥机构到达现场后，统一负责应急处置工作。</w:t>
      </w:r>
    </w:p>
    <w:p w14:paraId="1F544107">
      <w:pPr>
        <w:spacing w:line="560" w:lineRule="exact"/>
        <w:ind w:firstLine="632"/>
        <w:rPr>
          <w:rFonts w:ascii="Times New Roman" w:hAnsi="Times New Roman" w:cs="Times New Roman"/>
          <w:sz w:val="32"/>
        </w:rPr>
      </w:pPr>
      <w:r>
        <w:rPr>
          <w:rFonts w:ascii="Times New Roman" w:hAnsi="Times New Roman" w:cs="Times New Roman"/>
          <w:sz w:val="32"/>
        </w:rPr>
        <w:t>（3）重大及特别重大事件。由县指挥部启动应急预案，县指挥部负责人应立即赶赴现场，组织开展先期处置；并由县指挥部</w:t>
      </w:r>
      <w:r>
        <w:rPr>
          <w:rFonts w:hint="eastAsia" w:ascii="Times New Roman" w:hAnsi="Times New Roman" w:cs="Times New Roman"/>
          <w:sz w:val="32"/>
        </w:rPr>
        <w:t>逐级向黑龙江省人民政府</w:t>
      </w:r>
      <w:r>
        <w:rPr>
          <w:rFonts w:ascii="Times New Roman" w:hAnsi="Times New Roman" w:cs="Times New Roman"/>
          <w:sz w:val="32"/>
        </w:rPr>
        <w:t>涉外应急指挥机构寻求支援，当</w:t>
      </w:r>
      <w:r>
        <w:rPr>
          <w:rFonts w:hint="eastAsia" w:ascii="Times New Roman" w:hAnsi="Times New Roman" w:cs="Times New Roman"/>
          <w:sz w:val="32"/>
        </w:rPr>
        <w:t>黑龙江省人民政府</w:t>
      </w:r>
      <w:r>
        <w:rPr>
          <w:rFonts w:ascii="Times New Roman" w:hAnsi="Times New Roman" w:cs="Times New Roman"/>
          <w:sz w:val="32"/>
        </w:rPr>
        <w:t>涉外应急指挥机构到达现场后，统一负责应急处置工作。</w:t>
      </w:r>
    </w:p>
    <w:p w14:paraId="4A31511C">
      <w:pPr>
        <w:pStyle w:val="3"/>
        <w:spacing w:line="560" w:lineRule="exact"/>
        <w:ind w:firstLine="0" w:firstLineChars="0"/>
        <w:rPr>
          <w:rFonts w:ascii="Times New Roman" w:hAnsi="Times New Roman" w:eastAsia="楷体_GB2312" w:cs="Times New Roman"/>
          <w:sz w:val="32"/>
        </w:rPr>
      </w:pPr>
      <w:bookmarkStart w:id="1492" w:name="_Toc23311"/>
      <w:r>
        <w:rPr>
          <w:rFonts w:ascii="Times New Roman" w:hAnsi="Times New Roman" w:eastAsia="楷体_GB2312" w:cs="Times New Roman"/>
          <w:sz w:val="32"/>
        </w:rPr>
        <w:t>应急处置</w:t>
      </w:r>
      <w:bookmarkEnd w:id="1492"/>
    </w:p>
    <w:p w14:paraId="0A4140F8">
      <w:pPr>
        <w:spacing w:line="560" w:lineRule="exact"/>
        <w:ind w:firstLine="632"/>
        <w:rPr>
          <w:rFonts w:ascii="Times New Roman" w:hAnsi="Times New Roman" w:cs="Times New Roman"/>
          <w:sz w:val="32"/>
        </w:rPr>
      </w:pPr>
      <w:r>
        <w:rPr>
          <w:rFonts w:ascii="Times New Roman" w:hAnsi="Times New Roman" w:cs="Times New Roman"/>
          <w:sz w:val="32"/>
        </w:rPr>
        <w:t>（1）境外涉我突发事件可采取的有关处置措施：</w:t>
      </w:r>
    </w:p>
    <w:p w14:paraId="6E238A97">
      <w:pPr>
        <w:spacing w:line="560" w:lineRule="exact"/>
        <w:ind w:firstLine="632"/>
        <w:rPr>
          <w:rFonts w:ascii="Times New Roman" w:hAnsi="Times New Roman" w:cs="Times New Roman"/>
          <w:sz w:val="32"/>
        </w:rPr>
      </w:pPr>
      <w:r>
        <w:rPr>
          <w:rFonts w:ascii="Times New Roman" w:hAnsi="Times New Roman" w:cs="Times New Roman"/>
          <w:sz w:val="32"/>
        </w:rPr>
        <w:t>①责成相关驻外机构和管理人员在我使（领）馆领导、支持下做好事发现场先期处置工作，包括了解并报事件规模、伤亡人员姓名、性别、人数、状况、籍贯、国内联系单位、家属联系方式以及财产损失等基本情况，参与或协助安置安抚、医疗急救、转移保护有关人员等工作，跟踪、续报有关信息；如遇发生重大疫情，责成相关驻外机构和管理人员在我使（领）馆领导、支持下，了解疫情详情并协助有关人员做好相应防控隔离。</w:t>
      </w:r>
    </w:p>
    <w:p w14:paraId="62B18FD4">
      <w:pPr>
        <w:spacing w:line="560" w:lineRule="exact"/>
        <w:ind w:firstLine="632"/>
        <w:rPr>
          <w:rFonts w:ascii="Times New Roman" w:hAnsi="Times New Roman" w:cs="Times New Roman"/>
          <w:sz w:val="32"/>
        </w:rPr>
      </w:pPr>
      <w:r>
        <w:rPr>
          <w:rFonts w:ascii="Times New Roman" w:hAnsi="Times New Roman" w:cs="Times New Roman"/>
          <w:sz w:val="32"/>
        </w:rPr>
        <w:t>②视情况以</w:t>
      </w:r>
      <w:r>
        <w:rPr>
          <w:rFonts w:hint="eastAsia" w:ascii="Times New Roman" w:hAnsi="Times New Roman" w:cs="Times New Roman"/>
          <w:sz w:val="32"/>
        </w:rPr>
        <w:t>县</w:t>
      </w:r>
      <w:r>
        <w:rPr>
          <w:rFonts w:ascii="Times New Roman" w:hAnsi="Times New Roman" w:cs="Times New Roman"/>
          <w:sz w:val="32"/>
        </w:rPr>
        <w:t>政府名义向我受害公民及其家属、向外国地方政府致慰问函电等。</w:t>
      </w:r>
    </w:p>
    <w:p w14:paraId="186999E7">
      <w:pPr>
        <w:spacing w:line="560" w:lineRule="exact"/>
        <w:ind w:firstLine="632"/>
        <w:rPr>
          <w:rFonts w:ascii="Times New Roman" w:hAnsi="Times New Roman" w:cs="Times New Roman"/>
          <w:sz w:val="32"/>
        </w:rPr>
      </w:pPr>
      <w:r>
        <w:rPr>
          <w:rFonts w:ascii="Times New Roman" w:hAnsi="Times New Roman" w:cs="Times New Roman"/>
          <w:sz w:val="32"/>
        </w:rPr>
        <w:t>③根据外交部等有关机构和省</w:t>
      </w:r>
      <w:r>
        <w:rPr>
          <w:rFonts w:hint="eastAsia" w:ascii="Times New Roman" w:hAnsi="Times New Roman" w:cs="Times New Roman"/>
          <w:sz w:val="32"/>
        </w:rPr>
        <w:t>、市</w:t>
      </w:r>
      <w:r>
        <w:rPr>
          <w:rFonts w:ascii="Times New Roman" w:hAnsi="Times New Roman" w:cs="Times New Roman"/>
          <w:sz w:val="32"/>
        </w:rPr>
        <w:t>外</w:t>
      </w:r>
      <w:r>
        <w:rPr>
          <w:rFonts w:hint="eastAsia" w:ascii="Times New Roman" w:hAnsi="Times New Roman" w:cs="Times New Roman"/>
          <w:sz w:val="32"/>
        </w:rPr>
        <w:t>事</w:t>
      </w:r>
      <w:r>
        <w:rPr>
          <w:rFonts w:ascii="Times New Roman" w:hAnsi="Times New Roman" w:cs="Times New Roman"/>
          <w:sz w:val="32"/>
        </w:rPr>
        <w:t>办的意见，协助受害人家属赴事发国处理有关事宜。</w:t>
      </w:r>
    </w:p>
    <w:p w14:paraId="072D7619">
      <w:pPr>
        <w:spacing w:line="560" w:lineRule="exact"/>
        <w:ind w:firstLine="632"/>
        <w:rPr>
          <w:rFonts w:ascii="Times New Roman" w:hAnsi="Times New Roman" w:cs="Times New Roman"/>
          <w:sz w:val="32"/>
        </w:rPr>
      </w:pPr>
      <w:r>
        <w:rPr>
          <w:rFonts w:ascii="Times New Roman" w:hAnsi="Times New Roman" w:cs="Times New Roman"/>
          <w:sz w:val="32"/>
        </w:rPr>
        <w:t>④协助外交部等有关机构和省、市外事办与事发国、地区当局交涉，寻求国际、地区合作与援助事宜。</w:t>
      </w:r>
    </w:p>
    <w:p w14:paraId="4137C2CC">
      <w:pPr>
        <w:spacing w:line="560" w:lineRule="exact"/>
        <w:ind w:firstLine="632"/>
        <w:rPr>
          <w:rFonts w:ascii="Times New Roman" w:hAnsi="Times New Roman" w:cs="Times New Roman"/>
          <w:sz w:val="32"/>
        </w:rPr>
      </w:pPr>
      <w:r>
        <w:rPr>
          <w:rFonts w:ascii="Times New Roman" w:hAnsi="Times New Roman" w:cs="Times New Roman"/>
          <w:sz w:val="32"/>
        </w:rPr>
        <w:t>⑤视情况派遣前方工作组。</w:t>
      </w:r>
    </w:p>
    <w:p w14:paraId="5E7DE787">
      <w:pPr>
        <w:spacing w:line="560" w:lineRule="exact"/>
        <w:ind w:firstLine="632"/>
        <w:rPr>
          <w:rFonts w:ascii="Times New Roman" w:hAnsi="Times New Roman" w:cs="Times New Roman"/>
          <w:sz w:val="32"/>
        </w:rPr>
      </w:pPr>
      <w:r>
        <w:rPr>
          <w:rFonts w:ascii="Times New Roman" w:hAnsi="Times New Roman" w:cs="Times New Roman"/>
          <w:sz w:val="32"/>
        </w:rPr>
        <w:t>⑥做好在外有关人员回国后的接收、安置、抚恤、防疫隔离等后续工作。</w:t>
      </w:r>
    </w:p>
    <w:p w14:paraId="3BF34197">
      <w:pPr>
        <w:spacing w:line="560" w:lineRule="exact"/>
        <w:ind w:firstLine="632"/>
        <w:rPr>
          <w:rFonts w:ascii="Times New Roman" w:hAnsi="Times New Roman" w:cs="Times New Roman"/>
          <w:sz w:val="32"/>
        </w:rPr>
      </w:pPr>
      <w:r>
        <w:rPr>
          <w:rFonts w:ascii="Times New Roman" w:hAnsi="Times New Roman" w:cs="Times New Roman"/>
          <w:sz w:val="32"/>
        </w:rPr>
        <w:t>（2）境内涉外突发事件可采取的有关处置措施：</w:t>
      </w:r>
    </w:p>
    <w:p w14:paraId="5F84EE0D">
      <w:pPr>
        <w:spacing w:line="560" w:lineRule="exact"/>
        <w:ind w:firstLine="632"/>
        <w:rPr>
          <w:rFonts w:ascii="Times New Roman" w:hAnsi="Times New Roman" w:cs="Times New Roman"/>
          <w:sz w:val="32"/>
        </w:rPr>
      </w:pPr>
      <w:r>
        <w:rPr>
          <w:rFonts w:ascii="Times New Roman" w:hAnsi="Times New Roman" w:cs="Times New Roman"/>
          <w:sz w:val="32"/>
        </w:rPr>
        <w:t>①</w:t>
      </w:r>
      <w:r>
        <w:rPr>
          <w:rFonts w:hint="eastAsia" w:ascii="Times New Roman" w:hAnsi="Times New Roman" w:cs="Times New Roman"/>
          <w:sz w:val="32"/>
        </w:rPr>
        <w:t>事发地乡镇人民政府</w:t>
      </w:r>
      <w:r>
        <w:rPr>
          <w:rFonts w:ascii="Times New Roman" w:hAnsi="Times New Roman" w:cs="Times New Roman"/>
          <w:sz w:val="32"/>
        </w:rPr>
        <w:t>迅速组织力量控制局面，制止事态发展；如发生重大输入性疫情，</w:t>
      </w:r>
      <w:r>
        <w:rPr>
          <w:rFonts w:hint="eastAsia" w:ascii="Times New Roman" w:hAnsi="Times New Roman" w:cs="Times New Roman"/>
          <w:sz w:val="32"/>
        </w:rPr>
        <w:t>事发地乡镇人民政府</w:t>
      </w:r>
      <w:r>
        <w:rPr>
          <w:rFonts w:ascii="Times New Roman" w:hAnsi="Times New Roman" w:cs="Times New Roman"/>
          <w:sz w:val="32"/>
        </w:rPr>
        <w:t>迅速组织力量做好防控隔离，防止疫情进一步扩散。</w:t>
      </w:r>
    </w:p>
    <w:p w14:paraId="5AF4B2AA">
      <w:pPr>
        <w:spacing w:line="560" w:lineRule="exact"/>
        <w:ind w:firstLine="632"/>
        <w:rPr>
          <w:rFonts w:ascii="Times New Roman" w:hAnsi="Times New Roman" w:cs="Times New Roman"/>
          <w:sz w:val="32"/>
        </w:rPr>
      </w:pPr>
      <w:r>
        <w:rPr>
          <w:rFonts w:ascii="Times New Roman" w:hAnsi="Times New Roman" w:cs="Times New Roman"/>
          <w:sz w:val="32"/>
        </w:rPr>
        <w:t>②</w:t>
      </w:r>
      <w:r>
        <w:rPr>
          <w:rFonts w:hint="eastAsia" w:ascii="Times New Roman" w:hAnsi="Times New Roman" w:cs="Times New Roman"/>
          <w:sz w:val="32"/>
        </w:rPr>
        <w:t>事发地乡镇人民政府</w:t>
      </w:r>
      <w:r>
        <w:rPr>
          <w:rFonts w:ascii="Times New Roman" w:hAnsi="Times New Roman" w:cs="Times New Roman"/>
          <w:sz w:val="32"/>
        </w:rPr>
        <w:t>牵头做好现场先期处置工作，包括了解并上报事件规模、感染或伤亡人员姓名、性别、人数、状况、国籍、财产损失等基本情况，安置安抚、医疗急救、转移保护有关人员等工作。</w:t>
      </w:r>
    </w:p>
    <w:p w14:paraId="569702C6">
      <w:pPr>
        <w:spacing w:line="560" w:lineRule="exact"/>
        <w:ind w:firstLine="632"/>
        <w:rPr>
          <w:rFonts w:ascii="Times New Roman" w:hAnsi="Times New Roman" w:cs="Times New Roman"/>
          <w:sz w:val="32"/>
        </w:rPr>
      </w:pPr>
      <w:r>
        <w:rPr>
          <w:rFonts w:ascii="Times New Roman" w:hAnsi="Times New Roman" w:cs="Times New Roman"/>
          <w:sz w:val="32"/>
        </w:rPr>
        <w:t>③视情况以</w:t>
      </w:r>
      <w:r>
        <w:rPr>
          <w:rFonts w:hint="eastAsia" w:ascii="Times New Roman" w:hAnsi="Times New Roman" w:cs="Times New Roman"/>
          <w:sz w:val="32"/>
        </w:rPr>
        <w:t>县</w:t>
      </w:r>
      <w:r>
        <w:rPr>
          <w:rFonts w:ascii="Times New Roman" w:hAnsi="Times New Roman" w:cs="Times New Roman"/>
          <w:sz w:val="32"/>
        </w:rPr>
        <w:t>政府名义向外国地方政府及受害人家属致慰问函电等。</w:t>
      </w:r>
    </w:p>
    <w:p w14:paraId="3E1E19CF">
      <w:pPr>
        <w:spacing w:line="560" w:lineRule="exact"/>
        <w:ind w:firstLine="632"/>
        <w:rPr>
          <w:rFonts w:ascii="Times New Roman" w:hAnsi="Times New Roman" w:cs="Times New Roman"/>
          <w:sz w:val="32"/>
        </w:rPr>
      </w:pPr>
      <w:r>
        <w:rPr>
          <w:rFonts w:ascii="Times New Roman" w:hAnsi="Times New Roman" w:cs="Times New Roman"/>
          <w:sz w:val="32"/>
        </w:rPr>
        <w:t>④经省、市外事办批准后向外国驻华使（领）馆通报有关情况，安排其官员赴事发现场探视。</w:t>
      </w:r>
    </w:p>
    <w:p w14:paraId="47876A26">
      <w:pPr>
        <w:spacing w:line="560" w:lineRule="exact"/>
        <w:ind w:firstLine="632"/>
        <w:rPr>
          <w:rFonts w:ascii="Times New Roman" w:hAnsi="Times New Roman" w:cs="Times New Roman"/>
          <w:sz w:val="32"/>
        </w:rPr>
      </w:pPr>
      <w:r>
        <w:rPr>
          <w:rFonts w:ascii="Times New Roman" w:hAnsi="Times New Roman" w:cs="Times New Roman"/>
          <w:sz w:val="32"/>
        </w:rPr>
        <w:t>⑤根据外交部等机构和省、市外事办意见，安排伤亡外国人员家属来华探视、处理后事。</w:t>
      </w:r>
    </w:p>
    <w:p w14:paraId="083A046F">
      <w:pPr>
        <w:pStyle w:val="3"/>
        <w:spacing w:line="560" w:lineRule="exact"/>
        <w:ind w:firstLine="0" w:firstLineChars="0"/>
        <w:rPr>
          <w:rFonts w:ascii="Times New Roman" w:hAnsi="Times New Roman" w:eastAsia="楷体_GB2312" w:cs="Times New Roman"/>
          <w:sz w:val="32"/>
        </w:rPr>
      </w:pPr>
      <w:r>
        <w:rPr>
          <w:rFonts w:ascii="Times New Roman" w:hAnsi="Times New Roman" w:eastAsia="楷体_GB2312" w:cs="Times New Roman"/>
          <w:sz w:val="32"/>
        </w:rPr>
        <w:t>信息发布</w:t>
      </w:r>
    </w:p>
    <w:p w14:paraId="019EC79B">
      <w:pPr>
        <w:spacing w:line="560" w:lineRule="exact"/>
        <w:ind w:firstLine="632"/>
        <w:rPr>
          <w:rFonts w:ascii="Times New Roman" w:hAnsi="Times New Roman" w:cs="Times New Roman"/>
          <w:sz w:val="32"/>
        </w:rPr>
      </w:pPr>
      <w:r>
        <w:rPr>
          <w:rFonts w:ascii="Times New Roman" w:hAnsi="Times New Roman" w:cs="Times New Roman"/>
          <w:sz w:val="32"/>
        </w:rPr>
        <w:t>发生涉外突发事件时，由</w:t>
      </w:r>
      <w:r>
        <w:rPr>
          <w:rFonts w:hint="eastAsia" w:ascii="Times New Roman" w:hAnsi="Times New Roman" w:cs="Times New Roman"/>
          <w:sz w:val="32"/>
        </w:rPr>
        <w:t>县</w:t>
      </w:r>
      <w:r>
        <w:rPr>
          <w:rFonts w:ascii="Times New Roman" w:hAnsi="Times New Roman" w:cs="Times New Roman"/>
          <w:sz w:val="32"/>
        </w:rPr>
        <w:t>指挥部进行新闻发布。</w:t>
      </w:r>
      <w:r>
        <w:rPr>
          <w:rFonts w:hint="eastAsia" w:ascii="Times New Roman" w:hAnsi="Times New Roman" w:cs="Times New Roman"/>
          <w:sz w:val="32"/>
        </w:rPr>
        <w:t>县委宣传部</w:t>
      </w:r>
      <w:r>
        <w:rPr>
          <w:rFonts w:ascii="Times New Roman" w:hAnsi="Times New Roman" w:cs="Times New Roman"/>
          <w:sz w:val="32"/>
        </w:rPr>
        <w:t>负责协调新闻发布和危机公关工作，实施舆情监测分析，指导突发事件处置主管部门新闻发言人开展新闻发布、媒体沟通和舆论引导工作。</w:t>
      </w:r>
    </w:p>
    <w:p w14:paraId="106102B1">
      <w:pPr>
        <w:pStyle w:val="3"/>
        <w:spacing w:line="560" w:lineRule="exact"/>
        <w:ind w:firstLine="0" w:firstLineChars="0"/>
        <w:rPr>
          <w:rFonts w:ascii="Times New Roman" w:hAnsi="Times New Roman" w:eastAsia="楷体_GB2312" w:cs="Times New Roman"/>
          <w:sz w:val="32"/>
        </w:rPr>
      </w:pPr>
      <w:bookmarkStart w:id="1493" w:name="_Toc23521"/>
      <w:r>
        <w:rPr>
          <w:rFonts w:ascii="Times New Roman" w:hAnsi="Times New Roman" w:eastAsia="楷体_GB2312" w:cs="Times New Roman"/>
          <w:sz w:val="32"/>
        </w:rPr>
        <w:t>应急结束</w:t>
      </w:r>
      <w:bookmarkEnd w:id="1493"/>
    </w:p>
    <w:p w14:paraId="2C254E4A">
      <w:pPr>
        <w:spacing w:line="560" w:lineRule="exact"/>
        <w:ind w:firstLine="632"/>
        <w:rPr>
          <w:rFonts w:ascii="Times New Roman" w:hAnsi="Times New Roman" w:cs="Times New Roman"/>
          <w:sz w:val="32"/>
        </w:rPr>
      </w:pPr>
      <w:r>
        <w:rPr>
          <w:rFonts w:ascii="Times New Roman" w:hAnsi="Times New Roman" w:cs="Times New Roman"/>
          <w:sz w:val="32"/>
        </w:rPr>
        <w:t>当涉外突发事件事态基本平息或得到有效控制、危害已经消除后，应急响应工作基本完成，由</w:t>
      </w:r>
      <w:r>
        <w:rPr>
          <w:rFonts w:hint="eastAsia" w:ascii="Times New Roman" w:hAnsi="Times New Roman" w:cs="Times New Roman"/>
          <w:sz w:val="32"/>
        </w:rPr>
        <w:t>县</w:t>
      </w:r>
      <w:r>
        <w:rPr>
          <w:rFonts w:ascii="Times New Roman" w:hAnsi="Times New Roman" w:cs="Times New Roman"/>
          <w:sz w:val="32"/>
        </w:rPr>
        <w:t>涉外突发事件应急指挥部宣布应急响应结束。</w:t>
      </w:r>
    </w:p>
    <w:p w14:paraId="3FBD7AF6">
      <w:pPr>
        <w:pStyle w:val="2"/>
        <w:numPr>
          <w:ilvl w:val="0"/>
          <w:numId w:val="235"/>
        </w:numPr>
        <w:tabs>
          <w:tab w:val="left" w:pos="0"/>
        </w:tabs>
        <w:rPr>
          <w:rFonts w:ascii="Times New Roman" w:hAnsi="Times New Roman" w:cs="Times New Roman"/>
          <w:sz w:val="32"/>
        </w:rPr>
      </w:pPr>
      <w:bookmarkStart w:id="1494" w:name="_Toc16773"/>
      <w:r>
        <w:rPr>
          <w:rFonts w:ascii="Times New Roman" w:hAnsi="Times New Roman" w:cs="Times New Roman"/>
          <w:sz w:val="32"/>
        </w:rPr>
        <w:t>后期处置</w:t>
      </w:r>
      <w:bookmarkEnd w:id="1494"/>
    </w:p>
    <w:p w14:paraId="34A01BFD">
      <w:pPr>
        <w:spacing w:line="560" w:lineRule="exact"/>
        <w:ind w:firstLine="632"/>
        <w:rPr>
          <w:rFonts w:ascii="Times New Roman" w:hAnsi="Times New Roman" w:cs="Times New Roman"/>
          <w:sz w:val="32"/>
        </w:rPr>
      </w:pPr>
      <w:r>
        <w:rPr>
          <w:rFonts w:ascii="Times New Roman" w:hAnsi="Times New Roman" w:cs="Times New Roman"/>
          <w:sz w:val="32"/>
        </w:rPr>
        <w:t>（1）应急响应终止后，有关</w:t>
      </w:r>
      <w:r>
        <w:rPr>
          <w:rFonts w:hint="eastAsia" w:ascii="Times New Roman" w:hAnsi="Times New Roman" w:cs="Times New Roman"/>
          <w:sz w:val="32"/>
        </w:rPr>
        <w:t>乡镇人民政府</w:t>
      </w:r>
      <w:r>
        <w:rPr>
          <w:rFonts w:ascii="Times New Roman" w:hAnsi="Times New Roman" w:cs="Times New Roman"/>
          <w:sz w:val="32"/>
        </w:rPr>
        <w:t>、</w:t>
      </w:r>
      <w:r>
        <w:rPr>
          <w:rFonts w:hint="eastAsia" w:ascii="Times New Roman" w:hAnsi="Times New Roman" w:cs="Times New Roman"/>
          <w:sz w:val="32"/>
        </w:rPr>
        <w:t>县</w:t>
      </w:r>
      <w:r>
        <w:rPr>
          <w:rFonts w:ascii="Times New Roman" w:hAnsi="Times New Roman" w:cs="Times New Roman"/>
          <w:sz w:val="32"/>
        </w:rPr>
        <w:t>政府有关部门应进一步做好有关人员安置、损失评估、赔偿、奖惩等后续事宜。</w:t>
      </w:r>
    </w:p>
    <w:p w14:paraId="5FF258AB">
      <w:pPr>
        <w:spacing w:line="560" w:lineRule="exact"/>
        <w:ind w:firstLine="632"/>
        <w:rPr>
          <w:rFonts w:ascii="Times New Roman" w:hAnsi="Times New Roman" w:cs="Times New Roman"/>
          <w:sz w:val="32"/>
        </w:rPr>
      </w:pPr>
      <w:r>
        <w:rPr>
          <w:rFonts w:ascii="Times New Roman" w:hAnsi="Times New Roman" w:cs="Times New Roman"/>
          <w:sz w:val="32"/>
        </w:rPr>
        <w:t>（2）应急工作结束后，有关乡镇人民政府、县政府有关部门应及时写出总结报告，上报</w:t>
      </w:r>
      <w:r>
        <w:rPr>
          <w:rFonts w:hint="eastAsia" w:ascii="Times New Roman" w:hAnsi="Times New Roman" w:cs="Times New Roman"/>
          <w:sz w:val="32"/>
        </w:rPr>
        <w:t>县政府及县指挥部办公室</w:t>
      </w:r>
      <w:r>
        <w:rPr>
          <w:rFonts w:ascii="Times New Roman" w:hAnsi="Times New Roman" w:cs="Times New Roman"/>
          <w:sz w:val="32"/>
        </w:rPr>
        <w:t>。通过对处置工作经验教训的总结，修订</w:t>
      </w:r>
      <w:r>
        <w:rPr>
          <w:rFonts w:hint="eastAsia" w:ascii="Times New Roman" w:hAnsi="Times New Roman" w:cs="Times New Roman"/>
          <w:sz w:val="32"/>
        </w:rPr>
        <w:t>本部门</w:t>
      </w:r>
      <w:r>
        <w:rPr>
          <w:rFonts w:ascii="Times New Roman" w:hAnsi="Times New Roman" w:cs="Times New Roman"/>
          <w:sz w:val="32"/>
        </w:rPr>
        <w:t>应急预案，或对本预案提出修改建议。</w:t>
      </w:r>
    </w:p>
    <w:p w14:paraId="62CBE6A3">
      <w:pPr>
        <w:spacing w:line="560" w:lineRule="exact"/>
        <w:ind w:firstLine="632"/>
        <w:rPr>
          <w:rFonts w:ascii="Times New Roman" w:hAnsi="Times New Roman" w:cs="Times New Roman"/>
          <w:sz w:val="32"/>
        </w:rPr>
      </w:pPr>
      <w:r>
        <w:rPr>
          <w:rFonts w:ascii="Times New Roman" w:hAnsi="Times New Roman" w:cs="Times New Roman"/>
          <w:sz w:val="32"/>
        </w:rPr>
        <w:t>（3）</w:t>
      </w:r>
      <w:r>
        <w:rPr>
          <w:rFonts w:hint="eastAsia" w:ascii="Times New Roman" w:hAnsi="Times New Roman" w:cs="Times New Roman"/>
          <w:sz w:val="32"/>
        </w:rPr>
        <w:t>县</w:t>
      </w:r>
      <w:r>
        <w:rPr>
          <w:rFonts w:ascii="Times New Roman" w:hAnsi="Times New Roman" w:cs="Times New Roman"/>
          <w:sz w:val="32"/>
        </w:rPr>
        <w:t>政府可根据需要指示成立专门委员会，对突发事件的原因、有关人员责任进行调查，并提出处理和改进建议。</w:t>
      </w:r>
    </w:p>
    <w:p w14:paraId="0FF9829A">
      <w:pPr>
        <w:pStyle w:val="2"/>
        <w:numPr>
          <w:ilvl w:val="0"/>
          <w:numId w:val="235"/>
        </w:numPr>
        <w:tabs>
          <w:tab w:val="left" w:pos="0"/>
        </w:tabs>
        <w:rPr>
          <w:rFonts w:ascii="Times New Roman" w:hAnsi="Times New Roman" w:cs="Times New Roman"/>
          <w:sz w:val="32"/>
        </w:rPr>
      </w:pPr>
      <w:bookmarkStart w:id="1495" w:name="_Toc22690"/>
      <w:r>
        <w:rPr>
          <w:rFonts w:ascii="Times New Roman" w:hAnsi="Times New Roman" w:cs="Times New Roman"/>
          <w:sz w:val="32"/>
        </w:rPr>
        <w:t>应急保障</w:t>
      </w:r>
      <w:bookmarkEnd w:id="1495"/>
    </w:p>
    <w:p w14:paraId="65BBA0FE">
      <w:pPr>
        <w:pStyle w:val="3"/>
        <w:spacing w:line="560" w:lineRule="exact"/>
        <w:ind w:firstLine="0" w:firstLineChars="0"/>
        <w:rPr>
          <w:rFonts w:ascii="Times New Roman" w:hAnsi="Times New Roman" w:eastAsia="楷体_GB2312" w:cs="Times New Roman"/>
          <w:sz w:val="32"/>
        </w:rPr>
      </w:pPr>
      <w:bookmarkStart w:id="1496" w:name="_Toc12001"/>
      <w:r>
        <w:rPr>
          <w:rFonts w:ascii="Times New Roman" w:hAnsi="Times New Roman" w:eastAsia="楷体_GB2312" w:cs="Times New Roman"/>
          <w:sz w:val="32"/>
        </w:rPr>
        <w:t>队伍保障</w:t>
      </w:r>
      <w:bookmarkEnd w:id="1496"/>
    </w:p>
    <w:p w14:paraId="3B063BBC">
      <w:pPr>
        <w:spacing w:line="560" w:lineRule="exact"/>
        <w:ind w:firstLine="632"/>
        <w:rPr>
          <w:rFonts w:ascii="Times New Roman" w:hAnsi="Times New Roman" w:cs="Times New Roman"/>
          <w:sz w:val="32"/>
        </w:rPr>
      </w:pPr>
      <w:r>
        <w:rPr>
          <w:rFonts w:ascii="Times New Roman" w:hAnsi="Times New Roman" w:cs="Times New Roman"/>
          <w:sz w:val="32"/>
        </w:rPr>
        <w:t>按照职责分工开展应急救援工作，加强涉外应急队伍建设。</w:t>
      </w:r>
    </w:p>
    <w:p w14:paraId="0139286C">
      <w:pPr>
        <w:spacing w:line="560" w:lineRule="exact"/>
        <w:ind w:firstLine="632"/>
        <w:rPr>
          <w:rFonts w:ascii="Times New Roman" w:hAnsi="Times New Roman" w:cs="Times New Roman"/>
          <w:sz w:val="32"/>
        </w:rPr>
      </w:pPr>
      <w:r>
        <w:rPr>
          <w:rFonts w:ascii="Times New Roman" w:hAnsi="Times New Roman" w:cs="Times New Roman"/>
          <w:sz w:val="32"/>
        </w:rPr>
        <w:t>有关成员单位作为涉外突发事件的主要专业救助力量，接到报告后应立即响应，按各自任务开展应急救援工作；外事部门接报后按照应急组织机构职责组织本单位应急成员加入应急指挥部，做好协调、配合和指挥等工作。</w:t>
      </w:r>
    </w:p>
    <w:p w14:paraId="187959E6">
      <w:pPr>
        <w:pStyle w:val="3"/>
        <w:spacing w:line="560" w:lineRule="exact"/>
        <w:ind w:firstLine="0" w:firstLineChars="0"/>
        <w:rPr>
          <w:rFonts w:ascii="Times New Roman" w:hAnsi="Times New Roman" w:eastAsia="楷体_GB2312" w:cs="Times New Roman"/>
          <w:sz w:val="32"/>
        </w:rPr>
      </w:pPr>
      <w:bookmarkStart w:id="1497" w:name="_Toc15958"/>
      <w:r>
        <w:rPr>
          <w:rFonts w:ascii="Times New Roman" w:hAnsi="Times New Roman" w:eastAsia="楷体_GB2312" w:cs="Times New Roman"/>
          <w:sz w:val="32"/>
        </w:rPr>
        <w:t>经费保障</w:t>
      </w:r>
      <w:bookmarkEnd w:id="1497"/>
    </w:p>
    <w:p w14:paraId="2AC99A2B">
      <w:pPr>
        <w:spacing w:line="560" w:lineRule="exact"/>
        <w:ind w:firstLine="632"/>
        <w:rPr>
          <w:rFonts w:ascii="Times New Roman" w:hAnsi="Times New Roman" w:cs="Times New Roman"/>
          <w:sz w:val="32"/>
        </w:rPr>
      </w:pPr>
      <w:r>
        <w:rPr>
          <w:rFonts w:hint="eastAsia" w:ascii="Times New Roman" w:hAnsi="Times New Roman" w:cs="Times New Roman"/>
          <w:sz w:val="32"/>
        </w:rPr>
        <w:t>县财政局</w:t>
      </w:r>
      <w:r>
        <w:rPr>
          <w:rFonts w:ascii="Times New Roman" w:hAnsi="Times New Roman" w:cs="Times New Roman"/>
          <w:sz w:val="32"/>
        </w:rPr>
        <w:t>根据处置涉外突发事件的需要和有关规定，为涉外应急处置工作提供必要的经费保障，用于涉外预警和应急救援体系建设，保障重特大涉外突发事件的应急处置支出需要。</w:t>
      </w:r>
    </w:p>
    <w:p w14:paraId="2E392269">
      <w:pPr>
        <w:pStyle w:val="3"/>
        <w:spacing w:line="560" w:lineRule="exact"/>
        <w:ind w:firstLine="0" w:firstLineChars="0"/>
        <w:rPr>
          <w:rFonts w:ascii="Times New Roman" w:hAnsi="Times New Roman" w:eastAsia="楷体_GB2312" w:cs="Times New Roman"/>
          <w:sz w:val="32"/>
        </w:rPr>
      </w:pPr>
      <w:bookmarkStart w:id="1498" w:name="_Toc27277"/>
      <w:r>
        <w:rPr>
          <w:rFonts w:ascii="Times New Roman" w:hAnsi="Times New Roman" w:eastAsia="楷体_GB2312" w:cs="Times New Roman"/>
          <w:sz w:val="32"/>
        </w:rPr>
        <w:t>物资保障</w:t>
      </w:r>
      <w:bookmarkEnd w:id="1498"/>
    </w:p>
    <w:p w14:paraId="0CB34EA0">
      <w:pPr>
        <w:spacing w:line="560" w:lineRule="exact"/>
        <w:ind w:firstLine="632"/>
        <w:rPr>
          <w:rFonts w:ascii="Times New Roman" w:hAnsi="Times New Roman" w:cs="Times New Roman"/>
          <w:sz w:val="32"/>
        </w:rPr>
      </w:pPr>
      <w:r>
        <w:rPr>
          <w:rFonts w:ascii="Times New Roman" w:hAnsi="Times New Roman" w:cs="Times New Roman"/>
          <w:sz w:val="32"/>
        </w:rPr>
        <w:t>（1）各成员单位在救助装备、物资、交通工具、医药、安置场所等方面作必要的储备，确保及时提供充足的物资保障。</w:t>
      </w:r>
    </w:p>
    <w:p w14:paraId="29D3A488">
      <w:pPr>
        <w:spacing w:line="560" w:lineRule="exact"/>
        <w:ind w:firstLine="632"/>
        <w:rPr>
          <w:rFonts w:ascii="Times New Roman" w:hAnsi="Times New Roman" w:cs="Times New Roman"/>
          <w:sz w:val="32"/>
        </w:rPr>
      </w:pPr>
      <w:r>
        <w:rPr>
          <w:rFonts w:ascii="Times New Roman" w:hAnsi="Times New Roman" w:cs="Times New Roman"/>
          <w:sz w:val="32"/>
        </w:rPr>
        <w:t>（2）我</w:t>
      </w:r>
      <w:r>
        <w:rPr>
          <w:rFonts w:hint="eastAsia" w:ascii="Times New Roman" w:hAnsi="Times New Roman" w:cs="Times New Roman"/>
          <w:sz w:val="32"/>
        </w:rPr>
        <w:t>县</w:t>
      </w:r>
      <w:r>
        <w:rPr>
          <w:rFonts w:ascii="Times New Roman" w:hAnsi="Times New Roman" w:cs="Times New Roman"/>
          <w:sz w:val="32"/>
        </w:rPr>
        <w:t>在境外机构必须注意工作和生活场所的安全防范、水电设备、通信设备的安全维修保养，储备包括疫情防控等方面的相应应急物资，加强安保措施。</w:t>
      </w:r>
    </w:p>
    <w:p w14:paraId="70A127F4">
      <w:pPr>
        <w:pStyle w:val="2"/>
        <w:numPr>
          <w:ilvl w:val="0"/>
          <w:numId w:val="235"/>
        </w:numPr>
        <w:tabs>
          <w:tab w:val="left" w:pos="0"/>
        </w:tabs>
        <w:rPr>
          <w:rFonts w:ascii="Times New Roman" w:hAnsi="Times New Roman" w:cs="Times New Roman"/>
          <w:sz w:val="32"/>
        </w:rPr>
      </w:pPr>
      <w:bookmarkStart w:id="1499" w:name="_Toc25231"/>
      <w:r>
        <w:rPr>
          <w:rFonts w:ascii="Times New Roman" w:hAnsi="Times New Roman" w:cs="Times New Roman"/>
          <w:sz w:val="32"/>
        </w:rPr>
        <w:t>预案管理</w:t>
      </w:r>
      <w:bookmarkEnd w:id="1499"/>
    </w:p>
    <w:p w14:paraId="4AC5237C">
      <w:pPr>
        <w:pStyle w:val="3"/>
        <w:spacing w:line="560" w:lineRule="exact"/>
        <w:ind w:firstLine="0" w:firstLineChars="0"/>
        <w:rPr>
          <w:rFonts w:ascii="Times New Roman" w:hAnsi="Times New Roman" w:eastAsia="楷体_GB2312" w:cs="Times New Roman"/>
          <w:sz w:val="32"/>
        </w:rPr>
      </w:pPr>
      <w:bookmarkStart w:id="1500" w:name="_Toc8006"/>
      <w:r>
        <w:rPr>
          <w:rFonts w:ascii="Times New Roman" w:hAnsi="Times New Roman" w:eastAsia="楷体_GB2312" w:cs="Times New Roman"/>
          <w:sz w:val="32"/>
        </w:rPr>
        <w:t>建立健全涉外应急预案</w:t>
      </w:r>
      <w:bookmarkEnd w:id="1500"/>
    </w:p>
    <w:p w14:paraId="5B287F8A">
      <w:pPr>
        <w:spacing w:line="560" w:lineRule="exact"/>
        <w:ind w:firstLine="632"/>
        <w:rPr>
          <w:rFonts w:ascii="Times New Roman" w:hAnsi="Times New Roman" w:cs="Times New Roman"/>
          <w:sz w:val="32"/>
        </w:rPr>
      </w:pPr>
      <w:r>
        <w:rPr>
          <w:rFonts w:ascii="Times New Roman" w:hAnsi="Times New Roman" w:cs="Times New Roman"/>
          <w:sz w:val="32"/>
        </w:rPr>
        <w:t>各涉外应急联动部门应根据涉外工作特点完善本级应急预案，各涉外主管部门应建立健全涉外应急预案，同时督促辖区内或系统内外向型企业根据自身实际建立健全涉外突发事件应急预案。</w:t>
      </w:r>
    </w:p>
    <w:p w14:paraId="309AFCFF">
      <w:pPr>
        <w:pStyle w:val="3"/>
        <w:spacing w:line="560" w:lineRule="exact"/>
        <w:ind w:firstLine="0" w:firstLineChars="0"/>
        <w:rPr>
          <w:rFonts w:ascii="Times New Roman" w:hAnsi="Times New Roman" w:eastAsia="楷体_GB2312" w:cs="Times New Roman"/>
          <w:sz w:val="32"/>
        </w:rPr>
      </w:pPr>
      <w:bookmarkStart w:id="1501" w:name="_Toc27357"/>
      <w:r>
        <w:rPr>
          <w:rFonts w:ascii="Times New Roman" w:hAnsi="Times New Roman" w:eastAsia="楷体_GB2312" w:cs="Times New Roman"/>
          <w:sz w:val="32"/>
        </w:rPr>
        <w:t>应急宣传和教育</w:t>
      </w:r>
      <w:bookmarkEnd w:id="1501"/>
    </w:p>
    <w:p w14:paraId="0D9D9CC9">
      <w:pPr>
        <w:spacing w:line="560" w:lineRule="exact"/>
        <w:ind w:firstLine="632"/>
        <w:rPr>
          <w:rFonts w:ascii="Times New Roman" w:hAnsi="Times New Roman" w:cs="Times New Roman"/>
          <w:sz w:val="32"/>
        </w:rPr>
      </w:pPr>
      <w:r>
        <w:rPr>
          <w:rFonts w:ascii="Times New Roman" w:hAnsi="Times New Roman" w:cs="Times New Roman"/>
          <w:sz w:val="32"/>
        </w:rPr>
        <w:t>各成员单位须加强对涉外突发事件和涉外应急管理工作的宣传教育，普及应急救援基本知识和技能，教育我</w:t>
      </w:r>
      <w:r>
        <w:rPr>
          <w:rFonts w:hint="eastAsia" w:ascii="Times New Roman" w:hAnsi="Times New Roman" w:cs="Times New Roman"/>
          <w:sz w:val="32"/>
        </w:rPr>
        <w:t>县</w:t>
      </w:r>
      <w:r>
        <w:rPr>
          <w:rFonts w:ascii="Times New Roman" w:hAnsi="Times New Roman" w:cs="Times New Roman"/>
          <w:sz w:val="32"/>
        </w:rPr>
        <w:t>公民树立忧患意识、危机意识和应变意识。对出境的我</w:t>
      </w:r>
      <w:r>
        <w:rPr>
          <w:rFonts w:hint="eastAsia" w:ascii="Times New Roman" w:hAnsi="Times New Roman" w:cs="Times New Roman"/>
          <w:sz w:val="32"/>
        </w:rPr>
        <w:t>县</w:t>
      </w:r>
      <w:r>
        <w:rPr>
          <w:rFonts w:ascii="Times New Roman" w:hAnsi="Times New Roman" w:cs="Times New Roman"/>
          <w:sz w:val="32"/>
        </w:rPr>
        <w:t>公民、企业，各</w:t>
      </w:r>
      <w:r>
        <w:rPr>
          <w:rFonts w:hint="eastAsia" w:ascii="Times New Roman" w:hAnsi="Times New Roman" w:cs="Times New Roman"/>
          <w:sz w:val="32"/>
        </w:rPr>
        <w:t>乡镇人民</w:t>
      </w:r>
      <w:r>
        <w:rPr>
          <w:rFonts w:ascii="Times New Roman" w:hAnsi="Times New Roman" w:cs="Times New Roman"/>
          <w:sz w:val="32"/>
        </w:rPr>
        <w:t>政府、</w:t>
      </w:r>
      <w:r>
        <w:rPr>
          <w:rFonts w:hint="eastAsia" w:ascii="Times New Roman" w:hAnsi="Times New Roman" w:cs="Times New Roman"/>
          <w:sz w:val="32"/>
        </w:rPr>
        <w:t>县</w:t>
      </w:r>
      <w:r>
        <w:rPr>
          <w:rFonts w:ascii="Times New Roman" w:hAnsi="Times New Roman" w:cs="Times New Roman"/>
          <w:sz w:val="32"/>
        </w:rPr>
        <w:t>政府相关部门及相关单位要按照规定做好出境前的安全教育和管理工作，加强安全防范意识，特别是要做好境外输入型重大疫情防控工作，提出注意事项，避免或减少我机构和人员遭受损害。</w:t>
      </w:r>
    </w:p>
    <w:p w14:paraId="6A680FEE">
      <w:pPr>
        <w:pStyle w:val="3"/>
        <w:spacing w:line="560" w:lineRule="exact"/>
        <w:ind w:firstLine="0" w:firstLineChars="0"/>
        <w:rPr>
          <w:rFonts w:ascii="Times New Roman" w:hAnsi="Times New Roman" w:eastAsia="楷体_GB2312" w:cs="Times New Roman"/>
          <w:sz w:val="32"/>
        </w:rPr>
      </w:pPr>
      <w:bookmarkStart w:id="1502" w:name="_Toc29454"/>
      <w:r>
        <w:rPr>
          <w:rFonts w:ascii="Times New Roman" w:hAnsi="Times New Roman" w:eastAsia="楷体_GB2312" w:cs="Times New Roman"/>
          <w:sz w:val="32"/>
        </w:rPr>
        <w:t>预案演练</w:t>
      </w:r>
      <w:bookmarkEnd w:id="1502"/>
    </w:p>
    <w:p w14:paraId="4271C611">
      <w:pPr>
        <w:spacing w:line="560" w:lineRule="exact"/>
        <w:ind w:firstLine="632"/>
        <w:rPr>
          <w:rFonts w:ascii="Times New Roman" w:hAnsi="Times New Roman" w:cs="Times New Roman"/>
          <w:sz w:val="32"/>
        </w:rPr>
      </w:pPr>
      <w:r>
        <w:rPr>
          <w:rFonts w:ascii="Times New Roman" w:hAnsi="Times New Roman" w:cs="Times New Roman"/>
          <w:sz w:val="32"/>
        </w:rPr>
        <w:t>各成员单位应加强对涉外应急事件处置工作的研究，制订预案演练计划，适时开展应急模拟演练活动，提高部门协同配合、快速反应能力和应急处置水平，增强预案的针对性和实战性。</w:t>
      </w:r>
    </w:p>
    <w:p w14:paraId="58D3CC02">
      <w:pPr>
        <w:pStyle w:val="3"/>
        <w:spacing w:line="560" w:lineRule="exact"/>
        <w:ind w:firstLine="0" w:firstLineChars="0"/>
        <w:rPr>
          <w:rFonts w:ascii="Times New Roman" w:hAnsi="Times New Roman" w:eastAsia="楷体_GB2312" w:cs="Times New Roman"/>
          <w:sz w:val="32"/>
        </w:rPr>
      </w:pPr>
      <w:bookmarkStart w:id="1503" w:name="_Toc2315"/>
      <w:r>
        <w:rPr>
          <w:rFonts w:ascii="Times New Roman" w:hAnsi="Times New Roman" w:eastAsia="楷体_GB2312" w:cs="Times New Roman"/>
          <w:sz w:val="32"/>
        </w:rPr>
        <w:t>预案更新</w:t>
      </w:r>
      <w:bookmarkEnd w:id="1503"/>
    </w:p>
    <w:p w14:paraId="18D71F20">
      <w:pPr>
        <w:spacing w:line="560" w:lineRule="exact"/>
        <w:ind w:firstLine="632"/>
        <w:rPr>
          <w:rFonts w:ascii="Times New Roman" w:hAnsi="Times New Roman" w:cs="Times New Roman"/>
          <w:sz w:val="32"/>
        </w:rPr>
      </w:pPr>
      <w:r>
        <w:rPr>
          <w:rFonts w:ascii="Times New Roman" w:hAnsi="Times New Roman" w:cs="Times New Roman"/>
          <w:sz w:val="32"/>
        </w:rPr>
        <w:t>县</w:t>
      </w:r>
      <w:r>
        <w:rPr>
          <w:rFonts w:hint="eastAsia" w:ascii="Times New Roman" w:hAnsi="Times New Roman" w:cs="Times New Roman"/>
          <w:sz w:val="32"/>
        </w:rPr>
        <w:t>涉外突发事件</w:t>
      </w:r>
      <w:r>
        <w:rPr>
          <w:rFonts w:ascii="Times New Roman" w:hAnsi="Times New Roman" w:cs="Times New Roman"/>
          <w:sz w:val="32"/>
        </w:rPr>
        <w:t>应急指挥部负责组织对预案进行评估，原则上每3年对本预案评审一次，并按程序进行修订。各乡镇政府可以根据本预案制定相关地区的</w:t>
      </w:r>
      <w:r>
        <w:rPr>
          <w:rFonts w:hint="eastAsia" w:ascii="Times New Roman" w:hAnsi="Times New Roman" w:cs="Times New Roman"/>
          <w:sz w:val="32"/>
        </w:rPr>
        <w:t>涉外突发</w:t>
      </w:r>
      <w:r>
        <w:rPr>
          <w:rFonts w:ascii="Times New Roman" w:hAnsi="Times New Roman" w:cs="Times New Roman"/>
          <w:sz w:val="32"/>
        </w:rPr>
        <w:t>事件应急预案。</w:t>
      </w:r>
    </w:p>
    <w:p w14:paraId="75598F8F">
      <w:pPr>
        <w:spacing w:line="560" w:lineRule="exact"/>
        <w:ind w:firstLine="632"/>
        <w:rPr>
          <w:rFonts w:ascii="Times New Roman" w:hAnsi="Times New Roman" w:cs="Times New Roman"/>
          <w:sz w:val="32"/>
        </w:rPr>
      </w:pPr>
      <w:r>
        <w:rPr>
          <w:rFonts w:ascii="Times New Roman" w:hAnsi="Times New Roman" w:cs="Times New Roman"/>
          <w:sz w:val="32"/>
        </w:rPr>
        <w:t>本预案有下列情形之一的，应当及时修订：</w:t>
      </w:r>
    </w:p>
    <w:p w14:paraId="05A75778">
      <w:pPr>
        <w:spacing w:line="560" w:lineRule="exact"/>
        <w:ind w:firstLine="632"/>
        <w:rPr>
          <w:rFonts w:ascii="Times New Roman" w:hAnsi="Times New Roman" w:cs="Times New Roman"/>
          <w:sz w:val="32"/>
        </w:rPr>
      </w:pPr>
      <w:r>
        <w:rPr>
          <w:rFonts w:ascii="Times New Roman" w:hAnsi="Times New Roman" w:cs="Times New Roman"/>
          <w:sz w:val="32"/>
        </w:rPr>
        <w:t>（1）有关法律、行政法规、规章、标准、上位预案中的有关规定发生变化的；</w:t>
      </w:r>
    </w:p>
    <w:p w14:paraId="674CD370">
      <w:pPr>
        <w:spacing w:line="560" w:lineRule="exact"/>
        <w:ind w:firstLine="632"/>
        <w:rPr>
          <w:rFonts w:ascii="Times New Roman" w:hAnsi="Times New Roman" w:cs="Times New Roman"/>
          <w:sz w:val="32"/>
        </w:rPr>
      </w:pPr>
      <w:r>
        <w:rPr>
          <w:rFonts w:ascii="Times New Roman" w:hAnsi="Times New Roman" w:cs="Times New Roman"/>
          <w:sz w:val="32"/>
        </w:rPr>
        <w:t>（2）应急指挥机构及其职责发生重大调整的；</w:t>
      </w:r>
    </w:p>
    <w:p w14:paraId="6C02CCF9">
      <w:pPr>
        <w:spacing w:line="560" w:lineRule="exact"/>
        <w:ind w:firstLine="632"/>
        <w:rPr>
          <w:rFonts w:ascii="Times New Roman" w:hAnsi="Times New Roman" w:cs="Times New Roman"/>
          <w:sz w:val="32"/>
        </w:rPr>
      </w:pPr>
      <w:r>
        <w:rPr>
          <w:rFonts w:ascii="Times New Roman" w:hAnsi="Times New Roman" w:cs="Times New Roman"/>
          <w:sz w:val="32"/>
        </w:rPr>
        <w:t>（3）面临的风险发生重大变化的；</w:t>
      </w:r>
    </w:p>
    <w:p w14:paraId="570FFA8C">
      <w:pPr>
        <w:spacing w:line="560" w:lineRule="exact"/>
        <w:ind w:firstLine="632"/>
        <w:rPr>
          <w:rFonts w:ascii="Times New Roman" w:hAnsi="Times New Roman" w:cs="Times New Roman"/>
          <w:sz w:val="32"/>
        </w:rPr>
      </w:pPr>
      <w:r>
        <w:rPr>
          <w:rFonts w:ascii="Times New Roman" w:hAnsi="Times New Roman" w:cs="Times New Roman"/>
          <w:sz w:val="32"/>
        </w:rPr>
        <w:t>（4）重要应急资源发生重大变化的；</w:t>
      </w:r>
    </w:p>
    <w:p w14:paraId="6A5147FF">
      <w:pPr>
        <w:spacing w:line="560" w:lineRule="exact"/>
        <w:ind w:firstLine="632"/>
        <w:rPr>
          <w:rFonts w:ascii="Times New Roman" w:hAnsi="Times New Roman" w:cs="Times New Roman"/>
          <w:sz w:val="32"/>
        </w:rPr>
      </w:pPr>
      <w:r>
        <w:rPr>
          <w:rFonts w:ascii="Times New Roman" w:hAnsi="Times New Roman" w:cs="Times New Roman"/>
          <w:sz w:val="32"/>
        </w:rPr>
        <w:t>（5）预案中的其他重要信息发生变化的；</w:t>
      </w:r>
    </w:p>
    <w:p w14:paraId="2954F1F6">
      <w:pPr>
        <w:spacing w:line="560" w:lineRule="exact"/>
        <w:ind w:firstLine="632"/>
        <w:rPr>
          <w:rFonts w:ascii="Times New Roman" w:hAnsi="Times New Roman" w:cs="Times New Roman"/>
          <w:sz w:val="32"/>
        </w:rPr>
      </w:pPr>
      <w:r>
        <w:rPr>
          <w:rFonts w:ascii="Times New Roman" w:hAnsi="Times New Roman" w:cs="Times New Roman"/>
          <w:sz w:val="32"/>
        </w:rPr>
        <w:t>（6）在突发事件实际应对和应急演练中发现问题需要做出重大调整的；</w:t>
      </w:r>
    </w:p>
    <w:p w14:paraId="1D5D0A16">
      <w:pPr>
        <w:spacing w:line="560" w:lineRule="exact"/>
        <w:ind w:firstLine="632"/>
        <w:rPr>
          <w:rFonts w:ascii="Times New Roman" w:hAnsi="Times New Roman" w:cs="Times New Roman"/>
          <w:sz w:val="32"/>
        </w:rPr>
      </w:pPr>
      <w:r>
        <w:rPr>
          <w:rFonts w:ascii="Times New Roman" w:hAnsi="Times New Roman" w:cs="Times New Roman"/>
          <w:sz w:val="32"/>
        </w:rPr>
        <w:t>（7）应急预案制定单位认为应当修订的其他情况。</w:t>
      </w:r>
    </w:p>
    <w:p w14:paraId="56FEE56B">
      <w:pPr>
        <w:pStyle w:val="2"/>
        <w:numPr>
          <w:ilvl w:val="0"/>
          <w:numId w:val="235"/>
        </w:numPr>
        <w:tabs>
          <w:tab w:val="left" w:pos="0"/>
        </w:tabs>
        <w:rPr>
          <w:rFonts w:ascii="Times New Roman" w:hAnsi="Times New Roman" w:cs="Times New Roman"/>
          <w:sz w:val="32"/>
        </w:rPr>
      </w:pPr>
      <w:bookmarkStart w:id="1504" w:name="_Toc11538"/>
      <w:r>
        <w:rPr>
          <w:rFonts w:ascii="Times New Roman" w:hAnsi="Times New Roman" w:cs="Times New Roman"/>
          <w:sz w:val="32"/>
        </w:rPr>
        <w:t>预案解释与实施</w:t>
      </w:r>
      <w:bookmarkEnd w:id="1504"/>
    </w:p>
    <w:p w14:paraId="6BA22A91">
      <w:pPr>
        <w:spacing w:line="560" w:lineRule="exact"/>
        <w:ind w:firstLine="632"/>
        <w:rPr>
          <w:rFonts w:ascii="Times New Roman" w:hAnsi="Times New Roman" w:cs="Times New Roman"/>
          <w:sz w:val="32"/>
        </w:rPr>
      </w:pPr>
      <w:r>
        <w:rPr>
          <w:rFonts w:ascii="Times New Roman" w:hAnsi="Times New Roman" w:cs="Times New Roman"/>
          <w:sz w:val="32"/>
        </w:rPr>
        <w:t>本预案由集贤县涉外突发事件应急指挥部办公室负责解释。</w:t>
      </w:r>
    </w:p>
    <w:p w14:paraId="27C10098">
      <w:pPr>
        <w:spacing w:line="560" w:lineRule="exact"/>
        <w:ind w:firstLine="632"/>
        <w:rPr>
          <w:rFonts w:ascii="Times New Roman" w:hAnsi="Times New Roman" w:cs="Times New Roman"/>
          <w:sz w:val="32"/>
        </w:rPr>
      </w:pPr>
      <w:r>
        <w:rPr>
          <w:rFonts w:ascii="Times New Roman" w:hAnsi="Times New Roman" w:cs="Times New Roman"/>
          <w:sz w:val="32"/>
        </w:rPr>
        <w:t>本预案自发布之日起施行。</w:t>
      </w:r>
    </w:p>
    <w:p w14:paraId="45E88918">
      <w:pPr>
        <w:spacing w:line="560" w:lineRule="exact"/>
        <w:ind w:firstLine="632"/>
        <w:rPr>
          <w:rFonts w:ascii="Times New Roman" w:hAnsi="Times New Roman" w:cs="Times New Roman"/>
          <w:sz w:val="32"/>
        </w:rPr>
      </w:pPr>
      <w:r>
        <w:rPr>
          <w:rFonts w:ascii="Times New Roman" w:hAnsi="Times New Roman" w:cs="Times New Roman"/>
          <w:sz w:val="32"/>
        </w:rPr>
        <w:br w:type="page"/>
      </w:r>
    </w:p>
    <w:p w14:paraId="7D29BBEB">
      <w:pPr>
        <w:pStyle w:val="2"/>
        <w:numPr>
          <w:ilvl w:val="0"/>
          <w:numId w:val="0"/>
        </w:numPr>
        <w:rPr>
          <w:rFonts w:ascii="Times New Roman" w:hAnsi="Times New Roman" w:cs="Times New Roman"/>
          <w:sz w:val="32"/>
        </w:rPr>
      </w:pPr>
      <w:bookmarkStart w:id="1505" w:name="_Toc31220"/>
      <w:r>
        <w:rPr>
          <w:rFonts w:ascii="Times New Roman" w:hAnsi="Times New Roman" w:cs="Times New Roman"/>
          <w:sz w:val="32"/>
        </w:rPr>
        <w:t>附件1：涉外突发事件分级标准</w:t>
      </w:r>
      <w:bookmarkEnd w:id="1505"/>
    </w:p>
    <w:p w14:paraId="734AD576">
      <w:pPr>
        <w:pStyle w:val="20"/>
        <w:widowControl/>
        <w:shd w:val="clear" w:color="auto" w:fill="FFFFFF"/>
        <w:spacing w:beforeAutospacing="0" w:afterAutospacing="0" w:line="560" w:lineRule="exact"/>
        <w:ind w:firstLine="632"/>
        <w:rPr>
          <w:rFonts w:ascii="Times New Roman" w:hAnsi="Times New Roman" w:eastAsia="楷体_GB2312"/>
          <w:b/>
          <w:bCs/>
          <w:color w:val="444444"/>
          <w:sz w:val="32"/>
          <w:shd w:val="clear" w:color="auto" w:fill="FFFFFF"/>
        </w:rPr>
      </w:pPr>
      <w:r>
        <w:rPr>
          <w:rFonts w:ascii="Times New Roman" w:hAnsi="Times New Roman" w:eastAsia="楷体_GB2312"/>
          <w:b/>
          <w:bCs/>
          <w:color w:val="444444"/>
          <w:sz w:val="32"/>
          <w:shd w:val="clear" w:color="auto" w:fill="FFFFFF"/>
        </w:rPr>
        <w:t>（一）特别重大涉外突发事件（I级）</w:t>
      </w:r>
    </w:p>
    <w:p w14:paraId="3B9DEE0F">
      <w:pPr>
        <w:spacing w:line="560" w:lineRule="exact"/>
        <w:ind w:firstLine="632"/>
        <w:rPr>
          <w:rFonts w:ascii="Times New Roman" w:hAnsi="Times New Roman" w:cs="Times New Roman"/>
          <w:sz w:val="32"/>
        </w:rPr>
      </w:pPr>
      <w:r>
        <w:rPr>
          <w:rFonts w:ascii="Times New Roman" w:hAnsi="Times New Roman" w:cs="Times New Roman"/>
          <w:sz w:val="32"/>
        </w:rPr>
        <w:t>有下列情况之一的，为特别重大涉外突发事件</w:t>
      </w:r>
    </w:p>
    <w:p w14:paraId="406B8361">
      <w:pPr>
        <w:spacing w:line="560" w:lineRule="exact"/>
        <w:ind w:firstLine="632"/>
        <w:rPr>
          <w:rFonts w:ascii="Times New Roman" w:hAnsi="Times New Roman" w:cs="Times New Roman"/>
          <w:sz w:val="32"/>
        </w:rPr>
      </w:pPr>
      <w:r>
        <w:rPr>
          <w:rFonts w:ascii="Times New Roman" w:hAnsi="Times New Roman" w:cs="Times New Roman"/>
          <w:sz w:val="32"/>
        </w:rPr>
        <w:t>（1）造成或者可能造成人员死亡（含失踪）30人以上或者重伤100人以上；</w:t>
      </w:r>
    </w:p>
    <w:p w14:paraId="4C72BB08">
      <w:pPr>
        <w:spacing w:line="560" w:lineRule="exact"/>
        <w:ind w:firstLine="632"/>
        <w:rPr>
          <w:rFonts w:ascii="Times New Roman" w:hAnsi="Times New Roman" w:cs="Times New Roman"/>
          <w:sz w:val="32"/>
        </w:rPr>
      </w:pPr>
      <w:r>
        <w:rPr>
          <w:rFonts w:ascii="Times New Roman" w:hAnsi="Times New Roman" w:cs="Times New Roman"/>
          <w:sz w:val="32"/>
        </w:rPr>
        <w:t>（2）对公众健康造成特别重大危害的公共卫生事件（特别重大疫情）；</w:t>
      </w:r>
    </w:p>
    <w:p w14:paraId="4DFF5A0D">
      <w:pPr>
        <w:spacing w:line="560" w:lineRule="exact"/>
        <w:ind w:firstLine="632"/>
        <w:rPr>
          <w:rFonts w:ascii="Times New Roman" w:hAnsi="Times New Roman" w:cs="Times New Roman"/>
          <w:sz w:val="32"/>
        </w:rPr>
      </w:pPr>
      <w:r>
        <w:rPr>
          <w:rFonts w:ascii="Times New Roman" w:hAnsi="Times New Roman" w:cs="Times New Roman"/>
          <w:sz w:val="32"/>
        </w:rPr>
        <w:t>（3）造成或者可能造成我</w:t>
      </w:r>
      <w:r>
        <w:rPr>
          <w:rFonts w:hint="eastAsia" w:ascii="Times New Roman" w:hAnsi="Times New Roman" w:cs="Times New Roman"/>
          <w:sz w:val="32"/>
        </w:rPr>
        <w:t>县</w:t>
      </w:r>
      <w:r>
        <w:rPr>
          <w:rFonts w:ascii="Times New Roman" w:hAnsi="Times New Roman" w:cs="Times New Roman"/>
          <w:sz w:val="32"/>
        </w:rPr>
        <w:t>在境外利益、机构和公民安全及财产特别重大损失，造成</w:t>
      </w:r>
      <w:r>
        <w:rPr>
          <w:rFonts w:hint="eastAsia" w:ascii="Times New Roman" w:hAnsi="Times New Roman" w:cs="Times New Roman"/>
          <w:sz w:val="32"/>
        </w:rPr>
        <w:t>县</w:t>
      </w:r>
      <w:r>
        <w:rPr>
          <w:rFonts w:ascii="Times New Roman" w:hAnsi="Times New Roman" w:cs="Times New Roman"/>
          <w:sz w:val="32"/>
        </w:rPr>
        <w:t>内外国驻华机构、外资企业和外国公民安全及财产特别重大损失，并具有特别重大政治和社会影响；</w:t>
      </w:r>
    </w:p>
    <w:p w14:paraId="610FD66D">
      <w:pPr>
        <w:spacing w:line="560" w:lineRule="exact"/>
        <w:ind w:firstLine="632"/>
        <w:rPr>
          <w:rFonts w:ascii="Times New Roman" w:hAnsi="Times New Roman" w:cs="Times New Roman"/>
          <w:sz w:val="32"/>
        </w:rPr>
      </w:pPr>
      <w:r>
        <w:rPr>
          <w:rFonts w:ascii="Times New Roman" w:hAnsi="Times New Roman" w:cs="Times New Roman"/>
          <w:sz w:val="32"/>
        </w:rPr>
        <w:t>（4）需要迅速撤离我</w:t>
      </w:r>
      <w:r>
        <w:rPr>
          <w:rFonts w:hint="eastAsia" w:ascii="Times New Roman" w:hAnsi="Times New Roman" w:cs="Times New Roman"/>
          <w:sz w:val="32"/>
        </w:rPr>
        <w:t>县</w:t>
      </w:r>
      <w:r>
        <w:rPr>
          <w:rFonts w:ascii="Times New Roman" w:hAnsi="Times New Roman" w:cs="Times New Roman"/>
          <w:sz w:val="32"/>
        </w:rPr>
        <w:t>驻外机构和人员。</w:t>
      </w:r>
    </w:p>
    <w:p w14:paraId="2A8E52B7">
      <w:pPr>
        <w:pStyle w:val="20"/>
        <w:widowControl/>
        <w:shd w:val="clear" w:color="auto" w:fill="FFFFFF"/>
        <w:spacing w:beforeAutospacing="0" w:afterAutospacing="0" w:line="560" w:lineRule="exact"/>
        <w:ind w:firstLine="632"/>
        <w:rPr>
          <w:rFonts w:ascii="Times New Roman" w:hAnsi="Times New Roman" w:eastAsia="楷体_GB2312"/>
          <w:b/>
          <w:bCs/>
          <w:color w:val="444444"/>
          <w:sz w:val="32"/>
          <w:shd w:val="clear" w:color="auto" w:fill="FFFFFF"/>
        </w:rPr>
      </w:pPr>
      <w:r>
        <w:rPr>
          <w:rFonts w:ascii="Times New Roman" w:hAnsi="Times New Roman" w:eastAsia="楷体_GB2312"/>
          <w:b/>
          <w:bCs/>
          <w:color w:val="444444"/>
          <w:sz w:val="32"/>
          <w:shd w:val="clear" w:color="auto" w:fill="FFFFFF"/>
        </w:rPr>
        <w:t>（二</w:t>
      </w:r>
      <w:r>
        <w:rPr>
          <w:rFonts w:hint="eastAsia" w:ascii="Times New Roman" w:hAnsi="Times New Roman" w:eastAsia="楷体_GB2312"/>
          <w:b/>
          <w:bCs/>
          <w:color w:val="444444"/>
          <w:sz w:val="32"/>
          <w:shd w:val="clear" w:color="auto" w:fill="FFFFFF"/>
        </w:rPr>
        <w:t>）</w:t>
      </w:r>
      <w:r>
        <w:rPr>
          <w:rFonts w:ascii="Times New Roman" w:hAnsi="Times New Roman" w:eastAsia="楷体_GB2312"/>
          <w:b/>
          <w:bCs/>
          <w:color w:val="444444"/>
          <w:sz w:val="32"/>
          <w:shd w:val="clear" w:color="auto" w:fill="FFFFFF"/>
        </w:rPr>
        <w:t>重大涉外突发事件（Ⅱ级）</w:t>
      </w:r>
    </w:p>
    <w:p w14:paraId="734B6976">
      <w:pPr>
        <w:spacing w:line="560" w:lineRule="exact"/>
        <w:ind w:firstLine="632"/>
        <w:rPr>
          <w:rFonts w:ascii="Times New Roman" w:hAnsi="Times New Roman" w:cs="Times New Roman"/>
          <w:sz w:val="32"/>
        </w:rPr>
      </w:pPr>
      <w:r>
        <w:rPr>
          <w:rFonts w:ascii="Times New Roman" w:hAnsi="Times New Roman" w:cs="Times New Roman"/>
          <w:sz w:val="32"/>
        </w:rPr>
        <w:t>有下列情况之一的，</w:t>
      </w:r>
      <w:r>
        <w:rPr>
          <w:rFonts w:hint="eastAsia" w:ascii="Times New Roman" w:hAnsi="Times New Roman" w:cs="Times New Roman"/>
          <w:sz w:val="32"/>
        </w:rPr>
        <w:t>为</w:t>
      </w:r>
      <w:r>
        <w:rPr>
          <w:rFonts w:ascii="Times New Roman" w:hAnsi="Times New Roman" w:cs="Times New Roman"/>
          <w:sz w:val="32"/>
        </w:rPr>
        <w:t>重大涉外突发事件：</w:t>
      </w:r>
    </w:p>
    <w:p w14:paraId="16773F2A">
      <w:pPr>
        <w:spacing w:line="560" w:lineRule="exact"/>
        <w:ind w:firstLine="632"/>
        <w:rPr>
          <w:rFonts w:ascii="Times New Roman" w:hAnsi="Times New Roman" w:cs="Times New Roman"/>
          <w:sz w:val="32"/>
        </w:rPr>
      </w:pPr>
      <w:r>
        <w:rPr>
          <w:rFonts w:ascii="Times New Roman" w:hAnsi="Times New Roman" w:cs="Times New Roman"/>
          <w:sz w:val="32"/>
        </w:rPr>
        <w:t>（1）造成或者可能造成人员死亡（含失踪）10人以上、30人以下或者</w:t>
      </w:r>
      <w:r>
        <w:rPr>
          <w:rFonts w:hint="eastAsia" w:ascii="Times New Roman" w:hAnsi="Times New Roman" w:cs="Times New Roman"/>
          <w:sz w:val="32"/>
        </w:rPr>
        <w:t>重伤50人以上、100人以下</w:t>
      </w:r>
      <w:r>
        <w:rPr>
          <w:rFonts w:ascii="Times New Roman" w:hAnsi="Times New Roman" w:cs="Times New Roman"/>
          <w:sz w:val="32"/>
        </w:rPr>
        <w:t>；</w:t>
      </w:r>
    </w:p>
    <w:p w14:paraId="5B3570A2">
      <w:pPr>
        <w:spacing w:line="560" w:lineRule="exact"/>
        <w:ind w:firstLine="632"/>
        <w:rPr>
          <w:rFonts w:ascii="Times New Roman" w:hAnsi="Times New Roman" w:cs="Times New Roman"/>
          <w:sz w:val="32"/>
        </w:rPr>
      </w:pPr>
      <w:r>
        <w:rPr>
          <w:rFonts w:ascii="Times New Roman" w:hAnsi="Times New Roman" w:cs="Times New Roman"/>
          <w:sz w:val="32"/>
        </w:rPr>
        <w:t>（2）发生重大公共卫生事件（重大传染性疫情）；</w:t>
      </w:r>
    </w:p>
    <w:p w14:paraId="22D4905A">
      <w:pPr>
        <w:spacing w:line="560" w:lineRule="exact"/>
        <w:ind w:firstLine="632"/>
        <w:rPr>
          <w:rFonts w:ascii="Times New Roman" w:hAnsi="Times New Roman" w:cs="Times New Roman"/>
          <w:sz w:val="32"/>
        </w:rPr>
      </w:pPr>
      <w:r>
        <w:rPr>
          <w:rFonts w:ascii="Times New Roman" w:hAnsi="Times New Roman" w:cs="Times New Roman"/>
          <w:sz w:val="32"/>
        </w:rPr>
        <w:t>（3）造成或可能造成我</w:t>
      </w:r>
      <w:r>
        <w:rPr>
          <w:rFonts w:hint="eastAsia" w:ascii="Times New Roman" w:hAnsi="Times New Roman" w:cs="Times New Roman"/>
          <w:sz w:val="32"/>
        </w:rPr>
        <w:t>县</w:t>
      </w:r>
      <w:r>
        <w:rPr>
          <w:rFonts w:ascii="Times New Roman" w:hAnsi="Times New Roman" w:cs="Times New Roman"/>
          <w:sz w:val="32"/>
        </w:rPr>
        <w:t>在境外利益、机构和公民安全及财产重大损失，造成</w:t>
      </w:r>
      <w:r>
        <w:rPr>
          <w:rFonts w:hint="eastAsia" w:ascii="Times New Roman" w:hAnsi="Times New Roman" w:cs="Times New Roman"/>
          <w:sz w:val="32"/>
        </w:rPr>
        <w:t>县</w:t>
      </w:r>
      <w:r>
        <w:rPr>
          <w:rFonts w:ascii="Times New Roman" w:hAnsi="Times New Roman" w:cs="Times New Roman"/>
          <w:sz w:val="32"/>
        </w:rPr>
        <w:t>内外国驻华机构、外资企业和外国公民安全及财产重大损失，并具有重大政治和社会影响；</w:t>
      </w:r>
    </w:p>
    <w:p w14:paraId="4374F7D6">
      <w:pPr>
        <w:spacing w:line="560" w:lineRule="exact"/>
        <w:ind w:firstLine="632"/>
        <w:rPr>
          <w:rFonts w:ascii="Times New Roman" w:hAnsi="Times New Roman" w:cs="Times New Roman"/>
          <w:sz w:val="32"/>
        </w:rPr>
      </w:pPr>
      <w:r>
        <w:rPr>
          <w:rFonts w:ascii="Times New Roman" w:hAnsi="Times New Roman" w:cs="Times New Roman"/>
          <w:sz w:val="32"/>
        </w:rPr>
        <w:t>（4）需要尽快撤离我</w:t>
      </w:r>
      <w:r>
        <w:rPr>
          <w:rFonts w:hint="eastAsia" w:ascii="Times New Roman" w:hAnsi="Times New Roman" w:cs="Times New Roman"/>
          <w:sz w:val="32"/>
        </w:rPr>
        <w:t>县</w:t>
      </w:r>
      <w:r>
        <w:rPr>
          <w:rFonts w:ascii="Times New Roman" w:hAnsi="Times New Roman" w:cs="Times New Roman"/>
          <w:sz w:val="32"/>
        </w:rPr>
        <w:t>驻外机构和人员。</w:t>
      </w:r>
    </w:p>
    <w:p w14:paraId="4B063256">
      <w:pPr>
        <w:pStyle w:val="20"/>
        <w:widowControl/>
        <w:shd w:val="clear" w:color="auto" w:fill="FFFFFF"/>
        <w:spacing w:beforeAutospacing="0" w:afterAutospacing="0" w:line="560" w:lineRule="exact"/>
        <w:ind w:firstLine="632"/>
        <w:rPr>
          <w:rFonts w:ascii="Times New Roman" w:hAnsi="Times New Roman" w:eastAsia="楷体_GB2312"/>
          <w:b/>
          <w:bCs/>
          <w:color w:val="444444"/>
          <w:sz w:val="32"/>
          <w:shd w:val="clear" w:color="auto" w:fill="FFFFFF"/>
        </w:rPr>
      </w:pPr>
      <w:r>
        <w:rPr>
          <w:rFonts w:ascii="Times New Roman" w:hAnsi="Times New Roman" w:eastAsia="楷体_GB2312"/>
          <w:b/>
          <w:bCs/>
          <w:color w:val="444444"/>
          <w:sz w:val="32"/>
          <w:shd w:val="clear" w:color="auto" w:fill="FFFFFF"/>
        </w:rPr>
        <w:t>（三）较大涉外突发事件（Ⅲ级）</w:t>
      </w:r>
    </w:p>
    <w:p w14:paraId="5D754E21">
      <w:pPr>
        <w:spacing w:line="560" w:lineRule="exact"/>
        <w:ind w:firstLine="632"/>
        <w:rPr>
          <w:rFonts w:ascii="Times New Roman" w:hAnsi="Times New Roman" w:cs="Times New Roman"/>
          <w:sz w:val="32"/>
        </w:rPr>
      </w:pPr>
      <w:r>
        <w:rPr>
          <w:rFonts w:ascii="Times New Roman" w:hAnsi="Times New Roman" w:cs="Times New Roman"/>
          <w:sz w:val="32"/>
        </w:rPr>
        <w:t>有下列情况之一的，为较大涉外突发事件：</w:t>
      </w:r>
    </w:p>
    <w:p w14:paraId="506380C7">
      <w:pPr>
        <w:spacing w:line="560" w:lineRule="exact"/>
        <w:ind w:firstLine="632"/>
        <w:rPr>
          <w:rFonts w:ascii="Times New Roman" w:hAnsi="Times New Roman" w:cs="Times New Roman"/>
          <w:sz w:val="32"/>
        </w:rPr>
      </w:pPr>
      <w:r>
        <w:rPr>
          <w:rFonts w:ascii="Times New Roman" w:hAnsi="Times New Roman" w:cs="Times New Roman"/>
          <w:sz w:val="32"/>
        </w:rPr>
        <w:t>（1）造成或者可能造成人员死亡（含失踪）3人以上、10人以下或者</w:t>
      </w:r>
      <w:r>
        <w:rPr>
          <w:rFonts w:hint="eastAsia" w:ascii="Times New Roman" w:hAnsi="Times New Roman" w:cs="Times New Roman"/>
          <w:sz w:val="32"/>
        </w:rPr>
        <w:t>重伤10人以上、50人以下</w:t>
      </w:r>
      <w:r>
        <w:rPr>
          <w:rFonts w:ascii="Times New Roman" w:hAnsi="Times New Roman" w:cs="Times New Roman"/>
          <w:sz w:val="32"/>
        </w:rPr>
        <w:t>；</w:t>
      </w:r>
    </w:p>
    <w:p w14:paraId="63FD7A46">
      <w:pPr>
        <w:spacing w:line="560" w:lineRule="exact"/>
        <w:ind w:firstLine="632"/>
        <w:rPr>
          <w:rFonts w:ascii="Times New Roman" w:hAnsi="Times New Roman" w:cs="Times New Roman"/>
          <w:sz w:val="32"/>
        </w:rPr>
      </w:pPr>
      <w:r>
        <w:rPr>
          <w:rFonts w:ascii="Times New Roman" w:hAnsi="Times New Roman" w:cs="Times New Roman"/>
          <w:sz w:val="32"/>
        </w:rPr>
        <w:t>（2）发生较大公共卫生事件（较大传染性疫情）；</w:t>
      </w:r>
    </w:p>
    <w:p w14:paraId="2A8F4405">
      <w:pPr>
        <w:spacing w:line="560" w:lineRule="exact"/>
        <w:ind w:firstLine="632"/>
        <w:rPr>
          <w:rFonts w:ascii="Times New Roman" w:hAnsi="Times New Roman" w:cs="Times New Roman"/>
          <w:sz w:val="32"/>
        </w:rPr>
      </w:pPr>
      <w:r>
        <w:rPr>
          <w:rFonts w:ascii="Times New Roman" w:hAnsi="Times New Roman" w:cs="Times New Roman"/>
          <w:sz w:val="32"/>
        </w:rPr>
        <w:t>（3）造成或可能造成我</w:t>
      </w:r>
      <w:r>
        <w:rPr>
          <w:rFonts w:hint="eastAsia" w:ascii="Times New Roman" w:hAnsi="Times New Roman" w:cs="Times New Roman"/>
          <w:sz w:val="32"/>
        </w:rPr>
        <w:t>县</w:t>
      </w:r>
      <w:r>
        <w:rPr>
          <w:rFonts w:ascii="Times New Roman" w:hAnsi="Times New Roman" w:cs="Times New Roman"/>
          <w:sz w:val="32"/>
        </w:rPr>
        <w:t>在境外利益、机构和公民安全及财产较大损失，造成</w:t>
      </w:r>
      <w:r>
        <w:rPr>
          <w:rFonts w:hint="eastAsia" w:ascii="Times New Roman" w:hAnsi="Times New Roman" w:cs="Times New Roman"/>
          <w:sz w:val="32"/>
        </w:rPr>
        <w:t>县</w:t>
      </w:r>
      <w:r>
        <w:rPr>
          <w:rFonts w:ascii="Times New Roman" w:hAnsi="Times New Roman" w:cs="Times New Roman"/>
          <w:sz w:val="32"/>
        </w:rPr>
        <w:t>内外国驻华机构、外资企业和外国公民安全及财产较大损失，并具有较大政治和社会影响。</w:t>
      </w:r>
    </w:p>
    <w:p w14:paraId="34CF6AD0">
      <w:pPr>
        <w:pStyle w:val="20"/>
        <w:widowControl/>
        <w:shd w:val="clear" w:color="auto" w:fill="FFFFFF"/>
        <w:spacing w:beforeAutospacing="0" w:afterAutospacing="0" w:line="560" w:lineRule="exact"/>
        <w:ind w:firstLine="632"/>
        <w:rPr>
          <w:rFonts w:ascii="Times New Roman" w:hAnsi="Times New Roman" w:eastAsia="楷体_GB2312"/>
          <w:b/>
          <w:bCs/>
          <w:color w:val="444444"/>
          <w:sz w:val="32"/>
          <w:shd w:val="clear" w:color="auto" w:fill="FFFFFF"/>
        </w:rPr>
      </w:pPr>
      <w:r>
        <w:rPr>
          <w:rFonts w:ascii="Times New Roman" w:hAnsi="Times New Roman" w:eastAsia="楷体_GB2312"/>
          <w:b/>
          <w:bCs/>
          <w:color w:val="444444"/>
          <w:sz w:val="32"/>
          <w:shd w:val="clear" w:color="auto" w:fill="FFFFFF"/>
        </w:rPr>
        <w:t>（四）一般涉外突发事件（Ⅳ级）</w:t>
      </w:r>
    </w:p>
    <w:p w14:paraId="294F2810">
      <w:pPr>
        <w:spacing w:line="560" w:lineRule="exact"/>
        <w:ind w:firstLine="632"/>
        <w:rPr>
          <w:rFonts w:ascii="Times New Roman" w:hAnsi="Times New Roman" w:cs="Times New Roman"/>
          <w:sz w:val="32"/>
        </w:rPr>
      </w:pPr>
      <w:r>
        <w:rPr>
          <w:rFonts w:ascii="Times New Roman" w:hAnsi="Times New Roman" w:cs="Times New Roman"/>
          <w:sz w:val="32"/>
        </w:rPr>
        <w:t>（1）造成或者可能造成人员死亡（含失踪）3人以下或者</w:t>
      </w:r>
      <w:r>
        <w:rPr>
          <w:rFonts w:hint="eastAsia" w:ascii="Times New Roman" w:hAnsi="Times New Roman" w:cs="Times New Roman"/>
          <w:sz w:val="32"/>
        </w:rPr>
        <w:t>重伤10人</w:t>
      </w:r>
      <w:r>
        <w:rPr>
          <w:rFonts w:ascii="Times New Roman" w:hAnsi="Times New Roman" w:cs="Times New Roman"/>
          <w:sz w:val="32"/>
        </w:rPr>
        <w:t>以下；</w:t>
      </w:r>
    </w:p>
    <w:p w14:paraId="5FF2457F">
      <w:pPr>
        <w:spacing w:line="560" w:lineRule="exact"/>
        <w:ind w:firstLine="632"/>
        <w:rPr>
          <w:rFonts w:ascii="Times New Roman" w:hAnsi="Times New Roman" w:cs="Times New Roman"/>
          <w:sz w:val="32"/>
        </w:rPr>
      </w:pPr>
      <w:r>
        <w:rPr>
          <w:rFonts w:ascii="Times New Roman" w:hAnsi="Times New Roman" w:cs="Times New Roman"/>
          <w:sz w:val="32"/>
        </w:rPr>
        <w:t>（2）发生一般公共卫生事件（传染性疫情）；</w:t>
      </w:r>
    </w:p>
    <w:p w14:paraId="03A73E71">
      <w:pPr>
        <w:spacing w:line="560" w:lineRule="exact"/>
        <w:ind w:firstLine="632"/>
        <w:rPr>
          <w:rFonts w:ascii="Times New Roman" w:hAnsi="Times New Roman" w:cs="Times New Roman"/>
          <w:sz w:val="32"/>
        </w:rPr>
      </w:pPr>
      <w:r>
        <w:rPr>
          <w:rFonts w:ascii="Times New Roman" w:hAnsi="Times New Roman" w:cs="Times New Roman"/>
          <w:sz w:val="32"/>
        </w:rPr>
        <w:t>（3）造成或可能造成我</w:t>
      </w:r>
      <w:r>
        <w:rPr>
          <w:rFonts w:hint="eastAsia" w:ascii="Times New Roman" w:hAnsi="Times New Roman" w:cs="Times New Roman"/>
          <w:sz w:val="32"/>
        </w:rPr>
        <w:t>县</w:t>
      </w:r>
      <w:r>
        <w:rPr>
          <w:rFonts w:ascii="Times New Roman" w:hAnsi="Times New Roman" w:cs="Times New Roman"/>
          <w:sz w:val="32"/>
        </w:rPr>
        <w:t>在境外利益、机构和公民安全及财产一定损失，造成</w:t>
      </w:r>
      <w:r>
        <w:rPr>
          <w:rFonts w:hint="eastAsia" w:ascii="Times New Roman" w:hAnsi="Times New Roman" w:cs="Times New Roman"/>
          <w:sz w:val="32"/>
        </w:rPr>
        <w:t>县</w:t>
      </w:r>
      <w:r>
        <w:rPr>
          <w:rFonts w:ascii="Times New Roman" w:hAnsi="Times New Roman" w:cs="Times New Roman"/>
          <w:sz w:val="32"/>
        </w:rPr>
        <w:t>内外国驻华机构、外资企业和外国公民安全及财产一定损失，并具有一定政治和社会影响。</w:t>
      </w:r>
    </w:p>
    <w:p w14:paraId="6F89C235">
      <w:pPr>
        <w:spacing w:line="560" w:lineRule="exact"/>
        <w:ind w:firstLine="632"/>
        <w:rPr>
          <w:rFonts w:ascii="Times New Roman" w:hAnsi="Times New Roman" w:cs="Times New Roman"/>
          <w:sz w:val="32"/>
        </w:rPr>
      </w:pPr>
      <w:r>
        <w:rPr>
          <w:rFonts w:ascii="Times New Roman" w:hAnsi="Times New Roman" w:cs="Times New Roman"/>
          <w:sz w:val="32"/>
        </w:rPr>
        <w:t>上述分级标准有关数量的表述中，“以上”含本数，“以下”不含本数。</w:t>
      </w:r>
    </w:p>
    <w:p w14:paraId="60AF3BAB">
      <w:pPr>
        <w:pStyle w:val="15"/>
        <w:ind w:left="552" w:firstLine="552"/>
        <w:rPr>
          <w:rFonts w:ascii="Times New Roman" w:hAnsi="Times New Roman" w:cs="Times New Roman"/>
        </w:rPr>
      </w:pPr>
    </w:p>
    <w:p w14:paraId="40BAD25B">
      <w:pPr>
        <w:pStyle w:val="15"/>
        <w:ind w:left="0" w:leftChars="0" w:firstLine="0" w:firstLineChars="0"/>
        <w:rPr>
          <w:rFonts w:ascii="Times New Roman" w:hAnsi="Times New Roman" w:cs="Times New Roman"/>
        </w:rPr>
        <w:sectPr>
          <w:footerReference r:id="rId161" w:type="default"/>
          <w:footerReference r:id="rId162" w:type="even"/>
          <w:pgSz w:w="11906" w:h="16838"/>
          <w:pgMar w:top="2098" w:right="1474" w:bottom="1984" w:left="1587" w:header="624" w:footer="1134" w:gutter="0"/>
          <w:pgNumType w:start="1"/>
          <w:cols w:space="0" w:num="1"/>
          <w:docGrid w:type="linesAndChars" w:linePitch="579" w:charSpace="-842"/>
        </w:sectPr>
      </w:pPr>
    </w:p>
    <w:p w14:paraId="7CF37E99">
      <w:pPr>
        <w:ind w:firstLine="552"/>
        <w:rPr>
          <w:rFonts w:ascii="Times New Roman" w:hAnsi="Times New Roman" w:cs="Times New Roman"/>
        </w:rPr>
      </w:pPr>
    </w:p>
    <w:p w14:paraId="38E09EA4">
      <w:pPr>
        <w:ind w:firstLine="552"/>
        <w:rPr>
          <w:rFonts w:ascii="Times New Roman" w:hAnsi="Times New Roman" w:cs="Times New Roman"/>
        </w:rPr>
      </w:pPr>
    </w:p>
    <w:p w14:paraId="48955496">
      <w:pPr>
        <w:pStyle w:val="13"/>
        <w:ind w:firstLine="632"/>
        <w:rPr>
          <w:rFonts w:ascii="Times New Roman" w:hAnsi="Times New Roman" w:cs="Times New Roman"/>
        </w:rPr>
      </w:pPr>
    </w:p>
    <w:p w14:paraId="5D836600">
      <w:pPr>
        <w:tabs>
          <w:tab w:val="left" w:pos="3631"/>
        </w:tabs>
        <w:ind w:firstLine="552"/>
        <w:rPr>
          <w:rFonts w:hint="eastAsia" w:ascii="Times New Roman" w:hAnsi="Times New Roman" w:eastAsia="仿宋_GB2312" w:cs="Times New Roman"/>
          <w:lang w:eastAsia="zh-CN"/>
        </w:rPr>
      </w:pPr>
      <w:r>
        <w:rPr>
          <w:rFonts w:hint="eastAsia" w:ascii="Times New Roman" w:hAnsi="Times New Roman" w:cs="Times New Roman"/>
          <w:lang w:eastAsia="zh-CN"/>
        </w:rPr>
        <w:tab/>
      </w:r>
    </w:p>
    <w:p w14:paraId="154983B0">
      <w:pPr>
        <w:ind w:firstLine="0" w:firstLineChars="0"/>
        <w:jc w:val="center"/>
        <w:rPr>
          <w:rFonts w:ascii="Times New Roman" w:hAnsi="Times New Roman" w:eastAsia="楷体" w:cs="Times New Roman"/>
          <w:b/>
          <w:bCs/>
          <w:sz w:val="72"/>
          <w:szCs w:val="72"/>
        </w:rPr>
      </w:pPr>
      <w:r>
        <w:rPr>
          <w:rFonts w:ascii="Times New Roman" w:hAnsi="Times New Roman" w:eastAsia="方正小标宋简体" w:cs="Times New Roman"/>
          <w:bCs/>
          <w:color w:val="000000"/>
          <w:spacing w:val="-6"/>
          <w:kern w:val="0"/>
          <w:sz w:val="52"/>
          <w:szCs w:val="52"/>
          <w:lang w:bidi="ar"/>
        </w:rPr>
        <w:t>集贤县突发事件治安维护应急保障预案</w:t>
      </w:r>
    </w:p>
    <w:p w14:paraId="5F3791F5">
      <w:pPr>
        <w:pStyle w:val="11"/>
        <w:ind w:firstLine="0" w:firstLineChars="0"/>
        <w:jc w:val="center"/>
        <w:rPr>
          <w:rFonts w:ascii="Times New Roman" w:hAnsi="Times New Roman" w:eastAsia="楷体_GB2312" w:cs="Times New Roman"/>
          <w:b/>
          <w:sz w:val="52"/>
          <w:szCs w:val="52"/>
        </w:rPr>
      </w:pPr>
      <w:r>
        <w:rPr>
          <w:rFonts w:hint="eastAsia" w:ascii="仿宋_GB2312" w:hAnsi="仿宋_GB2312" w:cs="仿宋_GB2312"/>
          <w:bCs/>
          <w:sz w:val="48"/>
          <w:szCs w:val="48"/>
        </w:rPr>
        <w:t>（修订稿）</w:t>
      </w:r>
    </w:p>
    <w:p w14:paraId="628194CB">
      <w:pPr>
        <w:pStyle w:val="11"/>
        <w:ind w:firstLine="0" w:firstLineChars="0"/>
        <w:jc w:val="center"/>
        <w:rPr>
          <w:rFonts w:ascii="Times New Roman" w:hAnsi="Times New Roman" w:eastAsia="黑体" w:cs="Times New Roman"/>
          <w:sz w:val="52"/>
          <w:szCs w:val="52"/>
        </w:rPr>
      </w:pPr>
    </w:p>
    <w:p w14:paraId="44929192">
      <w:pPr>
        <w:pStyle w:val="11"/>
        <w:ind w:firstLine="0" w:firstLineChars="0"/>
        <w:jc w:val="center"/>
        <w:rPr>
          <w:rFonts w:ascii="Times New Roman" w:hAnsi="Times New Roman" w:eastAsia="黑体" w:cs="Times New Roman"/>
          <w:sz w:val="52"/>
          <w:szCs w:val="52"/>
        </w:rPr>
      </w:pPr>
    </w:p>
    <w:p w14:paraId="30250474">
      <w:pPr>
        <w:pStyle w:val="11"/>
        <w:ind w:firstLine="0" w:firstLineChars="0"/>
        <w:jc w:val="center"/>
        <w:rPr>
          <w:rFonts w:ascii="Times New Roman" w:hAnsi="Times New Roman" w:eastAsia="黑体" w:cs="Times New Roman"/>
          <w:sz w:val="52"/>
          <w:szCs w:val="52"/>
        </w:rPr>
      </w:pPr>
    </w:p>
    <w:p w14:paraId="19E90084">
      <w:pPr>
        <w:pStyle w:val="11"/>
        <w:ind w:firstLine="0" w:firstLineChars="0"/>
        <w:jc w:val="center"/>
        <w:rPr>
          <w:rFonts w:ascii="Times New Roman" w:hAnsi="Times New Roman" w:eastAsia="黑体" w:cs="Times New Roman"/>
          <w:sz w:val="52"/>
          <w:szCs w:val="52"/>
        </w:rPr>
      </w:pPr>
    </w:p>
    <w:p w14:paraId="1C1BD711">
      <w:pPr>
        <w:pStyle w:val="11"/>
        <w:ind w:firstLine="0" w:firstLineChars="0"/>
        <w:jc w:val="center"/>
        <w:rPr>
          <w:rFonts w:ascii="Times New Roman" w:hAnsi="Times New Roman" w:eastAsia="楷体_GB2312" w:cs="Times New Roman"/>
          <w:spacing w:val="-12"/>
          <w:sz w:val="44"/>
          <w:szCs w:val="44"/>
        </w:rPr>
      </w:pPr>
    </w:p>
    <w:p w14:paraId="1B123733">
      <w:pPr>
        <w:pStyle w:val="11"/>
        <w:ind w:firstLine="0" w:firstLineChars="0"/>
        <w:jc w:val="center"/>
        <w:rPr>
          <w:rFonts w:ascii="Times New Roman" w:hAnsi="Times New Roman" w:eastAsia="楷体_GB2312" w:cs="Times New Roman"/>
          <w:spacing w:val="-12"/>
          <w:sz w:val="44"/>
          <w:szCs w:val="44"/>
        </w:rPr>
      </w:pPr>
    </w:p>
    <w:p w14:paraId="0B629647">
      <w:pPr>
        <w:pStyle w:val="11"/>
        <w:ind w:firstLine="0" w:firstLineChars="0"/>
        <w:jc w:val="center"/>
        <w:rPr>
          <w:rFonts w:ascii="Times New Roman" w:hAnsi="Times New Roman" w:eastAsia="楷体_GB2312" w:cs="Times New Roman"/>
          <w:spacing w:val="-12"/>
          <w:sz w:val="44"/>
          <w:szCs w:val="44"/>
        </w:rPr>
      </w:pPr>
    </w:p>
    <w:p w14:paraId="4A95E60A">
      <w:pPr>
        <w:pStyle w:val="11"/>
        <w:ind w:firstLine="0" w:firstLineChars="0"/>
        <w:jc w:val="center"/>
        <w:rPr>
          <w:rFonts w:ascii="Times New Roman" w:hAnsi="Times New Roman" w:eastAsia="楷体_GB2312" w:cs="Times New Roman"/>
          <w:spacing w:val="-12"/>
          <w:sz w:val="44"/>
          <w:szCs w:val="44"/>
        </w:rPr>
      </w:pPr>
    </w:p>
    <w:p w14:paraId="7E44D3D0">
      <w:pPr>
        <w:ind w:firstLine="0" w:firstLineChars="0"/>
        <w:jc w:val="center"/>
        <w:rPr>
          <w:rFonts w:ascii="Times New Roman" w:hAnsi="Times New Roman" w:cs="Times New Roman"/>
          <w:bCs/>
          <w:spacing w:val="-6"/>
          <w:sz w:val="36"/>
          <w:szCs w:val="24"/>
          <w:lang w:bidi="ar"/>
        </w:rPr>
      </w:pPr>
      <w:r>
        <w:rPr>
          <w:rFonts w:ascii="Times New Roman" w:hAnsi="Times New Roman" w:cs="Times New Roman"/>
          <w:bCs/>
          <w:spacing w:val="-6"/>
          <w:sz w:val="36"/>
          <w:szCs w:val="24"/>
          <w:lang w:bidi="ar"/>
        </w:rPr>
        <w:t>集贤县人民政府 编制</w:t>
      </w:r>
    </w:p>
    <w:p w14:paraId="061FE281">
      <w:pPr>
        <w:ind w:firstLine="0" w:firstLineChars="0"/>
        <w:jc w:val="center"/>
        <w:rPr>
          <w:rFonts w:ascii="Times New Roman" w:hAnsi="Times New Roman" w:cs="Times New Roman"/>
          <w:bCs/>
          <w:spacing w:val="-6"/>
          <w:sz w:val="36"/>
          <w:szCs w:val="24"/>
          <w:lang w:bidi="ar"/>
        </w:rPr>
      </w:pPr>
      <w:r>
        <w:rPr>
          <w:rFonts w:ascii="Times New Roman" w:hAnsi="Times New Roman" w:cs="Times New Roman"/>
          <w:bCs/>
          <w:spacing w:val="-6"/>
          <w:sz w:val="36"/>
          <w:szCs w:val="24"/>
          <w:lang w:bidi="ar"/>
        </w:rPr>
        <w:t>2025年5月</w:t>
      </w:r>
    </w:p>
    <w:p w14:paraId="030555F8">
      <w:pPr>
        <w:ind w:firstLine="688"/>
        <w:rPr>
          <w:rFonts w:ascii="Times New Roman" w:hAnsi="Times New Roman" w:cs="Times New Roman"/>
          <w:bCs/>
          <w:spacing w:val="-6"/>
          <w:sz w:val="36"/>
          <w:szCs w:val="24"/>
          <w:lang w:bidi="ar"/>
        </w:rPr>
      </w:pPr>
      <w:r>
        <w:rPr>
          <w:rFonts w:ascii="Times New Roman" w:hAnsi="Times New Roman" w:cs="Times New Roman"/>
          <w:bCs/>
          <w:spacing w:val="-6"/>
          <w:sz w:val="36"/>
          <w:szCs w:val="24"/>
          <w:lang w:bidi="ar"/>
        </w:rPr>
        <w:br w:type="page"/>
      </w:r>
    </w:p>
    <w:sdt>
      <w:sdtPr>
        <w:rPr>
          <w:rFonts w:ascii="Times New Roman" w:hAnsi="Times New Roman" w:eastAsia="微软雅黑" w:cs="Times New Roman"/>
          <w:b/>
          <w:bCs/>
          <w:sz w:val="36"/>
          <w:szCs w:val="36"/>
        </w:rPr>
        <w:id w:val="147459272"/>
        <w15:color w:val="DBDBDB"/>
        <w:docPartObj>
          <w:docPartGallery w:val="Table of Contents"/>
          <w:docPartUnique/>
        </w:docPartObj>
      </w:sdtPr>
      <w:sdtEndPr>
        <w:rPr>
          <w:rFonts w:ascii="Times New Roman" w:hAnsi="Times New Roman" w:eastAsia="仿宋" w:cs="Times New Roman"/>
          <w:b/>
          <w:bCs/>
          <w:sz w:val="32"/>
          <w:szCs w:val="32"/>
        </w:rPr>
      </w:sdtEndPr>
      <w:sdtContent>
        <w:p w14:paraId="7DF0C24B">
          <w:pPr>
            <w:ind w:firstLine="0" w:firstLineChars="0"/>
            <w:jc w:val="center"/>
            <w:rPr>
              <w:rFonts w:ascii="Times New Roman" w:hAnsi="Times New Roman" w:cs="Times New Roman"/>
            </w:rPr>
          </w:pPr>
          <w:r>
            <w:rPr>
              <w:rFonts w:ascii="Times New Roman" w:hAnsi="Times New Roman" w:eastAsia="微软雅黑" w:cs="Times New Roman"/>
              <w:b/>
              <w:bCs/>
              <w:sz w:val="36"/>
              <w:szCs w:val="36"/>
            </w:rPr>
            <w:t>目  录</w:t>
          </w:r>
        </w:p>
        <w:p w14:paraId="2F790F3B">
          <w:pPr>
            <w:pStyle w:val="18"/>
            <w:rPr>
              <w:rFonts w:ascii="Times New Roman" w:hAnsi="Times New Roman" w:cs="Times New Roman"/>
              <w:sz w:val="32"/>
            </w:rPr>
          </w:pPr>
          <w:r>
            <w:rPr>
              <w:rFonts w:ascii="Times New Roman" w:hAnsi="Times New Roman" w:cs="Times New Roman"/>
              <w:sz w:val="32"/>
            </w:rPr>
            <w:fldChar w:fldCharType="begin"/>
          </w:r>
          <w:r>
            <w:rPr>
              <w:rFonts w:ascii="Times New Roman" w:hAnsi="Times New Roman" w:cs="Times New Roman"/>
              <w:sz w:val="32"/>
            </w:rPr>
            <w:instrText xml:space="preserve">TOC \o "1-2" \h \u </w:instrText>
          </w:r>
          <w:r>
            <w:rPr>
              <w:rFonts w:ascii="Times New Roman" w:hAnsi="Times New Roman" w:cs="Times New Roman"/>
              <w:sz w:val="32"/>
            </w:rPr>
            <w:fldChar w:fldCharType="separate"/>
          </w:r>
          <w:r>
            <w:fldChar w:fldCharType="begin"/>
          </w:r>
          <w:r>
            <w:instrText xml:space="preserve"> HYPERLINK \l "_Toc12445" </w:instrText>
          </w:r>
          <w:r>
            <w:fldChar w:fldCharType="separate"/>
          </w:r>
          <w:r>
            <w:rPr>
              <w:rFonts w:ascii="Times New Roman" w:hAnsi="Times New Roman" w:eastAsia="仿宋" w:cs="Times New Roman"/>
              <w:sz w:val="32"/>
            </w:rPr>
            <w:t xml:space="preserve">1 </w:t>
          </w:r>
          <w:r>
            <w:rPr>
              <w:rFonts w:ascii="Times New Roman" w:hAnsi="Times New Roman" w:cs="Times New Roman"/>
              <w:sz w:val="32"/>
            </w:rPr>
            <w:t>总则</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_Toc12445 \h </w:instrText>
          </w:r>
          <w:r>
            <w:rPr>
              <w:rFonts w:ascii="Times New Roman" w:hAnsi="Times New Roman" w:cs="Times New Roman"/>
              <w:sz w:val="32"/>
            </w:rPr>
            <w:fldChar w:fldCharType="separate"/>
          </w:r>
          <w:r>
            <w:rPr>
              <w:rFonts w:ascii="Times New Roman" w:hAnsi="Times New Roman" w:cs="Times New Roman"/>
              <w:sz w:val="32"/>
            </w:rPr>
            <w:t>1</w:t>
          </w:r>
          <w:r>
            <w:rPr>
              <w:rFonts w:ascii="Times New Roman" w:hAnsi="Times New Roman" w:cs="Times New Roman"/>
              <w:sz w:val="32"/>
            </w:rPr>
            <w:fldChar w:fldCharType="end"/>
          </w:r>
          <w:r>
            <w:rPr>
              <w:rFonts w:ascii="Times New Roman" w:hAnsi="Times New Roman" w:cs="Times New Roman"/>
              <w:sz w:val="32"/>
            </w:rPr>
            <w:fldChar w:fldCharType="end"/>
          </w:r>
        </w:p>
        <w:p w14:paraId="157A0B01">
          <w:pPr>
            <w:pStyle w:val="19"/>
            <w:tabs>
              <w:tab w:val="right" w:leader="dot" w:pos="8845"/>
            </w:tabs>
            <w:ind w:firstLine="552"/>
            <w:rPr>
              <w:rFonts w:ascii="Times New Roman" w:hAnsi="Times New Roman" w:cs="Times New Roman"/>
              <w:sz w:val="32"/>
            </w:rPr>
          </w:pPr>
          <w:r>
            <w:fldChar w:fldCharType="begin"/>
          </w:r>
          <w:r>
            <w:instrText xml:space="preserve"> HYPERLINK \l "_Toc12052" </w:instrText>
          </w:r>
          <w:r>
            <w:fldChar w:fldCharType="separate"/>
          </w:r>
          <w:r>
            <w:rPr>
              <w:rFonts w:ascii="Times New Roman" w:hAnsi="Times New Roman" w:eastAsia="仿宋" w:cs="Times New Roman"/>
              <w:bCs/>
              <w:sz w:val="32"/>
            </w:rPr>
            <w:t xml:space="preserve">1.1 </w:t>
          </w:r>
          <w:r>
            <w:rPr>
              <w:rFonts w:ascii="Times New Roman" w:hAnsi="Times New Roman" w:cs="Times New Roman"/>
              <w:sz w:val="32"/>
            </w:rPr>
            <w:t>编制目的</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_Toc12052 \h </w:instrText>
          </w:r>
          <w:r>
            <w:rPr>
              <w:rFonts w:ascii="Times New Roman" w:hAnsi="Times New Roman" w:cs="Times New Roman"/>
              <w:sz w:val="32"/>
            </w:rPr>
            <w:fldChar w:fldCharType="separate"/>
          </w:r>
          <w:r>
            <w:rPr>
              <w:rFonts w:ascii="Times New Roman" w:hAnsi="Times New Roman" w:cs="Times New Roman"/>
              <w:sz w:val="32"/>
            </w:rPr>
            <w:t>1</w:t>
          </w:r>
          <w:r>
            <w:rPr>
              <w:rFonts w:ascii="Times New Roman" w:hAnsi="Times New Roman" w:cs="Times New Roman"/>
              <w:sz w:val="32"/>
            </w:rPr>
            <w:fldChar w:fldCharType="end"/>
          </w:r>
          <w:r>
            <w:rPr>
              <w:rFonts w:ascii="Times New Roman" w:hAnsi="Times New Roman" w:cs="Times New Roman"/>
              <w:sz w:val="32"/>
            </w:rPr>
            <w:fldChar w:fldCharType="end"/>
          </w:r>
        </w:p>
        <w:p w14:paraId="030D6D2B">
          <w:pPr>
            <w:pStyle w:val="19"/>
            <w:tabs>
              <w:tab w:val="right" w:leader="dot" w:pos="8845"/>
            </w:tabs>
            <w:ind w:firstLine="552"/>
            <w:rPr>
              <w:rFonts w:ascii="Times New Roman" w:hAnsi="Times New Roman" w:cs="Times New Roman"/>
              <w:sz w:val="32"/>
            </w:rPr>
          </w:pPr>
          <w:r>
            <w:fldChar w:fldCharType="begin"/>
          </w:r>
          <w:r>
            <w:instrText xml:space="preserve"> HYPERLINK \l "_Toc26380" </w:instrText>
          </w:r>
          <w:r>
            <w:fldChar w:fldCharType="separate"/>
          </w:r>
          <w:r>
            <w:rPr>
              <w:rFonts w:ascii="Times New Roman" w:hAnsi="Times New Roman" w:eastAsia="仿宋" w:cs="Times New Roman"/>
              <w:bCs/>
              <w:sz w:val="32"/>
            </w:rPr>
            <w:t xml:space="preserve">1.2 </w:t>
          </w:r>
          <w:r>
            <w:rPr>
              <w:rFonts w:ascii="Times New Roman" w:hAnsi="Times New Roman" w:cs="Times New Roman"/>
              <w:sz w:val="32"/>
            </w:rPr>
            <w:t>编制依据</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_Toc26380 \h </w:instrText>
          </w:r>
          <w:r>
            <w:rPr>
              <w:rFonts w:ascii="Times New Roman" w:hAnsi="Times New Roman" w:cs="Times New Roman"/>
              <w:sz w:val="32"/>
            </w:rPr>
            <w:fldChar w:fldCharType="separate"/>
          </w:r>
          <w:r>
            <w:rPr>
              <w:rFonts w:ascii="Times New Roman" w:hAnsi="Times New Roman" w:cs="Times New Roman"/>
              <w:sz w:val="32"/>
            </w:rPr>
            <w:t>1</w:t>
          </w:r>
          <w:r>
            <w:rPr>
              <w:rFonts w:ascii="Times New Roman" w:hAnsi="Times New Roman" w:cs="Times New Roman"/>
              <w:sz w:val="32"/>
            </w:rPr>
            <w:fldChar w:fldCharType="end"/>
          </w:r>
          <w:r>
            <w:rPr>
              <w:rFonts w:ascii="Times New Roman" w:hAnsi="Times New Roman" w:cs="Times New Roman"/>
              <w:sz w:val="32"/>
            </w:rPr>
            <w:fldChar w:fldCharType="end"/>
          </w:r>
        </w:p>
        <w:p w14:paraId="78EAD766">
          <w:pPr>
            <w:pStyle w:val="19"/>
            <w:tabs>
              <w:tab w:val="right" w:leader="dot" w:pos="8845"/>
            </w:tabs>
            <w:ind w:firstLine="552"/>
            <w:rPr>
              <w:rFonts w:ascii="Times New Roman" w:hAnsi="Times New Roman" w:cs="Times New Roman"/>
              <w:sz w:val="32"/>
            </w:rPr>
          </w:pPr>
          <w:r>
            <w:fldChar w:fldCharType="begin"/>
          </w:r>
          <w:r>
            <w:instrText xml:space="preserve"> HYPERLINK \l "_Toc12092" </w:instrText>
          </w:r>
          <w:r>
            <w:fldChar w:fldCharType="separate"/>
          </w:r>
          <w:r>
            <w:rPr>
              <w:rFonts w:ascii="Times New Roman" w:hAnsi="Times New Roman" w:eastAsia="仿宋" w:cs="Times New Roman"/>
              <w:bCs/>
              <w:sz w:val="32"/>
            </w:rPr>
            <w:t xml:space="preserve">1.3 </w:t>
          </w:r>
          <w:r>
            <w:rPr>
              <w:rFonts w:ascii="Times New Roman" w:hAnsi="Times New Roman" w:cs="Times New Roman"/>
              <w:sz w:val="32"/>
            </w:rPr>
            <w:t>适用范围</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_Toc12092 \h </w:instrText>
          </w:r>
          <w:r>
            <w:rPr>
              <w:rFonts w:ascii="Times New Roman" w:hAnsi="Times New Roman" w:cs="Times New Roman"/>
              <w:sz w:val="32"/>
            </w:rPr>
            <w:fldChar w:fldCharType="separate"/>
          </w:r>
          <w:r>
            <w:rPr>
              <w:rFonts w:ascii="Times New Roman" w:hAnsi="Times New Roman" w:cs="Times New Roman"/>
              <w:sz w:val="32"/>
            </w:rPr>
            <w:t>1</w:t>
          </w:r>
          <w:r>
            <w:rPr>
              <w:rFonts w:ascii="Times New Roman" w:hAnsi="Times New Roman" w:cs="Times New Roman"/>
              <w:sz w:val="32"/>
            </w:rPr>
            <w:fldChar w:fldCharType="end"/>
          </w:r>
          <w:r>
            <w:rPr>
              <w:rFonts w:ascii="Times New Roman" w:hAnsi="Times New Roman" w:cs="Times New Roman"/>
              <w:sz w:val="32"/>
            </w:rPr>
            <w:fldChar w:fldCharType="end"/>
          </w:r>
        </w:p>
        <w:p w14:paraId="012F8BE8">
          <w:pPr>
            <w:pStyle w:val="19"/>
            <w:tabs>
              <w:tab w:val="right" w:leader="dot" w:pos="8845"/>
            </w:tabs>
            <w:ind w:firstLine="552"/>
            <w:rPr>
              <w:rFonts w:ascii="Times New Roman" w:hAnsi="Times New Roman" w:cs="Times New Roman"/>
              <w:sz w:val="32"/>
            </w:rPr>
          </w:pPr>
          <w:r>
            <w:fldChar w:fldCharType="begin"/>
          </w:r>
          <w:r>
            <w:instrText xml:space="preserve"> HYPERLINK \l "_Toc10192" </w:instrText>
          </w:r>
          <w:r>
            <w:fldChar w:fldCharType="separate"/>
          </w:r>
          <w:r>
            <w:rPr>
              <w:rFonts w:ascii="Times New Roman" w:hAnsi="Times New Roman" w:eastAsia="仿宋" w:cs="Times New Roman"/>
              <w:bCs/>
              <w:sz w:val="32"/>
            </w:rPr>
            <w:t xml:space="preserve">1.4 </w:t>
          </w:r>
          <w:r>
            <w:rPr>
              <w:rFonts w:ascii="Times New Roman" w:hAnsi="Times New Roman" w:cs="Times New Roman"/>
              <w:sz w:val="32"/>
            </w:rPr>
            <w:t>工作原则</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_Toc10192 \h </w:instrText>
          </w:r>
          <w:r>
            <w:rPr>
              <w:rFonts w:ascii="Times New Roman" w:hAnsi="Times New Roman" w:cs="Times New Roman"/>
              <w:sz w:val="32"/>
            </w:rPr>
            <w:fldChar w:fldCharType="separate"/>
          </w:r>
          <w:r>
            <w:rPr>
              <w:rFonts w:ascii="Times New Roman" w:hAnsi="Times New Roman" w:cs="Times New Roman"/>
              <w:sz w:val="32"/>
            </w:rPr>
            <w:t>1</w:t>
          </w:r>
          <w:r>
            <w:rPr>
              <w:rFonts w:ascii="Times New Roman" w:hAnsi="Times New Roman" w:cs="Times New Roman"/>
              <w:sz w:val="32"/>
            </w:rPr>
            <w:fldChar w:fldCharType="end"/>
          </w:r>
          <w:r>
            <w:rPr>
              <w:rFonts w:ascii="Times New Roman" w:hAnsi="Times New Roman" w:cs="Times New Roman"/>
              <w:sz w:val="32"/>
            </w:rPr>
            <w:fldChar w:fldCharType="end"/>
          </w:r>
        </w:p>
        <w:p w14:paraId="365E2619">
          <w:pPr>
            <w:pStyle w:val="18"/>
            <w:rPr>
              <w:rFonts w:ascii="Times New Roman" w:hAnsi="Times New Roman" w:cs="Times New Roman"/>
              <w:sz w:val="32"/>
            </w:rPr>
          </w:pPr>
          <w:r>
            <w:fldChar w:fldCharType="begin"/>
          </w:r>
          <w:r>
            <w:instrText xml:space="preserve"> HYPERLINK \l "_Toc9818" </w:instrText>
          </w:r>
          <w:r>
            <w:fldChar w:fldCharType="separate"/>
          </w:r>
          <w:r>
            <w:rPr>
              <w:rFonts w:ascii="Times New Roman" w:hAnsi="Times New Roman" w:eastAsia="仿宋" w:cs="Times New Roman"/>
              <w:sz w:val="32"/>
            </w:rPr>
            <w:t xml:space="preserve">2 </w:t>
          </w:r>
          <w:r>
            <w:rPr>
              <w:rFonts w:ascii="Times New Roman" w:hAnsi="Times New Roman" w:cs="Times New Roman"/>
              <w:sz w:val="32"/>
            </w:rPr>
            <w:t>组织指挥体系</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_Toc9818 \h </w:instrText>
          </w:r>
          <w:r>
            <w:rPr>
              <w:rFonts w:ascii="Times New Roman" w:hAnsi="Times New Roman" w:cs="Times New Roman"/>
              <w:sz w:val="32"/>
            </w:rPr>
            <w:fldChar w:fldCharType="separate"/>
          </w:r>
          <w:r>
            <w:rPr>
              <w:rFonts w:ascii="Times New Roman" w:hAnsi="Times New Roman" w:cs="Times New Roman"/>
              <w:sz w:val="32"/>
            </w:rPr>
            <w:t>2</w:t>
          </w:r>
          <w:r>
            <w:rPr>
              <w:rFonts w:ascii="Times New Roman" w:hAnsi="Times New Roman" w:cs="Times New Roman"/>
              <w:sz w:val="32"/>
            </w:rPr>
            <w:fldChar w:fldCharType="end"/>
          </w:r>
          <w:r>
            <w:rPr>
              <w:rFonts w:ascii="Times New Roman" w:hAnsi="Times New Roman" w:cs="Times New Roman"/>
              <w:sz w:val="32"/>
            </w:rPr>
            <w:fldChar w:fldCharType="end"/>
          </w:r>
        </w:p>
        <w:p w14:paraId="77BED7D4">
          <w:pPr>
            <w:pStyle w:val="19"/>
            <w:tabs>
              <w:tab w:val="right" w:leader="dot" w:pos="8845"/>
            </w:tabs>
            <w:ind w:firstLine="552"/>
            <w:rPr>
              <w:rFonts w:ascii="Times New Roman" w:hAnsi="Times New Roman" w:cs="Times New Roman"/>
              <w:sz w:val="32"/>
            </w:rPr>
          </w:pPr>
          <w:r>
            <w:fldChar w:fldCharType="begin"/>
          </w:r>
          <w:r>
            <w:instrText xml:space="preserve"> HYPERLINK \l "_Toc7896" </w:instrText>
          </w:r>
          <w:r>
            <w:fldChar w:fldCharType="separate"/>
          </w:r>
          <w:r>
            <w:rPr>
              <w:rFonts w:ascii="Times New Roman" w:hAnsi="Times New Roman" w:eastAsia="仿宋" w:cs="Times New Roman"/>
              <w:bCs/>
              <w:sz w:val="32"/>
            </w:rPr>
            <w:t xml:space="preserve">2.1 </w:t>
          </w:r>
          <w:r>
            <w:rPr>
              <w:rFonts w:ascii="Times New Roman" w:hAnsi="Times New Roman" w:cs="Times New Roman"/>
              <w:sz w:val="32"/>
            </w:rPr>
            <w:t>领导指挥机构</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_Toc7896 \h </w:instrText>
          </w:r>
          <w:r>
            <w:rPr>
              <w:rFonts w:ascii="Times New Roman" w:hAnsi="Times New Roman" w:cs="Times New Roman"/>
              <w:sz w:val="32"/>
            </w:rPr>
            <w:fldChar w:fldCharType="separate"/>
          </w:r>
          <w:r>
            <w:rPr>
              <w:rFonts w:ascii="Times New Roman" w:hAnsi="Times New Roman" w:cs="Times New Roman"/>
              <w:sz w:val="32"/>
            </w:rPr>
            <w:t>2</w:t>
          </w:r>
          <w:r>
            <w:rPr>
              <w:rFonts w:ascii="Times New Roman" w:hAnsi="Times New Roman" w:cs="Times New Roman"/>
              <w:sz w:val="32"/>
            </w:rPr>
            <w:fldChar w:fldCharType="end"/>
          </w:r>
          <w:r>
            <w:rPr>
              <w:rFonts w:ascii="Times New Roman" w:hAnsi="Times New Roman" w:cs="Times New Roman"/>
              <w:sz w:val="32"/>
            </w:rPr>
            <w:fldChar w:fldCharType="end"/>
          </w:r>
        </w:p>
        <w:p w14:paraId="29A72D87">
          <w:pPr>
            <w:pStyle w:val="19"/>
            <w:tabs>
              <w:tab w:val="right" w:leader="dot" w:pos="8845"/>
            </w:tabs>
            <w:ind w:firstLine="552"/>
            <w:rPr>
              <w:rFonts w:ascii="Times New Roman" w:hAnsi="Times New Roman" w:cs="Times New Roman"/>
              <w:sz w:val="32"/>
            </w:rPr>
          </w:pPr>
          <w:r>
            <w:fldChar w:fldCharType="begin"/>
          </w:r>
          <w:r>
            <w:instrText xml:space="preserve"> HYPERLINK \l "_Toc4666" </w:instrText>
          </w:r>
          <w:r>
            <w:fldChar w:fldCharType="separate"/>
          </w:r>
          <w:r>
            <w:rPr>
              <w:rFonts w:ascii="Times New Roman" w:hAnsi="Times New Roman" w:eastAsia="仿宋" w:cs="Times New Roman"/>
              <w:bCs/>
              <w:sz w:val="32"/>
            </w:rPr>
            <w:t xml:space="preserve">2.2 </w:t>
          </w:r>
          <w:r>
            <w:rPr>
              <w:rFonts w:ascii="Times New Roman" w:hAnsi="Times New Roman" w:cs="Times New Roman"/>
              <w:sz w:val="32"/>
            </w:rPr>
            <w:t>现场指挥机构</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_Toc4666 \h </w:instrText>
          </w:r>
          <w:r>
            <w:rPr>
              <w:rFonts w:ascii="Times New Roman" w:hAnsi="Times New Roman" w:cs="Times New Roman"/>
              <w:sz w:val="32"/>
            </w:rPr>
            <w:fldChar w:fldCharType="separate"/>
          </w:r>
          <w:r>
            <w:rPr>
              <w:rFonts w:ascii="Times New Roman" w:hAnsi="Times New Roman" w:cs="Times New Roman"/>
              <w:sz w:val="32"/>
            </w:rPr>
            <w:t>3</w:t>
          </w:r>
          <w:r>
            <w:rPr>
              <w:rFonts w:ascii="Times New Roman" w:hAnsi="Times New Roman" w:cs="Times New Roman"/>
              <w:sz w:val="32"/>
            </w:rPr>
            <w:fldChar w:fldCharType="end"/>
          </w:r>
          <w:r>
            <w:rPr>
              <w:rFonts w:ascii="Times New Roman" w:hAnsi="Times New Roman" w:cs="Times New Roman"/>
              <w:sz w:val="32"/>
            </w:rPr>
            <w:fldChar w:fldCharType="end"/>
          </w:r>
        </w:p>
        <w:p w14:paraId="1170875C">
          <w:pPr>
            <w:pStyle w:val="19"/>
            <w:tabs>
              <w:tab w:val="right" w:leader="dot" w:pos="8845"/>
            </w:tabs>
            <w:ind w:firstLine="552"/>
            <w:rPr>
              <w:rFonts w:ascii="Times New Roman" w:hAnsi="Times New Roman" w:cs="Times New Roman"/>
              <w:sz w:val="32"/>
            </w:rPr>
          </w:pPr>
          <w:r>
            <w:fldChar w:fldCharType="begin"/>
          </w:r>
          <w:r>
            <w:instrText xml:space="preserve"> HYPERLINK \l "_Toc13812" </w:instrText>
          </w:r>
          <w:r>
            <w:fldChar w:fldCharType="separate"/>
          </w:r>
          <w:r>
            <w:rPr>
              <w:rFonts w:ascii="Times New Roman" w:hAnsi="Times New Roman" w:eastAsia="仿宋" w:cs="Times New Roman"/>
              <w:bCs/>
              <w:sz w:val="32"/>
            </w:rPr>
            <w:t xml:space="preserve">2.3 </w:t>
          </w:r>
          <w:r>
            <w:rPr>
              <w:rFonts w:ascii="Times New Roman" w:hAnsi="Times New Roman" w:cs="Times New Roman"/>
              <w:sz w:val="32"/>
            </w:rPr>
            <w:t>应急处置力量</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_Toc13812 \h </w:instrText>
          </w:r>
          <w:r>
            <w:rPr>
              <w:rFonts w:ascii="Times New Roman" w:hAnsi="Times New Roman" w:cs="Times New Roman"/>
              <w:sz w:val="32"/>
            </w:rPr>
            <w:fldChar w:fldCharType="separate"/>
          </w:r>
          <w:r>
            <w:rPr>
              <w:rFonts w:ascii="Times New Roman" w:hAnsi="Times New Roman" w:cs="Times New Roman"/>
              <w:sz w:val="32"/>
            </w:rPr>
            <w:t>4</w:t>
          </w:r>
          <w:r>
            <w:rPr>
              <w:rFonts w:ascii="Times New Roman" w:hAnsi="Times New Roman" w:cs="Times New Roman"/>
              <w:sz w:val="32"/>
            </w:rPr>
            <w:fldChar w:fldCharType="end"/>
          </w:r>
          <w:r>
            <w:rPr>
              <w:rFonts w:ascii="Times New Roman" w:hAnsi="Times New Roman" w:cs="Times New Roman"/>
              <w:sz w:val="32"/>
            </w:rPr>
            <w:fldChar w:fldCharType="end"/>
          </w:r>
        </w:p>
        <w:p w14:paraId="5510F775">
          <w:pPr>
            <w:pStyle w:val="19"/>
            <w:tabs>
              <w:tab w:val="right" w:leader="dot" w:pos="8845"/>
            </w:tabs>
            <w:ind w:firstLine="552"/>
            <w:rPr>
              <w:rFonts w:ascii="Times New Roman" w:hAnsi="Times New Roman" w:cs="Times New Roman"/>
              <w:sz w:val="32"/>
            </w:rPr>
          </w:pPr>
          <w:r>
            <w:fldChar w:fldCharType="begin"/>
          </w:r>
          <w:r>
            <w:instrText xml:space="preserve"> HYPERLINK \l "_Toc21459" </w:instrText>
          </w:r>
          <w:r>
            <w:fldChar w:fldCharType="separate"/>
          </w:r>
          <w:r>
            <w:rPr>
              <w:rFonts w:ascii="Times New Roman" w:hAnsi="Times New Roman" w:eastAsia="仿宋" w:cs="Times New Roman"/>
              <w:bCs/>
              <w:sz w:val="32"/>
            </w:rPr>
            <w:t xml:space="preserve">2.4 </w:t>
          </w:r>
          <w:r>
            <w:rPr>
              <w:rFonts w:ascii="Times New Roman" w:hAnsi="Times New Roman" w:cs="Times New Roman"/>
              <w:sz w:val="32"/>
            </w:rPr>
            <w:t>职责分工</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_Toc21459 \h </w:instrText>
          </w:r>
          <w:r>
            <w:rPr>
              <w:rFonts w:ascii="Times New Roman" w:hAnsi="Times New Roman" w:cs="Times New Roman"/>
              <w:sz w:val="32"/>
            </w:rPr>
            <w:fldChar w:fldCharType="separate"/>
          </w:r>
          <w:r>
            <w:rPr>
              <w:rFonts w:ascii="Times New Roman" w:hAnsi="Times New Roman" w:cs="Times New Roman"/>
              <w:sz w:val="32"/>
            </w:rPr>
            <w:t>5</w:t>
          </w:r>
          <w:r>
            <w:rPr>
              <w:rFonts w:ascii="Times New Roman" w:hAnsi="Times New Roman" w:cs="Times New Roman"/>
              <w:sz w:val="32"/>
            </w:rPr>
            <w:fldChar w:fldCharType="end"/>
          </w:r>
          <w:r>
            <w:rPr>
              <w:rFonts w:ascii="Times New Roman" w:hAnsi="Times New Roman" w:cs="Times New Roman"/>
              <w:sz w:val="32"/>
            </w:rPr>
            <w:fldChar w:fldCharType="end"/>
          </w:r>
        </w:p>
        <w:p w14:paraId="5490F399">
          <w:pPr>
            <w:pStyle w:val="18"/>
            <w:rPr>
              <w:rFonts w:ascii="Times New Roman" w:hAnsi="Times New Roman" w:cs="Times New Roman"/>
              <w:sz w:val="32"/>
            </w:rPr>
          </w:pPr>
          <w:r>
            <w:fldChar w:fldCharType="begin"/>
          </w:r>
          <w:r>
            <w:instrText xml:space="preserve"> HYPERLINK \l "_Toc5886" </w:instrText>
          </w:r>
          <w:r>
            <w:fldChar w:fldCharType="separate"/>
          </w:r>
          <w:r>
            <w:rPr>
              <w:rFonts w:ascii="Times New Roman" w:hAnsi="Times New Roman" w:eastAsia="仿宋" w:cs="Times New Roman"/>
              <w:sz w:val="32"/>
            </w:rPr>
            <w:t xml:space="preserve">3 </w:t>
          </w:r>
          <w:r>
            <w:rPr>
              <w:rFonts w:ascii="Times New Roman" w:hAnsi="Times New Roman" w:cs="Times New Roman"/>
              <w:sz w:val="32"/>
            </w:rPr>
            <w:t>应急行动</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_Toc5886 \h </w:instrText>
          </w:r>
          <w:r>
            <w:rPr>
              <w:rFonts w:ascii="Times New Roman" w:hAnsi="Times New Roman" w:cs="Times New Roman"/>
              <w:sz w:val="32"/>
            </w:rPr>
            <w:fldChar w:fldCharType="separate"/>
          </w:r>
          <w:r>
            <w:rPr>
              <w:rFonts w:ascii="Times New Roman" w:hAnsi="Times New Roman" w:cs="Times New Roman"/>
              <w:sz w:val="32"/>
            </w:rPr>
            <w:t>6</w:t>
          </w:r>
          <w:r>
            <w:rPr>
              <w:rFonts w:ascii="Times New Roman" w:hAnsi="Times New Roman" w:cs="Times New Roman"/>
              <w:sz w:val="32"/>
            </w:rPr>
            <w:fldChar w:fldCharType="end"/>
          </w:r>
          <w:r>
            <w:rPr>
              <w:rFonts w:ascii="Times New Roman" w:hAnsi="Times New Roman" w:cs="Times New Roman"/>
              <w:sz w:val="32"/>
            </w:rPr>
            <w:fldChar w:fldCharType="end"/>
          </w:r>
        </w:p>
        <w:p w14:paraId="3ACA65BB">
          <w:pPr>
            <w:pStyle w:val="19"/>
            <w:tabs>
              <w:tab w:val="right" w:leader="dot" w:pos="8845"/>
            </w:tabs>
            <w:ind w:firstLine="552"/>
            <w:rPr>
              <w:rFonts w:ascii="Times New Roman" w:hAnsi="Times New Roman" w:cs="Times New Roman"/>
              <w:sz w:val="32"/>
            </w:rPr>
          </w:pPr>
          <w:r>
            <w:fldChar w:fldCharType="begin"/>
          </w:r>
          <w:r>
            <w:instrText xml:space="preserve"> HYPERLINK \l "_Toc3924" </w:instrText>
          </w:r>
          <w:r>
            <w:fldChar w:fldCharType="separate"/>
          </w:r>
          <w:r>
            <w:rPr>
              <w:rFonts w:ascii="Times New Roman" w:hAnsi="Times New Roman" w:eastAsia="仿宋" w:cs="Times New Roman"/>
              <w:bCs/>
              <w:sz w:val="32"/>
            </w:rPr>
            <w:t xml:space="preserve">3.1 </w:t>
          </w:r>
          <w:r>
            <w:rPr>
              <w:rFonts w:ascii="Times New Roman" w:hAnsi="Times New Roman" w:cs="Times New Roman"/>
              <w:sz w:val="32"/>
            </w:rPr>
            <w:t>监测与信息处理</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_Toc3924 \h </w:instrText>
          </w:r>
          <w:r>
            <w:rPr>
              <w:rFonts w:ascii="Times New Roman" w:hAnsi="Times New Roman" w:cs="Times New Roman"/>
              <w:sz w:val="32"/>
            </w:rPr>
            <w:fldChar w:fldCharType="separate"/>
          </w:r>
          <w:r>
            <w:rPr>
              <w:rFonts w:ascii="Times New Roman" w:hAnsi="Times New Roman" w:cs="Times New Roman"/>
              <w:sz w:val="32"/>
            </w:rPr>
            <w:t>6</w:t>
          </w:r>
          <w:r>
            <w:rPr>
              <w:rFonts w:ascii="Times New Roman" w:hAnsi="Times New Roman" w:cs="Times New Roman"/>
              <w:sz w:val="32"/>
            </w:rPr>
            <w:fldChar w:fldCharType="end"/>
          </w:r>
          <w:r>
            <w:rPr>
              <w:rFonts w:ascii="Times New Roman" w:hAnsi="Times New Roman" w:cs="Times New Roman"/>
              <w:sz w:val="32"/>
            </w:rPr>
            <w:fldChar w:fldCharType="end"/>
          </w:r>
        </w:p>
        <w:p w14:paraId="3E0650B3">
          <w:pPr>
            <w:pStyle w:val="19"/>
            <w:tabs>
              <w:tab w:val="right" w:leader="dot" w:pos="8845"/>
            </w:tabs>
            <w:ind w:firstLine="552"/>
            <w:rPr>
              <w:rFonts w:ascii="Times New Roman" w:hAnsi="Times New Roman" w:cs="Times New Roman"/>
              <w:sz w:val="32"/>
            </w:rPr>
          </w:pPr>
          <w:r>
            <w:fldChar w:fldCharType="begin"/>
          </w:r>
          <w:r>
            <w:instrText xml:space="preserve"> HYPERLINK \l "_Toc22588" </w:instrText>
          </w:r>
          <w:r>
            <w:fldChar w:fldCharType="separate"/>
          </w:r>
          <w:r>
            <w:rPr>
              <w:rFonts w:ascii="Times New Roman" w:hAnsi="Times New Roman" w:eastAsia="仿宋" w:cs="Times New Roman"/>
              <w:bCs/>
              <w:sz w:val="32"/>
            </w:rPr>
            <w:t xml:space="preserve">3.2 </w:t>
          </w:r>
          <w:r>
            <w:rPr>
              <w:rFonts w:ascii="Times New Roman" w:hAnsi="Times New Roman" w:cs="Times New Roman"/>
              <w:sz w:val="32"/>
            </w:rPr>
            <w:t>分级响应</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_Toc22588 \h </w:instrText>
          </w:r>
          <w:r>
            <w:rPr>
              <w:rFonts w:ascii="Times New Roman" w:hAnsi="Times New Roman" w:cs="Times New Roman"/>
              <w:sz w:val="32"/>
            </w:rPr>
            <w:fldChar w:fldCharType="separate"/>
          </w:r>
          <w:r>
            <w:rPr>
              <w:rFonts w:ascii="Times New Roman" w:hAnsi="Times New Roman" w:cs="Times New Roman"/>
              <w:sz w:val="32"/>
            </w:rPr>
            <w:t>6</w:t>
          </w:r>
          <w:r>
            <w:rPr>
              <w:rFonts w:ascii="Times New Roman" w:hAnsi="Times New Roman" w:cs="Times New Roman"/>
              <w:sz w:val="32"/>
            </w:rPr>
            <w:fldChar w:fldCharType="end"/>
          </w:r>
          <w:r>
            <w:rPr>
              <w:rFonts w:ascii="Times New Roman" w:hAnsi="Times New Roman" w:cs="Times New Roman"/>
              <w:sz w:val="32"/>
            </w:rPr>
            <w:fldChar w:fldCharType="end"/>
          </w:r>
        </w:p>
        <w:p w14:paraId="430C921C">
          <w:pPr>
            <w:pStyle w:val="19"/>
            <w:tabs>
              <w:tab w:val="right" w:leader="dot" w:pos="8845"/>
            </w:tabs>
            <w:ind w:firstLine="552"/>
            <w:rPr>
              <w:rFonts w:ascii="Times New Roman" w:hAnsi="Times New Roman" w:cs="Times New Roman"/>
              <w:sz w:val="32"/>
            </w:rPr>
          </w:pPr>
          <w:r>
            <w:fldChar w:fldCharType="begin"/>
          </w:r>
          <w:r>
            <w:instrText xml:space="preserve"> HYPERLINK \l "_Toc16757" </w:instrText>
          </w:r>
          <w:r>
            <w:fldChar w:fldCharType="separate"/>
          </w:r>
          <w:r>
            <w:rPr>
              <w:rFonts w:ascii="Times New Roman" w:hAnsi="Times New Roman" w:eastAsia="仿宋" w:cs="Times New Roman"/>
              <w:bCs/>
              <w:sz w:val="32"/>
            </w:rPr>
            <w:t xml:space="preserve">3.3 </w:t>
          </w:r>
          <w:r>
            <w:rPr>
              <w:rFonts w:ascii="Times New Roman" w:hAnsi="Times New Roman" w:cs="Times New Roman"/>
              <w:sz w:val="32"/>
            </w:rPr>
            <w:t>先期处置</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_Toc16757 \h </w:instrText>
          </w:r>
          <w:r>
            <w:rPr>
              <w:rFonts w:ascii="Times New Roman" w:hAnsi="Times New Roman" w:cs="Times New Roman"/>
              <w:sz w:val="32"/>
            </w:rPr>
            <w:fldChar w:fldCharType="separate"/>
          </w:r>
          <w:r>
            <w:rPr>
              <w:rFonts w:ascii="Times New Roman" w:hAnsi="Times New Roman" w:cs="Times New Roman"/>
              <w:sz w:val="32"/>
            </w:rPr>
            <w:t>6</w:t>
          </w:r>
          <w:r>
            <w:rPr>
              <w:rFonts w:ascii="Times New Roman" w:hAnsi="Times New Roman" w:cs="Times New Roman"/>
              <w:sz w:val="32"/>
            </w:rPr>
            <w:fldChar w:fldCharType="end"/>
          </w:r>
          <w:r>
            <w:rPr>
              <w:rFonts w:ascii="Times New Roman" w:hAnsi="Times New Roman" w:cs="Times New Roman"/>
              <w:sz w:val="32"/>
            </w:rPr>
            <w:fldChar w:fldCharType="end"/>
          </w:r>
        </w:p>
        <w:p w14:paraId="4B3726CC">
          <w:pPr>
            <w:pStyle w:val="19"/>
            <w:tabs>
              <w:tab w:val="right" w:leader="dot" w:pos="8845"/>
            </w:tabs>
            <w:ind w:firstLine="552"/>
            <w:rPr>
              <w:rFonts w:ascii="Times New Roman" w:hAnsi="Times New Roman" w:cs="Times New Roman"/>
              <w:sz w:val="32"/>
            </w:rPr>
          </w:pPr>
          <w:r>
            <w:fldChar w:fldCharType="begin"/>
          </w:r>
          <w:r>
            <w:instrText xml:space="preserve"> HYPERLINK \l "_Toc27884" </w:instrText>
          </w:r>
          <w:r>
            <w:fldChar w:fldCharType="separate"/>
          </w:r>
          <w:r>
            <w:rPr>
              <w:rFonts w:ascii="Times New Roman" w:hAnsi="Times New Roman" w:eastAsia="仿宋" w:cs="Times New Roman"/>
              <w:bCs/>
              <w:sz w:val="32"/>
            </w:rPr>
            <w:t xml:space="preserve">3.4 </w:t>
          </w:r>
          <w:r>
            <w:rPr>
              <w:rFonts w:ascii="Times New Roman" w:hAnsi="Times New Roman" w:cs="Times New Roman"/>
              <w:sz w:val="32"/>
            </w:rPr>
            <w:t>方案启动</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_Toc27884 \h </w:instrText>
          </w:r>
          <w:r>
            <w:rPr>
              <w:rFonts w:ascii="Times New Roman" w:hAnsi="Times New Roman" w:cs="Times New Roman"/>
              <w:sz w:val="32"/>
            </w:rPr>
            <w:fldChar w:fldCharType="separate"/>
          </w:r>
          <w:r>
            <w:rPr>
              <w:rFonts w:ascii="Times New Roman" w:hAnsi="Times New Roman" w:cs="Times New Roman"/>
              <w:sz w:val="32"/>
            </w:rPr>
            <w:t>7</w:t>
          </w:r>
          <w:r>
            <w:rPr>
              <w:rFonts w:ascii="Times New Roman" w:hAnsi="Times New Roman" w:cs="Times New Roman"/>
              <w:sz w:val="32"/>
            </w:rPr>
            <w:fldChar w:fldCharType="end"/>
          </w:r>
          <w:r>
            <w:rPr>
              <w:rFonts w:ascii="Times New Roman" w:hAnsi="Times New Roman" w:cs="Times New Roman"/>
              <w:sz w:val="32"/>
            </w:rPr>
            <w:fldChar w:fldCharType="end"/>
          </w:r>
        </w:p>
        <w:p w14:paraId="017EBAAF">
          <w:pPr>
            <w:pStyle w:val="19"/>
            <w:tabs>
              <w:tab w:val="right" w:leader="dot" w:pos="8845"/>
            </w:tabs>
            <w:ind w:firstLine="552"/>
            <w:rPr>
              <w:rFonts w:ascii="Times New Roman" w:hAnsi="Times New Roman" w:cs="Times New Roman"/>
              <w:sz w:val="32"/>
            </w:rPr>
          </w:pPr>
          <w:r>
            <w:fldChar w:fldCharType="begin"/>
          </w:r>
          <w:r>
            <w:instrText xml:space="preserve"> HYPERLINK \l "_Toc23638" </w:instrText>
          </w:r>
          <w:r>
            <w:fldChar w:fldCharType="separate"/>
          </w:r>
          <w:r>
            <w:rPr>
              <w:rFonts w:ascii="Times New Roman" w:hAnsi="Times New Roman" w:eastAsia="仿宋" w:cs="Times New Roman"/>
              <w:bCs/>
              <w:sz w:val="32"/>
            </w:rPr>
            <w:t xml:space="preserve">3.5 </w:t>
          </w:r>
          <w:r>
            <w:rPr>
              <w:rFonts w:ascii="Times New Roman" w:hAnsi="Times New Roman" w:cs="Times New Roman"/>
              <w:sz w:val="32"/>
            </w:rPr>
            <w:t>指挥与协调</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_Toc23638 \h </w:instrText>
          </w:r>
          <w:r>
            <w:rPr>
              <w:rFonts w:ascii="Times New Roman" w:hAnsi="Times New Roman" w:cs="Times New Roman"/>
              <w:sz w:val="32"/>
            </w:rPr>
            <w:fldChar w:fldCharType="separate"/>
          </w:r>
          <w:r>
            <w:rPr>
              <w:rFonts w:ascii="Times New Roman" w:hAnsi="Times New Roman" w:cs="Times New Roman"/>
              <w:sz w:val="32"/>
            </w:rPr>
            <w:t>7</w:t>
          </w:r>
          <w:r>
            <w:rPr>
              <w:rFonts w:ascii="Times New Roman" w:hAnsi="Times New Roman" w:cs="Times New Roman"/>
              <w:sz w:val="32"/>
            </w:rPr>
            <w:fldChar w:fldCharType="end"/>
          </w:r>
          <w:r>
            <w:rPr>
              <w:rFonts w:ascii="Times New Roman" w:hAnsi="Times New Roman" w:cs="Times New Roman"/>
              <w:sz w:val="32"/>
            </w:rPr>
            <w:fldChar w:fldCharType="end"/>
          </w:r>
        </w:p>
        <w:p w14:paraId="68C9E677">
          <w:pPr>
            <w:pStyle w:val="19"/>
            <w:tabs>
              <w:tab w:val="right" w:leader="dot" w:pos="8845"/>
            </w:tabs>
            <w:ind w:firstLine="552"/>
            <w:rPr>
              <w:rFonts w:ascii="Times New Roman" w:hAnsi="Times New Roman" w:cs="Times New Roman"/>
              <w:sz w:val="32"/>
            </w:rPr>
          </w:pPr>
          <w:r>
            <w:fldChar w:fldCharType="begin"/>
          </w:r>
          <w:r>
            <w:instrText xml:space="preserve"> HYPERLINK \l "_Toc791" </w:instrText>
          </w:r>
          <w:r>
            <w:fldChar w:fldCharType="separate"/>
          </w:r>
          <w:r>
            <w:rPr>
              <w:rFonts w:ascii="Times New Roman" w:hAnsi="Times New Roman" w:eastAsia="仿宋" w:cs="Times New Roman"/>
              <w:bCs/>
              <w:sz w:val="32"/>
            </w:rPr>
            <w:t xml:space="preserve">3.6 </w:t>
          </w:r>
          <w:r>
            <w:rPr>
              <w:rFonts w:ascii="Times New Roman" w:hAnsi="Times New Roman" w:cs="Times New Roman"/>
              <w:sz w:val="32"/>
            </w:rPr>
            <w:t>现场处置</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_Toc791 \h </w:instrText>
          </w:r>
          <w:r>
            <w:rPr>
              <w:rFonts w:ascii="Times New Roman" w:hAnsi="Times New Roman" w:cs="Times New Roman"/>
              <w:sz w:val="32"/>
            </w:rPr>
            <w:fldChar w:fldCharType="separate"/>
          </w:r>
          <w:r>
            <w:rPr>
              <w:rFonts w:ascii="Times New Roman" w:hAnsi="Times New Roman" w:cs="Times New Roman"/>
              <w:sz w:val="32"/>
            </w:rPr>
            <w:t>7</w:t>
          </w:r>
          <w:r>
            <w:rPr>
              <w:rFonts w:ascii="Times New Roman" w:hAnsi="Times New Roman" w:cs="Times New Roman"/>
              <w:sz w:val="32"/>
            </w:rPr>
            <w:fldChar w:fldCharType="end"/>
          </w:r>
          <w:r>
            <w:rPr>
              <w:rFonts w:ascii="Times New Roman" w:hAnsi="Times New Roman" w:cs="Times New Roman"/>
              <w:sz w:val="32"/>
            </w:rPr>
            <w:fldChar w:fldCharType="end"/>
          </w:r>
        </w:p>
        <w:p w14:paraId="3BE2B950">
          <w:pPr>
            <w:pStyle w:val="19"/>
            <w:tabs>
              <w:tab w:val="right" w:leader="dot" w:pos="8845"/>
            </w:tabs>
            <w:ind w:firstLine="552"/>
            <w:rPr>
              <w:rFonts w:ascii="Times New Roman" w:hAnsi="Times New Roman" w:cs="Times New Roman"/>
              <w:sz w:val="32"/>
            </w:rPr>
          </w:pPr>
          <w:r>
            <w:fldChar w:fldCharType="begin"/>
          </w:r>
          <w:r>
            <w:instrText xml:space="preserve"> HYPERLINK \l "_Toc4228" </w:instrText>
          </w:r>
          <w:r>
            <w:fldChar w:fldCharType="separate"/>
          </w:r>
          <w:r>
            <w:rPr>
              <w:rFonts w:ascii="Times New Roman" w:hAnsi="Times New Roman" w:eastAsia="仿宋" w:cs="Times New Roman"/>
              <w:bCs/>
              <w:sz w:val="32"/>
            </w:rPr>
            <w:t xml:space="preserve">3.7 </w:t>
          </w:r>
          <w:r>
            <w:rPr>
              <w:rFonts w:ascii="Times New Roman" w:hAnsi="Times New Roman" w:cs="Times New Roman"/>
              <w:sz w:val="32"/>
            </w:rPr>
            <w:t>处置措施</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_Toc4228 \h </w:instrText>
          </w:r>
          <w:r>
            <w:rPr>
              <w:rFonts w:ascii="Times New Roman" w:hAnsi="Times New Roman" w:cs="Times New Roman"/>
              <w:sz w:val="32"/>
            </w:rPr>
            <w:fldChar w:fldCharType="separate"/>
          </w:r>
          <w:r>
            <w:rPr>
              <w:rFonts w:ascii="Times New Roman" w:hAnsi="Times New Roman" w:cs="Times New Roman"/>
              <w:sz w:val="32"/>
            </w:rPr>
            <w:t>7</w:t>
          </w:r>
          <w:r>
            <w:rPr>
              <w:rFonts w:ascii="Times New Roman" w:hAnsi="Times New Roman" w:cs="Times New Roman"/>
              <w:sz w:val="32"/>
            </w:rPr>
            <w:fldChar w:fldCharType="end"/>
          </w:r>
          <w:r>
            <w:rPr>
              <w:rFonts w:ascii="Times New Roman" w:hAnsi="Times New Roman" w:cs="Times New Roman"/>
              <w:sz w:val="32"/>
            </w:rPr>
            <w:fldChar w:fldCharType="end"/>
          </w:r>
        </w:p>
        <w:p w14:paraId="7D6CFBC0">
          <w:pPr>
            <w:pStyle w:val="19"/>
            <w:tabs>
              <w:tab w:val="right" w:leader="dot" w:pos="8845"/>
            </w:tabs>
            <w:ind w:firstLine="552"/>
            <w:rPr>
              <w:rFonts w:ascii="Times New Roman" w:hAnsi="Times New Roman" w:cs="Times New Roman"/>
              <w:sz w:val="32"/>
            </w:rPr>
          </w:pPr>
          <w:r>
            <w:fldChar w:fldCharType="begin"/>
          </w:r>
          <w:r>
            <w:instrText xml:space="preserve"> HYPERLINK \l "_Toc290" </w:instrText>
          </w:r>
          <w:r>
            <w:fldChar w:fldCharType="separate"/>
          </w:r>
          <w:r>
            <w:rPr>
              <w:rFonts w:ascii="Times New Roman" w:hAnsi="Times New Roman" w:eastAsia="仿宋" w:cs="Times New Roman"/>
              <w:bCs/>
              <w:sz w:val="32"/>
            </w:rPr>
            <w:t xml:space="preserve">3.8 </w:t>
          </w:r>
          <w:r>
            <w:rPr>
              <w:rFonts w:ascii="Times New Roman" w:hAnsi="Times New Roman" w:cs="Times New Roman"/>
              <w:sz w:val="32"/>
            </w:rPr>
            <w:t>互联网信息查控</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_Toc290 \h </w:instrText>
          </w:r>
          <w:r>
            <w:rPr>
              <w:rFonts w:ascii="Times New Roman" w:hAnsi="Times New Roman" w:cs="Times New Roman"/>
              <w:sz w:val="32"/>
            </w:rPr>
            <w:fldChar w:fldCharType="separate"/>
          </w:r>
          <w:r>
            <w:rPr>
              <w:rFonts w:ascii="Times New Roman" w:hAnsi="Times New Roman" w:cs="Times New Roman"/>
              <w:sz w:val="32"/>
            </w:rPr>
            <w:t>8</w:t>
          </w:r>
          <w:r>
            <w:rPr>
              <w:rFonts w:ascii="Times New Roman" w:hAnsi="Times New Roman" w:cs="Times New Roman"/>
              <w:sz w:val="32"/>
            </w:rPr>
            <w:fldChar w:fldCharType="end"/>
          </w:r>
          <w:r>
            <w:rPr>
              <w:rFonts w:ascii="Times New Roman" w:hAnsi="Times New Roman" w:cs="Times New Roman"/>
              <w:sz w:val="32"/>
            </w:rPr>
            <w:fldChar w:fldCharType="end"/>
          </w:r>
        </w:p>
        <w:p w14:paraId="656935F6">
          <w:pPr>
            <w:pStyle w:val="19"/>
            <w:tabs>
              <w:tab w:val="right" w:leader="dot" w:pos="8845"/>
            </w:tabs>
            <w:ind w:firstLine="552"/>
            <w:rPr>
              <w:rFonts w:ascii="Times New Roman" w:hAnsi="Times New Roman" w:cs="Times New Roman"/>
              <w:sz w:val="32"/>
            </w:rPr>
          </w:pPr>
          <w:r>
            <w:fldChar w:fldCharType="begin"/>
          </w:r>
          <w:r>
            <w:instrText xml:space="preserve"> HYPERLINK \l "_Toc19147" </w:instrText>
          </w:r>
          <w:r>
            <w:fldChar w:fldCharType="separate"/>
          </w:r>
          <w:r>
            <w:rPr>
              <w:rFonts w:ascii="Times New Roman" w:hAnsi="Times New Roman" w:eastAsia="仿宋" w:cs="Times New Roman"/>
              <w:bCs/>
              <w:sz w:val="32"/>
            </w:rPr>
            <w:t xml:space="preserve">3.9 </w:t>
          </w:r>
          <w:r>
            <w:rPr>
              <w:rFonts w:ascii="Times New Roman" w:hAnsi="Times New Roman" w:cs="Times New Roman"/>
              <w:sz w:val="32"/>
            </w:rPr>
            <w:t>行动结束</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_Toc19147 \h </w:instrText>
          </w:r>
          <w:r>
            <w:rPr>
              <w:rFonts w:ascii="Times New Roman" w:hAnsi="Times New Roman" w:cs="Times New Roman"/>
              <w:sz w:val="32"/>
            </w:rPr>
            <w:fldChar w:fldCharType="separate"/>
          </w:r>
          <w:r>
            <w:rPr>
              <w:rFonts w:ascii="Times New Roman" w:hAnsi="Times New Roman" w:cs="Times New Roman"/>
              <w:sz w:val="32"/>
            </w:rPr>
            <w:t>8</w:t>
          </w:r>
          <w:r>
            <w:rPr>
              <w:rFonts w:ascii="Times New Roman" w:hAnsi="Times New Roman" w:cs="Times New Roman"/>
              <w:sz w:val="32"/>
            </w:rPr>
            <w:fldChar w:fldCharType="end"/>
          </w:r>
          <w:r>
            <w:rPr>
              <w:rFonts w:ascii="Times New Roman" w:hAnsi="Times New Roman" w:cs="Times New Roman"/>
              <w:sz w:val="32"/>
            </w:rPr>
            <w:fldChar w:fldCharType="end"/>
          </w:r>
        </w:p>
        <w:p w14:paraId="3F966D6D">
          <w:pPr>
            <w:pStyle w:val="18"/>
            <w:rPr>
              <w:rFonts w:ascii="Times New Roman" w:hAnsi="Times New Roman" w:cs="Times New Roman"/>
              <w:sz w:val="32"/>
            </w:rPr>
          </w:pPr>
          <w:r>
            <w:fldChar w:fldCharType="begin"/>
          </w:r>
          <w:r>
            <w:instrText xml:space="preserve"> HYPERLINK \l "_Toc10418" </w:instrText>
          </w:r>
          <w:r>
            <w:fldChar w:fldCharType="separate"/>
          </w:r>
          <w:r>
            <w:rPr>
              <w:rFonts w:ascii="Times New Roman" w:hAnsi="Times New Roman" w:eastAsia="仿宋" w:cs="Times New Roman"/>
              <w:sz w:val="32"/>
            </w:rPr>
            <w:t xml:space="preserve">4 </w:t>
          </w:r>
          <w:r>
            <w:rPr>
              <w:rFonts w:ascii="Times New Roman" w:hAnsi="Times New Roman" w:cs="Times New Roman"/>
              <w:sz w:val="32"/>
            </w:rPr>
            <w:t>后期处置</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_Toc10418 \h </w:instrText>
          </w:r>
          <w:r>
            <w:rPr>
              <w:rFonts w:ascii="Times New Roman" w:hAnsi="Times New Roman" w:cs="Times New Roman"/>
              <w:sz w:val="32"/>
            </w:rPr>
            <w:fldChar w:fldCharType="separate"/>
          </w:r>
          <w:r>
            <w:rPr>
              <w:rFonts w:ascii="Times New Roman" w:hAnsi="Times New Roman" w:cs="Times New Roman"/>
              <w:sz w:val="32"/>
            </w:rPr>
            <w:t>9</w:t>
          </w:r>
          <w:r>
            <w:rPr>
              <w:rFonts w:ascii="Times New Roman" w:hAnsi="Times New Roman" w:cs="Times New Roman"/>
              <w:sz w:val="32"/>
            </w:rPr>
            <w:fldChar w:fldCharType="end"/>
          </w:r>
          <w:r>
            <w:rPr>
              <w:rFonts w:ascii="Times New Roman" w:hAnsi="Times New Roman" w:cs="Times New Roman"/>
              <w:sz w:val="32"/>
            </w:rPr>
            <w:fldChar w:fldCharType="end"/>
          </w:r>
        </w:p>
        <w:p w14:paraId="15AC678F">
          <w:pPr>
            <w:pStyle w:val="19"/>
            <w:tabs>
              <w:tab w:val="right" w:leader="dot" w:pos="8845"/>
            </w:tabs>
            <w:ind w:firstLine="552"/>
            <w:rPr>
              <w:rFonts w:ascii="Times New Roman" w:hAnsi="Times New Roman" w:cs="Times New Roman"/>
              <w:sz w:val="32"/>
            </w:rPr>
          </w:pPr>
          <w:r>
            <w:fldChar w:fldCharType="begin"/>
          </w:r>
          <w:r>
            <w:instrText xml:space="preserve"> HYPERLINK \l "_Toc30215" </w:instrText>
          </w:r>
          <w:r>
            <w:fldChar w:fldCharType="separate"/>
          </w:r>
          <w:r>
            <w:rPr>
              <w:rFonts w:ascii="Times New Roman" w:hAnsi="Times New Roman" w:eastAsia="仿宋" w:cs="Times New Roman"/>
              <w:bCs/>
              <w:sz w:val="32"/>
            </w:rPr>
            <w:t xml:space="preserve">4.1 </w:t>
          </w:r>
          <w:r>
            <w:rPr>
              <w:rFonts w:ascii="Times New Roman" w:hAnsi="Times New Roman" w:cs="Times New Roman"/>
              <w:sz w:val="32"/>
            </w:rPr>
            <w:t>调查评估</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_Toc30215 \h </w:instrText>
          </w:r>
          <w:r>
            <w:rPr>
              <w:rFonts w:ascii="Times New Roman" w:hAnsi="Times New Roman" w:cs="Times New Roman"/>
              <w:sz w:val="32"/>
            </w:rPr>
            <w:fldChar w:fldCharType="separate"/>
          </w:r>
          <w:r>
            <w:rPr>
              <w:rFonts w:ascii="Times New Roman" w:hAnsi="Times New Roman" w:cs="Times New Roman"/>
              <w:sz w:val="32"/>
            </w:rPr>
            <w:t>9</w:t>
          </w:r>
          <w:r>
            <w:rPr>
              <w:rFonts w:ascii="Times New Roman" w:hAnsi="Times New Roman" w:cs="Times New Roman"/>
              <w:sz w:val="32"/>
            </w:rPr>
            <w:fldChar w:fldCharType="end"/>
          </w:r>
          <w:r>
            <w:rPr>
              <w:rFonts w:ascii="Times New Roman" w:hAnsi="Times New Roman" w:cs="Times New Roman"/>
              <w:sz w:val="32"/>
            </w:rPr>
            <w:fldChar w:fldCharType="end"/>
          </w:r>
        </w:p>
        <w:p w14:paraId="556A714E">
          <w:pPr>
            <w:pStyle w:val="19"/>
            <w:tabs>
              <w:tab w:val="right" w:leader="dot" w:pos="8845"/>
            </w:tabs>
            <w:ind w:firstLine="552"/>
            <w:rPr>
              <w:rFonts w:ascii="Times New Roman" w:hAnsi="Times New Roman" w:cs="Times New Roman"/>
              <w:sz w:val="32"/>
            </w:rPr>
          </w:pPr>
          <w:r>
            <w:fldChar w:fldCharType="begin"/>
          </w:r>
          <w:r>
            <w:instrText xml:space="preserve"> HYPERLINK \l "_Toc20956" </w:instrText>
          </w:r>
          <w:r>
            <w:fldChar w:fldCharType="separate"/>
          </w:r>
          <w:r>
            <w:rPr>
              <w:rFonts w:ascii="Times New Roman" w:hAnsi="Times New Roman" w:eastAsia="仿宋" w:cs="Times New Roman"/>
              <w:bCs/>
              <w:sz w:val="32"/>
            </w:rPr>
            <w:t xml:space="preserve">4.2 </w:t>
          </w:r>
          <w:r>
            <w:rPr>
              <w:rFonts w:ascii="Times New Roman" w:hAnsi="Times New Roman" w:cs="Times New Roman"/>
              <w:sz w:val="32"/>
            </w:rPr>
            <w:t>责任与奖惩</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_Toc20956 \h </w:instrText>
          </w:r>
          <w:r>
            <w:rPr>
              <w:rFonts w:ascii="Times New Roman" w:hAnsi="Times New Roman" w:cs="Times New Roman"/>
              <w:sz w:val="32"/>
            </w:rPr>
            <w:fldChar w:fldCharType="separate"/>
          </w:r>
          <w:r>
            <w:rPr>
              <w:rFonts w:ascii="Times New Roman" w:hAnsi="Times New Roman" w:cs="Times New Roman"/>
              <w:sz w:val="32"/>
            </w:rPr>
            <w:t>9</w:t>
          </w:r>
          <w:r>
            <w:rPr>
              <w:rFonts w:ascii="Times New Roman" w:hAnsi="Times New Roman" w:cs="Times New Roman"/>
              <w:sz w:val="32"/>
            </w:rPr>
            <w:fldChar w:fldCharType="end"/>
          </w:r>
          <w:r>
            <w:rPr>
              <w:rFonts w:ascii="Times New Roman" w:hAnsi="Times New Roman" w:cs="Times New Roman"/>
              <w:sz w:val="32"/>
            </w:rPr>
            <w:fldChar w:fldCharType="end"/>
          </w:r>
        </w:p>
        <w:p w14:paraId="74930473">
          <w:pPr>
            <w:pStyle w:val="18"/>
            <w:rPr>
              <w:rFonts w:ascii="Times New Roman" w:hAnsi="Times New Roman" w:cs="Times New Roman"/>
              <w:sz w:val="32"/>
            </w:rPr>
          </w:pPr>
          <w:r>
            <w:fldChar w:fldCharType="begin"/>
          </w:r>
          <w:r>
            <w:instrText xml:space="preserve"> HYPERLINK \l "_Toc18451" </w:instrText>
          </w:r>
          <w:r>
            <w:fldChar w:fldCharType="separate"/>
          </w:r>
          <w:r>
            <w:rPr>
              <w:rFonts w:ascii="Times New Roman" w:hAnsi="Times New Roman" w:eastAsia="仿宋" w:cs="Times New Roman"/>
              <w:sz w:val="32"/>
            </w:rPr>
            <w:t xml:space="preserve">5 </w:t>
          </w:r>
          <w:r>
            <w:rPr>
              <w:rFonts w:ascii="Times New Roman" w:hAnsi="Times New Roman" w:cs="Times New Roman"/>
              <w:sz w:val="32"/>
            </w:rPr>
            <w:t>行动保障</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_Toc18451 \h </w:instrText>
          </w:r>
          <w:r>
            <w:rPr>
              <w:rFonts w:ascii="Times New Roman" w:hAnsi="Times New Roman" w:cs="Times New Roman"/>
              <w:sz w:val="32"/>
            </w:rPr>
            <w:fldChar w:fldCharType="separate"/>
          </w:r>
          <w:r>
            <w:rPr>
              <w:rFonts w:ascii="Times New Roman" w:hAnsi="Times New Roman" w:cs="Times New Roman"/>
              <w:sz w:val="32"/>
            </w:rPr>
            <w:t>9</w:t>
          </w:r>
          <w:r>
            <w:rPr>
              <w:rFonts w:ascii="Times New Roman" w:hAnsi="Times New Roman" w:cs="Times New Roman"/>
              <w:sz w:val="32"/>
            </w:rPr>
            <w:fldChar w:fldCharType="end"/>
          </w:r>
          <w:r>
            <w:rPr>
              <w:rFonts w:ascii="Times New Roman" w:hAnsi="Times New Roman" w:cs="Times New Roman"/>
              <w:sz w:val="32"/>
            </w:rPr>
            <w:fldChar w:fldCharType="end"/>
          </w:r>
        </w:p>
        <w:p w14:paraId="29035AFC">
          <w:pPr>
            <w:pStyle w:val="19"/>
            <w:tabs>
              <w:tab w:val="right" w:leader="dot" w:pos="8845"/>
            </w:tabs>
            <w:ind w:firstLine="552"/>
            <w:rPr>
              <w:rFonts w:ascii="Times New Roman" w:hAnsi="Times New Roman" w:cs="Times New Roman"/>
              <w:sz w:val="32"/>
            </w:rPr>
          </w:pPr>
          <w:r>
            <w:fldChar w:fldCharType="begin"/>
          </w:r>
          <w:r>
            <w:instrText xml:space="preserve"> HYPERLINK \l "_Toc2238" </w:instrText>
          </w:r>
          <w:r>
            <w:fldChar w:fldCharType="separate"/>
          </w:r>
          <w:r>
            <w:rPr>
              <w:rFonts w:ascii="Times New Roman" w:hAnsi="Times New Roman" w:eastAsia="仿宋" w:cs="Times New Roman"/>
              <w:bCs/>
              <w:sz w:val="32"/>
            </w:rPr>
            <w:t xml:space="preserve">5.1 </w:t>
          </w:r>
          <w:r>
            <w:rPr>
              <w:rFonts w:ascii="Times New Roman" w:hAnsi="Times New Roman" w:cs="Times New Roman"/>
              <w:sz w:val="32"/>
            </w:rPr>
            <w:t>交通保障</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_Toc2238 \h </w:instrText>
          </w:r>
          <w:r>
            <w:rPr>
              <w:rFonts w:ascii="Times New Roman" w:hAnsi="Times New Roman" w:cs="Times New Roman"/>
              <w:sz w:val="32"/>
            </w:rPr>
            <w:fldChar w:fldCharType="separate"/>
          </w:r>
          <w:r>
            <w:rPr>
              <w:rFonts w:ascii="Times New Roman" w:hAnsi="Times New Roman" w:cs="Times New Roman"/>
              <w:sz w:val="32"/>
            </w:rPr>
            <w:t>9</w:t>
          </w:r>
          <w:r>
            <w:rPr>
              <w:rFonts w:ascii="Times New Roman" w:hAnsi="Times New Roman" w:cs="Times New Roman"/>
              <w:sz w:val="32"/>
            </w:rPr>
            <w:fldChar w:fldCharType="end"/>
          </w:r>
          <w:r>
            <w:rPr>
              <w:rFonts w:ascii="Times New Roman" w:hAnsi="Times New Roman" w:cs="Times New Roman"/>
              <w:sz w:val="32"/>
            </w:rPr>
            <w:fldChar w:fldCharType="end"/>
          </w:r>
        </w:p>
        <w:p w14:paraId="65A1CBC5">
          <w:pPr>
            <w:pStyle w:val="19"/>
            <w:tabs>
              <w:tab w:val="right" w:leader="dot" w:pos="8845"/>
            </w:tabs>
            <w:ind w:firstLine="552"/>
            <w:rPr>
              <w:rFonts w:ascii="Times New Roman" w:hAnsi="Times New Roman" w:cs="Times New Roman"/>
              <w:sz w:val="32"/>
            </w:rPr>
          </w:pPr>
          <w:r>
            <w:fldChar w:fldCharType="begin"/>
          </w:r>
          <w:r>
            <w:instrText xml:space="preserve"> HYPERLINK \l "_Toc23420" </w:instrText>
          </w:r>
          <w:r>
            <w:fldChar w:fldCharType="separate"/>
          </w:r>
          <w:r>
            <w:rPr>
              <w:rFonts w:ascii="Times New Roman" w:hAnsi="Times New Roman" w:eastAsia="仿宋" w:cs="Times New Roman"/>
              <w:bCs/>
              <w:sz w:val="32"/>
            </w:rPr>
            <w:t xml:space="preserve">5.2 </w:t>
          </w:r>
          <w:r>
            <w:rPr>
              <w:rFonts w:ascii="Times New Roman" w:hAnsi="Times New Roman" w:cs="Times New Roman"/>
              <w:sz w:val="32"/>
            </w:rPr>
            <w:t>经费保障</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_Toc23420 \h </w:instrText>
          </w:r>
          <w:r>
            <w:rPr>
              <w:rFonts w:ascii="Times New Roman" w:hAnsi="Times New Roman" w:cs="Times New Roman"/>
              <w:sz w:val="32"/>
            </w:rPr>
            <w:fldChar w:fldCharType="separate"/>
          </w:r>
          <w:r>
            <w:rPr>
              <w:rFonts w:ascii="Times New Roman" w:hAnsi="Times New Roman" w:cs="Times New Roman"/>
              <w:sz w:val="32"/>
            </w:rPr>
            <w:t>9</w:t>
          </w:r>
          <w:r>
            <w:rPr>
              <w:rFonts w:ascii="Times New Roman" w:hAnsi="Times New Roman" w:cs="Times New Roman"/>
              <w:sz w:val="32"/>
            </w:rPr>
            <w:fldChar w:fldCharType="end"/>
          </w:r>
          <w:r>
            <w:rPr>
              <w:rFonts w:ascii="Times New Roman" w:hAnsi="Times New Roman" w:cs="Times New Roman"/>
              <w:sz w:val="32"/>
            </w:rPr>
            <w:fldChar w:fldCharType="end"/>
          </w:r>
        </w:p>
        <w:p w14:paraId="21B7DC62">
          <w:pPr>
            <w:pStyle w:val="19"/>
            <w:tabs>
              <w:tab w:val="right" w:leader="dot" w:pos="8845"/>
            </w:tabs>
            <w:ind w:firstLine="552"/>
            <w:rPr>
              <w:rFonts w:ascii="Times New Roman" w:hAnsi="Times New Roman" w:cs="Times New Roman"/>
              <w:sz w:val="32"/>
            </w:rPr>
          </w:pPr>
          <w:r>
            <w:fldChar w:fldCharType="begin"/>
          </w:r>
          <w:r>
            <w:instrText xml:space="preserve"> HYPERLINK \l "_Toc26865" </w:instrText>
          </w:r>
          <w:r>
            <w:fldChar w:fldCharType="separate"/>
          </w:r>
          <w:r>
            <w:rPr>
              <w:rFonts w:ascii="Times New Roman" w:hAnsi="Times New Roman" w:eastAsia="仿宋" w:cs="Times New Roman"/>
              <w:bCs/>
              <w:sz w:val="32"/>
            </w:rPr>
            <w:t xml:space="preserve">5.3 </w:t>
          </w:r>
          <w:r>
            <w:rPr>
              <w:rFonts w:ascii="Times New Roman" w:hAnsi="Times New Roman" w:cs="Times New Roman"/>
              <w:sz w:val="32"/>
            </w:rPr>
            <w:t>物资能源保障</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_Toc26865 \h </w:instrText>
          </w:r>
          <w:r>
            <w:rPr>
              <w:rFonts w:ascii="Times New Roman" w:hAnsi="Times New Roman" w:cs="Times New Roman"/>
              <w:sz w:val="32"/>
            </w:rPr>
            <w:fldChar w:fldCharType="separate"/>
          </w:r>
          <w:r>
            <w:rPr>
              <w:rFonts w:ascii="Times New Roman" w:hAnsi="Times New Roman" w:cs="Times New Roman"/>
              <w:sz w:val="32"/>
            </w:rPr>
            <w:t>9</w:t>
          </w:r>
          <w:r>
            <w:rPr>
              <w:rFonts w:ascii="Times New Roman" w:hAnsi="Times New Roman" w:cs="Times New Roman"/>
              <w:sz w:val="32"/>
            </w:rPr>
            <w:fldChar w:fldCharType="end"/>
          </w:r>
          <w:r>
            <w:rPr>
              <w:rFonts w:ascii="Times New Roman" w:hAnsi="Times New Roman" w:cs="Times New Roman"/>
              <w:sz w:val="32"/>
            </w:rPr>
            <w:fldChar w:fldCharType="end"/>
          </w:r>
        </w:p>
        <w:p w14:paraId="4E431B4C">
          <w:pPr>
            <w:pStyle w:val="19"/>
            <w:tabs>
              <w:tab w:val="right" w:leader="dot" w:pos="8845"/>
            </w:tabs>
            <w:ind w:firstLine="552"/>
            <w:rPr>
              <w:rFonts w:ascii="Times New Roman" w:hAnsi="Times New Roman" w:cs="Times New Roman"/>
              <w:sz w:val="32"/>
            </w:rPr>
          </w:pPr>
          <w:r>
            <w:fldChar w:fldCharType="begin"/>
          </w:r>
          <w:r>
            <w:instrText xml:space="preserve"> HYPERLINK \l "_Toc9141" </w:instrText>
          </w:r>
          <w:r>
            <w:fldChar w:fldCharType="separate"/>
          </w:r>
          <w:r>
            <w:rPr>
              <w:rFonts w:ascii="Times New Roman" w:hAnsi="Times New Roman" w:eastAsia="仿宋" w:cs="Times New Roman"/>
              <w:bCs/>
              <w:sz w:val="32"/>
            </w:rPr>
            <w:t xml:space="preserve">5.4 </w:t>
          </w:r>
          <w:r>
            <w:rPr>
              <w:rFonts w:ascii="Times New Roman" w:hAnsi="Times New Roman" w:cs="Times New Roman"/>
              <w:sz w:val="32"/>
            </w:rPr>
            <w:t>通信保障</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_Toc9141 \h </w:instrText>
          </w:r>
          <w:r>
            <w:rPr>
              <w:rFonts w:ascii="Times New Roman" w:hAnsi="Times New Roman" w:cs="Times New Roman"/>
              <w:sz w:val="32"/>
            </w:rPr>
            <w:fldChar w:fldCharType="separate"/>
          </w:r>
          <w:r>
            <w:rPr>
              <w:rFonts w:ascii="Times New Roman" w:hAnsi="Times New Roman" w:cs="Times New Roman"/>
              <w:sz w:val="32"/>
            </w:rPr>
            <w:t>9</w:t>
          </w:r>
          <w:r>
            <w:rPr>
              <w:rFonts w:ascii="Times New Roman" w:hAnsi="Times New Roman" w:cs="Times New Roman"/>
              <w:sz w:val="32"/>
            </w:rPr>
            <w:fldChar w:fldCharType="end"/>
          </w:r>
          <w:r>
            <w:rPr>
              <w:rFonts w:ascii="Times New Roman" w:hAnsi="Times New Roman" w:cs="Times New Roman"/>
              <w:sz w:val="32"/>
            </w:rPr>
            <w:fldChar w:fldCharType="end"/>
          </w:r>
        </w:p>
        <w:p w14:paraId="3F899B41">
          <w:pPr>
            <w:pStyle w:val="19"/>
            <w:tabs>
              <w:tab w:val="right" w:leader="dot" w:pos="8845"/>
            </w:tabs>
            <w:ind w:firstLine="552"/>
            <w:rPr>
              <w:rFonts w:ascii="Times New Roman" w:hAnsi="Times New Roman" w:cs="Times New Roman"/>
              <w:sz w:val="32"/>
            </w:rPr>
          </w:pPr>
          <w:r>
            <w:fldChar w:fldCharType="begin"/>
          </w:r>
          <w:r>
            <w:instrText xml:space="preserve"> HYPERLINK \l "_Toc11635" </w:instrText>
          </w:r>
          <w:r>
            <w:fldChar w:fldCharType="separate"/>
          </w:r>
          <w:r>
            <w:rPr>
              <w:rFonts w:ascii="Times New Roman" w:hAnsi="Times New Roman" w:eastAsia="仿宋" w:cs="Times New Roman"/>
              <w:bCs/>
              <w:sz w:val="32"/>
            </w:rPr>
            <w:t xml:space="preserve">5.5 </w:t>
          </w:r>
          <w:r>
            <w:rPr>
              <w:rFonts w:ascii="Times New Roman" w:hAnsi="Times New Roman" w:cs="Times New Roman"/>
              <w:sz w:val="32"/>
            </w:rPr>
            <w:t>组织纪律保障</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_Toc11635 \h </w:instrText>
          </w:r>
          <w:r>
            <w:rPr>
              <w:rFonts w:ascii="Times New Roman" w:hAnsi="Times New Roman" w:cs="Times New Roman"/>
              <w:sz w:val="32"/>
            </w:rPr>
            <w:fldChar w:fldCharType="separate"/>
          </w:r>
          <w:r>
            <w:rPr>
              <w:rFonts w:ascii="Times New Roman" w:hAnsi="Times New Roman" w:cs="Times New Roman"/>
              <w:sz w:val="32"/>
            </w:rPr>
            <w:t>10</w:t>
          </w:r>
          <w:r>
            <w:rPr>
              <w:rFonts w:ascii="Times New Roman" w:hAnsi="Times New Roman" w:cs="Times New Roman"/>
              <w:sz w:val="32"/>
            </w:rPr>
            <w:fldChar w:fldCharType="end"/>
          </w:r>
          <w:r>
            <w:rPr>
              <w:rFonts w:ascii="Times New Roman" w:hAnsi="Times New Roman" w:cs="Times New Roman"/>
              <w:sz w:val="32"/>
            </w:rPr>
            <w:fldChar w:fldCharType="end"/>
          </w:r>
        </w:p>
        <w:p w14:paraId="08A8E510">
          <w:pPr>
            <w:pStyle w:val="18"/>
            <w:rPr>
              <w:rFonts w:ascii="Times New Roman" w:hAnsi="Times New Roman" w:cs="Times New Roman"/>
              <w:sz w:val="32"/>
            </w:rPr>
          </w:pPr>
          <w:r>
            <w:fldChar w:fldCharType="begin"/>
          </w:r>
          <w:r>
            <w:instrText xml:space="preserve"> HYPERLINK \l "_Toc30667" </w:instrText>
          </w:r>
          <w:r>
            <w:fldChar w:fldCharType="separate"/>
          </w:r>
          <w:r>
            <w:rPr>
              <w:rFonts w:ascii="Times New Roman" w:hAnsi="Times New Roman" w:eastAsia="仿宋" w:cs="Times New Roman"/>
              <w:sz w:val="32"/>
            </w:rPr>
            <w:t xml:space="preserve">6 </w:t>
          </w:r>
          <w:r>
            <w:rPr>
              <w:rFonts w:ascii="Times New Roman" w:hAnsi="Times New Roman" w:cs="Times New Roman"/>
              <w:sz w:val="32"/>
            </w:rPr>
            <w:t>预案管理</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_Toc30667 \h </w:instrText>
          </w:r>
          <w:r>
            <w:rPr>
              <w:rFonts w:ascii="Times New Roman" w:hAnsi="Times New Roman" w:cs="Times New Roman"/>
              <w:sz w:val="32"/>
            </w:rPr>
            <w:fldChar w:fldCharType="separate"/>
          </w:r>
          <w:r>
            <w:rPr>
              <w:rFonts w:ascii="Times New Roman" w:hAnsi="Times New Roman" w:cs="Times New Roman"/>
              <w:sz w:val="32"/>
            </w:rPr>
            <w:t>10</w:t>
          </w:r>
          <w:r>
            <w:rPr>
              <w:rFonts w:ascii="Times New Roman" w:hAnsi="Times New Roman" w:cs="Times New Roman"/>
              <w:sz w:val="32"/>
            </w:rPr>
            <w:fldChar w:fldCharType="end"/>
          </w:r>
          <w:r>
            <w:rPr>
              <w:rFonts w:ascii="Times New Roman" w:hAnsi="Times New Roman" w:cs="Times New Roman"/>
              <w:sz w:val="32"/>
            </w:rPr>
            <w:fldChar w:fldCharType="end"/>
          </w:r>
        </w:p>
        <w:p w14:paraId="613CE843">
          <w:pPr>
            <w:pStyle w:val="19"/>
            <w:tabs>
              <w:tab w:val="right" w:leader="dot" w:pos="8845"/>
            </w:tabs>
            <w:ind w:firstLine="552"/>
            <w:rPr>
              <w:rFonts w:ascii="Times New Roman" w:hAnsi="Times New Roman" w:cs="Times New Roman"/>
              <w:sz w:val="32"/>
            </w:rPr>
          </w:pPr>
          <w:r>
            <w:fldChar w:fldCharType="begin"/>
          </w:r>
          <w:r>
            <w:instrText xml:space="preserve"> HYPERLINK \l "_Toc24827" </w:instrText>
          </w:r>
          <w:r>
            <w:fldChar w:fldCharType="separate"/>
          </w:r>
          <w:r>
            <w:rPr>
              <w:rFonts w:ascii="Times New Roman" w:hAnsi="Times New Roman" w:eastAsia="仿宋" w:cs="Times New Roman"/>
              <w:bCs/>
              <w:sz w:val="32"/>
            </w:rPr>
            <w:t xml:space="preserve">6.1 </w:t>
          </w:r>
          <w:r>
            <w:rPr>
              <w:rFonts w:ascii="Times New Roman" w:hAnsi="Times New Roman" w:cs="Times New Roman"/>
              <w:sz w:val="32"/>
            </w:rPr>
            <w:t>应急预案培训</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_Toc24827 \h </w:instrText>
          </w:r>
          <w:r>
            <w:rPr>
              <w:rFonts w:ascii="Times New Roman" w:hAnsi="Times New Roman" w:cs="Times New Roman"/>
              <w:sz w:val="32"/>
            </w:rPr>
            <w:fldChar w:fldCharType="separate"/>
          </w:r>
          <w:r>
            <w:rPr>
              <w:rFonts w:ascii="Times New Roman" w:hAnsi="Times New Roman" w:cs="Times New Roman"/>
              <w:sz w:val="32"/>
            </w:rPr>
            <w:t>10</w:t>
          </w:r>
          <w:r>
            <w:rPr>
              <w:rFonts w:ascii="Times New Roman" w:hAnsi="Times New Roman" w:cs="Times New Roman"/>
              <w:sz w:val="32"/>
            </w:rPr>
            <w:fldChar w:fldCharType="end"/>
          </w:r>
          <w:r>
            <w:rPr>
              <w:rFonts w:ascii="Times New Roman" w:hAnsi="Times New Roman" w:cs="Times New Roman"/>
              <w:sz w:val="32"/>
            </w:rPr>
            <w:fldChar w:fldCharType="end"/>
          </w:r>
        </w:p>
        <w:p w14:paraId="2E5A71BD">
          <w:pPr>
            <w:pStyle w:val="19"/>
            <w:tabs>
              <w:tab w:val="right" w:leader="dot" w:pos="8845"/>
            </w:tabs>
            <w:ind w:firstLine="552"/>
            <w:rPr>
              <w:rFonts w:ascii="Times New Roman" w:hAnsi="Times New Roman" w:cs="Times New Roman"/>
              <w:sz w:val="32"/>
            </w:rPr>
          </w:pPr>
          <w:r>
            <w:fldChar w:fldCharType="begin"/>
          </w:r>
          <w:r>
            <w:instrText xml:space="preserve"> HYPERLINK \l "_Toc4086" </w:instrText>
          </w:r>
          <w:r>
            <w:fldChar w:fldCharType="separate"/>
          </w:r>
          <w:r>
            <w:rPr>
              <w:rFonts w:ascii="Times New Roman" w:hAnsi="Times New Roman" w:eastAsia="仿宋" w:cs="Times New Roman"/>
              <w:bCs/>
              <w:sz w:val="32"/>
            </w:rPr>
            <w:t xml:space="preserve">6.2 </w:t>
          </w:r>
          <w:r>
            <w:rPr>
              <w:rFonts w:ascii="Times New Roman" w:hAnsi="Times New Roman" w:cs="Times New Roman"/>
              <w:sz w:val="32"/>
            </w:rPr>
            <w:t>应急演练</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_Toc4086 \h </w:instrText>
          </w:r>
          <w:r>
            <w:rPr>
              <w:rFonts w:ascii="Times New Roman" w:hAnsi="Times New Roman" w:cs="Times New Roman"/>
              <w:sz w:val="32"/>
            </w:rPr>
            <w:fldChar w:fldCharType="separate"/>
          </w:r>
          <w:r>
            <w:rPr>
              <w:rFonts w:ascii="Times New Roman" w:hAnsi="Times New Roman" w:cs="Times New Roman"/>
              <w:sz w:val="32"/>
            </w:rPr>
            <w:t>10</w:t>
          </w:r>
          <w:r>
            <w:rPr>
              <w:rFonts w:ascii="Times New Roman" w:hAnsi="Times New Roman" w:cs="Times New Roman"/>
              <w:sz w:val="32"/>
            </w:rPr>
            <w:fldChar w:fldCharType="end"/>
          </w:r>
          <w:r>
            <w:rPr>
              <w:rFonts w:ascii="Times New Roman" w:hAnsi="Times New Roman" w:cs="Times New Roman"/>
              <w:sz w:val="32"/>
            </w:rPr>
            <w:fldChar w:fldCharType="end"/>
          </w:r>
        </w:p>
        <w:p w14:paraId="4F61B5CA">
          <w:pPr>
            <w:pStyle w:val="19"/>
            <w:tabs>
              <w:tab w:val="right" w:leader="dot" w:pos="8845"/>
            </w:tabs>
            <w:ind w:firstLine="552"/>
            <w:rPr>
              <w:rFonts w:ascii="Times New Roman" w:hAnsi="Times New Roman" w:cs="Times New Roman"/>
              <w:sz w:val="32"/>
            </w:rPr>
          </w:pPr>
          <w:r>
            <w:fldChar w:fldCharType="begin"/>
          </w:r>
          <w:r>
            <w:instrText xml:space="preserve"> HYPERLINK \l "_Toc14805" </w:instrText>
          </w:r>
          <w:r>
            <w:fldChar w:fldCharType="separate"/>
          </w:r>
          <w:r>
            <w:rPr>
              <w:rFonts w:ascii="Times New Roman" w:hAnsi="Times New Roman" w:eastAsia="仿宋" w:cs="Times New Roman"/>
              <w:bCs/>
              <w:sz w:val="32"/>
            </w:rPr>
            <w:t xml:space="preserve">6.3 </w:t>
          </w:r>
          <w:r>
            <w:rPr>
              <w:rFonts w:ascii="Times New Roman" w:hAnsi="Times New Roman" w:cs="Times New Roman"/>
              <w:sz w:val="32"/>
            </w:rPr>
            <w:t>评估与修订</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_Toc14805 \h </w:instrText>
          </w:r>
          <w:r>
            <w:rPr>
              <w:rFonts w:ascii="Times New Roman" w:hAnsi="Times New Roman" w:cs="Times New Roman"/>
              <w:sz w:val="32"/>
            </w:rPr>
            <w:fldChar w:fldCharType="separate"/>
          </w:r>
          <w:r>
            <w:rPr>
              <w:rFonts w:ascii="Times New Roman" w:hAnsi="Times New Roman" w:cs="Times New Roman"/>
              <w:sz w:val="32"/>
            </w:rPr>
            <w:t>11</w:t>
          </w:r>
          <w:r>
            <w:rPr>
              <w:rFonts w:ascii="Times New Roman" w:hAnsi="Times New Roman" w:cs="Times New Roman"/>
              <w:sz w:val="32"/>
            </w:rPr>
            <w:fldChar w:fldCharType="end"/>
          </w:r>
          <w:r>
            <w:rPr>
              <w:rFonts w:ascii="Times New Roman" w:hAnsi="Times New Roman" w:cs="Times New Roman"/>
              <w:sz w:val="32"/>
            </w:rPr>
            <w:fldChar w:fldCharType="end"/>
          </w:r>
        </w:p>
        <w:p w14:paraId="50AED118">
          <w:pPr>
            <w:pStyle w:val="19"/>
            <w:tabs>
              <w:tab w:val="right" w:leader="dot" w:pos="8845"/>
            </w:tabs>
            <w:ind w:firstLine="552"/>
            <w:rPr>
              <w:rFonts w:ascii="Times New Roman" w:hAnsi="Times New Roman" w:cs="Times New Roman"/>
            </w:rPr>
          </w:pPr>
          <w:r>
            <w:fldChar w:fldCharType="begin"/>
          </w:r>
          <w:r>
            <w:instrText xml:space="preserve"> HYPERLINK \l "_Toc29817" </w:instrText>
          </w:r>
          <w:r>
            <w:fldChar w:fldCharType="separate"/>
          </w:r>
          <w:r>
            <w:rPr>
              <w:rFonts w:ascii="Times New Roman" w:hAnsi="Times New Roman" w:eastAsia="仿宋" w:cs="Times New Roman"/>
              <w:bCs/>
              <w:sz w:val="32"/>
            </w:rPr>
            <w:t xml:space="preserve">6.4 </w:t>
          </w:r>
          <w:r>
            <w:rPr>
              <w:rFonts w:ascii="Times New Roman" w:hAnsi="Times New Roman" w:cs="Times New Roman"/>
              <w:sz w:val="32"/>
            </w:rPr>
            <w:t>预案解释与实施</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_Toc29817 \h </w:instrText>
          </w:r>
          <w:r>
            <w:rPr>
              <w:rFonts w:ascii="Times New Roman" w:hAnsi="Times New Roman" w:cs="Times New Roman"/>
              <w:sz w:val="32"/>
            </w:rPr>
            <w:fldChar w:fldCharType="separate"/>
          </w:r>
          <w:r>
            <w:rPr>
              <w:rFonts w:ascii="Times New Roman" w:hAnsi="Times New Roman" w:cs="Times New Roman"/>
              <w:sz w:val="32"/>
            </w:rPr>
            <w:t>11</w:t>
          </w:r>
          <w:r>
            <w:rPr>
              <w:rFonts w:ascii="Times New Roman" w:hAnsi="Times New Roman" w:cs="Times New Roman"/>
              <w:sz w:val="32"/>
            </w:rPr>
            <w:fldChar w:fldCharType="end"/>
          </w:r>
          <w:r>
            <w:rPr>
              <w:rFonts w:ascii="Times New Roman" w:hAnsi="Times New Roman" w:cs="Times New Roman"/>
              <w:sz w:val="32"/>
            </w:rPr>
            <w:fldChar w:fldCharType="end"/>
          </w:r>
        </w:p>
        <w:p w14:paraId="3C140E7E">
          <w:pPr>
            <w:pStyle w:val="15"/>
            <w:ind w:left="0" w:leftChars="0" w:firstLine="0" w:firstLineChars="0"/>
            <w:rPr>
              <w:rFonts w:ascii="Times New Roman" w:hAnsi="Times New Roman" w:eastAsia="仿宋" w:cs="Times New Roman"/>
              <w:b/>
              <w:sz w:val="32"/>
            </w:rPr>
          </w:pPr>
          <w:r>
            <w:rPr>
              <w:rFonts w:ascii="Times New Roman" w:hAnsi="Times New Roman" w:cs="Times New Roman"/>
            </w:rPr>
            <w:fldChar w:fldCharType="end"/>
          </w:r>
        </w:p>
      </w:sdtContent>
    </w:sdt>
    <w:p w14:paraId="1DBAA896">
      <w:pPr>
        <w:pStyle w:val="15"/>
        <w:ind w:left="0" w:leftChars="0" w:firstLine="0" w:firstLineChars="0"/>
        <w:rPr>
          <w:rFonts w:ascii="Times New Roman" w:hAnsi="Times New Roman" w:eastAsia="仿宋" w:cs="Times New Roman"/>
          <w:b/>
          <w:sz w:val="32"/>
        </w:rPr>
      </w:pPr>
    </w:p>
    <w:p w14:paraId="26971A20">
      <w:pPr>
        <w:ind w:firstLine="552"/>
        <w:rPr>
          <w:rFonts w:ascii="Times New Roman" w:hAnsi="Times New Roman" w:cs="Times New Roman"/>
        </w:rPr>
        <w:sectPr>
          <w:headerReference r:id="rId163" w:type="default"/>
          <w:footerReference r:id="rId164" w:type="default"/>
          <w:footerReference r:id="rId165" w:type="even"/>
          <w:pgSz w:w="11906" w:h="16838"/>
          <w:pgMar w:top="2098" w:right="1474" w:bottom="1984" w:left="1587" w:header="624" w:footer="1134" w:gutter="0"/>
          <w:pgNumType w:fmt="upperRoman" w:start="1"/>
          <w:cols w:space="0" w:num="1"/>
          <w:docGrid w:type="linesAndChars" w:linePitch="579" w:charSpace="-842"/>
        </w:sectPr>
      </w:pPr>
    </w:p>
    <w:p w14:paraId="6F0789BC">
      <w:pPr>
        <w:pStyle w:val="2"/>
        <w:numPr>
          <w:ilvl w:val="0"/>
          <w:numId w:val="236"/>
        </w:numPr>
        <w:tabs>
          <w:tab w:val="left" w:pos="0"/>
        </w:tabs>
        <w:ind w:firstLine="0" w:firstLineChars="0"/>
        <w:rPr>
          <w:rFonts w:ascii="Times New Roman" w:hAnsi="Times New Roman" w:cs="Times New Roman"/>
          <w:sz w:val="32"/>
        </w:rPr>
      </w:pPr>
      <w:bookmarkStart w:id="1506" w:name="_Toc12445"/>
      <w:r>
        <w:rPr>
          <w:rFonts w:ascii="Times New Roman" w:hAnsi="Times New Roman" w:cs="Times New Roman"/>
          <w:sz w:val="32"/>
        </w:rPr>
        <w:t>总则</w:t>
      </w:r>
      <w:bookmarkEnd w:id="1506"/>
    </w:p>
    <w:p w14:paraId="7FD58F02">
      <w:pPr>
        <w:pStyle w:val="3"/>
        <w:ind w:firstLine="0" w:firstLineChars="0"/>
        <w:rPr>
          <w:rFonts w:ascii="Times New Roman" w:hAnsi="Times New Roman" w:cs="Times New Roman"/>
          <w:sz w:val="32"/>
        </w:rPr>
      </w:pPr>
      <w:bookmarkStart w:id="1507" w:name="_Toc12052"/>
      <w:r>
        <w:rPr>
          <w:rFonts w:ascii="Times New Roman" w:hAnsi="Times New Roman" w:cs="Times New Roman"/>
          <w:sz w:val="32"/>
        </w:rPr>
        <w:t>编制目的</w:t>
      </w:r>
      <w:bookmarkEnd w:id="1507"/>
    </w:p>
    <w:p w14:paraId="60ACE2DD">
      <w:pPr>
        <w:ind w:firstLine="632"/>
        <w:rPr>
          <w:rFonts w:ascii="Times New Roman" w:hAnsi="Times New Roman" w:cs="Times New Roman"/>
          <w:sz w:val="32"/>
        </w:rPr>
      </w:pPr>
      <w:r>
        <w:rPr>
          <w:rFonts w:ascii="Times New Roman" w:hAnsi="Times New Roman" w:cs="Times New Roman"/>
          <w:sz w:val="32"/>
        </w:rPr>
        <w:t>采取及时、有效的处置措施，防止各类突发公共事件事态恶化、失控，维护正常的社会治安秩序，最大程度地保护公共安全和公众生命财产安全，确保社会稳定。</w:t>
      </w:r>
    </w:p>
    <w:p w14:paraId="4AF4ECFC">
      <w:pPr>
        <w:pStyle w:val="3"/>
        <w:ind w:firstLine="0" w:firstLineChars="0"/>
        <w:rPr>
          <w:rFonts w:ascii="Times New Roman" w:hAnsi="Times New Roman" w:cs="Times New Roman"/>
          <w:sz w:val="32"/>
        </w:rPr>
      </w:pPr>
      <w:bookmarkStart w:id="1508" w:name="_Toc26380"/>
      <w:r>
        <w:rPr>
          <w:rFonts w:ascii="Times New Roman" w:hAnsi="Times New Roman" w:cs="Times New Roman"/>
          <w:sz w:val="32"/>
        </w:rPr>
        <w:t>编制依据</w:t>
      </w:r>
      <w:bookmarkEnd w:id="1508"/>
    </w:p>
    <w:p w14:paraId="0BAA8BC9">
      <w:pPr>
        <w:ind w:firstLine="632"/>
        <w:rPr>
          <w:rFonts w:ascii="Times New Roman" w:hAnsi="Times New Roman" w:cs="Times New Roman"/>
          <w:sz w:val="32"/>
        </w:rPr>
      </w:pPr>
      <w:r>
        <w:rPr>
          <w:rFonts w:ascii="Times New Roman" w:hAnsi="Times New Roman" w:cs="Times New Roman"/>
          <w:sz w:val="32"/>
        </w:rPr>
        <w:t>依据《中华人民共和国刑法》《中华人民共和国刑事诉讼法》《中华人民共和国人民警察法》《中华人民共和国治安管理处罚法》《集贤县突发事件总体应急预案》等法律法规及有关规定，制定本预案。</w:t>
      </w:r>
    </w:p>
    <w:p w14:paraId="2D578A06">
      <w:pPr>
        <w:pStyle w:val="3"/>
        <w:ind w:firstLine="0" w:firstLineChars="0"/>
        <w:rPr>
          <w:rFonts w:ascii="Times New Roman" w:hAnsi="Times New Roman" w:cs="Times New Roman"/>
          <w:sz w:val="32"/>
        </w:rPr>
      </w:pPr>
      <w:bookmarkStart w:id="1509" w:name="_Toc12092"/>
      <w:r>
        <w:rPr>
          <w:rFonts w:ascii="Times New Roman" w:hAnsi="Times New Roman" w:cs="Times New Roman"/>
          <w:sz w:val="32"/>
        </w:rPr>
        <w:t>适用范围</w:t>
      </w:r>
      <w:bookmarkEnd w:id="1509"/>
    </w:p>
    <w:p w14:paraId="524A39AD">
      <w:pPr>
        <w:ind w:firstLine="632"/>
        <w:rPr>
          <w:rFonts w:ascii="Times New Roman" w:hAnsi="Times New Roman" w:cs="Times New Roman"/>
          <w:sz w:val="32"/>
        </w:rPr>
      </w:pPr>
      <w:r>
        <w:rPr>
          <w:rFonts w:ascii="Times New Roman" w:hAnsi="Times New Roman" w:cs="Times New Roman"/>
          <w:sz w:val="32"/>
        </w:rPr>
        <w:t>本方案适用于我县行政区域内发生的、需要由县政府负责处置的突发事件的治安维护行动。</w:t>
      </w:r>
    </w:p>
    <w:p w14:paraId="57CCBA19">
      <w:pPr>
        <w:pStyle w:val="3"/>
        <w:ind w:firstLine="0" w:firstLineChars="0"/>
        <w:rPr>
          <w:rFonts w:ascii="Times New Roman" w:hAnsi="Times New Roman" w:cs="Times New Roman"/>
          <w:sz w:val="32"/>
        </w:rPr>
      </w:pPr>
      <w:bookmarkStart w:id="1510" w:name="_Toc10192"/>
      <w:r>
        <w:rPr>
          <w:rFonts w:ascii="Times New Roman" w:hAnsi="Times New Roman" w:cs="Times New Roman"/>
          <w:sz w:val="32"/>
        </w:rPr>
        <w:t>工作原则</w:t>
      </w:r>
      <w:bookmarkEnd w:id="1510"/>
    </w:p>
    <w:p w14:paraId="6E83B119">
      <w:pPr>
        <w:ind w:firstLine="632"/>
        <w:rPr>
          <w:rFonts w:ascii="Times New Roman" w:hAnsi="Times New Roman" w:cs="Times New Roman"/>
          <w:sz w:val="32"/>
        </w:rPr>
      </w:pPr>
      <w:r>
        <w:rPr>
          <w:rFonts w:ascii="Times New Roman" w:hAnsi="Times New Roman" w:cs="Times New Roman"/>
          <w:sz w:val="32"/>
        </w:rPr>
        <w:t>（1）以人为本。把维护公共安全和人民群众生命财产安全作为首要任务。在突发公共事件发生前，及时采取有效的防范和控制措施，预防人员伤亡和危害发生；在突发公共事件发生后，采取一切有效措施维护现场治安秩序，为抢救人员、输送物资等处置行动开辟顺畅通道，最大程度地避免人员伤亡、减轻事件危害。</w:t>
      </w:r>
    </w:p>
    <w:p w14:paraId="38255F4D">
      <w:pPr>
        <w:ind w:firstLine="632"/>
        <w:rPr>
          <w:rFonts w:ascii="Times New Roman" w:hAnsi="Times New Roman" w:cs="Times New Roman"/>
          <w:sz w:val="32"/>
        </w:rPr>
      </w:pPr>
      <w:r>
        <w:rPr>
          <w:rFonts w:ascii="Times New Roman" w:hAnsi="Times New Roman" w:cs="Times New Roman"/>
          <w:sz w:val="32"/>
        </w:rPr>
        <w:t>（2）快速响应。建立健全快速响应机制，及时获取充分而准确的信息，迅速调动人员和装备开展治安维护行动，最大程度地减少危害和社会负面影响。</w:t>
      </w:r>
    </w:p>
    <w:p w14:paraId="738286B4">
      <w:pPr>
        <w:ind w:firstLine="632"/>
        <w:rPr>
          <w:rFonts w:ascii="Times New Roman" w:hAnsi="Times New Roman" w:cs="Times New Roman"/>
          <w:sz w:val="32"/>
        </w:rPr>
      </w:pPr>
      <w:r>
        <w:rPr>
          <w:rFonts w:ascii="Times New Roman" w:hAnsi="Times New Roman" w:cs="Times New Roman"/>
          <w:sz w:val="32"/>
        </w:rPr>
        <w:t>（3）分级负责。按照“条块结合、属地管理”的应急管理机制要求，在事发地乡镇人民政府的统一领导下，事发地派出所果断采取有效措施，妥善组织治安维护行动。县公安局对事发地派出所的治安维护行动给予指导、协调和督促落实。</w:t>
      </w:r>
    </w:p>
    <w:p w14:paraId="21592FA7">
      <w:pPr>
        <w:ind w:firstLine="632"/>
        <w:rPr>
          <w:rFonts w:ascii="Times New Roman" w:hAnsi="Times New Roman" w:cs="Times New Roman"/>
          <w:sz w:val="32"/>
        </w:rPr>
      </w:pPr>
      <w:r>
        <w:rPr>
          <w:rFonts w:ascii="Times New Roman" w:hAnsi="Times New Roman" w:cs="Times New Roman"/>
          <w:sz w:val="32"/>
        </w:rPr>
        <w:t>（4）分类管理。根据突发公共事件的类型、严重程度、波及范围等因素，组织相应的警种和装备执行治安维护应急行动，确保行动的针对性和有效性。</w:t>
      </w:r>
    </w:p>
    <w:p w14:paraId="1EBF214F">
      <w:pPr>
        <w:ind w:firstLine="632"/>
        <w:rPr>
          <w:rFonts w:ascii="Times New Roman" w:hAnsi="Times New Roman" w:cs="Times New Roman"/>
          <w:sz w:val="32"/>
        </w:rPr>
      </w:pPr>
      <w:r>
        <w:rPr>
          <w:rFonts w:ascii="Times New Roman" w:hAnsi="Times New Roman" w:cs="Times New Roman"/>
          <w:sz w:val="32"/>
        </w:rPr>
        <w:t>（5）联动处置。在相应突发公共事件应急指挥机构的统一指挥下，与其他参与事件处置行动的单位、部门和抢险救援队有机衔接、沟通协调，整体联动、高效运转，确保治安维护行动顺利实施。</w:t>
      </w:r>
    </w:p>
    <w:p w14:paraId="42567ABA">
      <w:pPr>
        <w:pStyle w:val="2"/>
        <w:numPr>
          <w:ilvl w:val="0"/>
          <w:numId w:val="236"/>
        </w:numPr>
        <w:tabs>
          <w:tab w:val="left" w:pos="0"/>
        </w:tabs>
        <w:ind w:firstLine="0" w:firstLineChars="0"/>
        <w:rPr>
          <w:rFonts w:ascii="Times New Roman" w:hAnsi="Times New Roman" w:cs="Times New Roman"/>
          <w:sz w:val="32"/>
        </w:rPr>
      </w:pPr>
      <w:r>
        <w:rPr>
          <w:rFonts w:ascii="Times New Roman" w:hAnsi="Times New Roman" w:cs="Times New Roman"/>
          <w:sz w:val="32"/>
        </w:rPr>
        <w:t>组织指挥体系</w:t>
      </w:r>
    </w:p>
    <w:p w14:paraId="79D5725A">
      <w:pPr>
        <w:ind w:firstLine="632"/>
        <w:rPr>
          <w:rFonts w:ascii="Times New Roman" w:hAnsi="Times New Roman" w:cs="Times New Roman"/>
          <w:sz w:val="32"/>
        </w:rPr>
      </w:pPr>
      <w:r>
        <w:rPr>
          <w:rFonts w:ascii="Times New Roman" w:hAnsi="Times New Roman" w:cs="Times New Roman"/>
          <w:sz w:val="32"/>
        </w:rPr>
        <w:t>县突发公共事件治安维护应急保障组织指挥体系由领导指挥机构、现场指挥机构和应急处置力量组成。</w:t>
      </w:r>
    </w:p>
    <w:p w14:paraId="0552ED69">
      <w:pPr>
        <w:pStyle w:val="3"/>
        <w:ind w:firstLine="0" w:firstLineChars="0"/>
        <w:rPr>
          <w:rFonts w:ascii="Times New Roman" w:hAnsi="Times New Roman" w:cs="Times New Roman"/>
          <w:sz w:val="32"/>
        </w:rPr>
      </w:pPr>
      <w:bookmarkStart w:id="1511" w:name="_Toc7896"/>
      <w:r>
        <w:rPr>
          <w:rFonts w:ascii="Times New Roman" w:hAnsi="Times New Roman" w:cs="Times New Roman"/>
          <w:sz w:val="32"/>
        </w:rPr>
        <w:t>领导指挥机构</w:t>
      </w:r>
      <w:bookmarkEnd w:id="1511"/>
    </w:p>
    <w:p w14:paraId="1228C948">
      <w:pPr>
        <w:ind w:firstLine="632"/>
        <w:rPr>
          <w:rFonts w:ascii="Times New Roman" w:hAnsi="Times New Roman" w:cs="Times New Roman"/>
          <w:sz w:val="32"/>
        </w:rPr>
      </w:pPr>
      <w:r>
        <w:rPr>
          <w:rFonts w:ascii="Times New Roman" w:hAnsi="Times New Roman" w:cs="Times New Roman"/>
          <w:sz w:val="32"/>
        </w:rPr>
        <w:t>突发事件发生后，根据应急处置中社会治安维护行动需要，集贤县人民政府建立县突发公共事件治安维护应急行动指挥部（以下简称“县指挥部”），在县指挥部的统一指挥下，组织指挥事发地实施治安维护行动。</w:t>
      </w:r>
    </w:p>
    <w:p w14:paraId="5B00AE6C">
      <w:pPr>
        <w:pStyle w:val="4"/>
        <w:numPr>
          <w:ilvl w:val="2"/>
          <w:numId w:val="236"/>
        </w:numPr>
        <w:tabs>
          <w:tab w:val="left" w:pos="0"/>
        </w:tabs>
        <w:ind w:firstLine="0" w:firstLineChars="0"/>
        <w:rPr>
          <w:rFonts w:ascii="Times New Roman" w:hAnsi="Times New Roman" w:cs="Times New Roman"/>
          <w:sz w:val="32"/>
        </w:rPr>
      </w:pPr>
      <w:r>
        <w:rPr>
          <w:rFonts w:ascii="Times New Roman" w:hAnsi="Times New Roman" w:cs="Times New Roman"/>
          <w:sz w:val="32"/>
        </w:rPr>
        <w:t>县指挥部组成</w:t>
      </w:r>
    </w:p>
    <w:p w14:paraId="6162C774">
      <w:pPr>
        <w:ind w:firstLine="632"/>
        <w:rPr>
          <w:rFonts w:ascii="Times New Roman" w:hAnsi="Times New Roman" w:cs="Times New Roman"/>
          <w:sz w:val="32"/>
        </w:rPr>
      </w:pPr>
      <w:r>
        <w:rPr>
          <w:rFonts w:ascii="Times New Roman" w:hAnsi="Times New Roman" w:cs="Times New Roman"/>
          <w:sz w:val="32"/>
        </w:rPr>
        <w:t>根据突发事件的性质和类型、严重程度和治安维护行动需要，县指挥部总指挥由县政府分管副县长、县公安局局长担任，副总指挥由县公安局分管副局长担任，县公安局有关业务科室负责人为指挥部成员。</w:t>
      </w:r>
    </w:p>
    <w:p w14:paraId="2A64C62A">
      <w:pPr>
        <w:ind w:firstLine="632"/>
        <w:rPr>
          <w:rFonts w:ascii="Times New Roman" w:hAnsi="Times New Roman" w:cs="Times New Roman"/>
          <w:sz w:val="32"/>
        </w:rPr>
      </w:pPr>
      <w:r>
        <w:rPr>
          <w:rFonts w:ascii="Times New Roman" w:hAnsi="Times New Roman" w:cs="Times New Roman"/>
          <w:sz w:val="32"/>
        </w:rPr>
        <w:t>县指挥部根据治安维护保障行动需要，下设综合协调组、后勤保障组、现场指导组等工作组，由县公安局有关科室负责人任组长。县指挥部指挥地点设在县公安局指挥中心。</w:t>
      </w:r>
    </w:p>
    <w:p w14:paraId="63723EB4">
      <w:pPr>
        <w:pStyle w:val="4"/>
        <w:numPr>
          <w:ilvl w:val="2"/>
          <w:numId w:val="236"/>
        </w:numPr>
        <w:tabs>
          <w:tab w:val="left" w:pos="0"/>
        </w:tabs>
        <w:ind w:firstLine="0" w:firstLineChars="0"/>
        <w:rPr>
          <w:rFonts w:ascii="Times New Roman" w:hAnsi="Times New Roman" w:cs="Times New Roman"/>
          <w:sz w:val="32"/>
        </w:rPr>
      </w:pPr>
      <w:r>
        <w:rPr>
          <w:rFonts w:ascii="Times New Roman" w:hAnsi="Times New Roman" w:cs="Times New Roman"/>
          <w:sz w:val="32"/>
        </w:rPr>
        <w:t>县指挥部职责</w:t>
      </w:r>
    </w:p>
    <w:p w14:paraId="52BA44DD">
      <w:pPr>
        <w:ind w:firstLine="632"/>
        <w:rPr>
          <w:rFonts w:ascii="Times New Roman" w:hAnsi="Times New Roman" w:cs="Times New Roman"/>
          <w:sz w:val="32"/>
        </w:rPr>
      </w:pPr>
      <w:r>
        <w:rPr>
          <w:rFonts w:ascii="Times New Roman" w:hAnsi="Times New Roman" w:cs="Times New Roman"/>
          <w:sz w:val="32"/>
        </w:rPr>
        <w:t>（1）统一指挥、协调突发事件的治安维护行动，负责作出决策、下达命令和进行监督。</w:t>
      </w:r>
    </w:p>
    <w:p w14:paraId="0CF744E8">
      <w:pPr>
        <w:ind w:firstLine="632"/>
        <w:rPr>
          <w:rFonts w:ascii="Times New Roman" w:hAnsi="Times New Roman" w:cs="Times New Roman"/>
          <w:sz w:val="32"/>
        </w:rPr>
      </w:pPr>
      <w:r>
        <w:rPr>
          <w:rFonts w:ascii="Times New Roman" w:hAnsi="Times New Roman" w:cs="Times New Roman"/>
          <w:sz w:val="32"/>
        </w:rPr>
        <w:t>（2）及时掌握现场情况，根据现场事态的严重程度，指挥协调有关警种和装备赶赴事发地支援治安维护行动。</w:t>
      </w:r>
    </w:p>
    <w:p w14:paraId="2A151A08">
      <w:pPr>
        <w:ind w:firstLine="632"/>
        <w:rPr>
          <w:rFonts w:ascii="Times New Roman" w:hAnsi="Times New Roman" w:cs="Times New Roman"/>
          <w:sz w:val="32"/>
        </w:rPr>
      </w:pPr>
      <w:r>
        <w:rPr>
          <w:rFonts w:ascii="Times New Roman" w:hAnsi="Times New Roman" w:cs="Times New Roman"/>
          <w:sz w:val="32"/>
        </w:rPr>
        <w:t>（3）必要时派出工作组，赴事发地指导督促。</w:t>
      </w:r>
    </w:p>
    <w:p w14:paraId="3DEF57AB">
      <w:pPr>
        <w:ind w:firstLine="632"/>
        <w:rPr>
          <w:rFonts w:ascii="Times New Roman" w:hAnsi="Times New Roman" w:cs="Times New Roman"/>
          <w:sz w:val="32"/>
        </w:rPr>
      </w:pPr>
      <w:r>
        <w:rPr>
          <w:rFonts w:ascii="Times New Roman" w:hAnsi="Times New Roman" w:cs="Times New Roman"/>
          <w:sz w:val="32"/>
        </w:rPr>
        <w:t>（4）及时向突发事件专项应急指挥机构报告行动进展情况。</w:t>
      </w:r>
    </w:p>
    <w:p w14:paraId="7E156948">
      <w:pPr>
        <w:ind w:firstLine="632"/>
        <w:rPr>
          <w:rFonts w:ascii="Times New Roman" w:hAnsi="Times New Roman" w:cs="Times New Roman"/>
          <w:sz w:val="32"/>
        </w:rPr>
      </w:pPr>
      <w:r>
        <w:rPr>
          <w:rFonts w:ascii="Times New Roman" w:hAnsi="Times New Roman" w:cs="Times New Roman"/>
          <w:sz w:val="32"/>
        </w:rPr>
        <w:t>（5）研究解决治安维护行动过程中的其他重大事项。</w:t>
      </w:r>
    </w:p>
    <w:p w14:paraId="47C3BD00">
      <w:pPr>
        <w:pStyle w:val="3"/>
        <w:ind w:firstLine="0" w:firstLineChars="0"/>
        <w:rPr>
          <w:rFonts w:ascii="Times New Roman" w:hAnsi="Times New Roman" w:cs="Times New Roman"/>
          <w:sz w:val="32"/>
        </w:rPr>
      </w:pPr>
      <w:bookmarkStart w:id="1512" w:name="_Toc4666"/>
      <w:r>
        <w:rPr>
          <w:rFonts w:ascii="Times New Roman" w:hAnsi="Times New Roman" w:cs="Times New Roman"/>
          <w:sz w:val="32"/>
        </w:rPr>
        <w:t>现场指挥机构</w:t>
      </w:r>
      <w:bookmarkEnd w:id="1512"/>
    </w:p>
    <w:p w14:paraId="06E0F7E9">
      <w:pPr>
        <w:ind w:firstLine="632"/>
        <w:rPr>
          <w:rFonts w:ascii="Times New Roman" w:hAnsi="Times New Roman" w:cs="Times New Roman"/>
          <w:sz w:val="32"/>
        </w:rPr>
      </w:pPr>
      <w:r>
        <w:rPr>
          <w:rFonts w:ascii="Times New Roman" w:hAnsi="Times New Roman" w:cs="Times New Roman"/>
          <w:sz w:val="32"/>
        </w:rPr>
        <w:t>按照分级负责、属地管辖工作原则，在事发地现场成立突发事件治安维护行动现场指挥部（以下简称“现场指挥部”），负责指挥事发现场的治安维护保障行动。</w:t>
      </w:r>
    </w:p>
    <w:p w14:paraId="0E4DD65E">
      <w:pPr>
        <w:pStyle w:val="4"/>
        <w:numPr>
          <w:ilvl w:val="2"/>
          <w:numId w:val="236"/>
        </w:numPr>
        <w:tabs>
          <w:tab w:val="left" w:pos="0"/>
        </w:tabs>
        <w:ind w:firstLine="0" w:firstLineChars="0"/>
        <w:rPr>
          <w:rFonts w:ascii="Times New Roman" w:hAnsi="Times New Roman" w:cs="Times New Roman"/>
          <w:sz w:val="32"/>
        </w:rPr>
      </w:pPr>
      <w:r>
        <w:rPr>
          <w:rFonts w:ascii="Times New Roman" w:hAnsi="Times New Roman" w:cs="Times New Roman"/>
          <w:sz w:val="32"/>
        </w:rPr>
        <w:t>现场指挥部组成</w:t>
      </w:r>
    </w:p>
    <w:p w14:paraId="524631D4">
      <w:pPr>
        <w:ind w:firstLine="632"/>
        <w:rPr>
          <w:rFonts w:ascii="Times New Roman" w:hAnsi="Times New Roman" w:cs="Times New Roman"/>
          <w:sz w:val="32"/>
        </w:rPr>
      </w:pPr>
      <w:r>
        <w:rPr>
          <w:rFonts w:ascii="Times New Roman" w:hAnsi="Times New Roman" w:cs="Times New Roman"/>
          <w:sz w:val="32"/>
        </w:rPr>
        <w:t>现场指挥部负责人由县指挥部副总指挥或总指挥指定负责人担任，必要时由县指挥部总指挥担任，成员由县公安局根据治安维护保障行动的需要确定。</w:t>
      </w:r>
    </w:p>
    <w:p w14:paraId="08254AB4">
      <w:pPr>
        <w:pStyle w:val="4"/>
        <w:numPr>
          <w:ilvl w:val="2"/>
          <w:numId w:val="236"/>
        </w:numPr>
        <w:tabs>
          <w:tab w:val="left" w:pos="0"/>
        </w:tabs>
        <w:ind w:firstLine="0" w:firstLineChars="0"/>
        <w:rPr>
          <w:rFonts w:ascii="Times New Roman" w:hAnsi="Times New Roman" w:cs="Times New Roman"/>
          <w:sz w:val="32"/>
        </w:rPr>
      </w:pPr>
      <w:r>
        <w:rPr>
          <w:rFonts w:ascii="Times New Roman" w:hAnsi="Times New Roman" w:cs="Times New Roman"/>
          <w:sz w:val="32"/>
        </w:rPr>
        <w:t>现场指挥部职责</w:t>
      </w:r>
    </w:p>
    <w:p w14:paraId="56BFBEEC">
      <w:pPr>
        <w:ind w:firstLine="632"/>
        <w:rPr>
          <w:rFonts w:ascii="Times New Roman" w:hAnsi="Times New Roman" w:cs="Times New Roman"/>
          <w:sz w:val="32"/>
        </w:rPr>
      </w:pPr>
      <w:r>
        <w:rPr>
          <w:rFonts w:ascii="Times New Roman" w:hAnsi="Times New Roman" w:cs="Times New Roman"/>
          <w:sz w:val="32"/>
        </w:rPr>
        <w:t>（1）迅速组织开展治安维护行动先期处置行动。</w:t>
      </w:r>
    </w:p>
    <w:p w14:paraId="76707E44">
      <w:pPr>
        <w:ind w:firstLine="632"/>
        <w:rPr>
          <w:rFonts w:ascii="Times New Roman" w:hAnsi="Times New Roman" w:cs="Times New Roman"/>
          <w:sz w:val="32"/>
        </w:rPr>
      </w:pPr>
      <w:r>
        <w:rPr>
          <w:rFonts w:ascii="Times New Roman" w:hAnsi="Times New Roman" w:cs="Times New Roman"/>
          <w:sz w:val="32"/>
        </w:rPr>
        <w:t>（2）根据现场有关应急指挥机构和县指挥部的要求，统一指挥现场所有警力实施治安维护行动，维护现场治安秩序。</w:t>
      </w:r>
    </w:p>
    <w:p w14:paraId="710A143E">
      <w:pPr>
        <w:ind w:firstLine="632"/>
        <w:rPr>
          <w:rFonts w:ascii="Times New Roman" w:hAnsi="Times New Roman" w:cs="Times New Roman"/>
          <w:sz w:val="32"/>
        </w:rPr>
      </w:pPr>
      <w:r>
        <w:rPr>
          <w:rFonts w:ascii="Times New Roman" w:hAnsi="Times New Roman" w:cs="Times New Roman"/>
          <w:sz w:val="32"/>
        </w:rPr>
        <w:t>（3）保持与县指挥部的通信联络，及时报告行动进展等情况。</w:t>
      </w:r>
    </w:p>
    <w:p w14:paraId="4A6BDA2D">
      <w:pPr>
        <w:ind w:firstLine="632"/>
        <w:rPr>
          <w:rFonts w:ascii="Times New Roman" w:hAnsi="Times New Roman" w:cs="Times New Roman"/>
          <w:sz w:val="32"/>
        </w:rPr>
      </w:pPr>
      <w:r>
        <w:rPr>
          <w:rFonts w:ascii="Times New Roman" w:hAnsi="Times New Roman" w:cs="Times New Roman"/>
          <w:sz w:val="32"/>
        </w:rPr>
        <w:t>（4）提出请求人员、物资、设备支援的建议，落实县指挥部各项指示。</w:t>
      </w:r>
    </w:p>
    <w:p w14:paraId="5D7C2365">
      <w:pPr>
        <w:ind w:firstLine="632"/>
        <w:rPr>
          <w:rFonts w:ascii="Times New Roman" w:hAnsi="Times New Roman" w:cs="Times New Roman"/>
          <w:sz w:val="32"/>
        </w:rPr>
      </w:pPr>
      <w:r>
        <w:rPr>
          <w:rFonts w:ascii="Times New Roman" w:hAnsi="Times New Roman" w:cs="Times New Roman"/>
          <w:sz w:val="32"/>
        </w:rPr>
        <w:t>（5）负责对现场治安维护行动的调查评估工作。</w:t>
      </w:r>
    </w:p>
    <w:p w14:paraId="2AF5191D">
      <w:pPr>
        <w:pStyle w:val="3"/>
        <w:ind w:firstLine="0" w:firstLineChars="0"/>
        <w:rPr>
          <w:rFonts w:ascii="Times New Roman" w:hAnsi="Times New Roman" w:cs="Times New Roman"/>
          <w:sz w:val="32"/>
        </w:rPr>
      </w:pPr>
      <w:bookmarkStart w:id="1513" w:name="_Toc13812"/>
      <w:r>
        <w:rPr>
          <w:rFonts w:ascii="Times New Roman" w:hAnsi="Times New Roman" w:cs="Times New Roman"/>
          <w:sz w:val="32"/>
        </w:rPr>
        <w:t>应急处置力量</w:t>
      </w:r>
      <w:bookmarkEnd w:id="1513"/>
    </w:p>
    <w:p w14:paraId="083DFA52">
      <w:pPr>
        <w:ind w:firstLine="632"/>
        <w:rPr>
          <w:rFonts w:ascii="Times New Roman" w:hAnsi="Times New Roman" w:cs="Times New Roman"/>
          <w:sz w:val="32"/>
        </w:rPr>
      </w:pPr>
      <w:r>
        <w:rPr>
          <w:rFonts w:ascii="Times New Roman" w:hAnsi="Times New Roman" w:cs="Times New Roman"/>
          <w:sz w:val="32"/>
        </w:rPr>
        <w:t>突发事件治安维护应急保障行动的处置力量按照梯队配置方式组建，确保治安维护应急保障行动的针对性和有效性。</w:t>
      </w:r>
    </w:p>
    <w:p w14:paraId="46C3A40C">
      <w:pPr>
        <w:pStyle w:val="4"/>
        <w:numPr>
          <w:ilvl w:val="2"/>
          <w:numId w:val="236"/>
        </w:numPr>
        <w:tabs>
          <w:tab w:val="left" w:pos="0"/>
        </w:tabs>
        <w:ind w:firstLine="0" w:firstLineChars="0"/>
        <w:rPr>
          <w:rFonts w:ascii="Times New Roman" w:hAnsi="Times New Roman" w:cs="Times New Roman"/>
          <w:sz w:val="32"/>
        </w:rPr>
      </w:pPr>
      <w:r>
        <w:rPr>
          <w:rFonts w:ascii="Times New Roman" w:hAnsi="Times New Roman" w:cs="Times New Roman"/>
          <w:sz w:val="32"/>
        </w:rPr>
        <w:t>第一梯队</w:t>
      </w:r>
    </w:p>
    <w:p w14:paraId="3F992EB1">
      <w:pPr>
        <w:ind w:firstLine="632"/>
        <w:rPr>
          <w:rFonts w:ascii="Times New Roman" w:hAnsi="Times New Roman" w:cs="Times New Roman"/>
          <w:sz w:val="32"/>
        </w:rPr>
      </w:pPr>
      <w:r>
        <w:rPr>
          <w:rFonts w:ascii="Times New Roman" w:hAnsi="Times New Roman" w:cs="Times New Roman"/>
          <w:sz w:val="32"/>
        </w:rPr>
        <w:t>由巡特警力量组成，根据指挥中心指令，先期抵达事发现场，立即开展现场封控、保护和抢险救援行动，并及时向上级报告现场情况，发出支援请求。</w:t>
      </w:r>
    </w:p>
    <w:p w14:paraId="3057B6D7">
      <w:pPr>
        <w:pStyle w:val="4"/>
        <w:numPr>
          <w:ilvl w:val="2"/>
          <w:numId w:val="236"/>
        </w:numPr>
        <w:tabs>
          <w:tab w:val="left" w:pos="0"/>
        </w:tabs>
        <w:ind w:firstLine="0" w:firstLineChars="0"/>
        <w:rPr>
          <w:rFonts w:ascii="Times New Roman" w:hAnsi="Times New Roman" w:cs="Times New Roman"/>
          <w:sz w:val="32"/>
        </w:rPr>
      </w:pPr>
      <w:r>
        <w:rPr>
          <w:rFonts w:ascii="Times New Roman" w:hAnsi="Times New Roman" w:cs="Times New Roman"/>
          <w:sz w:val="32"/>
        </w:rPr>
        <w:t>第二梯队</w:t>
      </w:r>
    </w:p>
    <w:p w14:paraId="15198748">
      <w:pPr>
        <w:ind w:firstLine="632"/>
        <w:rPr>
          <w:rFonts w:ascii="Times New Roman" w:hAnsi="Times New Roman" w:cs="Times New Roman"/>
          <w:sz w:val="32"/>
        </w:rPr>
      </w:pPr>
      <w:r>
        <w:rPr>
          <w:rFonts w:ascii="Times New Roman" w:hAnsi="Times New Roman" w:cs="Times New Roman"/>
          <w:sz w:val="32"/>
        </w:rPr>
        <w:t>由相关警种力量组成，根据事件类型及处置需要，由现场指挥部调动相关警种力量赶赴现场，视情成立现场处置组、调查取证组、交通管制组、抓捕行动组、法制宣传组、处置保障组、临时机动组等，分别由相关业务部门负责人担任组长。上述工作组直接服从现场指挥部的指挥，分头承担相应的治安维护职责。</w:t>
      </w:r>
    </w:p>
    <w:p w14:paraId="04EF7236">
      <w:pPr>
        <w:pStyle w:val="4"/>
        <w:numPr>
          <w:ilvl w:val="2"/>
          <w:numId w:val="236"/>
        </w:numPr>
        <w:tabs>
          <w:tab w:val="left" w:pos="0"/>
        </w:tabs>
        <w:ind w:firstLine="0" w:firstLineChars="0"/>
        <w:rPr>
          <w:rFonts w:ascii="Times New Roman" w:hAnsi="Times New Roman" w:cs="Times New Roman"/>
          <w:sz w:val="32"/>
        </w:rPr>
      </w:pPr>
      <w:r>
        <w:rPr>
          <w:rFonts w:ascii="Times New Roman" w:hAnsi="Times New Roman" w:cs="Times New Roman"/>
          <w:sz w:val="32"/>
        </w:rPr>
        <w:t>第三梯队</w:t>
      </w:r>
    </w:p>
    <w:p w14:paraId="3D23CA92">
      <w:pPr>
        <w:ind w:firstLine="632"/>
        <w:rPr>
          <w:rFonts w:ascii="Times New Roman" w:hAnsi="Times New Roman" w:cs="Times New Roman"/>
          <w:sz w:val="32"/>
        </w:rPr>
      </w:pPr>
      <w:r>
        <w:rPr>
          <w:rFonts w:ascii="Times New Roman" w:hAnsi="Times New Roman" w:cs="Times New Roman"/>
          <w:sz w:val="32"/>
        </w:rPr>
        <w:t>由后续增援力量组成，需要跨县增援的，由县指挥部统一向市局请求支援调配全市特警、武警等系统机动力量，以及攻击、谈判、排爆、情报、侦技、反恐等专家力量。</w:t>
      </w:r>
    </w:p>
    <w:p w14:paraId="2971D52B">
      <w:pPr>
        <w:pStyle w:val="3"/>
        <w:ind w:firstLine="0" w:firstLineChars="0"/>
        <w:rPr>
          <w:rFonts w:ascii="Times New Roman" w:hAnsi="Times New Roman" w:cs="Times New Roman"/>
          <w:b w:val="0"/>
          <w:sz w:val="32"/>
        </w:rPr>
      </w:pPr>
      <w:bookmarkStart w:id="1514" w:name="_Toc21459"/>
      <w:r>
        <w:rPr>
          <w:rFonts w:ascii="Times New Roman" w:hAnsi="Times New Roman" w:cs="Times New Roman"/>
          <w:sz w:val="32"/>
        </w:rPr>
        <w:t>职责分工</w:t>
      </w:r>
      <w:bookmarkEnd w:id="1514"/>
    </w:p>
    <w:p w14:paraId="2B0F2386">
      <w:pPr>
        <w:ind w:firstLine="634"/>
        <w:rPr>
          <w:rFonts w:ascii="Times New Roman" w:hAnsi="Times New Roman" w:cs="Times New Roman"/>
          <w:sz w:val="32"/>
        </w:rPr>
      </w:pPr>
      <w:r>
        <w:rPr>
          <w:rFonts w:ascii="Times New Roman" w:hAnsi="Times New Roman" w:cs="Times New Roman"/>
          <w:b/>
          <w:bCs/>
          <w:sz w:val="32"/>
        </w:rPr>
        <w:t>（1）指挥中心：</w:t>
      </w:r>
      <w:r>
        <w:rPr>
          <w:rFonts w:ascii="Times New Roman" w:hAnsi="Times New Roman" w:cs="Times New Roman"/>
          <w:sz w:val="32"/>
        </w:rPr>
        <w:t>负责接收报警，传达各级领导的指令，协调有关工作并进行检查督促；通知有关处室按方案做好处置准备及实施处置工作；收集掌握处置工作情况和有关信息，迅速上报或反馈，布置设卡堵截。</w:t>
      </w:r>
    </w:p>
    <w:p w14:paraId="46362A1E">
      <w:pPr>
        <w:ind w:firstLine="634"/>
        <w:rPr>
          <w:rFonts w:ascii="Times New Roman" w:hAnsi="Times New Roman" w:cs="Times New Roman"/>
          <w:sz w:val="32"/>
        </w:rPr>
      </w:pPr>
      <w:r>
        <w:rPr>
          <w:rFonts w:ascii="Times New Roman" w:hAnsi="Times New Roman" w:cs="Times New Roman"/>
          <w:b/>
          <w:bCs/>
          <w:sz w:val="32"/>
        </w:rPr>
        <w:t>（2）治安、巡特警大队：</w:t>
      </w:r>
      <w:r>
        <w:rPr>
          <w:rFonts w:ascii="Times New Roman" w:hAnsi="Times New Roman" w:cs="Times New Roman"/>
          <w:sz w:val="32"/>
        </w:rPr>
        <w:t>负责执行处置攻坚、突击任务和跨区域警力增援；设置警戒封锁范围，维护现场秩序，疏散群众；以公安机关名义拟定和发布通告；收集掌握现场动态信息，向指挥部请求增援。</w:t>
      </w:r>
    </w:p>
    <w:p w14:paraId="30714AA0">
      <w:pPr>
        <w:ind w:firstLine="634"/>
        <w:rPr>
          <w:rFonts w:ascii="Times New Roman" w:hAnsi="Times New Roman" w:cs="Times New Roman"/>
          <w:sz w:val="32"/>
        </w:rPr>
      </w:pPr>
      <w:r>
        <w:rPr>
          <w:rFonts w:ascii="Times New Roman" w:hAnsi="Times New Roman" w:cs="Times New Roman"/>
          <w:b/>
          <w:bCs/>
          <w:sz w:val="32"/>
        </w:rPr>
        <w:t>（3）刑事侦查大队：</w:t>
      </w:r>
      <w:r>
        <w:rPr>
          <w:rFonts w:ascii="Times New Roman" w:hAnsi="Times New Roman" w:cs="Times New Roman"/>
          <w:sz w:val="32"/>
        </w:rPr>
        <w:t>负责打击现行刑事犯罪活动。</w:t>
      </w:r>
    </w:p>
    <w:p w14:paraId="5ED35EA0">
      <w:pPr>
        <w:ind w:firstLine="634"/>
        <w:rPr>
          <w:rFonts w:ascii="Times New Roman" w:hAnsi="Times New Roman" w:cs="Times New Roman"/>
          <w:sz w:val="32"/>
        </w:rPr>
      </w:pPr>
      <w:r>
        <w:rPr>
          <w:rFonts w:ascii="Times New Roman" w:hAnsi="Times New Roman" w:cs="Times New Roman"/>
          <w:b/>
          <w:bCs/>
          <w:sz w:val="32"/>
        </w:rPr>
        <w:t>（4）刑事技术大队：</w:t>
      </w:r>
      <w:r>
        <w:rPr>
          <w:rFonts w:ascii="Times New Roman" w:hAnsi="Times New Roman" w:cs="Times New Roman"/>
          <w:sz w:val="32"/>
        </w:rPr>
        <w:t>负责秘密录像、录音等取证工作，运用技术手段获取情报信息。</w:t>
      </w:r>
    </w:p>
    <w:p w14:paraId="0C9CC472">
      <w:pPr>
        <w:ind w:firstLine="634"/>
        <w:rPr>
          <w:rFonts w:ascii="Times New Roman" w:hAnsi="Times New Roman" w:cs="Times New Roman"/>
          <w:sz w:val="32"/>
        </w:rPr>
      </w:pPr>
      <w:r>
        <w:rPr>
          <w:rFonts w:ascii="Times New Roman" w:hAnsi="Times New Roman" w:cs="Times New Roman"/>
          <w:b/>
          <w:bCs/>
          <w:sz w:val="32"/>
        </w:rPr>
        <w:t>（5）交警大队：</w:t>
      </w:r>
      <w:r>
        <w:rPr>
          <w:rFonts w:ascii="Times New Roman" w:hAnsi="Times New Roman" w:cs="Times New Roman"/>
          <w:sz w:val="32"/>
        </w:rPr>
        <w:t>负责现场及周边道路的交通疏导、交通管制，确保调用警力开进道路的畅通安全。</w:t>
      </w:r>
    </w:p>
    <w:p w14:paraId="53023F38">
      <w:pPr>
        <w:ind w:firstLine="634"/>
        <w:rPr>
          <w:rFonts w:ascii="Times New Roman" w:hAnsi="Times New Roman" w:cs="Times New Roman"/>
          <w:sz w:val="32"/>
        </w:rPr>
      </w:pPr>
      <w:r>
        <w:rPr>
          <w:rFonts w:ascii="Times New Roman" w:hAnsi="Times New Roman" w:cs="Times New Roman"/>
          <w:b/>
          <w:bCs/>
          <w:sz w:val="32"/>
        </w:rPr>
        <w:t>（6）网安大队：</w:t>
      </w:r>
      <w:r>
        <w:rPr>
          <w:rFonts w:ascii="Times New Roman" w:hAnsi="Times New Roman" w:cs="Times New Roman"/>
          <w:sz w:val="32"/>
        </w:rPr>
        <w:t>负责互联网信息的控制，及时封堵、删除和查处有害信息。</w:t>
      </w:r>
    </w:p>
    <w:p w14:paraId="64C8E7AA">
      <w:pPr>
        <w:ind w:firstLine="634"/>
        <w:rPr>
          <w:rFonts w:ascii="Times New Roman" w:hAnsi="Times New Roman" w:cs="Times New Roman"/>
          <w:sz w:val="32"/>
        </w:rPr>
      </w:pPr>
      <w:r>
        <w:rPr>
          <w:rFonts w:ascii="Times New Roman" w:hAnsi="Times New Roman" w:cs="Times New Roman"/>
          <w:b/>
          <w:bCs/>
          <w:sz w:val="32"/>
        </w:rPr>
        <w:t>（7）出入境管理大队：</w:t>
      </w:r>
      <w:r>
        <w:rPr>
          <w:rFonts w:ascii="Times New Roman" w:hAnsi="Times New Roman" w:cs="Times New Roman"/>
          <w:sz w:val="32"/>
        </w:rPr>
        <w:t>负责做好现场境外人员管理。</w:t>
      </w:r>
    </w:p>
    <w:p w14:paraId="2B537CDF">
      <w:pPr>
        <w:ind w:firstLine="632"/>
        <w:rPr>
          <w:rFonts w:ascii="Times New Roman" w:hAnsi="Times New Roman" w:cs="Times New Roman"/>
          <w:sz w:val="32"/>
        </w:rPr>
      </w:pPr>
    </w:p>
    <w:p w14:paraId="22C7D38E">
      <w:pPr>
        <w:ind w:firstLine="634"/>
        <w:rPr>
          <w:rFonts w:ascii="Times New Roman" w:hAnsi="Times New Roman" w:cs="Times New Roman"/>
          <w:sz w:val="32"/>
        </w:rPr>
      </w:pPr>
      <w:r>
        <w:rPr>
          <w:rFonts w:ascii="Times New Roman" w:hAnsi="Times New Roman" w:cs="Times New Roman"/>
          <w:b/>
          <w:bCs/>
          <w:sz w:val="32"/>
        </w:rPr>
        <w:t>（8）法制大队：</w:t>
      </w:r>
      <w:r>
        <w:rPr>
          <w:rFonts w:ascii="Times New Roman" w:hAnsi="Times New Roman" w:cs="Times New Roman"/>
          <w:sz w:val="32"/>
        </w:rPr>
        <w:t>负责为指挥部提供法律建议，开具法律文书，审核案件及有关规范性文件和对外法制宣传。</w:t>
      </w:r>
    </w:p>
    <w:p w14:paraId="70A45D4B">
      <w:pPr>
        <w:ind w:firstLine="634"/>
        <w:rPr>
          <w:rFonts w:ascii="Times New Roman" w:hAnsi="Times New Roman" w:cs="Times New Roman"/>
          <w:sz w:val="32"/>
        </w:rPr>
      </w:pPr>
      <w:r>
        <w:rPr>
          <w:rFonts w:ascii="Times New Roman" w:hAnsi="Times New Roman" w:cs="Times New Roman"/>
          <w:b/>
          <w:bCs/>
          <w:sz w:val="32"/>
        </w:rPr>
        <w:t>（9）警务保障室：</w:t>
      </w:r>
      <w:r>
        <w:rPr>
          <w:rFonts w:ascii="Times New Roman" w:hAnsi="Times New Roman" w:cs="Times New Roman"/>
          <w:sz w:val="32"/>
        </w:rPr>
        <w:t>负责事件处置过程中的图片音视频资料记录和新闻发布工作，统一对外宣传口径；负责处置警力的装备及生活保障。</w:t>
      </w:r>
    </w:p>
    <w:p w14:paraId="7A64AD64">
      <w:pPr>
        <w:ind w:firstLine="634"/>
        <w:rPr>
          <w:rFonts w:ascii="Times New Roman" w:hAnsi="Times New Roman" w:cs="Times New Roman"/>
          <w:sz w:val="32"/>
        </w:rPr>
      </w:pPr>
      <w:r>
        <w:rPr>
          <w:rFonts w:ascii="Times New Roman" w:hAnsi="Times New Roman" w:cs="Times New Roman"/>
          <w:b/>
          <w:bCs/>
          <w:sz w:val="32"/>
        </w:rPr>
        <w:t>（10）事发地派出所：</w:t>
      </w:r>
      <w:r>
        <w:rPr>
          <w:rFonts w:ascii="Times New Roman" w:hAnsi="Times New Roman" w:cs="Times New Roman"/>
          <w:sz w:val="32"/>
        </w:rPr>
        <w:t>负责现场警戒和封锁任务。</w:t>
      </w:r>
    </w:p>
    <w:p w14:paraId="41A1F582">
      <w:pPr>
        <w:ind w:firstLine="634"/>
        <w:rPr>
          <w:rFonts w:ascii="Times New Roman" w:hAnsi="Times New Roman" w:cs="Times New Roman"/>
          <w:sz w:val="32"/>
        </w:rPr>
      </w:pPr>
      <w:r>
        <w:rPr>
          <w:rFonts w:ascii="Times New Roman" w:hAnsi="Times New Roman" w:cs="Times New Roman"/>
          <w:b/>
          <w:bCs/>
          <w:sz w:val="32"/>
        </w:rPr>
        <w:t>（11）其他警种和部门：</w:t>
      </w:r>
      <w:r>
        <w:rPr>
          <w:rFonts w:ascii="Times New Roman" w:hAnsi="Times New Roman" w:cs="Times New Roman"/>
          <w:sz w:val="32"/>
        </w:rPr>
        <w:t>组织警力备勤、随时听从调动。</w:t>
      </w:r>
    </w:p>
    <w:p w14:paraId="025119F8">
      <w:pPr>
        <w:pStyle w:val="2"/>
        <w:numPr>
          <w:ilvl w:val="0"/>
          <w:numId w:val="236"/>
        </w:numPr>
        <w:tabs>
          <w:tab w:val="left" w:pos="0"/>
        </w:tabs>
        <w:ind w:firstLine="0" w:firstLineChars="0"/>
        <w:rPr>
          <w:rFonts w:ascii="Times New Roman" w:hAnsi="Times New Roman" w:cs="Times New Roman"/>
          <w:sz w:val="32"/>
        </w:rPr>
      </w:pPr>
      <w:bookmarkStart w:id="1515" w:name="_Toc3924"/>
      <w:bookmarkStart w:id="1516" w:name="_Toc5886"/>
      <w:r>
        <w:rPr>
          <w:rFonts w:ascii="Times New Roman" w:hAnsi="Times New Roman" w:cs="Times New Roman"/>
          <w:sz w:val="32"/>
        </w:rPr>
        <w:t>监测与信息处理</w:t>
      </w:r>
      <w:bookmarkEnd w:id="1515"/>
    </w:p>
    <w:p w14:paraId="12BB75FE">
      <w:pPr>
        <w:pStyle w:val="11"/>
        <w:ind w:firstLine="632"/>
        <w:rPr>
          <w:rFonts w:ascii="Times New Roman" w:hAnsi="Times New Roman" w:cs="Times New Roman"/>
          <w:sz w:val="32"/>
        </w:rPr>
      </w:pPr>
      <w:r>
        <w:rPr>
          <w:rFonts w:ascii="Times New Roman" w:hAnsi="Times New Roman" w:cs="Times New Roman"/>
          <w:sz w:val="32"/>
        </w:rPr>
        <w:t>县公安局要根据“110、119、120、122”等报警服务和信息监测资源，依托公安网络和政府办公业务资源网及相关网络，对各类突发公共事件的初始信息进行收集和预测，及时报告县委、县政府和上级公安机关，通报有关部门。</w:t>
      </w:r>
    </w:p>
    <w:p w14:paraId="0B723124">
      <w:pPr>
        <w:pStyle w:val="2"/>
        <w:numPr>
          <w:ilvl w:val="0"/>
          <w:numId w:val="236"/>
        </w:numPr>
        <w:tabs>
          <w:tab w:val="left" w:pos="0"/>
        </w:tabs>
        <w:ind w:firstLine="0" w:firstLineChars="0"/>
        <w:rPr>
          <w:rFonts w:ascii="Times New Roman" w:hAnsi="Times New Roman" w:cs="Times New Roman"/>
          <w:sz w:val="32"/>
        </w:rPr>
      </w:pPr>
      <w:r>
        <w:rPr>
          <w:rFonts w:ascii="Times New Roman" w:hAnsi="Times New Roman" w:cs="Times New Roman"/>
          <w:sz w:val="32"/>
        </w:rPr>
        <w:t>应急行动</w:t>
      </w:r>
      <w:bookmarkEnd w:id="1516"/>
    </w:p>
    <w:p w14:paraId="2BA2AEC4">
      <w:pPr>
        <w:pStyle w:val="3"/>
        <w:ind w:firstLine="0" w:firstLineChars="0"/>
        <w:rPr>
          <w:rFonts w:ascii="Times New Roman" w:hAnsi="Times New Roman" w:cs="Times New Roman"/>
          <w:sz w:val="32"/>
        </w:rPr>
      </w:pPr>
      <w:r>
        <w:rPr>
          <w:rFonts w:ascii="Times New Roman" w:hAnsi="Times New Roman" w:cs="Times New Roman"/>
          <w:sz w:val="32"/>
        </w:rPr>
        <w:t>分级响应</w:t>
      </w:r>
    </w:p>
    <w:p w14:paraId="6C36ADEC">
      <w:pPr>
        <w:pStyle w:val="11"/>
        <w:ind w:firstLine="632"/>
        <w:rPr>
          <w:rFonts w:ascii="Times New Roman" w:hAnsi="Times New Roman" w:cs="Times New Roman"/>
          <w:sz w:val="32"/>
        </w:rPr>
      </w:pPr>
      <w:r>
        <w:rPr>
          <w:rFonts w:ascii="Times New Roman" w:hAnsi="Times New Roman" w:cs="Times New Roman"/>
          <w:sz w:val="32"/>
        </w:rPr>
        <w:t>（1）应对县级应急指挥机构牵头处置的突发事件时，由县指挥部启动县级突发事件治安维护应急保障预案。</w:t>
      </w:r>
    </w:p>
    <w:p w14:paraId="5F7C29D2">
      <w:pPr>
        <w:pStyle w:val="11"/>
        <w:ind w:firstLine="632"/>
        <w:rPr>
          <w:rFonts w:ascii="Times New Roman" w:hAnsi="Times New Roman" w:cs="Times New Roman"/>
          <w:sz w:val="32"/>
        </w:rPr>
      </w:pPr>
      <w:r>
        <w:rPr>
          <w:rFonts w:ascii="Times New Roman" w:hAnsi="Times New Roman" w:cs="Times New Roman"/>
          <w:sz w:val="32"/>
        </w:rPr>
        <w:t>（2）应对上级应急指挥机构牵头处置的突发事件，或者涉及跨县级行政区域或需要跨县级行政区域调动警力的突发事件的治安维护行动时，及时向双鸭山市公安局寻求支援，请求启动上级应急保障预案。</w:t>
      </w:r>
    </w:p>
    <w:p w14:paraId="06EBDF2F">
      <w:pPr>
        <w:pStyle w:val="3"/>
        <w:ind w:firstLine="0" w:firstLineChars="0"/>
        <w:rPr>
          <w:rFonts w:ascii="Times New Roman" w:hAnsi="Times New Roman" w:cs="Times New Roman"/>
          <w:sz w:val="32"/>
        </w:rPr>
      </w:pPr>
      <w:bookmarkStart w:id="1517" w:name="_Toc16757"/>
      <w:r>
        <w:rPr>
          <w:rFonts w:ascii="Times New Roman" w:hAnsi="Times New Roman" w:cs="Times New Roman"/>
          <w:sz w:val="32"/>
        </w:rPr>
        <w:t>先期处置</w:t>
      </w:r>
      <w:bookmarkEnd w:id="1517"/>
    </w:p>
    <w:p w14:paraId="624AEF46">
      <w:pPr>
        <w:pStyle w:val="11"/>
        <w:ind w:firstLine="632"/>
        <w:rPr>
          <w:rFonts w:ascii="Times New Roman" w:hAnsi="Times New Roman" w:cs="Times New Roman"/>
          <w:sz w:val="32"/>
        </w:rPr>
      </w:pPr>
      <w:r>
        <w:rPr>
          <w:rFonts w:ascii="Times New Roman" w:hAnsi="Times New Roman" w:cs="Times New Roman"/>
          <w:sz w:val="32"/>
        </w:rPr>
        <w:t>对于可能发生或者正在发生的突发事件，最初发现的公安机关要及时、主动、有效地采取疏散、抢救人员、设立现场警戒等紧急处置措施，尽可能控制事态发展，减少危害发生。</w:t>
      </w:r>
    </w:p>
    <w:p w14:paraId="357F0F5B">
      <w:pPr>
        <w:pStyle w:val="3"/>
        <w:ind w:firstLine="0" w:firstLineChars="0"/>
        <w:rPr>
          <w:rFonts w:ascii="Times New Roman" w:hAnsi="Times New Roman" w:cs="Times New Roman"/>
          <w:sz w:val="32"/>
        </w:rPr>
      </w:pPr>
      <w:bookmarkStart w:id="1518" w:name="_Toc27884"/>
      <w:r>
        <w:rPr>
          <w:rFonts w:ascii="Times New Roman" w:hAnsi="Times New Roman" w:cs="Times New Roman"/>
          <w:sz w:val="32"/>
        </w:rPr>
        <w:t>方案启动</w:t>
      </w:r>
      <w:bookmarkEnd w:id="1518"/>
    </w:p>
    <w:p w14:paraId="5CACD2C9">
      <w:pPr>
        <w:pStyle w:val="11"/>
        <w:ind w:firstLine="632"/>
        <w:rPr>
          <w:rFonts w:ascii="Times New Roman" w:hAnsi="Times New Roman" w:cs="Times New Roman"/>
          <w:sz w:val="32"/>
        </w:rPr>
      </w:pPr>
      <w:r>
        <w:rPr>
          <w:rFonts w:ascii="Times New Roman" w:hAnsi="Times New Roman" w:cs="Times New Roman"/>
          <w:sz w:val="32"/>
        </w:rPr>
        <w:t>县级突发事件总体应急预案或县级专项应急预案启动时，依据相应县应急委或县级突发事件应急指挥机构的要求，本方案随之启动，县指挥部成员及有关工作组人员在30分钟内就位县公安局指挥中心，开始履行相关职责。</w:t>
      </w:r>
    </w:p>
    <w:p w14:paraId="49B9D523">
      <w:pPr>
        <w:pStyle w:val="3"/>
        <w:ind w:firstLine="0" w:firstLineChars="0"/>
        <w:rPr>
          <w:rFonts w:ascii="Times New Roman" w:hAnsi="Times New Roman" w:cs="Times New Roman"/>
          <w:sz w:val="32"/>
        </w:rPr>
      </w:pPr>
      <w:bookmarkStart w:id="1519" w:name="_Toc23638"/>
      <w:r>
        <w:rPr>
          <w:rFonts w:ascii="Times New Roman" w:hAnsi="Times New Roman" w:cs="Times New Roman"/>
          <w:sz w:val="32"/>
        </w:rPr>
        <w:t>指挥与协调</w:t>
      </w:r>
      <w:bookmarkEnd w:id="1519"/>
    </w:p>
    <w:p w14:paraId="7C5D115D">
      <w:pPr>
        <w:pStyle w:val="11"/>
        <w:ind w:firstLine="632"/>
        <w:rPr>
          <w:rFonts w:ascii="Times New Roman" w:hAnsi="Times New Roman" w:cs="Times New Roman"/>
          <w:sz w:val="32"/>
        </w:rPr>
      </w:pPr>
      <w:r>
        <w:rPr>
          <w:rFonts w:ascii="Times New Roman" w:hAnsi="Times New Roman" w:cs="Times New Roman"/>
          <w:sz w:val="32"/>
        </w:rPr>
        <w:t>县指挥部根据事件性质和发展态势，及时指导现场指挥部采取应急处置措施。当现场警力、装备不足以控制事态发展时，按照有关规定和程序，调动后续增援力量参与治安维护。</w:t>
      </w:r>
    </w:p>
    <w:p w14:paraId="55DCAB84">
      <w:pPr>
        <w:pStyle w:val="11"/>
        <w:ind w:firstLine="632"/>
        <w:rPr>
          <w:rFonts w:ascii="Times New Roman" w:hAnsi="Times New Roman" w:cs="Times New Roman"/>
          <w:sz w:val="32"/>
        </w:rPr>
      </w:pPr>
      <w:r>
        <w:rPr>
          <w:rFonts w:ascii="Times New Roman" w:hAnsi="Times New Roman" w:cs="Times New Roman"/>
          <w:sz w:val="32"/>
        </w:rPr>
        <w:t>有关单位要在县指挥部的统一指挥下，配合、组织和实施警力、装备的调用。跨区域调动的警力统一接受现场指挥部的指挥。</w:t>
      </w:r>
    </w:p>
    <w:p w14:paraId="4E190541">
      <w:pPr>
        <w:pStyle w:val="3"/>
        <w:ind w:firstLine="0" w:firstLineChars="0"/>
        <w:rPr>
          <w:rFonts w:ascii="Times New Roman" w:hAnsi="Times New Roman" w:cs="Times New Roman"/>
          <w:sz w:val="32"/>
        </w:rPr>
      </w:pPr>
      <w:bookmarkStart w:id="1520" w:name="_Toc791"/>
      <w:r>
        <w:rPr>
          <w:rFonts w:ascii="Times New Roman" w:hAnsi="Times New Roman" w:cs="Times New Roman"/>
          <w:sz w:val="32"/>
        </w:rPr>
        <w:t>现场处置</w:t>
      </w:r>
      <w:bookmarkEnd w:id="1520"/>
    </w:p>
    <w:p w14:paraId="36ACBDF4">
      <w:pPr>
        <w:pStyle w:val="11"/>
        <w:ind w:firstLine="632"/>
        <w:rPr>
          <w:rFonts w:ascii="Times New Roman" w:hAnsi="Times New Roman" w:cs="Times New Roman"/>
          <w:sz w:val="32"/>
        </w:rPr>
      </w:pPr>
      <w:r>
        <w:rPr>
          <w:rFonts w:ascii="Times New Roman" w:hAnsi="Times New Roman" w:cs="Times New Roman"/>
          <w:sz w:val="32"/>
        </w:rPr>
        <w:t>现场指挥部根据突发事件类型和相关突发事件专项应急预案的要求，统一指挥现场公安警力和后续增援力量参与现场封锁、交通秩序疏导、打击违法犯罪活动，重点目标守卫和抢救伤员行动。</w:t>
      </w:r>
    </w:p>
    <w:p w14:paraId="3DF0A3BA">
      <w:pPr>
        <w:pStyle w:val="3"/>
        <w:ind w:firstLine="0" w:firstLineChars="0"/>
        <w:rPr>
          <w:rFonts w:ascii="Times New Roman" w:hAnsi="Times New Roman" w:cs="Times New Roman"/>
          <w:sz w:val="32"/>
        </w:rPr>
      </w:pPr>
      <w:bookmarkStart w:id="1521" w:name="_Toc4228"/>
      <w:r>
        <w:rPr>
          <w:rFonts w:ascii="Times New Roman" w:hAnsi="Times New Roman" w:cs="Times New Roman"/>
          <w:sz w:val="32"/>
        </w:rPr>
        <w:t>处置措施</w:t>
      </w:r>
      <w:bookmarkEnd w:id="1521"/>
    </w:p>
    <w:p w14:paraId="701800C1">
      <w:pPr>
        <w:pStyle w:val="11"/>
        <w:ind w:firstLine="632"/>
        <w:rPr>
          <w:rFonts w:ascii="Times New Roman" w:hAnsi="Times New Roman" w:cs="Times New Roman"/>
          <w:sz w:val="32"/>
        </w:rPr>
      </w:pPr>
      <w:r>
        <w:rPr>
          <w:rFonts w:ascii="Times New Roman" w:hAnsi="Times New Roman" w:cs="Times New Roman"/>
          <w:sz w:val="32"/>
        </w:rPr>
        <w:t>（1）封闭现场和相关地区，未经检查批准，任何人不得进入。设置警戒带，划定警戒区域，实施区域性交通管制。</w:t>
      </w:r>
    </w:p>
    <w:p w14:paraId="33E27AE4">
      <w:pPr>
        <w:pStyle w:val="11"/>
        <w:ind w:firstLine="632"/>
        <w:rPr>
          <w:rFonts w:ascii="Times New Roman" w:hAnsi="Times New Roman" w:cs="Times New Roman"/>
          <w:sz w:val="32"/>
        </w:rPr>
      </w:pPr>
      <w:r>
        <w:rPr>
          <w:rFonts w:ascii="Times New Roman" w:hAnsi="Times New Roman" w:cs="Times New Roman"/>
          <w:sz w:val="32"/>
        </w:rPr>
        <w:t>（2）守护重点目标，查验现场人员身份证件，检查嫌疑人员随身携带的物品。未经现场指挥部批准，任何人不得在事件现场进行录音、录像、拍照、采访、报道等活动。</w:t>
      </w:r>
    </w:p>
    <w:p w14:paraId="2CAACBC9">
      <w:pPr>
        <w:pStyle w:val="11"/>
        <w:ind w:firstLine="632"/>
        <w:rPr>
          <w:rFonts w:ascii="Times New Roman" w:hAnsi="Times New Roman" w:cs="Times New Roman"/>
          <w:sz w:val="32"/>
        </w:rPr>
      </w:pPr>
      <w:r>
        <w:rPr>
          <w:rFonts w:ascii="Times New Roman" w:hAnsi="Times New Roman" w:cs="Times New Roman"/>
          <w:sz w:val="32"/>
        </w:rPr>
        <w:t>（3）发布命令和通告，责令围观人员立即离开现场，责令聚众组织者立即解散队伍，责令聚集的人员在限定时间内迅速疏散。</w:t>
      </w:r>
    </w:p>
    <w:p w14:paraId="504B475D">
      <w:pPr>
        <w:pStyle w:val="11"/>
        <w:ind w:firstLine="632"/>
        <w:rPr>
          <w:rFonts w:ascii="Times New Roman" w:hAnsi="Times New Roman" w:cs="Times New Roman"/>
          <w:sz w:val="32"/>
        </w:rPr>
      </w:pPr>
      <w:r>
        <w:rPr>
          <w:rFonts w:ascii="Times New Roman" w:hAnsi="Times New Roman" w:cs="Times New Roman"/>
          <w:sz w:val="32"/>
        </w:rPr>
        <w:t>（4）对超过规定时限仍滞留现场的人员，可以使用必要的驱逐性或制胜性警械强制驱散，但要尽量避免伤亡。</w:t>
      </w:r>
    </w:p>
    <w:p w14:paraId="00FA1E70">
      <w:pPr>
        <w:pStyle w:val="11"/>
        <w:ind w:firstLine="632"/>
        <w:rPr>
          <w:rFonts w:ascii="Times New Roman" w:hAnsi="Times New Roman" w:cs="Times New Roman"/>
          <w:sz w:val="32"/>
        </w:rPr>
      </w:pPr>
      <w:r>
        <w:rPr>
          <w:rFonts w:ascii="Times New Roman" w:hAnsi="Times New Roman" w:cs="Times New Roman"/>
          <w:sz w:val="32"/>
        </w:rPr>
        <w:t>（5）对强制性驱散仍不离去的人员或者进行煽动的人员，可以强制带离现场或者立即予以拘留。对正在进行打、砸、抢、烧的人员，应当立即制止并带离现场或者予以拘留。</w:t>
      </w:r>
    </w:p>
    <w:p w14:paraId="16FC7150">
      <w:pPr>
        <w:pStyle w:val="11"/>
        <w:ind w:firstLine="632"/>
        <w:rPr>
          <w:rFonts w:ascii="Times New Roman" w:hAnsi="Times New Roman" w:cs="Times New Roman"/>
          <w:sz w:val="32"/>
        </w:rPr>
      </w:pPr>
      <w:r>
        <w:rPr>
          <w:rFonts w:ascii="Times New Roman" w:hAnsi="Times New Roman" w:cs="Times New Roman"/>
          <w:sz w:val="32"/>
        </w:rPr>
        <w:t>（6）对非法携带的武器、管制刀具、易燃易爆等危险物品和用于非法宣传、煽动的工具、标语、传单等物品予以收缴，并依法处理有关责任人员。</w:t>
      </w:r>
    </w:p>
    <w:p w14:paraId="057BF53D">
      <w:pPr>
        <w:pStyle w:val="11"/>
        <w:ind w:firstLine="632"/>
        <w:rPr>
          <w:rFonts w:ascii="Times New Roman" w:hAnsi="Times New Roman" w:cs="Times New Roman"/>
          <w:sz w:val="32"/>
        </w:rPr>
      </w:pPr>
      <w:r>
        <w:rPr>
          <w:rFonts w:ascii="Times New Roman" w:hAnsi="Times New Roman" w:cs="Times New Roman"/>
          <w:sz w:val="32"/>
        </w:rPr>
        <w:t>（7）公安机关可以依法采取公开与秘密相结合的方式及时取证，为现场处置和事后依法处理提供依据。</w:t>
      </w:r>
    </w:p>
    <w:p w14:paraId="05315CFC">
      <w:pPr>
        <w:pStyle w:val="3"/>
        <w:ind w:firstLine="0" w:firstLineChars="0"/>
        <w:rPr>
          <w:rFonts w:ascii="Times New Roman" w:hAnsi="Times New Roman" w:cs="Times New Roman"/>
          <w:sz w:val="32"/>
        </w:rPr>
      </w:pPr>
      <w:bookmarkStart w:id="1522" w:name="_Toc290"/>
      <w:r>
        <w:rPr>
          <w:rFonts w:ascii="Times New Roman" w:hAnsi="Times New Roman" w:cs="Times New Roman"/>
          <w:sz w:val="32"/>
        </w:rPr>
        <w:t>互联网信息查控</w:t>
      </w:r>
      <w:bookmarkEnd w:id="1522"/>
    </w:p>
    <w:p w14:paraId="7F721BF7">
      <w:pPr>
        <w:pStyle w:val="11"/>
        <w:ind w:firstLine="632"/>
        <w:rPr>
          <w:rFonts w:ascii="Times New Roman" w:hAnsi="Times New Roman" w:cs="Times New Roman"/>
          <w:sz w:val="32"/>
        </w:rPr>
      </w:pPr>
      <w:r>
        <w:rPr>
          <w:rFonts w:ascii="Times New Roman" w:hAnsi="Times New Roman" w:cs="Times New Roman"/>
          <w:sz w:val="32"/>
        </w:rPr>
        <w:t>县公安局网安大队采取技术手段加强监控，及时封堵和删除互联网上关于突发事件的不正确信息，消除不良影响。</w:t>
      </w:r>
    </w:p>
    <w:p w14:paraId="2939000A">
      <w:pPr>
        <w:pStyle w:val="3"/>
        <w:ind w:firstLine="0" w:firstLineChars="0"/>
        <w:rPr>
          <w:rFonts w:ascii="Times New Roman" w:hAnsi="Times New Roman" w:cs="Times New Roman"/>
          <w:sz w:val="32"/>
        </w:rPr>
      </w:pPr>
      <w:bookmarkStart w:id="1523" w:name="_Toc19147"/>
      <w:r>
        <w:rPr>
          <w:rFonts w:ascii="Times New Roman" w:hAnsi="Times New Roman" w:cs="Times New Roman"/>
          <w:sz w:val="32"/>
        </w:rPr>
        <w:t>行动结束</w:t>
      </w:r>
      <w:bookmarkEnd w:id="1523"/>
    </w:p>
    <w:p w14:paraId="1D6ED164">
      <w:pPr>
        <w:pStyle w:val="11"/>
        <w:ind w:firstLine="632"/>
        <w:rPr>
          <w:rFonts w:ascii="Times New Roman" w:hAnsi="Times New Roman" w:cs="Times New Roman"/>
          <w:sz w:val="32"/>
        </w:rPr>
      </w:pPr>
      <w:r>
        <w:rPr>
          <w:rFonts w:ascii="Times New Roman" w:hAnsi="Times New Roman" w:cs="Times New Roman"/>
          <w:sz w:val="32"/>
        </w:rPr>
        <w:t>突发事件应急处置行动结束后，经相应县级突发事件专项应急指挥机构批准，县指挥部下达治安维护行动结束命令，现场指挥部负责具体执行。</w:t>
      </w:r>
    </w:p>
    <w:p w14:paraId="6CC32868">
      <w:pPr>
        <w:pStyle w:val="2"/>
        <w:numPr>
          <w:ilvl w:val="0"/>
          <w:numId w:val="236"/>
        </w:numPr>
        <w:tabs>
          <w:tab w:val="left" w:pos="0"/>
        </w:tabs>
        <w:ind w:firstLine="0" w:firstLineChars="0"/>
        <w:rPr>
          <w:rFonts w:ascii="Times New Roman" w:hAnsi="Times New Roman" w:cs="Times New Roman"/>
          <w:sz w:val="32"/>
        </w:rPr>
      </w:pPr>
      <w:bookmarkStart w:id="1524" w:name="_Toc10418"/>
      <w:r>
        <w:rPr>
          <w:rFonts w:ascii="Times New Roman" w:hAnsi="Times New Roman" w:cs="Times New Roman"/>
          <w:sz w:val="32"/>
        </w:rPr>
        <w:t>后期处置</w:t>
      </w:r>
      <w:bookmarkEnd w:id="1524"/>
    </w:p>
    <w:p w14:paraId="214DCF0A">
      <w:pPr>
        <w:pStyle w:val="3"/>
        <w:ind w:firstLine="0" w:firstLineChars="0"/>
        <w:rPr>
          <w:rFonts w:ascii="Times New Roman" w:hAnsi="Times New Roman" w:cs="Times New Roman"/>
          <w:sz w:val="32"/>
        </w:rPr>
      </w:pPr>
      <w:bookmarkStart w:id="1525" w:name="_Toc30215"/>
      <w:r>
        <w:rPr>
          <w:rFonts w:ascii="Times New Roman" w:hAnsi="Times New Roman" w:cs="Times New Roman"/>
          <w:sz w:val="32"/>
        </w:rPr>
        <w:t>调查评估</w:t>
      </w:r>
      <w:bookmarkEnd w:id="1525"/>
    </w:p>
    <w:p w14:paraId="6A6BA1B4">
      <w:pPr>
        <w:pStyle w:val="11"/>
        <w:ind w:firstLine="632"/>
        <w:rPr>
          <w:rFonts w:ascii="Times New Roman" w:hAnsi="Times New Roman" w:cs="Times New Roman"/>
          <w:sz w:val="32"/>
        </w:rPr>
      </w:pPr>
      <w:r>
        <w:rPr>
          <w:rFonts w:ascii="Times New Roman" w:hAnsi="Times New Roman" w:cs="Times New Roman"/>
          <w:sz w:val="32"/>
        </w:rPr>
        <w:t>县指挥部牵头组织对突发事件处置过程中公安机关治安维护行动进行调查评估，总结经验教训，并向相应县级突发事件宅男想应急指挥机构和县政府报告评估结论。</w:t>
      </w:r>
    </w:p>
    <w:p w14:paraId="5A5A310D">
      <w:pPr>
        <w:pStyle w:val="3"/>
        <w:ind w:firstLine="0" w:firstLineChars="0"/>
        <w:rPr>
          <w:rFonts w:ascii="Times New Roman" w:hAnsi="Times New Roman" w:cs="Times New Roman"/>
          <w:sz w:val="32"/>
        </w:rPr>
      </w:pPr>
      <w:bookmarkStart w:id="1526" w:name="_Toc20956"/>
      <w:r>
        <w:rPr>
          <w:rFonts w:ascii="Times New Roman" w:hAnsi="Times New Roman" w:cs="Times New Roman"/>
          <w:sz w:val="32"/>
        </w:rPr>
        <w:t>责任与奖惩</w:t>
      </w:r>
      <w:bookmarkEnd w:id="1526"/>
    </w:p>
    <w:p w14:paraId="5A8D07A6">
      <w:pPr>
        <w:pStyle w:val="11"/>
        <w:ind w:firstLine="632"/>
        <w:rPr>
          <w:rFonts w:ascii="Times New Roman" w:hAnsi="Times New Roman" w:cs="Times New Roman"/>
          <w:sz w:val="32"/>
        </w:rPr>
      </w:pPr>
      <w:r>
        <w:rPr>
          <w:rFonts w:ascii="Times New Roman" w:hAnsi="Times New Roman" w:cs="Times New Roman"/>
          <w:sz w:val="32"/>
        </w:rPr>
        <w:t>对在治安维护过程中表现突出的单位和个人，依照有关规定予以表彰奖励；对行动不力、造成应急处置行动失误和严重后果的，依照有关法律法规和纪律进行惩处。</w:t>
      </w:r>
    </w:p>
    <w:p w14:paraId="6895CA00">
      <w:pPr>
        <w:pStyle w:val="2"/>
        <w:numPr>
          <w:ilvl w:val="0"/>
          <w:numId w:val="236"/>
        </w:numPr>
        <w:tabs>
          <w:tab w:val="left" w:pos="0"/>
        </w:tabs>
        <w:ind w:firstLine="0" w:firstLineChars="0"/>
        <w:rPr>
          <w:rFonts w:ascii="Times New Roman" w:hAnsi="Times New Roman" w:cs="Times New Roman"/>
          <w:sz w:val="32"/>
        </w:rPr>
      </w:pPr>
      <w:bookmarkStart w:id="1527" w:name="_Toc18451"/>
      <w:r>
        <w:rPr>
          <w:rFonts w:ascii="Times New Roman" w:hAnsi="Times New Roman" w:cs="Times New Roman"/>
          <w:sz w:val="32"/>
        </w:rPr>
        <w:t>行动保障</w:t>
      </w:r>
      <w:bookmarkEnd w:id="1527"/>
    </w:p>
    <w:p w14:paraId="281CF7B4">
      <w:pPr>
        <w:pStyle w:val="3"/>
        <w:ind w:firstLine="0" w:firstLineChars="0"/>
        <w:rPr>
          <w:rFonts w:ascii="Times New Roman" w:hAnsi="Times New Roman" w:cs="Times New Roman"/>
          <w:sz w:val="32"/>
        </w:rPr>
      </w:pPr>
      <w:bookmarkStart w:id="1528" w:name="_Toc2238"/>
      <w:r>
        <w:rPr>
          <w:rFonts w:ascii="Times New Roman" w:hAnsi="Times New Roman" w:cs="Times New Roman"/>
          <w:sz w:val="32"/>
        </w:rPr>
        <w:t>交通保障</w:t>
      </w:r>
      <w:bookmarkEnd w:id="1528"/>
    </w:p>
    <w:p w14:paraId="4E2D7F60">
      <w:pPr>
        <w:pStyle w:val="11"/>
        <w:ind w:firstLine="632"/>
        <w:rPr>
          <w:rFonts w:ascii="Times New Roman" w:hAnsi="Times New Roman" w:cs="Times New Roman"/>
          <w:sz w:val="32"/>
        </w:rPr>
      </w:pPr>
      <w:r>
        <w:rPr>
          <w:rFonts w:ascii="Times New Roman" w:hAnsi="Times New Roman" w:cs="Times New Roman"/>
          <w:sz w:val="32"/>
        </w:rPr>
        <w:t>交通、铁路等部门，要采取优先通行、抢修受损交通设施等措施，确保区域增援的公安警力和装备能够及时、安全地运达目的地。</w:t>
      </w:r>
    </w:p>
    <w:p w14:paraId="139044A4">
      <w:pPr>
        <w:pStyle w:val="3"/>
        <w:ind w:firstLine="0" w:firstLineChars="0"/>
        <w:rPr>
          <w:rFonts w:ascii="Times New Roman" w:hAnsi="Times New Roman" w:cs="Times New Roman"/>
          <w:sz w:val="32"/>
        </w:rPr>
      </w:pPr>
      <w:r>
        <w:rPr>
          <w:rFonts w:ascii="Times New Roman" w:hAnsi="Times New Roman" w:cs="Times New Roman"/>
          <w:sz w:val="32"/>
        </w:rPr>
        <w:t>经费保障</w:t>
      </w:r>
    </w:p>
    <w:p w14:paraId="6EEEB488">
      <w:pPr>
        <w:pStyle w:val="11"/>
        <w:ind w:firstLine="632"/>
        <w:rPr>
          <w:rFonts w:ascii="Times New Roman" w:hAnsi="Times New Roman" w:cs="Times New Roman"/>
          <w:sz w:val="32"/>
        </w:rPr>
      </w:pPr>
      <w:r>
        <w:rPr>
          <w:rFonts w:ascii="Times New Roman" w:hAnsi="Times New Roman" w:cs="Times New Roman"/>
          <w:sz w:val="32"/>
        </w:rPr>
        <w:t>突发事件治安维护行动所需资金，由县财政局负责审核、安排。</w:t>
      </w:r>
    </w:p>
    <w:p w14:paraId="23148687">
      <w:pPr>
        <w:pStyle w:val="3"/>
        <w:ind w:firstLine="0" w:firstLineChars="0"/>
        <w:rPr>
          <w:rFonts w:ascii="Times New Roman" w:hAnsi="Times New Roman" w:cs="Times New Roman"/>
          <w:sz w:val="32"/>
        </w:rPr>
      </w:pPr>
      <w:r>
        <w:rPr>
          <w:rFonts w:ascii="Times New Roman" w:hAnsi="Times New Roman" w:cs="Times New Roman"/>
          <w:sz w:val="32"/>
        </w:rPr>
        <w:t>物资能源保障</w:t>
      </w:r>
    </w:p>
    <w:p w14:paraId="7E5D2D4F">
      <w:pPr>
        <w:pStyle w:val="11"/>
        <w:ind w:firstLine="632"/>
        <w:rPr>
          <w:rFonts w:ascii="Times New Roman" w:hAnsi="Times New Roman" w:cs="Times New Roman"/>
          <w:sz w:val="32"/>
        </w:rPr>
      </w:pPr>
      <w:r>
        <w:rPr>
          <w:rFonts w:hint="eastAsia" w:ascii="Times New Roman" w:hAnsi="Times New Roman" w:cs="Times New Roman"/>
          <w:sz w:val="32"/>
        </w:rPr>
        <w:t>县公安局</w:t>
      </w:r>
      <w:r>
        <w:rPr>
          <w:rFonts w:ascii="Times New Roman" w:hAnsi="Times New Roman" w:cs="Times New Roman"/>
          <w:sz w:val="32"/>
        </w:rPr>
        <w:t>组织协调突发事件治安维护行动所需物资能源的应急供应和保障。</w:t>
      </w:r>
    </w:p>
    <w:p w14:paraId="371016B4">
      <w:pPr>
        <w:pStyle w:val="3"/>
        <w:ind w:firstLine="0" w:firstLineChars="0"/>
        <w:rPr>
          <w:rFonts w:ascii="Times New Roman" w:hAnsi="Times New Roman" w:cs="Times New Roman"/>
          <w:sz w:val="32"/>
        </w:rPr>
      </w:pPr>
      <w:bookmarkStart w:id="1529" w:name="_Toc9141"/>
      <w:r>
        <w:rPr>
          <w:rFonts w:ascii="Times New Roman" w:hAnsi="Times New Roman" w:cs="Times New Roman"/>
          <w:sz w:val="32"/>
        </w:rPr>
        <w:t>通信保障</w:t>
      </w:r>
      <w:bookmarkEnd w:id="1529"/>
    </w:p>
    <w:p w14:paraId="644D10C8">
      <w:pPr>
        <w:pStyle w:val="11"/>
        <w:ind w:firstLine="632"/>
        <w:rPr>
          <w:rFonts w:ascii="Times New Roman" w:hAnsi="Times New Roman" w:cs="Times New Roman"/>
          <w:sz w:val="32"/>
        </w:rPr>
      </w:pPr>
      <w:r>
        <w:rPr>
          <w:rFonts w:ascii="Times New Roman" w:hAnsi="Times New Roman" w:cs="Times New Roman"/>
          <w:sz w:val="32"/>
        </w:rPr>
        <w:t>当县公安局临时通信手段不足以满足需要时，由县通信管理部门负责协调相关电信运营企业做好通信保障。</w:t>
      </w:r>
    </w:p>
    <w:p w14:paraId="31243CA1">
      <w:pPr>
        <w:pStyle w:val="3"/>
        <w:ind w:firstLine="0" w:firstLineChars="0"/>
        <w:rPr>
          <w:rFonts w:ascii="Times New Roman" w:hAnsi="Times New Roman" w:cs="Times New Roman"/>
          <w:sz w:val="32"/>
        </w:rPr>
      </w:pPr>
      <w:r>
        <w:rPr>
          <w:rFonts w:ascii="Times New Roman" w:hAnsi="Times New Roman" w:cs="Times New Roman"/>
          <w:sz w:val="32"/>
        </w:rPr>
        <w:t>组织纪律保障</w:t>
      </w:r>
    </w:p>
    <w:p w14:paraId="557DE36F">
      <w:pPr>
        <w:pStyle w:val="11"/>
        <w:ind w:firstLine="632"/>
        <w:rPr>
          <w:rFonts w:ascii="Times New Roman" w:hAnsi="Times New Roman" w:cs="Times New Roman"/>
          <w:sz w:val="32"/>
        </w:rPr>
      </w:pPr>
      <w:r>
        <w:rPr>
          <w:rFonts w:ascii="Times New Roman" w:hAnsi="Times New Roman" w:cs="Times New Roman"/>
          <w:sz w:val="32"/>
        </w:rPr>
        <w:t>（1）参与处置的各警种、各部门要密切配合，协同作战，充分发挥整体作战优势。</w:t>
      </w:r>
    </w:p>
    <w:p w14:paraId="5D16FD77">
      <w:pPr>
        <w:pStyle w:val="11"/>
        <w:ind w:firstLine="632"/>
        <w:rPr>
          <w:rFonts w:ascii="Times New Roman" w:hAnsi="Times New Roman" w:cs="Times New Roman"/>
          <w:sz w:val="32"/>
        </w:rPr>
      </w:pPr>
      <w:r>
        <w:rPr>
          <w:rFonts w:ascii="Times New Roman" w:hAnsi="Times New Roman" w:cs="Times New Roman"/>
          <w:sz w:val="32"/>
        </w:rPr>
        <w:t>（2）参与处置人员必须服从命令，听从指挥，严守纪律，决不允许擅离职守或自行其是。</w:t>
      </w:r>
    </w:p>
    <w:p w14:paraId="1B44F36B">
      <w:pPr>
        <w:pStyle w:val="11"/>
        <w:ind w:firstLine="632"/>
        <w:rPr>
          <w:rFonts w:ascii="Times New Roman" w:hAnsi="Times New Roman" w:cs="Times New Roman"/>
          <w:sz w:val="32"/>
        </w:rPr>
      </w:pPr>
      <w:r>
        <w:rPr>
          <w:rFonts w:ascii="Times New Roman" w:hAnsi="Times New Roman" w:cs="Times New Roman"/>
          <w:sz w:val="32"/>
        </w:rPr>
        <w:t>（3）参与处置人员要严格依法办事，文明执勤，做到有理、有利、有节，防止由于处置不当激化矛盾，授人以柄。</w:t>
      </w:r>
    </w:p>
    <w:p w14:paraId="18A69CCC">
      <w:pPr>
        <w:pStyle w:val="11"/>
        <w:ind w:firstLine="632"/>
        <w:rPr>
          <w:rFonts w:ascii="Times New Roman" w:hAnsi="Times New Roman" w:cs="Times New Roman"/>
          <w:sz w:val="32"/>
        </w:rPr>
      </w:pPr>
      <w:r>
        <w:rPr>
          <w:rFonts w:ascii="Times New Roman" w:hAnsi="Times New Roman" w:cs="Times New Roman"/>
          <w:sz w:val="32"/>
        </w:rPr>
        <w:t>（4）参与处置的人员必须根据事件类型，携带相应的个人防护、调查取证、非杀伤性、杀伤性等装备器材，确保处置行动顺利进行和人员安全。</w:t>
      </w:r>
    </w:p>
    <w:p w14:paraId="03F689C4">
      <w:pPr>
        <w:pStyle w:val="2"/>
        <w:numPr>
          <w:ilvl w:val="0"/>
          <w:numId w:val="236"/>
        </w:numPr>
        <w:tabs>
          <w:tab w:val="left" w:pos="0"/>
        </w:tabs>
        <w:ind w:firstLine="0" w:firstLineChars="0"/>
        <w:rPr>
          <w:rFonts w:ascii="Times New Roman" w:hAnsi="Times New Roman" w:cs="Times New Roman"/>
          <w:sz w:val="32"/>
        </w:rPr>
      </w:pPr>
      <w:bookmarkStart w:id="1530" w:name="_Toc28354"/>
      <w:bookmarkStart w:id="1531" w:name="_Toc30667"/>
      <w:bookmarkStart w:id="1532" w:name="_Toc25382"/>
      <w:r>
        <w:rPr>
          <w:rFonts w:ascii="Times New Roman" w:hAnsi="Times New Roman" w:cs="Times New Roman"/>
          <w:sz w:val="32"/>
        </w:rPr>
        <w:t>预案管理</w:t>
      </w:r>
      <w:bookmarkEnd w:id="1530"/>
      <w:bookmarkEnd w:id="1531"/>
      <w:bookmarkEnd w:id="1532"/>
    </w:p>
    <w:p w14:paraId="4BC74AC0">
      <w:pPr>
        <w:pStyle w:val="3"/>
        <w:ind w:firstLine="0" w:firstLineChars="0"/>
        <w:rPr>
          <w:rFonts w:ascii="Times New Roman" w:hAnsi="Times New Roman" w:cs="Times New Roman"/>
          <w:sz w:val="32"/>
        </w:rPr>
      </w:pPr>
      <w:bookmarkStart w:id="1533" w:name="_Toc979"/>
      <w:bookmarkStart w:id="1534" w:name="_Toc24827"/>
      <w:bookmarkStart w:id="1535" w:name="_Toc13023"/>
      <w:bookmarkStart w:id="1536" w:name="_Toc32046"/>
      <w:r>
        <w:rPr>
          <w:rFonts w:ascii="Times New Roman" w:hAnsi="Times New Roman" w:cs="Times New Roman"/>
          <w:sz w:val="32"/>
        </w:rPr>
        <w:t>应急预案培训</w:t>
      </w:r>
      <w:bookmarkEnd w:id="1533"/>
      <w:bookmarkEnd w:id="1534"/>
      <w:bookmarkEnd w:id="1535"/>
    </w:p>
    <w:p w14:paraId="1915F095">
      <w:pPr>
        <w:ind w:firstLine="632"/>
        <w:rPr>
          <w:rFonts w:ascii="Times New Roman" w:hAnsi="Times New Roman" w:cs="Times New Roman"/>
          <w:sz w:val="32"/>
        </w:rPr>
      </w:pPr>
      <w:r>
        <w:rPr>
          <w:rFonts w:ascii="Times New Roman" w:hAnsi="Times New Roman" w:cs="Times New Roman"/>
          <w:sz w:val="32"/>
        </w:rPr>
        <w:t>县指挥部要加强对突发公共事件治安维护行动的研究，负责对本系统治安维护行动人员的专业技能培训，切实提高应急处置水平。</w:t>
      </w:r>
    </w:p>
    <w:p w14:paraId="6ADA85F1">
      <w:pPr>
        <w:pStyle w:val="3"/>
        <w:ind w:firstLine="0" w:firstLineChars="0"/>
        <w:rPr>
          <w:rFonts w:ascii="Times New Roman" w:hAnsi="Times New Roman" w:cs="Times New Roman"/>
          <w:sz w:val="32"/>
        </w:rPr>
      </w:pPr>
      <w:bookmarkStart w:id="1537" w:name="_Toc4086"/>
      <w:r>
        <w:rPr>
          <w:rFonts w:ascii="Times New Roman" w:hAnsi="Times New Roman" w:cs="Times New Roman"/>
          <w:sz w:val="32"/>
        </w:rPr>
        <w:t>应急演练</w:t>
      </w:r>
      <w:bookmarkEnd w:id="1536"/>
      <w:bookmarkEnd w:id="1537"/>
    </w:p>
    <w:p w14:paraId="0A543415">
      <w:pPr>
        <w:ind w:firstLine="632"/>
        <w:rPr>
          <w:rFonts w:ascii="Times New Roman" w:hAnsi="Times New Roman" w:cs="Times New Roman"/>
          <w:sz w:val="32"/>
        </w:rPr>
      </w:pPr>
      <w:r>
        <w:rPr>
          <w:rFonts w:ascii="Times New Roman" w:hAnsi="Times New Roman" w:cs="Times New Roman"/>
          <w:sz w:val="32"/>
        </w:rPr>
        <w:t>县指挥部应根据本级政府要求，协调相关单位，适时组织不同类型的突发公共事件治安维护行动演习。通过演习，对发现的问题及时采取措施解决，不断修订和完善治安维护行动方案，提高应急保障能力。</w:t>
      </w:r>
    </w:p>
    <w:p w14:paraId="4381D88E">
      <w:pPr>
        <w:pStyle w:val="3"/>
        <w:ind w:firstLine="0" w:firstLineChars="0"/>
        <w:rPr>
          <w:rFonts w:ascii="Times New Roman" w:hAnsi="Times New Roman" w:cs="Times New Roman"/>
          <w:sz w:val="32"/>
        </w:rPr>
      </w:pPr>
      <w:bookmarkStart w:id="1538" w:name="_Toc7508"/>
      <w:bookmarkStart w:id="1539" w:name="_Toc14805"/>
      <w:bookmarkStart w:id="1540" w:name="_Toc20391"/>
      <w:bookmarkStart w:id="1541" w:name="_Toc8549"/>
      <w:bookmarkStart w:id="1542" w:name="_Toc6292"/>
      <w:r>
        <w:rPr>
          <w:rFonts w:ascii="Times New Roman" w:hAnsi="Times New Roman" w:cs="Times New Roman"/>
          <w:sz w:val="32"/>
        </w:rPr>
        <w:t>评估与修订</w:t>
      </w:r>
      <w:bookmarkEnd w:id="1538"/>
      <w:bookmarkEnd w:id="1539"/>
      <w:bookmarkEnd w:id="1540"/>
    </w:p>
    <w:p w14:paraId="66C83833">
      <w:pPr>
        <w:ind w:firstLine="632"/>
        <w:rPr>
          <w:rFonts w:ascii="Times New Roman" w:hAnsi="Times New Roman" w:cs="Times New Roman"/>
          <w:sz w:val="32"/>
        </w:rPr>
      </w:pPr>
      <w:r>
        <w:rPr>
          <w:rFonts w:ascii="Times New Roman" w:hAnsi="Times New Roman" w:cs="Times New Roman"/>
          <w:sz w:val="32"/>
        </w:rPr>
        <w:t>县指挥部根据实际情况变化和国家、省、市级预案修订情况，及时对预案进行修订更新。有下列情形之一的，应当及时修订本预案：</w:t>
      </w:r>
    </w:p>
    <w:p w14:paraId="3FD4560B">
      <w:pPr>
        <w:ind w:firstLine="632"/>
        <w:rPr>
          <w:rFonts w:ascii="Times New Roman" w:hAnsi="Times New Roman" w:cs="Times New Roman"/>
          <w:sz w:val="32"/>
        </w:rPr>
      </w:pPr>
      <w:r>
        <w:rPr>
          <w:rFonts w:ascii="Times New Roman" w:hAnsi="Times New Roman" w:cs="Times New Roman"/>
          <w:sz w:val="32"/>
        </w:rPr>
        <w:t>（1）有关法律、行政法规、规章、标准、上位预案中的有关规定发生变化的；</w:t>
      </w:r>
    </w:p>
    <w:p w14:paraId="743C02F9">
      <w:pPr>
        <w:ind w:firstLine="632"/>
        <w:rPr>
          <w:rFonts w:ascii="Times New Roman" w:hAnsi="Times New Roman" w:cs="Times New Roman"/>
          <w:sz w:val="32"/>
        </w:rPr>
      </w:pPr>
      <w:r>
        <w:rPr>
          <w:rFonts w:ascii="Times New Roman" w:hAnsi="Times New Roman" w:cs="Times New Roman"/>
          <w:sz w:val="32"/>
        </w:rPr>
        <w:t>（2）应急指挥机构及其职责发生重大调整的；</w:t>
      </w:r>
    </w:p>
    <w:p w14:paraId="0C521160">
      <w:pPr>
        <w:ind w:firstLine="632"/>
        <w:rPr>
          <w:rFonts w:ascii="Times New Roman" w:hAnsi="Times New Roman" w:cs="Times New Roman"/>
          <w:sz w:val="32"/>
        </w:rPr>
      </w:pPr>
      <w:r>
        <w:rPr>
          <w:rFonts w:ascii="Times New Roman" w:hAnsi="Times New Roman" w:cs="Times New Roman"/>
          <w:sz w:val="32"/>
        </w:rPr>
        <w:t>（3）面临的风险发生重大变化的；</w:t>
      </w:r>
    </w:p>
    <w:p w14:paraId="01CCB0B4">
      <w:pPr>
        <w:ind w:firstLine="632"/>
        <w:rPr>
          <w:rFonts w:ascii="Times New Roman" w:hAnsi="Times New Roman" w:cs="Times New Roman"/>
          <w:sz w:val="32"/>
        </w:rPr>
      </w:pPr>
      <w:r>
        <w:rPr>
          <w:rFonts w:ascii="Times New Roman" w:hAnsi="Times New Roman" w:cs="Times New Roman"/>
          <w:sz w:val="32"/>
        </w:rPr>
        <w:t>（4）重要应急资源发生重大变化的；</w:t>
      </w:r>
    </w:p>
    <w:p w14:paraId="77806E75">
      <w:pPr>
        <w:ind w:firstLine="632"/>
        <w:rPr>
          <w:rFonts w:ascii="Times New Roman" w:hAnsi="Times New Roman" w:cs="Times New Roman"/>
          <w:sz w:val="32"/>
        </w:rPr>
      </w:pPr>
      <w:r>
        <w:rPr>
          <w:rFonts w:ascii="Times New Roman" w:hAnsi="Times New Roman" w:cs="Times New Roman"/>
          <w:sz w:val="32"/>
        </w:rPr>
        <w:t>（5）预案中的其他重要信息发生变化的；</w:t>
      </w:r>
    </w:p>
    <w:p w14:paraId="286AF4B0">
      <w:pPr>
        <w:ind w:firstLine="632"/>
        <w:rPr>
          <w:rFonts w:ascii="Times New Roman" w:hAnsi="Times New Roman" w:cs="Times New Roman"/>
          <w:sz w:val="32"/>
        </w:rPr>
      </w:pPr>
      <w:r>
        <w:rPr>
          <w:rFonts w:ascii="Times New Roman" w:hAnsi="Times New Roman" w:cs="Times New Roman"/>
          <w:sz w:val="32"/>
        </w:rPr>
        <w:t>（6）在突发事件实际应对和应急演练中发现问题需要做出重大调整的；</w:t>
      </w:r>
    </w:p>
    <w:p w14:paraId="1C5A3E0A">
      <w:pPr>
        <w:ind w:firstLine="632"/>
        <w:rPr>
          <w:rFonts w:ascii="Times New Roman" w:hAnsi="Times New Roman" w:cs="Times New Roman"/>
          <w:sz w:val="32"/>
        </w:rPr>
      </w:pPr>
      <w:r>
        <w:rPr>
          <w:rFonts w:ascii="Times New Roman" w:hAnsi="Times New Roman" w:cs="Times New Roman"/>
          <w:sz w:val="32"/>
        </w:rPr>
        <w:t>（7）应急预案制定单位认为应当修订的其他情况。</w:t>
      </w:r>
    </w:p>
    <w:p w14:paraId="0571BFA0">
      <w:pPr>
        <w:pStyle w:val="3"/>
        <w:ind w:firstLine="0" w:firstLineChars="0"/>
        <w:rPr>
          <w:rFonts w:ascii="Times New Roman" w:hAnsi="Times New Roman" w:cs="Times New Roman"/>
          <w:sz w:val="32"/>
        </w:rPr>
      </w:pPr>
      <w:bookmarkStart w:id="1543" w:name="_Toc29817"/>
      <w:r>
        <w:rPr>
          <w:rFonts w:ascii="Times New Roman" w:hAnsi="Times New Roman" w:cs="Times New Roman"/>
          <w:sz w:val="32"/>
        </w:rPr>
        <w:t>预案解释与实施</w:t>
      </w:r>
      <w:bookmarkEnd w:id="1541"/>
      <w:bookmarkEnd w:id="1542"/>
      <w:bookmarkEnd w:id="1543"/>
    </w:p>
    <w:p w14:paraId="41872AD7">
      <w:pPr>
        <w:ind w:firstLine="632"/>
        <w:rPr>
          <w:rFonts w:ascii="Times New Roman" w:hAnsi="Times New Roman" w:cs="Times New Roman"/>
          <w:sz w:val="32"/>
        </w:rPr>
      </w:pPr>
      <w:r>
        <w:rPr>
          <w:rFonts w:ascii="Times New Roman" w:hAnsi="Times New Roman" w:cs="Times New Roman"/>
          <w:sz w:val="32"/>
        </w:rPr>
        <w:t>本预案由集贤县突发公共事件治安维护应急行动指挥部负责解释。</w:t>
      </w:r>
    </w:p>
    <w:p w14:paraId="428D3E5D">
      <w:pPr>
        <w:ind w:firstLine="632"/>
        <w:rPr>
          <w:rFonts w:ascii="Times New Roman" w:hAnsi="Times New Roman" w:cs="Times New Roman"/>
        </w:rPr>
      </w:pPr>
      <w:r>
        <w:rPr>
          <w:rFonts w:ascii="Times New Roman" w:hAnsi="Times New Roman" w:cs="Times New Roman"/>
          <w:sz w:val="32"/>
        </w:rPr>
        <w:t>本预案自发布之日起施行。</w:t>
      </w:r>
    </w:p>
    <w:p w14:paraId="58CCA96B">
      <w:pPr>
        <w:pStyle w:val="15"/>
        <w:ind w:left="0" w:leftChars="0" w:firstLine="0" w:firstLineChars="0"/>
        <w:rPr>
          <w:rFonts w:ascii="Times New Roman" w:hAnsi="Times New Roman" w:cs="Times New Roman"/>
        </w:rPr>
        <w:sectPr>
          <w:footerReference r:id="rId166" w:type="default"/>
          <w:footerReference r:id="rId167" w:type="even"/>
          <w:pgSz w:w="11906" w:h="16838"/>
          <w:pgMar w:top="2098" w:right="1474" w:bottom="1984" w:left="1587" w:header="624" w:footer="1134" w:gutter="0"/>
          <w:pgNumType w:start="1"/>
          <w:cols w:space="0" w:num="1"/>
          <w:docGrid w:type="linesAndChars" w:linePitch="579" w:charSpace="-842"/>
        </w:sectPr>
      </w:pPr>
    </w:p>
    <w:p w14:paraId="239FD91D">
      <w:pPr>
        <w:pStyle w:val="11"/>
        <w:ind w:firstLine="632"/>
      </w:pPr>
      <w:r>
        <w:rPr>
          <w:rFonts w:hint="eastAsia"/>
        </w:rPr>
        <w:t xml:space="preserve"> </w:t>
      </w:r>
    </w:p>
    <w:p w14:paraId="30561F40">
      <w:pPr>
        <w:ind w:firstLine="0" w:firstLineChars="0"/>
        <w:jc w:val="center"/>
        <w:rPr>
          <w:sz w:val="36"/>
          <w:szCs w:val="36"/>
        </w:rPr>
      </w:pPr>
    </w:p>
    <w:p w14:paraId="7D40C450">
      <w:pPr>
        <w:pStyle w:val="42"/>
      </w:pPr>
    </w:p>
    <w:p w14:paraId="4B405376">
      <w:pPr>
        <w:autoSpaceDE w:val="0"/>
        <w:autoSpaceDN w:val="0"/>
        <w:adjustRightInd w:val="0"/>
        <w:spacing w:line="560" w:lineRule="exact"/>
        <w:ind w:firstLine="0" w:firstLineChars="0"/>
        <w:jc w:val="center"/>
        <w:rPr>
          <w:rFonts w:ascii="方正小标宋简体" w:hAnsi="方正小标宋简体" w:eastAsia="方正小标宋简体" w:cs="方正小标宋简体"/>
          <w:bCs/>
          <w:color w:val="000000"/>
          <w:spacing w:val="-6"/>
          <w:kern w:val="0"/>
          <w:sz w:val="52"/>
          <w:szCs w:val="52"/>
          <w:lang w:bidi="ar"/>
        </w:rPr>
      </w:pPr>
      <w:r>
        <w:rPr>
          <w:rFonts w:hint="eastAsia" w:ascii="方正小标宋简体" w:hAnsi="方正小标宋简体" w:eastAsia="方正小标宋简体" w:cs="方正小标宋简体"/>
          <w:bCs/>
          <w:color w:val="000000"/>
          <w:spacing w:val="-6"/>
          <w:kern w:val="0"/>
          <w:sz w:val="52"/>
          <w:szCs w:val="52"/>
          <w:lang w:bidi="ar"/>
        </w:rPr>
        <w:t>集贤县突发公共事件医疗卫生救援</w:t>
      </w:r>
    </w:p>
    <w:p w14:paraId="273A1884">
      <w:pPr>
        <w:autoSpaceDE w:val="0"/>
        <w:autoSpaceDN w:val="0"/>
        <w:adjustRightInd w:val="0"/>
        <w:spacing w:line="560" w:lineRule="exact"/>
        <w:ind w:firstLine="0" w:firstLineChars="0"/>
        <w:jc w:val="center"/>
        <w:rPr>
          <w:rFonts w:ascii="方正小标宋简体" w:hAnsi="方正小标宋简体" w:eastAsia="方正小标宋简体" w:cs="方正小标宋简体"/>
          <w:bCs/>
          <w:color w:val="000000"/>
          <w:spacing w:val="-6"/>
          <w:kern w:val="0"/>
          <w:sz w:val="52"/>
          <w:szCs w:val="52"/>
          <w:lang w:bidi="ar"/>
        </w:rPr>
      </w:pPr>
      <w:r>
        <w:rPr>
          <w:rFonts w:hint="eastAsia" w:ascii="方正小标宋简体" w:hAnsi="方正小标宋简体" w:eastAsia="方正小标宋简体" w:cs="方正小标宋简体"/>
          <w:bCs/>
          <w:color w:val="000000"/>
          <w:spacing w:val="-6"/>
          <w:kern w:val="0"/>
          <w:sz w:val="52"/>
          <w:szCs w:val="52"/>
          <w:lang w:bidi="ar"/>
        </w:rPr>
        <w:t>应急预案</w:t>
      </w:r>
    </w:p>
    <w:p w14:paraId="357D420D">
      <w:pPr>
        <w:pStyle w:val="11"/>
        <w:ind w:firstLine="0" w:firstLineChars="0"/>
        <w:jc w:val="center"/>
        <w:rPr>
          <w:rFonts w:ascii="Times New Roman" w:hAnsi="Times New Roman" w:eastAsia="楷体_GB2312" w:cs="Times New Roman"/>
          <w:b/>
          <w:sz w:val="52"/>
          <w:szCs w:val="52"/>
        </w:rPr>
      </w:pPr>
      <w:r>
        <w:rPr>
          <w:rFonts w:hint="eastAsia" w:ascii="仿宋_GB2312" w:hAnsi="仿宋_GB2312" w:cs="仿宋_GB2312"/>
          <w:bCs/>
          <w:sz w:val="48"/>
          <w:szCs w:val="48"/>
        </w:rPr>
        <w:t>（修订稿）</w:t>
      </w:r>
    </w:p>
    <w:p w14:paraId="370D0A80">
      <w:pPr>
        <w:ind w:firstLine="632"/>
      </w:pPr>
    </w:p>
    <w:p w14:paraId="5DEC253A">
      <w:pPr>
        <w:ind w:firstLine="632"/>
      </w:pPr>
    </w:p>
    <w:p w14:paraId="70256D3E">
      <w:pPr>
        <w:ind w:firstLine="632"/>
      </w:pPr>
    </w:p>
    <w:p w14:paraId="161B3327">
      <w:pPr>
        <w:pStyle w:val="11"/>
        <w:ind w:firstLine="632"/>
      </w:pPr>
    </w:p>
    <w:p w14:paraId="2C811EA6">
      <w:pPr>
        <w:pStyle w:val="11"/>
        <w:ind w:firstLine="632"/>
      </w:pPr>
    </w:p>
    <w:p w14:paraId="463D7F38">
      <w:pPr>
        <w:pStyle w:val="11"/>
        <w:ind w:firstLine="632"/>
      </w:pPr>
    </w:p>
    <w:p w14:paraId="68C0E2E6">
      <w:pPr>
        <w:ind w:firstLine="632"/>
      </w:pPr>
    </w:p>
    <w:p w14:paraId="2A6823F3">
      <w:pPr>
        <w:ind w:firstLine="632"/>
      </w:pPr>
    </w:p>
    <w:p w14:paraId="57C769B8">
      <w:pPr>
        <w:pStyle w:val="42"/>
      </w:pPr>
    </w:p>
    <w:p w14:paraId="153A2356">
      <w:pPr>
        <w:pStyle w:val="42"/>
      </w:pPr>
    </w:p>
    <w:p w14:paraId="042FB686">
      <w:pPr>
        <w:ind w:firstLine="632"/>
      </w:pPr>
    </w:p>
    <w:p w14:paraId="3184A195">
      <w:pPr>
        <w:ind w:firstLine="0" w:firstLineChars="0"/>
        <w:jc w:val="center"/>
        <w:rPr>
          <w:rFonts w:eastAsia="仿宋"/>
          <w:bCs/>
          <w:spacing w:val="-6"/>
          <w:sz w:val="36"/>
          <w:szCs w:val="24"/>
          <w:lang w:bidi="ar"/>
        </w:rPr>
      </w:pPr>
      <w:r>
        <w:rPr>
          <w:rFonts w:hint="eastAsia"/>
          <w:bCs/>
          <w:spacing w:val="-6"/>
          <w:sz w:val="36"/>
          <w:szCs w:val="24"/>
          <w:lang w:bidi="ar"/>
        </w:rPr>
        <w:t>集贤县</w:t>
      </w:r>
      <w:r>
        <w:rPr>
          <w:rFonts w:hint="eastAsia" w:eastAsia="仿宋"/>
          <w:bCs/>
          <w:spacing w:val="-6"/>
          <w:sz w:val="36"/>
          <w:szCs w:val="24"/>
          <w:lang w:bidi="ar"/>
        </w:rPr>
        <w:t>人民政府</w:t>
      </w:r>
      <w:r>
        <w:rPr>
          <w:rFonts w:hint="eastAsia"/>
          <w:bCs/>
          <w:spacing w:val="-6"/>
          <w:sz w:val="36"/>
          <w:szCs w:val="24"/>
          <w:lang w:bidi="ar"/>
        </w:rPr>
        <w:t xml:space="preserve"> </w:t>
      </w:r>
      <w:r>
        <w:rPr>
          <w:rFonts w:hint="eastAsia" w:eastAsia="仿宋"/>
          <w:bCs/>
          <w:spacing w:val="-6"/>
          <w:sz w:val="36"/>
          <w:szCs w:val="24"/>
          <w:lang w:bidi="ar"/>
        </w:rPr>
        <w:t>编制</w:t>
      </w:r>
    </w:p>
    <w:p w14:paraId="3060AC19">
      <w:pPr>
        <w:ind w:firstLine="0" w:firstLineChars="0"/>
        <w:jc w:val="center"/>
        <w:rPr>
          <w:rFonts w:eastAsia="仿宋"/>
          <w:bCs/>
          <w:spacing w:val="-6"/>
          <w:sz w:val="36"/>
          <w:szCs w:val="24"/>
          <w:lang w:bidi="ar"/>
        </w:rPr>
      </w:pPr>
      <w:r>
        <w:rPr>
          <w:rFonts w:hint="eastAsia" w:eastAsia="仿宋"/>
          <w:bCs/>
          <w:spacing w:val="-6"/>
          <w:sz w:val="36"/>
          <w:szCs w:val="24"/>
          <w:lang w:bidi="ar"/>
        </w:rPr>
        <w:t>202</w:t>
      </w:r>
      <w:r>
        <w:rPr>
          <w:bCs/>
          <w:spacing w:val="-6"/>
          <w:sz w:val="36"/>
          <w:szCs w:val="24"/>
          <w:lang w:bidi="ar"/>
        </w:rPr>
        <w:t>5</w:t>
      </w:r>
      <w:r>
        <w:rPr>
          <w:rFonts w:hint="eastAsia" w:eastAsia="仿宋"/>
          <w:bCs/>
          <w:spacing w:val="-6"/>
          <w:sz w:val="36"/>
          <w:szCs w:val="24"/>
          <w:lang w:bidi="ar"/>
        </w:rPr>
        <w:t>年</w:t>
      </w:r>
      <w:r>
        <w:rPr>
          <w:rFonts w:eastAsia="仿宋"/>
          <w:bCs/>
          <w:spacing w:val="-6"/>
          <w:sz w:val="36"/>
          <w:szCs w:val="24"/>
          <w:lang w:bidi="ar"/>
        </w:rPr>
        <w:t>5</w:t>
      </w:r>
      <w:r>
        <w:rPr>
          <w:rFonts w:hint="eastAsia" w:eastAsia="仿宋"/>
          <w:bCs/>
          <w:spacing w:val="-6"/>
          <w:sz w:val="36"/>
          <w:szCs w:val="24"/>
          <w:lang w:bidi="ar"/>
        </w:rPr>
        <w:t>月</w:t>
      </w:r>
    </w:p>
    <w:p w14:paraId="7EA3274D">
      <w:pPr>
        <w:ind w:firstLine="0" w:firstLineChars="0"/>
        <w:sectPr>
          <w:footerReference r:id="rId168" w:type="default"/>
          <w:pgSz w:w="11906" w:h="16838"/>
          <w:pgMar w:top="2098" w:right="1474" w:bottom="1984" w:left="1587" w:header="1814" w:footer="1587" w:gutter="0"/>
          <w:pgNumType w:fmt="numberInDash"/>
          <w:cols w:space="720" w:num="1"/>
          <w:docGrid w:type="linesAndChars" w:linePitch="579" w:charSpace="-842"/>
        </w:sectPr>
      </w:pPr>
      <w:r>
        <w:rPr>
          <w:rFonts w:hint="eastAsia"/>
        </w:rPr>
        <w:br w:type="page"/>
      </w:r>
    </w:p>
    <w:p w14:paraId="51844930">
      <w:pPr>
        <w:ind w:firstLine="0" w:firstLineChars="0"/>
        <w:jc w:val="center"/>
        <w:rPr>
          <w:rFonts w:ascii="微软雅黑" w:hAnsi="微软雅黑" w:eastAsia="微软雅黑" w:cs="微软雅黑"/>
          <w:b/>
          <w:bCs/>
          <w:sz w:val="36"/>
          <w:szCs w:val="36"/>
        </w:rPr>
      </w:pPr>
      <w:r>
        <w:rPr>
          <w:rFonts w:hint="eastAsia" w:ascii="微软雅黑" w:hAnsi="微软雅黑" w:eastAsia="微软雅黑" w:cs="微软雅黑"/>
          <w:b/>
          <w:bCs/>
          <w:sz w:val="36"/>
          <w:szCs w:val="36"/>
        </w:rPr>
        <w:t>目  录</w:t>
      </w:r>
    </w:p>
    <w:p w14:paraId="3FD8E3A6">
      <w:pPr>
        <w:pStyle w:val="18"/>
      </w:pPr>
      <w:r>
        <w:rPr>
          <w:rFonts w:hint="eastAsia" w:ascii="黑体" w:hAnsi="黑体" w:eastAsia="黑体" w:cs="黑体"/>
          <w:sz w:val="44"/>
          <w:szCs w:val="44"/>
        </w:rPr>
        <w:fldChar w:fldCharType="begin"/>
      </w:r>
      <w:r>
        <w:rPr>
          <w:rFonts w:hint="eastAsia" w:ascii="黑体" w:hAnsi="黑体" w:eastAsia="黑体" w:cs="黑体"/>
          <w:sz w:val="44"/>
          <w:szCs w:val="44"/>
        </w:rPr>
        <w:instrText xml:space="preserve">TOC \o "1-2" \h \u </w:instrText>
      </w:r>
      <w:r>
        <w:rPr>
          <w:rFonts w:hint="eastAsia" w:ascii="黑体" w:hAnsi="黑体" w:eastAsia="黑体" w:cs="黑体"/>
          <w:sz w:val="44"/>
          <w:szCs w:val="44"/>
        </w:rPr>
        <w:fldChar w:fldCharType="separate"/>
      </w:r>
      <w:r>
        <w:fldChar w:fldCharType="begin"/>
      </w:r>
      <w:r>
        <w:instrText xml:space="preserve"> HYPERLINK \l "_Toc28116" </w:instrText>
      </w:r>
      <w:r>
        <w:fldChar w:fldCharType="separate"/>
      </w:r>
      <w:r>
        <w:rPr>
          <w:rFonts w:eastAsia="仿宋"/>
        </w:rPr>
        <w:t xml:space="preserve">1 </w:t>
      </w:r>
      <w:r>
        <w:rPr>
          <w:rFonts w:hint="eastAsia"/>
        </w:rPr>
        <w:t>总则</w:t>
      </w:r>
      <w:r>
        <w:tab/>
      </w:r>
      <w:r>
        <w:fldChar w:fldCharType="begin"/>
      </w:r>
      <w:r>
        <w:instrText xml:space="preserve"> PAGEREF _Toc28116 \h </w:instrText>
      </w:r>
      <w:r>
        <w:fldChar w:fldCharType="separate"/>
      </w:r>
      <w:r>
        <w:t>1</w:t>
      </w:r>
      <w:r>
        <w:fldChar w:fldCharType="end"/>
      </w:r>
      <w:r>
        <w:fldChar w:fldCharType="end"/>
      </w:r>
    </w:p>
    <w:p w14:paraId="220AE1CB">
      <w:pPr>
        <w:pStyle w:val="19"/>
        <w:tabs>
          <w:tab w:val="right" w:leader="dot" w:pos="8845"/>
        </w:tabs>
        <w:ind w:firstLine="632"/>
      </w:pPr>
      <w:r>
        <w:fldChar w:fldCharType="begin"/>
      </w:r>
      <w:r>
        <w:instrText xml:space="preserve"> HYPERLINK \l "_Toc23018" </w:instrText>
      </w:r>
      <w:r>
        <w:fldChar w:fldCharType="separate"/>
      </w:r>
      <w:r>
        <w:rPr>
          <w:rFonts w:eastAsia="仿宋"/>
          <w:bCs/>
          <w:szCs w:val="28"/>
        </w:rPr>
        <w:t xml:space="preserve">1.1 </w:t>
      </w:r>
      <w:r>
        <w:rPr>
          <w:rFonts w:hint="eastAsia"/>
        </w:rPr>
        <w:t>编制目的</w:t>
      </w:r>
      <w:r>
        <w:tab/>
      </w:r>
      <w:r>
        <w:fldChar w:fldCharType="begin"/>
      </w:r>
      <w:r>
        <w:instrText xml:space="preserve"> PAGEREF _Toc23018 \h </w:instrText>
      </w:r>
      <w:r>
        <w:fldChar w:fldCharType="separate"/>
      </w:r>
      <w:r>
        <w:t>1</w:t>
      </w:r>
      <w:r>
        <w:fldChar w:fldCharType="end"/>
      </w:r>
      <w:r>
        <w:fldChar w:fldCharType="end"/>
      </w:r>
    </w:p>
    <w:p w14:paraId="3B85D6C2">
      <w:pPr>
        <w:pStyle w:val="19"/>
        <w:tabs>
          <w:tab w:val="right" w:leader="dot" w:pos="8845"/>
        </w:tabs>
        <w:ind w:firstLine="632"/>
      </w:pPr>
      <w:r>
        <w:fldChar w:fldCharType="begin"/>
      </w:r>
      <w:r>
        <w:instrText xml:space="preserve"> HYPERLINK \l "_Toc25415" </w:instrText>
      </w:r>
      <w:r>
        <w:fldChar w:fldCharType="separate"/>
      </w:r>
      <w:r>
        <w:rPr>
          <w:rFonts w:eastAsia="仿宋"/>
          <w:bCs/>
          <w:szCs w:val="28"/>
        </w:rPr>
        <w:t xml:space="preserve">1.2 </w:t>
      </w:r>
      <w:r>
        <w:rPr>
          <w:rFonts w:hint="eastAsia"/>
        </w:rPr>
        <w:t>编制依据</w:t>
      </w:r>
      <w:r>
        <w:tab/>
      </w:r>
      <w:r>
        <w:fldChar w:fldCharType="begin"/>
      </w:r>
      <w:r>
        <w:instrText xml:space="preserve"> PAGEREF _Toc25415 \h </w:instrText>
      </w:r>
      <w:r>
        <w:fldChar w:fldCharType="separate"/>
      </w:r>
      <w:r>
        <w:t>1</w:t>
      </w:r>
      <w:r>
        <w:fldChar w:fldCharType="end"/>
      </w:r>
      <w:r>
        <w:fldChar w:fldCharType="end"/>
      </w:r>
    </w:p>
    <w:p w14:paraId="603E62C0">
      <w:pPr>
        <w:pStyle w:val="19"/>
        <w:tabs>
          <w:tab w:val="right" w:leader="dot" w:pos="8845"/>
        </w:tabs>
        <w:ind w:firstLine="632"/>
      </w:pPr>
      <w:r>
        <w:fldChar w:fldCharType="begin"/>
      </w:r>
      <w:r>
        <w:instrText xml:space="preserve"> HYPERLINK \l "_Toc6082" </w:instrText>
      </w:r>
      <w:r>
        <w:fldChar w:fldCharType="separate"/>
      </w:r>
      <w:r>
        <w:rPr>
          <w:rFonts w:eastAsia="仿宋"/>
          <w:bCs/>
          <w:szCs w:val="28"/>
        </w:rPr>
        <w:t xml:space="preserve">1.3 </w:t>
      </w:r>
      <w:r>
        <w:rPr>
          <w:rFonts w:hint="eastAsia"/>
        </w:rPr>
        <w:t>适用范围</w:t>
      </w:r>
      <w:r>
        <w:tab/>
      </w:r>
      <w:r>
        <w:fldChar w:fldCharType="begin"/>
      </w:r>
      <w:r>
        <w:instrText xml:space="preserve"> PAGEREF _Toc6082 \h </w:instrText>
      </w:r>
      <w:r>
        <w:fldChar w:fldCharType="separate"/>
      </w:r>
      <w:r>
        <w:t>1</w:t>
      </w:r>
      <w:r>
        <w:fldChar w:fldCharType="end"/>
      </w:r>
      <w:r>
        <w:fldChar w:fldCharType="end"/>
      </w:r>
    </w:p>
    <w:p w14:paraId="235DE286">
      <w:pPr>
        <w:pStyle w:val="19"/>
        <w:tabs>
          <w:tab w:val="right" w:leader="dot" w:pos="8845"/>
        </w:tabs>
        <w:ind w:firstLine="632"/>
      </w:pPr>
      <w:r>
        <w:fldChar w:fldCharType="begin"/>
      </w:r>
      <w:r>
        <w:instrText xml:space="preserve"> HYPERLINK \l "_Toc7245" </w:instrText>
      </w:r>
      <w:r>
        <w:fldChar w:fldCharType="separate"/>
      </w:r>
      <w:r>
        <w:rPr>
          <w:rFonts w:eastAsia="仿宋"/>
          <w:bCs/>
          <w:szCs w:val="28"/>
        </w:rPr>
        <w:t xml:space="preserve">1.4 </w:t>
      </w:r>
      <w:r>
        <w:rPr>
          <w:rFonts w:hint="eastAsia"/>
        </w:rPr>
        <w:t>工作原则</w:t>
      </w:r>
      <w:r>
        <w:tab/>
      </w:r>
      <w:r>
        <w:fldChar w:fldCharType="begin"/>
      </w:r>
      <w:r>
        <w:instrText xml:space="preserve"> PAGEREF _Toc7245 \h </w:instrText>
      </w:r>
      <w:r>
        <w:fldChar w:fldCharType="separate"/>
      </w:r>
      <w:r>
        <w:t>1</w:t>
      </w:r>
      <w:r>
        <w:fldChar w:fldCharType="end"/>
      </w:r>
      <w:r>
        <w:fldChar w:fldCharType="end"/>
      </w:r>
    </w:p>
    <w:p w14:paraId="565665C7">
      <w:pPr>
        <w:pStyle w:val="19"/>
        <w:tabs>
          <w:tab w:val="right" w:leader="dot" w:pos="8845"/>
        </w:tabs>
        <w:ind w:firstLine="632"/>
      </w:pPr>
      <w:r>
        <w:fldChar w:fldCharType="begin"/>
      </w:r>
      <w:r>
        <w:instrText xml:space="preserve"> HYPERLINK \l "_Toc11685" </w:instrText>
      </w:r>
      <w:r>
        <w:fldChar w:fldCharType="separate"/>
      </w:r>
      <w:r>
        <w:rPr>
          <w:rFonts w:eastAsia="仿宋"/>
          <w:bCs/>
          <w:szCs w:val="28"/>
        </w:rPr>
        <w:t xml:space="preserve">1.5 </w:t>
      </w:r>
      <w:r>
        <w:rPr>
          <w:rFonts w:hint="eastAsia"/>
        </w:rPr>
        <w:t>事件分级</w:t>
      </w:r>
      <w:r>
        <w:tab/>
      </w:r>
      <w:r>
        <w:fldChar w:fldCharType="begin"/>
      </w:r>
      <w:r>
        <w:instrText xml:space="preserve"> PAGEREF _Toc11685 \h </w:instrText>
      </w:r>
      <w:r>
        <w:fldChar w:fldCharType="separate"/>
      </w:r>
      <w:r>
        <w:t>2</w:t>
      </w:r>
      <w:r>
        <w:fldChar w:fldCharType="end"/>
      </w:r>
      <w:r>
        <w:fldChar w:fldCharType="end"/>
      </w:r>
    </w:p>
    <w:p w14:paraId="56F8A9EB">
      <w:pPr>
        <w:pStyle w:val="18"/>
      </w:pPr>
      <w:r>
        <w:fldChar w:fldCharType="begin"/>
      </w:r>
      <w:r>
        <w:instrText xml:space="preserve"> HYPERLINK \l "_Toc19934" </w:instrText>
      </w:r>
      <w:r>
        <w:fldChar w:fldCharType="separate"/>
      </w:r>
      <w:r>
        <w:rPr>
          <w:rFonts w:eastAsia="仿宋"/>
        </w:rPr>
        <w:t xml:space="preserve">2 </w:t>
      </w:r>
      <w:r>
        <w:rPr>
          <w:rFonts w:hint="eastAsia"/>
        </w:rPr>
        <w:t>组织指挥体系及职责</w:t>
      </w:r>
      <w:r>
        <w:tab/>
      </w:r>
      <w:r>
        <w:fldChar w:fldCharType="begin"/>
      </w:r>
      <w:r>
        <w:instrText xml:space="preserve"> PAGEREF _Toc19934 \h </w:instrText>
      </w:r>
      <w:r>
        <w:fldChar w:fldCharType="separate"/>
      </w:r>
      <w:r>
        <w:t>3</w:t>
      </w:r>
      <w:r>
        <w:fldChar w:fldCharType="end"/>
      </w:r>
      <w:r>
        <w:fldChar w:fldCharType="end"/>
      </w:r>
    </w:p>
    <w:p w14:paraId="1970E59F">
      <w:pPr>
        <w:pStyle w:val="19"/>
        <w:tabs>
          <w:tab w:val="right" w:leader="dot" w:pos="8845"/>
        </w:tabs>
        <w:ind w:firstLine="632"/>
      </w:pPr>
      <w:r>
        <w:fldChar w:fldCharType="begin"/>
      </w:r>
      <w:r>
        <w:instrText xml:space="preserve"> HYPERLINK \l "_Toc7396" </w:instrText>
      </w:r>
      <w:r>
        <w:fldChar w:fldCharType="separate"/>
      </w:r>
      <w:r>
        <w:rPr>
          <w:rFonts w:eastAsia="仿宋"/>
          <w:bCs/>
          <w:szCs w:val="28"/>
        </w:rPr>
        <w:t xml:space="preserve">2.1 </w:t>
      </w:r>
      <w:r>
        <w:rPr>
          <w:rFonts w:hint="eastAsia"/>
        </w:rPr>
        <w:t>救援领导机构及有关部门职责</w:t>
      </w:r>
      <w:r>
        <w:tab/>
      </w:r>
      <w:r>
        <w:fldChar w:fldCharType="begin"/>
      </w:r>
      <w:r>
        <w:instrText xml:space="preserve"> PAGEREF _Toc7396 \h </w:instrText>
      </w:r>
      <w:r>
        <w:fldChar w:fldCharType="separate"/>
      </w:r>
      <w:r>
        <w:t>3</w:t>
      </w:r>
      <w:r>
        <w:fldChar w:fldCharType="end"/>
      </w:r>
      <w:r>
        <w:fldChar w:fldCharType="end"/>
      </w:r>
    </w:p>
    <w:p w14:paraId="1B30F0AA">
      <w:pPr>
        <w:pStyle w:val="19"/>
        <w:tabs>
          <w:tab w:val="right" w:leader="dot" w:pos="8845"/>
        </w:tabs>
        <w:ind w:firstLine="632"/>
      </w:pPr>
      <w:r>
        <w:fldChar w:fldCharType="begin"/>
      </w:r>
      <w:r>
        <w:instrText xml:space="preserve"> HYPERLINK \l "_Toc23414" </w:instrText>
      </w:r>
      <w:r>
        <w:fldChar w:fldCharType="separate"/>
      </w:r>
      <w:r>
        <w:rPr>
          <w:rFonts w:eastAsia="仿宋"/>
          <w:bCs/>
          <w:szCs w:val="28"/>
        </w:rPr>
        <w:t xml:space="preserve">2.2 </w:t>
      </w:r>
      <w:r>
        <w:rPr>
          <w:rFonts w:hint="eastAsia"/>
        </w:rPr>
        <w:t>专家组</w:t>
      </w:r>
      <w:r>
        <w:tab/>
      </w:r>
      <w:r>
        <w:fldChar w:fldCharType="begin"/>
      </w:r>
      <w:r>
        <w:instrText xml:space="preserve"> PAGEREF _Toc23414 \h </w:instrText>
      </w:r>
      <w:r>
        <w:fldChar w:fldCharType="separate"/>
      </w:r>
      <w:r>
        <w:t>4</w:t>
      </w:r>
      <w:r>
        <w:fldChar w:fldCharType="end"/>
      </w:r>
      <w:r>
        <w:fldChar w:fldCharType="end"/>
      </w:r>
    </w:p>
    <w:p w14:paraId="129B21BE">
      <w:pPr>
        <w:pStyle w:val="19"/>
        <w:tabs>
          <w:tab w:val="right" w:leader="dot" w:pos="8845"/>
        </w:tabs>
        <w:ind w:firstLine="632"/>
      </w:pPr>
      <w:r>
        <w:fldChar w:fldCharType="begin"/>
      </w:r>
      <w:r>
        <w:instrText xml:space="preserve"> HYPERLINK \l "_Toc11462" </w:instrText>
      </w:r>
      <w:r>
        <w:fldChar w:fldCharType="separate"/>
      </w:r>
      <w:r>
        <w:rPr>
          <w:rFonts w:eastAsia="仿宋"/>
          <w:bCs/>
          <w:szCs w:val="28"/>
        </w:rPr>
        <w:t xml:space="preserve">2.3 </w:t>
      </w:r>
      <w:r>
        <w:rPr>
          <w:rFonts w:hint="eastAsia"/>
        </w:rPr>
        <w:t>救援机构</w:t>
      </w:r>
      <w:r>
        <w:tab/>
      </w:r>
      <w:r>
        <w:fldChar w:fldCharType="begin"/>
      </w:r>
      <w:r>
        <w:instrText xml:space="preserve"> PAGEREF _Toc11462 \h </w:instrText>
      </w:r>
      <w:r>
        <w:fldChar w:fldCharType="separate"/>
      </w:r>
      <w:r>
        <w:t>4</w:t>
      </w:r>
      <w:r>
        <w:fldChar w:fldCharType="end"/>
      </w:r>
      <w:r>
        <w:fldChar w:fldCharType="end"/>
      </w:r>
    </w:p>
    <w:p w14:paraId="38DA9EEF">
      <w:pPr>
        <w:pStyle w:val="19"/>
        <w:tabs>
          <w:tab w:val="right" w:leader="dot" w:pos="8845"/>
        </w:tabs>
        <w:ind w:firstLine="632"/>
      </w:pPr>
      <w:r>
        <w:fldChar w:fldCharType="begin"/>
      </w:r>
      <w:r>
        <w:instrText xml:space="preserve"> HYPERLINK \l "_Toc8691" </w:instrText>
      </w:r>
      <w:r>
        <w:fldChar w:fldCharType="separate"/>
      </w:r>
      <w:r>
        <w:rPr>
          <w:rFonts w:eastAsia="仿宋"/>
          <w:bCs/>
          <w:szCs w:val="28"/>
        </w:rPr>
        <w:t xml:space="preserve">2.4 </w:t>
      </w:r>
      <w:r>
        <w:rPr>
          <w:rFonts w:hint="eastAsia"/>
        </w:rPr>
        <w:t>现场救援指挥部</w:t>
      </w:r>
      <w:r>
        <w:tab/>
      </w:r>
      <w:r>
        <w:fldChar w:fldCharType="begin"/>
      </w:r>
      <w:r>
        <w:instrText xml:space="preserve"> PAGEREF _Toc8691 \h </w:instrText>
      </w:r>
      <w:r>
        <w:fldChar w:fldCharType="separate"/>
      </w:r>
      <w:r>
        <w:t>4</w:t>
      </w:r>
      <w:r>
        <w:fldChar w:fldCharType="end"/>
      </w:r>
      <w:r>
        <w:fldChar w:fldCharType="end"/>
      </w:r>
    </w:p>
    <w:p w14:paraId="5EC7C688">
      <w:pPr>
        <w:pStyle w:val="18"/>
      </w:pPr>
      <w:r>
        <w:fldChar w:fldCharType="begin"/>
      </w:r>
      <w:r>
        <w:instrText xml:space="preserve"> HYPERLINK \l "_Toc5764" </w:instrText>
      </w:r>
      <w:r>
        <w:fldChar w:fldCharType="separate"/>
      </w:r>
      <w:r>
        <w:rPr>
          <w:rFonts w:eastAsia="仿宋"/>
        </w:rPr>
        <w:t xml:space="preserve">3 </w:t>
      </w:r>
      <w:r>
        <w:rPr>
          <w:rFonts w:hint="eastAsia"/>
        </w:rPr>
        <w:t>应急响应</w:t>
      </w:r>
      <w:r>
        <w:tab/>
      </w:r>
      <w:r>
        <w:fldChar w:fldCharType="begin"/>
      </w:r>
      <w:r>
        <w:instrText xml:space="preserve"> PAGEREF _Toc5764 \h </w:instrText>
      </w:r>
      <w:r>
        <w:fldChar w:fldCharType="separate"/>
      </w:r>
      <w:r>
        <w:t>4</w:t>
      </w:r>
      <w:r>
        <w:fldChar w:fldCharType="end"/>
      </w:r>
      <w:r>
        <w:fldChar w:fldCharType="end"/>
      </w:r>
    </w:p>
    <w:p w14:paraId="71B3CB8D">
      <w:pPr>
        <w:pStyle w:val="19"/>
        <w:tabs>
          <w:tab w:val="right" w:leader="dot" w:pos="8845"/>
        </w:tabs>
        <w:ind w:firstLine="632"/>
      </w:pPr>
      <w:r>
        <w:fldChar w:fldCharType="begin"/>
      </w:r>
      <w:r>
        <w:instrText xml:space="preserve"> HYPERLINK \l "_Toc20021" </w:instrText>
      </w:r>
      <w:r>
        <w:fldChar w:fldCharType="separate"/>
      </w:r>
      <w:r>
        <w:rPr>
          <w:rFonts w:eastAsia="仿宋"/>
          <w:bCs/>
          <w:szCs w:val="28"/>
        </w:rPr>
        <w:t xml:space="preserve">3.1 </w:t>
      </w:r>
      <w:r>
        <w:rPr>
          <w:rFonts w:hint="eastAsia"/>
        </w:rPr>
        <w:t>应急响应原则</w:t>
      </w:r>
      <w:r>
        <w:tab/>
      </w:r>
      <w:r>
        <w:fldChar w:fldCharType="begin"/>
      </w:r>
      <w:r>
        <w:instrText xml:space="preserve"> PAGEREF _Toc20021 \h </w:instrText>
      </w:r>
      <w:r>
        <w:fldChar w:fldCharType="separate"/>
      </w:r>
      <w:r>
        <w:t>4</w:t>
      </w:r>
      <w:r>
        <w:fldChar w:fldCharType="end"/>
      </w:r>
      <w:r>
        <w:fldChar w:fldCharType="end"/>
      </w:r>
    </w:p>
    <w:p w14:paraId="4F5791B3">
      <w:pPr>
        <w:pStyle w:val="19"/>
        <w:tabs>
          <w:tab w:val="right" w:leader="dot" w:pos="8845"/>
        </w:tabs>
        <w:ind w:firstLine="632"/>
      </w:pPr>
      <w:r>
        <w:fldChar w:fldCharType="begin"/>
      </w:r>
      <w:r>
        <w:instrText xml:space="preserve"> HYPERLINK \l "_Toc29153" </w:instrText>
      </w:r>
      <w:r>
        <w:fldChar w:fldCharType="separate"/>
      </w:r>
      <w:r>
        <w:rPr>
          <w:rFonts w:eastAsia="仿宋"/>
          <w:bCs/>
          <w:szCs w:val="28"/>
        </w:rPr>
        <w:t xml:space="preserve">3.2 </w:t>
      </w:r>
      <w:r>
        <w:rPr>
          <w:rFonts w:hint="eastAsia"/>
        </w:rPr>
        <w:t>应急分级响应</w:t>
      </w:r>
      <w:r>
        <w:tab/>
      </w:r>
      <w:r>
        <w:fldChar w:fldCharType="begin"/>
      </w:r>
      <w:r>
        <w:instrText xml:space="preserve"> PAGEREF _Toc29153 \h </w:instrText>
      </w:r>
      <w:r>
        <w:fldChar w:fldCharType="separate"/>
      </w:r>
      <w:r>
        <w:t>4</w:t>
      </w:r>
      <w:r>
        <w:fldChar w:fldCharType="end"/>
      </w:r>
      <w:r>
        <w:fldChar w:fldCharType="end"/>
      </w:r>
    </w:p>
    <w:p w14:paraId="7F3729D5">
      <w:pPr>
        <w:pStyle w:val="19"/>
        <w:tabs>
          <w:tab w:val="right" w:leader="dot" w:pos="8845"/>
        </w:tabs>
        <w:ind w:firstLine="632"/>
      </w:pPr>
      <w:r>
        <w:fldChar w:fldCharType="begin"/>
      </w:r>
      <w:r>
        <w:instrText xml:space="preserve"> HYPERLINK \l "_Toc17875" </w:instrText>
      </w:r>
      <w:r>
        <w:fldChar w:fldCharType="separate"/>
      </w:r>
      <w:r>
        <w:rPr>
          <w:rFonts w:eastAsia="仿宋"/>
          <w:bCs/>
          <w:szCs w:val="28"/>
        </w:rPr>
        <w:t xml:space="preserve">3.3 </w:t>
      </w:r>
      <w:r>
        <w:rPr>
          <w:rFonts w:hint="eastAsia"/>
        </w:rPr>
        <w:t>现场医疗救援及指挥</w:t>
      </w:r>
      <w:r>
        <w:tab/>
      </w:r>
      <w:r>
        <w:fldChar w:fldCharType="begin"/>
      </w:r>
      <w:r>
        <w:instrText xml:space="preserve"> PAGEREF _Toc17875 \h </w:instrText>
      </w:r>
      <w:r>
        <w:fldChar w:fldCharType="separate"/>
      </w:r>
      <w:r>
        <w:t>6</w:t>
      </w:r>
      <w:r>
        <w:fldChar w:fldCharType="end"/>
      </w:r>
      <w:r>
        <w:fldChar w:fldCharType="end"/>
      </w:r>
    </w:p>
    <w:p w14:paraId="2903A3C4">
      <w:pPr>
        <w:pStyle w:val="19"/>
        <w:tabs>
          <w:tab w:val="right" w:leader="dot" w:pos="8845"/>
        </w:tabs>
        <w:ind w:firstLine="632"/>
      </w:pPr>
      <w:r>
        <w:fldChar w:fldCharType="begin"/>
      </w:r>
      <w:r>
        <w:instrText xml:space="preserve"> HYPERLINK \l "_Toc28557" </w:instrText>
      </w:r>
      <w:r>
        <w:fldChar w:fldCharType="separate"/>
      </w:r>
      <w:r>
        <w:rPr>
          <w:rFonts w:eastAsia="仿宋"/>
          <w:bCs/>
          <w:szCs w:val="28"/>
        </w:rPr>
        <w:t xml:space="preserve">3.4 </w:t>
      </w:r>
      <w:r>
        <w:rPr>
          <w:rFonts w:hint="eastAsia"/>
        </w:rPr>
        <w:t>信息报告和发布</w:t>
      </w:r>
      <w:r>
        <w:tab/>
      </w:r>
      <w:r>
        <w:fldChar w:fldCharType="begin"/>
      </w:r>
      <w:r>
        <w:instrText xml:space="preserve"> PAGEREF _Toc28557 \h </w:instrText>
      </w:r>
      <w:r>
        <w:fldChar w:fldCharType="separate"/>
      </w:r>
      <w:r>
        <w:t>10</w:t>
      </w:r>
      <w:r>
        <w:fldChar w:fldCharType="end"/>
      </w:r>
      <w:r>
        <w:fldChar w:fldCharType="end"/>
      </w:r>
    </w:p>
    <w:p w14:paraId="54D21345">
      <w:pPr>
        <w:pStyle w:val="19"/>
        <w:tabs>
          <w:tab w:val="right" w:leader="dot" w:pos="8845"/>
        </w:tabs>
        <w:ind w:firstLine="632"/>
      </w:pPr>
      <w:r>
        <w:fldChar w:fldCharType="begin"/>
      </w:r>
      <w:r>
        <w:instrText xml:space="preserve"> HYPERLINK \l "_Toc6755" </w:instrText>
      </w:r>
      <w:r>
        <w:fldChar w:fldCharType="separate"/>
      </w:r>
      <w:r>
        <w:rPr>
          <w:rFonts w:eastAsia="仿宋"/>
          <w:bCs/>
          <w:szCs w:val="28"/>
        </w:rPr>
        <w:t xml:space="preserve">3.5 </w:t>
      </w:r>
      <w:r>
        <w:rPr>
          <w:rFonts w:hint="eastAsia"/>
        </w:rPr>
        <w:t>响应终止</w:t>
      </w:r>
      <w:r>
        <w:tab/>
      </w:r>
      <w:r>
        <w:fldChar w:fldCharType="begin"/>
      </w:r>
      <w:r>
        <w:instrText xml:space="preserve"> PAGEREF _Toc6755 \h </w:instrText>
      </w:r>
      <w:r>
        <w:fldChar w:fldCharType="separate"/>
      </w:r>
      <w:r>
        <w:t>10</w:t>
      </w:r>
      <w:r>
        <w:fldChar w:fldCharType="end"/>
      </w:r>
      <w:r>
        <w:fldChar w:fldCharType="end"/>
      </w:r>
    </w:p>
    <w:p w14:paraId="77441B6E">
      <w:pPr>
        <w:pStyle w:val="18"/>
      </w:pPr>
      <w:r>
        <w:fldChar w:fldCharType="begin"/>
      </w:r>
      <w:r>
        <w:instrText xml:space="preserve"> HYPERLINK \l "_Toc6084" </w:instrText>
      </w:r>
      <w:r>
        <w:fldChar w:fldCharType="separate"/>
      </w:r>
      <w:r>
        <w:rPr>
          <w:rFonts w:eastAsia="仿宋"/>
        </w:rPr>
        <w:t xml:space="preserve">4 </w:t>
      </w:r>
      <w:r>
        <w:rPr>
          <w:rFonts w:hint="eastAsia"/>
        </w:rPr>
        <w:t>救援保障</w:t>
      </w:r>
      <w:r>
        <w:tab/>
      </w:r>
      <w:r>
        <w:fldChar w:fldCharType="begin"/>
      </w:r>
      <w:r>
        <w:instrText xml:space="preserve"> PAGEREF _Toc6084 \h </w:instrText>
      </w:r>
      <w:r>
        <w:fldChar w:fldCharType="separate"/>
      </w:r>
      <w:r>
        <w:t>10</w:t>
      </w:r>
      <w:r>
        <w:fldChar w:fldCharType="end"/>
      </w:r>
      <w:r>
        <w:fldChar w:fldCharType="end"/>
      </w:r>
    </w:p>
    <w:p w14:paraId="35F14BEC">
      <w:pPr>
        <w:pStyle w:val="19"/>
        <w:tabs>
          <w:tab w:val="right" w:leader="dot" w:pos="8845"/>
        </w:tabs>
        <w:ind w:firstLine="632"/>
      </w:pPr>
      <w:r>
        <w:fldChar w:fldCharType="begin"/>
      </w:r>
      <w:r>
        <w:instrText xml:space="preserve"> HYPERLINK \l "_Toc1067" </w:instrText>
      </w:r>
      <w:r>
        <w:fldChar w:fldCharType="separate"/>
      </w:r>
      <w:r>
        <w:rPr>
          <w:rFonts w:eastAsia="仿宋"/>
          <w:bCs/>
          <w:szCs w:val="28"/>
        </w:rPr>
        <w:t xml:space="preserve">4.1 </w:t>
      </w:r>
      <w:r>
        <w:rPr>
          <w:rFonts w:hint="eastAsia"/>
        </w:rPr>
        <w:t>信息保障</w:t>
      </w:r>
      <w:r>
        <w:tab/>
      </w:r>
      <w:r>
        <w:fldChar w:fldCharType="begin"/>
      </w:r>
      <w:r>
        <w:instrText xml:space="preserve"> PAGEREF _Toc1067 \h </w:instrText>
      </w:r>
      <w:r>
        <w:fldChar w:fldCharType="separate"/>
      </w:r>
      <w:r>
        <w:t>11</w:t>
      </w:r>
      <w:r>
        <w:fldChar w:fldCharType="end"/>
      </w:r>
      <w:r>
        <w:fldChar w:fldCharType="end"/>
      </w:r>
    </w:p>
    <w:p w14:paraId="1EB4DC4F">
      <w:pPr>
        <w:pStyle w:val="19"/>
        <w:tabs>
          <w:tab w:val="right" w:leader="dot" w:pos="8845"/>
        </w:tabs>
        <w:ind w:firstLine="632"/>
      </w:pPr>
      <w:r>
        <w:fldChar w:fldCharType="begin"/>
      </w:r>
      <w:r>
        <w:instrText xml:space="preserve"> HYPERLINK \l "_Toc14021" </w:instrText>
      </w:r>
      <w:r>
        <w:fldChar w:fldCharType="separate"/>
      </w:r>
      <w:r>
        <w:rPr>
          <w:rFonts w:eastAsia="仿宋"/>
          <w:bCs/>
          <w:szCs w:val="28"/>
        </w:rPr>
        <w:t xml:space="preserve">4.2 </w:t>
      </w:r>
      <w:r>
        <w:rPr>
          <w:rFonts w:hint="eastAsia"/>
        </w:rPr>
        <w:t>急救网络保障</w:t>
      </w:r>
      <w:r>
        <w:tab/>
      </w:r>
      <w:r>
        <w:fldChar w:fldCharType="begin"/>
      </w:r>
      <w:r>
        <w:instrText xml:space="preserve"> PAGEREF _Toc14021 \h </w:instrText>
      </w:r>
      <w:r>
        <w:fldChar w:fldCharType="separate"/>
      </w:r>
      <w:r>
        <w:t>11</w:t>
      </w:r>
      <w:r>
        <w:fldChar w:fldCharType="end"/>
      </w:r>
      <w:r>
        <w:fldChar w:fldCharType="end"/>
      </w:r>
    </w:p>
    <w:p w14:paraId="148DCDC3">
      <w:pPr>
        <w:pStyle w:val="19"/>
        <w:tabs>
          <w:tab w:val="right" w:leader="dot" w:pos="8845"/>
        </w:tabs>
        <w:ind w:firstLine="632"/>
      </w:pPr>
      <w:r>
        <w:fldChar w:fldCharType="begin"/>
      </w:r>
      <w:r>
        <w:instrText xml:space="preserve"> HYPERLINK \l "_Toc1847" </w:instrText>
      </w:r>
      <w:r>
        <w:fldChar w:fldCharType="separate"/>
      </w:r>
      <w:r>
        <w:rPr>
          <w:rFonts w:eastAsia="仿宋"/>
          <w:bCs/>
          <w:szCs w:val="28"/>
        </w:rPr>
        <w:t xml:space="preserve">4.3 </w:t>
      </w:r>
      <w:r>
        <w:rPr>
          <w:rFonts w:hint="eastAsia"/>
        </w:rPr>
        <w:t>应急队伍保障</w:t>
      </w:r>
      <w:r>
        <w:tab/>
      </w:r>
      <w:r>
        <w:fldChar w:fldCharType="begin"/>
      </w:r>
      <w:r>
        <w:instrText xml:space="preserve"> PAGEREF _Toc1847 \h </w:instrText>
      </w:r>
      <w:r>
        <w:fldChar w:fldCharType="separate"/>
      </w:r>
      <w:r>
        <w:t>11</w:t>
      </w:r>
      <w:r>
        <w:fldChar w:fldCharType="end"/>
      </w:r>
      <w:r>
        <w:fldChar w:fldCharType="end"/>
      </w:r>
    </w:p>
    <w:p w14:paraId="4D27CDF8">
      <w:pPr>
        <w:pStyle w:val="19"/>
        <w:tabs>
          <w:tab w:val="right" w:leader="dot" w:pos="8845"/>
        </w:tabs>
        <w:ind w:firstLine="632"/>
      </w:pPr>
      <w:r>
        <w:fldChar w:fldCharType="begin"/>
      </w:r>
      <w:r>
        <w:instrText xml:space="preserve"> HYPERLINK \l "_Toc11794" </w:instrText>
      </w:r>
      <w:r>
        <w:fldChar w:fldCharType="separate"/>
      </w:r>
      <w:r>
        <w:rPr>
          <w:rFonts w:eastAsia="仿宋"/>
          <w:bCs/>
          <w:szCs w:val="28"/>
        </w:rPr>
        <w:t xml:space="preserve">4.4 </w:t>
      </w:r>
      <w:r>
        <w:rPr>
          <w:rFonts w:hint="eastAsia"/>
        </w:rPr>
        <w:t>应急物资保障</w:t>
      </w:r>
      <w:r>
        <w:tab/>
      </w:r>
      <w:r>
        <w:fldChar w:fldCharType="begin"/>
      </w:r>
      <w:r>
        <w:instrText xml:space="preserve"> PAGEREF _Toc11794 \h </w:instrText>
      </w:r>
      <w:r>
        <w:fldChar w:fldCharType="separate"/>
      </w:r>
      <w:r>
        <w:t>12</w:t>
      </w:r>
      <w:r>
        <w:fldChar w:fldCharType="end"/>
      </w:r>
      <w:r>
        <w:fldChar w:fldCharType="end"/>
      </w:r>
    </w:p>
    <w:p w14:paraId="70FFF775">
      <w:pPr>
        <w:pStyle w:val="19"/>
        <w:tabs>
          <w:tab w:val="right" w:leader="dot" w:pos="8845"/>
        </w:tabs>
        <w:ind w:firstLine="632"/>
      </w:pPr>
      <w:r>
        <w:fldChar w:fldCharType="begin"/>
      </w:r>
      <w:r>
        <w:instrText xml:space="preserve"> HYPERLINK \l "_Toc15902" </w:instrText>
      </w:r>
      <w:r>
        <w:fldChar w:fldCharType="separate"/>
      </w:r>
      <w:r>
        <w:rPr>
          <w:rFonts w:eastAsia="仿宋"/>
          <w:bCs/>
          <w:szCs w:val="28"/>
        </w:rPr>
        <w:t xml:space="preserve">4.5 </w:t>
      </w:r>
      <w:r>
        <w:rPr>
          <w:rFonts w:hint="eastAsia"/>
        </w:rPr>
        <w:t>救援经费保障</w:t>
      </w:r>
      <w:r>
        <w:tab/>
      </w:r>
      <w:r>
        <w:fldChar w:fldCharType="begin"/>
      </w:r>
      <w:r>
        <w:instrText xml:space="preserve"> PAGEREF _Toc15902 \h </w:instrText>
      </w:r>
      <w:r>
        <w:fldChar w:fldCharType="separate"/>
      </w:r>
      <w:r>
        <w:t>13</w:t>
      </w:r>
      <w:r>
        <w:fldChar w:fldCharType="end"/>
      </w:r>
      <w:r>
        <w:fldChar w:fldCharType="end"/>
      </w:r>
    </w:p>
    <w:p w14:paraId="3704BF2D">
      <w:pPr>
        <w:pStyle w:val="19"/>
        <w:tabs>
          <w:tab w:val="right" w:leader="dot" w:pos="8845"/>
        </w:tabs>
        <w:ind w:firstLine="632"/>
      </w:pPr>
      <w:r>
        <w:fldChar w:fldCharType="begin"/>
      </w:r>
      <w:r>
        <w:instrText xml:space="preserve"> HYPERLINK \l "_Toc22679" </w:instrText>
      </w:r>
      <w:r>
        <w:fldChar w:fldCharType="separate"/>
      </w:r>
      <w:r>
        <w:rPr>
          <w:rFonts w:eastAsia="仿宋"/>
          <w:bCs/>
          <w:szCs w:val="28"/>
        </w:rPr>
        <w:t xml:space="preserve">4.6 </w:t>
      </w:r>
      <w:r>
        <w:rPr>
          <w:rFonts w:hint="eastAsia"/>
        </w:rPr>
        <w:t>交通运输保障</w:t>
      </w:r>
      <w:r>
        <w:tab/>
      </w:r>
      <w:r>
        <w:fldChar w:fldCharType="begin"/>
      </w:r>
      <w:r>
        <w:instrText xml:space="preserve"> PAGEREF _Toc22679 \h </w:instrText>
      </w:r>
      <w:r>
        <w:fldChar w:fldCharType="separate"/>
      </w:r>
      <w:r>
        <w:t>13</w:t>
      </w:r>
      <w:r>
        <w:fldChar w:fldCharType="end"/>
      </w:r>
      <w:r>
        <w:fldChar w:fldCharType="end"/>
      </w:r>
    </w:p>
    <w:p w14:paraId="7A318F38">
      <w:pPr>
        <w:pStyle w:val="18"/>
      </w:pPr>
      <w:r>
        <w:fldChar w:fldCharType="begin"/>
      </w:r>
      <w:r>
        <w:instrText xml:space="preserve"> HYPERLINK \l "_Toc24578" </w:instrText>
      </w:r>
      <w:r>
        <w:fldChar w:fldCharType="separate"/>
      </w:r>
      <w:r>
        <w:rPr>
          <w:rFonts w:eastAsia="仿宋"/>
        </w:rPr>
        <w:t xml:space="preserve">5 </w:t>
      </w:r>
      <w:r>
        <w:rPr>
          <w:rFonts w:hint="eastAsia"/>
        </w:rPr>
        <w:t>公众参与</w:t>
      </w:r>
      <w:r>
        <w:tab/>
      </w:r>
      <w:r>
        <w:fldChar w:fldCharType="begin"/>
      </w:r>
      <w:r>
        <w:instrText xml:space="preserve"> PAGEREF _Toc24578 \h </w:instrText>
      </w:r>
      <w:r>
        <w:fldChar w:fldCharType="separate"/>
      </w:r>
      <w:r>
        <w:t>13</w:t>
      </w:r>
      <w:r>
        <w:fldChar w:fldCharType="end"/>
      </w:r>
      <w:r>
        <w:fldChar w:fldCharType="end"/>
      </w:r>
    </w:p>
    <w:p w14:paraId="0C60A4FF">
      <w:pPr>
        <w:pStyle w:val="18"/>
      </w:pPr>
      <w:r>
        <w:fldChar w:fldCharType="begin"/>
      </w:r>
      <w:r>
        <w:instrText xml:space="preserve"> HYPERLINK \l "_Toc24877" </w:instrText>
      </w:r>
      <w:r>
        <w:fldChar w:fldCharType="separate"/>
      </w:r>
      <w:r>
        <w:rPr>
          <w:rFonts w:eastAsia="仿宋"/>
        </w:rPr>
        <w:t xml:space="preserve">6 </w:t>
      </w:r>
      <w:r>
        <w:rPr>
          <w:rFonts w:hint="eastAsia"/>
        </w:rPr>
        <w:t>附则</w:t>
      </w:r>
      <w:r>
        <w:tab/>
      </w:r>
      <w:r>
        <w:fldChar w:fldCharType="begin"/>
      </w:r>
      <w:r>
        <w:instrText xml:space="preserve"> PAGEREF _Toc24877 \h </w:instrText>
      </w:r>
      <w:r>
        <w:fldChar w:fldCharType="separate"/>
      </w:r>
      <w:r>
        <w:t>14</w:t>
      </w:r>
      <w:r>
        <w:fldChar w:fldCharType="end"/>
      </w:r>
      <w:r>
        <w:fldChar w:fldCharType="end"/>
      </w:r>
    </w:p>
    <w:p w14:paraId="094C5DBB">
      <w:pPr>
        <w:pStyle w:val="19"/>
        <w:tabs>
          <w:tab w:val="right" w:leader="dot" w:pos="8845"/>
        </w:tabs>
        <w:ind w:firstLine="632"/>
      </w:pPr>
      <w:r>
        <w:fldChar w:fldCharType="begin"/>
      </w:r>
      <w:r>
        <w:instrText xml:space="preserve"> HYPERLINK \l "_Toc917" </w:instrText>
      </w:r>
      <w:r>
        <w:fldChar w:fldCharType="separate"/>
      </w:r>
      <w:r>
        <w:rPr>
          <w:rFonts w:eastAsia="仿宋"/>
          <w:bCs/>
          <w:szCs w:val="28"/>
        </w:rPr>
        <w:t xml:space="preserve">6.1 </w:t>
      </w:r>
      <w:r>
        <w:rPr>
          <w:rFonts w:hint="eastAsia"/>
        </w:rPr>
        <w:t>责任与奖惩</w:t>
      </w:r>
      <w:r>
        <w:tab/>
      </w:r>
      <w:r>
        <w:fldChar w:fldCharType="begin"/>
      </w:r>
      <w:r>
        <w:instrText xml:space="preserve"> PAGEREF _Toc917 \h </w:instrText>
      </w:r>
      <w:r>
        <w:fldChar w:fldCharType="separate"/>
      </w:r>
      <w:r>
        <w:t>14</w:t>
      </w:r>
      <w:r>
        <w:fldChar w:fldCharType="end"/>
      </w:r>
      <w:r>
        <w:fldChar w:fldCharType="end"/>
      </w:r>
    </w:p>
    <w:p w14:paraId="46D9583A">
      <w:pPr>
        <w:pStyle w:val="19"/>
        <w:tabs>
          <w:tab w:val="right" w:leader="dot" w:pos="8845"/>
        </w:tabs>
        <w:ind w:firstLine="632"/>
      </w:pPr>
      <w:r>
        <w:fldChar w:fldCharType="begin"/>
      </w:r>
      <w:r>
        <w:instrText xml:space="preserve"> HYPERLINK \l "_Toc9749" </w:instrText>
      </w:r>
      <w:r>
        <w:fldChar w:fldCharType="separate"/>
      </w:r>
      <w:r>
        <w:rPr>
          <w:rFonts w:eastAsia="仿宋"/>
          <w:bCs/>
          <w:szCs w:val="28"/>
        </w:rPr>
        <w:t xml:space="preserve">6.2 </w:t>
      </w:r>
      <w:r>
        <w:rPr>
          <w:rFonts w:hint="eastAsia"/>
        </w:rPr>
        <w:t>预案制定与修订</w:t>
      </w:r>
      <w:r>
        <w:tab/>
      </w:r>
      <w:r>
        <w:fldChar w:fldCharType="begin"/>
      </w:r>
      <w:r>
        <w:instrText xml:space="preserve"> PAGEREF _Toc9749 \h </w:instrText>
      </w:r>
      <w:r>
        <w:fldChar w:fldCharType="separate"/>
      </w:r>
      <w:r>
        <w:t>14</w:t>
      </w:r>
      <w:r>
        <w:fldChar w:fldCharType="end"/>
      </w:r>
      <w:r>
        <w:fldChar w:fldCharType="end"/>
      </w:r>
    </w:p>
    <w:p w14:paraId="0999E4B5">
      <w:pPr>
        <w:pStyle w:val="19"/>
        <w:tabs>
          <w:tab w:val="right" w:leader="dot" w:pos="8845"/>
        </w:tabs>
        <w:ind w:firstLine="632"/>
      </w:pPr>
      <w:r>
        <w:fldChar w:fldCharType="begin"/>
      </w:r>
      <w:r>
        <w:instrText xml:space="preserve"> HYPERLINK \l "_Toc28445" </w:instrText>
      </w:r>
      <w:r>
        <w:fldChar w:fldCharType="separate"/>
      </w:r>
      <w:r>
        <w:rPr>
          <w:rFonts w:eastAsia="仿宋"/>
          <w:bCs/>
          <w:szCs w:val="28"/>
        </w:rPr>
        <w:t xml:space="preserve">6.3 </w:t>
      </w:r>
      <w:r>
        <w:rPr>
          <w:rFonts w:hint="eastAsia" w:ascii="Times New Roman" w:hAnsi="Times New Roman"/>
        </w:rPr>
        <w:t>预案解释</w:t>
      </w:r>
      <w:r>
        <w:tab/>
      </w:r>
      <w:r>
        <w:fldChar w:fldCharType="begin"/>
      </w:r>
      <w:r>
        <w:instrText xml:space="preserve"> PAGEREF _Toc28445 \h </w:instrText>
      </w:r>
      <w:r>
        <w:fldChar w:fldCharType="separate"/>
      </w:r>
      <w:r>
        <w:t>14</w:t>
      </w:r>
      <w:r>
        <w:fldChar w:fldCharType="end"/>
      </w:r>
      <w:r>
        <w:fldChar w:fldCharType="end"/>
      </w:r>
    </w:p>
    <w:p w14:paraId="5895E139">
      <w:pPr>
        <w:pStyle w:val="19"/>
        <w:tabs>
          <w:tab w:val="right" w:leader="dot" w:pos="8845"/>
        </w:tabs>
        <w:ind w:firstLine="632"/>
      </w:pPr>
      <w:r>
        <w:fldChar w:fldCharType="begin"/>
      </w:r>
      <w:r>
        <w:instrText xml:space="preserve"> HYPERLINK \l "_Toc22873" </w:instrText>
      </w:r>
      <w:r>
        <w:fldChar w:fldCharType="separate"/>
      </w:r>
      <w:r>
        <w:rPr>
          <w:rFonts w:eastAsia="仿宋"/>
          <w:bCs/>
          <w:szCs w:val="28"/>
        </w:rPr>
        <w:t xml:space="preserve">6.4 </w:t>
      </w:r>
      <w:r>
        <w:rPr>
          <w:rFonts w:hint="eastAsia" w:ascii="Times New Roman" w:hAnsi="Times New Roman"/>
        </w:rPr>
        <w:t>预案的实施</w:t>
      </w:r>
      <w:r>
        <w:tab/>
      </w:r>
      <w:r>
        <w:fldChar w:fldCharType="begin"/>
      </w:r>
      <w:r>
        <w:instrText xml:space="preserve"> PAGEREF _Toc22873 \h </w:instrText>
      </w:r>
      <w:r>
        <w:fldChar w:fldCharType="separate"/>
      </w:r>
      <w:r>
        <w:t>14</w:t>
      </w:r>
      <w:r>
        <w:fldChar w:fldCharType="end"/>
      </w:r>
      <w:r>
        <w:fldChar w:fldCharType="end"/>
      </w:r>
    </w:p>
    <w:p w14:paraId="10D2DF31">
      <w:pPr>
        <w:ind w:firstLine="0" w:firstLineChars="0"/>
        <w:rPr>
          <w:rFonts w:ascii="黑体" w:hAnsi="黑体" w:eastAsia="黑体" w:cs="黑体"/>
          <w:szCs w:val="44"/>
        </w:rPr>
      </w:pPr>
      <w:r>
        <w:rPr>
          <w:rFonts w:hint="eastAsia" w:ascii="黑体" w:hAnsi="黑体" w:eastAsia="黑体" w:cs="黑体"/>
          <w:szCs w:val="44"/>
        </w:rPr>
        <w:fldChar w:fldCharType="end"/>
      </w:r>
      <w:r>
        <w:rPr>
          <w:rFonts w:hint="eastAsia" w:ascii="黑体" w:hAnsi="黑体" w:eastAsia="黑体" w:cs="黑体"/>
          <w:szCs w:val="44"/>
        </w:rPr>
        <w:t xml:space="preserve"> </w:t>
      </w:r>
    </w:p>
    <w:p w14:paraId="73E52C6E">
      <w:pPr>
        <w:ind w:firstLine="632"/>
      </w:pPr>
      <w:r>
        <w:br w:type="page"/>
      </w:r>
    </w:p>
    <w:p w14:paraId="0140FB44">
      <w:pPr>
        <w:ind w:firstLine="632"/>
        <w:sectPr>
          <w:footerReference r:id="rId169" w:type="default"/>
          <w:footerReference r:id="rId170" w:type="even"/>
          <w:pgSz w:w="11906" w:h="16838"/>
          <w:pgMar w:top="2098" w:right="1474" w:bottom="1984" w:left="1587" w:header="624" w:footer="1134" w:gutter="0"/>
          <w:pgNumType w:fmt="upperRoman" w:start="1"/>
          <w:cols w:space="720" w:num="1"/>
          <w:docGrid w:type="linesAndChars" w:linePitch="579" w:charSpace="-842"/>
        </w:sectPr>
      </w:pPr>
    </w:p>
    <w:p w14:paraId="4CEC34BC">
      <w:pPr>
        <w:pStyle w:val="2"/>
        <w:numPr>
          <w:ilvl w:val="0"/>
          <w:numId w:val="237"/>
        </w:numPr>
        <w:tabs>
          <w:tab w:val="left" w:pos="0"/>
        </w:tabs>
        <w:rPr>
          <w:sz w:val="32"/>
          <w:szCs w:val="32"/>
        </w:rPr>
      </w:pPr>
      <w:bookmarkStart w:id="1544" w:name="_Toc28116"/>
      <w:r>
        <w:rPr>
          <w:rFonts w:hint="eastAsia"/>
          <w:sz w:val="32"/>
          <w:szCs w:val="32"/>
        </w:rPr>
        <w:t>总则</w:t>
      </w:r>
      <w:bookmarkEnd w:id="1544"/>
    </w:p>
    <w:p w14:paraId="025CB8FA">
      <w:pPr>
        <w:pStyle w:val="3"/>
      </w:pPr>
      <w:bookmarkStart w:id="1545" w:name="_Toc23018"/>
      <w:r>
        <w:rPr>
          <w:rFonts w:hint="eastAsia"/>
        </w:rPr>
        <w:t>编制目的</w:t>
      </w:r>
      <w:bookmarkEnd w:id="1545"/>
    </w:p>
    <w:p w14:paraId="6881B2A3">
      <w:pPr>
        <w:ind w:firstLine="640"/>
        <w:rPr>
          <w:rFonts w:ascii="仿宋_GB2312" w:hAnsi="仿宋_GB2312" w:cs="仿宋_GB2312"/>
        </w:rPr>
      </w:pPr>
      <w:r>
        <w:rPr>
          <w:rFonts w:hint="eastAsia" w:ascii="仿宋_GB2312" w:hAnsi="仿宋_GB2312" w:cs="仿宋_GB2312"/>
        </w:rPr>
        <w:t>为迅速、有序、高效地组织实施突发公共事件医疗卫生救援工作，提高卫生健康部门应对突发公共事件的反应能力和医疗卫生救援水平，最大程度地减少人员伤亡和健康危害，保障人民群众身体健康和生命安全，维护社会稳定。</w:t>
      </w:r>
    </w:p>
    <w:p w14:paraId="3E2224B5">
      <w:pPr>
        <w:pStyle w:val="3"/>
      </w:pPr>
      <w:bookmarkStart w:id="1546" w:name="_Toc25415"/>
      <w:r>
        <w:rPr>
          <w:rFonts w:hint="eastAsia"/>
        </w:rPr>
        <w:t>编制依据</w:t>
      </w:r>
      <w:bookmarkEnd w:id="1546"/>
    </w:p>
    <w:p w14:paraId="5CA05375">
      <w:pPr>
        <w:ind w:firstLine="640"/>
      </w:pPr>
      <w:r>
        <w:rPr>
          <w:rFonts w:hint="eastAsia"/>
        </w:rPr>
        <w:t>依据《中华人民共和国传染病防治法》《中华人民共和国食品安全法》《中华人民共和国职业病防治法》《中华人民共和国放射性污染防治法》《中华人民共和国安全生产法》《生产安全事故应急条例》，以及《突发公共卫生事件应急条例》《生产安全事故应急预案管理办法》《医疗机构管理条例》《国家突发公共事件医疗卫生救援应急预案》《集贤县突发事件总体应急预案》等相关法律、法规和规定，结合我县实际，制定本预案。</w:t>
      </w:r>
    </w:p>
    <w:p w14:paraId="7BDC2229">
      <w:pPr>
        <w:pStyle w:val="3"/>
      </w:pPr>
      <w:bookmarkStart w:id="1547" w:name="_Toc6082"/>
      <w:r>
        <w:rPr>
          <w:rFonts w:hint="eastAsia"/>
        </w:rPr>
        <w:t>适用范围</w:t>
      </w:r>
      <w:bookmarkEnd w:id="1547"/>
    </w:p>
    <w:p w14:paraId="56F1F5AD">
      <w:pPr>
        <w:ind w:firstLine="640"/>
      </w:pPr>
      <w:r>
        <w:rPr>
          <w:rFonts w:hint="eastAsia"/>
        </w:rPr>
        <w:t>本预案适用于我县行政区域内发生的自然灾害、事故灾难、公共卫生事件、社会安全事件等事件导致人员伤亡、健康危害的医疗救援工作。</w:t>
      </w:r>
    </w:p>
    <w:p w14:paraId="5801603B">
      <w:pPr>
        <w:pStyle w:val="3"/>
      </w:pPr>
      <w:bookmarkStart w:id="1548" w:name="_Toc7245"/>
      <w:r>
        <w:rPr>
          <w:rFonts w:hint="eastAsia"/>
        </w:rPr>
        <w:t>工作原则</w:t>
      </w:r>
      <w:bookmarkEnd w:id="1548"/>
    </w:p>
    <w:p w14:paraId="3C1DEAA1">
      <w:pPr>
        <w:ind w:firstLine="640"/>
      </w:pPr>
      <w:r>
        <w:rPr>
          <w:rFonts w:hint="eastAsia"/>
        </w:rPr>
        <w:t>统一领导、集中指挥；分级负责、属地管理；合理分工、明确职责；以人为本、依靠科学；反应及时、措施果断；平战结合、常备不懈；加强协作、密切配合；整合资源、信息共享；军（警）民结合、公众参与。</w:t>
      </w:r>
    </w:p>
    <w:p w14:paraId="0EC5A288">
      <w:pPr>
        <w:pStyle w:val="3"/>
      </w:pPr>
      <w:bookmarkStart w:id="1549" w:name="_Toc11685"/>
      <w:r>
        <w:rPr>
          <w:rFonts w:hint="eastAsia"/>
        </w:rPr>
        <w:t>事件分级</w:t>
      </w:r>
      <w:bookmarkEnd w:id="1549"/>
    </w:p>
    <w:p w14:paraId="629FF60E">
      <w:pPr>
        <w:ind w:firstLine="640"/>
      </w:pPr>
      <w:r>
        <w:rPr>
          <w:rFonts w:hint="eastAsia"/>
        </w:rPr>
        <w:t>根据突发事件导致人员伤亡和健康危害情况将应急医疗救援事件分为特别重大（Ⅰ级）、重大（Ⅱ级）、较大（Ⅲ级）和一般（Ⅳ级）四级。</w:t>
      </w:r>
    </w:p>
    <w:p w14:paraId="09182633">
      <w:pPr>
        <w:pStyle w:val="4"/>
        <w:numPr>
          <w:ilvl w:val="2"/>
          <w:numId w:val="237"/>
        </w:numPr>
        <w:tabs>
          <w:tab w:val="left" w:pos="0"/>
        </w:tabs>
        <w:rPr>
          <w:rFonts w:ascii="仿宋_GB2312" w:hAnsi="仿宋_GB2312" w:eastAsia="仿宋_GB2312" w:cs="仿宋_GB2312"/>
        </w:rPr>
      </w:pPr>
      <w:r>
        <w:rPr>
          <w:rFonts w:hint="eastAsia" w:ascii="仿宋_GB2312" w:hAnsi="仿宋_GB2312" w:eastAsia="仿宋_GB2312" w:cs="仿宋_GB2312"/>
        </w:rPr>
        <w:t>特别重大事件（Ⅰ级）</w:t>
      </w:r>
    </w:p>
    <w:p w14:paraId="7CD6B733">
      <w:pPr>
        <w:numPr>
          <w:ilvl w:val="0"/>
          <w:numId w:val="238"/>
        </w:numPr>
        <w:ind w:firstLine="640"/>
      </w:pPr>
      <w:r>
        <w:rPr>
          <w:rFonts w:hint="eastAsia"/>
        </w:rPr>
        <w:t>一次事件伤亡100人以上，且危重人员多，或者核事故和突发放射事件、化学品泄漏事故导致大量人员伤亡，省人民政府或省卫生计生行政部门请求国家在医疗卫生救援工作上给予支持的突发事件。</w:t>
      </w:r>
    </w:p>
    <w:p w14:paraId="0612E4EF">
      <w:pPr>
        <w:numPr>
          <w:ilvl w:val="0"/>
          <w:numId w:val="238"/>
        </w:numPr>
        <w:ind w:firstLine="640"/>
      </w:pPr>
      <w:r>
        <w:rPr>
          <w:rFonts w:hint="eastAsia"/>
        </w:rPr>
        <w:t>跨省的有特别严重人员伤亡的突发事件。</w:t>
      </w:r>
    </w:p>
    <w:p w14:paraId="2A3D1E9B">
      <w:pPr>
        <w:numPr>
          <w:ilvl w:val="0"/>
          <w:numId w:val="238"/>
        </w:numPr>
        <w:ind w:firstLine="640"/>
      </w:pPr>
      <w:r>
        <w:rPr>
          <w:rFonts w:hint="eastAsia"/>
        </w:rPr>
        <w:t>国务院及其有关部门确定的其他需要开展医疗卫生救援工作的特别重大突发事件。</w:t>
      </w:r>
    </w:p>
    <w:p w14:paraId="2C43A2CA">
      <w:pPr>
        <w:pStyle w:val="4"/>
        <w:numPr>
          <w:ilvl w:val="2"/>
          <w:numId w:val="237"/>
        </w:numPr>
        <w:tabs>
          <w:tab w:val="left" w:pos="0"/>
        </w:tabs>
        <w:rPr>
          <w:rFonts w:ascii="仿宋_GB2312" w:hAnsi="仿宋_GB2312" w:eastAsia="仿宋_GB2312" w:cs="仿宋_GB2312"/>
        </w:rPr>
      </w:pPr>
      <w:r>
        <w:rPr>
          <w:rFonts w:hint="eastAsia" w:ascii="仿宋_GB2312" w:hAnsi="仿宋_GB2312" w:eastAsia="仿宋_GB2312" w:cs="仿宋_GB2312"/>
        </w:rPr>
        <w:t>重大事件（Ⅱ级）</w:t>
      </w:r>
    </w:p>
    <w:p w14:paraId="511D494F">
      <w:pPr>
        <w:numPr>
          <w:ilvl w:val="0"/>
          <w:numId w:val="239"/>
        </w:numPr>
        <w:ind w:firstLine="640"/>
      </w:pPr>
      <w:r>
        <w:rPr>
          <w:rFonts w:hint="eastAsia"/>
        </w:rPr>
        <w:t>一次事件伤亡50人以上、100以下，其中，死亡和危重病例超过5例的突发事件。</w:t>
      </w:r>
    </w:p>
    <w:p w14:paraId="14D26F7F">
      <w:pPr>
        <w:numPr>
          <w:ilvl w:val="0"/>
          <w:numId w:val="239"/>
        </w:numPr>
        <w:ind w:firstLine="640"/>
      </w:pPr>
      <w:r>
        <w:rPr>
          <w:rFonts w:hint="eastAsia"/>
        </w:rPr>
        <w:t>跨市（州）的有严重人员伤亡的突发事件。</w:t>
      </w:r>
    </w:p>
    <w:p w14:paraId="21067FF8">
      <w:pPr>
        <w:numPr>
          <w:ilvl w:val="0"/>
          <w:numId w:val="239"/>
        </w:numPr>
        <w:ind w:firstLine="640"/>
      </w:pPr>
      <w:r>
        <w:rPr>
          <w:rFonts w:hint="eastAsia"/>
        </w:rPr>
        <w:t>省级人民政府及其有关部门确定的其他需要开展医疗救援工作的重大突发事件。</w:t>
      </w:r>
    </w:p>
    <w:p w14:paraId="23E64D4D">
      <w:pPr>
        <w:pStyle w:val="4"/>
        <w:numPr>
          <w:ilvl w:val="2"/>
          <w:numId w:val="237"/>
        </w:numPr>
        <w:tabs>
          <w:tab w:val="left" w:pos="0"/>
        </w:tabs>
        <w:rPr>
          <w:rFonts w:ascii="仿宋_GB2312" w:hAnsi="仿宋_GB2312" w:eastAsia="仿宋_GB2312" w:cs="仿宋_GB2312"/>
        </w:rPr>
      </w:pPr>
      <w:r>
        <w:rPr>
          <w:rFonts w:hint="eastAsia" w:ascii="仿宋_GB2312" w:hAnsi="仿宋_GB2312" w:eastAsia="仿宋_GB2312" w:cs="仿宋_GB2312"/>
        </w:rPr>
        <w:t>较大事件（Ⅲ级）</w:t>
      </w:r>
    </w:p>
    <w:p w14:paraId="076AF762">
      <w:pPr>
        <w:numPr>
          <w:ilvl w:val="0"/>
          <w:numId w:val="240"/>
        </w:numPr>
        <w:ind w:firstLine="640"/>
      </w:pPr>
      <w:r>
        <w:rPr>
          <w:rFonts w:hint="eastAsia"/>
        </w:rPr>
        <w:t>一次事件伤亡30人以上、50人以下，其中，死亡和危重病例超过3例的突发事件。</w:t>
      </w:r>
    </w:p>
    <w:p w14:paraId="0E5DF0A5">
      <w:pPr>
        <w:numPr>
          <w:ilvl w:val="0"/>
          <w:numId w:val="240"/>
        </w:numPr>
        <w:ind w:firstLine="640"/>
      </w:pPr>
      <w:r>
        <w:rPr>
          <w:rFonts w:hint="eastAsia"/>
        </w:rPr>
        <w:t>市人民政府及其有关部门确定的其他需要开展医疗救援工作的较大突发事件。</w:t>
      </w:r>
    </w:p>
    <w:p w14:paraId="285E42DE">
      <w:pPr>
        <w:pStyle w:val="4"/>
        <w:numPr>
          <w:ilvl w:val="2"/>
          <w:numId w:val="237"/>
        </w:numPr>
        <w:tabs>
          <w:tab w:val="left" w:pos="0"/>
        </w:tabs>
        <w:rPr>
          <w:rFonts w:ascii="仿宋_GB2312" w:hAnsi="仿宋_GB2312" w:eastAsia="仿宋_GB2312" w:cs="仿宋_GB2312"/>
        </w:rPr>
      </w:pPr>
      <w:r>
        <w:rPr>
          <w:rFonts w:hint="eastAsia" w:ascii="仿宋_GB2312" w:hAnsi="仿宋_GB2312" w:eastAsia="仿宋_GB2312" w:cs="仿宋_GB2312"/>
        </w:rPr>
        <w:t>一般事件（Ⅳ级）</w:t>
      </w:r>
    </w:p>
    <w:p w14:paraId="4F50273B">
      <w:pPr>
        <w:numPr>
          <w:ilvl w:val="0"/>
          <w:numId w:val="241"/>
        </w:numPr>
        <w:ind w:firstLine="640"/>
      </w:pPr>
      <w:r>
        <w:rPr>
          <w:rFonts w:hint="eastAsia"/>
        </w:rPr>
        <w:t>一次事件伤亡10人以上、30人以下，其中，死亡和危重病例超过1例的突发事件。</w:t>
      </w:r>
    </w:p>
    <w:p w14:paraId="100F9F6C">
      <w:pPr>
        <w:numPr>
          <w:ilvl w:val="0"/>
          <w:numId w:val="241"/>
        </w:numPr>
        <w:ind w:firstLine="640"/>
      </w:pPr>
      <w:r>
        <w:rPr>
          <w:rFonts w:hint="eastAsia"/>
        </w:rPr>
        <w:t>县级人民政府及其有关部门确定的其他需要开展医疗救援工作的一般突发事件。</w:t>
      </w:r>
    </w:p>
    <w:p w14:paraId="659FA07F">
      <w:pPr>
        <w:pStyle w:val="2"/>
        <w:numPr>
          <w:ilvl w:val="0"/>
          <w:numId w:val="237"/>
        </w:numPr>
        <w:tabs>
          <w:tab w:val="left" w:pos="0"/>
        </w:tabs>
        <w:rPr>
          <w:sz w:val="32"/>
          <w:szCs w:val="32"/>
        </w:rPr>
      </w:pPr>
      <w:bookmarkStart w:id="1550" w:name="_Toc19934"/>
      <w:r>
        <w:rPr>
          <w:rFonts w:hint="eastAsia"/>
          <w:sz w:val="32"/>
          <w:szCs w:val="32"/>
        </w:rPr>
        <w:t>组织指挥体系及职责</w:t>
      </w:r>
      <w:bookmarkEnd w:id="1550"/>
    </w:p>
    <w:p w14:paraId="6E04E652">
      <w:pPr>
        <w:ind w:firstLine="640"/>
      </w:pPr>
      <w:r>
        <w:rPr>
          <w:rFonts w:hint="eastAsia"/>
        </w:rPr>
        <w:t>县卫健局在县政府或突发公共事件应急指挥机构的统一领导、指挥下，与有关部门密切配合、协调一致，共同应对突发事件，做好突发事件的医疗救援工作。</w:t>
      </w:r>
    </w:p>
    <w:p w14:paraId="0F8B54D9">
      <w:pPr>
        <w:ind w:firstLine="640"/>
      </w:pPr>
      <w:r>
        <w:rPr>
          <w:rFonts w:hint="eastAsia"/>
        </w:rPr>
        <w:t>医疗救援组织机构包括：医疗救援领导小组、专家组和医疗救援机构、现场医疗救援指挥部。</w:t>
      </w:r>
    </w:p>
    <w:p w14:paraId="1DD27A21">
      <w:pPr>
        <w:pStyle w:val="3"/>
      </w:pPr>
      <w:bookmarkStart w:id="1551" w:name="_Toc7396"/>
      <w:r>
        <w:rPr>
          <w:rFonts w:hint="eastAsia"/>
        </w:rPr>
        <w:t>救援领导机构及有关部门职责</w:t>
      </w:r>
      <w:bookmarkEnd w:id="1551"/>
    </w:p>
    <w:p w14:paraId="3EA8C229">
      <w:pPr>
        <w:ind w:firstLine="640"/>
      </w:pPr>
      <w:r>
        <w:rPr>
          <w:rFonts w:hint="eastAsia"/>
        </w:rPr>
        <w:t>成立集贤县突发事件医疗救援应急指挥部（以下简称“县指挥部”）。由县政府分管卫生健康工作的副县长任总指挥，县政府办公室主任和县卫健局局长担任副总指挥，县卫健局各股室和县医院、县中医院负责人为成员，在县公共事件医疗救援指挥部的领导下，具体负责领导、组织、协调、部署特别重大、重大和较大突发事件的医疗救援工作。县指挥部办公室设在县卫健局，办公室主任由县卫健局局长兼任。</w:t>
      </w:r>
    </w:p>
    <w:p w14:paraId="6F495B26">
      <w:pPr>
        <w:ind w:firstLine="640"/>
      </w:pPr>
      <w:r>
        <w:rPr>
          <w:rFonts w:hint="eastAsia"/>
        </w:rPr>
        <w:t>各医疗卫生单位成立相应的医疗救援领导小组，负责组织协调辖区内的公共事件医疗救援工作。各乡镇政府要按照职责分工和预案规定协助卫健部门做好公共事件医疗救援工作。</w:t>
      </w:r>
    </w:p>
    <w:p w14:paraId="0CF99E31">
      <w:pPr>
        <w:pStyle w:val="3"/>
      </w:pPr>
      <w:bookmarkStart w:id="1552" w:name="_Toc23414"/>
      <w:r>
        <w:rPr>
          <w:rFonts w:hint="eastAsia"/>
        </w:rPr>
        <w:t>专家组</w:t>
      </w:r>
      <w:bookmarkEnd w:id="1552"/>
    </w:p>
    <w:p w14:paraId="370B03DF">
      <w:pPr>
        <w:ind w:firstLine="640"/>
      </w:pPr>
      <w:r>
        <w:rPr>
          <w:rFonts w:hint="eastAsia"/>
        </w:rPr>
        <w:t>县卫健局根据公共事件的类别和性质，抽调医疗骨干，组建县级公共事件医疗救援专家组。负责相应公共事件医疗应急救援工作的技术支持、业务指导、专业咨询、医学调查等。</w:t>
      </w:r>
    </w:p>
    <w:p w14:paraId="4F47AF80">
      <w:pPr>
        <w:pStyle w:val="3"/>
      </w:pPr>
      <w:bookmarkStart w:id="1553" w:name="_Toc11462"/>
      <w:r>
        <w:rPr>
          <w:rFonts w:hint="eastAsia"/>
        </w:rPr>
        <w:t>救援机构</w:t>
      </w:r>
      <w:bookmarkEnd w:id="1553"/>
    </w:p>
    <w:p w14:paraId="4CF4C6E1">
      <w:pPr>
        <w:ind w:firstLine="640"/>
      </w:pPr>
      <w:r>
        <w:rPr>
          <w:rFonts w:hint="eastAsia"/>
        </w:rPr>
        <w:t>按照统一部署、分工负责的原则，县、乡各类医疗卫生机构承担公共事件医疗救援任务。其中：各乡镇卫生院承担现场医疗救援和伤员转送任务；县卫健局医政医管和中医药股负责衔接市中心血站做好采供血工作；县医院、中医院、妇计中心负责伤亡人员的接收并给予处置、救治，县疾控中心和综合监督执法所根据各自职能做好公共事件中疾病预防控制和监督执法工作。</w:t>
      </w:r>
    </w:p>
    <w:p w14:paraId="31B1932E">
      <w:pPr>
        <w:pStyle w:val="3"/>
      </w:pPr>
      <w:bookmarkStart w:id="1554" w:name="_Toc8691"/>
      <w:r>
        <w:rPr>
          <w:rFonts w:hint="eastAsia"/>
        </w:rPr>
        <w:t>现场救援指挥部</w:t>
      </w:r>
      <w:bookmarkEnd w:id="1554"/>
    </w:p>
    <w:p w14:paraId="3E24333A">
      <w:pPr>
        <w:ind w:firstLine="640"/>
      </w:pPr>
      <w:r>
        <w:rPr>
          <w:rFonts w:hint="eastAsia"/>
        </w:rPr>
        <w:t>根据工作需要在公共事件现场设立医疗救援指挥部，统一指挥协调现场医疗救援工作。</w:t>
      </w:r>
    </w:p>
    <w:p w14:paraId="63B0AFFF">
      <w:pPr>
        <w:pStyle w:val="2"/>
        <w:numPr>
          <w:ilvl w:val="0"/>
          <w:numId w:val="237"/>
        </w:numPr>
        <w:tabs>
          <w:tab w:val="left" w:pos="0"/>
        </w:tabs>
        <w:rPr>
          <w:sz w:val="32"/>
          <w:szCs w:val="32"/>
        </w:rPr>
      </w:pPr>
      <w:bookmarkStart w:id="1555" w:name="_Toc5764"/>
      <w:r>
        <w:rPr>
          <w:rFonts w:hint="eastAsia"/>
          <w:sz w:val="32"/>
          <w:szCs w:val="32"/>
        </w:rPr>
        <w:t>应急响应</w:t>
      </w:r>
      <w:bookmarkEnd w:id="1555"/>
    </w:p>
    <w:p w14:paraId="18AFBA17">
      <w:pPr>
        <w:pStyle w:val="3"/>
      </w:pPr>
      <w:bookmarkStart w:id="1556" w:name="_Toc20021"/>
      <w:r>
        <w:rPr>
          <w:rFonts w:hint="eastAsia"/>
        </w:rPr>
        <w:t>应急响应原则</w:t>
      </w:r>
      <w:bookmarkEnd w:id="1556"/>
    </w:p>
    <w:p w14:paraId="0C19D09F">
      <w:pPr>
        <w:ind w:firstLine="640"/>
      </w:pPr>
      <w:r>
        <w:rPr>
          <w:rFonts w:hint="eastAsia"/>
        </w:rPr>
        <w:t>发生公共事件后，县卫健局要按照“属地管理、分级负责”的原则，迅速做出应急响应，组织应急处理。各医疗救援单位，应立即启动医疗救援预案，采取果断措施进行前期处理，控制事态发展。</w:t>
      </w:r>
    </w:p>
    <w:p w14:paraId="2C4FD50E">
      <w:pPr>
        <w:pStyle w:val="3"/>
      </w:pPr>
      <w:bookmarkStart w:id="1557" w:name="_Toc29153"/>
      <w:r>
        <w:rPr>
          <w:rFonts w:hint="eastAsia"/>
        </w:rPr>
        <w:t>应急分级响应</w:t>
      </w:r>
      <w:bookmarkEnd w:id="1557"/>
    </w:p>
    <w:p w14:paraId="1A9E56B5">
      <w:pPr>
        <w:pStyle w:val="4"/>
        <w:numPr>
          <w:ilvl w:val="2"/>
          <w:numId w:val="237"/>
        </w:numPr>
        <w:tabs>
          <w:tab w:val="left" w:pos="0"/>
        </w:tabs>
        <w:rPr>
          <w:rFonts w:ascii="仿宋_GB2312" w:hAnsi="仿宋_GB2312" w:eastAsia="仿宋_GB2312" w:cs="仿宋_GB2312"/>
        </w:rPr>
      </w:pPr>
      <w:r>
        <w:rPr>
          <w:rFonts w:hint="eastAsia" w:ascii="仿宋_GB2312" w:hAnsi="仿宋_GB2312" w:eastAsia="仿宋_GB2312" w:cs="仿宋_GB2312"/>
        </w:rPr>
        <w:t>I级应急响应</w:t>
      </w:r>
    </w:p>
    <w:p w14:paraId="04610E8D">
      <w:pPr>
        <w:ind w:firstLine="640"/>
      </w:pPr>
      <w:r>
        <w:rPr>
          <w:rFonts w:hint="eastAsia"/>
        </w:rPr>
        <w:t>接到关于特别重大公共事件医疗救援的指示、通报或报告后，初判达到Ⅰ级应急响应（特别重大）研判参考标准，由县突发事件医疗救援应急指挥部成员和专家组分析研判，提出启动县级Ⅰ级应急响应的建议并向县委、县政府和市卫健委报告，由县委、县政府决定启动县级Ⅰ级应急响应，突发事件发生地的乡镇卫生院在县事件医疗救援应急指挥部的指挥下，协助县级医疗单位开展突发公共事件的医疗卫生救援。</w:t>
      </w:r>
    </w:p>
    <w:p w14:paraId="036B5DD0">
      <w:pPr>
        <w:pStyle w:val="4"/>
        <w:numPr>
          <w:ilvl w:val="2"/>
          <w:numId w:val="237"/>
        </w:numPr>
        <w:tabs>
          <w:tab w:val="left" w:pos="0"/>
        </w:tabs>
        <w:rPr>
          <w:rFonts w:ascii="仿宋_GB2312" w:hAnsi="仿宋_GB2312" w:eastAsia="仿宋_GB2312" w:cs="仿宋_GB2312"/>
        </w:rPr>
      </w:pPr>
      <w:r>
        <w:rPr>
          <w:rFonts w:hint="eastAsia" w:ascii="仿宋_GB2312" w:hAnsi="仿宋_GB2312" w:eastAsia="仿宋_GB2312" w:cs="仿宋_GB2312"/>
        </w:rPr>
        <w:t>Ⅱ级应急响应</w:t>
      </w:r>
    </w:p>
    <w:p w14:paraId="5781142F">
      <w:pPr>
        <w:ind w:firstLine="640"/>
      </w:pPr>
      <w:r>
        <w:rPr>
          <w:rFonts w:hint="eastAsia"/>
        </w:rPr>
        <w:t>接到关于重大突发公共事件医疗救援的指示、通报或报告后，初判达到Ⅱ级应急响应（重大）研判参考标准，由县突发事件医疗救援应急指挥部成员和专家组分析研判，提出启动县级Ⅱ级应急响应的建议并向县政府和市卫健委报告，由县政府决定启动县级Ⅱ级应急响应，突发事件发生地的乡镇卫生院在县事件医疗救援应急指挥部的指挥下，组织、协调开展公共事件的医疗救援，必要时向县委、县政府报告。</w:t>
      </w:r>
    </w:p>
    <w:p w14:paraId="15D30301">
      <w:pPr>
        <w:pStyle w:val="4"/>
        <w:numPr>
          <w:ilvl w:val="2"/>
          <w:numId w:val="237"/>
        </w:numPr>
        <w:tabs>
          <w:tab w:val="left" w:pos="0"/>
        </w:tabs>
        <w:rPr>
          <w:rFonts w:ascii="仿宋_GB2312" w:hAnsi="仿宋_GB2312" w:eastAsia="仿宋_GB2312" w:cs="仿宋_GB2312"/>
        </w:rPr>
      </w:pPr>
      <w:r>
        <w:rPr>
          <w:rFonts w:hint="eastAsia" w:ascii="仿宋_GB2312" w:hAnsi="仿宋_GB2312" w:eastAsia="仿宋_GB2312" w:cs="仿宋_GB2312"/>
        </w:rPr>
        <w:t>Ⅲ级应急响应</w:t>
      </w:r>
    </w:p>
    <w:p w14:paraId="012F200D">
      <w:pPr>
        <w:ind w:firstLine="640"/>
      </w:pPr>
      <w:r>
        <w:rPr>
          <w:rFonts w:hint="eastAsia"/>
        </w:rPr>
        <w:t>接到关于医疗救援较大事件的有关指示、通报或报告后，初判达到Ⅲ级应急响应（较大）研判参考标准，由县突发事件医疗救援应急指挥部成员和专家组分析研判，提出启动县级Ⅲ级应急响应的建议，由县突发事件医疗救援应急指挥部决定启动县级Ⅲ级应急响应，事件发生地的乡镇卫生院在县突发事件医疗救援应急指挥部的指挥下，组织、协助开展突发公共事件的医疗救援。必要时向县政府和市卫健委报告有关处理情况。</w:t>
      </w:r>
    </w:p>
    <w:p w14:paraId="5FB8228E">
      <w:pPr>
        <w:pStyle w:val="4"/>
        <w:numPr>
          <w:ilvl w:val="2"/>
          <w:numId w:val="237"/>
        </w:numPr>
        <w:tabs>
          <w:tab w:val="left" w:pos="0"/>
        </w:tabs>
        <w:rPr>
          <w:rFonts w:ascii="仿宋_GB2312" w:hAnsi="仿宋_GB2312" w:eastAsia="仿宋_GB2312" w:cs="仿宋_GB2312"/>
        </w:rPr>
      </w:pPr>
      <w:r>
        <w:rPr>
          <w:rFonts w:hint="eastAsia" w:ascii="仿宋_GB2312" w:hAnsi="仿宋_GB2312" w:eastAsia="仿宋_GB2312" w:cs="仿宋_GB2312"/>
        </w:rPr>
        <w:t>Ⅳ级应急响应</w:t>
      </w:r>
    </w:p>
    <w:p w14:paraId="2556EECB">
      <w:pPr>
        <w:ind w:firstLine="640"/>
      </w:pPr>
      <w:r>
        <w:rPr>
          <w:rFonts w:hint="eastAsia"/>
        </w:rPr>
        <w:t>接到关于应急医疗救援一般事件的有关指示、通报或报告后，初判达到Ⅳ级应急响应（一般）研判参考标准，立即启动县医疗救援领导小组工作，组织医疗救援机构开展公共事件的现场处理工作，组织专家对伤病员及救治情况进行调查、确认和评估。同时向县政府和县公共事件应急指挥机构报告有关处理情况。凡属启动县应急预案的响应，医疗救援领导小组按相关规定启动工作。</w:t>
      </w:r>
    </w:p>
    <w:p w14:paraId="6B8B5CD0">
      <w:pPr>
        <w:ind w:firstLine="640"/>
      </w:pPr>
      <w:r>
        <w:rPr>
          <w:rFonts w:hint="eastAsia"/>
        </w:rPr>
        <w:t>县卫健局在必要时，请求市卫健委快速组织专家对公共事件应急医疗救援进行技术指导。</w:t>
      </w:r>
    </w:p>
    <w:p w14:paraId="72B149B5">
      <w:pPr>
        <w:pStyle w:val="3"/>
      </w:pPr>
      <w:bookmarkStart w:id="1558" w:name="_Toc17875"/>
      <w:r>
        <w:rPr>
          <w:rFonts w:hint="eastAsia"/>
        </w:rPr>
        <w:t>现场医疗救援及指挥</w:t>
      </w:r>
      <w:bookmarkEnd w:id="1558"/>
    </w:p>
    <w:p w14:paraId="499F3165">
      <w:pPr>
        <w:ind w:firstLine="640"/>
      </w:pPr>
      <w:r>
        <w:rPr>
          <w:rFonts w:hint="eastAsia"/>
        </w:rPr>
        <w:t>县卫健局接到关于突发公共事件的指示、通报或报告后，应立即调集紧急医疗救援中心和医疗机构救治队伍，迅速赶赴现场，并根据现场情况全力开展救援工作。及时救治、安置、转送伤病人员。在实施救援的过程中，既要积极开展救治，又要注重自我防护，确保安全，防止此次事故发生。</w:t>
      </w:r>
    </w:p>
    <w:p w14:paraId="45887F13">
      <w:pPr>
        <w:pStyle w:val="4"/>
        <w:numPr>
          <w:ilvl w:val="2"/>
          <w:numId w:val="237"/>
        </w:numPr>
        <w:tabs>
          <w:tab w:val="left" w:pos="0"/>
        </w:tabs>
        <w:rPr>
          <w:rFonts w:ascii="仿宋_GB2312" w:hAnsi="仿宋_GB2312" w:eastAsia="仿宋_GB2312" w:cs="仿宋_GB2312"/>
        </w:rPr>
      </w:pPr>
      <w:r>
        <w:rPr>
          <w:rFonts w:hint="eastAsia" w:ascii="仿宋_GB2312" w:hAnsi="仿宋_GB2312" w:eastAsia="仿宋_GB2312" w:cs="仿宋_GB2312"/>
        </w:rPr>
        <w:t>现场指挥</w:t>
      </w:r>
    </w:p>
    <w:p w14:paraId="09BAD449">
      <w:pPr>
        <w:ind w:firstLine="640"/>
      </w:pPr>
      <w:r>
        <w:rPr>
          <w:rFonts w:hint="eastAsia"/>
        </w:rPr>
        <w:t>为及时准确掌握现场情况，做好现场医疗救援指挥工作，使医疗救援工作紧张有序进行，县卫健局要在事发地设置医疗救援现场指挥部，协调指挥现场医疗救援工作，局长或分管副局长亲临现场，靠前指挥，减少中间环节，提高决策效率，加快抢救进程。</w:t>
      </w:r>
    </w:p>
    <w:p w14:paraId="292C324A">
      <w:pPr>
        <w:ind w:firstLine="640"/>
      </w:pPr>
      <w:r>
        <w:rPr>
          <w:rFonts w:hint="eastAsia"/>
        </w:rPr>
        <w:t>现场医疗救援指挥部要接受公共事件现场指挥机构的领导，加强与现场各救援部门的沟通与协调，同时，要将现场医疗救援情况及时向县政府或公共事件应急指挥机构、市卫健委或公共事件医疗救援领导小组报告，随时接受市卫健委或医疗救援领导小组的工作督察和业务指导。当辖区内医疗救援力量不足时，应及时报告市卫健委，由市卫健委调集救援力量给予支援。</w:t>
      </w:r>
    </w:p>
    <w:p w14:paraId="1B0C7385">
      <w:pPr>
        <w:ind w:firstLine="640"/>
      </w:pPr>
      <w:r>
        <w:rPr>
          <w:rFonts w:hint="eastAsia"/>
        </w:rPr>
        <w:t>医疗救援现场指挥部主要负责组织医疗救援队伍赶赴现场开展紧急救援工作；根据救援需要，调集后续救援力量；确定收治伤病人员的医疗机构，安排重症伤病人员的转送；做好现场信息收集，保证通信畅通，及时上报现场医疗救援情况；协调相关部门做好医疗救援保障工作。</w:t>
      </w:r>
    </w:p>
    <w:p w14:paraId="3D8367BB">
      <w:pPr>
        <w:pStyle w:val="4"/>
        <w:numPr>
          <w:ilvl w:val="2"/>
          <w:numId w:val="237"/>
        </w:numPr>
        <w:tabs>
          <w:tab w:val="left" w:pos="0"/>
        </w:tabs>
        <w:rPr>
          <w:rFonts w:ascii="仿宋_GB2312" w:hAnsi="仿宋_GB2312" w:eastAsia="仿宋_GB2312" w:cs="仿宋_GB2312"/>
        </w:rPr>
      </w:pPr>
      <w:r>
        <w:rPr>
          <w:rFonts w:hint="eastAsia" w:ascii="仿宋_GB2312" w:hAnsi="仿宋_GB2312" w:eastAsia="仿宋_GB2312" w:cs="仿宋_GB2312"/>
        </w:rPr>
        <w:t>紧急医疗救援中心（站）</w:t>
      </w:r>
    </w:p>
    <w:p w14:paraId="3A814C99">
      <w:pPr>
        <w:ind w:firstLine="640"/>
      </w:pPr>
      <w:r>
        <w:rPr>
          <w:rFonts w:hint="eastAsia"/>
        </w:rPr>
        <w:t>各级紧急医疗救援中心（站）接到关于突发公共事件的指示、通报或报告后，要迅速调派距离最近的救护车辆及救治队伍赶赴现场开展救援工作，及时将现场伤亡人员、医疗救治基本情况向县卫健局报告。</w:t>
      </w:r>
    </w:p>
    <w:p w14:paraId="166BB0C1">
      <w:pPr>
        <w:pStyle w:val="5"/>
        <w:numPr>
          <w:ilvl w:val="3"/>
          <w:numId w:val="237"/>
        </w:numPr>
      </w:pPr>
      <w:r>
        <w:rPr>
          <w:rFonts w:hint="eastAsia"/>
        </w:rPr>
        <w:t>实施现场抢救</w:t>
      </w:r>
    </w:p>
    <w:p w14:paraId="318A3A03">
      <w:pPr>
        <w:ind w:firstLine="640"/>
      </w:pPr>
      <w:r>
        <w:rPr>
          <w:rFonts w:hint="eastAsia"/>
        </w:rPr>
        <w:t>检伤分类：组建检伤分类小组，调集经过检伤分类训练、有一定经验的临床医师赶赴现场，穿戴统一的急救服装、臂章、胸牌，迅速将伤病人员转出危险区，实施现场医疗急救和检伤分类。</w:t>
      </w:r>
    </w:p>
    <w:p w14:paraId="2F64E43B">
      <w:pPr>
        <w:ind w:firstLine="640"/>
      </w:pPr>
    </w:p>
    <w:p w14:paraId="3C2A7FAE">
      <w:pPr>
        <w:ind w:firstLine="640"/>
      </w:pPr>
      <w:r>
        <w:rPr>
          <w:rFonts w:hint="eastAsia"/>
        </w:rPr>
        <w:t>分类标准：根据伤病人员临床症状、生命体征等情况，分为轻度、中度、重度、死亡4类。轻度指血压、呼吸、脉搏等基本生命体征正常，可步行，症状较轻，一般对症处理即可，如挫伤、擦伤等。中度指伤情较重，只要及时得到处理，一般不危及生命，如单纯性骨折、外伤出血、眼外伤等。重度指危及生命者，如呼吸心跳骤停、窒息、大出血、严重中毒、休克等。死亡指意识丧失、颈动脉搏动消失、心跳呼吸停止和瞳孔散大。</w:t>
      </w:r>
    </w:p>
    <w:p w14:paraId="4B27CD79">
      <w:pPr>
        <w:ind w:firstLine="640"/>
      </w:pPr>
      <w:r>
        <w:rPr>
          <w:rFonts w:hint="eastAsia"/>
        </w:rPr>
        <w:t>分类标志：用蓝、黄、红、黑4种颜色分类标记法，分别对轻度、中度、重度、死亡病例做出分类标志，扣系在伤病人员手腕或脚踝部位，以方便病情辨认和采取救治措施。</w:t>
      </w:r>
    </w:p>
    <w:p w14:paraId="5745F1AE">
      <w:pPr>
        <w:pStyle w:val="5"/>
        <w:numPr>
          <w:ilvl w:val="3"/>
          <w:numId w:val="237"/>
        </w:numPr>
      </w:pPr>
      <w:r>
        <w:rPr>
          <w:rFonts w:hint="eastAsia"/>
        </w:rPr>
        <w:t>现场急救</w:t>
      </w:r>
    </w:p>
    <w:p w14:paraId="7D4CBF8D">
      <w:pPr>
        <w:ind w:firstLine="640"/>
      </w:pPr>
      <w:r>
        <w:rPr>
          <w:rFonts w:hint="eastAsia"/>
        </w:rPr>
        <w:t>按照“先救命、后救伤，先救重、后救轻”的原则进行，应随时对已检伤分类的伤病人员进行复检，发现有呼吸心跳骤停、窒息、活动性大出血、严重中毒、休克等危急重症现象要立即进行抢救和治疗，维持患者基本生命体征。</w:t>
      </w:r>
    </w:p>
    <w:p w14:paraId="6BE8706B">
      <w:pPr>
        <w:pStyle w:val="5"/>
        <w:numPr>
          <w:ilvl w:val="3"/>
          <w:numId w:val="237"/>
        </w:numPr>
      </w:pPr>
      <w:r>
        <w:rPr>
          <w:rFonts w:hint="eastAsia"/>
        </w:rPr>
        <w:t>伤病人员转运和途中监护</w:t>
      </w:r>
    </w:p>
    <w:p w14:paraId="7E7A7B23">
      <w:pPr>
        <w:ind w:firstLine="640"/>
      </w:pPr>
      <w:r>
        <w:rPr>
          <w:rFonts w:hint="eastAsia"/>
        </w:rPr>
        <w:t>当现场环境处于危险或在伤病员情况允许时，要尽快将伤病员转送并做好以下工作：</w:t>
      </w:r>
    </w:p>
    <w:p w14:paraId="73E49ED9">
      <w:pPr>
        <w:numPr>
          <w:ilvl w:val="0"/>
          <w:numId w:val="242"/>
        </w:numPr>
        <w:ind w:firstLine="640"/>
      </w:pPr>
      <w:r>
        <w:rPr>
          <w:rFonts w:hint="eastAsia"/>
        </w:rPr>
        <w:t>对已经检伤分类待送的伤病员进行复检。对有活动性大出血或转运途中有生命危险的急危重症者，应就地实施抢救、治疗，做必要的处理后进行监护转运。</w:t>
      </w:r>
    </w:p>
    <w:p w14:paraId="2D651D08">
      <w:pPr>
        <w:numPr>
          <w:ilvl w:val="0"/>
          <w:numId w:val="242"/>
        </w:numPr>
        <w:ind w:firstLine="640"/>
      </w:pPr>
      <w:r>
        <w:rPr>
          <w:rFonts w:hint="eastAsia"/>
        </w:rPr>
        <w:t>认真填写转运卡提交接纳的医疗机构，并报现场医疗救援指挥部汇总。</w:t>
      </w:r>
    </w:p>
    <w:p w14:paraId="09F7E4BD">
      <w:pPr>
        <w:numPr>
          <w:ilvl w:val="0"/>
          <w:numId w:val="242"/>
        </w:numPr>
        <w:ind w:firstLine="640"/>
      </w:pPr>
      <w:r>
        <w:rPr>
          <w:rFonts w:hint="eastAsia"/>
        </w:rPr>
        <w:t>在转运中，医护人员必须在医疗舱内密切观察伤病员病情变化，并确保治疗持续进行。</w:t>
      </w:r>
    </w:p>
    <w:p w14:paraId="2CD9191A">
      <w:pPr>
        <w:numPr>
          <w:ilvl w:val="0"/>
          <w:numId w:val="242"/>
        </w:numPr>
        <w:ind w:firstLine="640"/>
      </w:pPr>
      <w:r>
        <w:rPr>
          <w:rFonts w:hint="eastAsia"/>
        </w:rPr>
        <w:t>在转运过程中要科学搬运，避免造成二次损伤。</w:t>
      </w:r>
    </w:p>
    <w:p w14:paraId="240B2038">
      <w:pPr>
        <w:numPr>
          <w:ilvl w:val="0"/>
          <w:numId w:val="242"/>
        </w:numPr>
        <w:ind w:firstLine="640"/>
      </w:pPr>
      <w:r>
        <w:rPr>
          <w:rFonts w:hint="eastAsia"/>
        </w:rPr>
        <w:t>合理分流伤病员或按现场医疗救援指挥部指定的地点转送，任何医疗机构不得以任何理由拒诊、拒收伤病员。</w:t>
      </w:r>
    </w:p>
    <w:p w14:paraId="0DCF402C">
      <w:pPr>
        <w:pStyle w:val="4"/>
        <w:numPr>
          <w:ilvl w:val="2"/>
          <w:numId w:val="237"/>
        </w:numPr>
        <w:tabs>
          <w:tab w:val="left" w:pos="0"/>
        </w:tabs>
        <w:rPr>
          <w:rFonts w:ascii="仿宋_GB2312" w:hAnsi="仿宋_GB2312" w:eastAsia="仿宋_GB2312" w:cs="仿宋_GB2312"/>
        </w:rPr>
      </w:pPr>
      <w:r>
        <w:rPr>
          <w:rFonts w:hint="eastAsia" w:ascii="仿宋_GB2312" w:hAnsi="仿宋_GB2312" w:eastAsia="仿宋_GB2312" w:cs="仿宋_GB2312"/>
        </w:rPr>
        <w:t>专业应急救治队伍</w:t>
      </w:r>
    </w:p>
    <w:p w14:paraId="332794EA">
      <w:pPr>
        <w:ind w:firstLine="640"/>
      </w:pPr>
      <w:r>
        <w:rPr>
          <w:rFonts w:hint="eastAsia"/>
        </w:rPr>
        <w:t>各级医疗单位应组建应急救治队伍，协助紧急医疗救援中心（站）或独立完成伤病人员检伤分类；对伤病人员进行诊治、救治；参与病人转送和途中监护；向现场指挥部报告有关情况。</w:t>
      </w:r>
    </w:p>
    <w:p w14:paraId="04001DEC">
      <w:pPr>
        <w:pStyle w:val="4"/>
        <w:numPr>
          <w:ilvl w:val="2"/>
          <w:numId w:val="237"/>
        </w:numPr>
        <w:tabs>
          <w:tab w:val="left" w:pos="0"/>
        </w:tabs>
        <w:rPr>
          <w:rFonts w:ascii="仿宋_GB2312" w:hAnsi="仿宋_GB2312" w:eastAsia="仿宋_GB2312" w:cs="仿宋_GB2312"/>
        </w:rPr>
      </w:pPr>
      <w:r>
        <w:rPr>
          <w:rFonts w:hint="eastAsia" w:ascii="仿宋_GB2312" w:hAnsi="仿宋_GB2312" w:eastAsia="仿宋_GB2312" w:cs="仿宋_GB2312"/>
        </w:rPr>
        <w:t>疾病预防控制和卫生综合监督执法机构</w:t>
      </w:r>
    </w:p>
    <w:p w14:paraId="6878AB70">
      <w:pPr>
        <w:ind w:firstLine="640"/>
      </w:pPr>
      <w:r>
        <w:rPr>
          <w:rFonts w:hint="eastAsia"/>
        </w:rPr>
        <w:t>公共事件发生后，县卫健局要根据情况组织疾病预防控制和综合监督执法等有关专业机构和人员，迅速开展卫生学调查和评价、卫生监督执法，提出专业技术意见和建议，采取有效预防控制措施，防止次生或衍生公共事件发生，确保大灾之后无大疫。</w:t>
      </w:r>
    </w:p>
    <w:p w14:paraId="07383C19">
      <w:pPr>
        <w:pStyle w:val="4"/>
        <w:numPr>
          <w:ilvl w:val="2"/>
          <w:numId w:val="237"/>
        </w:numPr>
        <w:tabs>
          <w:tab w:val="left" w:pos="0"/>
        </w:tabs>
        <w:rPr>
          <w:rFonts w:ascii="仿宋_GB2312" w:hAnsi="仿宋_GB2312" w:eastAsia="仿宋_GB2312" w:cs="仿宋_GB2312"/>
        </w:rPr>
      </w:pPr>
      <w:r>
        <w:rPr>
          <w:rFonts w:hint="eastAsia" w:ascii="仿宋_GB2312" w:hAnsi="仿宋_GB2312" w:eastAsia="仿宋_GB2312" w:cs="仿宋_GB2312"/>
        </w:rPr>
        <w:t>医院内救治</w:t>
      </w:r>
    </w:p>
    <w:p w14:paraId="334CF19B">
      <w:pPr>
        <w:ind w:firstLine="640"/>
      </w:pPr>
      <w:r>
        <w:rPr>
          <w:rFonts w:hint="eastAsia"/>
        </w:rPr>
        <w:t>县卫健局要协调医院内救治工作，并按急诊抢救、专科治疗程序进行。各医疗单位要按照现场指挥部下达的救治人数，迅速落实床位、救治力量及相应救治设备，认真做好伤病人员交接，迅速对伤病人员进行分诊救治，做好危重病人、特殊病人会诊或转院工作，做好伤病人员诊治记录和总结，救治情况应及时向县卫健局报告。</w:t>
      </w:r>
    </w:p>
    <w:p w14:paraId="411B5171">
      <w:pPr>
        <w:pStyle w:val="4"/>
        <w:numPr>
          <w:ilvl w:val="2"/>
          <w:numId w:val="237"/>
        </w:numPr>
        <w:tabs>
          <w:tab w:val="left" w:pos="0"/>
        </w:tabs>
        <w:rPr>
          <w:rFonts w:ascii="仿宋_GB2312" w:hAnsi="仿宋_GB2312" w:eastAsia="仿宋_GB2312" w:cs="仿宋_GB2312"/>
        </w:rPr>
      </w:pPr>
      <w:r>
        <w:rPr>
          <w:rFonts w:hint="eastAsia" w:ascii="仿宋_GB2312" w:hAnsi="仿宋_GB2312" w:eastAsia="仿宋_GB2312" w:cs="仿宋_GB2312"/>
        </w:rPr>
        <w:t>外籍及港澳台人员应急救援基本原则</w:t>
      </w:r>
    </w:p>
    <w:p w14:paraId="67C460AA">
      <w:pPr>
        <w:ind w:firstLine="640"/>
      </w:pPr>
      <w:r>
        <w:rPr>
          <w:rFonts w:hint="eastAsia"/>
        </w:rPr>
        <w:t>公共事件涉及外籍及港澳台伤病人员，医疗机构在积极救治的同时，应立即报告现场指挥部或县卫健局，县卫健局核实其身份和医疗保险等情况后，及时上报县人民政府和市卫健委并通报当地外事部门，在上述部门指导、协调和协助下做好后续工作。</w:t>
      </w:r>
    </w:p>
    <w:p w14:paraId="14A4E2FF">
      <w:pPr>
        <w:pStyle w:val="3"/>
      </w:pPr>
      <w:bookmarkStart w:id="1559" w:name="_Toc28557"/>
      <w:r>
        <w:rPr>
          <w:rFonts w:hint="eastAsia"/>
        </w:rPr>
        <w:t>信息报告和发布</w:t>
      </w:r>
      <w:bookmarkEnd w:id="1559"/>
    </w:p>
    <w:p w14:paraId="4250C509">
      <w:pPr>
        <w:ind w:firstLine="640"/>
      </w:pPr>
      <w:r>
        <w:rPr>
          <w:rFonts w:hint="eastAsia"/>
        </w:rPr>
        <w:t>紧急医疗救援中心（站）和其他医疗机构接到公共事件的报告后，在迅速开展应急医疗救援工作的同时，立即将事件名称、发生地点、发生时间、人员伤亡、现场抢救、卫生救援需求等基本情况向现场医疗救援指挥部或县卫健局报告。</w:t>
      </w:r>
    </w:p>
    <w:p w14:paraId="33862A78">
      <w:pPr>
        <w:ind w:firstLine="640"/>
      </w:pPr>
      <w:r>
        <w:rPr>
          <w:rFonts w:hint="eastAsia"/>
        </w:rPr>
        <w:t>现场医疗救援指挥部和承担医疗救援任务的医疗卫生机构要每日向县卫健局报告伤病员情况、医疗救治进展等，重要情况随时报告。县卫健局要及时向县政府和市卫健委报告医疗救援情况。</w:t>
      </w:r>
    </w:p>
    <w:p w14:paraId="660B0CCA">
      <w:pPr>
        <w:ind w:firstLine="640"/>
      </w:pPr>
      <w:r>
        <w:rPr>
          <w:rFonts w:hint="eastAsia"/>
        </w:rPr>
        <w:t>县卫健局在县政府及应急指挥机构的统一部署下，做好公共事件医疗救援信息发布工作。需要向邻近县区通报医疗救援信息的，需报请县人民政府授权，由县卫健局统一通报。各医疗卫生单位不得擅自对外发布消息。</w:t>
      </w:r>
    </w:p>
    <w:p w14:paraId="4B646F8C">
      <w:pPr>
        <w:pStyle w:val="3"/>
      </w:pPr>
      <w:bookmarkStart w:id="1560" w:name="_Toc6755"/>
      <w:r>
        <w:rPr>
          <w:rFonts w:hint="eastAsia"/>
        </w:rPr>
        <w:t>响应终止</w:t>
      </w:r>
      <w:bookmarkEnd w:id="1560"/>
    </w:p>
    <w:p w14:paraId="1CDF9DD4">
      <w:pPr>
        <w:ind w:firstLine="640"/>
      </w:pPr>
      <w:r>
        <w:rPr>
          <w:rFonts w:hint="eastAsia"/>
        </w:rPr>
        <w:t>公共事件得到有效控制，现场救援工作完成，所有伤病员在医疗机构得到救治，并经专家组评估后，经县政府及应急指挥机构批准，由县卫健局宣布医疗救援应急响应终止，并将医疗救援应急响应终止信息报告市卫健委。</w:t>
      </w:r>
    </w:p>
    <w:p w14:paraId="75C68B99">
      <w:pPr>
        <w:pStyle w:val="2"/>
        <w:numPr>
          <w:ilvl w:val="0"/>
          <w:numId w:val="237"/>
        </w:numPr>
        <w:tabs>
          <w:tab w:val="left" w:pos="0"/>
        </w:tabs>
        <w:rPr>
          <w:sz w:val="32"/>
          <w:szCs w:val="32"/>
        </w:rPr>
      </w:pPr>
      <w:bookmarkStart w:id="1561" w:name="_Toc6084"/>
      <w:r>
        <w:rPr>
          <w:rFonts w:hint="eastAsia"/>
          <w:sz w:val="32"/>
          <w:szCs w:val="32"/>
        </w:rPr>
        <w:t>救援保障</w:t>
      </w:r>
      <w:bookmarkEnd w:id="1561"/>
    </w:p>
    <w:p w14:paraId="6305CE5D">
      <w:pPr>
        <w:ind w:firstLine="640"/>
      </w:pPr>
      <w:r>
        <w:rPr>
          <w:rFonts w:hint="eastAsia"/>
        </w:rPr>
        <w:t>公共事件应急医疗救援机构和队伍建设，是公共卫生事件预防控制体系建设的重要组成部分，县卫健局应遵循“平战结合、常备不懈”的原则，加强公共事件医疗救援工作的组织和队伍建设，组建医疗救援应急队伍，制定各种医疗救援应急技术方案，保障公共事件医疗救援工作的顺利开展。</w:t>
      </w:r>
    </w:p>
    <w:p w14:paraId="24CF0C7A">
      <w:pPr>
        <w:pStyle w:val="3"/>
      </w:pPr>
      <w:bookmarkStart w:id="1562" w:name="_Toc1067"/>
      <w:r>
        <w:rPr>
          <w:rFonts w:hint="eastAsia"/>
        </w:rPr>
        <w:t>信息保障</w:t>
      </w:r>
      <w:bookmarkEnd w:id="1562"/>
    </w:p>
    <w:p w14:paraId="29DE0DE9">
      <w:pPr>
        <w:ind w:firstLine="640"/>
      </w:pPr>
      <w:r>
        <w:rPr>
          <w:rFonts w:hint="eastAsia"/>
        </w:rPr>
        <w:t>在充分利用现有资源的基础上，建设医疗救治信息网络，实现医疗救治机构、疾病预防控制机构与卫健行政部门之间，以及卫健部门与相关部门之间的信息共享，以便及时、准确、全面掌握医疗卫生救援资源和事件信息，发挥医疗救治体系作用，提高公共事件快速反应能力和应急处理能力。</w:t>
      </w:r>
    </w:p>
    <w:p w14:paraId="6733C9C1">
      <w:pPr>
        <w:pStyle w:val="3"/>
      </w:pPr>
      <w:bookmarkStart w:id="1563" w:name="_Toc14021"/>
      <w:r>
        <w:rPr>
          <w:rFonts w:hint="eastAsia"/>
        </w:rPr>
        <w:t>急救网络保障</w:t>
      </w:r>
      <w:bookmarkEnd w:id="1563"/>
    </w:p>
    <w:p w14:paraId="43CBBC80">
      <w:pPr>
        <w:ind w:firstLine="640"/>
      </w:pPr>
      <w:r>
        <w:rPr>
          <w:rFonts w:hint="eastAsia"/>
        </w:rPr>
        <w:t>县级建立紧急医疗救援中心，各医疗单位建立急救站，逐步形成全县紧急医疗救援网络。各乡（镇）政府配备的紧急医疗救援装备由紧急医疗救援中心集中统一管理。</w:t>
      </w:r>
    </w:p>
    <w:p w14:paraId="53950D84">
      <w:pPr>
        <w:ind w:firstLine="640"/>
      </w:pPr>
      <w:r>
        <w:rPr>
          <w:rFonts w:hint="eastAsia"/>
        </w:rPr>
        <w:t>紧急情况下，经县卫健局授权，县紧急医疗救援中心统一组织、指挥、协调全县医疗急救资源。</w:t>
      </w:r>
    </w:p>
    <w:p w14:paraId="7E45A0E2">
      <w:pPr>
        <w:ind w:firstLine="640"/>
      </w:pPr>
      <w:r>
        <w:rPr>
          <w:rFonts w:hint="eastAsia"/>
        </w:rPr>
        <w:t>根据紧急医疗救援网络医院标准，指定县级以上医院为网络医院，建立全县医疗急救网络。紧急医疗卫生救援网络医院应加强急诊科、重症监护病房建设，形成院内外紧密联系的“急救链”，开通绿色通道，保障院前急救和院内救治工作连续性，提高急救能力和救治水平。</w:t>
      </w:r>
    </w:p>
    <w:p w14:paraId="0F4D1BEB">
      <w:pPr>
        <w:pStyle w:val="3"/>
      </w:pPr>
      <w:bookmarkStart w:id="1564" w:name="_Toc1847"/>
      <w:r>
        <w:rPr>
          <w:rFonts w:hint="eastAsia"/>
        </w:rPr>
        <w:t>应急队伍保障</w:t>
      </w:r>
      <w:bookmarkEnd w:id="1564"/>
    </w:p>
    <w:p w14:paraId="5D603524">
      <w:pPr>
        <w:pStyle w:val="4"/>
        <w:numPr>
          <w:ilvl w:val="2"/>
          <w:numId w:val="237"/>
        </w:numPr>
        <w:tabs>
          <w:tab w:val="left" w:pos="0"/>
        </w:tabs>
        <w:rPr>
          <w:rFonts w:ascii="仿宋_GB2312" w:hAnsi="仿宋_GB2312" w:eastAsia="仿宋_GB2312" w:cs="仿宋_GB2312"/>
        </w:rPr>
      </w:pPr>
      <w:r>
        <w:rPr>
          <w:rFonts w:hint="eastAsia" w:ascii="仿宋_GB2312" w:hAnsi="仿宋_GB2312" w:eastAsia="仿宋_GB2312" w:cs="仿宋_GB2312"/>
        </w:rPr>
        <w:t>医疗救援应急队伍</w:t>
      </w:r>
    </w:p>
    <w:p w14:paraId="762AF7B3">
      <w:pPr>
        <w:ind w:firstLine="640"/>
      </w:pPr>
      <w:r>
        <w:rPr>
          <w:rFonts w:hint="eastAsia"/>
        </w:rPr>
        <w:t>县卫健局组建综合性医疗救援应急队伍，并根据需要建立特殊专业医疗救援应急队伍。</w:t>
      </w:r>
    </w:p>
    <w:p w14:paraId="65482841">
      <w:pPr>
        <w:ind w:firstLine="640"/>
      </w:pPr>
      <w:r>
        <w:rPr>
          <w:rFonts w:hint="eastAsia"/>
        </w:rPr>
        <w:t>县卫健局负责组建不少于30人的紧急医疗救援队伍，根据不同灾害事件下设若干专业组，每组5—10人，人员主要从各医疗单位相关专业人员中抽组。</w:t>
      </w:r>
    </w:p>
    <w:p w14:paraId="0EE8A5D7">
      <w:pPr>
        <w:ind w:firstLine="640"/>
      </w:pPr>
      <w:r>
        <w:rPr>
          <w:rFonts w:hint="eastAsia"/>
        </w:rPr>
        <w:t>医疗救援应急队伍应具备在应急状态下开展卫生学调查和疾病预防控制的能力，有专业救护和基本急救的技能，有进行现场急救的心肺复苏监护仪及抢救设备，有维持伤病人员基本生命体征的知识和技能，有较强的自身安全防护能力等。</w:t>
      </w:r>
    </w:p>
    <w:p w14:paraId="0002FCE5">
      <w:pPr>
        <w:ind w:firstLine="640"/>
      </w:pPr>
      <w:r>
        <w:rPr>
          <w:rFonts w:hint="eastAsia"/>
        </w:rPr>
        <w:t>各医疗应急救援队伍应配备个人防护和现场工作设备，定期开展专业技术培训和应急演练，提高应急救治能力。发生公共事件时，各医疗救援应急队伍要服从县卫健局的统一指挥，落实现场医疗救援和院内救治任务。</w:t>
      </w:r>
    </w:p>
    <w:p w14:paraId="67A9CFF7">
      <w:pPr>
        <w:ind w:firstLine="640"/>
      </w:pPr>
      <w:r>
        <w:rPr>
          <w:rFonts w:hint="eastAsia"/>
        </w:rPr>
        <w:t>县卫健局要保证医疗救援工作队伍的稳定，严格管理，定期开展培训和演练，提高应急救治能力。</w:t>
      </w:r>
    </w:p>
    <w:p w14:paraId="52512A50">
      <w:pPr>
        <w:ind w:firstLine="640"/>
      </w:pPr>
      <w:r>
        <w:rPr>
          <w:rFonts w:hint="eastAsia"/>
        </w:rPr>
        <w:t>医疗救援演练需要公众参与的，必须报经县政府同意。</w:t>
      </w:r>
    </w:p>
    <w:p w14:paraId="49109787">
      <w:pPr>
        <w:pStyle w:val="4"/>
        <w:numPr>
          <w:ilvl w:val="2"/>
          <w:numId w:val="237"/>
        </w:numPr>
        <w:tabs>
          <w:tab w:val="left" w:pos="0"/>
        </w:tabs>
        <w:rPr>
          <w:rFonts w:ascii="仿宋_GB2312" w:hAnsi="仿宋_GB2312" w:eastAsia="仿宋_GB2312" w:cs="仿宋_GB2312"/>
        </w:rPr>
      </w:pPr>
      <w:r>
        <w:rPr>
          <w:rFonts w:hint="eastAsia" w:ascii="仿宋_GB2312" w:hAnsi="仿宋_GB2312" w:eastAsia="仿宋_GB2312" w:cs="仿宋_GB2312"/>
        </w:rPr>
        <w:t>医疗救治专业技术队伍</w:t>
      </w:r>
    </w:p>
    <w:p w14:paraId="110CB011">
      <w:pPr>
        <w:ind w:firstLine="640"/>
      </w:pPr>
      <w:r>
        <w:rPr>
          <w:rFonts w:hint="eastAsia"/>
        </w:rPr>
        <w:t>从事院前急救、院内急诊、ICU工作的卫生技术人员均是医疗救援的主要力量。县紧急医疗救援中心承担全县专业人员培训任务。</w:t>
      </w:r>
    </w:p>
    <w:p w14:paraId="4A0E086D">
      <w:pPr>
        <w:pStyle w:val="3"/>
      </w:pPr>
      <w:bookmarkStart w:id="1565" w:name="_Toc11794"/>
      <w:r>
        <w:rPr>
          <w:rFonts w:hint="eastAsia"/>
        </w:rPr>
        <w:t>应急物资保障</w:t>
      </w:r>
      <w:bookmarkEnd w:id="1565"/>
    </w:p>
    <w:p w14:paraId="713C2369">
      <w:pPr>
        <w:ind w:firstLine="640"/>
      </w:pPr>
      <w:r>
        <w:rPr>
          <w:rFonts w:hint="eastAsia"/>
        </w:rPr>
        <w:t>县卫健局应科学合理做好公共事件医疗救援工作所需设施、设备和物资的储备。当物资储备不足或难以满足公共事件医疗救援需要时，应及时向县政府或有关部门提出医疗救援应急药品、医疗器械、设备、快速检测器材和试剂、卫生防护用品等物资的储备计划建议，及时采购、储备。应急储备物资使用后要及时补充。</w:t>
      </w:r>
    </w:p>
    <w:p w14:paraId="6D191F81">
      <w:pPr>
        <w:pStyle w:val="3"/>
      </w:pPr>
      <w:bookmarkStart w:id="1566" w:name="_Toc15902"/>
      <w:r>
        <w:rPr>
          <w:rFonts w:hint="eastAsia"/>
        </w:rPr>
        <w:t>救援经费保障</w:t>
      </w:r>
      <w:bookmarkEnd w:id="1566"/>
    </w:p>
    <w:p w14:paraId="6037CB5F">
      <w:pPr>
        <w:ind w:firstLine="640"/>
      </w:pPr>
      <w:r>
        <w:rPr>
          <w:rFonts w:hint="eastAsia"/>
        </w:rPr>
        <w:t>县财政局负责安排应由政府承担的公共事件应急医疗救援所必需的经费，并做好经费使用情况监督工作。</w:t>
      </w:r>
    </w:p>
    <w:p w14:paraId="11B4FC57">
      <w:pPr>
        <w:ind w:firstLine="640"/>
      </w:pPr>
      <w:r>
        <w:rPr>
          <w:rFonts w:hint="eastAsia"/>
        </w:rPr>
        <w:t>自然灾害导致的人员伤亡，县财政按照有关规定承担医疗救治费用或给予补助。</w:t>
      </w:r>
    </w:p>
    <w:p w14:paraId="037A140B">
      <w:pPr>
        <w:ind w:firstLine="640"/>
      </w:pPr>
      <w:r>
        <w:rPr>
          <w:rFonts w:hint="eastAsia"/>
        </w:rPr>
        <w:t>生产安全事故引起的人员伤亡，事故发生单位应向相关医疗机构支付医疗救援过程中发生的费用，有关部门应负责督促落实。</w:t>
      </w:r>
    </w:p>
    <w:p w14:paraId="3D6CDEF4">
      <w:pPr>
        <w:ind w:firstLine="640"/>
      </w:pPr>
      <w:r>
        <w:rPr>
          <w:rFonts w:hint="eastAsia"/>
        </w:rPr>
        <w:t>社会安全突发事件中发生的人员伤亡，由相关责任单位或责任人承担医疗救治费用，有关部门应负责督促落实。财政局可根据有关政策规定或县政府的决定对医疗救治费用给予补助。</w:t>
      </w:r>
    </w:p>
    <w:p w14:paraId="7B4B483D">
      <w:pPr>
        <w:ind w:firstLine="640"/>
      </w:pPr>
      <w:r>
        <w:rPr>
          <w:rFonts w:hint="eastAsia"/>
        </w:rPr>
        <w:t>各类保险机构要按照有关规定对参加人身、医疗、健康等保险的伤亡人员，做好理赔工作。</w:t>
      </w:r>
    </w:p>
    <w:p w14:paraId="10A376FA">
      <w:pPr>
        <w:pStyle w:val="3"/>
      </w:pPr>
      <w:bookmarkStart w:id="1567" w:name="_Toc22679"/>
      <w:r>
        <w:rPr>
          <w:rFonts w:hint="eastAsia"/>
        </w:rPr>
        <w:t>交通运输保障</w:t>
      </w:r>
      <w:bookmarkEnd w:id="1567"/>
    </w:p>
    <w:p w14:paraId="64FC318C">
      <w:pPr>
        <w:ind w:firstLine="640"/>
      </w:pPr>
      <w:r>
        <w:rPr>
          <w:rFonts w:hint="eastAsia"/>
        </w:rPr>
        <w:t>各级医疗救援应急队伍要根据实际工作需要配备救护车辆、交通工具和通讯设备。</w:t>
      </w:r>
    </w:p>
    <w:p w14:paraId="16E48F05">
      <w:pPr>
        <w:ind w:firstLine="640"/>
      </w:pPr>
      <w:r>
        <w:rPr>
          <w:rFonts w:hint="eastAsia"/>
        </w:rPr>
        <w:t>交通、公安等有关部门，要保证医疗救援人员和物资运输的优先安排、优先调度、优先通行，确保运输安全畅通。情况特别紧急时，上述有关部门要对现场及相关通道实行交通管制，开设应急救援“绿色通道”，保证医疗救援工作的顺利开展。</w:t>
      </w:r>
    </w:p>
    <w:p w14:paraId="6F6A0594">
      <w:pPr>
        <w:pStyle w:val="2"/>
        <w:numPr>
          <w:ilvl w:val="0"/>
          <w:numId w:val="237"/>
        </w:numPr>
        <w:tabs>
          <w:tab w:val="left" w:pos="0"/>
        </w:tabs>
        <w:rPr>
          <w:sz w:val="32"/>
          <w:szCs w:val="32"/>
        </w:rPr>
      </w:pPr>
      <w:bookmarkStart w:id="1568" w:name="_Toc24578"/>
      <w:r>
        <w:rPr>
          <w:rFonts w:hint="eastAsia"/>
          <w:sz w:val="32"/>
          <w:szCs w:val="32"/>
        </w:rPr>
        <w:t>公众参与</w:t>
      </w:r>
      <w:bookmarkEnd w:id="1568"/>
    </w:p>
    <w:p w14:paraId="0C615B2F">
      <w:pPr>
        <w:ind w:firstLine="640"/>
      </w:pPr>
      <w:r>
        <w:rPr>
          <w:rFonts w:hint="eastAsia"/>
        </w:rPr>
        <w:t>县卫健局要做好公共事件医疗救援知识普及和精神心理卫生干预组织工作；县委宣传部、文旅局等单位要扩大对社会公众的宣传教育；各部门、企事业单位、社会团体要加强对所属人员的宣传教育；各医疗卫生机构要做好宣传资料的提供和师资培训工作。通过广泛宣传，动员广大人民群众参与自救互救，共同应对突发事件。</w:t>
      </w:r>
    </w:p>
    <w:p w14:paraId="337969DB">
      <w:pPr>
        <w:pStyle w:val="2"/>
        <w:numPr>
          <w:ilvl w:val="0"/>
          <w:numId w:val="237"/>
        </w:numPr>
        <w:tabs>
          <w:tab w:val="left" w:pos="0"/>
        </w:tabs>
        <w:rPr>
          <w:sz w:val="32"/>
          <w:szCs w:val="32"/>
        </w:rPr>
      </w:pPr>
      <w:bookmarkStart w:id="1569" w:name="_Toc24877"/>
      <w:r>
        <w:rPr>
          <w:rFonts w:hint="eastAsia"/>
          <w:sz w:val="32"/>
          <w:szCs w:val="32"/>
        </w:rPr>
        <w:t>附则</w:t>
      </w:r>
      <w:bookmarkEnd w:id="1569"/>
    </w:p>
    <w:p w14:paraId="29F4862B">
      <w:pPr>
        <w:pStyle w:val="3"/>
      </w:pPr>
      <w:bookmarkStart w:id="1570" w:name="_Toc917"/>
      <w:r>
        <w:rPr>
          <w:rFonts w:hint="eastAsia"/>
        </w:rPr>
        <w:t>责任与奖惩</w:t>
      </w:r>
      <w:bookmarkEnd w:id="1570"/>
    </w:p>
    <w:p w14:paraId="58F8C689">
      <w:pPr>
        <w:ind w:firstLine="640"/>
        <w:rPr>
          <w:rFonts w:ascii="Times New Roman" w:hAnsi="Times New Roman"/>
        </w:rPr>
      </w:pPr>
      <w:r>
        <w:rPr>
          <w:rFonts w:hint="eastAsia" w:ascii="Times New Roman" w:hAnsi="Times New Roman"/>
        </w:rPr>
        <w:t>公共事件医疗救援工作实行责任制和责任追究制。</w:t>
      </w:r>
    </w:p>
    <w:p w14:paraId="3421C0FE">
      <w:pPr>
        <w:ind w:firstLine="640"/>
        <w:rPr>
          <w:rFonts w:ascii="Times New Roman" w:hAnsi="Times New Roman"/>
        </w:rPr>
      </w:pPr>
      <w:r>
        <w:rPr>
          <w:rFonts w:hint="eastAsia" w:ascii="Times New Roman" w:hAnsi="Times New Roman"/>
        </w:rPr>
        <w:t>对公共事件医疗救援工作作出贡献的先进集体和个人，由县人民政府给予表彰和奖励。对在公共事件医疗救援工作中英勇献身的人员，按有关规定追认为烈士。对失职、渎职的有关责任人，要依据有关规定严肃追究责任，构成犯罪的，依法追究刑事责任。</w:t>
      </w:r>
    </w:p>
    <w:p w14:paraId="1FF290B6">
      <w:pPr>
        <w:pStyle w:val="3"/>
      </w:pPr>
      <w:bookmarkStart w:id="1571" w:name="_Toc9749"/>
      <w:r>
        <w:rPr>
          <w:rFonts w:hint="eastAsia"/>
        </w:rPr>
        <w:t>预案制定与修订</w:t>
      </w:r>
      <w:bookmarkEnd w:id="1571"/>
    </w:p>
    <w:p w14:paraId="63C90EB3">
      <w:pPr>
        <w:ind w:firstLine="640"/>
        <w:rPr>
          <w:rFonts w:ascii="Times New Roman" w:hAnsi="Times New Roman"/>
        </w:rPr>
      </w:pPr>
      <w:r>
        <w:rPr>
          <w:rFonts w:hint="eastAsia" w:ascii="Times New Roman" w:hAnsi="Times New Roman"/>
        </w:rPr>
        <w:t>本预案由县卫健局组织制定并报县人民政府审批发布。各医疗卫生单位结合实际制定本地区的公共事件医疗救援应急预案。</w:t>
      </w:r>
    </w:p>
    <w:p w14:paraId="21555A88">
      <w:pPr>
        <w:ind w:firstLine="640"/>
      </w:pPr>
      <w:r>
        <w:rPr>
          <w:rFonts w:hint="eastAsia" w:ascii="Times New Roman" w:hAnsi="Times New Roman"/>
        </w:rPr>
        <w:t>本预案定期进行评估，参照《国务院突发事件应急预案管理办法》，预案印发前审批程序中必要时需评审。公共事件医疗救援实施过程中发现的问题及时进行修订和补充。</w:t>
      </w:r>
    </w:p>
    <w:p w14:paraId="31AED812">
      <w:pPr>
        <w:pStyle w:val="3"/>
        <w:tabs>
          <w:tab w:val="left" w:pos="0"/>
        </w:tabs>
        <w:rPr>
          <w:rFonts w:ascii="Times New Roman" w:hAnsi="Times New Roman"/>
          <w:szCs w:val="32"/>
        </w:rPr>
      </w:pPr>
      <w:bookmarkStart w:id="1572" w:name="_Toc28445"/>
      <w:r>
        <w:rPr>
          <w:rFonts w:hint="eastAsia" w:ascii="Times New Roman" w:hAnsi="Times New Roman"/>
          <w:szCs w:val="32"/>
        </w:rPr>
        <w:t>预案解释</w:t>
      </w:r>
      <w:bookmarkEnd w:id="1572"/>
    </w:p>
    <w:p w14:paraId="692B435E">
      <w:pPr>
        <w:ind w:firstLine="640"/>
        <w:rPr>
          <w:rFonts w:ascii="Times New Roman" w:hAnsi="Times New Roman"/>
        </w:rPr>
      </w:pPr>
      <w:r>
        <w:rPr>
          <w:rFonts w:hint="eastAsia" w:ascii="Times New Roman" w:hAnsi="Times New Roman"/>
        </w:rPr>
        <w:t>本预案由集贤县突发事件医疗救援应急指挥部负责解释。</w:t>
      </w:r>
    </w:p>
    <w:p w14:paraId="7FED05B3">
      <w:pPr>
        <w:pStyle w:val="3"/>
        <w:tabs>
          <w:tab w:val="left" w:pos="0"/>
        </w:tabs>
        <w:rPr>
          <w:rFonts w:ascii="Times New Roman" w:hAnsi="Times New Roman"/>
          <w:szCs w:val="32"/>
        </w:rPr>
      </w:pPr>
      <w:bookmarkStart w:id="1573" w:name="_Toc22873"/>
      <w:r>
        <w:rPr>
          <w:rFonts w:hint="eastAsia" w:ascii="Times New Roman" w:hAnsi="Times New Roman"/>
          <w:szCs w:val="32"/>
        </w:rPr>
        <w:t>预案的实施</w:t>
      </w:r>
      <w:bookmarkEnd w:id="1573"/>
    </w:p>
    <w:p w14:paraId="28C14569">
      <w:pPr>
        <w:ind w:firstLine="640"/>
      </w:pPr>
      <w:r>
        <w:rPr>
          <w:rFonts w:hint="eastAsia" w:ascii="Times New Roman" w:hAnsi="Times New Roman"/>
        </w:rPr>
        <w:t>本预案自发布之日起施行</w:t>
      </w:r>
      <w:r>
        <w:rPr>
          <w:rFonts w:hint="eastAsia"/>
        </w:rPr>
        <w:t>。</w:t>
      </w:r>
    </w:p>
    <w:p w14:paraId="066CEDEF">
      <w:pPr>
        <w:pStyle w:val="15"/>
        <w:ind w:left="0" w:leftChars="0" w:firstLine="0" w:firstLineChars="0"/>
        <w:rPr>
          <w:rFonts w:ascii="Times New Roman" w:hAnsi="Times New Roman" w:cs="Times New Roman"/>
        </w:rPr>
        <w:sectPr>
          <w:headerReference r:id="rId171" w:type="default"/>
          <w:footerReference r:id="rId173" w:type="default"/>
          <w:headerReference r:id="rId172" w:type="even"/>
          <w:footerReference r:id="rId174" w:type="even"/>
          <w:pgSz w:w="11906" w:h="16838"/>
          <w:pgMar w:top="1080" w:right="1440" w:bottom="1080" w:left="1440" w:header="851" w:footer="992" w:gutter="0"/>
          <w:pgNumType w:start="1"/>
          <w:cols w:space="720" w:num="1"/>
          <w:docGrid w:type="lines" w:linePitch="312" w:charSpace="-842"/>
        </w:sectPr>
      </w:pPr>
    </w:p>
    <w:p w14:paraId="6C0CD02B">
      <w:pPr>
        <w:pStyle w:val="11"/>
        <w:ind w:firstLine="632"/>
      </w:pPr>
      <w:r>
        <w:rPr>
          <w:rFonts w:hint="eastAsia"/>
        </w:rPr>
        <w:t xml:space="preserve"> </w:t>
      </w:r>
    </w:p>
    <w:p w14:paraId="7CE04725">
      <w:pPr>
        <w:ind w:firstLine="0" w:firstLineChars="0"/>
        <w:jc w:val="center"/>
        <w:rPr>
          <w:sz w:val="36"/>
          <w:szCs w:val="36"/>
        </w:rPr>
      </w:pPr>
    </w:p>
    <w:p w14:paraId="0ED40B85">
      <w:pPr>
        <w:pStyle w:val="42"/>
      </w:pPr>
    </w:p>
    <w:p w14:paraId="241B177B">
      <w:pPr>
        <w:autoSpaceDE w:val="0"/>
        <w:autoSpaceDN w:val="0"/>
        <w:adjustRightInd w:val="0"/>
        <w:spacing w:line="240" w:lineRule="atLeast"/>
        <w:ind w:firstLine="0" w:firstLineChars="0"/>
        <w:jc w:val="center"/>
        <w:rPr>
          <w:rFonts w:ascii="方正小标宋简体" w:hAnsi="方正小标宋简体" w:eastAsia="方正小标宋简体" w:cs="方正小标宋简体"/>
          <w:bCs/>
          <w:color w:val="000000"/>
          <w:spacing w:val="-6"/>
          <w:kern w:val="0"/>
          <w:sz w:val="52"/>
          <w:szCs w:val="52"/>
          <w:lang w:bidi="ar"/>
        </w:rPr>
      </w:pPr>
      <w:r>
        <w:rPr>
          <w:rFonts w:hint="eastAsia" w:ascii="方正小标宋简体" w:hAnsi="方正小标宋简体" w:eastAsia="方正小标宋简体" w:cs="方正小标宋简体"/>
          <w:bCs/>
          <w:color w:val="000000"/>
          <w:spacing w:val="-6"/>
          <w:kern w:val="0"/>
          <w:sz w:val="52"/>
          <w:szCs w:val="52"/>
          <w:lang w:bidi="ar"/>
        </w:rPr>
        <w:t>集贤县通信保障应急预案</w:t>
      </w:r>
    </w:p>
    <w:p w14:paraId="1DBD099B">
      <w:pPr>
        <w:pStyle w:val="11"/>
        <w:ind w:firstLine="0" w:firstLineChars="0"/>
        <w:jc w:val="center"/>
        <w:rPr>
          <w:rFonts w:ascii="Times New Roman" w:hAnsi="Times New Roman" w:eastAsia="楷体_GB2312" w:cs="Times New Roman"/>
          <w:b/>
          <w:sz w:val="52"/>
          <w:szCs w:val="52"/>
        </w:rPr>
      </w:pPr>
      <w:r>
        <w:rPr>
          <w:rFonts w:hint="eastAsia" w:ascii="仿宋_GB2312" w:hAnsi="仿宋_GB2312" w:cs="仿宋_GB2312"/>
          <w:bCs/>
          <w:sz w:val="48"/>
          <w:szCs w:val="48"/>
        </w:rPr>
        <w:t>（修订稿）</w:t>
      </w:r>
    </w:p>
    <w:p w14:paraId="3EE75546">
      <w:pPr>
        <w:ind w:firstLine="632"/>
      </w:pPr>
    </w:p>
    <w:p w14:paraId="6AFB50A8">
      <w:pPr>
        <w:ind w:firstLine="632"/>
      </w:pPr>
    </w:p>
    <w:p w14:paraId="294E0373">
      <w:pPr>
        <w:ind w:firstLine="632"/>
      </w:pPr>
    </w:p>
    <w:p w14:paraId="2F9401E2">
      <w:pPr>
        <w:pStyle w:val="11"/>
        <w:ind w:firstLine="632"/>
      </w:pPr>
    </w:p>
    <w:p w14:paraId="3D144F01">
      <w:pPr>
        <w:pStyle w:val="11"/>
        <w:ind w:firstLine="632"/>
      </w:pPr>
    </w:p>
    <w:p w14:paraId="52C5A00A">
      <w:pPr>
        <w:pStyle w:val="11"/>
        <w:ind w:firstLine="632"/>
      </w:pPr>
    </w:p>
    <w:p w14:paraId="6832FB46">
      <w:pPr>
        <w:pStyle w:val="11"/>
        <w:ind w:firstLine="632"/>
      </w:pPr>
    </w:p>
    <w:p w14:paraId="1C72CBBB">
      <w:pPr>
        <w:pStyle w:val="11"/>
        <w:ind w:firstLine="632"/>
      </w:pPr>
    </w:p>
    <w:p w14:paraId="34596694">
      <w:pPr>
        <w:ind w:firstLine="632"/>
      </w:pPr>
    </w:p>
    <w:p w14:paraId="56A73D4B">
      <w:pPr>
        <w:ind w:firstLine="632"/>
      </w:pPr>
    </w:p>
    <w:p w14:paraId="48C0A03F">
      <w:pPr>
        <w:pStyle w:val="42"/>
      </w:pPr>
    </w:p>
    <w:p w14:paraId="4049001F">
      <w:pPr>
        <w:pStyle w:val="42"/>
      </w:pPr>
    </w:p>
    <w:p w14:paraId="0583C1BB">
      <w:pPr>
        <w:ind w:firstLine="632"/>
      </w:pPr>
    </w:p>
    <w:p w14:paraId="7CD11B75">
      <w:pPr>
        <w:ind w:firstLine="0" w:firstLineChars="0"/>
        <w:jc w:val="center"/>
        <w:rPr>
          <w:rFonts w:eastAsia="仿宋"/>
          <w:bCs/>
          <w:spacing w:val="-6"/>
          <w:sz w:val="36"/>
          <w:szCs w:val="24"/>
          <w:lang w:bidi="ar"/>
        </w:rPr>
      </w:pPr>
      <w:r>
        <w:rPr>
          <w:rFonts w:hint="eastAsia"/>
          <w:bCs/>
          <w:spacing w:val="-6"/>
          <w:sz w:val="36"/>
          <w:szCs w:val="24"/>
          <w:lang w:bidi="ar"/>
        </w:rPr>
        <w:t>集贤县</w:t>
      </w:r>
      <w:r>
        <w:rPr>
          <w:rFonts w:hint="eastAsia" w:eastAsia="仿宋"/>
          <w:bCs/>
          <w:spacing w:val="-6"/>
          <w:sz w:val="36"/>
          <w:szCs w:val="24"/>
          <w:lang w:bidi="ar"/>
        </w:rPr>
        <w:t>人民政府</w:t>
      </w:r>
      <w:r>
        <w:rPr>
          <w:rFonts w:hint="eastAsia"/>
          <w:bCs/>
          <w:spacing w:val="-6"/>
          <w:sz w:val="36"/>
          <w:szCs w:val="24"/>
          <w:lang w:bidi="ar"/>
        </w:rPr>
        <w:t xml:space="preserve"> </w:t>
      </w:r>
      <w:r>
        <w:rPr>
          <w:rFonts w:hint="eastAsia" w:eastAsia="仿宋"/>
          <w:bCs/>
          <w:spacing w:val="-6"/>
          <w:sz w:val="36"/>
          <w:szCs w:val="24"/>
          <w:lang w:bidi="ar"/>
        </w:rPr>
        <w:t>编制</w:t>
      </w:r>
    </w:p>
    <w:p w14:paraId="6883B317">
      <w:pPr>
        <w:ind w:firstLine="0" w:firstLineChars="0"/>
        <w:jc w:val="center"/>
        <w:rPr>
          <w:rFonts w:eastAsia="仿宋"/>
          <w:bCs/>
          <w:spacing w:val="-6"/>
          <w:sz w:val="36"/>
          <w:szCs w:val="24"/>
          <w:lang w:bidi="ar"/>
        </w:rPr>
      </w:pPr>
      <w:r>
        <w:rPr>
          <w:rFonts w:hint="eastAsia" w:eastAsia="仿宋"/>
          <w:bCs/>
          <w:spacing w:val="-6"/>
          <w:sz w:val="36"/>
          <w:szCs w:val="24"/>
          <w:lang w:bidi="ar"/>
        </w:rPr>
        <w:t>202</w:t>
      </w:r>
      <w:r>
        <w:rPr>
          <w:bCs/>
          <w:spacing w:val="-6"/>
          <w:sz w:val="36"/>
          <w:szCs w:val="24"/>
          <w:lang w:bidi="ar"/>
        </w:rPr>
        <w:t>5</w:t>
      </w:r>
      <w:r>
        <w:rPr>
          <w:rFonts w:hint="eastAsia" w:eastAsia="仿宋"/>
          <w:bCs/>
          <w:spacing w:val="-6"/>
          <w:sz w:val="36"/>
          <w:szCs w:val="24"/>
          <w:lang w:bidi="ar"/>
        </w:rPr>
        <w:t>年</w:t>
      </w:r>
      <w:r>
        <w:rPr>
          <w:rFonts w:eastAsia="仿宋"/>
          <w:bCs/>
          <w:spacing w:val="-6"/>
          <w:sz w:val="36"/>
          <w:szCs w:val="24"/>
          <w:lang w:bidi="ar"/>
        </w:rPr>
        <w:t>5</w:t>
      </w:r>
      <w:r>
        <w:rPr>
          <w:rFonts w:hint="eastAsia" w:eastAsia="仿宋"/>
          <w:bCs/>
          <w:spacing w:val="-6"/>
          <w:sz w:val="36"/>
          <w:szCs w:val="24"/>
          <w:lang w:bidi="ar"/>
        </w:rPr>
        <w:t>月</w:t>
      </w:r>
    </w:p>
    <w:p w14:paraId="79166BE2">
      <w:pPr>
        <w:ind w:firstLine="0" w:firstLineChars="0"/>
        <w:sectPr>
          <w:footerReference r:id="rId175" w:type="default"/>
          <w:pgSz w:w="11906" w:h="16838"/>
          <w:pgMar w:top="2098" w:right="1474" w:bottom="1984" w:left="1587" w:header="1814" w:footer="1587" w:gutter="0"/>
          <w:pgNumType w:fmt="numberInDash"/>
          <w:cols w:space="720" w:num="1"/>
          <w:docGrid w:type="linesAndChars" w:linePitch="579" w:charSpace="-842"/>
        </w:sectPr>
      </w:pPr>
      <w:r>
        <w:rPr>
          <w:rFonts w:hint="eastAsia"/>
        </w:rPr>
        <w:br w:type="page"/>
      </w:r>
    </w:p>
    <w:p w14:paraId="299E8406">
      <w:pPr>
        <w:ind w:firstLine="0" w:firstLineChars="0"/>
        <w:jc w:val="center"/>
        <w:rPr>
          <w:rFonts w:ascii="微软雅黑" w:hAnsi="微软雅黑" w:eastAsia="微软雅黑" w:cs="微软雅黑"/>
          <w:b/>
          <w:bCs/>
          <w:sz w:val="36"/>
          <w:szCs w:val="36"/>
        </w:rPr>
      </w:pPr>
      <w:r>
        <w:rPr>
          <w:rFonts w:hint="eastAsia" w:ascii="微软雅黑" w:hAnsi="微软雅黑" w:eastAsia="微软雅黑" w:cs="微软雅黑"/>
          <w:b/>
          <w:bCs/>
          <w:sz w:val="36"/>
          <w:szCs w:val="36"/>
        </w:rPr>
        <w:t>目  录</w:t>
      </w:r>
    </w:p>
    <w:p w14:paraId="2BD7B79D">
      <w:pPr>
        <w:pStyle w:val="18"/>
      </w:pPr>
      <w:r>
        <w:rPr>
          <w:rFonts w:hint="eastAsia" w:ascii="黑体" w:hAnsi="黑体" w:eastAsia="黑体" w:cs="黑体"/>
          <w:sz w:val="44"/>
          <w:szCs w:val="44"/>
        </w:rPr>
        <w:fldChar w:fldCharType="begin"/>
      </w:r>
      <w:r>
        <w:rPr>
          <w:rFonts w:hint="eastAsia" w:ascii="黑体" w:hAnsi="黑体" w:eastAsia="黑体" w:cs="黑体"/>
          <w:sz w:val="44"/>
          <w:szCs w:val="44"/>
        </w:rPr>
        <w:instrText xml:space="preserve">TOC \o "1-2" \h \u </w:instrText>
      </w:r>
      <w:r>
        <w:rPr>
          <w:rFonts w:hint="eastAsia" w:ascii="黑体" w:hAnsi="黑体" w:eastAsia="黑体" w:cs="黑体"/>
          <w:sz w:val="44"/>
          <w:szCs w:val="44"/>
        </w:rPr>
        <w:fldChar w:fldCharType="separate"/>
      </w:r>
      <w:r>
        <w:fldChar w:fldCharType="begin"/>
      </w:r>
      <w:r>
        <w:instrText xml:space="preserve"> HYPERLINK \l "_Toc8569" </w:instrText>
      </w:r>
      <w:r>
        <w:fldChar w:fldCharType="separate"/>
      </w:r>
      <w:r>
        <w:rPr>
          <w:rFonts w:eastAsia="仿宋"/>
        </w:rPr>
        <w:t xml:space="preserve">1 </w:t>
      </w:r>
      <w:r>
        <w:rPr>
          <w:rFonts w:hint="eastAsia"/>
        </w:rPr>
        <w:t>总则</w:t>
      </w:r>
      <w:r>
        <w:tab/>
      </w:r>
      <w:r>
        <w:fldChar w:fldCharType="begin"/>
      </w:r>
      <w:r>
        <w:instrText xml:space="preserve"> PAGEREF _Toc8569 \h </w:instrText>
      </w:r>
      <w:r>
        <w:fldChar w:fldCharType="separate"/>
      </w:r>
      <w:r>
        <w:t>1</w:t>
      </w:r>
      <w:r>
        <w:fldChar w:fldCharType="end"/>
      </w:r>
      <w:r>
        <w:fldChar w:fldCharType="end"/>
      </w:r>
    </w:p>
    <w:p w14:paraId="5CEF097F">
      <w:pPr>
        <w:pStyle w:val="19"/>
        <w:tabs>
          <w:tab w:val="right" w:leader="dot" w:pos="8845"/>
        </w:tabs>
        <w:ind w:firstLine="632"/>
      </w:pPr>
      <w:r>
        <w:fldChar w:fldCharType="begin"/>
      </w:r>
      <w:r>
        <w:instrText xml:space="preserve"> HYPERLINK \l "_Toc24931" </w:instrText>
      </w:r>
      <w:r>
        <w:fldChar w:fldCharType="separate"/>
      </w:r>
      <w:r>
        <w:rPr>
          <w:rFonts w:eastAsia="仿宋"/>
          <w:bCs/>
          <w:szCs w:val="28"/>
        </w:rPr>
        <w:t xml:space="preserve">1.1 </w:t>
      </w:r>
      <w:r>
        <w:rPr>
          <w:rFonts w:hint="eastAsia"/>
        </w:rPr>
        <w:t>编制目的</w:t>
      </w:r>
      <w:r>
        <w:tab/>
      </w:r>
      <w:r>
        <w:fldChar w:fldCharType="begin"/>
      </w:r>
      <w:r>
        <w:instrText xml:space="preserve"> PAGEREF _Toc24931 \h </w:instrText>
      </w:r>
      <w:r>
        <w:fldChar w:fldCharType="separate"/>
      </w:r>
      <w:r>
        <w:t>1</w:t>
      </w:r>
      <w:r>
        <w:fldChar w:fldCharType="end"/>
      </w:r>
      <w:r>
        <w:fldChar w:fldCharType="end"/>
      </w:r>
    </w:p>
    <w:p w14:paraId="7A8D1564">
      <w:pPr>
        <w:pStyle w:val="19"/>
        <w:tabs>
          <w:tab w:val="right" w:leader="dot" w:pos="8845"/>
        </w:tabs>
        <w:ind w:firstLine="632"/>
      </w:pPr>
      <w:r>
        <w:fldChar w:fldCharType="begin"/>
      </w:r>
      <w:r>
        <w:instrText xml:space="preserve"> HYPERLINK \l "_Toc4776" </w:instrText>
      </w:r>
      <w:r>
        <w:fldChar w:fldCharType="separate"/>
      </w:r>
      <w:r>
        <w:rPr>
          <w:rFonts w:eastAsia="仿宋"/>
          <w:bCs/>
          <w:szCs w:val="28"/>
        </w:rPr>
        <w:t xml:space="preserve">1.2 </w:t>
      </w:r>
      <w:r>
        <w:rPr>
          <w:rFonts w:hint="eastAsia"/>
        </w:rPr>
        <w:t>编制依据</w:t>
      </w:r>
      <w:r>
        <w:tab/>
      </w:r>
      <w:r>
        <w:fldChar w:fldCharType="begin"/>
      </w:r>
      <w:r>
        <w:instrText xml:space="preserve"> PAGEREF _Toc4776 \h </w:instrText>
      </w:r>
      <w:r>
        <w:fldChar w:fldCharType="separate"/>
      </w:r>
      <w:r>
        <w:t>1</w:t>
      </w:r>
      <w:r>
        <w:fldChar w:fldCharType="end"/>
      </w:r>
      <w:r>
        <w:fldChar w:fldCharType="end"/>
      </w:r>
    </w:p>
    <w:p w14:paraId="78419749">
      <w:pPr>
        <w:pStyle w:val="19"/>
        <w:tabs>
          <w:tab w:val="right" w:leader="dot" w:pos="8845"/>
        </w:tabs>
        <w:ind w:firstLine="632"/>
      </w:pPr>
      <w:r>
        <w:fldChar w:fldCharType="begin"/>
      </w:r>
      <w:r>
        <w:instrText xml:space="preserve"> HYPERLINK \l "_Toc12608" </w:instrText>
      </w:r>
      <w:r>
        <w:fldChar w:fldCharType="separate"/>
      </w:r>
      <w:r>
        <w:rPr>
          <w:rFonts w:eastAsia="仿宋"/>
          <w:bCs/>
          <w:szCs w:val="28"/>
        </w:rPr>
        <w:t xml:space="preserve">1.3 </w:t>
      </w:r>
      <w:r>
        <w:rPr>
          <w:rFonts w:hint="eastAsia"/>
        </w:rPr>
        <w:t>适用范围</w:t>
      </w:r>
      <w:r>
        <w:tab/>
      </w:r>
      <w:r>
        <w:fldChar w:fldCharType="begin"/>
      </w:r>
      <w:r>
        <w:instrText xml:space="preserve"> PAGEREF _Toc12608 \h </w:instrText>
      </w:r>
      <w:r>
        <w:fldChar w:fldCharType="separate"/>
      </w:r>
      <w:r>
        <w:t>1</w:t>
      </w:r>
      <w:r>
        <w:fldChar w:fldCharType="end"/>
      </w:r>
      <w:r>
        <w:fldChar w:fldCharType="end"/>
      </w:r>
    </w:p>
    <w:p w14:paraId="5493B631">
      <w:pPr>
        <w:pStyle w:val="19"/>
        <w:tabs>
          <w:tab w:val="right" w:leader="dot" w:pos="8845"/>
        </w:tabs>
        <w:ind w:firstLine="632"/>
      </w:pPr>
      <w:r>
        <w:fldChar w:fldCharType="begin"/>
      </w:r>
      <w:r>
        <w:instrText xml:space="preserve"> HYPERLINK \l "_Toc28143" </w:instrText>
      </w:r>
      <w:r>
        <w:fldChar w:fldCharType="separate"/>
      </w:r>
      <w:r>
        <w:rPr>
          <w:rFonts w:eastAsia="仿宋"/>
          <w:bCs/>
          <w:szCs w:val="28"/>
        </w:rPr>
        <w:t xml:space="preserve">1.4 </w:t>
      </w:r>
      <w:r>
        <w:rPr>
          <w:rFonts w:hint="eastAsia"/>
        </w:rPr>
        <w:t>工作原则</w:t>
      </w:r>
      <w:r>
        <w:tab/>
      </w:r>
      <w:r>
        <w:fldChar w:fldCharType="begin"/>
      </w:r>
      <w:r>
        <w:instrText xml:space="preserve"> PAGEREF _Toc28143 \h </w:instrText>
      </w:r>
      <w:r>
        <w:fldChar w:fldCharType="separate"/>
      </w:r>
      <w:r>
        <w:t>1</w:t>
      </w:r>
      <w:r>
        <w:fldChar w:fldCharType="end"/>
      </w:r>
      <w:r>
        <w:fldChar w:fldCharType="end"/>
      </w:r>
    </w:p>
    <w:p w14:paraId="373F4846">
      <w:pPr>
        <w:pStyle w:val="19"/>
        <w:tabs>
          <w:tab w:val="right" w:leader="dot" w:pos="8845"/>
        </w:tabs>
        <w:ind w:firstLine="632"/>
      </w:pPr>
      <w:r>
        <w:fldChar w:fldCharType="begin"/>
      </w:r>
      <w:r>
        <w:instrText xml:space="preserve"> HYPERLINK \l "_Toc8045" </w:instrText>
      </w:r>
      <w:r>
        <w:fldChar w:fldCharType="separate"/>
      </w:r>
      <w:r>
        <w:rPr>
          <w:rFonts w:eastAsia="仿宋"/>
          <w:bCs/>
          <w:szCs w:val="28"/>
        </w:rPr>
        <w:t xml:space="preserve">1.5 </w:t>
      </w:r>
      <w:r>
        <w:rPr>
          <w:rFonts w:hint="eastAsia"/>
        </w:rPr>
        <w:t>等级划分</w:t>
      </w:r>
      <w:r>
        <w:tab/>
      </w:r>
      <w:r>
        <w:fldChar w:fldCharType="begin"/>
      </w:r>
      <w:r>
        <w:instrText xml:space="preserve"> PAGEREF _Toc8045 \h </w:instrText>
      </w:r>
      <w:r>
        <w:fldChar w:fldCharType="separate"/>
      </w:r>
      <w:r>
        <w:t>2</w:t>
      </w:r>
      <w:r>
        <w:fldChar w:fldCharType="end"/>
      </w:r>
      <w:r>
        <w:fldChar w:fldCharType="end"/>
      </w:r>
    </w:p>
    <w:p w14:paraId="3EF6EFBA">
      <w:pPr>
        <w:pStyle w:val="18"/>
      </w:pPr>
      <w:r>
        <w:fldChar w:fldCharType="begin"/>
      </w:r>
      <w:r>
        <w:instrText xml:space="preserve"> HYPERLINK \l "_Toc389" </w:instrText>
      </w:r>
      <w:r>
        <w:fldChar w:fldCharType="separate"/>
      </w:r>
      <w:r>
        <w:rPr>
          <w:rFonts w:eastAsia="仿宋"/>
        </w:rPr>
        <w:t xml:space="preserve">2 </w:t>
      </w:r>
      <w:r>
        <w:rPr>
          <w:rFonts w:hint="eastAsia"/>
        </w:rPr>
        <w:t>组织指挥体系及职责</w:t>
      </w:r>
      <w:r>
        <w:tab/>
      </w:r>
      <w:r>
        <w:fldChar w:fldCharType="begin"/>
      </w:r>
      <w:r>
        <w:instrText xml:space="preserve"> PAGEREF _Toc389 \h </w:instrText>
      </w:r>
      <w:r>
        <w:fldChar w:fldCharType="separate"/>
      </w:r>
      <w:r>
        <w:t>3</w:t>
      </w:r>
      <w:r>
        <w:fldChar w:fldCharType="end"/>
      </w:r>
      <w:r>
        <w:fldChar w:fldCharType="end"/>
      </w:r>
    </w:p>
    <w:p w14:paraId="4ED5205B">
      <w:pPr>
        <w:pStyle w:val="19"/>
        <w:tabs>
          <w:tab w:val="right" w:leader="dot" w:pos="8845"/>
        </w:tabs>
        <w:ind w:firstLine="632"/>
      </w:pPr>
      <w:r>
        <w:fldChar w:fldCharType="begin"/>
      </w:r>
      <w:r>
        <w:instrText xml:space="preserve"> HYPERLINK \l "_Toc12275" </w:instrText>
      </w:r>
      <w:r>
        <w:fldChar w:fldCharType="separate"/>
      </w:r>
      <w:r>
        <w:rPr>
          <w:rFonts w:eastAsia="仿宋"/>
          <w:bCs/>
          <w:szCs w:val="28"/>
        </w:rPr>
        <w:t xml:space="preserve">2.1 </w:t>
      </w:r>
      <w:r>
        <w:rPr>
          <w:rFonts w:hint="eastAsia"/>
        </w:rPr>
        <w:t>应急领导小组组成及职责</w:t>
      </w:r>
      <w:r>
        <w:tab/>
      </w:r>
      <w:r>
        <w:fldChar w:fldCharType="begin"/>
      </w:r>
      <w:r>
        <w:instrText xml:space="preserve"> PAGEREF _Toc12275 \h </w:instrText>
      </w:r>
      <w:r>
        <w:fldChar w:fldCharType="separate"/>
      </w:r>
      <w:r>
        <w:t>3</w:t>
      </w:r>
      <w:r>
        <w:fldChar w:fldCharType="end"/>
      </w:r>
      <w:r>
        <w:fldChar w:fldCharType="end"/>
      </w:r>
    </w:p>
    <w:p w14:paraId="204D8CF8">
      <w:pPr>
        <w:pStyle w:val="19"/>
        <w:tabs>
          <w:tab w:val="right" w:leader="dot" w:pos="8845"/>
        </w:tabs>
        <w:ind w:firstLine="632"/>
      </w:pPr>
      <w:r>
        <w:fldChar w:fldCharType="begin"/>
      </w:r>
      <w:r>
        <w:instrText xml:space="preserve"> HYPERLINK \l "_Toc15671" </w:instrText>
      </w:r>
      <w:r>
        <w:fldChar w:fldCharType="separate"/>
      </w:r>
      <w:r>
        <w:rPr>
          <w:rFonts w:eastAsia="仿宋"/>
          <w:bCs/>
          <w:szCs w:val="28"/>
        </w:rPr>
        <w:t xml:space="preserve">2.2 </w:t>
      </w:r>
      <w:r>
        <w:rPr>
          <w:rFonts w:hint="eastAsia"/>
        </w:rPr>
        <w:t>各工作组组成及职责分工</w:t>
      </w:r>
      <w:r>
        <w:tab/>
      </w:r>
      <w:r>
        <w:fldChar w:fldCharType="begin"/>
      </w:r>
      <w:r>
        <w:instrText xml:space="preserve"> PAGEREF _Toc15671 \h </w:instrText>
      </w:r>
      <w:r>
        <w:fldChar w:fldCharType="separate"/>
      </w:r>
      <w:r>
        <w:t>8</w:t>
      </w:r>
      <w:r>
        <w:fldChar w:fldCharType="end"/>
      </w:r>
      <w:r>
        <w:fldChar w:fldCharType="end"/>
      </w:r>
    </w:p>
    <w:p w14:paraId="5F8273CC">
      <w:pPr>
        <w:pStyle w:val="18"/>
      </w:pPr>
      <w:r>
        <w:fldChar w:fldCharType="begin"/>
      </w:r>
      <w:r>
        <w:instrText xml:space="preserve"> HYPERLINK \l "_Toc18352" </w:instrText>
      </w:r>
      <w:r>
        <w:fldChar w:fldCharType="separate"/>
      </w:r>
      <w:r>
        <w:rPr>
          <w:rFonts w:eastAsia="仿宋"/>
        </w:rPr>
        <w:t xml:space="preserve">3 </w:t>
      </w:r>
      <w:r>
        <w:rPr>
          <w:rFonts w:hint="eastAsia"/>
        </w:rPr>
        <w:t>预防和预警机制</w:t>
      </w:r>
      <w:r>
        <w:tab/>
      </w:r>
      <w:r>
        <w:fldChar w:fldCharType="begin"/>
      </w:r>
      <w:r>
        <w:instrText xml:space="preserve"> PAGEREF _Toc18352 \h </w:instrText>
      </w:r>
      <w:r>
        <w:fldChar w:fldCharType="separate"/>
      </w:r>
      <w:r>
        <w:t>10</w:t>
      </w:r>
      <w:r>
        <w:fldChar w:fldCharType="end"/>
      </w:r>
      <w:r>
        <w:fldChar w:fldCharType="end"/>
      </w:r>
    </w:p>
    <w:p w14:paraId="453001B0">
      <w:pPr>
        <w:pStyle w:val="19"/>
        <w:tabs>
          <w:tab w:val="right" w:leader="dot" w:pos="8845"/>
        </w:tabs>
        <w:ind w:firstLine="632"/>
      </w:pPr>
      <w:r>
        <w:fldChar w:fldCharType="begin"/>
      </w:r>
      <w:r>
        <w:instrText xml:space="preserve"> HYPERLINK \l "_Toc23975" </w:instrText>
      </w:r>
      <w:r>
        <w:fldChar w:fldCharType="separate"/>
      </w:r>
      <w:r>
        <w:rPr>
          <w:rFonts w:eastAsia="仿宋"/>
          <w:bCs/>
          <w:szCs w:val="28"/>
        </w:rPr>
        <w:t xml:space="preserve">3.1 </w:t>
      </w:r>
      <w:r>
        <w:rPr>
          <w:rFonts w:hint="eastAsia"/>
        </w:rPr>
        <w:t>预防机制</w:t>
      </w:r>
      <w:r>
        <w:tab/>
      </w:r>
      <w:r>
        <w:fldChar w:fldCharType="begin"/>
      </w:r>
      <w:r>
        <w:instrText xml:space="preserve"> PAGEREF _Toc23975 \h </w:instrText>
      </w:r>
      <w:r>
        <w:fldChar w:fldCharType="separate"/>
      </w:r>
      <w:r>
        <w:t>10</w:t>
      </w:r>
      <w:r>
        <w:fldChar w:fldCharType="end"/>
      </w:r>
      <w:r>
        <w:fldChar w:fldCharType="end"/>
      </w:r>
    </w:p>
    <w:p w14:paraId="4FEF1A03">
      <w:pPr>
        <w:pStyle w:val="19"/>
        <w:tabs>
          <w:tab w:val="right" w:leader="dot" w:pos="8845"/>
        </w:tabs>
        <w:ind w:firstLine="632"/>
      </w:pPr>
      <w:r>
        <w:fldChar w:fldCharType="begin"/>
      </w:r>
      <w:r>
        <w:instrText xml:space="preserve"> HYPERLINK \l "_Toc22289" </w:instrText>
      </w:r>
      <w:r>
        <w:fldChar w:fldCharType="separate"/>
      </w:r>
      <w:r>
        <w:rPr>
          <w:rFonts w:eastAsia="仿宋"/>
          <w:bCs/>
          <w:szCs w:val="28"/>
        </w:rPr>
        <w:t xml:space="preserve">3.2 </w:t>
      </w:r>
      <w:r>
        <w:rPr>
          <w:rFonts w:hint="eastAsia"/>
        </w:rPr>
        <w:t>预警监测</w:t>
      </w:r>
      <w:r>
        <w:tab/>
      </w:r>
      <w:r>
        <w:fldChar w:fldCharType="begin"/>
      </w:r>
      <w:r>
        <w:instrText xml:space="preserve"> PAGEREF _Toc22289 \h </w:instrText>
      </w:r>
      <w:r>
        <w:fldChar w:fldCharType="separate"/>
      </w:r>
      <w:r>
        <w:t>10</w:t>
      </w:r>
      <w:r>
        <w:fldChar w:fldCharType="end"/>
      </w:r>
      <w:r>
        <w:fldChar w:fldCharType="end"/>
      </w:r>
    </w:p>
    <w:p w14:paraId="58BB6EF6">
      <w:pPr>
        <w:pStyle w:val="19"/>
        <w:tabs>
          <w:tab w:val="right" w:leader="dot" w:pos="8845"/>
        </w:tabs>
        <w:ind w:firstLine="632"/>
      </w:pPr>
      <w:r>
        <w:fldChar w:fldCharType="begin"/>
      </w:r>
      <w:r>
        <w:instrText xml:space="preserve"> HYPERLINK \l "_Toc26261" </w:instrText>
      </w:r>
      <w:r>
        <w:fldChar w:fldCharType="separate"/>
      </w:r>
      <w:r>
        <w:rPr>
          <w:rFonts w:eastAsia="仿宋"/>
          <w:bCs/>
          <w:szCs w:val="28"/>
        </w:rPr>
        <w:t xml:space="preserve">3.3 </w:t>
      </w:r>
      <w:r>
        <w:rPr>
          <w:rFonts w:hint="eastAsia"/>
        </w:rPr>
        <w:t>预防预警行动</w:t>
      </w:r>
      <w:r>
        <w:tab/>
      </w:r>
      <w:r>
        <w:fldChar w:fldCharType="begin"/>
      </w:r>
      <w:r>
        <w:instrText xml:space="preserve"> PAGEREF _Toc26261 \h </w:instrText>
      </w:r>
      <w:r>
        <w:fldChar w:fldCharType="separate"/>
      </w:r>
      <w:r>
        <w:t>11</w:t>
      </w:r>
      <w:r>
        <w:fldChar w:fldCharType="end"/>
      </w:r>
      <w:r>
        <w:fldChar w:fldCharType="end"/>
      </w:r>
    </w:p>
    <w:p w14:paraId="69AC39DD">
      <w:pPr>
        <w:pStyle w:val="19"/>
        <w:tabs>
          <w:tab w:val="right" w:leader="dot" w:pos="8845"/>
        </w:tabs>
        <w:ind w:firstLine="632"/>
      </w:pPr>
      <w:r>
        <w:fldChar w:fldCharType="begin"/>
      </w:r>
      <w:r>
        <w:instrText xml:space="preserve"> HYPERLINK \l "_Toc31670" </w:instrText>
      </w:r>
      <w:r>
        <w:fldChar w:fldCharType="separate"/>
      </w:r>
      <w:r>
        <w:rPr>
          <w:rFonts w:eastAsia="仿宋"/>
          <w:bCs/>
          <w:szCs w:val="28"/>
        </w:rPr>
        <w:t xml:space="preserve">3.4 </w:t>
      </w:r>
      <w:r>
        <w:rPr>
          <w:rFonts w:hint="eastAsia"/>
        </w:rPr>
        <w:t>预警分级和发布</w:t>
      </w:r>
      <w:r>
        <w:tab/>
      </w:r>
      <w:r>
        <w:fldChar w:fldCharType="begin"/>
      </w:r>
      <w:r>
        <w:instrText xml:space="preserve"> PAGEREF _Toc31670 \h </w:instrText>
      </w:r>
      <w:r>
        <w:fldChar w:fldCharType="separate"/>
      </w:r>
      <w:r>
        <w:t>11</w:t>
      </w:r>
      <w:r>
        <w:fldChar w:fldCharType="end"/>
      </w:r>
      <w:r>
        <w:fldChar w:fldCharType="end"/>
      </w:r>
    </w:p>
    <w:p w14:paraId="3E166C56">
      <w:pPr>
        <w:pStyle w:val="18"/>
      </w:pPr>
      <w:r>
        <w:fldChar w:fldCharType="begin"/>
      </w:r>
      <w:r>
        <w:instrText xml:space="preserve"> HYPERLINK \l "_Toc3196" </w:instrText>
      </w:r>
      <w:r>
        <w:fldChar w:fldCharType="separate"/>
      </w:r>
      <w:r>
        <w:rPr>
          <w:rFonts w:eastAsia="仿宋"/>
        </w:rPr>
        <w:t xml:space="preserve">4 </w:t>
      </w:r>
      <w:r>
        <w:rPr>
          <w:rFonts w:hint="eastAsia"/>
        </w:rPr>
        <w:t>应急响应</w:t>
      </w:r>
      <w:r>
        <w:tab/>
      </w:r>
      <w:r>
        <w:fldChar w:fldCharType="begin"/>
      </w:r>
      <w:r>
        <w:instrText xml:space="preserve"> PAGEREF _Toc3196 \h </w:instrText>
      </w:r>
      <w:r>
        <w:fldChar w:fldCharType="separate"/>
      </w:r>
      <w:r>
        <w:t>13</w:t>
      </w:r>
      <w:r>
        <w:fldChar w:fldCharType="end"/>
      </w:r>
      <w:r>
        <w:fldChar w:fldCharType="end"/>
      </w:r>
    </w:p>
    <w:p w14:paraId="0C5EA832">
      <w:pPr>
        <w:pStyle w:val="19"/>
        <w:tabs>
          <w:tab w:val="right" w:leader="dot" w:pos="8845"/>
        </w:tabs>
        <w:ind w:firstLine="632"/>
      </w:pPr>
      <w:r>
        <w:fldChar w:fldCharType="begin"/>
      </w:r>
      <w:r>
        <w:instrText xml:space="preserve"> HYPERLINK \l "_Toc22558" </w:instrText>
      </w:r>
      <w:r>
        <w:fldChar w:fldCharType="separate"/>
      </w:r>
      <w:r>
        <w:rPr>
          <w:rFonts w:eastAsia="仿宋"/>
          <w:bCs/>
          <w:szCs w:val="28"/>
        </w:rPr>
        <w:t xml:space="preserve">4.1 </w:t>
      </w:r>
      <w:r>
        <w:rPr>
          <w:rFonts w:hint="eastAsia"/>
        </w:rPr>
        <w:t>响应分级</w:t>
      </w:r>
      <w:r>
        <w:tab/>
      </w:r>
      <w:r>
        <w:fldChar w:fldCharType="begin"/>
      </w:r>
      <w:r>
        <w:instrText xml:space="preserve"> PAGEREF _Toc22558 \h </w:instrText>
      </w:r>
      <w:r>
        <w:fldChar w:fldCharType="separate"/>
      </w:r>
      <w:r>
        <w:t>13</w:t>
      </w:r>
      <w:r>
        <w:fldChar w:fldCharType="end"/>
      </w:r>
      <w:r>
        <w:fldChar w:fldCharType="end"/>
      </w:r>
    </w:p>
    <w:p w14:paraId="21BE4670">
      <w:pPr>
        <w:pStyle w:val="19"/>
        <w:tabs>
          <w:tab w:val="right" w:leader="dot" w:pos="8845"/>
        </w:tabs>
        <w:ind w:firstLine="632"/>
      </w:pPr>
      <w:r>
        <w:fldChar w:fldCharType="begin"/>
      </w:r>
      <w:r>
        <w:instrText xml:space="preserve"> HYPERLINK \l "_Toc28678" </w:instrText>
      </w:r>
      <w:r>
        <w:fldChar w:fldCharType="separate"/>
      </w:r>
      <w:r>
        <w:rPr>
          <w:rFonts w:eastAsia="仿宋"/>
          <w:bCs/>
          <w:szCs w:val="28"/>
        </w:rPr>
        <w:t xml:space="preserve">4.2 </w:t>
      </w:r>
      <w:r>
        <w:rPr>
          <w:rFonts w:hint="eastAsia"/>
        </w:rPr>
        <w:t>应急响应行动</w:t>
      </w:r>
      <w:r>
        <w:tab/>
      </w:r>
      <w:r>
        <w:fldChar w:fldCharType="begin"/>
      </w:r>
      <w:r>
        <w:instrText xml:space="preserve"> PAGEREF _Toc28678 \h </w:instrText>
      </w:r>
      <w:r>
        <w:fldChar w:fldCharType="separate"/>
      </w:r>
      <w:r>
        <w:t>14</w:t>
      </w:r>
      <w:r>
        <w:fldChar w:fldCharType="end"/>
      </w:r>
      <w:r>
        <w:fldChar w:fldCharType="end"/>
      </w:r>
    </w:p>
    <w:p w14:paraId="474CE7D8">
      <w:pPr>
        <w:pStyle w:val="18"/>
      </w:pPr>
      <w:r>
        <w:fldChar w:fldCharType="begin"/>
      </w:r>
      <w:r>
        <w:instrText xml:space="preserve"> HYPERLINK \l "_Toc6607" </w:instrText>
      </w:r>
      <w:r>
        <w:fldChar w:fldCharType="separate"/>
      </w:r>
      <w:r>
        <w:rPr>
          <w:rFonts w:eastAsia="仿宋"/>
        </w:rPr>
        <w:t xml:space="preserve">5 </w:t>
      </w:r>
      <w:r>
        <w:rPr>
          <w:rFonts w:hint="eastAsia"/>
        </w:rPr>
        <w:t>后期处置</w:t>
      </w:r>
      <w:r>
        <w:tab/>
      </w:r>
      <w:r>
        <w:fldChar w:fldCharType="begin"/>
      </w:r>
      <w:r>
        <w:instrText xml:space="preserve"> PAGEREF _Toc6607 \h </w:instrText>
      </w:r>
      <w:r>
        <w:fldChar w:fldCharType="separate"/>
      </w:r>
      <w:r>
        <w:t>20</w:t>
      </w:r>
      <w:r>
        <w:fldChar w:fldCharType="end"/>
      </w:r>
      <w:r>
        <w:fldChar w:fldCharType="end"/>
      </w:r>
    </w:p>
    <w:p w14:paraId="254A9156">
      <w:pPr>
        <w:pStyle w:val="19"/>
        <w:tabs>
          <w:tab w:val="right" w:leader="dot" w:pos="8845"/>
        </w:tabs>
        <w:ind w:firstLine="632"/>
      </w:pPr>
      <w:r>
        <w:fldChar w:fldCharType="begin"/>
      </w:r>
      <w:r>
        <w:instrText xml:space="preserve"> HYPERLINK \l "_Toc25122" </w:instrText>
      </w:r>
      <w:r>
        <w:fldChar w:fldCharType="separate"/>
      </w:r>
      <w:r>
        <w:rPr>
          <w:rFonts w:eastAsia="仿宋"/>
          <w:bCs/>
          <w:szCs w:val="28"/>
        </w:rPr>
        <w:t xml:space="preserve">5.1 </w:t>
      </w:r>
      <w:r>
        <w:rPr>
          <w:rFonts w:hint="eastAsia"/>
        </w:rPr>
        <w:t>情况汇报和经验总结</w:t>
      </w:r>
      <w:r>
        <w:tab/>
      </w:r>
      <w:r>
        <w:fldChar w:fldCharType="begin"/>
      </w:r>
      <w:r>
        <w:instrText xml:space="preserve"> PAGEREF _Toc25122 \h </w:instrText>
      </w:r>
      <w:r>
        <w:fldChar w:fldCharType="separate"/>
      </w:r>
      <w:r>
        <w:t>20</w:t>
      </w:r>
      <w:r>
        <w:fldChar w:fldCharType="end"/>
      </w:r>
      <w:r>
        <w:fldChar w:fldCharType="end"/>
      </w:r>
    </w:p>
    <w:p w14:paraId="3C00B89E">
      <w:pPr>
        <w:pStyle w:val="19"/>
        <w:tabs>
          <w:tab w:val="right" w:leader="dot" w:pos="8845"/>
        </w:tabs>
        <w:ind w:firstLine="632"/>
      </w:pPr>
      <w:r>
        <w:fldChar w:fldCharType="begin"/>
      </w:r>
      <w:r>
        <w:instrText xml:space="preserve"> HYPERLINK \l "_Toc10641" </w:instrText>
      </w:r>
      <w:r>
        <w:fldChar w:fldCharType="separate"/>
      </w:r>
      <w:r>
        <w:rPr>
          <w:rFonts w:eastAsia="仿宋"/>
          <w:bCs/>
          <w:szCs w:val="28"/>
        </w:rPr>
        <w:t xml:space="preserve">5.2 </w:t>
      </w:r>
      <w:r>
        <w:rPr>
          <w:rFonts w:hint="eastAsia"/>
        </w:rPr>
        <w:t>奖惩评定及表彰</w:t>
      </w:r>
      <w:r>
        <w:tab/>
      </w:r>
      <w:r>
        <w:fldChar w:fldCharType="begin"/>
      </w:r>
      <w:r>
        <w:instrText xml:space="preserve"> PAGEREF _Toc10641 \h </w:instrText>
      </w:r>
      <w:r>
        <w:fldChar w:fldCharType="separate"/>
      </w:r>
      <w:r>
        <w:t>20</w:t>
      </w:r>
      <w:r>
        <w:fldChar w:fldCharType="end"/>
      </w:r>
      <w:r>
        <w:fldChar w:fldCharType="end"/>
      </w:r>
    </w:p>
    <w:p w14:paraId="7DC4E216">
      <w:pPr>
        <w:pStyle w:val="18"/>
      </w:pPr>
      <w:r>
        <w:fldChar w:fldCharType="begin"/>
      </w:r>
      <w:r>
        <w:instrText xml:space="preserve"> HYPERLINK \l "_Toc23998" </w:instrText>
      </w:r>
      <w:r>
        <w:fldChar w:fldCharType="separate"/>
      </w:r>
      <w:r>
        <w:rPr>
          <w:rFonts w:eastAsia="仿宋"/>
        </w:rPr>
        <w:t xml:space="preserve">6 </w:t>
      </w:r>
      <w:r>
        <w:t>应急保障</w:t>
      </w:r>
      <w:r>
        <w:tab/>
      </w:r>
      <w:r>
        <w:fldChar w:fldCharType="begin"/>
      </w:r>
      <w:r>
        <w:instrText xml:space="preserve"> PAGEREF _Toc23998 \h </w:instrText>
      </w:r>
      <w:r>
        <w:fldChar w:fldCharType="separate"/>
      </w:r>
      <w:r>
        <w:t>21</w:t>
      </w:r>
      <w:r>
        <w:fldChar w:fldCharType="end"/>
      </w:r>
      <w:r>
        <w:fldChar w:fldCharType="end"/>
      </w:r>
    </w:p>
    <w:p w14:paraId="73900B4B">
      <w:pPr>
        <w:pStyle w:val="19"/>
        <w:tabs>
          <w:tab w:val="right" w:leader="dot" w:pos="8845"/>
        </w:tabs>
        <w:ind w:firstLine="632"/>
      </w:pPr>
      <w:r>
        <w:fldChar w:fldCharType="begin"/>
      </w:r>
      <w:r>
        <w:instrText xml:space="preserve"> HYPERLINK \l "_Toc7863" </w:instrText>
      </w:r>
      <w:r>
        <w:fldChar w:fldCharType="separate"/>
      </w:r>
      <w:r>
        <w:rPr>
          <w:rFonts w:eastAsia="仿宋"/>
          <w:bCs/>
          <w:szCs w:val="28"/>
        </w:rPr>
        <w:t xml:space="preserve">6.1 </w:t>
      </w:r>
      <w:r>
        <w:rPr>
          <w:rFonts w:hint="eastAsia"/>
        </w:rPr>
        <w:t>通信保障应急队伍</w:t>
      </w:r>
      <w:r>
        <w:tab/>
      </w:r>
      <w:r>
        <w:fldChar w:fldCharType="begin"/>
      </w:r>
      <w:r>
        <w:instrText xml:space="preserve"> PAGEREF _Toc7863 \h </w:instrText>
      </w:r>
      <w:r>
        <w:fldChar w:fldCharType="separate"/>
      </w:r>
      <w:r>
        <w:t>21</w:t>
      </w:r>
      <w:r>
        <w:fldChar w:fldCharType="end"/>
      </w:r>
      <w:r>
        <w:fldChar w:fldCharType="end"/>
      </w:r>
    </w:p>
    <w:p w14:paraId="60D9072B">
      <w:pPr>
        <w:pStyle w:val="19"/>
        <w:tabs>
          <w:tab w:val="right" w:leader="dot" w:pos="8845"/>
        </w:tabs>
        <w:ind w:firstLine="632"/>
      </w:pPr>
      <w:r>
        <w:fldChar w:fldCharType="begin"/>
      </w:r>
      <w:r>
        <w:instrText xml:space="preserve"> HYPERLINK \l "_Toc5520" </w:instrText>
      </w:r>
      <w:r>
        <w:fldChar w:fldCharType="separate"/>
      </w:r>
      <w:r>
        <w:rPr>
          <w:rFonts w:eastAsia="仿宋"/>
          <w:bCs/>
          <w:szCs w:val="28"/>
        </w:rPr>
        <w:t xml:space="preserve">6.2 </w:t>
      </w:r>
      <w:r>
        <w:rPr>
          <w:rFonts w:hint="eastAsia"/>
        </w:rPr>
        <w:t>物资保障</w:t>
      </w:r>
      <w:r>
        <w:tab/>
      </w:r>
      <w:r>
        <w:fldChar w:fldCharType="begin"/>
      </w:r>
      <w:r>
        <w:instrText xml:space="preserve"> PAGEREF _Toc5520 \h </w:instrText>
      </w:r>
      <w:r>
        <w:fldChar w:fldCharType="separate"/>
      </w:r>
      <w:r>
        <w:t>21</w:t>
      </w:r>
      <w:r>
        <w:fldChar w:fldCharType="end"/>
      </w:r>
      <w:r>
        <w:fldChar w:fldCharType="end"/>
      </w:r>
    </w:p>
    <w:p w14:paraId="4B1C2965">
      <w:pPr>
        <w:pStyle w:val="19"/>
        <w:tabs>
          <w:tab w:val="right" w:leader="dot" w:pos="8845"/>
        </w:tabs>
        <w:ind w:firstLine="632"/>
      </w:pPr>
      <w:r>
        <w:fldChar w:fldCharType="begin"/>
      </w:r>
      <w:r>
        <w:instrText xml:space="preserve"> HYPERLINK \l "_Toc5589" </w:instrText>
      </w:r>
      <w:r>
        <w:fldChar w:fldCharType="separate"/>
      </w:r>
      <w:r>
        <w:rPr>
          <w:rFonts w:eastAsia="仿宋"/>
          <w:bCs/>
          <w:szCs w:val="28"/>
        </w:rPr>
        <w:t xml:space="preserve">6.3 </w:t>
      </w:r>
      <w:r>
        <w:rPr>
          <w:rFonts w:hint="eastAsia"/>
        </w:rPr>
        <w:t>必备资料</w:t>
      </w:r>
      <w:r>
        <w:tab/>
      </w:r>
      <w:r>
        <w:fldChar w:fldCharType="begin"/>
      </w:r>
      <w:r>
        <w:instrText xml:space="preserve"> PAGEREF _Toc5589 \h </w:instrText>
      </w:r>
      <w:r>
        <w:fldChar w:fldCharType="separate"/>
      </w:r>
      <w:r>
        <w:t>21</w:t>
      </w:r>
      <w:r>
        <w:fldChar w:fldCharType="end"/>
      </w:r>
      <w:r>
        <w:fldChar w:fldCharType="end"/>
      </w:r>
    </w:p>
    <w:p w14:paraId="79B9E692">
      <w:pPr>
        <w:pStyle w:val="19"/>
        <w:tabs>
          <w:tab w:val="right" w:leader="dot" w:pos="8845"/>
        </w:tabs>
        <w:ind w:firstLine="632"/>
      </w:pPr>
      <w:r>
        <w:fldChar w:fldCharType="begin"/>
      </w:r>
      <w:r>
        <w:instrText xml:space="preserve"> HYPERLINK \l "_Toc19059" </w:instrText>
      </w:r>
      <w:r>
        <w:fldChar w:fldCharType="separate"/>
      </w:r>
      <w:r>
        <w:rPr>
          <w:rFonts w:eastAsia="仿宋"/>
          <w:bCs/>
          <w:szCs w:val="28"/>
        </w:rPr>
        <w:t xml:space="preserve">6.4 </w:t>
      </w:r>
      <w:r>
        <w:rPr>
          <w:rFonts w:hint="eastAsia"/>
        </w:rPr>
        <w:t>技术储备与保障</w:t>
      </w:r>
      <w:r>
        <w:tab/>
      </w:r>
      <w:r>
        <w:fldChar w:fldCharType="begin"/>
      </w:r>
      <w:r>
        <w:instrText xml:space="preserve"> PAGEREF _Toc19059 \h </w:instrText>
      </w:r>
      <w:r>
        <w:fldChar w:fldCharType="separate"/>
      </w:r>
      <w:r>
        <w:t>22</w:t>
      </w:r>
      <w:r>
        <w:fldChar w:fldCharType="end"/>
      </w:r>
      <w:r>
        <w:fldChar w:fldCharType="end"/>
      </w:r>
    </w:p>
    <w:p w14:paraId="60680E47">
      <w:pPr>
        <w:pStyle w:val="19"/>
        <w:tabs>
          <w:tab w:val="right" w:leader="dot" w:pos="8845"/>
        </w:tabs>
        <w:ind w:firstLine="632"/>
      </w:pPr>
      <w:r>
        <w:fldChar w:fldCharType="begin"/>
      </w:r>
      <w:r>
        <w:instrText xml:space="preserve"> HYPERLINK \l "_Toc13446" </w:instrText>
      </w:r>
      <w:r>
        <w:fldChar w:fldCharType="separate"/>
      </w:r>
      <w:r>
        <w:rPr>
          <w:rFonts w:eastAsia="仿宋"/>
          <w:bCs/>
          <w:szCs w:val="28"/>
        </w:rPr>
        <w:t xml:space="preserve">6.5 </w:t>
      </w:r>
      <w:r>
        <w:rPr>
          <w:rFonts w:hint="eastAsia"/>
        </w:rPr>
        <w:t>宣传、培训和演习</w:t>
      </w:r>
      <w:r>
        <w:tab/>
      </w:r>
      <w:r>
        <w:fldChar w:fldCharType="begin"/>
      </w:r>
      <w:r>
        <w:instrText xml:space="preserve"> PAGEREF _Toc13446 \h </w:instrText>
      </w:r>
      <w:r>
        <w:fldChar w:fldCharType="separate"/>
      </w:r>
      <w:r>
        <w:t>22</w:t>
      </w:r>
      <w:r>
        <w:fldChar w:fldCharType="end"/>
      </w:r>
      <w:r>
        <w:fldChar w:fldCharType="end"/>
      </w:r>
    </w:p>
    <w:p w14:paraId="2162493E">
      <w:pPr>
        <w:pStyle w:val="19"/>
        <w:tabs>
          <w:tab w:val="right" w:leader="dot" w:pos="8845"/>
        </w:tabs>
        <w:ind w:firstLine="632"/>
      </w:pPr>
      <w:r>
        <w:fldChar w:fldCharType="begin"/>
      </w:r>
      <w:r>
        <w:instrText xml:space="preserve"> HYPERLINK \l "_Toc9724" </w:instrText>
      </w:r>
      <w:r>
        <w:fldChar w:fldCharType="separate"/>
      </w:r>
      <w:r>
        <w:rPr>
          <w:rFonts w:eastAsia="仿宋"/>
          <w:bCs/>
          <w:szCs w:val="28"/>
        </w:rPr>
        <w:t xml:space="preserve">6.6 </w:t>
      </w:r>
      <w:r>
        <w:rPr>
          <w:rFonts w:hint="eastAsia"/>
        </w:rPr>
        <w:t>通信保障应急工作监督检查制度</w:t>
      </w:r>
      <w:r>
        <w:tab/>
      </w:r>
      <w:r>
        <w:fldChar w:fldCharType="begin"/>
      </w:r>
      <w:r>
        <w:instrText xml:space="preserve"> PAGEREF _Toc9724 \h </w:instrText>
      </w:r>
      <w:r>
        <w:fldChar w:fldCharType="separate"/>
      </w:r>
      <w:r>
        <w:t>22</w:t>
      </w:r>
      <w:r>
        <w:fldChar w:fldCharType="end"/>
      </w:r>
      <w:r>
        <w:fldChar w:fldCharType="end"/>
      </w:r>
    </w:p>
    <w:p w14:paraId="4492A95C">
      <w:pPr>
        <w:pStyle w:val="19"/>
        <w:tabs>
          <w:tab w:val="right" w:leader="dot" w:pos="8845"/>
        </w:tabs>
        <w:ind w:firstLine="632"/>
      </w:pPr>
      <w:r>
        <w:fldChar w:fldCharType="begin"/>
      </w:r>
      <w:r>
        <w:instrText xml:space="preserve"> HYPERLINK \l "_Toc11326" </w:instrText>
      </w:r>
      <w:r>
        <w:fldChar w:fldCharType="separate"/>
      </w:r>
      <w:r>
        <w:rPr>
          <w:rFonts w:eastAsia="仿宋"/>
          <w:bCs/>
          <w:szCs w:val="28"/>
        </w:rPr>
        <w:t xml:space="preserve">6.7 </w:t>
      </w:r>
      <w:r>
        <w:rPr>
          <w:rFonts w:hint="eastAsia"/>
        </w:rPr>
        <w:t>需要其他部门保障的工作</w:t>
      </w:r>
      <w:r>
        <w:tab/>
      </w:r>
      <w:r>
        <w:fldChar w:fldCharType="begin"/>
      </w:r>
      <w:r>
        <w:instrText xml:space="preserve"> PAGEREF _Toc11326 \h </w:instrText>
      </w:r>
      <w:r>
        <w:fldChar w:fldCharType="separate"/>
      </w:r>
      <w:r>
        <w:t>23</w:t>
      </w:r>
      <w:r>
        <w:fldChar w:fldCharType="end"/>
      </w:r>
      <w:r>
        <w:fldChar w:fldCharType="end"/>
      </w:r>
    </w:p>
    <w:p w14:paraId="540E2742">
      <w:pPr>
        <w:pStyle w:val="18"/>
      </w:pPr>
      <w:r>
        <w:fldChar w:fldCharType="begin"/>
      </w:r>
      <w:r>
        <w:instrText xml:space="preserve"> HYPERLINK \l "_Toc18917" </w:instrText>
      </w:r>
      <w:r>
        <w:fldChar w:fldCharType="separate"/>
      </w:r>
      <w:r>
        <w:rPr>
          <w:rFonts w:eastAsia="仿宋"/>
        </w:rPr>
        <w:t xml:space="preserve">7 </w:t>
      </w:r>
      <w:r>
        <w:rPr>
          <w:rFonts w:hint="eastAsia"/>
        </w:rPr>
        <w:t>附则</w:t>
      </w:r>
      <w:r>
        <w:tab/>
      </w:r>
      <w:r>
        <w:fldChar w:fldCharType="begin"/>
      </w:r>
      <w:r>
        <w:instrText xml:space="preserve"> PAGEREF _Toc18917 \h </w:instrText>
      </w:r>
      <w:r>
        <w:fldChar w:fldCharType="separate"/>
      </w:r>
      <w:r>
        <w:t>24</w:t>
      </w:r>
      <w:r>
        <w:fldChar w:fldCharType="end"/>
      </w:r>
      <w:r>
        <w:fldChar w:fldCharType="end"/>
      </w:r>
    </w:p>
    <w:p w14:paraId="00A40580">
      <w:pPr>
        <w:pStyle w:val="19"/>
        <w:tabs>
          <w:tab w:val="right" w:leader="dot" w:pos="8845"/>
        </w:tabs>
        <w:ind w:firstLine="632"/>
      </w:pPr>
      <w:r>
        <w:fldChar w:fldCharType="begin"/>
      </w:r>
      <w:r>
        <w:instrText xml:space="preserve"> HYPERLINK \l "_Toc4525" </w:instrText>
      </w:r>
      <w:r>
        <w:fldChar w:fldCharType="separate"/>
      </w:r>
      <w:r>
        <w:rPr>
          <w:rFonts w:eastAsia="仿宋"/>
          <w:bCs/>
          <w:szCs w:val="28"/>
        </w:rPr>
        <w:t xml:space="preserve">7.1 </w:t>
      </w:r>
      <w:r>
        <w:rPr>
          <w:rFonts w:hint="eastAsia"/>
        </w:rPr>
        <w:t>名词术语说明</w:t>
      </w:r>
      <w:r>
        <w:tab/>
      </w:r>
      <w:r>
        <w:fldChar w:fldCharType="begin"/>
      </w:r>
      <w:r>
        <w:instrText xml:space="preserve"> PAGEREF _Toc4525 \h </w:instrText>
      </w:r>
      <w:r>
        <w:fldChar w:fldCharType="separate"/>
      </w:r>
      <w:r>
        <w:t>24</w:t>
      </w:r>
      <w:r>
        <w:fldChar w:fldCharType="end"/>
      </w:r>
      <w:r>
        <w:fldChar w:fldCharType="end"/>
      </w:r>
    </w:p>
    <w:p w14:paraId="254E7AC3">
      <w:pPr>
        <w:pStyle w:val="19"/>
        <w:tabs>
          <w:tab w:val="right" w:leader="dot" w:pos="8845"/>
        </w:tabs>
        <w:ind w:firstLine="632"/>
      </w:pPr>
      <w:r>
        <w:fldChar w:fldCharType="begin"/>
      </w:r>
      <w:r>
        <w:instrText xml:space="preserve"> HYPERLINK \l "_Toc11000" </w:instrText>
      </w:r>
      <w:r>
        <w:fldChar w:fldCharType="separate"/>
      </w:r>
      <w:r>
        <w:rPr>
          <w:rFonts w:eastAsia="仿宋"/>
          <w:bCs/>
          <w:szCs w:val="28"/>
        </w:rPr>
        <w:t xml:space="preserve">7.2 </w:t>
      </w:r>
      <w:r>
        <w:rPr>
          <w:rFonts w:hint="eastAsia" w:ascii="Times New Roman" w:hAnsi="Times New Roman"/>
        </w:rPr>
        <w:t>预案制定与解释</w:t>
      </w:r>
      <w:r>
        <w:tab/>
      </w:r>
      <w:r>
        <w:fldChar w:fldCharType="begin"/>
      </w:r>
      <w:r>
        <w:instrText xml:space="preserve"> PAGEREF _Toc11000 \h </w:instrText>
      </w:r>
      <w:r>
        <w:fldChar w:fldCharType="separate"/>
      </w:r>
      <w:r>
        <w:t>24</w:t>
      </w:r>
      <w:r>
        <w:fldChar w:fldCharType="end"/>
      </w:r>
      <w:r>
        <w:fldChar w:fldCharType="end"/>
      </w:r>
    </w:p>
    <w:p w14:paraId="6FA2330A">
      <w:pPr>
        <w:pStyle w:val="19"/>
        <w:tabs>
          <w:tab w:val="right" w:leader="dot" w:pos="8845"/>
        </w:tabs>
        <w:ind w:firstLine="632"/>
      </w:pPr>
      <w:r>
        <w:fldChar w:fldCharType="begin"/>
      </w:r>
      <w:r>
        <w:instrText xml:space="preserve"> HYPERLINK \l "_Toc31519" </w:instrText>
      </w:r>
      <w:r>
        <w:fldChar w:fldCharType="separate"/>
      </w:r>
      <w:r>
        <w:rPr>
          <w:rFonts w:eastAsia="仿宋"/>
          <w:bCs/>
          <w:szCs w:val="28"/>
        </w:rPr>
        <w:t xml:space="preserve">7.3 </w:t>
      </w:r>
      <w:r>
        <w:rPr>
          <w:rFonts w:hint="eastAsia" w:ascii="Times New Roman" w:hAnsi="Times New Roman"/>
        </w:rPr>
        <w:t>预案中“以上”“以下”的含义</w:t>
      </w:r>
      <w:r>
        <w:tab/>
      </w:r>
      <w:r>
        <w:fldChar w:fldCharType="begin"/>
      </w:r>
      <w:r>
        <w:instrText xml:space="preserve"> PAGEREF _Toc31519 \h </w:instrText>
      </w:r>
      <w:r>
        <w:fldChar w:fldCharType="separate"/>
      </w:r>
      <w:r>
        <w:t>24</w:t>
      </w:r>
      <w:r>
        <w:fldChar w:fldCharType="end"/>
      </w:r>
      <w:r>
        <w:fldChar w:fldCharType="end"/>
      </w:r>
    </w:p>
    <w:p w14:paraId="1D312E4A">
      <w:pPr>
        <w:pStyle w:val="19"/>
        <w:tabs>
          <w:tab w:val="right" w:leader="dot" w:pos="8845"/>
        </w:tabs>
        <w:ind w:firstLine="632"/>
      </w:pPr>
      <w:r>
        <w:fldChar w:fldCharType="begin"/>
      </w:r>
      <w:r>
        <w:instrText xml:space="preserve"> HYPERLINK \l "_Toc11459" </w:instrText>
      </w:r>
      <w:r>
        <w:fldChar w:fldCharType="separate"/>
      </w:r>
      <w:r>
        <w:rPr>
          <w:rFonts w:eastAsia="仿宋"/>
          <w:bCs/>
          <w:szCs w:val="28"/>
        </w:rPr>
        <w:t xml:space="preserve">7.4 </w:t>
      </w:r>
      <w:r>
        <w:rPr>
          <w:rFonts w:hint="eastAsia" w:ascii="Times New Roman" w:hAnsi="Times New Roman"/>
        </w:rPr>
        <w:t>预案的实施</w:t>
      </w:r>
      <w:r>
        <w:tab/>
      </w:r>
      <w:r>
        <w:fldChar w:fldCharType="begin"/>
      </w:r>
      <w:r>
        <w:instrText xml:space="preserve"> PAGEREF _Toc11459 \h </w:instrText>
      </w:r>
      <w:r>
        <w:fldChar w:fldCharType="separate"/>
      </w:r>
      <w:r>
        <w:t>24</w:t>
      </w:r>
      <w:r>
        <w:fldChar w:fldCharType="end"/>
      </w:r>
      <w:r>
        <w:fldChar w:fldCharType="end"/>
      </w:r>
    </w:p>
    <w:p w14:paraId="36B1FFF7">
      <w:pPr>
        <w:ind w:firstLine="0" w:firstLineChars="0"/>
        <w:rPr>
          <w:rFonts w:ascii="黑体" w:hAnsi="黑体" w:eastAsia="黑体" w:cs="黑体"/>
          <w:szCs w:val="44"/>
        </w:rPr>
      </w:pPr>
      <w:r>
        <w:rPr>
          <w:rFonts w:hint="eastAsia" w:ascii="黑体" w:hAnsi="黑体" w:eastAsia="黑体" w:cs="黑体"/>
          <w:szCs w:val="44"/>
        </w:rPr>
        <w:fldChar w:fldCharType="end"/>
      </w:r>
      <w:r>
        <w:rPr>
          <w:rFonts w:hint="eastAsia" w:ascii="黑体" w:hAnsi="黑体" w:eastAsia="黑体" w:cs="黑体"/>
          <w:szCs w:val="44"/>
        </w:rPr>
        <w:t xml:space="preserve"> </w:t>
      </w:r>
    </w:p>
    <w:p w14:paraId="306FAE65">
      <w:pPr>
        <w:pStyle w:val="2"/>
        <w:sectPr>
          <w:footerReference r:id="rId176" w:type="default"/>
          <w:footerReference r:id="rId177" w:type="even"/>
          <w:pgSz w:w="11906" w:h="16838"/>
          <w:pgMar w:top="2098" w:right="1474" w:bottom="1984" w:left="1587" w:header="624" w:footer="1134" w:gutter="0"/>
          <w:pgNumType w:fmt="upperRoman" w:start="1"/>
          <w:cols w:space="720" w:num="1"/>
          <w:docGrid w:type="linesAndChars" w:linePitch="579" w:charSpace="-842"/>
        </w:sectPr>
      </w:pPr>
    </w:p>
    <w:p w14:paraId="70F2148B">
      <w:pPr>
        <w:pStyle w:val="2"/>
        <w:numPr>
          <w:ilvl w:val="0"/>
          <w:numId w:val="243"/>
        </w:numPr>
        <w:tabs>
          <w:tab w:val="left" w:pos="0"/>
        </w:tabs>
      </w:pPr>
      <w:bookmarkStart w:id="1574" w:name="_Toc8569"/>
      <w:r>
        <w:rPr>
          <w:rFonts w:hint="eastAsia"/>
        </w:rPr>
        <w:t>总则</w:t>
      </w:r>
      <w:bookmarkEnd w:id="1574"/>
    </w:p>
    <w:p w14:paraId="1E3AB0EA">
      <w:pPr>
        <w:pStyle w:val="3"/>
      </w:pPr>
      <w:bookmarkStart w:id="1575" w:name="_Toc24931"/>
      <w:r>
        <w:rPr>
          <w:rFonts w:hint="eastAsia"/>
        </w:rPr>
        <w:t>编制目的</w:t>
      </w:r>
      <w:bookmarkEnd w:id="1575"/>
    </w:p>
    <w:p w14:paraId="21A30161">
      <w:pPr>
        <w:ind w:firstLine="632"/>
        <w:rPr>
          <w:rFonts w:ascii="仿宋_GB2312" w:hAnsi="仿宋_GB2312" w:cs="仿宋_GB2312"/>
        </w:rPr>
      </w:pPr>
      <w:r>
        <w:rPr>
          <w:rFonts w:hint="eastAsia" w:ascii="仿宋_GB2312" w:hAnsi="仿宋_GB2312" w:cs="仿宋_GB2312"/>
        </w:rPr>
        <w:t>建立健全集贤县通信保障和事故处置及通信恢复应急工作机制，提高对突发事件的组织指挥能力和应急处置能力，保证应急通信指挥调度工作迅速、高效、有序地进行，满足突发情况下通信保障和通信恢复工作的需要，确保通信的安全通畅。</w:t>
      </w:r>
    </w:p>
    <w:p w14:paraId="5BB8BAFB">
      <w:pPr>
        <w:pStyle w:val="3"/>
      </w:pPr>
      <w:bookmarkStart w:id="1576" w:name="_Toc4776"/>
      <w:r>
        <w:rPr>
          <w:rFonts w:hint="eastAsia"/>
        </w:rPr>
        <w:t>编制依据</w:t>
      </w:r>
      <w:bookmarkEnd w:id="1576"/>
    </w:p>
    <w:p w14:paraId="04678062">
      <w:pPr>
        <w:ind w:firstLine="632"/>
      </w:pPr>
      <w:r>
        <w:rPr>
          <w:rFonts w:hint="eastAsia"/>
        </w:rPr>
        <w:t>依据《中华人民共和国突发事件应对法》《中华人民共和国电信条例》《国家通信保障应急预案》《黑龙江省突发事件应急预案管理办法》《集贤县突发事件总体应急预案》等相关法律、法规和规定，结合我县实际，制定本预案。</w:t>
      </w:r>
    </w:p>
    <w:p w14:paraId="5D1229D6">
      <w:pPr>
        <w:pStyle w:val="3"/>
      </w:pPr>
      <w:bookmarkStart w:id="1577" w:name="_Toc12608"/>
      <w:r>
        <w:rPr>
          <w:rFonts w:hint="eastAsia"/>
        </w:rPr>
        <w:t>适用范围</w:t>
      </w:r>
      <w:bookmarkEnd w:id="1577"/>
    </w:p>
    <w:p w14:paraId="07B9417A">
      <w:pPr>
        <w:ind w:firstLine="632"/>
      </w:pPr>
      <w:r>
        <w:rPr>
          <w:rFonts w:hint="eastAsia"/>
        </w:rPr>
        <w:t>本预案适用于下述情况下的重大通信保障或通信恢复工作。</w:t>
      </w:r>
    </w:p>
    <w:p w14:paraId="4EFE94E1">
      <w:pPr>
        <w:numPr>
          <w:ilvl w:val="0"/>
          <w:numId w:val="244"/>
        </w:numPr>
        <w:ind w:firstLine="632"/>
      </w:pPr>
      <w:r>
        <w:rPr>
          <w:rFonts w:hint="eastAsia"/>
        </w:rPr>
        <w:t>特别重大、重大通信事故；</w:t>
      </w:r>
    </w:p>
    <w:p w14:paraId="06B6A39F">
      <w:pPr>
        <w:numPr>
          <w:ilvl w:val="0"/>
          <w:numId w:val="244"/>
        </w:numPr>
        <w:ind w:firstLine="632"/>
      </w:pPr>
      <w:r>
        <w:rPr>
          <w:rFonts w:hint="eastAsia"/>
        </w:rPr>
        <w:t>特别重大或重大自然灾害、事故灾难、突发公共卫生事件、突发社会安全事件；</w:t>
      </w:r>
    </w:p>
    <w:p w14:paraId="028B9FBE">
      <w:pPr>
        <w:numPr>
          <w:ilvl w:val="0"/>
          <w:numId w:val="244"/>
        </w:numPr>
        <w:ind w:firstLine="632"/>
      </w:pPr>
      <w:r>
        <w:rPr>
          <w:rFonts w:hint="eastAsia"/>
        </w:rPr>
        <w:t>黑龙江省通信保障应急领导小组和双鸭山市通信保障应急工作协调小组以及集贤县委、集贤县人民政府交办的重要通信保障任务。</w:t>
      </w:r>
    </w:p>
    <w:p w14:paraId="626AEF15">
      <w:pPr>
        <w:pStyle w:val="3"/>
      </w:pPr>
      <w:bookmarkStart w:id="1578" w:name="_Toc28143"/>
      <w:r>
        <w:rPr>
          <w:rFonts w:hint="eastAsia"/>
        </w:rPr>
        <w:t>工作原则</w:t>
      </w:r>
      <w:bookmarkEnd w:id="1578"/>
    </w:p>
    <w:p w14:paraId="07F01BCF">
      <w:pPr>
        <w:ind w:firstLine="632"/>
      </w:pPr>
      <w:r>
        <w:rPr>
          <w:rFonts w:hint="eastAsia"/>
        </w:rPr>
        <w:t>在黑龙江省通信保障应急领导小组和双鸭山市通信保障应急工作协调小组和集贤县委、集贤县人民政府领导下，通信保障和通信恢复工作坚持统一指挥、分级负责，严密组织、密切协同，快速反应、依靠科技、保障有力的原则。</w:t>
      </w:r>
    </w:p>
    <w:p w14:paraId="055108D3">
      <w:pPr>
        <w:pStyle w:val="3"/>
      </w:pPr>
      <w:bookmarkStart w:id="1579" w:name="_Toc8045"/>
      <w:r>
        <w:rPr>
          <w:rFonts w:hint="eastAsia"/>
        </w:rPr>
        <w:t>等级划分</w:t>
      </w:r>
      <w:bookmarkEnd w:id="1579"/>
    </w:p>
    <w:p w14:paraId="3C778C84">
      <w:pPr>
        <w:ind w:firstLine="632"/>
      </w:pPr>
      <w:r>
        <w:rPr>
          <w:rFonts w:hint="eastAsia"/>
        </w:rPr>
        <w:t>依据突发事件可能造成的危害程度、波及范围、影响力大小等情况，由高到低划分为重大事件、较大事件、一般事件和其他小规模大影响四个等级。</w:t>
      </w:r>
    </w:p>
    <w:p w14:paraId="1960B3D4">
      <w:pPr>
        <w:pStyle w:val="4"/>
        <w:numPr>
          <w:ilvl w:val="2"/>
          <w:numId w:val="243"/>
        </w:numPr>
        <w:tabs>
          <w:tab w:val="left" w:pos="0"/>
        </w:tabs>
        <w:rPr>
          <w:rFonts w:ascii="仿宋_GB2312" w:hAnsi="仿宋_GB2312" w:eastAsia="仿宋_GB2312" w:cs="仿宋_GB2312"/>
        </w:rPr>
      </w:pPr>
      <w:r>
        <w:rPr>
          <w:rFonts w:hint="eastAsia" w:ascii="仿宋_GB2312" w:hAnsi="仿宋_GB2312" w:eastAsia="仿宋_GB2312" w:cs="仿宋_GB2312"/>
        </w:rPr>
        <w:t>重大事件</w:t>
      </w:r>
    </w:p>
    <w:p w14:paraId="4B1A931F">
      <w:pPr>
        <w:ind w:firstLine="632"/>
      </w:pPr>
      <w:r>
        <w:rPr>
          <w:rFonts w:hint="eastAsia"/>
        </w:rPr>
        <w:t>突发事件（发生在我县范围内）造成包括我省在内的多省（市、区）通信故障或大面积国家骨干网中断；突发事件造成包括我县在内的多个设区市通信故障或大面积省级骨干网中断、市通信枢纽屡遭到破坏、双鸭山市对外通信全部中断等重大影响，以及国家、省有关部门下达的重要通信保障任务。对应应急响应级别为Ⅰ级响应。</w:t>
      </w:r>
    </w:p>
    <w:p w14:paraId="3D0504B2">
      <w:pPr>
        <w:pStyle w:val="4"/>
        <w:numPr>
          <w:ilvl w:val="2"/>
          <w:numId w:val="243"/>
        </w:numPr>
        <w:tabs>
          <w:tab w:val="left" w:pos="0"/>
        </w:tabs>
        <w:rPr>
          <w:rFonts w:ascii="仿宋_GB2312" w:hAnsi="仿宋_GB2312" w:eastAsia="仿宋_GB2312" w:cs="仿宋_GB2312"/>
        </w:rPr>
      </w:pPr>
      <w:r>
        <w:rPr>
          <w:rFonts w:hint="eastAsia" w:ascii="仿宋_GB2312" w:hAnsi="仿宋_GB2312" w:eastAsia="仿宋_GB2312" w:cs="仿宋_GB2312"/>
        </w:rPr>
        <w:t>较大事件</w:t>
      </w:r>
    </w:p>
    <w:p w14:paraId="3300CDBF">
      <w:pPr>
        <w:ind w:firstLine="632"/>
      </w:pPr>
      <w:r>
        <w:rPr>
          <w:rFonts w:hint="eastAsia"/>
        </w:rPr>
        <w:t>突发事件造成我县在内的双鸭山市大面积本地骨干网中断、多个县（市、区）包括我县在内的通信故障、县级通信枢纽楼遭到破坏；突发事件造成全县对外通信全部中断等较大影响，以及双鸭山市人民政府有关部门和集贤县人民政府下达的重要通信保障任务。对应应急响应级别为Ⅱ级响应。</w:t>
      </w:r>
    </w:p>
    <w:p w14:paraId="20AD154F">
      <w:pPr>
        <w:pStyle w:val="4"/>
        <w:numPr>
          <w:ilvl w:val="2"/>
          <w:numId w:val="243"/>
        </w:numPr>
        <w:tabs>
          <w:tab w:val="left" w:pos="0"/>
        </w:tabs>
        <w:rPr>
          <w:rFonts w:ascii="仿宋_GB2312" w:hAnsi="仿宋_GB2312" w:eastAsia="仿宋_GB2312" w:cs="仿宋_GB2312"/>
        </w:rPr>
      </w:pPr>
      <w:r>
        <w:rPr>
          <w:rFonts w:hint="eastAsia" w:ascii="仿宋_GB2312" w:hAnsi="仿宋_GB2312" w:eastAsia="仿宋_GB2312" w:cs="仿宋_GB2312"/>
        </w:rPr>
        <w:t>一般事件</w:t>
      </w:r>
    </w:p>
    <w:p w14:paraId="738E7CF9">
      <w:pPr>
        <w:ind w:firstLine="632"/>
      </w:pPr>
      <w:r>
        <w:rPr>
          <w:rFonts w:hint="eastAsia"/>
        </w:rPr>
        <w:t>突发事件造成全县大面积本地骨干网中断、多个乡镇通信故障、一个乡镇对外通信全部中断；突发事件造成县级基础通信运营企业所属网络多点通信故障或不同基础运营企业网间中断。对应应急响应级别为Ⅲ级响应。</w:t>
      </w:r>
    </w:p>
    <w:p w14:paraId="6BAF0E1F">
      <w:pPr>
        <w:pStyle w:val="4"/>
        <w:numPr>
          <w:ilvl w:val="2"/>
          <w:numId w:val="243"/>
        </w:numPr>
        <w:tabs>
          <w:tab w:val="left" w:pos="0"/>
        </w:tabs>
        <w:rPr>
          <w:rFonts w:ascii="仿宋_GB2312" w:hAnsi="仿宋_GB2312" w:eastAsia="仿宋_GB2312" w:cs="仿宋_GB2312"/>
        </w:rPr>
      </w:pPr>
      <w:r>
        <w:rPr>
          <w:rFonts w:hint="eastAsia" w:ascii="仿宋_GB2312" w:hAnsi="仿宋_GB2312" w:eastAsia="仿宋_GB2312" w:cs="仿宋_GB2312"/>
        </w:rPr>
        <w:t>其他小规模大影响</w:t>
      </w:r>
    </w:p>
    <w:p w14:paraId="5DB9F1B7">
      <w:pPr>
        <w:ind w:firstLine="632"/>
      </w:pPr>
      <w:r>
        <w:rPr>
          <w:rFonts w:hint="eastAsia"/>
        </w:rPr>
        <w:t>是对于尚未达到一般事件标准，但对社会产生较大影响的其他通信保障事件。对应应急响应级别为Ⅲ级响应。</w:t>
      </w:r>
    </w:p>
    <w:p w14:paraId="032BA9EB">
      <w:pPr>
        <w:pStyle w:val="2"/>
        <w:numPr>
          <w:ilvl w:val="0"/>
          <w:numId w:val="243"/>
        </w:numPr>
        <w:tabs>
          <w:tab w:val="left" w:pos="0"/>
        </w:tabs>
      </w:pPr>
      <w:bookmarkStart w:id="1580" w:name="_Toc389"/>
      <w:r>
        <w:rPr>
          <w:rFonts w:hint="eastAsia"/>
        </w:rPr>
        <w:t>组织指挥体系及职责</w:t>
      </w:r>
      <w:bookmarkEnd w:id="1580"/>
    </w:p>
    <w:p w14:paraId="5614B399">
      <w:pPr>
        <w:ind w:firstLine="632"/>
      </w:pPr>
      <w:r>
        <w:rPr>
          <w:rFonts w:hint="eastAsia"/>
        </w:rPr>
        <w:t>成立集贤县通信保障应急领导小组（以下简称应急领导小组），负责组织和协调全县通信保障和通信恢复应急工作。集贤县通信保障应急领导小组下设应急工作协调办公室（以下简称协调办），负责日常联络和事务处理工作。</w:t>
      </w:r>
    </w:p>
    <w:p w14:paraId="1BCFE2A8">
      <w:pPr>
        <w:pStyle w:val="3"/>
      </w:pPr>
      <w:bookmarkStart w:id="1581" w:name="_Toc12275"/>
      <w:r>
        <w:rPr>
          <w:rFonts w:hint="eastAsia"/>
        </w:rPr>
        <w:t>应急领导小组组成及职责</w:t>
      </w:r>
      <w:bookmarkEnd w:id="1581"/>
    </w:p>
    <w:p w14:paraId="50E3759B">
      <w:pPr>
        <w:pStyle w:val="4"/>
        <w:numPr>
          <w:ilvl w:val="2"/>
          <w:numId w:val="243"/>
        </w:numPr>
        <w:tabs>
          <w:tab w:val="left" w:pos="0"/>
        </w:tabs>
        <w:rPr>
          <w:rFonts w:ascii="仿宋_GB2312" w:hAnsi="仿宋_GB2312" w:eastAsia="仿宋_GB2312" w:cs="仿宋_GB2312"/>
        </w:rPr>
      </w:pPr>
      <w:r>
        <w:rPr>
          <w:rFonts w:hint="eastAsia" w:ascii="仿宋_GB2312" w:hAnsi="仿宋_GB2312" w:eastAsia="仿宋_GB2312" w:cs="仿宋_GB2312"/>
        </w:rPr>
        <w:t>应急领导小组组成</w:t>
      </w:r>
    </w:p>
    <w:p w14:paraId="196DDB2A">
      <w:pPr>
        <w:ind w:firstLine="632"/>
        <w:rPr>
          <w:rFonts w:ascii="仿宋_GB2312"/>
        </w:rPr>
      </w:pPr>
      <w:r>
        <w:rPr>
          <w:rFonts w:hint="eastAsia" w:ascii="仿宋_GB2312"/>
        </w:rPr>
        <w:t>集贤县通信保障事故应急领导小组组长由县政府分管副县长担任，常务副组长由县工信科技局长担任，执行副组长由集贤县应急局分管领导、中国电信双鸭山集贤分公司、中国移动双鸭山集贤分公司、中国联通双鸭山集贤分公司、中国铁塔股份有限公司双鸭山市分公司（集贤办事处）等各基础通信运营企业主要负责人担任。成员单位包括县委宣传部、发改局、县工信科技局、卫健局、公安局、民政局、财政局、自然资源局、住建局、交通局、林草局、水务局、工信科局、文旅局、应急局、气象局、供电公司、县电信、移动、联通公司等部门和单位的负责人。</w:t>
      </w:r>
    </w:p>
    <w:p w14:paraId="1704A919">
      <w:pPr>
        <w:pStyle w:val="4"/>
        <w:numPr>
          <w:ilvl w:val="2"/>
          <w:numId w:val="243"/>
        </w:numPr>
        <w:tabs>
          <w:tab w:val="left" w:pos="0"/>
        </w:tabs>
        <w:rPr>
          <w:rFonts w:ascii="仿宋_GB2312" w:hAnsi="仿宋_GB2312" w:eastAsia="仿宋_GB2312" w:cs="仿宋_GB2312"/>
        </w:rPr>
      </w:pPr>
      <w:r>
        <w:rPr>
          <w:rFonts w:hint="eastAsia" w:ascii="仿宋_GB2312" w:hAnsi="仿宋_GB2312" w:eastAsia="仿宋_GB2312" w:cs="仿宋_GB2312"/>
        </w:rPr>
        <w:t>应急领导小组工作职责</w:t>
      </w:r>
    </w:p>
    <w:p w14:paraId="0FF24531">
      <w:pPr>
        <w:numPr>
          <w:ilvl w:val="0"/>
          <w:numId w:val="245"/>
        </w:numPr>
        <w:ind w:firstLine="632"/>
      </w:pPr>
      <w:r>
        <w:rPr>
          <w:rFonts w:hint="eastAsia"/>
        </w:rPr>
        <w:t>在黑龙江省通信保障应急领导小组和双鸭山市通信保障应急工作协调小组、集贤县人民政府的领导下，负责县一级通信保障应急预案的编制与修订工作。</w:t>
      </w:r>
    </w:p>
    <w:p w14:paraId="08030970">
      <w:pPr>
        <w:numPr>
          <w:ilvl w:val="0"/>
          <w:numId w:val="245"/>
        </w:numPr>
        <w:ind w:firstLine="632"/>
      </w:pPr>
      <w:r>
        <w:rPr>
          <w:rFonts w:hint="eastAsia"/>
        </w:rPr>
        <w:t>负责与集贤县人民政府有关部门和各基础通信运营公司的协调联络工作。</w:t>
      </w:r>
    </w:p>
    <w:p w14:paraId="5066DE20">
      <w:pPr>
        <w:numPr>
          <w:ilvl w:val="0"/>
          <w:numId w:val="245"/>
        </w:numPr>
        <w:ind w:firstLine="632"/>
      </w:pPr>
      <w:r>
        <w:rPr>
          <w:rFonts w:hint="eastAsia"/>
        </w:rPr>
        <w:t>遇特别重大、重大突发事件，及时了解情况，向黑龙江省通信保障应急领导小组和双鸭山市通信保障应急工作协调小组、集贤县人民政府报告并提出建议，启动本预案，并下达通信应急保障任务。</w:t>
      </w:r>
    </w:p>
    <w:p w14:paraId="3A866D82">
      <w:pPr>
        <w:numPr>
          <w:ilvl w:val="0"/>
          <w:numId w:val="245"/>
        </w:numPr>
        <w:ind w:firstLine="632"/>
      </w:pPr>
      <w:r>
        <w:rPr>
          <w:rFonts w:hint="eastAsia"/>
        </w:rPr>
        <w:t>按照黑龙江省通信保障应急领导小组和双鸭山市通信保障应急工作协调小组的要求和指示，负责组织协调、落实全县通信保障应急工作。</w:t>
      </w:r>
    </w:p>
    <w:p w14:paraId="4061C6A0">
      <w:pPr>
        <w:numPr>
          <w:ilvl w:val="0"/>
          <w:numId w:val="245"/>
        </w:numPr>
        <w:ind w:firstLine="632"/>
      </w:pPr>
      <w:r>
        <w:rPr>
          <w:rFonts w:hint="eastAsia"/>
        </w:rPr>
        <w:t>在紧急情况下，报请黑龙江省通信保障应急领导小组和双鸭山市通信保障应急工作协调小组、集贤县人民政府批准，统一调用全县通信资源，做好通信保障的组织协调工作。</w:t>
      </w:r>
    </w:p>
    <w:p w14:paraId="15C7B87A">
      <w:pPr>
        <w:numPr>
          <w:ilvl w:val="0"/>
          <w:numId w:val="245"/>
        </w:numPr>
        <w:ind w:firstLine="632"/>
      </w:pPr>
      <w:r>
        <w:rPr>
          <w:rFonts w:hint="eastAsia"/>
        </w:rPr>
        <w:t>完成黑龙江省通信保障应急领导小组和双鸭山市通信保障应急工作协调小组及双鸭山市委、双鸭山市人民政府、集贤县委、集贤县人民政府交办的其他事项。</w:t>
      </w:r>
    </w:p>
    <w:p w14:paraId="121219C7">
      <w:pPr>
        <w:pStyle w:val="4"/>
        <w:numPr>
          <w:ilvl w:val="2"/>
          <w:numId w:val="243"/>
        </w:numPr>
        <w:tabs>
          <w:tab w:val="left" w:pos="0"/>
        </w:tabs>
        <w:rPr>
          <w:rFonts w:ascii="仿宋_GB2312" w:hAnsi="仿宋_GB2312" w:eastAsia="仿宋_GB2312" w:cs="仿宋_GB2312"/>
        </w:rPr>
      </w:pPr>
      <w:r>
        <w:rPr>
          <w:rFonts w:hint="eastAsia" w:ascii="仿宋_GB2312" w:hAnsi="仿宋_GB2312" w:eastAsia="仿宋_GB2312" w:cs="仿宋_GB2312"/>
        </w:rPr>
        <w:t>协调办工作职责</w:t>
      </w:r>
    </w:p>
    <w:p w14:paraId="6DAA2BF2">
      <w:pPr>
        <w:ind w:firstLine="632"/>
      </w:pPr>
      <w:r>
        <w:rPr>
          <w:rFonts w:hint="eastAsia"/>
        </w:rPr>
        <w:t>集贤县通信保障应急工作协调办公室由集贤县工信科技局牵头，中国电信双鸭山集贤分公司，中国移动双鸭山集贤分公司、中国联通双鸭山集贤分公司、广电网络双鸭山集贤分公司、中国铁塔股份有限公司双鸭山市分公司（集贤办事处）为日常办公组成单位，县直相关部门及各乡镇人民政府为成员单位。职责如下：</w:t>
      </w:r>
    </w:p>
    <w:p w14:paraId="5BB94BA2">
      <w:pPr>
        <w:numPr>
          <w:ilvl w:val="0"/>
          <w:numId w:val="246"/>
        </w:numPr>
        <w:ind w:firstLine="632"/>
      </w:pPr>
      <w:r>
        <w:rPr>
          <w:rFonts w:hint="eastAsia"/>
        </w:rPr>
        <w:t>承担集贤县通信保障应急领导小组的日常事务，负责与集贤县人民政府有关部门及各乡镇人民政府的协调联络工作。遇特别重大、重大突发事件，及时了解情况，向双鸭山市通信保障应急工作协调小组报告并提出建议。</w:t>
      </w:r>
    </w:p>
    <w:p w14:paraId="3375019D">
      <w:pPr>
        <w:numPr>
          <w:ilvl w:val="0"/>
          <w:numId w:val="246"/>
        </w:numPr>
        <w:ind w:firstLine="632"/>
      </w:pPr>
      <w:r>
        <w:rPr>
          <w:rFonts w:hint="eastAsia"/>
        </w:rPr>
        <w:t>按照双鸭山市通信保障应急工作协调小组和集贤县通信保障应急领导小组下达的命令和指挥，负责组织协调、落实全县的通信保障应急工作。</w:t>
      </w:r>
    </w:p>
    <w:p w14:paraId="6586C6CA">
      <w:pPr>
        <w:pStyle w:val="4"/>
        <w:numPr>
          <w:ilvl w:val="2"/>
          <w:numId w:val="243"/>
        </w:numPr>
        <w:tabs>
          <w:tab w:val="left" w:pos="0"/>
        </w:tabs>
        <w:rPr>
          <w:rFonts w:ascii="仿宋_GB2312" w:hAnsi="仿宋_GB2312" w:eastAsia="仿宋_GB2312" w:cs="仿宋_GB2312"/>
        </w:rPr>
      </w:pPr>
      <w:r>
        <w:rPr>
          <w:rFonts w:hint="eastAsia" w:ascii="仿宋_GB2312" w:hAnsi="仿宋_GB2312" w:eastAsia="仿宋_GB2312" w:cs="仿宋_GB2312"/>
        </w:rPr>
        <w:t>成员单位工作职责</w:t>
      </w:r>
    </w:p>
    <w:p w14:paraId="53034162">
      <w:pPr>
        <w:ind w:firstLine="634"/>
      </w:pPr>
      <w:r>
        <w:rPr>
          <w:rFonts w:hint="eastAsia"/>
          <w:b/>
          <w:bCs/>
        </w:rPr>
        <w:t>县委宣传部：</w:t>
      </w:r>
      <w:r>
        <w:rPr>
          <w:rFonts w:hint="eastAsia"/>
        </w:rPr>
        <w:t>指导有关部门开展电信保障事故进展、应急工作情况等权威信息发布，加强新闻宣传报道；收集分析国内外舆情和社会公众动态，加强媒体和互联网管理，正确引导舆论；指导有关部门、单位及时澄清不实信息，回应社会关切，确保信息发布的一致性和权威性。配合做好电信保障事故的应急公益宣传，协助做好电信保障事故信息发布和舆情应对工作。</w:t>
      </w:r>
    </w:p>
    <w:p w14:paraId="10E768D7">
      <w:pPr>
        <w:ind w:firstLine="634"/>
      </w:pPr>
      <w:r>
        <w:rPr>
          <w:rFonts w:hint="eastAsia"/>
          <w:b/>
          <w:bCs/>
        </w:rPr>
        <w:t>县发改局：</w:t>
      </w:r>
      <w:r>
        <w:rPr>
          <w:rFonts w:hint="eastAsia"/>
        </w:rPr>
        <w:t>根据实际工作需要组织配合各通信基础运营企业编制恢复重建规划，协调做好社会应急措施落实的相关工作。</w:t>
      </w:r>
    </w:p>
    <w:p w14:paraId="7D57F1EF">
      <w:pPr>
        <w:ind w:firstLine="634"/>
      </w:pPr>
      <w:r>
        <w:rPr>
          <w:rFonts w:hint="eastAsia"/>
          <w:b/>
          <w:bCs/>
        </w:rPr>
        <w:t>县工业信息科技局：</w:t>
      </w:r>
      <w:r>
        <w:rPr>
          <w:rFonts w:hint="eastAsia"/>
        </w:rPr>
        <w:t>贯彻执行国家和省、市有关处置电信保障事故的法律法规、规章和政策；负责组织县电信保障事故应急预案的编制以及演练工作；组织协调相关应急物资的生产、储备、调拨和供应；负责紧急状态下的运行调度和需求侧管理；负责确认重要通信用户名单；负责初步判断电信保障事故的响应等级，并向县政府提出相关处置措施建议；负责组织或配合县政府开展电信保障事故处置评估和事件调查工作；及时组织调运重要生活必需品，保障群众基本生活和市场供应。</w:t>
      </w:r>
    </w:p>
    <w:p w14:paraId="25733783">
      <w:pPr>
        <w:ind w:firstLine="634"/>
      </w:pPr>
      <w:r>
        <w:rPr>
          <w:rFonts w:hint="eastAsia"/>
          <w:b/>
          <w:bCs/>
        </w:rPr>
        <w:t>县卫健局：</w:t>
      </w:r>
      <w:r>
        <w:rPr>
          <w:rFonts w:hint="eastAsia"/>
        </w:rPr>
        <w:t>负责协调电信保障事故地区医院采取临时应急措施，组织电信保障事故期间的应急医疗救治工作，协调开展次生衍生灾害的医疗救治工作。</w:t>
      </w:r>
    </w:p>
    <w:p w14:paraId="57C2319A">
      <w:pPr>
        <w:ind w:firstLine="634"/>
      </w:pPr>
      <w:r>
        <w:rPr>
          <w:rFonts w:hint="eastAsia"/>
          <w:b/>
          <w:bCs/>
        </w:rPr>
        <w:t>县公安局：</w:t>
      </w:r>
      <w:r>
        <w:rPr>
          <w:rFonts w:hint="eastAsia"/>
        </w:rPr>
        <w:t>负责电信保障事故地区治安维护和交通疏导，视情采取隔离警戒和交通管制等措施；会同有关部门疏散和救助遇险人员，保障应急救援车辆和人员优先通行。加强对电信保障事故地区重点单位的安全保卫；做好转移人员安置点、救灾物资存放点等重点地区治安管控；加强巡逻防范，严厉打击违法犯罪活动，维护社会安定稳定。因电信保障网络事故导致车辆长时间滞留路面的，县交警大队迅速组织警力，对邻近出入口实施交通管制，引导车辆分流通行，强化外围交通疏导，及时通过设置交通提示标志、电子显示屏或可变信息板、交通广播等方式发布提示信息。按照分流预案进行分流。在电信保障事故持续的情况下，现场设置移动警示标志、适当增加警力，指挥车辆减速绕行通过现场，必要时封闭现场路段或道路。负责对重点区域、重点单位的警戒；协助维护电信保障事故地区治安和交通疏导，会同有关部门疏散和救助遇险人员，协助做好人员安置点、救灾物资存放点等重点地区治安管控。</w:t>
      </w:r>
    </w:p>
    <w:p w14:paraId="356EDD0D">
      <w:pPr>
        <w:ind w:firstLine="634"/>
      </w:pPr>
      <w:r>
        <w:rPr>
          <w:rFonts w:hint="eastAsia"/>
          <w:b/>
          <w:bCs/>
        </w:rPr>
        <w:t>县财政局：</w:t>
      </w:r>
      <w:r>
        <w:rPr>
          <w:rFonts w:hint="eastAsia"/>
        </w:rPr>
        <w:t>负责会同相关职能部门做好通信保障事故处置工作需县级负担的必要经费的统筹协调和安排。</w:t>
      </w:r>
    </w:p>
    <w:p w14:paraId="3D406AD6">
      <w:pPr>
        <w:ind w:firstLine="634"/>
      </w:pPr>
      <w:r>
        <w:rPr>
          <w:rFonts w:hint="eastAsia"/>
          <w:b/>
          <w:bCs/>
        </w:rPr>
        <w:t>县自然资源局：</w:t>
      </w:r>
      <w:r>
        <w:rPr>
          <w:rFonts w:hint="eastAsia"/>
        </w:rPr>
        <w:t>协助做好因突发性地质灾害造成通信保障事故的应急救援，负责提供泥石流、滑坡等地质灾害气象风险预警信息。</w:t>
      </w:r>
    </w:p>
    <w:p w14:paraId="73F5DD8E">
      <w:pPr>
        <w:ind w:firstLine="634"/>
      </w:pPr>
      <w:r>
        <w:rPr>
          <w:rFonts w:hint="eastAsia"/>
          <w:b/>
          <w:bCs/>
        </w:rPr>
        <w:t>县住建局：</w:t>
      </w:r>
      <w:r>
        <w:rPr>
          <w:rFonts w:hint="eastAsia"/>
        </w:rPr>
        <w:t>负责协调城市正常供水、城市道路照明建设。</w:t>
      </w:r>
    </w:p>
    <w:p w14:paraId="2A9AD19A">
      <w:pPr>
        <w:ind w:firstLine="634"/>
      </w:pPr>
      <w:r>
        <w:rPr>
          <w:rFonts w:hint="eastAsia"/>
          <w:b/>
          <w:bCs/>
        </w:rPr>
        <w:t>县交通局：</w:t>
      </w:r>
      <w:r>
        <w:rPr>
          <w:rFonts w:hint="eastAsia"/>
        </w:rPr>
        <w:t>负责组织提供运送应急处置所需物资、人员的公路、水路等交通运输保障工作。</w:t>
      </w:r>
    </w:p>
    <w:p w14:paraId="7A78D69D">
      <w:pPr>
        <w:ind w:firstLine="634"/>
      </w:pPr>
      <w:r>
        <w:rPr>
          <w:rFonts w:hint="eastAsia"/>
          <w:b/>
          <w:bCs/>
        </w:rPr>
        <w:t>县林草局：</w:t>
      </w:r>
      <w:r>
        <w:rPr>
          <w:rFonts w:hint="eastAsia"/>
        </w:rPr>
        <w:t>协助做好因森林火灾造成通信保障事故的相关处置工作；负责向各基础通信运营企业提供实时或准时火情信息等。</w:t>
      </w:r>
    </w:p>
    <w:p w14:paraId="4C18E484">
      <w:pPr>
        <w:ind w:firstLine="634"/>
      </w:pPr>
      <w:r>
        <w:rPr>
          <w:rFonts w:hint="eastAsia"/>
          <w:b/>
          <w:bCs/>
        </w:rPr>
        <w:t>县水务局：</w:t>
      </w:r>
      <w:r>
        <w:rPr>
          <w:rFonts w:hint="eastAsia"/>
        </w:rPr>
        <w:t>做好因台风、暴雨、洪水、干旱等自然灾害造成的通信保障事故的相关处置工作，确保水利工程安全。</w:t>
      </w:r>
    </w:p>
    <w:p w14:paraId="6E9634F4">
      <w:pPr>
        <w:ind w:firstLine="634"/>
      </w:pPr>
      <w:r>
        <w:rPr>
          <w:rFonts w:hint="eastAsia"/>
          <w:b/>
          <w:bCs/>
        </w:rPr>
        <w:t>县文体广电和旅游局：</w:t>
      </w:r>
      <w:r>
        <w:rPr>
          <w:rFonts w:hint="eastAsia"/>
        </w:rPr>
        <w:t>指导A级景区景点、星级宾馆、星级酒店做好应急处置工作。</w:t>
      </w:r>
    </w:p>
    <w:p w14:paraId="581BE3CD">
      <w:pPr>
        <w:ind w:firstLine="634"/>
      </w:pPr>
      <w:r>
        <w:rPr>
          <w:rFonts w:hint="eastAsia"/>
          <w:b/>
          <w:bCs/>
        </w:rPr>
        <w:t>县应急局：</w:t>
      </w:r>
      <w:r>
        <w:rPr>
          <w:rFonts w:hint="eastAsia"/>
        </w:rPr>
        <w:t>依据职责分工，负责或参与协调由通信保障事故可能引发的危险化学品事故应急处置和事故调查处理工作，负责提供地震趋势意见，并加强地震监测工作。</w:t>
      </w:r>
    </w:p>
    <w:p w14:paraId="0ED7D90A">
      <w:pPr>
        <w:ind w:firstLine="634"/>
      </w:pPr>
      <w:r>
        <w:rPr>
          <w:rFonts w:hint="eastAsia"/>
          <w:b/>
          <w:bCs/>
        </w:rPr>
        <w:t>县气象局：</w:t>
      </w:r>
      <w:r>
        <w:rPr>
          <w:rFonts w:hint="eastAsia"/>
        </w:rPr>
        <w:t>负责及时提供发布灾害性天气预报和预警；负责对通信保障事故现场进行气象监测，提供必要的气象信息服务。负责向通信保障事故提供预警报系统监测的雨情、风情等信息。</w:t>
      </w:r>
    </w:p>
    <w:p w14:paraId="78DB0A44">
      <w:pPr>
        <w:ind w:firstLine="634"/>
      </w:pPr>
      <w:r>
        <w:rPr>
          <w:rFonts w:hint="eastAsia"/>
          <w:b/>
          <w:bCs/>
        </w:rPr>
        <w:t>县电力公司：</w:t>
      </w:r>
      <w:r>
        <w:rPr>
          <w:rFonts w:hint="eastAsia"/>
        </w:rPr>
        <w:t>负责调度保障通信保障事故地区的电力保障工作。</w:t>
      </w:r>
    </w:p>
    <w:p w14:paraId="24486B9B">
      <w:pPr>
        <w:ind w:firstLine="634"/>
      </w:pPr>
      <w:r>
        <w:rPr>
          <w:rFonts w:hint="eastAsia"/>
          <w:b/>
          <w:bCs/>
        </w:rPr>
        <w:t>各基础通信运营企业：</w:t>
      </w:r>
      <w:r>
        <w:rPr>
          <w:rFonts w:hint="eastAsia"/>
        </w:rPr>
        <w:t>负责初步分析通信保障事故的状态等级，立即启动相应的应急预案和响应等级，并在第一时间报告县通信保障事故应急办；在县通信保障事故应急领导小组的领导下，各基础通信运营企业按照应急预案、规程、处置等方案，下达指令，指挥通信保障事故处理，控制事故范围的扩大，组织抢险队伍，迅速恢复通信保障正常化，提供必要的应急物资支援；各基础通信运营企业负责全县通信保障事故抢险物资的储备、资料汇总和数据统计；负责提出重要通信用户名单报县工信科技局确认。</w:t>
      </w:r>
    </w:p>
    <w:p w14:paraId="208B3F93">
      <w:pPr>
        <w:ind w:firstLine="632"/>
      </w:pPr>
      <w:r>
        <w:rPr>
          <w:rFonts w:hint="eastAsia"/>
        </w:rPr>
        <w:t>各乡镇人民政府按其应对通信保障事故应急预案启动相应职责。</w:t>
      </w:r>
    </w:p>
    <w:p w14:paraId="34B1AA70">
      <w:pPr>
        <w:pStyle w:val="3"/>
      </w:pPr>
      <w:bookmarkStart w:id="1582" w:name="_Toc15671"/>
      <w:r>
        <w:rPr>
          <w:rFonts w:hint="eastAsia"/>
        </w:rPr>
        <w:t>各工作组组成及职责分工</w:t>
      </w:r>
      <w:bookmarkEnd w:id="1582"/>
    </w:p>
    <w:p w14:paraId="069DEEBA">
      <w:pPr>
        <w:pStyle w:val="4"/>
        <w:numPr>
          <w:ilvl w:val="2"/>
          <w:numId w:val="243"/>
        </w:numPr>
        <w:tabs>
          <w:tab w:val="left" w:pos="0"/>
        </w:tabs>
        <w:rPr>
          <w:rFonts w:ascii="仿宋_GB2312" w:hAnsi="仿宋_GB2312" w:eastAsia="仿宋_GB2312" w:cs="仿宋_GB2312"/>
        </w:rPr>
      </w:pPr>
      <w:r>
        <w:rPr>
          <w:rFonts w:hint="eastAsia" w:ascii="仿宋_GB2312" w:hAnsi="仿宋_GB2312" w:eastAsia="仿宋_GB2312" w:cs="仿宋_GB2312"/>
        </w:rPr>
        <w:t>通信保障事故恢复组：</w:t>
      </w:r>
    </w:p>
    <w:p w14:paraId="47216EA4">
      <w:pPr>
        <w:ind w:firstLine="632"/>
      </w:pPr>
      <w:r>
        <w:rPr>
          <w:rFonts w:hint="eastAsia"/>
        </w:rPr>
        <w:t>牵头单位：县工信科技局</w:t>
      </w:r>
    </w:p>
    <w:p w14:paraId="4593C093">
      <w:pPr>
        <w:ind w:firstLine="632"/>
      </w:pPr>
      <w:r>
        <w:rPr>
          <w:rFonts w:hint="eastAsia"/>
        </w:rPr>
        <w:t>成员单位：县发改局、公安局、林草局、水务局、应急局、气象局、中国电信双鸭山集贤分公司，中国移动双鸭山集贤分公司、中国联通双鸭山集贤分公司、广电网络双鸭山集贤分公司、中国铁塔股份有限公司双鸭山市分公司（集贤办事处）等参加。</w:t>
      </w:r>
    </w:p>
    <w:p w14:paraId="37FD4436">
      <w:pPr>
        <w:ind w:firstLine="632"/>
      </w:pPr>
      <w:r>
        <w:rPr>
          <w:rFonts w:hint="eastAsia"/>
        </w:rPr>
        <w:t>主要职责：组织通信保障事故抢修恢复工作，尽快恢复受影响区域通信保障工作；负责重要通信用户、重点区域的临时通信保障；协调公安有关力量参与应对工作。</w:t>
      </w:r>
    </w:p>
    <w:p w14:paraId="1D0C1478">
      <w:pPr>
        <w:pStyle w:val="4"/>
        <w:numPr>
          <w:ilvl w:val="2"/>
          <w:numId w:val="243"/>
        </w:numPr>
        <w:tabs>
          <w:tab w:val="left" w:pos="0"/>
        </w:tabs>
        <w:rPr>
          <w:rFonts w:ascii="仿宋_GB2312" w:hAnsi="仿宋_GB2312" w:eastAsia="仿宋_GB2312" w:cs="仿宋_GB2312"/>
        </w:rPr>
      </w:pPr>
      <w:r>
        <w:rPr>
          <w:rFonts w:hint="eastAsia" w:ascii="仿宋_GB2312" w:hAnsi="仿宋_GB2312" w:eastAsia="仿宋_GB2312" w:cs="仿宋_GB2312"/>
        </w:rPr>
        <w:t>新闻宣传组：</w:t>
      </w:r>
    </w:p>
    <w:p w14:paraId="63C357CD">
      <w:pPr>
        <w:ind w:firstLine="632"/>
      </w:pPr>
      <w:r>
        <w:rPr>
          <w:rFonts w:hint="eastAsia"/>
        </w:rPr>
        <w:t>牵头单位：县委宣传部</w:t>
      </w:r>
    </w:p>
    <w:p w14:paraId="1E80AD2B">
      <w:pPr>
        <w:ind w:firstLine="632"/>
      </w:pPr>
      <w:r>
        <w:rPr>
          <w:rFonts w:hint="eastAsia"/>
        </w:rPr>
        <w:t>成员单位：县发改局、公安局、文旅局、应急局、中国电信双鸭山集贤分公司，中国移动双鸭山集贤分公司、中国联通双鸭山集贤分公司、广电网络双鸭山集贤分公司、中国铁塔股份有限公司双鸭山市分公司（集贤办事处）等参加。</w:t>
      </w:r>
    </w:p>
    <w:p w14:paraId="50FC2879">
      <w:pPr>
        <w:ind w:firstLine="632"/>
      </w:pPr>
      <w:r>
        <w:rPr>
          <w:rFonts w:hint="eastAsia"/>
        </w:rPr>
        <w:t>主要职责：组织开展通信保障事故处置进展、应急工作情况等权威信息发布，加强新闻宣传报道；收集分析县内外舆情和社会公众动态，加强媒体、通信和互联网管理，正确引导舆论；及时澄清不实信息，回应社会关切。</w:t>
      </w:r>
    </w:p>
    <w:p w14:paraId="1432E9FC">
      <w:pPr>
        <w:pStyle w:val="4"/>
        <w:numPr>
          <w:ilvl w:val="2"/>
          <w:numId w:val="243"/>
        </w:numPr>
        <w:tabs>
          <w:tab w:val="left" w:pos="0"/>
        </w:tabs>
        <w:rPr>
          <w:rFonts w:ascii="仿宋_GB2312" w:hAnsi="仿宋_GB2312" w:eastAsia="仿宋_GB2312" w:cs="仿宋_GB2312"/>
        </w:rPr>
      </w:pPr>
      <w:r>
        <w:rPr>
          <w:rFonts w:hint="eastAsia" w:ascii="仿宋_GB2312" w:hAnsi="仿宋_GB2312" w:eastAsia="仿宋_GB2312" w:cs="仿宋_GB2312"/>
        </w:rPr>
        <w:t>综合保障组</w:t>
      </w:r>
    </w:p>
    <w:p w14:paraId="15CE16E8">
      <w:pPr>
        <w:ind w:firstLine="632"/>
      </w:pPr>
      <w:r>
        <w:rPr>
          <w:rFonts w:hint="eastAsia"/>
        </w:rPr>
        <w:t>牵头单位：县发改局</w:t>
      </w:r>
    </w:p>
    <w:p w14:paraId="5B51A516">
      <w:pPr>
        <w:ind w:firstLine="632"/>
      </w:pPr>
      <w:r>
        <w:rPr>
          <w:rFonts w:hint="eastAsia"/>
        </w:rPr>
        <w:t>成员单位：县公安局、民政局、财政局、自然资源局、住建局、交通局、水务局、文旅局、供电公司、电信公司、移动公司、联通公司、中国铁塔股份有限公司双鸭山市分公司（集贤办事处）等参加。</w:t>
      </w:r>
    </w:p>
    <w:p w14:paraId="28E9438D">
      <w:pPr>
        <w:ind w:firstLine="632"/>
      </w:pPr>
      <w:r>
        <w:rPr>
          <w:rFonts w:hint="eastAsia"/>
        </w:rPr>
        <w:t>主要职责：对通信保障事故受灾情况进行核实，指导恢复通信抢修方案，落实人员、资金和物资；组织做好应急救援装备物资及生产生活物资的紧急生产、储备调拨和紧急配送工作；及时组织调运重要生活必需品，保障群众基本生活和市场供应；维护供水、供电、供气等设施正常运行；维护道路、水路等基本交通运行；组织开展通信保障事故处置评估。</w:t>
      </w:r>
    </w:p>
    <w:p w14:paraId="3B9A2B3B">
      <w:pPr>
        <w:pStyle w:val="4"/>
        <w:numPr>
          <w:ilvl w:val="2"/>
          <w:numId w:val="243"/>
        </w:numPr>
        <w:tabs>
          <w:tab w:val="left" w:pos="0"/>
        </w:tabs>
        <w:rPr>
          <w:rFonts w:ascii="仿宋_GB2312" w:hAnsi="仿宋_GB2312" w:eastAsia="仿宋_GB2312" w:cs="仿宋_GB2312"/>
        </w:rPr>
      </w:pPr>
      <w:r>
        <w:rPr>
          <w:rFonts w:hint="eastAsia" w:ascii="仿宋_GB2312" w:hAnsi="仿宋_GB2312" w:eastAsia="仿宋_GB2312" w:cs="仿宋_GB2312"/>
        </w:rPr>
        <w:t>社会稳定组</w:t>
      </w:r>
    </w:p>
    <w:p w14:paraId="51643896">
      <w:pPr>
        <w:ind w:firstLine="632"/>
      </w:pPr>
      <w:r>
        <w:rPr>
          <w:rFonts w:hint="eastAsia"/>
        </w:rPr>
        <w:t>牵头单位：县公安局</w:t>
      </w:r>
    </w:p>
    <w:p w14:paraId="772E22B7">
      <w:pPr>
        <w:ind w:firstLine="632"/>
      </w:pPr>
      <w:r>
        <w:rPr>
          <w:rFonts w:hint="eastAsia"/>
        </w:rPr>
        <w:t>成员单位：县发改局、民政局、工信科局、应急局等参加。</w:t>
      </w:r>
    </w:p>
    <w:p w14:paraId="1E758E73">
      <w:pPr>
        <w:ind w:firstLine="632"/>
      </w:pPr>
      <w:r>
        <w:rPr>
          <w:rFonts w:hint="eastAsia"/>
        </w:rPr>
        <w:t>主要职责：加强受影响地区社会治安管理，严厉打击借机传播谣言制造社会恐慌，以及趁机盗窃、抢劫、哄抢等违法犯罪行为；加强转移人员安置点、救灾物资存放点等重点地区治安管控；加强对重要生活必需品等商品的市场监管和调控，打击囤积居奇行为；加强对重点区域、重点单位的警戒；做好受影响人员与涉事单位、有关部门矛盾纠纷化解等工作，切实维护社会稳定。</w:t>
      </w:r>
    </w:p>
    <w:p w14:paraId="01DB8977">
      <w:pPr>
        <w:pStyle w:val="2"/>
        <w:numPr>
          <w:ilvl w:val="0"/>
          <w:numId w:val="243"/>
        </w:numPr>
        <w:tabs>
          <w:tab w:val="left" w:pos="0"/>
        </w:tabs>
      </w:pPr>
      <w:bookmarkStart w:id="1583" w:name="_Toc18352"/>
      <w:r>
        <w:rPr>
          <w:rFonts w:hint="eastAsia"/>
        </w:rPr>
        <w:t>预防和预警机制</w:t>
      </w:r>
      <w:bookmarkEnd w:id="1583"/>
    </w:p>
    <w:p w14:paraId="75271E2F">
      <w:pPr>
        <w:ind w:firstLine="632"/>
      </w:pPr>
      <w:r>
        <w:rPr>
          <w:rFonts w:hint="eastAsia"/>
        </w:rPr>
        <w:t>各基础通信运营企业应从制度建立、技术实现、业务管理等方面建立健全通信网络安全的预防和预警机制。</w:t>
      </w:r>
    </w:p>
    <w:p w14:paraId="378F089D">
      <w:pPr>
        <w:pStyle w:val="3"/>
      </w:pPr>
      <w:bookmarkStart w:id="1584" w:name="_Toc23975"/>
      <w:r>
        <w:rPr>
          <w:rFonts w:hint="eastAsia"/>
        </w:rPr>
        <w:t>预防机制</w:t>
      </w:r>
      <w:bookmarkEnd w:id="1584"/>
    </w:p>
    <w:p w14:paraId="17B79616">
      <w:pPr>
        <w:ind w:firstLine="632"/>
      </w:pPr>
      <w:r>
        <w:rPr>
          <w:rFonts w:hint="eastAsia"/>
        </w:rPr>
        <w:t>各基础通信运营企业在网络规划中要贯彻落实网络安全的各项要求，合理组网，不断提高网络的自愈和抗毁能力。在日常工作中，要加强对网络安全宣传教育工作，增强忧患意识；加强对通信网络运行安全和网间互联互通的风险隐患排查；加强通信重点保障目标的安全防卫；做好各基础通信的互联互通；建立和完善应急处置机制，定期组织演练，提高应对突发事件的能力。集贤县通信保障应急工作协调办公室要加强对各基础通信运营企业网络防护和应急处置工作的监督检查，保障通信网络的安全畅通。</w:t>
      </w:r>
    </w:p>
    <w:p w14:paraId="76753151">
      <w:pPr>
        <w:pStyle w:val="3"/>
      </w:pPr>
      <w:bookmarkStart w:id="1585" w:name="_Toc22289"/>
      <w:r>
        <w:rPr>
          <w:rFonts w:hint="eastAsia"/>
        </w:rPr>
        <w:t>预警监测</w:t>
      </w:r>
      <w:bookmarkEnd w:id="1585"/>
    </w:p>
    <w:p w14:paraId="09455A39">
      <w:pPr>
        <w:ind w:firstLine="632"/>
      </w:pPr>
      <w:r>
        <w:rPr>
          <w:rFonts w:hint="eastAsia"/>
        </w:rPr>
        <w:t>集贤县通信保障应急工作协调办公室及各基础通信运营企业都要建立相应的预警监测机制，加强通信保障预警信息的监测收集工作。预警信息分为外部预警信息和内部预警信息两类：外部预警信息指通信行业外突发的可能需要通信保障或可能对通信网络产生特别重大、重大影响的事件警报。内部预警信息指通信行业内通信网的事故征兆或部分通信网突发事故可能对其他通信网造成重大影响的事件警报。集贤县通信保障应急工作协调办公室要与集贤县人民政府有关部门建立有效的信息沟通渠道，各基础通信运营企业网络运行管理维护部门要对通信网络日常运行状况实时监测分析，及时发现预警信息。</w:t>
      </w:r>
    </w:p>
    <w:p w14:paraId="29CD326D">
      <w:pPr>
        <w:pStyle w:val="3"/>
      </w:pPr>
      <w:bookmarkStart w:id="1586" w:name="_Toc26261"/>
      <w:r>
        <w:rPr>
          <w:rFonts w:hint="eastAsia"/>
        </w:rPr>
        <w:t>预防预警行动</w:t>
      </w:r>
      <w:bookmarkEnd w:id="1586"/>
    </w:p>
    <w:p w14:paraId="3ADCE26E">
      <w:pPr>
        <w:ind w:firstLine="632"/>
      </w:pPr>
      <w:r>
        <w:rPr>
          <w:rFonts w:hint="eastAsia"/>
        </w:rPr>
        <w:t>集贤县通信保障应急工作协调办公室获得外部预警信息后，应立即报告集贤县通信保障应急工作领导小组，集贤县通信保障应急工作领导小组要马上召开会议，研究部署通信保障应急工作的应对措施，集贤县通信保障应急工作协调办公室根据领导批示和会议决定，立即通知集贤县有关部门和集贤县县级各基础通信运营企业，做好预防和通信保障应急的各项准备工作。</w:t>
      </w:r>
    </w:p>
    <w:p w14:paraId="44ABBCCC">
      <w:pPr>
        <w:ind w:firstLine="632"/>
      </w:pPr>
      <w:r>
        <w:rPr>
          <w:rFonts w:hint="eastAsia"/>
        </w:rPr>
        <w:t>各基础通信运营企业通过检测获得内部预警信息后，应对预警信息加以分析，按照早发现、早报告、早处理的原则，对可能演变为严重通信事故的情况，应及时报告集贤县通信保障应急工作协调办公室。集贤县通信保障应急工作协调办公室接到预警信息后，应立即进行分析核实，经确认后，通知可能受到影响的其他基础通信运营企业，做好预防和应急准备工作。</w:t>
      </w:r>
    </w:p>
    <w:p w14:paraId="6F93C7CD">
      <w:pPr>
        <w:pStyle w:val="3"/>
      </w:pPr>
      <w:bookmarkStart w:id="1587" w:name="_Toc31670"/>
      <w:r>
        <w:rPr>
          <w:rFonts w:hint="eastAsia"/>
        </w:rPr>
        <w:t>预警分级和发布</w:t>
      </w:r>
      <w:bookmarkEnd w:id="1587"/>
    </w:p>
    <w:p w14:paraId="55B73F40">
      <w:pPr>
        <w:pStyle w:val="4"/>
        <w:numPr>
          <w:ilvl w:val="2"/>
          <w:numId w:val="243"/>
        </w:numPr>
        <w:tabs>
          <w:tab w:val="left" w:pos="0"/>
        </w:tabs>
        <w:rPr>
          <w:rFonts w:ascii="仿宋_GB2312" w:hAnsi="仿宋_GB2312" w:eastAsia="仿宋_GB2312" w:cs="仿宋_GB2312"/>
        </w:rPr>
      </w:pPr>
      <w:r>
        <w:rPr>
          <w:rFonts w:hint="eastAsia" w:ascii="仿宋_GB2312" w:hAnsi="仿宋_GB2312" w:eastAsia="仿宋_GB2312" w:cs="仿宋_GB2312"/>
        </w:rPr>
        <w:t>预警分级</w:t>
      </w:r>
    </w:p>
    <w:p w14:paraId="6D9B6E06">
      <w:pPr>
        <w:ind w:firstLine="632"/>
      </w:pPr>
      <w:r>
        <w:rPr>
          <w:rFonts w:hint="eastAsia"/>
        </w:rPr>
        <w:t>预警划分为四个等级：</w:t>
      </w:r>
    </w:p>
    <w:p w14:paraId="2154E0AF">
      <w:pPr>
        <w:ind w:firstLine="632"/>
      </w:pPr>
      <w:r>
        <w:rPr>
          <w:rFonts w:hint="eastAsia"/>
        </w:rPr>
        <w:t>Ⅰ级：因特别重大突发公共事件引发，发生在我县范围内有可能造成包括黑龙江省在内的多省（市、区）通信故障或大面积国家骨干网中断等情况，以及需要通信保障应急准备的重大情况；发生在我县范围内的通信网络故障可能升级造成包括黑龙江省在内的多省（市、区）通信故障或大面积国家骨干网中断等情况。</w:t>
      </w:r>
    </w:p>
    <w:p w14:paraId="1625CF53">
      <w:pPr>
        <w:ind w:firstLine="632"/>
      </w:pPr>
      <w:r>
        <w:rPr>
          <w:rFonts w:hint="eastAsia"/>
        </w:rPr>
        <w:t>Ⅱ级：因重大突发公共事故引发的，有可能造成包括我县在内的多个设区市通信故障或大面积省级骨干网中断、市通信枢纽屡遭到破坏、双鸭山市对外通信全部中断的情况，以及需要通信保障应急准备的情况；通信网络故障可能升级造成包括我县在内的多个设区市通信故障或大面积省级骨干网中断的情况。</w:t>
      </w:r>
    </w:p>
    <w:p w14:paraId="3C69AB7A">
      <w:pPr>
        <w:ind w:firstLine="632"/>
      </w:pPr>
      <w:r>
        <w:rPr>
          <w:rFonts w:hint="eastAsia"/>
        </w:rPr>
        <w:t>Ⅲ级：因较大突发公共事件引发的，有可能造成我县大面积本地骨干网中断、多个县（市、区）包括我县在内的通信故障、县级通信枢纽屡遭到破坏、一个县（市、区）对外通信全部中断的情况；通信网络故障可能升级造成多个县（市、区）包括我县在内通信故障或大面积本地骨干网中断的情况。</w:t>
      </w:r>
    </w:p>
    <w:p w14:paraId="5AAA160E">
      <w:pPr>
        <w:ind w:firstLine="632"/>
      </w:pPr>
      <w:r>
        <w:rPr>
          <w:rFonts w:hint="eastAsia"/>
        </w:rPr>
        <w:t>Ⅳ级：因一般突发公共事件引发的，有可能造成某县级基础通信运营企业所属网络多点通信故障或不同基础运营企业网络中断的情况。</w:t>
      </w:r>
    </w:p>
    <w:p w14:paraId="14BA7CAE">
      <w:pPr>
        <w:pStyle w:val="4"/>
        <w:numPr>
          <w:ilvl w:val="2"/>
          <w:numId w:val="243"/>
        </w:numPr>
        <w:tabs>
          <w:tab w:val="left" w:pos="0"/>
        </w:tabs>
        <w:rPr>
          <w:rFonts w:ascii="仿宋_GB2312" w:hAnsi="仿宋_GB2312" w:eastAsia="仿宋_GB2312" w:cs="仿宋_GB2312"/>
        </w:rPr>
      </w:pPr>
      <w:r>
        <w:rPr>
          <w:rFonts w:hint="eastAsia" w:ascii="仿宋_GB2312" w:hAnsi="仿宋_GB2312" w:eastAsia="仿宋_GB2312" w:cs="仿宋_GB2312"/>
        </w:rPr>
        <w:t>预警发布</w:t>
      </w:r>
    </w:p>
    <w:p w14:paraId="3AD48EE4">
      <w:pPr>
        <w:ind w:firstLine="632"/>
      </w:pPr>
      <w:r>
        <w:rPr>
          <w:rFonts w:hint="eastAsia"/>
        </w:rPr>
        <w:t>Ⅰ级、Ⅱ级预警信息由黑龙江省通信保障应急领导小组确认并发布；Ⅲ级和Ⅳ级预警信息由双鸭山市通信保障应急工作协调小组确认并发布。</w:t>
      </w:r>
    </w:p>
    <w:p w14:paraId="2AF7B769">
      <w:pPr>
        <w:ind w:firstLine="632"/>
      </w:pPr>
      <w:r>
        <w:rPr>
          <w:rFonts w:hint="eastAsia"/>
        </w:rPr>
        <w:t>预警信息的发布范围限于政府有关部门、涉及的相关行业主管部门及通信行业内部。预警信息的发布以文件或传真形式，紧急情况下可以先采用电话通知方式。</w:t>
      </w:r>
    </w:p>
    <w:p w14:paraId="1E7FA5E5">
      <w:pPr>
        <w:ind w:firstLine="632"/>
      </w:pPr>
      <w:r>
        <w:rPr>
          <w:rFonts w:hint="eastAsia"/>
        </w:rPr>
        <w:t>集贤县通信保障应急工作领导小组及其办公室应根据黑龙江省通信保障应急领导小组和双鸭山市通信保障应急工作协调小组发布的预警信息，做好相应的通信保障应急准备工作。县级各基础通信运营企业及其通信保障应急管理机构应根据黑龙江省通信保障应急领导小组和双鸭山市通信保障应急工作协调小组发布的预警信息，做好相应的通信保障应急准备工作。</w:t>
      </w:r>
    </w:p>
    <w:p w14:paraId="3CF29F73">
      <w:pPr>
        <w:pStyle w:val="2"/>
        <w:numPr>
          <w:ilvl w:val="0"/>
          <w:numId w:val="243"/>
        </w:numPr>
        <w:tabs>
          <w:tab w:val="left" w:pos="0"/>
        </w:tabs>
      </w:pPr>
      <w:r>
        <w:rPr>
          <w:rFonts w:hint="eastAsia"/>
        </w:rPr>
        <w:t>应急响应</w:t>
      </w:r>
    </w:p>
    <w:p w14:paraId="621EFA9E">
      <w:pPr>
        <w:pStyle w:val="3"/>
      </w:pPr>
      <w:bookmarkStart w:id="1588" w:name="_Toc22558"/>
      <w:r>
        <w:rPr>
          <w:rFonts w:hint="eastAsia"/>
        </w:rPr>
        <w:t>响应分级</w:t>
      </w:r>
      <w:bookmarkEnd w:id="1588"/>
    </w:p>
    <w:p w14:paraId="36922B29">
      <w:pPr>
        <w:ind w:firstLine="632"/>
      </w:pPr>
      <w:r>
        <w:rPr>
          <w:rFonts w:hint="eastAsia"/>
        </w:rPr>
        <w:t>通信保障和通信恢复应急响应工作分为三个等级：</w:t>
      </w:r>
    </w:p>
    <w:p w14:paraId="6E450439">
      <w:pPr>
        <w:ind w:firstLine="634"/>
      </w:pPr>
      <w:r>
        <w:rPr>
          <w:rFonts w:hint="eastAsia"/>
          <w:b/>
          <w:bCs/>
        </w:rPr>
        <w:t>Ⅰ级响应：</w:t>
      </w:r>
      <w:r>
        <w:rPr>
          <w:rFonts w:hint="eastAsia"/>
        </w:rPr>
        <w:t>突发事件（发生在我县范围内）造成包括我省在内的多省（市、区）通信故障或大面积国家骨干网中断；突发事件造成包括我县在内的多个设区市通信故障或大面积省级骨干网中断、市通信枢纽屡遭到破坏、双鸭山市对外通信全部中断等重大影响，以及国家、省有关部门下达的重要通信保障任务时，集贤县通信保障应急工作领导小组及其办公室应根据《黑龙江省通信保障应急预案》《双鸭山市通信保障应急预案》配合执行双鸭山市通信保障应急工作协调小组的组织和协调，启动本预案，同时报黑龙江省通信保障应急工作办公室和双鸭山市通信保障应急工作协调小组、双鸭山市人民政府、集贤县人民政府。</w:t>
      </w:r>
    </w:p>
    <w:p w14:paraId="67CB3299">
      <w:pPr>
        <w:numPr>
          <w:ilvl w:val="0"/>
          <w:numId w:val="127"/>
        </w:numPr>
        <w:ind w:firstLineChars="0"/>
      </w:pPr>
      <w:r>
        <w:rPr>
          <w:rFonts w:hint="eastAsia"/>
        </w:rPr>
        <w:t>Ⅱ级响应：突发事件造成我县在内的双鸭山市大面积本地骨干网中断、多个县（市、区）包括我县在内的通信故障、县级通信枢纽楼遭到破坏；突发事件造成全县对外通信全部中断等较大影响，以及双鸭山市人民政府有关部门和集贤县人民政府下达的重要通信保障任务时，由集贤县通信保障应急工作领导小组及其办公室应根据《黑龙江省通信保障应急预案》《双鸭山市通信保障应急预案》配合执行双鸭山市通信保障应急工作协调小组的组织和协调，启动本预案，同时报黑龙江省通信保障应急工作办公室和双鸭山市通信保障应急工作协调小组、双鸭山市人民政府、集贤县人民政府。</w:t>
      </w:r>
    </w:p>
    <w:p w14:paraId="161FC576">
      <w:pPr>
        <w:numPr>
          <w:ilvl w:val="0"/>
          <w:numId w:val="127"/>
        </w:numPr>
        <w:ind w:firstLineChars="0"/>
      </w:pPr>
      <w:r>
        <w:rPr>
          <w:rFonts w:hint="eastAsia"/>
          <w:b/>
          <w:bCs/>
        </w:rPr>
        <w:t>Ⅲ级响应：</w:t>
      </w:r>
      <w:r>
        <w:rPr>
          <w:rFonts w:hint="eastAsia"/>
        </w:rPr>
        <w:t>突发事件造成全县大面积本地骨干网中断、多个乡镇通信故障、一个乡镇对外通信全部中断；突发事件造成县级基础通信运营企业所属网络多点通信故障或不同基础运营企业网间中断的情况，由集贤县通信保障应急工作领导小组及其办公室负责组织协调，启动本预案。相应的县级基础通信运营企业及其通信保障应急管理机构负责相关的通信保障恢复应急工作，并启动其县级基础通信运营企业相应的通信保障应急预案，报集贤县通信保障应急工作领导小组及其办公室。集贤县通信保障应急工作领导小组及其办公室同时报双鸭山市通信保障应急工作协调小组和集贤县人民政府。</w:t>
      </w:r>
    </w:p>
    <w:p w14:paraId="452B7BB4">
      <w:pPr>
        <w:pStyle w:val="3"/>
      </w:pPr>
      <w:bookmarkStart w:id="1589" w:name="_Toc28678"/>
      <w:r>
        <w:rPr>
          <w:rFonts w:hint="eastAsia"/>
        </w:rPr>
        <w:t>应急响应行动</w:t>
      </w:r>
      <w:bookmarkEnd w:id="1589"/>
    </w:p>
    <w:p w14:paraId="03D47BCA">
      <w:pPr>
        <w:pStyle w:val="4"/>
        <w:numPr>
          <w:ilvl w:val="2"/>
          <w:numId w:val="243"/>
        </w:numPr>
        <w:tabs>
          <w:tab w:val="left" w:pos="0"/>
        </w:tabs>
        <w:rPr>
          <w:rFonts w:ascii="仿宋_GB2312" w:hAnsi="仿宋_GB2312" w:eastAsia="仿宋_GB2312" w:cs="仿宋_GB2312"/>
        </w:rPr>
      </w:pPr>
      <w:r>
        <w:rPr>
          <w:rFonts w:hint="eastAsia" w:ascii="仿宋_GB2312" w:hAnsi="仿宋_GB2312" w:eastAsia="仿宋_GB2312" w:cs="仿宋_GB2312"/>
        </w:rPr>
        <w:t>信息上报和处理</w:t>
      </w:r>
    </w:p>
    <w:p w14:paraId="0AC8DBCC">
      <w:pPr>
        <w:ind w:firstLine="632"/>
      </w:pPr>
      <w:r>
        <w:rPr>
          <w:rFonts w:hint="eastAsia"/>
        </w:rPr>
        <w:t>（1）突发事件确认需要Ⅰ级响应的，发生特别重大通信中断和通信设施损坏事故的企业和单位，应立即将情况上报集贤县通信保障应急工作领导小组及其办公室，提前或同时启动本部门应急预案开展处置工作。</w:t>
      </w:r>
    </w:p>
    <w:p w14:paraId="53458A0E">
      <w:pPr>
        <w:ind w:firstLine="632"/>
      </w:pPr>
      <w:r>
        <w:rPr>
          <w:rFonts w:hint="eastAsia"/>
        </w:rPr>
        <w:t>集贤县通信保障应急工作领导小组及其办公室接到报告后，立即向双鸭山市通信保障应急工作协调小组和双鸭山市人民政府、集贤县人民政府报告（信息上报流程见图2），并迅速向双鸭山市通信保障应急工作协调小组提出处置意见，双鸭山市通信保障应急工作协调小组应及时作出决策，集贤县通信保障应急工作领导小组及其办公室应及时按双鸭山市通信保障应急工作协调小组的决策，组织成员单位配合执行并启动本预案。有关突发事件情况，要及时上报黑龙江省通信保障应急工作办公室和双鸭山市通信保障应急工作协调小组。需要黑龙江省通信保障应急工作办公室、双鸭山市通信保障应急工作协调小组和双鸭山市人民政府协调的，应及时上报黑龙江省通信保障应急工作办公室、双鸭山市通信保障应急工作协调小组和双鸭山市人民政府、集贤县人民政府。</w:t>
      </w:r>
    </w:p>
    <w:p w14:paraId="1F73B5EA">
      <w:pPr>
        <w:ind w:firstLine="632"/>
      </w:pPr>
      <w:r>
        <w:rPr>
          <w:rFonts w:hint="eastAsia"/>
        </w:rPr>
        <w:t>（2）突发事件确认需要Ⅱ级响应的，发生重大通信中断和通信设施损坏事故的企业和单位，应立即将情况上报集贤县通信保障应急工作领导小组及其办公室，并提前或同时启动本部门应急预案开展处置工作。</w:t>
      </w:r>
    </w:p>
    <w:p w14:paraId="78A253FB">
      <w:pPr>
        <w:ind w:firstLine="632"/>
      </w:pPr>
      <w:r>
        <w:rPr>
          <w:rFonts w:hint="eastAsia"/>
        </w:rPr>
        <w:t>集贤县通信保障应急工作领导小组及其办公室获得突发事件信息后，应立即分清事件的严重性，立即向双鸭山市通信保障应急工作协调小组和双鸭山市人民政府、集贤县人民政府报告（信息上报流程见图2），并迅速向双鸭山市通信保障应急工作协调小组提出处置意见，双鸭山市通信保障应急工作协调小组应及时作出决策，集贤县通信保障应急工作领导小组及其办公室应及时按双鸭山市通信保障应急工作协调小组的决策，组织成员单位配合执行并启动本预案，开展处置工作，并及时向双鸭山市通信保障应急工作协调小组报告。需要黑龙江省通信保障应急工作办公室、双鸭山市通信保障应急工作协调小组和双鸭山市人民政府协调的，应及时上报黑龙江省通信保障应急工作办公室、双鸭山市通信保障应急工作协调小组和双鸭山市人民政府。</w:t>
      </w:r>
    </w:p>
    <w:p w14:paraId="1E67235A">
      <w:pPr>
        <w:ind w:firstLine="632"/>
      </w:pPr>
      <w:r>
        <w:rPr>
          <w:rFonts w:hint="eastAsia"/>
        </w:rPr>
        <w:t>（3）突发事件确认需要Ⅲ级响应的，发生较重大通信中断和通信设施损坏事故的企业和单位，应立即将情况上报集贤县通信保障应急工作领导小组及其办公室，并提前或同时启动本部门应急预案开展处置工作。</w:t>
      </w:r>
    </w:p>
    <w:p w14:paraId="22C6F415">
      <w:pPr>
        <w:ind w:firstLine="632"/>
      </w:pPr>
      <w:r>
        <w:rPr>
          <w:rFonts w:hint="eastAsia"/>
        </w:rPr>
        <w:t>集贤县通信保障应急工作领导小组及其办公室获得突发事件信息后，应立即分清事件的严重性，进行决策并同时启动预案，通知相应的县级基础通信运营企业的通信保障应急管理机构启动预案开展处置工作，组织县直相关部门及相关乡镇人民政府等成员单位配合开展处置工作，并及时向双鸭山市通信保障应急工作协调小组报告。需要双鸭山市通信保障应急工作办公室和市人民政府协调的，应及时上报双鸭山市通信保障应急工作办公室和双鸭山市人民政府。</w:t>
      </w:r>
    </w:p>
    <w:p w14:paraId="4D4CD0F3">
      <w:pPr>
        <w:ind w:firstLine="632"/>
      </w:pPr>
      <w:r>
        <w:rPr>
          <w:rFonts w:hint="eastAsia"/>
        </w:rPr>
        <w:t>启动本预案时，相应的县级各基础通信运营企业的通信保障应急管理机构应提前或同时启动预案。</w:t>
      </w:r>
    </w:p>
    <w:p w14:paraId="52F086C7">
      <w:pPr>
        <w:pStyle w:val="4"/>
        <w:numPr>
          <w:ilvl w:val="2"/>
          <w:numId w:val="243"/>
        </w:numPr>
        <w:tabs>
          <w:tab w:val="left" w:pos="0"/>
        </w:tabs>
        <w:rPr>
          <w:rFonts w:ascii="仿宋_GB2312" w:hAnsi="仿宋_GB2312" w:eastAsia="仿宋_GB2312" w:cs="仿宋_GB2312"/>
        </w:rPr>
      </w:pPr>
      <w:r>
        <w:rPr>
          <w:rFonts w:hint="eastAsia" w:ascii="仿宋_GB2312" w:hAnsi="仿宋_GB2312" w:eastAsia="仿宋_GB2312" w:cs="仿宋_GB2312"/>
        </w:rPr>
        <w:t>信息通报</w:t>
      </w:r>
    </w:p>
    <w:p w14:paraId="5A71D910">
      <w:pPr>
        <w:ind w:firstLine="632"/>
      </w:pPr>
      <w:r>
        <w:rPr>
          <w:rFonts w:hint="eastAsia"/>
        </w:rPr>
        <w:t>在Ⅰ、Ⅱ、Ⅲ级响应过程中，集贤县通信保障应急工作领导小组及其办公室应加强与黑龙江省通信保障应急工作办公室和双鸭山市通信保障应急工作协调小组、通信保障应急任务下达单位或部门及双鸭山市和集贤县内相关基础通信运营企业的信息沟通联络，及时了解掌握有关信息和通报应急处置过程中的信息，提高通信保障和通信恢复工作效率。</w:t>
      </w:r>
    </w:p>
    <w:p w14:paraId="3CB7FB03">
      <w:pPr>
        <w:ind w:firstLine="632"/>
      </w:pPr>
      <w:r>
        <w:rPr>
          <w:rFonts w:hint="eastAsia"/>
        </w:rPr>
        <w:t>集贤县区域内县级各基础通信运营企业应将相关信息及时通知与突发事件有关的政府及其部门、重要单位和用户，包括防汛、地震、反恐、核应急、机要、保密、安全、公安、武警、部队、医疗救护、证券、民航、银行、海关、铁路、税务、电力、交通等部门。</w:t>
      </w:r>
    </w:p>
    <w:p w14:paraId="75996023">
      <w:pPr>
        <w:pStyle w:val="4"/>
        <w:numPr>
          <w:ilvl w:val="2"/>
          <w:numId w:val="243"/>
        </w:numPr>
        <w:tabs>
          <w:tab w:val="left" w:pos="0"/>
        </w:tabs>
        <w:rPr>
          <w:rFonts w:ascii="仿宋_GB2312" w:hAnsi="仿宋_GB2312" w:eastAsia="仿宋_GB2312" w:cs="仿宋_GB2312"/>
        </w:rPr>
      </w:pPr>
      <w:r>
        <w:rPr>
          <w:rFonts w:hint="eastAsia" w:ascii="仿宋_GB2312" w:hAnsi="仿宋_GB2312" w:eastAsia="仿宋_GB2312" w:cs="仿宋_GB2312"/>
        </w:rPr>
        <w:t>通信保障应急任务下达</w:t>
      </w:r>
    </w:p>
    <w:p w14:paraId="3ABD61D2">
      <w:pPr>
        <w:ind w:firstLine="632"/>
      </w:pPr>
      <w:r>
        <w:rPr>
          <w:rFonts w:hint="eastAsia"/>
        </w:rPr>
        <w:t>Ⅰ、Ⅱ级响应时，由双鸭山市通信保障应急工作协调办公室根据黑龙江省通信保障应急工作办公室下达的应急任务通知书（Ⅰ级响应）或双鸭山市人民政府有关部门下达的通信保障应急任务通知书（Ⅱ级响应）或双鸭山市通信保障应急工作协调小组的指示或批示，以文件或传真形式下达任务通知书。接到任务通知书后，集贤县通信保障应急工作领导小组及其办公室启动预案，并通知各单位应立即贯彻，责成县域内的相关基础通信运营企业成立现场通信保障应急指挥机构，并组织人员进行通信保障和通信恢复工作。任务下达流程见图3。</w:t>
      </w:r>
    </w:p>
    <w:p w14:paraId="09326AD7">
      <w:pPr>
        <w:ind w:firstLine="632"/>
      </w:pPr>
      <w:r>
        <w:rPr>
          <w:rFonts w:hint="eastAsia"/>
        </w:rPr>
        <w:t>Ⅲ级响应时，由集贤县通信保障应急工作领导小组及其办公室下达的通信保障应急任务通知书（Ⅲ级响应）或集贤县通信保障应急工作领导小组的指示或批示，以文件或传真形式，向相应的县级各基础通信运营企业应急管理机构下达任务通知书。接到任务通知书后，各单位应立即贯彻，成立现场通信保障应急指挥机构，并组织人员进行通信保障和通信恢复工作。</w:t>
      </w:r>
    </w:p>
    <w:p w14:paraId="4CEBC185">
      <w:pPr>
        <w:pStyle w:val="4"/>
        <w:numPr>
          <w:ilvl w:val="2"/>
          <w:numId w:val="243"/>
        </w:numPr>
        <w:tabs>
          <w:tab w:val="left" w:pos="0"/>
        </w:tabs>
        <w:rPr>
          <w:rFonts w:ascii="仿宋_GB2312" w:hAnsi="仿宋_GB2312" w:eastAsia="仿宋_GB2312" w:cs="仿宋_GB2312"/>
        </w:rPr>
      </w:pPr>
      <w:r>
        <w:rPr>
          <w:rFonts w:hint="eastAsia" w:ascii="仿宋_GB2312" w:hAnsi="仿宋_GB2312" w:eastAsia="仿宋_GB2312" w:cs="仿宋_GB2312"/>
        </w:rPr>
        <w:t>通信保障应急工作要求</w:t>
      </w:r>
    </w:p>
    <w:p w14:paraId="506C4728">
      <w:pPr>
        <w:ind w:firstLine="632"/>
      </w:pPr>
      <w:r>
        <w:rPr>
          <w:rFonts w:hint="eastAsia"/>
        </w:rPr>
        <w:t>相关县级各基础通信运营企业应急管理机构收到任务通知书后，应立即开展通信保障和通信恢复应急工作。具体要求如下：</w:t>
      </w:r>
    </w:p>
    <w:p w14:paraId="69E0E20D">
      <w:pPr>
        <w:numPr>
          <w:ilvl w:val="0"/>
          <w:numId w:val="247"/>
        </w:numPr>
        <w:ind w:firstLine="632"/>
      </w:pPr>
      <w:r>
        <w:rPr>
          <w:rFonts w:hint="eastAsia"/>
        </w:rPr>
        <w:t>通信保障及抢修遵循先重点、后一般的原则，具体顺序：</w:t>
      </w:r>
    </w:p>
    <w:p w14:paraId="5910D686">
      <w:pPr>
        <w:ind w:firstLine="632"/>
      </w:pPr>
      <w:r>
        <w:rPr>
          <w:rFonts w:hint="eastAsia"/>
        </w:rPr>
        <w:t>a．中央、省领导专线；</w:t>
      </w:r>
    </w:p>
    <w:p w14:paraId="11AB0649">
      <w:pPr>
        <w:ind w:firstLine="632"/>
      </w:pPr>
      <w:r>
        <w:rPr>
          <w:rFonts w:hint="eastAsia"/>
        </w:rPr>
        <w:t>b．突发事件处理指挥机构通信电路；</w:t>
      </w:r>
    </w:p>
    <w:p w14:paraId="2A8146A9">
      <w:pPr>
        <w:ind w:firstLine="632"/>
      </w:pPr>
      <w:r>
        <w:rPr>
          <w:rFonts w:hint="eastAsia"/>
        </w:rPr>
        <w:t>c．市、县党政专网电路；</w:t>
      </w:r>
    </w:p>
    <w:p w14:paraId="6E44BBE5">
      <w:pPr>
        <w:ind w:firstLine="632"/>
      </w:pPr>
      <w:r>
        <w:rPr>
          <w:rFonts w:hint="eastAsia"/>
        </w:rPr>
        <w:t>d．保密、机要、安全、武警、军队、核应急等重要部门租用电路；</w:t>
      </w:r>
    </w:p>
    <w:p w14:paraId="16C3BDA5">
      <w:pPr>
        <w:ind w:firstLine="632"/>
      </w:pPr>
      <w:r>
        <w:rPr>
          <w:rFonts w:hint="eastAsia"/>
        </w:rPr>
        <w:t>e．地震、防火、防汛、气象、医疗急救等部门租用的与防震、防火、防汛、气象信息发布、医疗急救等有关的电路；</w:t>
      </w:r>
    </w:p>
    <w:p w14:paraId="173142A8">
      <w:pPr>
        <w:ind w:firstLine="632"/>
      </w:pPr>
      <w:r>
        <w:rPr>
          <w:rFonts w:hint="eastAsia"/>
        </w:rPr>
        <w:t>f．金融、证券、民航、海关、铁路、税务、电力、交通等与国民经济密切相关部门租用的电路；</w:t>
      </w:r>
    </w:p>
    <w:p w14:paraId="40C78881">
      <w:pPr>
        <w:ind w:firstLine="632"/>
      </w:pPr>
      <w:r>
        <w:rPr>
          <w:rFonts w:hint="eastAsia"/>
        </w:rPr>
        <w:t>g．其他需要保障的重要通信电路。</w:t>
      </w:r>
    </w:p>
    <w:p w14:paraId="2354A42A">
      <w:pPr>
        <w:numPr>
          <w:ilvl w:val="0"/>
          <w:numId w:val="247"/>
        </w:numPr>
        <w:ind w:firstLine="632"/>
      </w:pPr>
      <w:r>
        <w:rPr>
          <w:rFonts w:hint="eastAsia"/>
        </w:rPr>
        <w:t>应急通信系统应保持良好状态，应急相关工作人员实行24小时值班，主要负责人和管理人员的手机24小时开机，保证能随时联系，所有人员应坚守工作岗位待命。</w:t>
      </w:r>
    </w:p>
    <w:p w14:paraId="3B02B408">
      <w:pPr>
        <w:numPr>
          <w:ilvl w:val="0"/>
          <w:numId w:val="247"/>
        </w:numPr>
        <w:ind w:firstLine="632"/>
      </w:pPr>
      <w:r>
        <w:rPr>
          <w:rFonts w:hint="eastAsia"/>
        </w:rPr>
        <w:t>主动与上级有关部门联系，及时通报有关情况；特别重大、重大通信事故涉及市外网络或需要其他地市支援的，立即以书面形式报告集贤县通信保障应急工作协调办公室和双鸭山市通信保障应急工作协调小组，由双鸭山市通信保障应急工作协调小组上报黑龙江省通信保障应急工作办公室。</w:t>
      </w:r>
    </w:p>
    <w:p w14:paraId="7A7DCA9E">
      <w:pPr>
        <w:numPr>
          <w:ilvl w:val="0"/>
          <w:numId w:val="247"/>
        </w:numPr>
        <w:ind w:firstLine="632"/>
      </w:pPr>
      <w:r>
        <w:rPr>
          <w:rFonts w:hint="eastAsia"/>
        </w:rPr>
        <w:t>相关各基础通信运营企业在执行通信保障任务和通信恢复过程中，应顾全大局，积极搞好企业间的协作配合，必要时由集贤县通信保障应急工作协调办公室进行统一协调。</w:t>
      </w:r>
    </w:p>
    <w:p w14:paraId="6F0CCB08">
      <w:pPr>
        <w:numPr>
          <w:ilvl w:val="0"/>
          <w:numId w:val="247"/>
        </w:numPr>
        <w:ind w:firstLine="632"/>
      </w:pPr>
      <w:r>
        <w:rPr>
          <w:rFonts w:hint="eastAsia"/>
        </w:rPr>
        <w:t>在紧急情况下，集贤县通信保障应急工作协调办公室可以直接调度应急机动通信系统。</w:t>
      </w:r>
    </w:p>
    <w:p w14:paraId="5F0C0387">
      <w:pPr>
        <w:numPr>
          <w:ilvl w:val="0"/>
          <w:numId w:val="247"/>
        </w:numPr>
        <w:ind w:firstLine="632"/>
      </w:pPr>
      <w:r>
        <w:rPr>
          <w:rFonts w:hint="eastAsia"/>
        </w:rPr>
        <w:t>在组织执行任务过程中，当集贤县通信保障应急工作领导小组及其办公室与各基础通信运营企业省级公司在领导指挥上出现交叉时，应以集贤县通信保障应急工作领导小组为主。</w:t>
      </w:r>
    </w:p>
    <w:p w14:paraId="44A47469">
      <w:pPr>
        <w:numPr>
          <w:ilvl w:val="0"/>
          <w:numId w:val="247"/>
        </w:numPr>
        <w:ind w:firstLine="632"/>
      </w:pPr>
      <w:r>
        <w:rPr>
          <w:rFonts w:hint="eastAsia"/>
        </w:rPr>
        <w:t>在组织执行任务过程中，现场通信保障应急指挥机构应及时上报任务执行情况。</w:t>
      </w:r>
    </w:p>
    <w:p w14:paraId="191247B6">
      <w:pPr>
        <w:pStyle w:val="4"/>
        <w:numPr>
          <w:ilvl w:val="2"/>
          <w:numId w:val="243"/>
        </w:numPr>
        <w:tabs>
          <w:tab w:val="left" w:pos="0"/>
        </w:tabs>
        <w:rPr>
          <w:rFonts w:ascii="仿宋_GB2312" w:hAnsi="仿宋_GB2312" w:eastAsia="仿宋_GB2312" w:cs="仿宋_GB2312"/>
        </w:rPr>
      </w:pPr>
      <w:r>
        <w:rPr>
          <w:rFonts w:hint="eastAsia" w:ascii="仿宋_GB2312" w:hAnsi="仿宋_GB2312" w:eastAsia="仿宋_GB2312" w:cs="仿宋_GB2312"/>
        </w:rPr>
        <w:t>通信保障应急任务结束</w:t>
      </w:r>
    </w:p>
    <w:p w14:paraId="6684F76B">
      <w:pPr>
        <w:ind w:firstLine="632"/>
      </w:pPr>
      <w:r>
        <w:rPr>
          <w:rFonts w:hint="eastAsia"/>
        </w:rPr>
        <w:t>通信保障和通信恢复应急工作任务完成后，由双鸭山市通信保障应急工作协调小组或集贤县通信保障应急工作领导小组及其办公室下达解除任务通知书，现场应急通信指挥机构接到通知书后任务正式结束。</w:t>
      </w:r>
    </w:p>
    <w:p w14:paraId="70B104E5">
      <w:pPr>
        <w:ind w:firstLine="632"/>
      </w:pPr>
      <w:r>
        <w:rPr>
          <w:rFonts w:hint="eastAsia"/>
        </w:rPr>
        <w:t>调查、处理、后果评估与监督检查集贤县通信保障应急工作协调小组各成员单位应积极配合信息产业部和黑龙江省人民政府、黑龙江省通信管理局对特别重大、重大通信事故原因进行调查、分析和处理，对事故后果进行评估，查清事故责任并做出处理。</w:t>
      </w:r>
    </w:p>
    <w:p w14:paraId="7CF61D6E">
      <w:pPr>
        <w:pStyle w:val="4"/>
        <w:numPr>
          <w:ilvl w:val="2"/>
          <w:numId w:val="243"/>
        </w:numPr>
        <w:tabs>
          <w:tab w:val="left" w:pos="0"/>
        </w:tabs>
        <w:rPr>
          <w:rFonts w:ascii="仿宋_GB2312" w:hAnsi="仿宋_GB2312" w:eastAsia="仿宋_GB2312" w:cs="仿宋_GB2312"/>
        </w:rPr>
      </w:pPr>
      <w:r>
        <w:rPr>
          <w:rFonts w:hint="eastAsia" w:ascii="仿宋_GB2312" w:hAnsi="仿宋_GB2312" w:eastAsia="仿宋_GB2312" w:cs="仿宋_GB2312"/>
        </w:rPr>
        <w:t>信息发布</w:t>
      </w:r>
    </w:p>
    <w:p w14:paraId="75F8B898">
      <w:pPr>
        <w:ind w:firstLine="632"/>
      </w:pPr>
      <w:r>
        <w:rPr>
          <w:rFonts w:hint="eastAsia"/>
        </w:rPr>
        <w:t>信息产业部负责特别重大突发通信事故有关信息发布工作，黑龙江省通信管理局负责重大突发通信事故有关信息发布工作。必要时双鸭山市通信保障应急工作协调小组经黑龙江省通信管理局授权可进行重大突发通信事故有关信息发布工作。信息发布工作坚持实事求是、把握适度、内外有别的原则，统一信息发布口径。</w:t>
      </w:r>
    </w:p>
    <w:p w14:paraId="788C1F17">
      <w:pPr>
        <w:pStyle w:val="4"/>
        <w:numPr>
          <w:ilvl w:val="2"/>
          <w:numId w:val="243"/>
        </w:numPr>
        <w:tabs>
          <w:tab w:val="left" w:pos="0"/>
        </w:tabs>
        <w:rPr>
          <w:rFonts w:ascii="仿宋_GB2312" w:hAnsi="仿宋_GB2312" w:eastAsia="仿宋_GB2312" w:cs="仿宋_GB2312"/>
        </w:rPr>
      </w:pPr>
      <w:r>
        <w:rPr>
          <w:rFonts w:hint="eastAsia" w:ascii="仿宋_GB2312" w:hAnsi="仿宋_GB2312" w:eastAsia="仿宋_GB2312" w:cs="仿宋_GB2312"/>
        </w:rPr>
        <w:t>通信联络</w:t>
      </w:r>
    </w:p>
    <w:p w14:paraId="1C097A53">
      <w:pPr>
        <w:ind w:firstLine="632"/>
      </w:pPr>
      <w:r>
        <w:rPr>
          <w:rFonts w:hint="eastAsia"/>
        </w:rPr>
        <w:t>在突发事件应急响应过程中，各基础通信运营企业要确保应急处置机构之间和部门之间的通信联络通畅。通信联系方式主要采用固定电话、移动电话、会议电视、传真以及其他专用通信工具；涉及国家机密的，应采用保密电话、保密传真联系。</w:t>
      </w:r>
    </w:p>
    <w:p w14:paraId="57943133">
      <w:pPr>
        <w:pStyle w:val="2"/>
        <w:numPr>
          <w:ilvl w:val="0"/>
          <w:numId w:val="243"/>
        </w:numPr>
        <w:tabs>
          <w:tab w:val="left" w:pos="0"/>
        </w:tabs>
      </w:pPr>
      <w:bookmarkStart w:id="1590" w:name="_Toc6607"/>
      <w:r>
        <w:rPr>
          <w:rFonts w:hint="eastAsia"/>
        </w:rPr>
        <w:t>后期处置</w:t>
      </w:r>
      <w:bookmarkEnd w:id="1590"/>
    </w:p>
    <w:p w14:paraId="5273042B">
      <w:pPr>
        <w:pStyle w:val="3"/>
      </w:pPr>
      <w:r>
        <w:rPr>
          <w:rFonts w:hint="eastAsia"/>
        </w:rPr>
        <w:t>情况汇报和经验总结</w:t>
      </w:r>
    </w:p>
    <w:p w14:paraId="2B39CCD8">
      <w:pPr>
        <w:ind w:firstLine="632"/>
      </w:pPr>
      <w:r>
        <w:rPr>
          <w:rFonts w:hint="eastAsia"/>
        </w:rPr>
        <w:t>通信保障和通信恢复应急任务结束后，集贤县通信保障应急工作领导小组及其办公室应做好突发事件中公共通信网络设施损失情况的统计、汇总及任务完成情况的总结和汇报，不断改进通信保障应急工作。</w:t>
      </w:r>
    </w:p>
    <w:p w14:paraId="5CBD0EC1">
      <w:pPr>
        <w:pStyle w:val="3"/>
      </w:pPr>
      <w:bookmarkStart w:id="1591" w:name="_Toc10641"/>
      <w:r>
        <w:rPr>
          <w:rFonts w:hint="eastAsia"/>
        </w:rPr>
        <w:t>奖惩评定及表彰</w:t>
      </w:r>
      <w:bookmarkEnd w:id="1591"/>
    </w:p>
    <w:p w14:paraId="2AF31463">
      <w:pPr>
        <w:ind w:firstLine="632"/>
      </w:pPr>
      <w:r>
        <w:rPr>
          <w:rFonts w:hint="eastAsia"/>
        </w:rPr>
        <w:t>为提高通信保障应急工作效率和积极性，按照有关规定，对在通信保障和通信恢复应急过程中表现突出的单位和个人给予表彰；对保障不力，给国家和企业造成损失的单位和个人建议有关部门对其进行惩处。</w:t>
      </w:r>
    </w:p>
    <w:p w14:paraId="40ED52DC">
      <w:pPr>
        <w:pStyle w:val="2"/>
        <w:numPr>
          <w:ilvl w:val="0"/>
          <w:numId w:val="243"/>
        </w:numPr>
        <w:tabs>
          <w:tab w:val="left" w:pos="0"/>
        </w:tabs>
      </w:pPr>
      <w:bookmarkStart w:id="1592" w:name="_Toc23998"/>
      <w:r>
        <w:t>应急保障</w:t>
      </w:r>
      <w:bookmarkEnd w:id="1592"/>
    </w:p>
    <w:p w14:paraId="27DBC08B">
      <w:pPr>
        <w:pStyle w:val="3"/>
      </w:pPr>
      <w:bookmarkStart w:id="1593" w:name="_Toc7863"/>
      <w:r>
        <w:rPr>
          <w:rFonts w:hint="eastAsia"/>
        </w:rPr>
        <w:t>通信保障应急队伍</w:t>
      </w:r>
      <w:bookmarkEnd w:id="1593"/>
    </w:p>
    <w:p w14:paraId="186CB99A">
      <w:pPr>
        <w:ind w:firstLine="632"/>
      </w:pPr>
      <w:r>
        <w:rPr>
          <w:rFonts w:hint="eastAsia"/>
        </w:rPr>
        <w:t>通信保障应急队伍由县级基础通信运营企业的网络管理、运行维护、工程及应急机动通信保障机构组成。集贤县内各基础通信运营企业应不断加强通信保障应急队伍的建设，以满足全县通信保障和通信恢复应急工作的需要。</w:t>
      </w:r>
    </w:p>
    <w:p w14:paraId="46989E4C">
      <w:pPr>
        <w:pStyle w:val="3"/>
      </w:pPr>
      <w:bookmarkStart w:id="1594" w:name="_Toc5520"/>
      <w:r>
        <w:rPr>
          <w:rFonts w:hint="eastAsia"/>
        </w:rPr>
        <w:t>物资保障</w:t>
      </w:r>
      <w:bookmarkEnd w:id="1594"/>
    </w:p>
    <w:p w14:paraId="78402CB8">
      <w:pPr>
        <w:ind w:firstLine="632"/>
      </w:pPr>
      <w:r>
        <w:rPr>
          <w:rFonts w:hint="eastAsia"/>
        </w:rPr>
        <w:t>县级各基础电信运营企业应建立必要的通信保障应急资源的保障机制，并按照通信保障应急工作需要配备必要的通信保障应急装备，加强对应急资源及装备的管理、维护和保养，以备随时紧急调用。</w:t>
      </w:r>
    </w:p>
    <w:p w14:paraId="21F39421">
      <w:pPr>
        <w:pStyle w:val="3"/>
      </w:pPr>
      <w:bookmarkStart w:id="1595" w:name="_Toc5589"/>
      <w:r>
        <w:rPr>
          <w:rFonts w:hint="eastAsia"/>
        </w:rPr>
        <w:t>必备资料</w:t>
      </w:r>
      <w:bookmarkEnd w:id="1595"/>
    </w:p>
    <w:p w14:paraId="2A9B4631">
      <w:pPr>
        <w:ind w:firstLine="632"/>
      </w:pPr>
      <w:r>
        <w:rPr>
          <w:rFonts w:hint="eastAsia"/>
        </w:rPr>
        <w:t>县级各基础通信运营企业通信保障应急管理机制必须备有以下资料：</w:t>
      </w:r>
    </w:p>
    <w:p w14:paraId="0BDC7646">
      <w:pPr>
        <w:numPr>
          <w:ilvl w:val="0"/>
          <w:numId w:val="248"/>
        </w:numPr>
        <w:ind w:firstLine="632"/>
      </w:pPr>
      <w:r>
        <w:rPr>
          <w:rFonts w:hint="eastAsia"/>
        </w:rPr>
        <w:t>1:600万全国地图，1:50万省、设区的市和县（市、区）地图；</w:t>
      </w:r>
    </w:p>
    <w:p w14:paraId="3B525818">
      <w:pPr>
        <w:numPr>
          <w:ilvl w:val="0"/>
          <w:numId w:val="248"/>
        </w:numPr>
        <w:ind w:firstLine="632"/>
      </w:pPr>
      <w:r>
        <w:rPr>
          <w:rFonts w:hint="eastAsia"/>
        </w:rPr>
        <w:t>各种通信保障应急预案、通信调度预案和异常情况处理流程图；</w:t>
      </w:r>
    </w:p>
    <w:p w14:paraId="6CBFE3F1">
      <w:pPr>
        <w:numPr>
          <w:ilvl w:val="0"/>
          <w:numId w:val="248"/>
        </w:numPr>
        <w:ind w:firstLine="632"/>
      </w:pPr>
      <w:r>
        <w:rPr>
          <w:rFonts w:hint="eastAsia"/>
        </w:rPr>
        <w:t>通信保障应急物资储备器材的型号、数量、存放地点等清单；</w:t>
      </w:r>
    </w:p>
    <w:p w14:paraId="22290CEF">
      <w:pPr>
        <w:numPr>
          <w:ilvl w:val="0"/>
          <w:numId w:val="248"/>
        </w:numPr>
        <w:ind w:firstLine="632"/>
      </w:pPr>
      <w:r>
        <w:rPr>
          <w:rFonts w:hint="eastAsia"/>
        </w:rPr>
        <w:t>相关单位、部门及主管领导联系方式。</w:t>
      </w:r>
    </w:p>
    <w:p w14:paraId="120B393B">
      <w:pPr>
        <w:pStyle w:val="3"/>
      </w:pPr>
      <w:bookmarkStart w:id="1596" w:name="_Toc19059"/>
      <w:r>
        <w:rPr>
          <w:rFonts w:hint="eastAsia"/>
        </w:rPr>
        <w:t>技术储备与保障</w:t>
      </w:r>
      <w:bookmarkEnd w:id="1596"/>
    </w:p>
    <w:p w14:paraId="44C3934E">
      <w:pPr>
        <w:ind w:firstLine="632"/>
      </w:pPr>
      <w:r>
        <w:rPr>
          <w:rFonts w:hint="eastAsia"/>
        </w:rPr>
        <w:t>集贤县通信保障应急工作领导小组及其办公室在平时应加强技术储备与保障管理工作，主要依托县级各基础通信运营企业的专家技术力量，积极争取上级有关研究机构支持和指导，建立通信保障应急管理机构与专家的日常联系和信息沟通机制，在决策重大通信保障和通信恢复过程中认真听取专家意见和建议。适时组织相关专家和机构分析当前通信网络安全形势，对通信保障应急预案及实施进行评估，开展通信保障的现场研究，加强技术储备。</w:t>
      </w:r>
    </w:p>
    <w:p w14:paraId="6C0C87D1">
      <w:pPr>
        <w:pStyle w:val="3"/>
      </w:pPr>
      <w:bookmarkStart w:id="1597" w:name="_Toc13446"/>
      <w:r>
        <w:rPr>
          <w:rFonts w:hint="eastAsia"/>
        </w:rPr>
        <w:t>宣传、培训和演习</w:t>
      </w:r>
      <w:bookmarkEnd w:id="1597"/>
    </w:p>
    <w:p w14:paraId="4A4F2858">
      <w:pPr>
        <w:ind w:firstLine="632"/>
      </w:pPr>
      <w:r>
        <w:rPr>
          <w:rFonts w:hint="eastAsia"/>
        </w:rPr>
        <w:t>集贤县通信保障应急工作领导小组及其办公室和各基础通信运营企业通信保障应急管理机构应加强对通信网络安全和通信保障应急的宣传教育工作，定期或不定期地对有关通信保障应急指挥管理机构和保障人员进行技术培训和应急演练，保证应急预案的有效实施，不断提高通信保障应急能力。</w:t>
      </w:r>
    </w:p>
    <w:p w14:paraId="5AA154D7">
      <w:pPr>
        <w:pStyle w:val="3"/>
      </w:pPr>
      <w:bookmarkStart w:id="1598" w:name="_Toc9724"/>
      <w:r>
        <w:rPr>
          <w:rFonts w:hint="eastAsia"/>
        </w:rPr>
        <w:t>通信保障应急工作监督检查制度</w:t>
      </w:r>
      <w:bookmarkEnd w:id="1598"/>
    </w:p>
    <w:p w14:paraId="5402167E">
      <w:pPr>
        <w:ind w:firstLine="632"/>
      </w:pPr>
      <w:r>
        <w:rPr>
          <w:rFonts w:hint="eastAsia"/>
        </w:rPr>
        <w:t>集贤县通信保障应急工作领导小组及其办公室和各基础通信运营企业通信保障应急管理机构应加强对通信保障应急工作的监督和检查，做到居安思危、常备不懈。主要监督检查内容如下：</w:t>
      </w:r>
    </w:p>
    <w:p w14:paraId="2E8FAFEA">
      <w:pPr>
        <w:numPr>
          <w:ilvl w:val="0"/>
          <w:numId w:val="249"/>
        </w:numPr>
        <w:ind w:firstLine="632"/>
      </w:pPr>
      <w:r>
        <w:rPr>
          <w:rFonts w:hint="eastAsia"/>
        </w:rPr>
        <w:t>各类通信保障应急预案的制定、执行情况；</w:t>
      </w:r>
    </w:p>
    <w:p w14:paraId="032D0D02">
      <w:pPr>
        <w:numPr>
          <w:ilvl w:val="0"/>
          <w:numId w:val="249"/>
        </w:numPr>
        <w:ind w:firstLine="632"/>
      </w:pPr>
      <w:r>
        <w:rPr>
          <w:rFonts w:hint="eastAsia"/>
        </w:rPr>
        <w:t>通信保障应急工作的组织机构落实情况；</w:t>
      </w:r>
    </w:p>
    <w:p w14:paraId="721F837F">
      <w:pPr>
        <w:numPr>
          <w:ilvl w:val="0"/>
          <w:numId w:val="249"/>
        </w:numPr>
        <w:ind w:firstLine="632"/>
      </w:pPr>
      <w:r>
        <w:rPr>
          <w:rFonts w:hint="eastAsia"/>
        </w:rPr>
        <w:t>通信保障应急指挥、调度、通信值班等部门的责任落实情况；</w:t>
      </w:r>
    </w:p>
    <w:p w14:paraId="4A7E1236">
      <w:pPr>
        <w:numPr>
          <w:ilvl w:val="0"/>
          <w:numId w:val="249"/>
        </w:numPr>
        <w:ind w:firstLine="632"/>
      </w:pPr>
      <w:r>
        <w:rPr>
          <w:rFonts w:hint="eastAsia"/>
        </w:rPr>
        <w:t>各部门、各企业之间协作配合情况；</w:t>
      </w:r>
    </w:p>
    <w:p w14:paraId="48F48564">
      <w:pPr>
        <w:numPr>
          <w:ilvl w:val="0"/>
          <w:numId w:val="249"/>
        </w:numPr>
        <w:ind w:firstLine="632"/>
      </w:pPr>
      <w:r>
        <w:rPr>
          <w:rFonts w:hint="eastAsia"/>
        </w:rPr>
        <w:t>通信保障应急队伍建设情况；</w:t>
      </w:r>
    </w:p>
    <w:p w14:paraId="47F57DF9">
      <w:pPr>
        <w:numPr>
          <w:ilvl w:val="0"/>
          <w:numId w:val="249"/>
        </w:numPr>
        <w:ind w:firstLine="632"/>
      </w:pPr>
      <w:r>
        <w:rPr>
          <w:rFonts w:hint="eastAsia"/>
        </w:rPr>
        <w:t>通信保障应急预案的演练情况；</w:t>
      </w:r>
    </w:p>
    <w:p w14:paraId="42FC4DD0">
      <w:pPr>
        <w:numPr>
          <w:ilvl w:val="0"/>
          <w:numId w:val="249"/>
        </w:numPr>
        <w:ind w:firstLine="632"/>
      </w:pPr>
      <w:r>
        <w:rPr>
          <w:rFonts w:hint="eastAsia"/>
        </w:rPr>
        <w:t>通信保障应急所需物资、装备、器材及备品备件的储备情况；</w:t>
      </w:r>
    </w:p>
    <w:p w14:paraId="340757EB">
      <w:pPr>
        <w:numPr>
          <w:ilvl w:val="0"/>
          <w:numId w:val="249"/>
        </w:numPr>
        <w:ind w:firstLine="632"/>
      </w:pPr>
      <w:r>
        <w:rPr>
          <w:rFonts w:hint="eastAsia"/>
        </w:rPr>
        <w:t>通信事故处理后的原因分析、责任划分及改进防范措施等执行情况。</w:t>
      </w:r>
    </w:p>
    <w:p w14:paraId="420CFA0F">
      <w:pPr>
        <w:pStyle w:val="3"/>
      </w:pPr>
      <w:bookmarkStart w:id="1599" w:name="_Toc11326"/>
      <w:r>
        <w:rPr>
          <w:rFonts w:hint="eastAsia"/>
        </w:rPr>
        <w:t>需要其他部门保障的工作</w:t>
      </w:r>
      <w:bookmarkEnd w:id="1599"/>
    </w:p>
    <w:p w14:paraId="1B089A18">
      <w:pPr>
        <w:pStyle w:val="4"/>
        <w:numPr>
          <w:ilvl w:val="2"/>
          <w:numId w:val="243"/>
        </w:numPr>
        <w:tabs>
          <w:tab w:val="left" w:pos="0"/>
        </w:tabs>
        <w:rPr>
          <w:rFonts w:ascii="仿宋_GB2312" w:hAnsi="仿宋_GB2312" w:eastAsia="仿宋_GB2312" w:cs="仿宋_GB2312"/>
        </w:rPr>
      </w:pPr>
      <w:r>
        <w:rPr>
          <w:rFonts w:hint="eastAsia" w:ascii="仿宋_GB2312" w:hAnsi="仿宋_GB2312" w:eastAsia="仿宋_GB2312" w:cs="仿宋_GB2312"/>
        </w:rPr>
        <w:t>交通运输保障</w:t>
      </w:r>
    </w:p>
    <w:p w14:paraId="57DA2C9A">
      <w:pPr>
        <w:ind w:firstLine="632"/>
      </w:pPr>
      <w:r>
        <w:rPr>
          <w:rFonts w:hint="eastAsia"/>
        </w:rPr>
        <w:t>为保证突发事件发生时通信保障应急车辆及通信物资能够迅速抵达事发地点，公安、交通管理部门应为应急通信车辆配备足够的执行应急任务特许通行证。在特殊情况下，交通部门应负责为应急通信物资的调配提供必要的交通运输工具支持，以保证应急物资迅速到达。</w:t>
      </w:r>
    </w:p>
    <w:p w14:paraId="7C30402F">
      <w:pPr>
        <w:pStyle w:val="4"/>
        <w:numPr>
          <w:ilvl w:val="2"/>
          <w:numId w:val="243"/>
        </w:numPr>
        <w:tabs>
          <w:tab w:val="left" w:pos="0"/>
        </w:tabs>
        <w:rPr>
          <w:rFonts w:ascii="仿宋_GB2312" w:hAnsi="仿宋_GB2312" w:eastAsia="仿宋_GB2312" w:cs="仿宋_GB2312"/>
        </w:rPr>
      </w:pPr>
      <w:r>
        <w:rPr>
          <w:rFonts w:hint="eastAsia" w:ascii="仿宋_GB2312" w:hAnsi="仿宋_GB2312" w:eastAsia="仿宋_GB2312" w:cs="仿宋_GB2312"/>
        </w:rPr>
        <w:t>电力保障</w:t>
      </w:r>
    </w:p>
    <w:p w14:paraId="25017C5C">
      <w:pPr>
        <w:ind w:firstLine="632"/>
      </w:pPr>
      <w:r>
        <w:rPr>
          <w:rFonts w:hint="eastAsia"/>
        </w:rPr>
        <w:t>突发事件发生时，各级电力部门应优先保证通信设施的供电需求。</w:t>
      </w:r>
    </w:p>
    <w:p w14:paraId="5237BD5D">
      <w:pPr>
        <w:pStyle w:val="4"/>
        <w:numPr>
          <w:ilvl w:val="2"/>
          <w:numId w:val="243"/>
        </w:numPr>
        <w:tabs>
          <w:tab w:val="left" w:pos="0"/>
        </w:tabs>
        <w:rPr>
          <w:rFonts w:ascii="仿宋_GB2312" w:hAnsi="仿宋_GB2312" w:eastAsia="仿宋_GB2312" w:cs="仿宋_GB2312"/>
        </w:rPr>
      </w:pPr>
      <w:r>
        <w:rPr>
          <w:rFonts w:hint="eastAsia" w:ascii="仿宋_GB2312" w:hAnsi="仿宋_GB2312" w:eastAsia="仿宋_GB2312" w:cs="仿宋_GB2312"/>
        </w:rPr>
        <w:t>无线电管理保障</w:t>
      </w:r>
    </w:p>
    <w:p w14:paraId="3EB178AF">
      <w:pPr>
        <w:ind w:firstLine="632"/>
      </w:pPr>
      <w:r>
        <w:rPr>
          <w:rFonts w:hint="eastAsia"/>
        </w:rPr>
        <w:t>为保证突发事件发生时应急无线通信设备频率免受干扰，无线电管理部门应负责维护空中电波秩序。</w:t>
      </w:r>
    </w:p>
    <w:p w14:paraId="27156C5B">
      <w:pPr>
        <w:pStyle w:val="4"/>
        <w:numPr>
          <w:ilvl w:val="2"/>
          <w:numId w:val="243"/>
        </w:numPr>
        <w:tabs>
          <w:tab w:val="left" w:pos="0"/>
        </w:tabs>
        <w:rPr>
          <w:rFonts w:ascii="仿宋_GB2312" w:hAnsi="仿宋_GB2312" w:eastAsia="仿宋_GB2312" w:cs="仿宋_GB2312"/>
        </w:rPr>
      </w:pPr>
      <w:r>
        <w:rPr>
          <w:rFonts w:hint="eastAsia" w:ascii="仿宋_GB2312" w:hAnsi="仿宋_GB2312" w:eastAsia="仿宋_GB2312" w:cs="仿宋_GB2312"/>
        </w:rPr>
        <w:t>经费保障</w:t>
      </w:r>
    </w:p>
    <w:p w14:paraId="56259558">
      <w:pPr>
        <w:ind w:firstLine="632"/>
      </w:pPr>
      <w:r>
        <w:rPr>
          <w:rFonts w:hint="eastAsia"/>
        </w:rPr>
        <w:t>因通信事故造成的通信保障处置费用，由各基础通信运营企业承担。处置突发事件产生的通信保障费用，参照《集贤县财政应急保障预案》执行。</w:t>
      </w:r>
    </w:p>
    <w:p w14:paraId="3736BFAA">
      <w:pPr>
        <w:pStyle w:val="2"/>
        <w:numPr>
          <w:ilvl w:val="0"/>
          <w:numId w:val="243"/>
        </w:numPr>
        <w:tabs>
          <w:tab w:val="left" w:pos="0"/>
        </w:tabs>
      </w:pPr>
      <w:bookmarkStart w:id="1600" w:name="_Toc18917"/>
      <w:r>
        <w:rPr>
          <w:rFonts w:hint="eastAsia"/>
        </w:rPr>
        <w:t>附则</w:t>
      </w:r>
      <w:bookmarkEnd w:id="1600"/>
    </w:p>
    <w:p w14:paraId="22DB138D">
      <w:pPr>
        <w:pStyle w:val="3"/>
      </w:pPr>
      <w:bookmarkStart w:id="1601" w:name="_Toc4525"/>
      <w:r>
        <w:rPr>
          <w:rFonts w:hint="eastAsia"/>
        </w:rPr>
        <w:t>名词术语说明</w:t>
      </w:r>
      <w:bookmarkEnd w:id="1601"/>
    </w:p>
    <w:p w14:paraId="2F701276">
      <w:pPr>
        <w:numPr>
          <w:ilvl w:val="0"/>
          <w:numId w:val="250"/>
        </w:numPr>
        <w:ind w:firstLine="632"/>
        <w:rPr>
          <w:rFonts w:ascii="Times New Roman" w:hAnsi="Times New Roman"/>
        </w:rPr>
      </w:pPr>
      <w:r>
        <w:rPr>
          <w:rFonts w:hint="eastAsia" w:ascii="Times New Roman" w:hAnsi="Times New Roman"/>
        </w:rPr>
        <w:t>通信是指信息传递系统包括电信网络。</w:t>
      </w:r>
    </w:p>
    <w:p w14:paraId="1C3EC054">
      <w:pPr>
        <w:numPr>
          <w:ilvl w:val="0"/>
          <w:numId w:val="250"/>
        </w:numPr>
        <w:ind w:firstLine="632"/>
        <w:rPr>
          <w:rFonts w:ascii="Times New Roman" w:hAnsi="Times New Roman"/>
        </w:rPr>
      </w:pPr>
      <w:r>
        <w:rPr>
          <w:rFonts w:hint="eastAsia" w:ascii="Times New Roman" w:hAnsi="Times New Roman"/>
        </w:rPr>
        <w:t>特大通信事故是由突发事件造成的通信枢纽屡遭到破坏、大面积骨干网中断等情况。</w:t>
      </w:r>
    </w:p>
    <w:p w14:paraId="3EDE6F47">
      <w:pPr>
        <w:numPr>
          <w:ilvl w:val="0"/>
          <w:numId w:val="250"/>
        </w:numPr>
        <w:ind w:firstLine="632"/>
        <w:rPr>
          <w:rFonts w:ascii="Times New Roman" w:hAnsi="Times New Roman"/>
        </w:rPr>
      </w:pPr>
      <w:r>
        <w:rPr>
          <w:rFonts w:hint="eastAsia" w:ascii="Times New Roman" w:hAnsi="Times New Roman"/>
        </w:rPr>
        <w:t>县级通信运营企业是指中国电信集贤分公司、中国移动集贤分公司、中国联通集贤分公司、广电网络双鸭山集贤分公司、中国铁塔股份有限公司双鸭山市分公司（集贤办事处）等。</w:t>
      </w:r>
    </w:p>
    <w:p w14:paraId="763185CD">
      <w:pPr>
        <w:pStyle w:val="3"/>
        <w:tabs>
          <w:tab w:val="left" w:pos="0"/>
        </w:tabs>
        <w:rPr>
          <w:rFonts w:ascii="Times New Roman" w:hAnsi="Times New Roman"/>
          <w:szCs w:val="32"/>
        </w:rPr>
      </w:pPr>
      <w:bookmarkStart w:id="1602" w:name="_Toc11000"/>
      <w:r>
        <w:rPr>
          <w:rFonts w:hint="eastAsia" w:ascii="Times New Roman" w:hAnsi="Times New Roman"/>
          <w:szCs w:val="32"/>
        </w:rPr>
        <w:t>预案制定与解释</w:t>
      </w:r>
      <w:bookmarkEnd w:id="1602"/>
    </w:p>
    <w:p w14:paraId="58B265BB">
      <w:pPr>
        <w:ind w:firstLine="632"/>
        <w:rPr>
          <w:rFonts w:ascii="Times New Roman" w:hAnsi="Times New Roman"/>
        </w:rPr>
      </w:pPr>
      <w:r>
        <w:rPr>
          <w:rFonts w:hint="eastAsia" w:ascii="Times New Roman" w:hAnsi="Times New Roman"/>
        </w:rPr>
        <w:t>本预案由集贤县通信保障应急工作领导小组及其办公室根据实际情况及时修订，并报集贤县人民政府批准。</w:t>
      </w:r>
    </w:p>
    <w:p w14:paraId="22A22EDD">
      <w:pPr>
        <w:ind w:firstLine="632"/>
        <w:rPr>
          <w:rFonts w:ascii="Times New Roman" w:hAnsi="Times New Roman"/>
        </w:rPr>
      </w:pPr>
      <w:r>
        <w:rPr>
          <w:rFonts w:hint="eastAsia" w:ascii="Times New Roman" w:hAnsi="Times New Roman"/>
        </w:rPr>
        <w:t>本预案由集贤县通信保障应急工作领导小组办公室负责解释。</w:t>
      </w:r>
    </w:p>
    <w:p w14:paraId="67161716">
      <w:pPr>
        <w:pStyle w:val="3"/>
        <w:tabs>
          <w:tab w:val="left" w:pos="0"/>
        </w:tabs>
        <w:rPr>
          <w:rFonts w:ascii="Times New Roman" w:hAnsi="Times New Roman"/>
          <w:szCs w:val="32"/>
        </w:rPr>
      </w:pPr>
      <w:bookmarkStart w:id="1603" w:name="_Toc31519"/>
      <w:r>
        <w:rPr>
          <w:rFonts w:hint="eastAsia" w:ascii="Times New Roman" w:hAnsi="Times New Roman"/>
          <w:szCs w:val="32"/>
        </w:rPr>
        <w:t>预案中“以上”“以下”的含义</w:t>
      </w:r>
      <w:bookmarkEnd w:id="1603"/>
    </w:p>
    <w:p w14:paraId="54C6867E">
      <w:pPr>
        <w:ind w:firstLine="632"/>
        <w:rPr>
          <w:rFonts w:ascii="Times New Roman" w:hAnsi="Times New Roman"/>
        </w:rPr>
      </w:pPr>
      <w:r>
        <w:rPr>
          <w:rFonts w:hint="eastAsia" w:ascii="Times New Roman" w:hAnsi="Times New Roman"/>
        </w:rPr>
        <w:t>本预案有关数量的表述中，“以上”包含本数，“以下”不包含本数。</w:t>
      </w:r>
    </w:p>
    <w:p w14:paraId="467C4904">
      <w:pPr>
        <w:pStyle w:val="3"/>
        <w:tabs>
          <w:tab w:val="left" w:pos="0"/>
        </w:tabs>
        <w:rPr>
          <w:rFonts w:ascii="Times New Roman" w:hAnsi="Times New Roman"/>
          <w:szCs w:val="32"/>
        </w:rPr>
      </w:pPr>
      <w:bookmarkStart w:id="1604" w:name="_Toc11459"/>
      <w:r>
        <w:rPr>
          <w:rFonts w:hint="eastAsia" w:ascii="Times New Roman" w:hAnsi="Times New Roman"/>
          <w:szCs w:val="32"/>
        </w:rPr>
        <w:t>预案的实施</w:t>
      </w:r>
      <w:bookmarkEnd w:id="1604"/>
    </w:p>
    <w:p w14:paraId="5F5F03FE">
      <w:pPr>
        <w:ind w:firstLine="632"/>
      </w:pPr>
      <w:r>
        <w:rPr>
          <w:rFonts w:hint="eastAsia" w:ascii="Times New Roman" w:hAnsi="Times New Roman"/>
        </w:rPr>
        <w:t>本预案自发布之日起施行。</w:t>
      </w:r>
    </w:p>
    <w:p w14:paraId="0BAE8FFA">
      <w:pPr>
        <w:ind w:firstLine="0" w:firstLineChars="0"/>
      </w:pPr>
    </w:p>
    <w:p w14:paraId="105EC42A">
      <w:pPr>
        <w:pStyle w:val="15"/>
        <w:ind w:left="0" w:leftChars="0" w:firstLine="0" w:firstLineChars="0"/>
        <w:rPr>
          <w:rFonts w:ascii="Times New Roman" w:hAnsi="Times New Roman" w:cs="Times New Roman"/>
        </w:rPr>
        <w:sectPr>
          <w:headerReference r:id="rId178" w:type="default"/>
          <w:footerReference r:id="rId180" w:type="default"/>
          <w:headerReference r:id="rId179" w:type="even"/>
          <w:footerReference r:id="rId181" w:type="even"/>
          <w:pgSz w:w="11906" w:h="16838"/>
          <w:pgMar w:top="2154" w:right="1020" w:bottom="1984" w:left="1587" w:header="624" w:footer="850" w:gutter="0"/>
          <w:pgNumType w:start="1"/>
          <w:cols w:space="720" w:num="1"/>
          <w:docGrid w:type="linesAndChars" w:linePitch="579" w:charSpace="-842"/>
        </w:sectPr>
      </w:pPr>
    </w:p>
    <w:p w14:paraId="2FB2C4F6">
      <w:pPr>
        <w:ind w:firstLine="552"/>
        <w:rPr>
          <w:rFonts w:ascii="Times New Roman" w:hAnsi="Times New Roman" w:cs="Times New Roman"/>
        </w:rPr>
      </w:pPr>
    </w:p>
    <w:p w14:paraId="056D2644">
      <w:pPr>
        <w:ind w:firstLine="552"/>
        <w:rPr>
          <w:rFonts w:ascii="Times New Roman" w:hAnsi="Times New Roman" w:cs="Times New Roman"/>
        </w:rPr>
      </w:pPr>
    </w:p>
    <w:p w14:paraId="46FEF24A">
      <w:pPr>
        <w:pStyle w:val="13"/>
        <w:ind w:firstLine="632"/>
        <w:rPr>
          <w:rFonts w:ascii="Times New Roman" w:hAnsi="Times New Roman" w:cs="Times New Roman"/>
        </w:rPr>
      </w:pPr>
    </w:p>
    <w:p w14:paraId="7516E261">
      <w:pPr>
        <w:ind w:firstLine="552"/>
        <w:rPr>
          <w:rFonts w:ascii="Times New Roman" w:hAnsi="Times New Roman" w:cs="Times New Roman"/>
        </w:rPr>
      </w:pPr>
    </w:p>
    <w:p w14:paraId="6CAF28CF">
      <w:pPr>
        <w:ind w:firstLine="0" w:firstLineChars="0"/>
        <w:jc w:val="center"/>
        <w:rPr>
          <w:rFonts w:ascii="Times New Roman" w:hAnsi="Times New Roman" w:eastAsia="楷体" w:cs="Times New Roman"/>
          <w:b/>
          <w:bCs/>
          <w:sz w:val="72"/>
          <w:szCs w:val="72"/>
        </w:rPr>
      </w:pPr>
      <w:r>
        <w:rPr>
          <w:rFonts w:ascii="Times New Roman" w:hAnsi="Times New Roman" w:eastAsia="方正小标宋简体" w:cs="Times New Roman"/>
          <w:bCs/>
          <w:color w:val="000000"/>
          <w:spacing w:val="-6"/>
          <w:kern w:val="0"/>
          <w:sz w:val="52"/>
          <w:szCs w:val="52"/>
          <w:lang w:bidi="ar"/>
        </w:rPr>
        <w:t>集贤县突发事件交通运输保障应急预案</w:t>
      </w:r>
    </w:p>
    <w:p w14:paraId="58607928">
      <w:pPr>
        <w:pStyle w:val="11"/>
        <w:ind w:firstLine="0" w:firstLineChars="0"/>
        <w:jc w:val="center"/>
        <w:rPr>
          <w:rFonts w:ascii="Times New Roman" w:hAnsi="Times New Roman" w:eastAsia="楷体_GB2312" w:cs="Times New Roman"/>
          <w:b/>
          <w:sz w:val="52"/>
          <w:szCs w:val="52"/>
        </w:rPr>
      </w:pPr>
      <w:r>
        <w:rPr>
          <w:rFonts w:hint="eastAsia" w:ascii="仿宋_GB2312" w:hAnsi="仿宋_GB2312" w:cs="仿宋_GB2312"/>
          <w:bCs/>
          <w:sz w:val="48"/>
          <w:szCs w:val="48"/>
        </w:rPr>
        <w:t>（修订稿）</w:t>
      </w:r>
    </w:p>
    <w:p w14:paraId="0E265143">
      <w:pPr>
        <w:pStyle w:val="11"/>
        <w:ind w:firstLine="0" w:firstLineChars="0"/>
        <w:jc w:val="center"/>
        <w:rPr>
          <w:rFonts w:ascii="Times New Roman" w:hAnsi="Times New Roman" w:eastAsia="黑体" w:cs="Times New Roman"/>
          <w:sz w:val="52"/>
          <w:szCs w:val="52"/>
        </w:rPr>
      </w:pPr>
    </w:p>
    <w:p w14:paraId="62B1CC1D">
      <w:pPr>
        <w:pStyle w:val="11"/>
        <w:ind w:firstLine="0" w:firstLineChars="0"/>
        <w:jc w:val="center"/>
        <w:rPr>
          <w:rFonts w:ascii="Times New Roman" w:hAnsi="Times New Roman" w:eastAsia="黑体" w:cs="Times New Roman"/>
          <w:sz w:val="52"/>
          <w:szCs w:val="52"/>
        </w:rPr>
      </w:pPr>
    </w:p>
    <w:p w14:paraId="1B3793FA">
      <w:pPr>
        <w:pStyle w:val="11"/>
        <w:ind w:firstLine="0" w:firstLineChars="0"/>
        <w:jc w:val="center"/>
        <w:rPr>
          <w:rFonts w:ascii="Times New Roman" w:hAnsi="Times New Roman" w:eastAsia="黑体" w:cs="Times New Roman"/>
          <w:sz w:val="52"/>
          <w:szCs w:val="52"/>
        </w:rPr>
      </w:pPr>
    </w:p>
    <w:p w14:paraId="4660A1B0">
      <w:pPr>
        <w:pStyle w:val="11"/>
        <w:ind w:firstLine="0" w:firstLineChars="0"/>
        <w:jc w:val="center"/>
        <w:rPr>
          <w:rFonts w:ascii="Times New Roman" w:hAnsi="Times New Roman" w:eastAsia="黑体" w:cs="Times New Roman"/>
          <w:sz w:val="52"/>
          <w:szCs w:val="52"/>
        </w:rPr>
      </w:pPr>
    </w:p>
    <w:p w14:paraId="357512EA">
      <w:pPr>
        <w:pStyle w:val="11"/>
        <w:ind w:firstLine="0" w:firstLineChars="0"/>
        <w:jc w:val="center"/>
        <w:rPr>
          <w:rFonts w:ascii="Times New Roman" w:hAnsi="Times New Roman" w:eastAsia="楷体_GB2312" w:cs="Times New Roman"/>
          <w:spacing w:val="-12"/>
          <w:sz w:val="44"/>
          <w:szCs w:val="44"/>
        </w:rPr>
      </w:pPr>
    </w:p>
    <w:p w14:paraId="6B747365">
      <w:pPr>
        <w:pStyle w:val="11"/>
        <w:ind w:firstLine="0" w:firstLineChars="0"/>
        <w:jc w:val="center"/>
        <w:rPr>
          <w:rFonts w:ascii="Times New Roman" w:hAnsi="Times New Roman" w:eastAsia="楷体_GB2312" w:cs="Times New Roman"/>
          <w:spacing w:val="-12"/>
          <w:sz w:val="44"/>
          <w:szCs w:val="44"/>
        </w:rPr>
      </w:pPr>
    </w:p>
    <w:p w14:paraId="1162B7B3">
      <w:pPr>
        <w:pStyle w:val="11"/>
        <w:ind w:firstLine="0" w:firstLineChars="0"/>
        <w:jc w:val="center"/>
        <w:rPr>
          <w:rFonts w:ascii="Times New Roman" w:hAnsi="Times New Roman" w:eastAsia="楷体_GB2312" w:cs="Times New Roman"/>
          <w:spacing w:val="-12"/>
          <w:sz w:val="44"/>
          <w:szCs w:val="44"/>
        </w:rPr>
      </w:pPr>
    </w:p>
    <w:p w14:paraId="5E150AEC">
      <w:pPr>
        <w:pStyle w:val="11"/>
        <w:ind w:firstLine="0" w:firstLineChars="0"/>
        <w:jc w:val="center"/>
        <w:rPr>
          <w:rFonts w:ascii="Times New Roman" w:hAnsi="Times New Roman" w:eastAsia="楷体_GB2312" w:cs="Times New Roman"/>
          <w:spacing w:val="-12"/>
          <w:sz w:val="44"/>
          <w:szCs w:val="44"/>
        </w:rPr>
      </w:pPr>
    </w:p>
    <w:p w14:paraId="03E30C28">
      <w:pPr>
        <w:ind w:firstLine="0" w:firstLineChars="0"/>
        <w:jc w:val="center"/>
        <w:rPr>
          <w:rFonts w:ascii="Times New Roman" w:hAnsi="Times New Roman" w:cs="Times New Roman"/>
          <w:bCs/>
          <w:spacing w:val="-6"/>
          <w:sz w:val="36"/>
          <w:szCs w:val="24"/>
          <w:lang w:bidi="ar"/>
        </w:rPr>
      </w:pPr>
      <w:r>
        <w:rPr>
          <w:rFonts w:ascii="Times New Roman" w:hAnsi="Times New Roman" w:cs="Times New Roman"/>
          <w:bCs/>
          <w:spacing w:val="-6"/>
          <w:sz w:val="36"/>
          <w:szCs w:val="24"/>
          <w:lang w:bidi="ar"/>
        </w:rPr>
        <w:t>集贤县人民政府 编制</w:t>
      </w:r>
    </w:p>
    <w:p w14:paraId="4DF07758">
      <w:pPr>
        <w:ind w:firstLine="0" w:firstLineChars="0"/>
        <w:jc w:val="center"/>
        <w:rPr>
          <w:rFonts w:ascii="Times New Roman" w:hAnsi="Times New Roman" w:cs="Times New Roman"/>
          <w:bCs/>
          <w:spacing w:val="-6"/>
          <w:sz w:val="36"/>
          <w:szCs w:val="24"/>
          <w:lang w:bidi="ar"/>
        </w:rPr>
      </w:pPr>
      <w:r>
        <w:rPr>
          <w:rFonts w:ascii="Times New Roman" w:hAnsi="Times New Roman" w:cs="Times New Roman"/>
          <w:bCs/>
          <w:spacing w:val="-6"/>
          <w:sz w:val="36"/>
          <w:szCs w:val="24"/>
          <w:lang w:bidi="ar"/>
        </w:rPr>
        <w:t>2025年5月</w:t>
      </w:r>
    </w:p>
    <w:p w14:paraId="4DE68FD4">
      <w:pPr>
        <w:ind w:firstLine="688"/>
        <w:rPr>
          <w:rFonts w:ascii="Times New Roman" w:hAnsi="Times New Roman" w:cs="Times New Roman"/>
          <w:bCs/>
          <w:spacing w:val="-6"/>
          <w:sz w:val="36"/>
          <w:szCs w:val="24"/>
          <w:lang w:bidi="ar"/>
        </w:rPr>
      </w:pPr>
      <w:r>
        <w:rPr>
          <w:rFonts w:ascii="Times New Roman" w:hAnsi="Times New Roman" w:cs="Times New Roman"/>
          <w:bCs/>
          <w:spacing w:val="-6"/>
          <w:sz w:val="36"/>
          <w:szCs w:val="24"/>
          <w:lang w:bidi="ar"/>
        </w:rPr>
        <w:br w:type="page"/>
      </w:r>
    </w:p>
    <w:p w14:paraId="39A5544D">
      <w:pPr>
        <w:pStyle w:val="29"/>
        <w:rPr>
          <w:rFonts w:ascii="Times New Roman" w:hAnsi="Times New Roman" w:cs="Times New Roman"/>
          <w:sz w:val="36"/>
          <w:szCs w:val="36"/>
        </w:rPr>
        <w:sectPr>
          <w:headerReference r:id="rId182" w:type="default"/>
          <w:footerReference r:id="rId184" w:type="default"/>
          <w:headerReference r:id="rId183" w:type="even"/>
          <w:footerReference r:id="rId185" w:type="even"/>
          <w:pgSz w:w="11906" w:h="16838"/>
          <w:pgMar w:top="2098" w:right="1474" w:bottom="1984" w:left="1587" w:header="624" w:footer="1134" w:gutter="0"/>
          <w:pgNumType w:start="1"/>
          <w:cols w:space="0" w:num="1"/>
          <w:docGrid w:type="linesAndChars" w:linePitch="579" w:charSpace="-842"/>
        </w:sectPr>
      </w:pPr>
    </w:p>
    <w:sdt>
      <w:sdtPr>
        <w:rPr>
          <w:rFonts w:ascii="Times New Roman" w:hAnsi="Times New Roman" w:eastAsia="微软雅黑" w:cs="Times New Roman"/>
          <w:b/>
          <w:bCs/>
          <w:sz w:val="36"/>
          <w:szCs w:val="36"/>
        </w:rPr>
        <w:id w:val="147459165"/>
        <w15:color w:val="DBDBDB"/>
        <w:docPartObj>
          <w:docPartGallery w:val="Table of Contents"/>
          <w:docPartUnique/>
        </w:docPartObj>
      </w:sdtPr>
      <w:sdtEndPr>
        <w:rPr>
          <w:rFonts w:ascii="Times New Roman" w:hAnsi="Times New Roman" w:eastAsia="仿宋" w:cs="Times New Roman"/>
          <w:b/>
          <w:bCs/>
          <w:sz w:val="32"/>
          <w:szCs w:val="32"/>
        </w:rPr>
      </w:sdtEndPr>
      <w:sdtContent>
        <w:p w14:paraId="122B22E3">
          <w:pPr>
            <w:ind w:firstLine="0" w:firstLineChars="0"/>
            <w:jc w:val="center"/>
            <w:rPr>
              <w:rFonts w:ascii="Times New Roman" w:hAnsi="Times New Roman" w:cs="Times New Roman"/>
            </w:rPr>
          </w:pPr>
          <w:r>
            <w:rPr>
              <w:rFonts w:ascii="Times New Roman" w:hAnsi="Times New Roman" w:eastAsia="微软雅黑" w:cs="Times New Roman"/>
              <w:b/>
              <w:bCs/>
              <w:sz w:val="36"/>
              <w:szCs w:val="36"/>
            </w:rPr>
            <w:t>目  录</w:t>
          </w:r>
        </w:p>
        <w:p w14:paraId="07B5879C">
          <w:pPr>
            <w:pStyle w:val="18"/>
            <w:rPr>
              <w:rFonts w:ascii="Times New Roman" w:hAnsi="Times New Roman" w:cs="Times New Roman"/>
              <w:sz w:val="32"/>
            </w:rPr>
          </w:pPr>
          <w:r>
            <w:rPr>
              <w:rFonts w:ascii="Times New Roman" w:hAnsi="Times New Roman" w:cs="Times New Roman"/>
              <w:sz w:val="32"/>
            </w:rPr>
            <w:fldChar w:fldCharType="begin"/>
          </w:r>
          <w:r>
            <w:rPr>
              <w:rFonts w:ascii="Times New Roman" w:hAnsi="Times New Roman" w:cs="Times New Roman"/>
              <w:sz w:val="32"/>
            </w:rPr>
            <w:instrText xml:space="preserve">TOC \o "1-2" \h \u </w:instrText>
          </w:r>
          <w:r>
            <w:rPr>
              <w:rFonts w:ascii="Times New Roman" w:hAnsi="Times New Roman" w:cs="Times New Roman"/>
              <w:sz w:val="32"/>
            </w:rPr>
            <w:fldChar w:fldCharType="separate"/>
          </w:r>
          <w:r>
            <w:fldChar w:fldCharType="begin"/>
          </w:r>
          <w:r>
            <w:instrText xml:space="preserve"> HYPERLINK \l "_Toc23797" </w:instrText>
          </w:r>
          <w:r>
            <w:fldChar w:fldCharType="separate"/>
          </w:r>
          <w:r>
            <w:rPr>
              <w:rFonts w:ascii="Times New Roman" w:hAnsi="Times New Roman" w:eastAsia="仿宋" w:cs="Times New Roman"/>
              <w:sz w:val="32"/>
            </w:rPr>
            <w:t xml:space="preserve">1 </w:t>
          </w:r>
          <w:r>
            <w:rPr>
              <w:rFonts w:ascii="Times New Roman" w:hAnsi="Times New Roman" w:cs="Times New Roman"/>
              <w:sz w:val="32"/>
            </w:rPr>
            <w:t>总则</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_Toc23797 \h </w:instrText>
          </w:r>
          <w:r>
            <w:rPr>
              <w:rFonts w:ascii="Times New Roman" w:hAnsi="Times New Roman" w:cs="Times New Roman"/>
              <w:sz w:val="32"/>
            </w:rPr>
            <w:fldChar w:fldCharType="separate"/>
          </w:r>
          <w:r>
            <w:rPr>
              <w:rFonts w:ascii="Times New Roman" w:hAnsi="Times New Roman" w:cs="Times New Roman"/>
              <w:sz w:val="32"/>
            </w:rPr>
            <w:t>1</w:t>
          </w:r>
          <w:r>
            <w:rPr>
              <w:rFonts w:ascii="Times New Roman" w:hAnsi="Times New Roman" w:cs="Times New Roman"/>
              <w:sz w:val="32"/>
            </w:rPr>
            <w:fldChar w:fldCharType="end"/>
          </w:r>
          <w:r>
            <w:rPr>
              <w:rFonts w:ascii="Times New Roman" w:hAnsi="Times New Roman" w:cs="Times New Roman"/>
              <w:sz w:val="32"/>
            </w:rPr>
            <w:fldChar w:fldCharType="end"/>
          </w:r>
        </w:p>
        <w:p w14:paraId="422BE079">
          <w:pPr>
            <w:pStyle w:val="19"/>
            <w:tabs>
              <w:tab w:val="right" w:leader="dot" w:pos="8845"/>
            </w:tabs>
            <w:ind w:firstLine="552"/>
            <w:rPr>
              <w:rFonts w:ascii="Times New Roman" w:hAnsi="Times New Roman" w:cs="Times New Roman"/>
              <w:sz w:val="32"/>
            </w:rPr>
          </w:pPr>
          <w:r>
            <w:fldChar w:fldCharType="begin"/>
          </w:r>
          <w:r>
            <w:instrText xml:space="preserve"> HYPERLINK \l "_Toc450" </w:instrText>
          </w:r>
          <w:r>
            <w:fldChar w:fldCharType="separate"/>
          </w:r>
          <w:r>
            <w:rPr>
              <w:rFonts w:ascii="Times New Roman" w:hAnsi="Times New Roman" w:eastAsia="仿宋" w:cs="Times New Roman"/>
              <w:bCs/>
              <w:sz w:val="32"/>
            </w:rPr>
            <w:t xml:space="preserve">1.1 </w:t>
          </w:r>
          <w:r>
            <w:rPr>
              <w:rFonts w:ascii="Times New Roman" w:hAnsi="Times New Roman" w:cs="Times New Roman"/>
              <w:sz w:val="32"/>
            </w:rPr>
            <w:t>编制目的</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_Toc450 \h </w:instrText>
          </w:r>
          <w:r>
            <w:rPr>
              <w:rFonts w:ascii="Times New Roman" w:hAnsi="Times New Roman" w:cs="Times New Roman"/>
              <w:sz w:val="32"/>
            </w:rPr>
            <w:fldChar w:fldCharType="separate"/>
          </w:r>
          <w:r>
            <w:rPr>
              <w:rFonts w:ascii="Times New Roman" w:hAnsi="Times New Roman" w:cs="Times New Roman"/>
              <w:sz w:val="32"/>
            </w:rPr>
            <w:t>1</w:t>
          </w:r>
          <w:r>
            <w:rPr>
              <w:rFonts w:ascii="Times New Roman" w:hAnsi="Times New Roman" w:cs="Times New Roman"/>
              <w:sz w:val="32"/>
            </w:rPr>
            <w:fldChar w:fldCharType="end"/>
          </w:r>
          <w:r>
            <w:rPr>
              <w:rFonts w:ascii="Times New Roman" w:hAnsi="Times New Roman" w:cs="Times New Roman"/>
              <w:sz w:val="32"/>
            </w:rPr>
            <w:fldChar w:fldCharType="end"/>
          </w:r>
        </w:p>
        <w:p w14:paraId="6586C818">
          <w:pPr>
            <w:pStyle w:val="19"/>
            <w:tabs>
              <w:tab w:val="right" w:leader="dot" w:pos="8845"/>
            </w:tabs>
            <w:ind w:firstLine="552"/>
            <w:rPr>
              <w:rFonts w:ascii="Times New Roman" w:hAnsi="Times New Roman" w:cs="Times New Roman"/>
              <w:sz w:val="32"/>
            </w:rPr>
          </w:pPr>
          <w:r>
            <w:fldChar w:fldCharType="begin"/>
          </w:r>
          <w:r>
            <w:instrText xml:space="preserve"> HYPERLINK \l "_Toc29726" </w:instrText>
          </w:r>
          <w:r>
            <w:fldChar w:fldCharType="separate"/>
          </w:r>
          <w:r>
            <w:rPr>
              <w:rFonts w:ascii="Times New Roman" w:hAnsi="Times New Roman" w:eastAsia="仿宋" w:cs="Times New Roman"/>
              <w:bCs/>
              <w:sz w:val="32"/>
            </w:rPr>
            <w:t xml:space="preserve">1.2 </w:t>
          </w:r>
          <w:r>
            <w:rPr>
              <w:rFonts w:ascii="Times New Roman" w:hAnsi="Times New Roman" w:cs="Times New Roman"/>
              <w:sz w:val="32"/>
            </w:rPr>
            <w:t>编制依据</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_Toc29726 \h </w:instrText>
          </w:r>
          <w:r>
            <w:rPr>
              <w:rFonts w:ascii="Times New Roman" w:hAnsi="Times New Roman" w:cs="Times New Roman"/>
              <w:sz w:val="32"/>
            </w:rPr>
            <w:fldChar w:fldCharType="separate"/>
          </w:r>
          <w:r>
            <w:rPr>
              <w:rFonts w:ascii="Times New Roman" w:hAnsi="Times New Roman" w:cs="Times New Roman"/>
              <w:sz w:val="32"/>
            </w:rPr>
            <w:t>1</w:t>
          </w:r>
          <w:r>
            <w:rPr>
              <w:rFonts w:ascii="Times New Roman" w:hAnsi="Times New Roman" w:cs="Times New Roman"/>
              <w:sz w:val="32"/>
            </w:rPr>
            <w:fldChar w:fldCharType="end"/>
          </w:r>
          <w:r>
            <w:rPr>
              <w:rFonts w:ascii="Times New Roman" w:hAnsi="Times New Roman" w:cs="Times New Roman"/>
              <w:sz w:val="32"/>
            </w:rPr>
            <w:fldChar w:fldCharType="end"/>
          </w:r>
        </w:p>
        <w:p w14:paraId="6D7A8C6B">
          <w:pPr>
            <w:pStyle w:val="19"/>
            <w:tabs>
              <w:tab w:val="right" w:leader="dot" w:pos="8845"/>
            </w:tabs>
            <w:ind w:firstLine="552"/>
            <w:rPr>
              <w:rFonts w:ascii="Times New Roman" w:hAnsi="Times New Roman" w:cs="Times New Roman"/>
              <w:sz w:val="32"/>
            </w:rPr>
          </w:pPr>
          <w:r>
            <w:fldChar w:fldCharType="begin"/>
          </w:r>
          <w:r>
            <w:instrText xml:space="preserve"> HYPERLINK \l "_Toc21484" </w:instrText>
          </w:r>
          <w:r>
            <w:fldChar w:fldCharType="separate"/>
          </w:r>
          <w:r>
            <w:rPr>
              <w:rFonts w:ascii="Times New Roman" w:hAnsi="Times New Roman" w:eastAsia="仿宋" w:cs="Times New Roman"/>
              <w:bCs/>
              <w:sz w:val="32"/>
            </w:rPr>
            <w:t xml:space="preserve">1.3 </w:t>
          </w:r>
          <w:r>
            <w:rPr>
              <w:rFonts w:ascii="Times New Roman" w:hAnsi="Times New Roman" w:cs="Times New Roman"/>
              <w:sz w:val="32"/>
            </w:rPr>
            <w:t>适用范围</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_Toc21484 \h </w:instrText>
          </w:r>
          <w:r>
            <w:rPr>
              <w:rFonts w:ascii="Times New Roman" w:hAnsi="Times New Roman" w:cs="Times New Roman"/>
              <w:sz w:val="32"/>
            </w:rPr>
            <w:fldChar w:fldCharType="separate"/>
          </w:r>
          <w:r>
            <w:rPr>
              <w:rFonts w:ascii="Times New Roman" w:hAnsi="Times New Roman" w:cs="Times New Roman"/>
              <w:sz w:val="32"/>
            </w:rPr>
            <w:t>1</w:t>
          </w:r>
          <w:r>
            <w:rPr>
              <w:rFonts w:ascii="Times New Roman" w:hAnsi="Times New Roman" w:cs="Times New Roman"/>
              <w:sz w:val="32"/>
            </w:rPr>
            <w:fldChar w:fldCharType="end"/>
          </w:r>
          <w:r>
            <w:rPr>
              <w:rFonts w:ascii="Times New Roman" w:hAnsi="Times New Roman" w:cs="Times New Roman"/>
              <w:sz w:val="32"/>
            </w:rPr>
            <w:fldChar w:fldCharType="end"/>
          </w:r>
        </w:p>
        <w:p w14:paraId="12C1EDE4">
          <w:pPr>
            <w:pStyle w:val="19"/>
            <w:tabs>
              <w:tab w:val="right" w:leader="dot" w:pos="8845"/>
            </w:tabs>
            <w:ind w:firstLine="552"/>
            <w:rPr>
              <w:rFonts w:ascii="Times New Roman" w:hAnsi="Times New Roman" w:cs="Times New Roman"/>
              <w:sz w:val="32"/>
            </w:rPr>
          </w:pPr>
          <w:r>
            <w:fldChar w:fldCharType="begin"/>
          </w:r>
          <w:r>
            <w:instrText xml:space="preserve"> HYPERLINK \l "_Toc17484" </w:instrText>
          </w:r>
          <w:r>
            <w:fldChar w:fldCharType="separate"/>
          </w:r>
          <w:r>
            <w:rPr>
              <w:rFonts w:ascii="Times New Roman" w:hAnsi="Times New Roman" w:eastAsia="仿宋" w:cs="Times New Roman"/>
              <w:bCs/>
              <w:sz w:val="32"/>
            </w:rPr>
            <w:t xml:space="preserve">1.4 </w:t>
          </w:r>
          <w:r>
            <w:rPr>
              <w:rFonts w:ascii="Times New Roman" w:hAnsi="Times New Roman" w:cs="Times New Roman"/>
              <w:sz w:val="32"/>
            </w:rPr>
            <w:t>工作原则</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_Toc17484 \h </w:instrText>
          </w:r>
          <w:r>
            <w:rPr>
              <w:rFonts w:ascii="Times New Roman" w:hAnsi="Times New Roman" w:cs="Times New Roman"/>
              <w:sz w:val="32"/>
            </w:rPr>
            <w:fldChar w:fldCharType="separate"/>
          </w:r>
          <w:r>
            <w:rPr>
              <w:rFonts w:ascii="Times New Roman" w:hAnsi="Times New Roman" w:cs="Times New Roman"/>
              <w:sz w:val="32"/>
            </w:rPr>
            <w:t>1</w:t>
          </w:r>
          <w:r>
            <w:rPr>
              <w:rFonts w:ascii="Times New Roman" w:hAnsi="Times New Roman" w:cs="Times New Roman"/>
              <w:sz w:val="32"/>
            </w:rPr>
            <w:fldChar w:fldCharType="end"/>
          </w:r>
          <w:r>
            <w:rPr>
              <w:rFonts w:ascii="Times New Roman" w:hAnsi="Times New Roman" w:cs="Times New Roman"/>
              <w:sz w:val="32"/>
            </w:rPr>
            <w:fldChar w:fldCharType="end"/>
          </w:r>
        </w:p>
        <w:p w14:paraId="7415499D">
          <w:pPr>
            <w:pStyle w:val="18"/>
            <w:rPr>
              <w:rFonts w:ascii="Times New Roman" w:hAnsi="Times New Roman" w:cs="Times New Roman"/>
              <w:sz w:val="32"/>
            </w:rPr>
          </w:pPr>
          <w:r>
            <w:fldChar w:fldCharType="begin"/>
          </w:r>
          <w:r>
            <w:instrText xml:space="preserve"> HYPERLINK \l "_Toc26241" </w:instrText>
          </w:r>
          <w:r>
            <w:fldChar w:fldCharType="separate"/>
          </w:r>
          <w:r>
            <w:rPr>
              <w:rFonts w:ascii="Times New Roman" w:hAnsi="Times New Roman" w:eastAsia="仿宋" w:cs="Times New Roman"/>
              <w:sz w:val="32"/>
            </w:rPr>
            <w:t xml:space="preserve">2 </w:t>
          </w:r>
          <w:r>
            <w:rPr>
              <w:rFonts w:ascii="Times New Roman" w:hAnsi="Times New Roman" w:cs="Times New Roman"/>
              <w:sz w:val="32"/>
            </w:rPr>
            <w:t>突发事件分类和分级</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_Toc26241 \h </w:instrText>
          </w:r>
          <w:r>
            <w:rPr>
              <w:rFonts w:ascii="Times New Roman" w:hAnsi="Times New Roman" w:cs="Times New Roman"/>
              <w:sz w:val="32"/>
            </w:rPr>
            <w:fldChar w:fldCharType="separate"/>
          </w:r>
          <w:r>
            <w:rPr>
              <w:rFonts w:ascii="Times New Roman" w:hAnsi="Times New Roman" w:cs="Times New Roman"/>
              <w:sz w:val="32"/>
            </w:rPr>
            <w:t>2</w:t>
          </w:r>
          <w:r>
            <w:rPr>
              <w:rFonts w:ascii="Times New Roman" w:hAnsi="Times New Roman" w:cs="Times New Roman"/>
              <w:sz w:val="32"/>
            </w:rPr>
            <w:fldChar w:fldCharType="end"/>
          </w:r>
          <w:r>
            <w:rPr>
              <w:rFonts w:ascii="Times New Roman" w:hAnsi="Times New Roman" w:cs="Times New Roman"/>
              <w:sz w:val="32"/>
            </w:rPr>
            <w:fldChar w:fldCharType="end"/>
          </w:r>
        </w:p>
        <w:p w14:paraId="338CAECA">
          <w:pPr>
            <w:pStyle w:val="19"/>
            <w:tabs>
              <w:tab w:val="right" w:leader="dot" w:pos="8845"/>
            </w:tabs>
            <w:ind w:firstLine="552"/>
            <w:rPr>
              <w:rFonts w:ascii="Times New Roman" w:hAnsi="Times New Roman" w:cs="Times New Roman"/>
              <w:sz w:val="32"/>
            </w:rPr>
          </w:pPr>
          <w:r>
            <w:fldChar w:fldCharType="begin"/>
          </w:r>
          <w:r>
            <w:instrText xml:space="preserve"> HYPERLINK \l "_Toc32210" </w:instrText>
          </w:r>
          <w:r>
            <w:fldChar w:fldCharType="separate"/>
          </w:r>
          <w:r>
            <w:rPr>
              <w:rFonts w:ascii="Times New Roman" w:hAnsi="Times New Roman" w:eastAsia="仿宋" w:cs="Times New Roman"/>
              <w:bCs/>
              <w:sz w:val="32"/>
            </w:rPr>
            <w:t xml:space="preserve">2.1 </w:t>
          </w:r>
          <w:r>
            <w:rPr>
              <w:rFonts w:ascii="Times New Roman" w:hAnsi="Times New Roman" w:cs="Times New Roman"/>
              <w:sz w:val="32"/>
            </w:rPr>
            <w:t>突发事件分类</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_Toc32210 \h </w:instrText>
          </w:r>
          <w:r>
            <w:rPr>
              <w:rFonts w:ascii="Times New Roman" w:hAnsi="Times New Roman" w:cs="Times New Roman"/>
              <w:sz w:val="32"/>
            </w:rPr>
            <w:fldChar w:fldCharType="separate"/>
          </w:r>
          <w:r>
            <w:rPr>
              <w:rFonts w:ascii="Times New Roman" w:hAnsi="Times New Roman" w:cs="Times New Roman"/>
              <w:sz w:val="32"/>
            </w:rPr>
            <w:t>2</w:t>
          </w:r>
          <w:r>
            <w:rPr>
              <w:rFonts w:ascii="Times New Roman" w:hAnsi="Times New Roman" w:cs="Times New Roman"/>
              <w:sz w:val="32"/>
            </w:rPr>
            <w:fldChar w:fldCharType="end"/>
          </w:r>
          <w:r>
            <w:rPr>
              <w:rFonts w:ascii="Times New Roman" w:hAnsi="Times New Roman" w:cs="Times New Roman"/>
              <w:sz w:val="32"/>
            </w:rPr>
            <w:fldChar w:fldCharType="end"/>
          </w:r>
        </w:p>
        <w:p w14:paraId="4F72C85C">
          <w:pPr>
            <w:pStyle w:val="19"/>
            <w:tabs>
              <w:tab w:val="right" w:leader="dot" w:pos="8845"/>
            </w:tabs>
            <w:ind w:firstLine="552"/>
            <w:rPr>
              <w:rFonts w:ascii="Times New Roman" w:hAnsi="Times New Roman" w:cs="Times New Roman"/>
              <w:sz w:val="32"/>
            </w:rPr>
          </w:pPr>
          <w:r>
            <w:fldChar w:fldCharType="begin"/>
          </w:r>
          <w:r>
            <w:instrText xml:space="preserve"> HYPERLINK \l "_Toc30272" </w:instrText>
          </w:r>
          <w:r>
            <w:fldChar w:fldCharType="separate"/>
          </w:r>
          <w:r>
            <w:rPr>
              <w:rFonts w:ascii="Times New Roman" w:hAnsi="Times New Roman" w:eastAsia="仿宋" w:cs="Times New Roman"/>
              <w:bCs/>
              <w:sz w:val="32"/>
            </w:rPr>
            <w:t xml:space="preserve">2.2 </w:t>
          </w:r>
          <w:r>
            <w:rPr>
              <w:rFonts w:ascii="Times New Roman" w:hAnsi="Times New Roman" w:cs="Times New Roman"/>
              <w:sz w:val="32"/>
            </w:rPr>
            <w:t>突发事件分级</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_Toc30272 \h </w:instrText>
          </w:r>
          <w:r>
            <w:rPr>
              <w:rFonts w:ascii="Times New Roman" w:hAnsi="Times New Roman" w:cs="Times New Roman"/>
              <w:sz w:val="32"/>
            </w:rPr>
            <w:fldChar w:fldCharType="separate"/>
          </w:r>
          <w:r>
            <w:rPr>
              <w:rFonts w:ascii="Times New Roman" w:hAnsi="Times New Roman" w:cs="Times New Roman"/>
              <w:sz w:val="32"/>
            </w:rPr>
            <w:t>3</w:t>
          </w:r>
          <w:r>
            <w:rPr>
              <w:rFonts w:ascii="Times New Roman" w:hAnsi="Times New Roman" w:cs="Times New Roman"/>
              <w:sz w:val="32"/>
            </w:rPr>
            <w:fldChar w:fldCharType="end"/>
          </w:r>
          <w:r>
            <w:rPr>
              <w:rFonts w:ascii="Times New Roman" w:hAnsi="Times New Roman" w:cs="Times New Roman"/>
              <w:sz w:val="32"/>
            </w:rPr>
            <w:fldChar w:fldCharType="end"/>
          </w:r>
        </w:p>
        <w:p w14:paraId="4F0620DD">
          <w:pPr>
            <w:pStyle w:val="18"/>
            <w:rPr>
              <w:rFonts w:ascii="Times New Roman" w:hAnsi="Times New Roman" w:cs="Times New Roman"/>
              <w:sz w:val="32"/>
            </w:rPr>
          </w:pPr>
          <w:r>
            <w:fldChar w:fldCharType="begin"/>
          </w:r>
          <w:r>
            <w:instrText xml:space="preserve"> HYPERLINK \l "_Toc26953" </w:instrText>
          </w:r>
          <w:r>
            <w:fldChar w:fldCharType="separate"/>
          </w:r>
          <w:r>
            <w:rPr>
              <w:rFonts w:ascii="Times New Roman" w:hAnsi="Times New Roman" w:eastAsia="仿宋" w:cs="Times New Roman"/>
              <w:sz w:val="32"/>
            </w:rPr>
            <w:t xml:space="preserve">3 </w:t>
          </w:r>
          <w:r>
            <w:rPr>
              <w:rFonts w:ascii="Times New Roman" w:hAnsi="Times New Roman" w:cs="Times New Roman"/>
              <w:sz w:val="32"/>
            </w:rPr>
            <w:t>组织指挥体系</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_Toc26953 \h </w:instrText>
          </w:r>
          <w:r>
            <w:rPr>
              <w:rFonts w:ascii="Times New Roman" w:hAnsi="Times New Roman" w:cs="Times New Roman"/>
              <w:sz w:val="32"/>
            </w:rPr>
            <w:fldChar w:fldCharType="separate"/>
          </w:r>
          <w:r>
            <w:rPr>
              <w:rFonts w:ascii="Times New Roman" w:hAnsi="Times New Roman" w:cs="Times New Roman"/>
              <w:sz w:val="32"/>
            </w:rPr>
            <w:t>3</w:t>
          </w:r>
          <w:r>
            <w:rPr>
              <w:rFonts w:ascii="Times New Roman" w:hAnsi="Times New Roman" w:cs="Times New Roman"/>
              <w:sz w:val="32"/>
            </w:rPr>
            <w:fldChar w:fldCharType="end"/>
          </w:r>
          <w:r>
            <w:rPr>
              <w:rFonts w:ascii="Times New Roman" w:hAnsi="Times New Roman" w:cs="Times New Roman"/>
              <w:sz w:val="32"/>
            </w:rPr>
            <w:fldChar w:fldCharType="end"/>
          </w:r>
        </w:p>
        <w:p w14:paraId="6E0D9351">
          <w:pPr>
            <w:pStyle w:val="19"/>
            <w:tabs>
              <w:tab w:val="right" w:leader="dot" w:pos="8845"/>
            </w:tabs>
            <w:ind w:firstLine="552"/>
            <w:rPr>
              <w:rFonts w:ascii="Times New Roman" w:hAnsi="Times New Roman" w:cs="Times New Roman"/>
              <w:sz w:val="32"/>
            </w:rPr>
          </w:pPr>
          <w:r>
            <w:fldChar w:fldCharType="begin"/>
          </w:r>
          <w:r>
            <w:instrText xml:space="preserve"> HYPERLINK \l "_Toc29925" </w:instrText>
          </w:r>
          <w:r>
            <w:fldChar w:fldCharType="separate"/>
          </w:r>
          <w:r>
            <w:rPr>
              <w:rFonts w:ascii="Times New Roman" w:hAnsi="Times New Roman" w:eastAsia="仿宋" w:cs="Times New Roman"/>
              <w:bCs/>
              <w:sz w:val="32"/>
            </w:rPr>
            <w:t xml:space="preserve">3.1 </w:t>
          </w:r>
          <w:r>
            <w:rPr>
              <w:rFonts w:ascii="Times New Roman" w:hAnsi="Times New Roman" w:cs="Times New Roman"/>
              <w:sz w:val="32"/>
            </w:rPr>
            <w:t>县交通运输保障应急指挥部及职责</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_Toc29925 \h </w:instrText>
          </w:r>
          <w:r>
            <w:rPr>
              <w:rFonts w:ascii="Times New Roman" w:hAnsi="Times New Roman" w:cs="Times New Roman"/>
              <w:sz w:val="32"/>
            </w:rPr>
            <w:fldChar w:fldCharType="separate"/>
          </w:r>
          <w:r>
            <w:rPr>
              <w:rFonts w:ascii="Times New Roman" w:hAnsi="Times New Roman" w:cs="Times New Roman"/>
              <w:sz w:val="32"/>
            </w:rPr>
            <w:t>3</w:t>
          </w:r>
          <w:r>
            <w:rPr>
              <w:rFonts w:ascii="Times New Roman" w:hAnsi="Times New Roman" w:cs="Times New Roman"/>
              <w:sz w:val="32"/>
            </w:rPr>
            <w:fldChar w:fldCharType="end"/>
          </w:r>
          <w:r>
            <w:rPr>
              <w:rFonts w:ascii="Times New Roman" w:hAnsi="Times New Roman" w:cs="Times New Roman"/>
              <w:sz w:val="32"/>
            </w:rPr>
            <w:fldChar w:fldCharType="end"/>
          </w:r>
        </w:p>
        <w:p w14:paraId="041E91B8">
          <w:pPr>
            <w:pStyle w:val="19"/>
            <w:tabs>
              <w:tab w:val="right" w:leader="dot" w:pos="8845"/>
            </w:tabs>
            <w:ind w:firstLine="552"/>
            <w:rPr>
              <w:rFonts w:ascii="Times New Roman" w:hAnsi="Times New Roman" w:cs="Times New Roman"/>
              <w:sz w:val="32"/>
            </w:rPr>
          </w:pPr>
          <w:r>
            <w:fldChar w:fldCharType="begin"/>
          </w:r>
          <w:r>
            <w:instrText xml:space="preserve"> HYPERLINK \l "_Toc30426" </w:instrText>
          </w:r>
          <w:r>
            <w:fldChar w:fldCharType="separate"/>
          </w:r>
          <w:r>
            <w:rPr>
              <w:rFonts w:ascii="Times New Roman" w:hAnsi="Times New Roman" w:eastAsia="仿宋" w:cs="Times New Roman"/>
              <w:bCs/>
              <w:sz w:val="32"/>
            </w:rPr>
            <w:t xml:space="preserve">3.2 </w:t>
          </w:r>
          <w:r>
            <w:rPr>
              <w:rFonts w:ascii="Times New Roman" w:hAnsi="Times New Roman" w:cs="Times New Roman"/>
              <w:sz w:val="32"/>
            </w:rPr>
            <w:t>县交通运输保障应急指挥部办公室及职责</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_Toc30426 \h </w:instrText>
          </w:r>
          <w:r>
            <w:rPr>
              <w:rFonts w:ascii="Times New Roman" w:hAnsi="Times New Roman" w:cs="Times New Roman"/>
              <w:sz w:val="32"/>
            </w:rPr>
            <w:fldChar w:fldCharType="separate"/>
          </w:r>
          <w:r>
            <w:rPr>
              <w:rFonts w:ascii="Times New Roman" w:hAnsi="Times New Roman" w:cs="Times New Roman"/>
              <w:sz w:val="32"/>
            </w:rPr>
            <w:t>4</w:t>
          </w:r>
          <w:r>
            <w:rPr>
              <w:rFonts w:ascii="Times New Roman" w:hAnsi="Times New Roman" w:cs="Times New Roman"/>
              <w:sz w:val="32"/>
            </w:rPr>
            <w:fldChar w:fldCharType="end"/>
          </w:r>
          <w:r>
            <w:rPr>
              <w:rFonts w:ascii="Times New Roman" w:hAnsi="Times New Roman" w:cs="Times New Roman"/>
              <w:sz w:val="32"/>
            </w:rPr>
            <w:fldChar w:fldCharType="end"/>
          </w:r>
        </w:p>
        <w:p w14:paraId="194D25A1">
          <w:pPr>
            <w:pStyle w:val="19"/>
            <w:tabs>
              <w:tab w:val="right" w:leader="dot" w:pos="8845"/>
            </w:tabs>
            <w:ind w:firstLine="552"/>
            <w:rPr>
              <w:rFonts w:ascii="Times New Roman" w:hAnsi="Times New Roman" w:cs="Times New Roman"/>
              <w:sz w:val="32"/>
            </w:rPr>
          </w:pPr>
          <w:r>
            <w:fldChar w:fldCharType="begin"/>
          </w:r>
          <w:r>
            <w:instrText xml:space="preserve"> HYPERLINK \l "_Toc18898" </w:instrText>
          </w:r>
          <w:r>
            <w:fldChar w:fldCharType="separate"/>
          </w:r>
          <w:r>
            <w:rPr>
              <w:rFonts w:ascii="Times New Roman" w:hAnsi="Times New Roman" w:eastAsia="仿宋" w:cs="Times New Roman"/>
              <w:bCs/>
              <w:sz w:val="32"/>
            </w:rPr>
            <w:t xml:space="preserve">3.3 </w:t>
          </w:r>
          <w:r>
            <w:rPr>
              <w:rFonts w:ascii="Times New Roman" w:hAnsi="Times New Roman" w:cs="Times New Roman"/>
              <w:sz w:val="32"/>
            </w:rPr>
            <w:t>交通运输保障现场指挥部及职责</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_Toc18898 \h </w:instrText>
          </w:r>
          <w:r>
            <w:rPr>
              <w:rFonts w:ascii="Times New Roman" w:hAnsi="Times New Roman" w:cs="Times New Roman"/>
              <w:sz w:val="32"/>
            </w:rPr>
            <w:fldChar w:fldCharType="separate"/>
          </w:r>
          <w:r>
            <w:rPr>
              <w:rFonts w:ascii="Times New Roman" w:hAnsi="Times New Roman" w:cs="Times New Roman"/>
              <w:sz w:val="32"/>
            </w:rPr>
            <w:t>5</w:t>
          </w:r>
          <w:r>
            <w:rPr>
              <w:rFonts w:ascii="Times New Roman" w:hAnsi="Times New Roman" w:cs="Times New Roman"/>
              <w:sz w:val="32"/>
            </w:rPr>
            <w:fldChar w:fldCharType="end"/>
          </w:r>
          <w:r>
            <w:rPr>
              <w:rFonts w:ascii="Times New Roman" w:hAnsi="Times New Roman" w:cs="Times New Roman"/>
              <w:sz w:val="32"/>
            </w:rPr>
            <w:fldChar w:fldCharType="end"/>
          </w:r>
        </w:p>
        <w:p w14:paraId="6B5E2C0A">
          <w:pPr>
            <w:pStyle w:val="18"/>
            <w:rPr>
              <w:rFonts w:ascii="Times New Roman" w:hAnsi="Times New Roman" w:cs="Times New Roman"/>
              <w:sz w:val="32"/>
            </w:rPr>
          </w:pPr>
          <w:r>
            <w:fldChar w:fldCharType="begin"/>
          </w:r>
          <w:r>
            <w:instrText xml:space="preserve"> HYPERLINK \l "_Toc12498" </w:instrText>
          </w:r>
          <w:r>
            <w:fldChar w:fldCharType="separate"/>
          </w:r>
          <w:r>
            <w:rPr>
              <w:rFonts w:ascii="Times New Roman" w:hAnsi="Times New Roman" w:eastAsia="仿宋" w:cs="Times New Roman"/>
              <w:sz w:val="32"/>
            </w:rPr>
            <w:t xml:space="preserve">4 </w:t>
          </w:r>
          <w:r>
            <w:rPr>
              <w:rFonts w:ascii="Times New Roman" w:hAnsi="Times New Roman" w:cs="Times New Roman"/>
              <w:sz w:val="32"/>
            </w:rPr>
            <w:t>预防预警</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_Toc12498 \h </w:instrText>
          </w:r>
          <w:r>
            <w:rPr>
              <w:rFonts w:ascii="Times New Roman" w:hAnsi="Times New Roman" w:cs="Times New Roman"/>
              <w:sz w:val="32"/>
            </w:rPr>
            <w:fldChar w:fldCharType="separate"/>
          </w:r>
          <w:r>
            <w:rPr>
              <w:rFonts w:ascii="Times New Roman" w:hAnsi="Times New Roman" w:cs="Times New Roman"/>
              <w:sz w:val="32"/>
            </w:rPr>
            <w:t>6</w:t>
          </w:r>
          <w:r>
            <w:rPr>
              <w:rFonts w:ascii="Times New Roman" w:hAnsi="Times New Roman" w:cs="Times New Roman"/>
              <w:sz w:val="32"/>
            </w:rPr>
            <w:fldChar w:fldCharType="end"/>
          </w:r>
          <w:r>
            <w:rPr>
              <w:rFonts w:ascii="Times New Roman" w:hAnsi="Times New Roman" w:cs="Times New Roman"/>
              <w:sz w:val="32"/>
            </w:rPr>
            <w:fldChar w:fldCharType="end"/>
          </w:r>
        </w:p>
        <w:p w14:paraId="24C18112">
          <w:pPr>
            <w:pStyle w:val="19"/>
            <w:tabs>
              <w:tab w:val="right" w:leader="dot" w:pos="8845"/>
            </w:tabs>
            <w:ind w:firstLine="552"/>
            <w:rPr>
              <w:rFonts w:ascii="Times New Roman" w:hAnsi="Times New Roman" w:cs="Times New Roman"/>
              <w:sz w:val="32"/>
            </w:rPr>
          </w:pPr>
          <w:r>
            <w:fldChar w:fldCharType="begin"/>
          </w:r>
          <w:r>
            <w:instrText xml:space="preserve"> HYPERLINK \l "_Toc23753" </w:instrText>
          </w:r>
          <w:r>
            <w:fldChar w:fldCharType="separate"/>
          </w:r>
          <w:r>
            <w:rPr>
              <w:rFonts w:ascii="Times New Roman" w:hAnsi="Times New Roman" w:eastAsia="仿宋" w:cs="Times New Roman"/>
              <w:bCs/>
              <w:sz w:val="32"/>
            </w:rPr>
            <w:t xml:space="preserve">4.1 </w:t>
          </w:r>
          <w:r>
            <w:rPr>
              <w:rFonts w:ascii="Times New Roman" w:hAnsi="Times New Roman" w:cs="Times New Roman"/>
              <w:sz w:val="32"/>
            </w:rPr>
            <w:t>预防预警机制</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_Toc23753 \h </w:instrText>
          </w:r>
          <w:r>
            <w:rPr>
              <w:rFonts w:ascii="Times New Roman" w:hAnsi="Times New Roman" w:cs="Times New Roman"/>
              <w:sz w:val="32"/>
            </w:rPr>
            <w:fldChar w:fldCharType="separate"/>
          </w:r>
          <w:r>
            <w:rPr>
              <w:rFonts w:ascii="Times New Roman" w:hAnsi="Times New Roman" w:cs="Times New Roman"/>
              <w:sz w:val="32"/>
            </w:rPr>
            <w:t>6</w:t>
          </w:r>
          <w:r>
            <w:rPr>
              <w:rFonts w:ascii="Times New Roman" w:hAnsi="Times New Roman" w:cs="Times New Roman"/>
              <w:sz w:val="32"/>
            </w:rPr>
            <w:fldChar w:fldCharType="end"/>
          </w:r>
          <w:r>
            <w:rPr>
              <w:rFonts w:ascii="Times New Roman" w:hAnsi="Times New Roman" w:cs="Times New Roman"/>
              <w:sz w:val="32"/>
            </w:rPr>
            <w:fldChar w:fldCharType="end"/>
          </w:r>
        </w:p>
        <w:p w14:paraId="66944357">
          <w:pPr>
            <w:pStyle w:val="19"/>
            <w:tabs>
              <w:tab w:val="right" w:leader="dot" w:pos="8845"/>
            </w:tabs>
            <w:ind w:firstLine="552"/>
            <w:rPr>
              <w:rFonts w:ascii="Times New Roman" w:hAnsi="Times New Roman" w:cs="Times New Roman"/>
              <w:sz w:val="32"/>
            </w:rPr>
          </w:pPr>
          <w:r>
            <w:fldChar w:fldCharType="begin"/>
          </w:r>
          <w:r>
            <w:instrText xml:space="preserve"> HYPERLINK \l "_Toc29680" </w:instrText>
          </w:r>
          <w:r>
            <w:fldChar w:fldCharType="separate"/>
          </w:r>
          <w:r>
            <w:rPr>
              <w:rFonts w:ascii="Times New Roman" w:hAnsi="Times New Roman" w:eastAsia="仿宋" w:cs="Times New Roman"/>
              <w:bCs/>
              <w:sz w:val="32"/>
            </w:rPr>
            <w:t xml:space="preserve">4.2 </w:t>
          </w:r>
          <w:r>
            <w:rPr>
              <w:rFonts w:ascii="Times New Roman" w:hAnsi="Times New Roman" w:cs="Times New Roman"/>
              <w:sz w:val="32"/>
            </w:rPr>
            <w:t>预警信息收集</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_Toc29680 \h </w:instrText>
          </w:r>
          <w:r>
            <w:rPr>
              <w:rFonts w:ascii="Times New Roman" w:hAnsi="Times New Roman" w:cs="Times New Roman"/>
              <w:sz w:val="32"/>
            </w:rPr>
            <w:fldChar w:fldCharType="separate"/>
          </w:r>
          <w:r>
            <w:rPr>
              <w:rFonts w:ascii="Times New Roman" w:hAnsi="Times New Roman" w:cs="Times New Roman"/>
              <w:sz w:val="32"/>
            </w:rPr>
            <w:t>6</w:t>
          </w:r>
          <w:r>
            <w:rPr>
              <w:rFonts w:ascii="Times New Roman" w:hAnsi="Times New Roman" w:cs="Times New Roman"/>
              <w:sz w:val="32"/>
            </w:rPr>
            <w:fldChar w:fldCharType="end"/>
          </w:r>
          <w:r>
            <w:rPr>
              <w:rFonts w:ascii="Times New Roman" w:hAnsi="Times New Roman" w:cs="Times New Roman"/>
              <w:sz w:val="32"/>
            </w:rPr>
            <w:fldChar w:fldCharType="end"/>
          </w:r>
        </w:p>
        <w:p w14:paraId="6B84AB11">
          <w:pPr>
            <w:pStyle w:val="19"/>
            <w:tabs>
              <w:tab w:val="right" w:leader="dot" w:pos="8845"/>
            </w:tabs>
            <w:ind w:firstLine="552"/>
            <w:rPr>
              <w:rFonts w:ascii="Times New Roman" w:hAnsi="Times New Roman" w:cs="Times New Roman"/>
              <w:sz w:val="32"/>
            </w:rPr>
          </w:pPr>
          <w:r>
            <w:fldChar w:fldCharType="begin"/>
          </w:r>
          <w:r>
            <w:instrText xml:space="preserve"> HYPERLINK \l "_Toc25479" </w:instrText>
          </w:r>
          <w:r>
            <w:fldChar w:fldCharType="separate"/>
          </w:r>
          <w:r>
            <w:rPr>
              <w:rFonts w:ascii="Times New Roman" w:hAnsi="Times New Roman" w:eastAsia="仿宋" w:cs="Times New Roman"/>
              <w:bCs/>
              <w:sz w:val="32"/>
            </w:rPr>
            <w:t xml:space="preserve">4.3 </w:t>
          </w:r>
          <w:r>
            <w:rPr>
              <w:rFonts w:ascii="Times New Roman" w:hAnsi="Times New Roman" w:cs="Times New Roman"/>
              <w:sz w:val="32"/>
            </w:rPr>
            <w:t>预警信息处理</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_Toc25479 \h </w:instrText>
          </w:r>
          <w:r>
            <w:rPr>
              <w:rFonts w:ascii="Times New Roman" w:hAnsi="Times New Roman" w:cs="Times New Roman"/>
              <w:sz w:val="32"/>
            </w:rPr>
            <w:fldChar w:fldCharType="separate"/>
          </w:r>
          <w:r>
            <w:rPr>
              <w:rFonts w:ascii="Times New Roman" w:hAnsi="Times New Roman" w:cs="Times New Roman"/>
              <w:sz w:val="32"/>
            </w:rPr>
            <w:t>7</w:t>
          </w:r>
          <w:r>
            <w:rPr>
              <w:rFonts w:ascii="Times New Roman" w:hAnsi="Times New Roman" w:cs="Times New Roman"/>
              <w:sz w:val="32"/>
            </w:rPr>
            <w:fldChar w:fldCharType="end"/>
          </w:r>
          <w:r>
            <w:rPr>
              <w:rFonts w:ascii="Times New Roman" w:hAnsi="Times New Roman" w:cs="Times New Roman"/>
              <w:sz w:val="32"/>
            </w:rPr>
            <w:fldChar w:fldCharType="end"/>
          </w:r>
        </w:p>
        <w:p w14:paraId="6C4CECD0">
          <w:pPr>
            <w:pStyle w:val="18"/>
            <w:rPr>
              <w:rFonts w:ascii="Times New Roman" w:hAnsi="Times New Roman" w:cs="Times New Roman"/>
              <w:sz w:val="32"/>
            </w:rPr>
          </w:pPr>
          <w:r>
            <w:fldChar w:fldCharType="begin"/>
          </w:r>
          <w:r>
            <w:instrText xml:space="preserve"> HYPERLINK \l "_Toc8973" </w:instrText>
          </w:r>
          <w:r>
            <w:fldChar w:fldCharType="separate"/>
          </w:r>
          <w:r>
            <w:rPr>
              <w:rFonts w:ascii="Times New Roman" w:hAnsi="Times New Roman" w:eastAsia="仿宋" w:cs="Times New Roman"/>
              <w:sz w:val="32"/>
            </w:rPr>
            <w:t xml:space="preserve">5 </w:t>
          </w:r>
          <w:r>
            <w:rPr>
              <w:rFonts w:ascii="Times New Roman" w:hAnsi="Times New Roman" w:cs="Times New Roman"/>
              <w:sz w:val="32"/>
            </w:rPr>
            <w:t>应急响应</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_Toc8973 \h </w:instrText>
          </w:r>
          <w:r>
            <w:rPr>
              <w:rFonts w:ascii="Times New Roman" w:hAnsi="Times New Roman" w:cs="Times New Roman"/>
              <w:sz w:val="32"/>
            </w:rPr>
            <w:fldChar w:fldCharType="separate"/>
          </w:r>
          <w:r>
            <w:rPr>
              <w:rFonts w:ascii="Times New Roman" w:hAnsi="Times New Roman" w:cs="Times New Roman"/>
              <w:sz w:val="32"/>
            </w:rPr>
            <w:t>7</w:t>
          </w:r>
          <w:r>
            <w:rPr>
              <w:rFonts w:ascii="Times New Roman" w:hAnsi="Times New Roman" w:cs="Times New Roman"/>
              <w:sz w:val="32"/>
            </w:rPr>
            <w:fldChar w:fldCharType="end"/>
          </w:r>
          <w:r>
            <w:rPr>
              <w:rFonts w:ascii="Times New Roman" w:hAnsi="Times New Roman" w:cs="Times New Roman"/>
              <w:sz w:val="32"/>
            </w:rPr>
            <w:fldChar w:fldCharType="end"/>
          </w:r>
        </w:p>
        <w:p w14:paraId="036BA0DE">
          <w:pPr>
            <w:pStyle w:val="19"/>
            <w:tabs>
              <w:tab w:val="right" w:leader="dot" w:pos="8845"/>
            </w:tabs>
            <w:ind w:firstLine="552"/>
            <w:rPr>
              <w:rFonts w:ascii="Times New Roman" w:hAnsi="Times New Roman" w:cs="Times New Roman"/>
              <w:sz w:val="32"/>
            </w:rPr>
          </w:pPr>
          <w:r>
            <w:fldChar w:fldCharType="begin"/>
          </w:r>
          <w:r>
            <w:instrText xml:space="preserve"> HYPERLINK \l "_Toc29005" </w:instrText>
          </w:r>
          <w:r>
            <w:fldChar w:fldCharType="separate"/>
          </w:r>
          <w:r>
            <w:rPr>
              <w:rFonts w:ascii="Times New Roman" w:hAnsi="Times New Roman" w:eastAsia="仿宋" w:cs="Times New Roman"/>
              <w:bCs/>
              <w:sz w:val="32"/>
            </w:rPr>
            <w:t xml:space="preserve">5.1 </w:t>
          </w:r>
          <w:r>
            <w:rPr>
              <w:rFonts w:ascii="Times New Roman" w:hAnsi="Times New Roman" w:cs="Times New Roman"/>
              <w:sz w:val="32"/>
            </w:rPr>
            <w:t>先期处置</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_Toc29005 \h </w:instrText>
          </w:r>
          <w:r>
            <w:rPr>
              <w:rFonts w:ascii="Times New Roman" w:hAnsi="Times New Roman" w:cs="Times New Roman"/>
              <w:sz w:val="32"/>
            </w:rPr>
            <w:fldChar w:fldCharType="separate"/>
          </w:r>
          <w:r>
            <w:rPr>
              <w:rFonts w:ascii="Times New Roman" w:hAnsi="Times New Roman" w:cs="Times New Roman"/>
              <w:sz w:val="32"/>
            </w:rPr>
            <w:t>7</w:t>
          </w:r>
          <w:r>
            <w:rPr>
              <w:rFonts w:ascii="Times New Roman" w:hAnsi="Times New Roman" w:cs="Times New Roman"/>
              <w:sz w:val="32"/>
            </w:rPr>
            <w:fldChar w:fldCharType="end"/>
          </w:r>
          <w:r>
            <w:rPr>
              <w:rFonts w:ascii="Times New Roman" w:hAnsi="Times New Roman" w:cs="Times New Roman"/>
              <w:sz w:val="32"/>
            </w:rPr>
            <w:fldChar w:fldCharType="end"/>
          </w:r>
        </w:p>
        <w:p w14:paraId="72A39EBC">
          <w:pPr>
            <w:pStyle w:val="19"/>
            <w:tabs>
              <w:tab w:val="right" w:leader="dot" w:pos="8845"/>
            </w:tabs>
            <w:ind w:firstLine="552"/>
            <w:rPr>
              <w:rFonts w:ascii="Times New Roman" w:hAnsi="Times New Roman" w:cs="Times New Roman"/>
              <w:sz w:val="32"/>
            </w:rPr>
          </w:pPr>
          <w:r>
            <w:fldChar w:fldCharType="begin"/>
          </w:r>
          <w:r>
            <w:instrText xml:space="preserve"> HYPERLINK \l "_Toc30983" </w:instrText>
          </w:r>
          <w:r>
            <w:fldChar w:fldCharType="separate"/>
          </w:r>
          <w:r>
            <w:rPr>
              <w:rFonts w:ascii="Times New Roman" w:hAnsi="Times New Roman" w:eastAsia="仿宋" w:cs="Times New Roman"/>
              <w:bCs/>
              <w:sz w:val="32"/>
            </w:rPr>
            <w:t xml:space="preserve">5.2 </w:t>
          </w:r>
          <w:r>
            <w:rPr>
              <w:rFonts w:ascii="Times New Roman" w:hAnsi="Times New Roman" w:cs="Times New Roman"/>
              <w:sz w:val="32"/>
            </w:rPr>
            <w:t>分级响应</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_Toc30983 \h </w:instrText>
          </w:r>
          <w:r>
            <w:rPr>
              <w:rFonts w:ascii="Times New Roman" w:hAnsi="Times New Roman" w:cs="Times New Roman"/>
              <w:sz w:val="32"/>
            </w:rPr>
            <w:fldChar w:fldCharType="separate"/>
          </w:r>
          <w:r>
            <w:rPr>
              <w:rFonts w:ascii="Times New Roman" w:hAnsi="Times New Roman" w:cs="Times New Roman"/>
              <w:sz w:val="32"/>
            </w:rPr>
            <w:t>8</w:t>
          </w:r>
          <w:r>
            <w:rPr>
              <w:rFonts w:ascii="Times New Roman" w:hAnsi="Times New Roman" w:cs="Times New Roman"/>
              <w:sz w:val="32"/>
            </w:rPr>
            <w:fldChar w:fldCharType="end"/>
          </w:r>
          <w:r>
            <w:rPr>
              <w:rFonts w:ascii="Times New Roman" w:hAnsi="Times New Roman" w:cs="Times New Roman"/>
              <w:sz w:val="32"/>
            </w:rPr>
            <w:fldChar w:fldCharType="end"/>
          </w:r>
        </w:p>
        <w:p w14:paraId="51B48069">
          <w:pPr>
            <w:pStyle w:val="19"/>
            <w:tabs>
              <w:tab w:val="right" w:leader="dot" w:pos="8845"/>
            </w:tabs>
            <w:ind w:firstLine="552"/>
            <w:rPr>
              <w:rFonts w:ascii="Times New Roman" w:hAnsi="Times New Roman" w:cs="Times New Roman"/>
              <w:sz w:val="32"/>
            </w:rPr>
          </w:pPr>
          <w:r>
            <w:fldChar w:fldCharType="begin"/>
          </w:r>
          <w:r>
            <w:instrText xml:space="preserve"> HYPERLINK \l "_Toc32662" </w:instrText>
          </w:r>
          <w:r>
            <w:fldChar w:fldCharType="separate"/>
          </w:r>
          <w:r>
            <w:rPr>
              <w:rFonts w:ascii="Times New Roman" w:hAnsi="Times New Roman" w:eastAsia="仿宋" w:cs="Times New Roman"/>
              <w:bCs/>
              <w:sz w:val="32"/>
            </w:rPr>
            <w:t xml:space="preserve">5.3 </w:t>
          </w:r>
          <w:r>
            <w:rPr>
              <w:rFonts w:ascii="Times New Roman" w:hAnsi="Times New Roman" w:cs="Times New Roman"/>
              <w:sz w:val="32"/>
            </w:rPr>
            <w:t>处置措施</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_Toc32662 \h </w:instrText>
          </w:r>
          <w:r>
            <w:rPr>
              <w:rFonts w:ascii="Times New Roman" w:hAnsi="Times New Roman" w:cs="Times New Roman"/>
              <w:sz w:val="32"/>
            </w:rPr>
            <w:fldChar w:fldCharType="separate"/>
          </w:r>
          <w:r>
            <w:rPr>
              <w:rFonts w:ascii="Times New Roman" w:hAnsi="Times New Roman" w:cs="Times New Roman"/>
              <w:sz w:val="32"/>
            </w:rPr>
            <w:t>8</w:t>
          </w:r>
          <w:r>
            <w:rPr>
              <w:rFonts w:ascii="Times New Roman" w:hAnsi="Times New Roman" w:cs="Times New Roman"/>
              <w:sz w:val="32"/>
            </w:rPr>
            <w:fldChar w:fldCharType="end"/>
          </w:r>
          <w:r>
            <w:rPr>
              <w:rFonts w:ascii="Times New Roman" w:hAnsi="Times New Roman" w:cs="Times New Roman"/>
              <w:sz w:val="32"/>
            </w:rPr>
            <w:fldChar w:fldCharType="end"/>
          </w:r>
        </w:p>
        <w:p w14:paraId="19161D69">
          <w:pPr>
            <w:pStyle w:val="19"/>
            <w:tabs>
              <w:tab w:val="right" w:leader="dot" w:pos="8845"/>
            </w:tabs>
            <w:ind w:firstLine="552"/>
            <w:rPr>
              <w:rFonts w:ascii="Times New Roman" w:hAnsi="Times New Roman" w:cs="Times New Roman"/>
              <w:sz w:val="32"/>
            </w:rPr>
          </w:pPr>
          <w:r>
            <w:fldChar w:fldCharType="begin"/>
          </w:r>
          <w:r>
            <w:instrText xml:space="preserve"> HYPERLINK \l "_Toc29474" </w:instrText>
          </w:r>
          <w:r>
            <w:fldChar w:fldCharType="separate"/>
          </w:r>
          <w:r>
            <w:rPr>
              <w:rFonts w:ascii="Times New Roman" w:hAnsi="Times New Roman" w:eastAsia="仿宋" w:cs="Times New Roman"/>
              <w:bCs/>
              <w:sz w:val="32"/>
            </w:rPr>
            <w:t xml:space="preserve">5.4 </w:t>
          </w:r>
          <w:r>
            <w:rPr>
              <w:rFonts w:ascii="Times New Roman" w:hAnsi="Times New Roman" w:cs="Times New Roman"/>
              <w:sz w:val="32"/>
            </w:rPr>
            <w:t>信息报告与处理</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_Toc29474 \h </w:instrText>
          </w:r>
          <w:r>
            <w:rPr>
              <w:rFonts w:ascii="Times New Roman" w:hAnsi="Times New Roman" w:cs="Times New Roman"/>
              <w:sz w:val="32"/>
            </w:rPr>
            <w:fldChar w:fldCharType="separate"/>
          </w:r>
          <w:r>
            <w:rPr>
              <w:rFonts w:ascii="Times New Roman" w:hAnsi="Times New Roman" w:cs="Times New Roman"/>
              <w:sz w:val="32"/>
            </w:rPr>
            <w:t>9</w:t>
          </w:r>
          <w:r>
            <w:rPr>
              <w:rFonts w:ascii="Times New Roman" w:hAnsi="Times New Roman" w:cs="Times New Roman"/>
              <w:sz w:val="32"/>
            </w:rPr>
            <w:fldChar w:fldCharType="end"/>
          </w:r>
          <w:r>
            <w:rPr>
              <w:rFonts w:ascii="Times New Roman" w:hAnsi="Times New Roman" w:cs="Times New Roman"/>
              <w:sz w:val="32"/>
            </w:rPr>
            <w:fldChar w:fldCharType="end"/>
          </w:r>
        </w:p>
        <w:p w14:paraId="7017B7BC">
          <w:pPr>
            <w:pStyle w:val="19"/>
            <w:tabs>
              <w:tab w:val="right" w:leader="dot" w:pos="8845"/>
            </w:tabs>
            <w:ind w:firstLine="552"/>
            <w:rPr>
              <w:rFonts w:ascii="Times New Roman" w:hAnsi="Times New Roman" w:cs="Times New Roman"/>
              <w:sz w:val="32"/>
            </w:rPr>
          </w:pPr>
          <w:r>
            <w:fldChar w:fldCharType="begin"/>
          </w:r>
          <w:r>
            <w:instrText xml:space="preserve"> HYPERLINK \l "_Toc8583" </w:instrText>
          </w:r>
          <w:r>
            <w:fldChar w:fldCharType="separate"/>
          </w:r>
          <w:r>
            <w:rPr>
              <w:rFonts w:ascii="Times New Roman" w:hAnsi="Times New Roman" w:eastAsia="仿宋" w:cs="Times New Roman"/>
              <w:bCs/>
              <w:sz w:val="32"/>
            </w:rPr>
            <w:t xml:space="preserve">5.5 </w:t>
          </w:r>
          <w:r>
            <w:rPr>
              <w:rFonts w:ascii="Times New Roman" w:hAnsi="Times New Roman" w:cs="Times New Roman"/>
              <w:sz w:val="32"/>
            </w:rPr>
            <w:t>信息发布与舆情</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_Toc8583 \h </w:instrText>
          </w:r>
          <w:r>
            <w:rPr>
              <w:rFonts w:ascii="Times New Roman" w:hAnsi="Times New Roman" w:cs="Times New Roman"/>
              <w:sz w:val="32"/>
            </w:rPr>
            <w:fldChar w:fldCharType="separate"/>
          </w:r>
          <w:r>
            <w:rPr>
              <w:rFonts w:ascii="Times New Roman" w:hAnsi="Times New Roman" w:cs="Times New Roman"/>
              <w:sz w:val="32"/>
            </w:rPr>
            <w:t>9</w:t>
          </w:r>
          <w:r>
            <w:rPr>
              <w:rFonts w:ascii="Times New Roman" w:hAnsi="Times New Roman" w:cs="Times New Roman"/>
              <w:sz w:val="32"/>
            </w:rPr>
            <w:fldChar w:fldCharType="end"/>
          </w:r>
          <w:r>
            <w:rPr>
              <w:rFonts w:ascii="Times New Roman" w:hAnsi="Times New Roman" w:cs="Times New Roman"/>
              <w:sz w:val="32"/>
            </w:rPr>
            <w:fldChar w:fldCharType="end"/>
          </w:r>
        </w:p>
        <w:p w14:paraId="530642E0">
          <w:pPr>
            <w:pStyle w:val="19"/>
            <w:tabs>
              <w:tab w:val="right" w:leader="dot" w:pos="8845"/>
            </w:tabs>
            <w:ind w:firstLine="552"/>
            <w:rPr>
              <w:rFonts w:ascii="Times New Roman" w:hAnsi="Times New Roman" w:cs="Times New Roman"/>
              <w:sz w:val="32"/>
            </w:rPr>
          </w:pPr>
          <w:r>
            <w:fldChar w:fldCharType="begin"/>
          </w:r>
          <w:r>
            <w:instrText xml:space="preserve"> HYPERLINK \l "_Toc24367" </w:instrText>
          </w:r>
          <w:r>
            <w:fldChar w:fldCharType="separate"/>
          </w:r>
          <w:r>
            <w:rPr>
              <w:rFonts w:ascii="Times New Roman" w:hAnsi="Times New Roman" w:eastAsia="仿宋" w:cs="Times New Roman"/>
              <w:bCs/>
              <w:sz w:val="32"/>
            </w:rPr>
            <w:t xml:space="preserve">5.6 </w:t>
          </w:r>
          <w:r>
            <w:rPr>
              <w:rFonts w:ascii="Times New Roman" w:hAnsi="Times New Roman" w:cs="Times New Roman"/>
              <w:sz w:val="32"/>
            </w:rPr>
            <w:t>响应终止</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_Toc24367 \h </w:instrText>
          </w:r>
          <w:r>
            <w:rPr>
              <w:rFonts w:ascii="Times New Roman" w:hAnsi="Times New Roman" w:cs="Times New Roman"/>
              <w:sz w:val="32"/>
            </w:rPr>
            <w:fldChar w:fldCharType="separate"/>
          </w:r>
          <w:r>
            <w:rPr>
              <w:rFonts w:ascii="Times New Roman" w:hAnsi="Times New Roman" w:cs="Times New Roman"/>
              <w:sz w:val="32"/>
            </w:rPr>
            <w:t>10</w:t>
          </w:r>
          <w:r>
            <w:rPr>
              <w:rFonts w:ascii="Times New Roman" w:hAnsi="Times New Roman" w:cs="Times New Roman"/>
              <w:sz w:val="32"/>
            </w:rPr>
            <w:fldChar w:fldCharType="end"/>
          </w:r>
          <w:r>
            <w:rPr>
              <w:rFonts w:ascii="Times New Roman" w:hAnsi="Times New Roman" w:cs="Times New Roman"/>
              <w:sz w:val="32"/>
            </w:rPr>
            <w:fldChar w:fldCharType="end"/>
          </w:r>
        </w:p>
        <w:p w14:paraId="1C1DF9F9">
          <w:pPr>
            <w:pStyle w:val="18"/>
            <w:rPr>
              <w:rFonts w:ascii="Times New Roman" w:hAnsi="Times New Roman" w:cs="Times New Roman"/>
              <w:sz w:val="32"/>
            </w:rPr>
          </w:pPr>
          <w:r>
            <w:fldChar w:fldCharType="begin"/>
          </w:r>
          <w:r>
            <w:instrText xml:space="preserve"> HYPERLINK \l "_Toc24543" </w:instrText>
          </w:r>
          <w:r>
            <w:fldChar w:fldCharType="separate"/>
          </w:r>
          <w:r>
            <w:rPr>
              <w:rFonts w:ascii="Times New Roman" w:hAnsi="Times New Roman" w:eastAsia="仿宋" w:cs="Times New Roman"/>
              <w:sz w:val="32"/>
            </w:rPr>
            <w:t xml:space="preserve">6 </w:t>
          </w:r>
          <w:r>
            <w:rPr>
              <w:rFonts w:ascii="Times New Roman" w:hAnsi="Times New Roman" w:cs="Times New Roman"/>
              <w:sz w:val="32"/>
            </w:rPr>
            <w:t>后期处置</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_Toc24543 \h </w:instrText>
          </w:r>
          <w:r>
            <w:rPr>
              <w:rFonts w:ascii="Times New Roman" w:hAnsi="Times New Roman" w:cs="Times New Roman"/>
              <w:sz w:val="32"/>
            </w:rPr>
            <w:fldChar w:fldCharType="separate"/>
          </w:r>
          <w:r>
            <w:rPr>
              <w:rFonts w:ascii="Times New Roman" w:hAnsi="Times New Roman" w:cs="Times New Roman"/>
              <w:sz w:val="32"/>
            </w:rPr>
            <w:t>10</w:t>
          </w:r>
          <w:r>
            <w:rPr>
              <w:rFonts w:ascii="Times New Roman" w:hAnsi="Times New Roman" w:cs="Times New Roman"/>
              <w:sz w:val="32"/>
            </w:rPr>
            <w:fldChar w:fldCharType="end"/>
          </w:r>
          <w:r>
            <w:rPr>
              <w:rFonts w:ascii="Times New Roman" w:hAnsi="Times New Roman" w:cs="Times New Roman"/>
              <w:sz w:val="32"/>
            </w:rPr>
            <w:fldChar w:fldCharType="end"/>
          </w:r>
        </w:p>
        <w:p w14:paraId="67B7597C">
          <w:pPr>
            <w:pStyle w:val="19"/>
            <w:tabs>
              <w:tab w:val="right" w:leader="dot" w:pos="8845"/>
            </w:tabs>
            <w:ind w:firstLine="552"/>
            <w:rPr>
              <w:rFonts w:ascii="Times New Roman" w:hAnsi="Times New Roman" w:cs="Times New Roman"/>
              <w:sz w:val="32"/>
            </w:rPr>
          </w:pPr>
          <w:r>
            <w:fldChar w:fldCharType="begin"/>
          </w:r>
          <w:r>
            <w:instrText xml:space="preserve"> HYPERLINK \l "_Toc13378" </w:instrText>
          </w:r>
          <w:r>
            <w:fldChar w:fldCharType="separate"/>
          </w:r>
          <w:r>
            <w:rPr>
              <w:rFonts w:ascii="Times New Roman" w:hAnsi="Times New Roman" w:eastAsia="仿宋" w:cs="Times New Roman"/>
              <w:bCs/>
              <w:sz w:val="32"/>
            </w:rPr>
            <w:t xml:space="preserve">6.1 </w:t>
          </w:r>
          <w:r>
            <w:rPr>
              <w:rFonts w:ascii="Times New Roman" w:hAnsi="Times New Roman" w:cs="Times New Roman"/>
              <w:sz w:val="32"/>
            </w:rPr>
            <w:t>善后处置</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_Toc13378 \h </w:instrText>
          </w:r>
          <w:r>
            <w:rPr>
              <w:rFonts w:ascii="Times New Roman" w:hAnsi="Times New Roman" w:cs="Times New Roman"/>
              <w:sz w:val="32"/>
            </w:rPr>
            <w:fldChar w:fldCharType="separate"/>
          </w:r>
          <w:r>
            <w:rPr>
              <w:rFonts w:ascii="Times New Roman" w:hAnsi="Times New Roman" w:cs="Times New Roman"/>
              <w:sz w:val="32"/>
            </w:rPr>
            <w:t>10</w:t>
          </w:r>
          <w:r>
            <w:rPr>
              <w:rFonts w:ascii="Times New Roman" w:hAnsi="Times New Roman" w:cs="Times New Roman"/>
              <w:sz w:val="32"/>
            </w:rPr>
            <w:fldChar w:fldCharType="end"/>
          </w:r>
          <w:r>
            <w:rPr>
              <w:rFonts w:ascii="Times New Roman" w:hAnsi="Times New Roman" w:cs="Times New Roman"/>
              <w:sz w:val="32"/>
            </w:rPr>
            <w:fldChar w:fldCharType="end"/>
          </w:r>
        </w:p>
        <w:p w14:paraId="63D358AD">
          <w:pPr>
            <w:pStyle w:val="19"/>
            <w:tabs>
              <w:tab w:val="right" w:leader="dot" w:pos="8845"/>
            </w:tabs>
            <w:ind w:firstLine="552"/>
            <w:rPr>
              <w:rFonts w:ascii="Times New Roman" w:hAnsi="Times New Roman" w:cs="Times New Roman"/>
              <w:sz w:val="32"/>
            </w:rPr>
          </w:pPr>
          <w:r>
            <w:fldChar w:fldCharType="begin"/>
          </w:r>
          <w:r>
            <w:instrText xml:space="preserve"> HYPERLINK \l "_Toc26997" </w:instrText>
          </w:r>
          <w:r>
            <w:fldChar w:fldCharType="separate"/>
          </w:r>
          <w:r>
            <w:rPr>
              <w:rFonts w:ascii="Times New Roman" w:hAnsi="Times New Roman" w:eastAsia="仿宋" w:cs="Times New Roman"/>
              <w:bCs/>
              <w:sz w:val="32"/>
            </w:rPr>
            <w:t xml:space="preserve">6.2 </w:t>
          </w:r>
          <w:r>
            <w:rPr>
              <w:rFonts w:ascii="Times New Roman" w:hAnsi="Times New Roman" w:cs="Times New Roman"/>
              <w:sz w:val="32"/>
            </w:rPr>
            <w:t>总结评估</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_Toc26997 \h </w:instrText>
          </w:r>
          <w:r>
            <w:rPr>
              <w:rFonts w:ascii="Times New Roman" w:hAnsi="Times New Roman" w:cs="Times New Roman"/>
              <w:sz w:val="32"/>
            </w:rPr>
            <w:fldChar w:fldCharType="separate"/>
          </w:r>
          <w:r>
            <w:rPr>
              <w:rFonts w:ascii="Times New Roman" w:hAnsi="Times New Roman" w:cs="Times New Roman"/>
              <w:sz w:val="32"/>
            </w:rPr>
            <w:t>10</w:t>
          </w:r>
          <w:r>
            <w:rPr>
              <w:rFonts w:ascii="Times New Roman" w:hAnsi="Times New Roman" w:cs="Times New Roman"/>
              <w:sz w:val="32"/>
            </w:rPr>
            <w:fldChar w:fldCharType="end"/>
          </w:r>
          <w:r>
            <w:rPr>
              <w:rFonts w:ascii="Times New Roman" w:hAnsi="Times New Roman" w:cs="Times New Roman"/>
              <w:sz w:val="32"/>
            </w:rPr>
            <w:fldChar w:fldCharType="end"/>
          </w:r>
        </w:p>
        <w:p w14:paraId="2FF70BF8">
          <w:pPr>
            <w:pStyle w:val="18"/>
            <w:rPr>
              <w:rFonts w:ascii="Times New Roman" w:hAnsi="Times New Roman" w:cs="Times New Roman"/>
              <w:sz w:val="32"/>
            </w:rPr>
          </w:pPr>
          <w:r>
            <w:fldChar w:fldCharType="begin"/>
          </w:r>
          <w:r>
            <w:instrText xml:space="preserve"> HYPERLINK \l "_Toc20922" </w:instrText>
          </w:r>
          <w:r>
            <w:fldChar w:fldCharType="separate"/>
          </w:r>
          <w:r>
            <w:rPr>
              <w:rFonts w:ascii="Times New Roman" w:hAnsi="Times New Roman" w:eastAsia="仿宋" w:cs="Times New Roman"/>
              <w:sz w:val="32"/>
            </w:rPr>
            <w:t xml:space="preserve">7 </w:t>
          </w:r>
          <w:r>
            <w:rPr>
              <w:rFonts w:ascii="Times New Roman" w:hAnsi="Times New Roman" w:cs="Times New Roman"/>
              <w:sz w:val="32"/>
            </w:rPr>
            <w:t>保障措施</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_Toc20922 \h </w:instrText>
          </w:r>
          <w:r>
            <w:rPr>
              <w:rFonts w:ascii="Times New Roman" w:hAnsi="Times New Roman" w:cs="Times New Roman"/>
              <w:sz w:val="32"/>
            </w:rPr>
            <w:fldChar w:fldCharType="separate"/>
          </w:r>
          <w:r>
            <w:rPr>
              <w:rFonts w:ascii="Times New Roman" w:hAnsi="Times New Roman" w:cs="Times New Roman"/>
              <w:sz w:val="32"/>
            </w:rPr>
            <w:t>11</w:t>
          </w:r>
          <w:r>
            <w:rPr>
              <w:rFonts w:ascii="Times New Roman" w:hAnsi="Times New Roman" w:cs="Times New Roman"/>
              <w:sz w:val="32"/>
            </w:rPr>
            <w:fldChar w:fldCharType="end"/>
          </w:r>
          <w:r>
            <w:rPr>
              <w:rFonts w:ascii="Times New Roman" w:hAnsi="Times New Roman" w:cs="Times New Roman"/>
              <w:sz w:val="32"/>
            </w:rPr>
            <w:fldChar w:fldCharType="end"/>
          </w:r>
        </w:p>
        <w:p w14:paraId="7E0E218F">
          <w:pPr>
            <w:pStyle w:val="19"/>
            <w:tabs>
              <w:tab w:val="right" w:leader="dot" w:pos="8845"/>
            </w:tabs>
            <w:ind w:firstLine="552"/>
            <w:rPr>
              <w:rFonts w:ascii="Times New Roman" w:hAnsi="Times New Roman" w:cs="Times New Roman"/>
              <w:sz w:val="32"/>
            </w:rPr>
          </w:pPr>
          <w:r>
            <w:fldChar w:fldCharType="begin"/>
          </w:r>
          <w:r>
            <w:instrText xml:space="preserve"> HYPERLINK \l "_Toc25727" </w:instrText>
          </w:r>
          <w:r>
            <w:fldChar w:fldCharType="separate"/>
          </w:r>
          <w:r>
            <w:rPr>
              <w:rFonts w:ascii="Times New Roman" w:hAnsi="Times New Roman" w:eastAsia="仿宋" w:cs="Times New Roman"/>
              <w:bCs/>
              <w:sz w:val="32"/>
            </w:rPr>
            <w:t xml:space="preserve">7.1 </w:t>
          </w:r>
          <w:r>
            <w:rPr>
              <w:rFonts w:ascii="Times New Roman" w:hAnsi="Times New Roman" w:cs="Times New Roman"/>
              <w:sz w:val="32"/>
            </w:rPr>
            <w:t>应急队伍保障</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_Toc25727 \h </w:instrText>
          </w:r>
          <w:r>
            <w:rPr>
              <w:rFonts w:ascii="Times New Roman" w:hAnsi="Times New Roman" w:cs="Times New Roman"/>
              <w:sz w:val="32"/>
            </w:rPr>
            <w:fldChar w:fldCharType="separate"/>
          </w:r>
          <w:r>
            <w:rPr>
              <w:rFonts w:ascii="Times New Roman" w:hAnsi="Times New Roman" w:cs="Times New Roman"/>
              <w:sz w:val="32"/>
            </w:rPr>
            <w:t>11</w:t>
          </w:r>
          <w:r>
            <w:rPr>
              <w:rFonts w:ascii="Times New Roman" w:hAnsi="Times New Roman" w:cs="Times New Roman"/>
              <w:sz w:val="32"/>
            </w:rPr>
            <w:fldChar w:fldCharType="end"/>
          </w:r>
          <w:r>
            <w:rPr>
              <w:rFonts w:ascii="Times New Roman" w:hAnsi="Times New Roman" w:cs="Times New Roman"/>
              <w:sz w:val="32"/>
            </w:rPr>
            <w:fldChar w:fldCharType="end"/>
          </w:r>
        </w:p>
        <w:p w14:paraId="0510653B">
          <w:pPr>
            <w:pStyle w:val="19"/>
            <w:tabs>
              <w:tab w:val="right" w:leader="dot" w:pos="8845"/>
            </w:tabs>
            <w:ind w:firstLine="552"/>
            <w:rPr>
              <w:rFonts w:ascii="Times New Roman" w:hAnsi="Times New Roman" w:cs="Times New Roman"/>
              <w:sz w:val="32"/>
            </w:rPr>
          </w:pPr>
          <w:r>
            <w:fldChar w:fldCharType="begin"/>
          </w:r>
          <w:r>
            <w:instrText xml:space="preserve"> HYPERLINK \l "_Toc24552" </w:instrText>
          </w:r>
          <w:r>
            <w:fldChar w:fldCharType="separate"/>
          </w:r>
          <w:r>
            <w:rPr>
              <w:rFonts w:ascii="Times New Roman" w:hAnsi="Times New Roman" w:eastAsia="仿宋" w:cs="Times New Roman"/>
              <w:bCs/>
              <w:sz w:val="32"/>
            </w:rPr>
            <w:t xml:space="preserve">7.2 </w:t>
          </w:r>
          <w:r>
            <w:rPr>
              <w:rFonts w:ascii="Times New Roman" w:hAnsi="Times New Roman" w:cs="Times New Roman"/>
              <w:sz w:val="32"/>
            </w:rPr>
            <w:t>装备物资保障</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_Toc24552 \h </w:instrText>
          </w:r>
          <w:r>
            <w:rPr>
              <w:rFonts w:ascii="Times New Roman" w:hAnsi="Times New Roman" w:cs="Times New Roman"/>
              <w:sz w:val="32"/>
            </w:rPr>
            <w:fldChar w:fldCharType="separate"/>
          </w:r>
          <w:r>
            <w:rPr>
              <w:rFonts w:ascii="Times New Roman" w:hAnsi="Times New Roman" w:cs="Times New Roman"/>
              <w:sz w:val="32"/>
            </w:rPr>
            <w:t>12</w:t>
          </w:r>
          <w:r>
            <w:rPr>
              <w:rFonts w:ascii="Times New Roman" w:hAnsi="Times New Roman" w:cs="Times New Roman"/>
              <w:sz w:val="32"/>
            </w:rPr>
            <w:fldChar w:fldCharType="end"/>
          </w:r>
          <w:r>
            <w:rPr>
              <w:rFonts w:ascii="Times New Roman" w:hAnsi="Times New Roman" w:cs="Times New Roman"/>
              <w:sz w:val="32"/>
            </w:rPr>
            <w:fldChar w:fldCharType="end"/>
          </w:r>
        </w:p>
        <w:p w14:paraId="5648560F">
          <w:pPr>
            <w:pStyle w:val="19"/>
            <w:tabs>
              <w:tab w:val="right" w:leader="dot" w:pos="8845"/>
            </w:tabs>
            <w:ind w:firstLine="552"/>
            <w:rPr>
              <w:rFonts w:ascii="Times New Roman" w:hAnsi="Times New Roman" w:cs="Times New Roman"/>
              <w:sz w:val="32"/>
            </w:rPr>
          </w:pPr>
          <w:r>
            <w:fldChar w:fldCharType="begin"/>
          </w:r>
          <w:r>
            <w:instrText xml:space="preserve"> HYPERLINK \l "_Toc20278" </w:instrText>
          </w:r>
          <w:r>
            <w:fldChar w:fldCharType="separate"/>
          </w:r>
          <w:r>
            <w:rPr>
              <w:rFonts w:ascii="Times New Roman" w:hAnsi="Times New Roman" w:eastAsia="仿宋" w:cs="Times New Roman"/>
              <w:bCs/>
              <w:sz w:val="32"/>
            </w:rPr>
            <w:t xml:space="preserve">7.3 </w:t>
          </w:r>
          <w:r>
            <w:rPr>
              <w:rFonts w:ascii="Times New Roman" w:hAnsi="Times New Roman" w:cs="Times New Roman"/>
              <w:sz w:val="32"/>
            </w:rPr>
            <w:t>专家技术保障</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_Toc20278 \h </w:instrText>
          </w:r>
          <w:r>
            <w:rPr>
              <w:rFonts w:ascii="Times New Roman" w:hAnsi="Times New Roman" w:cs="Times New Roman"/>
              <w:sz w:val="32"/>
            </w:rPr>
            <w:fldChar w:fldCharType="separate"/>
          </w:r>
          <w:r>
            <w:rPr>
              <w:rFonts w:ascii="Times New Roman" w:hAnsi="Times New Roman" w:cs="Times New Roman"/>
              <w:sz w:val="32"/>
            </w:rPr>
            <w:t>12</w:t>
          </w:r>
          <w:r>
            <w:rPr>
              <w:rFonts w:ascii="Times New Roman" w:hAnsi="Times New Roman" w:cs="Times New Roman"/>
              <w:sz w:val="32"/>
            </w:rPr>
            <w:fldChar w:fldCharType="end"/>
          </w:r>
          <w:r>
            <w:rPr>
              <w:rFonts w:ascii="Times New Roman" w:hAnsi="Times New Roman" w:cs="Times New Roman"/>
              <w:sz w:val="32"/>
            </w:rPr>
            <w:fldChar w:fldCharType="end"/>
          </w:r>
        </w:p>
        <w:p w14:paraId="1438C96D">
          <w:pPr>
            <w:pStyle w:val="19"/>
            <w:tabs>
              <w:tab w:val="right" w:leader="dot" w:pos="8845"/>
            </w:tabs>
            <w:ind w:firstLine="552"/>
            <w:rPr>
              <w:rFonts w:ascii="Times New Roman" w:hAnsi="Times New Roman" w:cs="Times New Roman"/>
              <w:sz w:val="32"/>
            </w:rPr>
          </w:pPr>
          <w:r>
            <w:fldChar w:fldCharType="begin"/>
          </w:r>
          <w:r>
            <w:instrText xml:space="preserve"> HYPERLINK \l "_Toc9885" </w:instrText>
          </w:r>
          <w:r>
            <w:fldChar w:fldCharType="separate"/>
          </w:r>
          <w:r>
            <w:rPr>
              <w:rFonts w:ascii="Times New Roman" w:hAnsi="Times New Roman" w:eastAsia="仿宋" w:cs="Times New Roman"/>
              <w:bCs/>
              <w:sz w:val="32"/>
            </w:rPr>
            <w:t xml:space="preserve">7.4 </w:t>
          </w:r>
          <w:r>
            <w:rPr>
              <w:rFonts w:ascii="Times New Roman" w:hAnsi="Times New Roman" w:cs="Times New Roman"/>
              <w:sz w:val="32"/>
            </w:rPr>
            <w:t>应急资金保障</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_Toc9885 \h </w:instrText>
          </w:r>
          <w:r>
            <w:rPr>
              <w:rFonts w:ascii="Times New Roman" w:hAnsi="Times New Roman" w:cs="Times New Roman"/>
              <w:sz w:val="32"/>
            </w:rPr>
            <w:fldChar w:fldCharType="separate"/>
          </w:r>
          <w:r>
            <w:rPr>
              <w:rFonts w:ascii="Times New Roman" w:hAnsi="Times New Roman" w:cs="Times New Roman"/>
              <w:sz w:val="32"/>
            </w:rPr>
            <w:t>12</w:t>
          </w:r>
          <w:r>
            <w:rPr>
              <w:rFonts w:ascii="Times New Roman" w:hAnsi="Times New Roman" w:cs="Times New Roman"/>
              <w:sz w:val="32"/>
            </w:rPr>
            <w:fldChar w:fldCharType="end"/>
          </w:r>
          <w:r>
            <w:rPr>
              <w:rFonts w:ascii="Times New Roman" w:hAnsi="Times New Roman" w:cs="Times New Roman"/>
              <w:sz w:val="32"/>
            </w:rPr>
            <w:fldChar w:fldCharType="end"/>
          </w:r>
        </w:p>
        <w:p w14:paraId="5467F18B">
          <w:pPr>
            <w:pStyle w:val="18"/>
            <w:rPr>
              <w:rFonts w:ascii="Times New Roman" w:hAnsi="Times New Roman" w:cs="Times New Roman"/>
              <w:sz w:val="32"/>
            </w:rPr>
          </w:pPr>
          <w:r>
            <w:fldChar w:fldCharType="begin"/>
          </w:r>
          <w:r>
            <w:instrText xml:space="preserve"> HYPERLINK \l "_Toc4769" </w:instrText>
          </w:r>
          <w:r>
            <w:fldChar w:fldCharType="separate"/>
          </w:r>
          <w:r>
            <w:rPr>
              <w:rFonts w:ascii="Times New Roman" w:hAnsi="Times New Roman" w:eastAsia="仿宋" w:cs="Times New Roman"/>
              <w:sz w:val="32"/>
            </w:rPr>
            <w:t xml:space="preserve">8 </w:t>
          </w:r>
          <w:r>
            <w:rPr>
              <w:rFonts w:ascii="Times New Roman" w:hAnsi="Times New Roman" w:cs="Times New Roman"/>
              <w:sz w:val="32"/>
            </w:rPr>
            <w:t>预案管理</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_Toc4769 \h </w:instrText>
          </w:r>
          <w:r>
            <w:rPr>
              <w:rFonts w:ascii="Times New Roman" w:hAnsi="Times New Roman" w:cs="Times New Roman"/>
              <w:sz w:val="32"/>
            </w:rPr>
            <w:fldChar w:fldCharType="separate"/>
          </w:r>
          <w:r>
            <w:rPr>
              <w:rFonts w:ascii="Times New Roman" w:hAnsi="Times New Roman" w:cs="Times New Roman"/>
              <w:sz w:val="32"/>
            </w:rPr>
            <w:t>12</w:t>
          </w:r>
          <w:r>
            <w:rPr>
              <w:rFonts w:ascii="Times New Roman" w:hAnsi="Times New Roman" w:cs="Times New Roman"/>
              <w:sz w:val="32"/>
            </w:rPr>
            <w:fldChar w:fldCharType="end"/>
          </w:r>
          <w:r>
            <w:rPr>
              <w:rFonts w:ascii="Times New Roman" w:hAnsi="Times New Roman" w:cs="Times New Roman"/>
              <w:sz w:val="32"/>
            </w:rPr>
            <w:fldChar w:fldCharType="end"/>
          </w:r>
        </w:p>
        <w:p w14:paraId="30BBBEBD">
          <w:pPr>
            <w:pStyle w:val="19"/>
            <w:tabs>
              <w:tab w:val="right" w:leader="dot" w:pos="8845"/>
            </w:tabs>
            <w:ind w:firstLine="552"/>
            <w:rPr>
              <w:rFonts w:ascii="Times New Roman" w:hAnsi="Times New Roman" w:cs="Times New Roman"/>
              <w:sz w:val="32"/>
            </w:rPr>
          </w:pPr>
          <w:r>
            <w:fldChar w:fldCharType="begin"/>
          </w:r>
          <w:r>
            <w:instrText xml:space="preserve"> HYPERLINK \l "_Toc4446" </w:instrText>
          </w:r>
          <w:r>
            <w:fldChar w:fldCharType="separate"/>
          </w:r>
          <w:r>
            <w:rPr>
              <w:rFonts w:ascii="Times New Roman" w:hAnsi="Times New Roman" w:eastAsia="仿宋" w:cs="Times New Roman"/>
              <w:bCs/>
              <w:sz w:val="32"/>
            </w:rPr>
            <w:t xml:space="preserve">8.1 </w:t>
          </w:r>
          <w:r>
            <w:rPr>
              <w:rFonts w:ascii="Times New Roman" w:hAnsi="Times New Roman" w:cs="Times New Roman"/>
              <w:sz w:val="32"/>
            </w:rPr>
            <w:t>应急预案培训</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_Toc4446 \h </w:instrText>
          </w:r>
          <w:r>
            <w:rPr>
              <w:rFonts w:ascii="Times New Roman" w:hAnsi="Times New Roman" w:cs="Times New Roman"/>
              <w:sz w:val="32"/>
            </w:rPr>
            <w:fldChar w:fldCharType="separate"/>
          </w:r>
          <w:r>
            <w:rPr>
              <w:rFonts w:ascii="Times New Roman" w:hAnsi="Times New Roman" w:cs="Times New Roman"/>
              <w:sz w:val="32"/>
            </w:rPr>
            <w:t>12</w:t>
          </w:r>
          <w:r>
            <w:rPr>
              <w:rFonts w:ascii="Times New Roman" w:hAnsi="Times New Roman" w:cs="Times New Roman"/>
              <w:sz w:val="32"/>
            </w:rPr>
            <w:fldChar w:fldCharType="end"/>
          </w:r>
          <w:r>
            <w:rPr>
              <w:rFonts w:ascii="Times New Roman" w:hAnsi="Times New Roman" w:cs="Times New Roman"/>
              <w:sz w:val="32"/>
            </w:rPr>
            <w:fldChar w:fldCharType="end"/>
          </w:r>
        </w:p>
        <w:p w14:paraId="7B18C0F1">
          <w:pPr>
            <w:pStyle w:val="19"/>
            <w:tabs>
              <w:tab w:val="right" w:leader="dot" w:pos="8845"/>
            </w:tabs>
            <w:ind w:firstLine="552"/>
            <w:rPr>
              <w:rFonts w:ascii="Times New Roman" w:hAnsi="Times New Roman" w:cs="Times New Roman"/>
              <w:sz w:val="32"/>
            </w:rPr>
          </w:pPr>
          <w:r>
            <w:fldChar w:fldCharType="begin"/>
          </w:r>
          <w:r>
            <w:instrText xml:space="preserve"> HYPERLINK \l "_Toc16506" </w:instrText>
          </w:r>
          <w:r>
            <w:fldChar w:fldCharType="separate"/>
          </w:r>
          <w:r>
            <w:rPr>
              <w:rFonts w:ascii="Times New Roman" w:hAnsi="Times New Roman" w:eastAsia="仿宋" w:cs="Times New Roman"/>
              <w:bCs/>
              <w:sz w:val="32"/>
            </w:rPr>
            <w:t xml:space="preserve">8.2 </w:t>
          </w:r>
          <w:r>
            <w:rPr>
              <w:rFonts w:ascii="Times New Roman" w:hAnsi="Times New Roman" w:cs="Times New Roman"/>
              <w:sz w:val="32"/>
            </w:rPr>
            <w:t>应急演练</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_Toc16506 \h </w:instrText>
          </w:r>
          <w:r>
            <w:rPr>
              <w:rFonts w:ascii="Times New Roman" w:hAnsi="Times New Roman" w:cs="Times New Roman"/>
              <w:sz w:val="32"/>
            </w:rPr>
            <w:fldChar w:fldCharType="separate"/>
          </w:r>
          <w:r>
            <w:rPr>
              <w:rFonts w:ascii="Times New Roman" w:hAnsi="Times New Roman" w:cs="Times New Roman"/>
              <w:sz w:val="32"/>
            </w:rPr>
            <w:t>13</w:t>
          </w:r>
          <w:r>
            <w:rPr>
              <w:rFonts w:ascii="Times New Roman" w:hAnsi="Times New Roman" w:cs="Times New Roman"/>
              <w:sz w:val="32"/>
            </w:rPr>
            <w:fldChar w:fldCharType="end"/>
          </w:r>
          <w:r>
            <w:rPr>
              <w:rFonts w:ascii="Times New Roman" w:hAnsi="Times New Roman" w:cs="Times New Roman"/>
              <w:sz w:val="32"/>
            </w:rPr>
            <w:fldChar w:fldCharType="end"/>
          </w:r>
        </w:p>
        <w:p w14:paraId="0CE362BA">
          <w:pPr>
            <w:pStyle w:val="19"/>
            <w:tabs>
              <w:tab w:val="right" w:leader="dot" w:pos="8845"/>
            </w:tabs>
            <w:ind w:firstLine="552"/>
            <w:rPr>
              <w:rFonts w:ascii="Times New Roman" w:hAnsi="Times New Roman" w:cs="Times New Roman"/>
              <w:sz w:val="32"/>
            </w:rPr>
          </w:pPr>
          <w:r>
            <w:fldChar w:fldCharType="begin"/>
          </w:r>
          <w:r>
            <w:instrText xml:space="preserve"> HYPERLINK \l "_Toc5657" </w:instrText>
          </w:r>
          <w:r>
            <w:fldChar w:fldCharType="separate"/>
          </w:r>
          <w:r>
            <w:rPr>
              <w:rFonts w:ascii="Times New Roman" w:hAnsi="Times New Roman" w:eastAsia="仿宋" w:cs="Times New Roman"/>
              <w:bCs/>
              <w:sz w:val="32"/>
            </w:rPr>
            <w:t xml:space="preserve">8.3 </w:t>
          </w:r>
          <w:r>
            <w:rPr>
              <w:rFonts w:ascii="Times New Roman" w:hAnsi="Times New Roman" w:cs="Times New Roman"/>
              <w:sz w:val="32"/>
            </w:rPr>
            <w:t>评估与修订</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_Toc5657 \h </w:instrText>
          </w:r>
          <w:r>
            <w:rPr>
              <w:rFonts w:ascii="Times New Roman" w:hAnsi="Times New Roman" w:cs="Times New Roman"/>
              <w:sz w:val="32"/>
            </w:rPr>
            <w:fldChar w:fldCharType="separate"/>
          </w:r>
          <w:r>
            <w:rPr>
              <w:rFonts w:ascii="Times New Roman" w:hAnsi="Times New Roman" w:cs="Times New Roman"/>
              <w:sz w:val="32"/>
            </w:rPr>
            <w:t>13</w:t>
          </w:r>
          <w:r>
            <w:rPr>
              <w:rFonts w:ascii="Times New Roman" w:hAnsi="Times New Roman" w:cs="Times New Roman"/>
              <w:sz w:val="32"/>
            </w:rPr>
            <w:fldChar w:fldCharType="end"/>
          </w:r>
          <w:r>
            <w:rPr>
              <w:rFonts w:ascii="Times New Roman" w:hAnsi="Times New Roman" w:cs="Times New Roman"/>
              <w:sz w:val="32"/>
            </w:rPr>
            <w:fldChar w:fldCharType="end"/>
          </w:r>
        </w:p>
        <w:p w14:paraId="448C9585">
          <w:pPr>
            <w:pStyle w:val="19"/>
            <w:tabs>
              <w:tab w:val="right" w:leader="dot" w:pos="8845"/>
            </w:tabs>
            <w:ind w:firstLine="552"/>
            <w:rPr>
              <w:rFonts w:ascii="Times New Roman" w:hAnsi="Times New Roman" w:cs="Times New Roman"/>
              <w:sz w:val="32"/>
            </w:rPr>
          </w:pPr>
          <w:r>
            <w:fldChar w:fldCharType="begin"/>
          </w:r>
          <w:r>
            <w:instrText xml:space="preserve"> HYPERLINK \l "_Toc32150" </w:instrText>
          </w:r>
          <w:r>
            <w:fldChar w:fldCharType="separate"/>
          </w:r>
          <w:r>
            <w:rPr>
              <w:rFonts w:ascii="Times New Roman" w:hAnsi="Times New Roman" w:eastAsia="仿宋" w:cs="Times New Roman"/>
              <w:bCs/>
              <w:sz w:val="32"/>
            </w:rPr>
            <w:t xml:space="preserve">8.4 </w:t>
          </w:r>
          <w:r>
            <w:rPr>
              <w:rFonts w:ascii="Times New Roman" w:hAnsi="Times New Roman" w:cs="Times New Roman"/>
              <w:sz w:val="32"/>
            </w:rPr>
            <w:t>预案解释与实施</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_Toc32150 \h </w:instrText>
          </w:r>
          <w:r>
            <w:rPr>
              <w:rFonts w:ascii="Times New Roman" w:hAnsi="Times New Roman" w:cs="Times New Roman"/>
              <w:sz w:val="32"/>
            </w:rPr>
            <w:fldChar w:fldCharType="separate"/>
          </w:r>
          <w:r>
            <w:rPr>
              <w:rFonts w:ascii="Times New Roman" w:hAnsi="Times New Roman" w:cs="Times New Roman"/>
              <w:sz w:val="32"/>
            </w:rPr>
            <w:t>14</w:t>
          </w:r>
          <w:r>
            <w:rPr>
              <w:rFonts w:ascii="Times New Roman" w:hAnsi="Times New Roman" w:cs="Times New Roman"/>
              <w:sz w:val="32"/>
            </w:rPr>
            <w:fldChar w:fldCharType="end"/>
          </w:r>
          <w:r>
            <w:rPr>
              <w:rFonts w:ascii="Times New Roman" w:hAnsi="Times New Roman" w:cs="Times New Roman"/>
              <w:sz w:val="32"/>
            </w:rPr>
            <w:fldChar w:fldCharType="end"/>
          </w:r>
        </w:p>
        <w:p w14:paraId="0F6502F9">
          <w:pPr>
            <w:pStyle w:val="15"/>
            <w:ind w:left="0" w:leftChars="0" w:firstLine="0" w:firstLineChars="0"/>
            <w:rPr>
              <w:rFonts w:ascii="Times New Roman" w:hAnsi="Times New Roman" w:eastAsia="仿宋" w:cs="Times New Roman"/>
              <w:b/>
              <w:sz w:val="32"/>
            </w:rPr>
          </w:pPr>
          <w:r>
            <w:rPr>
              <w:rFonts w:ascii="Times New Roman" w:hAnsi="Times New Roman" w:cs="Times New Roman"/>
              <w:sz w:val="32"/>
            </w:rPr>
            <w:fldChar w:fldCharType="end"/>
          </w:r>
        </w:p>
      </w:sdtContent>
    </w:sdt>
    <w:p w14:paraId="497159FA">
      <w:pPr>
        <w:pStyle w:val="15"/>
        <w:ind w:left="0" w:leftChars="0" w:firstLine="0" w:firstLineChars="0"/>
        <w:rPr>
          <w:rFonts w:ascii="Times New Roman" w:hAnsi="Times New Roman" w:eastAsia="仿宋" w:cs="Times New Roman"/>
          <w:b/>
          <w:sz w:val="32"/>
        </w:rPr>
      </w:pPr>
    </w:p>
    <w:p w14:paraId="0CD355DE">
      <w:pPr>
        <w:ind w:firstLine="552"/>
        <w:rPr>
          <w:rFonts w:ascii="Times New Roman" w:hAnsi="Times New Roman" w:cs="Times New Roman"/>
        </w:rPr>
        <w:sectPr>
          <w:footerReference r:id="rId186" w:type="default"/>
          <w:footerReference r:id="rId187" w:type="even"/>
          <w:pgSz w:w="11906" w:h="16838"/>
          <w:pgMar w:top="2098" w:right="1474" w:bottom="1984" w:left="1587" w:header="624" w:footer="1134" w:gutter="0"/>
          <w:pgNumType w:fmt="upperRoman" w:start="1"/>
          <w:cols w:space="0" w:num="1"/>
          <w:docGrid w:type="linesAndChars" w:linePitch="579" w:charSpace="-842"/>
        </w:sectPr>
      </w:pPr>
    </w:p>
    <w:p w14:paraId="5CB94F55">
      <w:pPr>
        <w:pStyle w:val="2"/>
        <w:numPr>
          <w:ilvl w:val="0"/>
          <w:numId w:val="251"/>
        </w:numPr>
        <w:tabs>
          <w:tab w:val="left" w:pos="0"/>
        </w:tabs>
        <w:ind w:firstLine="0" w:firstLineChars="0"/>
        <w:rPr>
          <w:rFonts w:ascii="Times New Roman" w:hAnsi="Times New Roman" w:cs="Times New Roman"/>
          <w:sz w:val="32"/>
        </w:rPr>
      </w:pPr>
      <w:bookmarkStart w:id="1605" w:name="_Toc23797"/>
      <w:r>
        <w:rPr>
          <w:rFonts w:ascii="Times New Roman" w:hAnsi="Times New Roman" w:cs="Times New Roman"/>
          <w:sz w:val="32"/>
        </w:rPr>
        <w:t>总则</w:t>
      </w:r>
      <w:bookmarkEnd w:id="1605"/>
    </w:p>
    <w:p w14:paraId="47E3057E">
      <w:pPr>
        <w:pStyle w:val="3"/>
        <w:ind w:firstLine="0" w:firstLineChars="0"/>
        <w:rPr>
          <w:rFonts w:ascii="Times New Roman" w:hAnsi="Times New Roman" w:cs="Times New Roman"/>
          <w:sz w:val="32"/>
        </w:rPr>
      </w:pPr>
      <w:bookmarkStart w:id="1606" w:name="_Toc450"/>
      <w:r>
        <w:rPr>
          <w:rFonts w:ascii="Times New Roman" w:hAnsi="Times New Roman" w:cs="Times New Roman"/>
          <w:sz w:val="32"/>
        </w:rPr>
        <w:t>编制目的</w:t>
      </w:r>
      <w:bookmarkEnd w:id="1606"/>
    </w:p>
    <w:p w14:paraId="36234DD8">
      <w:pPr>
        <w:ind w:firstLine="632"/>
        <w:rPr>
          <w:rFonts w:ascii="Times New Roman" w:hAnsi="Times New Roman" w:cs="Times New Roman"/>
          <w:sz w:val="32"/>
        </w:rPr>
      </w:pPr>
      <w:r>
        <w:rPr>
          <w:rFonts w:ascii="Times New Roman" w:hAnsi="Times New Roman" w:cs="Times New Roman"/>
          <w:sz w:val="32"/>
        </w:rPr>
        <w:t>为提升我县突发事件交通运输保障应急处置能力，迅速、有序、高效地组织突发事件交通运输保障应急处置行动，最大限度地减少突发事件造成的人员伤亡、财产损失、环境和社会影响，保证突发事件受灾群众、抢险人员、物资及时运输，特制定本预案。</w:t>
      </w:r>
    </w:p>
    <w:p w14:paraId="68306141">
      <w:pPr>
        <w:pStyle w:val="3"/>
        <w:ind w:firstLine="0" w:firstLineChars="0"/>
        <w:rPr>
          <w:rFonts w:ascii="Times New Roman" w:hAnsi="Times New Roman" w:cs="Times New Roman"/>
          <w:sz w:val="32"/>
        </w:rPr>
      </w:pPr>
      <w:bookmarkStart w:id="1607" w:name="_Toc29726"/>
      <w:r>
        <w:rPr>
          <w:rFonts w:ascii="Times New Roman" w:hAnsi="Times New Roman" w:cs="Times New Roman"/>
          <w:sz w:val="32"/>
        </w:rPr>
        <w:t>编制依据</w:t>
      </w:r>
      <w:bookmarkEnd w:id="1607"/>
    </w:p>
    <w:p w14:paraId="242E9C24">
      <w:pPr>
        <w:ind w:firstLine="632"/>
        <w:rPr>
          <w:rFonts w:ascii="Times New Roman" w:hAnsi="Times New Roman" w:cs="Times New Roman"/>
          <w:sz w:val="32"/>
        </w:rPr>
      </w:pPr>
      <w:r>
        <w:rPr>
          <w:rFonts w:ascii="Times New Roman" w:hAnsi="Times New Roman" w:cs="Times New Roman"/>
          <w:sz w:val="32"/>
        </w:rPr>
        <w:t>依据《中华人民共和国突发事件应对法》《中华人民共和国安全生产法》《中华人民共和国公路法》《中华人民共和国道路运输条例》《中华人民共和国铁路运输安全保护条例》《中华人民共和国内河交通安全管理条例》《交通运输突发事件应急管理规定》《黑龙江省道路运输条例》《交通运输部交通运输综合应急预案》《黑龙江省人民政府突发公共事件总体应急预案》《集贤县突发事件总体应急预案》等法律法规及有关规定，制定本预案。</w:t>
      </w:r>
    </w:p>
    <w:p w14:paraId="7FBB948F">
      <w:pPr>
        <w:pStyle w:val="3"/>
        <w:ind w:firstLine="0" w:firstLineChars="0"/>
        <w:rPr>
          <w:rFonts w:ascii="Times New Roman" w:hAnsi="Times New Roman" w:cs="Times New Roman"/>
          <w:sz w:val="32"/>
        </w:rPr>
      </w:pPr>
      <w:bookmarkStart w:id="1608" w:name="_Toc21484"/>
      <w:r>
        <w:rPr>
          <w:rFonts w:ascii="Times New Roman" w:hAnsi="Times New Roman" w:cs="Times New Roman"/>
          <w:sz w:val="32"/>
        </w:rPr>
        <w:t>适用范围</w:t>
      </w:r>
      <w:bookmarkEnd w:id="1608"/>
    </w:p>
    <w:p w14:paraId="32878240">
      <w:pPr>
        <w:ind w:firstLine="632"/>
        <w:rPr>
          <w:rFonts w:ascii="Times New Roman" w:hAnsi="Times New Roman" w:cs="Times New Roman"/>
          <w:sz w:val="32"/>
        </w:rPr>
      </w:pPr>
      <w:r>
        <w:rPr>
          <w:rFonts w:ascii="Times New Roman" w:hAnsi="Times New Roman" w:cs="Times New Roman"/>
          <w:sz w:val="32"/>
        </w:rPr>
        <w:t>本预案适用于我县行政区域内自然灾害、事故灾难、公共卫生和社会安全等突发事件，需公路、水路、铁路等交通运输行业提供应急保障的情形。</w:t>
      </w:r>
    </w:p>
    <w:p w14:paraId="0F4DF9D0">
      <w:pPr>
        <w:pStyle w:val="3"/>
        <w:ind w:firstLine="0" w:firstLineChars="0"/>
        <w:rPr>
          <w:rFonts w:ascii="Times New Roman" w:hAnsi="Times New Roman" w:cs="Times New Roman"/>
          <w:sz w:val="32"/>
        </w:rPr>
      </w:pPr>
      <w:bookmarkStart w:id="1609" w:name="_Toc17484"/>
      <w:r>
        <w:rPr>
          <w:rFonts w:ascii="Times New Roman" w:hAnsi="Times New Roman" w:cs="Times New Roman"/>
          <w:sz w:val="32"/>
        </w:rPr>
        <w:t>工作原则</w:t>
      </w:r>
      <w:bookmarkEnd w:id="1609"/>
    </w:p>
    <w:p w14:paraId="544E697D">
      <w:pPr>
        <w:ind w:firstLine="632"/>
        <w:rPr>
          <w:rFonts w:ascii="Times New Roman" w:hAnsi="Times New Roman" w:cs="Times New Roman"/>
          <w:sz w:val="32"/>
        </w:rPr>
      </w:pPr>
      <w:r>
        <w:rPr>
          <w:rFonts w:ascii="Times New Roman" w:hAnsi="Times New Roman" w:cs="Times New Roman"/>
          <w:sz w:val="32"/>
        </w:rPr>
        <w:t>（1）以人为本、以防为主、防抗结合。坚持人民至上、生命至上，积极开展突发事件交通运输保障工作，为减少突发事件造成的人员伤亡和财产损失提供最大程度的支持保障。</w:t>
      </w:r>
    </w:p>
    <w:p w14:paraId="579542E0">
      <w:pPr>
        <w:ind w:firstLine="632"/>
        <w:rPr>
          <w:rFonts w:ascii="Times New Roman" w:hAnsi="Times New Roman" w:cs="Times New Roman"/>
          <w:sz w:val="32"/>
        </w:rPr>
      </w:pPr>
      <w:r>
        <w:rPr>
          <w:rFonts w:ascii="Times New Roman" w:hAnsi="Times New Roman" w:cs="Times New Roman"/>
          <w:sz w:val="32"/>
        </w:rPr>
        <w:t>（2）统一领导、属地管理、分级响应。在县委、县政府统一领导下，交通运输、铁路、公安、应急等部门以及驻县武警部队等有关部门负责本级突发事件交通运输应对工作。</w:t>
      </w:r>
    </w:p>
    <w:p w14:paraId="311EBE41">
      <w:pPr>
        <w:ind w:firstLine="632"/>
        <w:rPr>
          <w:rFonts w:ascii="Times New Roman" w:hAnsi="Times New Roman" w:cs="Times New Roman"/>
          <w:sz w:val="32"/>
        </w:rPr>
      </w:pPr>
      <w:r>
        <w:rPr>
          <w:rFonts w:ascii="Times New Roman" w:hAnsi="Times New Roman" w:cs="Times New Roman"/>
          <w:sz w:val="32"/>
        </w:rPr>
        <w:t>（3）快速反应、高效保障、协调联动。完善应急工作响应程序，做好突发事件的信息处理和报送工作，整合行业和社会应急资源。加强部门协作，建立健全地区间、行业间、部门间应急协调联动机制。</w:t>
      </w:r>
    </w:p>
    <w:p w14:paraId="71B38F97">
      <w:pPr>
        <w:pStyle w:val="2"/>
        <w:numPr>
          <w:ilvl w:val="0"/>
          <w:numId w:val="251"/>
        </w:numPr>
        <w:tabs>
          <w:tab w:val="left" w:pos="0"/>
        </w:tabs>
        <w:ind w:firstLine="0" w:firstLineChars="0"/>
        <w:rPr>
          <w:rFonts w:ascii="Times New Roman" w:hAnsi="Times New Roman" w:cs="Times New Roman"/>
          <w:sz w:val="32"/>
        </w:rPr>
      </w:pPr>
      <w:bookmarkStart w:id="1610" w:name="_Toc26241"/>
      <w:r>
        <w:rPr>
          <w:rFonts w:ascii="Times New Roman" w:hAnsi="Times New Roman" w:cs="Times New Roman"/>
          <w:sz w:val="32"/>
        </w:rPr>
        <w:t>突发事件分类和分级</w:t>
      </w:r>
      <w:bookmarkEnd w:id="1610"/>
    </w:p>
    <w:p w14:paraId="35E25249">
      <w:pPr>
        <w:pStyle w:val="3"/>
        <w:ind w:firstLine="0" w:firstLineChars="0"/>
        <w:rPr>
          <w:rFonts w:ascii="Times New Roman" w:hAnsi="Times New Roman" w:cs="Times New Roman"/>
          <w:sz w:val="32"/>
        </w:rPr>
      </w:pPr>
      <w:bookmarkStart w:id="1611" w:name="_Toc32210"/>
      <w:r>
        <w:rPr>
          <w:rFonts w:ascii="Times New Roman" w:hAnsi="Times New Roman" w:cs="Times New Roman"/>
          <w:sz w:val="32"/>
        </w:rPr>
        <w:t>突发事件分类</w:t>
      </w:r>
      <w:bookmarkEnd w:id="1611"/>
    </w:p>
    <w:p w14:paraId="462A752A">
      <w:pPr>
        <w:ind w:firstLine="632"/>
        <w:rPr>
          <w:rFonts w:ascii="Times New Roman" w:hAnsi="Times New Roman" w:cs="Times New Roman"/>
          <w:sz w:val="32"/>
        </w:rPr>
      </w:pPr>
      <w:r>
        <w:rPr>
          <w:rFonts w:ascii="Times New Roman" w:hAnsi="Times New Roman" w:cs="Times New Roman"/>
          <w:sz w:val="32"/>
        </w:rPr>
        <w:t>突发事件交通运输保障的事件主要分为以下四类：</w:t>
      </w:r>
    </w:p>
    <w:p w14:paraId="34DA8EF1">
      <w:pPr>
        <w:ind w:firstLine="632"/>
        <w:rPr>
          <w:rFonts w:ascii="Times New Roman" w:hAnsi="Times New Roman" w:cs="Times New Roman"/>
          <w:sz w:val="32"/>
        </w:rPr>
      </w:pPr>
      <w:r>
        <w:rPr>
          <w:rFonts w:ascii="Times New Roman" w:hAnsi="Times New Roman" w:cs="Times New Roman"/>
          <w:sz w:val="32"/>
        </w:rPr>
        <w:t>自然灾害：主要包括水旱灾害、气象灾害、地震灾害、地质灾害、森林火灾和生物灾害等。</w:t>
      </w:r>
    </w:p>
    <w:p w14:paraId="23308DFB">
      <w:pPr>
        <w:ind w:firstLine="632"/>
        <w:rPr>
          <w:rFonts w:ascii="Times New Roman" w:hAnsi="Times New Roman" w:cs="Times New Roman"/>
          <w:sz w:val="32"/>
        </w:rPr>
      </w:pPr>
      <w:r>
        <w:rPr>
          <w:rFonts w:ascii="Times New Roman" w:hAnsi="Times New Roman" w:cs="Times New Roman"/>
          <w:sz w:val="32"/>
        </w:rPr>
        <w:t>事故灾难：主要包括生产安全事故、交通运输事故、公共设施和设备事故、火灾事故、环境污染和生态破坏事件等。</w:t>
      </w:r>
    </w:p>
    <w:p w14:paraId="2833567C">
      <w:pPr>
        <w:ind w:firstLine="632"/>
        <w:rPr>
          <w:rFonts w:ascii="Times New Roman" w:hAnsi="Times New Roman" w:cs="Times New Roman"/>
          <w:sz w:val="32"/>
        </w:rPr>
      </w:pPr>
      <w:r>
        <w:rPr>
          <w:rFonts w:ascii="Times New Roman" w:hAnsi="Times New Roman" w:cs="Times New Roman"/>
          <w:sz w:val="32"/>
        </w:rPr>
        <w:t>公共卫生事件：主要包括传染病疫情、群体性不明原因疾病、食品和药品安全事件、急性中毒事件、动物疫情以及其他严重影响公众健康和生命安全的事件。</w:t>
      </w:r>
    </w:p>
    <w:p w14:paraId="4AC65600">
      <w:pPr>
        <w:ind w:firstLine="632"/>
        <w:rPr>
          <w:rFonts w:ascii="Times New Roman" w:hAnsi="Times New Roman" w:cs="Times New Roman"/>
          <w:sz w:val="32"/>
        </w:rPr>
      </w:pPr>
      <w:r>
        <w:rPr>
          <w:rFonts w:ascii="Times New Roman" w:hAnsi="Times New Roman" w:cs="Times New Roman"/>
          <w:sz w:val="32"/>
        </w:rPr>
        <w:t>社会安全事件：主要包括各类重大刑事案件、恐怖袭击事件、群体性事件、金融突发事件、冲击党政机关和要害部门事件等。</w:t>
      </w:r>
    </w:p>
    <w:p w14:paraId="69DDBD42">
      <w:pPr>
        <w:pStyle w:val="3"/>
        <w:ind w:firstLine="0" w:firstLineChars="0"/>
        <w:rPr>
          <w:rFonts w:ascii="Times New Roman" w:hAnsi="Times New Roman" w:cs="Times New Roman"/>
          <w:sz w:val="32"/>
        </w:rPr>
      </w:pPr>
      <w:bookmarkStart w:id="1612" w:name="_Toc30272"/>
      <w:r>
        <w:rPr>
          <w:rFonts w:ascii="Times New Roman" w:hAnsi="Times New Roman" w:cs="Times New Roman"/>
          <w:sz w:val="32"/>
        </w:rPr>
        <w:t>突发事件分级</w:t>
      </w:r>
      <w:bookmarkEnd w:id="1612"/>
    </w:p>
    <w:p w14:paraId="6A146A9B">
      <w:pPr>
        <w:ind w:firstLine="632"/>
        <w:rPr>
          <w:rFonts w:ascii="Times New Roman" w:hAnsi="Times New Roman" w:cs="Times New Roman"/>
          <w:sz w:val="32"/>
        </w:rPr>
      </w:pPr>
      <w:r>
        <w:rPr>
          <w:rFonts w:ascii="Times New Roman" w:hAnsi="Times New Roman" w:cs="Times New Roman"/>
          <w:sz w:val="32"/>
        </w:rPr>
        <w:t>各类突发事件按照其性质、造成损失、危害程度、可控性和影响范围等因素，分为特别重大、重大、较大和一般四级。具体分级标准在县级总体应急预案、专项应急预案中予以明确，发生相应突发事件时，本预案参照执行。</w:t>
      </w:r>
    </w:p>
    <w:p w14:paraId="5314E5CA">
      <w:pPr>
        <w:pStyle w:val="2"/>
        <w:numPr>
          <w:ilvl w:val="0"/>
          <w:numId w:val="251"/>
        </w:numPr>
        <w:tabs>
          <w:tab w:val="left" w:pos="0"/>
        </w:tabs>
        <w:ind w:firstLine="0" w:firstLineChars="0"/>
        <w:rPr>
          <w:rFonts w:ascii="Times New Roman" w:hAnsi="Times New Roman" w:cs="Times New Roman"/>
          <w:sz w:val="32"/>
        </w:rPr>
      </w:pPr>
      <w:bookmarkStart w:id="1613" w:name="_Toc26953"/>
      <w:r>
        <w:rPr>
          <w:rFonts w:ascii="Times New Roman" w:hAnsi="Times New Roman" w:cs="Times New Roman"/>
          <w:sz w:val="32"/>
        </w:rPr>
        <w:t>组织指挥体系</w:t>
      </w:r>
      <w:bookmarkEnd w:id="1613"/>
    </w:p>
    <w:p w14:paraId="1E2C1F2B">
      <w:pPr>
        <w:pStyle w:val="3"/>
        <w:ind w:firstLine="0" w:firstLineChars="0"/>
        <w:rPr>
          <w:rFonts w:ascii="Times New Roman" w:hAnsi="Times New Roman" w:cs="Times New Roman"/>
          <w:sz w:val="32"/>
        </w:rPr>
      </w:pPr>
      <w:bookmarkStart w:id="1614" w:name="_Toc29925"/>
      <w:r>
        <w:rPr>
          <w:rFonts w:ascii="Times New Roman" w:hAnsi="Times New Roman" w:cs="Times New Roman"/>
          <w:sz w:val="32"/>
        </w:rPr>
        <w:t>县交通运输保障应急指挥部及职责</w:t>
      </w:r>
      <w:bookmarkEnd w:id="1614"/>
    </w:p>
    <w:p w14:paraId="2F36F657">
      <w:pPr>
        <w:ind w:firstLine="632"/>
        <w:rPr>
          <w:rFonts w:ascii="Times New Roman" w:hAnsi="Times New Roman" w:cs="Times New Roman"/>
          <w:sz w:val="32"/>
        </w:rPr>
      </w:pPr>
      <w:r>
        <w:rPr>
          <w:rFonts w:ascii="Times New Roman" w:hAnsi="Times New Roman" w:cs="Times New Roman"/>
          <w:sz w:val="32"/>
        </w:rPr>
        <w:t>集贤县人民政府成立县交通运输保障应急指挥部，应急指挥部总指挥由县政府分管副县长担任，副总指挥由县交通运输局局长担任。成员单位包括县交通运输局、县公安局、县应急管理局、县住房和城乡建设局、各乡镇人民政府、福利屯火车站等单位或部门。必要时可根据工作需要，可增加有关部门和单位。</w:t>
      </w:r>
    </w:p>
    <w:p w14:paraId="0C02DBD6">
      <w:pPr>
        <w:ind w:firstLine="632"/>
        <w:rPr>
          <w:rFonts w:ascii="Times New Roman" w:hAnsi="Times New Roman" w:cs="Times New Roman"/>
          <w:sz w:val="32"/>
        </w:rPr>
      </w:pPr>
      <w:r>
        <w:rPr>
          <w:rFonts w:ascii="Times New Roman" w:hAnsi="Times New Roman" w:cs="Times New Roman"/>
          <w:sz w:val="32"/>
        </w:rPr>
        <w:t>其主要职责为：</w:t>
      </w:r>
    </w:p>
    <w:p w14:paraId="3E79E80C">
      <w:pPr>
        <w:ind w:firstLine="632"/>
        <w:rPr>
          <w:rFonts w:ascii="Times New Roman" w:hAnsi="Times New Roman" w:cs="Times New Roman"/>
          <w:sz w:val="32"/>
        </w:rPr>
      </w:pPr>
      <w:r>
        <w:rPr>
          <w:rFonts w:ascii="Times New Roman" w:hAnsi="Times New Roman" w:cs="Times New Roman"/>
          <w:sz w:val="32"/>
        </w:rPr>
        <w:t>（1）负责指导、组织和协调突发事件时的抢通保通保运等交通运输应急保障工作；</w:t>
      </w:r>
    </w:p>
    <w:p w14:paraId="5506C11D">
      <w:pPr>
        <w:ind w:firstLine="632"/>
        <w:rPr>
          <w:rFonts w:ascii="Times New Roman" w:hAnsi="Times New Roman" w:cs="Times New Roman"/>
          <w:sz w:val="32"/>
        </w:rPr>
      </w:pPr>
      <w:r>
        <w:rPr>
          <w:rFonts w:ascii="Times New Roman" w:hAnsi="Times New Roman" w:cs="Times New Roman"/>
          <w:sz w:val="32"/>
        </w:rPr>
        <w:t>（2）落实集贤县突发事件应急委员会（以下简称“县应急委”）安排的有关应急保障任务；</w:t>
      </w:r>
    </w:p>
    <w:p w14:paraId="2A439083">
      <w:pPr>
        <w:ind w:firstLine="632"/>
        <w:rPr>
          <w:rFonts w:ascii="Times New Roman" w:hAnsi="Times New Roman" w:cs="Times New Roman"/>
          <w:sz w:val="32"/>
        </w:rPr>
      </w:pPr>
      <w:r>
        <w:rPr>
          <w:rFonts w:ascii="Times New Roman" w:hAnsi="Times New Roman" w:cs="Times New Roman"/>
          <w:sz w:val="32"/>
        </w:rPr>
        <w:t>（3）必要时，在县应急委统一领导下，由县交通运输局会同铁路、公安、应急等部门在突发事件事发地联合成立交通运输保障现场指挥部（以下简称“现场指挥部”）具体负责组织协调现场交通运输保障应急工作。</w:t>
      </w:r>
    </w:p>
    <w:p w14:paraId="4341201E">
      <w:pPr>
        <w:ind w:firstLine="632"/>
        <w:rPr>
          <w:rFonts w:ascii="Times New Roman" w:hAnsi="Times New Roman" w:cs="Times New Roman"/>
          <w:sz w:val="32"/>
        </w:rPr>
      </w:pPr>
      <w:r>
        <w:rPr>
          <w:rFonts w:ascii="Times New Roman" w:hAnsi="Times New Roman" w:cs="Times New Roman"/>
          <w:sz w:val="32"/>
        </w:rPr>
        <w:t>各成员单位主要职责为：</w:t>
      </w:r>
    </w:p>
    <w:p w14:paraId="3205AF83">
      <w:pPr>
        <w:ind w:firstLine="634"/>
        <w:rPr>
          <w:rFonts w:ascii="Times New Roman" w:hAnsi="Times New Roman" w:cs="Times New Roman"/>
          <w:sz w:val="32"/>
        </w:rPr>
      </w:pPr>
      <w:r>
        <w:rPr>
          <w:rFonts w:ascii="Times New Roman" w:hAnsi="Times New Roman" w:cs="Times New Roman"/>
          <w:b/>
          <w:bCs/>
          <w:sz w:val="32"/>
        </w:rPr>
        <w:t>县交通运输局：</w:t>
      </w:r>
      <w:r>
        <w:rPr>
          <w:rFonts w:ascii="Times New Roman" w:hAnsi="Times New Roman" w:cs="Times New Roman"/>
          <w:sz w:val="32"/>
        </w:rPr>
        <w:t>负责牵头组织协调突发事件道路运输应急保障，负责公路、水路抢通保通保运工作。</w:t>
      </w:r>
    </w:p>
    <w:p w14:paraId="7F157F7E">
      <w:pPr>
        <w:ind w:firstLine="634"/>
        <w:rPr>
          <w:rFonts w:ascii="Times New Roman" w:hAnsi="Times New Roman" w:cs="Times New Roman"/>
          <w:sz w:val="32"/>
        </w:rPr>
      </w:pPr>
      <w:r>
        <w:rPr>
          <w:rFonts w:ascii="Times New Roman" w:hAnsi="Times New Roman" w:cs="Times New Roman"/>
          <w:b/>
          <w:bCs/>
          <w:sz w:val="32"/>
        </w:rPr>
        <w:t>县公安局：</w:t>
      </w:r>
      <w:r>
        <w:rPr>
          <w:rFonts w:ascii="Times New Roman" w:hAnsi="Times New Roman" w:cs="Times New Roman"/>
          <w:sz w:val="32"/>
        </w:rPr>
        <w:t>负责受突发事件影响区域的交通警戒和交通管制等应急保障工作。</w:t>
      </w:r>
    </w:p>
    <w:p w14:paraId="7C177CBC">
      <w:pPr>
        <w:ind w:firstLine="634"/>
        <w:rPr>
          <w:rFonts w:ascii="Times New Roman" w:hAnsi="Times New Roman" w:cs="Times New Roman"/>
          <w:sz w:val="32"/>
        </w:rPr>
      </w:pPr>
      <w:r>
        <w:rPr>
          <w:rFonts w:ascii="Times New Roman" w:hAnsi="Times New Roman" w:cs="Times New Roman"/>
          <w:b/>
          <w:bCs/>
          <w:sz w:val="32"/>
        </w:rPr>
        <w:t>县应急管理局：</w:t>
      </w:r>
      <w:r>
        <w:rPr>
          <w:rFonts w:ascii="Times New Roman" w:hAnsi="Times New Roman" w:cs="Times New Roman"/>
          <w:sz w:val="32"/>
        </w:rPr>
        <w:t>根据职责，协调应急救援队伍参与突发事件交通运输应急救援工作。</w:t>
      </w:r>
    </w:p>
    <w:p w14:paraId="66015F24">
      <w:pPr>
        <w:ind w:firstLine="634"/>
        <w:rPr>
          <w:rFonts w:ascii="Times New Roman" w:hAnsi="Times New Roman" w:cs="Times New Roman"/>
          <w:sz w:val="32"/>
        </w:rPr>
      </w:pPr>
      <w:r>
        <w:rPr>
          <w:rFonts w:ascii="Times New Roman" w:hAnsi="Times New Roman" w:cs="Times New Roman"/>
          <w:b/>
          <w:bCs/>
          <w:sz w:val="32"/>
        </w:rPr>
        <w:t>县住房和城乡建设局</w:t>
      </w:r>
      <w:r>
        <w:rPr>
          <w:rFonts w:ascii="Times New Roman" w:hAnsi="Times New Roman" w:cs="Times New Roman"/>
          <w:sz w:val="32"/>
        </w:rPr>
        <w:t>：负责所辖市政道路的抢通保通工作。</w:t>
      </w:r>
    </w:p>
    <w:p w14:paraId="051BB5DF">
      <w:pPr>
        <w:ind w:firstLine="634"/>
        <w:rPr>
          <w:rFonts w:ascii="Times New Roman" w:hAnsi="Times New Roman" w:cs="Times New Roman"/>
          <w:sz w:val="32"/>
        </w:rPr>
      </w:pPr>
      <w:r>
        <w:rPr>
          <w:rFonts w:ascii="Times New Roman" w:hAnsi="Times New Roman" w:cs="Times New Roman"/>
          <w:b/>
          <w:bCs/>
          <w:sz w:val="32"/>
        </w:rPr>
        <w:t>乡镇人民政府：</w:t>
      </w:r>
      <w:r>
        <w:rPr>
          <w:rFonts w:ascii="Times New Roman" w:hAnsi="Times New Roman" w:cs="Times New Roman"/>
          <w:sz w:val="32"/>
        </w:rPr>
        <w:t>按照属地管理原则，负责协助交通运输保障工作。</w:t>
      </w:r>
    </w:p>
    <w:p w14:paraId="05CD1445">
      <w:pPr>
        <w:ind w:firstLine="634"/>
        <w:rPr>
          <w:rFonts w:ascii="Times New Roman" w:hAnsi="Times New Roman" w:cs="Times New Roman"/>
          <w:sz w:val="32"/>
        </w:rPr>
      </w:pPr>
      <w:r>
        <w:rPr>
          <w:rFonts w:ascii="Times New Roman" w:hAnsi="Times New Roman" w:cs="Times New Roman"/>
          <w:b/>
          <w:bCs/>
          <w:sz w:val="32"/>
        </w:rPr>
        <w:t>福利屯火车站：</w:t>
      </w:r>
      <w:r>
        <w:rPr>
          <w:rFonts w:ascii="Times New Roman" w:hAnsi="Times New Roman" w:cs="Times New Roman"/>
          <w:sz w:val="32"/>
        </w:rPr>
        <w:t>协调组织铁路优先运送受灾群众、救援力量及救援救灾物资、装备。</w:t>
      </w:r>
    </w:p>
    <w:p w14:paraId="2F327F89">
      <w:pPr>
        <w:pStyle w:val="3"/>
        <w:ind w:firstLine="0" w:firstLineChars="0"/>
        <w:rPr>
          <w:rFonts w:ascii="Times New Roman" w:hAnsi="Times New Roman" w:cs="Times New Roman"/>
          <w:sz w:val="32"/>
        </w:rPr>
      </w:pPr>
      <w:bookmarkStart w:id="1615" w:name="_Toc30426"/>
      <w:r>
        <w:rPr>
          <w:rFonts w:ascii="Times New Roman" w:hAnsi="Times New Roman" w:cs="Times New Roman"/>
          <w:sz w:val="32"/>
        </w:rPr>
        <w:t>县交通运输保障应急指挥部办公室及职责</w:t>
      </w:r>
      <w:bookmarkEnd w:id="1615"/>
    </w:p>
    <w:p w14:paraId="2DB8E4BB">
      <w:pPr>
        <w:ind w:firstLine="632"/>
        <w:rPr>
          <w:rFonts w:ascii="Times New Roman" w:hAnsi="Times New Roman" w:cs="Times New Roman"/>
          <w:sz w:val="32"/>
        </w:rPr>
      </w:pPr>
      <w:r>
        <w:rPr>
          <w:rFonts w:ascii="Times New Roman" w:hAnsi="Times New Roman" w:cs="Times New Roman"/>
          <w:sz w:val="32"/>
        </w:rPr>
        <w:t>县交通运输保障应急指挥部办公室设在县交通运输局，办公室主任由县交通运输局局长兼任。</w:t>
      </w:r>
    </w:p>
    <w:p w14:paraId="25547404">
      <w:pPr>
        <w:ind w:firstLine="632"/>
        <w:rPr>
          <w:rFonts w:ascii="Times New Roman" w:hAnsi="Times New Roman" w:cs="Times New Roman"/>
          <w:sz w:val="32"/>
        </w:rPr>
      </w:pPr>
      <w:r>
        <w:rPr>
          <w:rFonts w:ascii="Times New Roman" w:hAnsi="Times New Roman" w:cs="Times New Roman"/>
          <w:sz w:val="32"/>
        </w:rPr>
        <w:t>主要职责为：</w:t>
      </w:r>
    </w:p>
    <w:p w14:paraId="1F39899B">
      <w:pPr>
        <w:ind w:firstLine="632"/>
        <w:rPr>
          <w:rFonts w:ascii="Times New Roman" w:hAnsi="Times New Roman" w:cs="Times New Roman"/>
          <w:sz w:val="32"/>
        </w:rPr>
      </w:pPr>
      <w:r>
        <w:rPr>
          <w:rFonts w:ascii="Times New Roman" w:hAnsi="Times New Roman" w:cs="Times New Roman"/>
          <w:sz w:val="32"/>
        </w:rPr>
        <w:t>（1）贯彻落实县交通运输保障应急指挥部的指示和部署；</w:t>
      </w:r>
    </w:p>
    <w:p w14:paraId="6006E83D">
      <w:pPr>
        <w:ind w:firstLine="632"/>
        <w:rPr>
          <w:rFonts w:ascii="Times New Roman" w:hAnsi="Times New Roman" w:cs="Times New Roman"/>
          <w:sz w:val="32"/>
        </w:rPr>
      </w:pPr>
      <w:r>
        <w:rPr>
          <w:rFonts w:ascii="Times New Roman" w:hAnsi="Times New Roman" w:cs="Times New Roman"/>
          <w:sz w:val="32"/>
        </w:rPr>
        <w:t>（2）负责县交通运输保障应急指挥部日常事务性工作；</w:t>
      </w:r>
    </w:p>
    <w:p w14:paraId="040CE73D">
      <w:pPr>
        <w:ind w:firstLine="632"/>
        <w:rPr>
          <w:rFonts w:ascii="Times New Roman" w:hAnsi="Times New Roman" w:cs="Times New Roman"/>
          <w:sz w:val="32"/>
        </w:rPr>
      </w:pPr>
      <w:r>
        <w:rPr>
          <w:rFonts w:ascii="Times New Roman" w:hAnsi="Times New Roman" w:cs="Times New Roman"/>
          <w:sz w:val="32"/>
        </w:rPr>
        <w:t>（3）组织成员单位的集结；与各成员单位保持密切联络，做好综合协调工作；</w:t>
      </w:r>
    </w:p>
    <w:p w14:paraId="22C84AF7">
      <w:pPr>
        <w:ind w:firstLine="632"/>
        <w:rPr>
          <w:rFonts w:ascii="Times New Roman" w:hAnsi="Times New Roman" w:cs="Times New Roman"/>
          <w:sz w:val="32"/>
        </w:rPr>
      </w:pPr>
      <w:r>
        <w:rPr>
          <w:rFonts w:ascii="Times New Roman" w:hAnsi="Times New Roman" w:cs="Times New Roman"/>
          <w:sz w:val="32"/>
        </w:rPr>
        <w:t>（4）与指挥部取得联系，上报有关信息，传达有关指令；安排应急值守，收集汇总各成员单位工作开展情况。</w:t>
      </w:r>
    </w:p>
    <w:p w14:paraId="64CBD08C">
      <w:pPr>
        <w:pStyle w:val="3"/>
        <w:ind w:firstLine="0" w:firstLineChars="0"/>
        <w:rPr>
          <w:rFonts w:ascii="Times New Roman" w:hAnsi="Times New Roman" w:cs="Times New Roman"/>
          <w:sz w:val="32"/>
        </w:rPr>
      </w:pPr>
      <w:bookmarkStart w:id="1616" w:name="_Toc18898"/>
      <w:r>
        <w:rPr>
          <w:rFonts w:ascii="Times New Roman" w:hAnsi="Times New Roman" w:cs="Times New Roman"/>
          <w:sz w:val="32"/>
        </w:rPr>
        <w:t>交通运输保障现场指挥部及职责</w:t>
      </w:r>
      <w:bookmarkEnd w:id="1616"/>
    </w:p>
    <w:p w14:paraId="6DE5E6D1">
      <w:pPr>
        <w:ind w:firstLine="632"/>
        <w:rPr>
          <w:rFonts w:ascii="Times New Roman" w:hAnsi="Times New Roman" w:cs="Times New Roman"/>
          <w:sz w:val="32"/>
        </w:rPr>
      </w:pPr>
      <w:r>
        <w:rPr>
          <w:rFonts w:ascii="Times New Roman" w:hAnsi="Times New Roman" w:cs="Times New Roman"/>
          <w:sz w:val="32"/>
        </w:rPr>
        <w:t>应急响应启动后，视情况由县交通运输保障应急指挥部组织成立现场应急指挥部，赶赴突发事件现场迅速开展交通运输保障应急协调指挥工作。</w:t>
      </w:r>
    </w:p>
    <w:p w14:paraId="3E1DF5A1">
      <w:pPr>
        <w:ind w:firstLine="632"/>
        <w:rPr>
          <w:rFonts w:ascii="Times New Roman" w:hAnsi="Times New Roman" w:cs="Times New Roman"/>
          <w:sz w:val="32"/>
        </w:rPr>
      </w:pPr>
      <w:r>
        <w:rPr>
          <w:rFonts w:ascii="Times New Roman" w:hAnsi="Times New Roman" w:cs="Times New Roman"/>
          <w:sz w:val="32"/>
        </w:rPr>
        <w:t>现场应急指挥部总指挥由县交通运输保障应急指挥部总指挥，或者由总指挥指定现场有关人员担任，主要职责为：按照县交通运输保障应急指挥部决策部署和工作安排，加强与事发地乡镇人民政府沟通协调，督促和指导有关交通运输应急保障工作，协调支援交通运输应急资源，根据需要依职责提供必要的交通运输应急保障。</w:t>
      </w:r>
    </w:p>
    <w:p w14:paraId="69BFFE2C">
      <w:pPr>
        <w:ind w:firstLine="632"/>
        <w:rPr>
          <w:rFonts w:ascii="Times New Roman" w:hAnsi="Times New Roman" w:cs="Times New Roman"/>
          <w:sz w:val="32"/>
        </w:rPr>
      </w:pPr>
      <w:r>
        <w:rPr>
          <w:rFonts w:ascii="Times New Roman" w:hAnsi="Times New Roman" w:cs="Times New Roman"/>
          <w:sz w:val="32"/>
        </w:rPr>
        <w:t>下设综合协调小组、道路抢通小组、运输保障小组。</w:t>
      </w:r>
    </w:p>
    <w:p w14:paraId="19FE532B">
      <w:pPr>
        <w:ind w:firstLine="632"/>
        <w:rPr>
          <w:rFonts w:ascii="Times New Roman" w:hAnsi="Times New Roman" w:cs="Times New Roman"/>
          <w:sz w:val="32"/>
        </w:rPr>
      </w:pPr>
      <w:r>
        <w:rPr>
          <w:rFonts w:ascii="Times New Roman" w:hAnsi="Times New Roman" w:cs="Times New Roman"/>
          <w:sz w:val="32"/>
        </w:rPr>
        <w:t>（1）综合协调小组。主要协助县交通运输保障应急指挥部组织现场应急处置有关工作，负责领导要求的上传下达和重要文件起草、审核，统一信息汇总与报送，做好文件传输、归档、保密工作，统筹协调、调度联系各组工作，做好与突发事件专项指挥部、事发地乡镇人民政府工作衔接。</w:t>
      </w:r>
    </w:p>
    <w:p w14:paraId="6628DF87">
      <w:pPr>
        <w:ind w:firstLine="632"/>
        <w:rPr>
          <w:rFonts w:ascii="Times New Roman" w:hAnsi="Times New Roman" w:cs="Times New Roman"/>
          <w:sz w:val="32"/>
        </w:rPr>
      </w:pPr>
      <w:r>
        <w:rPr>
          <w:rFonts w:ascii="Times New Roman" w:hAnsi="Times New Roman" w:cs="Times New Roman"/>
          <w:sz w:val="32"/>
        </w:rPr>
        <w:t>（2）道路抢通小组。主要负责突发事件道路抢通，调集人员和物资、设备，抢修损坏路段、桥梁、隧道，或者开通、架设临时通车便道、便桥；指导各抢险力量做好自身防护保障工作，防止发生安全事故；及时报告道路抢通进展情况等。</w:t>
      </w:r>
    </w:p>
    <w:p w14:paraId="49F2898D">
      <w:pPr>
        <w:ind w:firstLine="632"/>
        <w:rPr>
          <w:rFonts w:ascii="Times New Roman" w:hAnsi="Times New Roman" w:cs="Times New Roman"/>
          <w:sz w:val="32"/>
        </w:rPr>
      </w:pPr>
      <w:r>
        <w:rPr>
          <w:rFonts w:ascii="Times New Roman" w:hAnsi="Times New Roman" w:cs="Times New Roman"/>
          <w:sz w:val="32"/>
        </w:rPr>
        <w:t>（3）运输保障小组。主要负责组织协调抢险救援所需交通运输工具；协调调运救灾物资等工作。</w:t>
      </w:r>
    </w:p>
    <w:p w14:paraId="6656052D">
      <w:pPr>
        <w:pStyle w:val="2"/>
        <w:numPr>
          <w:ilvl w:val="0"/>
          <w:numId w:val="251"/>
        </w:numPr>
        <w:tabs>
          <w:tab w:val="left" w:pos="0"/>
        </w:tabs>
        <w:ind w:firstLine="0" w:firstLineChars="0"/>
        <w:rPr>
          <w:rFonts w:ascii="Times New Roman" w:hAnsi="Times New Roman" w:cs="Times New Roman"/>
          <w:sz w:val="32"/>
        </w:rPr>
      </w:pPr>
      <w:bookmarkStart w:id="1617" w:name="_Toc12498"/>
      <w:r>
        <w:rPr>
          <w:rFonts w:ascii="Times New Roman" w:hAnsi="Times New Roman" w:cs="Times New Roman"/>
          <w:sz w:val="32"/>
        </w:rPr>
        <w:t>预防预警</w:t>
      </w:r>
      <w:bookmarkEnd w:id="1617"/>
    </w:p>
    <w:p w14:paraId="53683608">
      <w:pPr>
        <w:pStyle w:val="3"/>
        <w:ind w:firstLine="0" w:firstLineChars="0"/>
        <w:rPr>
          <w:rFonts w:ascii="Times New Roman" w:hAnsi="Times New Roman" w:cs="Times New Roman"/>
          <w:sz w:val="32"/>
        </w:rPr>
      </w:pPr>
      <w:bookmarkStart w:id="1618" w:name="_Toc23753"/>
      <w:r>
        <w:rPr>
          <w:rFonts w:ascii="Times New Roman" w:hAnsi="Times New Roman" w:cs="Times New Roman"/>
          <w:sz w:val="32"/>
        </w:rPr>
        <w:t>预防预警机制</w:t>
      </w:r>
      <w:bookmarkEnd w:id="1618"/>
    </w:p>
    <w:p w14:paraId="252D4DDD">
      <w:pPr>
        <w:ind w:firstLine="632"/>
        <w:rPr>
          <w:rFonts w:ascii="Times New Roman" w:hAnsi="Times New Roman" w:cs="Times New Roman"/>
          <w:sz w:val="32"/>
        </w:rPr>
      </w:pPr>
      <w:r>
        <w:rPr>
          <w:rFonts w:ascii="Times New Roman" w:hAnsi="Times New Roman" w:cs="Times New Roman"/>
          <w:sz w:val="32"/>
        </w:rPr>
        <w:t>县交通运输保障应急指挥部各成员单位在日常工作中开展如下预防预警工作：</w:t>
      </w:r>
    </w:p>
    <w:p w14:paraId="074EF414">
      <w:pPr>
        <w:ind w:firstLine="632"/>
        <w:rPr>
          <w:rFonts w:ascii="Times New Roman" w:hAnsi="Times New Roman" w:cs="Times New Roman"/>
          <w:sz w:val="32"/>
        </w:rPr>
      </w:pPr>
      <w:r>
        <w:rPr>
          <w:rFonts w:ascii="Times New Roman" w:hAnsi="Times New Roman" w:cs="Times New Roman"/>
          <w:sz w:val="32"/>
        </w:rPr>
        <w:t>（1）建立会商机制，做好信息传递。当有关部门发布较大及以上自然灾害类突发事件的预警信息时，与气象、水利、自然资源、地震、应急等部门积极交流对接，重点做好极端恶劣天气、地质灾害等预警信息的应对工作，做到早发现、早预防、早报告、早处置。</w:t>
      </w:r>
    </w:p>
    <w:p w14:paraId="5D14ECE6">
      <w:pPr>
        <w:ind w:firstLine="632"/>
        <w:rPr>
          <w:rFonts w:ascii="Times New Roman" w:hAnsi="Times New Roman" w:cs="Times New Roman"/>
          <w:sz w:val="32"/>
        </w:rPr>
      </w:pPr>
      <w:r>
        <w:rPr>
          <w:rFonts w:ascii="Times New Roman" w:hAnsi="Times New Roman" w:cs="Times New Roman"/>
          <w:sz w:val="32"/>
        </w:rPr>
        <w:t>（2）针对其他（公共卫生事件、社会安全事件等）可能对交通运输运行产生影响的情况，按照相关程序处置预警信息。</w:t>
      </w:r>
    </w:p>
    <w:p w14:paraId="76772081">
      <w:pPr>
        <w:ind w:firstLine="632"/>
        <w:rPr>
          <w:rFonts w:ascii="Times New Roman" w:hAnsi="Times New Roman" w:cs="Times New Roman"/>
          <w:sz w:val="32"/>
        </w:rPr>
      </w:pPr>
      <w:r>
        <w:rPr>
          <w:rFonts w:ascii="Times New Roman" w:hAnsi="Times New Roman" w:cs="Times New Roman"/>
          <w:sz w:val="32"/>
        </w:rPr>
        <w:t>（3）做好应急状态下紧急联络方式，确保其畅通。</w:t>
      </w:r>
    </w:p>
    <w:p w14:paraId="480CDE49">
      <w:pPr>
        <w:pStyle w:val="3"/>
        <w:ind w:firstLine="0" w:firstLineChars="0"/>
        <w:rPr>
          <w:rFonts w:ascii="Times New Roman" w:hAnsi="Times New Roman" w:cs="Times New Roman"/>
          <w:sz w:val="32"/>
        </w:rPr>
      </w:pPr>
      <w:bookmarkStart w:id="1619" w:name="_Toc29680"/>
      <w:r>
        <w:rPr>
          <w:rFonts w:ascii="Times New Roman" w:hAnsi="Times New Roman" w:cs="Times New Roman"/>
          <w:sz w:val="32"/>
        </w:rPr>
        <w:t>预警信息收集</w:t>
      </w:r>
      <w:bookmarkEnd w:id="1619"/>
    </w:p>
    <w:p w14:paraId="51FCE4CD">
      <w:pPr>
        <w:pStyle w:val="11"/>
        <w:ind w:firstLine="632"/>
        <w:rPr>
          <w:rFonts w:ascii="Times New Roman" w:hAnsi="Times New Roman" w:cs="Times New Roman"/>
          <w:sz w:val="32"/>
        </w:rPr>
      </w:pPr>
      <w:r>
        <w:rPr>
          <w:rFonts w:ascii="Times New Roman" w:hAnsi="Times New Roman" w:cs="Times New Roman"/>
          <w:sz w:val="32"/>
        </w:rPr>
        <w:t>县交通运输保障应急指挥部各成员单位应加强日常沟通联系，强化预警信息互通，为科学决策提供依据。信息收集内容及主要来源如下：</w:t>
      </w:r>
    </w:p>
    <w:p w14:paraId="1A9F9439">
      <w:pPr>
        <w:pStyle w:val="11"/>
        <w:ind w:firstLine="632"/>
        <w:rPr>
          <w:rFonts w:ascii="Times New Roman" w:hAnsi="Times New Roman" w:cs="Times New Roman"/>
          <w:sz w:val="32"/>
        </w:rPr>
      </w:pPr>
      <w:r>
        <w:rPr>
          <w:rFonts w:ascii="Times New Roman" w:hAnsi="Times New Roman" w:cs="Times New Roman"/>
          <w:sz w:val="32"/>
        </w:rPr>
        <w:t>（1）国家重点或紧急物资运输通行保障需求信息；</w:t>
      </w:r>
    </w:p>
    <w:p w14:paraId="5E536976">
      <w:pPr>
        <w:pStyle w:val="11"/>
        <w:ind w:firstLine="632"/>
        <w:rPr>
          <w:rFonts w:ascii="Times New Roman" w:hAnsi="Times New Roman" w:cs="Times New Roman"/>
          <w:sz w:val="32"/>
        </w:rPr>
      </w:pPr>
      <w:r>
        <w:rPr>
          <w:rFonts w:ascii="Times New Roman" w:hAnsi="Times New Roman" w:cs="Times New Roman"/>
          <w:sz w:val="32"/>
        </w:rPr>
        <w:t>（2）气象、地震、水利、自然资源、卫生、公安、应急等有关部门提供监测和灾害预报预警等信息；</w:t>
      </w:r>
    </w:p>
    <w:p w14:paraId="40993BA4">
      <w:pPr>
        <w:pStyle w:val="11"/>
        <w:ind w:firstLine="632"/>
        <w:rPr>
          <w:rFonts w:ascii="Times New Roman" w:hAnsi="Times New Roman" w:cs="Times New Roman"/>
          <w:sz w:val="32"/>
        </w:rPr>
      </w:pPr>
      <w:r>
        <w:rPr>
          <w:rFonts w:ascii="Times New Roman" w:hAnsi="Times New Roman" w:cs="Times New Roman"/>
          <w:sz w:val="32"/>
        </w:rPr>
        <w:t>（3）交通运输、铁路、应急和公安等部门提供的道路损毁、交通中断阻塞、旅客滞留，交通枢纽、客货场站、火车站等监测信息，以及其他可能诱发交通运输系统风险的信息；</w:t>
      </w:r>
    </w:p>
    <w:p w14:paraId="419E6E5A">
      <w:pPr>
        <w:pStyle w:val="11"/>
        <w:ind w:firstLine="632"/>
        <w:rPr>
          <w:rFonts w:ascii="Times New Roman" w:hAnsi="Times New Roman" w:cs="Times New Roman"/>
          <w:sz w:val="32"/>
        </w:rPr>
      </w:pPr>
      <w:r>
        <w:rPr>
          <w:rFonts w:ascii="Times New Roman" w:hAnsi="Times New Roman" w:cs="Times New Roman"/>
          <w:sz w:val="32"/>
        </w:rPr>
        <w:t>（4）其他有关信息。</w:t>
      </w:r>
    </w:p>
    <w:p w14:paraId="1004F7AF">
      <w:pPr>
        <w:pStyle w:val="11"/>
        <w:ind w:firstLine="632"/>
        <w:rPr>
          <w:rFonts w:ascii="Times New Roman" w:hAnsi="Times New Roman" w:cs="Times New Roman"/>
          <w:sz w:val="32"/>
        </w:rPr>
      </w:pPr>
      <w:r>
        <w:rPr>
          <w:rFonts w:ascii="Times New Roman" w:hAnsi="Times New Roman" w:cs="Times New Roman"/>
          <w:sz w:val="32"/>
        </w:rPr>
        <w:t>信息收集内容包括预计发生事件的类型、出现的时间、地点、规模、可能引发的影响及发展趋势等。</w:t>
      </w:r>
    </w:p>
    <w:p w14:paraId="79280A24">
      <w:pPr>
        <w:pStyle w:val="3"/>
        <w:ind w:firstLine="0" w:firstLineChars="0"/>
        <w:rPr>
          <w:rFonts w:ascii="Times New Roman" w:hAnsi="Times New Roman" w:cs="Times New Roman"/>
          <w:sz w:val="32"/>
        </w:rPr>
      </w:pPr>
      <w:bookmarkStart w:id="1620" w:name="_Toc25479"/>
      <w:r>
        <w:rPr>
          <w:rFonts w:ascii="Times New Roman" w:hAnsi="Times New Roman" w:cs="Times New Roman"/>
          <w:sz w:val="32"/>
        </w:rPr>
        <w:t>预警信息处理</w:t>
      </w:r>
      <w:bookmarkEnd w:id="1620"/>
    </w:p>
    <w:p w14:paraId="7AF21346">
      <w:pPr>
        <w:pStyle w:val="11"/>
        <w:ind w:firstLine="632"/>
        <w:rPr>
          <w:rFonts w:ascii="Times New Roman" w:hAnsi="Times New Roman" w:cs="Times New Roman"/>
          <w:sz w:val="32"/>
        </w:rPr>
      </w:pPr>
      <w:r>
        <w:rPr>
          <w:rFonts w:ascii="Times New Roman" w:hAnsi="Times New Roman" w:cs="Times New Roman"/>
          <w:sz w:val="32"/>
        </w:rPr>
        <w:t>根据《集贤县突发事件总体应急预案》，可以预警的主要类型有：自然灾害、事故灾难或公共卫生事件，且预警级别的确定和信息发布是由各级事件应对主责单位（部门）负责。按照紧急程度、发展势态和可能造成的危害程度，预警级别可分为四级、三级、二级和一级，一级为最高级别。</w:t>
      </w:r>
    </w:p>
    <w:p w14:paraId="699B0A64">
      <w:pPr>
        <w:pStyle w:val="11"/>
        <w:ind w:firstLine="632"/>
        <w:rPr>
          <w:rFonts w:ascii="Times New Roman" w:hAnsi="Times New Roman" w:cs="Times New Roman"/>
          <w:sz w:val="32"/>
        </w:rPr>
      </w:pPr>
      <w:r>
        <w:rPr>
          <w:rFonts w:ascii="Times New Roman" w:hAnsi="Times New Roman" w:cs="Times New Roman"/>
          <w:sz w:val="32"/>
        </w:rPr>
        <w:t>各成员单位在接到预警信息时，视情调度预警地区各自领域应急防范工作，督促落实有关交通运输保障工作。</w:t>
      </w:r>
    </w:p>
    <w:p w14:paraId="715790DD">
      <w:pPr>
        <w:pStyle w:val="2"/>
        <w:numPr>
          <w:ilvl w:val="0"/>
          <w:numId w:val="251"/>
        </w:numPr>
        <w:tabs>
          <w:tab w:val="left" w:pos="0"/>
        </w:tabs>
        <w:ind w:firstLine="0" w:firstLineChars="0"/>
        <w:rPr>
          <w:rFonts w:ascii="Times New Roman" w:hAnsi="Times New Roman" w:cs="Times New Roman"/>
          <w:sz w:val="32"/>
        </w:rPr>
      </w:pPr>
      <w:bookmarkStart w:id="1621" w:name="_Toc8973"/>
      <w:r>
        <w:rPr>
          <w:rFonts w:ascii="Times New Roman" w:hAnsi="Times New Roman" w:cs="Times New Roman"/>
          <w:sz w:val="32"/>
        </w:rPr>
        <w:t>应急响应</w:t>
      </w:r>
      <w:bookmarkEnd w:id="1621"/>
    </w:p>
    <w:p w14:paraId="29FF1498">
      <w:pPr>
        <w:pStyle w:val="3"/>
        <w:ind w:firstLine="0" w:firstLineChars="0"/>
        <w:rPr>
          <w:rFonts w:ascii="Times New Roman" w:hAnsi="Times New Roman" w:cs="Times New Roman"/>
          <w:sz w:val="32"/>
        </w:rPr>
      </w:pPr>
      <w:bookmarkStart w:id="1622" w:name="_Toc29005"/>
      <w:r>
        <w:rPr>
          <w:rFonts w:ascii="Times New Roman" w:hAnsi="Times New Roman" w:cs="Times New Roman"/>
          <w:sz w:val="32"/>
        </w:rPr>
        <w:t>先期处置</w:t>
      </w:r>
      <w:bookmarkEnd w:id="1622"/>
    </w:p>
    <w:p w14:paraId="11A84CD3">
      <w:pPr>
        <w:ind w:firstLine="632"/>
        <w:rPr>
          <w:rFonts w:ascii="Times New Roman" w:hAnsi="Times New Roman" w:cs="Times New Roman"/>
          <w:sz w:val="32"/>
        </w:rPr>
      </w:pPr>
      <w:r>
        <w:rPr>
          <w:rFonts w:ascii="Times New Roman" w:hAnsi="Times New Roman" w:cs="Times New Roman"/>
          <w:sz w:val="32"/>
        </w:rPr>
        <w:t>突发事件发生后，由突发事件专项应急指挥机构启动响应应急预案，采取措施控制事态发展。县交通运输保障应急指挥部迅速做好保障应急物资、队伍和装备的部署，积极开展抢通保通保运及有关抢险作业先期处置工作，并立即向上报告情况。</w:t>
      </w:r>
    </w:p>
    <w:p w14:paraId="33DF60ED">
      <w:pPr>
        <w:ind w:firstLine="632"/>
        <w:rPr>
          <w:rFonts w:ascii="Times New Roman" w:hAnsi="Times New Roman" w:cs="Times New Roman"/>
          <w:sz w:val="32"/>
        </w:rPr>
      </w:pPr>
      <w:r>
        <w:rPr>
          <w:rFonts w:ascii="Times New Roman" w:hAnsi="Times New Roman" w:cs="Times New Roman"/>
          <w:sz w:val="32"/>
        </w:rPr>
        <w:t>较大以上突发事件发生时，各成员单位相关领导和人员立即赶赴突发事件专项应急指挥场所组织开展先期应急保障工作，县交通运输保障应急指挥部负责同志立即赶赴县突发事件专项应急指挥机构领受任务。</w:t>
      </w:r>
    </w:p>
    <w:p w14:paraId="0480B7D6">
      <w:pPr>
        <w:pStyle w:val="3"/>
        <w:ind w:firstLine="0" w:firstLineChars="0"/>
        <w:rPr>
          <w:rFonts w:ascii="Times New Roman" w:hAnsi="Times New Roman" w:cs="Times New Roman"/>
          <w:sz w:val="32"/>
        </w:rPr>
      </w:pPr>
      <w:bookmarkStart w:id="1623" w:name="_Toc30983"/>
      <w:r>
        <w:rPr>
          <w:rFonts w:ascii="Times New Roman" w:hAnsi="Times New Roman" w:cs="Times New Roman"/>
          <w:sz w:val="32"/>
        </w:rPr>
        <w:t>分级响应</w:t>
      </w:r>
      <w:bookmarkEnd w:id="1623"/>
    </w:p>
    <w:p w14:paraId="524E8B9E">
      <w:pPr>
        <w:ind w:firstLine="632"/>
        <w:rPr>
          <w:rFonts w:ascii="Times New Roman" w:hAnsi="Times New Roman" w:cs="Times New Roman"/>
          <w:sz w:val="32"/>
        </w:rPr>
      </w:pPr>
      <w:r>
        <w:rPr>
          <w:rFonts w:ascii="Times New Roman" w:hAnsi="Times New Roman" w:cs="Times New Roman"/>
          <w:sz w:val="32"/>
        </w:rPr>
        <w:t>各突发事件专项应急机构接到突发事件信息后，依据该专项应急预案，会同相关成员单位及时核实有关情况，并进行分析研判，根据突发事件的性质、严重程度、可控性和影响范围等，依据突发事件分级标准确定突发事件等级，通报县交通运输保障应急指挥部办公室，县交通运输保障应急指挥部接到突发事件信息后组织开展突发事件风险研判，由县交通运输保障应急指挥部总指挥决定启动突发事件相应级别的交通运输保障应急响应。</w:t>
      </w:r>
    </w:p>
    <w:p w14:paraId="6C0270D5">
      <w:pPr>
        <w:ind w:firstLine="632"/>
        <w:rPr>
          <w:rFonts w:ascii="Times New Roman" w:hAnsi="Times New Roman" w:cs="Times New Roman"/>
          <w:sz w:val="32"/>
        </w:rPr>
      </w:pPr>
      <w:r>
        <w:rPr>
          <w:rFonts w:ascii="Times New Roman" w:hAnsi="Times New Roman" w:cs="Times New Roman"/>
          <w:sz w:val="32"/>
        </w:rPr>
        <w:t>当确定发生特别重大、重大、较大突发事件，需启动Ⅰ级、Ⅱ级、Ⅲ级应急响应时，由县交通运输保障应急指挥部将突发事件交通运输保障信息上报至县政府及上级主管部门，并根据上级命令开展应急处置工作。</w:t>
      </w:r>
    </w:p>
    <w:p w14:paraId="011C6737">
      <w:pPr>
        <w:ind w:firstLine="632"/>
        <w:rPr>
          <w:rFonts w:ascii="Times New Roman" w:hAnsi="Times New Roman" w:cs="Times New Roman"/>
          <w:sz w:val="32"/>
        </w:rPr>
      </w:pPr>
      <w:r>
        <w:rPr>
          <w:rFonts w:ascii="Times New Roman" w:hAnsi="Times New Roman" w:cs="Times New Roman"/>
          <w:sz w:val="32"/>
        </w:rPr>
        <w:t>当发生一般（Ⅳ级）突发事件时，县交通运输保障应急指挥部密切跟踪突发事件进展情况，对突发事件情况进行快速评估分析，判断可能产生的影响及后果；及时与突发事件专项应急指挥机构联系，收集、更新突发事件信息，汇总参与应急处置单位的情况汇报和工作动态；做好与各成员单位的沟通协调；密切跟踪突发事件进展情况，确保快速、合理的提供交通运输保障，防止事态扩大或发生次生、行生事故。</w:t>
      </w:r>
    </w:p>
    <w:p w14:paraId="47322E47">
      <w:pPr>
        <w:pStyle w:val="3"/>
        <w:ind w:firstLine="0" w:firstLineChars="0"/>
        <w:rPr>
          <w:rFonts w:ascii="Times New Roman" w:hAnsi="Times New Roman" w:cs="Times New Roman"/>
          <w:sz w:val="32"/>
        </w:rPr>
      </w:pPr>
      <w:bookmarkStart w:id="1624" w:name="_Toc32662"/>
      <w:r>
        <w:rPr>
          <w:rFonts w:ascii="Times New Roman" w:hAnsi="Times New Roman" w:cs="Times New Roman"/>
          <w:sz w:val="32"/>
        </w:rPr>
        <w:t>处置措施</w:t>
      </w:r>
      <w:bookmarkEnd w:id="1624"/>
    </w:p>
    <w:p w14:paraId="2017EA2D">
      <w:pPr>
        <w:ind w:firstLine="632"/>
        <w:rPr>
          <w:rFonts w:ascii="Times New Roman" w:hAnsi="Times New Roman" w:cs="Times New Roman"/>
          <w:sz w:val="32"/>
        </w:rPr>
      </w:pPr>
      <w:r>
        <w:rPr>
          <w:rFonts w:ascii="Times New Roman" w:hAnsi="Times New Roman" w:cs="Times New Roman"/>
          <w:sz w:val="32"/>
        </w:rPr>
        <w:t>当启动应急响应时，各成员单位组织开展各项交通运输保障应急工作，包括但不限于以下：</w:t>
      </w:r>
    </w:p>
    <w:p w14:paraId="525EC998">
      <w:pPr>
        <w:ind w:firstLine="632"/>
        <w:rPr>
          <w:rFonts w:ascii="Times New Roman" w:hAnsi="Times New Roman" w:cs="Times New Roman"/>
          <w:sz w:val="32"/>
        </w:rPr>
      </w:pPr>
      <w:r>
        <w:rPr>
          <w:rFonts w:ascii="Times New Roman" w:hAnsi="Times New Roman" w:cs="Times New Roman"/>
          <w:sz w:val="32"/>
        </w:rPr>
        <w:t>（1）做好突发事件信息分析研判和情况摸排；</w:t>
      </w:r>
    </w:p>
    <w:p w14:paraId="58A2CA54">
      <w:pPr>
        <w:ind w:firstLine="632"/>
        <w:rPr>
          <w:rFonts w:ascii="Times New Roman" w:hAnsi="Times New Roman" w:cs="Times New Roman"/>
          <w:sz w:val="32"/>
        </w:rPr>
      </w:pPr>
      <w:r>
        <w:rPr>
          <w:rFonts w:ascii="Times New Roman" w:hAnsi="Times New Roman" w:cs="Times New Roman"/>
          <w:sz w:val="32"/>
        </w:rPr>
        <w:t>（2）组织开展抢通保通保运以及有关抢险作业工作，根据需要派出工作组及技术人员到现场给予指导；</w:t>
      </w:r>
    </w:p>
    <w:p w14:paraId="2A9362A7">
      <w:pPr>
        <w:ind w:firstLine="632"/>
        <w:rPr>
          <w:rFonts w:ascii="Times New Roman" w:hAnsi="Times New Roman" w:cs="Times New Roman"/>
          <w:sz w:val="32"/>
        </w:rPr>
      </w:pPr>
      <w:r>
        <w:rPr>
          <w:rFonts w:ascii="Times New Roman" w:hAnsi="Times New Roman" w:cs="Times New Roman"/>
          <w:sz w:val="32"/>
        </w:rPr>
        <w:t>（3）根据应急处置需要，在应急队伍、装备、物资、资金等方面给予必要支持和协调；</w:t>
      </w:r>
    </w:p>
    <w:p w14:paraId="77E2785A">
      <w:pPr>
        <w:ind w:firstLine="632"/>
        <w:rPr>
          <w:rFonts w:ascii="Times New Roman" w:hAnsi="Times New Roman" w:cs="Times New Roman"/>
          <w:sz w:val="32"/>
        </w:rPr>
      </w:pPr>
      <w:r>
        <w:rPr>
          <w:rFonts w:ascii="Times New Roman" w:hAnsi="Times New Roman" w:cs="Times New Roman"/>
          <w:sz w:val="32"/>
        </w:rPr>
        <w:t>（4）做好与其他相关应急机构的联络，及时通报情况。必要时可向县政府及上级主管部门申请相关帮助。</w:t>
      </w:r>
    </w:p>
    <w:p w14:paraId="63FA57AD">
      <w:pPr>
        <w:pStyle w:val="3"/>
        <w:ind w:firstLine="0" w:firstLineChars="0"/>
        <w:rPr>
          <w:rFonts w:ascii="Times New Roman" w:hAnsi="Times New Roman" w:cs="Times New Roman"/>
          <w:sz w:val="32"/>
        </w:rPr>
      </w:pPr>
      <w:bookmarkStart w:id="1625" w:name="_Toc29474"/>
      <w:r>
        <w:rPr>
          <w:rFonts w:ascii="Times New Roman" w:hAnsi="Times New Roman" w:cs="Times New Roman"/>
          <w:sz w:val="32"/>
        </w:rPr>
        <w:t>信息报告与处理</w:t>
      </w:r>
      <w:bookmarkEnd w:id="1625"/>
    </w:p>
    <w:p w14:paraId="1669764C">
      <w:pPr>
        <w:ind w:firstLine="632"/>
        <w:rPr>
          <w:rFonts w:ascii="Times New Roman" w:hAnsi="Times New Roman" w:cs="Times New Roman"/>
          <w:sz w:val="32"/>
        </w:rPr>
      </w:pPr>
      <w:r>
        <w:rPr>
          <w:rFonts w:ascii="Times New Roman" w:hAnsi="Times New Roman" w:cs="Times New Roman"/>
          <w:sz w:val="32"/>
        </w:rPr>
        <w:t>县交通运输保障应急指挥部各成员单位将交通运输保障应急处置工作进展情况及时报送县交通运输保障应急指挥部办公室，不得迟报、漏报、谎报和瞒报。县交通运输保障应急指挥部办公室及时将国家有关部门、省、市、县党委和政府指示批示通报相关成员单位。</w:t>
      </w:r>
    </w:p>
    <w:p w14:paraId="6F8F997D">
      <w:pPr>
        <w:ind w:firstLine="632"/>
        <w:rPr>
          <w:rFonts w:ascii="Times New Roman" w:hAnsi="Times New Roman" w:cs="Times New Roman"/>
          <w:sz w:val="32"/>
        </w:rPr>
      </w:pPr>
      <w:r>
        <w:rPr>
          <w:rFonts w:ascii="Times New Roman" w:hAnsi="Times New Roman" w:cs="Times New Roman"/>
          <w:sz w:val="32"/>
        </w:rPr>
        <w:t>县交通运输保障应急指挥部办公室第一时间汇总各成员单位交通运输保障应急响应情况，根据县交通运输保障应急指挥部的要求或工作需要，通报突发事件专项应急指挥机构。</w:t>
      </w:r>
    </w:p>
    <w:p w14:paraId="5609CF49">
      <w:pPr>
        <w:pStyle w:val="3"/>
        <w:ind w:firstLine="0" w:firstLineChars="0"/>
        <w:rPr>
          <w:rFonts w:ascii="Times New Roman" w:hAnsi="Times New Roman" w:cs="Times New Roman"/>
          <w:sz w:val="32"/>
        </w:rPr>
      </w:pPr>
      <w:bookmarkStart w:id="1626" w:name="_Toc8583"/>
      <w:r>
        <w:rPr>
          <w:rFonts w:ascii="Times New Roman" w:hAnsi="Times New Roman" w:cs="Times New Roman"/>
          <w:sz w:val="32"/>
        </w:rPr>
        <w:t>信息发布与舆情</w:t>
      </w:r>
      <w:bookmarkEnd w:id="1626"/>
    </w:p>
    <w:p w14:paraId="26C9055F">
      <w:pPr>
        <w:ind w:firstLine="632"/>
        <w:rPr>
          <w:rFonts w:ascii="Times New Roman" w:hAnsi="Times New Roman" w:cs="Times New Roman"/>
          <w:sz w:val="32"/>
        </w:rPr>
      </w:pPr>
      <w:r>
        <w:rPr>
          <w:rFonts w:ascii="Times New Roman" w:hAnsi="Times New Roman" w:cs="Times New Roman"/>
          <w:sz w:val="32"/>
        </w:rPr>
        <w:t>交通运输保障应急工作重要信息发布，在遵守国家有关法律规定前提下，由县交通运输保障应急指挥部或突发事件专项应急指挥机构统一实施，确保信息准确、有效、及时。同时，加强舆情分析，及时回应社会关切，迅速澄清谣言，引导网民依法、理性表达意见，形成积极健康的社会舆论。</w:t>
      </w:r>
    </w:p>
    <w:p w14:paraId="7EBE59EB">
      <w:pPr>
        <w:pStyle w:val="3"/>
        <w:ind w:firstLine="0" w:firstLineChars="0"/>
        <w:rPr>
          <w:rFonts w:ascii="Times New Roman" w:hAnsi="Times New Roman" w:cs="Times New Roman"/>
          <w:sz w:val="32"/>
        </w:rPr>
      </w:pPr>
      <w:bookmarkStart w:id="1627" w:name="_Toc24367"/>
      <w:r>
        <w:rPr>
          <w:rFonts w:ascii="Times New Roman" w:hAnsi="Times New Roman" w:cs="Times New Roman"/>
          <w:sz w:val="32"/>
        </w:rPr>
        <w:t>响应终止</w:t>
      </w:r>
      <w:bookmarkEnd w:id="1627"/>
    </w:p>
    <w:p w14:paraId="019C921C">
      <w:pPr>
        <w:ind w:firstLine="632"/>
        <w:rPr>
          <w:rFonts w:ascii="Times New Roman" w:hAnsi="Times New Roman" w:cs="Times New Roman"/>
          <w:sz w:val="32"/>
        </w:rPr>
      </w:pPr>
      <w:r>
        <w:rPr>
          <w:rFonts w:ascii="Times New Roman" w:hAnsi="Times New Roman" w:cs="Times New Roman"/>
          <w:sz w:val="32"/>
        </w:rPr>
        <w:t>突发事件得到有效控制，交通保障工作完成，并经突发事件专项应急指挥机构评估后，按照响应分级，由宣布启动响应的部门决定终止响应，并下达响应终止命令。</w:t>
      </w:r>
    </w:p>
    <w:p w14:paraId="11208177">
      <w:pPr>
        <w:pStyle w:val="2"/>
        <w:numPr>
          <w:ilvl w:val="0"/>
          <w:numId w:val="251"/>
        </w:numPr>
        <w:tabs>
          <w:tab w:val="left" w:pos="0"/>
        </w:tabs>
        <w:ind w:firstLine="0" w:firstLineChars="0"/>
        <w:rPr>
          <w:rFonts w:ascii="Times New Roman" w:hAnsi="Times New Roman" w:cs="Times New Roman"/>
          <w:sz w:val="32"/>
        </w:rPr>
      </w:pPr>
      <w:bookmarkStart w:id="1628" w:name="_Toc24543"/>
      <w:bookmarkStart w:id="1629" w:name="_Toc2555"/>
      <w:r>
        <w:rPr>
          <w:rFonts w:ascii="Times New Roman" w:hAnsi="Times New Roman" w:cs="Times New Roman"/>
          <w:sz w:val="32"/>
        </w:rPr>
        <w:t>后期处置</w:t>
      </w:r>
      <w:bookmarkEnd w:id="1628"/>
    </w:p>
    <w:p w14:paraId="5384A44F">
      <w:pPr>
        <w:pStyle w:val="3"/>
        <w:ind w:firstLine="0" w:firstLineChars="0"/>
        <w:rPr>
          <w:rFonts w:ascii="Times New Roman" w:hAnsi="Times New Roman" w:cs="Times New Roman"/>
          <w:sz w:val="32"/>
        </w:rPr>
      </w:pPr>
      <w:bookmarkStart w:id="1630" w:name="_Toc13378"/>
      <w:r>
        <w:rPr>
          <w:rFonts w:ascii="Times New Roman" w:hAnsi="Times New Roman" w:cs="Times New Roman"/>
          <w:sz w:val="32"/>
        </w:rPr>
        <w:t>善后处置</w:t>
      </w:r>
      <w:bookmarkEnd w:id="1630"/>
    </w:p>
    <w:p w14:paraId="70A57D4A">
      <w:pPr>
        <w:ind w:firstLine="632"/>
        <w:rPr>
          <w:rFonts w:ascii="Times New Roman" w:hAnsi="Times New Roman" w:cs="Times New Roman"/>
          <w:sz w:val="32"/>
        </w:rPr>
      </w:pPr>
      <w:r>
        <w:rPr>
          <w:rFonts w:ascii="Times New Roman" w:hAnsi="Times New Roman" w:cs="Times New Roman"/>
          <w:sz w:val="32"/>
        </w:rPr>
        <w:t>突发事件交通运输保障处置行动结束后，应积极稳妥、深入细致地做好善后处置工作。突发事件交通运输保障善后处置工作包括；</w:t>
      </w:r>
    </w:p>
    <w:p w14:paraId="3AB8AFFD">
      <w:pPr>
        <w:ind w:firstLine="632"/>
        <w:rPr>
          <w:rFonts w:ascii="Times New Roman" w:hAnsi="Times New Roman" w:cs="Times New Roman"/>
          <w:sz w:val="32"/>
        </w:rPr>
      </w:pPr>
      <w:r>
        <w:rPr>
          <w:rFonts w:ascii="Times New Roman" w:hAnsi="Times New Roman" w:cs="Times New Roman"/>
          <w:sz w:val="32"/>
        </w:rPr>
        <w:t>（1）核定交通运输保障相关人员和装备投入的实际工作量，运价与补助标准及补偿方案；</w:t>
      </w:r>
    </w:p>
    <w:p w14:paraId="3AE23F36">
      <w:pPr>
        <w:ind w:firstLine="632"/>
        <w:rPr>
          <w:rFonts w:ascii="Times New Roman" w:hAnsi="Times New Roman" w:cs="Times New Roman"/>
          <w:sz w:val="32"/>
        </w:rPr>
      </w:pPr>
      <w:r>
        <w:rPr>
          <w:rFonts w:ascii="Times New Roman" w:hAnsi="Times New Roman" w:cs="Times New Roman"/>
          <w:sz w:val="32"/>
        </w:rPr>
        <w:t>（2）核定交通运输保障相关人员伤亡和装备损坏的程度，联系保险机构做好保险理赔工作.</w:t>
      </w:r>
    </w:p>
    <w:p w14:paraId="063E56AA">
      <w:pPr>
        <w:ind w:firstLine="632"/>
        <w:rPr>
          <w:rFonts w:ascii="Times New Roman" w:hAnsi="Times New Roman" w:cs="Times New Roman"/>
          <w:sz w:val="32"/>
        </w:rPr>
      </w:pPr>
      <w:r>
        <w:rPr>
          <w:rFonts w:ascii="Times New Roman" w:hAnsi="Times New Roman" w:cs="Times New Roman"/>
          <w:sz w:val="32"/>
        </w:rPr>
        <w:t>（3）根据国家有关政策对在交通运输保障工作中伤亡人员和损坏的装备提出优恤和赔偿方案；</w:t>
      </w:r>
    </w:p>
    <w:p w14:paraId="2A2EB313">
      <w:pPr>
        <w:ind w:firstLine="632"/>
        <w:rPr>
          <w:rFonts w:ascii="Times New Roman" w:hAnsi="Times New Roman" w:cs="Times New Roman"/>
          <w:sz w:val="32"/>
        </w:rPr>
      </w:pPr>
      <w:r>
        <w:rPr>
          <w:rFonts w:ascii="Times New Roman" w:hAnsi="Times New Roman" w:cs="Times New Roman"/>
          <w:sz w:val="32"/>
        </w:rPr>
        <w:t>（4）协助卫生与环境保护部门做好交通运输保障的疫病防治和环境污染消除工作；</w:t>
      </w:r>
    </w:p>
    <w:p w14:paraId="6451E552">
      <w:pPr>
        <w:ind w:firstLine="632"/>
        <w:rPr>
          <w:rFonts w:ascii="Times New Roman" w:hAnsi="Times New Roman" w:cs="Times New Roman"/>
          <w:sz w:val="32"/>
        </w:rPr>
      </w:pPr>
      <w:r>
        <w:rPr>
          <w:rFonts w:ascii="Times New Roman" w:hAnsi="Times New Roman" w:cs="Times New Roman"/>
          <w:sz w:val="32"/>
        </w:rPr>
        <w:t>（5）负责对本次交通运输保障任务进行科学的分析和总结，并提出整改意见与建议。</w:t>
      </w:r>
    </w:p>
    <w:p w14:paraId="402F53FC">
      <w:pPr>
        <w:pStyle w:val="3"/>
        <w:ind w:firstLine="0" w:firstLineChars="0"/>
        <w:rPr>
          <w:rFonts w:ascii="Times New Roman" w:hAnsi="Times New Roman" w:cs="Times New Roman"/>
          <w:sz w:val="32"/>
        </w:rPr>
      </w:pPr>
      <w:bookmarkStart w:id="1631" w:name="_Toc26997"/>
      <w:r>
        <w:rPr>
          <w:rFonts w:ascii="Times New Roman" w:hAnsi="Times New Roman" w:cs="Times New Roman"/>
          <w:sz w:val="32"/>
        </w:rPr>
        <w:t>总结评估</w:t>
      </w:r>
      <w:bookmarkEnd w:id="1631"/>
    </w:p>
    <w:p w14:paraId="448D5887">
      <w:pPr>
        <w:ind w:firstLine="632"/>
        <w:rPr>
          <w:rFonts w:ascii="Times New Roman" w:hAnsi="Times New Roman" w:cs="Times New Roman"/>
          <w:sz w:val="32"/>
        </w:rPr>
      </w:pPr>
      <w:r>
        <w:rPr>
          <w:rFonts w:ascii="Times New Roman" w:hAnsi="Times New Roman" w:cs="Times New Roman"/>
          <w:sz w:val="32"/>
        </w:rPr>
        <w:t>突发事件交通运输保障处置工作结束后，县交通运输保障应急指挥部办公室应及时完成交通运输保障工作评估报告，经应急指挥部副总指挥、总指挥审核后，上报县政府和上级有关部门。总结评估报告的基本内容包括：</w:t>
      </w:r>
    </w:p>
    <w:p w14:paraId="3DFA3E7B">
      <w:pPr>
        <w:ind w:firstLine="632"/>
        <w:rPr>
          <w:rFonts w:ascii="Times New Roman" w:hAnsi="Times New Roman" w:cs="Times New Roman"/>
          <w:sz w:val="32"/>
        </w:rPr>
      </w:pPr>
      <w:r>
        <w:rPr>
          <w:rFonts w:ascii="Times New Roman" w:hAnsi="Times New Roman" w:cs="Times New Roman"/>
          <w:sz w:val="32"/>
        </w:rPr>
        <w:t>（1）突发事件的基本概况，包括：事件种类、发生的时间、地点以及交通运输保障的需求特征等；</w:t>
      </w:r>
    </w:p>
    <w:p w14:paraId="215687E3">
      <w:pPr>
        <w:ind w:firstLine="632"/>
        <w:rPr>
          <w:rFonts w:ascii="Times New Roman" w:hAnsi="Times New Roman" w:cs="Times New Roman"/>
          <w:sz w:val="32"/>
        </w:rPr>
      </w:pPr>
      <w:r>
        <w:rPr>
          <w:rFonts w:ascii="Times New Roman" w:hAnsi="Times New Roman" w:cs="Times New Roman"/>
          <w:sz w:val="32"/>
        </w:rPr>
        <w:t>（2）交通运输保障的执行情况，包括：交通运输保障预案启动时间、地点、运输线路、应急物资的种类和数量、投入的运输人员和装备情况、运输周转量、人员伤亡和装备的损坏情况、运输任务完成情况等；</w:t>
      </w:r>
    </w:p>
    <w:p w14:paraId="4671DE85">
      <w:pPr>
        <w:ind w:firstLine="632"/>
        <w:rPr>
          <w:rFonts w:ascii="Times New Roman" w:hAnsi="Times New Roman" w:cs="Times New Roman"/>
          <w:sz w:val="32"/>
        </w:rPr>
      </w:pPr>
      <w:r>
        <w:rPr>
          <w:rFonts w:ascii="Times New Roman" w:hAnsi="Times New Roman" w:cs="Times New Roman"/>
          <w:sz w:val="32"/>
        </w:rPr>
        <w:t>（3）交通运输保障的经验与教训，包括：交通运输保障的经验与措施、存在的不足与教训等；</w:t>
      </w:r>
    </w:p>
    <w:p w14:paraId="0B54CA12">
      <w:pPr>
        <w:ind w:firstLine="632"/>
        <w:rPr>
          <w:rFonts w:ascii="Times New Roman" w:hAnsi="Times New Roman" w:cs="Times New Roman"/>
          <w:sz w:val="32"/>
        </w:rPr>
      </w:pPr>
      <w:r>
        <w:rPr>
          <w:rFonts w:ascii="Times New Roman" w:hAnsi="Times New Roman" w:cs="Times New Roman"/>
          <w:sz w:val="32"/>
        </w:rPr>
        <w:t>（4）交通运输保障的建议，包括：对相关预案进行修改与完善的建议、对完善应急运输保障的基础设施、装备及运输组织等工作的建议、对与交通运输保障相关的政策、法规等的合理化建议。</w:t>
      </w:r>
    </w:p>
    <w:p w14:paraId="715FAA1C">
      <w:pPr>
        <w:pStyle w:val="2"/>
        <w:numPr>
          <w:ilvl w:val="0"/>
          <w:numId w:val="251"/>
        </w:numPr>
        <w:tabs>
          <w:tab w:val="left" w:pos="0"/>
        </w:tabs>
        <w:ind w:firstLine="0" w:firstLineChars="0"/>
        <w:rPr>
          <w:rFonts w:ascii="Times New Roman" w:hAnsi="Times New Roman" w:cs="Times New Roman"/>
          <w:sz w:val="32"/>
        </w:rPr>
      </w:pPr>
      <w:bookmarkStart w:id="1632" w:name="_Toc20922"/>
      <w:r>
        <w:rPr>
          <w:rFonts w:ascii="Times New Roman" w:hAnsi="Times New Roman" w:cs="Times New Roman"/>
          <w:sz w:val="32"/>
        </w:rPr>
        <w:t>保障措施</w:t>
      </w:r>
      <w:bookmarkEnd w:id="1629"/>
      <w:bookmarkEnd w:id="1632"/>
    </w:p>
    <w:p w14:paraId="67928865">
      <w:pPr>
        <w:pStyle w:val="3"/>
        <w:ind w:firstLine="0" w:firstLineChars="0"/>
        <w:rPr>
          <w:rFonts w:ascii="Times New Roman" w:hAnsi="Times New Roman" w:cs="Times New Roman"/>
          <w:sz w:val="32"/>
        </w:rPr>
      </w:pPr>
      <w:bookmarkStart w:id="1633" w:name="_Toc25727"/>
      <w:r>
        <w:rPr>
          <w:rFonts w:ascii="Times New Roman" w:hAnsi="Times New Roman" w:cs="Times New Roman"/>
          <w:sz w:val="32"/>
        </w:rPr>
        <w:t>应急队伍保障</w:t>
      </w:r>
      <w:bookmarkEnd w:id="1633"/>
    </w:p>
    <w:p w14:paraId="5D19B23D">
      <w:pPr>
        <w:ind w:firstLine="632"/>
        <w:rPr>
          <w:rFonts w:ascii="Times New Roman" w:hAnsi="Times New Roman" w:cs="Times New Roman"/>
          <w:sz w:val="32"/>
        </w:rPr>
      </w:pPr>
      <w:r>
        <w:rPr>
          <w:rFonts w:ascii="Times New Roman" w:hAnsi="Times New Roman" w:cs="Times New Roman"/>
          <w:sz w:val="32"/>
        </w:rPr>
        <w:t>由县交通运输局牵头组建道路抢通保通应急队伍、公路运输应急队伍、水路运输应急队伍。各队伍按类别建立联络名单报县交通运输保障应急指挥部办公室备案。</w:t>
      </w:r>
    </w:p>
    <w:p w14:paraId="167566D5">
      <w:pPr>
        <w:ind w:firstLine="632"/>
        <w:rPr>
          <w:rFonts w:ascii="Times New Roman" w:hAnsi="Times New Roman" w:cs="Times New Roman"/>
          <w:sz w:val="32"/>
        </w:rPr>
      </w:pPr>
      <w:r>
        <w:rPr>
          <w:rFonts w:ascii="Times New Roman" w:hAnsi="Times New Roman" w:cs="Times New Roman"/>
          <w:sz w:val="32"/>
        </w:rPr>
        <w:t>公安、应急、铁路等单位要做好综合交通运输保障应急队伍的组建和日常管理，应急队伍可以专兼结合，充分吸收社会力量参与。当发生重大突发事件需驻地部队投入行动时，由驻县武警部队派出相关人员融入应急保障指挥体系，负责协调部队参与保障行动。</w:t>
      </w:r>
    </w:p>
    <w:p w14:paraId="2C8AC7E1">
      <w:pPr>
        <w:pStyle w:val="3"/>
        <w:ind w:firstLine="0" w:firstLineChars="0"/>
        <w:rPr>
          <w:rFonts w:ascii="Times New Roman" w:hAnsi="Times New Roman" w:cs="Times New Roman"/>
          <w:sz w:val="32"/>
        </w:rPr>
      </w:pPr>
      <w:bookmarkStart w:id="1634" w:name="_Toc24552"/>
      <w:r>
        <w:rPr>
          <w:rFonts w:ascii="Times New Roman" w:hAnsi="Times New Roman" w:cs="Times New Roman"/>
          <w:sz w:val="32"/>
        </w:rPr>
        <w:t>装备物资保障</w:t>
      </w:r>
      <w:bookmarkEnd w:id="1634"/>
    </w:p>
    <w:p w14:paraId="56D225EB">
      <w:pPr>
        <w:ind w:firstLine="632"/>
        <w:rPr>
          <w:rFonts w:ascii="Times New Roman" w:hAnsi="Times New Roman" w:cs="Times New Roman"/>
          <w:sz w:val="32"/>
        </w:rPr>
      </w:pPr>
      <w:bookmarkStart w:id="1635" w:name="_Toc15763"/>
      <w:r>
        <w:rPr>
          <w:rFonts w:ascii="Times New Roman" w:hAnsi="Times New Roman" w:cs="Times New Roman"/>
          <w:sz w:val="32"/>
        </w:rPr>
        <w:t>建立完善交通运输保障各类应急装备物资储备体系，按照实物储备与商业储备相结合、生产能力储备与技术储备相结合、政府采购与政府补贴相结合的应急装备物资储备方式，强化应急装备物资储备能力。建立完善应急物资管理规章制度，加强监管、规范程序，及时补充和更新物资。</w:t>
      </w:r>
    </w:p>
    <w:bookmarkEnd w:id="1635"/>
    <w:p w14:paraId="1DD28C3D">
      <w:pPr>
        <w:pStyle w:val="3"/>
        <w:ind w:firstLine="0" w:firstLineChars="0"/>
        <w:rPr>
          <w:rFonts w:ascii="Times New Roman" w:hAnsi="Times New Roman" w:cs="Times New Roman"/>
          <w:sz w:val="32"/>
        </w:rPr>
      </w:pPr>
      <w:bookmarkStart w:id="1636" w:name="_Toc20278"/>
      <w:r>
        <w:rPr>
          <w:rFonts w:ascii="Times New Roman" w:hAnsi="Times New Roman" w:cs="Times New Roman"/>
          <w:sz w:val="32"/>
        </w:rPr>
        <w:t>专家技术保障</w:t>
      </w:r>
      <w:bookmarkEnd w:id="1636"/>
    </w:p>
    <w:p w14:paraId="3CF78E68">
      <w:pPr>
        <w:ind w:firstLine="632"/>
        <w:rPr>
          <w:rFonts w:ascii="Times New Roman" w:hAnsi="Times New Roman" w:cs="Times New Roman"/>
          <w:sz w:val="32"/>
        </w:rPr>
      </w:pPr>
      <w:r>
        <w:rPr>
          <w:rFonts w:ascii="Times New Roman" w:hAnsi="Times New Roman" w:cs="Times New Roman"/>
          <w:sz w:val="32"/>
        </w:rPr>
        <w:t>加强与高等院校、科研院所、企事业单位和社会组织的合作，建立健全突发事件基础数据资料储备库，包括针对各类突发事件的应急资源清单、专家库、知识储备、应急预案、应急队伍与装备物资资源等，并具备互联互通能力。定期更新交通应急队伍、装备物资的数据资料。</w:t>
      </w:r>
    </w:p>
    <w:p w14:paraId="27E40855">
      <w:pPr>
        <w:pStyle w:val="3"/>
        <w:ind w:firstLine="0" w:firstLineChars="0"/>
        <w:rPr>
          <w:rFonts w:ascii="Times New Roman" w:hAnsi="Times New Roman" w:cs="Times New Roman"/>
          <w:sz w:val="32"/>
        </w:rPr>
      </w:pPr>
      <w:bookmarkStart w:id="1637" w:name="_Toc9885"/>
      <w:r>
        <w:rPr>
          <w:rFonts w:ascii="Times New Roman" w:hAnsi="Times New Roman" w:cs="Times New Roman"/>
          <w:sz w:val="32"/>
        </w:rPr>
        <w:t>应急资金保障</w:t>
      </w:r>
      <w:bookmarkEnd w:id="1637"/>
    </w:p>
    <w:p w14:paraId="54715811">
      <w:pPr>
        <w:ind w:firstLine="632"/>
        <w:rPr>
          <w:rFonts w:ascii="Times New Roman" w:hAnsi="Times New Roman" w:cs="Times New Roman"/>
          <w:sz w:val="32"/>
        </w:rPr>
      </w:pPr>
      <w:r>
        <w:rPr>
          <w:rFonts w:ascii="Times New Roman" w:hAnsi="Times New Roman" w:cs="Times New Roman"/>
          <w:sz w:val="32"/>
        </w:rPr>
        <w:t>加强应急物资存储和应急支出经费保障，将突发事件交通运输保障应急经费纳入预算管理，鼓励社会捐赠和援助，规范应急经费的使用管理，提高资金的使用效益。</w:t>
      </w:r>
    </w:p>
    <w:p w14:paraId="2F33D06A">
      <w:pPr>
        <w:pStyle w:val="2"/>
        <w:numPr>
          <w:ilvl w:val="0"/>
          <w:numId w:val="251"/>
        </w:numPr>
        <w:tabs>
          <w:tab w:val="left" w:pos="0"/>
        </w:tabs>
        <w:ind w:firstLine="0" w:firstLineChars="0"/>
        <w:rPr>
          <w:rFonts w:ascii="Times New Roman" w:hAnsi="Times New Roman" w:cs="Times New Roman"/>
          <w:sz w:val="32"/>
        </w:rPr>
      </w:pPr>
      <w:bookmarkStart w:id="1638" w:name="_Toc4769"/>
      <w:r>
        <w:rPr>
          <w:rFonts w:ascii="Times New Roman" w:hAnsi="Times New Roman" w:cs="Times New Roman"/>
          <w:sz w:val="32"/>
        </w:rPr>
        <w:t>预案管理</w:t>
      </w:r>
      <w:bookmarkEnd w:id="1638"/>
    </w:p>
    <w:p w14:paraId="3839B1C7">
      <w:pPr>
        <w:pStyle w:val="3"/>
        <w:ind w:firstLine="0" w:firstLineChars="0"/>
        <w:rPr>
          <w:rFonts w:ascii="Times New Roman" w:hAnsi="Times New Roman" w:cs="Times New Roman"/>
          <w:sz w:val="32"/>
        </w:rPr>
      </w:pPr>
      <w:bookmarkStart w:id="1639" w:name="_Toc4446"/>
      <w:r>
        <w:rPr>
          <w:rFonts w:ascii="Times New Roman" w:hAnsi="Times New Roman" w:cs="Times New Roman"/>
          <w:sz w:val="32"/>
        </w:rPr>
        <w:t>应急预案培训</w:t>
      </w:r>
      <w:bookmarkEnd w:id="1639"/>
    </w:p>
    <w:p w14:paraId="19E0F37B">
      <w:pPr>
        <w:ind w:firstLine="632"/>
        <w:rPr>
          <w:rFonts w:ascii="Times New Roman" w:hAnsi="Times New Roman" w:cs="Times New Roman"/>
          <w:sz w:val="32"/>
        </w:rPr>
      </w:pPr>
      <w:r>
        <w:rPr>
          <w:rFonts w:ascii="Times New Roman" w:hAnsi="Times New Roman" w:cs="Times New Roman"/>
          <w:sz w:val="32"/>
        </w:rPr>
        <w:t>县交通运输保障应急指挥部各成员单位要加强对本地区或本系统应急救援队伍的应急培训，建立一支业务精湛、行动迅速、能打硬仗的应急救援队伍；将应急教育培训纳入日常管理工作，应急保障相关人员至少每年接受一次培训，并依据培训记录，对应急人员实行动态管理。</w:t>
      </w:r>
    </w:p>
    <w:p w14:paraId="1C53AFA0">
      <w:pPr>
        <w:pStyle w:val="3"/>
        <w:ind w:firstLine="0" w:firstLineChars="0"/>
        <w:rPr>
          <w:rFonts w:ascii="Times New Roman" w:hAnsi="Times New Roman" w:cs="Times New Roman"/>
          <w:sz w:val="32"/>
        </w:rPr>
      </w:pPr>
      <w:bookmarkStart w:id="1640" w:name="_Toc16506"/>
      <w:r>
        <w:rPr>
          <w:rFonts w:ascii="Times New Roman" w:hAnsi="Times New Roman" w:cs="Times New Roman"/>
          <w:sz w:val="32"/>
        </w:rPr>
        <w:t>应急演练</w:t>
      </w:r>
      <w:bookmarkEnd w:id="1640"/>
    </w:p>
    <w:p w14:paraId="790088B7">
      <w:pPr>
        <w:ind w:firstLine="632"/>
        <w:rPr>
          <w:rFonts w:ascii="Times New Roman" w:hAnsi="Times New Roman" w:cs="Times New Roman"/>
          <w:sz w:val="32"/>
        </w:rPr>
      </w:pPr>
      <w:r>
        <w:rPr>
          <w:rFonts w:ascii="Times New Roman" w:hAnsi="Times New Roman" w:cs="Times New Roman"/>
          <w:sz w:val="32"/>
        </w:rPr>
        <w:t>县交通运输保障应急指挥部各成员单位应建立应急演练制度，组织开展实地演练与桌面推演相结合的多形式应急演练活动，应急演练至少三年进行一次。演练结束后，组织单位应当及时组织评估。</w:t>
      </w:r>
    </w:p>
    <w:p w14:paraId="76364AF5">
      <w:pPr>
        <w:pStyle w:val="3"/>
        <w:ind w:firstLine="0" w:firstLineChars="0"/>
        <w:rPr>
          <w:rFonts w:ascii="Times New Roman" w:hAnsi="Times New Roman" w:cs="Times New Roman"/>
          <w:sz w:val="32"/>
        </w:rPr>
      </w:pPr>
      <w:bookmarkStart w:id="1641" w:name="_Toc5657"/>
      <w:r>
        <w:rPr>
          <w:rFonts w:ascii="Times New Roman" w:hAnsi="Times New Roman" w:cs="Times New Roman"/>
          <w:sz w:val="32"/>
        </w:rPr>
        <w:t>评估与修订</w:t>
      </w:r>
      <w:bookmarkEnd w:id="1641"/>
    </w:p>
    <w:p w14:paraId="5A5C7B3F">
      <w:pPr>
        <w:ind w:firstLine="632"/>
        <w:rPr>
          <w:rFonts w:ascii="Times New Roman" w:hAnsi="Times New Roman" w:cs="Times New Roman"/>
          <w:sz w:val="32"/>
        </w:rPr>
      </w:pPr>
      <w:r>
        <w:rPr>
          <w:rFonts w:ascii="Times New Roman" w:hAnsi="Times New Roman" w:cs="Times New Roman"/>
          <w:sz w:val="32"/>
        </w:rPr>
        <w:t>县交通运输保障应急指挥部根据实际情况变化和国家、省、市级预案修订情况，及时对预案进行修订更新。有下列情形之一的，应当及时修订本预案：</w:t>
      </w:r>
    </w:p>
    <w:p w14:paraId="4A6E5086">
      <w:pPr>
        <w:ind w:firstLine="632"/>
        <w:rPr>
          <w:rFonts w:ascii="Times New Roman" w:hAnsi="Times New Roman" w:cs="Times New Roman"/>
          <w:sz w:val="32"/>
        </w:rPr>
      </w:pPr>
      <w:r>
        <w:rPr>
          <w:rFonts w:ascii="Times New Roman" w:hAnsi="Times New Roman" w:cs="Times New Roman"/>
          <w:sz w:val="32"/>
        </w:rPr>
        <w:t>（1）有关法律、行政法规、规章、标准、上位预案中的有关规定发生变化的；</w:t>
      </w:r>
    </w:p>
    <w:p w14:paraId="65FFE931">
      <w:pPr>
        <w:ind w:firstLine="632"/>
        <w:rPr>
          <w:rFonts w:ascii="Times New Roman" w:hAnsi="Times New Roman" w:cs="Times New Roman"/>
          <w:sz w:val="32"/>
        </w:rPr>
      </w:pPr>
      <w:r>
        <w:rPr>
          <w:rFonts w:ascii="Times New Roman" w:hAnsi="Times New Roman" w:cs="Times New Roman"/>
          <w:sz w:val="32"/>
        </w:rPr>
        <w:t>（2）应急指挥机构及其职责发生重大调整的；</w:t>
      </w:r>
    </w:p>
    <w:p w14:paraId="55E4DBF6">
      <w:pPr>
        <w:ind w:firstLine="632"/>
        <w:rPr>
          <w:rFonts w:ascii="Times New Roman" w:hAnsi="Times New Roman" w:cs="Times New Roman"/>
          <w:sz w:val="32"/>
        </w:rPr>
      </w:pPr>
      <w:r>
        <w:rPr>
          <w:rFonts w:ascii="Times New Roman" w:hAnsi="Times New Roman" w:cs="Times New Roman"/>
          <w:sz w:val="32"/>
        </w:rPr>
        <w:t>（3）面临的风险发生重大变化的；</w:t>
      </w:r>
    </w:p>
    <w:p w14:paraId="31AAE87F">
      <w:pPr>
        <w:ind w:firstLine="632"/>
        <w:rPr>
          <w:rFonts w:ascii="Times New Roman" w:hAnsi="Times New Roman" w:cs="Times New Roman"/>
          <w:sz w:val="32"/>
        </w:rPr>
      </w:pPr>
      <w:r>
        <w:rPr>
          <w:rFonts w:ascii="Times New Roman" w:hAnsi="Times New Roman" w:cs="Times New Roman"/>
          <w:sz w:val="32"/>
        </w:rPr>
        <w:t>（4）重要应急资源发生重大变化的；</w:t>
      </w:r>
    </w:p>
    <w:p w14:paraId="4CC397AD">
      <w:pPr>
        <w:ind w:firstLine="632"/>
        <w:rPr>
          <w:rFonts w:ascii="Times New Roman" w:hAnsi="Times New Roman" w:cs="Times New Roman"/>
          <w:sz w:val="32"/>
        </w:rPr>
      </w:pPr>
      <w:r>
        <w:rPr>
          <w:rFonts w:ascii="Times New Roman" w:hAnsi="Times New Roman" w:cs="Times New Roman"/>
          <w:sz w:val="32"/>
        </w:rPr>
        <w:t>（5）预案中的其他重要信息发生变化的；</w:t>
      </w:r>
    </w:p>
    <w:p w14:paraId="2936F539">
      <w:pPr>
        <w:ind w:firstLine="632"/>
        <w:rPr>
          <w:rFonts w:ascii="Times New Roman" w:hAnsi="Times New Roman" w:cs="Times New Roman"/>
          <w:sz w:val="32"/>
        </w:rPr>
      </w:pPr>
      <w:r>
        <w:rPr>
          <w:rFonts w:ascii="Times New Roman" w:hAnsi="Times New Roman" w:cs="Times New Roman"/>
          <w:sz w:val="32"/>
        </w:rPr>
        <w:t>（6）在突发事件实际应对和应急演练中发现问题需要做出重大调整的；</w:t>
      </w:r>
    </w:p>
    <w:p w14:paraId="6A050609">
      <w:pPr>
        <w:ind w:firstLine="632"/>
        <w:rPr>
          <w:rFonts w:ascii="Times New Roman" w:hAnsi="Times New Roman" w:cs="Times New Roman"/>
          <w:sz w:val="32"/>
        </w:rPr>
      </w:pPr>
      <w:r>
        <w:rPr>
          <w:rFonts w:ascii="Times New Roman" w:hAnsi="Times New Roman" w:cs="Times New Roman"/>
          <w:sz w:val="32"/>
        </w:rPr>
        <w:t>（7）应急预案制定单位认为应当修订的其他情况。</w:t>
      </w:r>
    </w:p>
    <w:p w14:paraId="1FA7FB7F">
      <w:pPr>
        <w:pStyle w:val="3"/>
        <w:ind w:firstLine="0" w:firstLineChars="0"/>
        <w:rPr>
          <w:rFonts w:ascii="Times New Roman" w:hAnsi="Times New Roman" w:cs="Times New Roman"/>
          <w:sz w:val="32"/>
        </w:rPr>
      </w:pPr>
      <w:bookmarkStart w:id="1642" w:name="_Toc32150"/>
      <w:r>
        <w:rPr>
          <w:rFonts w:ascii="Times New Roman" w:hAnsi="Times New Roman" w:cs="Times New Roman"/>
          <w:sz w:val="32"/>
        </w:rPr>
        <w:t>预案解释与实施</w:t>
      </w:r>
      <w:bookmarkEnd w:id="1642"/>
    </w:p>
    <w:p w14:paraId="65061654">
      <w:pPr>
        <w:ind w:firstLine="632"/>
        <w:rPr>
          <w:rFonts w:ascii="Times New Roman" w:hAnsi="Times New Roman" w:cs="Times New Roman"/>
          <w:sz w:val="32"/>
        </w:rPr>
      </w:pPr>
      <w:r>
        <w:rPr>
          <w:rFonts w:ascii="Times New Roman" w:hAnsi="Times New Roman" w:cs="Times New Roman"/>
          <w:sz w:val="32"/>
        </w:rPr>
        <w:t>本预案由集贤县交通运输保障应急指挥部办公室负责解释。</w:t>
      </w:r>
    </w:p>
    <w:p w14:paraId="7EFC46E9">
      <w:pPr>
        <w:ind w:firstLine="632"/>
        <w:rPr>
          <w:rFonts w:ascii="Times New Roman" w:hAnsi="Times New Roman" w:cs="Times New Roman"/>
          <w:sz w:val="32"/>
        </w:rPr>
      </w:pPr>
      <w:r>
        <w:rPr>
          <w:rFonts w:ascii="Times New Roman" w:hAnsi="Times New Roman" w:cs="Times New Roman"/>
          <w:sz w:val="32"/>
        </w:rPr>
        <w:t>本预案自发布之日起施行。</w:t>
      </w:r>
    </w:p>
    <w:p w14:paraId="6A5F9D14">
      <w:pPr>
        <w:pStyle w:val="11"/>
        <w:ind w:firstLine="552"/>
        <w:rPr>
          <w:rFonts w:ascii="Times New Roman" w:hAnsi="Times New Roman" w:cs="Times New Roman"/>
        </w:rPr>
      </w:pPr>
    </w:p>
    <w:sectPr>
      <w:footerReference r:id="rId188" w:type="default"/>
      <w:footerReference r:id="rId189" w:type="even"/>
      <w:pgSz w:w="11906" w:h="16838"/>
      <w:pgMar w:top="2098" w:right="1474" w:bottom="1984" w:left="1587" w:header="624" w:footer="1134" w:gutter="0"/>
      <w:pgNumType w:start="1"/>
      <w:cols w:space="0" w:num="1"/>
      <w:docGrid w:type="linesAndChars" w:linePitch="579" w:charSpace="-84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32"/>
      </w:pPr>
      <w:r>
        <w:separator/>
      </w:r>
    </w:p>
  </w:endnote>
  <w:endnote w:type="continuationSeparator" w:id="1">
    <w:p>
      <w:pPr>
        <w:ind w:firstLine="63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F859C279-FE7A-4A73-8FEC-DDDD14A62506}"/>
  </w:font>
  <w:font w:name="黑体">
    <w:panose1 w:val="02010609060101010101"/>
    <w:charset w:val="86"/>
    <w:family w:val="auto"/>
    <w:pitch w:val="default"/>
    <w:sig w:usb0="800002BF" w:usb1="38CF7CFA" w:usb2="00000016" w:usb3="00000000" w:csb0="00040001" w:csb1="00000000"/>
    <w:embedRegular r:id="rId2" w:fontKey="{D8BFA285-457D-4466-A539-C51B8FD3FBC6}"/>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embedRegular r:id="rId3" w:fontKey="{4C07B6B5-89AA-4635-84A5-35C938514A25}"/>
  </w:font>
  <w:font w:name="仿宋_GB2312">
    <w:panose1 w:val="02010609030101010101"/>
    <w:charset w:val="86"/>
    <w:family w:val="modern"/>
    <w:pitch w:val="default"/>
    <w:sig w:usb0="00000001" w:usb1="080E0000" w:usb2="00000000" w:usb3="00000000" w:csb0="00040000" w:csb1="00000000"/>
    <w:embedRegular r:id="rId4" w:fontKey="{FAF4CF1E-028A-4190-9F21-076A89271A1E}"/>
  </w:font>
  <w:font w:name="楷体">
    <w:panose1 w:val="02010609060101010101"/>
    <w:charset w:val="86"/>
    <w:family w:val="modern"/>
    <w:pitch w:val="default"/>
    <w:sig w:usb0="800002BF" w:usb1="38CF7CFA" w:usb2="00000016" w:usb3="00000000" w:csb0="00040001" w:csb1="00000000"/>
    <w:embedRegular r:id="rId5" w:fontKey="{E165EF9F-217A-4678-B022-49790DA7E830}"/>
  </w:font>
  <w:font w:name="方正小标宋简体">
    <w:panose1 w:val="03000509000000000000"/>
    <w:charset w:val="86"/>
    <w:family w:val="script"/>
    <w:pitch w:val="default"/>
    <w:sig w:usb0="00000001" w:usb1="080E0000" w:usb2="00000000" w:usb3="00000000" w:csb0="00040000" w:csb1="00000000"/>
    <w:embedRegular r:id="rId6" w:fontKey="{648EAE65-0A73-4C65-96C3-C1DE03543427}"/>
  </w:font>
  <w:font w:name="方正黑体简体">
    <w:panose1 w:val="02010601030101010101"/>
    <w:charset w:val="86"/>
    <w:family w:val="auto"/>
    <w:pitch w:val="default"/>
    <w:sig w:usb0="00000001" w:usb1="080E0000" w:usb2="00000000" w:usb3="00000000" w:csb0="00040000" w:csb1="00000000"/>
  </w:font>
  <w:font w:name="方正仿宋_GB2312">
    <w:altName w:val="仿宋"/>
    <w:panose1 w:val="00000000000000000000"/>
    <w:charset w:val="86"/>
    <w:family w:val="auto"/>
    <w:pitch w:val="default"/>
    <w:sig w:usb0="00000000" w:usb1="00000000" w:usb2="00000012" w:usb3="00000000" w:csb0="00040001" w:csb1="00000000"/>
    <w:embedRegular r:id="rId7" w:fontKey="{E307CFEC-E05D-48F4-9D6B-1FE04ED6C8E8}"/>
  </w:font>
  <w:font w:name="方正楷体_GB2312">
    <w:altName w:val="宋体"/>
    <w:panose1 w:val="00000000000000000000"/>
    <w:charset w:val="86"/>
    <w:family w:val="auto"/>
    <w:pitch w:val="default"/>
    <w:sig w:usb0="00000000" w:usb1="00000000" w:usb2="00000012" w:usb3="00000000" w:csb0="00040001" w:csb1="00000000"/>
  </w:font>
  <w:font w:name="楷体_GB2312">
    <w:panose1 w:val="02010609030101010101"/>
    <w:charset w:val="86"/>
    <w:family w:val="auto"/>
    <w:pitch w:val="default"/>
    <w:sig w:usb0="00000001" w:usb1="080E0000" w:usb2="00000000" w:usb3="00000000" w:csb0="00040000" w:csb1="00000000"/>
    <w:embedRegular r:id="rId8" w:fontKey="{4856C203-C02C-46EB-A61E-BAEAD8FC582F}"/>
  </w:font>
  <w:font w:name="方正大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embedRegular r:id="rId9" w:fontKey="{5660A71C-C5AE-42E4-8137-5081F43BFD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20247">
    <w:pPr>
      <w:pStyle w:val="16"/>
      <w:tabs>
        <w:tab w:val="right" w:pos="8845"/>
        <w:tab w:val="clear" w:pos="4153"/>
      </w:tabs>
      <w:ind w:firstLine="0" w:firstLineChars="0"/>
    </w:pPr>
    <w:r>
      <w:rPr>
        <w:sz w:val="18"/>
      </w:rPr>
      <mc:AlternateContent>
        <mc:Choice Requires="wps">
          <w:drawing>
            <wp:anchor distT="0" distB="0" distL="114300" distR="114300" simplePos="0" relativeHeight="251671552"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7"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5C4174E3">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71552;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LbIdIdcAAAAJAQAADwAAAAAAAAABACAAAAAiAAAAZHJzL2Rvd25yZXYu&#10;eG1sUEsBAhQAFAAAAAgAh07iQLvdn301AgAAYgQAAA4AAAAAAAAAAQAgAAAAJgEAAGRycy9lMm9E&#10;b2MueG1sUEsFBgAAAAAGAAYAWQEAAM0FAAAAAA==&#10;">
              <v:fill on="f" focussize="0,0"/>
              <v:stroke on="f" weight="0.5pt"/>
              <v:imagedata o:title=""/>
              <o:lock v:ext="edit" aspectratio="f"/>
              <v:textbox inset="0mm,0mm,0mm,0mm">
                <w:txbxContent>
                  <w:p w14:paraId="5C4174E3">
                    <w:pPr>
                      <w:ind w:firstLine="0" w:firstLineChars="0"/>
                    </w:pPr>
                  </w:p>
                </w:txbxContent>
              </v:textbox>
            </v:shape>
          </w:pict>
        </mc:Fallback>
      </mc:AlternateContent>
    </w:r>
    <w:r>
      <w:rPr>
        <w:sz w:val="18"/>
      </w:rP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30224DE">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2UQ8wAgAAZA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S2UQ8wAgAAZAQAAA4AAAAAAAAAAQAgAAAAHwEAAGRycy9lMm9Eb2MueG1sUEsFBgAA&#10;AAAGAAYAWQEAAMEFAAAAAA==&#10;">
              <v:fill on="f" focussize="0,0"/>
              <v:stroke on="f" weight="0.5pt"/>
              <v:imagedata o:title=""/>
              <o:lock v:ext="edit" aspectratio="f"/>
              <v:textbox inset="0mm,0mm,0mm,0mm" style="mso-fit-shape-to-text:t;">
                <w:txbxContent>
                  <w:p w14:paraId="530224DE">
                    <w:pPr>
                      <w:ind w:firstLine="0" w:firstLineChars="0"/>
                    </w:pPr>
                  </w:p>
                </w:txbxContent>
              </v:textbox>
            </v:shape>
          </w:pict>
        </mc:Fallback>
      </mc:AlternateContent>
    </w:r>
    <w:r>
      <w:rPr>
        <w:rFonts w:hint="eastAsia"/>
      </w:rPr>
      <w:tab/>
    </w:r>
    <w:r>
      <w:rPr>
        <w:rFonts w:hint="eastAsia"/>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C8E75">
    <w:pPr>
      <w:pStyle w:val="16"/>
      <w:ind w:firstLine="360"/>
    </w:pPr>
    <w:r>
      <mc:AlternateContent>
        <mc:Choice Requires="wps">
          <w:drawing>
            <wp:anchor distT="0" distB="0" distL="114300" distR="114300" simplePos="0" relativeHeight="25167872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C3162D">
                          <w:pPr>
                            <w:pStyle w:val="16"/>
                            <w:ind w:firstLine="0" w:firstLineChars="0"/>
                          </w:pPr>
                          <w:r>
                            <w:rPr>
                              <w:sz w:val="24"/>
                              <w:szCs w:val="24"/>
                            </w:rPr>
                            <w:fldChar w:fldCharType="begin"/>
                          </w:r>
                          <w:r>
                            <w:rPr>
                              <w:sz w:val="24"/>
                              <w:szCs w:val="24"/>
                            </w:rPr>
                            <w:instrText xml:space="preserve"> PAGE  \* MERGEFORMAT </w:instrText>
                          </w:r>
                          <w:r>
                            <w:rPr>
                              <w:sz w:val="24"/>
                              <w:szCs w:val="24"/>
                            </w:rPr>
                            <w:fldChar w:fldCharType="separate"/>
                          </w:r>
                          <w:r>
                            <w:rPr>
                              <w:sz w:val="24"/>
                              <w:szCs w:val="24"/>
                            </w:rPr>
                            <w:t>II</w:t>
                          </w:r>
                          <w:r>
                            <w:rPr>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14:paraId="0DC3162D">
                    <w:pPr>
                      <w:pStyle w:val="16"/>
                      <w:ind w:firstLine="0" w:firstLineChars="0"/>
                    </w:pPr>
                    <w:r>
                      <w:rPr>
                        <w:sz w:val="24"/>
                        <w:szCs w:val="24"/>
                      </w:rPr>
                      <w:fldChar w:fldCharType="begin"/>
                    </w:r>
                    <w:r>
                      <w:rPr>
                        <w:sz w:val="24"/>
                        <w:szCs w:val="24"/>
                      </w:rPr>
                      <w:instrText xml:space="preserve"> PAGE  \* MERGEFORMAT </w:instrText>
                    </w:r>
                    <w:r>
                      <w:rPr>
                        <w:sz w:val="24"/>
                        <w:szCs w:val="24"/>
                      </w:rPr>
                      <w:fldChar w:fldCharType="separate"/>
                    </w:r>
                    <w:r>
                      <w:rPr>
                        <w:sz w:val="24"/>
                        <w:szCs w:val="24"/>
                      </w:rPr>
                      <w:t>II</w:t>
                    </w:r>
                    <w:r>
                      <w:rPr>
                        <w:sz w:val="24"/>
                        <w:szCs w:val="24"/>
                      </w:rPr>
                      <w:fldChar w:fldCharType="end"/>
                    </w:r>
                  </w:p>
                </w:txbxContent>
              </v:textbox>
            </v:shape>
          </w:pict>
        </mc:Fallback>
      </mc:AlternateContent>
    </w:r>
    <w:r>
      <mc:AlternateContent>
        <mc:Choice Requires="wps">
          <w:drawing>
            <wp:anchor distT="0" distB="0" distL="114300" distR="114300" simplePos="0" relativeHeight="251677696" behindDoc="0" locked="0" layoutInCell="1" allowOverlap="1">
              <wp:simplePos x="0" y="0"/>
              <wp:positionH relativeFrom="margin">
                <wp:align>outside</wp:align>
              </wp:positionH>
              <wp:positionV relativeFrom="paragraph">
                <wp:posOffset>9525</wp:posOffset>
              </wp:positionV>
              <wp:extent cx="1828800" cy="1828800"/>
              <wp:effectExtent l="0" t="0" r="0" b="0"/>
              <wp:wrapNone/>
              <wp:docPr id="25" name="文本框 10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02449DB">
                          <w:pPr>
                            <w:pStyle w:val="16"/>
                            <w:ind w:firstLine="0" w:firstLineChars="0"/>
                            <w:rPr>
                              <w:sz w:val="28"/>
                              <w:szCs w:val="28"/>
                            </w:rPr>
                          </w:pPr>
                        </w:p>
                      </w:txbxContent>
                    </wps:txbx>
                    <wps:bodyPr vert="horz" wrap="none" lIns="0" tIns="0" rIns="0" bIns="0" anchor="t" anchorCtr="0">
                      <a:spAutoFit/>
                    </wps:bodyPr>
                  </wps:wsp>
                </a:graphicData>
              </a:graphic>
            </wp:anchor>
          </w:drawing>
        </mc:Choice>
        <mc:Fallback>
          <w:pict>
            <v:shape id="文本框 1080" o:spid="_x0000_s1026" o:spt="202" type="#_x0000_t202" style="position:absolute;left:0pt;margin-top:0.75pt;height:144pt;width:144pt;mso-position-horizontal:outside;mso-position-horizontal-relative:margin;mso-wrap-style:none;z-index:251677696;mso-width-relative:page;mso-height-relative:page;" filled="f" stroked="f" coordsize="21600,21600" o:gfxdata="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29EUC0gAAAAYBAAAPAAAAAAAAAAEAIAAA&#10;ACIAAABkcnMvZG93bnJldi54bWxQSwECFAAUAAAACACHTuJAY3NMvNkBAAC2AwAADgAAAAAAAAAB&#10;ACAAAAAhAQAAZHJzL2Uyb0RvYy54bWxQSwUGAAAAAAYABgBZAQAAbAUAAAAA&#10;">
              <v:fill on="f" focussize="0,0"/>
              <v:stroke on="f"/>
              <v:imagedata o:title=""/>
              <o:lock v:ext="edit" aspectratio="f"/>
              <v:textbox inset="0mm,0mm,0mm,0mm" style="mso-fit-shape-to-text:t;">
                <w:txbxContent>
                  <w:p w14:paraId="502449DB">
                    <w:pPr>
                      <w:pStyle w:val="16"/>
                      <w:ind w:firstLine="0" w:firstLineChars="0"/>
                      <w:rPr>
                        <w:sz w:val="28"/>
                        <w:szCs w:val="28"/>
                      </w:rPr>
                    </w:pPr>
                  </w:p>
                </w:txbxContent>
              </v:textbox>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7DF00">
    <w:pPr>
      <w:pStyle w:val="16"/>
      <w:ind w:firstLine="0" w:firstLineChars="0"/>
    </w:pPr>
    <w:r>
      <w:rPr>
        <w:sz w:val="18"/>
      </w:rPr>
      <mc:AlternateContent>
        <mc:Choice Requires="wps">
          <w:drawing>
            <wp:anchor distT="0" distB="0" distL="114300" distR="114300" simplePos="0" relativeHeight="2516756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08" name="文本框 4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CE43A6">
                          <w:pPr>
                            <w:pStyle w:val="16"/>
                            <w:ind w:firstLine="0" w:firstLineChars="0"/>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RjXto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RjXtotAgAAWQQAAA4AAAAAAAAAAQAgAAAAHwEAAGRycy9lMm9Eb2MueG1sUEsFBgAAAAAG&#10;AAYAWQEAAL4FAAAAAA==&#10;">
              <v:fill on="f" focussize="0,0"/>
              <v:stroke on="f" weight="0.5pt"/>
              <v:imagedata o:title=""/>
              <o:lock v:ext="edit" aspectratio="f"/>
              <v:textbox inset="0mm,0mm,0mm,0mm" style="mso-fit-shape-to-text:t;">
                <w:txbxContent>
                  <w:p w14:paraId="33CE43A6">
                    <w:pPr>
                      <w:pStyle w:val="16"/>
                      <w:ind w:firstLine="0" w:firstLineChars="0"/>
                    </w:pPr>
                    <w:r>
                      <w:fldChar w:fldCharType="begin"/>
                    </w:r>
                    <w:r>
                      <w:instrText xml:space="preserve"> PAGE  \* MERGEFORMAT </w:instrText>
                    </w:r>
                    <w:r>
                      <w:fldChar w:fldCharType="separate"/>
                    </w:r>
                    <w:r>
                      <w:t>II</w:t>
                    </w:r>
                    <w:r>
                      <w:fldChar w:fldCharType="end"/>
                    </w:r>
                  </w:p>
                </w:txbxContent>
              </v:textbox>
            </v:shape>
          </w:pict>
        </mc:Fallback>
      </mc:AlternateContent>
    </w:r>
    <w:r>
      <w:rPr>
        <w:sz w:val="18"/>
      </w:rP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09" name="文本框 4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05A2C5">
                          <w:pPr>
                            <w:pStyle w:val="16"/>
                            <w:ind w:firstLine="0" w:firstLineChars="0"/>
                            <w:rPr>
                              <w:rFonts w:eastAsia="仿宋"/>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o8cocuAgAAWQQAAA4AAABkcnMvZTJvRG9jLnhtbK1UzY7TMBC+I/EO&#10;lu80aYFV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qPHKHLgIAAFkEAAAOAAAAAAAAAAEAIAAAAB8BAABkcnMvZTJvRG9jLnhtbFBLBQYAAAAA&#10;BgAGAFkBAAC/BQAAAAA=&#10;">
              <v:fill on="f" focussize="0,0"/>
              <v:stroke on="f" weight="0.5pt"/>
              <v:imagedata o:title=""/>
              <o:lock v:ext="edit" aspectratio="f"/>
              <v:textbox inset="0mm,0mm,0mm,0mm" style="mso-fit-shape-to-text:t;">
                <w:txbxContent>
                  <w:p w14:paraId="5205A2C5">
                    <w:pPr>
                      <w:pStyle w:val="16"/>
                      <w:ind w:firstLine="0" w:firstLineChars="0"/>
                      <w:rPr>
                        <w:rFonts w:eastAsia="仿宋"/>
                        <w:szCs w:val="28"/>
                      </w:rPr>
                    </w:pPr>
                  </w:p>
                </w:txbxContent>
              </v:textbox>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856CB">
    <w:pPr>
      <w:pStyle w:val="16"/>
      <w:tabs>
        <w:tab w:val="right" w:pos="8845"/>
        <w:tab w:val="clear" w:pos="4153"/>
      </w:tabs>
      <w:ind w:firstLine="0" w:firstLineChars="0"/>
    </w:pPr>
    <w:r>
      <w:rPr>
        <w:sz w:val="18"/>
      </w:rPr>
      <mc:AlternateContent>
        <mc:Choice Requires="wps">
          <w:drawing>
            <wp:anchor distT="0" distB="0" distL="114300" distR="114300" simplePos="0" relativeHeight="251677696"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410"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44B5F9A9">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77696;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tsh0h1wAAAAkBAAAPAAAAAAAAAAEAIAAAACIAAABkcnMvZG93bnJl&#10;di54bWxQSwECFAAUAAAACACHTuJADjq25TcCAABkBAAADgAAAAAAAAABACAAAAAmAQAAZHJzL2Uy&#10;b0RvYy54bWxQSwUGAAAAAAYABgBZAQAAzwUAAAAA&#10;">
              <v:fill on="f" focussize="0,0"/>
              <v:stroke on="f" weight="0.5pt"/>
              <v:imagedata o:title=""/>
              <o:lock v:ext="edit" aspectratio="f"/>
              <v:textbox inset="0mm,0mm,0mm,0mm">
                <w:txbxContent>
                  <w:p w14:paraId="44B5F9A9">
                    <w:pPr>
                      <w:ind w:firstLine="0" w:firstLineChars="0"/>
                    </w:pPr>
                  </w:p>
                </w:txbxContent>
              </v:textbox>
            </v:shape>
          </w:pict>
        </mc:Fallback>
      </mc:AlternateContent>
    </w:r>
    <w:r>
      <w:rPr>
        <w:sz w:val="18"/>
      </w:rPr>
      <mc:AlternateContent>
        <mc:Choice Requires="wps">
          <w:drawing>
            <wp:anchor distT="0" distB="0" distL="114300" distR="114300" simplePos="0" relativeHeight="2516766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1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D0A79E6">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CaO4zAgAAZQ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CaO4zAgAAZQQAAA4AAAAAAAAAAQAgAAAAHwEAAGRycy9lMm9Eb2MueG1sUEsF&#10;BgAAAAAGAAYAWQEAAMQFAAAAAA==&#10;">
              <v:fill on="f" focussize="0,0"/>
              <v:stroke on="f" weight="0.5pt"/>
              <v:imagedata o:title=""/>
              <o:lock v:ext="edit" aspectratio="f"/>
              <v:textbox inset="0mm,0mm,0mm,0mm" style="mso-fit-shape-to-text:t;">
                <w:txbxContent>
                  <w:p w14:paraId="4D0A79E6">
                    <w:pPr>
                      <w:ind w:firstLine="0" w:firstLineChars="0"/>
                    </w:pPr>
                  </w:p>
                </w:txbxContent>
              </v:textbox>
            </v:shape>
          </w:pict>
        </mc:Fallback>
      </mc:AlternateContent>
    </w:r>
    <w:r>
      <w:rPr>
        <w:rFonts w:hint="eastAsia"/>
      </w:rPr>
      <w:tab/>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158D6">
    <w:pPr>
      <w:pStyle w:val="16"/>
      <w:tabs>
        <w:tab w:val="right" w:pos="8845"/>
        <w:tab w:val="clear" w:pos="4153"/>
      </w:tabs>
      <w:ind w:firstLine="0" w:firstLineChars="0"/>
    </w:pPr>
    <w:r>
      <w:rPr>
        <w:sz w:val="18"/>
      </w:rPr>
      <mc:AlternateContent>
        <mc:Choice Requires="wps">
          <w:drawing>
            <wp:anchor distT="0" distB="0" distL="114300" distR="114300" simplePos="0" relativeHeight="251664384"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418"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6B9A56B9">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64384;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tsh0h1wAAAAkBAAAPAAAAAAAAAAEAIAAAACIAAABkcnMvZG93bnJl&#10;di54bWxQSwECFAAUAAAACACHTuJAN8FolDcCAABkBAAADgAAAAAAAAABACAAAAAmAQAAZHJzL2Uy&#10;b0RvYy54bWxQSwUGAAAAAAYABgBZAQAAzwUAAAAA&#10;">
              <v:fill on="f" focussize="0,0"/>
              <v:stroke on="f" weight="0.5pt"/>
              <v:imagedata o:title=""/>
              <o:lock v:ext="edit" aspectratio="f"/>
              <v:textbox inset="0mm,0mm,0mm,0mm">
                <w:txbxContent>
                  <w:p w14:paraId="6B9A56B9">
                    <w:pPr>
                      <w:ind w:firstLine="0" w:firstLineChars="0"/>
                    </w:pPr>
                  </w:p>
                </w:txbxContent>
              </v:textbox>
            </v:shape>
          </w:pict>
        </mc:Fallback>
      </mc:AlternateContent>
    </w: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41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F0FB5F5">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U1ByxNAIAAGUEAAAOAAAAAAAAAAEAIAAAAB8BAABkcnMvZTJvRG9jLnhtbFBL&#10;BQYAAAAABgAGAFkBAADFBQAAAAA=&#10;">
              <v:fill on="f" focussize="0,0"/>
              <v:stroke on="f" weight="0.5pt"/>
              <v:imagedata o:title=""/>
              <o:lock v:ext="edit" aspectratio="f"/>
              <v:textbox inset="0mm,0mm,0mm,0mm" style="mso-fit-shape-to-text:t;">
                <w:txbxContent>
                  <w:p w14:paraId="3F0FB5F5">
                    <w:pPr>
                      <w:ind w:firstLine="0" w:firstLineChars="0"/>
                    </w:pPr>
                  </w:p>
                </w:txbxContent>
              </v:textbox>
            </v:shape>
          </w:pict>
        </mc:Fallback>
      </mc:AlternateContent>
    </w:r>
    <w:r>
      <w:rPr>
        <w:rFonts w:hint="eastAsia"/>
      </w:rPr>
      <w:tab/>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53AFD">
    <w:pPr>
      <w:pStyle w:val="16"/>
      <w:ind w:firstLine="0" w:firstLineChars="0"/>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20" name="文本框 4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C2E8FA">
                          <w:pPr>
                            <w:pStyle w:val="16"/>
                            <w:ind w:firstLine="0" w:firstLineChars="0"/>
                            <w:rPr>
                              <w:rFonts w:eastAsia="仿宋"/>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dQcNE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dQcNEtAgAAWQQAAA4AAAAAAAAAAQAgAAAAHwEAAGRycy9lMm9Eb2MueG1sUEsFBgAAAAAG&#10;AAYAWQEAAL4FAAAAAA==&#10;">
              <v:fill on="f" focussize="0,0"/>
              <v:stroke on="f" weight="0.5pt"/>
              <v:imagedata o:title=""/>
              <o:lock v:ext="edit" aspectratio="f"/>
              <v:textbox inset="0mm,0mm,0mm,0mm" style="mso-fit-shape-to-text:t;">
                <w:txbxContent>
                  <w:p w14:paraId="2CC2E8FA">
                    <w:pPr>
                      <w:pStyle w:val="16"/>
                      <w:ind w:firstLine="0" w:firstLineChars="0"/>
                      <w:rPr>
                        <w:rFonts w:eastAsia="仿宋"/>
                        <w:szCs w:val="28"/>
                      </w:rPr>
                    </w:pPr>
                  </w:p>
                </w:txbxContent>
              </v:textbox>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012C5">
    <w:pPr>
      <w:pStyle w:val="16"/>
      <w:tabs>
        <w:tab w:val="right" w:pos="8845"/>
        <w:tab w:val="clear" w:pos="4153"/>
      </w:tabs>
      <w:ind w:firstLine="0" w:firstLineChars="0"/>
    </w:pPr>
    <w:r>
      <w:rPr>
        <w:sz w:val="18"/>
      </w:rPr>
      <mc:AlternateContent>
        <mc:Choice Requires="wps">
          <w:drawing>
            <wp:anchor distT="0" distB="0" distL="114300" distR="114300" simplePos="0" relativeHeight="2516746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21" name="文本框 4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A633F0">
                          <w:pPr>
                            <w:pStyle w:val="16"/>
                            <w:ind w:firstLine="0" w:firstLineChars="0"/>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kPXIwtAgAAWQ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kPXIwtAgAAWQQAAA4AAAAAAAAAAQAgAAAAHwEAAGRycy9lMm9Eb2MueG1sUEsFBgAAAAAG&#10;AAYAWQEAAL4FAAAAAA==&#10;">
              <v:fill on="f" focussize="0,0"/>
              <v:stroke on="f" weight="0.5pt"/>
              <v:imagedata o:title=""/>
              <o:lock v:ext="edit" aspectratio="f"/>
              <v:textbox inset="0mm,0mm,0mm,0mm" style="mso-fit-shape-to-text:t;">
                <w:txbxContent>
                  <w:p w14:paraId="17A633F0">
                    <w:pPr>
                      <w:pStyle w:val="16"/>
                      <w:ind w:firstLine="0" w:firstLineChars="0"/>
                    </w:pPr>
                    <w:r>
                      <w:fldChar w:fldCharType="begin"/>
                    </w:r>
                    <w:r>
                      <w:instrText xml:space="preserve"> PAGE  \* MERGEFORMAT </w:instrText>
                    </w:r>
                    <w:r>
                      <w:fldChar w:fldCharType="separate"/>
                    </w:r>
                    <w:r>
                      <w:t>I</w:t>
                    </w:r>
                    <w:r>
                      <w:fldChar w:fldCharType="end"/>
                    </w:r>
                  </w:p>
                </w:txbxContent>
              </v:textbox>
            </v:shape>
          </w:pict>
        </mc:Fallback>
      </mc:AlternateContent>
    </w:r>
    <w:r>
      <w:rPr>
        <w:sz w:val="18"/>
      </w:rPr>
      <mc:AlternateContent>
        <mc:Choice Requires="wps">
          <w:drawing>
            <wp:anchor distT="0" distB="0" distL="114300" distR="114300" simplePos="0" relativeHeight="251670528"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422"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26759F3F">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70528;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tsh0h1wAAAAkBAAAPAAAAAAAAAAEAIAAAACIAAABkcnMvZG93bnJl&#10;di54bWxQSwECFAAUAAAACACHTuJA2vn4RTcCAABkBAAADgAAAAAAAAABACAAAAAmAQAAZHJzL2Uy&#10;b0RvYy54bWxQSwUGAAAAAAYABgBZAQAAzwUAAAAA&#10;">
              <v:fill on="f" focussize="0,0"/>
              <v:stroke on="f" weight="0.5pt"/>
              <v:imagedata o:title=""/>
              <o:lock v:ext="edit" aspectratio="f"/>
              <v:textbox inset="0mm,0mm,0mm,0mm">
                <w:txbxContent>
                  <w:p w14:paraId="26759F3F">
                    <w:pPr>
                      <w:ind w:firstLine="0" w:firstLineChars="0"/>
                    </w:pPr>
                  </w:p>
                </w:txbxContent>
              </v:textbox>
            </v:shape>
          </w:pict>
        </mc:Fallback>
      </mc:AlternateContent>
    </w:r>
    <w:r>
      <w:rPr>
        <w:sz w:val="18"/>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2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164B07F">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adm80AgAAZQQAAA4AAABkcnMvZTJvRG9jLnhtbK1UzY7TMBC+I/EO&#10;lu80aRd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p2nZvNAIAAGUEAAAOAAAAAAAAAAEAIAAAAB8BAABkcnMvZTJvRG9jLnhtbFBL&#10;BQYAAAAABgAGAFkBAADFBQAAAAA=&#10;">
              <v:fill on="f" focussize="0,0"/>
              <v:stroke on="f" weight="0.5pt"/>
              <v:imagedata o:title=""/>
              <o:lock v:ext="edit" aspectratio="f"/>
              <v:textbox inset="0mm,0mm,0mm,0mm" style="mso-fit-shape-to-text:t;">
                <w:txbxContent>
                  <w:p w14:paraId="0164B07F">
                    <w:pPr>
                      <w:ind w:firstLine="0" w:firstLineChars="0"/>
                    </w:pPr>
                  </w:p>
                </w:txbxContent>
              </v:textbox>
            </v:shape>
          </w:pict>
        </mc:Fallback>
      </mc:AlternateContent>
    </w:r>
    <w:r>
      <w:rPr>
        <w:rFonts w:hint="eastAsia"/>
      </w:rPr>
      <w:tab/>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ADBE88">
    <w:pPr>
      <w:pStyle w:val="16"/>
      <w:ind w:firstLine="0" w:firstLineChars="0"/>
    </w:pPr>
    <w:r>
      <w:rPr>
        <w:sz w:val="18"/>
      </w:rPr>
      <mc:AlternateContent>
        <mc:Choice Requires="wps">
          <w:drawing>
            <wp:anchor distT="0" distB="0" distL="114300" distR="114300" simplePos="0" relativeHeight="2516756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24" name="文本框 4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4A8CF5">
                          <w:pPr>
                            <w:pStyle w:val="16"/>
                            <w:ind w:firstLine="0" w:firstLineChars="0"/>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psH4uAgAAW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COKbB+LgIAAFkEAAAOAAAAAAAAAAEAIAAAAB8BAABkcnMvZTJvRG9jLnhtbFBLBQYAAAAA&#10;BgAGAFkBAAC/BQAAAAA=&#10;">
              <v:fill on="f" focussize="0,0"/>
              <v:stroke on="f" weight="0.5pt"/>
              <v:imagedata o:title=""/>
              <o:lock v:ext="edit" aspectratio="f"/>
              <v:textbox inset="0mm,0mm,0mm,0mm" style="mso-fit-shape-to-text:t;">
                <w:txbxContent>
                  <w:p w14:paraId="164A8CF5">
                    <w:pPr>
                      <w:pStyle w:val="16"/>
                      <w:ind w:firstLine="0" w:firstLineChars="0"/>
                    </w:pPr>
                    <w:r>
                      <w:fldChar w:fldCharType="begin"/>
                    </w:r>
                    <w:r>
                      <w:instrText xml:space="preserve"> PAGE  \* MERGEFORMAT </w:instrText>
                    </w:r>
                    <w:r>
                      <w:fldChar w:fldCharType="separate"/>
                    </w:r>
                    <w:r>
                      <w:t>II</w:t>
                    </w:r>
                    <w:r>
                      <w:fldChar w:fldCharType="end"/>
                    </w:r>
                  </w:p>
                </w:txbxContent>
              </v:textbox>
            </v:shape>
          </w:pict>
        </mc:Fallback>
      </mc:AlternateContent>
    </w:r>
    <w:r>
      <w:rPr>
        <w:sz w:val="18"/>
      </w:rP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25" name="文本框 4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5BB2C6">
                          <w:pPr>
                            <w:pStyle w:val="16"/>
                            <w:ind w:firstLine="0" w:firstLineChars="0"/>
                            <w:rPr>
                              <w:rFonts w:eastAsia="仿宋"/>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2nCMuAgAAWQ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gdpwjLgIAAFkEAAAOAAAAAAAAAAEAIAAAAB8BAABkcnMvZTJvRG9jLnhtbFBLBQYAAAAA&#10;BgAGAFkBAAC/BQAAAAA=&#10;">
              <v:fill on="f" focussize="0,0"/>
              <v:stroke on="f" weight="0.5pt"/>
              <v:imagedata o:title=""/>
              <o:lock v:ext="edit" aspectratio="f"/>
              <v:textbox inset="0mm,0mm,0mm,0mm" style="mso-fit-shape-to-text:t;">
                <w:txbxContent>
                  <w:p w14:paraId="3C5BB2C6">
                    <w:pPr>
                      <w:pStyle w:val="16"/>
                      <w:ind w:firstLine="0" w:firstLineChars="0"/>
                      <w:rPr>
                        <w:rFonts w:eastAsia="仿宋"/>
                        <w:szCs w:val="28"/>
                      </w:rPr>
                    </w:pPr>
                  </w:p>
                </w:txbxContent>
              </v:textbox>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F3889">
    <w:pPr>
      <w:pStyle w:val="16"/>
      <w:tabs>
        <w:tab w:val="right" w:pos="8845"/>
        <w:tab w:val="clear" w:pos="4153"/>
      </w:tabs>
      <w:ind w:firstLine="0" w:firstLineChars="0"/>
    </w:pPr>
    <w:r>
      <w:rPr>
        <w:sz w:val="18"/>
      </w:rPr>
      <mc:AlternateContent>
        <mc:Choice Requires="wps">
          <w:drawing>
            <wp:anchor distT="0" distB="0" distL="114300" distR="114300" simplePos="0" relativeHeight="2516725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429" name="文本框 4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A95F7A">
                          <w:pPr>
                            <w:pStyle w:val="16"/>
                            <w:ind w:firstLine="0" w:firstLineChars="0"/>
                          </w:pPr>
                          <w:r>
                            <w:rPr>
                              <w:rFonts w:hint="eastAsia"/>
                            </w:rPr>
                            <w:t xml:space="preserve">- </w:t>
                          </w:r>
                          <w:r>
                            <w:fldChar w:fldCharType="begin"/>
                          </w:r>
                          <w:r>
                            <w:instrText xml:space="preserve"> PAGE  \* MERGEFORMAT </w:instrText>
                          </w:r>
                          <w:r>
                            <w:fldChar w:fldCharType="separate"/>
                          </w:r>
                          <w:r>
                            <w:t>5</w:t>
                          </w:r>
                          <w:r>
                            <w:fldChar w:fldCharType="end"/>
                          </w:r>
                          <w:r>
                            <w:rPr>
                              <w:rFonts w:hint="eastAsia"/>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r6rQguAgAAWQQAAA4AAABkcnMvZTJvRG9jLnhtbK1UzY7TMBC+I/EO&#10;lu80aYFV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q+q0ILgIAAFkEAAAOAAAAAAAAAAEAIAAAAB8BAABkcnMvZTJvRG9jLnhtbFBLBQYAAAAA&#10;BgAGAFkBAAC/BQAAAAA=&#10;">
              <v:fill on="f" focussize="0,0"/>
              <v:stroke on="f" weight="0.5pt"/>
              <v:imagedata o:title=""/>
              <o:lock v:ext="edit" aspectratio="f"/>
              <v:textbox inset="0mm,0mm,0mm,0mm" style="mso-fit-shape-to-text:t;">
                <w:txbxContent>
                  <w:p w14:paraId="60A95F7A">
                    <w:pPr>
                      <w:pStyle w:val="16"/>
                      <w:ind w:firstLine="0" w:firstLineChars="0"/>
                    </w:pPr>
                    <w:r>
                      <w:rPr>
                        <w:rFonts w:hint="eastAsia"/>
                      </w:rPr>
                      <w:t xml:space="preserve">- </w:t>
                    </w:r>
                    <w:r>
                      <w:fldChar w:fldCharType="begin"/>
                    </w:r>
                    <w:r>
                      <w:instrText xml:space="preserve"> PAGE  \* MERGEFORMAT </w:instrText>
                    </w:r>
                    <w:r>
                      <w:fldChar w:fldCharType="separate"/>
                    </w:r>
                    <w:r>
                      <w:t>5</w:t>
                    </w:r>
                    <w:r>
                      <w:fldChar w:fldCharType="end"/>
                    </w:r>
                    <w:r>
                      <w:rPr>
                        <w:rFonts w:hint="eastAsia"/>
                      </w:rPr>
                      <w:t xml:space="preserve"> -</w:t>
                    </w:r>
                  </w:p>
                </w:txbxContent>
              </v:textbox>
            </v:shape>
          </w:pict>
        </mc:Fallback>
      </mc:AlternateContent>
    </w:r>
    <w:r>
      <w:rPr>
        <w:sz w:val="18"/>
      </w:rPr>
      <mc:AlternateContent>
        <mc:Choice Requires="wps">
          <w:drawing>
            <wp:anchor distT="0" distB="0" distL="114300" distR="114300" simplePos="0" relativeHeight="251667456"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430"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60923092">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67456;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tsh0h1wAAAAkBAAAPAAAAAAAAAAEAIAAAACIAAABkcnMvZG93bnJl&#10;di54bWxQSwECFAAUAAAACACHTuJAAu0PaTcCAABkBAAADgAAAAAAAAABACAAAAAmAQAAZHJzL2Uy&#10;b0RvYy54bWxQSwUGAAAAAAYABgBZAQAAzwUAAAAA&#10;">
              <v:fill on="f" focussize="0,0"/>
              <v:stroke on="f" weight="0.5pt"/>
              <v:imagedata o:title=""/>
              <o:lock v:ext="edit" aspectratio="f"/>
              <v:textbox inset="0mm,0mm,0mm,0mm">
                <w:txbxContent>
                  <w:p w14:paraId="60923092">
                    <w:pPr>
                      <w:ind w:firstLine="0" w:firstLineChars="0"/>
                    </w:pP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3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DC56986">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t3UuczAgAAZQQAAA4AAAAAAAAAAQAgAAAAHwEAAGRycy9lMm9Eb2MueG1sUEsF&#10;BgAAAAAGAAYAWQEAAMQFAAAAAA==&#10;">
              <v:fill on="f" focussize="0,0"/>
              <v:stroke on="f" weight="0.5pt"/>
              <v:imagedata o:title=""/>
              <o:lock v:ext="edit" aspectratio="f"/>
              <v:textbox inset="0mm,0mm,0mm,0mm" style="mso-fit-shape-to-text:t;">
                <w:txbxContent>
                  <w:p w14:paraId="4DC56986">
                    <w:pPr>
                      <w:ind w:firstLine="0" w:firstLineChars="0"/>
                    </w:pPr>
                  </w:p>
                </w:txbxContent>
              </v:textbox>
            </v:shape>
          </w:pict>
        </mc:Fallback>
      </mc:AlternateContent>
    </w:r>
    <w:r>
      <w:rPr>
        <w:rFonts w:hint="eastAsia"/>
      </w:rPr>
      <w:tab/>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B6D40">
    <w:pPr>
      <w:pStyle w:val="16"/>
      <w:ind w:firstLine="0" w:firstLineChars="0"/>
    </w:pPr>
    <w:r>
      <w:rPr>
        <w:sz w:val="18"/>
      </w:rPr>
      <mc:AlternateContent>
        <mc:Choice Requires="wps">
          <w:drawing>
            <wp:anchor distT="0" distB="0" distL="114300" distR="114300" simplePos="0" relativeHeight="2516736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432" name="文本框 4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6BAFFB">
                          <w:pPr>
                            <w:pStyle w:val="16"/>
                            <w:ind w:firstLine="0" w:firstLineChars="0"/>
                          </w:pPr>
                          <w:r>
                            <w:rPr>
                              <w:rFonts w:hint="eastAsia"/>
                            </w:rPr>
                            <w:t xml:space="preserve">- </w:t>
                          </w:r>
                          <w:r>
                            <w:fldChar w:fldCharType="begin"/>
                          </w:r>
                          <w:r>
                            <w:instrText xml:space="preserve"> PAGE  \* MERGEFORMAT </w:instrText>
                          </w:r>
                          <w:r>
                            <w:fldChar w:fldCharType="separate"/>
                          </w:r>
                          <w:r>
                            <w:t>4</w:t>
                          </w:r>
                          <w:r>
                            <w:fldChar w:fldCharType="end"/>
                          </w:r>
                          <w:r>
                            <w:rPr>
                              <w:rFonts w:hint="eastAsia"/>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sMxywuAgAAWQ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CLDMcsLgIAAFkEAAAOAAAAAAAAAAEAIAAAAB8BAABkcnMvZTJvRG9jLnhtbFBLBQYAAAAA&#10;BgAGAFkBAAC/BQAAAAA=&#10;">
              <v:fill on="f" focussize="0,0"/>
              <v:stroke on="f" weight="0.5pt"/>
              <v:imagedata o:title=""/>
              <o:lock v:ext="edit" aspectratio="f"/>
              <v:textbox inset="0mm,0mm,0mm,0mm" style="mso-fit-shape-to-text:t;">
                <w:txbxContent>
                  <w:p w14:paraId="626BAFFB">
                    <w:pPr>
                      <w:pStyle w:val="16"/>
                      <w:ind w:firstLine="0" w:firstLineChars="0"/>
                    </w:pPr>
                    <w:r>
                      <w:rPr>
                        <w:rFonts w:hint="eastAsia"/>
                      </w:rPr>
                      <w:t xml:space="preserve">- </w:t>
                    </w:r>
                    <w:r>
                      <w:fldChar w:fldCharType="begin"/>
                    </w:r>
                    <w:r>
                      <w:instrText xml:space="preserve"> PAGE  \* MERGEFORMAT </w:instrText>
                    </w:r>
                    <w:r>
                      <w:fldChar w:fldCharType="separate"/>
                    </w:r>
                    <w:r>
                      <w:t>4</w:t>
                    </w:r>
                    <w:r>
                      <w:fldChar w:fldCharType="end"/>
                    </w:r>
                    <w:r>
                      <w:rPr>
                        <w:rFonts w:hint="eastAsia"/>
                      </w:rPr>
                      <w:t xml:space="preserve"> -</w:t>
                    </w:r>
                  </w:p>
                </w:txbxContent>
              </v:textbox>
            </v:shape>
          </w:pict>
        </mc:Fallback>
      </mc:AlternateContent>
    </w:r>
    <w:r>
      <w:rPr>
        <w:sz w:val="1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433" name="文本框 4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AA410D">
                          <w:pPr>
                            <w:pStyle w:val="16"/>
                            <w:ind w:firstLine="0" w:firstLineChars="0"/>
                            <w:rPr>
                              <w:rFonts w:eastAsia="仿宋"/>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lU+txLgIAAFkEAAAOAAAAAAAAAAEAIAAAAB8BAABkcnMvZTJvRG9jLnhtbFBLBQYAAAAA&#10;BgAGAFkBAAC/BQAAAAA=&#10;">
              <v:fill on="f" focussize="0,0"/>
              <v:stroke on="f" weight="0.5pt"/>
              <v:imagedata o:title=""/>
              <o:lock v:ext="edit" aspectratio="f"/>
              <v:textbox inset="0mm,0mm,0mm,0mm" style="mso-fit-shape-to-text:t;">
                <w:txbxContent>
                  <w:p w14:paraId="2EAA410D">
                    <w:pPr>
                      <w:pStyle w:val="16"/>
                      <w:ind w:firstLine="0" w:firstLineChars="0"/>
                      <w:rPr>
                        <w:rFonts w:eastAsia="仿宋"/>
                        <w:szCs w:val="28"/>
                      </w:rPr>
                    </w:pPr>
                  </w:p>
                </w:txbxContent>
              </v:textbox>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375C2">
    <w:pPr>
      <w:pStyle w:val="16"/>
      <w:tabs>
        <w:tab w:val="right" w:pos="8845"/>
        <w:tab w:val="clear" w:pos="4153"/>
      </w:tabs>
      <w:ind w:firstLine="0" w:firstLineChars="0"/>
    </w:pPr>
    <w:r>
      <w:rPr>
        <w:sz w:val="18"/>
      </w:rPr>
      <mc:AlternateContent>
        <mc:Choice Requires="wps">
          <w:drawing>
            <wp:anchor distT="0" distB="0" distL="114300" distR="114300" simplePos="0" relativeHeight="2516746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37" name="文本框 4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6EF550">
                          <w:pPr>
                            <w:pStyle w:val="16"/>
                            <w:ind w:firstLine="0" w:firstLineChars="0"/>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wqK94uAgAAWQQAAA4AAABkcnMvZTJvRG9jLnhtbK1UzY7TMBC+I/EO&#10;lu80aReWqm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CcKiveLgIAAFkEAAAOAAAAAAAAAAEAIAAAAB8BAABkcnMvZTJvRG9jLnhtbFBLBQYAAAAA&#10;BgAGAFkBAAC/BQAAAAA=&#10;">
              <v:fill on="f" focussize="0,0"/>
              <v:stroke on="f" weight="0.5pt"/>
              <v:imagedata o:title=""/>
              <o:lock v:ext="edit" aspectratio="f"/>
              <v:textbox inset="0mm,0mm,0mm,0mm" style="mso-fit-shape-to-text:t;">
                <w:txbxContent>
                  <w:p w14:paraId="736EF550">
                    <w:pPr>
                      <w:pStyle w:val="16"/>
                      <w:ind w:firstLine="0" w:firstLineChars="0"/>
                    </w:pPr>
                    <w:r>
                      <w:fldChar w:fldCharType="begin"/>
                    </w:r>
                    <w:r>
                      <w:instrText xml:space="preserve"> PAGE  \* MERGEFORMAT </w:instrText>
                    </w:r>
                    <w:r>
                      <w:fldChar w:fldCharType="separate"/>
                    </w:r>
                    <w:r>
                      <w:t>I</w:t>
                    </w:r>
                    <w:r>
                      <w:fldChar w:fldCharType="end"/>
                    </w:r>
                  </w:p>
                </w:txbxContent>
              </v:textbox>
            </v:shape>
          </w:pict>
        </mc:Fallback>
      </mc:AlternateContent>
    </w:r>
    <w:r>
      <w:rPr>
        <w:sz w:val="18"/>
      </w:rPr>
      <mc:AlternateContent>
        <mc:Choice Requires="wps">
          <w:drawing>
            <wp:anchor distT="0" distB="0" distL="114300" distR="114300" simplePos="0" relativeHeight="251670528"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438"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29C6BBF3">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70528;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tsh0h1wAAAAkBAAAPAAAAAAAAAAEAIAAAACIAAABkcnMvZG93bnJl&#10;di54bWxQSwECFAAUAAAACACHTuJAOxbRGDcCAABkBAAADgAAAAAAAAABACAAAAAmAQAAZHJzL2Uy&#10;b0RvYy54bWxQSwUGAAAAAAYABgBZAQAAzwUAAAAA&#10;">
              <v:fill on="f" focussize="0,0"/>
              <v:stroke on="f" weight="0.5pt"/>
              <v:imagedata o:title=""/>
              <o:lock v:ext="edit" aspectratio="f"/>
              <v:textbox inset="0mm,0mm,0mm,0mm">
                <w:txbxContent>
                  <w:p w14:paraId="29C6BBF3">
                    <w:pPr>
                      <w:ind w:firstLine="0" w:firstLineChars="0"/>
                    </w:pPr>
                  </w:p>
                </w:txbxContent>
              </v:textbox>
            </v:shape>
          </w:pict>
        </mc:Fallback>
      </mc:AlternateContent>
    </w:r>
    <w:r>
      <w:rPr>
        <w:sz w:val="18"/>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3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A431842">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oISa4NAIAAGUEAAAOAAAAAAAAAAEAIAAAAB8BAABkcnMvZTJvRG9jLnhtbFBL&#10;BQYAAAAABgAGAFkBAADFBQAAAAA=&#10;">
              <v:fill on="f" focussize="0,0"/>
              <v:stroke on="f" weight="0.5pt"/>
              <v:imagedata o:title=""/>
              <o:lock v:ext="edit" aspectratio="f"/>
              <v:textbox inset="0mm,0mm,0mm,0mm" style="mso-fit-shape-to-text:t;">
                <w:txbxContent>
                  <w:p w14:paraId="2A431842">
                    <w:pPr>
                      <w:ind w:firstLine="0" w:firstLineChars="0"/>
                    </w:pPr>
                  </w:p>
                </w:txbxContent>
              </v:textbox>
            </v:shape>
          </w:pict>
        </mc:Fallback>
      </mc:AlternateContent>
    </w:r>
    <w:r>
      <w:rPr>
        <w:rFonts w:hint="eastAsia"/>
      </w:rPr>
      <w:tab/>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635203">
    <w:pPr>
      <w:pStyle w:val="16"/>
      <w:ind w:firstLine="0" w:firstLineChars="0"/>
    </w:pPr>
    <w:r>
      <w:rPr>
        <w:sz w:val="18"/>
      </w:rPr>
      <mc:AlternateContent>
        <mc:Choice Requires="wps">
          <w:drawing>
            <wp:anchor distT="0" distB="0" distL="114300" distR="114300" simplePos="0" relativeHeight="2516756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40" name="文本框 4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6A3759">
                          <w:pPr>
                            <w:pStyle w:val="16"/>
                            <w:ind w:firstLine="0" w:firstLineChars="0"/>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YcYZotAgAAW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YcYZotAgAAWQQAAA4AAAAAAAAAAQAgAAAAHwEAAGRycy9lMm9Eb2MueG1sUEsFBgAAAAAG&#10;AAYAWQEAAL4FAAAAAA==&#10;">
              <v:fill on="f" focussize="0,0"/>
              <v:stroke on="f" weight="0.5pt"/>
              <v:imagedata o:title=""/>
              <o:lock v:ext="edit" aspectratio="f"/>
              <v:textbox inset="0mm,0mm,0mm,0mm" style="mso-fit-shape-to-text:t;">
                <w:txbxContent>
                  <w:p w14:paraId="736A3759">
                    <w:pPr>
                      <w:pStyle w:val="16"/>
                      <w:ind w:firstLine="0" w:firstLineChars="0"/>
                    </w:pPr>
                    <w:r>
                      <w:fldChar w:fldCharType="begin"/>
                    </w:r>
                    <w:r>
                      <w:instrText xml:space="preserve"> PAGE  \* MERGEFORMAT </w:instrText>
                    </w:r>
                    <w:r>
                      <w:fldChar w:fldCharType="separate"/>
                    </w:r>
                    <w:r>
                      <w:t>II</w:t>
                    </w:r>
                    <w:r>
                      <w:fldChar w:fldCharType="end"/>
                    </w:r>
                  </w:p>
                </w:txbxContent>
              </v:textbox>
            </v:shape>
          </w:pict>
        </mc:Fallback>
      </mc:AlternateContent>
    </w:r>
    <w:r>
      <w:rPr>
        <w:sz w:val="18"/>
      </w:rP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41" name="文本框 4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E11BC8">
                          <w:pPr>
                            <w:pStyle w:val="16"/>
                            <w:ind w:firstLine="0" w:firstLineChars="0"/>
                            <w:rPr>
                              <w:rFonts w:eastAsia="仿宋"/>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hDTcctAgAAWQQAAA4AAAAAAAAAAQAgAAAAHwEAAGRycy9lMm9Eb2MueG1sUEsFBgAAAAAG&#10;AAYAWQEAAL4FAAAAAA==&#10;">
              <v:fill on="f" focussize="0,0"/>
              <v:stroke on="f" weight="0.5pt"/>
              <v:imagedata o:title=""/>
              <o:lock v:ext="edit" aspectratio="f"/>
              <v:textbox inset="0mm,0mm,0mm,0mm" style="mso-fit-shape-to-text:t;">
                <w:txbxContent>
                  <w:p w14:paraId="2AE11BC8">
                    <w:pPr>
                      <w:pStyle w:val="16"/>
                      <w:ind w:firstLine="0" w:firstLineChars="0"/>
                      <w:rPr>
                        <w:rFonts w:eastAsia="仿宋"/>
                        <w:szCs w:val="28"/>
                      </w:rPr>
                    </w:pP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278F1">
    <w:pPr>
      <w:pStyle w:val="16"/>
      <w:tabs>
        <w:tab w:val="right" w:pos="8845"/>
        <w:tab w:val="clear" w:pos="4153"/>
      </w:tabs>
      <w:ind w:firstLine="0" w:firstLineChars="0"/>
    </w:pPr>
    <w:r>
      <mc:AlternateContent>
        <mc:Choice Requires="wps">
          <w:drawing>
            <wp:anchor distT="0" distB="0" distL="114300" distR="114300" simplePos="0" relativeHeight="251664384"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87"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02CF24F0">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64384;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2yHSHXAAAACQEAAA8AAAAAAAAAAQAgAAAAIgAAAGRycy9kb3ducmV2&#10;LnhtbFBLAQIUABQAAAAIAIdO4kDSzc50NgIAAGMEAAAOAAAAAAAAAAEAIAAAACYBAABkcnMvZTJv&#10;RG9jLnhtbFBLBQYAAAAABgAGAFkBAADOBQAAAAA=&#10;">
              <v:fill on="f" focussize="0,0"/>
              <v:stroke on="f" weight="0.5pt"/>
              <v:imagedata o:title=""/>
              <o:lock v:ext="edit" aspectratio="f"/>
              <v:textbox inset="0mm,0mm,0mm,0mm">
                <w:txbxContent>
                  <w:p w14:paraId="02CF24F0">
                    <w:pPr>
                      <w:ind w:firstLine="0" w:firstLineChars="0"/>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8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3FBA5BE">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NU3AyAgAAZA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U1TcDICAABkBAAADgAAAAAAAAABACAAAAAfAQAAZHJzL2Uyb0RvYy54bWxQSwUG&#10;AAAAAAYABgBZAQAAwwUAAAAA&#10;">
              <v:fill on="f" focussize="0,0"/>
              <v:stroke on="f" weight="0.5pt"/>
              <v:imagedata o:title=""/>
              <o:lock v:ext="edit" aspectratio="f"/>
              <v:textbox inset="0mm,0mm,0mm,0mm" style="mso-fit-shape-to-text:t;">
                <w:txbxContent>
                  <w:p w14:paraId="33FBA5BE">
                    <w:pPr>
                      <w:ind w:firstLine="0" w:firstLineChars="0"/>
                    </w:pPr>
                  </w:p>
                </w:txbxContent>
              </v:textbox>
            </v:shape>
          </w:pict>
        </mc:Fallback>
      </mc:AlternateContent>
    </w:r>
    <w:r>
      <w:rPr>
        <w:rFonts w:hint="eastAsia"/>
      </w:rPr>
      <w:tab/>
    </w:r>
    <w:r>
      <w:rPr>
        <w:rFonts w:hint="eastAsia"/>
      </w:rPr>
      <w:tab/>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FAEE4">
    <w:pPr>
      <w:pStyle w:val="16"/>
      <w:tabs>
        <w:tab w:val="right" w:pos="8845"/>
        <w:tab w:val="clear" w:pos="4153"/>
      </w:tabs>
      <w:ind w:firstLine="0" w:firstLineChars="0"/>
    </w:pPr>
    <w:r>
      <w:rPr>
        <w:sz w:val="18"/>
      </w:rPr>
      <mc:AlternateContent>
        <mc:Choice Requires="wps">
          <w:drawing>
            <wp:anchor distT="0" distB="0" distL="114300" distR="114300" simplePos="0" relativeHeight="251664384"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450"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01B38679">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64384;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2yHSHXAAAACQEAAA8AAAAAAAAAAQAgAAAAIgAAAGRycy9kb3ducmV2&#10;LnhtbFBLAQIUABQAAAAIAIdO4kBXkrQnNgIAAGQEAAAOAAAAAAAAAAEAIAAAACYBAABkcnMvZTJv&#10;RG9jLnhtbFBLBQYAAAAABgAGAFkBAADOBQAAAAA=&#10;">
              <v:fill on="f" focussize="0,0"/>
              <v:stroke on="f" weight="0.5pt"/>
              <v:imagedata o:title=""/>
              <o:lock v:ext="edit" aspectratio="f"/>
              <v:textbox inset="0mm,0mm,0mm,0mm">
                <w:txbxContent>
                  <w:p w14:paraId="01B38679">
                    <w:pPr>
                      <w:ind w:firstLine="0" w:firstLineChars="0"/>
                    </w:pPr>
                  </w:p>
                </w:txbxContent>
              </v:textbox>
            </v:shape>
          </w:pict>
        </mc:Fallback>
      </mc:AlternateContent>
    </w: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45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A17804C">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9pHfwzAgAAZQQAAA4AAAAAAAAAAQAgAAAAHwEAAGRycy9lMm9Eb2MueG1sUEsF&#10;BgAAAAAGAAYAWQEAAMQFAAAAAA==&#10;">
              <v:fill on="f" focussize="0,0"/>
              <v:stroke on="f" weight="0.5pt"/>
              <v:imagedata o:title=""/>
              <o:lock v:ext="edit" aspectratio="f"/>
              <v:textbox inset="0mm,0mm,0mm,0mm" style="mso-fit-shape-to-text:t;">
                <w:txbxContent>
                  <w:p w14:paraId="1A17804C">
                    <w:pPr>
                      <w:ind w:firstLine="0" w:firstLineChars="0"/>
                    </w:pPr>
                  </w:p>
                </w:txbxContent>
              </v:textbox>
            </v:shape>
          </w:pict>
        </mc:Fallback>
      </mc:AlternateContent>
    </w:r>
    <w:r>
      <w:rPr>
        <w:rFonts w:hint="eastAsia"/>
      </w:rPr>
      <w:tab/>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4156C">
    <w:pPr>
      <w:pStyle w:val="16"/>
      <w:ind w:firstLine="0" w:firstLineChars="0"/>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52" name="文本框 4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EBEB0B">
                          <w:pPr>
                            <w:pStyle w:val="16"/>
                            <w:ind w:firstLine="0" w:firstLineChars="0"/>
                            <w:rPr>
                              <w:rFonts w:eastAsia="仿宋"/>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pA1mcuAgAAWQ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KQNZnLgIAAFkEAAAOAAAAAAAAAAEAIAAAAB8BAABkcnMvZTJvRG9jLnhtbFBLBQYAAAAA&#10;BgAGAFkBAAC/BQAAAAA=&#10;">
              <v:fill on="f" focussize="0,0"/>
              <v:stroke on="f" weight="0.5pt"/>
              <v:imagedata o:title=""/>
              <o:lock v:ext="edit" aspectratio="f"/>
              <v:textbox inset="0mm,0mm,0mm,0mm" style="mso-fit-shape-to-text:t;">
                <w:txbxContent>
                  <w:p w14:paraId="17EBEB0B">
                    <w:pPr>
                      <w:pStyle w:val="16"/>
                      <w:ind w:firstLine="0" w:firstLineChars="0"/>
                      <w:rPr>
                        <w:rFonts w:eastAsia="仿宋"/>
                        <w:szCs w:val="28"/>
                      </w:rPr>
                    </w:pPr>
                  </w:p>
                </w:txbxContent>
              </v:textbox>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A2084">
    <w:pPr>
      <w:pStyle w:val="16"/>
      <w:tabs>
        <w:tab w:val="right" w:pos="8845"/>
        <w:tab w:val="clear" w:pos="4153"/>
      </w:tabs>
      <w:ind w:firstLine="0" w:firstLineChars="0"/>
    </w:pPr>
    <w:r>
      <w:rPr>
        <w:sz w:val="18"/>
      </w:rPr>
      <mc:AlternateContent>
        <mc:Choice Requires="wps">
          <w:drawing>
            <wp:anchor distT="0" distB="0" distL="114300" distR="114300" simplePos="0" relativeHeight="2516746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53" name="文本框 4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2B1250">
                          <w:pPr>
                            <w:pStyle w:val="16"/>
                            <w:ind w:firstLine="0" w:firstLineChars="0"/>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Qf+jovAgAAWQQAAA4AAABkcnMvZTJvRG9jLnhtbK1US27bMBDdF+gd&#10;CO5ryU4TGI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SVju0AAAAAUBAAAPAAAAAAAAAAEAIAAAACIAAABkcnMvZG93bnJldi54bWxQSwECFAAUAAAA&#10;CACHTuJA5B/6Oi8CAABZBAAADgAAAAAAAAABACAAAAAfAQAAZHJzL2Uyb0RvYy54bWxQSwUGAAAA&#10;AAYABgBZAQAAwAUAAAAA&#10;">
              <v:fill on="f" focussize="0,0"/>
              <v:stroke on="f" weight="0.5pt"/>
              <v:imagedata o:title=""/>
              <o:lock v:ext="edit" aspectratio="f"/>
              <v:textbox inset="0mm,0mm,0mm,0mm" style="mso-fit-shape-to-text:t;">
                <w:txbxContent>
                  <w:p w14:paraId="7E2B1250">
                    <w:pPr>
                      <w:pStyle w:val="16"/>
                      <w:ind w:firstLine="0" w:firstLineChars="0"/>
                    </w:pPr>
                    <w:r>
                      <w:fldChar w:fldCharType="begin"/>
                    </w:r>
                    <w:r>
                      <w:instrText xml:space="preserve"> PAGE  \* MERGEFORMAT </w:instrText>
                    </w:r>
                    <w:r>
                      <w:fldChar w:fldCharType="separate"/>
                    </w:r>
                    <w:r>
                      <w:t>I</w:t>
                    </w:r>
                    <w:r>
                      <w:fldChar w:fldCharType="end"/>
                    </w:r>
                  </w:p>
                </w:txbxContent>
              </v:textbox>
            </v:shape>
          </w:pict>
        </mc:Fallback>
      </mc:AlternateContent>
    </w:r>
    <w:r>
      <w:rPr>
        <w:sz w:val="18"/>
      </w:rPr>
      <mc:AlternateContent>
        <mc:Choice Requires="wps">
          <w:drawing>
            <wp:anchor distT="0" distB="0" distL="114300" distR="114300" simplePos="0" relativeHeight="251670528"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454"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639F9E92">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70528;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tsh0h1wAAAAkBAAAPAAAAAAAAAAEAIAAAACIAAABkcnMvZG93bnJl&#10;di54bWxQSwECFAAUAAAACACHTuJA62zj8jcCAABkBAAADgAAAAAAAAABACAAAAAmAQAAZHJzL2Uy&#10;b0RvYy54bWxQSwUGAAAAAAYABgBZAQAAzwUAAAAA&#10;">
              <v:fill on="f" focussize="0,0"/>
              <v:stroke on="f" weight="0.5pt"/>
              <v:imagedata o:title=""/>
              <o:lock v:ext="edit" aspectratio="f"/>
              <v:textbox inset="0mm,0mm,0mm,0mm">
                <w:txbxContent>
                  <w:p w14:paraId="639F9E92">
                    <w:pPr>
                      <w:ind w:firstLine="0" w:firstLineChars="0"/>
                    </w:pPr>
                  </w:p>
                </w:txbxContent>
              </v:textbox>
            </v:shape>
          </w:pict>
        </mc:Fallback>
      </mc:AlternateContent>
    </w:r>
    <w:r>
      <w:rPr>
        <w:sz w:val="18"/>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5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68AEF11">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GwR8+NAIAAGUEAAAOAAAAAAAAAAEAIAAAAB8BAABkcnMvZTJvRG9jLnhtbFBL&#10;BQYAAAAABgAGAFkBAADFBQAAAAA=&#10;">
              <v:fill on="f" focussize="0,0"/>
              <v:stroke on="f" weight="0.5pt"/>
              <v:imagedata o:title=""/>
              <o:lock v:ext="edit" aspectratio="f"/>
              <v:textbox inset="0mm,0mm,0mm,0mm" style="mso-fit-shape-to-text:t;">
                <w:txbxContent>
                  <w:p w14:paraId="768AEF11">
                    <w:pPr>
                      <w:ind w:firstLine="0" w:firstLineChars="0"/>
                    </w:pPr>
                  </w:p>
                </w:txbxContent>
              </v:textbox>
            </v:shape>
          </w:pict>
        </mc:Fallback>
      </mc:AlternateContent>
    </w:r>
    <w:r>
      <w:rPr>
        <w:rFonts w:hint="eastAsia"/>
      </w:rPr>
      <w:tab/>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76ADC">
    <w:pPr>
      <w:pStyle w:val="16"/>
      <w:ind w:firstLine="0" w:firstLineChars="0"/>
    </w:pPr>
    <w:r>
      <w:rPr>
        <w:sz w:val="18"/>
      </w:rPr>
      <mc:AlternateContent>
        <mc:Choice Requires="wps">
          <w:drawing>
            <wp:anchor distT="0" distB="0" distL="114300" distR="114300" simplePos="0" relativeHeight="2516756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56" name="文本框 4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5EABA7">
                          <w:pPr>
                            <w:pStyle w:val="16"/>
                            <w:ind w:firstLine="0" w:firstLineChars="0"/>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M5FsguAgAAWQQAAA4AAABkcnMvZTJvRG9jLnhtbK1UzY7TMBC+I/EO&#10;lu80aWGrqm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DzORbILgIAAFkEAAAOAAAAAAAAAAEAIAAAAB8BAABkcnMvZTJvRG9jLnhtbFBLBQYAAAAA&#10;BgAGAFkBAAC/BQAAAAA=&#10;">
              <v:fill on="f" focussize="0,0"/>
              <v:stroke on="f" weight="0.5pt"/>
              <v:imagedata o:title=""/>
              <o:lock v:ext="edit" aspectratio="f"/>
              <v:textbox inset="0mm,0mm,0mm,0mm" style="mso-fit-shape-to-text:t;">
                <w:txbxContent>
                  <w:p w14:paraId="045EABA7">
                    <w:pPr>
                      <w:pStyle w:val="16"/>
                      <w:ind w:firstLine="0" w:firstLineChars="0"/>
                    </w:pPr>
                    <w:r>
                      <w:fldChar w:fldCharType="begin"/>
                    </w:r>
                    <w:r>
                      <w:instrText xml:space="preserve"> PAGE  \* MERGEFORMAT </w:instrText>
                    </w:r>
                    <w:r>
                      <w:fldChar w:fldCharType="separate"/>
                    </w:r>
                    <w:r>
                      <w:t>II</w:t>
                    </w:r>
                    <w:r>
                      <w:fldChar w:fldCharType="end"/>
                    </w:r>
                  </w:p>
                </w:txbxContent>
              </v:textbox>
            </v:shape>
          </w:pict>
        </mc:Fallback>
      </mc:AlternateContent>
    </w:r>
    <w:r>
      <w:rPr>
        <w:sz w:val="18"/>
      </w:rP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57" name="文本框 4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7F9220">
                          <w:pPr>
                            <w:pStyle w:val="16"/>
                            <w:ind w:firstLine="0" w:firstLineChars="0"/>
                            <w:rPr>
                              <w:rFonts w:eastAsia="仿宋"/>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1mOpUuAgAAWQQAAA4AAABkcnMvZTJvRG9jLnhtbK1UzY7TMBC+I/EO&#10;lu80aWGXqm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dZjqVLgIAAFkEAAAOAAAAAAAAAAEAIAAAAB8BAABkcnMvZTJvRG9jLnhtbFBLBQYAAAAA&#10;BgAGAFkBAAC/BQAAAAA=&#10;">
              <v:fill on="f" focussize="0,0"/>
              <v:stroke on="f" weight="0.5pt"/>
              <v:imagedata o:title=""/>
              <o:lock v:ext="edit" aspectratio="f"/>
              <v:textbox inset="0mm,0mm,0mm,0mm" style="mso-fit-shape-to-text:t;">
                <w:txbxContent>
                  <w:p w14:paraId="7C7F9220">
                    <w:pPr>
                      <w:pStyle w:val="16"/>
                      <w:ind w:firstLine="0" w:firstLineChars="0"/>
                      <w:rPr>
                        <w:rFonts w:eastAsia="仿宋"/>
                        <w:szCs w:val="28"/>
                      </w:rPr>
                    </w:pPr>
                  </w:p>
                </w:txbxContent>
              </v:textbox>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9E4AC">
    <w:pPr>
      <w:pStyle w:val="16"/>
      <w:tabs>
        <w:tab w:val="right" w:pos="8845"/>
        <w:tab w:val="clear" w:pos="4153"/>
      </w:tabs>
      <w:ind w:firstLine="0" w:firstLineChars="0"/>
    </w:pPr>
    <w:r>
      <w:rPr>
        <w:sz w:val="18"/>
      </w:rPr>
      <mc:AlternateContent>
        <mc:Choice Requires="wps">
          <w:drawing>
            <wp:anchor distT="0" distB="0" distL="114300" distR="114300" simplePos="0" relativeHeight="2516725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445" name="文本框 4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CC8FC9">
                          <w:pPr>
                            <w:pStyle w:val="16"/>
                            <w:ind w:firstLine="0" w:firstLineChars="0"/>
                          </w:pPr>
                          <w:r>
                            <w:rPr>
                              <w:rFonts w:hint="eastAsia"/>
                            </w:rPr>
                            <w:t xml:space="preserve">- </w:t>
                          </w:r>
                          <w:r>
                            <w:fldChar w:fldCharType="begin"/>
                          </w:r>
                          <w:r>
                            <w:instrText xml:space="preserve"> PAGE  \* MERGEFORMAT </w:instrText>
                          </w:r>
                          <w:r>
                            <w:fldChar w:fldCharType="separate"/>
                          </w:r>
                          <w:r>
                            <w:t>13</w:t>
                          </w:r>
                          <w:r>
                            <w:fldChar w:fldCharType="end"/>
                          </w:r>
                          <w:r>
                            <w:rPr>
                              <w:rFonts w:hint="eastAsia"/>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E6jWgvAgAAWQQAAA4AAABkcnMvZTJvRG9jLnhtbK1US27bMBDdF+gd&#10;CO5ryW4SGI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SVju0AAAAAUBAAAPAAAAAAAAAAEAIAAAACIAAABkcnMvZG93bnJldi54bWxQSwECFAAUAAAA&#10;CACHTuJA4TqNaC8CAABZBAAADgAAAAAAAAABACAAAAAfAQAAZHJzL2Uyb0RvYy54bWxQSwUGAAAA&#10;AAYABgBZAQAAwAUAAAAA&#10;">
              <v:fill on="f" focussize="0,0"/>
              <v:stroke on="f" weight="0.5pt"/>
              <v:imagedata o:title=""/>
              <o:lock v:ext="edit" aspectratio="f"/>
              <v:textbox inset="0mm,0mm,0mm,0mm" style="mso-fit-shape-to-text:t;">
                <w:txbxContent>
                  <w:p w14:paraId="26CC8FC9">
                    <w:pPr>
                      <w:pStyle w:val="16"/>
                      <w:ind w:firstLine="0" w:firstLineChars="0"/>
                    </w:pPr>
                    <w:r>
                      <w:rPr>
                        <w:rFonts w:hint="eastAsia"/>
                      </w:rPr>
                      <w:t xml:space="preserve">- </w:t>
                    </w:r>
                    <w:r>
                      <w:fldChar w:fldCharType="begin"/>
                    </w:r>
                    <w:r>
                      <w:instrText xml:space="preserve"> PAGE  \* MERGEFORMAT </w:instrText>
                    </w:r>
                    <w:r>
                      <w:fldChar w:fldCharType="separate"/>
                    </w:r>
                    <w:r>
                      <w:t>13</w:t>
                    </w:r>
                    <w:r>
                      <w:fldChar w:fldCharType="end"/>
                    </w:r>
                    <w:r>
                      <w:rPr>
                        <w:rFonts w:hint="eastAsia"/>
                      </w:rPr>
                      <w:t xml:space="preserve"> -</w:t>
                    </w:r>
                  </w:p>
                </w:txbxContent>
              </v:textbox>
            </v:shape>
          </w:pict>
        </mc:Fallback>
      </mc:AlternateContent>
    </w:r>
    <w:r>
      <w:rPr>
        <w:sz w:val="18"/>
      </w:rPr>
      <mc:AlternateContent>
        <mc:Choice Requires="wps">
          <w:drawing>
            <wp:anchor distT="0" distB="0" distL="114300" distR="114300" simplePos="0" relativeHeight="251667456"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446"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1E7B66AD">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67456;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tsh0h1wAAAAkBAAAPAAAAAAAAAAEAIAAAACIAAABkcnMvZG93bnJl&#10;di54bWxQSwECFAAUAAAACACHTuJAM3gU3jcCAABkBAAADgAAAAAAAAABACAAAAAmAQAAZHJzL2Uy&#10;b0RvYy54bWxQSwUGAAAAAAYABgBZAQAAzwUAAAAA&#10;">
              <v:fill on="f" focussize="0,0"/>
              <v:stroke on="f" weight="0.5pt"/>
              <v:imagedata o:title=""/>
              <o:lock v:ext="edit" aspectratio="f"/>
              <v:textbox inset="0mm,0mm,0mm,0mm">
                <w:txbxContent>
                  <w:p w14:paraId="1E7B66AD">
                    <w:pPr>
                      <w:ind w:firstLine="0" w:firstLineChars="0"/>
                    </w:pP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4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E39D99C">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0bDu2NAIAAGUEAAAOAAAAAAAAAAEAIAAAAB8BAABkcnMvZTJvRG9jLnhtbFBL&#10;BQYAAAAABgAGAFkBAADFBQAAAAA=&#10;">
              <v:fill on="f" focussize="0,0"/>
              <v:stroke on="f" weight="0.5pt"/>
              <v:imagedata o:title=""/>
              <o:lock v:ext="edit" aspectratio="f"/>
              <v:textbox inset="0mm,0mm,0mm,0mm" style="mso-fit-shape-to-text:t;">
                <w:txbxContent>
                  <w:p w14:paraId="0E39D99C">
                    <w:pPr>
                      <w:ind w:firstLine="0" w:firstLineChars="0"/>
                    </w:pPr>
                  </w:p>
                </w:txbxContent>
              </v:textbox>
            </v:shape>
          </w:pict>
        </mc:Fallback>
      </mc:AlternateContent>
    </w:r>
    <w:r>
      <w:rPr>
        <w:rFonts w:hint="eastAsia"/>
      </w:rPr>
      <w:tab/>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5E489">
    <w:pPr>
      <w:pStyle w:val="16"/>
      <w:ind w:firstLine="0" w:firstLineChars="0"/>
    </w:pPr>
    <w:r>
      <w:rPr>
        <w:sz w:val="18"/>
      </w:rPr>
      <mc:AlternateContent>
        <mc:Choice Requires="wps">
          <w:drawing>
            <wp:anchor distT="0" distB="0" distL="114300" distR="114300" simplePos="0" relativeHeight="2516736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448" name="文本框 4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5CE494">
                          <w:pPr>
                            <w:pStyle w:val="16"/>
                            <w:ind w:firstLine="0" w:firstLineChars="0"/>
                          </w:pPr>
                          <w:r>
                            <w:rPr>
                              <w:rFonts w:hint="eastAsia"/>
                            </w:rPr>
                            <w:t xml:space="preserve">- </w:t>
                          </w:r>
                          <w:r>
                            <w:fldChar w:fldCharType="begin"/>
                          </w:r>
                          <w:r>
                            <w:instrText xml:space="preserve"> PAGE  \* MERGEFORMAT </w:instrText>
                          </w:r>
                          <w:r>
                            <w:fldChar w:fldCharType="separate"/>
                          </w:r>
                          <w:r>
                            <w:t>14</w:t>
                          </w:r>
                          <w:r>
                            <w:fldChar w:fldCharType="end"/>
                          </w:r>
                          <w:r>
                            <w:rPr>
                              <w:rFonts w:hint="eastAsia"/>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pkB4uAgAAW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F6ZAeLgIAAFkEAAAOAAAAAAAAAAEAIAAAAB8BAABkcnMvZTJvRG9jLnhtbFBLBQYAAAAA&#10;BgAGAFkBAAC/BQAAAAA=&#10;">
              <v:fill on="f" focussize="0,0"/>
              <v:stroke on="f" weight="0.5pt"/>
              <v:imagedata o:title=""/>
              <o:lock v:ext="edit" aspectratio="f"/>
              <v:textbox inset="0mm,0mm,0mm,0mm" style="mso-fit-shape-to-text:t;">
                <w:txbxContent>
                  <w:p w14:paraId="4B5CE494">
                    <w:pPr>
                      <w:pStyle w:val="16"/>
                      <w:ind w:firstLine="0" w:firstLineChars="0"/>
                    </w:pPr>
                    <w:r>
                      <w:rPr>
                        <w:rFonts w:hint="eastAsia"/>
                      </w:rPr>
                      <w:t xml:space="preserve">- </w:t>
                    </w:r>
                    <w:r>
                      <w:fldChar w:fldCharType="begin"/>
                    </w:r>
                    <w:r>
                      <w:instrText xml:space="preserve"> PAGE  \* MERGEFORMAT </w:instrText>
                    </w:r>
                    <w:r>
                      <w:fldChar w:fldCharType="separate"/>
                    </w:r>
                    <w:r>
                      <w:t>14</w:t>
                    </w:r>
                    <w:r>
                      <w:fldChar w:fldCharType="end"/>
                    </w:r>
                    <w:r>
                      <w:rPr>
                        <w:rFonts w:hint="eastAsia"/>
                      </w:rPr>
                      <w:t xml:space="preserve"> -</w:t>
                    </w:r>
                  </w:p>
                </w:txbxContent>
              </v:textbox>
            </v:shape>
          </w:pict>
        </mc:Fallback>
      </mc:AlternateContent>
    </w:r>
    <w:r>
      <w:rPr>
        <w:sz w:val="1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449" name="文本框 4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36180A">
                          <w:pPr>
                            <w:pStyle w:val="16"/>
                            <w:ind w:firstLine="0" w:firstLineChars="0"/>
                            <w:rPr>
                              <w:rFonts w:eastAsia="仿宋"/>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u2vEMuAgAAWQQAAA4AAABkcnMvZTJvRG9jLnhtbK1UzY7TMBC+I/EO&#10;lu80aVlWpW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CrtrxDLgIAAFkEAAAOAAAAAAAAAAEAIAAAAB8BAABkcnMvZTJvRG9jLnhtbFBLBQYAAAAA&#10;BgAGAFkBAAC/BQAAAAA=&#10;">
              <v:fill on="f" focussize="0,0"/>
              <v:stroke on="f" weight="0.5pt"/>
              <v:imagedata o:title=""/>
              <o:lock v:ext="edit" aspectratio="f"/>
              <v:textbox inset="0mm,0mm,0mm,0mm" style="mso-fit-shape-to-text:t;">
                <w:txbxContent>
                  <w:p w14:paraId="0436180A">
                    <w:pPr>
                      <w:pStyle w:val="16"/>
                      <w:ind w:firstLine="0" w:firstLineChars="0"/>
                      <w:rPr>
                        <w:rFonts w:eastAsia="仿宋"/>
                        <w:szCs w:val="28"/>
                      </w:rPr>
                    </w:pPr>
                  </w:p>
                </w:txbxContent>
              </v:textbox>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66A3A7">
    <w:pPr>
      <w:pStyle w:val="16"/>
      <w:tabs>
        <w:tab w:val="right" w:pos="8845"/>
        <w:tab w:val="clear" w:pos="4153"/>
      </w:tabs>
      <w:ind w:firstLine="0" w:firstLineChars="0"/>
    </w:pPr>
    <w:r>
      <w:rPr>
        <w:sz w:val="18"/>
      </w:rPr>
      <mc:AlternateContent>
        <mc:Choice Requires="wps">
          <w:drawing>
            <wp:anchor distT="0" distB="0" distL="114300" distR="114300" simplePos="0" relativeHeight="2516746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69" name="文本框 4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AAA562">
                          <w:pPr>
                            <w:pStyle w:val="16"/>
                            <w:ind w:firstLine="0" w:firstLineChars="0"/>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DrcGPMLgIAAFkEAAAOAAAAAAAAAAEAIAAAAB8BAABkcnMvZTJvRG9jLnhtbFBLBQYAAAAA&#10;BgAGAFkBAAC/BQAAAAA=&#10;">
              <v:fill on="f" focussize="0,0"/>
              <v:stroke on="f" weight="0.5pt"/>
              <v:imagedata o:title=""/>
              <o:lock v:ext="edit" aspectratio="f"/>
              <v:textbox inset="0mm,0mm,0mm,0mm" style="mso-fit-shape-to-text:t;">
                <w:txbxContent>
                  <w:p w14:paraId="17AAA562">
                    <w:pPr>
                      <w:pStyle w:val="16"/>
                      <w:ind w:firstLine="0" w:firstLineChars="0"/>
                    </w:pPr>
                    <w:r>
                      <w:fldChar w:fldCharType="begin"/>
                    </w:r>
                    <w:r>
                      <w:instrText xml:space="preserve"> PAGE  \* MERGEFORMAT </w:instrText>
                    </w:r>
                    <w:r>
                      <w:fldChar w:fldCharType="separate"/>
                    </w:r>
                    <w:r>
                      <w:t>I</w:t>
                    </w:r>
                    <w:r>
                      <w:fldChar w:fldCharType="end"/>
                    </w:r>
                  </w:p>
                </w:txbxContent>
              </v:textbox>
            </v:shape>
          </w:pict>
        </mc:Fallback>
      </mc:AlternateContent>
    </w:r>
    <w:r>
      <w:rPr>
        <w:sz w:val="18"/>
      </w:rPr>
      <mc:AlternateContent>
        <mc:Choice Requires="wps">
          <w:drawing>
            <wp:anchor distT="0" distB="0" distL="114300" distR="114300" simplePos="0" relativeHeight="251670528"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470"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756F2182">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70528;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tsh0h1wAAAAkBAAAPAAAAAAAAAAEAIAAAACIAAABkcnMvZG93bnJl&#10;di54bWxQSwECFAAUAAAACACHTuJAW0UNqzcCAABkBAAADgAAAAAAAAABACAAAAAmAQAAZHJzL2Uy&#10;b0RvYy54bWxQSwUGAAAAAAYABgBZAQAAzwUAAAAA&#10;">
              <v:fill on="f" focussize="0,0"/>
              <v:stroke on="f" weight="0.5pt"/>
              <v:imagedata o:title=""/>
              <o:lock v:ext="edit" aspectratio="f"/>
              <v:textbox inset="0mm,0mm,0mm,0mm">
                <w:txbxContent>
                  <w:p w14:paraId="756F2182">
                    <w:pPr>
                      <w:ind w:firstLine="0" w:firstLineChars="0"/>
                    </w:pPr>
                  </w:p>
                </w:txbxContent>
              </v:textbox>
            </v:shape>
          </w:pict>
        </mc:Fallback>
      </mc:AlternateContent>
    </w:r>
    <w:r>
      <w:rPr>
        <w:sz w:val="18"/>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7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D314D61">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OcJ/UzAgAAZQQAAA4AAAAAAAAAAQAgAAAAHwEAAGRycy9lMm9Eb2MueG1sUEsF&#10;BgAAAAAGAAYAWQEAAMQFAAAAAA==&#10;">
              <v:fill on="f" focussize="0,0"/>
              <v:stroke on="f" weight="0.5pt"/>
              <v:imagedata o:title=""/>
              <o:lock v:ext="edit" aspectratio="f"/>
              <v:textbox inset="0mm,0mm,0mm,0mm" style="mso-fit-shape-to-text:t;">
                <w:txbxContent>
                  <w:p w14:paraId="1D314D61">
                    <w:pPr>
                      <w:ind w:firstLine="0" w:firstLineChars="0"/>
                    </w:pPr>
                  </w:p>
                </w:txbxContent>
              </v:textbox>
            </v:shape>
          </w:pict>
        </mc:Fallback>
      </mc:AlternateContent>
    </w:r>
    <w:r>
      <w:rPr>
        <w:rFonts w:hint="eastAsia"/>
      </w:rPr>
      <w:tab/>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54741">
    <w:pPr>
      <w:pStyle w:val="16"/>
      <w:ind w:firstLine="0" w:firstLineChars="0"/>
    </w:pPr>
    <w:r>
      <w:rPr>
        <w:sz w:val="18"/>
      </w:rPr>
      <mc:AlternateContent>
        <mc:Choice Requires="wps">
          <w:drawing>
            <wp:anchor distT="0" distB="0" distL="114300" distR="114300" simplePos="0" relativeHeight="2516756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72" name="文本框 4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2ECD6A">
                          <w:pPr>
                            <w:pStyle w:val="16"/>
                            <w:ind w:firstLine="0" w:firstLineChars="0"/>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GCeguAgAAWQQAAA4AAABkcnMvZTJvRG9jLnhtbK1UzY7TMBC+I/EO&#10;lu80aYGlqp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KhgnoLgIAAFkEAAAOAAAAAAAAAAEAIAAAAB8BAABkcnMvZTJvRG9jLnhtbFBLBQYAAAAA&#10;BgAGAFkBAAC/BQAAAAA=&#10;">
              <v:fill on="f" focussize="0,0"/>
              <v:stroke on="f" weight="0.5pt"/>
              <v:imagedata o:title=""/>
              <o:lock v:ext="edit" aspectratio="f"/>
              <v:textbox inset="0mm,0mm,0mm,0mm" style="mso-fit-shape-to-text:t;">
                <w:txbxContent>
                  <w:p w14:paraId="342ECD6A">
                    <w:pPr>
                      <w:pStyle w:val="16"/>
                      <w:ind w:firstLine="0" w:firstLineChars="0"/>
                    </w:pPr>
                    <w:r>
                      <w:fldChar w:fldCharType="begin"/>
                    </w:r>
                    <w:r>
                      <w:instrText xml:space="preserve"> PAGE  \* MERGEFORMAT </w:instrText>
                    </w:r>
                    <w:r>
                      <w:fldChar w:fldCharType="separate"/>
                    </w:r>
                    <w:r>
                      <w:t>II</w:t>
                    </w:r>
                    <w:r>
                      <w:fldChar w:fldCharType="end"/>
                    </w:r>
                  </w:p>
                </w:txbxContent>
              </v:textbox>
            </v:shape>
          </w:pict>
        </mc:Fallback>
      </mc:AlternateContent>
    </w:r>
    <w:r>
      <w:rPr>
        <w:sz w:val="18"/>
      </w:rP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73" name="文本框 4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8C06EF">
                          <w:pPr>
                            <w:pStyle w:val="16"/>
                            <w:ind w:firstLine="0" w:firstLineChars="0"/>
                            <w:rPr>
                              <w:rFonts w:eastAsia="仿宋"/>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ZJbUuAgAAWQQAAA4AAABkcnMvZTJvRG9jLnhtbK1UzY7TMBC+I/EO&#10;lu80aReWqm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Ck2SW1LgIAAFkEAAAOAAAAAAAAAAEAIAAAAB8BAABkcnMvZTJvRG9jLnhtbFBLBQYAAAAA&#10;BgAGAFkBAAC/BQAAAAA=&#10;">
              <v:fill on="f" focussize="0,0"/>
              <v:stroke on="f" weight="0.5pt"/>
              <v:imagedata o:title=""/>
              <o:lock v:ext="edit" aspectratio="f"/>
              <v:textbox inset="0mm,0mm,0mm,0mm" style="mso-fit-shape-to-text:t;">
                <w:txbxContent>
                  <w:p w14:paraId="248C06EF">
                    <w:pPr>
                      <w:pStyle w:val="16"/>
                      <w:ind w:firstLine="0" w:firstLineChars="0"/>
                      <w:rPr>
                        <w:rFonts w:eastAsia="仿宋"/>
                        <w:szCs w:val="28"/>
                      </w:rPr>
                    </w:pPr>
                  </w:p>
                </w:txbxContent>
              </v:textbox>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2EB46">
    <w:pPr>
      <w:pStyle w:val="16"/>
      <w:tabs>
        <w:tab w:val="right" w:pos="8845"/>
        <w:tab w:val="clear" w:pos="4153"/>
      </w:tabs>
      <w:ind w:firstLine="0" w:firstLineChars="0"/>
    </w:pPr>
    <w:r>
      <w:rPr>
        <w:sz w:val="18"/>
      </w:rPr>
      <mc:AlternateContent>
        <mc:Choice Requires="wps">
          <w:drawing>
            <wp:anchor distT="0" distB="0" distL="114300" distR="114300" simplePos="0" relativeHeight="2516725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477" name="文本框 4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8BB842">
                          <w:pPr>
                            <w:pStyle w:val="16"/>
                            <w:ind w:firstLine="0" w:firstLineChars="0"/>
                          </w:pPr>
                          <w:r>
                            <w:rPr>
                              <w:rFonts w:hint="eastAsia"/>
                            </w:rPr>
                            <w:t xml:space="preserve">- </w:t>
                          </w:r>
                          <w:r>
                            <w:fldChar w:fldCharType="begin"/>
                          </w:r>
                          <w:r>
                            <w:instrText xml:space="preserve"> PAGE  \* MERGEFORMAT </w:instrText>
                          </w:r>
                          <w:r>
                            <w:fldChar w:fldCharType="separate"/>
                          </w:r>
                          <w:r>
                            <w:t>7</w:t>
                          </w:r>
                          <w:r>
                            <w:fldChar w:fldCharType="end"/>
                          </w:r>
                          <w:r>
                            <w:rPr>
                              <w:rFonts w:hint="eastAsia"/>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doOUaLgIAAFkEAAAOAAAAAAAAAAEAIAAAAB8BAABkcnMvZTJvRG9jLnhtbFBLBQYAAAAA&#10;BgAGAFkBAAC/BQAAAAA=&#10;">
              <v:fill on="f" focussize="0,0"/>
              <v:stroke on="f" weight="0.5pt"/>
              <v:imagedata o:title=""/>
              <o:lock v:ext="edit" aspectratio="f"/>
              <v:textbox inset="0mm,0mm,0mm,0mm" style="mso-fit-shape-to-text:t;">
                <w:txbxContent>
                  <w:p w14:paraId="098BB842">
                    <w:pPr>
                      <w:pStyle w:val="16"/>
                      <w:ind w:firstLine="0" w:firstLineChars="0"/>
                    </w:pPr>
                    <w:r>
                      <w:rPr>
                        <w:rFonts w:hint="eastAsia"/>
                      </w:rPr>
                      <w:t xml:space="preserve">- </w:t>
                    </w:r>
                    <w:r>
                      <w:fldChar w:fldCharType="begin"/>
                    </w:r>
                    <w:r>
                      <w:instrText xml:space="preserve"> PAGE  \* MERGEFORMAT </w:instrText>
                    </w:r>
                    <w:r>
                      <w:fldChar w:fldCharType="separate"/>
                    </w:r>
                    <w:r>
                      <w:t>7</w:t>
                    </w:r>
                    <w:r>
                      <w:fldChar w:fldCharType="end"/>
                    </w:r>
                    <w:r>
                      <w:rPr>
                        <w:rFonts w:hint="eastAsia"/>
                      </w:rPr>
                      <w:t xml:space="preserve"> -</w:t>
                    </w:r>
                  </w:p>
                </w:txbxContent>
              </v:textbox>
            </v:shape>
          </w:pict>
        </mc:Fallback>
      </mc:AlternateContent>
    </w:r>
    <w:r>
      <w:rPr>
        <w:sz w:val="18"/>
      </w:rPr>
      <mc:AlternateContent>
        <mc:Choice Requires="wps">
          <w:drawing>
            <wp:anchor distT="0" distB="0" distL="114300" distR="114300" simplePos="0" relativeHeight="251667456"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478"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4E569248">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67456;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tsh0h1wAAAAkBAAAPAAAAAAAAAAEAIAAAACIAAABkcnMvZG93bnJl&#10;di54bWxQSwECFAAUAAAACACHTuJAYr7T2jcCAABkBAAADgAAAAAAAAABACAAAAAmAQAAZHJzL2Uy&#10;b0RvYy54bWxQSwUGAAAAAAYABgBZAQAAzwUAAAAA&#10;">
              <v:fill on="f" focussize="0,0"/>
              <v:stroke on="f" weight="0.5pt"/>
              <v:imagedata o:title=""/>
              <o:lock v:ext="edit" aspectratio="f"/>
              <v:textbox inset="0mm,0mm,0mm,0mm">
                <w:txbxContent>
                  <w:p w14:paraId="4E569248">
                    <w:pPr>
                      <w:ind w:firstLine="0" w:firstLineChars="0"/>
                    </w:pP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7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DDAB0FE">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QylOqNAIAAGUEAAAOAAAAAAAAAAEAIAAAAB8BAABkcnMvZTJvRG9jLnhtbFBL&#10;BQYAAAAABgAGAFkBAADFBQAAAAA=&#10;">
              <v:fill on="f" focussize="0,0"/>
              <v:stroke on="f" weight="0.5pt"/>
              <v:imagedata o:title=""/>
              <o:lock v:ext="edit" aspectratio="f"/>
              <v:textbox inset="0mm,0mm,0mm,0mm" style="mso-fit-shape-to-text:t;">
                <w:txbxContent>
                  <w:p w14:paraId="5DDAB0FE">
                    <w:pPr>
                      <w:ind w:firstLine="0" w:firstLineChars="0"/>
                    </w:pPr>
                  </w:p>
                </w:txbxContent>
              </v:textbox>
            </v:shape>
          </w:pict>
        </mc:Fallback>
      </mc:AlternateContent>
    </w:r>
    <w:r>
      <w:rPr>
        <w:rFonts w:hint="eastAsia"/>
      </w:rPr>
      <w:tab/>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FEC40A">
    <w:pPr>
      <w:pStyle w:val="16"/>
      <w:ind w:firstLine="0" w:firstLineChars="0"/>
    </w:pPr>
    <w:r>
      <w:rPr>
        <w:sz w:val="18"/>
      </w:rPr>
      <mc:AlternateContent>
        <mc:Choice Requires="wps">
          <w:drawing>
            <wp:anchor distT="0" distB="0" distL="114300" distR="114300" simplePos="0" relativeHeight="2516736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480" name="文本框 4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78F772">
                          <w:pPr>
                            <w:pStyle w:val="16"/>
                            <w:ind w:firstLine="0" w:firstLineChars="0"/>
                          </w:pPr>
                          <w:r>
                            <w:rPr>
                              <w:rFonts w:hint="eastAsia"/>
                            </w:rPr>
                            <w:t xml:space="preserve">- </w:t>
                          </w:r>
                          <w:r>
                            <w:fldChar w:fldCharType="begin"/>
                          </w:r>
                          <w:r>
                            <w:instrText xml:space="preserve"> PAGE  \* MERGEFORMAT </w:instrText>
                          </w:r>
                          <w:r>
                            <w:fldChar w:fldCharType="separate"/>
                          </w:r>
                          <w:r>
                            <w:t>8</w:t>
                          </w:r>
                          <w:r>
                            <w:fldChar w:fldCharType="end"/>
                          </w:r>
                          <w:r>
                            <w:rPr>
                              <w:rFonts w:hint="eastAsia"/>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SFQww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SFQwwtAgAAWQQAAA4AAAAAAAAAAQAgAAAAHwEAAGRycy9lMm9Eb2MueG1sUEsFBgAAAAAG&#10;AAYAWQEAAL4FAAAAAA==&#10;">
              <v:fill on="f" focussize="0,0"/>
              <v:stroke on="f" weight="0.5pt"/>
              <v:imagedata o:title=""/>
              <o:lock v:ext="edit" aspectratio="f"/>
              <v:textbox inset="0mm,0mm,0mm,0mm" style="mso-fit-shape-to-text:t;">
                <w:txbxContent>
                  <w:p w14:paraId="3378F772">
                    <w:pPr>
                      <w:pStyle w:val="16"/>
                      <w:ind w:firstLine="0" w:firstLineChars="0"/>
                    </w:pPr>
                    <w:r>
                      <w:rPr>
                        <w:rFonts w:hint="eastAsia"/>
                      </w:rPr>
                      <w:t xml:space="preserve">- </w:t>
                    </w:r>
                    <w:r>
                      <w:fldChar w:fldCharType="begin"/>
                    </w:r>
                    <w:r>
                      <w:instrText xml:space="preserve"> PAGE  \* MERGEFORMAT </w:instrText>
                    </w:r>
                    <w:r>
                      <w:fldChar w:fldCharType="separate"/>
                    </w:r>
                    <w:r>
                      <w:t>8</w:t>
                    </w:r>
                    <w:r>
                      <w:fldChar w:fldCharType="end"/>
                    </w:r>
                    <w:r>
                      <w:rPr>
                        <w:rFonts w:hint="eastAsia"/>
                      </w:rPr>
                      <w:t xml:space="preserve"> -</w:t>
                    </w:r>
                  </w:p>
                </w:txbxContent>
              </v:textbox>
            </v:shape>
          </w:pict>
        </mc:Fallback>
      </mc:AlternateContent>
    </w:r>
    <w:r>
      <w:rPr>
        <w:sz w:val="1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481" name="文本框 4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133245">
                          <w:pPr>
                            <w:pStyle w:val="16"/>
                            <w:ind w:firstLine="0" w:firstLineChars="0"/>
                            <w:rPr>
                              <w:rFonts w:eastAsia="仿宋"/>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ab1EtAgAAWQ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rab1EtAgAAWQQAAA4AAAAAAAAAAQAgAAAAHwEAAGRycy9lMm9Eb2MueG1sUEsFBgAAAAAG&#10;AAYAWQEAAL4FAAAAAA==&#10;">
              <v:fill on="f" focussize="0,0"/>
              <v:stroke on="f" weight="0.5pt"/>
              <v:imagedata o:title=""/>
              <o:lock v:ext="edit" aspectratio="f"/>
              <v:textbox inset="0mm,0mm,0mm,0mm" style="mso-fit-shape-to-text:t;">
                <w:txbxContent>
                  <w:p w14:paraId="09133245">
                    <w:pPr>
                      <w:pStyle w:val="16"/>
                      <w:ind w:firstLine="0" w:firstLineChars="0"/>
                      <w:rPr>
                        <w:rFonts w:eastAsia="仿宋"/>
                        <w:szCs w:val="28"/>
                      </w:rPr>
                    </w:pP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A121E">
    <w:pPr>
      <w:pStyle w:val="16"/>
      <w:tabs>
        <w:tab w:val="right" w:pos="8845"/>
        <w:tab w:val="clear" w:pos="4153"/>
      </w:tabs>
      <w:ind w:firstLine="0" w:firstLineChars="0"/>
    </w:pPr>
    <w:r>
      <mc:AlternateContent>
        <mc:Choice Requires="wps">
          <w:drawing>
            <wp:anchor distT="0" distB="0" distL="114300" distR="114300" simplePos="0" relativeHeight="2516746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DBBD0E">
                          <w:pPr>
                            <w:pStyle w:val="16"/>
                            <w:ind w:firstLine="0" w:firstLineChars="0"/>
                            <w:rPr>
                              <w:sz w:val="24"/>
                              <w:szCs w:val="24"/>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III</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L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LgtAgAAVwQAAA4AAAAAAAAAAQAgAAAAHwEAAGRycy9lMm9Eb2MueG1sUEsFBgAAAAAG&#10;AAYAWQEAAL4FAAAAAA==&#10;">
              <v:fill on="f" focussize="0,0"/>
              <v:stroke on="f" weight="0.5pt"/>
              <v:imagedata o:title=""/>
              <o:lock v:ext="edit" aspectratio="f"/>
              <v:textbox inset="0mm,0mm,0mm,0mm" style="mso-fit-shape-to-text:t;">
                <w:txbxContent>
                  <w:p w14:paraId="54DBBD0E">
                    <w:pPr>
                      <w:pStyle w:val="16"/>
                      <w:ind w:firstLine="0" w:firstLineChars="0"/>
                      <w:rPr>
                        <w:sz w:val="24"/>
                        <w:szCs w:val="24"/>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III</w:t>
                    </w:r>
                    <w:r>
                      <w:rPr>
                        <w:sz w:val="28"/>
                        <w:szCs w:val="28"/>
                      </w:rPr>
                      <w:fldChar w:fldCharType="end"/>
                    </w: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margin">
                <wp:posOffset>5495925</wp:posOffset>
              </wp:positionH>
              <wp:positionV relativeFrom="paragraph">
                <wp:posOffset>-38100</wp:posOffset>
              </wp:positionV>
              <wp:extent cx="1828800" cy="1828800"/>
              <wp:effectExtent l="0" t="0" r="0" b="0"/>
              <wp:wrapNone/>
              <wp:docPr id="97" name="文本框 10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45564F0">
                          <w:pPr>
                            <w:pStyle w:val="16"/>
                            <w:ind w:firstLine="0" w:firstLineChars="0"/>
                          </w:pPr>
                        </w:p>
                      </w:txbxContent>
                    </wps:txbx>
                    <wps:bodyPr vert="horz" wrap="none" lIns="0" tIns="0" rIns="0" bIns="0" anchor="t" anchorCtr="0">
                      <a:spAutoFit/>
                    </wps:bodyPr>
                  </wps:wsp>
                </a:graphicData>
              </a:graphic>
            </wp:anchor>
          </w:drawing>
        </mc:Choice>
        <mc:Fallback>
          <w:pict>
            <v:shape id="文本框 1079" o:spid="_x0000_s1026" o:spt="202" type="#_x0000_t202" style="position:absolute;left:0pt;margin-left:432.75pt;margin-top:-3pt;height:144pt;width:144pt;mso-position-horizontal-relative:margin;mso-wrap-style:none;z-index:251673600;mso-width-relative:page;mso-height-relative:page;" filled="f" stroked="f" coordsize="21600,21600" o:gfxdata="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NT1cftcAAAALAQAADwAAAAAA&#10;AAABACAAAAAiAAAAZHJzL2Rvd25yZXYueG1sUEsBAhQAFAAAAAgAh07iQGzgCfXbAQAAtgMAAA4A&#10;AAAAAAAAAQAgAAAAJgEAAGRycy9lMm9Eb2MueG1sUEsFBgAAAAAGAAYAWQEAAHMFAAAAAA==&#10;">
              <v:fill on="f" focussize="0,0"/>
              <v:stroke on="f"/>
              <v:imagedata o:title=""/>
              <o:lock v:ext="edit" aspectratio="f"/>
              <v:textbox inset="0mm,0mm,0mm,0mm" style="mso-fit-shape-to-text:t;">
                <w:txbxContent>
                  <w:p w14:paraId="745564F0">
                    <w:pPr>
                      <w:pStyle w:val="16"/>
                      <w:ind w:firstLine="0" w:firstLineChars="0"/>
                    </w:pP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98"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1040BBFC">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72576;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2yHSHXAAAACQEAAA8AAAAAAAAAAQAgAAAAIgAAAGRycy9kb3ducmV2&#10;LnhtbFBLAQIUABQAAAAIAIdO4kAgI+XJNgIAAGMEAAAOAAAAAAAAAAEAIAAAACYBAABkcnMvZTJv&#10;RG9jLnhtbFBLBQYAAAAABgAGAFkBAADOBQAAAAA=&#10;">
              <v:fill on="f" focussize="0,0"/>
              <v:stroke on="f" weight="0.5pt"/>
              <v:imagedata o:title=""/>
              <o:lock v:ext="edit" aspectratio="f"/>
              <v:textbox inset="0mm,0mm,0mm,0mm">
                <w:txbxContent>
                  <w:p w14:paraId="1040BBFC">
                    <w:pPr>
                      <w:ind w:firstLine="0" w:firstLineChars="0"/>
                    </w:pP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5C74033">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fgJVAxAgAAZA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4CVQMQIAAGQEAAAOAAAAAAAAAAEAIAAAAB8BAABkcnMvZTJvRG9jLnhtbFBLBQYA&#10;AAAABgAGAFkBAADCBQAAAAA=&#10;">
              <v:fill on="f" focussize="0,0"/>
              <v:stroke on="f" weight="0.5pt"/>
              <v:imagedata o:title=""/>
              <o:lock v:ext="edit" aspectratio="f"/>
              <v:textbox inset="0mm,0mm,0mm,0mm" style="mso-fit-shape-to-text:t;">
                <w:txbxContent>
                  <w:p w14:paraId="45C74033">
                    <w:pPr>
                      <w:ind w:firstLine="0" w:firstLineChars="0"/>
                    </w:pPr>
                  </w:p>
                </w:txbxContent>
              </v:textbox>
            </v:shape>
          </w:pict>
        </mc:Fallback>
      </mc:AlternateContent>
    </w:r>
    <w:r>
      <w:rPr>
        <w:rFonts w:hint="eastAsia"/>
      </w:rPr>
      <w:tab/>
    </w:r>
    <w:r>
      <w:rPr>
        <w:rFonts w:hint="eastAsia"/>
        <w:sz w:val="28"/>
        <w:szCs w:val="28"/>
      </w:rPr>
      <w:tab/>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04426">
    <w:pPr>
      <w:pStyle w:val="16"/>
      <w:tabs>
        <w:tab w:val="right" w:pos="8845"/>
        <w:tab w:val="clear" w:pos="4153"/>
      </w:tabs>
      <w:ind w:firstLine="0" w:firstLineChars="0"/>
    </w:pPr>
    <w:r>
      <w:rPr>
        <w:sz w:val="18"/>
      </w:rPr>
      <mc:AlternateContent>
        <mc:Choice Requires="wps">
          <w:drawing>
            <wp:anchor distT="0" distB="0" distL="114300" distR="114300" simplePos="0" relativeHeight="2516746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85" name="文本框 4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1754AD">
                          <w:pPr>
                            <w:pStyle w:val="16"/>
                            <w:ind w:firstLine="0" w:firstLineChars="0"/>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Ojr/4uAgAAWQ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Djo6/+LgIAAFkEAAAOAAAAAAAAAAEAIAAAAB8BAABkcnMvZTJvRG9jLnhtbFBLBQYAAAAA&#10;BgAGAFkBAAC/BQAAAAA=&#10;">
              <v:fill on="f" focussize="0,0"/>
              <v:stroke on="f" weight="0.5pt"/>
              <v:imagedata o:title=""/>
              <o:lock v:ext="edit" aspectratio="f"/>
              <v:textbox inset="0mm,0mm,0mm,0mm" style="mso-fit-shape-to-text:t;">
                <w:txbxContent>
                  <w:p w14:paraId="631754AD">
                    <w:pPr>
                      <w:pStyle w:val="16"/>
                      <w:ind w:firstLine="0" w:firstLineChars="0"/>
                    </w:pPr>
                    <w:r>
                      <w:fldChar w:fldCharType="begin"/>
                    </w:r>
                    <w:r>
                      <w:instrText xml:space="preserve"> PAGE  \* MERGEFORMAT </w:instrText>
                    </w:r>
                    <w:r>
                      <w:fldChar w:fldCharType="separate"/>
                    </w:r>
                    <w:r>
                      <w:t>I</w:t>
                    </w:r>
                    <w:r>
                      <w:fldChar w:fldCharType="end"/>
                    </w:r>
                  </w:p>
                </w:txbxContent>
              </v:textbox>
            </v:shape>
          </w:pict>
        </mc:Fallback>
      </mc:AlternateContent>
    </w:r>
    <w:r>
      <w:rPr>
        <w:sz w:val="18"/>
      </w:rPr>
      <mc:AlternateContent>
        <mc:Choice Requires="wps">
          <w:drawing>
            <wp:anchor distT="0" distB="0" distL="114300" distR="114300" simplePos="0" relativeHeight="251670528"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486"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7130F527">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70528;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tsh0h1wAAAAkBAAAPAAAAAAAAAAEAIAAAACIAAABkcnMvZG93bnJl&#10;di54bWxQSwECFAAUAAAACACHTuJAmYZiQzcCAABkBAAADgAAAAAAAAABACAAAAAmAQAAZHJzL2Uy&#10;b0RvYy54bWxQSwUGAAAAAAYABgBZAQAAzwUAAAAA&#10;">
              <v:fill on="f" focussize="0,0"/>
              <v:stroke on="f" weight="0.5pt"/>
              <v:imagedata o:title=""/>
              <o:lock v:ext="edit" aspectratio="f"/>
              <v:textbox inset="0mm,0mm,0mm,0mm">
                <w:txbxContent>
                  <w:p w14:paraId="7130F527">
                    <w:pPr>
                      <w:ind w:firstLine="0" w:firstLineChars="0"/>
                    </w:pPr>
                  </w:p>
                </w:txbxContent>
              </v:textbox>
            </v:shape>
          </w:pict>
        </mc:Fallback>
      </mc:AlternateContent>
    </w:r>
    <w:r>
      <w:rPr>
        <w:sz w:val="18"/>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8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8C05F2C">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8UKWANAIAAGUEAAAOAAAAAAAAAAEAIAAAAB8BAABkcnMvZTJvRG9jLnhtbFBL&#10;BQYAAAAABgAGAFkBAADFBQAAAAA=&#10;">
              <v:fill on="f" focussize="0,0"/>
              <v:stroke on="f" weight="0.5pt"/>
              <v:imagedata o:title=""/>
              <o:lock v:ext="edit" aspectratio="f"/>
              <v:textbox inset="0mm,0mm,0mm,0mm" style="mso-fit-shape-to-text:t;">
                <w:txbxContent>
                  <w:p w14:paraId="58C05F2C">
                    <w:pPr>
                      <w:ind w:firstLine="0" w:firstLineChars="0"/>
                    </w:pPr>
                  </w:p>
                </w:txbxContent>
              </v:textbox>
            </v:shape>
          </w:pict>
        </mc:Fallback>
      </mc:AlternateContent>
    </w:r>
    <w:r>
      <w:rPr>
        <w:rFonts w:hint="eastAsia"/>
      </w:rPr>
      <w:tab/>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06077">
    <w:pPr>
      <w:pStyle w:val="16"/>
      <w:ind w:firstLine="0" w:firstLineChars="0"/>
    </w:pPr>
    <w:r>
      <w:rPr>
        <w:sz w:val="18"/>
      </w:rPr>
      <mc:AlternateContent>
        <mc:Choice Requires="wps">
          <w:drawing>
            <wp:anchor distT="0" distB="0" distL="114300" distR="114300" simplePos="0" relativeHeight="2516756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88" name="文本框 4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940B60">
                          <w:pPr>
                            <w:pStyle w:val="16"/>
                            <w:ind w:firstLine="0" w:firstLineChars="0"/>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dwsogu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HcLKILgIAAFkEAAAOAAAAAAAAAAEAIAAAAB8BAABkcnMvZTJvRG9jLnhtbFBLBQYAAAAA&#10;BgAGAFkBAAC/BQAAAAA=&#10;">
              <v:fill on="f" focussize="0,0"/>
              <v:stroke on="f" weight="0.5pt"/>
              <v:imagedata o:title=""/>
              <o:lock v:ext="edit" aspectratio="f"/>
              <v:textbox inset="0mm,0mm,0mm,0mm" style="mso-fit-shape-to-text:t;">
                <w:txbxContent>
                  <w:p w14:paraId="08940B60">
                    <w:pPr>
                      <w:pStyle w:val="16"/>
                      <w:ind w:firstLine="0" w:firstLineChars="0"/>
                    </w:pPr>
                    <w:r>
                      <w:fldChar w:fldCharType="begin"/>
                    </w:r>
                    <w:r>
                      <w:instrText xml:space="preserve"> PAGE  \* MERGEFORMAT </w:instrText>
                    </w:r>
                    <w:r>
                      <w:fldChar w:fldCharType="separate"/>
                    </w:r>
                    <w:r>
                      <w:t>II</w:t>
                    </w:r>
                    <w:r>
                      <w:fldChar w:fldCharType="end"/>
                    </w:r>
                  </w:p>
                </w:txbxContent>
              </v:textbox>
            </v:shape>
          </w:pict>
        </mc:Fallback>
      </mc:AlternateContent>
    </w:r>
    <w:r>
      <w:rPr>
        <w:sz w:val="18"/>
      </w:rP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89" name="文本框 4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464248">
                          <w:pPr>
                            <w:pStyle w:val="16"/>
                            <w:ind w:firstLine="0" w:firstLineChars="0"/>
                            <w:rPr>
                              <w:rFonts w:eastAsia="仿宋"/>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vntUuAgAAWQQAAA4AAABkcnMvZTJvRG9jLnhtbK1UzY7TMBC+I/EO&#10;lu80aYFV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CpL57VLgIAAFkEAAAOAAAAAAAAAAEAIAAAAB8BAABkcnMvZTJvRG9jLnhtbFBLBQYAAAAA&#10;BgAGAFkBAAC/BQAAAAA=&#10;">
              <v:fill on="f" focussize="0,0"/>
              <v:stroke on="f" weight="0.5pt"/>
              <v:imagedata o:title=""/>
              <o:lock v:ext="edit" aspectratio="f"/>
              <v:textbox inset="0mm,0mm,0mm,0mm" style="mso-fit-shape-to-text:t;">
                <w:txbxContent>
                  <w:p w14:paraId="51464248">
                    <w:pPr>
                      <w:pStyle w:val="16"/>
                      <w:ind w:firstLine="0" w:firstLineChars="0"/>
                      <w:rPr>
                        <w:rFonts w:eastAsia="仿宋"/>
                        <w:szCs w:val="28"/>
                      </w:rPr>
                    </w:pPr>
                  </w:p>
                </w:txbxContent>
              </v:textbox>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DC022">
    <w:pPr>
      <w:pStyle w:val="16"/>
      <w:tabs>
        <w:tab w:val="right" w:pos="8845"/>
        <w:tab w:val="clear" w:pos="4153"/>
      </w:tabs>
      <w:ind w:firstLine="0" w:firstLineChars="0"/>
    </w:pPr>
    <w:r>
      <w:rPr>
        <w:sz w:val="18"/>
      </w:rPr>
      <mc:AlternateContent>
        <mc:Choice Requires="wps">
          <w:drawing>
            <wp:anchor distT="0" distB="0" distL="114300" distR="114300" simplePos="0" relativeHeight="2516725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493" name="文本框 4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846848">
                          <w:pPr>
                            <w:pStyle w:val="16"/>
                            <w:ind w:firstLine="0" w:firstLineChars="0"/>
                          </w:pPr>
                          <w:r>
                            <w:rPr>
                              <w:rFonts w:hint="eastAsia"/>
                            </w:rPr>
                            <w:t xml:space="preserve">- </w:t>
                          </w:r>
                          <w:r>
                            <w:fldChar w:fldCharType="begin"/>
                          </w:r>
                          <w:r>
                            <w:instrText xml:space="preserve"> PAGE  \* MERGEFORMAT </w:instrText>
                          </w:r>
                          <w:r>
                            <w:fldChar w:fldCharType="separate"/>
                          </w:r>
                          <w:r>
                            <w:t>11</w:t>
                          </w:r>
                          <w:r>
                            <w:fldChar w:fldCharType="end"/>
                          </w:r>
                          <w:r>
                            <w:rPr>
                              <w:rFonts w:hint="eastAsia"/>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aG2KwuAgAAWQQAAA4AAABkcnMvZTJvRG9jLnhtbK1UzY7TMBC+I/EO&#10;lu80aRdWpW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DmhtisLgIAAFkEAAAOAAAAAAAAAAEAIAAAAB8BAABkcnMvZTJvRG9jLnhtbFBLBQYAAAAA&#10;BgAGAFkBAAC/BQAAAAA=&#10;">
              <v:fill on="f" focussize="0,0"/>
              <v:stroke on="f" weight="0.5pt"/>
              <v:imagedata o:title=""/>
              <o:lock v:ext="edit" aspectratio="f"/>
              <v:textbox inset="0mm,0mm,0mm,0mm" style="mso-fit-shape-to-text:t;">
                <w:txbxContent>
                  <w:p w14:paraId="29846848">
                    <w:pPr>
                      <w:pStyle w:val="16"/>
                      <w:ind w:firstLine="0" w:firstLineChars="0"/>
                    </w:pPr>
                    <w:r>
                      <w:rPr>
                        <w:rFonts w:hint="eastAsia"/>
                      </w:rPr>
                      <w:t xml:space="preserve">- </w:t>
                    </w:r>
                    <w:r>
                      <w:fldChar w:fldCharType="begin"/>
                    </w:r>
                    <w:r>
                      <w:instrText xml:space="preserve"> PAGE  \* MERGEFORMAT </w:instrText>
                    </w:r>
                    <w:r>
                      <w:fldChar w:fldCharType="separate"/>
                    </w:r>
                    <w:r>
                      <w:t>11</w:t>
                    </w:r>
                    <w:r>
                      <w:fldChar w:fldCharType="end"/>
                    </w:r>
                    <w:r>
                      <w:rPr>
                        <w:rFonts w:hint="eastAsia"/>
                      </w:rPr>
                      <w:t xml:space="preserve"> -</w:t>
                    </w:r>
                  </w:p>
                </w:txbxContent>
              </v:textbox>
            </v:shape>
          </w:pict>
        </mc:Fallback>
      </mc:AlternateContent>
    </w:r>
    <w:r>
      <w:rPr>
        <w:sz w:val="18"/>
      </w:rPr>
      <mc:AlternateContent>
        <mc:Choice Requires="wps">
          <w:drawing>
            <wp:anchor distT="0" distB="0" distL="114300" distR="114300" simplePos="0" relativeHeight="251667456"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494"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62EB5410">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67456;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LbIdIdcAAAAJAQAADwAAAAAAAAABACAAAAAiAAAAZHJzL2Rvd25y&#10;ZXYueG1sUEsBAhQAFAAAAAgAh07iQEGSlW84AgAAZAQAAA4AAAAAAAAAAQAgAAAAJgEAAGRycy9l&#10;Mm9Eb2MueG1sUEsFBgAAAAAGAAYAWQEAANAFAAAAAA==&#10;">
              <v:fill on="f" focussize="0,0"/>
              <v:stroke on="f" weight="0.5pt"/>
              <v:imagedata o:title=""/>
              <o:lock v:ext="edit" aspectratio="f"/>
              <v:textbox inset="0mm,0mm,0mm,0mm">
                <w:txbxContent>
                  <w:p w14:paraId="62EB5410">
                    <w:pPr>
                      <w:ind w:firstLine="0" w:firstLineChars="0"/>
                    </w:pP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9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03F72F1">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O/YEINAIAAGUEAAAOAAAAAAAAAAEAIAAAAB8BAABkcnMvZTJvRG9jLnhtbFBL&#10;BQYAAAAABgAGAFkBAADFBQAAAAA=&#10;">
              <v:fill on="f" focussize="0,0"/>
              <v:stroke on="f" weight="0.5pt"/>
              <v:imagedata o:title=""/>
              <o:lock v:ext="edit" aspectratio="f"/>
              <v:textbox inset="0mm,0mm,0mm,0mm" style="mso-fit-shape-to-text:t;">
                <w:txbxContent>
                  <w:p w14:paraId="703F72F1">
                    <w:pPr>
                      <w:ind w:firstLine="0" w:firstLineChars="0"/>
                    </w:pPr>
                  </w:p>
                </w:txbxContent>
              </v:textbox>
            </v:shape>
          </w:pict>
        </mc:Fallback>
      </mc:AlternateContent>
    </w:r>
    <w:r>
      <w:rPr>
        <w:rFonts w:hint="eastAsia"/>
      </w:rPr>
      <w:tab/>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CB1CF8">
    <w:pPr>
      <w:pStyle w:val="16"/>
      <w:ind w:firstLine="0" w:firstLineChars="0"/>
    </w:pPr>
    <w:r>
      <w:rPr>
        <w:sz w:val="18"/>
      </w:rPr>
      <mc:AlternateContent>
        <mc:Choice Requires="wps">
          <w:drawing>
            <wp:anchor distT="0" distB="0" distL="114300" distR="114300" simplePos="0" relativeHeight="2516736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496" name="文本框 4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0B1D23">
                          <w:pPr>
                            <w:pStyle w:val="16"/>
                            <w:ind w:firstLine="0" w:firstLineChars="0"/>
                          </w:pPr>
                          <w:r>
                            <w:rPr>
                              <w:rFonts w:hint="eastAsia"/>
                            </w:rPr>
                            <w:t xml:space="preserve">- </w:t>
                          </w:r>
                          <w:r>
                            <w:fldChar w:fldCharType="begin"/>
                          </w:r>
                          <w:r>
                            <w:instrText xml:space="preserve"> PAGE  \* MERGEFORMAT </w:instrText>
                          </w:r>
                          <w:r>
                            <w:fldChar w:fldCharType="separate"/>
                          </w:r>
                          <w:r>
                            <w:t>10</w:t>
                          </w:r>
                          <w:r>
                            <w:fldChar w:fldCharType="end"/>
                          </w:r>
                          <w:r>
                            <w:rPr>
                              <w:rFonts w:hint="eastAsia"/>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DxoDReLgIAAFkEAAAOAAAAAAAAAAEAIAAAAB8BAABkcnMvZTJvRG9jLnhtbFBLBQYAAAAA&#10;BgAGAFkBAAC/BQAAAAA=&#10;">
              <v:fill on="f" focussize="0,0"/>
              <v:stroke on="f" weight="0.5pt"/>
              <v:imagedata o:title=""/>
              <o:lock v:ext="edit" aspectratio="f"/>
              <v:textbox inset="0mm,0mm,0mm,0mm" style="mso-fit-shape-to-text:t;">
                <w:txbxContent>
                  <w:p w14:paraId="360B1D23">
                    <w:pPr>
                      <w:pStyle w:val="16"/>
                      <w:ind w:firstLine="0" w:firstLineChars="0"/>
                    </w:pPr>
                    <w:r>
                      <w:rPr>
                        <w:rFonts w:hint="eastAsia"/>
                      </w:rPr>
                      <w:t xml:space="preserve">- </w:t>
                    </w:r>
                    <w:r>
                      <w:fldChar w:fldCharType="begin"/>
                    </w:r>
                    <w:r>
                      <w:instrText xml:space="preserve"> PAGE  \* MERGEFORMAT </w:instrText>
                    </w:r>
                    <w:r>
                      <w:fldChar w:fldCharType="separate"/>
                    </w:r>
                    <w:r>
                      <w:t>10</w:t>
                    </w:r>
                    <w:r>
                      <w:fldChar w:fldCharType="end"/>
                    </w:r>
                    <w:r>
                      <w:rPr>
                        <w:rFonts w:hint="eastAsia"/>
                      </w:rPr>
                      <w:t xml:space="preserve"> -</w:t>
                    </w:r>
                  </w:p>
                </w:txbxContent>
              </v:textbox>
            </v:shape>
          </w:pict>
        </mc:Fallback>
      </mc:AlternateContent>
    </w:r>
    <w:r>
      <w:rPr>
        <w:sz w:val="1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497" name="文本框 4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29FED2">
                          <w:pPr>
                            <w:pStyle w:val="16"/>
                            <w:ind w:firstLine="0" w:firstLineChars="0"/>
                            <w:rPr>
                              <w:rFonts w:eastAsia="仿宋"/>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f/xgDLgIAAFkEAAAOAAAAAAAAAAEAIAAAAB8BAABkcnMvZTJvRG9jLnhtbFBLBQYAAAAA&#10;BgAGAFkBAAC/BQAAAAA=&#10;">
              <v:fill on="f" focussize="0,0"/>
              <v:stroke on="f" weight="0.5pt"/>
              <v:imagedata o:title=""/>
              <o:lock v:ext="edit" aspectratio="f"/>
              <v:textbox inset="0mm,0mm,0mm,0mm" style="mso-fit-shape-to-text:t;">
                <w:txbxContent>
                  <w:p w14:paraId="5329FED2">
                    <w:pPr>
                      <w:pStyle w:val="16"/>
                      <w:ind w:firstLine="0" w:firstLineChars="0"/>
                      <w:rPr>
                        <w:rFonts w:eastAsia="仿宋"/>
                        <w:szCs w:val="28"/>
                      </w:rPr>
                    </w:pPr>
                  </w:p>
                </w:txbxContent>
              </v:textbox>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4A1F1">
    <w:pPr>
      <w:pStyle w:val="16"/>
      <w:tabs>
        <w:tab w:val="right" w:pos="8845"/>
        <w:tab w:val="clear" w:pos="4153"/>
      </w:tabs>
      <w:ind w:firstLine="0" w:firstLineChars="0"/>
    </w:pPr>
    <w:r>
      <mc:AlternateContent>
        <mc:Choice Requires="wps">
          <w:drawing>
            <wp:anchor distT="0" distB="0" distL="114300" distR="114300" simplePos="0" relativeHeight="251664384"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498"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5BD6117B">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64384;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tsh0h1wAAAAkBAAAPAAAAAAAAAAEAIAAAACIAAABkcnMvZG93bnJl&#10;di54bWxQSwECFAAUAAAACACHTuJAxJccyzcCAABkBAAADgAAAAAAAAABACAAAAAmAQAAZHJzL2Uy&#10;b0RvYy54bWxQSwUGAAAAAAYABgBZAQAAzwUAAAAA&#10;">
              <v:fill on="f" focussize="0,0"/>
              <v:stroke on="f" weight="0.5pt"/>
              <v:imagedata o:title=""/>
              <o:lock v:ext="edit" aspectratio="f"/>
              <v:textbox inset="0mm,0mm,0mm,0mm">
                <w:txbxContent>
                  <w:p w14:paraId="5BD6117B">
                    <w:pPr>
                      <w:ind w:firstLine="0" w:firstLineChars="0"/>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49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B32A6A8">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kA/eVNAIAAGUEAAAOAAAAAAAAAAEAIAAAAB8BAABkcnMvZTJvRG9jLnhtbFBL&#10;BQYAAAAABgAGAFkBAADFBQAAAAA=&#10;">
              <v:fill on="f" focussize="0,0"/>
              <v:stroke on="f" weight="0.5pt"/>
              <v:imagedata o:title=""/>
              <o:lock v:ext="edit" aspectratio="f"/>
              <v:textbox inset="0mm,0mm,0mm,0mm" style="mso-fit-shape-to-text:t;">
                <w:txbxContent>
                  <w:p w14:paraId="5B32A6A8">
                    <w:pPr>
                      <w:ind w:firstLine="0" w:firstLineChars="0"/>
                    </w:pPr>
                  </w:p>
                </w:txbxContent>
              </v:textbox>
            </v:shape>
          </w:pict>
        </mc:Fallback>
      </mc:AlternateContent>
    </w:r>
    <w:r>
      <w:rPr>
        <w:rFonts w:hint="eastAsia"/>
      </w:rPr>
      <w:tab/>
    </w:r>
    <w:r>
      <w:rPr>
        <w:rFonts w:hint="eastAsia"/>
      </w:rPr>
      <w:tab/>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EED13">
    <w:pPr>
      <w:pStyle w:val="16"/>
      <w:tabs>
        <w:tab w:val="right" w:pos="8845"/>
        <w:tab w:val="clear" w:pos="4153"/>
      </w:tabs>
      <w:ind w:firstLine="0" w:firstLineChars="0"/>
    </w:pPr>
    <w:r>
      <w:rPr>
        <w:rFonts w:hint="eastAsia"/>
      </w:rPr>
      <w:tab/>
    </w:r>
    <w:r>
      <w:rPr>
        <w:rFonts w:hint="eastAsia"/>
      </w:rPr>
      <w:tab/>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D933D7">
    <w:pPr>
      <w:pStyle w:val="16"/>
      <w:ind w:firstLine="360"/>
    </w:pPr>
    <w: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501" name="文本框 5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2E10CC">
                          <w:pPr>
                            <w:pStyle w:val="16"/>
                            <w:ind w:firstLine="0" w:firstLineChars="0"/>
                          </w:pPr>
                          <w:r>
                            <w:rPr>
                              <w:sz w:val="24"/>
                              <w:szCs w:val="24"/>
                            </w:rPr>
                            <w:fldChar w:fldCharType="begin"/>
                          </w:r>
                          <w:r>
                            <w:rPr>
                              <w:sz w:val="24"/>
                              <w:szCs w:val="24"/>
                            </w:rPr>
                            <w:instrText xml:space="preserve"> PAGE  \* MERGEFORMAT </w:instrText>
                          </w:r>
                          <w:r>
                            <w:rPr>
                              <w:sz w:val="24"/>
                              <w:szCs w:val="24"/>
                            </w:rPr>
                            <w:fldChar w:fldCharType="separate"/>
                          </w:r>
                          <w:r>
                            <w:rPr>
                              <w:sz w:val="24"/>
                              <w:szCs w:val="24"/>
                            </w:rPr>
                            <w:t>II</w:t>
                          </w:r>
                          <w:r>
                            <w:rPr>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IGqjgtAgAAWQQAAA4AAAAAAAAAAQAgAAAAHwEAAGRycy9lMm9Eb2MueG1sUEsFBgAAAAAG&#10;AAYAWQEAAL4FAAAAAA==&#10;">
              <v:fill on="f" focussize="0,0"/>
              <v:stroke on="f" weight="0.5pt"/>
              <v:imagedata o:title=""/>
              <o:lock v:ext="edit" aspectratio="f"/>
              <v:textbox inset="0mm,0mm,0mm,0mm" style="mso-fit-shape-to-text:t;">
                <w:txbxContent>
                  <w:p w14:paraId="0B2E10CC">
                    <w:pPr>
                      <w:pStyle w:val="16"/>
                      <w:ind w:firstLine="0" w:firstLineChars="0"/>
                    </w:pPr>
                    <w:r>
                      <w:rPr>
                        <w:sz w:val="24"/>
                        <w:szCs w:val="24"/>
                      </w:rPr>
                      <w:fldChar w:fldCharType="begin"/>
                    </w:r>
                    <w:r>
                      <w:rPr>
                        <w:sz w:val="24"/>
                        <w:szCs w:val="24"/>
                      </w:rPr>
                      <w:instrText xml:space="preserve"> PAGE  \* MERGEFORMAT </w:instrText>
                    </w:r>
                    <w:r>
                      <w:rPr>
                        <w:sz w:val="24"/>
                        <w:szCs w:val="24"/>
                      </w:rPr>
                      <w:fldChar w:fldCharType="separate"/>
                    </w:r>
                    <w:r>
                      <w:rPr>
                        <w:sz w:val="24"/>
                        <w:szCs w:val="24"/>
                      </w:rPr>
                      <w:t>II</w:t>
                    </w:r>
                    <w:r>
                      <w:rPr>
                        <w:sz w:val="24"/>
                        <w:szCs w:val="24"/>
                      </w:rPr>
                      <w:fldChar w:fldCharType="end"/>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9525</wp:posOffset>
              </wp:positionV>
              <wp:extent cx="1828800" cy="1828800"/>
              <wp:effectExtent l="0" t="0" r="0" b="0"/>
              <wp:wrapNone/>
              <wp:docPr id="502" name="文本框 10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C59846F">
                          <w:pPr>
                            <w:pStyle w:val="16"/>
                            <w:ind w:firstLine="0" w:firstLineChars="0"/>
                            <w:rPr>
                              <w:sz w:val="28"/>
                              <w:szCs w:val="28"/>
                            </w:rPr>
                          </w:pPr>
                        </w:p>
                      </w:txbxContent>
                    </wps:txbx>
                    <wps:bodyPr vert="horz" wrap="none" lIns="0" tIns="0" rIns="0" bIns="0" anchor="t" anchorCtr="0">
                      <a:spAutoFit/>
                    </wps:bodyPr>
                  </wps:wsp>
                </a:graphicData>
              </a:graphic>
            </wp:anchor>
          </w:drawing>
        </mc:Choice>
        <mc:Fallback>
          <w:pict>
            <v:shape id="文本框 1080" o:spid="_x0000_s1026" o:spt="202" type="#_x0000_t202" style="position:absolute;left:0pt;margin-top:0.75pt;height:144pt;width:144pt;mso-position-horizontal:outside;mso-position-horizontal-relative:margin;mso-wrap-style:none;z-index:251670528;mso-width-relative:page;mso-height-relative:page;" filled="f" stroked="f" coordsize="21600,21600" o:gfxdata="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dvRFAtIAAAAGAQAADwAAAAAAAAABACAA&#10;AAAiAAAAZHJzL2Rvd25yZXYueG1sUEsBAhQAFAAAAAgAh07iQGr5ol7aAQAAtwMAAA4AAAAAAAAA&#10;AQAgAAAAIQEAAGRycy9lMm9Eb2MueG1sUEsFBgAAAAAGAAYAWQEAAG0FAAAAAA==&#10;">
              <v:fill on="f" focussize="0,0"/>
              <v:stroke on="f"/>
              <v:imagedata o:title=""/>
              <o:lock v:ext="edit" aspectratio="f"/>
              <v:textbox inset="0mm,0mm,0mm,0mm" style="mso-fit-shape-to-text:t;">
                <w:txbxContent>
                  <w:p w14:paraId="7C59846F">
                    <w:pPr>
                      <w:pStyle w:val="16"/>
                      <w:ind w:firstLine="0" w:firstLineChars="0"/>
                      <w:rPr>
                        <w:sz w:val="28"/>
                        <w:szCs w:val="28"/>
                      </w:rPr>
                    </w:pPr>
                  </w:p>
                </w:txbxContent>
              </v:textbox>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5E9EA">
    <w:pPr>
      <w:pStyle w:val="16"/>
      <w:tabs>
        <w:tab w:val="right" w:pos="8845"/>
        <w:tab w:val="clear" w:pos="4153"/>
      </w:tabs>
      <w:ind w:firstLine="0" w:firstLineChars="0"/>
    </w:pPr>
    <w: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503" name="文本框 10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980A8F2">
                          <w:pPr>
                            <w:pStyle w:val="16"/>
                            <w:ind w:firstLine="0" w:firstLineChars="0"/>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13</w:t>
                          </w:r>
                          <w:r>
                            <w:rPr>
                              <w:sz w:val="24"/>
                              <w:szCs w:val="24"/>
                            </w:rPr>
                            <w:fldChar w:fldCharType="end"/>
                          </w:r>
                          <w:r>
                            <w:rPr>
                              <w:sz w:val="24"/>
                              <w:szCs w:val="24"/>
                            </w:rPr>
                            <w:t xml:space="preserve"> —</w:t>
                          </w:r>
                        </w:p>
                      </w:txbxContent>
                    </wps:txbx>
                    <wps:bodyPr vert="horz" wrap="none" lIns="0" tIns="0" rIns="0" bIns="0" anchor="t" anchorCtr="0">
                      <a:spAutoFit/>
                    </wps:bodyPr>
                  </wps:wsp>
                </a:graphicData>
              </a:graphic>
            </wp:anchor>
          </w:drawing>
        </mc:Choice>
        <mc:Fallback>
          <w:pict>
            <v:shape id="文本框 1077"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qXm5zwAAAAUBAAAPAAAAAAAAAAEAIAAA&#10;ACIAAABkcnMvZG93bnJldi54bWxQSwECFAAUAAAACACHTuJAWy5pitwBAAC3AwAADgAAAAAAAAAB&#10;ACAAAAAeAQAAZHJzL2Uyb0RvYy54bWxQSwUGAAAAAAYABgBZAQAAbAUAAAAA&#10;">
              <v:fill on="f" focussize="0,0"/>
              <v:stroke on="f"/>
              <v:imagedata o:title=""/>
              <o:lock v:ext="edit" aspectratio="f"/>
              <v:textbox inset="0mm,0mm,0mm,0mm" style="mso-fit-shape-to-text:t;">
                <w:txbxContent>
                  <w:p w14:paraId="7980A8F2">
                    <w:pPr>
                      <w:pStyle w:val="16"/>
                      <w:ind w:firstLine="0" w:firstLineChars="0"/>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13</w:t>
                    </w:r>
                    <w:r>
                      <w:rPr>
                        <w:sz w:val="24"/>
                        <w:szCs w:val="24"/>
                      </w:rPr>
                      <w:fldChar w:fldCharType="end"/>
                    </w:r>
                    <w:r>
                      <w:rPr>
                        <w:sz w:val="24"/>
                        <w:szCs w:val="24"/>
                      </w:rPr>
                      <w:t xml:space="preserve"> —</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504"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29461145">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66432;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tsh0h1wAAAAkBAAAPAAAAAAAAAAEAIAAAACIAAABkcnMvZG93bnJl&#10;di54bWxQSwECFAAUAAAACACHTuJAylUgcjcCAABkBAAADgAAAAAAAAABACAAAAAmAQAAZHJzL2Uy&#10;b0RvYy54bWxQSwUGAAAAAAYABgBZAQAAzwUAAAAA&#10;">
              <v:fill on="f" focussize="0,0"/>
              <v:stroke on="f" weight="0.5pt"/>
              <v:imagedata o:title=""/>
              <o:lock v:ext="edit" aspectratio="f"/>
              <v:textbox inset="0mm,0mm,0mm,0mm">
                <w:txbxContent>
                  <w:p w14:paraId="29461145">
                    <w:pPr>
                      <w:ind w:firstLine="0" w:firstLineChars="0"/>
                    </w:pP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50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29D91EF">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hEvZyNAIAAGUEAAAOAAAAAAAAAAEAIAAAAB8BAABkcnMvZTJvRG9jLnhtbFBL&#10;BQYAAAAABgAGAFkBAADFBQAAAAA=&#10;">
              <v:fill on="f" focussize="0,0"/>
              <v:stroke on="f" weight="0.5pt"/>
              <v:imagedata o:title=""/>
              <o:lock v:ext="edit" aspectratio="f"/>
              <v:textbox inset="0mm,0mm,0mm,0mm" style="mso-fit-shape-to-text:t;">
                <w:txbxContent>
                  <w:p w14:paraId="529D91EF">
                    <w:pPr>
                      <w:ind w:firstLine="0" w:firstLineChars="0"/>
                    </w:pPr>
                  </w:p>
                </w:txbxContent>
              </v:textbox>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218E0">
    <w:pPr>
      <w:pStyle w:val="16"/>
      <w:tabs>
        <w:tab w:val="left" w:pos="5016"/>
        <w:tab w:val="clear" w:pos="4153"/>
      </w:tabs>
      <w:ind w:firstLine="0" w:firstLineChars="0"/>
    </w:pPr>
    <w: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06" name="文本框 10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2446E06">
                          <w:pPr>
                            <w:pStyle w:val="16"/>
                            <w:ind w:firstLine="0" w:firstLineChars="0"/>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14</w:t>
                          </w:r>
                          <w:r>
                            <w:rPr>
                              <w:sz w:val="24"/>
                              <w:szCs w:val="24"/>
                            </w:rPr>
                            <w:fldChar w:fldCharType="end"/>
                          </w:r>
                          <w:r>
                            <w:rPr>
                              <w:sz w:val="24"/>
                              <w:szCs w:val="24"/>
                            </w:rPr>
                            <w:t xml:space="preserve"> —</w:t>
                          </w:r>
                        </w:p>
                      </w:txbxContent>
                    </wps:txbx>
                    <wps:bodyPr vert="horz" wrap="none" lIns="0" tIns="0" rIns="0" bIns="0" anchor="t" anchorCtr="0">
                      <a:spAutoFit/>
                    </wps:bodyPr>
                  </wps:wsp>
                </a:graphicData>
              </a:graphic>
            </wp:anchor>
          </w:drawing>
        </mc:Choice>
        <mc:Fallback>
          <w:pict>
            <v:shape id="文本框 1078"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6pebnPAAAABQEAAA8AAAAAAAAAAQAgAAAA&#10;IgAAAGRycy9kb3ducmV2LnhtbFBLAQIUABQAAAAIAIdO4kBq/r8z2wEAALcDAAAOAAAAAAAAAAEA&#10;IAAAAB4BAABkcnMvZTJvRG9jLnhtbFBLBQYAAAAABgAGAFkBAABrBQAAAAA=&#10;">
              <v:fill on="f" focussize="0,0"/>
              <v:stroke on="f"/>
              <v:imagedata o:title=""/>
              <o:lock v:ext="edit" aspectratio="f"/>
              <v:textbox inset="0mm,0mm,0mm,0mm" style="mso-fit-shape-to-text:t;">
                <w:txbxContent>
                  <w:p w14:paraId="22446E06">
                    <w:pPr>
                      <w:pStyle w:val="16"/>
                      <w:ind w:firstLine="0" w:firstLineChars="0"/>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14</w:t>
                    </w:r>
                    <w:r>
                      <w:rPr>
                        <w:sz w:val="24"/>
                        <w:szCs w:val="24"/>
                      </w:rPr>
                      <w:fldChar w:fldCharType="end"/>
                    </w:r>
                    <w:r>
                      <w:rPr>
                        <w:sz w:val="24"/>
                        <w:szCs w:val="24"/>
                      </w:rPr>
                      <w:t xml:space="preserve"> —</w:t>
                    </w:r>
                  </w:p>
                </w:txbxContent>
              </v:textbox>
            </v:shape>
          </w:pict>
        </mc:Fallback>
      </mc:AlternateContent>
    </w:r>
    <w:r>
      <w:rPr>
        <w:rFonts w:hint="eastAsia"/>
      </w:rPr>
      <w:tab/>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24D6BE">
    <w:pPr>
      <w:pStyle w:val="16"/>
      <w:tabs>
        <w:tab w:val="right" w:pos="8845"/>
        <w:tab w:val="clear" w:pos="4153"/>
      </w:tabs>
      <w:ind w:firstLine="0" w:firstLineChars="0"/>
    </w:pPr>
    <w:r>
      <mc:AlternateContent>
        <mc:Choice Requires="wps">
          <w:drawing>
            <wp:anchor distT="0" distB="0" distL="114300" distR="114300" simplePos="0" relativeHeight="251664384"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507"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37882266">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64384;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tsh0h1wAAAAkBAAAPAAAAAAAAAAEAIAAAACIAAABkcnMvZG93bnJl&#10;di54bWxQSwECFAAUAAAACACHTuJAO1XeLTcCAABkBAAADgAAAAAAAAABACAAAAAmAQAAZHJzL2Uy&#10;b0RvYy54bWxQSwUGAAAAAAYABgBZAQAAzwUAAAAA&#10;">
              <v:fill on="f" focussize="0,0"/>
              <v:stroke on="f" weight="0.5pt"/>
              <v:imagedata o:title=""/>
              <o:lock v:ext="edit" aspectratio="f"/>
              <v:textbox inset="0mm,0mm,0mm,0mm">
                <w:txbxContent>
                  <w:p w14:paraId="37882266">
                    <w:pPr>
                      <w:ind w:firstLine="0" w:firstLineChars="0"/>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0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579C8A3">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0H3KkzAgAAZQQAAA4AAAAAAAAAAQAgAAAAHwEAAGRycy9lMm9Eb2MueG1sUEsF&#10;BgAAAAAGAAYAWQEAAMQFAAAAAA==&#10;">
              <v:fill on="f" focussize="0,0"/>
              <v:stroke on="f" weight="0.5pt"/>
              <v:imagedata o:title=""/>
              <o:lock v:ext="edit" aspectratio="f"/>
              <v:textbox inset="0mm,0mm,0mm,0mm" style="mso-fit-shape-to-text:t;">
                <w:txbxContent>
                  <w:p w14:paraId="6579C8A3">
                    <w:pPr>
                      <w:ind w:firstLine="0" w:firstLineChars="0"/>
                    </w:pPr>
                  </w:p>
                </w:txbxContent>
              </v:textbox>
            </v:shape>
          </w:pict>
        </mc:Fallback>
      </mc:AlternateContent>
    </w:r>
    <w:r>
      <w:rPr>
        <w:rFonts w:hint="eastAsia"/>
      </w:rPr>
      <w:tab/>
    </w:r>
    <w:r>
      <w:rPr>
        <w:rFonts w:hint="eastAsia"/>
      </w:rP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C4E26">
    <w:pPr>
      <w:pStyle w:val="16"/>
      <w:ind w:firstLine="360"/>
    </w:pPr>
    <w:r>
      <mc:AlternateContent>
        <mc:Choice Requires="wps">
          <w:drawing>
            <wp:anchor distT="0" distB="0" distL="114300" distR="114300" simplePos="0" relativeHeight="2516766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1645A2">
                          <w:pPr>
                            <w:pStyle w:val="16"/>
                            <w:ind w:firstLine="0" w:firstLineChars="0"/>
                          </w:pPr>
                          <w:r>
                            <w:rPr>
                              <w:sz w:val="28"/>
                              <w:szCs w:val="28"/>
                            </w:rPr>
                            <w:fldChar w:fldCharType="begin"/>
                          </w:r>
                          <w:r>
                            <w:rPr>
                              <w:sz w:val="28"/>
                              <w:szCs w:val="28"/>
                            </w:rPr>
                            <w:instrText xml:space="preserve"> PAGE  \* MERGEFORMAT </w:instrText>
                          </w:r>
                          <w:r>
                            <w:rPr>
                              <w:sz w:val="28"/>
                              <w:szCs w:val="28"/>
                            </w:rPr>
                            <w:fldChar w:fldCharType="separate"/>
                          </w:r>
                          <w:r>
                            <w:rPr>
                              <w:sz w:val="28"/>
                              <w:szCs w:val="28"/>
                            </w:rPr>
                            <w:t>II</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381645A2">
                    <w:pPr>
                      <w:pStyle w:val="16"/>
                      <w:ind w:firstLine="0" w:firstLineChars="0"/>
                    </w:pPr>
                    <w:r>
                      <w:rPr>
                        <w:sz w:val="28"/>
                        <w:szCs w:val="28"/>
                      </w:rPr>
                      <w:fldChar w:fldCharType="begin"/>
                    </w:r>
                    <w:r>
                      <w:rPr>
                        <w:sz w:val="28"/>
                        <w:szCs w:val="28"/>
                      </w:rPr>
                      <w:instrText xml:space="preserve"> PAGE  \* MERGEFORMAT </w:instrText>
                    </w:r>
                    <w:r>
                      <w:rPr>
                        <w:sz w:val="28"/>
                        <w:szCs w:val="28"/>
                      </w:rPr>
                      <w:fldChar w:fldCharType="separate"/>
                    </w:r>
                    <w:r>
                      <w:rPr>
                        <w:sz w:val="28"/>
                        <w:szCs w:val="28"/>
                      </w:rPr>
                      <w:t>II</w:t>
                    </w:r>
                    <w:r>
                      <w:rPr>
                        <w:sz w:val="28"/>
                        <w:szCs w:val="28"/>
                      </w:rPr>
                      <w:fldChar w:fldCharType="end"/>
                    </w: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margin">
                <wp:align>outside</wp:align>
              </wp:positionH>
              <wp:positionV relativeFrom="paragraph">
                <wp:posOffset>9525</wp:posOffset>
              </wp:positionV>
              <wp:extent cx="1828800" cy="1828800"/>
              <wp:effectExtent l="0" t="0" r="0" b="0"/>
              <wp:wrapNone/>
              <wp:docPr id="99" name="文本框 10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8DACBC6">
                          <w:pPr>
                            <w:pStyle w:val="16"/>
                            <w:ind w:firstLine="0" w:firstLineChars="0"/>
                            <w:rPr>
                              <w:sz w:val="28"/>
                              <w:szCs w:val="28"/>
                            </w:rPr>
                          </w:pPr>
                        </w:p>
                      </w:txbxContent>
                    </wps:txbx>
                    <wps:bodyPr vert="horz" wrap="none" lIns="0" tIns="0" rIns="0" bIns="0" anchor="t" anchorCtr="0">
                      <a:spAutoFit/>
                    </wps:bodyPr>
                  </wps:wsp>
                </a:graphicData>
              </a:graphic>
            </wp:anchor>
          </w:drawing>
        </mc:Choice>
        <mc:Fallback>
          <w:pict>
            <v:shape id="文本框 1080" o:spid="_x0000_s1026" o:spt="202" type="#_x0000_t202" style="position:absolute;left:0pt;margin-top:0.75pt;height:144pt;width:144pt;mso-position-horizontal:outside;mso-position-horizontal-relative:margin;mso-wrap-style:none;z-index:251675648;mso-width-relative:page;mso-height-relative:page;" filled="f" stroked="f" coordsize="21600,21600" o:gfxdata="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29EUC0gAAAAYBAAAPAAAAAAAAAAEAIAAA&#10;ACIAAABkcnMvZG93bnJldi54bWxQSwECFAAUAAAACACHTuJALVaSRtkBAAC2AwAADgAAAAAAAAAB&#10;ACAAAAAhAQAAZHJzL2Uyb0RvYy54bWxQSwUGAAAAAAYABgBZAQAAbAUAAAAA&#10;">
              <v:fill on="f" focussize="0,0"/>
              <v:stroke on="f"/>
              <v:imagedata o:title=""/>
              <o:lock v:ext="edit" aspectratio="f"/>
              <v:textbox inset="0mm,0mm,0mm,0mm" style="mso-fit-shape-to-text:t;">
                <w:txbxContent>
                  <w:p w14:paraId="68DACBC6">
                    <w:pPr>
                      <w:pStyle w:val="16"/>
                      <w:ind w:firstLine="0" w:firstLineChars="0"/>
                      <w:rPr>
                        <w:sz w:val="28"/>
                        <w:szCs w:val="28"/>
                      </w:rPr>
                    </w:pPr>
                  </w:p>
                </w:txbxContent>
              </v:textbox>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725AB">
    <w:pPr>
      <w:pStyle w:val="16"/>
      <w:tabs>
        <w:tab w:val="right" w:pos="8845"/>
        <w:tab w:val="clear" w:pos="4153"/>
      </w:tabs>
      <w:ind w:firstLine="0" w:firstLineChars="0"/>
    </w:pPr>
    <w:r>
      <mc:AlternateContent>
        <mc:Choice Requires="wps">
          <w:drawing>
            <wp:anchor distT="0" distB="0" distL="114300" distR="114300" simplePos="0" relativeHeight="2516766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513" name="文本框 5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356C5B">
                          <w:pPr>
                            <w:pStyle w:val="16"/>
                            <w:ind w:firstLine="0" w:firstLineChars="0"/>
                          </w:pPr>
                          <w:r>
                            <w:rPr>
                              <w:sz w:val="24"/>
                              <w:szCs w:val="24"/>
                            </w:rPr>
                            <w:fldChar w:fldCharType="begin"/>
                          </w:r>
                          <w:r>
                            <w:rPr>
                              <w:sz w:val="24"/>
                              <w:szCs w:val="24"/>
                            </w:rPr>
                            <w:instrText xml:space="preserve"> PAGE  \* MERGEFORMAT </w:instrText>
                          </w:r>
                          <w:r>
                            <w:rPr>
                              <w:sz w:val="24"/>
                              <w:szCs w:val="24"/>
                            </w:rPr>
                            <w:fldChar w:fldCharType="separate"/>
                          </w:r>
                          <w:r>
                            <w:rPr>
                              <w:sz w:val="24"/>
                              <w:szCs w:val="24"/>
                            </w:rPr>
                            <w:t>I</w:t>
                          </w:r>
                          <w:r>
                            <w:rPr>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5aHcUuAgAAWQ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OWh3FLgIAAFkEAAAOAAAAAAAAAAEAIAAAAB8BAABkcnMvZTJvRG9jLnhtbFBLBQYAAAAA&#10;BgAGAFkBAAC/BQAAAAA=&#10;">
              <v:fill on="f" focussize="0,0"/>
              <v:stroke on="f" weight="0.5pt"/>
              <v:imagedata o:title=""/>
              <o:lock v:ext="edit" aspectratio="f"/>
              <v:textbox inset="0mm,0mm,0mm,0mm" style="mso-fit-shape-to-text:t;">
                <w:txbxContent>
                  <w:p w14:paraId="45356C5B">
                    <w:pPr>
                      <w:pStyle w:val="16"/>
                      <w:ind w:firstLine="0" w:firstLineChars="0"/>
                    </w:pPr>
                    <w:r>
                      <w:rPr>
                        <w:sz w:val="24"/>
                        <w:szCs w:val="24"/>
                      </w:rPr>
                      <w:fldChar w:fldCharType="begin"/>
                    </w:r>
                    <w:r>
                      <w:rPr>
                        <w:sz w:val="24"/>
                        <w:szCs w:val="24"/>
                      </w:rPr>
                      <w:instrText xml:space="preserve"> PAGE  \* MERGEFORMAT </w:instrText>
                    </w:r>
                    <w:r>
                      <w:rPr>
                        <w:sz w:val="24"/>
                        <w:szCs w:val="24"/>
                      </w:rPr>
                      <w:fldChar w:fldCharType="separate"/>
                    </w:r>
                    <w:r>
                      <w:rPr>
                        <w:sz w:val="24"/>
                        <w:szCs w:val="24"/>
                      </w:rPr>
                      <w:t>I</w:t>
                    </w:r>
                    <w:r>
                      <w:rPr>
                        <w:sz w:val="24"/>
                        <w:szCs w:val="24"/>
                      </w:rPr>
                      <w:fldChar w:fldCharType="end"/>
                    </w: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margin">
                <wp:posOffset>5495925</wp:posOffset>
              </wp:positionH>
              <wp:positionV relativeFrom="paragraph">
                <wp:posOffset>-38100</wp:posOffset>
              </wp:positionV>
              <wp:extent cx="1828800" cy="1828800"/>
              <wp:effectExtent l="0" t="0" r="0" b="0"/>
              <wp:wrapNone/>
              <wp:docPr id="514" name="文本框 10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7E1511">
                          <w:pPr>
                            <w:pStyle w:val="16"/>
                            <w:ind w:firstLine="0" w:firstLineChars="0"/>
                          </w:pPr>
                        </w:p>
                      </w:txbxContent>
                    </wps:txbx>
                    <wps:bodyPr vert="horz" wrap="none" lIns="0" tIns="0" rIns="0" bIns="0" anchor="t" anchorCtr="0">
                      <a:spAutoFit/>
                    </wps:bodyPr>
                  </wps:wsp>
                </a:graphicData>
              </a:graphic>
            </wp:anchor>
          </w:drawing>
        </mc:Choice>
        <mc:Fallback>
          <w:pict>
            <v:shape id="文本框 1079" o:spid="_x0000_s1026" o:spt="202" type="#_x0000_t202" style="position:absolute;left:0pt;margin-left:432.75pt;margin-top:-3pt;height:144pt;width:144pt;mso-position-horizontal-relative:margin;mso-wrap-style:none;z-index:251675648;mso-width-relative:page;mso-height-relative:page;" filled="f" stroked="f" coordsize="21600,21600" o:gfxdata="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DU9XH7XAAAACwEAAA8AAAAA&#10;AAAAAQAgAAAAIgAAAGRycy9kb3ducmV2LnhtbFBLAQIUABQAAAAIAIdO4kBAKj3V3AEAALcDAAAO&#10;AAAAAAAAAAEAIAAAACYBAABkcnMvZTJvRG9jLnhtbFBLBQYAAAAABgAGAFkBAAB0BQAAAAA=&#10;">
              <v:fill on="f" focussize="0,0"/>
              <v:stroke on="f"/>
              <v:imagedata o:title=""/>
              <o:lock v:ext="edit" aspectratio="f"/>
              <v:textbox inset="0mm,0mm,0mm,0mm" style="mso-fit-shape-to-text:t;">
                <w:txbxContent>
                  <w:p w14:paraId="5F7E1511">
                    <w:pPr>
                      <w:pStyle w:val="16"/>
                      <w:ind w:firstLine="0" w:firstLineChars="0"/>
                    </w:pP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515"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79873C98">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74624;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tsh0h1wAAAAkBAAAPAAAAAAAAAAEAIAAAACIAAABkcnMvZG93bnJl&#10;di54bWxQSwECFAAUAAAACACHTuJA40EpATcCAABkBAAADgAAAAAAAAABACAAAAAmAQAAZHJzL2Uy&#10;b0RvYy54bWxQSwUGAAAAAAYABgBZAQAAzwUAAAAA&#10;">
              <v:fill on="f" focussize="0,0"/>
              <v:stroke on="f" weight="0.5pt"/>
              <v:imagedata o:title=""/>
              <o:lock v:ext="edit" aspectratio="f"/>
              <v:textbox inset="0mm,0mm,0mm,0mm">
                <w:txbxContent>
                  <w:p w14:paraId="79873C98">
                    <w:pPr>
                      <w:ind w:firstLine="0" w:firstLineChars="0"/>
                    </w:pP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1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0F5E0A3">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VUjrwzAgAAZQQAAA4AAAAAAAAAAQAgAAAAHwEAAGRycy9lMm9Eb2MueG1sUEsF&#10;BgAAAAAGAAYAWQEAAMQFAAAAAA==&#10;">
              <v:fill on="f" focussize="0,0"/>
              <v:stroke on="f" weight="0.5pt"/>
              <v:imagedata o:title=""/>
              <o:lock v:ext="edit" aspectratio="f"/>
              <v:textbox inset="0mm,0mm,0mm,0mm" style="mso-fit-shape-to-text:t;">
                <w:txbxContent>
                  <w:p w14:paraId="30F5E0A3">
                    <w:pPr>
                      <w:ind w:firstLine="0" w:firstLineChars="0"/>
                    </w:pPr>
                  </w:p>
                </w:txbxContent>
              </v:textbox>
            </v:shape>
          </w:pict>
        </mc:Fallback>
      </mc:AlternateContent>
    </w:r>
    <w:r>
      <w:rPr>
        <w:rFonts w:hint="eastAsia"/>
      </w:rPr>
      <w:tab/>
    </w:r>
    <w:r>
      <w:rPr>
        <w:rFonts w:hint="eastAsia"/>
      </w:rPr>
      <w:tab/>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12D36">
    <w:pPr>
      <w:pStyle w:val="16"/>
      <w:ind w:firstLine="360"/>
    </w:pPr>
    <w:r>
      <mc:AlternateContent>
        <mc:Choice Requires="wps">
          <w:drawing>
            <wp:anchor distT="0" distB="0" distL="114300" distR="114300" simplePos="0" relativeHeight="25167872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17" name="文本框 5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9CD5AF">
                          <w:pPr>
                            <w:pStyle w:val="16"/>
                            <w:ind w:firstLine="0" w:firstLineChars="0"/>
                          </w:pPr>
                          <w:r>
                            <w:rPr>
                              <w:sz w:val="24"/>
                              <w:szCs w:val="24"/>
                            </w:rPr>
                            <w:fldChar w:fldCharType="begin"/>
                          </w:r>
                          <w:r>
                            <w:rPr>
                              <w:sz w:val="24"/>
                              <w:szCs w:val="24"/>
                            </w:rPr>
                            <w:instrText xml:space="preserve"> PAGE  \* MERGEFORMAT </w:instrText>
                          </w:r>
                          <w:r>
                            <w:rPr>
                              <w:sz w:val="24"/>
                              <w:szCs w:val="24"/>
                            </w:rPr>
                            <w:fldChar w:fldCharType="separate"/>
                          </w:r>
                          <w:r>
                            <w:rPr>
                              <w:sz w:val="24"/>
                              <w:szCs w:val="24"/>
                            </w:rPr>
                            <w:t>II</w:t>
                          </w:r>
                          <w:r>
                            <w:rPr>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cj3WouAgAAWQ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D3I91qLgIAAFkEAAAOAAAAAAAAAAEAIAAAAB8BAABkcnMvZTJvRG9jLnhtbFBLBQYAAAAA&#10;BgAGAFkBAAC/BQAAAAA=&#10;">
              <v:fill on="f" focussize="0,0"/>
              <v:stroke on="f" weight="0.5pt"/>
              <v:imagedata o:title=""/>
              <o:lock v:ext="edit" aspectratio="f"/>
              <v:textbox inset="0mm,0mm,0mm,0mm" style="mso-fit-shape-to-text:t;">
                <w:txbxContent>
                  <w:p w14:paraId="169CD5AF">
                    <w:pPr>
                      <w:pStyle w:val="16"/>
                      <w:ind w:firstLine="0" w:firstLineChars="0"/>
                    </w:pPr>
                    <w:r>
                      <w:rPr>
                        <w:sz w:val="24"/>
                        <w:szCs w:val="24"/>
                      </w:rPr>
                      <w:fldChar w:fldCharType="begin"/>
                    </w:r>
                    <w:r>
                      <w:rPr>
                        <w:sz w:val="24"/>
                        <w:szCs w:val="24"/>
                      </w:rPr>
                      <w:instrText xml:space="preserve"> PAGE  \* MERGEFORMAT </w:instrText>
                    </w:r>
                    <w:r>
                      <w:rPr>
                        <w:sz w:val="24"/>
                        <w:szCs w:val="24"/>
                      </w:rPr>
                      <w:fldChar w:fldCharType="separate"/>
                    </w:r>
                    <w:r>
                      <w:rPr>
                        <w:sz w:val="24"/>
                        <w:szCs w:val="24"/>
                      </w:rPr>
                      <w:t>II</w:t>
                    </w:r>
                    <w:r>
                      <w:rPr>
                        <w:sz w:val="24"/>
                        <w:szCs w:val="24"/>
                      </w:rPr>
                      <w:fldChar w:fldCharType="end"/>
                    </w:r>
                  </w:p>
                </w:txbxContent>
              </v:textbox>
            </v:shape>
          </w:pict>
        </mc:Fallback>
      </mc:AlternateContent>
    </w:r>
    <w:r>
      <mc:AlternateContent>
        <mc:Choice Requires="wps">
          <w:drawing>
            <wp:anchor distT="0" distB="0" distL="114300" distR="114300" simplePos="0" relativeHeight="251677696" behindDoc="0" locked="0" layoutInCell="1" allowOverlap="1">
              <wp:simplePos x="0" y="0"/>
              <wp:positionH relativeFrom="margin">
                <wp:align>outside</wp:align>
              </wp:positionH>
              <wp:positionV relativeFrom="paragraph">
                <wp:posOffset>9525</wp:posOffset>
              </wp:positionV>
              <wp:extent cx="1828800" cy="1828800"/>
              <wp:effectExtent l="0" t="0" r="0" b="0"/>
              <wp:wrapNone/>
              <wp:docPr id="518" name="文本框 10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45D3B1B">
                          <w:pPr>
                            <w:pStyle w:val="16"/>
                            <w:ind w:firstLine="0" w:firstLineChars="0"/>
                            <w:rPr>
                              <w:sz w:val="28"/>
                              <w:szCs w:val="28"/>
                            </w:rPr>
                          </w:pPr>
                        </w:p>
                      </w:txbxContent>
                    </wps:txbx>
                    <wps:bodyPr vert="horz" wrap="none" lIns="0" tIns="0" rIns="0" bIns="0" anchor="t" anchorCtr="0">
                      <a:spAutoFit/>
                    </wps:bodyPr>
                  </wps:wsp>
                </a:graphicData>
              </a:graphic>
            </wp:anchor>
          </w:drawing>
        </mc:Choice>
        <mc:Fallback>
          <w:pict>
            <v:shape id="文本框 1080" o:spid="_x0000_s1026" o:spt="202" type="#_x0000_t202" style="position:absolute;left:0pt;margin-top:0.75pt;height:144pt;width:144pt;mso-position-horizontal:outside;mso-position-horizontal-relative:margin;mso-wrap-style:none;z-index:251677696;mso-width-relative:page;mso-height-relative:page;" filled="f" stroked="f" coordsize="21600,21600" o:gfxdata="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dvRFAtIAAAAGAQAADwAAAAAAAAABACAA&#10;AAAiAAAAZHJzL2Rvd25yZXYueG1sUEsBAhQAFAAAAAgAh07iQH7cCT3aAQAAtwMAAA4AAAAAAAAA&#10;AQAgAAAAIQEAAGRycy9lMm9Eb2MueG1sUEsFBgAAAAAGAAYAWQEAAG0FAAAAAA==&#10;">
              <v:fill on="f" focussize="0,0"/>
              <v:stroke on="f"/>
              <v:imagedata o:title=""/>
              <o:lock v:ext="edit" aspectratio="f"/>
              <v:textbox inset="0mm,0mm,0mm,0mm" style="mso-fit-shape-to-text:t;">
                <w:txbxContent>
                  <w:p w14:paraId="445D3B1B">
                    <w:pPr>
                      <w:pStyle w:val="16"/>
                      <w:ind w:firstLine="0" w:firstLineChars="0"/>
                      <w:rPr>
                        <w:sz w:val="28"/>
                        <w:szCs w:val="28"/>
                      </w:rPr>
                    </w:pPr>
                  </w:p>
                </w:txbxContent>
              </v:textbox>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C8C48">
    <w:pPr>
      <w:pStyle w:val="16"/>
      <w:tabs>
        <w:tab w:val="right" w:pos="8845"/>
        <w:tab w:val="clear" w:pos="4153"/>
      </w:tabs>
      <w:ind w:firstLine="0" w:firstLineChars="0"/>
    </w:pPr>
    <w: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19" name="文本框 10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68FC439">
                          <w:pPr>
                            <w:pStyle w:val="16"/>
                            <w:ind w:firstLine="0" w:firstLineChars="0"/>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13</w:t>
                          </w:r>
                          <w:r>
                            <w:rPr>
                              <w:sz w:val="24"/>
                              <w:szCs w:val="24"/>
                            </w:rPr>
                            <w:fldChar w:fldCharType="end"/>
                          </w:r>
                          <w:r>
                            <w:rPr>
                              <w:sz w:val="24"/>
                              <w:szCs w:val="24"/>
                            </w:rPr>
                            <w:t xml:space="preserve"> —</w:t>
                          </w:r>
                        </w:p>
                      </w:txbxContent>
                    </wps:txbx>
                    <wps:bodyPr vert="horz" wrap="none" lIns="0" tIns="0" rIns="0" bIns="0" anchor="t" anchorCtr="0">
                      <a:spAutoFit/>
                    </wps:bodyPr>
                  </wps:wsp>
                </a:graphicData>
              </a:graphic>
            </wp:anchor>
          </w:drawing>
        </mc:Choice>
        <mc:Fallback>
          <w:pict>
            <v:shape id="文本框 1077"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qXm5zwAAAAUBAAAPAAAAAAAAAAEAIAAA&#10;ACIAAABkcnMvZG93bnJldi54bWxQSwECFAAUAAAACACHTuJATwvC6dwBAAC3AwAADgAAAAAAAAAB&#10;ACAAAAAeAQAAZHJzL2Uyb0RvYy54bWxQSwUGAAAAAAYABgBZAQAAbAUAAAAA&#10;">
              <v:fill on="f" focussize="0,0"/>
              <v:stroke on="f"/>
              <v:imagedata o:title=""/>
              <o:lock v:ext="edit" aspectratio="f"/>
              <v:textbox inset="0mm,0mm,0mm,0mm" style="mso-fit-shape-to-text:t;">
                <w:txbxContent>
                  <w:p w14:paraId="168FC439">
                    <w:pPr>
                      <w:pStyle w:val="16"/>
                      <w:ind w:firstLine="0" w:firstLineChars="0"/>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13</w:t>
                    </w:r>
                    <w:r>
                      <w:rPr>
                        <w:sz w:val="24"/>
                        <w:szCs w:val="24"/>
                      </w:rPr>
                      <w:fldChar w:fldCharType="end"/>
                    </w:r>
                    <w:r>
                      <w:rPr>
                        <w:sz w:val="24"/>
                        <w:szCs w:val="24"/>
                      </w:rPr>
                      <w:t xml:space="preserve"> —</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520"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44947584">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66432;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2yHSHXAAAACQEAAA8AAAAAAAAAAQAgAAAAIgAAAGRycy9kb3ducmV2&#10;LnhtbFBLAQIUABQAAAAIAIdO4kB6fM4rNgIAAGQEAAAOAAAAAAAAAAEAIAAAACYBAABkcnMvZTJv&#10;RG9jLnhtbFBLBQYAAAAABgAGAFkBAADOBQAAAAA=&#10;">
              <v:fill on="f" focussize="0,0"/>
              <v:stroke on="f" weight="0.5pt"/>
              <v:imagedata o:title=""/>
              <o:lock v:ext="edit" aspectratio="f"/>
              <v:textbox inset="0mm,0mm,0mm,0mm">
                <w:txbxContent>
                  <w:p w14:paraId="44947584">
                    <w:pPr>
                      <w:ind w:firstLine="0" w:firstLineChars="0"/>
                    </w:pP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52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11D64B3">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RPzrkzAgAAZQ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RPzrkzAgAAZQQAAA4AAAAAAAAAAQAgAAAAHwEAAGRycy9lMm9Eb2MueG1sUEsF&#10;BgAAAAAGAAYAWQEAAMQFAAAAAA==&#10;">
              <v:fill on="f" focussize="0,0"/>
              <v:stroke on="f" weight="0.5pt"/>
              <v:imagedata o:title=""/>
              <o:lock v:ext="edit" aspectratio="f"/>
              <v:textbox inset="0mm,0mm,0mm,0mm" style="mso-fit-shape-to-text:t;">
                <w:txbxContent>
                  <w:p w14:paraId="311D64B3">
                    <w:pPr>
                      <w:ind w:firstLine="0" w:firstLineChars="0"/>
                    </w:pPr>
                  </w:p>
                </w:txbxContent>
              </v:textbox>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40F6F">
    <w:pPr>
      <w:pStyle w:val="16"/>
      <w:tabs>
        <w:tab w:val="left" w:pos="5016"/>
        <w:tab w:val="clear" w:pos="4153"/>
      </w:tabs>
      <w:ind w:firstLine="0" w:firstLineChars="0"/>
    </w:pPr>
    <w: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522" name="文本框 10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AC736DD">
                          <w:pPr>
                            <w:pStyle w:val="16"/>
                            <w:ind w:firstLine="0" w:firstLineChars="0"/>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14</w:t>
                          </w:r>
                          <w:r>
                            <w:rPr>
                              <w:sz w:val="24"/>
                              <w:szCs w:val="24"/>
                            </w:rPr>
                            <w:fldChar w:fldCharType="end"/>
                          </w:r>
                          <w:r>
                            <w:rPr>
                              <w:sz w:val="24"/>
                              <w:szCs w:val="24"/>
                            </w:rPr>
                            <w:t xml:space="preserve"> —</w:t>
                          </w:r>
                        </w:p>
                      </w:txbxContent>
                    </wps:txbx>
                    <wps:bodyPr vert="horz" wrap="none" lIns="0" tIns="0" rIns="0" bIns="0" anchor="t" anchorCtr="0">
                      <a:spAutoFit/>
                    </wps:bodyPr>
                  </wps:wsp>
                </a:graphicData>
              </a:graphic>
            </wp:anchor>
          </w:drawing>
        </mc:Choice>
        <mc:Fallback>
          <w:pict>
            <v:shape id="文本框 1078"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qXm5zwAAAAUBAAAPAAAAAAAAAAEAIAAA&#10;ACIAAABkcnMvZG93bnJldi54bWxQSwECFAAUAAAACACHTuJAeb0ARNwBAAC3AwAADgAAAAAAAAAB&#10;ACAAAAAeAQAAZHJzL2Uyb0RvYy54bWxQSwUGAAAAAAYABgBZAQAAbAUAAAAA&#10;">
              <v:fill on="f" focussize="0,0"/>
              <v:stroke on="f"/>
              <v:imagedata o:title=""/>
              <o:lock v:ext="edit" aspectratio="f"/>
              <v:textbox inset="0mm,0mm,0mm,0mm" style="mso-fit-shape-to-text:t;">
                <w:txbxContent>
                  <w:p w14:paraId="2AC736DD">
                    <w:pPr>
                      <w:pStyle w:val="16"/>
                      <w:ind w:firstLine="0" w:firstLineChars="0"/>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14</w:t>
                    </w:r>
                    <w:r>
                      <w:rPr>
                        <w:sz w:val="24"/>
                        <w:szCs w:val="24"/>
                      </w:rPr>
                      <w:fldChar w:fldCharType="end"/>
                    </w:r>
                    <w:r>
                      <w:rPr>
                        <w:sz w:val="24"/>
                        <w:szCs w:val="24"/>
                      </w:rPr>
                      <w:t xml:space="preserve"> —</w:t>
                    </w:r>
                  </w:p>
                </w:txbxContent>
              </v:textbox>
            </v:shape>
          </w:pict>
        </mc:Fallback>
      </mc:AlternateContent>
    </w:r>
    <w:r>
      <w:rPr>
        <w:rFonts w:hint="eastAsia"/>
      </w:rPr>
      <w:tab/>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AE328">
    <w:pPr>
      <w:pStyle w:val="16"/>
      <w:tabs>
        <w:tab w:val="right" w:pos="8845"/>
        <w:tab w:val="clear" w:pos="4153"/>
      </w:tabs>
      <w:ind w:firstLine="0" w:firstLineChars="0"/>
    </w:pPr>
    <w:r>
      <w:rPr>
        <w:sz w:val="18"/>
      </w:rPr>
      <mc:AlternateContent>
        <mc:Choice Requires="wps">
          <w:drawing>
            <wp:anchor distT="0" distB="0" distL="114300" distR="114300" simplePos="0" relativeHeight="251664384"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523"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79F31F12">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64384;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tsh0h1wAAAAkBAAAPAAAAAAAAAAEAIAAAACIAAABkcnMvZG93bnJl&#10;di54bWxQSwECFAAUAAAACACHTuJAi3wwdDcCAABkBAAADgAAAAAAAAABACAAAAAmAQAAZHJzL2Uy&#10;b0RvYy54bWxQSwUGAAAAAAYABgBZAQAAzwUAAAAA&#10;">
              <v:fill on="f" focussize="0,0"/>
              <v:stroke on="f" weight="0.5pt"/>
              <v:imagedata o:title=""/>
              <o:lock v:ext="edit" aspectratio="f"/>
              <v:textbox inset="0mm,0mm,0mm,0mm">
                <w:txbxContent>
                  <w:p w14:paraId="79F31F12">
                    <w:pPr>
                      <w:ind w:firstLine="0" w:firstLineChars="0"/>
                    </w:pPr>
                  </w:p>
                </w:txbxContent>
              </v:textbox>
            </v:shape>
          </w:pict>
        </mc:Fallback>
      </mc:AlternateContent>
    </w: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2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E9BD00B">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MkD00AgAAZQQAAA4AAABkcnMvZTJvRG9jLnhtbK1UzY7TMBC+I/EO&#10;lu80aWFX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DJA9NAIAAGUEAAAOAAAAAAAAAAEAIAAAAB8BAABkcnMvZTJvRG9jLnhtbFBL&#10;BQYAAAAABgAGAFkBAADFBQAAAAA=&#10;">
              <v:fill on="f" focussize="0,0"/>
              <v:stroke on="f" weight="0.5pt"/>
              <v:imagedata o:title=""/>
              <o:lock v:ext="edit" aspectratio="f"/>
              <v:textbox inset="0mm,0mm,0mm,0mm" style="mso-fit-shape-to-text:t;">
                <w:txbxContent>
                  <w:p w14:paraId="1E9BD00B">
                    <w:pPr>
                      <w:ind w:firstLine="0" w:firstLineChars="0"/>
                    </w:pPr>
                  </w:p>
                </w:txbxContent>
              </v:textbox>
            </v:shape>
          </w:pict>
        </mc:Fallback>
      </mc:AlternateContent>
    </w:r>
    <w:r>
      <w:rPr>
        <w:rFonts w:hint="eastAsia"/>
      </w:rPr>
      <w:tab/>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E5471">
    <w:pPr>
      <w:pStyle w:val="16"/>
      <w:ind w:firstLine="0" w:firstLineChars="0"/>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525" name="文本框 5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CA4479">
                          <w:pPr>
                            <w:pStyle w:val="16"/>
                            <w:ind w:firstLine="0" w:firstLineChars="0"/>
                            <w:rPr>
                              <w:rFonts w:eastAsia="仿宋"/>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u5tRguAgAAW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LubUYLgIAAFkEAAAOAAAAAAAAAAEAIAAAAB8BAABkcnMvZTJvRG9jLnhtbFBLBQYAAAAA&#10;BgAGAFkBAAC/BQAAAAA=&#10;">
              <v:fill on="f" focussize="0,0"/>
              <v:stroke on="f" weight="0.5pt"/>
              <v:imagedata o:title=""/>
              <o:lock v:ext="edit" aspectratio="f"/>
              <v:textbox inset="0mm,0mm,0mm,0mm" style="mso-fit-shape-to-text:t;">
                <w:txbxContent>
                  <w:p w14:paraId="16CA4479">
                    <w:pPr>
                      <w:pStyle w:val="16"/>
                      <w:ind w:firstLine="0" w:firstLineChars="0"/>
                      <w:rPr>
                        <w:rFonts w:eastAsia="仿宋"/>
                        <w:szCs w:val="28"/>
                      </w:rPr>
                    </w:pPr>
                  </w:p>
                </w:txbxContent>
              </v:textbox>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16F3C">
    <w:pPr>
      <w:pStyle w:val="16"/>
      <w:tabs>
        <w:tab w:val="right" w:pos="8845"/>
        <w:tab w:val="clear" w:pos="4153"/>
      </w:tabs>
      <w:ind w:firstLine="0" w:firstLineChars="0"/>
    </w:pPr>
    <w:r>
      <w:rPr>
        <w:sz w:val="18"/>
      </w:rPr>
      <mc:AlternateContent>
        <mc:Choice Requires="wps">
          <w:drawing>
            <wp:anchor distT="0" distB="0" distL="114300" distR="114300" simplePos="0" relativeHeight="2516746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26" name="文本框 5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3A01B9">
                          <w:pPr>
                            <w:pStyle w:val="16"/>
                            <w:ind w:firstLine="0" w:firstLineChars="0"/>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Zwf8uAgAAW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5WcH/LgIAAFkEAAAOAAAAAAAAAAEAIAAAAB8BAABkcnMvZTJvRG9jLnhtbFBLBQYAAAAA&#10;BgAGAFkBAAC/BQAAAAA=&#10;">
              <v:fill on="f" focussize="0,0"/>
              <v:stroke on="f" weight="0.5pt"/>
              <v:imagedata o:title=""/>
              <o:lock v:ext="edit" aspectratio="f"/>
              <v:textbox inset="0mm,0mm,0mm,0mm" style="mso-fit-shape-to-text:t;">
                <w:txbxContent>
                  <w:p w14:paraId="3C3A01B9">
                    <w:pPr>
                      <w:pStyle w:val="16"/>
                      <w:ind w:firstLine="0" w:firstLineChars="0"/>
                    </w:pPr>
                    <w:r>
                      <w:fldChar w:fldCharType="begin"/>
                    </w:r>
                    <w:r>
                      <w:instrText xml:space="preserve"> PAGE  \* MERGEFORMAT </w:instrText>
                    </w:r>
                    <w:r>
                      <w:fldChar w:fldCharType="separate"/>
                    </w:r>
                    <w:r>
                      <w:t>I</w:t>
                    </w:r>
                    <w:r>
                      <w:fldChar w:fldCharType="end"/>
                    </w:r>
                  </w:p>
                </w:txbxContent>
              </v:textbox>
            </v:shape>
          </w:pict>
        </mc:Fallback>
      </mc:AlternateContent>
    </w:r>
    <w:r>
      <w:rPr>
        <w:sz w:val="18"/>
      </w:rPr>
      <mc:AlternateContent>
        <mc:Choice Requires="wps">
          <w:drawing>
            <wp:anchor distT="0" distB="0" distL="114300" distR="114300" simplePos="0" relativeHeight="251670528"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527"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5029D0C9">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70528;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tsh0h1wAAAAkBAAAPAAAAAAAAAAEAIAAAACIAAABkcnMvZG93bnJl&#10;di54bWxQSwECFAAUAAAACACHTuJAN4JnoTcCAABkBAAADgAAAAAAAAABACAAAAAmAQAAZHJzL2Uy&#10;b0RvYy54bWxQSwUGAAAAAAYABgBZAQAAzwUAAAAA&#10;">
              <v:fill on="f" focussize="0,0"/>
              <v:stroke on="f" weight="0.5pt"/>
              <v:imagedata o:title=""/>
              <o:lock v:ext="edit" aspectratio="f"/>
              <v:textbox inset="0mm,0mm,0mm,0mm">
                <w:txbxContent>
                  <w:p w14:paraId="5029D0C9">
                    <w:pPr>
                      <w:ind w:firstLine="0" w:firstLineChars="0"/>
                    </w:pPr>
                  </w:p>
                </w:txbxContent>
              </v:textbox>
            </v:shape>
          </w:pict>
        </mc:Fallback>
      </mc:AlternateContent>
    </w:r>
    <w:r>
      <w:rPr>
        <w:sz w:val="18"/>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2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60F3F47">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Hy5qAz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Hy5qAzAgAAZQQAAA4AAAAAAAAAAQAgAAAAHwEAAGRycy9lMm9Eb2MueG1sUEsF&#10;BgAAAAAGAAYAWQEAAMQFAAAAAA==&#10;">
              <v:fill on="f" focussize="0,0"/>
              <v:stroke on="f" weight="0.5pt"/>
              <v:imagedata o:title=""/>
              <o:lock v:ext="edit" aspectratio="f"/>
              <v:textbox inset="0mm,0mm,0mm,0mm" style="mso-fit-shape-to-text:t;">
                <w:txbxContent>
                  <w:p w14:paraId="260F3F47">
                    <w:pPr>
                      <w:ind w:firstLine="0" w:firstLineChars="0"/>
                    </w:pPr>
                  </w:p>
                </w:txbxContent>
              </v:textbox>
            </v:shape>
          </w:pict>
        </mc:Fallback>
      </mc:AlternateContent>
    </w:r>
    <w:r>
      <w:rPr>
        <w:rFonts w:hint="eastAsia"/>
      </w:rPr>
      <w:tab/>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14EE6">
    <w:pPr>
      <w:pStyle w:val="16"/>
      <w:ind w:firstLine="0" w:firstLineChars="0"/>
    </w:pPr>
    <w:r>
      <w:rPr>
        <w:sz w:val="18"/>
      </w:rPr>
      <mc:AlternateContent>
        <mc:Choice Requires="wps">
          <w:drawing>
            <wp:anchor distT="0" distB="0" distL="114300" distR="114300" simplePos="0" relativeHeight="2516756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529" name="文本框 5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7C5F8F">
                          <w:pPr>
                            <w:pStyle w:val="16"/>
                            <w:ind w:firstLine="0" w:firstLineChars="0"/>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E1hDMuAgAAWQ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BNYQzLgIAAFkEAAAOAAAAAAAAAAEAIAAAAB8BAABkcnMvZTJvRG9jLnhtbFBLBQYAAAAA&#10;BgAGAFkBAAC/BQAAAAA=&#10;">
              <v:fill on="f" focussize="0,0"/>
              <v:stroke on="f" weight="0.5pt"/>
              <v:imagedata o:title=""/>
              <o:lock v:ext="edit" aspectratio="f"/>
              <v:textbox inset="0mm,0mm,0mm,0mm" style="mso-fit-shape-to-text:t;">
                <w:txbxContent>
                  <w:p w14:paraId="557C5F8F">
                    <w:pPr>
                      <w:pStyle w:val="16"/>
                      <w:ind w:firstLine="0" w:firstLineChars="0"/>
                    </w:pPr>
                    <w:r>
                      <w:fldChar w:fldCharType="begin"/>
                    </w:r>
                    <w:r>
                      <w:instrText xml:space="preserve"> PAGE  \* MERGEFORMAT </w:instrText>
                    </w:r>
                    <w:r>
                      <w:fldChar w:fldCharType="separate"/>
                    </w:r>
                    <w:r>
                      <w:t>II</w:t>
                    </w:r>
                    <w:r>
                      <w:fldChar w:fldCharType="end"/>
                    </w:r>
                  </w:p>
                </w:txbxContent>
              </v:textbox>
            </v:shape>
          </w:pict>
        </mc:Fallback>
      </mc:AlternateContent>
    </w:r>
    <w:r>
      <w:rPr>
        <w:sz w:val="18"/>
      </w:rP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530" name="文本框 5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807BBD">
                          <w:pPr>
                            <w:pStyle w:val="16"/>
                            <w:ind w:firstLine="0" w:firstLineChars="0"/>
                            <w:rPr>
                              <w:rFonts w:eastAsia="仿宋"/>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x8tq0tAgAAWQ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x8tq0tAgAAWQQAAA4AAAAAAAAAAQAgAAAAHwEAAGRycy9lMm9Eb2MueG1sUEsFBgAAAAAG&#10;AAYAWQEAAL4FAAAAAA==&#10;">
              <v:fill on="f" focussize="0,0"/>
              <v:stroke on="f" weight="0.5pt"/>
              <v:imagedata o:title=""/>
              <o:lock v:ext="edit" aspectratio="f"/>
              <v:textbox inset="0mm,0mm,0mm,0mm" style="mso-fit-shape-to-text:t;">
                <w:txbxContent>
                  <w:p w14:paraId="48807BBD">
                    <w:pPr>
                      <w:pStyle w:val="16"/>
                      <w:ind w:firstLine="0" w:firstLineChars="0"/>
                      <w:rPr>
                        <w:rFonts w:eastAsia="仿宋"/>
                        <w:szCs w:val="28"/>
                      </w:rPr>
                    </w:pPr>
                  </w:p>
                </w:txbxContent>
              </v:textbox>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9F8A5">
    <w:pPr>
      <w:pStyle w:val="16"/>
      <w:tabs>
        <w:tab w:val="right" w:pos="8845"/>
        <w:tab w:val="clear" w:pos="4153"/>
      </w:tabs>
      <w:ind w:firstLine="0" w:firstLineChars="0"/>
    </w:pPr>
    <w:r>
      <w:rPr>
        <w:sz w:val="18"/>
      </w:rPr>
      <mc:AlternateContent>
        <mc:Choice Requires="wps">
          <w:drawing>
            <wp:anchor distT="0" distB="0" distL="114300" distR="114300" simplePos="0" relativeHeight="2516725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534" name="文本框 5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58DF7B">
                          <w:pPr>
                            <w:pStyle w:val="16"/>
                            <w:ind w:firstLine="0" w:firstLineChars="0"/>
                          </w:pPr>
                          <w:r>
                            <w:rPr>
                              <w:rFonts w:hint="eastAsia"/>
                            </w:rPr>
                            <w:t xml:space="preserve">- </w:t>
                          </w:r>
                          <w:r>
                            <w:fldChar w:fldCharType="begin"/>
                          </w:r>
                          <w:r>
                            <w:instrText xml:space="preserve"> PAGE  \* MERGEFORMAT </w:instrText>
                          </w:r>
                          <w:r>
                            <w:fldChar w:fldCharType="separate"/>
                          </w:r>
                          <w:r>
                            <w:t>7</w:t>
                          </w:r>
                          <w:r>
                            <w:fldChar w:fldCharType="end"/>
                          </w:r>
                          <w:r>
                            <w:rPr>
                              <w:rFonts w:hint="eastAsia"/>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UFdgIvAgAAWQQAAA4AAABkcnMvZTJvRG9jLnhtbK1US27bMBDdF+gd&#10;CO5ryU4TGI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SVju0AAAAAUBAAAPAAAAAAAAAAEAIAAAACIAAABkcnMvZG93bnJldi54bWxQSwECFAAUAAAA&#10;CACHTuJAhQV2Ai8CAABZBAAADgAAAAAAAAABACAAAAAfAQAAZHJzL2Uyb0RvYy54bWxQSwUGAAAA&#10;AAYABgBZAQAAwAUAAAAA&#10;">
              <v:fill on="f" focussize="0,0"/>
              <v:stroke on="f" weight="0.5pt"/>
              <v:imagedata o:title=""/>
              <o:lock v:ext="edit" aspectratio="f"/>
              <v:textbox inset="0mm,0mm,0mm,0mm" style="mso-fit-shape-to-text:t;">
                <w:txbxContent>
                  <w:p w14:paraId="3758DF7B">
                    <w:pPr>
                      <w:pStyle w:val="16"/>
                      <w:ind w:firstLine="0" w:firstLineChars="0"/>
                    </w:pPr>
                    <w:r>
                      <w:rPr>
                        <w:rFonts w:hint="eastAsia"/>
                      </w:rPr>
                      <w:t xml:space="preserve">- </w:t>
                    </w:r>
                    <w:r>
                      <w:fldChar w:fldCharType="begin"/>
                    </w:r>
                    <w:r>
                      <w:instrText xml:space="preserve"> PAGE  \* MERGEFORMAT </w:instrText>
                    </w:r>
                    <w:r>
                      <w:fldChar w:fldCharType="separate"/>
                    </w:r>
                    <w:r>
                      <w:t>7</w:t>
                    </w:r>
                    <w:r>
                      <w:fldChar w:fldCharType="end"/>
                    </w:r>
                    <w:r>
                      <w:rPr>
                        <w:rFonts w:hint="eastAsia"/>
                      </w:rPr>
                      <w:t xml:space="preserve"> -</w:t>
                    </w:r>
                  </w:p>
                </w:txbxContent>
              </v:textbox>
            </v:shape>
          </w:pict>
        </mc:Fallback>
      </mc:AlternateContent>
    </w:r>
    <w:r>
      <w:rPr>
        <w:sz w:val="18"/>
      </w:rPr>
      <mc:AlternateContent>
        <mc:Choice Requires="wps">
          <w:drawing>
            <wp:anchor distT="0" distB="0" distL="114300" distR="114300" simplePos="0" relativeHeight="251667456"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535"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1F3EF987">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67456;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2yHSHXAAAACQEAAA8AAAAAAAAAAQAgAAAAIgAAAGRycy9kb3ducmV2&#10;LnhtbFBLAQIUABQAAAAIAIdO4kDvlpCNNgIAAGQEAAAOAAAAAAAAAAEAIAAAACYBAABkcnMvZTJv&#10;RG9jLnhtbFBLBQYAAAAABgAGAFkBAADOBQAAAAA=&#10;">
              <v:fill on="f" focussize="0,0"/>
              <v:stroke on="f" weight="0.5pt"/>
              <v:imagedata o:title=""/>
              <o:lock v:ext="edit" aspectratio="f"/>
              <v:textbox inset="0mm,0mm,0mm,0mm">
                <w:txbxContent>
                  <w:p w14:paraId="1F3EF987">
                    <w:pPr>
                      <w:ind w:firstLine="0" w:firstLineChars="0"/>
                    </w:pP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53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96F87CA">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mhtLUzAgAAZQQAAA4AAAAAAAAAAQAgAAAAHwEAAGRycy9lMm9Eb2MueG1sUEsF&#10;BgAAAAAGAAYAWQEAAMQFAAAAAA==&#10;">
              <v:fill on="f" focussize="0,0"/>
              <v:stroke on="f" weight="0.5pt"/>
              <v:imagedata o:title=""/>
              <o:lock v:ext="edit" aspectratio="f"/>
              <v:textbox inset="0mm,0mm,0mm,0mm" style="mso-fit-shape-to-text:t;">
                <w:txbxContent>
                  <w:p w14:paraId="596F87CA">
                    <w:pPr>
                      <w:ind w:firstLine="0" w:firstLineChars="0"/>
                    </w:pPr>
                  </w:p>
                </w:txbxContent>
              </v:textbox>
            </v:shape>
          </w:pict>
        </mc:Fallback>
      </mc:AlternateContent>
    </w:r>
    <w:r>
      <w:rPr>
        <w:rFonts w:hint="eastAsia"/>
      </w:rPr>
      <w:tab/>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FF307">
    <w:pPr>
      <w:pStyle w:val="16"/>
      <w:ind w:firstLine="0" w:firstLineChars="0"/>
    </w:pPr>
    <w:r>
      <w:rPr>
        <w:sz w:val="18"/>
      </w:rPr>
      <mc:AlternateContent>
        <mc:Choice Requires="wps">
          <w:drawing>
            <wp:anchor distT="0" distB="0" distL="114300" distR="114300" simplePos="0" relativeHeight="2516736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37" name="文本框 5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5878E7">
                          <w:pPr>
                            <w:pStyle w:val="16"/>
                            <w:ind w:firstLine="0" w:firstLineChars="0"/>
                          </w:pPr>
                          <w:r>
                            <w:rPr>
                              <w:rFonts w:hint="eastAsia"/>
                            </w:rPr>
                            <w:t xml:space="preserve">- </w:t>
                          </w:r>
                          <w:r>
                            <w:fldChar w:fldCharType="begin"/>
                          </w:r>
                          <w:r>
                            <w:instrText xml:space="preserve"> PAGE  \* MERGEFORMAT </w:instrText>
                          </w:r>
                          <w:r>
                            <w:fldChar w:fldCharType="separate"/>
                          </w:r>
                          <w:r>
                            <w:t>6</w:t>
                          </w:r>
                          <w:r>
                            <w:fldChar w:fldCharType="end"/>
                          </w:r>
                          <w:r>
                            <w:rPr>
                              <w:rFonts w:hint="eastAsia"/>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flAuUvAgAAWQQAAA4AAABkcnMvZTJvRG9jLnhtbK1US27bMBDdF+gd&#10;CO5ryQ6SGo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SVju0AAAAAUBAAAPAAAAAAAAAAEAIAAAACIAAABkcnMvZG93bnJldi54bWxQSwECFAAUAAAA&#10;CACHTuJAt+UC5S8CAABZBAAADgAAAAAAAAABACAAAAAfAQAAZHJzL2Uyb0RvYy54bWxQSwUGAAAA&#10;AAYABgBZAQAAwAUAAAAA&#10;">
              <v:fill on="f" focussize="0,0"/>
              <v:stroke on="f" weight="0.5pt"/>
              <v:imagedata o:title=""/>
              <o:lock v:ext="edit" aspectratio="f"/>
              <v:textbox inset="0mm,0mm,0mm,0mm" style="mso-fit-shape-to-text:t;">
                <w:txbxContent>
                  <w:p w14:paraId="095878E7">
                    <w:pPr>
                      <w:pStyle w:val="16"/>
                      <w:ind w:firstLine="0" w:firstLineChars="0"/>
                    </w:pPr>
                    <w:r>
                      <w:rPr>
                        <w:rFonts w:hint="eastAsia"/>
                      </w:rPr>
                      <w:t xml:space="preserve">- </w:t>
                    </w:r>
                    <w:r>
                      <w:fldChar w:fldCharType="begin"/>
                    </w:r>
                    <w:r>
                      <w:instrText xml:space="preserve"> PAGE  \* MERGEFORMAT </w:instrText>
                    </w:r>
                    <w:r>
                      <w:fldChar w:fldCharType="separate"/>
                    </w:r>
                    <w:r>
                      <w:t>6</w:t>
                    </w:r>
                    <w:r>
                      <w:fldChar w:fldCharType="end"/>
                    </w:r>
                    <w:r>
                      <w:rPr>
                        <w:rFonts w:hint="eastAsia"/>
                      </w:rPr>
                      <w:t xml:space="preserve"> -</w:t>
                    </w:r>
                  </w:p>
                </w:txbxContent>
              </v:textbox>
            </v:shape>
          </w:pict>
        </mc:Fallback>
      </mc:AlternateContent>
    </w:r>
    <w:r>
      <w:rPr>
        <w:sz w:val="1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38" name="文本框 5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88F60D">
                          <w:pPr>
                            <w:pStyle w:val="16"/>
                            <w:ind w:firstLine="0" w:firstLineChars="0"/>
                            <w:rPr>
                              <w:rFonts w:eastAsia="仿宋"/>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JRykuAgAAWQ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DPiUcpLgIAAFkEAAAOAAAAAAAAAAEAIAAAAB8BAABkcnMvZTJvRG9jLnhtbFBLBQYAAAAA&#10;BgAGAFkBAAC/BQAAAAA=&#10;">
              <v:fill on="f" focussize="0,0"/>
              <v:stroke on="f" weight="0.5pt"/>
              <v:imagedata o:title=""/>
              <o:lock v:ext="edit" aspectratio="f"/>
              <v:textbox inset="0mm,0mm,0mm,0mm" style="mso-fit-shape-to-text:t;">
                <w:txbxContent>
                  <w:p w14:paraId="5F88F60D">
                    <w:pPr>
                      <w:pStyle w:val="16"/>
                      <w:ind w:firstLine="0" w:firstLineChars="0"/>
                      <w:rPr>
                        <w:rFonts w:eastAsia="仿宋"/>
                        <w:szCs w:val="28"/>
                      </w:rPr>
                    </w:pP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8AE7B">
    <w:pPr>
      <w:pStyle w:val="16"/>
      <w:tabs>
        <w:tab w:val="right" w:pos="8845"/>
        <w:tab w:val="clear" w:pos="4153"/>
      </w:tabs>
      <w:ind w:firstLine="0" w:firstLineChars="0"/>
    </w:pPr>
    <w:r>
      <mc:AlternateContent>
        <mc:Choice Requires="wps">
          <w:drawing>
            <wp:anchor distT="0" distB="0" distL="114300" distR="114300" simplePos="0" relativeHeight="251664384"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106"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59402333">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64384;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LbIdIdcAAAAJAQAADwAAAAAAAAABACAAAAAiAAAAZHJzL2Rvd25yZXYu&#10;eG1sUEsBAhQAFAAAAAgAh07iQGxB/go1AgAAZAQAAA4AAAAAAAAAAQAgAAAAJgEAAGRycy9lMm9E&#10;b2MueG1sUEsFBgAAAAAGAAYAWQEAAM0FAAAAAA==&#10;">
              <v:fill on="f" focussize="0,0"/>
              <v:stroke on="f" weight="0.5pt"/>
              <v:imagedata o:title=""/>
              <o:lock v:ext="edit" aspectratio="f"/>
              <v:textbox inset="0mm,0mm,0mm,0mm">
                <w:txbxContent>
                  <w:p w14:paraId="59402333">
                    <w:pPr>
                      <w:ind w:firstLine="0" w:firstLineChars="0"/>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19256B4">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KO00zAgAAZ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jKO00zAgAAZQQAAA4AAAAAAAAAAQAgAAAAHwEAAGRycy9lMm9Eb2MueG1sUEsF&#10;BgAAAAAGAAYAWQEAAMQFAAAAAA==&#10;">
              <v:fill on="f" focussize="0,0"/>
              <v:stroke on="f" weight="0.5pt"/>
              <v:imagedata o:title=""/>
              <o:lock v:ext="edit" aspectratio="f"/>
              <v:textbox inset="0mm,0mm,0mm,0mm" style="mso-fit-shape-to-text:t;">
                <w:txbxContent>
                  <w:p w14:paraId="019256B4">
                    <w:pPr>
                      <w:ind w:firstLine="0" w:firstLineChars="0"/>
                    </w:pPr>
                  </w:p>
                </w:txbxContent>
              </v:textbox>
            </v:shape>
          </w:pict>
        </mc:Fallback>
      </mc:AlternateContent>
    </w:r>
    <w:r>
      <w:rPr>
        <w:rFonts w:hint="eastAsia"/>
      </w:rPr>
      <w:tab/>
    </w:r>
    <w:r>
      <w:rPr>
        <w:rFonts w:hint="eastAsia"/>
      </w:rPr>
      <w:tab/>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F3465">
    <w:pPr>
      <w:pStyle w:val="16"/>
      <w:tabs>
        <w:tab w:val="right" w:pos="8845"/>
        <w:tab w:val="clear" w:pos="4153"/>
      </w:tabs>
      <w:ind w:firstLine="0" w:firstLineChars="0"/>
    </w:pPr>
    <w:r>
      <mc:AlternateContent>
        <mc:Choice Requires="wps">
          <w:drawing>
            <wp:anchor distT="0" distB="0" distL="114300" distR="114300" simplePos="0" relativeHeight="2516746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861310">
                          <w:pPr>
                            <w:pStyle w:val="16"/>
                            <w:ind w:firstLine="0" w:firstLineChars="0"/>
                          </w:pPr>
                          <w:r>
                            <w:rPr>
                              <w:sz w:val="24"/>
                              <w:szCs w:val="24"/>
                            </w:rPr>
                            <w:fldChar w:fldCharType="begin"/>
                          </w:r>
                          <w:r>
                            <w:rPr>
                              <w:sz w:val="24"/>
                              <w:szCs w:val="24"/>
                            </w:rPr>
                            <w:instrText xml:space="preserve"> PAGE  \* MERGEFORMAT </w:instrText>
                          </w:r>
                          <w:r>
                            <w:rPr>
                              <w:sz w:val="24"/>
                              <w:szCs w:val="24"/>
                            </w:rPr>
                            <w:fldChar w:fldCharType="separate"/>
                          </w:r>
                          <w:r>
                            <w:rPr>
                              <w:sz w:val="24"/>
                              <w:szCs w:val="24"/>
                            </w:rPr>
                            <w:t>III</w:t>
                          </w:r>
                          <w:r>
                            <w:rPr>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w5lnQ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TDmWdCwCAABZBAAADgAAAAAAAAABACAAAAAfAQAAZHJzL2Uyb0RvYy54bWxQSwUGAAAAAAYA&#10;BgBZAQAAvQUAAAAA&#10;">
              <v:fill on="f" focussize="0,0"/>
              <v:stroke on="f" weight="0.5pt"/>
              <v:imagedata o:title=""/>
              <o:lock v:ext="edit" aspectratio="f"/>
              <v:textbox inset="0mm,0mm,0mm,0mm" style="mso-fit-shape-to-text:t;">
                <w:txbxContent>
                  <w:p w14:paraId="54861310">
                    <w:pPr>
                      <w:pStyle w:val="16"/>
                      <w:ind w:firstLine="0" w:firstLineChars="0"/>
                    </w:pPr>
                    <w:r>
                      <w:rPr>
                        <w:sz w:val="24"/>
                        <w:szCs w:val="24"/>
                      </w:rPr>
                      <w:fldChar w:fldCharType="begin"/>
                    </w:r>
                    <w:r>
                      <w:rPr>
                        <w:sz w:val="24"/>
                        <w:szCs w:val="24"/>
                      </w:rPr>
                      <w:instrText xml:space="preserve"> PAGE  \* MERGEFORMAT </w:instrText>
                    </w:r>
                    <w:r>
                      <w:rPr>
                        <w:sz w:val="24"/>
                        <w:szCs w:val="24"/>
                      </w:rPr>
                      <w:fldChar w:fldCharType="separate"/>
                    </w:r>
                    <w:r>
                      <w:rPr>
                        <w:sz w:val="24"/>
                        <w:szCs w:val="24"/>
                      </w:rPr>
                      <w:t>III</w:t>
                    </w:r>
                    <w:r>
                      <w:rPr>
                        <w:sz w:val="24"/>
                        <w:szCs w:val="24"/>
                      </w:rPr>
                      <w:fldChar w:fldCharType="end"/>
                    </w: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margin">
                <wp:posOffset>5495925</wp:posOffset>
              </wp:positionH>
              <wp:positionV relativeFrom="paragraph">
                <wp:posOffset>-38100</wp:posOffset>
              </wp:positionV>
              <wp:extent cx="1828800" cy="1828800"/>
              <wp:effectExtent l="0" t="0" r="0" b="0"/>
              <wp:wrapNone/>
              <wp:docPr id="113" name="文本框 10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7C08EF7">
                          <w:pPr>
                            <w:pStyle w:val="16"/>
                            <w:ind w:firstLine="0" w:firstLineChars="0"/>
                          </w:pPr>
                        </w:p>
                      </w:txbxContent>
                    </wps:txbx>
                    <wps:bodyPr vert="horz" wrap="none" lIns="0" tIns="0" rIns="0" bIns="0" anchor="t" anchorCtr="0">
                      <a:spAutoFit/>
                    </wps:bodyPr>
                  </wps:wsp>
                </a:graphicData>
              </a:graphic>
            </wp:anchor>
          </w:drawing>
        </mc:Choice>
        <mc:Fallback>
          <w:pict>
            <v:shape id="文本框 1079" o:spid="_x0000_s1026" o:spt="202" type="#_x0000_t202" style="position:absolute;left:0pt;margin-left:432.75pt;margin-top:-3pt;height:144pt;width:144pt;mso-position-horizontal-relative:margin;mso-wrap-style:none;z-index:251673600;mso-width-relative:page;mso-height-relative:page;" filled="f" stroked="f" coordsize="21600,21600" o:gfxdata="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NT1cftcAAAALAQAADwAAAAAA&#10;AAABACAAAAAiAAAAZHJzL2Rvd25yZXYueG1sUEsBAhQAFAAAAAgAh07iQJMxJJ7bAQAAtwMAAA4A&#10;AAAAAAAAAQAgAAAAJgEAAGRycy9lMm9Eb2MueG1sUEsFBgAAAAAGAAYAWQEAAHMFAAAAAA==&#10;">
              <v:fill on="f" focussize="0,0"/>
              <v:stroke on="f"/>
              <v:imagedata o:title=""/>
              <o:lock v:ext="edit" aspectratio="f"/>
              <v:textbox inset="0mm,0mm,0mm,0mm" style="mso-fit-shape-to-text:t;">
                <w:txbxContent>
                  <w:p w14:paraId="57C08EF7">
                    <w:pPr>
                      <w:pStyle w:val="16"/>
                      <w:ind w:firstLine="0" w:firstLineChars="0"/>
                    </w:pP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114"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51D09BA9">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72576;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2yHSHXAAAACQEAAA8AAAAAAAAAAQAgAAAAIgAAAGRycy9kb3ducmV2&#10;LnhtbFBLAQIUABQAAAAIAIdO4kC0VQkmNgIAAGQEAAAOAAAAAAAAAAEAIAAAACYBAABkcnMvZTJv&#10;RG9jLnhtbFBLBQYAAAAABgAGAFkBAADOBQAAAAA=&#10;">
              <v:fill on="f" focussize="0,0"/>
              <v:stroke on="f" weight="0.5pt"/>
              <v:imagedata o:title=""/>
              <o:lock v:ext="edit" aspectratio="f"/>
              <v:textbox inset="0mm,0mm,0mm,0mm">
                <w:txbxContent>
                  <w:p w14:paraId="51D09BA9">
                    <w:pPr>
                      <w:ind w:firstLine="0" w:firstLineChars="0"/>
                    </w:pP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3D809C0">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nH8Uz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pnH8UzAgAAZQQAAA4AAAAAAAAAAQAgAAAAHwEAAGRycy9lMm9Eb2MueG1sUEsF&#10;BgAAAAAGAAYAWQEAAMQFAAAAAA==&#10;">
              <v:fill on="f" focussize="0,0"/>
              <v:stroke on="f" weight="0.5pt"/>
              <v:imagedata o:title=""/>
              <o:lock v:ext="edit" aspectratio="f"/>
              <v:textbox inset="0mm,0mm,0mm,0mm" style="mso-fit-shape-to-text:t;">
                <w:txbxContent>
                  <w:p w14:paraId="63D809C0">
                    <w:pPr>
                      <w:ind w:firstLine="0" w:firstLineChars="0"/>
                    </w:pPr>
                  </w:p>
                </w:txbxContent>
              </v:textbox>
            </v:shape>
          </w:pict>
        </mc:Fallback>
      </mc:AlternateContent>
    </w:r>
    <w:r>
      <w:rPr>
        <w:rFonts w:hint="eastAsia"/>
      </w:rPr>
      <w:tab/>
    </w:r>
    <w:r>
      <w:rPr>
        <w:rFonts w:hint="eastAsia"/>
      </w:rPr>
      <w:tab/>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97DF5">
    <w:pPr>
      <w:pStyle w:val="16"/>
      <w:ind w:firstLine="360"/>
    </w:pPr>
    <w:r>
      <mc:AlternateContent>
        <mc:Choice Requires="wps">
          <w:drawing>
            <wp:anchor distT="0" distB="0" distL="114300" distR="114300" simplePos="0" relativeHeight="2516766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892F4C">
                          <w:pPr>
                            <w:pStyle w:val="16"/>
                            <w:ind w:firstLine="0" w:firstLineChars="0"/>
                          </w:pPr>
                          <w:r>
                            <w:rPr>
                              <w:sz w:val="24"/>
                              <w:szCs w:val="24"/>
                            </w:rPr>
                            <w:fldChar w:fldCharType="begin"/>
                          </w:r>
                          <w:r>
                            <w:rPr>
                              <w:sz w:val="24"/>
                              <w:szCs w:val="24"/>
                            </w:rPr>
                            <w:instrText xml:space="preserve"> PAGE  \* MERGEFORMAT </w:instrText>
                          </w:r>
                          <w:r>
                            <w:rPr>
                              <w:sz w:val="24"/>
                              <w:szCs w:val="24"/>
                            </w:rPr>
                            <w:fldChar w:fldCharType="separate"/>
                          </w:r>
                          <w:r>
                            <w:rPr>
                              <w:sz w:val="24"/>
                              <w:szCs w:val="24"/>
                            </w:rPr>
                            <w:t>II</w:t>
                          </w:r>
                          <w:r>
                            <w:rPr>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AVtssAgAAW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y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0G+WhZ1+sDxC&#10;R/G8XR8DBEy6RlE6JXqt0HGpMv10xJb+c5+iHv8Iq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tUBW2ywCAABZBAAADgAAAAAAAAABACAAAAAfAQAAZHJzL2Uyb0RvYy54bWxQSwUGAAAAAAYA&#10;BgBZAQAAvQUAAAAA&#10;">
              <v:fill on="f" focussize="0,0"/>
              <v:stroke on="f" weight="0.5pt"/>
              <v:imagedata o:title=""/>
              <o:lock v:ext="edit" aspectratio="f"/>
              <v:textbox inset="0mm,0mm,0mm,0mm" style="mso-fit-shape-to-text:t;">
                <w:txbxContent>
                  <w:p w14:paraId="11892F4C">
                    <w:pPr>
                      <w:pStyle w:val="16"/>
                      <w:ind w:firstLine="0" w:firstLineChars="0"/>
                    </w:pPr>
                    <w:r>
                      <w:rPr>
                        <w:sz w:val="24"/>
                        <w:szCs w:val="24"/>
                      </w:rPr>
                      <w:fldChar w:fldCharType="begin"/>
                    </w:r>
                    <w:r>
                      <w:rPr>
                        <w:sz w:val="24"/>
                        <w:szCs w:val="24"/>
                      </w:rPr>
                      <w:instrText xml:space="preserve"> PAGE  \* MERGEFORMAT </w:instrText>
                    </w:r>
                    <w:r>
                      <w:rPr>
                        <w:sz w:val="24"/>
                        <w:szCs w:val="24"/>
                      </w:rPr>
                      <w:fldChar w:fldCharType="separate"/>
                    </w:r>
                    <w:r>
                      <w:rPr>
                        <w:sz w:val="24"/>
                        <w:szCs w:val="24"/>
                      </w:rPr>
                      <w:t>II</w:t>
                    </w:r>
                    <w:r>
                      <w:rPr>
                        <w:sz w:val="24"/>
                        <w:szCs w:val="24"/>
                      </w:rPr>
                      <w:fldChar w:fldCharType="end"/>
                    </w: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margin">
                <wp:align>outside</wp:align>
              </wp:positionH>
              <wp:positionV relativeFrom="paragraph">
                <wp:posOffset>9525</wp:posOffset>
              </wp:positionV>
              <wp:extent cx="1828800" cy="1828800"/>
              <wp:effectExtent l="0" t="0" r="0" b="0"/>
              <wp:wrapNone/>
              <wp:docPr id="117" name="文本框 10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8993A20">
                          <w:pPr>
                            <w:pStyle w:val="16"/>
                            <w:ind w:firstLine="0" w:firstLineChars="0"/>
                            <w:rPr>
                              <w:sz w:val="28"/>
                              <w:szCs w:val="28"/>
                            </w:rPr>
                          </w:pPr>
                        </w:p>
                      </w:txbxContent>
                    </wps:txbx>
                    <wps:bodyPr vert="horz" wrap="none" lIns="0" tIns="0" rIns="0" bIns="0" anchor="t" anchorCtr="0">
                      <a:spAutoFit/>
                    </wps:bodyPr>
                  </wps:wsp>
                </a:graphicData>
              </a:graphic>
            </wp:anchor>
          </w:drawing>
        </mc:Choice>
        <mc:Fallback>
          <w:pict>
            <v:shape id="文本框 1080" o:spid="_x0000_s1026" o:spt="202" type="#_x0000_t202" style="position:absolute;left:0pt;margin-top:0.75pt;height:144pt;width:144pt;mso-position-horizontal:outside;mso-position-horizontal-relative:margin;mso-wrap-style:none;z-index:251675648;mso-width-relative:page;mso-height-relative:page;" filled="f" stroked="f" coordsize="21600,21600" o:gfxdata="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29EUC0gAAAAYBAAAPAAAAAAAAAAEAIAAA&#10;ACIAAABkcnMvZG93bnJldi54bWxQSwECFAAUAAAACACHTuJAEMDcw9kBAAC3AwAADgAAAAAAAAAB&#10;ACAAAAAhAQAAZHJzL2Uyb0RvYy54bWxQSwUGAAAAAAYABgBZAQAAbAUAAAAA&#10;">
              <v:fill on="f" focussize="0,0"/>
              <v:stroke on="f"/>
              <v:imagedata o:title=""/>
              <o:lock v:ext="edit" aspectratio="f"/>
              <v:textbox inset="0mm,0mm,0mm,0mm" style="mso-fit-shape-to-text:t;">
                <w:txbxContent>
                  <w:p w14:paraId="48993A20">
                    <w:pPr>
                      <w:pStyle w:val="16"/>
                      <w:ind w:firstLine="0" w:firstLineChars="0"/>
                      <w:rPr>
                        <w:sz w:val="28"/>
                        <w:szCs w:val="28"/>
                      </w:rPr>
                    </w:pP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F2476">
    <w:pPr>
      <w:pStyle w:val="16"/>
      <w:tabs>
        <w:tab w:val="right" w:pos="8845"/>
        <w:tab w:val="clear" w:pos="4153"/>
      </w:tabs>
      <w:ind w:firstLine="0" w:firstLineChars="0"/>
    </w:pPr>
    <w:r>
      <mc:AlternateContent>
        <mc:Choice Requires="wps">
          <w:drawing>
            <wp:anchor distT="0" distB="0" distL="114300" distR="114300" simplePos="0" relativeHeight="251664384"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122"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6B1742B8">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64384;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2yHSHXAAAACQEAAA8AAAAAAAAAAQAgAAAAIgAAAGRycy9kb3ducmV2&#10;LnhtbFBLAQIUABQAAAAIAIdO4kDcaBBTNgIAAGQEAAAOAAAAAAAAAAEAIAAAACYBAABkcnMvZTJv&#10;RG9jLnhtbFBLBQYAAAAABgAGAFkBAADOBQAAAAA=&#10;">
              <v:fill on="f" focussize="0,0"/>
              <v:stroke on="f" weight="0.5pt"/>
              <v:imagedata o:title=""/>
              <o:lock v:ext="edit" aspectratio="f"/>
              <v:textbox inset="0mm,0mm,0mm,0mm">
                <w:txbxContent>
                  <w:p w14:paraId="6B1742B8">
                    <w:pPr>
                      <w:ind w:firstLine="0" w:firstLineChars="0"/>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6AF5B97">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XA4Yz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XA4YzAgAAZQQAAA4AAAAAAAAAAQAgAAAAHwEAAGRycy9lMm9Eb2MueG1sUEsF&#10;BgAAAAAGAAYAWQEAAMQFAAAAAA==&#10;">
              <v:fill on="f" focussize="0,0"/>
              <v:stroke on="f" weight="0.5pt"/>
              <v:imagedata o:title=""/>
              <o:lock v:ext="edit" aspectratio="f"/>
              <v:textbox inset="0mm,0mm,0mm,0mm" style="mso-fit-shape-to-text:t;">
                <w:txbxContent>
                  <w:p w14:paraId="76AF5B97">
                    <w:pPr>
                      <w:ind w:firstLine="0" w:firstLineChars="0"/>
                    </w:pPr>
                  </w:p>
                </w:txbxContent>
              </v:textbox>
            </v:shape>
          </w:pict>
        </mc:Fallback>
      </mc:AlternateContent>
    </w:r>
    <w:r>
      <w:rPr>
        <w:rFonts w:hint="eastAsia"/>
      </w:rPr>
      <w:tab/>
    </w:r>
    <w:r>
      <w:rPr>
        <w:rFonts w:hint="eastAsia"/>
      </w:rPr>
      <w:tab/>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EE79A">
    <w:pPr>
      <w:pStyle w:val="16"/>
      <w:tabs>
        <w:tab w:val="right" w:pos="8845"/>
        <w:tab w:val="clear" w:pos="4153"/>
      </w:tabs>
      <w:ind w:firstLine="0" w:firstLineChars="0"/>
    </w:pPr>
    <w:r>
      <mc:AlternateContent>
        <mc:Choice Requires="wps">
          <w:drawing>
            <wp:anchor distT="0" distB="0" distL="114300" distR="114300" simplePos="0" relativeHeight="2516766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BF5440">
                          <w:pPr>
                            <w:pStyle w:val="16"/>
                            <w:ind w:firstLine="0" w:firstLineChars="0"/>
                          </w:pPr>
                          <w:r>
                            <w:rPr>
                              <w:sz w:val="24"/>
                              <w:szCs w:val="24"/>
                            </w:rPr>
                            <w:fldChar w:fldCharType="begin"/>
                          </w:r>
                          <w:r>
                            <w:rPr>
                              <w:sz w:val="24"/>
                              <w:szCs w:val="24"/>
                            </w:rPr>
                            <w:instrText xml:space="preserve"> PAGE  \* MERGEFORMAT </w:instrText>
                          </w:r>
                          <w:r>
                            <w:rPr>
                              <w:sz w:val="24"/>
                              <w:szCs w:val="24"/>
                            </w:rPr>
                            <w:fldChar w:fldCharType="separate"/>
                          </w:r>
                          <w:r>
                            <w:rPr>
                              <w:sz w:val="24"/>
                              <w:szCs w:val="24"/>
                            </w:rPr>
                            <w:t>I</w:t>
                          </w:r>
                          <w:r>
                            <w:rPr>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NWD4I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Q1YPgiwCAABZBAAADgAAAAAAAAABACAAAAAfAQAAZHJzL2Uyb0RvYy54bWxQSwUGAAAAAAYA&#10;BgBZAQAAvQUAAAAA&#10;">
              <v:fill on="f" focussize="0,0"/>
              <v:stroke on="f" weight="0.5pt"/>
              <v:imagedata o:title=""/>
              <o:lock v:ext="edit" aspectratio="f"/>
              <v:textbox inset="0mm,0mm,0mm,0mm" style="mso-fit-shape-to-text:t;">
                <w:txbxContent>
                  <w:p w14:paraId="71BF5440">
                    <w:pPr>
                      <w:pStyle w:val="16"/>
                      <w:ind w:firstLine="0" w:firstLineChars="0"/>
                    </w:pPr>
                    <w:r>
                      <w:rPr>
                        <w:sz w:val="24"/>
                        <w:szCs w:val="24"/>
                      </w:rPr>
                      <w:fldChar w:fldCharType="begin"/>
                    </w:r>
                    <w:r>
                      <w:rPr>
                        <w:sz w:val="24"/>
                        <w:szCs w:val="24"/>
                      </w:rPr>
                      <w:instrText xml:space="preserve"> PAGE  \* MERGEFORMAT </w:instrText>
                    </w:r>
                    <w:r>
                      <w:rPr>
                        <w:sz w:val="24"/>
                        <w:szCs w:val="24"/>
                      </w:rPr>
                      <w:fldChar w:fldCharType="separate"/>
                    </w:r>
                    <w:r>
                      <w:rPr>
                        <w:sz w:val="24"/>
                        <w:szCs w:val="24"/>
                      </w:rPr>
                      <w:t>I</w:t>
                    </w:r>
                    <w:r>
                      <w:rPr>
                        <w:sz w:val="24"/>
                        <w:szCs w:val="24"/>
                      </w:rPr>
                      <w:fldChar w:fldCharType="end"/>
                    </w: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margin">
                <wp:posOffset>5495925</wp:posOffset>
              </wp:positionH>
              <wp:positionV relativeFrom="paragraph">
                <wp:posOffset>-38100</wp:posOffset>
              </wp:positionV>
              <wp:extent cx="1828800" cy="1828800"/>
              <wp:effectExtent l="0" t="0" r="0" b="0"/>
              <wp:wrapNone/>
              <wp:docPr id="129" name="文本框 10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7AB5F11">
                          <w:pPr>
                            <w:pStyle w:val="16"/>
                            <w:ind w:firstLine="0" w:firstLineChars="0"/>
                          </w:pPr>
                        </w:p>
                      </w:txbxContent>
                    </wps:txbx>
                    <wps:bodyPr vert="horz" wrap="none" lIns="0" tIns="0" rIns="0" bIns="0" anchor="t" anchorCtr="0">
                      <a:spAutoFit/>
                    </wps:bodyPr>
                  </wps:wsp>
                </a:graphicData>
              </a:graphic>
            </wp:anchor>
          </w:drawing>
        </mc:Choice>
        <mc:Fallback>
          <w:pict>
            <v:shape id="文本框 1079" o:spid="_x0000_s1026" o:spt="202" type="#_x0000_t202" style="position:absolute;left:0pt;margin-left:432.75pt;margin-top:-3pt;height:144pt;width:144pt;mso-position-horizontal-relative:margin;mso-wrap-style:none;z-index:251675648;mso-width-relative:page;mso-height-relative:page;" filled="f" stroked="f" coordsize="21600,21600" o:gfxdata="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NT1cftcAAAALAQAADwAAAAAA&#10;AAABACAAAAAiAAAAZHJzL2Rvd25yZXYueG1sUEsBAhQAFAAAAAgAh07iQGrXbj3bAQAAtwMAAA4A&#10;AAAAAAAAAQAgAAAAJgEAAGRycy9lMm9Eb2MueG1sUEsFBgAAAAAGAAYAWQEAAHMFAAAAAA==&#10;">
              <v:fill on="f" focussize="0,0"/>
              <v:stroke on="f"/>
              <v:imagedata o:title=""/>
              <o:lock v:ext="edit" aspectratio="f"/>
              <v:textbox inset="0mm,0mm,0mm,0mm" style="mso-fit-shape-to-text:t;">
                <w:txbxContent>
                  <w:p w14:paraId="37AB5F11">
                    <w:pPr>
                      <w:pStyle w:val="16"/>
                      <w:ind w:firstLine="0" w:firstLineChars="0"/>
                    </w:pP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130"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77EB36E4">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74624;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2yHSHXAAAACQEAAA8AAAAAAAAAAQAgAAAAIgAAAGRycy9kb3ducmV2&#10;LnhtbFBLAQIUABQAAAAIAIdO4kAEfOd/NgIAAGQEAAAOAAAAAAAAAAEAIAAAACYBAABkcnMvZTJv&#10;RG9jLnhtbFBLBQYAAAAABgAGAFkBAADOBQAAAAA=&#10;">
              <v:fill on="f" focussize="0,0"/>
              <v:stroke on="f" weight="0.5pt"/>
              <v:imagedata o:title=""/>
              <o:lock v:ext="edit" aspectratio="f"/>
              <v:textbox inset="0mm,0mm,0mm,0mm">
                <w:txbxContent>
                  <w:p w14:paraId="77EB36E4">
                    <w:pPr>
                      <w:ind w:firstLine="0" w:firstLineChars="0"/>
                    </w:pP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2974919">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86Jw4yAgAAZQ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zonDjICAABlBAAADgAAAAAAAAABACAAAAAfAQAAZHJzL2Uyb0RvYy54bWxQSwUG&#10;AAAAAAYABgBZAQAAwwUAAAAA&#10;">
              <v:fill on="f" focussize="0,0"/>
              <v:stroke on="f" weight="0.5pt"/>
              <v:imagedata o:title=""/>
              <o:lock v:ext="edit" aspectratio="f"/>
              <v:textbox inset="0mm,0mm,0mm,0mm" style="mso-fit-shape-to-text:t;">
                <w:txbxContent>
                  <w:p w14:paraId="42974919">
                    <w:pPr>
                      <w:ind w:firstLine="0" w:firstLineChars="0"/>
                    </w:pPr>
                  </w:p>
                </w:txbxContent>
              </v:textbox>
            </v:shape>
          </w:pict>
        </mc:Fallback>
      </mc:AlternateContent>
    </w:r>
    <w:r>
      <w:rPr>
        <w:rFonts w:hint="eastAsia"/>
      </w:rPr>
      <w:tab/>
    </w:r>
    <w:r>
      <w:rPr>
        <w:rFonts w:hint="eastAsia"/>
      </w:rPr>
      <w:tab/>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A6148">
    <w:pPr>
      <w:pStyle w:val="16"/>
      <w:ind w:firstLine="360"/>
    </w:pPr>
    <w:r>
      <mc:AlternateContent>
        <mc:Choice Requires="wps">
          <w:drawing>
            <wp:anchor distT="0" distB="0" distL="114300" distR="114300" simplePos="0" relativeHeight="25167872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0B4134">
                          <w:pPr>
                            <w:pStyle w:val="16"/>
                            <w:ind w:firstLine="0" w:firstLineChars="0"/>
                          </w:pPr>
                          <w:r>
                            <w:rPr>
                              <w:sz w:val="24"/>
                              <w:szCs w:val="24"/>
                            </w:rPr>
                            <w:fldChar w:fldCharType="begin"/>
                          </w:r>
                          <w:r>
                            <w:rPr>
                              <w:sz w:val="24"/>
                              <w:szCs w:val="24"/>
                            </w:rPr>
                            <w:instrText xml:space="preserve"> PAGE  \* MERGEFORMAT </w:instrText>
                          </w:r>
                          <w:r>
                            <w:rPr>
                              <w:sz w:val="24"/>
                              <w:szCs w:val="24"/>
                            </w:rPr>
                            <w:fldChar w:fldCharType="separate"/>
                          </w:r>
                          <w:r>
                            <w:rPr>
                              <w:sz w:val="24"/>
                              <w:szCs w:val="24"/>
                            </w:rPr>
                            <w:t>II</w:t>
                          </w:r>
                          <w:r>
                            <w:rPr>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z/SfstAgAAWQ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Az/SfstAgAAWQQAAA4AAAAAAAAAAQAgAAAAHwEAAGRycy9lMm9Eb2MueG1sUEsFBgAAAAAG&#10;AAYAWQEAAL4FAAAAAA==&#10;">
              <v:fill on="f" focussize="0,0"/>
              <v:stroke on="f" weight="0.5pt"/>
              <v:imagedata o:title=""/>
              <o:lock v:ext="edit" aspectratio="f"/>
              <v:textbox inset="0mm,0mm,0mm,0mm" style="mso-fit-shape-to-text:t;">
                <w:txbxContent>
                  <w:p w14:paraId="610B4134">
                    <w:pPr>
                      <w:pStyle w:val="16"/>
                      <w:ind w:firstLine="0" w:firstLineChars="0"/>
                    </w:pPr>
                    <w:r>
                      <w:rPr>
                        <w:sz w:val="24"/>
                        <w:szCs w:val="24"/>
                      </w:rPr>
                      <w:fldChar w:fldCharType="begin"/>
                    </w:r>
                    <w:r>
                      <w:rPr>
                        <w:sz w:val="24"/>
                        <w:szCs w:val="24"/>
                      </w:rPr>
                      <w:instrText xml:space="preserve"> PAGE  \* MERGEFORMAT </w:instrText>
                    </w:r>
                    <w:r>
                      <w:rPr>
                        <w:sz w:val="24"/>
                        <w:szCs w:val="24"/>
                      </w:rPr>
                      <w:fldChar w:fldCharType="separate"/>
                    </w:r>
                    <w:r>
                      <w:rPr>
                        <w:sz w:val="24"/>
                        <w:szCs w:val="24"/>
                      </w:rPr>
                      <w:t>II</w:t>
                    </w:r>
                    <w:r>
                      <w:rPr>
                        <w:sz w:val="24"/>
                        <w:szCs w:val="24"/>
                      </w:rPr>
                      <w:fldChar w:fldCharType="end"/>
                    </w:r>
                  </w:p>
                </w:txbxContent>
              </v:textbox>
            </v:shape>
          </w:pict>
        </mc:Fallback>
      </mc:AlternateContent>
    </w:r>
    <w:r>
      <mc:AlternateContent>
        <mc:Choice Requires="wps">
          <w:drawing>
            <wp:anchor distT="0" distB="0" distL="114300" distR="114300" simplePos="0" relativeHeight="251677696" behindDoc="0" locked="0" layoutInCell="1" allowOverlap="1">
              <wp:simplePos x="0" y="0"/>
              <wp:positionH relativeFrom="margin">
                <wp:align>outside</wp:align>
              </wp:positionH>
              <wp:positionV relativeFrom="paragraph">
                <wp:posOffset>9525</wp:posOffset>
              </wp:positionV>
              <wp:extent cx="1828800" cy="1828800"/>
              <wp:effectExtent l="0" t="0" r="0" b="0"/>
              <wp:wrapNone/>
              <wp:docPr id="133" name="文本框 10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BF656D3">
                          <w:pPr>
                            <w:pStyle w:val="16"/>
                            <w:ind w:firstLine="0" w:firstLineChars="0"/>
                            <w:rPr>
                              <w:sz w:val="28"/>
                              <w:szCs w:val="28"/>
                            </w:rPr>
                          </w:pPr>
                        </w:p>
                      </w:txbxContent>
                    </wps:txbx>
                    <wps:bodyPr vert="horz" wrap="none" lIns="0" tIns="0" rIns="0" bIns="0" anchor="t" anchorCtr="0">
                      <a:spAutoFit/>
                    </wps:bodyPr>
                  </wps:wsp>
                </a:graphicData>
              </a:graphic>
            </wp:anchor>
          </w:drawing>
        </mc:Choice>
        <mc:Fallback>
          <w:pict>
            <v:shape id="文本框 1080" o:spid="_x0000_s1026" o:spt="202" type="#_x0000_t202" style="position:absolute;left:0pt;margin-top:0.75pt;height:144pt;width:144pt;mso-position-horizontal:outside;mso-position-horizontal-relative:margin;mso-wrap-style:none;z-index:251677696;mso-width-relative:page;mso-height-relative:page;" filled="f" stroked="f" coordsize="21600,21600" o:gfxdata="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29EUC0gAAAAYBAAAPAAAAAAAAAAEAIAAA&#10;ACIAAABkcnMvZG93bnJldi54bWxQSwECFAAUAAAACACHTuJAA4NjtNkBAAC3AwAADgAAAAAAAAAB&#10;ACAAAAAhAQAAZHJzL2Uyb0RvYy54bWxQSwUGAAAAAAYABgBZAQAAbAUAAAAA&#10;">
              <v:fill on="f" focussize="0,0"/>
              <v:stroke on="f"/>
              <v:imagedata o:title=""/>
              <o:lock v:ext="edit" aspectratio="f"/>
              <v:textbox inset="0mm,0mm,0mm,0mm" style="mso-fit-shape-to-text:t;">
                <w:txbxContent>
                  <w:p w14:paraId="6BF656D3">
                    <w:pPr>
                      <w:pStyle w:val="16"/>
                      <w:ind w:firstLine="0" w:firstLineChars="0"/>
                      <w:rPr>
                        <w:sz w:val="28"/>
                        <w:szCs w:val="2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CEA9A">
    <w:pPr>
      <w:pStyle w:val="16"/>
      <w:tabs>
        <w:tab w:val="right" w:pos="8845"/>
        <w:tab w:val="clear" w:pos="4153"/>
      </w:tabs>
      <w:ind w:firstLine="0" w:firstLineChars="0"/>
    </w:pPr>
    <w:r>
      <w:rPr>
        <w:sz w:val="1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6D1ED9">
                          <w:pPr>
                            <w:pStyle w:val="16"/>
                            <w:ind w:firstLine="0" w:firstLineChars="0"/>
                          </w:pPr>
                          <w:r>
                            <w:rPr>
                              <w:rFonts w:hint="eastAsia"/>
                            </w:rPr>
                            <w:t xml:space="preserve">- </w:t>
                          </w:r>
                          <w:r>
                            <w:fldChar w:fldCharType="begin"/>
                          </w:r>
                          <w:r>
                            <w:instrText xml:space="preserve"> PAGE  \* MERGEFORMAT </w:instrText>
                          </w:r>
                          <w:r>
                            <w:fldChar w:fldCharType="separate"/>
                          </w:r>
                          <w:r>
                            <w:t>2</w:t>
                          </w:r>
                          <w:r>
                            <w:fldChar w:fldCharType="end"/>
                          </w:r>
                          <w:r>
                            <w:rPr>
                              <w:rFonts w:hint="eastAsia"/>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506D1ED9">
                    <w:pPr>
                      <w:pStyle w:val="16"/>
                      <w:ind w:firstLine="0" w:firstLineChars="0"/>
                    </w:pPr>
                    <w:r>
                      <w:rPr>
                        <w:rFonts w:hint="eastAsia"/>
                      </w:rPr>
                      <w:t xml:space="preserve">- </w:t>
                    </w:r>
                    <w:r>
                      <w:fldChar w:fldCharType="begin"/>
                    </w:r>
                    <w:r>
                      <w:instrText xml:space="preserve"> PAGE  \* MERGEFORMAT </w:instrText>
                    </w:r>
                    <w:r>
                      <w:fldChar w:fldCharType="separate"/>
                    </w:r>
                    <w:r>
                      <w:t>2</w:t>
                    </w:r>
                    <w:r>
                      <w:fldChar w:fldCharType="end"/>
                    </w:r>
                    <w:r>
                      <w:rPr>
                        <w:rFonts w:hint="eastAsia"/>
                      </w:rPr>
                      <w:t xml:space="preserve"> -</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posOffset>3425825</wp:posOffset>
              </wp:positionH>
              <wp:positionV relativeFrom="paragraph">
                <wp:posOffset>50800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664C60">
                          <w:pPr>
                            <w:ind w:firstLine="64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69.75pt;margin-top:4pt;height:144pt;width:144pt;mso-position-horizontal-relative:margin;mso-wrap-style:none;z-index:251666432;mso-width-relative:page;mso-height-relative:page;" filled="f" stroked="f" coordsize="21600,21600" o:gfxdata="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KSYb9YAAAAJAQAADwAAAAAAAAABACAAAAAiAAAAZHJzL2Rvd25yZXYueG1sUEsBAhQA&#10;FAAAAAgAh07iQNY2NaItAgAAVwQAAA4AAAAAAAAAAQAgAAAAJQEAAGRycy9lMm9Eb2MueG1sUEsF&#10;BgAAAAAGAAYAWQEAAMQFAAAAAA==&#10;">
              <v:fill on="f" focussize="0,0"/>
              <v:stroke on="f" weight="0.5pt"/>
              <v:imagedata o:title=""/>
              <o:lock v:ext="edit" aspectratio="f"/>
              <v:textbox inset="0mm,0mm,0mm,0mm" style="mso-fit-shape-to-text:t;">
                <w:txbxContent>
                  <w:p w14:paraId="37664C60">
                    <w:pPr>
                      <w:ind w:firstLine="640"/>
                    </w:pPr>
                  </w:p>
                </w:txbxContent>
              </v:textbox>
            </v:shape>
          </w:pict>
        </mc:Fallback>
      </mc:AlternateContent>
    </w:r>
    <w:r>
      <w:rPr>
        <w:sz w:val="18"/>
      </w:rPr>
      <mc:AlternateContent>
        <mc:Choice Requires="wps">
          <w:drawing>
            <wp:anchor distT="0" distB="0" distL="114300" distR="114300" simplePos="0" relativeHeight="251665408"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95"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7B4CE176">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65408;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2yHSHXAAAACQEAAA8AAAAAAAAAAQAgAAAAIgAAAGRycy9kb3ducmV2&#10;LnhtbFBLAQIUABQAAAAIAIdO4kAK2TlYNgIAAGMEAAAOAAAAAAAAAAEAIAAAACYBAABkcnMvZTJv&#10;RG9jLnhtbFBLBQYAAAAABgAGAFkBAADOBQAAAAA=&#10;">
              <v:fill on="f" focussize="0,0"/>
              <v:stroke on="f" weight="0.5pt"/>
              <v:imagedata o:title=""/>
              <o:lock v:ext="edit" aspectratio="f"/>
              <v:textbox inset="0mm,0mm,0mm,0mm">
                <w:txbxContent>
                  <w:p w14:paraId="7B4CE176">
                    <w:pPr>
                      <w:ind w:firstLine="0" w:firstLineChars="0"/>
                    </w:pPr>
                  </w:p>
                </w:txbxContent>
              </v:textbox>
            </v:shape>
          </w:pict>
        </mc:Fallback>
      </mc:AlternateContent>
    </w: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9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4767188">
                          <w:pPr>
                            <w:ind w:firstLine="64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EeAWUzAgAAZAQAAA4AAABkcnMvZTJvRG9jLnhtbK1UzY7TMBC+I/EO&#10;lu80bRFVqZ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EeAWUzAgAAZAQAAA4AAAAAAAAAAQAgAAAAHwEAAGRycy9lMm9Eb2MueG1sUEsF&#10;BgAAAAAGAAYAWQEAAMQFAAAAAA==&#10;">
              <v:fill on="f" focussize="0,0"/>
              <v:stroke on="f" weight="0.5pt"/>
              <v:imagedata o:title=""/>
              <o:lock v:ext="edit" aspectratio="f"/>
              <v:textbox inset="0mm,0mm,0mm,0mm" style="mso-fit-shape-to-text:t;">
                <w:txbxContent>
                  <w:p w14:paraId="74767188">
                    <w:pPr>
                      <w:ind w:firstLine="640"/>
                    </w:pPr>
                  </w:p>
                </w:txbxContent>
              </v:textbox>
            </v:shape>
          </w:pict>
        </mc:Fallback>
      </mc:AlternateContent>
    </w:r>
    <w:r>
      <w:rPr>
        <w:rFonts w:hint="eastAsia"/>
      </w:rPr>
      <w:tab/>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BA160">
    <w:pPr>
      <w:pStyle w:val="16"/>
      <w:tabs>
        <w:tab w:val="right" w:pos="8845"/>
        <w:tab w:val="clear" w:pos="4153"/>
      </w:tabs>
      <w:ind w:firstLine="0" w:firstLineChars="0"/>
    </w:pPr>
    <w: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4" name="文本框 10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1E4E1C5">
                          <w:pPr>
                            <w:pStyle w:val="16"/>
                            <w:ind w:firstLine="0" w:firstLineChars="0"/>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11</w:t>
                          </w:r>
                          <w:r>
                            <w:rPr>
                              <w:sz w:val="24"/>
                              <w:szCs w:val="24"/>
                            </w:rPr>
                            <w:fldChar w:fldCharType="end"/>
                          </w:r>
                          <w:r>
                            <w:rPr>
                              <w:sz w:val="24"/>
                              <w:szCs w:val="24"/>
                            </w:rPr>
                            <w:t xml:space="preserve"> —</w:t>
                          </w:r>
                        </w:p>
                      </w:txbxContent>
                    </wps:txbx>
                    <wps:bodyPr vert="horz" wrap="none" lIns="0" tIns="0" rIns="0" bIns="0" anchor="t" anchorCtr="0">
                      <a:spAutoFit/>
                    </wps:bodyPr>
                  </wps:wsp>
                </a:graphicData>
              </a:graphic>
            </wp:anchor>
          </w:drawing>
        </mc:Choice>
        <mc:Fallback>
          <w:pict>
            <v:shape id="文本框 1077"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6pebnPAAAABQEAAA8AAAAAAAAAAQAgAAAA&#10;IgAAAGRycy9kb3ducmV2LnhtbFBLAQIUABQAAAAIAIdO4kCzlFmM2wEAALcDAAAOAAAAAAAAAAEA&#10;IAAAAB4BAABkcnMvZTJvRG9jLnhtbFBLBQYAAAAABgAGAFkBAABrBQAAAAA=&#10;">
              <v:fill on="f" focussize="0,0"/>
              <v:stroke on="f"/>
              <v:imagedata o:title=""/>
              <o:lock v:ext="edit" aspectratio="f"/>
              <v:textbox inset="0mm,0mm,0mm,0mm" style="mso-fit-shape-to-text:t;">
                <w:txbxContent>
                  <w:p w14:paraId="31E4E1C5">
                    <w:pPr>
                      <w:pStyle w:val="16"/>
                      <w:ind w:firstLine="0" w:firstLineChars="0"/>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11</w:t>
                    </w:r>
                    <w:r>
                      <w:rPr>
                        <w:sz w:val="24"/>
                        <w:szCs w:val="24"/>
                      </w:rPr>
                      <w:fldChar w:fldCharType="end"/>
                    </w:r>
                    <w:r>
                      <w:rPr>
                        <w:sz w:val="24"/>
                        <w:szCs w:val="24"/>
                      </w:rPr>
                      <w:t xml:space="preserve"> —</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135"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76698E36">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66432;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2yHSHXAAAACQEAAA8AAAAAAAAAAQAgAAAAIgAAAGRycy9kb3ducmV2&#10;LnhtbFBLAQIUABQAAAAIAIdO4kAXfeWfNgIAAGQEAAAOAAAAAAAAAAEAIAAAACYBAABkcnMvZTJv&#10;RG9jLnhtbFBLBQYAAAAABgAGAFkBAADOBQAAAAA=&#10;">
              <v:fill on="f" focussize="0,0"/>
              <v:stroke on="f" weight="0.5pt"/>
              <v:imagedata o:title=""/>
              <o:lock v:ext="edit" aspectratio="f"/>
              <v:textbox inset="0mm,0mm,0mm,0mm">
                <w:txbxContent>
                  <w:p w14:paraId="76698E36">
                    <w:pPr>
                      <w:ind w:firstLine="0" w:firstLineChars="0"/>
                    </w:pP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4F384E0">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7K7ABjICAABlBAAADgAAAAAAAAABACAAAAAfAQAAZHJzL2Uyb0RvYy54bWxQSwUG&#10;AAAAAAYABgBZAQAAwwUAAAAA&#10;">
              <v:fill on="f" focussize="0,0"/>
              <v:stroke on="f" weight="0.5pt"/>
              <v:imagedata o:title=""/>
              <o:lock v:ext="edit" aspectratio="f"/>
              <v:textbox inset="0mm,0mm,0mm,0mm" style="mso-fit-shape-to-text:t;">
                <w:txbxContent>
                  <w:p w14:paraId="34F384E0">
                    <w:pPr>
                      <w:ind w:firstLine="0" w:firstLineChars="0"/>
                    </w:pP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E036E">
    <w:pPr>
      <w:pStyle w:val="16"/>
      <w:tabs>
        <w:tab w:val="left" w:pos="5016"/>
        <w:tab w:val="clear" w:pos="4153"/>
      </w:tabs>
      <w:ind w:firstLine="0" w:firstLineChars="0"/>
    </w:pPr>
    <w: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7" name="文本框 10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575BBD">
                          <w:pPr>
                            <w:pStyle w:val="16"/>
                            <w:ind w:firstLine="0" w:firstLineChars="0"/>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10</w:t>
                          </w:r>
                          <w:r>
                            <w:rPr>
                              <w:sz w:val="24"/>
                              <w:szCs w:val="24"/>
                            </w:rPr>
                            <w:fldChar w:fldCharType="end"/>
                          </w:r>
                          <w:r>
                            <w:rPr>
                              <w:sz w:val="24"/>
                              <w:szCs w:val="24"/>
                            </w:rPr>
                            <w:t xml:space="preserve"> —</w:t>
                          </w:r>
                        </w:p>
                      </w:txbxContent>
                    </wps:txbx>
                    <wps:bodyPr vert="horz" wrap="none" lIns="0" tIns="0" rIns="0" bIns="0" anchor="t" anchorCtr="0">
                      <a:spAutoFit/>
                    </wps:bodyPr>
                  </wps:wsp>
                </a:graphicData>
              </a:graphic>
            </wp:anchor>
          </w:drawing>
        </mc:Choice>
        <mc:Fallback>
          <w:pict>
            <v:shape id="文本框 1078"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6pebnPAAAABQEAAA8AAAAAAAAAAQAgAAAA&#10;IgAAAGRycy9kb3ducmV2LnhtbFBLAQIUABQAAAAIAIdO4kADhH7Z2wEAALcDAAAOAAAAAAAAAAEA&#10;IAAAAB4BAABkcnMvZTJvRG9jLnhtbFBLBQYAAAAABgAGAFkBAABrBQAAAAA=&#10;">
              <v:fill on="f" focussize="0,0"/>
              <v:stroke on="f"/>
              <v:imagedata o:title=""/>
              <o:lock v:ext="edit" aspectratio="f"/>
              <v:textbox inset="0mm,0mm,0mm,0mm" style="mso-fit-shape-to-text:t;">
                <w:txbxContent>
                  <w:p w14:paraId="5A575BBD">
                    <w:pPr>
                      <w:pStyle w:val="16"/>
                      <w:ind w:firstLine="0" w:firstLineChars="0"/>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10</w:t>
                    </w:r>
                    <w:r>
                      <w:rPr>
                        <w:sz w:val="24"/>
                        <w:szCs w:val="24"/>
                      </w:rPr>
                      <w:fldChar w:fldCharType="end"/>
                    </w:r>
                    <w:r>
                      <w:rPr>
                        <w:sz w:val="24"/>
                        <w:szCs w:val="24"/>
                      </w:rPr>
                      <w:t xml:space="preserve"> —</w:t>
                    </w:r>
                  </w:p>
                </w:txbxContent>
              </v:textbox>
            </v:shape>
          </w:pict>
        </mc:Fallback>
      </mc:AlternateContent>
    </w:r>
    <w:r>
      <w:rPr>
        <w:rFonts w:hint="eastAsia"/>
      </w:rPr>
      <w:tab/>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0CCC4">
    <w:pPr>
      <w:pStyle w:val="16"/>
      <w:tabs>
        <w:tab w:val="right" w:pos="8845"/>
        <w:tab w:val="clear" w:pos="4153"/>
      </w:tabs>
      <w:ind w:firstLine="0" w:firstLineChars="0"/>
    </w:pPr>
    <w: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4" name="文本框 10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5F05CEF">
                          <w:pPr>
                            <w:pStyle w:val="16"/>
                            <w:ind w:firstLine="0" w:firstLineChars="0"/>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13</w:t>
                          </w:r>
                          <w:r>
                            <w:rPr>
                              <w:sz w:val="24"/>
                              <w:szCs w:val="24"/>
                            </w:rPr>
                            <w:fldChar w:fldCharType="end"/>
                          </w:r>
                          <w:r>
                            <w:rPr>
                              <w:sz w:val="24"/>
                              <w:szCs w:val="24"/>
                            </w:rPr>
                            <w:t xml:space="preserve"> —</w:t>
                          </w:r>
                        </w:p>
                      </w:txbxContent>
                    </wps:txbx>
                    <wps:bodyPr vert="horz" wrap="none" lIns="0" tIns="0" rIns="0" bIns="0" anchor="t" anchorCtr="0">
                      <a:spAutoFit/>
                    </wps:bodyPr>
                  </wps:wsp>
                </a:graphicData>
              </a:graphic>
            </wp:anchor>
          </w:drawing>
        </mc:Choice>
        <mc:Fallback>
          <w:pict>
            <v:shape id="文本框 1077"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6pebnPAAAABQEAAA8AAAAAAAAAAQAgAAAA&#10;IgAAAGRycy9kb3ducmV2LnhtbFBLAQIUABQAAAAIAIdO4kCJZAMd2wEAALYDAAAOAAAAAAAAAAEA&#10;IAAAAB4BAABkcnMvZTJvRG9jLnhtbFBLBQYAAAAABgAGAFkBAABrBQAAAAA=&#10;">
              <v:fill on="f" focussize="0,0"/>
              <v:stroke on="f"/>
              <v:imagedata o:title=""/>
              <o:lock v:ext="edit" aspectratio="f"/>
              <v:textbox inset="0mm,0mm,0mm,0mm" style="mso-fit-shape-to-text:t;">
                <w:txbxContent>
                  <w:p w14:paraId="25F05CEF">
                    <w:pPr>
                      <w:pStyle w:val="16"/>
                      <w:ind w:firstLine="0" w:firstLineChars="0"/>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13</w:t>
                    </w:r>
                    <w:r>
                      <w:rPr>
                        <w:sz w:val="24"/>
                        <w:szCs w:val="24"/>
                      </w:rPr>
                      <w:fldChar w:fldCharType="end"/>
                    </w:r>
                    <w:r>
                      <w:rPr>
                        <w:sz w:val="24"/>
                        <w:szCs w:val="24"/>
                      </w:rPr>
                      <w:t xml:space="preserve"> —</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85"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5B6839AD">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66432;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2yHSHXAAAACQEAAA8AAAAAAAAAAQAgAAAAIgAAAGRycy9kb3ducmV2&#10;LnhtbFBLAQIUABQAAAAIAIdO4kCMMmUeNgIAAGMEAAAOAAAAAAAAAAEAIAAAACYBAABkcnMvZTJv&#10;RG9jLnhtbFBLBQYAAAAABgAGAFkBAADOBQAAAAA=&#10;">
              <v:fill on="f" focussize="0,0"/>
              <v:stroke on="f" weight="0.5pt"/>
              <v:imagedata o:title=""/>
              <o:lock v:ext="edit" aspectratio="f"/>
              <v:textbox inset="0mm,0mm,0mm,0mm">
                <w:txbxContent>
                  <w:p w14:paraId="5B6839AD">
                    <w:pPr>
                      <w:ind w:firstLine="0" w:firstLineChars="0"/>
                    </w:pP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8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5DAF801">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9knGEyAgAAZA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b2ScYTICAABkBAAADgAAAAAAAAABACAAAAAfAQAAZHJzL2Uyb0RvYy54bWxQSwUG&#10;AAAAAAYABgBZAQAAwwUAAAAA&#10;">
              <v:fill on="f" focussize="0,0"/>
              <v:stroke on="f" weight="0.5pt"/>
              <v:imagedata o:title=""/>
              <o:lock v:ext="edit" aspectratio="f"/>
              <v:textbox inset="0mm,0mm,0mm,0mm" style="mso-fit-shape-to-text:t;">
                <w:txbxContent>
                  <w:p w14:paraId="75DAF801">
                    <w:pPr>
                      <w:ind w:firstLine="0" w:firstLineChars="0"/>
                    </w:pP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C5989">
    <w:pPr>
      <w:pStyle w:val="16"/>
      <w:tabs>
        <w:tab w:val="left" w:pos="5016"/>
        <w:tab w:val="clear" w:pos="4153"/>
      </w:tabs>
      <w:ind w:firstLine="0" w:firstLineChars="0"/>
    </w:pPr>
    <w: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0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A9584D4">
                          <w:pPr>
                            <w:pStyle w:val="16"/>
                            <w:ind w:firstLine="0" w:firstLineChars="0"/>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14</w:t>
                          </w:r>
                          <w:r>
                            <w:rPr>
                              <w:sz w:val="24"/>
                              <w:szCs w:val="24"/>
                            </w:rPr>
                            <w:fldChar w:fldCharType="end"/>
                          </w:r>
                          <w:r>
                            <w:rPr>
                              <w:sz w:val="24"/>
                              <w:szCs w:val="24"/>
                            </w:rPr>
                            <w:t xml:space="preserve"> —</w:t>
                          </w:r>
                        </w:p>
                      </w:txbxContent>
                    </wps:txbx>
                    <wps:bodyPr vert="horz" wrap="none" lIns="0" tIns="0" rIns="0" bIns="0" anchor="t" anchorCtr="0">
                      <a:spAutoFit/>
                    </wps:bodyPr>
                  </wps:wsp>
                </a:graphicData>
              </a:graphic>
            </wp:anchor>
          </w:drawing>
        </mc:Choice>
        <mc:Fallback>
          <w:pict>
            <v:shape id="文本框 1078"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zql5uc8AAAAFAQAADwAAAAAAAAABACAAAAAi&#10;AAAAZHJzL2Rvd25yZXYueG1sUEsBAhQAFAAAAAgAh07iQKZVJivaAQAAtgMAAA4AAAAAAAAAAQAg&#10;AAAAHgEAAGRycy9lMm9Eb2MueG1sUEsFBgAAAAAGAAYAWQEAAGoFAAAAAA==&#10;">
              <v:fill on="f" focussize="0,0"/>
              <v:stroke on="f"/>
              <v:imagedata o:title=""/>
              <o:lock v:ext="edit" aspectratio="f"/>
              <v:textbox inset="0mm,0mm,0mm,0mm" style="mso-fit-shape-to-text:t;">
                <w:txbxContent>
                  <w:p w14:paraId="2A9584D4">
                    <w:pPr>
                      <w:pStyle w:val="16"/>
                      <w:ind w:firstLine="0" w:firstLineChars="0"/>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14</w:t>
                    </w:r>
                    <w:r>
                      <w:rPr>
                        <w:sz w:val="24"/>
                        <w:szCs w:val="24"/>
                      </w:rPr>
                      <w:fldChar w:fldCharType="end"/>
                    </w:r>
                    <w:r>
                      <w:rPr>
                        <w:sz w:val="24"/>
                        <w:szCs w:val="24"/>
                      </w:rPr>
                      <w:t xml:space="preserve"> —</w:t>
                    </w:r>
                  </w:p>
                </w:txbxContent>
              </v:textbox>
            </v:shape>
          </w:pict>
        </mc:Fallback>
      </mc:AlternateContent>
    </w:r>
    <w:r>
      <w:rPr>
        <w:rFonts w:hint="eastAsia"/>
      </w:rPr>
      <w:tab/>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B8A21">
    <w:pPr>
      <w:pStyle w:val="16"/>
      <w:tabs>
        <w:tab w:val="right" w:pos="8845"/>
        <w:tab w:val="clear" w:pos="4153"/>
      </w:tabs>
      <w:ind w:firstLine="0" w:firstLineChars="0"/>
    </w:pPr>
    <w:r>
      <mc:AlternateContent>
        <mc:Choice Requires="wps">
          <w:drawing>
            <wp:anchor distT="0" distB="0" distL="114300" distR="114300" simplePos="0" relativeHeight="251664384"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139"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7919F647">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64384;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2yHSHXAAAACQEAAA8AAAAAAAAAAQAgAAAAIgAAAGRycy9kb3ducmV2&#10;LnhtbFBLAQIUABQAAAAIAIdO4kCSeGw7NgIAAGQEAAAOAAAAAAAAAAEAIAAAACYBAABkcnMvZTJv&#10;RG9jLnhtbFBLBQYAAAAABgAGAFkBAADOBQAAAAA=&#10;">
              <v:fill on="f" focussize="0,0"/>
              <v:stroke on="f" weight="0.5pt"/>
              <v:imagedata o:title=""/>
              <o:lock v:ext="edit" aspectratio="f"/>
              <v:textbox inset="0mm,0mm,0mm,0mm">
                <w:txbxContent>
                  <w:p w14:paraId="7919F647">
                    <w:pPr>
                      <w:ind w:firstLine="0" w:firstLineChars="0"/>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900BB14">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O1qVc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Q7WpVzICAABlBAAADgAAAAAAAAABACAAAAAfAQAAZHJzL2Uyb0RvYy54bWxQSwUG&#10;AAAAAAYABgBZAQAAwwUAAAAA&#10;">
              <v:fill on="f" focussize="0,0"/>
              <v:stroke on="f" weight="0.5pt"/>
              <v:imagedata o:title=""/>
              <o:lock v:ext="edit" aspectratio="f"/>
              <v:textbox inset="0mm,0mm,0mm,0mm" style="mso-fit-shape-to-text:t;">
                <w:txbxContent>
                  <w:p w14:paraId="2900BB14">
                    <w:pPr>
                      <w:ind w:firstLine="0" w:firstLineChars="0"/>
                    </w:pPr>
                  </w:p>
                </w:txbxContent>
              </v:textbox>
            </v:shape>
          </w:pict>
        </mc:Fallback>
      </mc:AlternateContent>
    </w:r>
    <w:r>
      <w:rPr>
        <w:rFonts w:hint="eastAsia"/>
      </w:rPr>
      <w:tab/>
    </w:r>
    <w:r>
      <w:rPr>
        <w:rFonts w:hint="eastAsia"/>
      </w:rPr>
      <w:tab/>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C2F09">
    <w:pPr>
      <w:pStyle w:val="16"/>
      <w:tabs>
        <w:tab w:val="right" w:pos="8845"/>
        <w:tab w:val="clear" w:pos="4153"/>
      </w:tabs>
      <w:ind w:firstLine="0" w:firstLineChars="0"/>
    </w:pPr>
    <w:r>
      <mc:AlternateContent>
        <mc:Choice Requires="wps">
          <w:drawing>
            <wp:anchor distT="0" distB="0" distL="114300" distR="114300" simplePos="0" relativeHeight="2516746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5" name="文本框 1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51ADA6">
                          <w:pPr>
                            <w:pStyle w:val="16"/>
                            <w:ind w:firstLine="0" w:firstLineChars="0"/>
                          </w:pPr>
                          <w:r>
                            <w:rPr>
                              <w:sz w:val="24"/>
                              <w:szCs w:val="24"/>
                            </w:rPr>
                            <w:fldChar w:fldCharType="begin"/>
                          </w:r>
                          <w:r>
                            <w:rPr>
                              <w:sz w:val="24"/>
                              <w:szCs w:val="24"/>
                            </w:rPr>
                            <w:instrText xml:space="preserve"> PAGE  \* MERGEFORMAT </w:instrText>
                          </w:r>
                          <w:r>
                            <w:rPr>
                              <w:sz w:val="24"/>
                              <w:szCs w:val="24"/>
                            </w:rPr>
                            <w:fldChar w:fldCharType="separate"/>
                          </w:r>
                          <w:r>
                            <w:rPr>
                              <w:sz w:val="24"/>
                              <w:szCs w:val="24"/>
                            </w:rPr>
                            <w:t>III</w:t>
                          </w:r>
                          <w:r>
                            <w:rPr>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JA78tAgAAWQ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KbK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CP1mWdjoB8sj&#10;dBTP2+U+QMCkaxSlV+KsFTouVeY8HbGl/9ynqMc/wu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bJA78tAgAAWQQAAA4AAAAAAAAAAQAgAAAAHwEAAGRycy9lMm9Eb2MueG1sUEsFBgAAAAAG&#10;AAYAWQEAAL4FAAAAAA==&#10;">
              <v:fill on="f" focussize="0,0"/>
              <v:stroke on="f" weight="0.5pt"/>
              <v:imagedata o:title=""/>
              <o:lock v:ext="edit" aspectratio="f"/>
              <v:textbox inset="0mm,0mm,0mm,0mm" style="mso-fit-shape-to-text:t;">
                <w:txbxContent>
                  <w:p w14:paraId="1151ADA6">
                    <w:pPr>
                      <w:pStyle w:val="16"/>
                      <w:ind w:firstLine="0" w:firstLineChars="0"/>
                    </w:pPr>
                    <w:r>
                      <w:rPr>
                        <w:sz w:val="24"/>
                        <w:szCs w:val="24"/>
                      </w:rPr>
                      <w:fldChar w:fldCharType="begin"/>
                    </w:r>
                    <w:r>
                      <w:rPr>
                        <w:sz w:val="24"/>
                        <w:szCs w:val="24"/>
                      </w:rPr>
                      <w:instrText xml:space="preserve"> PAGE  \* MERGEFORMAT </w:instrText>
                    </w:r>
                    <w:r>
                      <w:rPr>
                        <w:sz w:val="24"/>
                        <w:szCs w:val="24"/>
                      </w:rPr>
                      <w:fldChar w:fldCharType="separate"/>
                    </w:r>
                    <w:r>
                      <w:rPr>
                        <w:sz w:val="24"/>
                        <w:szCs w:val="24"/>
                      </w:rPr>
                      <w:t>III</w:t>
                    </w:r>
                    <w:r>
                      <w:rPr>
                        <w:sz w:val="24"/>
                        <w:szCs w:val="24"/>
                      </w:rPr>
                      <w:fldChar w:fldCharType="end"/>
                    </w: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margin">
                <wp:posOffset>5495925</wp:posOffset>
              </wp:positionH>
              <wp:positionV relativeFrom="paragraph">
                <wp:posOffset>-38100</wp:posOffset>
              </wp:positionV>
              <wp:extent cx="1828800" cy="1828800"/>
              <wp:effectExtent l="0" t="0" r="0" b="0"/>
              <wp:wrapNone/>
              <wp:docPr id="146" name="文本框 10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78EB01">
                          <w:pPr>
                            <w:pStyle w:val="16"/>
                            <w:ind w:firstLine="0" w:firstLineChars="0"/>
                          </w:pPr>
                        </w:p>
                      </w:txbxContent>
                    </wps:txbx>
                    <wps:bodyPr vert="horz" wrap="none" lIns="0" tIns="0" rIns="0" bIns="0" anchor="t" anchorCtr="0">
                      <a:spAutoFit/>
                    </wps:bodyPr>
                  </wps:wsp>
                </a:graphicData>
              </a:graphic>
            </wp:anchor>
          </w:drawing>
        </mc:Choice>
        <mc:Fallback>
          <w:pict>
            <v:shape id="文本框 1079" o:spid="_x0000_s1026" o:spt="202" type="#_x0000_t202" style="position:absolute;left:0pt;margin-left:432.75pt;margin-top:-3pt;height:144pt;width:144pt;mso-position-horizontal-relative:margin;mso-wrap-style:none;z-index:251673600;mso-width-relative:page;mso-height-relative:page;" filled="f" stroked="f" coordsize="21600,21600" o:gfxdata="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NT1cftcAAAALAQAADwAAAAAA&#10;AAABACAAAAAiAAAAZHJzL2Rvd25yZXYueG1sUEsBAhQAFAAAAAgAh07iQD9xbz7bAQAAtwMAAA4A&#10;AAAAAAAAAQAgAAAAJgEAAGRycy9lMm9Eb2MueG1sUEsFBgAAAAAGAAYAWQEAAHMFAAAAAA==&#10;">
              <v:fill on="f" focussize="0,0"/>
              <v:stroke on="f"/>
              <v:imagedata o:title=""/>
              <o:lock v:ext="edit" aspectratio="f"/>
              <v:textbox inset="0mm,0mm,0mm,0mm" style="mso-fit-shape-to-text:t;">
                <w:txbxContent>
                  <w:p w14:paraId="5A78EB01">
                    <w:pPr>
                      <w:pStyle w:val="16"/>
                      <w:ind w:firstLine="0" w:firstLineChars="0"/>
                    </w:pP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147"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08D4E886">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72576;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tsh0h1wAAAAkBAAAPAAAAAAAAAAEAIAAAACIAAABkcnMvZG93bnJl&#10;di54bWxQSwECFAAUAAAACACHTuJAmhap/TcCAABkBAAADgAAAAAAAAABACAAAAAmAQAAZHJzL2Uy&#10;b0RvYy54bWxQSwUGAAAAAAYABgBZAQAAzwUAAAAA&#10;">
              <v:fill on="f" focussize="0,0"/>
              <v:stroke on="f" weight="0.5pt"/>
              <v:imagedata o:title=""/>
              <o:lock v:ext="edit" aspectratio="f"/>
              <v:textbox inset="0mm,0mm,0mm,0mm">
                <w:txbxContent>
                  <w:p w14:paraId="08D4E886">
                    <w:pPr>
                      <w:ind w:firstLine="0" w:firstLineChars="0"/>
                    </w:pP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EF7EE34">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j3Q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sOPdCDICAABlBAAADgAAAAAAAAABACAAAAAfAQAAZHJzL2Uyb0RvYy54bWxQSwUG&#10;AAAAAAYABgBZAQAAwwUAAAAA&#10;">
              <v:fill on="f" focussize="0,0"/>
              <v:stroke on="f" weight="0.5pt"/>
              <v:imagedata o:title=""/>
              <o:lock v:ext="edit" aspectratio="f"/>
              <v:textbox inset="0mm,0mm,0mm,0mm" style="mso-fit-shape-to-text:t;">
                <w:txbxContent>
                  <w:p w14:paraId="6EF7EE34">
                    <w:pPr>
                      <w:ind w:firstLine="0" w:firstLineChars="0"/>
                    </w:pPr>
                  </w:p>
                </w:txbxContent>
              </v:textbox>
            </v:shape>
          </w:pict>
        </mc:Fallback>
      </mc:AlternateContent>
    </w:r>
    <w:r>
      <w:rPr>
        <w:rFonts w:hint="eastAsia"/>
      </w:rPr>
      <w:tab/>
    </w:r>
    <w:r>
      <w:rPr>
        <w:rFonts w:hint="eastAsia"/>
      </w:rPr>
      <w:tab/>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B0A45A">
    <w:pPr>
      <w:pStyle w:val="16"/>
      <w:ind w:firstLine="360"/>
    </w:pPr>
    <w:r>
      <mc:AlternateContent>
        <mc:Choice Requires="wps">
          <w:drawing>
            <wp:anchor distT="0" distB="0" distL="114300" distR="114300" simplePos="0" relativeHeight="2516766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3E3DE4">
                          <w:pPr>
                            <w:pStyle w:val="16"/>
                            <w:ind w:firstLine="0" w:firstLineChars="0"/>
                          </w:pPr>
                          <w:r>
                            <w:rPr>
                              <w:sz w:val="24"/>
                              <w:szCs w:val="24"/>
                            </w:rPr>
                            <w:fldChar w:fldCharType="begin"/>
                          </w:r>
                          <w:r>
                            <w:rPr>
                              <w:sz w:val="24"/>
                              <w:szCs w:val="24"/>
                            </w:rPr>
                            <w:instrText xml:space="preserve"> PAGE  \* MERGEFORMAT </w:instrText>
                          </w:r>
                          <w:r>
                            <w:rPr>
                              <w:sz w:val="24"/>
                              <w:szCs w:val="24"/>
                            </w:rPr>
                            <w:fldChar w:fldCharType="separate"/>
                          </w:r>
                          <w:r>
                            <w:rPr>
                              <w:sz w:val="24"/>
                              <w:szCs w:val="24"/>
                            </w:rPr>
                            <w:t>II</w:t>
                          </w:r>
                          <w:r>
                            <w:rPr>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xFMpQtAgAAWQQAAA4AAABkcnMvZTJvRG9jLnhtbK1UzY7TMBC+I/EO&#10;lu80aYFV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xFMpQtAgAAWQQAAA4AAAAAAAAAAQAgAAAAHwEAAGRycy9lMm9Eb2MueG1sUEsFBgAAAAAG&#10;AAYAWQEAAL4FAAAAAA==&#10;">
              <v:fill on="f" focussize="0,0"/>
              <v:stroke on="f" weight="0.5pt"/>
              <v:imagedata o:title=""/>
              <o:lock v:ext="edit" aspectratio="f"/>
              <v:textbox inset="0mm,0mm,0mm,0mm" style="mso-fit-shape-to-text:t;">
                <w:txbxContent>
                  <w:p w14:paraId="473E3DE4">
                    <w:pPr>
                      <w:pStyle w:val="16"/>
                      <w:ind w:firstLine="0" w:firstLineChars="0"/>
                    </w:pPr>
                    <w:r>
                      <w:rPr>
                        <w:sz w:val="24"/>
                        <w:szCs w:val="24"/>
                      </w:rPr>
                      <w:fldChar w:fldCharType="begin"/>
                    </w:r>
                    <w:r>
                      <w:rPr>
                        <w:sz w:val="24"/>
                        <w:szCs w:val="24"/>
                      </w:rPr>
                      <w:instrText xml:space="preserve"> PAGE  \* MERGEFORMAT </w:instrText>
                    </w:r>
                    <w:r>
                      <w:rPr>
                        <w:sz w:val="24"/>
                        <w:szCs w:val="24"/>
                      </w:rPr>
                      <w:fldChar w:fldCharType="separate"/>
                    </w:r>
                    <w:r>
                      <w:rPr>
                        <w:sz w:val="24"/>
                        <w:szCs w:val="24"/>
                      </w:rPr>
                      <w:t>II</w:t>
                    </w:r>
                    <w:r>
                      <w:rPr>
                        <w:sz w:val="24"/>
                        <w:szCs w:val="24"/>
                      </w:rPr>
                      <w:fldChar w:fldCharType="end"/>
                    </w: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margin">
                <wp:align>outside</wp:align>
              </wp:positionH>
              <wp:positionV relativeFrom="paragraph">
                <wp:posOffset>9525</wp:posOffset>
              </wp:positionV>
              <wp:extent cx="1828800" cy="1828800"/>
              <wp:effectExtent l="0" t="0" r="0" b="0"/>
              <wp:wrapNone/>
              <wp:docPr id="150" name="文本框 10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19DFD9C">
                          <w:pPr>
                            <w:pStyle w:val="16"/>
                            <w:ind w:firstLine="0" w:firstLineChars="0"/>
                            <w:rPr>
                              <w:sz w:val="28"/>
                              <w:szCs w:val="28"/>
                            </w:rPr>
                          </w:pPr>
                        </w:p>
                      </w:txbxContent>
                    </wps:txbx>
                    <wps:bodyPr vert="horz" wrap="none" lIns="0" tIns="0" rIns="0" bIns="0" anchor="t" anchorCtr="0">
                      <a:spAutoFit/>
                    </wps:bodyPr>
                  </wps:wsp>
                </a:graphicData>
              </a:graphic>
            </wp:anchor>
          </w:drawing>
        </mc:Choice>
        <mc:Fallback>
          <w:pict>
            <v:shape id="文本框 1080" o:spid="_x0000_s1026" o:spt="202" type="#_x0000_t202" style="position:absolute;left:0pt;margin-top:0.75pt;height:144pt;width:144pt;mso-position-horizontal:outside;mso-position-horizontal-relative:margin;mso-wrap-style:none;z-index:251675648;mso-width-relative:page;mso-height-relative:page;" filled="f" stroked="f" coordsize="21600,21600" o:gfxdata="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29EUC0gAAAAYBAAAPAAAAAAAAAAEAIAAA&#10;ACIAAABkcnMvZG93bnJldi54bWxQSwECFAAUAAAACACHTuJAFaLwtdkBAAC3AwAADgAAAAAAAAAB&#10;ACAAAAAhAQAAZHJzL2Uyb0RvYy54bWxQSwUGAAAAAAYABgBZAQAAbAUAAAAA&#10;">
              <v:fill on="f" focussize="0,0"/>
              <v:stroke on="f"/>
              <v:imagedata o:title=""/>
              <o:lock v:ext="edit" aspectratio="f"/>
              <v:textbox inset="0mm,0mm,0mm,0mm" style="mso-fit-shape-to-text:t;">
                <w:txbxContent>
                  <w:p w14:paraId="119DFD9C">
                    <w:pPr>
                      <w:pStyle w:val="16"/>
                      <w:ind w:firstLine="0" w:firstLineChars="0"/>
                      <w:rPr>
                        <w:sz w:val="28"/>
                        <w:szCs w:val="28"/>
                      </w:rPr>
                    </w:pP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C1C228">
    <w:pPr>
      <w:pStyle w:val="16"/>
      <w:tabs>
        <w:tab w:val="right" w:pos="8845"/>
        <w:tab w:val="clear" w:pos="4153"/>
      </w:tabs>
      <w:ind w:firstLine="0" w:firstLineChars="0"/>
    </w:pPr>
    <w:r>
      <mc:AlternateContent>
        <mc:Choice Requires="wps">
          <w:drawing>
            <wp:anchor distT="0" distB="0" distL="114300" distR="114300" simplePos="0" relativeHeight="25167974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3" name="文本框 10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1217F52">
                          <w:pPr>
                            <w:pStyle w:val="16"/>
                            <w:ind w:firstLine="0" w:firstLineChars="0"/>
                            <w:rPr>
                              <w:sz w:val="24"/>
                              <w:szCs w:val="24"/>
                            </w:rPr>
                          </w:pPr>
                          <w:r>
                            <w:rPr>
                              <w:sz w:val="24"/>
                              <w:szCs w:val="24"/>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4"/>
                              <w:szCs w:val="24"/>
                            </w:rPr>
                            <w:t xml:space="preserve"> —</w:t>
                          </w:r>
                        </w:p>
                      </w:txbxContent>
                    </wps:txbx>
                    <wps:bodyPr vert="horz" wrap="none" lIns="0" tIns="0" rIns="0" bIns="0" anchor="t" anchorCtr="0">
                      <a:spAutoFit/>
                    </wps:bodyPr>
                  </wps:wsp>
                </a:graphicData>
              </a:graphic>
            </wp:anchor>
          </w:drawing>
        </mc:Choice>
        <mc:Fallback>
          <w:pict>
            <v:shape id="文本框 1077" o:spid="_x0000_s1026" o:spt="202" type="#_x0000_t202" style="position:absolute;left:0pt;margin-top:0pt;height:144pt;width:144pt;mso-position-horizontal:outside;mso-position-horizontal-relative:margin;mso-wrap-style:none;z-index:2516797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6pebnPAAAABQEAAA8AAAAAAAAAAQAgAAAA&#10;IgAAAGRycy9kb3ducmV2LnhtbFBLAQIUABQAAAAIAIdO4kBbNZQ62wEAALcDAAAOAAAAAAAAAAEA&#10;IAAAAB4BAABkcnMvZTJvRG9jLnhtbFBLBQYAAAAABgAGAFkBAABrBQAAAAA=&#10;">
              <v:fill on="f" focussize="0,0"/>
              <v:stroke on="f"/>
              <v:imagedata o:title=""/>
              <o:lock v:ext="edit" aspectratio="f"/>
              <v:textbox inset="0mm,0mm,0mm,0mm" style="mso-fit-shape-to-text:t;">
                <w:txbxContent>
                  <w:p w14:paraId="41217F52">
                    <w:pPr>
                      <w:pStyle w:val="16"/>
                      <w:ind w:firstLine="0" w:firstLineChars="0"/>
                      <w:rPr>
                        <w:sz w:val="24"/>
                        <w:szCs w:val="24"/>
                      </w:rPr>
                    </w:pPr>
                    <w:r>
                      <w:rPr>
                        <w:sz w:val="24"/>
                        <w:szCs w:val="24"/>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4"/>
                        <w:szCs w:val="24"/>
                      </w:rPr>
                      <w:t xml:space="preserve"> —</w:t>
                    </w:r>
                  </w:p>
                </w:txbxContent>
              </v:textbox>
            </v:shape>
          </w:pict>
        </mc:Fallback>
      </mc:AlternateContent>
    </w:r>
    <w:r>
      <mc:AlternateContent>
        <mc:Choice Requires="wps">
          <w:drawing>
            <wp:anchor distT="0" distB="0" distL="114300" distR="114300" simplePos="0" relativeHeight="251678720"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154"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2CA75C70">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78720;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2yHSHXAAAACQEAAA8AAAAAAAAAAQAgAAAAIgAAAGRycy9kb3ducmV2&#10;LnhtbFBLAQIUABQAAAAIAIdO4kDt/QvkNgIAAGQEAAAOAAAAAAAAAAEAIAAAACYBAABkcnMvZTJv&#10;RG9jLnhtbFBLBQYAAAAABgAGAFkBAADOBQAAAAA=&#10;">
              <v:fill on="f" focussize="0,0"/>
              <v:stroke on="f" weight="0.5pt"/>
              <v:imagedata o:title=""/>
              <o:lock v:ext="edit" aspectratio="f"/>
              <v:textbox inset="0mm,0mm,0mm,0mm">
                <w:txbxContent>
                  <w:p w14:paraId="2CA75C70">
                    <w:pPr>
                      <w:ind w:firstLine="0" w:firstLineChars="0"/>
                    </w:pPr>
                  </w:p>
                </w:txbxContent>
              </v:textbox>
            </v:shape>
          </w:pict>
        </mc:Fallback>
      </mc:AlternateContent>
    </w:r>
    <w:r>
      <mc:AlternateContent>
        <mc:Choice Requires="wps">
          <w:drawing>
            <wp:anchor distT="0" distB="0" distL="114300" distR="114300" simplePos="0" relativeHeight="25167769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41BEBAD">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MatcyAgAAZQ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oxq1zICAABlBAAADgAAAAAAAAABACAAAAAfAQAAZHJzL2Uyb0RvYy54bWxQSwUG&#10;AAAAAAYABgBZAQAAwwUAAAAA&#10;">
              <v:fill on="f" focussize="0,0"/>
              <v:stroke on="f" weight="0.5pt"/>
              <v:imagedata o:title=""/>
              <o:lock v:ext="edit" aspectratio="f"/>
              <v:textbox inset="0mm,0mm,0mm,0mm" style="mso-fit-shape-to-text:t;">
                <w:txbxContent>
                  <w:p w14:paraId="541BEBAD">
                    <w:pPr>
                      <w:ind w:firstLine="0" w:firstLineChars="0"/>
                    </w:pP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0C57D">
    <w:pPr>
      <w:pStyle w:val="16"/>
      <w:tabs>
        <w:tab w:val="left" w:pos="5016"/>
        <w:tab w:val="clear" w:pos="4153"/>
      </w:tabs>
      <w:ind w:firstLine="0" w:firstLineChars="0"/>
    </w:pPr>
    <w:r>
      <mc:AlternateContent>
        <mc:Choice Requires="wps">
          <w:drawing>
            <wp:anchor distT="0" distB="0" distL="114300" distR="114300" simplePos="0" relativeHeight="25168076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6" name="文本框 10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A1EC9EC">
                          <w:pPr>
                            <w:pStyle w:val="16"/>
                            <w:ind w:firstLine="0" w:firstLineChars="0"/>
                          </w:pPr>
                          <w:r>
                            <w:rPr>
                              <w:sz w:val="24"/>
                              <w:szCs w:val="24"/>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w:t>
                          </w:r>
                          <w:r>
                            <w:rPr>
                              <w:sz w:val="28"/>
                              <w:szCs w:val="28"/>
                            </w:rPr>
                            <w:fldChar w:fldCharType="end"/>
                          </w:r>
                          <w:r>
                            <w:rPr>
                              <w:sz w:val="24"/>
                              <w:szCs w:val="24"/>
                            </w:rPr>
                            <w:t xml:space="preserve"> —</w:t>
                          </w:r>
                        </w:p>
                      </w:txbxContent>
                    </wps:txbx>
                    <wps:bodyPr vert="horz" wrap="none" lIns="0" tIns="0" rIns="0" bIns="0" anchor="t" anchorCtr="0">
                      <a:spAutoFit/>
                    </wps:bodyPr>
                  </wps:wsp>
                </a:graphicData>
              </a:graphic>
            </wp:anchor>
          </w:drawing>
        </mc:Choice>
        <mc:Fallback>
          <w:pict>
            <v:shape id="文本框 1078" o:spid="_x0000_s1026" o:spt="202" type="#_x0000_t202" style="position:absolute;left:0pt;margin-top:0pt;height:144pt;width:144pt;mso-position-horizontal:outside;mso-position-horizontal-relative:margin;mso-wrap-style:none;z-index:2516807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6pebnPAAAABQEAAA8AAAAAAAAAAQAgAAAA&#10;IgAAAGRycy9kb3ducmV2LnhtbFBLAQIUABQAAAAIAIdO4kBq5UKD2wEAALcDAAAOAAAAAAAAAAEA&#10;IAAAAB4BAABkcnMvZTJvRG9jLnhtbFBLBQYAAAAABgAGAFkBAABrBQAAAAA=&#10;">
              <v:fill on="f" focussize="0,0"/>
              <v:stroke on="f"/>
              <v:imagedata o:title=""/>
              <o:lock v:ext="edit" aspectratio="f"/>
              <v:textbox inset="0mm,0mm,0mm,0mm" style="mso-fit-shape-to-text:t;">
                <w:txbxContent>
                  <w:p w14:paraId="1A1EC9EC">
                    <w:pPr>
                      <w:pStyle w:val="16"/>
                      <w:ind w:firstLine="0" w:firstLineChars="0"/>
                    </w:pPr>
                    <w:r>
                      <w:rPr>
                        <w:sz w:val="24"/>
                        <w:szCs w:val="24"/>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w:t>
                    </w:r>
                    <w:r>
                      <w:rPr>
                        <w:sz w:val="28"/>
                        <w:szCs w:val="28"/>
                      </w:rPr>
                      <w:fldChar w:fldCharType="end"/>
                    </w:r>
                    <w:r>
                      <w:rPr>
                        <w:sz w:val="24"/>
                        <w:szCs w:val="24"/>
                      </w:rPr>
                      <w:t xml:space="preserve"> —</w:t>
                    </w:r>
                  </w:p>
                </w:txbxContent>
              </v:textbox>
            </v:shape>
          </w:pict>
        </mc:Fallback>
      </mc:AlternateContent>
    </w:r>
    <w:r>
      <w:rPr>
        <w:rFonts w:hint="eastAsia"/>
      </w:rPr>
      <w:tab/>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EE767">
    <w:pPr>
      <w:pStyle w:val="16"/>
      <w:tabs>
        <w:tab w:val="right" w:pos="8845"/>
        <w:tab w:val="clear" w:pos="4153"/>
      </w:tabs>
      <w:ind w:firstLine="0" w:firstLineChars="0"/>
    </w:pPr>
    <w:r>
      <w:rPr>
        <w:sz w:val="18"/>
      </w:rPr>
      <mc:AlternateContent>
        <mc:Choice Requires="wps">
          <w:drawing>
            <wp:anchor distT="0" distB="0" distL="114300" distR="114300" simplePos="0" relativeHeight="2516725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8" name="文本框 1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7B67F1">
                          <w:pPr>
                            <w:pStyle w:val="16"/>
                            <w:ind w:firstLine="0" w:firstLineChars="0"/>
                          </w:pPr>
                          <w:r>
                            <w:rPr>
                              <w:rFonts w:hint="eastAsia"/>
                            </w:rPr>
                            <w:t xml:space="preserve">- </w:t>
                          </w:r>
                          <w:r>
                            <w:fldChar w:fldCharType="begin"/>
                          </w:r>
                          <w:r>
                            <w:instrText xml:space="preserve"> PAGE  \* MERGEFORMAT </w:instrText>
                          </w:r>
                          <w:r>
                            <w:fldChar w:fldCharType="separate"/>
                          </w:r>
                          <w:r>
                            <w:t>3</w:t>
                          </w:r>
                          <w:r>
                            <w:fldChar w:fldCharType="end"/>
                          </w:r>
                          <w:r>
                            <w:rPr>
                              <w:rFonts w:hint="eastAsia"/>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cwUYsAgAAW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tzBRiwCAABZBAAADgAAAAAAAAABACAAAAAfAQAAZHJzL2Uyb0RvYy54bWxQSwUGAAAAAAYA&#10;BgBZAQAAvQUAAAAA&#10;">
              <v:fill on="f" focussize="0,0"/>
              <v:stroke on="f" weight="0.5pt"/>
              <v:imagedata o:title=""/>
              <o:lock v:ext="edit" aspectratio="f"/>
              <v:textbox inset="0mm,0mm,0mm,0mm" style="mso-fit-shape-to-text:t;">
                <w:txbxContent>
                  <w:p w14:paraId="457B67F1">
                    <w:pPr>
                      <w:pStyle w:val="16"/>
                      <w:ind w:firstLine="0" w:firstLineChars="0"/>
                    </w:pPr>
                    <w:r>
                      <w:rPr>
                        <w:rFonts w:hint="eastAsia"/>
                      </w:rPr>
                      <w:t xml:space="preserve">- </w:t>
                    </w:r>
                    <w:r>
                      <w:fldChar w:fldCharType="begin"/>
                    </w:r>
                    <w:r>
                      <w:instrText xml:space="preserve"> PAGE  \* MERGEFORMAT </w:instrText>
                    </w:r>
                    <w:r>
                      <w:fldChar w:fldCharType="separate"/>
                    </w:r>
                    <w:r>
                      <w:t>3</w:t>
                    </w:r>
                    <w:r>
                      <w:fldChar w:fldCharType="end"/>
                    </w:r>
                    <w:r>
                      <w:rPr>
                        <w:rFonts w:hint="eastAsia"/>
                      </w:rPr>
                      <w:t xml:space="preserve"> -</w:t>
                    </w:r>
                  </w:p>
                </w:txbxContent>
              </v:textbox>
            </v:shape>
          </w:pict>
        </mc:Fallback>
      </mc:AlternateContent>
    </w:r>
    <w:r>
      <w:rPr>
        <w:sz w:val="18"/>
      </w:rPr>
      <mc:AlternateContent>
        <mc:Choice Requires="wps">
          <w:drawing>
            <wp:anchor distT="0" distB="0" distL="114300" distR="114300" simplePos="0" relativeHeight="251667456"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169"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5DD55C06">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67456;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2yHSHXAAAACQEAAA8AAAAAAAAAAQAgAAAAIgAAAGRycy9kb3ducmV2&#10;LnhtbFBLAQIUABQAAAAIAIdO4kBNOzK/NgIAAGQEAAAOAAAAAAAAAAEAIAAAACYBAABkcnMvZTJv&#10;RG9jLnhtbFBLBQYAAAAABgAGAFkBAADOBQAAAAA=&#10;">
              <v:fill on="f" focussize="0,0"/>
              <v:stroke on="f" weight="0.5pt"/>
              <v:imagedata o:title=""/>
              <o:lock v:ext="edit" aspectratio="f"/>
              <v:textbox inset="0mm,0mm,0mm,0mm">
                <w:txbxContent>
                  <w:p w14:paraId="5DD55C06">
                    <w:pPr>
                      <w:ind w:firstLine="0" w:firstLineChars="0"/>
                    </w:pP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EF859C4">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6DloyAgAAZ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QToOWjICAABlBAAADgAAAAAAAAABACAAAAAfAQAAZHJzL2Uyb0RvYy54bWxQSwUG&#10;AAAAAAYABgBZAQAAwwUAAAAA&#10;">
              <v:fill on="f" focussize="0,0"/>
              <v:stroke on="f" weight="0.5pt"/>
              <v:imagedata o:title=""/>
              <o:lock v:ext="edit" aspectratio="f"/>
              <v:textbox inset="0mm,0mm,0mm,0mm" style="mso-fit-shape-to-text:t;">
                <w:txbxContent>
                  <w:p w14:paraId="7EF859C4">
                    <w:pPr>
                      <w:ind w:firstLine="0" w:firstLineChars="0"/>
                    </w:pPr>
                  </w:p>
                </w:txbxContent>
              </v:textbox>
            </v:shape>
          </w:pict>
        </mc:Fallback>
      </mc:AlternateContent>
    </w: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3CE24">
    <w:pPr>
      <w:pStyle w:val="16"/>
      <w:ind w:firstLine="560"/>
    </w:pPr>
    <w: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9E5FFE">
                          <w:pPr>
                            <w:pStyle w:val="16"/>
                            <w:ind w:firstLine="0" w:firstLineChars="0"/>
                            <w:rPr>
                              <w:rFonts w:eastAsia="仿宋"/>
                            </w:rPr>
                          </w:pPr>
                          <w:r>
                            <w:rPr>
                              <w:rFonts w:hint="eastAsia"/>
                            </w:rPr>
                            <w:t>-</w:t>
                          </w:r>
                          <w:r>
                            <w:fldChar w:fldCharType="begin"/>
                          </w:r>
                          <w:r>
                            <w:instrText xml:space="preserve"> PAGE  \* MERGEFORMAT </w:instrText>
                          </w:r>
                          <w:r>
                            <w:fldChar w:fldCharType="separate"/>
                          </w:r>
                          <w:r>
                            <w:t>- 2 -</w:t>
                          </w:r>
                          <w:r>
                            <w:fldChar w:fldCharType="end"/>
                          </w:r>
                          <w:r>
                            <w:rPr>
                              <w:rFonts w:hint="eastAsia"/>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409E5FFE">
                    <w:pPr>
                      <w:pStyle w:val="16"/>
                      <w:ind w:firstLine="0" w:firstLineChars="0"/>
                      <w:rPr>
                        <w:rFonts w:eastAsia="仿宋"/>
                      </w:rPr>
                    </w:pPr>
                    <w:r>
                      <w:rPr>
                        <w:rFonts w:hint="eastAsia"/>
                      </w:rPr>
                      <w:t>-</w:t>
                    </w:r>
                    <w:r>
                      <w:fldChar w:fldCharType="begin"/>
                    </w:r>
                    <w:r>
                      <w:instrText xml:space="preserve"> PAGE  \* MERGEFORMAT </w:instrText>
                    </w:r>
                    <w:r>
                      <w:fldChar w:fldCharType="separate"/>
                    </w:r>
                    <w:r>
                      <w:t>- 2 -</w:t>
                    </w:r>
                    <w:r>
                      <w:fldChar w:fldCharType="end"/>
                    </w:r>
                    <w:r>
                      <w:rPr>
                        <w:rFonts w:hint="eastAsia"/>
                      </w:rPr>
                      <w:t>-</w:t>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852B0">
    <w:pPr>
      <w:pStyle w:val="16"/>
      <w:ind w:firstLine="0" w:firstLineChars="0"/>
    </w:pPr>
    <w:r>
      <w:rPr>
        <w:sz w:val="18"/>
      </w:rPr>
      <mc:AlternateContent>
        <mc:Choice Requires="wps">
          <w:drawing>
            <wp:anchor distT="0" distB="0" distL="114300" distR="114300" simplePos="0" relativeHeight="2516736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1" name="文本框 1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063748">
                          <w:pPr>
                            <w:pStyle w:val="16"/>
                            <w:ind w:firstLine="0" w:firstLineChars="0"/>
                          </w:pPr>
                          <w:r>
                            <w:rPr>
                              <w:rFonts w:hint="eastAsia"/>
                            </w:rPr>
                            <w:t xml:space="preserve">- </w:t>
                          </w:r>
                          <w:r>
                            <w:fldChar w:fldCharType="begin"/>
                          </w:r>
                          <w:r>
                            <w:instrText xml:space="preserve"> PAGE  \* MERGEFORMAT </w:instrText>
                          </w:r>
                          <w:r>
                            <w:fldChar w:fldCharType="separate"/>
                          </w:r>
                          <w:r>
                            <w:t>4</w:t>
                          </w:r>
                          <w:r>
                            <w:fldChar w:fldCharType="end"/>
                          </w:r>
                          <w:r>
                            <w:rPr>
                              <w:rFonts w:hint="eastAsia"/>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89gsAgAAWQQAAA4AAABkcnMvZTJvRG9jLnhtbK1UzY7TMBC+I/EO&#10;lu80aRFL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5Xz2CwCAABZBAAADgAAAAAAAAABACAAAAAfAQAAZHJzL2Uyb0RvYy54bWxQSwUGAAAAAAYA&#10;BgBZAQAAvQUAAAAA&#10;">
              <v:fill on="f" focussize="0,0"/>
              <v:stroke on="f" weight="0.5pt"/>
              <v:imagedata o:title=""/>
              <o:lock v:ext="edit" aspectratio="f"/>
              <v:textbox inset="0mm,0mm,0mm,0mm" style="mso-fit-shape-to-text:t;">
                <w:txbxContent>
                  <w:p w14:paraId="4F063748">
                    <w:pPr>
                      <w:pStyle w:val="16"/>
                      <w:ind w:firstLine="0" w:firstLineChars="0"/>
                    </w:pPr>
                    <w:r>
                      <w:rPr>
                        <w:rFonts w:hint="eastAsia"/>
                      </w:rPr>
                      <w:t xml:space="preserve">- </w:t>
                    </w:r>
                    <w:r>
                      <w:fldChar w:fldCharType="begin"/>
                    </w:r>
                    <w:r>
                      <w:instrText xml:space="preserve"> PAGE  \* MERGEFORMAT </w:instrText>
                    </w:r>
                    <w:r>
                      <w:fldChar w:fldCharType="separate"/>
                    </w:r>
                    <w:r>
                      <w:t>4</w:t>
                    </w:r>
                    <w:r>
                      <w:fldChar w:fldCharType="end"/>
                    </w:r>
                    <w:r>
                      <w:rPr>
                        <w:rFonts w:hint="eastAsia"/>
                      </w:rPr>
                      <w:t xml:space="preserve"> -</w:t>
                    </w:r>
                  </w:p>
                </w:txbxContent>
              </v:textbox>
            </v:shape>
          </w:pict>
        </mc:Fallback>
      </mc:AlternateContent>
    </w:r>
    <w:r>
      <w:rPr>
        <w:sz w:val="1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2" name="文本框 1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788D7A">
                          <w:pPr>
                            <w:pStyle w:val="16"/>
                            <w:ind w:firstLine="0" w:firstLineChars="0"/>
                            <w:rPr>
                              <w:rFonts w:eastAsia="仿宋"/>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11hz8tAgAAWQ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11hz8tAgAAWQQAAA4AAAAAAAAAAQAgAAAAHwEAAGRycy9lMm9Eb2MueG1sUEsFBgAAAAAG&#10;AAYAWQEAAL4FAAAAAA==&#10;">
              <v:fill on="f" focussize="0,0"/>
              <v:stroke on="f" weight="0.5pt"/>
              <v:imagedata o:title=""/>
              <o:lock v:ext="edit" aspectratio="f"/>
              <v:textbox inset="0mm,0mm,0mm,0mm" style="mso-fit-shape-to-text:t;">
                <w:txbxContent>
                  <w:p w14:paraId="78788D7A">
                    <w:pPr>
                      <w:pStyle w:val="16"/>
                      <w:ind w:firstLine="0" w:firstLineChars="0"/>
                      <w:rPr>
                        <w:rFonts w:eastAsia="仿宋"/>
                        <w:szCs w:val="28"/>
                      </w:rPr>
                    </w:pP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B14B8">
    <w:pPr>
      <w:pStyle w:val="16"/>
      <w:tabs>
        <w:tab w:val="right" w:pos="8845"/>
        <w:tab w:val="clear" w:pos="4153"/>
      </w:tabs>
      <w:ind w:firstLine="0" w:firstLineChars="0"/>
    </w:pPr>
    <w: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5" name="文本框 1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8FD3FB">
                          <w:pPr>
                            <w:pStyle w:val="16"/>
                            <w:ind w:firstLine="0" w:firstLineChars="0"/>
                          </w:pPr>
                          <w:r>
                            <w:rPr>
                              <w:sz w:val="28"/>
                              <w:szCs w:val="28"/>
                            </w:rPr>
                            <w:fldChar w:fldCharType="begin"/>
                          </w:r>
                          <w:r>
                            <w:rPr>
                              <w:sz w:val="28"/>
                              <w:szCs w:val="28"/>
                            </w:rPr>
                            <w:instrText xml:space="preserve"> PAGE  \* MERGEFORMAT </w:instrText>
                          </w:r>
                          <w:r>
                            <w:rPr>
                              <w:sz w:val="28"/>
                              <w:szCs w:val="28"/>
                            </w:rPr>
                            <w:fldChar w:fldCharType="separate"/>
                          </w:r>
                          <w:r>
                            <w:rPr>
                              <w:sz w:val="28"/>
                              <w:szCs w:val="28"/>
                            </w:rPr>
                            <w:t>I</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bsM3ctAgAAWQ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KbK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CP1mWdjoB8sj&#10;dBTP2+U+QMCkaxSlV+KsFTouVeY8HbGl/9ynqMc/wu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AbsM3ctAgAAWQQAAA4AAAAAAAAAAQAgAAAAHwEAAGRycy9lMm9Eb2MueG1sUEsFBgAAAAAG&#10;AAYAWQEAAL4FAAAAAA==&#10;">
              <v:fill on="f" focussize="0,0"/>
              <v:stroke on="f" weight="0.5pt"/>
              <v:imagedata o:title=""/>
              <o:lock v:ext="edit" aspectratio="f"/>
              <v:textbox inset="0mm,0mm,0mm,0mm" style="mso-fit-shape-to-text:t;">
                <w:txbxContent>
                  <w:p w14:paraId="0B8FD3FB">
                    <w:pPr>
                      <w:pStyle w:val="16"/>
                      <w:ind w:firstLine="0" w:firstLineChars="0"/>
                    </w:pPr>
                    <w:r>
                      <w:rPr>
                        <w:sz w:val="28"/>
                        <w:szCs w:val="28"/>
                      </w:rPr>
                      <w:fldChar w:fldCharType="begin"/>
                    </w:r>
                    <w:r>
                      <w:rPr>
                        <w:sz w:val="28"/>
                        <w:szCs w:val="28"/>
                      </w:rPr>
                      <w:instrText xml:space="preserve"> PAGE  \* MERGEFORMAT </w:instrText>
                    </w:r>
                    <w:r>
                      <w:rPr>
                        <w:sz w:val="28"/>
                        <w:szCs w:val="28"/>
                      </w:rPr>
                      <w:fldChar w:fldCharType="separate"/>
                    </w:r>
                    <w:r>
                      <w:rPr>
                        <w:sz w:val="28"/>
                        <w:szCs w:val="28"/>
                      </w:rPr>
                      <w:t>I</w:t>
                    </w:r>
                    <w:r>
                      <w:rPr>
                        <w:sz w:val="28"/>
                        <w:szCs w:val="28"/>
                      </w:rPr>
                      <w:fldChar w:fldCharType="end"/>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176"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52E1C2CA">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65408;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2yHSHXAAAACQEAAA8AAAAAAAAAAQAgAAAAIgAAAGRycy9kb3ducmV2&#10;LnhtbFBLAQIUABQAAAAIAIdO4kC/1RkCNgIAAGQEAAAOAAAAAAAAAAEAIAAAACYBAABkcnMvZTJv&#10;RG9jLnhtbFBLBQYAAAAABgAGAFkBAADOBQAAAAA=&#10;">
              <v:fill on="f" focussize="0,0"/>
              <v:stroke on="f" weight="0.5pt"/>
              <v:imagedata o:title=""/>
              <o:lock v:ext="edit" aspectratio="f"/>
              <v:textbox inset="0mm,0mm,0mm,0mm">
                <w:txbxContent>
                  <w:p w14:paraId="52E1C2CA">
                    <w:pPr>
                      <w:ind w:firstLine="0" w:firstLineChars="0"/>
                    </w:pPr>
                  </w:p>
                </w:txbxContent>
              </v:textbox>
            </v:shape>
          </w:pict>
        </mc:Fallback>
      </mc:AlternateContent>
    </w:r>
    <w:r>
      <w:rPr>
        <w:rFonts w:hint="eastAsia"/>
      </w:rPr>
      <w:tab/>
    </w:r>
    <w:r>
      <w:rPr>
        <w:rFonts w:hint="eastAsia"/>
      </w:rPr>
      <w:tab/>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091AE0">
    <w:pPr>
      <w:pStyle w:val="16"/>
      <w:ind w:firstLine="360"/>
    </w:pPr>
    <w: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7" name="文本框 1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FFD91B">
                          <w:pPr>
                            <w:pStyle w:val="16"/>
                            <w:ind w:firstLine="0" w:firstLineChars="0"/>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II</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Ta80tAgAAW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Ta80tAgAAWQQAAA4AAAAAAAAAAQAgAAAAHwEAAGRycy9lMm9Eb2MueG1sUEsFBgAAAAAG&#10;AAYAWQEAAL4FAAAAAA==&#10;">
              <v:fill on="f" focussize="0,0"/>
              <v:stroke on="f" weight="0.5pt"/>
              <v:imagedata o:title=""/>
              <o:lock v:ext="edit" aspectratio="f"/>
              <v:textbox inset="0mm,0mm,0mm,0mm" style="mso-fit-shape-to-text:t;">
                <w:txbxContent>
                  <w:p w14:paraId="60FFD91B">
                    <w:pPr>
                      <w:pStyle w:val="16"/>
                      <w:ind w:firstLine="0" w:firstLineChars="0"/>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II</w:t>
                    </w:r>
                    <w:r>
                      <w:rPr>
                        <w:sz w:val="28"/>
                        <w:szCs w:val="28"/>
                      </w:rP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80FA52">
    <w:pPr>
      <w:pStyle w:val="16"/>
      <w:tabs>
        <w:tab w:val="right" w:pos="8845"/>
        <w:tab w:val="clear" w:pos="4153"/>
      </w:tabs>
      <w:ind w:firstLine="0" w:firstLineChars="0"/>
    </w:pPr>
    <w: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8" name="文本框 1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A50C9B">
                          <w:pPr>
                            <w:pStyle w:val="16"/>
                            <w:ind w:firstLine="0" w:firstLineChars="0"/>
                            <w:rPr>
                              <w:rFonts w:eastAsia="仿宋"/>
                              <w:sz w:val="28"/>
                              <w:szCs w:val="28"/>
                            </w:rPr>
                          </w:pPr>
                          <w:r>
                            <w:rPr>
                              <w:rFonts w:hint="eastAsia"/>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9</w:t>
                          </w:r>
                          <w:r>
                            <w:rPr>
                              <w:sz w:val="28"/>
                              <w:szCs w:val="28"/>
                            </w:rPr>
                            <w:fldChar w:fldCharType="end"/>
                          </w:r>
                          <w:r>
                            <w:rPr>
                              <w:rFonts w:hint="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I/LgEtAgAAWQ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I/LgEtAgAAWQQAAA4AAAAAAAAAAQAgAAAAHwEAAGRycy9lMm9Eb2MueG1sUEsFBgAAAAAG&#10;AAYAWQEAAL4FAAAAAA==&#10;">
              <v:fill on="f" focussize="0,0"/>
              <v:stroke on="f" weight="0.5pt"/>
              <v:imagedata o:title=""/>
              <o:lock v:ext="edit" aspectratio="f"/>
              <v:textbox inset="0mm,0mm,0mm,0mm" style="mso-fit-shape-to-text:t;">
                <w:txbxContent>
                  <w:p w14:paraId="4DA50C9B">
                    <w:pPr>
                      <w:pStyle w:val="16"/>
                      <w:ind w:firstLine="0" w:firstLineChars="0"/>
                      <w:rPr>
                        <w:rFonts w:eastAsia="仿宋"/>
                        <w:sz w:val="28"/>
                        <w:szCs w:val="28"/>
                      </w:rPr>
                    </w:pPr>
                    <w:r>
                      <w:rPr>
                        <w:rFonts w:hint="eastAsia"/>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9</w:t>
                    </w:r>
                    <w:r>
                      <w:rPr>
                        <w:sz w:val="28"/>
                        <w:szCs w:val="28"/>
                      </w:rPr>
                      <w:fldChar w:fldCharType="end"/>
                    </w:r>
                    <w:r>
                      <w:rPr>
                        <w:rFonts w:hint="eastAsia"/>
                        <w:sz w:val="28"/>
                        <w:szCs w:val="28"/>
                      </w:rPr>
                      <w:t xml:space="preserve"> -</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179"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7D5D6B8F">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68480;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tsh0h1wAAAAkBAAAPAAAAAAAAAAEAIAAAACIAAABkcnMvZG93bnJl&#10;di54bWxQSwECFAAUAAAACACHTuJAy9Bu+TcCAABkBAAADgAAAAAAAAABACAAAAAmAQAAZHJzL2Uy&#10;b0RvYy54bWxQSwUGAAAAAAYABgBZAQAAzwUAAAAA&#10;">
              <v:fill on="f" focussize="0,0"/>
              <v:stroke on="f" weight="0.5pt"/>
              <v:imagedata o:title=""/>
              <o:lock v:ext="edit" aspectratio="f"/>
              <v:textbox inset="0mm,0mm,0mm,0mm">
                <w:txbxContent>
                  <w:p w14:paraId="7D5D6B8F">
                    <w:pPr>
                      <w:ind w:firstLine="0" w:firstLineChars="0"/>
                    </w:pP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05B4DB7">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uJN2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LiTdhMQIAAGUEAAAOAAAAAAAAAAEAIAAAAB8BAABkcnMvZTJvRG9jLnhtbFBLBQYA&#10;AAAABgAGAFkBAADCBQAAAAA=&#10;">
              <v:fill on="f" focussize="0,0"/>
              <v:stroke on="f" weight="0.5pt"/>
              <v:imagedata o:title=""/>
              <o:lock v:ext="edit" aspectratio="f"/>
              <v:textbox inset="0mm,0mm,0mm,0mm" style="mso-fit-shape-to-text:t;">
                <w:txbxContent>
                  <w:p w14:paraId="105B4DB7">
                    <w:pPr>
                      <w:ind w:firstLine="0" w:firstLineChars="0"/>
                    </w:pPr>
                  </w:p>
                </w:txbxContent>
              </v:textbox>
            </v:shape>
          </w:pict>
        </mc:Fallback>
      </mc:AlternateContent>
    </w:r>
    <w:r>
      <w:rPr>
        <w:rFonts w:hint="eastAsia"/>
      </w:rPr>
      <w:tab/>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BB5E6">
    <w:pPr>
      <w:pStyle w:val="16"/>
      <w:tabs>
        <w:tab w:val="left" w:pos="5016"/>
        <w:tab w:val="clear" w:pos="4153"/>
      </w:tabs>
      <w:ind w:firstLine="0" w:firstLineChars="0"/>
    </w:pPr>
    <w: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1" name="文本框 1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D496D0">
                          <w:pPr>
                            <w:pStyle w:val="16"/>
                            <w:ind w:firstLine="0" w:firstLineChars="0"/>
                            <w:rPr>
                              <w:rFonts w:eastAsia="仿宋"/>
                              <w:sz w:val="28"/>
                              <w:szCs w:val="28"/>
                            </w:rPr>
                          </w:pPr>
                          <w:r>
                            <w:rPr>
                              <w:rFonts w:hint="eastAsia"/>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8</w:t>
                          </w:r>
                          <w:r>
                            <w:rPr>
                              <w:sz w:val="28"/>
                              <w:szCs w:val="28"/>
                            </w:rPr>
                            <w:fldChar w:fldCharType="end"/>
                          </w:r>
                          <w:r>
                            <w:rPr>
                              <w:rFonts w:hint="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0p4YYsAgAAW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SnhhiwCAABZBAAADgAAAAAAAAABACAAAAAfAQAAZHJzL2Uyb0RvYy54bWxQSwUGAAAAAAYA&#10;BgBZAQAAvQUAAAAA&#10;">
              <v:fill on="f" focussize="0,0"/>
              <v:stroke on="f" weight="0.5pt"/>
              <v:imagedata o:title=""/>
              <o:lock v:ext="edit" aspectratio="f"/>
              <v:textbox inset="0mm,0mm,0mm,0mm" style="mso-fit-shape-to-text:t;">
                <w:txbxContent>
                  <w:p w14:paraId="79D496D0">
                    <w:pPr>
                      <w:pStyle w:val="16"/>
                      <w:ind w:firstLine="0" w:firstLineChars="0"/>
                      <w:rPr>
                        <w:rFonts w:eastAsia="仿宋"/>
                        <w:sz w:val="28"/>
                        <w:szCs w:val="28"/>
                      </w:rPr>
                    </w:pPr>
                    <w:r>
                      <w:rPr>
                        <w:rFonts w:hint="eastAsia"/>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8</w:t>
                    </w:r>
                    <w:r>
                      <w:rPr>
                        <w:sz w:val="28"/>
                        <w:szCs w:val="28"/>
                      </w:rPr>
                      <w:fldChar w:fldCharType="end"/>
                    </w:r>
                    <w:r>
                      <w:rPr>
                        <w:rFonts w:hint="eastAsia"/>
                        <w:sz w:val="28"/>
                        <w:szCs w:val="28"/>
                      </w:rPr>
                      <w:t xml:space="preserve"> -</w:t>
                    </w:r>
                  </w:p>
                </w:txbxContent>
              </v:textbox>
            </v:shape>
          </w:pict>
        </mc:Fallback>
      </mc:AlternateContent>
    </w:r>
    <w:r>
      <w:rPr>
        <w:rFonts w:hint="eastAsia"/>
      </w:rPr>
      <w:tab/>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59F8EA">
    <w:pPr>
      <w:pStyle w:val="16"/>
      <w:tabs>
        <w:tab w:val="right" w:pos="8845"/>
        <w:tab w:val="clear" w:pos="4153"/>
      </w:tabs>
      <w:ind w:firstLine="0" w:firstLineChars="0"/>
    </w:pPr>
    <w:r>
      <mc:AlternateContent>
        <mc:Choice Requires="wps">
          <w:drawing>
            <wp:anchor distT="0" distB="0" distL="114300" distR="114300" simplePos="0" relativeHeight="251664384"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182"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081F4461">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64384;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2yHSHXAAAACQEAAA8AAAAAAAAAAQAgAAAAIgAAAGRycy9kb3ducmV2&#10;LnhtbFBLAQIUABQAAAAIAIdO4kAj6d2ANgIAAGQEAAAOAAAAAAAAAAEAIAAAACYBAABkcnMvZTJv&#10;RG9jLnhtbFBLBQYAAAAABgAGAFkBAADOBQAAAAA=&#10;">
              <v:fill on="f" focussize="0,0"/>
              <v:stroke on="f" weight="0.5pt"/>
              <v:imagedata o:title=""/>
              <o:lock v:ext="edit" aspectratio="f"/>
              <v:textbox inset="0mm,0mm,0mm,0mm">
                <w:txbxContent>
                  <w:p w14:paraId="081F4461">
                    <w:pPr>
                      <w:ind w:firstLine="0" w:firstLineChars="0"/>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D812815">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G10qsz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G10qszAgAAZQQAAA4AAAAAAAAAAQAgAAAAHwEAAGRycy9lMm9Eb2MueG1sUEsF&#10;BgAAAAAGAAYAWQEAAMQFAAAAAA==&#10;">
              <v:fill on="f" focussize="0,0"/>
              <v:stroke on="f" weight="0.5pt"/>
              <v:imagedata o:title=""/>
              <o:lock v:ext="edit" aspectratio="f"/>
              <v:textbox inset="0mm,0mm,0mm,0mm" style="mso-fit-shape-to-text:t;">
                <w:txbxContent>
                  <w:p w14:paraId="2D812815">
                    <w:pPr>
                      <w:ind w:firstLine="0" w:firstLineChars="0"/>
                    </w:pPr>
                  </w:p>
                </w:txbxContent>
              </v:textbox>
            </v:shape>
          </w:pict>
        </mc:Fallback>
      </mc:AlternateContent>
    </w:r>
    <w:r>
      <w:rPr>
        <w:rFonts w:hint="eastAsia"/>
      </w:rPr>
      <w:tab/>
    </w:r>
    <w:r>
      <w:rPr>
        <w:rFonts w:hint="eastAsia"/>
      </w:rPr>
      <w:tab/>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EB5A6">
    <w:pPr>
      <w:pStyle w:val="16"/>
      <w:tabs>
        <w:tab w:val="right" w:pos="8845"/>
        <w:tab w:val="clear" w:pos="4153"/>
      </w:tabs>
      <w:ind w:firstLine="0" w:firstLineChars="0"/>
    </w:pPr>
    <w:r>
      <mc:AlternateContent>
        <mc:Choice Requires="wps">
          <w:drawing>
            <wp:anchor distT="0" distB="0" distL="114300" distR="114300" simplePos="0" relativeHeight="2516766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8" name="文本框 1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4840D2">
                          <w:pPr>
                            <w:pStyle w:val="16"/>
                            <w:ind w:firstLine="0" w:firstLineChars="0"/>
                          </w:pPr>
                          <w:r>
                            <w:rPr>
                              <w:sz w:val="24"/>
                              <w:szCs w:val="24"/>
                            </w:rPr>
                            <w:fldChar w:fldCharType="begin"/>
                          </w:r>
                          <w:r>
                            <w:rPr>
                              <w:sz w:val="24"/>
                              <w:szCs w:val="24"/>
                            </w:rPr>
                            <w:instrText xml:space="preserve"> PAGE  \* MERGEFORMAT </w:instrText>
                          </w:r>
                          <w:r>
                            <w:rPr>
                              <w:sz w:val="24"/>
                              <w:szCs w:val="24"/>
                            </w:rPr>
                            <w:fldChar w:fldCharType="separate"/>
                          </w:r>
                          <w:r>
                            <w:rPr>
                              <w:sz w:val="24"/>
                              <w:szCs w:val="24"/>
                            </w:rPr>
                            <w:t>I</w:t>
                          </w:r>
                          <w:r>
                            <w:rPr>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CDPF8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wIM8XywCAABZBAAADgAAAAAAAAABACAAAAAfAQAAZHJzL2Uyb0RvYy54bWxQSwUGAAAAAAYA&#10;BgBZAQAAvQUAAAAA&#10;">
              <v:fill on="f" focussize="0,0"/>
              <v:stroke on="f" weight="0.5pt"/>
              <v:imagedata o:title=""/>
              <o:lock v:ext="edit" aspectratio="f"/>
              <v:textbox inset="0mm,0mm,0mm,0mm" style="mso-fit-shape-to-text:t;">
                <w:txbxContent>
                  <w:p w14:paraId="0F4840D2">
                    <w:pPr>
                      <w:pStyle w:val="16"/>
                      <w:ind w:firstLine="0" w:firstLineChars="0"/>
                    </w:pPr>
                    <w:r>
                      <w:rPr>
                        <w:sz w:val="24"/>
                        <w:szCs w:val="24"/>
                      </w:rPr>
                      <w:fldChar w:fldCharType="begin"/>
                    </w:r>
                    <w:r>
                      <w:rPr>
                        <w:sz w:val="24"/>
                        <w:szCs w:val="24"/>
                      </w:rPr>
                      <w:instrText xml:space="preserve"> PAGE  \* MERGEFORMAT </w:instrText>
                    </w:r>
                    <w:r>
                      <w:rPr>
                        <w:sz w:val="24"/>
                        <w:szCs w:val="24"/>
                      </w:rPr>
                      <w:fldChar w:fldCharType="separate"/>
                    </w:r>
                    <w:r>
                      <w:rPr>
                        <w:sz w:val="24"/>
                        <w:szCs w:val="24"/>
                      </w:rPr>
                      <w:t>I</w:t>
                    </w:r>
                    <w:r>
                      <w:rPr>
                        <w:sz w:val="24"/>
                        <w:szCs w:val="24"/>
                      </w:rPr>
                      <w:fldChar w:fldCharType="end"/>
                    </w: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margin">
                <wp:posOffset>5495925</wp:posOffset>
              </wp:positionH>
              <wp:positionV relativeFrom="paragraph">
                <wp:posOffset>-38100</wp:posOffset>
              </wp:positionV>
              <wp:extent cx="1828800" cy="1828800"/>
              <wp:effectExtent l="0" t="0" r="0" b="0"/>
              <wp:wrapNone/>
              <wp:docPr id="189" name="文本框 10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CF83E2B">
                          <w:pPr>
                            <w:pStyle w:val="16"/>
                            <w:ind w:firstLine="0" w:firstLineChars="0"/>
                          </w:pPr>
                        </w:p>
                      </w:txbxContent>
                    </wps:txbx>
                    <wps:bodyPr vert="horz" wrap="none" lIns="0" tIns="0" rIns="0" bIns="0" anchor="t" anchorCtr="0">
                      <a:spAutoFit/>
                    </wps:bodyPr>
                  </wps:wsp>
                </a:graphicData>
              </a:graphic>
            </wp:anchor>
          </w:drawing>
        </mc:Choice>
        <mc:Fallback>
          <w:pict>
            <v:shape id="文本框 1079" o:spid="_x0000_s1026" o:spt="202" type="#_x0000_t202" style="position:absolute;left:0pt;margin-left:432.75pt;margin-top:-3pt;height:144pt;width:144pt;mso-position-horizontal-relative:margin;mso-wrap-style:none;z-index:251675648;mso-width-relative:page;mso-height-relative:page;" filled="f" stroked="f" coordsize="21600,21600" o:gfxdata="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NT1cftcAAAALAQAADwAAAAAA&#10;AAABACAAAAAiAAAAZHJzL2Rvd25yZXYueG1sUEsBAhQAFAAAAAgAh07iQLEX6kjbAQAAtwMAAA4A&#10;AAAAAAAAAQAgAAAAJgEAAGRycy9lMm9Eb2MueG1sUEsFBgAAAAAGAAYAWQEAAHMFAAAAAA==&#10;">
              <v:fill on="f" focussize="0,0"/>
              <v:stroke on="f"/>
              <v:imagedata o:title=""/>
              <o:lock v:ext="edit" aspectratio="f"/>
              <v:textbox inset="0mm,0mm,0mm,0mm" style="mso-fit-shape-to-text:t;">
                <w:txbxContent>
                  <w:p w14:paraId="7CF83E2B">
                    <w:pPr>
                      <w:pStyle w:val="16"/>
                      <w:ind w:firstLine="0" w:firstLineChars="0"/>
                    </w:pP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190"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3E6332C4">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74624;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tsh0h1wAAAAkBAAAPAAAAAAAAAAEAIAAAACIAAABkcnMvZG93bnJl&#10;di54bWxQSwECFAAUAAAACACHTuJA+/0qrDcCAABkBAAADgAAAAAAAAABACAAAAAmAQAAZHJzL2Uy&#10;b0RvYy54bWxQSwUGAAAAAAYABgBZAQAAzwUAAAAA&#10;">
              <v:fill on="f" focussize="0,0"/>
              <v:stroke on="f" weight="0.5pt"/>
              <v:imagedata o:title=""/>
              <o:lock v:ext="edit" aspectratio="f"/>
              <v:textbox inset="0mm,0mm,0mm,0mm">
                <w:txbxContent>
                  <w:p w14:paraId="3E6332C4">
                    <w:pPr>
                      <w:ind w:firstLine="0" w:firstLineChars="0"/>
                    </w:pP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A621B29">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MY9iMyAgAAZQQAAA4AAABkcnMvZTJvRG9jLnhtbK1UzY7TMBC+I/EO&#10;lu80aRGrUj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xj2IzICAABlBAAADgAAAAAAAAABACAAAAAfAQAAZHJzL2Uyb0RvYy54bWxQSwUG&#10;AAAAAAYABgBZAQAAwwUAAAAA&#10;">
              <v:fill on="f" focussize="0,0"/>
              <v:stroke on="f" weight="0.5pt"/>
              <v:imagedata o:title=""/>
              <o:lock v:ext="edit" aspectratio="f"/>
              <v:textbox inset="0mm,0mm,0mm,0mm" style="mso-fit-shape-to-text:t;">
                <w:txbxContent>
                  <w:p w14:paraId="2A621B29">
                    <w:pPr>
                      <w:ind w:firstLine="0" w:firstLineChars="0"/>
                    </w:pPr>
                  </w:p>
                </w:txbxContent>
              </v:textbox>
            </v:shape>
          </w:pict>
        </mc:Fallback>
      </mc:AlternateContent>
    </w:r>
    <w:r>
      <w:rPr>
        <w:rFonts w:hint="eastAsia"/>
      </w:rPr>
      <w:tab/>
    </w:r>
    <w:r>
      <w:rPr>
        <w:rFonts w:hint="eastAsia"/>
      </w:rPr>
      <w:tab/>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F360B">
    <w:pPr>
      <w:pStyle w:val="16"/>
      <w:ind w:firstLine="360"/>
    </w:pPr>
    <w:r>
      <mc:AlternateContent>
        <mc:Choice Requires="wps">
          <w:drawing>
            <wp:anchor distT="0" distB="0" distL="114300" distR="114300" simplePos="0" relativeHeight="25167872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2" name="文本框 1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26F51F">
                          <w:pPr>
                            <w:pStyle w:val="16"/>
                            <w:ind w:firstLine="0" w:firstLineChars="0"/>
                          </w:pPr>
                          <w:r>
                            <w:rPr>
                              <w:sz w:val="24"/>
                              <w:szCs w:val="24"/>
                            </w:rPr>
                            <w:fldChar w:fldCharType="begin"/>
                          </w:r>
                          <w:r>
                            <w:rPr>
                              <w:sz w:val="24"/>
                              <w:szCs w:val="24"/>
                            </w:rPr>
                            <w:instrText xml:space="preserve"> PAGE  \* MERGEFORMAT </w:instrText>
                          </w:r>
                          <w:r>
                            <w:rPr>
                              <w:sz w:val="24"/>
                              <w:szCs w:val="24"/>
                            </w:rPr>
                            <w:fldChar w:fldCharType="separate"/>
                          </w:r>
                          <w:r>
                            <w:rPr>
                              <w:sz w:val="24"/>
                              <w:szCs w:val="24"/>
                            </w:rPr>
                            <w:t>II</w:t>
                          </w:r>
                          <w:r>
                            <w:rPr>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qeiYtAgAAWQ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8qeiYtAgAAWQQAAA4AAAAAAAAAAQAgAAAAHwEAAGRycy9lMm9Eb2MueG1sUEsFBgAAAAAG&#10;AAYAWQEAAL4FAAAAAA==&#10;">
              <v:fill on="f" focussize="0,0"/>
              <v:stroke on="f" weight="0.5pt"/>
              <v:imagedata o:title=""/>
              <o:lock v:ext="edit" aspectratio="f"/>
              <v:textbox inset="0mm,0mm,0mm,0mm" style="mso-fit-shape-to-text:t;">
                <w:txbxContent>
                  <w:p w14:paraId="3726F51F">
                    <w:pPr>
                      <w:pStyle w:val="16"/>
                      <w:ind w:firstLine="0" w:firstLineChars="0"/>
                    </w:pPr>
                    <w:r>
                      <w:rPr>
                        <w:sz w:val="24"/>
                        <w:szCs w:val="24"/>
                      </w:rPr>
                      <w:fldChar w:fldCharType="begin"/>
                    </w:r>
                    <w:r>
                      <w:rPr>
                        <w:sz w:val="24"/>
                        <w:szCs w:val="24"/>
                      </w:rPr>
                      <w:instrText xml:space="preserve"> PAGE  \* MERGEFORMAT </w:instrText>
                    </w:r>
                    <w:r>
                      <w:rPr>
                        <w:sz w:val="24"/>
                        <w:szCs w:val="24"/>
                      </w:rPr>
                      <w:fldChar w:fldCharType="separate"/>
                    </w:r>
                    <w:r>
                      <w:rPr>
                        <w:sz w:val="24"/>
                        <w:szCs w:val="24"/>
                      </w:rPr>
                      <w:t>II</w:t>
                    </w:r>
                    <w:r>
                      <w:rPr>
                        <w:sz w:val="24"/>
                        <w:szCs w:val="24"/>
                      </w:rPr>
                      <w:fldChar w:fldCharType="end"/>
                    </w:r>
                  </w:p>
                </w:txbxContent>
              </v:textbox>
            </v:shape>
          </w:pict>
        </mc:Fallback>
      </mc:AlternateContent>
    </w:r>
    <w:r>
      <mc:AlternateContent>
        <mc:Choice Requires="wps">
          <w:drawing>
            <wp:anchor distT="0" distB="0" distL="114300" distR="114300" simplePos="0" relativeHeight="251677696" behindDoc="0" locked="0" layoutInCell="1" allowOverlap="1">
              <wp:simplePos x="0" y="0"/>
              <wp:positionH relativeFrom="margin">
                <wp:align>outside</wp:align>
              </wp:positionH>
              <wp:positionV relativeFrom="paragraph">
                <wp:posOffset>9525</wp:posOffset>
              </wp:positionV>
              <wp:extent cx="1828800" cy="1828800"/>
              <wp:effectExtent l="0" t="0" r="0" b="0"/>
              <wp:wrapNone/>
              <wp:docPr id="193" name="文本框 10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87ABE70">
                          <w:pPr>
                            <w:pStyle w:val="16"/>
                            <w:ind w:firstLine="0" w:firstLineChars="0"/>
                            <w:rPr>
                              <w:sz w:val="28"/>
                              <w:szCs w:val="28"/>
                            </w:rPr>
                          </w:pPr>
                        </w:p>
                      </w:txbxContent>
                    </wps:txbx>
                    <wps:bodyPr vert="horz" wrap="none" lIns="0" tIns="0" rIns="0" bIns="0" anchor="t" anchorCtr="0">
                      <a:spAutoFit/>
                    </wps:bodyPr>
                  </wps:wsp>
                </a:graphicData>
              </a:graphic>
            </wp:anchor>
          </w:drawing>
        </mc:Choice>
        <mc:Fallback>
          <w:pict>
            <v:shape id="文本框 1080" o:spid="_x0000_s1026" o:spt="202" type="#_x0000_t202" style="position:absolute;left:0pt;margin-top:0.75pt;height:144pt;width:144pt;mso-position-horizontal:outside;mso-position-horizontal-relative:margin;mso-wrap-style:none;z-index:251677696;mso-width-relative:page;mso-height-relative:page;" filled="f" stroked="f" coordsize="21600,21600" o:gfxdata="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29EUC0gAAAAYBAAAPAAAAAAAAAAEAIAAA&#10;ACIAAABkcnMvZG93bnJldi54bWxQSwECFAAUAAAACACHTuJA2EPnwdkBAAC3AwAADgAAAAAAAAAB&#10;ACAAAAAhAQAAZHJzL2Uyb0RvYy54bWxQSwUGAAAAAAYABgBZAQAAbAUAAAAA&#10;">
              <v:fill on="f" focussize="0,0"/>
              <v:stroke on="f"/>
              <v:imagedata o:title=""/>
              <o:lock v:ext="edit" aspectratio="f"/>
              <v:textbox inset="0mm,0mm,0mm,0mm" style="mso-fit-shape-to-text:t;">
                <w:txbxContent>
                  <w:p w14:paraId="187ABE70">
                    <w:pPr>
                      <w:pStyle w:val="16"/>
                      <w:ind w:firstLine="0" w:firstLineChars="0"/>
                      <w:rPr>
                        <w:sz w:val="28"/>
                        <w:szCs w:val="28"/>
                      </w:rPr>
                    </w:pP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507FCD">
    <w:pPr>
      <w:pStyle w:val="16"/>
      <w:tabs>
        <w:tab w:val="right" w:pos="8845"/>
        <w:tab w:val="clear" w:pos="4153"/>
      </w:tabs>
      <w:ind w:firstLine="0" w:firstLineChars="0"/>
    </w:pPr>
    <w:r>
      <mc:AlternateContent>
        <mc:Choice Requires="wps">
          <w:drawing>
            <wp:anchor distT="0" distB="0" distL="114300" distR="114300" simplePos="0" relativeHeight="251664384"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198" name="文本框 198"/>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7E41D06B">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401.25pt;margin-top:0.95pt;height:17.05pt;width:144pt;mso-position-horizontal-relative:margin;mso-wrap-style:none;z-index:251664384;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tsh0h1wAAAAkBAAAPAAAAAAAAAAEAIAAAACIAAABkcnMvZG93bnJl&#10;di54bWxQSwECFAAUAAAACACHTuJARLEoLTcCAABmBAAADgAAAAAAAAABACAAAAAmAQAAZHJzL2Uy&#10;b0RvYy54bWxQSwUGAAAAAAYABgBZAQAAzwUAAAAA&#10;">
              <v:fill on="f" focussize="0,0"/>
              <v:stroke on="f" weight="0.5pt"/>
              <v:imagedata o:title=""/>
              <o:lock v:ext="edit" aspectratio="f"/>
              <v:textbox inset="0mm,0mm,0mm,0mm">
                <w:txbxContent>
                  <w:p w14:paraId="7E41D06B">
                    <w:pPr>
                      <w:ind w:firstLine="0" w:firstLineChars="0"/>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9" name="文本框 1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90A3F2E">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olEczAgAAZ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molEczAgAAZwQAAA4AAAAAAAAAAQAgAAAAHwEAAGRycy9lMm9Eb2MueG1sUEsF&#10;BgAAAAAGAAYAWQEAAMQFAAAAAA==&#10;">
              <v:fill on="f" focussize="0,0"/>
              <v:stroke on="f" weight="0.5pt"/>
              <v:imagedata o:title=""/>
              <o:lock v:ext="edit" aspectratio="f"/>
              <v:textbox inset="0mm,0mm,0mm,0mm" style="mso-fit-shape-to-text:t;">
                <w:txbxContent>
                  <w:p w14:paraId="690A3F2E">
                    <w:pPr>
                      <w:ind w:firstLine="0" w:firstLineChars="0"/>
                    </w:pPr>
                  </w:p>
                </w:txbxContent>
              </v:textbox>
            </v:shape>
          </w:pict>
        </mc:Fallback>
      </mc:AlternateContent>
    </w:r>
    <w:r>
      <w:rPr>
        <w:rFonts w:hint="eastAsia"/>
      </w:rPr>
      <w:tab/>
    </w:r>
    <w:r>
      <w:rPr>
        <w:rFonts w:hint="eastAsia"/>
      </w:rPr>
      <w:tab/>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32E96">
    <w:pPr>
      <w:pStyle w:val="16"/>
      <w:tabs>
        <w:tab w:val="right" w:pos="8845"/>
        <w:tab w:val="clear" w:pos="4153"/>
      </w:tabs>
      <w:ind w:firstLine="0" w:firstLineChars="0"/>
    </w:pPr>
    <w: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00" name="文本框 2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2E5558">
                          <w:pPr>
                            <w:pStyle w:val="16"/>
                            <w:ind w:firstLine="0" w:firstLineChars="0"/>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III</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0W8Q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zTRbxCwCAABZBAAADgAAAAAAAAABACAAAAAfAQAAZHJzL2Uyb0RvYy54bWxQSwUGAAAAAAYA&#10;BgBZAQAAvQUAAAAA&#10;">
              <v:fill on="f" focussize="0,0"/>
              <v:stroke on="f" weight="0.5pt"/>
              <v:imagedata o:title=""/>
              <o:lock v:ext="edit" aspectratio="f"/>
              <v:textbox inset="0mm,0mm,0mm,0mm" style="mso-fit-shape-to-text:t;">
                <w:txbxContent>
                  <w:p w14:paraId="012E5558">
                    <w:pPr>
                      <w:pStyle w:val="16"/>
                      <w:ind w:firstLine="0" w:firstLineChars="0"/>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III</w:t>
                    </w:r>
                    <w:r>
                      <w:rPr>
                        <w:sz w:val="28"/>
                        <w:szCs w:val="28"/>
                      </w:rPr>
                      <w:fldChar w:fldCharType="end"/>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201"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64424419">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66432;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2yHSHXAAAACQEAAA8AAAAAAAAAAQAgAAAAIgAAAGRycy9kb3ducmV2&#10;LnhtbFBLAQIUABQAAAAIAIdO4kAjMPCNNgIAAGQEAAAOAAAAAAAAAAEAIAAAACYBAABkcnMvZTJv&#10;RG9jLnhtbFBLBQYAAAAABgAGAFkBAADOBQAAAAA=&#10;">
              <v:fill on="f" focussize="0,0"/>
              <v:stroke on="f" weight="0.5pt"/>
              <v:imagedata o:title=""/>
              <o:lock v:ext="edit" aspectratio="f"/>
              <v:textbox inset="0mm,0mm,0mm,0mm">
                <w:txbxContent>
                  <w:p w14:paraId="64424419">
                    <w:pPr>
                      <w:ind w:firstLine="0" w:firstLineChars="0"/>
                    </w:pP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0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6EEE47A">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RPZiczAgAAZQQAAA4AAAAAAAAAAQAgAAAAHwEAAGRycy9lMm9Eb2MueG1sUEsF&#10;BgAAAAAGAAYAWQEAAMQFAAAAAA==&#10;">
              <v:fill on="f" focussize="0,0"/>
              <v:stroke on="f" weight="0.5pt"/>
              <v:imagedata o:title=""/>
              <o:lock v:ext="edit" aspectratio="f"/>
              <v:textbox inset="0mm,0mm,0mm,0mm" style="mso-fit-shape-to-text:t;">
                <w:txbxContent>
                  <w:p w14:paraId="16EEE47A">
                    <w:pPr>
                      <w:ind w:firstLine="0" w:firstLineChars="0"/>
                    </w:pPr>
                  </w:p>
                </w:txbxContent>
              </v:textbox>
            </v:shape>
          </w:pict>
        </mc:Fallback>
      </mc:AlternateContent>
    </w:r>
    <w:r>
      <w:rPr>
        <w:rFonts w:hint="eastAsia"/>
      </w:rPr>
      <w:tab/>
    </w:r>
    <w:r>
      <w:rPr>
        <w:rFonts w:hint="eastAsia"/>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881E4">
    <w:pPr>
      <w:pStyle w:val="16"/>
      <w:tabs>
        <w:tab w:val="right" w:pos="8845"/>
        <w:tab w:val="clear" w:pos="4153"/>
      </w:tabs>
      <w:ind w:firstLine="0" w:firstLineChars="0"/>
    </w:pPr>
    <w:r>
      <mc:AlternateContent>
        <mc:Choice Requires="wps">
          <w:drawing>
            <wp:anchor distT="0" distB="0" distL="114300" distR="114300" simplePos="0" relativeHeight="251664384"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4"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0FF26D45">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64384;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LbIdIdcAAAAJAQAADwAAAAAAAAABACAAAAAiAAAAZHJzL2Rvd25yZXYu&#10;eG1sUEsBAhQAFAAAAAgAh07iQErdYSI1AgAAYgQAAA4AAAAAAAAAAQAgAAAAJgEAAGRycy9lMm9E&#10;b2MueG1sUEsFBgAAAAAGAAYAWQEAAM0FAAAAAA==&#10;">
              <v:fill on="f" focussize="0,0"/>
              <v:stroke on="f" weight="0.5pt"/>
              <v:imagedata o:title=""/>
              <o:lock v:ext="edit" aspectratio="f"/>
              <v:textbox inset="0mm,0mm,0mm,0mm">
                <w:txbxContent>
                  <w:p w14:paraId="0FF26D45">
                    <w:pPr>
                      <w:ind w:firstLine="0" w:firstLineChars="0"/>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6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D610EB9">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tOF4xAgAAZA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brTheMQIAAGQEAAAOAAAAAAAAAAEAIAAAAB8BAABkcnMvZTJvRG9jLnhtbFBLBQYA&#10;AAAABgAGAFkBAADCBQAAAAA=&#10;">
              <v:fill on="f" focussize="0,0"/>
              <v:stroke on="f" weight="0.5pt"/>
              <v:imagedata o:title=""/>
              <o:lock v:ext="edit" aspectratio="f"/>
              <v:textbox inset="0mm,0mm,0mm,0mm" style="mso-fit-shape-to-text:t;">
                <w:txbxContent>
                  <w:p w14:paraId="5D610EB9">
                    <w:pPr>
                      <w:ind w:firstLine="0" w:firstLineChars="0"/>
                    </w:pPr>
                  </w:p>
                </w:txbxContent>
              </v:textbox>
            </v:shape>
          </w:pict>
        </mc:Fallback>
      </mc:AlternateContent>
    </w:r>
    <w:r>
      <w:rPr>
        <w:rFonts w:hint="eastAsia"/>
      </w:rPr>
      <w:tab/>
    </w:r>
    <w:r>
      <w:rPr>
        <w:rFonts w:hint="eastAsia"/>
      </w:rPr>
      <w:tab/>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3C48C3">
    <w:pPr>
      <w:pStyle w:val="16"/>
      <w:ind w:firstLine="360"/>
    </w:pPr>
    <w: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03" name="文本框 2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39CF47">
                          <w:pPr>
                            <w:pStyle w:val="16"/>
                            <w:ind w:firstLine="0" w:firstLineChars="0"/>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II</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ULyMuAgAAWQQAAA4AAABkcnMvZTJvRG9jLnhtbK1UzY7TMBC+I/EO&#10;lu80aVes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D/1C8jLgIAAFkEAAAOAAAAAAAAAAEAIAAAAB8BAABkcnMvZTJvRG9jLnhtbFBLBQYAAAAA&#10;BgAGAFkBAAC/BQAAAAA=&#10;">
              <v:fill on="f" focussize="0,0"/>
              <v:stroke on="f" weight="0.5pt"/>
              <v:imagedata o:title=""/>
              <o:lock v:ext="edit" aspectratio="f"/>
              <v:textbox inset="0mm,0mm,0mm,0mm" style="mso-fit-shape-to-text:t;">
                <w:txbxContent>
                  <w:p w14:paraId="1639CF47">
                    <w:pPr>
                      <w:pStyle w:val="16"/>
                      <w:ind w:firstLine="0" w:firstLineChars="0"/>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II</w:t>
                    </w:r>
                    <w:r>
                      <w:rPr>
                        <w:sz w:val="28"/>
                        <w:szCs w:val="28"/>
                      </w:rP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A034A">
    <w:pPr>
      <w:pStyle w:val="16"/>
      <w:tabs>
        <w:tab w:val="right" w:pos="8845"/>
        <w:tab w:val="clear" w:pos="4153"/>
      </w:tabs>
      <w:ind w:firstLine="0" w:firstLineChars="0"/>
    </w:pPr>
    <w: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4" name="文本框 10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4CF4FD0">
                          <w:pPr>
                            <w:pStyle w:val="16"/>
                            <w:ind w:firstLine="0" w:firstLineChars="0"/>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15</w:t>
                          </w:r>
                          <w:r>
                            <w:rPr>
                              <w:sz w:val="24"/>
                              <w:szCs w:val="24"/>
                            </w:rPr>
                            <w:fldChar w:fldCharType="end"/>
                          </w:r>
                          <w:r>
                            <w:rPr>
                              <w:sz w:val="24"/>
                              <w:szCs w:val="24"/>
                            </w:rPr>
                            <w:t xml:space="preserve"> —</w:t>
                          </w:r>
                        </w:p>
                      </w:txbxContent>
                    </wps:txbx>
                    <wps:bodyPr vert="horz" wrap="none" lIns="0" tIns="0" rIns="0" bIns="0" anchor="t" anchorCtr="0">
                      <a:spAutoFit/>
                    </wps:bodyPr>
                  </wps:wsp>
                </a:graphicData>
              </a:graphic>
            </wp:anchor>
          </w:drawing>
        </mc:Choice>
        <mc:Fallback>
          <w:pict>
            <v:shape id="文本框 1077"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6pebnPAAAABQEAAA8AAAAAAAAAAQAgAAAA&#10;IgAAAGRycy9kb3ducmV2LnhtbFBLAQIUABQAAAAIAIdO4kBoVN352wEAALcDAAAOAAAAAAAAAAEA&#10;IAAAAB4BAABkcnMvZTJvRG9jLnhtbFBLBQYAAAAABgAGAFkBAABrBQAAAAA=&#10;">
              <v:fill on="f" focussize="0,0"/>
              <v:stroke on="f"/>
              <v:imagedata o:title=""/>
              <o:lock v:ext="edit" aspectratio="f"/>
              <v:textbox inset="0mm,0mm,0mm,0mm" style="mso-fit-shape-to-text:t;">
                <w:txbxContent>
                  <w:p w14:paraId="14CF4FD0">
                    <w:pPr>
                      <w:pStyle w:val="16"/>
                      <w:ind w:firstLine="0" w:firstLineChars="0"/>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15</w:t>
                    </w:r>
                    <w:r>
                      <w:rPr>
                        <w:sz w:val="24"/>
                        <w:szCs w:val="24"/>
                      </w:rPr>
                      <w:fldChar w:fldCharType="end"/>
                    </w:r>
                    <w:r>
                      <w:rPr>
                        <w:sz w:val="24"/>
                        <w:szCs w:val="24"/>
                      </w:rPr>
                      <w:t xml:space="preserve"> —</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195"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36D9875C">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66432;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2yHSHXAAAACQEAAA8AAAAAAAAAAQAgAAAAIgAAAGRycy9kb3ducmV2&#10;LnhtbFBLAQIUABQAAAAIAIdO4kDo/ChMNgIAAGQEAAAOAAAAAAAAAAEAIAAAACYBAABkcnMvZTJv&#10;RG9jLnhtbFBLBQYAAAAABgAGAFkBAADOBQAAAAA=&#10;">
              <v:fill on="f" focussize="0,0"/>
              <v:stroke on="f" weight="0.5pt"/>
              <v:imagedata o:title=""/>
              <o:lock v:ext="edit" aspectratio="f"/>
              <v:textbox inset="0mm,0mm,0mm,0mm">
                <w:txbxContent>
                  <w:p w14:paraId="36D9875C">
                    <w:pPr>
                      <w:ind w:firstLine="0" w:firstLineChars="0"/>
                    </w:pP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F4F43A9">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CMESszAgAAZQQAAA4AAABkcnMvZTJvRG9jLnhtbK1UzY7TMBC+I/EO&#10;lu80bRFVqZ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CMESszAgAAZQQAAA4AAAAAAAAAAQAgAAAAHwEAAGRycy9lMm9Eb2MueG1sUEsF&#10;BgAAAAAGAAYAWQEAAMQFAAAAAA==&#10;">
              <v:fill on="f" focussize="0,0"/>
              <v:stroke on="f" weight="0.5pt"/>
              <v:imagedata o:title=""/>
              <o:lock v:ext="edit" aspectratio="f"/>
              <v:textbox inset="0mm,0mm,0mm,0mm" style="mso-fit-shape-to-text:t;">
                <w:txbxContent>
                  <w:p w14:paraId="7F4F43A9">
                    <w:pPr>
                      <w:ind w:firstLine="0" w:firstLineChars="0"/>
                    </w:pP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97859">
    <w:pPr>
      <w:pStyle w:val="16"/>
      <w:tabs>
        <w:tab w:val="left" w:pos="5016"/>
        <w:tab w:val="clear" w:pos="4153"/>
      </w:tabs>
      <w:ind w:firstLine="0" w:firstLineChars="0"/>
    </w:pPr>
    <w: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7" name="文本框 10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8F6F48E">
                          <w:pPr>
                            <w:pStyle w:val="16"/>
                            <w:ind w:firstLine="0" w:firstLineChars="0"/>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16</w:t>
                          </w:r>
                          <w:r>
                            <w:rPr>
                              <w:sz w:val="24"/>
                              <w:szCs w:val="24"/>
                            </w:rPr>
                            <w:fldChar w:fldCharType="end"/>
                          </w:r>
                          <w:r>
                            <w:rPr>
                              <w:sz w:val="24"/>
                              <w:szCs w:val="24"/>
                            </w:rPr>
                            <w:t xml:space="preserve"> —</w:t>
                          </w:r>
                        </w:p>
                      </w:txbxContent>
                    </wps:txbx>
                    <wps:bodyPr vert="horz" wrap="none" lIns="0" tIns="0" rIns="0" bIns="0" anchor="t" anchorCtr="0">
                      <a:spAutoFit/>
                    </wps:bodyPr>
                  </wps:wsp>
                </a:graphicData>
              </a:graphic>
            </wp:anchor>
          </w:drawing>
        </mc:Choice>
        <mc:Fallback>
          <w:pict>
            <v:shape id="文本框 1078"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6pebnPAAAABQEAAA8AAAAAAAAAAQAgAAAA&#10;IgAAAGRycy9kb3ducmV2LnhtbFBLAQIUABQAAAAIAIdO4kDYRPqs2wEAALcDAAAOAAAAAAAAAAEA&#10;IAAAAB4BAABkcnMvZTJvRG9jLnhtbFBLBQYAAAAABgAGAFkBAABrBQAAAAA=&#10;">
              <v:fill on="f" focussize="0,0"/>
              <v:stroke on="f"/>
              <v:imagedata o:title=""/>
              <o:lock v:ext="edit" aspectratio="f"/>
              <v:textbox inset="0mm,0mm,0mm,0mm" style="mso-fit-shape-to-text:t;">
                <w:txbxContent>
                  <w:p w14:paraId="38F6F48E">
                    <w:pPr>
                      <w:pStyle w:val="16"/>
                      <w:ind w:firstLine="0" w:firstLineChars="0"/>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16</w:t>
                    </w:r>
                    <w:r>
                      <w:rPr>
                        <w:sz w:val="24"/>
                        <w:szCs w:val="24"/>
                      </w:rPr>
                      <w:fldChar w:fldCharType="end"/>
                    </w:r>
                    <w:r>
                      <w:rPr>
                        <w:sz w:val="24"/>
                        <w:szCs w:val="24"/>
                      </w:rPr>
                      <w:t xml:space="preserve"> —</w:t>
                    </w:r>
                  </w:p>
                </w:txbxContent>
              </v:textbox>
            </v:shape>
          </w:pict>
        </mc:Fallback>
      </mc:AlternateContent>
    </w:r>
    <w:r>
      <w:rPr>
        <w:rFonts w:hint="eastAsia"/>
      </w:rPr>
      <w:tab/>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E138A">
    <w:pPr>
      <w:pStyle w:val="16"/>
      <w:tabs>
        <w:tab w:val="right" w:pos="8845"/>
        <w:tab w:val="clear" w:pos="4153"/>
      </w:tabs>
      <w:ind w:firstLine="0" w:firstLineChars="0"/>
    </w:pPr>
    <w:r>
      <w:rPr>
        <w:sz w:val="18"/>
      </w:rPr>
      <mc:AlternateContent>
        <mc:Choice Requires="wps">
          <w:drawing>
            <wp:anchor distT="0" distB="0" distL="114300" distR="114300" simplePos="0" relativeHeight="251664384"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210"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48C8F271">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64384;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2yHSHXAAAACQEAAA8AAAAAAAAAAQAgAAAAIgAAAGRycy9kb3ducmV2&#10;LnhtbFBLAQIUABQAAAAIAIdO4kAKJPn+NgIAAGQEAAAOAAAAAAAAAAEAIAAAACYBAABkcnMvZTJv&#10;RG9jLnhtbFBLBQYAAAAABgAGAFkBAADOBQAAAAA=&#10;">
              <v:fill on="f" focussize="0,0"/>
              <v:stroke on="f" weight="0.5pt"/>
              <v:imagedata o:title=""/>
              <o:lock v:ext="edit" aspectratio="f"/>
              <v:textbox inset="0mm,0mm,0mm,0mm">
                <w:txbxContent>
                  <w:p w14:paraId="48C8F271">
                    <w:pPr>
                      <w:ind w:firstLine="0" w:firstLineChars="0"/>
                    </w:pPr>
                  </w:p>
                </w:txbxContent>
              </v:textbox>
            </v:shape>
          </w:pict>
        </mc:Fallback>
      </mc:AlternateContent>
    </w: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1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941F0A0">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AJHukyAgAAZ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Ake6TICAABlBAAADgAAAAAAAAABACAAAAAfAQAAZHJzL2Uyb0RvYy54bWxQSwUG&#10;AAAAAAYABgBZAQAAwwUAAAAA&#10;">
              <v:fill on="f" focussize="0,0"/>
              <v:stroke on="f" weight="0.5pt"/>
              <v:imagedata o:title=""/>
              <o:lock v:ext="edit" aspectratio="f"/>
              <v:textbox inset="0mm,0mm,0mm,0mm" style="mso-fit-shape-to-text:t;">
                <w:txbxContent>
                  <w:p w14:paraId="0941F0A0">
                    <w:pPr>
                      <w:ind w:firstLine="0" w:firstLineChars="0"/>
                    </w:pPr>
                  </w:p>
                </w:txbxContent>
              </v:textbox>
            </v:shape>
          </w:pict>
        </mc:Fallback>
      </mc:AlternateContent>
    </w:r>
    <w:r>
      <w:rPr>
        <w:rFonts w:hint="eastAsia"/>
      </w:rPr>
      <w:tab/>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9FB4B">
    <w:pPr>
      <w:pStyle w:val="16"/>
      <w:ind w:firstLine="0" w:firstLineChars="0"/>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12" name="文本框 2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4F93DC">
                          <w:pPr>
                            <w:pStyle w:val="16"/>
                            <w:ind w:firstLine="0" w:firstLineChars="0"/>
                            <w:rPr>
                              <w:rFonts w:eastAsia="仿宋"/>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Fo7Dkt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Fo7DktAgAAWQQAAA4AAAAAAAAAAQAgAAAAHwEAAGRycy9lMm9Eb2MueG1sUEsFBgAAAAAG&#10;AAYAWQEAAL4FAAAAAA==&#10;">
              <v:fill on="f" focussize="0,0"/>
              <v:stroke on="f" weight="0.5pt"/>
              <v:imagedata o:title=""/>
              <o:lock v:ext="edit" aspectratio="f"/>
              <v:textbox inset="0mm,0mm,0mm,0mm" style="mso-fit-shape-to-text:t;">
                <w:txbxContent>
                  <w:p w14:paraId="3F4F93DC">
                    <w:pPr>
                      <w:pStyle w:val="16"/>
                      <w:ind w:firstLine="0" w:firstLineChars="0"/>
                      <w:rPr>
                        <w:rFonts w:eastAsia="仿宋"/>
                        <w:szCs w:val="28"/>
                      </w:rPr>
                    </w:pP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C987B">
    <w:pPr>
      <w:pStyle w:val="16"/>
      <w:tabs>
        <w:tab w:val="right" w:pos="8845"/>
        <w:tab w:val="clear" w:pos="4153"/>
      </w:tabs>
      <w:ind w:firstLine="0" w:firstLineChars="0"/>
    </w:pPr>
    <w:r>
      <w:rPr>
        <w:sz w:val="18"/>
      </w:rPr>
      <mc:AlternateContent>
        <mc:Choice Requires="wps">
          <w:drawing>
            <wp:anchor distT="0" distB="0" distL="114300" distR="114300" simplePos="0" relativeHeight="2516746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13" name="文本框 2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473641">
                          <w:pPr>
                            <w:pStyle w:val="16"/>
                            <w:ind w:firstLine="0" w:firstLineChars="0"/>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83wGQuAgAAWQ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DfN8BkLgIAAFkEAAAOAAAAAAAAAAEAIAAAAB8BAABkcnMvZTJvRG9jLnhtbFBLBQYAAAAA&#10;BgAGAFkBAAC/BQAAAAA=&#10;">
              <v:fill on="f" focussize="0,0"/>
              <v:stroke on="f" weight="0.5pt"/>
              <v:imagedata o:title=""/>
              <o:lock v:ext="edit" aspectratio="f"/>
              <v:textbox inset="0mm,0mm,0mm,0mm" style="mso-fit-shape-to-text:t;">
                <w:txbxContent>
                  <w:p w14:paraId="12473641">
                    <w:pPr>
                      <w:pStyle w:val="16"/>
                      <w:ind w:firstLine="0" w:firstLineChars="0"/>
                    </w:pPr>
                    <w:r>
                      <w:fldChar w:fldCharType="begin"/>
                    </w:r>
                    <w:r>
                      <w:instrText xml:space="preserve"> PAGE  \* MERGEFORMAT </w:instrText>
                    </w:r>
                    <w:r>
                      <w:fldChar w:fldCharType="separate"/>
                    </w:r>
                    <w:r>
                      <w:t>I</w:t>
                    </w:r>
                    <w:r>
                      <w:fldChar w:fldCharType="end"/>
                    </w:r>
                  </w:p>
                </w:txbxContent>
              </v:textbox>
            </v:shape>
          </w:pict>
        </mc:Fallback>
      </mc:AlternateContent>
    </w:r>
    <w:r>
      <w:rPr>
        <w:sz w:val="18"/>
      </w:rPr>
      <mc:AlternateContent>
        <mc:Choice Requires="wps">
          <w:drawing>
            <wp:anchor distT="0" distB="0" distL="114300" distR="114300" simplePos="0" relativeHeight="251670528"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214"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3EDA4400">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70528;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tsh0h1wAAAAkBAAAPAAAAAAAAAAEAIAAAACIAAABkcnMvZG93bnJl&#10;di54bWxQSwECFAAUAAAACACHTuJAttquKzcCAABkBAAADgAAAAAAAAABACAAAAAmAQAAZHJzL2Uy&#10;b0RvYy54bWxQSwUGAAAAAAYABgBZAQAAzwUAAAAA&#10;">
              <v:fill on="f" focussize="0,0"/>
              <v:stroke on="f" weight="0.5pt"/>
              <v:imagedata o:title=""/>
              <o:lock v:ext="edit" aspectratio="f"/>
              <v:textbox inset="0mm,0mm,0mm,0mm">
                <w:txbxContent>
                  <w:p w14:paraId="3EDA4400">
                    <w:pPr>
                      <w:ind w:firstLine="0" w:firstLineChars="0"/>
                    </w:pPr>
                  </w:p>
                </w:txbxContent>
              </v:textbox>
            </v:shape>
          </w:pict>
        </mc:Fallback>
      </mc:AlternateContent>
    </w:r>
    <w:r>
      <w:rPr>
        <w:sz w:val="18"/>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1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6A5B38A">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mhHCs0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5oRwrNAIAAGUEAAAOAAAAAAAAAAEAIAAAAB8BAABkcnMvZTJvRG9jLnhtbFBL&#10;BQYAAAAABgAGAFkBAADFBQAAAAA=&#10;">
              <v:fill on="f" focussize="0,0"/>
              <v:stroke on="f" weight="0.5pt"/>
              <v:imagedata o:title=""/>
              <o:lock v:ext="edit" aspectratio="f"/>
              <v:textbox inset="0mm,0mm,0mm,0mm" style="mso-fit-shape-to-text:t;">
                <w:txbxContent>
                  <w:p w14:paraId="56A5B38A">
                    <w:pPr>
                      <w:ind w:firstLine="0" w:firstLineChars="0"/>
                    </w:pPr>
                  </w:p>
                </w:txbxContent>
              </v:textbox>
            </v:shape>
          </w:pict>
        </mc:Fallback>
      </mc:AlternateContent>
    </w:r>
    <w:r>
      <w:rPr>
        <w:rFonts w:hint="eastAsia"/>
      </w:rPr>
      <w:tab/>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8AACE">
    <w:pPr>
      <w:pStyle w:val="16"/>
      <w:ind w:firstLine="0" w:firstLineChars="0"/>
    </w:pPr>
    <w:r>
      <w:rPr>
        <w:sz w:val="18"/>
      </w:rPr>
      <mc:AlternateContent>
        <mc:Choice Requires="wps">
          <w:drawing>
            <wp:anchor distT="0" distB="0" distL="114300" distR="114300" simplePos="0" relativeHeight="2516756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16" name="文本框 2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FA32B2">
                          <w:pPr>
                            <w:pStyle w:val="16"/>
                            <w:ind w:firstLine="0" w:firstLineChars="0"/>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gRLJYtAgAAW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gRLJYtAgAAWQQAAA4AAAAAAAAAAQAgAAAAHwEAAGRycy9lMm9Eb2MueG1sUEsFBgAAAAAG&#10;AAYAWQEAAL4FAAAAAA==&#10;">
              <v:fill on="f" focussize="0,0"/>
              <v:stroke on="f" weight="0.5pt"/>
              <v:imagedata o:title=""/>
              <o:lock v:ext="edit" aspectratio="f"/>
              <v:textbox inset="0mm,0mm,0mm,0mm" style="mso-fit-shape-to-text:t;">
                <w:txbxContent>
                  <w:p w14:paraId="42FA32B2">
                    <w:pPr>
                      <w:pStyle w:val="16"/>
                      <w:ind w:firstLine="0" w:firstLineChars="0"/>
                    </w:pPr>
                    <w:r>
                      <w:fldChar w:fldCharType="begin"/>
                    </w:r>
                    <w:r>
                      <w:instrText xml:space="preserve"> PAGE  \* MERGEFORMAT </w:instrText>
                    </w:r>
                    <w:r>
                      <w:fldChar w:fldCharType="separate"/>
                    </w:r>
                    <w:r>
                      <w:t>II</w:t>
                    </w:r>
                    <w:r>
                      <w:fldChar w:fldCharType="end"/>
                    </w:r>
                  </w:p>
                </w:txbxContent>
              </v:textbox>
            </v:shape>
          </w:pict>
        </mc:Fallback>
      </mc:AlternateContent>
    </w:r>
    <w:r>
      <w:rPr>
        <w:sz w:val="18"/>
      </w:rP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17" name="文本框 2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1367C8">
                          <w:pPr>
                            <w:pStyle w:val="16"/>
                            <w:ind w:firstLine="0" w:firstLineChars="0"/>
                            <w:rPr>
                              <w:rFonts w:eastAsia="仿宋"/>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OAMsuAgAAWQ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mTgDLLgIAAFkEAAAOAAAAAAAAAAEAIAAAAB8BAABkcnMvZTJvRG9jLnhtbFBLBQYAAAAA&#10;BgAGAFkBAAC/BQAAAAA=&#10;">
              <v:fill on="f" focussize="0,0"/>
              <v:stroke on="f" weight="0.5pt"/>
              <v:imagedata o:title=""/>
              <o:lock v:ext="edit" aspectratio="f"/>
              <v:textbox inset="0mm,0mm,0mm,0mm" style="mso-fit-shape-to-text:t;">
                <w:txbxContent>
                  <w:p w14:paraId="331367C8">
                    <w:pPr>
                      <w:pStyle w:val="16"/>
                      <w:ind w:firstLine="0" w:firstLineChars="0"/>
                      <w:rPr>
                        <w:rFonts w:eastAsia="仿宋"/>
                        <w:szCs w:val="28"/>
                      </w:rPr>
                    </w:pP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BC5A9">
    <w:pPr>
      <w:pStyle w:val="16"/>
      <w:tabs>
        <w:tab w:val="right" w:pos="8845"/>
        <w:tab w:val="clear" w:pos="4153"/>
      </w:tabs>
      <w:ind w:firstLine="0" w:firstLineChars="0"/>
    </w:pPr>
    <w:r>
      <w:rPr>
        <w:sz w:val="18"/>
      </w:rPr>
      <mc:AlternateContent>
        <mc:Choice Requires="wps">
          <w:drawing>
            <wp:anchor distT="0" distB="0" distL="114300" distR="114300" simplePos="0" relativeHeight="2516725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21" name="文本框 2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5C3D31">
                          <w:pPr>
                            <w:pStyle w:val="16"/>
                            <w:ind w:firstLine="0" w:firstLineChars="0"/>
                          </w:pPr>
                          <w:r>
                            <w:rPr>
                              <w:rFonts w:hint="eastAsia"/>
                            </w:rPr>
                            <w:t xml:space="preserve">- </w:t>
                          </w:r>
                          <w:r>
                            <w:fldChar w:fldCharType="begin"/>
                          </w:r>
                          <w:r>
                            <w:instrText xml:space="preserve"> PAGE  \* MERGEFORMAT </w:instrText>
                          </w:r>
                          <w:r>
                            <w:fldChar w:fldCharType="separate"/>
                          </w:r>
                          <w:r>
                            <w:t>13</w:t>
                          </w:r>
                          <w:r>
                            <w:fldChar w:fldCharType="end"/>
                          </w:r>
                          <w:r>
                            <w:rPr>
                              <w:rFonts w:hint="eastAsia"/>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OtqBYtAgAAW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OtqBYtAgAAWQQAAA4AAAAAAAAAAQAgAAAAHwEAAGRycy9lMm9Eb2MueG1sUEsFBgAAAAAG&#10;AAYAWQEAAL4FAAAAAA==&#10;">
              <v:fill on="f" focussize="0,0"/>
              <v:stroke on="f" weight="0.5pt"/>
              <v:imagedata o:title=""/>
              <o:lock v:ext="edit" aspectratio="f"/>
              <v:textbox inset="0mm,0mm,0mm,0mm" style="mso-fit-shape-to-text:t;">
                <w:txbxContent>
                  <w:p w14:paraId="565C3D31">
                    <w:pPr>
                      <w:pStyle w:val="16"/>
                      <w:ind w:firstLine="0" w:firstLineChars="0"/>
                    </w:pPr>
                    <w:r>
                      <w:rPr>
                        <w:rFonts w:hint="eastAsia"/>
                      </w:rPr>
                      <w:t xml:space="preserve">- </w:t>
                    </w:r>
                    <w:r>
                      <w:fldChar w:fldCharType="begin"/>
                    </w:r>
                    <w:r>
                      <w:instrText xml:space="preserve"> PAGE  \* MERGEFORMAT </w:instrText>
                    </w:r>
                    <w:r>
                      <w:fldChar w:fldCharType="separate"/>
                    </w:r>
                    <w:r>
                      <w:t>13</w:t>
                    </w:r>
                    <w:r>
                      <w:fldChar w:fldCharType="end"/>
                    </w:r>
                    <w:r>
                      <w:rPr>
                        <w:rFonts w:hint="eastAsia"/>
                      </w:rPr>
                      <w:t xml:space="preserve"> -</w:t>
                    </w:r>
                  </w:p>
                </w:txbxContent>
              </v:textbox>
            </v:shape>
          </w:pict>
        </mc:Fallback>
      </mc:AlternateContent>
    </w:r>
    <w:r>
      <w:rPr>
        <w:sz w:val="18"/>
      </w:rPr>
      <mc:AlternateContent>
        <mc:Choice Requires="wps">
          <w:drawing>
            <wp:anchor distT="0" distB="0" distL="114300" distR="114300" simplePos="0" relativeHeight="251667456"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222"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6D932314">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67456;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2yHSHXAAAACQEAAA8AAAAAAAAAAQAgAAAAIgAAAGRycy9kb3ducmV2&#10;LnhtbFBLAQIUABQAAAAIAIdO4kDe57deNgIAAGQEAAAOAAAAAAAAAAEAIAAAACYBAABkcnMvZTJv&#10;RG9jLnhtbFBLBQYAAAAABgAGAFkBAADOBQAAAAA=&#10;">
              <v:fill on="f" focussize="0,0"/>
              <v:stroke on="f" weight="0.5pt"/>
              <v:imagedata o:title=""/>
              <o:lock v:ext="edit" aspectratio="f"/>
              <v:textbox inset="0mm,0mm,0mm,0mm">
                <w:txbxContent>
                  <w:p w14:paraId="6D932314">
                    <w:pPr>
                      <w:ind w:firstLine="0" w:firstLineChars="0"/>
                    </w:pP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2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379418F">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5RAGg0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uUQBoNAIAAGUEAAAOAAAAAAAAAAEAIAAAAB8BAABkcnMvZTJvRG9jLnhtbFBL&#10;BQYAAAAABgAGAFkBAADFBQAAAAA=&#10;">
              <v:fill on="f" focussize="0,0"/>
              <v:stroke on="f" weight="0.5pt"/>
              <v:imagedata o:title=""/>
              <o:lock v:ext="edit" aspectratio="f"/>
              <v:textbox inset="0mm,0mm,0mm,0mm" style="mso-fit-shape-to-text:t;">
                <w:txbxContent>
                  <w:p w14:paraId="3379418F">
                    <w:pPr>
                      <w:ind w:firstLine="0" w:firstLineChars="0"/>
                    </w:pPr>
                  </w:p>
                </w:txbxContent>
              </v:textbox>
            </v:shape>
          </w:pict>
        </mc:Fallback>
      </mc:AlternateContent>
    </w:r>
    <w:r>
      <w:rPr>
        <w:rFonts w:hint="eastAsia"/>
      </w:rPr>
      <w:tab/>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CDD760">
    <w:pPr>
      <w:pStyle w:val="16"/>
      <w:ind w:firstLine="0" w:firstLineChars="0"/>
    </w:pPr>
    <w:r>
      <w:rPr>
        <w:sz w:val="18"/>
      </w:rPr>
      <mc:AlternateContent>
        <mc:Choice Requires="wps">
          <w:drawing>
            <wp:anchor distT="0" distB="0" distL="114300" distR="114300" simplePos="0" relativeHeight="2516736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24" name="文本框 2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793E5B">
                          <w:pPr>
                            <w:pStyle w:val="16"/>
                            <w:ind w:firstLine="0" w:firstLineChars="0"/>
                          </w:pPr>
                          <w:r>
                            <w:rPr>
                              <w:rFonts w:hint="eastAsia"/>
                            </w:rPr>
                            <w:t xml:space="preserve">- </w:t>
                          </w:r>
                          <w:r>
                            <w:fldChar w:fldCharType="begin"/>
                          </w:r>
                          <w:r>
                            <w:instrText xml:space="preserve"> PAGE  \* MERGEFORMAT </w:instrText>
                          </w:r>
                          <w:r>
                            <w:fldChar w:fldCharType="separate"/>
                          </w:r>
                          <w:r>
                            <w:t>14</w:t>
                          </w:r>
                          <w:r>
                            <w:fldChar w:fldCharType="end"/>
                          </w:r>
                          <w:r>
                            <w:rPr>
                              <w:rFonts w:hint="eastAsia"/>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LROQu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0i0TkLgIAAFkEAAAOAAAAAAAAAAEAIAAAAB8BAABkcnMvZTJvRG9jLnhtbFBLBQYAAAAA&#10;BgAGAFkBAAC/BQAAAAA=&#10;">
              <v:fill on="f" focussize="0,0"/>
              <v:stroke on="f" weight="0.5pt"/>
              <v:imagedata o:title=""/>
              <o:lock v:ext="edit" aspectratio="f"/>
              <v:textbox inset="0mm,0mm,0mm,0mm" style="mso-fit-shape-to-text:t;">
                <w:txbxContent>
                  <w:p w14:paraId="5F793E5B">
                    <w:pPr>
                      <w:pStyle w:val="16"/>
                      <w:ind w:firstLine="0" w:firstLineChars="0"/>
                    </w:pPr>
                    <w:r>
                      <w:rPr>
                        <w:rFonts w:hint="eastAsia"/>
                      </w:rPr>
                      <w:t xml:space="preserve">- </w:t>
                    </w:r>
                    <w:r>
                      <w:fldChar w:fldCharType="begin"/>
                    </w:r>
                    <w:r>
                      <w:instrText xml:space="preserve"> PAGE  \* MERGEFORMAT </w:instrText>
                    </w:r>
                    <w:r>
                      <w:fldChar w:fldCharType="separate"/>
                    </w:r>
                    <w:r>
                      <w:t>14</w:t>
                    </w:r>
                    <w:r>
                      <w:fldChar w:fldCharType="end"/>
                    </w:r>
                    <w:r>
                      <w:rPr>
                        <w:rFonts w:hint="eastAsia"/>
                      </w:rPr>
                      <w:t xml:space="preserve"> -</w:t>
                    </w:r>
                  </w:p>
                </w:txbxContent>
              </v:textbox>
            </v:shape>
          </w:pict>
        </mc:Fallback>
      </mc:AlternateContent>
    </w:r>
    <w:r>
      <w:rPr>
        <w:sz w:val="1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25" name="文本框 2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5E2B52">
                          <w:pPr>
                            <w:pStyle w:val="16"/>
                            <w:ind w:firstLine="0" w:firstLineChars="0"/>
                            <w:rPr>
                              <w:rFonts w:eastAsia="仿宋"/>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rUaLkuAgAAW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Ca1Gi5LgIAAFkEAAAOAAAAAAAAAAEAIAAAAB8BAABkcnMvZTJvRG9jLnhtbFBLBQYAAAAA&#10;BgAGAFkBAAC/BQAAAAA=&#10;">
              <v:fill on="f" focussize="0,0"/>
              <v:stroke on="f" weight="0.5pt"/>
              <v:imagedata o:title=""/>
              <o:lock v:ext="edit" aspectratio="f"/>
              <v:textbox inset="0mm,0mm,0mm,0mm" style="mso-fit-shape-to-text:t;">
                <w:txbxContent>
                  <w:p w14:paraId="685E2B52">
                    <w:pPr>
                      <w:pStyle w:val="16"/>
                      <w:ind w:firstLine="0" w:firstLineChars="0"/>
                      <w:rPr>
                        <w:rFonts w:eastAsia="仿宋"/>
                        <w:szCs w:val="28"/>
                      </w:rPr>
                    </w:pP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53EEC1">
    <w:pPr>
      <w:pStyle w:val="16"/>
      <w:tabs>
        <w:tab w:val="right" w:pos="8845"/>
        <w:tab w:val="clear" w:pos="4153"/>
      </w:tabs>
      <w:ind w:firstLine="0" w:firstLineChars="0"/>
    </w:pPr>
    <w:r>
      <w:rPr>
        <w:sz w:val="18"/>
      </w:rPr>
      <mc:AlternateContent>
        <mc:Choice Requires="wps">
          <w:drawing>
            <wp:anchor distT="0" distB="0" distL="114300" distR="114300" simplePos="0" relativeHeight="251664384"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226"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501B35DA">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64384;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tsh0h1wAAAAkBAAAPAAAAAAAAAAEAIAAAACIAAABkcnMvZG93bnJl&#10;di54bWxQSwECFAAUAAAACACHTuJAYhngizcCAABkBAAADgAAAAAAAAABACAAAAAmAQAAZHJzL2Uy&#10;b0RvYy54bWxQSwUGAAAAAAYABgBZAQAAzwUAAAAA&#10;">
              <v:fill on="f" focussize="0,0"/>
              <v:stroke on="f" weight="0.5pt"/>
              <v:imagedata o:title=""/>
              <o:lock v:ext="edit" aspectratio="f"/>
              <v:textbox inset="0mm,0mm,0mm,0mm">
                <w:txbxContent>
                  <w:p w14:paraId="501B35DA">
                    <w:pPr>
                      <w:ind w:firstLine="0" w:firstLineChars="0"/>
                    </w:pPr>
                  </w:p>
                </w:txbxContent>
              </v:textbox>
            </v:shape>
          </w:pict>
        </mc:Fallback>
      </mc:AlternateContent>
    </w: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2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7610E31">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f5Aqo0AgAAZ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3+QKqNAIAAGUEAAAOAAAAAAAAAAEAIAAAAB8BAABkcnMvZTJvRG9jLnhtbFBL&#10;BQYAAAAABgAGAFkBAADFBQAAAAA=&#10;">
              <v:fill on="f" focussize="0,0"/>
              <v:stroke on="f" weight="0.5pt"/>
              <v:imagedata o:title=""/>
              <o:lock v:ext="edit" aspectratio="f"/>
              <v:textbox inset="0mm,0mm,0mm,0mm" style="mso-fit-shape-to-text:t;">
                <w:txbxContent>
                  <w:p w14:paraId="37610E31">
                    <w:pPr>
                      <w:ind w:firstLine="0" w:firstLineChars="0"/>
                    </w:pPr>
                  </w:p>
                </w:txbxContent>
              </v:textbox>
            </v:shape>
          </w:pict>
        </mc:Fallback>
      </mc:AlternateContent>
    </w: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7CCD4E">
    <w:pPr>
      <w:pStyle w:val="16"/>
      <w:tabs>
        <w:tab w:val="right" w:pos="8845"/>
        <w:tab w:val="clear" w:pos="4153"/>
      </w:tabs>
      <w:ind w:firstLine="0" w:firstLineChars="0"/>
    </w:pPr>
    <w:r>
      <mc:AlternateContent>
        <mc:Choice Requires="wps">
          <w:drawing>
            <wp:anchor distT="0" distB="0" distL="114300" distR="114300" simplePos="0" relativeHeight="251678720" behindDoc="0" locked="0" layoutInCell="1" allowOverlap="1">
              <wp:simplePos x="0" y="0"/>
              <wp:positionH relativeFrom="margin">
                <wp:align>outside</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56CD6E">
                          <w:pPr>
                            <w:pStyle w:val="16"/>
                            <w:ind w:firstLine="0" w:firstLineChars="0"/>
                          </w:pPr>
                          <w:r>
                            <w:rPr>
                              <w:sz w:val="24"/>
                              <w:szCs w:val="24"/>
                            </w:rPr>
                            <w:fldChar w:fldCharType="begin"/>
                          </w:r>
                          <w:r>
                            <w:rPr>
                              <w:sz w:val="24"/>
                              <w:szCs w:val="24"/>
                            </w:rPr>
                            <w:instrText xml:space="preserve"> PAGE  \* MERGEFORMAT </w:instrText>
                          </w:r>
                          <w:r>
                            <w:rPr>
                              <w:sz w:val="24"/>
                              <w:szCs w:val="24"/>
                            </w:rPr>
                            <w:fldChar w:fldCharType="separate"/>
                          </w:r>
                          <w:r>
                            <w:rPr>
                              <w:sz w:val="24"/>
                              <w:szCs w:val="24"/>
                            </w:rPr>
                            <w:t>III</w:t>
                          </w:r>
                          <w:r>
                            <w:rPr>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W/Ec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5b8RywCAABXBAAADgAAAAAAAAABACAAAAAfAQAAZHJzL2Uyb0RvYy54bWxQSwUGAAAAAAYA&#10;BgBZAQAAvQUAAAAA&#10;">
              <v:fill on="f" focussize="0,0"/>
              <v:stroke on="f" weight="0.5pt"/>
              <v:imagedata o:title=""/>
              <o:lock v:ext="edit" aspectratio="f"/>
              <v:textbox inset="0mm,0mm,0mm,0mm" style="mso-fit-shape-to-text:t;">
                <w:txbxContent>
                  <w:p w14:paraId="5B56CD6E">
                    <w:pPr>
                      <w:pStyle w:val="16"/>
                      <w:ind w:firstLine="0" w:firstLineChars="0"/>
                    </w:pPr>
                    <w:r>
                      <w:rPr>
                        <w:sz w:val="24"/>
                        <w:szCs w:val="24"/>
                      </w:rPr>
                      <w:fldChar w:fldCharType="begin"/>
                    </w:r>
                    <w:r>
                      <w:rPr>
                        <w:sz w:val="24"/>
                        <w:szCs w:val="24"/>
                      </w:rPr>
                      <w:instrText xml:space="preserve"> PAGE  \* MERGEFORMAT </w:instrText>
                    </w:r>
                    <w:r>
                      <w:rPr>
                        <w:sz w:val="24"/>
                        <w:szCs w:val="24"/>
                      </w:rPr>
                      <w:fldChar w:fldCharType="separate"/>
                    </w:r>
                    <w:r>
                      <w:rPr>
                        <w:sz w:val="24"/>
                        <w:szCs w:val="24"/>
                      </w:rPr>
                      <w:t>III</w:t>
                    </w:r>
                    <w:r>
                      <w:rPr>
                        <w:sz w:val="24"/>
                        <w:szCs w:val="24"/>
                      </w:rPr>
                      <w:fldChar w:fldCharType="end"/>
                    </w:r>
                  </w:p>
                </w:txbxContent>
              </v:textbox>
            </v:shape>
          </w:pict>
        </mc:Fallback>
      </mc:AlternateContent>
    </w:r>
    <w:r>
      <mc:AlternateContent>
        <mc:Choice Requires="wps">
          <w:drawing>
            <wp:anchor distT="0" distB="0" distL="114300" distR="114300" simplePos="0" relativeHeight="251677696" behindDoc="0" locked="0" layoutInCell="1" allowOverlap="1">
              <wp:simplePos x="0" y="0"/>
              <wp:positionH relativeFrom="margin">
                <wp:posOffset>5495925</wp:posOffset>
              </wp:positionH>
              <wp:positionV relativeFrom="paragraph">
                <wp:posOffset>-38100</wp:posOffset>
              </wp:positionV>
              <wp:extent cx="1828800" cy="1828800"/>
              <wp:effectExtent l="0" t="0" r="0" b="0"/>
              <wp:wrapNone/>
              <wp:docPr id="70" name="文本框 10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FB0837B">
                          <w:pPr>
                            <w:pStyle w:val="16"/>
                            <w:ind w:firstLine="0" w:firstLineChars="0"/>
                          </w:pPr>
                        </w:p>
                      </w:txbxContent>
                    </wps:txbx>
                    <wps:bodyPr vert="horz" wrap="none" lIns="0" tIns="0" rIns="0" bIns="0" anchor="t" anchorCtr="0">
                      <a:spAutoFit/>
                    </wps:bodyPr>
                  </wps:wsp>
                </a:graphicData>
              </a:graphic>
            </wp:anchor>
          </w:drawing>
        </mc:Choice>
        <mc:Fallback>
          <w:pict>
            <v:shape id="文本框 1079" o:spid="_x0000_s1026" o:spt="202" type="#_x0000_t202" style="position:absolute;left:0pt;margin-left:432.75pt;margin-top:-3pt;height:144pt;width:144pt;mso-position-horizontal-relative:margin;mso-wrap-style:none;z-index:251677696;mso-width-relative:page;mso-height-relative:page;" filled="f" stroked="f" coordsize="21600,21600" o:gfxdata="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1PVx+1wAAAAsBAAAPAAAAAAAA&#10;AAEAIAAAACIAAABkcnMvZG93bnJldi54bWxQSwECFAAUAAAACACHTuJAskKh9toBAAC2AwAADgAA&#10;AAAAAAABACAAAAAmAQAAZHJzL2Uyb0RvYy54bWxQSwUGAAAAAAYABgBZAQAAcgUAAAAA&#10;">
              <v:fill on="f" focussize="0,0"/>
              <v:stroke on="f"/>
              <v:imagedata o:title=""/>
              <o:lock v:ext="edit" aspectratio="f"/>
              <v:textbox inset="0mm,0mm,0mm,0mm" style="mso-fit-shape-to-text:t;">
                <w:txbxContent>
                  <w:p w14:paraId="0FB0837B">
                    <w:pPr>
                      <w:pStyle w:val="16"/>
                      <w:ind w:firstLine="0" w:firstLineChars="0"/>
                    </w:pPr>
                  </w:p>
                </w:txbxContent>
              </v:textbox>
            </v:shape>
          </w:pict>
        </mc:Fallback>
      </mc:AlternateContent>
    </w:r>
    <w:r>
      <mc:AlternateContent>
        <mc:Choice Requires="wps">
          <w:drawing>
            <wp:anchor distT="0" distB="0" distL="114300" distR="114300" simplePos="0" relativeHeight="251676672"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71"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7A58990D">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76672;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2yHSHXAAAACQEAAA8AAAAAAAAAAQAgAAAAIgAAAGRycy9kb3ducmV2&#10;LnhtbFBLAQIUABQAAAAIAIdO4kAQDqGcNgIAAGMEAAAOAAAAAAAAAAEAIAAAACYBAABkcnMvZTJv&#10;RG9jLnhtbFBLBQYAAAAABgAGAFkBAADOBQAAAAA=&#10;">
              <v:fill on="f" focussize="0,0"/>
              <v:stroke on="f" weight="0.5pt"/>
              <v:imagedata o:title=""/>
              <o:lock v:ext="edit" aspectratio="f"/>
              <v:textbox inset="0mm,0mm,0mm,0mm">
                <w:txbxContent>
                  <w:p w14:paraId="7A58990D">
                    <w:pPr>
                      <w:ind w:firstLine="0" w:firstLineChars="0"/>
                    </w:pP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1C7A44C">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6KtMUyAgAAZA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oq0xTICAABkBAAADgAAAAAAAAABACAAAAAfAQAAZHJzL2Uyb0RvYy54bWxQSwUG&#10;AAAAAAYABgBZAQAAwwUAAAAA&#10;">
              <v:fill on="f" focussize="0,0"/>
              <v:stroke on="f" weight="0.5pt"/>
              <v:imagedata o:title=""/>
              <o:lock v:ext="edit" aspectratio="f"/>
              <v:textbox inset="0mm,0mm,0mm,0mm" style="mso-fit-shape-to-text:t;">
                <w:txbxContent>
                  <w:p w14:paraId="61C7A44C">
                    <w:pPr>
                      <w:ind w:firstLine="0" w:firstLineChars="0"/>
                    </w:pPr>
                  </w:p>
                </w:txbxContent>
              </v:textbox>
            </v:shape>
          </w:pict>
        </mc:Fallback>
      </mc:AlternateContent>
    </w:r>
    <w:r>
      <w:rPr>
        <w:rFonts w:hint="eastAsia"/>
      </w:rPr>
      <w:tab/>
    </w:r>
    <w:r>
      <w:rPr>
        <w:rFonts w:hint="eastAsia"/>
      </w:rPr>
      <w:tab/>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64FA0">
    <w:pPr>
      <w:pStyle w:val="16"/>
      <w:ind w:firstLine="0" w:firstLineChars="0"/>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28" name="文本框 2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7ECF03">
                          <w:pPr>
                            <w:pStyle w:val="16"/>
                            <w:ind w:firstLine="0" w:firstLineChars="0"/>
                            <w:rPr>
                              <w:rFonts w:eastAsia="仿宋"/>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4Hdc8t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4Hdc8tAgAAWQQAAA4AAAAAAAAAAQAgAAAAHwEAAGRycy9lMm9Eb2MueG1sUEsFBgAAAAAG&#10;AAYAWQEAAL4FAAAAAA==&#10;">
              <v:fill on="f" focussize="0,0"/>
              <v:stroke on="f" weight="0.5pt"/>
              <v:imagedata o:title=""/>
              <o:lock v:ext="edit" aspectratio="f"/>
              <v:textbox inset="0mm,0mm,0mm,0mm" style="mso-fit-shape-to-text:t;">
                <w:txbxContent>
                  <w:p w14:paraId="4F7ECF03">
                    <w:pPr>
                      <w:pStyle w:val="16"/>
                      <w:ind w:firstLine="0" w:firstLineChars="0"/>
                      <w:rPr>
                        <w:rFonts w:eastAsia="仿宋"/>
                        <w:szCs w:val="28"/>
                      </w:rPr>
                    </w:pP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A820E1">
    <w:pPr>
      <w:pStyle w:val="16"/>
      <w:tabs>
        <w:tab w:val="right" w:pos="8845"/>
        <w:tab w:val="clear" w:pos="4153"/>
      </w:tabs>
      <w:ind w:firstLine="0" w:firstLineChars="0"/>
    </w:pPr>
    <w:r>
      <w:rPr>
        <w:sz w:val="18"/>
      </w:rPr>
      <mc:AlternateContent>
        <mc:Choice Requires="wps">
          <w:drawing>
            <wp:anchor distT="0" distB="0" distL="114300" distR="114300" simplePos="0" relativeHeight="2516725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37" name="文本框 2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783F3F">
                          <w:pPr>
                            <w:pStyle w:val="16"/>
                            <w:ind w:firstLine="0" w:firstLineChars="0"/>
                          </w:pPr>
                          <w:r>
                            <w:rPr>
                              <w:rFonts w:hint="eastAsia"/>
                            </w:rPr>
                            <w:t xml:space="preserve">- </w:t>
                          </w:r>
                          <w:r>
                            <w:fldChar w:fldCharType="begin"/>
                          </w:r>
                          <w:r>
                            <w:instrText xml:space="preserve"> PAGE  \* MERGEFORMAT </w:instrText>
                          </w:r>
                          <w:r>
                            <w:fldChar w:fldCharType="separate"/>
                          </w:r>
                          <w:r>
                            <w:t>5</w:t>
                          </w:r>
                          <w:r>
                            <w:fldChar w:fldCharType="end"/>
                          </w:r>
                          <w:r>
                            <w:rPr>
                              <w:rFonts w:hint="eastAsia"/>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aI30QuAgAAWQ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miN9ELgIAAFkEAAAOAAAAAAAAAAEAIAAAAB8BAABkcnMvZTJvRG9jLnhtbFBLBQYAAAAA&#10;BgAGAFkBAAC/BQAAAAA=&#10;">
              <v:fill on="f" focussize="0,0"/>
              <v:stroke on="f" weight="0.5pt"/>
              <v:imagedata o:title=""/>
              <o:lock v:ext="edit" aspectratio="f"/>
              <v:textbox inset="0mm,0mm,0mm,0mm" style="mso-fit-shape-to-text:t;">
                <w:txbxContent>
                  <w:p w14:paraId="16783F3F">
                    <w:pPr>
                      <w:pStyle w:val="16"/>
                      <w:ind w:firstLine="0" w:firstLineChars="0"/>
                    </w:pPr>
                    <w:r>
                      <w:rPr>
                        <w:rFonts w:hint="eastAsia"/>
                      </w:rPr>
                      <w:t xml:space="preserve">- </w:t>
                    </w:r>
                    <w:r>
                      <w:fldChar w:fldCharType="begin"/>
                    </w:r>
                    <w:r>
                      <w:instrText xml:space="preserve"> PAGE  \* MERGEFORMAT </w:instrText>
                    </w:r>
                    <w:r>
                      <w:fldChar w:fldCharType="separate"/>
                    </w:r>
                    <w:r>
                      <w:t>5</w:t>
                    </w:r>
                    <w:r>
                      <w:fldChar w:fldCharType="end"/>
                    </w:r>
                    <w:r>
                      <w:rPr>
                        <w:rFonts w:hint="eastAsia"/>
                      </w:rPr>
                      <w:t xml:space="preserve"> -</w:t>
                    </w:r>
                  </w:p>
                </w:txbxContent>
              </v:textbox>
            </v:shape>
          </w:pict>
        </mc:Fallback>
      </mc:AlternateContent>
    </w:r>
    <w:r>
      <w:rPr>
        <w:sz w:val="18"/>
      </w:rPr>
      <mc:AlternateContent>
        <mc:Choice Requires="wps">
          <w:drawing>
            <wp:anchor distT="0" distB="0" distL="114300" distR="114300" simplePos="0" relativeHeight="251667456"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238"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589387F1">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67456;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tsh0h1wAAAAkBAAAPAAAAAAAAAAEAIAAAACIAAABkcnMvZG93bnJl&#10;di54bWxQSwECFAAUAAAACACHTuJAPwieAzcCAABkBAAADgAAAAAAAAABACAAAAAmAQAAZHJzL2Uy&#10;b0RvYy54bWxQSwUGAAAAAAYABgBZAQAAzwUAAAAA&#10;">
              <v:fill on="f" focussize="0,0"/>
              <v:stroke on="f" weight="0.5pt"/>
              <v:imagedata o:title=""/>
              <o:lock v:ext="edit" aspectratio="f"/>
              <v:textbox inset="0mm,0mm,0mm,0mm">
                <w:txbxContent>
                  <w:p w14:paraId="589387F1">
                    <w:pPr>
                      <w:ind w:firstLine="0" w:firstLineChars="0"/>
                    </w:pP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3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1F5E9C9">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qUL80AgAAZQQAAA4AAABkcnMvZTJvRG9jLnhtbK1UzY7TMBC+I/EO&#10;lu80aVesSt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vqlC/NAIAAGUEAAAOAAAAAAAAAAEAIAAAAB8BAABkcnMvZTJvRG9jLnhtbFBL&#10;BQYAAAAABgAGAFkBAADFBQAAAAA=&#10;">
              <v:fill on="f" focussize="0,0"/>
              <v:stroke on="f" weight="0.5pt"/>
              <v:imagedata o:title=""/>
              <o:lock v:ext="edit" aspectratio="f"/>
              <v:textbox inset="0mm,0mm,0mm,0mm" style="mso-fit-shape-to-text:t;">
                <w:txbxContent>
                  <w:p w14:paraId="61F5E9C9">
                    <w:pPr>
                      <w:ind w:firstLine="0" w:firstLineChars="0"/>
                    </w:pPr>
                  </w:p>
                </w:txbxContent>
              </v:textbox>
            </v:shape>
          </w:pict>
        </mc:Fallback>
      </mc:AlternateContent>
    </w:r>
    <w:r>
      <w:rPr>
        <w:rFonts w:hint="eastAsia"/>
      </w:rPr>
      <w:tab/>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5A9FE">
    <w:pPr>
      <w:pStyle w:val="16"/>
      <w:ind w:firstLine="0" w:firstLineChars="0"/>
    </w:pPr>
    <w:r>
      <w:rPr>
        <w:sz w:val="18"/>
      </w:rPr>
      <mc:AlternateContent>
        <mc:Choice Requires="wps">
          <w:drawing>
            <wp:anchor distT="0" distB="0" distL="114300" distR="114300" simplePos="0" relativeHeight="2516736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40" name="文本框 2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DCAEA4">
                          <w:pPr>
                            <w:pStyle w:val="16"/>
                            <w:ind w:firstLine="0" w:firstLineChars="0"/>
                          </w:pPr>
                          <w:r>
                            <w:rPr>
                              <w:rFonts w:hint="eastAsia"/>
                            </w:rPr>
                            <w:t xml:space="preserve">- </w:t>
                          </w:r>
                          <w:r>
                            <w:fldChar w:fldCharType="begin"/>
                          </w:r>
                          <w:r>
                            <w:instrText xml:space="preserve"> PAGE  \* MERGEFORMAT </w:instrText>
                          </w:r>
                          <w:r>
                            <w:fldChar w:fldCharType="separate"/>
                          </w:r>
                          <w:r>
                            <w:t>4</w:t>
                          </w:r>
                          <w:r>
                            <w:fldChar w:fldCharType="end"/>
                          </w:r>
                          <w:r>
                            <w:rPr>
                              <w:rFonts w:hint="eastAsia"/>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y+lQA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Ay+lQAtAgAAWQQAAA4AAAAAAAAAAQAgAAAAHwEAAGRycy9lMm9Eb2MueG1sUEsFBgAAAAAG&#10;AAYAWQEAAL4FAAAAAA==&#10;">
              <v:fill on="f" focussize="0,0"/>
              <v:stroke on="f" weight="0.5pt"/>
              <v:imagedata o:title=""/>
              <o:lock v:ext="edit" aspectratio="f"/>
              <v:textbox inset="0mm,0mm,0mm,0mm" style="mso-fit-shape-to-text:t;">
                <w:txbxContent>
                  <w:p w14:paraId="71DCAEA4">
                    <w:pPr>
                      <w:pStyle w:val="16"/>
                      <w:ind w:firstLine="0" w:firstLineChars="0"/>
                    </w:pPr>
                    <w:r>
                      <w:rPr>
                        <w:rFonts w:hint="eastAsia"/>
                      </w:rPr>
                      <w:t xml:space="preserve">- </w:t>
                    </w:r>
                    <w:r>
                      <w:fldChar w:fldCharType="begin"/>
                    </w:r>
                    <w:r>
                      <w:instrText xml:space="preserve"> PAGE  \* MERGEFORMAT </w:instrText>
                    </w:r>
                    <w:r>
                      <w:fldChar w:fldCharType="separate"/>
                    </w:r>
                    <w:r>
                      <w:t>4</w:t>
                    </w:r>
                    <w:r>
                      <w:fldChar w:fldCharType="end"/>
                    </w:r>
                    <w:r>
                      <w:rPr>
                        <w:rFonts w:hint="eastAsia"/>
                      </w:rPr>
                      <w:t xml:space="preserve"> -</w:t>
                    </w:r>
                  </w:p>
                </w:txbxContent>
              </v:textbox>
            </v:shape>
          </w:pict>
        </mc:Fallback>
      </mc:AlternateContent>
    </w:r>
    <w:r>
      <w:rPr>
        <w:sz w:val="1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41" name="文本框 2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C6D8D1">
                          <w:pPr>
                            <w:pStyle w:val="16"/>
                            <w:ind w:firstLine="0" w:firstLineChars="0"/>
                            <w:rPr>
                              <w:rFonts w:eastAsia="仿宋"/>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LhuV0tAgAAWQ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LhuV0tAgAAWQQAAA4AAAAAAAAAAQAgAAAAHwEAAGRycy9lMm9Eb2MueG1sUEsFBgAAAAAG&#10;AAYAWQEAAL4FAAAAAA==&#10;">
              <v:fill on="f" focussize="0,0"/>
              <v:stroke on="f" weight="0.5pt"/>
              <v:imagedata o:title=""/>
              <o:lock v:ext="edit" aspectratio="f"/>
              <v:textbox inset="0mm,0mm,0mm,0mm" style="mso-fit-shape-to-text:t;">
                <w:txbxContent>
                  <w:p w14:paraId="49C6D8D1">
                    <w:pPr>
                      <w:pStyle w:val="16"/>
                      <w:ind w:firstLine="0" w:firstLineChars="0"/>
                      <w:rPr>
                        <w:rFonts w:eastAsia="仿宋"/>
                        <w:szCs w:val="28"/>
                      </w:rPr>
                    </w:pP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48A4F">
    <w:pPr>
      <w:pStyle w:val="16"/>
      <w:tabs>
        <w:tab w:val="right" w:pos="8845"/>
        <w:tab w:val="clear" w:pos="4153"/>
      </w:tabs>
      <w:ind w:firstLine="0" w:firstLineChars="0"/>
    </w:pPr>
    <w:r>
      <w:rPr>
        <w:sz w:val="18"/>
      </w:rPr>
      <mc:AlternateContent>
        <mc:Choice Requires="wps">
          <w:drawing>
            <wp:anchor distT="0" distB="0" distL="114300" distR="114300" simplePos="0" relativeHeight="251664384"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242"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57D2BBA5">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64384;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tsh0h1wAAAAkBAAAPAAAAAAAAAAEAIAAAACIAAABkcnMvZG93bnJl&#10;di54bWxQSwECFAAUAAAACACHTuJAi5gMEDcCAABkBAAADgAAAAAAAAABACAAAAAmAQAAZHJzL2Uy&#10;b0RvYy54bWxQSwUGAAAAAAYABgBZAQAAzwUAAAAA&#10;">
              <v:fill on="f" focussize="0,0"/>
              <v:stroke on="f" weight="0.5pt"/>
              <v:imagedata o:title=""/>
              <o:lock v:ext="edit" aspectratio="f"/>
              <v:textbox inset="0mm,0mm,0mm,0mm">
                <w:txbxContent>
                  <w:p w14:paraId="57D2BBA5">
                    <w:pPr>
                      <w:ind w:firstLine="0" w:firstLineChars="0"/>
                    </w:pPr>
                  </w:p>
                </w:txbxContent>
              </v:textbox>
            </v:shape>
          </w:pict>
        </mc:Fallback>
      </mc:AlternateContent>
    </w: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4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C19F46C">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pPT3M0AgAAZQQAAA4AAABkcnMvZTJvRG9jLnhtbK1UzY7TMBC+I/EO&#10;lu80aRd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qT09zNAIAAGUEAAAOAAAAAAAAAAEAIAAAAB8BAABkcnMvZTJvRG9jLnhtbFBL&#10;BQYAAAAABgAGAFkBAADFBQAAAAA=&#10;">
              <v:fill on="f" focussize="0,0"/>
              <v:stroke on="f" weight="0.5pt"/>
              <v:imagedata o:title=""/>
              <o:lock v:ext="edit" aspectratio="f"/>
              <v:textbox inset="0mm,0mm,0mm,0mm" style="mso-fit-shape-to-text:t;">
                <w:txbxContent>
                  <w:p w14:paraId="5C19F46C">
                    <w:pPr>
                      <w:ind w:firstLine="0" w:firstLineChars="0"/>
                    </w:pPr>
                  </w:p>
                </w:txbxContent>
              </v:textbox>
            </v:shape>
          </w:pict>
        </mc:Fallback>
      </mc:AlternateContent>
    </w:r>
    <w:r>
      <w:rPr>
        <w:rFonts w:hint="eastAsia"/>
      </w:rPr>
      <w:tab/>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E93CE8">
    <w:pPr>
      <w:pStyle w:val="16"/>
      <w:ind w:firstLine="0" w:firstLineChars="0"/>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44" name="文本框 2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1808A7">
                          <w:pPr>
                            <w:pStyle w:val="16"/>
                            <w:ind w:firstLine="0" w:firstLineChars="0"/>
                            <w:rPr>
                              <w:rFonts w:eastAsia="仿宋"/>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XHVa8uAgAAW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D1x1WvLgIAAFkEAAAOAAAAAAAAAAEAIAAAAB8BAABkcnMvZTJvRG9jLnhtbFBLBQYAAAAA&#10;BgAGAFkBAAC/BQAAAAA=&#10;">
              <v:fill on="f" focussize="0,0"/>
              <v:stroke on="f" weight="0.5pt"/>
              <v:imagedata o:title=""/>
              <o:lock v:ext="edit" aspectratio="f"/>
              <v:textbox inset="0mm,0mm,0mm,0mm" style="mso-fit-shape-to-text:t;">
                <w:txbxContent>
                  <w:p w14:paraId="531808A7">
                    <w:pPr>
                      <w:pStyle w:val="16"/>
                      <w:ind w:firstLine="0" w:firstLineChars="0"/>
                      <w:rPr>
                        <w:rFonts w:eastAsia="仿宋"/>
                        <w:szCs w:val="28"/>
                      </w:rPr>
                    </w:pP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19CD3">
    <w:pPr>
      <w:pStyle w:val="16"/>
      <w:tabs>
        <w:tab w:val="right" w:pos="8845"/>
        <w:tab w:val="clear" w:pos="4153"/>
      </w:tabs>
      <w:ind w:firstLine="0" w:firstLineChars="0"/>
    </w:pPr>
    <w:r>
      <w:rPr>
        <w:sz w:val="18"/>
      </w:rPr>
      <mc:AlternateContent>
        <mc:Choice Requires="wps">
          <w:drawing>
            <wp:anchor distT="0" distB="0" distL="114300" distR="114300" simplePos="0" relativeHeight="2516746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45" name="文本框 2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C63162">
                          <w:pPr>
                            <w:pStyle w:val="16"/>
                            <w:ind w:firstLine="0" w:firstLineChars="0"/>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uYefIuAgAAWQ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bmHnyLgIAAFkEAAAOAAAAAAAAAAEAIAAAAB8BAABkcnMvZTJvRG9jLnhtbFBLBQYAAAAA&#10;BgAGAFkBAAC/BQAAAAA=&#10;">
              <v:fill on="f" focussize="0,0"/>
              <v:stroke on="f" weight="0.5pt"/>
              <v:imagedata o:title=""/>
              <o:lock v:ext="edit" aspectratio="f"/>
              <v:textbox inset="0mm,0mm,0mm,0mm" style="mso-fit-shape-to-text:t;">
                <w:txbxContent>
                  <w:p w14:paraId="4AC63162">
                    <w:pPr>
                      <w:pStyle w:val="16"/>
                      <w:ind w:firstLine="0" w:firstLineChars="0"/>
                    </w:pPr>
                    <w:r>
                      <w:fldChar w:fldCharType="begin"/>
                    </w:r>
                    <w:r>
                      <w:instrText xml:space="preserve"> PAGE  \* MERGEFORMAT </w:instrText>
                    </w:r>
                    <w:r>
                      <w:fldChar w:fldCharType="separate"/>
                    </w:r>
                    <w:r>
                      <w:t>I</w:t>
                    </w:r>
                    <w:r>
                      <w:fldChar w:fldCharType="end"/>
                    </w:r>
                  </w:p>
                </w:txbxContent>
              </v:textbox>
            </v:shape>
          </w:pict>
        </mc:Fallback>
      </mc:AlternateContent>
    </w:r>
    <w:r>
      <w:rPr>
        <w:sz w:val="18"/>
      </w:rPr>
      <mc:AlternateContent>
        <mc:Choice Requires="wps">
          <w:drawing>
            <wp:anchor distT="0" distB="0" distL="114300" distR="114300" simplePos="0" relativeHeight="251670528"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246"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5A3DD3D1">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70528;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tsh0h1wAAAAkBAAAPAAAAAAAAAAEAIAAAACIAAABkcnMvZG93bnJl&#10;di54bWxQSwECFAAUAAAACACHTuJAN2ZbxTcCAABkBAAADgAAAAAAAAABACAAAAAmAQAAZHJzL2Uy&#10;b0RvYy54bWxQSwUGAAAAAAYABgBZAQAAzwUAAAAA&#10;">
              <v:fill on="f" focussize="0,0"/>
              <v:stroke on="f" weight="0.5pt"/>
              <v:imagedata o:title=""/>
              <o:lock v:ext="edit" aspectratio="f"/>
              <v:textbox inset="0mm,0mm,0mm,0mm">
                <w:txbxContent>
                  <w:p w14:paraId="5A3DD3D1">
                    <w:pPr>
                      <w:ind w:firstLine="0" w:firstLineChars="0"/>
                    </w:pPr>
                  </w:p>
                </w:txbxContent>
              </v:textbox>
            </v:shape>
          </w:pict>
        </mc:Fallback>
      </mc:AlternateContent>
    </w:r>
    <w:r>
      <w:rPr>
        <w:sz w:val="18"/>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4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318A99A">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z502xNAIAAGUEAAAOAAAAAAAAAAEAIAAAAB8BAABkcnMvZTJvRG9jLnhtbFBL&#10;BQYAAAAABgAGAFkBAADFBQAAAAA=&#10;">
              <v:fill on="f" focussize="0,0"/>
              <v:stroke on="f" weight="0.5pt"/>
              <v:imagedata o:title=""/>
              <o:lock v:ext="edit" aspectratio="f"/>
              <v:textbox inset="0mm,0mm,0mm,0mm" style="mso-fit-shape-to-text:t;">
                <w:txbxContent>
                  <w:p w14:paraId="7318A99A">
                    <w:pPr>
                      <w:ind w:firstLine="0" w:firstLineChars="0"/>
                    </w:pPr>
                  </w:p>
                </w:txbxContent>
              </v:textbox>
            </v:shape>
          </w:pict>
        </mc:Fallback>
      </mc:AlternateContent>
    </w:r>
    <w:r>
      <w:rPr>
        <w:rFonts w:hint="eastAsia"/>
      </w:rPr>
      <w:tab/>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25ECC">
    <w:pPr>
      <w:pStyle w:val="16"/>
      <w:ind w:firstLine="0" w:firstLineChars="0"/>
    </w:pPr>
    <w:r>
      <w:rPr>
        <w:sz w:val="18"/>
      </w:rPr>
      <mc:AlternateContent>
        <mc:Choice Requires="wps">
          <w:drawing>
            <wp:anchor distT="0" distB="0" distL="114300" distR="114300" simplePos="0" relativeHeight="2516756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48" name="文本框 2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A008D9">
                          <w:pPr>
                            <w:pStyle w:val="16"/>
                            <w:ind w:firstLine="0" w:firstLineChars="0"/>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9LZIQu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C/S2SELgIAAFkEAAAOAAAAAAAAAAEAIAAAAB8BAABkcnMvZTJvRG9jLnhtbFBLBQYAAAAA&#10;BgAGAFkBAAC/BQAAAAA=&#10;">
              <v:fill on="f" focussize="0,0"/>
              <v:stroke on="f" weight="0.5pt"/>
              <v:imagedata o:title=""/>
              <o:lock v:ext="edit" aspectratio="f"/>
              <v:textbox inset="0mm,0mm,0mm,0mm" style="mso-fit-shape-to-text:t;">
                <w:txbxContent>
                  <w:p w14:paraId="2DA008D9">
                    <w:pPr>
                      <w:pStyle w:val="16"/>
                      <w:ind w:firstLine="0" w:firstLineChars="0"/>
                    </w:pPr>
                    <w:r>
                      <w:fldChar w:fldCharType="begin"/>
                    </w:r>
                    <w:r>
                      <w:instrText xml:space="preserve"> PAGE  \* MERGEFORMAT </w:instrText>
                    </w:r>
                    <w:r>
                      <w:fldChar w:fldCharType="separate"/>
                    </w:r>
                    <w:r>
                      <w:t>II</w:t>
                    </w:r>
                    <w:r>
                      <w:fldChar w:fldCharType="end"/>
                    </w:r>
                  </w:p>
                </w:txbxContent>
              </v:textbox>
            </v:shape>
          </w:pict>
        </mc:Fallback>
      </mc:AlternateContent>
    </w:r>
    <w:r>
      <w:rPr>
        <w:sz w:val="18"/>
      </w:rP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49" name="文本框 2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FEABCF">
                          <w:pPr>
                            <w:pStyle w:val="16"/>
                            <w:ind w:firstLine="0" w:firstLineChars="0"/>
                            <w:rPr>
                              <w:rFonts w:eastAsia="仿宋"/>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EUSNkuAgAAWQQAAA4AAABkcnMvZTJvRG9jLnhtbK1UzY7TMBC+I/EO&#10;lu80aYFV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RFEjZLgIAAFkEAAAOAAAAAAAAAAEAIAAAAB8BAABkcnMvZTJvRG9jLnhtbFBLBQYAAAAA&#10;BgAGAFkBAAC/BQAAAAA=&#10;">
              <v:fill on="f" focussize="0,0"/>
              <v:stroke on="f" weight="0.5pt"/>
              <v:imagedata o:title=""/>
              <o:lock v:ext="edit" aspectratio="f"/>
              <v:textbox inset="0mm,0mm,0mm,0mm" style="mso-fit-shape-to-text:t;">
                <w:txbxContent>
                  <w:p w14:paraId="3AFEABCF">
                    <w:pPr>
                      <w:pStyle w:val="16"/>
                      <w:ind w:firstLine="0" w:firstLineChars="0"/>
                      <w:rPr>
                        <w:rFonts w:eastAsia="仿宋"/>
                        <w:szCs w:val="28"/>
                      </w:rPr>
                    </w:pP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C0C83">
    <w:pPr>
      <w:pStyle w:val="16"/>
      <w:tabs>
        <w:tab w:val="right" w:pos="8845"/>
        <w:tab w:val="clear" w:pos="4153"/>
      </w:tabs>
      <w:ind w:firstLine="0" w:firstLineChars="0"/>
    </w:pPr>
    <w:r>
      <w:rPr>
        <w:sz w:val="18"/>
      </w:rPr>
      <mc:AlternateContent>
        <mc:Choice Requires="wps">
          <w:drawing>
            <wp:anchor distT="0" distB="0" distL="114300" distR="114300" simplePos="0" relativeHeight="2516725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53" name="文本框 2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395BCF">
                          <w:pPr>
                            <w:pStyle w:val="16"/>
                            <w:ind w:firstLine="0" w:firstLineChars="0"/>
                          </w:pPr>
                          <w:r>
                            <w:rPr>
                              <w:rFonts w:hint="eastAsia"/>
                            </w:rPr>
                            <w:t xml:space="preserve">- </w:t>
                          </w:r>
                          <w:r>
                            <w:fldChar w:fldCharType="begin"/>
                          </w:r>
                          <w:r>
                            <w:instrText xml:space="preserve"> PAGE  \* MERGEFORMAT </w:instrText>
                          </w:r>
                          <w:r>
                            <w:fldChar w:fldCharType="separate"/>
                          </w:r>
                          <w:r>
                            <w:t>13</w:t>
                          </w:r>
                          <w:r>
                            <w:fldChar w:fldCharType="end"/>
                          </w:r>
                          <w:r>
                            <w:rPr>
                              <w:rFonts w:hint="eastAsia"/>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69DqAuAgAAWQ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evQ6gLgIAAFkEAAAOAAAAAAAAAAEAIAAAAB8BAABkcnMvZTJvRG9jLnhtbFBLBQYAAAAA&#10;BgAGAFkBAAC/BQAAAAA=&#10;">
              <v:fill on="f" focussize="0,0"/>
              <v:stroke on="f" weight="0.5pt"/>
              <v:imagedata o:title=""/>
              <o:lock v:ext="edit" aspectratio="f"/>
              <v:textbox inset="0mm,0mm,0mm,0mm" style="mso-fit-shape-to-text:t;">
                <w:txbxContent>
                  <w:p w14:paraId="7E395BCF">
                    <w:pPr>
                      <w:pStyle w:val="16"/>
                      <w:ind w:firstLine="0" w:firstLineChars="0"/>
                    </w:pPr>
                    <w:r>
                      <w:rPr>
                        <w:rFonts w:hint="eastAsia"/>
                      </w:rPr>
                      <w:t xml:space="preserve">- </w:t>
                    </w:r>
                    <w:r>
                      <w:fldChar w:fldCharType="begin"/>
                    </w:r>
                    <w:r>
                      <w:instrText xml:space="preserve"> PAGE  \* MERGEFORMAT </w:instrText>
                    </w:r>
                    <w:r>
                      <w:fldChar w:fldCharType="separate"/>
                    </w:r>
                    <w:r>
                      <w:t>13</w:t>
                    </w:r>
                    <w:r>
                      <w:fldChar w:fldCharType="end"/>
                    </w:r>
                    <w:r>
                      <w:rPr>
                        <w:rFonts w:hint="eastAsia"/>
                      </w:rPr>
                      <w:t xml:space="preserve"> -</w:t>
                    </w:r>
                  </w:p>
                </w:txbxContent>
              </v:textbox>
            </v:shape>
          </w:pict>
        </mc:Fallback>
      </mc:AlternateContent>
    </w:r>
    <w:r>
      <w:rPr>
        <w:sz w:val="18"/>
      </w:rPr>
      <mc:AlternateContent>
        <mc:Choice Requires="wps">
          <w:drawing>
            <wp:anchor distT="0" distB="0" distL="114300" distR="114300" simplePos="0" relativeHeight="251667456"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254"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4980EEDF">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67456;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tsh0h1wAAAAkBAAAPAAAAAAAAAAEAIAAAACIAAABkcnMvZG93bnJl&#10;di54bWxQSwECFAAUAAAACACHTuJA73Ks6TcCAABkBAAADgAAAAAAAAABACAAAAAmAQAAZHJzL2Uy&#10;b0RvYy54bWxQSwUGAAAAAAYABgBZAQAAzwUAAAAA&#10;">
              <v:fill on="f" focussize="0,0"/>
              <v:stroke on="f" weight="0.5pt"/>
              <v:imagedata o:title=""/>
              <o:lock v:ext="edit" aspectratio="f"/>
              <v:textbox inset="0mm,0mm,0mm,0mm">
                <w:txbxContent>
                  <w:p w14:paraId="4980EEDF">
                    <w:pPr>
                      <w:ind w:firstLine="0" w:firstLineChars="0"/>
                    </w:pP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5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B148166">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FKaTkzAgAAZQ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FKaTkzAgAAZQQAAA4AAAAAAAAAAQAgAAAAHwEAAGRycy9lMm9Eb2MueG1sUEsF&#10;BgAAAAAGAAYAWQEAAMQFAAAAAA==&#10;">
              <v:fill on="f" focussize="0,0"/>
              <v:stroke on="f" weight="0.5pt"/>
              <v:imagedata o:title=""/>
              <o:lock v:ext="edit" aspectratio="f"/>
              <v:textbox inset="0mm,0mm,0mm,0mm" style="mso-fit-shape-to-text:t;">
                <w:txbxContent>
                  <w:p w14:paraId="6B148166">
                    <w:pPr>
                      <w:ind w:firstLine="0" w:firstLineChars="0"/>
                    </w:pPr>
                  </w:p>
                </w:txbxContent>
              </v:textbox>
            </v:shape>
          </w:pict>
        </mc:Fallback>
      </mc:AlternateContent>
    </w:r>
    <w:r>
      <w:rPr>
        <w:rFonts w:hint="eastAsia"/>
      </w:rPr>
      <w:tab/>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0399F">
    <w:pPr>
      <w:pStyle w:val="16"/>
      <w:ind w:firstLine="0" w:firstLineChars="0"/>
    </w:pPr>
    <w:r>
      <w:rPr>
        <w:sz w:val="18"/>
      </w:rPr>
      <mc:AlternateContent>
        <mc:Choice Requires="wps">
          <w:drawing>
            <wp:anchor distT="0" distB="0" distL="114300" distR="114300" simplePos="0" relativeHeight="2516736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56" name="文本框 2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10AAE0">
                          <w:pPr>
                            <w:pStyle w:val="16"/>
                            <w:ind w:firstLine="0" w:firstLineChars="0"/>
                          </w:pPr>
                          <w:r>
                            <w:rPr>
                              <w:rFonts w:hint="eastAsia"/>
                            </w:rPr>
                            <w:t xml:space="preserve">- </w:t>
                          </w:r>
                          <w:r>
                            <w:fldChar w:fldCharType="begin"/>
                          </w:r>
                          <w:r>
                            <w:instrText xml:space="preserve"> PAGE  \* MERGEFORMAT </w:instrText>
                          </w:r>
                          <w:r>
                            <w:fldChar w:fldCharType="separate"/>
                          </w:r>
                          <w:r>
                            <w:t>14</w:t>
                          </w:r>
                          <w:r>
                            <w:fldChar w:fldCharType="end"/>
                          </w:r>
                          <w:r>
                            <w:rPr>
                              <w:rFonts w:hint="eastAsia"/>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mb4lIuAgAAW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Jm+JSLgIAAFkEAAAOAAAAAAAAAAEAIAAAAB8BAABkcnMvZTJvRG9jLnhtbFBLBQYAAAAA&#10;BgAGAFkBAAC/BQAAAAA=&#10;">
              <v:fill on="f" focussize="0,0"/>
              <v:stroke on="f" weight="0.5pt"/>
              <v:imagedata o:title=""/>
              <o:lock v:ext="edit" aspectratio="f"/>
              <v:textbox inset="0mm,0mm,0mm,0mm" style="mso-fit-shape-to-text:t;">
                <w:txbxContent>
                  <w:p w14:paraId="2A10AAE0">
                    <w:pPr>
                      <w:pStyle w:val="16"/>
                      <w:ind w:firstLine="0" w:firstLineChars="0"/>
                    </w:pPr>
                    <w:r>
                      <w:rPr>
                        <w:rFonts w:hint="eastAsia"/>
                      </w:rPr>
                      <w:t xml:space="preserve">- </w:t>
                    </w:r>
                    <w:r>
                      <w:fldChar w:fldCharType="begin"/>
                    </w:r>
                    <w:r>
                      <w:instrText xml:space="preserve"> PAGE  \* MERGEFORMAT </w:instrText>
                    </w:r>
                    <w:r>
                      <w:fldChar w:fldCharType="separate"/>
                    </w:r>
                    <w:r>
                      <w:t>14</w:t>
                    </w:r>
                    <w:r>
                      <w:fldChar w:fldCharType="end"/>
                    </w:r>
                    <w:r>
                      <w:rPr>
                        <w:rFonts w:hint="eastAsia"/>
                      </w:rPr>
                      <w:t xml:space="preserve"> -</w:t>
                    </w:r>
                  </w:p>
                </w:txbxContent>
              </v:textbox>
            </v:shape>
          </w:pict>
        </mc:Fallback>
      </mc:AlternateContent>
    </w:r>
    <w:r>
      <w:rPr>
        <w:sz w:val="1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57" name="文本框 2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D66B59">
                          <w:pPr>
                            <w:pStyle w:val="16"/>
                            <w:ind w:firstLine="0" w:firstLineChars="0"/>
                            <w:rPr>
                              <w:rFonts w:eastAsia="仿宋"/>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fEzg8uAgAAWQ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DnxM4PLgIAAFkEAAAOAAAAAAAAAAEAIAAAAB8BAABkcnMvZTJvRG9jLnhtbFBLBQYAAAAA&#10;BgAGAFkBAAC/BQAAAAA=&#10;">
              <v:fill on="f" focussize="0,0"/>
              <v:stroke on="f" weight="0.5pt"/>
              <v:imagedata o:title=""/>
              <o:lock v:ext="edit" aspectratio="f"/>
              <v:textbox inset="0mm,0mm,0mm,0mm" style="mso-fit-shape-to-text:t;">
                <w:txbxContent>
                  <w:p w14:paraId="11D66B59">
                    <w:pPr>
                      <w:pStyle w:val="16"/>
                      <w:ind w:firstLine="0" w:firstLineChars="0"/>
                      <w:rPr>
                        <w:rFonts w:eastAsia="仿宋"/>
                        <w:szCs w:val="28"/>
                      </w:rPr>
                    </w:pP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869E13">
    <w:pPr>
      <w:pStyle w:val="16"/>
      <w:tabs>
        <w:tab w:val="right" w:pos="8845"/>
        <w:tab w:val="clear" w:pos="4153"/>
      </w:tabs>
      <w:ind w:firstLine="0" w:firstLineChars="0"/>
    </w:pPr>
    <w:r>
      <w:rPr>
        <w:sz w:val="18"/>
      </w:rPr>
      <mc:AlternateContent>
        <mc:Choice Requires="wps">
          <w:drawing>
            <wp:anchor distT="0" distB="0" distL="114300" distR="114300" simplePos="0" relativeHeight="251664384"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258"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71662237">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64384;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tsh0h1wAAAAkBAAAPAAAAAAAAAAEAIAAAACIAAABkcnMvZG93bnJl&#10;di54bWxQSwECFAAUAAAACACHTuJAanclTTcCAABkBAAADgAAAAAAAAABACAAAAAmAQAAZHJzL2Uy&#10;b0RvYy54bWxQSwUGAAAAAAYABgBZAQAAzwUAAAAA&#10;">
              <v:fill on="f" focussize="0,0"/>
              <v:stroke on="f" weight="0.5pt"/>
              <v:imagedata o:title=""/>
              <o:lock v:ext="edit" aspectratio="f"/>
              <v:textbox inset="0mm,0mm,0mm,0mm">
                <w:txbxContent>
                  <w:p w14:paraId="71662237">
                    <w:pPr>
                      <w:ind w:firstLine="0" w:firstLineChars="0"/>
                    </w:pPr>
                  </w:p>
                </w:txbxContent>
              </v:textbox>
            </v:shape>
          </w:pict>
        </mc:Fallback>
      </mc:AlternateContent>
    </w: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5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9A1E397">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0H6Q0AgAAZQQAAA4AAABkcnMvZTJvRG9jLnhtbK1UzY7TMBC+I/EO&#10;lu80adGuSt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rtB+kNAIAAGUEAAAOAAAAAAAAAAEAIAAAAB8BAABkcnMvZTJvRG9jLnhtbFBL&#10;BQYAAAAABgAGAFkBAADFBQAAAAA=&#10;">
              <v:fill on="f" focussize="0,0"/>
              <v:stroke on="f" weight="0.5pt"/>
              <v:imagedata o:title=""/>
              <o:lock v:ext="edit" aspectratio="f"/>
              <v:textbox inset="0mm,0mm,0mm,0mm" style="mso-fit-shape-to-text:t;">
                <w:txbxContent>
                  <w:p w14:paraId="79A1E397">
                    <w:pPr>
                      <w:ind w:firstLine="0" w:firstLineChars="0"/>
                    </w:pPr>
                  </w:p>
                </w:txbxContent>
              </v:textbox>
            </v:shape>
          </w:pict>
        </mc:Fallback>
      </mc:AlternateContent>
    </w:r>
    <w:r>
      <w:rPr>
        <w:rFonts w:hint="eastAsia"/>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18C392">
    <w:pPr>
      <w:pStyle w:val="16"/>
      <w:ind w:firstLine="360"/>
    </w:pPr>
    <w:r>
      <mc:AlternateContent>
        <mc:Choice Requires="wps">
          <w:drawing>
            <wp:anchor distT="0" distB="0" distL="114300" distR="114300" simplePos="0" relativeHeight="25168076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ED9320">
                          <w:pPr>
                            <w:pStyle w:val="16"/>
                            <w:ind w:firstLine="0" w:firstLineChars="0"/>
                          </w:pPr>
                          <w:r>
                            <w:rPr>
                              <w:sz w:val="24"/>
                              <w:szCs w:val="24"/>
                            </w:rPr>
                            <w:fldChar w:fldCharType="begin"/>
                          </w:r>
                          <w:r>
                            <w:rPr>
                              <w:sz w:val="24"/>
                              <w:szCs w:val="24"/>
                            </w:rPr>
                            <w:instrText xml:space="preserve"> PAGE  \* MERGEFORMAT </w:instrText>
                          </w:r>
                          <w:r>
                            <w:rPr>
                              <w:sz w:val="24"/>
                              <w:szCs w:val="24"/>
                            </w:rPr>
                            <w:fldChar w:fldCharType="separate"/>
                          </w:r>
                          <w:r>
                            <w:rPr>
                              <w:sz w:val="24"/>
                              <w:szCs w:val="24"/>
                            </w:rPr>
                            <w:t>II</w:t>
                          </w:r>
                          <w:r>
                            <w:rPr>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13ED9320">
                    <w:pPr>
                      <w:pStyle w:val="16"/>
                      <w:ind w:firstLine="0" w:firstLineChars="0"/>
                    </w:pPr>
                    <w:r>
                      <w:rPr>
                        <w:sz w:val="24"/>
                        <w:szCs w:val="24"/>
                      </w:rPr>
                      <w:fldChar w:fldCharType="begin"/>
                    </w:r>
                    <w:r>
                      <w:rPr>
                        <w:sz w:val="24"/>
                        <w:szCs w:val="24"/>
                      </w:rPr>
                      <w:instrText xml:space="preserve"> PAGE  \* MERGEFORMAT </w:instrText>
                    </w:r>
                    <w:r>
                      <w:rPr>
                        <w:sz w:val="24"/>
                        <w:szCs w:val="24"/>
                      </w:rPr>
                      <w:fldChar w:fldCharType="separate"/>
                    </w:r>
                    <w:r>
                      <w:rPr>
                        <w:sz w:val="24"/>
                        <w:szCs w:val="24"/>
                      </w:rPr>
                      <w:t>II</w:t>
                    </w:r>
                    <w:r>
                      <w:rPr>
                        <w:sz w:val="24"/>
                        <w:szCs w:val="24"/>
                      </w:rPr>
                      <w:fldChar w:fldCharType="end"/>
                    </w:r>
                  </w:p>
                </w:txbxContent>
              </v:textbox>
            </v:shape>
          </w:pict>
        </mc:Fallback>
      </mc:AlternateContent>
    </w:r>
    <w:r>
      <mc:AlternateContent>
        <mc:Choice Requires="wps">
          <w:drawing>
            <wp:anchor distT="0" distB="0" distL="114300" distR="114300" simplePos="0" relativeHeight="251679744" behindDoc="0" locked="0" layoutInCell="1" allowOverlap="1">
              <wp:simplePos x="0" y="0"/>
              <wp:positionH relativeFrom="margin">
                <wp:align>outside</wp:align>
              </wp:positionH>
              <wp:positionV relativeFrom="paragraph">
                <wp:posOffset>9525</wp:posOffset>
              </wp:positionV>
              <wp:extent cx="1828800" cy="1828800"/>
              <wp:effectExtent l="0" t="0" r="0" b="0"/>
              <wp:wrapNone/>
              <wp:docPr id="72" name="文本框 10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093FD2A">
                          <w:pPr>
                            <w:pStyle w:val="16"/>
                            <w:ind w:firstLine="0" w:firstLineChars="0"/>
                            <w:rPr>
                              <w:sz w:val="28"/>
                              <w:szCs w:val="28"/>
                            </w:rPr>
                          </w:pPr>
                        </w:p>
                      </w:txbxContent>
                    </wps:txbx>
                    <wps:bodyPr vert="horz" wrap="none" lIns="0" tIns="0" rIns="0" bIns="0" anchor="t" anchorCtr="0">
                      <a:spAutoFit/>
                    </wps:bodyPr>
                  </wps:wsp>
                </a:graphicData>
              </a:graphic>
            </wp:anchor>
          </w:drawing>
        </mc:Choice>
        <mc:Fallback>
          <w:pict>
            <v:shape id="文本框 1080" o:spid="_x0000_s1026" o:spt="202" type="#_x0000_t202" style="position:absolute;left:0pt;margin-top:0.75pt;height:144pt;width:144pt;mso-position-horizontal:outside;mso-position-horizontal-relative:margin;mso-wrap-style:none;z-index:251679744;mso-width-relative:page;mso-height-relative:page;" filled="f" stroked="f" coordsize="21600,21600" o:gfxdata="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29EUC0gAAAAYBAAAPAAAAAAAAAAEAIAAA&#10;ACIAAABkcnMvZG93bnJldi54bWxQSwECFAAUAAAACACHTuJAsHOoR9kBAAC2AwAADgAAAAAAAAAB&#10;ACAAAAAhAQAAZHJzL2Uyb0RvYy54bWxQSwUGAAAAAAYABgBZAQAAbAUAAAAA&#10;">
              <v:fill on="f" focussize="0,0"/>
              <v:stroke on="f"/>
              <v:imagedata o:title=""/>
              <o:lock v:ext="edit" aspectratio="f"/>
              <v:textbox inset="0mm,0mm,0mm,0mm" style="mso-fit-shape-to-text:t;">
                <w:txbxContent>
                  <w:p w14:paraId="1093FD2A">
                    <w:pPr>
                      <w:pStyle w:val="16"/>
                      <w:ind w:firstLine="0" w:firstLineChars="0"/>
                      <w:rPr>
                        <w:sz w:val="28"/>
                        <w:szCs w:val="28"/>
                      </w:rPr>
                    </w:pPr>
                  </w:p>
                </w:txbxContent>
              </v:textbox>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F9983">
    <w:pPr>
      <w:pStyle w:val="16"/>
      <w:ind w:firstLine="0" w:firstLineChars="0"/>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60" name="文本框 2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F07C0B">
                          <w:pPr>
                            <w:pStyle w:val="16"/>
                            <w:ind w:firstLine="0" w:firstLineChars="0"/>
                            <w:rPr>
                              <w:rFonts w:eastAsia="仿宋"/>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4So8tAgAAW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x4So8tAgAAWQQAAA4AAAAAAAAAAQAgAAAAHwEAAGRycy9lMm9Eb2MueG1sUEsFBgAAAAAG&#10;AAYAWQEAAL4FAAAAAA==&#10;">
              <v:fill on="f" focussize="0,0"/>
              <v:stroke on="f" weight="0.5pt"/>
              <v:imagedata o:title=""/>
              <o:lock v:ext="edit" aspectratio="f"/>
              <v:textbox inset="0mm,0mm,0mm,0mm" style="mso-fit-shape-to-text:t;">
                <w:txbxContent>
                  <w:p w14:paraId="21F07C0B">
                    <w:pPr>
                      <w:pStyle w:val="16"/>
                      <w:ind w:firstLine="0" w:firstLineChars="0"/>
                      <w:rPr>
                        <w:rFonts w:eastAsia="仿宋"/>
                        <w:szCs w:val="28"/>
                      </w:rPr>
                    </w:pP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3D60C">
    <w:pPr>
      <w:pStyle w:val="16"/>
      <w:tabs>
        <w:tab w:val="right" w:pos="8845"/>
        <w:tab w:val="clear" w:pos="4153"/>
      </w:tabs>
      <w:ind w:firstLine="0" w:firstLineChars="0"/>
    </w:pPr>
    <w:r>
      <w:rPr>
        <w:sz w:val="18"/>
      </w:rPr>
      <mc:AlternateContent>
        <mc:Choice Requires="wps">
          <w:drawing>
            <wp:anchor distT="0" distB="0" distL="114300" distR="114300" simplePos="0" relativeHeight="2516725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69" name="文本框 2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5DAFF2">
                          <w:pPr>
                            <w:pStyle w:val="16"/>
                            <w:ind w:firstLine="0" w:firstLineChars="0"/>
                          </w:pPr>
                          <w:r>
                            <w:rPr>
                              <w:rFonts w:hint="eastAsia"/>
                            </w:rPr>
                            <w:t xml:space="preserve">- </w:t>
                          </w:r>
                          <w:r>
                            <w:fldChar w:fldCharType="begin"/>
                          </w:r>
                          <w:r>
                            <w:instrText xml:space="preserve"> PAGE  \* MERGEFORMAT </w:instrText>
                          </w:r>
                          <w:r>
                            <w:fldChar w:fldCharType="separate"/>
                          </w:r>
                          <w:r>
                            <w:t>1</w:t>
                          </w:r>
                          <w:r>
                            <w:fldChar w:fldCharType="end"/>
                          </w:r>
                          <w:r>
                            <w:rPr>
                              <w:rFonts w:hint="eastAsia"/>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Sl1YuAgAAW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R0pdWLgIAAFkEAAAOAAAAAAAAAAEAIAAAAB8BAABkcnMvZTJvRG9jLnhtbFBLBQYAAAAA&#10;BgAGAFkBAAC/BQAAAAA=&#10;">
              <v:fill on="f" focussize="0,0"/>
              <v:stroke on="f" weight="0.5pt"/>
              <v:imagedata o:title=""/>
              <o:lock v:ext="edit" aspectratio="f"/>
              <v:textbox inset="0mm,0mm,0mm,0mm" style="mso-fit-shape-to-text:t;">
                <w:txbxContent>
                  <w:p w14:paraId="585DAFF2">
                    <w:pPr>
                      <w:pStyle w:val="16"/>
                      <w:ind w:firstLine="0" w:firstLineChars="0"/>
                    </w:pPr>
                    <w:r>
                      <w:rPr>
                        <w:rFonts w:hint="eastAsia"/>
                      </w:rPr>
                      <w:t xml:space="preserve">- </w:t>
                    </w:r>
                    <w:r>
                      <w:fldChar w:fldCharType="begin"/>
                    </w:r>
                    <w:r>
                      <w:instrText xml:space="preserve"> PAGE  \* MERGEFORMAT </w:instrText>
                    </w:r>
                    <w:r>
                      <w:fldChar w:fldCharType="separate"/>
                    </w:r>
                    <w:r>
                      <w:t>1</w:t>
                    </w:r>
                    <w:r>
                      <w:fldChar w:fldCharType="end"/>
                    </w:r>
                    <w:r>
                      <w:rPr>
                        <w:rFonts w:hint="eastAsia"/>
                      </w:rPr>
                      <w:t xml:space="preserve"> -</w:t>
                    </w:r>
                  </w:p>
                </w:txbxContent>
              </v:textbox>
            </v:shape>
          </w:pict>
        </mc:Fallback>
      </mc:AlternateContent>
    </w:r>
    <w:r>
      <w:rPr>
        <w:sz w:val="18"/>
      </w:rPr>
      <mc:AlternateContent>
        <mc:Choice Requires="wps">
          <w:drawing>
            <wp:anchor distT="0" distB="0" distL="114300" distR="114300" simplePos="0" relativeHeight="251667456"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270"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7E09B203">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67456;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tsh0h1wAAAAkBAAAPAAAAAAAAAAEAIAAAACIAAABkcnMvZG93bnJl&#10;di54bWxQSwECFAAUAAAACACHTuJAX1tCsDcCAABkBAAADgAAAAAAAAABACAAAAAmAQAAZHJzL2Uy&#10;b0RvYy54bWxQSwUGAAAAAAYABgBZAQAAzwUAAAAA&#10;">
              <v:fill on="f" focussize="0,0"/>
              <v:stroke on="f" weight="0.5pt"/>
              <v:imagedata o:title=""/>
              <o:lock v:ext="edit" aspectratio="f"/>
              <v:textbox inset="0mm,0mm,0mm,0mm">
                <w:txbxContent>
                  <w:p w14:paraId="7E09B203">
                    <w:pPr>
                      <w:ind w:firstLine="0" w:firstLineChars="0"/>
                    </w:pP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7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42D770F">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QXUfIzAgAAZQQAAA4AAABkcnMvZTJvRG9jLnhtbK1UzY7TMBC+I/EO&#10;lu80aRFL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QXUfIzAgAAZQQAAA4AAAAAAAAAAQAgAAAAHwEAAGRycy9lMm9Eb2MueG1sUEsF&#10;BgAAAAAGAAYAWQEAAMQFAAAAAA==&#10;">
              <v:fill on="f" focussize="0,0"/>
              <v:stroke on="f" weight="0.5pt"/>
              <v:imagedata o:title=""/>
              <o:lock v:ext="edit" aspectratio="f"/>
              <v:textbox inset="0mm,0mm,0mm,0mm" style="mso-fit-shape-to-text:t;">
                <w:txbxContent>
                  <w:p w14:paraId="442D770F">
                    <w:pPr>
                      <w:ind w:firstLine="0" w:firstLineChars="0"/>
                    </w:pPr>
                  </w:p>
                </w:txbxContent>
              </v:textbox>
            </v:shape>
          </w:pict>
        </mc:Fallback>
      </mc:AlternateContent>
    </w:r>
    <w:r>
      <w:rPr>
        <w:rFonts w:hint="eastAsia"/>
      </w:rPr>
      <w:tab/>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8ADA3">
    <w:pPr>
      <w:pStyle w:val="16"/>
      <w:ind w:firstLine="0" w:firstLineChars="0"/>
    </w:pPr>
    <w:r>
      <w:rPr>
        <w:sz w:val="18"/>
      </w:rPr>
      <mc:AlternateContent>
        <mc:Choice Requires="wps">
          <w:drawing>
            <wp:anchor distT="0" distB="0" distL="114300" distR="114300" simplePos="0" relativeHeight="2516736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72" name="文本框 2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7D031A">
                          <w:pPr>
                            <w:pStyle w:val="16"/>
                            <w:ind w:firstLine="0" w:firstLineChars="0"/>
                          </w:pPr>
                          <w:r>
                            <w:rPr>
                              <w:rFonts w:hint="eastAsia"/>
                            </w:rPr>
                            <w:t xml:space="preserve">- </w:t>
                          </w:r>
                          <w:r>
                            <w:fldChar w:fldCharType="begin"/>
                          </w:r>
                          <w:r>
                            <w:instrText xml:space="preserve"> PAGE  \* MERGEFORMAT </w:instrText>
                          </w:r>
                          <w:r>
                            <w:fldChar w:fldCharType="separate"/>
                          </w:r>
                          <w:r>
                            <w:t>2</w:t>
                          </w:r>
                          <w:r>
                            <w:fldChar w:fldCharType="end"/>
                          </w:r>
                          <w:r>
                            <w:rPr>
                              <w:rFonts w:hint="eastAsia"/>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Ak/XIuAgAAWQ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CwJP1yLgIAAFkEAAAOAAAAAAAAAAEAIAAAAB8BAABkcnMvZTJvRG9jLnhtbFBLBQYAAAAA&#10;BgAGAFkBAAC/BQAAAAA=&#10;">
              <v:fill on="f" focussize="0,0"/>
              <v:stroke on="f" weight="0.5pt"/>
              <v:imagedata o:title=""/>
              <o:lock v:ext="edit" aspectratio="f"/>
              <v:textbox inset="0mm,0mm,0mm,0mm" style="mso-fit-shape-to-text:t;">
                <w:txbxContent>
                  <w:p w14:paraId="187D031A">
                    <w:pPr>
                      <w:pStyle w:val="16"/>
                      <w:ind w:firstLine="0" w:firstLineChars="0"/>
                    </w:pPr>
                    <w:r>
                      <w:rPr>
                        <w:rFonts w:hint="eastAsia"/>
                      </w:rPr>
                      <w:t xml:space="preserve">- </w:t>
                    </w:r>
                    <w:r>
                      <w:fldChar w:fldCharType="begin"/>
                    </w:r>
                    <w:r>
                      <w:instrText xml:space="preserve"> PAGE  \* MERGEFORMAT </w:instrText>
                    </w:r>
                    <w:r>
                      <w:fldChar w:fldCharType="separate"/>
                    </w:r>
                    <w:r>
                      <w:t>2</w:t>
                    </w:r>
                    <w:r>
                      <w:fldChar w:fldCharType="end"/>
                    </w:r>
                    <w:r>
                      <w:rPr>
                        <w:rFonts w:hint="eastAsia"/>
                      </w:rPr>
                      <w:t xml:space="preserve"> -</w:t>
                    </w:r>
                  </w:p>
                </w:txbxContent>
              </v:textbox>
            </v:shape>
          </w:pict>
        </mc:Fallback>
      </mc:AlternateContent>
    </w:r>
    <w:r>
      <w:rPr>
        <w:sz w:val="1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73" name="文本框 2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2F42FC">
                          <w:pPr>
                            <w:pStyle w:val="16"/>
                            <w:ind w:firstLine="0" w:firstLineChars="0"/>
                            <w:rPr>
                              <w:rFonts w:eastAsia="仿宋"/>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570S8uAgAAWQ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ee9EvLgIAAFkEAAAOAAAAAAAAAAEAIAAAAB8BAABkcnMvZTJvRG9jLnhtbFBLBQYAAAAA&#10;BgAGAFkBAAC/BQAAAAA=&#10;">
              <v:fill on="f" focussize="0,0"/>
              <v:stroke on="f" weight="0.5pt"/>
              <v:imagedata o:title=""/>
              <o:lock v:ext="edit" aspectratio="f"/>
              <v:textbox inset="0mm,0mm,0mm,0mm" style="mso-fit-shape-to-text:t;">
                <w:txbxContent>
                  <w:p w14:paraId="102F42FC">
                    <w:pPr>
                      <w:pStyle w:val="16"/>
                      <w:ind w:firstLine="0" w:firstLineChars="0"/>
                      <w:rPr>
                        <w:rFonts w:eastAsia="仿宋"/>
                        <w:szCs w:val="28"/>
                      </w:rPr>
                    </w:pP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18F3D9">
    <w:pPr>
      <w:pStyle w:val="16"/>
      <w:tabs>
        <w:tab w:val="right" w:pos="8845"/>
        <w:tab w:val="clear" w:pos="4153"/>
      </w:tabs>
      <w:ind w:firstLine="0" w:firstLineChars="0"/>
    </w:pPr>
    <w:r>
      <mc:AlternateContent>
        <mc:Choice Requires="wps">
          <w:drawing>
            <wp:anchor distT="0" distB="0" distL="114300" distR="114300" simplePos="0" relativeHeight="251664384"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274" name="文本框 274"/>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225B7B87">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401.25pt;margin-top:0.95pt;height:17.05pt;width:144pt;mso-position-horizontal-relative:margin;mso-wrap-style:none;z-index:251664384;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LbIdIdcAAAAJAQAADwAAAAAAAAABACAAAAAiAAAAZHJzL2Rvd25y&#10;ZXYueG1sUEsBAhQAFAAAAAgAh07iQHnlc7Y4AgAAZgQAAA4AAAAAAAAAAQAgAAAAJgEAAGRycy9l&#10;Mm9Eb2MueG1sUEsFBgAAAAAGAAYAWQEAANAFAAAAAA==&#10;">
              <v:fill on="f" focussize="0,0"/>
              <v:stroke on="f" weight="0.5pt"/>
              <v:imagedata o:title=""/>
              <o:lock v:ext="edit" aspectratio="f"/>
              <v:textbox inset="0mm,0mm,0mm,0mm">
                <w:txbxContent>
                  <w:p w14:paraId="225B7B87">
                    <w:pPr>
                      <w:ind w:firstLine="0" w:firstLineChars="0"/>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75" name="文本框 2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4F31775">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x80AgAAZwQAAA4AAABkcnMvZTJvRG9jLnhtbK1UzY7TMBC+I/EO&#10;lu80adEu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cv2cfNAIAAGcEAAAOAAAAAAAAAAEAIAAAAB8BAABkcnMvZTJvRG9jLnhtbFBL&#10;BQYAAAAABgAGAFkBAADFBQAAAAA=&#10;">
              <v:fill on="f" focussize="0,0"/>
              <v:stroke on="f" weight="0.5pt"/>
              <v:imagedata o:title=""/>
              <o:lock v:ext="edit" aspectratio="f"/>
              <v:textbox inset="0mm,0mm,0mm,0mm" style="mso-fit-shape-to-text:t;">
                <w:txbxContent>
                  <w:p w14:paraId="64F31775">
                    <w:pPr>
                      <w:ind w:firstLine="0" w:firstLineChars="0"/>
                    </w:pPr>
                  </w:p>
                </w:txbxContent>
              </v:textbox>
            </v:shape>
          </w:pict>
        </mc:Fallback>
      </mc:AlternateContent>
    </w:r>
    <w:r>
      <w:rPr>
        <w:rFonts w:hint="eastAsia"/>
      </w:rPr>
      <w:tab/>
    </w:r>
    <w:r>
      <w:rPr>
        <w:rFonts w:hint="eastAsia"/>
      </w:rPr>
      <w:tab/>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CD596">
    <w:pPr>
      <w:pStyle w:val="16"/>
      <w:tabs>
        <w:tab w:val="right" w:pos="8845"/>
        <w:tab w:val="clear" w:pos="4153"/>
      </w:tabs>
      <w:ind w:firstLine="0" w:firstLineChars="0"/>
    </w:pPr>
    <w: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76" name="文本框 2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DAEA36">
                          <w:pPr>
                            <w:pStyle w:val="16"/>
                            <w:ind w:firstLine="0" w:firstLineChars="0"/>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III</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ldPd0uAgAAW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JXT3dLgIAAFkEAAAOAAAAAAAAAAEAIAAAAB8BAABkcnMvZTJvRG9jLnhtbFBLBQYAAAAA&#10;BgAGAFkBAAC/BQAAAAA=&#10;">
              <v:fill on="f" focussize="0,0"/>
              <v:stroke on="f" weight="0.5pt"/>
              <v:imagedata o:title=""/>
              <o:lock v:ext="edit" aspectratio="f"/>
              <v:textbox inset="0mm,0mm,0mm,0mm" style="mso-fit-shape-to-text:t;">
                <w:txbxContent>
                  <w:p w14:paraId="19DAEA36">
                    <w:pPr>
                      <w:pStyle w:val="16"/>
                      <w:ind w:firstLine="0" w:firstLineChars="0"/>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III</w:t>
                    </w:r>
                    <w:r>
                      <w:rPr>
                        <w:sz w:val="28"/>
                        <w:szCs w:val="28"/>
                      </w:rPr>
                      <w:fldChar w:fldCharType="end"/>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277"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451A849A">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66432;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tsh0h1wAAAAkBAAAPAAAAAAAAAAEAIAAAACIAAABkcnMvZG93bnJl&#10;di54bWxQSwECFAAUAAAACACHTuJAEqXrOjcCAABkBAAADgAAAAAAAAABACAAAAAmAQAAZHJzL2Uy&#10;b0RvYy54bWxQSwUGAAAAAAYABgBZAQAAzwUAAAAA&#10;">
              <v:fill on="f" focussize="0,0"/>
              <v:stroke on="f" weight="0.5pt"/>
              <v:imagedata o:title=""/>
              <o:lock v:ext="edit" aspectratio="f"/>
              <v:textbox inset="0mm,0mm,0mm,0mm">
                <w:txbxContent>
                  <w:p w14:paraId="451A849A">
                    <w:pPr>
                      <w:ind w:firstLine="0" w:firstLineChars="0"/>
                    </w:pP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7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320ABF9">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qeeszAgAAZ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qeeszAgAAZQQAAA4AAAAAAAAAAQAgAAAAHwEAAGRycy9lMm9Eb2MueG1sUEsF&#10;BgAAAAAGAAYAWQEAAMQFAAAAAA==&#10;">
              <v:fill on="f" focussize="0,0"/>
              <v:stroke on="f" weight="0.5pt"/>
              <v:imagedata o:title=""/>
              <o:lock v:ext="edit" aspectratio="f"/>
              <v:textbox inset="0mm,0mm,0mm,0mm" style="mso-fit-shape-to-text:t;">
                <w:txbxContent>
                  <w:p w14:paraId="7320ABF9">
                    <w:pPr>
                      <w:ind w:firstLine="0" w:firstLineChars="0"/>
                    </w:pPr>
                  </w:p>
                </w:txbxContent>
              </v:textbox>
            </v:shape>
          </w:pict>
        </mc:Fallback>
      </mc:AlternateContent>
    </w:r>
    <w:r>
      <w:rPr>
        <w:rFonts w:hint="eastAsia"/>
      </w:rPr>
      <w:tab/>
    </w:r>
    <w:r>
      <w:rPr>
        <w:rFonts w:hint="eastAsia"/>
      </w:rPr>
      <w:tab/>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37BA5A">
    <w:pPr>
      <w:pStyle w:val="16"/>
      <w:ind w:firstLine="360"/>
    </w:pPr>
    <w: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79" name="文本框 2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A3749C">
                          <w:pPr>
                            <w:pStyle w:val="16"/>
                            <w:ind w:firstLine="0" w:firstLineChars="0"/>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II</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ExeBEuAgAAWQQAAA4AAABkcnMvZTJvRG9jLnhtbK1UzY7TMBC+I/EO&#10;lu80aRFL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xMXgRLgIAAFkEAAAOAAAAAAAAAAEAIAAAAB8BAABkcnMvZTJvRG9jLnhtbFBLBQYAAAAA&#10;BgAGAFkBAAC/BQAAAAA=&#10;">
              <v:fill on="f" focussize="0,0"/>
              <v:stroke on="f" weight="0.5pt"/>
              <v:imagedata o:title=""/>
              <o:lock v:ext="edit" aspectratio="f"/>
              <v:textbox inset="0mm,0mm,0mm,0mm" style="mso-fit-shape-to-text:t;">
                <w:txbxContent>
                  <w:p w14:paraId="44A3749C">
                    <w:pPr>
                      <w:pStyle w:val="16"/>
                      <w:ind w:firstLine="0" w:firstLineChars="0"/>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II</w:t>
                    </w:r>
                    <w:r>
                      <w:rPr>
                        <w:sz w:val="28"/>
                        <w:szCs w:val="28"/>
                      </w:rPr>
                      <w:fldChar w:fldCharType="end"/>
                    </w:r>
                  </w:p>
                </w:txbxContent>
              </v:textbox>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C8507">
    <w:pPr>
      <w:pStyle w:val="16"/>
      <w:tabs>
        <w:tab w:val="right" w:pos="8845"/>
        <w:tab w:val="clear" w:pos="4153"/>
      </w:tabs>
      <w:ind w:firstLine="0" w:firstLineChars="0"/>
    </w:pPr>
    <w: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82" name="文本框 2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A6998F">
                          <w:pPr>
                            <w:pStyle w:val="16"/>
                            <w:ind w:firstLine="0" w:firstLineChars="0"/>
                            <w:rPr>
                              <w:rFonts w:eastAsia="仿宋"/>
                              <w:sz w:val="28"/>
                              <w:szCs w:val="28"/>
                            </w:rPr>
                          </w:pPr>
                          <w:r>
                            <w:rPr>
                              <w:rFonts w:hint="eastAsia"/>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13</w:t>
                          </w:r>
                          <w:r>
                            <w:rPr>
                              <w:sz w:val="28"/>
                              <w:szCs w:val="28"/>
                            </w:rPr>
                            <w:fldChar w:fldCharType="end"/>
                          </w:r>
                          <w:r>
                            <w:rPr>
                              <w:rFonts w:hint="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Y7ywt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KY7ywtAgAAWQQAAA4AAAAAAAAAAQAgAAAAHwEAAGRycy9lMm9Eb2MueG1sUEsFBgAAAAAG&#10;AAYAWQEAAL4FAAAAAA==&#10;">
              <v:fill on="f" focussize="0,0"/>
              <v:stroke on="f" weight="0.5pt"/>
              <v:imagedata o:title=""/>
              <o:lock v:ext="edit" aspectratio="f"/>
              <v:textbox inset="0mm,0mm,0mm,0mm" style="mso-fit-shape-to-text:t;">
                <w:txbxContent>
                  <w:p w14:paraId="20A6998F">
                    <w:pPr>
                      <w:pStyle w:val="16"/>
                      <w:ind w:firstLine="0" w:firstLineChars="0"/>
                      <w:rPr>
                        <w:rFonts w:eastAsia="仿宋"/>
                        <w:sz w:val="28"/>
                        <w:szCs w:val="28"/>
                      </w:rPr>
                    </w:pPr>
                    <w:r>
                      <w:rPr>
                        <w:rFonts w:hint="eastAsia"/>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13</w:t>
                    </w:r>
                    <w:r>
                      <w:rPr>
                        <w:sz w:val="28"/>
                        <w:szCs w:val="28"/>
                      </w:rPr>
                      <w:fldChar w:fldCharType="end"/>
                    </w:r>
                    <w:r>
                      <w:rPr>
                        <w:rFonts w:hint="eastAsia"/>
                        <w:sz w:val="28"/>
                        <w:szCs w:val="28"/>
                      </w:rPr>
                      <w:t xml:space="preserve"> -</w:t>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283"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32CB8788">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70528;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tsh0h1wAAAAkBAAAPAAAAAAAAAAEAIAAAACIAAABkcnMvZG93bnJl&#10;di54bWxQSwECFAAUAAAACACHTuJAjpkvuDcCAABkBAAADgAAAAAAAAABACAAAAAmAQAAZHJzL2Uy&#10;b0RvYy54bWxQSwUGAAAAAAYABgBZAQAAzwUAAAAA&#10;">
              <v:fill on="f" focussize="0,0"/>
              <v:stroke on="f" weight="0.5pt"/>
              <v:imagedata o:title=""/>
              <o:lock v:ext="edit" aspectratio="f"/>
              <v:textbox inset="0mm,0mm,0mm,0mm">
                <w:txbxContent>
                  <w:p w14:paraId="32CB8788">
                    <w:pPr>
                      <w:ind w:firstLine="0" w:firstLineChars="0"/>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8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7ED8533">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nNk00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x5zZNNAIAAGUEAAAOAAAAAAAAAAEAIAAAAB8BAABkcnMvZTJvRG9jLnhtbFBL&#10;BQYAAAAABgAGAFkBAADFBQAAAAA=&#10;">
              <v:fill on="f" focussize="0,0"/>
              <v:stroke on="f" weight="0.5pt"/>
              <v:imagedata o:title=""/>
              <o:lock v:ext="edit" aspectratio="f"/>
              <v:textbox inset="0mm,0mm,0mm,0mm" style="mso-fit-shape-to-text:t;">
                <w:txbxContent>
                  <w:p w14:paraId="77ED8533">
                    <w:pPr>
                      <w:ind w:firstLine="0" w:firstLineChars="0"/>
                    </w:pPr>
                  </w:p>
                </w:txbxContent>
              </v:textbox>
            </v:shape>
          </w:pict>
        </mc:Fallback>
      </mc:AlternateContent>
    </w:r>
    <w:r>
      <w:rPr>
        <w:rFonts w:hint="eastAsia"/>
      </w:rPr>
      <w:tab/>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828D0">
    <w:pPr>
      <w:pStyle w:val="16"/>
      <w:tabs>
        <w:tab w:val="left" w:pos="5016"/>
        <w:tab w:val="clear" w:pos="4153"/>
      </w:tabs>
      <w:ind w:firstLine="0" w:firstLineChars="0"/>
    </w:pPr>
    <w:r>
      <mc:AlternateContent>
        <mc:Choice Requires="wps">
          <w:drawing>
            <wp:anchor distT="0" distB="0" distL="114300" distR="114300" simplePos="0" relativeHeight="2516725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85" name="文本框 2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81F7CF">
                          <w:pPr>
                            <w:pStyle w:val="16"/>
                            <w:ind w:firstLine="0" w:firstLineChars="0"/>
                            <w:rPr>
                              <w:rFonts w:eastAsia="仿宋"/>
                              <w:sz w:val="28"/>
                              <w:szCs w:val="28"/>
                            </w:rPr>
                          </w:pPr>
                          <w:r>
                            <w:rPr>
                              <w:rFonts w:hint="eastAsia"/>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14</w:t>
                          </w:r>
                          <w:r>
                            <w:rPr>
                              <w:sz w:val="28"/>
                              <w:szCs w:val="28"/>
                            </w:rPr>
                            <w:fldChar w:fldCharType="end"/>
                          </w:r>
                          <w:r>
                            <w:rPr>
                              <w:rFonts w:hint="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kBW2QuAgAAW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ZAVtkLgIAAFkEAAAOAAAAAAAAAAEAIAAAAB8BAABkcnMvZTJvRG9jLnhtbFBLBQYAAAAA&#10;BgAGAFkBAAC/BQAAAAA=&#10;">
              <v:fill on="f" focussize="0,0"/>
              <v:stroke on="f" weight="0.5pt"/>
              <v:imagedata o:title=""/>
              <o:lock v:ext="edit" aspectratio="f"/>
              <v:textbox inset="0mm,0mm,0mm,0mm" style="mso-fit-shape-to-text:t;">
                <w:txbxContent>
                  <w:p w14:paraId="1E81F7CF">
                    <w:pPr>
                      <w:pStyle w:val="16"/>
                      <w:ind w:firstLine="0" w:firstLineChars="0"/>
                      <w:rPr>
                        <w:rFonts w:eastAsia="仿宋"/>
                        <w:sz w:val="28"/>
                        <w:szCs w:val="28"/>
                      </w:rPr>
                    </w:pPr>
                    <w:r>
                      <w:rPr>
                        <w:rFonts w:hint="eastAsia"/>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14</w:t>
                    </w:r>
                    <w:r>
                      <w:rPr>
                        <w:sz w:val="28"/>
                        <w:szCs w:val="28"/>
                      </w:rPr>
                      <w:fldChar w:fldCharType="end"/>
                    </w:r>
                    <w:r>
                      <w:rPr>
                        <w:rFonts w:hint="eastAsia"/>
                        <w:sz w:val="28"/>
                        <w:szCs w:val="28"/>
                      </w:rPr>
                      <w:t xml:space="preserve"> -</w:t>
                    </w:r>
                  </w:p>
                </w:txbxContent>
              </v:textbox>
            </v:shape>
          </w:pict>
        </mc:Fallback>
      </mc:AlternateContent>
    </w:r>
    <w:r>
      <w:rPr>
        <w:rFonts w:hint="eastAsia"/>
      </w:rPr>
      <w:tab/>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993441">
    <w:pPr>
      <w:pStyle w:val="16"/>
      <w:tabs>
        <w:tab w:val="right" w:pos="8845"/>
        <w:tab w:val="clear" w:pos="4153"/>
      </w:tabs>
      <w:ind w:firstLine="0" w:firstLineChars="0"/>
    </w:pPr>
    <w: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88" name="文本框 2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EBABE3">
                          <w:pPr>
                            <w:pStyle w:val="16"/>
                            <w:ind w:firstLine="0" w:firstLineChars="0"/>
                          </w:pPr>
                          <w:r>
                            <w:rPr>
                              <w:sz w:val="28"/>
                              <w:szCs w:val="28"/>
                            </w:rPr>
                            <w:fldChar w:fldCharType="begin"/>
                          </w:r>
                          <w:r>
                            <w:rPr>
                              <w:sz w:val="28"/>
                              <w:szCs w:val="28"/>
                            </w:rPr>
                            <w:instrText xml:space="preserve"> PAGE  \* MERGEFORMAT </w:instrText>
                          </w:r>
                          <w:r>
                            <w:rPr>
                              <w:sz w:val="28"/>
                              <w:szCs w:val="28"/>
                            </w:rPr>
                            <w:fldChar w:fldCharType="separate"/>
                          </w:r>
                          <w:r>
                            <w:rPr>
                              <w:sz w:val="28"/>
                              <w:szCs w:val="28"/>
                            </w:rPr>
                            <w:t>III</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SRhI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dJGEiwCAABZBAAADgAAAAAAAAABACAAAAAfAQAAZHJzL2Uyb0RvYy54bWxQSwUGAAAAAAYA&#10;BgBZAQAAvQUAAAAA&#10;">
              <v:fill on="f" focussize="0,0"/>
              <v:stroke on="f" weight="0.5pt"/>
              <v:imagedata o:title=""/>
              <o:lock v:ext="edit" aspectratio="f"/>
              <v:textbox inset="0mm,0mm,0mm,0mm" style="mso-fit-shape-to-text:t;">
                <w:txbxContent>
                  <w:p w14:paraId="35EBABE3">
                    <w:pPr>
                      <w:pStyle w:val="16"/>
                      <w:ind w:firstLine="0" w:firstLineChars="0"/>
                    </w:pPr>
                    <w:r>
                      <w:rPr>
                        <w:sz w:val="28"/>
                        <w:szCs w:val="28"/>
                      </w:rPr>
                      <w:fldChar w:fldCharType="begin"/>
                    </w:r>
                    <w:r>
                      <w:rPr>
                        <w:sz w:val="28"/>
                        <w:szCs w:val="28"/>
                      </w:rPr>
                      <w:instrText xml:space="preserve"> PAGE  \* MERGEFORMAT </w:instrText>
                    </w:r>
                    <w:r>
                      <w:rPr>
                        <w:sz w:val="28"/>
                        <w:szCs w:val="28"/>
                      </w:rPr>
                      <w:fldChar w:fldCharType="separate"/>
                    </w:r>
                    <w:r>
                      <w:rPr>
                        <w:sz w:val="28"/>
                        <w:szCs w:val="28"/>
                      </w:rPr>
                      <w:t>III</w:t>
                    </w:r>
                    <w:r>
                      <w:rPr>
                        <w:sz w:val="28"/>
                        <w:szCs w:val="28"/>
                      </w:rP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289"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09FE0D5A">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59264;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tsh0h1wAAAAkBAAAPAAAAAAAAAAEAIAAAACIAAABkcnMvZG93bnJl&#10;di54bWxQSwECFAAUAAAACACHTuJA6Z1aozcCAABkBAAADgAAAAAAAAABACAAAAAmAQAAZHJzL2Uy&#10;b0RvYy54bWxQSwUGAAAAAAYABgBZAQAAzwUAAAAA&#10;">
              <v:fill on="f" focussize="0,0"/>
              <v:stroke on="f" weight="0.5pt"/>
              <v:imagedata o:title=""/>
              <o:lock v:ext="edit" aspectratio="f"/>
              <v:textbox inset="0mm,0mm,0mm,0mm">
                <w:txbxContent>
                  <w:p w14:paraId="09FE0D5A">
                    <w:pPr>
                      <w:ind w:firstLine="0" w:firstLineChars="0"/>
                    </w:pPr>
                  </w:p>
                </w:txbxContent>
              </v:textbox>
            </v:shape>
          </w:pict>
        </mc:Fallback>
      </mc:AlternateContent>
    </w:r>
    <w:r>
      <w:rPr>
        <w:rFonts w:hint="eastAsia"/>
      </w:rPr>
      <w:tab/>
    </w:r>
    <w:r>
      <w:rPr>
        <w:rFonts w:hint="eastAsia"/>
      </w:rPr>
      <w:tab/>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5AEBE9">
    <w:pPr>
      <w:pStyle w:val="16"/>
      <w:ind w:firstLine="360"/>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90" name="文本框 2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E2164F">
                          <w:pPr>
                            <w:pStyle w:val="16"/>
                            <w:ind w:firstLine="0" w:firstLineChars="0"/>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II</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EWNEtAgAAWQ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7EWNEtAgAAWQQAAA4AAAAAAAAAAQAgAAAAHwEAAGRycy9lMm9Eb2MueG1sUEsFBgAAAAAG&#10;AAYAWQEAAL4FAAAAAA==&#10;">
              <v:fill on="f" focussize="0,0"/>
              <v:stroke on="f" weight="0.5pt"/>
              <v:imagedata o:title=""/>
              <o:lock v:ext="edit" aspectratio="f"/>
              <v:textbox inset="0mm,0mm,0mm,0mm" style="mso-fit-shape-to-text:t;">
                <w:txbxContent>
                  <w:p w14:paraId="64E2164F">
                    <w:pPr>
                      <w:pStyle w:val="16"/>
                      <w:ind w:firstLine="0" w:firstLineChars="0"/>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II</w:t>
                    </w:r>
                    <w:r>
                      <w:rPr>
                        <w:sz w:val="28"/>
                        <w:szCs w:val="2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8C685">
    <w:pPr>
      <w:pStyle w:val="16"/>
      <w:tabs>
        <w:tab w:val="right" w:pos="8845"/>
        <w:tab w:val="clear" w:pos="4153"/>
      </w:tabs>
      <w:ind w:firstLine="0" w:firstLineChars="0"/>
    </w:pPr>
    <w:r>
      <mc:AlternateContent>
        <mc:Choice Requires="wps">
          <w:drawing>
            <wp:anchor distT="0" distB="0" distL="114300" distR="114300" simplePos="0" relativeHeight="251683840" behindDoc="0" locked="0" layoutInCell="1" allowOverlap="1">
              <wp:simplePos x="0" y="0"/>
              <wp:positionH relativeFrom="margin">
                <wp:posOffset>5495925</wp:posOffset>
              </wp:positionH>
              <wp:positionV relativeFrom="paragraph">
                <wp:posOffset>-38100</wp:posOffset>
              </wp:positionV>
              <wp:extent cx="1828800" cy="1828800"/>
              <wp:effectExtent l="0" t="0" r="0" b="0"/>
              <wp:wrapNone/>
              <wp:docPr id="20" name="文本框 10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6F93015">
                          <w:pPr>
                            <w:pStyle w:val="16"/>
                            <w:ind w:firstLine="0" w:firstLineChars="0"/>
                          </w:pPr>
                        </w:p>
                      </w:txbxContent>
                    </wps:txbx>
                    <wps:bodyPr vert="horz" wrap="none" lIns="0" tIns="0" rIns="0" bIns="0" anchor="t" anchorCtr="0">
                      <a:spAutoFit/>
                    </wps:bodyPr>
                  </wps:wsp>
                </a:graphicData>
              </a:graphic>
            </wp:anchor>
          </w:drawing>
        </mc:Choice>
        <mc:Fallback>
          <w:pict>
            <v:shape id="文本框 1079" o:spid="_x0000_s1026" o:spt="202" type="#_x0000_t202" style="position:absolute;left:0pt;margin-left:432.75pt;margin-top:-3pt;height:144pt;width:144pt;mso-position-horizontal-relative:margin;mso-wrap-style:none;z-index:251683840;mso-width-relative:page;mso-height-relative:page;" filled="f" stroked="f" coordsize="21600,21600" o:gfxdata="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1PVx+1wAAAAsBAAAPAAAAAAAA&#10;AAEAIAAAACIAAABkcnMvZG93bnJldi54bWxQSwECFAAUAAAACACHTuJA/6HbIdoBAAC2AwAADgAA&#10;AAAAAAABACAAAAAmAQAAZHJzL2Uyb0RvYy54bWxQSwUGAAAAAAYABgBZAQAAcgUAAAAA&#10;">
              <v:fill on="f" focussize="0,0"/>
              <v:stroke on="f"/>
              <v:imagedata o:title=""/>
              <o:lock v:ext="edit" aspectratio="f"/>
              <v:textbox inset="0mm,0mm,0mm,0mm" style="mso-fit-shape-to-text:t;">
                <w:txbxContent>
                  <w:p w14:paraId="16F93015">
                    <w:pPr>
                      <w:pStyle w:val="16"/>
                      <w:ind w:firstLine="0" w:firstLineChars="0"/>
                    </w:pPr>
                  </w:p>
                </w:txbxContent>
              </v:textbox>
            </v:shape>
          </w:pict>
        </mc:Fallback>
      </mc:AlternateContent>
    </w:r>
    <w:r>
      <mc:AlternateContent>
        <mc:Choice Requires="wps">
          <w:drawing>
            <wp:anchor distT="0" distB="0" distL="114300" distR="114300" simplePos="0" relativeHeight="251682816"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21"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77305678">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82816;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LbIdIdcAAAAJAQAADwAAAAAAAAABACAAAAAiAAAAZHJzL2Rvd25yZXYu&#10;eG1sUEsBAhQAFAAAAAgAh07iQM9N/xg1AgAAYwQAAA4AAAAAAAAAAQAgAAAAJgEAAGRycy9lMm9E&#10;b2MueG1sUEsFBgAAAAAGAAYAWQEAAM0FAAAAAA==&#10;">
              <v:fill on="f" focussize="0,0"/>
              <v:stroke on="f" weight="0.5pt"/>
              <v:imagedata o:title=""/>
              <o:lock v:ext="edit" aspectratio="f"/>
              <v:textbox inset="0mm,0mm,0mm,0mm">
                <w:txbxContent>
                  <w:p w14:paraId="77305678">
                    <w:pPr>
                      <w:ind w:firstLine="0" w:firstLineChars="0"/>
                    </w:pPr>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32348EE">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ruT44yAgAAZA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Ou5PjjICAABkBAAADgAAAAAAAAABACAAAAAfAQAAZHJzL2Uyb0RvYy54bWxQSwUG&#10;AAAAAAYABgBZAQAAwwUAAAAA&#10;">
              <v:fill on="f" focussize="0,0"/>
              <v:stroke on="f" weight="0.5pt"/>
              <v:imagedata o:title=""/>
              <o:lock v:ext="edit" aspectratio="f"/>
              <v:textbox inset="0mm,0mm,0mm,0mm" style="mso-fit-shape-to-text:t;">
                <w:txbxContent>
                  <w:p w14:paraId="032348EE">
                    <w:pPr>
                      <w:ind w:firstLine="0" w:firstLineChars="0"/>
                    </w:pPr>
                  </w:p>
                </w:txbxContent>
              </v:textbox>
            </v:shape>
          </w:pict>
        </mc:Fallback>
      </mc:AlternateContent>
    </w:r>
    <w:r>
      <w:rPr>
        <w:rFonts w:hint="eastAsia"/>
      </w:rPr>
      <w:tab/>
    </w:r>
    <w:r>
      <w:rPr>
        <w:rFonts w:hint="eastAsia"/>
      </w:rPr>
      <w:tab/>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87778">
    <w:pPr>
      <w:pStyle w:val="16"/>
      <w:tabs>
        <w:tab w:val="right" w:pos="8845"/>
        <w:tab w:val="clear" w:pos="4153"/>
      </w:tabs>
      <w:ind w:firstLine="0" w:firstLineChars="0"/>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93" name="文本框 2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52F5EF">
                          <w:pPr>
                            <w:pStyle w:val="16"/>
                            <w:ind w:firstLine="0" w:firstLineChars="0"/>
                            <w:rPr>
                              <w:rFonts w:eastAsia="仿宋"/>
                              <w:sz w:val="28"/>
                              <w:szCs w:val="28"/>
                            </w:rPr>
                          </w:pPr>
                          <w:r>
                            <w:rPr>
                              <w:rFonts w:hint="eastAsia"/>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11</w:t>
                          </w:r>
                          <w:r>
                            <w:rPr>
                              <w:sz w:val="28"/>
                              <w:szCs w:val="28"/>
                            </w:rPr>
                            <w:fldChar w:fldCharType="end"/>
                          </w:r>
                          <w:r>
                            <w:rPr>
                              <w:rFonts w:hint="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kLDYuAgAAWQ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cJCw2LgIAAFkEAAAOAAAAAAAAAAEAIAAAAB8BAABkcnMvZTJvRG9jLnhtbFBLBQYAAAAA&#10;BgAGAFkBAAC/BQAAAAA=&#10;">
              <v:fill on="f" focussize="0,0"/>
              <v:stroke on="f" weight="0.5pt"/>
              <v:imagedata o:title=""/>
              <o:lock v:ext="edit" aspectratio="f"/>
              <v:textbox inset="0mm,0mm,0mm,0mm" style="mso-fit-shape-to-text:t;">
                <w:txbxContent>
                  <w:p w14:paraId="1E52F5EF">
                    <w:pPr>
                      <w:pStyle w:val="16"/>
                      <w:ind w:firstLine="0" w:firstLineChars="0"/>
                      <w:rPr>
                        <w:rFonts w:eastAsia="仿宋"/>
                        <w:sz w:val="28"/>
                        <w:szCs w:val="28"/>
                      </w:rPr>
                    </w:pPr>
                    <w:r>
                      <w:rPr>
                        <w:rFonts w:hint="eastAsia"/>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11</w:t>
                    </w:r>
                    <w:r>
                      <w:rPr>
                        <w:sz w:val="28"/>
                        <w:szCs w:val="28"/>
                      </w:rPr>
                      <w:fldChar w:fldCharType="end"/>
                    </w:r>
                    <w:r>
                      <w:rPr>
                        <w:rFonts w:hint="eastAsia"/>
                        <w:sz w:val="28"/>
                        <w:szCs w:val="28"/>
                      </w:rPr>
                      <w:t xml:space="preserve"> -</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294"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71BB5D6D">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62336;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tsh0h1wAAAAkBAAAPAAAAAAAAAAEAIAAAACIAAABkcnMvZG93bnJl&#10;di54bWxQSwECFAAUAAAACACHTuJARYzadDcCAABkBAAADgAAAAAAAAABACAAAAAmAQAAZHJzL2Uy&#10;b0RvYy54bWxQSwUGAAAAAAYABgBZAQAAzwUAAAAA&#10;">
              <v:fill on="f" focussize="0,0"/>
              <v:stroke on="f" weight="0.5pt"/>
              <v:imagedata o:title=""/>
              <o:lock v:ext="edit" aspectratio="f"/>
              <v:textbox inset="0mm,0mm,0mm,0mm">
                <w:txbxContent>
                  <w:p w14:paraId="71BB5D6D">
                    <w:pPr>
                      <w:ind w:firstLine="0" w:firstLineChars="0"/>
                    </w:pP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9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9EB68BC">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29w80AgAAZQQAAA4AAABkcnMvZTJvRG9jLnhtbK1UzY7TMBC+I/EO&#10;lu80adGuSt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JdvcPNAIAAGUEAAAOAAAAAAAAAAEAIAAAAB8BAABkcnMvZTJvRG9jLnhtbFBL&#10;BQYAAAAABgAGAFkBAADFBQAAAAA=&#10;">
              <v:fill on="f" focussize="0,0"/>
              <v:stroke on="f" weight="0.5pt"/>
              <v:imagedata o:title=""/>
              <o:lock v:ext="edit" aspectratio="f"/>
              <v:textbox inset="0mm,0mm,0mm,0mm" style="mso-fit-shape-to-text:t;">
                <w:txbxContent>
                  <w:p w14:paraId="09EB68BC">
                    <w:pPr>
                      <w:ind w:firstLine="0" w:firstLineChars="0"/>
                    </w:pPr>
                  </w:p>
                </w:txbxContent>
              </v:textbox>
            </v:shape>
          </w:pict>
        </mc:Fallback>
      </mc:AlternateContent>
    </w:r>
    <w:r>
      <w:rPr>
        <w:rFonts w:hint="eastAsia"/>
      </w:rPr>
      <w:tab/>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D01018">
    <w:pPr>
      <w:pStyle w:val="16"/>
      <w:tabs>
        <w:tab w:val="left" w:pos="5016"/>
        <w:tab w:val="clear" w:pos="4153"/>
      </w:tabs>
      <w:ind w:firstLine="0" w:firstLineChars="0"/>
    </w:pP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96" name="文本框 2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33DFB6">
                          <w:pPr>
                            <w:pStyle w:val="16"/>
                            <w:ind w:firstLine="0" w:firstLineChars="0"/>
                            <w:rPr>
                              <w:rFonts w:eastAsia="仿宋"/>
                              <w:sz w:val="28"/>
                              <w:szCs w:val="28"/>
                            </w:rPr>
                          </w:pPr>
                          <w:r>
                            <w:rPr>
                              <w:rFonts w:hint="eastAsia"/>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12</w:t>
                          </w:r>
                          <w:r>
                            <w:rPr>
                              <w:sz w:val="28"/>
                              <w:szCs w:val="28"/>
                            </w:rPr>
                            <w:fldChar w:fldCharType="end"/>
                          </w:r>
                          <w:r>
                            <w:rPr>
                              <w:rFonts w:hint="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sCwMQuAgAAW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LAsDELgIAAFkEAAAOAAAAAAAAAAEAIAAAAB8BAABkcnMvZTJvRG9jLnhtbFBLBQYAAAAA&#10;BgAGAFkBAAC/BQAAAAA=&#10;">
              <v:fill on="f" focussize="0,0"/>
              <v:stroke on="f" weight="0.5pt"/>
              <v:imagedata o:title=""/>
              <o:lock v:ext="edit" aspectratio="f"/>
              <v:textbox inset="0mm,0mm,0mm,0mm" style="mso-fit-shape-to-text:t;">
                <w:txbxContent>
                  <w:p w14:paraId="6433DFB6">
                    <w:pPr>
                      <w:pStyle w:val="16"/>
                      <w:ind w:firstLine="0" w:firstLineChars="0"/>
                      <w:rPr>
                        <w:rFonts w:eastAsia="仿宋"/>
                        <w:sz w:val="28"/>
                        <w:szCs w:val="28"/>
                      </w:rPr>
                    </w:pPr>
                    <w:r>
                      <w:rPr>
                        <w:rFonts w:hint="eastAsia"/>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12</w:t>
                    </w:r>
                    <w:r>
                      <w:rPr>
                        <w:sz w:val="28"/>
                        <w:szCs w:val="28"/>
                      </w:rPr>
                      <w:fldChar w:fldCharType="end"/>
                    </w:r>
                    <w:r>
                      <w:rPr>
                        <w:rFonts w:hint="eastAsia"/>
                        <w:sz w:val="28"/>
                        <w:szCs w:val="28"/>
                      </w:rPr>
                      <w:t xml:space="preserve"> -</w:t>
                    </w:r>
                  </w:p>
                </w:txbxContent>
              </v:textbox>
            </v:shape>
          </w:pict>
        </mc:Fallback>
      </mc:AlternateContent>
    </w:r>
    <w:r>
      <w:rPr>
        <w:rFonts w:hint="eastAsia"/>
      </w:rPr>
      <w:tab/>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50521A">
    <w:pPr>
      <w:pStyle w:val="16"/>
      <w:tabs>
        <w:tab w:val="right" w:pos="8845"/>
        <w:tab w:val="clear" w:pos="4153"/>
      </w:tabs>
      <w:ind w:firstLine="0" w:firstLineChars="0"/>
    </w:pPr>
    <w:r>
      <w:rPr>
        <w:sz w:val="18"/>
      </w:rPr>
      <mc:AlternateContent>
        <mc:Choice Requires="wps">
          <w:drawing>
            <wp:anchor distT="0" distB="0" distL="114300" distR="114300" simplePos="0" relativeHeight="2516746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00" name="文本框 3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570362">
                          <w:pPr>
                            <w:pStyle w:val="16"/>
                            <w:ind w:firstLine="0" w:firstLineChars="0"/>
                          </w:pPr>
                          <w:r>
                            <w:fldChar w:fldCharType="begin"/>
                          </w:r>
                          <w:r>
                            <w:instrText xml:space="preserve"> PAGE  \* MERGEFORMAT </w:instrText>
                          </w:r>
                          <w:r>
                            <w:fldChar w:fldCharType="separate"/>
                          </w:r>
                          <w:r>
                            <w:t>III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7cv8tAgAAWQ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b7cv8tAgAAWQQAAA4AAAAAAAAAAQAgAAAAHwEAAGRycy9lMm9Eb2MueG1sUEsFBgAAAAAG&#10;AAYAWQEAAL4FAAAAAA==&#10;">
              <v:fill on="f" focussize="0,0"/>
              <v:stroke on="f" weight="0.5pt"/>
              <v:imagedata o:title=""/>
              <o:lock v:ext="edit" aspectratio="f"/>
              <v:textbox inset="0mm,0mm,0mm,0mm" style="mso-fit-shape-to-text:t;">
                <w:txbxContent>
                  <w:p w14:paraId="26570362">
                    <w:pPr>
                      <w:pStyle w:val="16"/>
                      <w:ind w:firstLine="0" w:firstLineChars="0"/>
                    </w:pPr>
                    <w:r>
                      <w:fldChar w:fldCharType="begin"/>
                    </w:r>
                    <w:r>
                      <w:instrText xml:space="preserve"> PAGE  \* MERGEFORMAT </w:instrText>
                    </w:r>
                    <w:r>
                      <w:fldChar w:fldCharType="separate"/>
                    </w:r>
                    <w:r>
                      <w:t>III</w:t>
                    </w:r>
                    <w:r>
                      <w:fldChar w:fldCharType="end"/>
                    </w:r>
                  </w:p>
                </w:txbxContent>
              </v:textbox>
            </v:shape>
          </w:pict>
        </mc:Fallback>
      </mc:AlternateContent>
    </w:r>
    <w:r>
      <w:rPr>
        <w:sz w:val="18"/>
      </w:rPr>
      <mc:AlternateContent>
        <mc:Choice Requires="wps">
          <w:drawing>
            <wp:anchor distT="0" distB="0" distL="114300" distR="114300" simplePos="0" relativeHeight="251670528"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301"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7284DA02">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70528;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2yHSHXAAAACQEAAA8AAAAAAAAAAQAgAAAAIgAAAGRycy9kb3ducmV2&#10;LnhtbFBLAQIUABQAAAAIAIdO4kDdSm2JNgIAAGQEAAAOAAAAAAAAAAEAIAAAACYBAABkcnMvZTJv&#10;RG9jLnhtbFBLBQYAAAAABgAGAFkBAADOBQAAAAA=&#10;">
              <v:fill on="f" focussize="0,0"/>
              <v:stroke on="f" weight="0.5pt"/>
              <v:imagedata o:title=""/>
              <o:lock v:ext="edit" aspectratio="f"/>
              <v:textbox inset="0mm,0mm,0mm,0mm">
                <w:txbxContent>
                  <w:p w14:paraId="7284DA02">
                    <w:pPr>
                      <w:ind w:firstLine="0" w:firstLineChars="0"/>
                    </w:pPr>
                  </w:p>
                </w:txbxContent>
              </v:textbox>
            </v:shape>
          </w:pict>
        </mc:Fallback>
      </mc:AlternateContent>
    </w:r>
    <w:r>
      <w:rPr>
        <w:sz w:val="18"/>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0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412B776">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1DWd9NAIAAGUEAAAOAAAAAAAAAAEAIAAAAB8BAABkcnMvZTJvRG9jLnhtbFBL&#10;BQYAAAAABgAGAFkBAADFBQAAAAA=&#10;">
              <v:fill on="f" focussize="0,0"/>
              <v:stroke on="f" weight="0.5pt"/>
              <v:imagedata o:title=""/>
              <o:lock v:ext="edit" aspectratio="f"/>
              <v:textbox inset="0mm,0mm,0mm,0mm" style="mso-fit-shape-to-text:t;">
                <w:txbxContent>
                  <w:p w14:paraId="1412B776">
                    <w:pPr>
                      <w:ind w:firstLine="0" w:firstLineChars="0"/>
                    </w:pPr>
                  </w:p>
                </w:txbxContent>
              </v:textbox>
            </v:shape>
          </w:pict>
        </mc:Fallback>
      </mc:AlternateContent>
    </w:r>
    <w:r>
      <w:rPr>
        <w:rFonts w:hint="eastAsia"/>
      </w:rPr>
      <w:tab/>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079EEB">
    <w:pPr>
      <w:pStyle w:val="16"/>
      <w:ind w:firstLine="0" w:firstLineChars="0"/>
    </w:pPr>
    <w:r>
      <w:rPr>
        <w:sz w:val="18"/>
      </w:rPr>
      <mc:AlternateContent>
        <mc:Choice Requires="wps">
          <w:drawing>
            <wp:anchor distT="0" distB="0" distL="114300" distR="114300" simplePos="0" relativeHeight="2516756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03" name="文本框 3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A49515">
                          <w:pPr>
                            <w:pStyle w:val="16"/>
                            <w:ind w:firstLine="0" w:firstLineChars="0"/>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bBhguAgAAW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DUGwYYLgIAAFkEAAAOAAAAAAAAAAEAIAAAAB8BAABkcnMvZTJvRG9jLnhtbFBLBQYAAAAA&#10;BgAGAFkBAAC/BQAAAAA=&#10;">
              <v:fill on="f" focussize="0,0"/>
              <v:stroke on="f" weight="0.5pt"/>
              <v:imagedata o:title=""/>
              <o:lock v:ext="edit" aspectratio="f"/>
              <v:textbox inset="0mm,0mm,0mm,0mm" style="mso-fit-shape-to-text:t;">
                <w:txbxContent>
                  <w:p w14:paraId="75A49515">
                    <w:pPr>
                      <w:pStyle w:val="16"/>
                      <w:ind w:firstLine="0" w:firstLineChars="0"/>
                    </w:pPr>
                    <w:r>
                      <w:fldChar w:fldCharType="begin"/>
                    </w:r>
                    <w:r>
                      <w:instrText xml:space="preserve"> PAGE  \* MERGEFORMAT </w:instrText>
                    </w:r>
                    <w:r>
                      <w:fldChar w:fldCharType="separate"/>
                    </w:r>
                    <w:r>
                      <w:t>II</w:t>
                    </w:r>
                    <w:r>
                      <w:fldChar w:fldCharType="end"/>
                    </w:r>
                  </w:p>
                </w:txbxContent>
              </v:textbox>
            </v:shape>
          </w:pict>
        </mc:Fallback>
      </mc:AlternateContent>
    </w:r>
    <w:r>
      <w:rPr>
        <w:sz w:val="18"/>
      </w:rP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04" name="文本框 3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00BD26">
                          <w:pPr>
                            <w:pStyle w:val="16"/>
                            <w:ind w:firstLine="0" w:firstLineChars="0"/>
                            <w:rPr>
                              <w:rFonts w:eastAsia="仿宋"/>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slAuAgAAWQ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fgrJQLgIAAFkEAAAOAAAAAAAAAAEAIAAAAB8BAABkcnMvZTJvRG9jLnhtbFBLBQYAAAAA&#10;BgAGAFkBAAC/BQAAAAA=&#10;">
              <v:fill on="f" focussize="0,0"/>
              <v:stroke on="f" weight="0.5pt"/>
              <v:imagedata o:title=""/>
              <o:lock v:ext="edit" aspectratio="f"/>
              <v:textbox inset="0mm,0mm,0mm,0mm" style="mso-fit-shape-to-text:t;">
                <w:txbxContent>
                  <w:p w14:paraId="4000BD26">
                    <w:pPr>
                      <w:pStyle w:val="16"/>
                      <w:ind w:firstLine="0" w:firstLineChars="0"/>
                      <w:rPr>
                        <w:rFonts w:eastAsia="仿宋"/>
                        <w:szCs w:val="28"/>
                      </w:rPr>
                    </w:pPr>
                  </w:p>
                </w:txbxContent>
              </v:textbox>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3F0246">
    <w:pPr>
      <w:pStyle w:val="16"/>
      <w:tabs>
        <w:tab w:val="right" w:pos="8845"/>
        <w:tab w:val="clear" w:pos="4153"/>
      </w:tabs>
      <w:ind w:firstLine="0" w:firstLineChars="0"/>
    </w:pPr>
    <w:r>
      <w:rPr>
        <w:sz w:val="18"/>
      </w:rPr>
      <mc:AlternateContent>
        <mc:Choice Requires="wps">
          <w:drawing>
            <wp:anchor distT="0" distB="0" distL="114300" distR="114300" simplePos="0" relativeHeight="2516725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08" name="文本框 3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6BBC48">
                          <w:pPr>
                            <w:pStyle w:val="16"/>
                            <w:ind w:firstLine="0" w:firstLineChars="0"/>
                          </w:pPr>
                          <w:r>
                            <w:rPr>
                              <w:rFonts w:hint="eastAsia"/>
                            </w:rPr>
                            <w:t xml:space="preserve">- </w:t>
                          </w:r>
                          <w:r>
                            <w:fldChar w:fldCharType="begin"/>
                          </w:r>
                          <w:r>
                            <w:instrText xml:space="preserve"> PAGE  \* MERGEFORMAT </w:instrText>
                          </w:r>
                          <w:r>
                            <w:fldChar w:fldCharType="separate"/>
                          </w:r>
                          <w:r>
                            <w:t>11</w:t>
                          </w:r>
                          <w:r>
                            <w:fldChar w:fldCharType="end"/>
                          </w:r>
                          <w:r>
                            <w:rPr>
                              <w:rFonts w:hint="eastAsia"/>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UOg3suAgAAWQQAAA4AAABkcnMvZTJvRG9jLnhtbK1UzY7TMBC+I/EO&#10;lu80aVes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VDoN7LgIAAFkEAAAOAAAAAAAAAAEAIAAAAB8BAABkcnMvZTJvRG9jLnhtbFBLBQYAAAAA&#10;BgAGAFkBAAC/BQAAAAA=&#10;">
              <v:fill on="f" focussize="0,0"/>
              <v:stroke on="f" weight="0.5pt"/>
              <v:imagedata o:title=""/>
              <o:lock v:ext="edit" aspectratio="f"/>
              <v:textbox inset="0mm,0mm,0mm,0mm" style="mso-fit-shape-to-text:t;">
                <w:txbxContent>
                  <w:p w14:paraId="026BBC48">
                    <w:pPr>
                      <w:pStyle w:val="16"/>
                      <w:ind w:firstLine="0" w:firstLineChars="0"/>
                    </w:pPr>
                    <w:r>
                      <w:rPr>
                        <w:rFonts w:hint="eastAsia"/>
                      </w:rPr>
                      <w:t xml:space="preserve">- </w:t>
                    </w:r>
                    <w:r>
                      <w:fldChar w:fldCharType="begin"/>
                    </w:r>
                    <w:r>
                      <w:instrText xml:space="preserve"> PAGE  \* MERGEFORMAT </w:instrText>
                    </w:r>
                    <w:r>
                      <w:fldChar w:fldCharType="separate"/>
                    </w:r>
                    <w:r>
                      <w:t>11</w:t>
                    </w:r>
                    <w:r>
                      <w:fldChar w:fldCharType="end"/>
                    </w:r>
                    <w:r>
                      <w:rPr>
                        <w:rFonts w:hint="eastAsia"/>
                      </w:rPr>
                      <w:t xml:space="preserve"> -</w:t>
                    </w:r>
                  </w:p>
                </w:txbxContent>
              </v:textbox>
            </v:shape>
          </w:pict>
        </mc:Fallback>
      </mc:AlternateContent>
    </w:r>
    <w:r>
      <w:rPr>
        <w:sz w:val="18"/>
      </w:rPr>
      <mc:AlternateContent>
        <mc:Choice Requires="wps">
          <w:drawing>
            <wp:anchor distT="0" distB="0" distL="114300" distR="114300" simplePos="0" relativeHeight="251667456"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309"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28B69DF9">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67456;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tsh0h1wAAAAkBAAAPAAAAAAAAAAEAIAAAACIAAABkcnMvZG93bnJl&#10;di54bWxQSwECFAAUAAAACACHTuJA5LGz+DcCAABkBAAADgAAAAAAAAABACAAAAAmAQAAZHJzL2Uy&#10;b0RvYy54bWxQSwUGAAAAAAYABgBZAQAAzwUAAAAA&#10;">
              <v:fill on="f" focussize="0,0"/>
              <v:stroke on="f" weight="0.5pt"/>
              <v:imagedata o:title=""/>
              <o:lock v:ext="edit" aspectratio="f"/>
              <v:textbox inset="0mm,0mm,0mm,0mm">
                <w:txbxContent>
                  <w:p w14:paraId="28B69DF9">
                    <w:pPr>
                      <w:ind w:firstLine="0" w:firstLineChars="0"/>
                    </w:pP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1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241B536">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egQ/Uz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egQ/UzAgAAZQQAAA4AAAAAAAAAAQAgAAAAHwEAAGRycy9lMm9Eb2MueG1sUEsF&#10;BgAAAAAGAAYAWQEAAMQFAAAAAA==&#10;">
              <v:fill on="f" focussize="0,0"/>
              <v:stroke on="f" weight="0.5pt"/>
              <v:imagedata o:title=""/>
              <o:lock v:ext="edit" aspectratio="f"/>
              <v:textbox inset="0mm,0mm,0mm,0mm" style="mso-fit-shape-to-text:t;">
                <w:txbxContent>
                  <w:p w14:paraId="5241B536">
                    <w:pPr>
                      <w:ind w:firstLine="0" w:firstLineChars="0"/>
                    </w:pPr>
                  </w:p>
                </w:txbxContent>
              </v:textbox>
            </v:shape>
          </w:pict>
        </mc:Fallback>
      </mc:AlternateContent>
    </w:r>
    <w:r>
      <w:rPr>
        <w:rFonts w:hint="eastAsia"/>
      </w:rPr>
      <w:tab/>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84C09D">
    <w:pPr>
      <w:pStyle w:val="16"/>
      <w:ind w:firstLine="0" w:firstLineChars="0"/>
    </w:pPr>
    <w:r>
      <w:rPr>
        <w:sz w:val="18"/>
      </w:rPr>
      <mc:AlternateContent>
        <mc:Choice Requires="wps">
          <w:drawing>
            <wp:anchor distT="0" distB="0" distL="114300" distR="114300" simplePos="0" relativeHeight="2516736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11" name="文本框 3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F24500">
                          <w:pPr>
                            <w:pStyle w:val="16"/>
                            <w:ind w:firstLine="0" w:firstLineChars="0"/>
                          </w:pPr>
                          <w:r>
                            <w:rPr>
                              <w:rFonts w:hint="eastAsia"/>
                            </w:rPr>
                            <w:t xml:space="preserve">- </w:t>
                          </w:r>
                          <w:r>
                            <w:fldChar w:fldCharType="begin"/>
                          </w:r>
                          <w:r>
                            <w:instrText xml:space="preserve"> PAGE  \* MERGEFORMAT </w:instrText>
                          </w:r>
                          <w:r>
                            <w:fldChar w:fldCharType="separate"/>
                          </w:r>
                          <w:r>
                            <w:t>12</w:t>
                          </w:r>
                          <w:r>
                            <w:fldChar w:fldCharType="end"/>
                          </w:r>
                          <w:r>
                            <w:rPr>
                              <w:rFonts w:hint="eastAsia"/>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HseUtAgAAWQ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hHseUtAgAAWQQAAA4AAAAAAAAAAQAgAAAAHwEAAGRycy9lMm9Eb2MueG1sUEsFBgAAAAAG&#10;AAYAWQEAAL4FAAAAAA==&#10;">
              <v:fill on="f" focussize="0,0"/>
              <v:stroke on="f" weight="0.5pt"/>
              <v:imagedata o:title=""/>
              <o:lock v:ext="edit" aspectratio="f"/>
              <v:textbox inset="0mm,0mm,0mm,0mm" style="mso-fit-shape-to-text:t;">
                <w:txbxContent>
                  <w:p w14:paraId="52F24500">
                    <w:pPr>
                      <w:pStyle w:val="16"/>
                      <w:ind w:firstLine="0" w:firstLineChars="0"/>
                    </w:pPr>
                    <w:r>
                      <w:rPr>
                        <w:rFonts w:hint="eastAsia"/>
                      </w:rPr>
                      <w:t xml:space="preserve">- </w:t>
                    </w:r>
                    <w:r>
                      <w:fldChar w:fldCharType="begin"/>
                    </w:r>
                    <w:r>
                      <w:instrText xml:space="preserve"> PAGE  \* MERGEFORMAT </w:instrText>
                    </w:r>
                    <w:r>
                      <w:fldChar w:fldCharType="separate"/>
                    </w:r>
                    <w:r>
                      <w:t>12</w:t>
                    </w:r>
                    <w:r>
                      <w:fldChar w:fldCharType="end"/>
                    </w:r>
                    <w:r>
                      <w:rPr>
                        <w:rFonts w:hint="eastAsia"/>
                      </w:rPr>
                      <w:t xml:space="preserve"> -</w:t>
                    </w:r>
                  </w:p>
                </w:txbxContent>
              </v:textbox>
            </v:shape>
          </w:pict>
        </mc:Fallback>
      </mc:AlternateContent>
    </w:r>
    <w:r>
      <w:rPr>
        <w:sz w:val="1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12" name="文本框 3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8B9A84">
                          <w:pPr>
                            <w:pStyle w:val="16"/>
                            <w:ind w:firstLine="0" w:firstLineChars="0"/>
                            <w:rPr>
                              <w:rFonts w:eastAsia="仿宋"/>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qnxQIuAgAAWQ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ap8UCLgIAAFkEAAAOAAAAAAAAAAEAIAAAAB8BAABkcnMvZTJvRG9jLnhtbFBLBQYAAAAA&#10;BgAGAFkBAAC/BQAAAAA=&#10;">
              <v:fill on="f" focussize="0,0"/>
              <v:stroke on="f" weight="0.5pt"/>
              <v:imagedata o:title=""/>
              <o:lock v:ext="edit" aspectratio="f"/>
              <v:textbox inset="0mm,0mm,0mm,0mm" style="mso-fit-shape-to-text:t;">
                <w:txbxContent>
                  <w:p w14:paraId="208B9A84">
                    <w:pPr>
                      <w:pStyle w:val="16"/>
                      <w:ind w:firstLine="0" w:firstLineChars="0"/>
                      <w:rPr>
                        <w:rFonts w:eastAsia="仿宋"/>
                        <w:szCs w:val="28"/>
                      </w:rPr>
                    </w:pPr>
                  </w:p>
                </w:txbxContent>
              </v:textbox>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E4604">
    <w:pPr>
      <w:pStyle w:val="16"/>
      <w:tabs>
        <w:tab w:val="right" w:pos="8845"/>
        <w:tab w:val="clear" w:pos="4153"/>
      </w:tabs>
      <w:ind w:firstLine="0" w:firstLineChars="0"/>
    </w:pPr>
    <w:r>
      <w:rPr>
        <w:sz w:val="18"/>
      </w:rPr>
      <mc:AlternateContent>
        <mc:Choice Requires="wps">
          <w:drawing>
            <wp:anchor distT="0" distB="0" distL="114300" distR="114300" simplePos="0" relativeHeight="2516746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13" name="文本框 3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B504F9">
                          <w:pPr>
                            <w:pStyle w:val="16"/>
                            <w:ind w:firstLine="0" w:firstLineChars="0"/>
                          </w:pPr>
                          <w:r>
                            <w:fldChar w:fldCharType="begin"/>
                          </w:r>
                          <w:r>
                            <w:instrText xml:space="preserve"> PAGE  \* MERGEFORMAT </w:instrText>
                          </w:r>
                          <w:r>
                            <w:fldChar w:fldCharType="separate"/>
                          </w:r>
                          <w:r>
                            <w:t>III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T46V8uAgAAW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D0+OlfLgIAAFkEAAAOAAAAAAAAAAEAIAAAAB8BAABkcnMvZTJvRG9jLnhtbFBLBQYAAAAA&#10;BgAGAFkBAAC/BQAAAAA=&#10;">
              <v:fill on="f" focussize="0,0"/>
              <v:stroke on="f" weight="0.5pt"/>
              <v:imagedata o:title=""/>
              <o:lock v:ext="edit" aspectratio="f"/>
              <v:textbox inset="0mm,0mm,0mm,0mm" style="mso-fit-shape-to-text:t;">
                <w:txbxContent>
                  <w:p w14:paraId="5CB504F9">
                    <w:pPr>
                      <w:pStyle w:val="16"/>
                      <w:ind w:firstLine="0" w:firstLineChars="0"/>
                    </w:pPr>
                    <w:r>
                      <w:fldChar w:fldCharType="begin"/>
                    </w:r>
                    <w:r>
                      <w:instrText xml:space="preserve"> PAGE  \* MERGEFORMAT </w:instrText>
                    </w:r>
                    <w:r>
                      <w:fldChar w:fldCharType="separate"/>
                    </w:r>
                    <w:r>
                      <w:t>III</w:t>
                    </w:r>
                    <w:r>
                      <w:fldChar w:fldCharType="end"/>
                    </w:r>
                  </w:p>
                </w:txbxContent>
              </v:textbox>
            </v:shape>
          </w:pict>
        </mc:Fallback>
      </mc:AlternateContent>
    </w:r>
    <w:r>
      <w:rPr>
        <w:sz w:val="18"/>
      </w:rPr>
      <mc:AlternateContent>
        <mc:Choice Requires="wps">
          <w:drawing>
            <wp:anchor distT="0" distB="0" distL="114300" distR="114300" simplePos="0" relativeHeight="251670528"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314"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62BFA327">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70528;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tsh0h1wAAAAkBAAAPAAAAAAAAAAEAIAAAACIAAABkcnMvZG93bnJl&#10;di54bWxQSwECFAAUAAAACACHTuJASKAzLzcCAABkBAAADgAAAAAAAAABACAAAAAmAQAAZHJzL2Uy&#10;b0RvYy54bWxQSwUGAAAAAAYABgBZAQAAzwUAAAAA&#10;">
              <v:fill on="f" focussize="0,0"/>
              <v:stroke on="f" weight="0.5pt"/>
              <v:imagedata o:title=""/>
              <o:lock v:ext="edit" aspectratio="f"/>
              <v:textbox inset="0mm,0mm,0mm,0mm">
                <w:txbxContent>
                  <w:p w14:paraId="62BFA327">
                    <w:pPr>
                      <w:ind w:firstLine="0" w:firstLineChars="0"/>
                    </w:pPr>
                  </w:p>
                </w:txbxContent>
              </v:textbox>
            </v:shape>
          </w:pict>
        </mc:Fallback>
      </mc:AlternateContent>
    </w:r>
    <w:r>
      <w:rPr>
        <w:sz w:val="18"/>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1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0545D85">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Y4x1xNAIAAGUEAAAOAAAAAAAAAAEAIAAAAB8BAABkcnMvZTJvRG9jLnhtbFBL&#10;BQYAAAAABgAGAFkBAADFBQAAAAA=&#10;">
              <v:fill on="f" focussize="0,0"/>
              <v:stroke on="f" weight="0.5pt"/>
              <v:imagedata o:title=""/>
              <o:lock v:ext="edit" aspectratio="f"/>
              <v:textbox inset="0mm,0mm,0mm,0mm" style="mso-fit-shape-to-text:t;">
                <w:txbxContent>
                  <w:p w14:paraId="10545D85">
                    <w:pPr>
                      <w:ind w:firstLine="0" w:firstLineChars="0"/>
                    </w:pPr>
                  </w:p>
                </w:txbxContent>
              </v:textbox>
            </v:shape>
          </w:pict>
        </mc:Fallback>
      </mc:AlternateContent>
    </w:r>
    <w:r>
      <w:rPr>
        <w:rFonts w:hint="eastAsia"/>
      </w:rPr>
      <w:tab/>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076B66">
    <w:pPr>
      <w:pStyle w:val="16"/>
      <w:ind w:firstLine="0" w:firstLineChars="0"/>
    </w:pPr>
    <w:r>
      <w:rPr>
        <w:sz w:val="18"/>
      </w:rPr>
      <mc:AlternateContent>
        <mc:Choice Requires="wps">
          <w:drawing>
            <wp:anchor distT="0" distB="0" distL="114300" distR="114300" simplePos="0" relativeHeight="2516756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16" name="文本框 3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574FE2">
                          <w:pPr>
                            <w:pStyle w:val="16"/>
                            <w:ind w:firstLine="0" w:firstLineChars="0"/>
                          </w:pPr>
                          <w:r>
                            <w:fldChar w:fldCharType="begin"/>
                          </w:r>
                          <w:r>
                            <w:instrText xml:space="preserve"> PAGE  \* MERGEFORMAT </w:instrText>
                          </w:r>
                          <w:r>
                            <w:fldChar w:fldCharType="separate"/>
                          </w:r>
                          <w:r>
                            <w:t>IV</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PeBa0uAgAAW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Dj3gWtLgIAAFkEAAAOAAAAAAAAAAEAIAAAAB8BAABkcnMvZTJvRG9jLnhtbFBLBQYAAAAA&#10;BgAGAFkBAAC/BQAAAAA=&#10;">
              <v:fill on="f" focussize="0,0"/>
              <v:stroke on="f" weight="0.5pt"/>
              <v:imagedata o:title=""/>
              <o:lock v:ext="edit" aspectratio="f"/>
              <v:textbox inset="0mm,0mm,0mm,0mm" style="mso-fit-shape-to-text:t;">
                <w:txbxContent>
                  <w:p w14:paraId="22574FE2">
                    <w:pPr>
                      <w:pStyle w:val="16"/>
                      <w:ind w:firstLine="0" w:firstLineChars="0"/>
                    </w:pPr>
                    <w:r>
                      <w:fldChar w:fldCharType="begin"/>
                    </w:r>
                    <w:r>
                      <w:instrText xml:space="preserve"> PAGE  \* MERGEFORMAT </w:instrText>
                    </w:r>
                    <w:r>
                      <w:fldChar w:fldCharType="separate"/>
                    </w:r>
                    <w:r>
                      <w:t>IV</w:t>
                    </w:r>
                    <w:r>
                      <w:fldChar w:fldCharType="end"/>
                    </w:r>
                  </w:p>
                </w:txbxContent>
              </v:textbox>
            </v:shape>
          </w:pict>
        </mc:Fallback>
      </mc:AlternateContent>
    </w:r>
    <w:r>
      <w:rPr>
        <w:sz w:val="18"/>
      </w:rP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17" name="文本框 3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03105C">
                          <w:pPr>
                            <w:pStyle w:val="16"/>
                            <w:ind w:firstLine="0" w:firstLineChars="0"/>
                            <w:rPr>
                              <w:rFonts w:eastAsia="仿宋"/>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2BKfAuAgAAWQ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NgSnwLgIAAFkEAAAOAAAAAAAAAAEAIAAAAB8BAABkcnMvZTJvRG9jLnhtbFBLBQYAAAAA&#10;BgAGAFkBAAC/BQAAAAA=&#10;">
              <v:fill on="f" focussize="0,0"/>
              <v:stroke on="f" weight="0.5pt"/>
              <v:imagedata o:title=""/>
              <o:lock v:ext="edit" aspectratio="f"/>
              <v:textbox inset="0mm,0mm,0mm,0mm" style="mso-fit-shape-to-text:t;">
                <w:txbxContent>
                  <w:p w14:paraId="4403105C">
                    <w:pPr>
                      <w:pStyle w:val="16"/>
                      <w:ind w:firstLine="0" w:firstLineChars="0"/>
                      <w:rPr>
                        <w:rFonts w:eastAsia="仿宋"/>
                        <w:szCs w:val="28"/>
                      </w:rPr>
                    </w:pPr>
                  </w:p>
                </w:txbxContent>
              </v:textbox>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739AF">
    <w:pPr>
      <w:pStyle w:val="16"/>
      <w:tabs>
        <w:tab w:val="right" w:pos="8845"/>
        <w:tab w:val="clear" w:pos="4153"/>
      </w:tabs>
      <w:ind w:firstLine="0" w:firstLineChars="0"/>
    </w:pPr>
    <w:r>
      <mc:AlternateContent>
        <mc:Choice Requires="wps">
          <w:drawing>
            <wp:anchor distT="0" distB="0" distL="114300" distR="114300" simplePos="0" relativeHeight="251664384"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326" name="文本框 326"/>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7E0CBF35">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401.25pt;margin-top:0.95pt;height:17.05pt;width:144pt;mso-position-horizontal-relative:margin;mso-wrap-style:none;z-index:251664384;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LbIdIdcAAAAJAQAADwAAAAAAAAABACAAAAAiAAAAZHJzL2Rvd25y&#10;ZXYueG1sUEsBAhQAFAAAAAgAh07iQApGa084AgAAZgQAAA4AAAAAAAAAAQAgAAAAJgEAAGRycy9l&#10;Mm9Eb2MueG1sUEsFBgAAAAAGAAYAWQEAANAFAAAAAA==&#10;">
              <v:fill on="f" focussize="0,0"/>
              <v:stroke on="f" weight="0.5pt"/>
              <v:imagedata o:title=""/>
              <o:lock v:ext="edit" aspectratio="f"/>
              <v:textbox inset="0mm,0mm,0mm,0mm">
                <w:txbxContent>
                  <w:p w14:paraId="7E0CBF35">
                    <w:pPr>
                      <w:ind w:firstLine="0" w:firstLineChars="0"/>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27" name="文本框 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4CE1B2D">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mHktY0AgAAZwQAAA4AAABkcnMvZTJvRG9jLnhtbK1UzY7TMBC+I/EO&#10;lu80aVcs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5h5LWNAIAAGcEAAAOAAAAAAAAAAEAIAAAAB8BAABkcnMvZTJvRG9jLnhtbFBL&#10;BQYAAAAABgAGAFkBAADFBQAAAAA=&#10;">
              <v:fill on="f" focussize="0,0"/>
              <v:stroke on="f" weight="0.5pt"/>
              <v:imagedata o:title=""/>
              <o:lock v:ext="edit" aspectratio="f"/>
              <v:textbox inset="0mm,0mm,0mm,0mm" style="mso-fit-shape-to-text:t;">
                <w:txbxContent>
                  <w:p w14:paraId="04CE1B2D">
                    <w:pPr>
                      <w:ind w:firstLine="0" w:firstLineChars="0"/>
                    </w:pPr>
                  </w:p>
                </w:txbxContent>
              </v:textbox>
            </v:shape>
          </w:pict>
        </mc:Fallback>
      </mc:AlternateContent>
    </w:r>
    <w:r>
      <w:rPr>
        <w:rFonts w:hint="eastAsia"/>
      </w:rPr>
      <w:tab/>
    </w:r>
    <w:r>
      <w:rPr>
        <w:rFonts w:hint="eastAsia"/>
      </w:rPr>
      <w:tab/>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D4EBA">
    <w:pPr>
      <w:pStyle w:val="16"/>
      <w:tabs>
        <w:tab w:val="right" w:pos="8845"/>
        <w:tab w:val="clear" w:pos="4153"/>
      </w:tabs>
      <w:ind w:firstLine="0" w:firstLineChars="0"/>
    </w:pPr>
    <w: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28" name="文本框 3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49A683">
                          <w:pPr>
                            <w:pStyle w:val="16"/>
                            <w:ind w:firstLine="0" w:firstLineChars="0"/>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III</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IXPQuAgAAWQ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VyFz0LgIAAFkEAAAOAAAAAAAAAAEAIAAAAB8BAABkcnMvZTJvRG9jLnhtbFBLBQYAAAAA&#10;BgAGAFkBAAC/BQAAAAA=&#10;">
              <v:fill on="f" focussize="0,0"/>
              <v:stroke on="f" weight="0.5pt"/>
              <v:imagedata o:title=""/>
              <o:lock v:ext="edit" aspectratio="f"/>
              <v:textbox inset="0mm,0mm,0mm,0mm" style="mso-fit-shape-to-text:t;">
                <w:txbxContent>
                  <w:p w14:paraId="4549A683">
                    <w:pPr>
                      <w:pStyle w:val="16"/>
                      <w:ind w:firstLine="0" w:firstLineChars="0"/>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III</w:t>
                    </w:r>
                    <w:r>
                      <w:rPr>
                        <w:sz w:val="28"/>
                        <w:szCs w:val="28"/>
                      </w:rPr>
                      <w:fldChar w:fldCharType="end"/>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329"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3CF1EF62">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66432;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tsh0h1wAAAAkBAAAPAAAAAAAAAAEAIAAAACIAAABkcnMvZG93bnJl&#10;di54bWxQSwECFAAUAAAACACHTuJA6GYKdDcCAABkBAAADgAAAAAAAAABACAAAAAmAQAAZHJzL2Uy&#10;b0RvYy54bWxQSwUGAAAAAAYABgBZAQAAzwUAAAAA&#10;">
              <v:fill on="f" focussize="0,0"/>
              <v:stroke on="f" weight="0.5pt"/>
              <v:imagedata o:title=""/>
              <o:lock v:ext="edit" aspectratio="f"/>
              <v:textbox inset="0mm,0mm,0mm,0mm">
                <w:txbxContent>
                  <w:p w14:paraId="3CF1EF62">
                    <w:pPr>
                      <w:ind w:firstLine="0" w:firstLineChars="0"/>
                    </w:pP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3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3566FD9">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VefwzAgAAZQ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tVefwzAgAAZQQAAA4AAAAAAAAAAQAgAAAAHwEAAGRycy9lMm9Eb2MueG1sUEsF&#10;BgAAAAAGAAYAWQEAAMQFAAAAAA==&#10;">
              <v:fill on="f" focussize="0,0"/>
              <v:stroke on="f" weight="0.5pt"/>
              <v:imagedata o:title=""/>
              <o:lock v:ext="edit" aspectratio="f"/>
              <v:textbox inset="0mm,0mm,0mm,0mm" style="mso-fit-shape-to-text:t;">
                <w:txbxContent>
                  <w:p w14:paraId="23566FD9">
                    <w:pPr>
                      <w:ind w:firstLine="0" w:firstLineChars="0"/>
                    </w:pPr>
                  </w:p>
                </w:txbxContent>
              </v:textbox>
            </v:shape>
          </w:pict>
        </mc:Fallback>
      </mc:AlternateContent>
    </w:r>
    <w:r>
      <w:rPr>
        <w:rFonts w:hint="eastAsia"/>
      </w:rPr>
      <w:tab/>
    </w:r>
    <w:r>
      <w:rPr>
        <w:rFonts w:hint="eastAsia"/>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38D62">
    <w:pPr>
      <w:pStyle w:val="16"/>
      <w:tabs>
        <w:tab w:val="right" w:pos="8845"/>
        <w:tab w:val="clear" w:pos="4153"/>
      </w:tabs>
      <w:ind w:firstLine="0" w:firstLineChars="0"/>
    </w:pPr>
    <w:r>
      <mc:AlternateContent>
        <mc:Choice Requires="wps">
          <w:drawing>
            <wp:anchor distT="0" distB="0" distL="114300" distR="114300" simplePos="0" relativeHeight="251664384"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75"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0912DB93">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64384;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2yHSHXAAAACQEAAA8AAAAAAAAAAQAgAAAAIgAAAGRycy9kb3ducmV2&#10;LnhtbFBLAQIUABQAAAAIAIdO4kCs8PZJNgIAAGMEAAAOAAAAAAAAAAEAIAAAACYBAABkcnMvZTJv&#10;RG9jLnhtbFBLBQYAAAAABgAGAFkBAADOBQAAAAA=&#10;">
              <v:fill on="f" focussize="0,0"/>
              <v:stroke on="f" weight="0.5pt"/>
              <v:imagedata o:title=""/>
              <o:lock v:ext="edit" aspectratio="f"/>
              <v:textbox inset="0mm,0mm,0mm,0mm">
                <w:txbxContent>
                  <w:p w14:paraId="0912DB93">
                    <w:pPr>
                      <w:ind w:firstLine="0" w:firstLineChars="0"/>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7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56841C6">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XpVozAgAAZAQAAA4AAABkcnMvZTJvRG9jLnhtbK1UzY7TMBC+I/EO&#10;lu80bRGl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XpVozAgAAZAQAAA4AAAAAAAAAAQAgAAAAHwEAAGRycy9lMm9Eb2MueG1sUEsF&#10;BgAAAAAGAAYAWQEAAMQFAAAAAA==&#10;">
              <v:fill on="f" focussize="0,0"/>
              <v:stroke on="f" weight="0.5pt"/>
              <v:imagedata o:title=""/>
              <o:lock v:ext="edit" aspectratio="f"/>
              <v:textbox inset="0mm,0mm,0mm,0mm" style="mso-fit-shape-to-text:t;">
                <w:txbxContent>
                  <w:p w14:paraId="756841C6">
                    <w:pPr>
                      <w:ind w:firstLine="0" w:firstLineChars="0"/>
                    </w:pPr>
                  </w:p>
                </w:txbxContent>
              </v:textbox>
            </v:shape>
          </w:pict>
        </mc:Fallback>
      </mc:AlternateContent>
    </w:r>
    <w:r>
      <w:rPr>
        <w:rFonts w:hint="eastAsia"/>
      </w:rPr>
      <w:tab/>
    </w:r>
    <w:r>
      <w:rPr>
        <w:rFonts w:hint="eastAsia"/>
      </w:rPr>
      <w:tab/>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4D903">
    <w:pPr>
      <w:pStyle w:val="16"/>
      <w:ind w:firstLine="360"/>
    </w:pPr>
    <w: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31" name="文本框 3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C8CB53">
                          <w:pPr>
                            <w:pStyle w:val="16"/>
                            <w:ind w:firstLine="0" w:firstLineChars="0"/>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II</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iBbmotAgAAWQQAAA4AAAAAAAAAAQAgAAAAHwEAAGRycy9lMm9Eb2MueG1sUEsFBgAAAAAG&#10;AAYAWQEAAL4FAAAAAA==&#10;">
              <v:fill on="f" focussize="0,0"/>
              <v:stroke on="f" weight="0.5pt"/>
              <v:imagedata o:title=""/>
              <o:lock v:ext="edit" aspectratio="f"/>
              <v:textbox inset="0mm,0mm,0mm,0mm" style="mso-fit-shape-to-text:t;">
                <w:txbxContent>
                  <w:p w14:paraId="66C8CB53">
                    <w:pPr>
                      <w:pStyle w:val="16"/>
                      <w:ind w:firstLine="0" w:firstLineChars="0"/>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II</w:t>
                    </w:r>
                    <w:r>
                      <w:rPr>
                        <w:sz w:val="28"/>
                        <w:szCs w:val="28"/>
                      </w:rPr>
                      <w:fldChar w:fldCharType="end"/>
                    </w:r>
                  </w:p>
                </w:txbxContent>
              </v:textbox>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9C3BD">
    <w:pPr>
      <w:pStyle w:val="16"/>
      <w:tabs>
        <w:tab w:val="right" w:pos="8845"/>
        <w:tab w:val="clear" w:pos="4153"/>
      </w:tabs>
      <w:ind w:firstLine="0" w:firstLineChars="0"/>
    </w:pPr>
    <w:r>
      <w:rPr>
        <w:sz w:val="18"/>
      </w:rPr>
      <mc:AlternateContent>
        <mc:Choice Requires="wps">
          <w:drawing>
            <wp:anchor distT="0" distB="0" distL="114300" distR="114300" simplePos="0" relativeHeight="251677696"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318"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639D78A0">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77696;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tsh0h1wAAAAkBAAAPAAAAAAAAAAEAIAAAACIAAABkcnMvZG93bnJl&#10;di54bWxQSwECFAAUAAAACACHTuJAzaW6izcCAABkBAAADgAAAAAAAAABACAAAAAmAQAAZHJzL2Uy&#10;b0RvYy54bWxQSwUGAAAAAAYABgBZAQAAzwUAAAAA&#10;">
              <v:fill on="f" focussize="0,0"/>
              <v:stroke on="f" weight="0.5pt"/>
              <v:imagedata o:title=""/>
              <o:lock v:ext="edit" aspectratio="f"/>
              <v:textbox inset="0mm,0mm,0mm,0mm">
                <w:txbxContent>
                  <w:p w14:paraId="639D78A0">
                    <w:pPr>
                      <w:ind w:firstLine="0" w:firstLineChars="0"/>
                    </w:pPr>
                  </w:p>
                </w:txbxContent>
              </v:textbox>
            </v:shape>
          </w:pict>
        </mc:Fallback>
      </mc:AlternateContent>
    </w:r>
    <w:r>
      <w:rPr>
        <w:sz w:val="18"/>
      </w:rPr>
      <mc:AlternateContent>
        <mc:Choice Requires="wps">
          <w:drawing>
            <wp:anchor distT="0" distB="0" distL="114300" distR="114300" simplePos="0" relativeHeight="2516766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1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1CCE497">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Ida+w0AgAAZQQAAA4AAABkcnMvZTJvRG9jLnhtbK1UzY7TMBC+I/EO&#10;lu80aVesSt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HWvsNAIAAGUEAAAOAAAAAAAAAAEAIAAAAB8BAABkcnMvZTJvRG9jLnhtbFBL&#10;BQYAAAAABgAGAFkBAADFBQAAAAA=&#10;">
              <v:fill on="f" focussize="0,0"/>
              <v:stroke on="f" weight="0.5pt"/>
              <v:imagedata o:title=""/>
              <o:lock v:ext="edit" aspectratio="f"/>
              <v:textbox inset="0mm,0mm,0mm,0mm" style="mso-fit-shape-to-text:t;">
                <w:txbxContent>
                  <w:p w14:paraId="01CCE497">
                    <w:pPr>
                      <w:ind w:firstLine="0" w:firstLineChars="0"/>
                    </w:pPr>
                  </w:p>
                </w:txbxContent>
              </v:textbox>
            </v:shape>
          </w:pict>
        </mc:Fallback>
      </mc:AlternateContent>
    </w:r>
    <w:r>
      <w:rPr>
        <w:rFonts w:hint="eastAsia"/>
      </w:rPr>
      <w:tab/>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BD559">
    <w:pPr>
      <w:pStyle w:val="16"/>
      <w:tabs>
        <w:tab w:val="right" w:pos="8845"/>
        <w:tab w:val="clear" w:pos="4153"/>
      </w:tabs>
      <w:ind w:firstLine="0" w:firstLineChars="0"/>
    </w:pPr>
    <w:r>
      <mc:AlternateContent>
        <mc:Choice Requires="wps">
          <w:drawing>
            <wp:anchor distT="0" distB="0" distL="114300" distR="114300" simplePos="0" relativeHeight="251664384"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338"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2A41FBA1">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64384;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tsh0h1wAAAAkBAAAPAAAAAAAAAAEAIAAAACIAAABkcnMvZG93bnJl&#10;di54bWxQSwECFAAUAAAACACHTuJAwXIDBzcCAABkBAAADgAAAAAAAAABACAAAAAmAQAAZHJzL2Uy&#10;b0RvYy54bWxQSwUGAAAAAAYABgBZAQAAzwUAAAAA&#10;">
              <v:fill on="f" focussize="0,0"/>
              <v:stroke on="f" weight="0.5pt"/>
              <v:imagedata o:title=""/>
              <o:lock v:ext="edit" aspectratio="f"/>
              <v:textbox inset="0mm,0mm,0mm,0mm">
                <w:txbxContent>
                  <w:p w14:paraId="2A41FBA1">
                    <w:pPr>
                      <w:ind w:firstLine="0" w:firstLineChars="0"/>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3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AB38DEF">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7oUeUzAgAAZQQAAA4AAAAAAAAAAQAgAAAAHwEAAGRycy9lMm9Eb2MueG1sUEsF&#10;BgAAAAAGAAYAWQEAAMQFAAAAAA==&#10;">
              <v:fill on="f" focussize="0,0"/>
              <v:stroke on="f" weight="0.5pt"/>
              <v:imagedata o:title=""/>
              <o:lock v:ext="edit" aspectratio="f"/>
              <v:textbox inset="0mm,0mm,0mm,0mm" style="mso-fit-shape-to-text:t;">
                <w:txbxContent>
                  <w:p w14:paraId="4AB38DEF">
                    <w:pPr>
                      <w:ind w:firstLine="0" w:firstLineChars="0"/>
                    </w:pPr>
                  </w:p>
                </w:txbxContent>
              </v:textbox>
            </v:shape>
          </w:pict>
        </mc:Fallback>
      </mc:AlternateContent>
    </w:r>
    <w:r>
      <w:rPr>
        <w:rFonts w:hint="eastAsia"/>
      </w:rPr>
      <w:tab/>
    </w:r>
    <w:r>
      <w:rPr>
        <w:rFonts w:hint="eastAsia"/>
      </w:rPr>
      <w:tab/>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10B24">
    <w:pPr>
      <w:pStyle w:val="16"/>
      <w:tabs>
        <w:tab w:val="right" w:pos="8845"/>
        <w:tab w:val="clear" w:pos="4153"/>
      </w:tabs>
      <w:ind w:firstLine="0" w:firstLineChars="0"/>
    </w:pPr>
    <w:r>
      <mc:AlternateContent>
        <mc:Choice Requires="wps">
          <w:drawing>
            <wp:anchor distT="0" distB="0" distL="114300" distR="114300" simplePos="0" relativeHeight="2516766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44" name="文本框 3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B12F59">
                          <w:pPr>
                            <w:pStyle w:val="16"/>
                            <w:ind w:firstLine="0" w:firstLineChars="0"/>
                          </w:pPr>
                          <w:r>
                            <w:rPr>
                              <w:sz w:val="24"/>
                              <w:szCs w:val="24"/>
                            </w:rPr>
                            <w:fldChar w:fldCharType="begin"/>
                          </w:r>
                          <w:r>
                            <w:rPr>
                              <w:sz w:val="24"/>
                              <w:szCs w:val="24"/>
                            </w:rPr>
                            <w:instrText xml:space="preserve"> PAGE  \* MERGEFORMAT </w:instrText>
                          </w:r>
                          <w:r>
                            <w:rPr>
                              <w:sz w:val="24"/>
                              <w:szCs w:val="24"/>
                            </w:rPr>
                            <w:fldChar w:fldCharType="separate"/>
                          </w:r>
                          <w:r>
                            <w:rPr>
                              <w:sz w:val="24"/>
                              <w:szCs w:val="24"/>
                            </w:rPr>
                            <w:t>I</w:t>
                          </w:r>
                          <w:r>
                            <w:rPr>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4IfJQvAgAAWQQAAA4AAABkcnMvZTJvRG9jLnhtbK1US27bMBDdF+gd&#10;CO5ryU4aGI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SVju0AAAAAUBAAAPAAAAAAAAAAEAIAAAACIAAABkcnMvZG93bnJldi54bWxQSwECFAAUAAAA&#10;CACHTuJA3gh8lC8CAABZBAAADgAAAAAAAAABACAAAAAfAQAAZHJzL2Uyb0RvYy54bWxQSwUGAAAA&#10;AAYABgBZAQAAwAUAAAAA&#10;">
              <v:fill on="f" focussize="0,0"/>
              <v:stroke on="f" weight="0.5pt"/>
              <v:imagedata o:title=""/>
              <o:lock v:ext="edit" aspectratio="f"/>
              <v:textbox inset="0mm,0mm,0mm,0mm" style="mso-fit-shape-to-text:t;">
                <w:txbxContent>
                  <w:p w14:paraId="6AB12F59">
                    <w:pPr>
                      <w:pStyle w:val="16"/>
                      <w:ind w:firstLine="0" w:firstLineChars="0"/>
                    </w:pPr>
                    <w:r>
                      <w:rPr>
                        <w:sz w:val="24"/>
                        <w:szCs w:val="24"/>
                      </w:rPr>
                      <w:fldChar w:fldCharType="begin"/>
                    </w:r>
                    <w:r>
                      <w:rPr>
                        <w:sz w:val="24"/>
                        <w:szCs w:val="24"/>
                      </w:rPr>
                      <w:instrText xml:space="preserve"> PAGE  \* MERGEFORMAT </w:instrText>
                    </w:r>
                    <w:r>
                      <w:rPr>
                        <w:sz w:val="24"/>
                        <w:szCs w:val="24"/>
                      </w:rPr>
                      <w:fldChar w:fldCharType="separate"/>
                    </w:r>
                    <w:r>
                      <w:rPr>
                        <w:sz w:val="24"/>
                        <w:szCs w:val="24"/>
                      </w:rPr>
                      <w:t>I</w:t>
                    </w:r>
                    <w:r>
                      <w:rPr>
                        <w:sz w:val="24"/>
                        <w:szCs w:val="24"/>
                      </w:rPr>
                      <w:fldChar w:fldCharType="end"/>
                    </w: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margin">
                <wp:posOffset>5495925</wp:posOffset>
              </wp:positionH>
              <wp:positionV relativeFrom="paragraph">
                <wp:posOffset>-38100</wp:posOffset>
              </wp:positionV>
              <wp:extent cx="1828800" cy="1828800"/>
              <wp:effectExtent l="0" t="0" r="0" b="0"/>
              <wp:wrapNone/>
              <wp:docPr id="345" name="文本框 10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D9BC24F">
                          <w:pPr>
                            <w:pStyle w:val="16"/>
                            <w:ind w:firstLine="0" w:firstLineChars="0"/>
                          </w:pPr>
                        </w:p>
                      </w:txbxContent>
                    </wps:txbx>
                    <wps:bodyPr vert="horz" wrap="none" lIns="0" tIns="0" rIns="0" bIns="0" anchor="t" anchorCtr="0">
                      <a:spAutoFit/>
                    </wps:bodyPr>
                  </wps:wsp>
                </a:graphicData>
              </a:graphic>
            </wp:anchor>
          </w:drawing>
        </mc:Choice>
        <mc:Fallback>
          <w:pict>
            <v:shape id="文本框 1079" o:spid="_x0000_s1026" o:spt="202" type="#_x0000_t202" style="position:absolute;left:0pt;margin-left:432.75pt;margin-top:-3pt;height:144pt;width:144pt;mso-position-horizontal-relative:margin;mso-wrap-style:none;z-index:251675648;mso-width-relative:page;mso-height-relative:page;" filled="f" stroked="f" coordsize="21600,21600" o:gfxdata="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DU9XH7XAAAACwEAAA8AAAAA&#10;AAAAAQAgAAAAIgAAAGRycy9kb3ducmV2LnhtbFBLAQIUABQAAAAIAIdO4kBZbdR73AEAALcDAAAO&#10;AAAAAAAAAAEAIAAAACYBAABkcnMvZTJvRG9jLnhtbFBLBQYAAAAABgAGAFkBAAB0BQAAAAA=&#10;">
              <v:fill on="f" focussize="0,0"/>
              <v:stroke on="f"/>
              <v:imagedata o:title=""/>
              <o:lock v:ext="edit" aspectratio="f"/>
              <v:textbox inset="0mm,0mm,0mm,0mm" style="mso-fit-shape-to-text:t;">
                <w:txbxContent>
                  <w:p w14:paraId="5D9BC24F">
                    <w:pPr>
                      <w:pStyle w:val="16"/>
                      <w:ind w:firstLine="0" w:firstLineChars="0"/>
                    </w:pP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346"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7902C05D">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74624;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tsh0h1wAAAAkBAAAPAAAAAAAAAAEAIAAAACIAAABkcnMvZG93bnJl&#10;di54bWxQSwECFAAUAAAACACHTuJAyRzGwTcCAABkBAAADgAAAAAAAAABACAAAAAmAQAAZHJzL2Uy&#10;b0RvYy54bWxQSwUGAAAAAAYABgBZAQAAzwUAAAAA&#10;">
              <v:fill on="f" focussize="0,0"/>
              <v:stroke on="f" weight="0.5pt"/>
              <v:imagedata o:title=""/>
              <o:lock v:ext="edit" aspectratio="f"/>
              <v:textbox inset="0mm,0mm,0mm,0mm">
                <w:txbxContent>
                  <w:p w14:paraId="7902C05D">
                    <w:pPr>
                      <w:ind w:firstLine="0" w:firstLineChars="0"/>
                    </w:pP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4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3B7DBAD">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SpUzrNAIAAGUEAAAOAAAAAAAAAAEAIAAAAB8BAABkcnMvZTJvRG9jLnhtbFBL&#10;BQYAAAAABgAGAFkBAADFBQAAAAA=&#10;">
              <v:fill on="f" focussize="0,0"/>
              <v:stroke on="f" weight="0.5pt"/>
              <v:imagedata o:title=""/>
              <o:lock v:ext="edit" aspectratio="f"/>
              <v:textbox inset="0mm,0mm,0mm,0mm" style="mso-fit-shape-to-text:t;">
                <w:txbxContent>
                  <w:p w14:paraId="73B7DBAD">
                    <w:pPr>
                      <w:ind w:firstLine="0" w:firstLineChars="0"/>
                    </w:pPr>
                  </w:p>
                </w:txbxContent>
              </v:textbox>
            </v:shape>
          </w:pict>
        </mc:Fallback>
      </mc:AlternateContent>
    </w:r>
    <w:r>
      <w:rPr>
        <w:rFonts w:hint="eastAsia"/>
      </w:rPr>
      <w:tab/>
    </w:r>
    <w:r>
      <w:rPr>
        <w:rFonts w:hint="eastAsia"/>
      </w:rPr>
      <w:tab/>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B197BB">
    <w:pPr>
      <w:pStyle w:val="16"/>
      <w:ind w:firstLine="360"/>
    </w:pPr>
    <w:r>
      <mc:AlternateContent>
        <mc:Choice Requires="wps">
          <w:drawing>
            <wp:anchor distT="0" distB="0" distL="114300" distR="114300" simplePos="0" relativeHeight="25167872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48" name="文本框 3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A18EA3">
                          <w:pPr>
                            <w:pStyle w:val="16"/>
                            <w:ind w:firstLine="0" w:firstLineChars="0"/>
                          </w:pPr>
                          <w:r>
                            <w:rPr>
                              <w:sz w:val="24"/>
                              <w:szCs w:val="24"/>
                            </w:rPr>
                            <w:fldChar w:fldCharType="begin"/>
                          </w:r>
                          <w:r>
                            <w:rPr>
                              <w:sz w:val="24"/>
                              <w:szCs w:val="24"/>
                            </w:rPr>
                            <w:instrText xml:space="preserve"> PAGE  \* MERGEFORMAT </w:instrText>
                          </w:r>
                          <w:r>
                            <w:rPr>
                              <w:sz w:val="24"/>
                              <w:szCs w:val="24"/>
                            </w:rPr>
                            <w:fldChar w:fldCharType="separate"/>
                          </w:r>
                          <w:r>
                            <w:rPr>
                              <w:sz w:val="24"/>
                              <w:szCs w:val="24"/>
                            </w:rPr>
                            <w:t>II</w:t>
                          </w:r>
                          <w:r>
                            <w:rPr>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ETb8uAgAAWQ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CUhE2/LgIAAFkEAAAOAAAAAAAAAAEAIAAAAB8BAABkcnMvZTJvRG9jLnhtbFBLBQYAAAAA&#10;BgAGAFkBAAC/BQAAAAA=&#10;">
              <v:fill on="f" focussize="0,0"/>
              <v:stroke on="f" weight="0.5pt"/>
              <v:imagedata o:title=""/>
              <o:lock v:ext="edit" aspectratio="f"/>
              <v:textbox inset="0mm,0mm,0mm,0mm" style="mso-fit-shape-to-text:t;">
                <w:txbxContent>
                  <w:p w14:paraId="03A18EA3">
                    <w:pPr>
                      <w:pStyle w:val="16"/>
                      <w:ind w:firstLine="0" w:firstLineChars="0"/>
                    </w:pPr>
                    <w:r>
                      <w:rPr>
                        <w:sz w:val="24"/>
                        <w:szCs w:val="24"/>
                      </w:rPr>
                      <w:fldChar w:fldCharType="begin"/>
                    </w:r>
                    <w:r>
                      <w:rPr>
                        <w:sz w:val="24"/>
                        <w:szCs w:val="24"/>
                      </w:rPr>
                      <w:instrText xml:space="preserve"> PAGE  \* MERGEFORMAT </w:instrText>
                    </w:r>
                    <w:r>
                      <w:rPr>
                        <w:sz w:val="24"/>
                        <w:szCs w:val="24"/>
                      </w:rPr>
                      <w:fldChar w:fldCharType="separate"/>
                    </w:r>
                    <w:r>
                      <w:rPr>
                        <w:sz w:val="24"/>
                        <w:szCs w:val="24"/>
                      </w:rPr>
                      <w:t>II</w:t>
                    </w:r>
                    <w:r>
                      <w:rPr>
                        <w:sz w:val="24"/>
                        <w:szCs w:val="24"/>
                      </w:rPr>
                      <w:fldChar w:fldCharType="end"/>
                    </w:r>
                  </w:p>
                </w:txbxContent>
              </v:textbox>
            </v:shape>
          </w:pict>
        </mc:Fallback>
      </mc:AlternateContent>
    </w:r>
    <w:r>
      <mc:AlternateContent>
        <mc:Choice Requires="wps">
          <w:drawing>
            <wp:anchor distT="0" distB="0" distL="114300" distR="114300" simplePos="0" relativeHeight="251677696" behindDoc="0" locked="0" layoutInCell="1" allowOverlap="1">
              <wp:simplePos x="0" y="0"/>
              <wp:positionH relativeFrom="margin">
                <wp:align>outside</wp:align>
              </wp:positionH>
              <wp:positionV relativeFrom="paragraph">
                <wp:posOffset>9525</wp:posOffset>
              </wp:positionV>
              <wp:extent cx="1828800" cy="1828800"/>
              <wp:effectExtent l="0" t="0" r="0" b="0"/>
              <wp:wrapNone/>
              <wp:docPr id="349" name="文本框 10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EF9C10F">
                          <w:pPr>
                            <w:pStyle w:val="16"/>
                            <w:ind w:firstLine="0" w:firstLineChars="0"/>
                            <w:rPr>
                              <w:sz w:val="28"/>
                              <w:szCs w:val="28"/>
                            </w:rPr>
                          </w:pPr>
                        </w:p>
                      </w:txbxContent>
                    </wps:txbx>
                    <wps:bodyPr vert="horz" wrap="none" lIns="0" tIns="0" rIns="0" bIns="0" anchor="t" anchorCtr="0">
                      <a:spAutoFit/>
                    </wps:bodyPr>
                  </wps:wsp>
                </a:graphicData>
              </a:graphic>
            </wp:anchor>
          </w:drawing>
        </mc:Choice>
        <mc:Fallback>
          <w:pict>
            <v:shape id="文本框 1080" o:spid="_x0000_s1026" o:spt="202" type="#_x0000_t202" style="position:absolute;left:0pt;margin-top:0.75pt;height:144pt;width:144pt;mso-position-horizontal:outside;mso-position-horizontal-relative:margin;mso-wrap-style:none;z-index:251677696;mso-width-relative:page;mso-height-relative:page;" filled="f" stroked="f" coordsize="21600,21600" o:gfxdata="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dvRFAtIAAAAGAQAADwAAAAAAAAABACAA&#10;AAAiAAAAZHJzL2Rvd25yZXYueG1sUEsBAhQAFAAAAAgAh07iQGeb4JPaAQAAtwMAAA4AAAAAAAAA&#10;AQAgAAAAIQEAAGRycy9lMm9Eb2MueG1sUEsFBgAAAAAGAAYAWQEAAG0FAAAAAA==&#10;">
              <v:fill on="f" focussize="0,0"/>
              <v:stroke on="f"/>
              <v:imagedata o:title=""/>
              <o:lock v:ext="edit" aspectratio="f"/>
              <v:textbox inset="0mm,0mm,0mm,0mm" style="mso-fit-shape-to-text:t;">
                <w:txbxContent>
                  <w:p w14:paraId="2EF9C10F">
                    <w:pPr>
                      <w:pStyle w:val="16"/>
                      <w:ind w:firstLine="0" w:firstLineChars="0"/>
                      <w:rPr>
                        <w:sz w:val="28"/>
                        <w:szCs w:val="28"/>
                      </w:rPr>
                    </w:pPr>
                  </w:p>
                </w:txbxContent>
              </v:textbox>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A037E">
    <w:pPr>
      <w:pStyle w:val="16"/>
      <w:tabs>
        <w:tab w:val="right" w:pos="8845"/>
        <w:tab w:val="clear" w:pos="4153"/>
      </w:tabs>
      <w:ind w:firstLine="0" w:firstLineChars="0"/>
    </w:pPr>
    <w: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50" name="文本框 10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95B3630">
                          <w:pPr>
                            <w:pStyle w:val="16"/>
                            <w:ind w:firstLine="0" w:firstLineChars="0"/>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9</w:t>
                          </w:r>
                          <w:r>
                            <w:rPr>
                              <w:sz w:val="24"/>
                              <w:szCs w:val="24"/>
                            </w:rPr>
                            <w:fldChar w:fldCharType="end"/>
                          </w:r>
                          <w:r>
                            <w:rPr>
                              <w:sz w:val="24"/>
                              <w:szCs w:val="24"/>
                            </w:rPr>
                            <w:t xml:space="preserve"> —</w:t>
                          </w:r>
                        </w:p>
                      </w:txbxContent>
                    </wps:txbx>
                    <wps:bodyPr vert="horz" wrap="none" lIns="0" tIns="0" rIns="0" bIns="0" anchor="t" anchorCtr="0">
                      <a:spAutoFit/>
                    </wps:bodyPr>
                  </wps:wsp>
                </a:graphicData>
              </a:graphic>
            </wp:anchor>
          </w:drawing>
        </mc:Choice>
        <mc:Fallback>
          <w:pict>
            <v:shape id="文本框 1077"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6pebnPAAAABQEAAA8AAAAAAAAAAQAgAAAA&#10;IgAAAGRycy9kb3ducmV2LnhtbFBLAQIUABQAAAAIAIdO4kA9KS9/2wEAALcDAAAOAAAAAAAAAAEA&#10;IAAAAB4BAABkcnMvZTJvRG9jLnhtbFBLBQYAAAAABgAGAFkBAABrBQAAAAA=&#10;">
              <v:fill on="f" focussize="0,0"/>
              <v:stroke on="f"/>
              <v:imagedata o:title=""/>
              <o:lock v:ext="edit" aspectratio="f"/>
              <v:textbox inset="0mm,0mm,0mm,0mm" style="mso-fit-shape-to-text:t;">
                <w:txbxContent>
                  <w:p w14:paraId="695B3630">
                    <w:pPr>
                      <w:pStyle w:val="16"/>
                      <w:ind w:firstLine="0" w:firstLineChars="0"/>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9</w:t>
                    </w:r>
                    <w:r>
                      <w:rPr>
                        <w:sz w:val="24"/>
                        <w:szCs w:val="24"/>
                      </w:rPr>
                      <w:fldChar w:fldCharType="end"/>
                    </w:r>
                    <w:r>
                      <w:rPr>
                        <w:sz w:val="24"/>
                        <w:szCs w:val="24"/>
                      </w:rPr>
                      <w:t xml:space="preserve"> —</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351"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47953807">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66432;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2yHSHXAAAACQEAAA8AAAAAAAAAAQAgAAAAIgAAAGRycy9kb3ducmV2&#10;LnhtbFBLAQIUABQAAAAIAIdO4kACCTMNNgIAAGQEAAAOAAAAAAAAAAEAIAAAACYBAABkcnMvZTJv&#10;RG9jLnhtbFBLBQYAAAAABgAGAFkBAADOBQAAAAA=&#10;">
              <v:fill on="f" focussize="0,0"/>
              <v:stroke on="f" weight="0.5pt"/>
              <v:imagedata o:title=""/>
              <o:lock v:ext="edit" aspectratio="f"/>
              <v:textbox inset="0mm,0mm,0mm,0mm">
                <w:txbxContent>
                  <w:p w14:paraId="47953807">
                    <w:pPr>
                      <w:ind w:firstLine="0" w:firstLineChars="0"/>
                    </w:pP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5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45A8A24">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znI9rNAIAAGUEAAAOAAAAAAAAAAEAIAAAAB8BAABkcnMvZTJvRG9jLnhtbFBL&#10;BQYAAAAABgAGAFkBAADFBQAAAAA=&#10;">
              <v:fill on="f" focussize="0,0"/>
              <v:stroke on="f" weight="0.5pt"/>
              <v:imagedata o:title=""/>
              <o:lock v:ext="edit" aspectratio="f"/>
              <v:textbox inset="0mm,0mm,0mm,0mm" style="mso-fit-shape-to-text:t;">
                <w:txbxContent>
                  <w:p w14:paraId="345A8A24">
                    <w:pPr>
                      <w:ind w:firstLine="0" w:firstLineChars="0"/>
                    </w:pPr>
                  </w:p>
                </w:txbxContent>
              </v:textbox>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6BE2D5">
    <w:pPr>
      <w:pStyle w:val="16"/>
      <w:tabs>
        <w:tab w:val="left" w:pos="5016"/>
        <w:tab w:val="clear" w:pos="4153"/>
      </w:tabs>
      <w:ind w:firstLine="0" w:firstLineChars="0"/>
    </w:pPr>
    <w: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53" name="文本框 10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2F9B448">
                          <w:pPr>
                            <w:pStyle w:val="16"/>
                            <w:ind w:firstLine="0" w:firstLineChars="0"/>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8</w:t>
                          </w:r>
                          <w:r>
                            <w:rPr>
                              <w:sz w:val="24"/>
                              <w:szCs w:val="24"/>
                            </w:rPr>
                            <w:fldChar w:fldCharType="end"/>
                          </w:r>
                          <w:r>
                            <w:rPr>
                              <w:sz w:val="24"/>
                              <w:szCs w:val="24"/>
                            </w:rPr>
                            <w:t xml:space="preserve"> —</w:t>
                          </w:r>
                        </w:p>
                      </w:txbxContent>
                    </wps:txbx>
                    <wps:bodyPr vert="horz" wrap="none" lIns="0" tIns="0" rIns="0" bIns="0" anchor="t" anchorCtr="0">
                      <a:spAutoFit/>
                    </wps:bodyPr>
                  </wps:wsp>
                </a:graphicData>
              </a:graphic>
            </wp:anchor>
          </w:drawing>
        </mc:Choice>
        <mc:Fallback>
          <w:pict>
            <v:shape id="文本框 1078"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qXm5zwAAAAUBAAAPAAAAAAAAAAEAIAAA&#10;ACIAAABkcnMvZG93bnJldi54bWxQSwECFAAUAAAACACHTuJAjTkIKtwBAAC3AwAADgAAAAAAAAAB&#10;ACAAAAAeAQAAZHJzL2Uyb0RvYy54bWxQSwUGAAAAAAYABgBZAQAAbAUAAAAA&#10;">
              <v:fill on="f" focussize="0,0"/>
              <v:stroke on="f"/>
              <v:imagedata o:title=""/>
              <o:lock v:ext="edit" aspectratio="f"/>
              <v:textbox inset="0mm,0mm,0mm,0mm" style="mso-fit-shape-to-text:t;">
                <w:txbxContent>
                  <w:p w14:paraId="02F9B448">
                    <w:pPr>
                      <w:pStyle w:val="16"/>
                      <w:ind w:firstLine="0" w:firstLineChars="0"/>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8</w:t>
                    </w:r>
                    <w:r>
                      <w:rPr>
                        <w:sz w:val="24"/>
                        <w:szCs w:val="24"/>
                      </w:rPr>
                      <w:fldChar w:fldCharType="end"/>
                    </w:r>
                    <w:r>
                      <w:rPr>
                        <w:sz w:val="24"/>
                        <w:szCs w:val="24"/>
                      </w:rPr>
                      <w:t xml:space="preserve"> —</w:t>
                    </w:r>
                  </w:p>
                </w:txbxContent>
              </v:textbox>
            </v:shape>
          </w:pict>
        </mc:Fallback>
      </mc:AlternateContent>
    </w:r>
    <w:r>
      <w:rPr>
        <w:rFonts w:hint="eastAsia"/>
      </w:rPr>
      <w:tab/>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935D9">
    <w:pPr>
      <w:pStyle w:val="16"/>
      <w:tabs>
        <w:tab w:val="right" w:pos="8845"/>
        <w:tab w:val="clear" w:pos="4153"/>
      </w:tabs>
      <w:ind w:firstLine="0" w:firstLineChars="0"/>
    </w:pPr>
    <w:r>
      <w:rPr>
        <w:rFonts w:hint="eastAsia"/>
      </w:rPr>
      <w:tab/>
    </w:r>
    <w:r>
      <w:rPr>
        <w:rFonts w:hint="eastAsia"/>
      </w:rPr>
      <w:tab/>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8BF6E">
    <w:pPr>
      <w:pStyle w:val="16"/>
      <w:tabs>
        <w:tab w:val="right" w:pos="8845"/>
        <w:tab w:val="clear" w:pos="4153"/>
      </w:tabs>
      <w:ind w:firstLine="0" w:firstLineChars="0"/>
    </w:pPr>
    <w: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55" name="文本框 10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2FC7BF6">
                          <w:pPr>
                            <w:pStyle w:val="16"/>
                            <w:ind w:firstLine="0" w:firstLineChars="0"/>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7</w:t>
                          </w:r>
                          <w:r>
                            <w:rPr>
                              <w:sz w:val="24"/>
                              <w:szCs w:val="24"/>
                            </w:rPr>
                            <w:fldChar w:fldCharType="end"/>
                          </w:r>
                          <w:r>
                            <w:rPr>
                              <w:sz w:val="24"/>
                              <w:szCs w:val="24"/>
                            </w:rPr>
                            <w:t xml:space="preserve"> —</w:t>
                          </w:r>
                        </w:p>
                      </w:txbxContent>
                    </wps:txbx>
                    <wps:bodyPr vert="horz" wrap="none" lIns="0" tIns="0" rIns="0" bIns="0" anchor="t" anchorCtr="0">
                      <a:spAutoFit/>
                    </wps:bodyPr>
                  </wps:wsp>
                </a:graphicData>
              </a:graphic>
            </wp:anchor>
          </w:drawing>
        </mc:Choice>
        <mc:Fallback>
          <w:pict>
            <v:shape id="文本框 1077"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qXm5zwAAAAUBAAAPAAAAAAAAAAEAIAAA&#10;ACIAAABkcnMvZG93bnJldi54bWxQSwECFAAUAAAACACHTuJA3IoeCNwBAAC3AwAADgAAAAAAAAAB&#10;ACAAAAAeAQAAZHJzL2Uyb0RvYy54bWxQSwUGAAAAAAYABgBZAQAAbAUAAAAA&#10;">
              <v:fill on="f" focussize="0,0"/>
              <v:stroke on="f"/>
              <v:imagedata o:title=""/>
              <o:lock v:ext="edit" aspectratio="f"/>
              <v:textbox inset="0mm,0mm,0mm,0mm" style="mso-fit-shape-to-text:t;">
                <w:txbxContent>
                  <w:p w14:paraId="52FC7BF6">
                    <w:pPr>
                      <w:pStyle w:val="16"/>
                      <w:ind w:firstLine="0" w:firstLineChars="0"/>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7</w:t>
                    </w:r>
                    <w:r>
                      <w:rPr>
                        <w:sz w:val="24"/>
                        <w:szCs w:val="24"/>
                      </w:rPr>
                      <w:fldChar w:fldCharType="end"/>
                    </w:r>
                    <w:r>
                      <w:rPr>
                        <w:sz w:val="24"/>
                        <w:szCs w:val="24"/>
                      </w:rPr>
                      <w:t xml:space="preserve"> —</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356"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14223BFB">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64384;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tsh0h1wAAAAkBAAAPAAAAAAAAAAEAIAAAACIAAABkcnMvZG93bnJl&#10;di54bWxQSwECFAAUAAAACACHTuJAT/eahzcCAABkBAAADgAAAAAAAAABACAAAAAmAQAAZHJzL2Uy&#10;b0RvYy54bWxQSwUGAAAAAAYABgBZAQAAzwUAAAAA&#10;">
              <v:fill on="f" focussize="0,0"/>
              <v:stroke on="f" weight="0.5pt"/>
              <v:imagedata o:title=""/>
              <o:lock v:ext="edit" aspectratio="f"/>
              <v:textbox inset="0mm,0mm,0mm,0mm">
                <w:txbxContent>
                  <w:p w14:paraId="14223BFB">
                    <w:pPr>
                      <w:ind w:firstLine="0" w:firstLineChars="0"/>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5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54AEC74">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s39HvNAIAAGUEAAAOAAAAAAAAAAEAIAAAAB8BAABkcnMvZTJvRG9jLnhtbFBL&#10;BQYAAAAABgAGAFkBAADFBQAAAAA=&#10;">
              <v:fill on="f" focussize="0,0"/>
              <v:stroke on="f" weight="0.5pt"/>
              <v:imagedata o:title=""/>
              <o:lock v:ext="edit" aspectratio="f"/>
              <v:textbox inset="0mm,0mm,0mm,0mm" style="mso-fit-shape-to-text:t;">
                <w:txbxContent>
                  <w:p w14:paraId="154AEC74">
                    <w:pPr>
                      <w:ind w:firstLine="0" w:firstLineChars="0"/>
                    </w:pPr>
                  </w:p>
                </w:txbxContent>
              </v:textbox>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B2E83B">
    <w:pPr>
      <w:pStyle w:val="16"/>
      <w:tabs>
        <w:tab w:val="left" w:pos="5016"/>
        <w:tab w:val="clear" w:pos="4153"/>
      </w:tabs>
      <w:ind w:firstLine="0" w:firstLineChars="0"/>
    </w:pPr>
    <w: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58" name="文本框 10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6206647">
                          <w:pPr>
                            <w:pStyle w:val="16"/>
                            <w:ind w:firstLine="0" w:firstLineChars="0"/>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6</w:t>
                          </w:r>
                          <w:r>
                            <w:rPr>
                              <w:sz w:val="24"/>
                              <w:szCs w:val="24"/>
                            </w:rPr>
                            <w:fldChar w:fldCharType="end"/>
                          </w:r>
                          <w:r>
                            <w:rPr>
                              <w:sz w:val="24"/>
                              <w:szCs w:val="24"/>
                            </w:rPr>
                            <w:t xml:space="preserve"> —</w:t>
                          </w:r>
                        </w:p>
                      </w:txbxContent>
                    </wps:txbx>
                    <wps:bodyPr vert="horz" wrap="none" lIns="0" tIns="0" rIns="0" bIns="0" anchor="t" anchorCtr="0">
                      <a:spAutoFit/>
                    </wps:bodyPr>
                  </wps:wsp>
                </a:graphicData>
              </a:graphic>
            </wp:anchor>
          </w:drawing>
        </mc:Choice>
        <mc:Fallback>
          <w:pict>
            <v:shape id="文本框 1078"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6pebnPAAAABQEAAA8AAAAAAAAAAQAgAAAA&#10;IgAAAGRycy9kb3ducmV2LnhtbFBLAQIUABQAAAAIAIdO4kBQXQQE2wEAALcDAAAOAAAAAAAAAAEA&#10;IAAAAB4BAABkcnMvZTJvRG9jLnhtbFBLBQYAAAAABgAGAFkBAABrBQAAAAA=&#10;">
              <v:fill on="f" focussize="0,0"/>
              <v:stroke on="f"/>
              <v:imagedata o:title=""/>
              <o:lock v:ext="edit" aspectratio="f"/>
              <v:textbox inset="0mm,0mm,0mm,0mm" style="mso-fit-shape-to-text:t;">
                <w:txbxContent>
                  <w:p w14:paraId="06206647">
                    <w:pPr>
                      <w:pStyle w:val="16"/>
                      <w:ind w:firstLine="0" w:firstLineChars="0"/>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6</w:t>
                    </w:r>
                    <w:r>
                      <w:rPr>
                        <w:sz w:val="24"/>
                        <w:szCs w:val="24"/>
                      </w:rPr>
                      <w:fldChar w:fldCharType="end"/>
                    </w:r>
                    <w:r>
                      <w:rPr>
                        <w:sz w:val="24"/>
                        <w:szCs w:val="24"/>
                      </w:rPr>
                      <w:t xml:space="preserve"> —</w:t>
                    </w:r>
                  </w:p>
                </w:txbxContent>
              </v:textbox>
            </v:shape>
          </w:pict>
        </mc:Fallback>
      </mc:AlternateContent>
    </w:r>
    <w:r>
      <w:rPr>
        <w:rFonts w:hint="eastAsia"/>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86090">
    <w:pPr>
      <w:pStyle w:val="16"/>
      <w:tabs>
        <w:tab w:val="right" w:pos="8845"/>
        <w:tab w:val="clear" w:pos="4153"/>
      </w:tabs>
      <w:ind w:firstLine="0" w:firstLineChars="0"/>
    </w:pPr>
    <w:r>
      <mc:AlternateContent>
        <mc:Choice Requires="wps">
          <w:drawing>
            <wp:anchor distT="0" distB="0" distL="114300" distR="114300" simplePos="0" relativeHeight="2516766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30C4BC">
                          <w:pPr>
                            <w:pStyle w:val="16"/>
                            <w:ind w:firstLine="0" w:firstLineChars="0"/>
                          </w:pPr>
                          <w:r>
                            <w:rPr>
                              <w:sz w:val="24"/>
                              <w:szCs w:val="24"/>
                            </w:rPr>
                            <w:fldChar w:fldCharType="begin"/>
                          </w:r>
                          <w:r>
                            <w:rPr>
                              <w:sz w:val="24"/>
                              <w:szCs w:val="24"/>
                            </w:rPr>
                            <w:instrText xml:space="preserve"> PAGE  \* MERGEFORMAT </w:instrText>
                          </w:r>
                          <w:r>
                            <w:rPr>
                              <w:sz w:val="24"/>
                              <w:szCs w:val="24"/>
                            </w:rPr>
                            <w:fldChar w:fldCharType="separate"/>
                          </w:r>
                          <w:r>
                            <w:rPr>
                              <w:sz w:val="24"/>
                              <w:szCs w:val="24"/>
                            </w:rPr>
                            <w:t>III</w:t>
                          </w:r>
                          <w:r>
                            <w:rPr>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gzF+A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Wx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IMxfgKwIAAFcEAAAOAAAAAAAAAAEAIAAAAB8BAABkcnMvZTJvRG9jLnhtbFBLBQYAAAAABgAG&#10;AFkBAAC8BQAAAAA=&#10;">
              <v:fill on="f" focussize="0,0"/>
              <v:stroke on="f" weight="0.5pt"/>
              <v:imagedata o:title=""/>
              <o:lock v:ext="edit" aspectratio="f"/>
              <v:textbox inset="0mm,0mm,0mm,0mm" style="mso-fit-shape-to-text:t;">
                <w:txbxContent>
                  <w:p w14:paraId="3D30C4BC">
                    <w:pPr>
                      <w:pStyle w:val="16"/>
                      <w:ind w:firstLine="0" w:firstLineChars="0"/>
                    </w:pPr>
                    <w:r>
                      <w:rPr>
                        <w:sz w:val="24"/>
                        <w:szCs w:val="24"/>
                      </w:rPr>
                      <w:fldChar w:fldCharType="begin"/>
                    </w:r>
                    <w:r>
                      <w:rPr>
                        <w:sz w:val="24"/>
                        <w:szCs w:val="24"/>
                      </w:rPr>
                      <w:instrText xml:space="preserve"> PAGE  \* MERGEFORMAT </w:instrText>
                    </w:r>
                    <w:r>
                      <w:rPr>
                        <w:sz w:val="24"/>
                        <w:szCs w:val="24"/>
                      </w:rPr>
                      <w:fldChar w:fldCharType="separate"/>
                    </w:r>
                    <w:r>
                      <w:rPr>
                        <w:sz w:val="24"/>
                        <w:szCs w:val="24"/>
                      </w:rPr>
                      <w:t>III</w:t>
                    </w:r>
                    <w:r>
                      <w:rPr>
                        <w:sz w:val="24"/>
                        <w:szCs w:val="24"/>
                      </w:rPr>
                      <w:fldChar w:fldCharType="end"/>
                    </w: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margin">
                <wp:posOffset>5495925</wp:posOffset>
              </wp:positionH>
              <wp:positionV relativeFrom="paragraph">
                <wp:posOffset>-38100</wp:posOffset>
              </wp:positionV>
              <wp:extent cx="1828800" cy="1828800"/>
              <wp:effectExtent l="0" t="0" r="0" b="0"/>
              <wp:wrapNone/>
              <wp:docPr id="82" name="文本框 10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AC7AFAF">
                          <w:pPr>
                            <w:pStyle w:val="16"/>
                            <w:ind w:firstLine="0" w:firstLineChars="0"/>
                          </w:pPr>
                        </w:p>
                      </w:txbxContent>
                    </wps:txbx>
                    <wps:bodyPr vert="horz" wrap="none" lIns="0" tIns="0" rIns="0" bIns="0" anchor="t" anchorCtr="0">
                      <a:spAutoFit/>
                    </wps:bodyPr>
                  </wps:wsp>
                </a:graphicData>
              </a:graphic>
            </wp:anchor>
          </w:drawing>
        </mc:Choice>
        <mc:Fallback>
          <w:pict>
            <v:shape id="文本框 1079" o:spid="_x0000_s1026" o:spt="202" type="#_x0000_t202" style="position:absolute;left:0pt;margin-left:432.75pt;margin-top:-3pt;height:144pt;width:144pt;mso-position-horizontal-relative:margin;mso-wrap-style:none;z-index:251675648;mso-width-relative:page;mso-height-relative:page;" filled="f" stroked="f" coordsize="21600,21600" o:gfxdata="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1PVx+1wAAAAsBAAAPAAAAAAAA&#10;AAEAIAAAACIAAABkcnMvZG93bnJldi54bWxQSwECFAAUAAAACACHTuJAWyHwD9oBAAC2AwAADgAA&#10;AAAAAAABACAAAAAmAQAAZHJzL2Uyb0RvYy54bWxQSwUGAAAAAAYABgBZAQAAcgUAAAAA&#10;">
              <v:fill on="f" focussize="0,0"/>
              <v:stroke on="f"/>
              <v:imagedata o:title=""/>
              <o:lock v:ext="edit" aspectratio="f"/>
              <v:textbox inset="0mm,0mm,0mm,0mm" style="mso-fit-shape-to-text:t;">
                <w:txbxContent>
                  <w:p w14:paraId="0AC7AFAF">
                    <w:pPr>
                      <w:pStyle w:val="16"/>
                      <w:ind w:firstLine="0" w:firstLineChars="0"/>
                    </w:pP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83"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48FA0B67">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74624;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2yHSHXAAAACQEAAA8AAAAAAAAAAQAgAAAAIgAAAGRycy9kb3ducmV2&#10;LnhtbFBLAQIUABQAAAAIAIdO4kBuM5mhNgIAAGMEAAAOAAAAAAAAAAEAIAAAACYBAABkcnMvZTJv&#10;RG9jLnhtbFBLBQYAAAAABgAGAFkBAADOBQAAAAA=&#10;">
              <v:fill on="f" focussize="0,0"/>
              <v:stroke on="f" weight="0.5pt"/>
              <v:imagedata o:title=""/>
              <o:lock v:ext="edit" aspectratio="f"/>
              <v:textbox inset="0mm,0mm,0mm,0mm">
                <w:txbxContent>
                  <w:p w14:paraId="48FA0B67">
                    <w:pPr>
                      <w:ind w:firstLine="0" w:firstLineChars="0"/>
                    </w:pP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EF23300">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wFE8gzAgAAZA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wFE8gzAgAAZAQAAA4AAAAAAAAAAQAgAAAAHwEAAGRycy9lMm9Eb2MueG1sUEsF&#10;BgAAAAAGAAYAWQEAAMQFAAAAAA==&#10;">
              <v:fill on="f" focussize="0,0"/>
              <v:stroke on="f" weight="0.5pt"/>
              <v:imagedata o:title=""/>
              <o:lock v:ext="edit" aspectratio="f"/>
              <v:textbox inset="0mm,0mm,0mm,0mm" style="mso-fit-shape-to-text:t;">
                <w:txbxContent>
                  <w:p w14:paraId="1EF23300">
                    <w:pPr>
                      <w:ind w:firstLine="0" w:firstLineChars="0"/>
                    </w:pPr>
                  </w:p>
                </w:txbxContent>
              </v:textbox>
            </v:shape>
          </w:pict>
        </mc:Fallback>
      </mc:AlternateContent>
    </w:r>
    <w:r>
      <w:rPr>
        <w:rFonts w:hint="eastAsia"/>
      </w:rPr>
      <w:tab/>
    </w:r>
    <w:r>
      <w:rPr>
        <w:rFonts w:hint="eastAsia"/>
      </w:rPr>
      <w:tab/>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8907D">
    <w:pPr>
      <w:pStyle w:val="16"/>
      <w:tabs>
        <w:tab w:val="right" w:pos="8845"/>
        <w:tab w:val="clear" w:pos="4153"/>
      </w:tabs>
      <w:ind w:firstLine="0" w:firstLineChars="0"/>
    </w:pPr>
    <w:r>
      <mc:AlternateContent>
        <mc:Choice Requires="wps">
          <w:drawing>
            <wp:anchor distT="0" distB="0" distL="114300" distR="114300" simplePos="0" relativeHeight="251664384"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359"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10C2B7C2">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64384;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tsh0h1wAAAAkBAAAPAAAAAAAAAAEAIAAAACIAAABkcnMvZG93bnJl&#10;di54bWxQSwECFAAUAAAACACHTuJAO/LtfDcCAABkBAAADgAAAAAAAAABACAAAAAmAQAAZHJzL2Uy&#10;b0RvYy54bWxQSwUGAAAAAAYABgBZAQAAzwUAAAAA&#10;">
              <v:fill on="f" focussize="0,0"/>
              <v:stroke on="f" weight="0.5pt"/>
              <v:imagedata o:title=""/>
              <o:lock v:ext="edit" aspectratio="f"/>
              <v:textbox inset="0mm,0mm,0mm,0mm">
                <w:txbxContent>
                  <w:p w14:paraId="10C2B7C2">
                    <w:pPr>
                      <w:ind w:firstLine="0" w:firstLineChars="0"/>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6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8DC8823">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3EkeozAgAAZQQAAA4AAAAAAAAAAQAgAAAAHwEAAGRycy9lMm9Eb2MueG1sUEsF&#10;BgAAAAAGAAYAWQEAAMQFAAAAAA==&#10;">
              <v:fill on="f" focussize="0,0"/>
              <v:stroke on="f" weight="0.5pt"/>
              <v:imagedata o:title=""/>
              <o:lock v:ext="edit" aspectratio="f"/>
              <v:textbox inset="0mm,0mm,0mm,0mm" style="mso-fit-shape-to-text:t;">
                <w:txbxContent>
                  <w:p w14:paraId="68DC8823">
                    <w:pPr>
                      <w:ind w:firstLine="0" w:firstLineChars="0"/>
                    </w:pPr>
                  </w:p>
                </w:txbxContent>
              </v:textbox>
            </v:shape>
          </w:pict>
        </mc:Fallback>
      </mc:AlternateContent>
    </w:r>
    <w:r>
      <w:rPr>
        <w:rFonts w:hint="eastAsia"/>
      </w:rPr>
      <w:tab/>
    </w:r>
    <w:r>
      <w:rPr>
        <w:rFonts w:hint="eastAsia"/>
      </w:rPr>
      <w:tab/>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C42A3">
    <w:pPr>
      <w:pStyle w:val="16"/>
      <w:tabs>
        <w:tab w:val="right" w:pos="8845"/>
        <w:tab w:val="clear" w:pos="4153"/>
      </w:tabs>
      <w:ind w:firstLine="0" w:firstLineChars="0"/>
    </w:pPr>
    <w: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65" name="文本框 10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95F3F56">
                          <w:pPr>
                            <w:pStyle w:val="16"/>
                            <w:ind w:firstLine="0" w:firstLineChars="0"/>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17</w:t>
                          </w:r>
                          <w:r>
                            <w:rPr>
                              <w:sz w:val="24"/>
                              <w:szCs w:val="24"/>
                            </w:rPr>
                            <w:fldChar w:fldCharType="end"/>
                          </w:r>
                          <w:r>
                            <w:rPr>
                              <w:sz w:val="24"/>
                              <w:szCs w:val="24"/>
                            </w:rPr>
                            <w:t xml:space="preserve"> —</w:t>
                          </w:r>
                        </w:p>
                      </w:txbxContent>
                    </wps:txbx>
                    <wps:bodyPr vert="horz" wrap="none" lIns="0" tIns="0" rIns="0" bIns="0" anchor="t" anchorCtr="0">
                      <a:spAutoFit/>
                    </wps:bodyPr>
                  </wps:wsp>
                </a:graphicData>
              </a:graphic>
            </wp:anchor>
          </w:drawing>
        </mc:Choice>
        <mc:Fallback>
          <w:pict>
            <v:shape id="文本框 1077"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qXm5zwAAAAUBAAAPAAAAAAAAAAEAIAAA&#10;ACIAAABkcnMvZG93bnJldi54bWxQSwECFAAUAAAACACHTuJA5ys3RdwBAAC3AwAADgAAAAAAAAAB&#10;ACAAAAAeAQAAZHJzL2Uyb0RvYy54bWxQSwUGAAAAAAYABgBZAQAAbAUAAAAA&#10;">
              <v:fill on="f" focussize="0,0"/>
              <v:stroke on="f"/>
              <v:imagedata o:title=""/>
              <o:lock v:ext="edit" aspectratio="f"/>
              <v:textbox inset="0mm,0mm,0mm,0mm" style="mso-fit-shape-to-text:t;">
                <w:txbxContent>
                  <w:p w14:paraId="395F3F56">
                    <w:pPr>
                      <w:pStyle w:val="16"/>
                      <w:ind w:firstLine="0" w:firstLineChars="0"/>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17</w:t>
                    </w:r>
                    <w:r>
                      <w:rPr>
                        <w:sz w:val="24"/>
                        <w:szCs w:val="24"/>
                      </w:rPr>
                      <w:fldChar w:fldCharType="end"/>
                    </w:r>
                    <w:r>
                      <w:rPr>
                        <w:sz w:val="24"/>
                        <w:szCs w:val="24"/>
                      </w:rPr>
                      <w:t xml:space="preserve"> —</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366"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0D575A5A">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66432;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tsh0h1wAAAAkBAAAPAAAAAAAAAAEAIAAAACIAAABkcnMvZG93bnJl&#10;di54bWxQSwECFAAUAAAACACHTuJAxct/TTcCAABkBAAADgAAAAAAAAABACAAAAAmAQAAZHJzL2Uy&#10;b0RvYy54bWxQSwUGAAAAAAYABgBZAQAAzwUAAAAA&#10;">
              <v:fill on="f" focussize="0,0"/>
              <v:stroke on="f" weight="0.5pt"/>
              <v:imagedata o:title=""/>
              <o:lock v:ext="edit" aspectratio="f"/>
              <v:textbox inset="0mm,0mm,0mm,0mm">
                <w:txbxContent>
                  <w:p w14:paraId="0D575A5A">
                    <w:pPr>
                      <w:ind w:firstLine="0" w:firstLineChars="0"/>
                    </w:pP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6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F8D0FD5">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uUHbiNAIAAGUEAAAOAAAAAAAAAAEAIAAAAB8BAABkcnMvZTJvRG9jLnhtbFBL&#10;BQYAAAAABgAGAFkBAADFBQAAAAA=&#10;">
              <v:fill on="f" focussize="0,0"/>
              <v:stroke on="f" weight="0.5pt"/>
              <v:imagedata o:title=""/>
              <o:lock v:ext="edit" aspectratio="f"/>
              <v:textbox inset="0mm,0mm,0mm,0mm" style="mso-fit-shape-to-text:t;">
                <w:txbxContent>
                  <w:p w14:paraId="2F8D0FD5">
                    <w:pPr>
                      <w:ind w:firstLine="0" w:firstLineChars="0"/>
                    </w:pPr>
                  </w:p>
                </w:txbxContent>
              </v:textbox>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BC79A">
    <w:pPr>
      <w:pStyle w:val="16"/>
      <w:tabs>
        <w:tab w:val="left" w:pos="5016"/>
        <w:tab w:val="clear" w:pos="4153"/>
      </w:tabs>
      <w:ind w:firstLine="0" w:firstLineChars="0"/>
    </w:pPr>
    <w: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68" name="文本框 10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6FE099F">
                          <w:pPr>
                            <w:pStyle w:val="16"/>
                            <w:ind w:firstLine="0" w:firstLineChars="0"/>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18</w:t>
                          </w:r>
                          <w:r>
                            <w:rPr>
                              <w:sz w:val="24"/>
                              <w:szCs w:val="24"/>
                            </w:rPr>
                            <w:fldChar w:fldCharType="end"/>
                          </w:r>
                          <w:r>
                            <w:rPr>
                              <w:sz w:val="24"/>
                              <w:szCs w:val="24"/>
                            </w:rPr>
                            <w:t xml:space="preserve"> —</w:t>
                          </w:r>
                        </w:p>
                      </w:txbxContent>
                    </wps:txbx>
                    <wps:bodyPr vert="horz" wrap="none" lIns="0" tIns="0" rIns="0" bIns="0" anchor="t" anchorCtr="0">
                      <a:spAutoFit/>
                    </wps:bodyPr>
                  </wps:wsp>
                </a:graphicData>
              </a:graphic>
            </wp:anchor>
          </w:drawing>
        </mc:Choice>
        <mc:Fallback>
          <w:pict>
            <v:shape id="文本框 1078"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6pebnPAAAABQEAAA8AAAAAAAAAAQAgAAAA&#10;IgAAAGRycy9kb3ducmV2LnhtbFBLAQIUABQAAAAIAIdO4kBr/C1J2wEAALcDAAAOAAAAAAAAAAEA&#10;IAAAAB4BAABkcnMvZTJvRG9jLnhtbFBLBQYAAAAABgAGAFkBAABrBQAAAAA=&#10;">
              <v:fill on="f" focussize="0,0"/>
              <v:stroke on="f"/>
              <v:imagedata o:title=""/>
              <o:lock v:ext="edit" aspectratio="f"/>
              <v:textbox inset="0mm,0mm,0mm,0mm" style="mso-fit-shape-to-text:t;">
                <w:txbxContent>
                  <w:p w14:paraId="56FE099F">
                    <w:pPr>
                      <w:pStyle w:val="16"/>
                      <w:ind w:firstLine="0" w:firstLineChars="0"/>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18</w:t>
                    </w:r>
                    <w:r>
                      <w:rPr>
                        <w:sz w:val="24"/>
                        <w:szCs w:val="24"/>
                      </w:rPr>
                      <w:fldChar w:fldCharType="end"/>
                    </w:r>
                    <w:r>
                      <w:rPr>
                        <w:sz w:val="24"/>
                        <w:szCs w:val="24"/>
                      </w:rPr>
                      <w:t xml:space="preserve"> —</w:t>
                    </w:r>
                  </w:p>
                </w:txbxContent>
              </v:textbox>
            </v:shape>
          </w:pict>
        </mc:Fallback>
      </mc:AlternateContent>
    </w:r>
    <w:r>
      <w:rPr>
        <w:rFonts w:hint="eastAsia"/>
      </w:rPr>
      <w:tab/>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D9D8C">
    <w:pPr>
      <w:pStyle w:val="16"/>
      <w:tabs>
        <w:tab w:val="right" w:pos="8845"/>
        <w:tab w:val="clear" w:pos="4153"/>
      </w:tabs>
      <w:ind w:firstLine="0" w:firstLineChars="0"/>
    </w:pPr>
    <w:r>
      <w:rPr>
        <w:sz w:val="18"/>
      </w:rPr>
      <mc:AlternateContent>
        <mc:Choice Requires="wps">
          <w:drawing>
            <wp:anchor distT="0" distB="0" distL="114300" distR="114300" simplePos="0" relativeHeight="251664384"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370"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76AABACF">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64384;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tsh0h1wAAAAkBAAAPAAAAAAAAAAEAIAAAACIAAABkcnMvZG93bnJl&#10;di54bWxQSwECFAAUAAAACACHTuJAoSHftDcCAABkBAAADgAAAAAAAAABACAAAAAmAQAAZHJzL2Uy&#10;b0RvYy54bWxQSwUGAAAAAAYABgBZAQAAzwUAAAAA&#10;">
              <v:fill on="f" focussize="0,0"/>
              <v:stroke on="f" weight="0.5pt"/>
              <v:imagedata o:title=""/>
              <o:lock v:ext="edit" aspectratio="f"/>
              <v:textbox inset="0mm,0mm,0mm,0mm">
                <w:txbxContent>
                  <w:p w14:paraId="76AABACF">
                    <w:pPr>
                      <w:ind w:firstLine="0" w:firstLineChars="0"/>
                    </w:pPr>
                  </w:p>
                </w:txbxContent>
              </v:textbox>
            </v:shape>
          </w:pict>
        </mc:Fallback>
      </mc:AlternateContent>
    </w: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7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E2C16B1">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VVUKgzAgAAZQQAAA4AAAAAAAAAAQAgAAAAHwEAAGRycy9lMm9Eb2MueG1sUEsF&#10;BgAAAAAGAAYAWQEAAMQFAAAAAA==&#10;">
              <v:fill on="f" focussize="0,0"/>
              <v:stroke on="f" weight="0.5pt"/>
              <v:imagedata o:title=""/>
              <o:lock v:ext="edit" aspectratio="f"/>
              <v:textbox inset="0mm,0mm,0mm,0mm" style="mso-fit-shape-to-text:t;">
                <w:txbxContent>
                  <w:p w14:paraId="3E2C16B1">
                    <w:pPr>
                      <w:ind w:firstLine="0" w:firstLineChars="0"/>
                    </w:pPr>
                  </w:p>
                </w:txbxContent>
              </v:textbox>
            </v:shape>
          </w:pict>
        </mc:Fallback>
      </mc:AlternateContent>
    </w:r>
    <w:r>
      <w:rPr>
        <w:rFonts w:hint="eastAsia"/>
      </w:rPr>
      <w:tab/>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EF021">
    <w:pPr>
      <w:pStyle w:val="16"/>
      <w:ind w:firstLine="0" w:firstLineChars="0"/>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72" name="文本框 3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9CABC8">
                          <w:pPr>
                            <w:pStyle w:val="16"/>
                            <w:ind w:firstLine="0" w:firstLineChars="0"/>
                            <w:rPr>
                              <w:rFonts w:eastAsia="仿宋"/>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r1EkuAgAAWQ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Cb69RJLgIAAFkEAAAOAAAAAAAAAAEAIAAAAB8BAABkcnMvZTJvRG9jLnhtbFBLBQYAAAAA&#10;BgAGAFkBAAC/BQAAAAA=&#10;">
              <v:fill on="f" focussize="0,0"/>
              <v:stroke on="f" weight="0.5pt"/>
              <v:imagedata o:title=""/>
              <o:lock v:ext="edit" aspectratio="f"/>
              <v:textbox inset="0mm,0mm,0mm,0mm" style="mso-fit-shape-to-text:t;">
                <w:txbxContent>
                  <w:p w14:paraId="649CABC8">
                    <w:pPr>
                      <w:pStyle w:val="16"/>
                      <w:ind w:firstLine="0" w:firstLineChars="0"/>
                      <w:rPr>
                        <w:rFonts w:eastAsia="仿宋"/>
                        <w:szCs w:val="28"/>
                      </w:rPr>
                    </w:pPr>
                  </w:p>
                </w:txbxContent>
              </v:textbox>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308B3">
    <w:pPr>
      <w:pStyle w:val="16"/>
      <w:tabs>
        <w:tab w:val="right" w:pos="8845"/>
        <w:tab w:val="clear" w:pos="4153"/>
      </w:tabs>
      <w:ind w:firstLine="0" w:firstLineChars="0"/>
    </w:pPr>
    <w:r>
      <w:rPr>
        <w:sz w:val="18"/>
      </w:rPr>
      <mc:AlternateContent>
        <mc:Choice Requires="wps">
          <w:drawing>
            <wp:anchor distT="0" distB="0" distL="114300" distR="114300" simplePos="0" relativeHeight="2516746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73" name="文本框 3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A562BD">
                          <w:pPr>
                            <w:pStyle w:val="16"/>
                            <w:ind w:firstLine="0" w:firstLineChars="0"/>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1tPgULgIAAFkEAAAOAAAAAAAAAAEAIAAAAB8BAABkcnMvZTJvRG9jLnhtbFBLBQYAAAAA&#10;BgAGAFkBAAC/BQAAAAA=&#10;">
              <v:fill on="f" focussize="0,0"/>
              <v:stroke on="f" weight="0.5pt"/>
              <v:imagedata o:title=""/>
              <o:lock v:ext="edit" aspectratio="f"/>
              <v:textbox inset="0mm,0mm,0mm,0mm" style="mso-fit-shape-to-text:t;">
                <w:txbxContent>
                  <w:p w14:paraId="26A562BD">
                    <w:pPr>
                      <w:pStyle w:val="16"/>
                      <w:ind w:firstLine="0" w:firstLineChars="0"/>
                    </w:pPr>
                    <w:r>
                      <w:fldChar w:fldCharType="begin"/>
                    </w:r>
                    <w:r>
                      <w:instrText xml:space="preserve"> PAGE  \* MERGEFORMAT </w:instrText>
                    </w:r>
                    <w:r>
                      <w:fldChar w:fldCharType="separate"/>
                    </w:r>
                    <w:r>
                      <w:t>I</w:t>
                    </w:r>
                    <w:r>
                      <w:fldChar w:fldCharType="end"/>
                    </w:r>
                  </w:p>
                </w:txbxContent>
              </v:textbox>
            </v:shape>
          </w:pict>
        </mc:Fallback>
      </mc:AlternateContent>
    </w:r>
    <w:r>
      <w:rPr>
        <w:sz w:val="18"/>
      </w:rPr>
      <mc:AlternateContent>
        <mc:Choice Requires="wps">
          <w:drawing>
            <wp:anchor distT="0" distB="0" distL="114300" distR="114300" simplePos="0" relativeHeight="251670528"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374"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766D39E3">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70528;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tsh0h1wAAAAkBAAAPAAAAAAAAAAEAIAAAACIAAABkcnMvZG93bnJl&#10;di54bWxQSwECFAAUAAAACACHTuJAHd+IYTcCAABkBAAADgAAAAAAAAABACAAAAAmAQAAZHJzL2Uy&#10;b0RvYy54bWxQSwUGAAAAAAYABgBZAQAAzwUAAAAA&#10;">
              <v:fill on="f" focussize="0,0"/>
              <v:stroke on="f" weight="0.5pt"/>
              <v:imagedata o:title=""/>
              <o:lock v:ext="edit" aspectratio="f"/>
              <v:textbox inset="0mm,0mm,0mm,0mm">
                <w:txbxContent>
                  <w:p w14:paraId="766D39E3">
                    <w:pPr>
                      <w:ind w:firstLine="0" w:firstLineChars="0"/>
                    </w:pPr>
                  </w:p>
                </w:txbxContent>
              </v:textbox>
            </v:shape>
          </w:pict>
        </mc:Fallback>
      </mc:AlternateContent>
    </w:r>
    <w:r>
      <w:rPr>
        <w:sz w:val="18"/>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7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36CCADC">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c/VJqNAIAAGUEAAAOAAAAAAAAAAEAIAAAAB8BAABkcnMvZTJvRG9jLnhtbFBL&#10;BQYAAAAABgAGAFkBAADFBQAAAAA=&#10;">
              <v:fill on="f" focussize="0,0"/>
              <v:stroke on="f" weight="0.5pt"/>
              <v:imagedata o:title=""/>
              <o:lock v:ext="edit" aspectratio="f"/>
              <v:textbox inset="0mm,0mm,0mm,0mm" style="mso-fit-shape-to-text:t;">
                <w:txbxContent>
                  <w:p w14:paraId="336CCADC">
                    <w:pPr>
                      <w:ind w:firstLine="0" w:firstLineChars="0"/>
                    </w:pPr>
                  </w:p>
                </w:txbxContent>
              </v:textbox>
            </v:shape>
          </w:pict>
        </mc:Fallback>
      </mc:AlternateContent>
    </w:r>
    <w:r>
      <w:rPr>
        <w:rFonts w:hint="eastAsia"/>
      </w:rPr>
      <w:tab/>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5670E">
    <w:pPr>
      <w:pStyle w:val="16"/>
      <w:ind w:firstLine="0" w:firstLineChars="0"/>
    </w:pPr>
    <w:r>
      <w:rPr>
        <w:sz w:val="18"/>
      </w:rPr>
      <mc:AlternateContent>
        <mc:Choice Requires="wps">
          <w:drawing>
            <wp:anchor distT="0" distB="0" distL="114300" distR="114300" simplePos="0" relativeHeight="2516756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76" name="文本框 3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CD779C">
                          <w:pPr>
                            <w:pStyle w:val="16"/>
                            <w:ind w:firstLine="0" w:firstLineChars="0"/>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SFOYuAgAAWQQAAA4AAABkcnMvZTJvRG9jLnhtbK1UzY7TMBC+I/EO&#10;lu80aVeUqm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ikhTmLgIAAFkEAAAOAAAAAAAAAAEAIAAAAB8BAABkcnMvZTJvRG9jLnhtbFBLBQYAAAAA&#10;BgAGAFkBAAC/BQAAAAA=&#10;">
              <v:fill on="f" focussize="0,0"/>
              <v:stroke on="f" weight="0.5pt"/>
              <v:imagedata o:title=""/>
              <o:lock v:ext="edit" aspectratio="f"/>
              <v:textbox inset="0mm,0mm,0mm,0mm" style="mso-fit-shape-to-text:t;">
                <w:txbxContent>
                  <w:p w14:paraId="58CD779C">
                    <w:pPr>
                      <w:pStyle w:val="16"/>
                      <w:ind w:firstLine="0" w:firstLineChars="0"/>
                    </w:pPr>
                    <w:r>
                      <w:fldChar w:fldCharType="begin"/>
                    </w:r>
                    <w:r>
                      <w:instrText xml:space="preserve"> PAGE  \* MERGEFORMAT </w:instrText>
                    </w:r>
                    <w:r>
                      <w:fldChar w:fldCharType="separate"/>
                    </w:r>
                    <w:r>
                      <w:t>II</w:t>
                    </w:r>
                    <w:r>
                      <w:fldChar w:fldCharType="end"/>
                    </w:r>
                  </w:p>
                </w:txbxContent>
              </v:textbox>
            </v:shape>
          </w:pict>
        </mc:Fallback>
      </mc:AlternateContent>
    </w:r>
    <w:r>
      <w:rPr>
        <w:sz w:val="18"/>
      </w:rP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77" name="文本框 3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4802D2">
                          <w:pPr>
                            <w:pStyle w:val="16"/>
                            <w:ind w:firstLine="0" w:firstLineChars="0"/>
                            <w:rPr>
                              <w:rFonts w:eastAsia="仿宋"/>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SVju0AAAAAUBAAAPAAAAAAAAAAEAIAAAACIAAABkcnMvZG93bnJldi54bWxQSwECFAAUAAAA&#10;CACHTuJAjM04uy8CAABZBAAADgAAAAAAAAABACAAAAAfAQAAZHJzL2Uyb0RvYy54bWxQSwUGAAAA&#10;AAYABgBZAQAAwAUAAAAA&#10;">
              <v:fill on="f" focussize="0,0"/>
              <v:stroke on="f" weight="0.5pt"/>
              <v:imagedata o:title=""/>
              <o:lock v:ext="edit" aspectratio="f"/>
              <v:textbox inset="0mm,0mm,0mm,0mm" style="mso-fit-shape-to-text:t;">
                <w:txbxContent>
                  <w:p w14:paraId="5F4802D2">
                    <w:pPr>
                      <w:pStyle w:val="16"/>
                      <w:ind w:firstLine="0" w:firstLineChars="0"/>
                      <w:rPr>
                        <w:rFonts w:eastAsia="仿宋"/>
                        <w:szCs w:val="28"/>
                      </w:rPr>
                    </w:pPr>
                  </w:p>
                </w:txbxContent>
              </v:textbox>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3123FE">
    <w:pPr>
      <w:pStyle w:val="16"/>
      <w:tabs>
        <w:tab w:val="right" w:pos="8845"/>
        <w:tab w:val="clear" w:pos="4153"/>
      </w:tabs>
      <w:ind w:firstLine="0" w:firstLineChars="0"/>
    </w:pPr>
    <w:r>
      <w:rPr>
        <w:sz w:val="18"/>
      </w:rPr>
      <mc:AlternateContent>
        <mc:Choice Requires="wps">
          <w:drawing>
            <wp:anchor distT="0" distB="0" distL="114300" distR="114300" simplePos="0" relativeHeight="2516725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81" name="文本框 3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303CD5">
                          <w:pPr>
                            <w:pStyle w:val="16"/>
                            <w:ind w:firstLine="0" w:firstLineChars="0"/>
                          </w:pPr>
                          <w:r>
                            <w:rPr>
                              <w:rFonts w:hint="eastAsia"/>
                            </w:rPr>
                            <w:t xml:space="preserve">- </w:t>
                          </w:r>
                          <w:r>
                            <w:fldChar w:fldCharType="begin"/>
                          </w:r>
                          <w:r>
                            <w:instrText xml:space="preserve"> PAGE  \* MERGEFORMAT </w:instrText>
                          </w:r>
                          <w:r>
                            <w:fldChar w:fldCharType="separate"/>
                          </w:r>
                          <w:r>
                            <w:t>13</w:t>
                          </w:r>
                          <w:r>
                            <w:fldChar w:fldCharType="end"/>
                          </w:r>
                          <w:r>
                            <w:rPr>
                              <w:rFonts w:hint="eastAsia"/>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3svAtAgAAWQ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u3svAtAgAAWQQAAA4AAAAAAAAAAQAgAAAAHwEAAGRycy9lMm9Eb2MueG1sUEsFBgAAAAAG&#10;AAYAWQEAAL4FAAAAAA==&#10;">
              <v:fill on="f" focussize="0,0"/>
              <v:stroke on="f" weight="0.5pt"/>
              <v:imagedata o:title=""/>
              <o:lock v:ext="edit" aspectratio="f"/>
              <v:textbox inset="0mm,0mm,0mm,0mm" style="mso-fit-shape-to-text:t;">
                <w:txbxContent>
                  <w:p w14:paraId="5D303CD5">
                    <w:pPr>
                      <w:pStyle w:val="16"/>
                      <w:ind w:firstLine="0" w:firstLineChars="0"/>
                    </w:pPr>
                    <w:r>
                      <w:rPr>
                        <w:rFonts w:hint="eastAsia"/>
                      </w:rPr>
                      <w:t xml:space="preserve">- </w:t>
                    </w:r>
                    <w:r>
                      <w:fldChar w:fldCharType="begin"/>
                    </w:r>
                    <w:r>
                      <w:instrText xml:space="preserve"> PAGE  \* MERGEFORMAT </w:instrText>
                    </w:r>
                    <w:r>
                      <w:fldChar w:fldCharType="separate"/>
                    </w:r>
                    <w:r>
                      <w:t>13</w:t>
                    </w:r>
                    <w:r>
                      <w:fldChar w:fldCharType="end"/>
                    </w:r>
                    <w:r>
                      <w:rPr>
                        <w:rFonts w:hint="eastAsia"/>
                      </w:rPr>
                      <w:t xml:space="preserve"> -</w:t>
                    </w:r>
                  </w:p>
                </w:txbxContent>
              </v:textbox>
            </v:shape>
          </w:pict>
        </mc:Fallback>
      </mc:AlternateContent>
    </w:r>
    <w:r>
      <w:rPr>
        <w:sz w:val="18"/>
      </w:rPr>
      <mc:AlternateContent>
        <mc:Choice Requires="wps">
          <w:drawing>
            <wp:anchor distT="0" distB="0" distL="114300" distR="114300" simplePos="0" relativeHeight="251667456"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382"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173B6F19">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67456;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tsh0h1wAAAAkBAAAPAAAAAAAAAAEAIAAAACIAAABkcnMvZG93bnJl&#10;di54bWxQSwECFAAUAAAACACHTuJA3xzniTcCAABkBAAADgAAAAAAAAABACAAAAAmAQAAZHJzL2Uy&#10;b0RvYy54bWxQSwUGAAAAAAYABgBZAQAAzwUAAAAA&#10;">
              <v:fill on="f" focussize="0,0"/>
              <v:stroke on="f" weight="0.5pt"/>
              <v:imagedata o:title=""/>
              <o:lock v:ext="edit" aspectratio="f"/>
              <v:textbox inset="0mm,0mm,0mm,0mm">
                <w:txbxContent>
                  <w:p w14:paraId="173B6F19">
                    <w:pPr>
                      <w:ind w:firstLine="0" w:firstLineChars="0"/>
                    </w:pP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8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3F57527">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Mx0B8zAgAAZQ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Mx0B8zAgAAZQQAAA4AAAAAAAAAAQAgAAAAHwEAAGRycy9lMm9Eb2MueG1sUEsF&#10;BgAAAAAGAAYAWQEAAMQFAAAAAA==&#10;">
              <v:fill on="f" focussize="0,0"/>
              <v:stroke on="f" weight="0.5pt"/>
              <v:imagedata o:title=""/>
              <o:lock v:ext="edit" aspectratio="f"/>
              <v:textbox inset="0mm,0mm,0mm,0mm" style="mso-fit-shape-to-text:t;">
                <w:txbxContent>
                  <w:p w14:paraId="23F57527">
                    <w:pPr>
                      <w:ind w:firstLine="0" w:firstLineChars="0"/>
                    </w:pPr>
                  </w:p>
                </w:txbxContent>
              </v:textbox>
            </v:shape>
          </w:pict>
        </mc:Fallback>
      </mc:AlternateContent>
    </w:r>
    <w:r>
      <w:rPr>
        <w:rFonts w:hint="eastAsia"/>
      </w:rPr>
      <w:tab/>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C20CE">
    <w:pPr>
      <w:pStyle w:val="16"/>
      <w:ind w:firstLine="0" w:firstLineChars="0"/>
    </w:pPr>
    <w:r>
      <w:rPr>
        <w:sz w:val="18"/>
      </w:rPr>
      <mc:AlternateContent>
        <mc:Choice Requires="wps">
          <w:drawing>
            <wp:anchor distT="0" distB="0" distL="114300" distR="114300" simplePos="0" relativeHeight="2516736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84" name="文本框 3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5778A8">
                          <w:pPr>
                            <w:pStyle w:val="16"/>
                            <w:ind w:firstLine="0" w:firstLineChars="0"/>
                          </w:pPr>
                          <w:r>
                            <w:rPr>
                              <w:rFonts w:hint="eastAsia"/>
                            </w:rPr>
                            <w:t xml:space="preserve">- </w:t>
                          </w:r>
                          <w:r>
                            <w:fldChar w:fldCharType="begin"/>
                          </w:r>
                          <w:r>
                            <w:instrText xml:space="preserve"> PAGE  \* MERGEFORMAT </w:instrText>
                          </w:r>
                          <w:r>
                            <w:fldChar w:fldCharType="separate"/>
                          </w:r>
                          <w:r>
                            <w:t>14</w:t>
                          </w:r>
                          <w:r>
                            <w:fldChar w:fldCharType="end"/>
                          </w:r>
                          <w:r>
                            <w:rPr>
                              <w:rFonts w:hint="eastAsia"/>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yRXgIuAgAAWQ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DckV4CLgIAAFkEAAAOAAAAAAAAAAEAIAAAAB8BAABkcnMvZTJvRG9jLnhtbFBLBQYAAAAA&#10;BgAGAFkBAAC/BQAAAAA=&#10;">
              <v:fill on="f" focussize="0,0"/>
              <v:stroke on="f" weight="0.5pt"/>
              <v:imagedata o:title=""/>
              <o:lock v:ext="edit" aspectratio="f"/>
              <v:textbox inset="0mm,0mm,0mm,0mm" style="mso-fit-shape-to-text:t;">
                <w:txbxContent>
                  <w:p w14:paraId="795778A8">
                    <w:pPr>
                      <w:pStyle w:val="16"/>
                      <w:ind w:firstLine="0" w:firstLineChars="0"/>
                    </w:pPr>
                    <w:r>
                      <w:rPr>
                        <w:rFonts w:hint="eastAsia"/>
                      </w:rPr>
                      <w:t xml:space="preserve">- </w:t>
                    </w:r>
                    <w:r>
                      <w:fldChar w:fldCharType="begin"/>
                    </w:r>
                    <w:r>
                      <w:instrText xml:space="preserve"> PAGE  \* MERGEFORMAT </w:instrText>
                    </w:r>
                    <w:r>
                      <w:fldChar w:fldCharType="separate"/>
                    </w:r>
                    <w:r>
                      <w:t>14</w:t>
                    </w:r>
                    <w:r>
                      <w:fldChar w:fldCharType="end"/>
                    </w:r>
                    <w:r>
                      <w:rPr>
                        <w:rFonts w:hint="eastAsia"/>
                      </w:rPr>
                      <w:t xml:space="preserve"> -</w:t>
                    </w:r>
                  </w:p>
                </w:txbxContent>
              </v:textbox>
            </v:shape>
          </w:pict>
        </mc:Fallback>
      </mc:AlternateContent>
    </w:r>
    <w:r>
      <w:rPr>
        <w:sz w:val="1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85" name="文本框 3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8DEA84">
                          <w:pPr>
                            <w:pStyle w:val="16"/>
                            <w:ind w:firstLine="0" w:firstLineChars="0"/>
                            <w:rPr>
                              <w:rFonts w:eastAsia="仿宋"/>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LOcl8uAgAAWQ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yznJfLgIAAFkEAAAOAAAAAAAAAAEAIAAAAB8BAABkcnMvZTJvRG9jLnhtbFBLBQYAAAAA&#10;BgAGAFkBAAC/BQAAAAA=&#10;">
              <v:fill on="f" focussize="0,0"/>
              <v:stroke on="f" weight="0.5pt"/>
              <v:imagedata o:title=""/>
              <o:lock v:ext="edit" aspectratio="f"/>
              <v:textbox inset="0mm,0mm,0mm,0mm" style="mso-fit-shape-to-text:t;">
                <w:txbxContent>
                  <w:p w14:paraId="188DEA84">
                    <w:pPr>
                      <w:pStyle w:val="16"/>
                      <w:ind w:firstLine="0" w:firstLineChars="0"/>
                      <w:rPr>
                        <w:rFonts w:eastAsia="仿宋"/>
                        <w:szCs w:val="28"/>
                      </w:rPr>
                    </w:pPr>
                  </w:p>
                </w:txbxContent>
              </v:textbox>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BC2AB">
    <w:pPr>
      <w:pStyle w:val="16"/>
      <w:tabs>
        <w:tab w:val="right" w:pos="8845"/>
        <w:tab w:val="clear" w:pos="4153"/>
      </w:tabs>
      <w:ind w:firstLine="0" w:firstLineChars="0"/>
    </w:pPr>
    <w:r>
      <w:rPr>
        <w:sz w:val="18"/>
      </w:rPr>
      <mc:AlternateContent>
        <mc:Choice Requires="wps">
          <w:drawing>
            <wp:anchor distT="0" distB="0" distL="114300" distR="114300" simplePos="0" relativeHeight="2516746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05" name="文本框 4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C26BB5">
                          <w:pPr>
                            <w:pStyle w:val="16"/>
                            <w:ind w:firstLine="0" w:firstLineChars="0"/>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wQ6wuAgAAWQ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gsEOsLgIAAFkEAAAOAAAAAAAAAAEAIAAAAB8BAABkcnMvZTJvRG9jLnhtbFBLBQYAAAAA&#10;BgAGAFkBAAC/BQAAAAA=&#10;">
              <v:fill on="f" focussize="0,0"/>
              <v:stroke on="f" weight="0.5pt"/>
              <v:imagedata o:title=""/>
              <o:lock v:ext="edit" aspectratio="f"/>
              <v:textbox inset="0mm,0mm,0mm,0mm" style="mso-fit-shape-to-text:t;">
                <w:txbxContent>
                  <w:p w14:paraId="4AC26BB5">
                    <w:pPr>
                      <w:pStyle w:val="16"/>
                      <w:ind w:firstLine="0" w:firstLineChars="0"/>
                    </w:pPr>
                    <w:r>
                      <w:fldChar w:fldCharType="begin"/>
                    </w:r>
                    <w:r>
                      <w:instrText xml:space="preserve"> PAGE  \* MERGEFORMAT </w:instrText>
                    </w:r>
                    <w:r>
                      <w:fldChar w:fldCharType="separate"/>
                    </w:r>
                    <w:r>
                      <w:t>I</w:t>
                    </w:r>
                    <w:r>
                      <w:fldChar w:fldCharType="end"/>
                    </w:r>
                  </w:p>
                </w:txbxContent>
              </v:textbox>
            </v:shape>
          </w:pict>
        </mc:Fallback>
      </mc:AlternateContent>
    </w:r>
    <w:r>
      <w:rPr>
        <w:sz w:val="18"/>
      </w:rPr>
      <mc:AlternateContent>
        <mc:Choice Requires="wps">
          <w:drawing>
            <wp:anchor distT="0" distB="0" distL="114300" distR="114300" simplePos="0" relativeHeight="251670528" behindDoc="0" locked="0" layoutInCell="1" allowOverlap="1">
              <wp:simplePos x="0" y="0"/>
              <wp:positionH relativeFrom="margin">
                <wp:posOffset>5095875</wp:posOffset>
              </wp:positionH>
              <wp:positionV relativeFrom="paragraph">
                <wp:posOffset>12065</wp:posOffset>
              </wp:positionV>
              <wp:extent cx="1828800" cy="216535"/>
              <wp:effectExtent l="0" t="0" r="0" b="0"/>
              <wp:wrapNone/>
              <wp:docPr id="406" name="文本框 3"/>
              <wp:cNvGraphicFramePr/>
              <a:graphic xmlns:a="http://schemas.openxmlformats.org/drawingml/2006/main">
                <a:graphicData uri="http://schemas.microsoft.com/office/word/2010/wordprocessingShape">
                  <wps:wsp>
                    <wps:cNvSpPr txBox="1"/>
                    <wps:spPr>
                      <a:xfrm>
                        <a:off x="0" y="0"/>
                        <a:ext cx="1828800" cy="216535"/>
                      </a:xfrm>
                      <a:prstGeom prst="rect">
                        <a:avLst/>
                      </a:prstGeom>
                      <a:noFill/>
                      <a:ln w="6350">
                        <a:noFill/>
                      </a:ln>
                      <a:effectLst/>
                    </wps:spPr>
                    <wps:txbx>
                      <w:txbxContent>
                        <w:p w14:paraId="12E63A58">
                          <w:pPr>
                            <w:ind w:firstLine="0" w:firstLineChars="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01.25pt;margin-top:0.95pt;height:17.05pt;width:144pt;mso-position-horizontal-relative:margin;mso-wrap-style:none;z-index:251670528;mso-width-relative:page;mso-height-relative:page;" filled="f" stroked="f" coordsize="21600,21600" o:gfxdata="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tsh0h1wAAAAkBAAAPAAAAAAAAAAEAIAAAACIAAABkcnMvZG93bnJl&#10;di54bWxQSwECFAAUAAAACACHTuJAatAWHDcCAABkBAAADgAAAAAAAAABACAAAAAmAQAAZHJzL2Uy&#10;b0RvYy54bWxQSwUGAAAAAAYABgBZAQAAzwUAAAAA&#10;">
              <v:fill on="f" focussize="0,0"/>
              <v:stroke on="f" weight="0.5pt"/>
              <v:imagedata o:title=""/>
              <o:lock v:ext="edit" aspectratio="f"/>
              <v:textbox inset="0mm,0mm,0mm,0mm">
                <w:txbxContent>
                  <w:p w14:paraId="12E63A58">
                    <w:pPr>
                      <w:ind w:firstLine="0" w:firstLineChars="0"/>
                    </w:pPr>
                  </w:p>
                </w:txbxContent>
              </v:textbox>
            </v:shape>
          </w:pict>
        </mc:Fallback>
      </mc:AlternateContent>
    </w:r>
    <w:r>
      <w:rPr>
        <w:sz w:val="18"/>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0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D1A7059">
                          <w:pPr>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yHTqQzAgAAZQQAAA4AAAAAAAAAAQAgAAAAHwEAAGRycy9lMm9Eb2MueG1sUEsF&#10;BgAAAAAGAAYAWQEAAMQFAAAAAA==&#10;">
              <v:fill on="f" focussize="0,0"/>
              <v:stroke on="f" weight="0.5pt"/>
              <v:imagedata o:title=""/>
              <o:lock v:ext="edit" aspectratio="f"/>
              <v:textbox inset="0mm,0mm,0mm,0mm" style="mso-fit-shape-to-text:t;">
                <w:txbxContent>
                  <w:p w14:paraId="0D1A7059">
                    <w:pPr>
                      <w:ind w:firstLine="0" w:firstLineChars="0"/>
                    </w:pPr>
                  </w:p>
                </w:txbxContent>
              </v:textbox>
            </v:shape>
          </w:pict>
        </mc:Fallback>
      </mc:AlternateContent>
    </w:r>
    <w:r>
      <w:rPr>
        <w:rFonts w:hint="eastAsia"/>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632"/>
      </w:pPr>
      <w:r>
        <w:separator/>
      </w:r>
    </w:p>
  </w:footnote>
  <w:footnote w:type="continuationSeparator" w:id="1">
    <w:p>
      <w:pPr>
        <w:ind w:firstLine="63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B32D8">
    <w:pPr>
      <w:pStyle w:val="17"/>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B90B61">
    <w:pPr>
      <w:spacing w:line="14" w:lineRule="auto"/>
      <w:ind w:firstLine="40"/>
      <w:rPr>
        <w:rFonts w:ascii="Arial"/>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9D2E3">
    <w:pPr>
      <w:spacing w:line="1" w:lineRule="exact"/>
      <w:ind w:firstLine="64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3F3D1E">
    <w:pPr>
      <w:spacing w:line="14" w:lineRule="auto"/>
      <w:ind w:firstLine="40"/>
      <w:rPr>
        <w:rFonts w:ascii="Arial"/>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1AE4B8">
    <w:pPr>
      <w:spacing w:line="1" w:lineRule="exact"/>
      <w:ind w:firstLine="56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628B4">
    <w:pPr>
      <w:spacing w:line="14" w:lineRule="auto"/>
      <w:ind w:firstLine="40"/>
      <w:rPr>
        <w:rFonts w:ascii="Arial"/>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4F895">
    <w:pPr>
      <w:spacing w:line="1" w:lineRule="exact"/>
      <w:ind w:firstLine="56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6A867">
    <w:pPr>
      <w:spacing w:line="14" w:lineRule="auto"/>
      <w:ind w:firstLine="40"/>
      <w:rPr>
        <w:rFonts w:ascii="Arial"/>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2F4F4">
    <w:pPr>
      <w:spacing w:line="1" w:lineRule="exact"/>
      <w:ind w:firstLine="56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388F5">
    <w:pPr>
      <w:spacing w:line="14" w:lineRule="auto"/>
      <w:ind w:firstLine="40"/>
      <w:rPr>
        <w:rFonts w:ascii="Arial"/>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BDEEE">
    <w:pPr>
      <w:spacing w:line="1" w:lineRule="exact"/>
      <w:ind w:firstLine="5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C3C4A">
    <w:pPr>
      <w:spacing w:line="14" w:lineRule="auto"/>
      <w:ind w:firstLine="40"/>
      <w:rPr>
        <w:rFonts w:ascii="Arial"/>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DD5E47">
    <w:pPr>
      <w:spacing w:line="14" w:lineRule="auto"/>
      <w:ind w:firstLine="40"/>
      <w:rPr>
        <w:rFonts w:ascii="Arial"/>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9593E">
    <w:pPr>
      <w:spacing w:line="1" w:lineRule="exact"/>
      <w:ind w:firstLine="640"/>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AA904">
    <w:pPr>
      <w:spacing w:line="14" w:lineRule="auto"/>
      <w:ind w:firstLine="40"/>
      <w:rPr>
        <w:rFonts w:ascii="Arial"/>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2E845">
    <w:pPr>
      <w:spacing w:line="1" w:lineRule="exact"/>
      <w:ind w:firstLine="640"/>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9CE76">
    <w:pPr>
      <w:spacing w:line="14" w:lineRule="auto"/>
      <w:ind w:firstLine="40"/>
      <w:rPr>
        <w:rFonts w:ascii="Arial"/>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AA3697">
    <w:pPr>
      <w:spacing w:line="14" w:lineRule="auto"/>
      <w:ind w:firstLine="40"/>
      <w:rPr>
        <w:rFonts w:ascii="Arial"/>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CA683">
    <w:pPr>
      <w:spacing w:line="1" w:lineRule="exact"/>
      <w:ind w:firstLine="640"/>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187B2B">
    <w:pPr>
      <w:spacing w:line="14" w:lineRule="auto"/>
      <w:ind w:firstLine="40"/>
      <w:rPr>
        <w:rFonts w:ascii="Arial"/>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5C4DD">
    <w:pPr>
      <w:spacing w:line="1" w:lineRule="exact"/>
      <w:ind w:firstLine="640"/>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58554">
    <w:pPr>
      <w:spacing w:line="14" w:lineRule="auto"/>
      <w:ind w:firstLine="40"/>
      <w:rPr>
        <w:rFonts w:ascii="Arial"/>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85359">
    <w:pPr>
      <w:spacing w:line="1" w:lineRule="exact"/>
      <w:ind w:firstLine="640"/>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F14EB7">
    <w:pPr>
      <w:spacing w:line="1" w:lineRule="exact"/>
      <w:ind w:firstLine="640"/>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A0C891">
    <w:pPr>
      <w:spacing w:line="14" w:lineRule="auto"/>
      <w:ind w:firstLine="40"/>
      <w:rPr>
        <w:rFonts w:ascii="Arial"/>
        <w:sz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4B357">
    <w:pPr>
      <w:spacing w:line="1" w:lineRule="exact"/>
      <w:ind w:firstLine="560"/>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A13C3">
    <w:pPr>
      <w:spacing w:line="14" w:lineRule="auto"/>
      <w:ind w:firstLine="40"/>
      <w:rPr>
        <w:rFonts w:ascii="Arial"/>
        <w:sz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F5A896">
    <w:pPr>
      <w:spacing w:line="14" w:lineRule="auto"/>
      <w:ind w:firstLine="40"/>
      <w:rPr>
        <w:rFonts w:ascii="Arial"/>
        <w:sz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8B693F">
    <w:pPr>
      <w:spacing w:line="1" w:lineRule="exact"/>
      <w:ind w:firstLine="560"/>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D71AD">
    <w:pPr>
      <w:spacing w:line="14" w:lineRule="auto"/>
      <w:ind w:firstLine="40"/>
      <w:rPr>
        <w:rFonts w:ascii="Arial"/>
        <w:sz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28F15">
    <w:pPr>
      <w:spacing w:line="14" w:lineRule="auto"/>
      <w:ind w:firstLine="40"/>
      <w:rPr>
        <w:rFonts w:ascii="Arial"/>
        <w:sz w:val="2"/>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D1F6D7">
    <w:pPr>
      <w:spacing w:line="1" w:lineRule="exact"/>
      <w:ind w:firstLine="560"/>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26527">
    <w:pPr>
      <w:spacing w:line="14" w:lineRule="auto"/>
      <w:ind w:firstLine="40"/>
      <w:rPr>
        <w:rFonts w:ascii="Arial"/>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E09D3">
    <w:pPr>
      <w:spacing w:line="14" w:lineRule="auto"/>
      <w:ind w:firstLine="40"/>
      <w:rPr>
        <w:rFonts w:ascii="Arial"/>
        <w:sz w:val="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2242AE">
    <w:pPr>
      <w:spacing w:line="14" w:lineRule="auto"/>
      <w:ind w:firstLine="40"/>
      <w:rPr>
        <w:rFonts w:ascii="Arial"/>
        <w:sz w:val="2"/>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89741">
    <w:pPr>
      <w:spacing w:line="14" w:lineRule="auto"/>
      <w:ind w:firstLine="40"/>
      <w:rPr>
        <w:rFonts w:ascii="Arial"/>
        <w:sz w:val="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C221E">
    <w:pPr>
      <w:spacing w:line="1" w:lineRule="exact"/>
      <w:ind w:firstLine="640"/>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0782D">
    <w:pPr>
      <w:spacing w:line="14" w:lineRule="auto"/>
      <w:ind w:firstLine="40"/>
      <w:rPr>
        <w:rFonts w:ascii="Arial"/>
        <w:sz w:val="2"/>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075BB">
    <w:pPr>
      <w:spacing w:line="1" w:lineRule="exact"/>
      <w:ind w:firstLine="640"/>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87A8E">
    <w:pPr>
      <w:spacing w:line="14" w:lineRule="auto"/>
      <w:ind w:firstLine="40"/>
      <w:rPr>
        <w:rFonts w:ascii="Arial"/>
        <w:sz w:val="2"/>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5FD4D8">
    <w:pPr>
      <w:spacing w:line="1" w:lineRule="exact"/>
      <w:ind w:firstLine="5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2D61F7">
    <w:pPr>
      <w:spacing w:line="1" w:lineRule="exact"/>
      <w:ind w:firstLine="64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DB3E4">
    <w:pPr>
      <w:spacing w:line="14" w:lineRule="auto"/>
      <w:ind w:firstLine="40"/>
      <w:rPr>
        <w:rFonts w:ascii="Arial"/>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11CE0">
    <w:pPr>
      <w:spacing w:line="14" w:lineRule="auto"/>
      <w:ind w:firstLine="40"/>
      <w:rPr>
        <w:rFonts w:ascii="Arial"/>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FA519">
    <w:pPr>
      <w:spacing w:line="14" w:lineRule="auto"/>
      <w:ind w:firstLine="40"/>
      <w:rPr>
        <w:rFonts w:ascii="Arial"/>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EF760">
    <w:pPr>
      <w:spacing w:line="1" w:lineRule="exact"/>
      <w:ind w:firstLine="6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776D84"/>
    <w:multiLevelType w:val="singleLevel"/>
    <w:tmpl w:val="80776D84"/>
    <w:lvl w:ilvl="0" w:tentative="0">
      <w:start w:val="1"/>
      <w:numFmt w:val="decimal"/>
      <w:suff w:val="nothing"/>
      <w:lvlText w:val="（%1）"/>
      <w:lvlJc w:val="left"/>
      <w:pPr>
        <w:ind w:left="0" w:firstLine="397"/>
      </w:pPr>
      <w:rPr>
        <w:rFonts w:hint="default"/>
      </w:rPr>
    </w:lvl>
  </w:abstractNum>
  <w:abstractNum w:abstractNumId="1">
    <w:nsid w:val="8183C125"/>
    <w:multiLevelType w:val="singleLevel"/>
    <w:tmpl w:val="8183C125"/>
    <w:lvl w:ilvl="0" w:tentative="0">
      <w:start w:val="1"/>
      <w:numFmt w:val="decimal"/>
      <w:suff w:val="nothing"/>
      <w:lvlText w:val="（%1）"/>
      <w:lvlJc w:val="left"/>
      <w:pPr>
        <w:ind w:left="0" w:firstLine="397"/>
      </w:pPr>
      <w:rPr>
        <w:rFonts w:hint="default"/>
      </w:rPr>
    </w:lvl>
  </w:abstractNum>
  <w:abstractNum w:abstractNumId="2">
    <w:nsid w:val="8289E199"/>
    <w:multiLevelType w:val="singleLevel"/>
    <w:tmpl w:val="8289E199"/>
    <w:lvl w:ilvl="0" w:tentative="0">
      <w:start w:val="1"/>
      <w:numFmt w:val="decimal"/>
      <w:suff w:val="nothing"/>
      <w:lvlText w:val="（%1）"/>
      <w:lvlJc w:val="left"/>
      <w:pPr>
        <w:ind w:left="0" w:firstLine="397"/>
      </w:pPr>
      <w:rPr>
        <w:rFonts w:hint="default"/>
      </w:rPr>
    </w:lvl>
  </w:abstractNum>
  <w:abstractNum w:abstractNumId="3">
    <w:nsid w:val="8466B5F9"/>
    <w:multiLevelType w:val="singleLevel"/>
    <w:tmpl w:val="8466B5F9"/>
    <w:lvl w:ilvl="0" w:tentative="0">
      <w:start w:val="1"/>
      <w:numFmt w:val="decimal"/>
      <w:suff w:val="nothing"/>
      <w:lvlText w:val="（%1）"/>
      <w:lvlJc w:val="left"/>
    </w:lvl>
  </w:abstractNum>
  <w:abstractNum w:abstractNumId="4">
    <w:nsid w:val="8B71991B"/>
    <w:multiLevelType w:val="multilevel"/>
    <w:tmpl w:val="8B71991B"/>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5">
    <w:nsid w:val="8D120157"/>
    <w:multiLevelType w:val="singleLevel"/>
    <w:tmpl w:val="8D120157"/>
    <w:lvl w:ilvl="0" w:tentative="0">
      <w:start w:val="1"/>
      <w:numFmt w:val="decimal"/>
      <w:suff w:val="nothing"/>
      <w:lvlText w:val="（%1）"/>
      <w:lvlJc w:val="left"/>
    </w:lvl>
  </w:abstractNum>
  <w:abstractNum w:abstractNumId="6">
    <w:nsid w:val="8D5037F3"/>
    <w:multiLevelType w:val="multilevel"/>
    <w:tmpl w:val="8D5037F3"/>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7">
    <w:nsid w:val="8EAC9652"/>
    <w:multiLevelType w:val="singleLevel"/>
    <w:tmpl w:val="8EAC9652"/>
    <w:lvl w:ilvl="0" w:tentative="0">
      <w:start w:val="1"/>
      <w:numFmt w:val="decimal"/>
      <w:suff w:val="nothing"/>
      <w:lvlText w:val="（%1）"/>
      <w:lvlJc w:val="left"/>
      <w:pPr>
        <w:ind w:left="0" w:firstLine="397"/>
      </w:pPr>
      <w:rPr>
        <w:rFonts w:hint="default"/>
      </w:rPr>
    </w:lvl>
  </w:abstractNum>
  <w:abstractNum w:abstractNumId="8">
    <w:nsid w:val="8F51EC9D"/>
    <w:multiLevelType w:val="multilevel"/>
    <w:tmpl w:val="8F51EC9D"/>
    <w:lvl w:ilvl="0" w:tentative="0">
      <w:start w:val="1"/>
      <w:numFmt w:val="chineseCounting"/>
      <w:suff w:val="nothing"/>
      <w:lvlText w:val="（%1）"/>
      <w:lvlJc w:val="left"/>
      <w:rPr>
        <w:rFonts w:hint="eastAsia"/>
      </w:rPr>
    </w:lvl>
    <w:lvl w:ilvl="1" w:tentative="0">
      <w:start w:val="1"/>
      <w:numFmt w:val="decimal"/>
      <w:lvlText w:val=""/>
      <w:lvlJc w:val="left"/>
      <w:rPr>
        <w:rFonts w:hint="default"/>
        <w:u w:val="none"/>
      </w:rPr>
    </w:lvl>
    <w:lvl w:ilvl="2" w:tentative="0">
      <w:start w:val="1"/>
      <w:numFmt w:val="decimal"/>
      <w:lvlText w:val=""/>
      <w:lvlJc w:val="left"/>
      <w:rPr>
        <w:rFonts w:hint="default"/>
        <w:u w:val="none"/>
      </w:rPr>
    </w:lvl>
    <w:lvl w:ilvl="3" w:tentative="0">
      <w:start w:val="1"/>
      <w:numFmt w:val="decimal"/>
      <w:lvlText w:val=""/>
      <w:lvlJc w:val="left"/>
      <w:rPr>
        <w:rFonts w:hint="default"/>
        <w:u w:val="none"/>
      </w:rPr>
    </w:lvl>
    <w:lvl w:ilvl="4" w:tentative="0">
      <w:start w:val="1"/>
      <w:numFmt w:val="decimal"/>
      <w:lvlText w:val=""/>
      <w:lvlJc w:val="left"/>
      <w:rPr>
        <w:rFonts w:hint="default"/>
        <w:u w:val="none"/>
      </w:rPr>
    </w:lvl>
    <w:lvl w:ilvl="5" w:tentative="0">
      <w:start w:val="1"/>
      <w:numFmt w:val="decimal"/>
      <w:lvlText w:val=""/>
      <w:lvlJc w:val="left"/>
      <w:rPr>
        <w:rFonts w:hint="default"/>
        <w:u w:val="none"/>
      </w:rPr>
    </w:lvl>
    <w:lvl w:ilvl="6" w:tentative="0">
      <w:start w:val="1"/>
      <w:numFmt w:val="decimal"/>
      <w:lvlText w:val=""/>
      <w:lvlJc w:val="left"/>
      <w:rPr>
        <w:rFonts w:hint="default"/>
        <w:u w:val="none"/>
      </w:rPr>
    </w:lvl>
    <w:lvl w:ilvl="7" w:tentative="0">
      <w:start w:val="1"/>
      <w:numFmt w:val="decimal"/>
      <w:lvlText w:val=""/>
      <w:lvlJc w:val="left"/>
      <w:rPr>
        <w:rFonts w:hint="default"/>
        <w:u w:val="none"/>
      </w:rPr>
    </w:lvl>
    <w:lvl w:ilvl="8" w:tentative="0">
      <w:start w:val="1"/>
      <w:numFmt w:val="decimal"/>
      <w:lvlText w:val=""/>
      <w:lvlJc w:val="left"/>
      <w:rPr>
        <w:rFonts w:hint="default"/>
        <w:u w:val="none"/>
      </w:rPr>
    </w:lvl>
  </w:abstractNum>
  <w:abstractNum w:abstractNumId="9">
    <w:nsid w:val="8FFE72F0"/>
    <w:multiLevelType w:val="singleLevel"/>
    <w:tmpl w:val="8FFE72F0"/>
    <w:lvl w:ilvl="0" w:tentative="0">
      <w:start w:val="1"/>
      <w:numFmt w:val="decimal"/>
      <w:suff w:val="nothing"/>
      <w:lvlText w:val="（%1）"/>
      <w:lvlJc w:val="left"/>
    </w:lvl>
  </w:abstractNum>
  <w:abstractNum w:abstractNumId="10">
    <w:nsid w:val="910EB471"/>
    <w:multiLevelType w:val="singleLevel"/>
    <w:tmpl w:val="910EB471"/>
    <w:lvl w:ilvl="0" w:tentative="0">
      <w:start w:val="1"/>
      <w:numFmt w:val="decimal"/>
      <w:suff w:val="nothing"/>
      <w:lvlText w:val="（%1）"/>
      <w:lvlJc w:val="left"/>
      <w:pPr>
        <w:ind w:left="0" w:firstLine="397"/>
      </w:pPr>
      <w:rPr>
        <w:rFonts w:hint="default"/>
      </w:rPr>
    </w:lvl>
  </w:abstractNum>
  <w:abstractNum w:abstractNumId="11">
    <w:nsid w:val="91C78825"/>
    <w:multiLevelType w:val="singleLevel"/>
    <w:tmpl w:val="91C78825"/>
    <w:lvl w:ilvl="0" w:tentative="0">
      <w:start w:val="1"/>
      <w:numFmt w:val="decimal"/>
      <w:suff w:val="nothing"/>
      <w:lvlText w:val="（%1）"/>
      <w:lvlJc w:val="left"/>
    </w:lvl>
  </w:abstractNum>
  <w:abstractNum w:abstractNumId="12">
    <w:nsid w:val="9448EBEA"/>
    <w:multiLevelType w:val="multilevel"/>
    <w:tmpl w:val="9448EBEA"/>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3">
    <w:nsid w:val="9462370B"/>
    <w:multiLevelType w:val="singleLevel"/>
    <w:tmpl w:val="9462370B"/>
    <w:lvl w:ilvl="0" w:tentative="0">
      <w:start w:val="1"/>
      <w:numFmt w:val="decimal"/>
      <w:suff w:val="nothing"/>
      <w:lvlText w:val="（%1）"/>
      <w:lvlJc w:val="left"/>
    </w:lvl>
  </w:abstractNum>
  <w:abstractNum w:abstractNumId="14">
    <w:nsid w:val="946EAB0C"/>
    <w:multiLevelType w:val="multilevel"/>
    <w:tmpl w:val="946EAB0C"/>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5">
    <w:nsid w:val="96B9DE0E"/>
    <w:multiLevelType w:val="singleLevel"/>
    <w:tmpl w:val="96B9DE0E"/>
    <w:lvl w:ilvl="0" w:tentative="0">
      <w:start w:val="1"/>
      <w:numFmt w:val="decimal"/>
      <w:suff w:val="nothing"/>
      <w:lvlText w:val="（%1）"/>
      <w:lvlJc w:val="left"/>
    </w:lvl>
  </w:abstractNum>
  <w:abstractNum w:abstractNumId="16">
    <w:nsid w:val="97E1AECA"/>
    <w:multiLevelType w:val="singleLevel"/>
    <w:tmpl w:val="97E1AECA"/>
    <w:lvl w:ilvl="0" w:tentative="0">
      <w:start w:val="1"/>
      <w:numFmt w:val="decimal"/>
      <w:suff w:val="nothing"/>
      <w:lvlText w:val="（%1）"/>
      <w:lvlJc w:val="left"/>
      <w:pPr>
        <w:ind w:left="0" w:firstLine="397"/>
      </w:pPr>
      <w:rPr>
        <w:rFonts w:hint="default"/>
      </w:rPr>
    </w:lvl>
  </w:abstractNum>
  <w:abstractNum w:abstractNumId="17">
    <w:nsid w:val="98942573"/>
    <w:multiLevelType w:val="singleLevel"/>
    <w:tmpl w:val="98942573"/>
    <w:lvl w:ilvl="0" w:tentative="0">
      <w:start w:val="1"/>
      <w:numFmt w:val="decimal"/>
      <w:suff w:val="nothing"/>
      <w:lvlText w:val="（%1）"/>
      <w:lvlJc w:val="left"/>
    </w:lvl>
  </w:abstractNum>
  <w:abstractNum w:abstractNumId="18">
    <w:nsid w:val="9932A1E5"/>
    <w:multiLevelType w:val="singleLevel"/>
    <w:tmpl w:val="9932A1E5"/>
    <w:lvl w:ilvl="0" w:tentative="0">
      <w:start w:val="1"/>
      <w:numFmt w:val="decimal"/>
      <w:suff w:val="nothing"/>
      <w:lvlText w:val="（%1）"/>
      <w:lvlJc w:val="left"/>
    </w:lvl>
  </w:abstractNum>
  <w:abstractNum w:abstractNumId="19">
    <w:nsid w:val="9BB911ED"/>
    <w:multiLevelType w:val="singleLevel"/>
    <w:tmpl w:val="9BB911ED"/>
    <w:lvl w:ilvl="0" w:tentative="0">
      <w:start w:val="1"/>
      <w:numFmt w:val="decimal"/>
      <w:suff w:val="nothing"/>
      <w:lvlText w:val="（%1）"/>
      <w:lvlJc w:val="left"/>
    </w:lvl>
  </w:abstractNum>
  <w:abstractNum w:abstractNumId="20">
    <w:nsid w:val="9BC41CAF"/>
    <w:multiLevelType w:val="singleLevel"/>
    <w:tmpl w:val="9BC41CAF"/>
    <w:lvl w:ilvl="0" w:tentative="0">
      <w:start w:val="1"/>
      <w:numFmt w:val="decimal"/>
      <w:suff w:val="nothing"/>
      <w:lvlText w:val="（%1）"/>
      <w:lvlJc w:val="left"/>
      <w:pPr>
        <w:ind w:left="0" w:firstLine="397"/>
      </w:pPr>
      <w:rPr>
        <w:rFonts w:hint="default"/>
      </w:rPr>
    </w:lvl>
  </w:abstractNum>
  <w:abstractNum w:abstractNumId="21">
    <w:nsid w:val="9E71FE6D"/>
    <w:multiLevelType w:val="singleLevel"/>
    <w:tmpl w:val="9E71FE6D"/>
    <w:lvl w:ilvl="0" w:tentative="0">
      <w:start w:val="1"/>
      <w:numFmt w:val="decimal"/>
      <w:suff w:val="nothing"/>
      <w:lvlText w:val="（%1）"/>
      <w:lvlJc w:val="left"/>
    </w:lvl>
  </w:abstractNum>
  <w:abstractNum w:abstractNumId="22">
    <w:nsid w:val="9F6D4DCB"/>
    <w:multiLevelType w:val="singleLevel"/>
    <w:tmpl w:val="9F6D4DCB"/>
    <w:lvl w:ilvl="0" w:tentative="0">
      <w:start w:val="1"/>
      <w:numFmt w:val="decimal"/>
      <w:suff w:val="nothing"/>
      <w:lvlText w:val="（%1）"/>
      <w:lvlJc w:val="left"/>
    </w:lvl>
  </w:abstractNum>
  <w:abstractNum w:abstractNumId="23">
    <w:nsid w:val="A3129DA7"/>
    <w:multiLevelType w:val="multilevel"/>
    <w:tmpl w:val="A3129DA7"/>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24">
    <w:nsid w:val="A5715FD7"/>
    <w:multiLevelType w:val="singleLevel"/>
    <w:tmpl w:val="A5715FD7"/>
    <w:lvl w:ilvl="0" w:tentative="0">
      <w:start w:val="1"/>
      <w:numFmt w:val="decimal"/>
      <w:suff w:val="nothing"/>
      <w:lvlText w:val="（%1）"/>
      <w:lvlJc w:val="left"/>
    </w:lvl>
  </w:abstractNum>
  <w:abstractNum w:abstractNumId="25">
    <w:nsid w:val="A67F2C98"/>
    <w:multiLevelType w:val="singleLevel"/>
    <w:tmpl w:val="A67F2C98"/>
    <w:lvl w:ilvl="0" w:tentative="0">
      <w:start w:val="1"/>
      <w:numFmt w:val="decimal"/>
      <w:suff w:val="nothing"/>
      <w:lvlText w:val="（%1）"/>
      <w:lvlJc w:val="left"/>
    </w:lvl>
  </w:abstractNum>
  <w:abstractNum w:abstractNumId="26">
    <w:nsid w:val="A6BF2E5E"/>
    <w:multiLevelType w:val="singleLevel"/>
    <w:tmpl w:val="A6BF2E5E"/>
    <w:lvl w:ilvl="0" w:tentative="0">
      <w:start w:val="1"/>
      <w:numFmt w:val="decimal"/>
      <w:suff w:val="nothing"/>
      <w:lvlText w:val="（%1）"/>
      <w:lvlJc w:val="left"/>
    </w:lvl>
  </w:abstractNum>
  <w:abstractNum w:abstractNumId="27">
    <w:nsid w:val="A7E553F9"/>
    <w:multiLevelType w:val="singleLevel"/>
    <w:tmpl w:val="A7E553F9"/>
    <w:lvl w:ilvl="0" w:tentative="0">
      <w:start w:val="1"/>
      <w:numFmt w:val="decimal"/>
      <w:suff w:val="nothing"/>
      <w:lvlText w:val="（%1）"/>
      <w:lvlJc w:val="left"/>
      <w:pPr>
        <w:ind w:left="0" w:firstLine="397"/>
      </w:pPr>
      <w:rPr>
        <w:rFonts w:hint="default"/>
      </w:rPr>
    </w:lvl>
  </w:abstractNum>
  <w:abstractNum w:abstractNumId="28">
    <w:nsid w:val="A92DEDAB"/>
    <w:multiLevelType w:val="singleLevel"/>
    <w:tmpl w:val="A92DEDAB"/>
    <w:lvl w:ilvl="0" w:tentative="0">
      <w:start w:val="1"/>
      <w:numFmt w:val="decimal"/>
      <w:suff w:val="nothing"/>
      <w:lvlText w:val="（%1）"/>
      <w:lvlJc w:val="left"/>
    </w:lvl>
  </w:abstractNum>
  <w:abstractNum w:abstractNumId="29">
    <w:nsid w:val="AB488F0F"/>
    <w:multiLevelType w:val="singleLevel"/>
    <w:tmpl w:val="AB488F0F"/>
    <w:lvl w:ilvl="0" w:tentative="0">
      <w:start w:val="1"/>
      <w:numFmt w:val="decimal"/>
      <w:suff w:val="nothing"/>
      <w:lvlText w:val="（%1）"/>
      <w:lvlJc w:val="left"/>
    </w:lvl>
  </w:abstractNum>
  <w:abstractNum w:abstractNumId="30">
    <w:nsid w:val="ABB51D80"/>
    <w:multiLevelType w:val="singleLevel"/>
    <w:tmpl w:val="ABB51D80"/>
    <w:lvl w:ilvl="0" w:tentative="0">
      <w:start w:val="1"/>
      <w:numFmt w:val="decimal"/>
      <w:suff w:val="nothing"/>
      <w:lvlText w:val="（%1）"/>
      <w:lvlJc w:val="left"/>
    </w:lvl>
  </w:abstractNum>
  <w:abstractNum w:abstractNumId="31">
    <w:nsid w:val="AE29EED1"/>
    <w:multiLevelType w:val="singleLevel"/>
    <w:tmpl w:val="AE29EED1"/>
    <w:lvl w:ilvl="0" w:tentative="0">
      <w:start w:val="1"/>
      <w:numFmt w:val="decimal"/>
      <w:suff w:val="nothing"/>
      <w:lvlText w:val="（%1）"/>
      <w:lvlJc w:val="left"/>
    </w:lvl>
  </w:abstractNum>
  <w:abstractNum w:abstractNumId="32">
    <w:nsid w:val="B049F3C9"/>
    <w:multiLevelType w:val="singleLevel"/>
    <w:tmpl w:val="B049F3C9"/>
    <w:lvl w:ilvl="0" w:tentative="0">
      <w:start w:val="1"/>
      <w:numFmt w:val="decimal"/>
      <w:suff w:val="nothing"/>
      <w:lvlText w:val="（%1）"/>
      <w:lvlJc w:val="left"/>
      <w:pPr>
        <w:ind w:left="0" w:firstLine="397"/>
      </w:pPr>
      <w:rPr>
        <w:rFonts w:hint="default"/>
      </w:rPr>
    </w:lvl>
  </w:abstractNum>
  <w:abstractNum w:abstractNumId="33">
    <w:nsid w:val="B15F946C"/>
    <w:multiLevelType w:val="singleLevel"/>
    <w:tmpl w:val="B15F946C"/>
    <w:lvl w:ilvl="0" w:tentative="0">
      <w:start w:val="1"/>
      <w:numFmt w:val="decimal"/>
      <w:suff w:val="nothing"/>
      <w:lvlText w:val="（%1）"/>
      <w:lvlJc w:val="left"/>
    </w:lvl>
  </w:abstractNum>
  <w:abstractNum w:abstractNumId="34">
    <w:nsid w:val="B29DE6C8"/>
    <w:multiLevelType w:val="singleLevel"/>
    <w:tmpl w:val="B29DE6C8"/>
    <w:lvl w:ilvl="0" w:tentative="0">
      <w:start w:val="1"/>
      <w:numFmt w:val="decimal"/>
      <w:suff w:val="nothing"/>
      <w:lvlText w:val="（%1）"/>
      <w:lvlJc w:val="left"/>
    </w:lvl>
  </w:abstractNum>
  <w:abstractNum w:abstractNumId="35">
    <w:nsid w:val="B645423B"/>
    <w:multiLevelType w:val="singleLevel"/>
    <w:tmpl w:val="B645423B"/>
    <w:lvl w:ilvl="0" w:tentative="0">
      <w:start w:val="1"/>
      <w:numFmt w:val="decimal"/>
      <w:suff w:val="nothing"/>
      <w:lvlText w:val="（%1）"/>
      <w:lvlJc w:val="left"/>
    </w:lvl>
  </w:abstractNum>
  <w:abstractNum w:abstractNumId="36">
    <w:nsid w:val="B87AE6E1"/>
    <w:multiLevelType w:val="singleLevel"/>
    <w:tmpl w:val="B87AE6E1"/>
    <w:lvl w:ilvl="0" w:tentative="0">
      <w:start w:val="1"/>
      <w:numFmt w:val="decimal"/>
      <w:suff w:val="nothing"/>
      <w:lvlText w:val="（%1）"/>
      <w:lvlJc w:val="left"/>
      <w:pPr>
        <w:ind w:left="0" w:firstLine="397"/>
      </w:pPr>
      <w:rPr>
        <w:rFonts w:hint="default"/>
      </w:rPr>
    </w:lvl>
  </w:abstractNum>
  <w:abstractNum w:abstractNumId="37">
    <w:nsid w:val="B8921068"/>
    <w:multiLevelType w:val="singleLevel"/>
    <w:tmpl w:val="B8921068"/>
    <w:lvl w:ilvl="0" w:tentative="0">
      <w:start w:val="1"/>
      <w:numFmt w:val="decimal"/>
      <w:suff w:val="nothing"/>
      <w:lvlText w:val="（%1）"/>
      <w:lvlJc w:val="left"/>
    </w:lvl>
  </w:abstractNum>
  <w:abstractNum w:abstractNumId="38">
    <w:nsid w:val="B8A3CFCC"/>
    <w:multiLevelType w:val="singleLevel"/>
    <w:tmpl w:val="B8A3CFCC"/>
    <w:lvl w:ilvl="0" w:tentative="0">
      <w:start w:val="1"/>
      <w:numFmt w:val="decimal"/>
      <w:suff w:val="nothing"/>
      <w:lvlText w:val="（%1）"/>
      <w:lvlJc w:val="left"/>
      <w:pPr>
        <w:ind w:left="0" w:firstLine="397"/>
      </w:pPr>
      <w:rPr>
        <w:rFonts w:hint="default"/>
      </w:rPr>
    </w:lvl>
  </w:abstractNum>
  <w:abstractNum w:abstractNumId="39">
    <w:nsid w:val="B97286B1"/>
    <w:multiLevelType w:val="singleLevel"/>
    <w:tmpl w:val="B97286B1"/>
    <w:lvl w:ilvl="0" w:tentative="0">
      <w:start w:val="1"/>
      <w:numFmt w:val="decimal"/>
      <w:suff w:val="nothing"/>
      <w:lvlText w:val="（%1）"/>
      <w:lvlJc w:val="left"/>
      <w:pPr>
        <w:ind w:left="0" w:firstLine="397"/>
      </w:pPr>
      <w:rPr>
        <w:rFonts w:hint="default"/>
      </w:rPr>
    </w:lvl>
  </w:abstractNum>
  <w:abstractNum w:abstractNumId="40">
    <w:nsid w:val="BC4C27AC"/>
    <w:multiLevelType w:val="singleLevel"/>
    <w:tmpl w:val="BC4C27AC"/>
    <w:lvl w:ilvl="0" w:tentative="0">
      <w:start w:val="1"/>
      <w:numFmt w:val="decimal"/>
      <w:suff w:val="nothing"/>
      <w:lvlText w:val="（%1）"/>
      <w:lvlJc w:val="left"/>
      <w:pPr>
        <w:ind w:left="0" w:firstLine="397"/>
      </w:pPr>
      <w:rPr>
        <w:rFonts w:hint="default"/>
      </w:rPr>
    </w:lvl>
  </w:abstractNum>
  <w:abstractNum w:abstractNumId="41">
    <w:nsid w:val="BCCAEFB6"/>
    <w:multiLevelType w:val="singleLevel"/>
    <w:tmpl w:val="BCCAEFB6"/>
    <w:lvl w:ilvl="0" w:tentative="0">
      <w:start w:val="1"/>
      <w:numFmt w:val="decimal"/>
      <w:suff w:val="nothing"/>
      <w:lvlText w:val="（%1）"/>
      <w:lvlJc w:val="left"/>
      <w:pPr>
        <w:ind w:left="0" w:firstLine="397"/>
      </w:pPr>
      <w:rPr>
        <w:rFonts w:hint="default"/>
      </w:rPr>
    </w:lvl>
  </w:abstractNum>
  <w:abstractNum w:abstractNumId="42">
    <w:nsid w:val="BDA77D38"/>
    <w:multiLevelType w:val="singleLevel"/>
    <w:tmpl w:val="BDA77D38"/>
    <w:lvl w:ilvl="0" w:tentative="0">
      <w:start w:val="1"/>
      <w:numFmt w:val="decimal"/>
      <w:suff w:val="nothing"/>
      <w:lvlText w:val="（%1）"/>
      <w:lvlJc w:val="left"/>
      <w:pPr>
        <w:ind w:left="0" w:firstLine="397"/>
      </w:pPr>
      <w:rPr>
        <w:rFonts w:hint="default"/>
      </w:rPr>
    </w:lvl>
  </w:abstractNum>
  <w:abstractNum w:abstractNumId="43">
    <w:nsid w:val="BE80D51F"/>
    <w:multiLevelType w:val="multilevel"/>
    <w:tmpl w:val="BE80D51F"/>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44">
    <w:nsid w:val="C049F8A0"/>
    <w:multiLevelType w:val="singleLevel"/>
    <w:tmpl w:val="C049F8A0"/>
    <w:lvl w:ilvl="0" w:tentative="0">
      <w:start w:val="1"/>
      <w:numFmt w:val="decimal"/>
      <w:suff w:val="nothing"/>
      <w:lvlText w:val="（%1）"/>
      <w:lvlJc w:val="left"/>
    </w:lvl>
  </w:abstractNum>
  <w:abstractNum w:abstractNumId="45">
    <w:nsid w:val="C0551B82"/>
    <w:multiLevelType w:val="singleLevel"/>
    <w:tmpl w:val="C0551B82"/>
    <w:lvl w:ilvl="0" w:tentative="0">
      <w:start w:val="1"/>
      <w:numFmt w:val="decimal"/>
      <w:suff w:val="nothing"/>
      <w:lvlText w:val="（%1）"/>
      <w:lvlJc w:val="left"/>
    </w:lvl>
  </w:abstractNum>
  <w:abstractNum w:abstractNumId="46">
    <w:nsid w:val="C2FB363D"/>
    <w:multiLevelType w:val="singleLevel"/>
    <w:tmpl w:val="C2FB363D"/>
    <w:lvl w:ilvl="0" w:tentative="0">
      <w:start w:val="1"/>
      <w:numFmt w:val="decimal"/>
      <w:suff w:val="nothing"/>
      <w:lvlText w:val="（%1）"/>
      <w:lvlJc w:val="left"/>
    </w:lvl>
  </w:abstractNum>
  <w:abstractNum w:abstractNumId="47">
    <w:nsid w:val="C35A5D56"/>
    <w:multiLevelType w:val="singleLevel"/>
    <w:tmpl w:val="C35A5D56"/>
    <w:lvl w:ilvl="0" w:tentative="0">
      <w:start w:val="1"/>
      <w:numFmt w:val="decimal"/>
      <w:suff w:val="nothing"/>
      <w:lvlText w:val="（%1）"/>
      <w:lvlJc w:val="left"/>
    </w:lvl>
  </w:abstractNum>
  <w:abstractNum w:abstractNumId="48">
    <w:nsid w:val="C3A57355"/>
    <w:multiLevelType w:val="singleLevel"/>
    <w:tmpl w:val="C3A57355"/>
    <w:lvl w:ilvl="0" w:tentative="0">
      <w:start w:val="1"/>
      <w:numFmt w:val="decimal"/>
      <w:suff w:val="nothing"/>
      <w:lvlText w:val="（%1）"/>
      <w:lvlJc w:val="left"/>
    </w:lvl>
  </w:abstractNum>
  <w:abstractNum w:abstractNumId="49">
    <w:nsid w:val="C3BD4B81"/>
    <w:multiLevelType w:val="multilevel"/>
    <w:tmpl w:val="C3BD4B81"/>
    <w:lvl w:ilvl="0" w:tentative="0">
      <w:start w:val="1"/>
      <w:numFmt w:val="decimal"/>
      <w:suff w:val="nothing"/>
      <w:lvlText w:val="（%1）"/>
      <w:lvlJc w:val="left"/>
      <w:pPr>
        <w:ind w:left="0" w:firstLine="397"/>
      </w:pPr>
      <w:rPr>
        <w:rFonts w:hint="default"/>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50">
    <w:nsid w:val="C45D1A9B"/>
    <w:multiLevelType w:val="singleLevel"/>
    <w:tmpl w:val="C45D1A9B"/>
    <w:lvl w:ilvl="0" w:tentative="0">
      <w:start w:val="1"/>
      <w:numFmt w:val="decimal"/>
      <w:suff w:val="nothing"/>
      <w:lvlText w:val="（%1）"/>
      <w:lvlJc w:val="left"/>
    </w:lvl>
  </w:abstractNum>
  <w:abstractNum w:abstractNumId="51">
    <w:nsid w:val="C5E39008"/>
    <w:multiLevelType w:val="singleLevel"/>
    <w:tmpl w:val="C5E39008"/>
    <w:lvl w:ilvl="0" w:tentative="0">
      <w:start w:val="1"/>
      <w:numFmt w:val="decimal"/>
      <w:suff w:val="nothing"/>
      <w:lvlText w:val="（%1）"/>
      <w:lvlJc w:val="left"/>
    </w:lvl>
  </w:abstractNum>
  <w:abstractNum w:abstractNumId="52">
    <w:nsid w:val="C7DACAA8"/>
    <w:multiLevelType w:val="singleLevel"/>
    <w:tmpl w:val="C7DACAA8"/>
    <w:lvl w:ilvl="0" w:tentative="0">
      <w:start w:val="1"/>
      <w:numFmt w:val="decimal"/>
      <w:suff w:val="nothing"/>
      <w:lvlText w:val="（%1）"/>
      <w:lvlJc w:val="left"/>
    </w:lvl>
  </w:abstractNum>
  <w:abstractNum w:abstractNumId="53">
    <w:nsid w:val="CACA7512"/>
    <w:multiLevelType w:val="singleLevel"/>
    <w:tmpl w:val="CACA7512"/>
    <w:lvl w:ilvl="0" w:tentative="0">
      <w:start w:val="1"/>
      <w:numFmt w:val="decimal"/>
      <w:suff w:val="nothing"/>
      <w:lvlText w:val="（%1）"/>
      <w:lvlJc w:val="left"/>
    </w:lvl>
  </w:abstractNum>
  <w:abstractNum w:abstractNumId="54">
    <w:nsid w:val="CB143382"/>
    <w:multiLevelType w:val="singleLevel"/>
    <w:tmpl w:val="CB143382"/>
    <w:lvl w:ilvl="0" w:tentative="0">
      <w:start w:val="1"/>
      <w:numFmt w:val="decimal"/>
      <w:suff w:val="nothing"/>
      <w:lvlText w:val="（%1）"/>
      <w:lvlJc w:val="left"/>
    </w:lvl>
  </w:abstractNum>
  <w:abstractNum w:abstractNumId="55">
    <w:nsid w:val="CB33B5F0"/>
    <w:multiLevelType w:val="multilevel"/>
    <w:tmpl w:val="CB33B5F0"/>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56">
    <w:nsid w:val="CE3CD3AC"/>
    <w:multiLevelType w:val="singleLevel"/>
    <w:tmpl w:val="CE3CD3AC"/>
    <w:lvl w:ilvl="0" w:tentative="0">
      <w:start w:val="1"/>
      <w:numFmt w:val="decimal"/>
      <w:suff w:val="nothing"/>
      <w:lvlText w:val="（%1）"/>
      <w:lvlJc w:val="left"/>
    </w:lvl>
  </w:abstractNum>
  <w:abstractNum w:abstractNumId="57">
    <w:nsid w:val="CE4137CF"/>
    <w:multiLevelType w:val="multilevel"/>
    <w:tmpl w:val="CE4137CF"/>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58">
    <w:nsid w:val="CE930E90"/>
    <w:multiLevelType w:val="singleLevel"/>
    <w:tmpl w:val="CE930E90"/>
    <w:lvl w:ilvl="0" w:tentative="0">
      <w:start w:val="1"/>
      <w:numFmt w:val="decimal"/>
      <w:suff w:val="nothing"/>
      <w:lvlText w:val="（%1）"/>
      <w:lvlJc w:val="left"/>
    </w:lvl>
  </w:abstractNum>
  <w:abstractNum w:abstractNumId="59">
    <w:nsid w:val="CF7B258F"/>
    <w:multiLevelType w:val="singleLevel"/>
    <w:tmpl w:val="CF7B258F"/>
    <w:lvl w:ilvl="0" w:tentative="0">
      <w:start w:val="1"/>
      <w:numFmt w:val="decimal"/>
      <w:suff w:val="nothing"/>
      <w:lvlText w:val="（%1）"/>
      <w:lvlJc w:val="left"/>
    </w:lvl>
  </w:abstractNum>
  <w:abstractNum w:abstractNumId="60">
    <w:nsid w:val="D05117A3"/>
    <w:multiLevelType w:val="singleLevel"/>
    <w:tmpl w:val="D05117A3"/>
    <w:lvl w:ilvl="0" w:tentative="0">
      <w:start w:val="1"/>
      <w:numFmt w:val="decimal"/>
      <w:suff w:val="nothing"/>
      <w:lvlText w:val="（%1）"/>
      <w:lvlJc w:val="left"/>
    </w:lvl>
  </w:abstractNum>
  <w:abstractNum w:abstractNumId="61">
    <w:nsid w:val="D06873F2"/>
    <w:multiLevelType w:val="singleLevel"/>
    <w:tmpl w:val="D06873F2"/>
    <w:lvl w:ilvl="0" w:tentative="0">
      <w:start w:val="1"/>
      <w:numFmt w:val="decimal"/>
      <w:suff w:val="nothing"/>
      <w:lvlText w:val="（%1）"/>
      <w:lvlJc w:val="left"/>
    </w:lvl>
  </w:abstractNum>
  <w:abstractNum w:abstractNumId="62">
    <w:nsid w:val="D077C847"/>
    <w:multiLevelType w:val="singleLevel"/>
    <w:tmpl w:val="D077C847"/>
    <w:lvl w:ilvl="0" w:tentative="0">
      <w:start w:val="1"/>
      <w:numFmt w:val="decimal"/>
      <w:suff w:val="nothing"/>
      <w:lvlText w:val="（%1）"/>
      <w:lvlJc w:val="left"/>
    </w:lvl>
  </w:abstractNum>
  <w:abstractNum w:abstractNumId="63">
    <w:nsid w:val="D2BF8AF4"/>
    <w:multiLevelType w:val="singleLevel"/>
    <w:tmpl w:val="D2BF8AF4"/>
    <w:lvl w:ilvl="0" w:tentative="0">
      <w:start w:val="1"/>
      <w:numFmt w:val="decimal"/>
      <w:suff w:val="nothing"/>
      <w:lvlText w:val="（%1）"/>
      <w:lvlJc w:val="left"/>
    </w:lvl>
  </w:abstractNum>
  <w:abstractNum w:abstractNumId="64">
    <w:nsid w:val="D2EA4DDB"/>
    <w:multiLevelType w:val="multilevel"/>
    <w:tmpl w:val="D2EA4DDB"/>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65">
    <w:nsid w:val="D63B7E0B"/>
    <w:multiLevelType w:val="singleLevel"/>
    <w:tmpl w:val="D63B7E0B"/>
    <w:lvl w:ilvl="0" w:tentative="0">
      <w:start w:val="1"/>
      <w:numFmt w:val="decimal"/>
      <w:suff w:val="nothing"/>
      <w:lvlText w:val="（%1）"/>
      <w:lvlJc w:val="left"/>
    </w:lvl>
  </w:abstractNum>
  <w:abstractNum w:abstractNumId="66">
    <w:nsid w:val="D7F4DE3E"/>
    <w:multiLevelType w:val="singleLevel"/>
    <w:tmpl w:val="D7F4DE3E"/>
    <w:lvl w:ilvl="0" w:tentative="0">
      <w:start w:val="1"/>
      <w:numFmt w:val="decimal"/>
      <w:suff w:val="nothing"/>
      <w:lvlText w:val="（%1）"/>
      <w:lvlJc w:val="left"/>
    </w:lvl>
  </w:abstractNum>
  <w:abstractNum w:abstractNumId="67">
    <w:nsid w:val="D8E87C11"/>
    <w:multiLevelType w:val="singleLevel"/>
    <w:tmpl w:val="D8E87C11"/>
    <w:lvl w:ilvl="0" w:tentative="0">
      <w:start w:val="1"/>
      <w:numFmt w:val="decimal"/>
      <w:suff w:val="nothing"/>
      <w:lvlText w:val="（%1）"/>
      <w:lvlJc w:val="left"/>
    </w:lvl>
  </w:abstractNum>
  <w:abstractNum w:abstractNumId="68">
    <w:nsid w:val="DA62E1A0"/>
    <w:multiLevelType w:val="singleLevel"/>
    <w:tmpl w:val="DA62E1A0"/>
    <w:lvl w:ilvl="0" w:tentative="0">
      <w:start w:val="1"/>
      <w:numFmt w:val="decimal"/>
      <w:suff w:val="nothing"/>
      <w:lvlText w:val="（%1）"/>
      <w:lvlJc w:val="left"/>
    </w:lvl>
  </w:abstractNum>
  <w:abstractNum w:abstractNumId="69">
    <w:nsid w:val="DA78C36B"/>
    <w:multiLevelType w:val="singleLevel"/>
    <w:tmpl w:val="DA78C36B"/>
    <w:lvl w:ilvl="0" w:tentative="0">
      <w:start w:val="1"/>
      <w:numFmt w:val="decimal"/>
      <w:suff w:val="nothing"/>
      <w:lvlText w:val="（%1）"/>
      <w:lvlJc w:val="left"/>
    </w:lvl>
  </w:abstractNum>
  <w:abstractNum w:abstractNumId="70">
    <w:nsid w:val="DBFC08AC"/>
    <w:multiLevelType w:val="multilevel"/>
    <w:tmpl w:val="DBFC08AC"/>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71">
    <w:nsid w:val="DCE6A40A"/>
    <w:multiLevelType w:val="singleLevel"/>
    <w:tmpl w:val="DCE6A40A"/>
    <w:lvl w:ilvl="0" w:tentative="0">
      <w:start w:val="1"/>
      <w:numFmt w:val="decimal"/>
      <w:suff w:val="nothing"/>
      <w:lvlText w:val="（%1）"/>
      <w:lvlJc w:val="left"/>
    </w:lvl>
  </w:abstractNum>
  <w:abstractNum w:abstractNumId="72">
    <w:nsid w:val="DCEBA87A"/>
    <w:multiLevelType w:val="singleLevel"/>
    <w:tmpl w:val="DCEBA87A"/>
    <w:lvl w:ilvl="0" w:tentative="0">
      <w:start w:val="1"/>
      <w:numFmt w:val="decimal"/>
      <w:suff w:val="nothing"/>
      <w:lvlText w:val="（%1）"/>
      <w:lvlJc w:val="left"/>
    </w:lvl>
  </w:abstractNum>
  <w:abstractNum w:abstractNumId="73">
    <w:nsid w:val="DD291F8A"/>
    <w:multiLevelType w:val="singleLevel"/>
    <w:tmpl w:val="DD291F8A"/>
    <w:lvl w:ilvl="0" w:tentative="0">
      <w:start w:val="1"/>
      <w:numFmt w:val="decimal"/>
      <w:suff w:val="nothing"/>
      <w:lvlText w:val="（%1）"/>
      <w:lvlJc w:val="left"/>
    </w:lvl>
  </w:abstractNum>
  <w:abstractNum w:abstractNumId="74">
    <w:nsid w:val="DF2EB07A"/>
    <w:multiLevelType w:val="singleLevel"/>
    <w:tmpl w:val="DF2EB07A"/>
    <w:lvl w:ilvl="0" w:tentative="0">
      <w:start w:val="1"/>
      <w:numFmt w:val="decimal"/>
      <w:suff w:val="nothing"/>
      <w:lvlText w:val="（%1）"/>
      <w:lvlJc w:val="left"/>
      <w:pPr>
        <w:ind w:left="0" w:firstLine="397"/>
      </w:pPr>
      <w:rPr>
        <w:rFonts w:hint="default"/>
      </w:rPr>
    </w:lvl>
  </w:abstractNum>
  <w:abstractNum w:abstractNumId="75">
    <w:nsid w:val="E06009CB"/>
    <w:multiLevelType w:val="singleLevel"/>
    <w:tmpl w:val="E06009CB"/>
    <w:lvl w:ilvl="0" w:tentative="0">
      <w:start w:val="1"/>
      <w:numFmt w:val="decimal"/>
      <w:suff w:val="nothing"/>
      <w:lvlText w:val="（%1）"/>
      <w:lvlJc w:val="left"/>
      <w:pPr>
        <w:ind w:left="0" w:firstLine="397"/>
      </w:pPr>
      <w:rPr>
        <w:rFonts w:hint="default"/>
      </w:rPr>
    </w:lvl>
  </w:abstractNum>
  <w:abstractNum w:abstractNumId="76">
    <w:nsid w:val="E084D44B"/>
    <w:multiLevelType w:val="singleLevel"/>
    <w:tmpl w:val="E084D44B"/>
    <w:lvl w:ilvl="0" w:tentative="0">
      <w:start w:val="1"/>
      <w:numFmt w:val="decimal"/>
      <w:suff w:val="nothing"/>
      <w:lvlText w:val="（%1）"/>
      <w:lvlJc w:val="left"/>
      <w:pPr>
        <w:ind w:left="0" w:firstLine="397"/>
      </w:pPr>
      <w:rPr>
        <w:rFonts w:hint="default"/>
      </w:rPr>
    </w:lvl>
  </w:abstractNum>
  <w:abstractNum w:abstractNumId="77">
    <w:nsid w:val="E0924015"/>
    <w:multiLevelType w:val="singleLevel"/>
    <w:tmpl w:val="E0924015"/>
    <w:lvl w:ilvl="0" w:tentative="0">
      <w:start w:val="1"/>
      <w:numFmt w:val="decimal"/>
      <w:suff w:val="nothing"/>
      <w:lvlText w:val="（%1）"/>
      <w:lvlJc w:val="left"/>
      <w:pPr>
        <w:ind w:left="0" w:firstLine="397"/>
      </w:pPr>
      <w:rPr>
        <w:rFonts w:hint="default"/>
      </w:rPr>
    </w:lvl>
  </w:abstractNum>
  <w:abstractNum w:abstractNumId="78">
    <w:nsid w:val="E126B98C"/>
    <w:multiLevelType w:val="multilevel"/>
    <w:tmpl w:val="E126B98C"/>
    <w:lvl w:ilvl="0" w:tentative="0">
      <w:start w:val="1"/>
      <w:numFmt w:val="decimal"/>
      <w:suff w:val="nothing"/>
      <w:lvlText w:val="（%1）"/>
      <w:lvlJc w:val="left"/>
      <w:rPr>
        <w:rFonts w:hint="default"/>
        <w:u w:val="none"/>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79">
    <w:nsid w:val="E1FAD515"/>
    <w:multiLevelType w:val="multilevel"/>
    <w:tmpl w:val="E1FAD515"/>
    <w:lvl w:ilvl="0" w:tentative="0">
      <w:start w:val="1"/>
      <w:numFmt w:val="decimal"/>
      <w:suff w:val="nothing"/>
      <w:lvlText w:val="（%1）"/>
      <w:lvlJc w:val="left"/>
      <w:pPr>
        <w:ind w:left="0" w:firstLine="397"/>
      </w:pPr>
      <w:rPr>
        <w:rFonts w:hint="default"/>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80">
    <w:nsid w:val="E2495E77"/>
    <w:multiLevelType w:val="singleLevel"/>
    <w:tmpl w:val="E2495E77"/>
    <w:lvl w:ilvl="0" w:tentative="0">
      <w:start w:val="1"/>
      <w:numFmt w:val="decimal"/>
      <w:suff w:val="nothing"/>
      <w:lvlText w:val="（%1）"/>
      <w:lvlJc w:val="left"/>
      <w:pPr>
        <w:ind w:left="0" w:firstLine="397"/>
      </w:pPr>
      <w:rPr>
        <w:rFonts w:hint="default"/>
      </w:rPr>
    </w:lvl>
  </w:abstractNum>
  <w:abstractNum w:abstractNumId="81">
    <w:nsid w:val="E6F0F1F5"/>
    <w:multiLevelType w:val="singleLevel"/>
    <w:tmpl w:val="E6F0F1F5"/>
    <w:lvl w:ilvl="0" w:tentative="0">
      <w:start w:val="1"/>
      <w:numFmt w:val="decimal"/>
      <w:suff w:val="nothing"/>
      <w:lvlText w:val="（%1）"/>
      <w:lvlJc w:val="left"/>
    </w:lvl>
  </w:abstractNum>
  <w:abstractNum w:abstractNumId="82">
    <w:nsid w:val="E7B0649C"/>
    <w:multiLevelType w:val="singleLevel"/>
    <w:tmpl w:val="E7B0649C"/>
    <w:lvl w:ilvl="0" w:tentative="0">
      <w:start w:val="1"/>
      <w:numFmt w:val="decimal"/>
      <w:suff w:val="nothing"/>
      <w:lvlText w:val="（%1）"/>
      <w:lvlJc w:val="left"/>
    </w:lvl>
  </w:abstractNum>
  <w:abstractNum w:abstractNumId="83">
    <w:nsid w:val="E8944292"/>
    <w:multiLevelType w:val="singleLevel"/>
    <w:tmpl w:val="E8944292"/>
    <w:lvl w:ilvl="0" w:tentative="0">
      <w:start w:val="1"/>
      <w:numFmt w:val="decimal"/>
      <w:suff w:val="nothing"/>
      <w:lvlText w:val="（%1）"/>
      <w:lvlJc w:val="left"/>
    </w:lvl>
  </w:abstractNum>
  <w:abstractNum w:abstractNumId="84">
    <w:nsid w:val="E984D487"/>
    <w:multiLevelType w:val="multilevel"/>
    <w:tmpl w:val="E984D487"/>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85">
    <w:nsid w:val="EA58BC09"/>
    <w:multiLevelType w:val="singleLevel"/>
    <w:tmpl w:val="EA58BC09"/>
    <w:lvl w:ilvl="0" w:tentative="0">
      <w:start w:val="1"/>
      <w:numFmt w:val="decimal"/>
      <w:suff w:val="nothing"/>
      <w:lvlText w:val="（%1）"/>
      <w:lvlJc w:val="left"/>
      <w:pPr>
        <w:ind w:left="0" w:firstLine="397"/>
      </w:pPr>
      <w:rPr>
        <w:rFonts w:hint="default"/>
      </w:rPr>
    </w:lvl>
  </w:abstractNum>
  <w:abstractNum w:abstractNumId="86">
    <w:nsid w:val="EC2FDC0B"/>
    <w:multiLevelType w:val="singleLevel"/>
    <w:tmpl w:val="EC2FDC0B"/>
    <w:lvl w:ilvl="0" w:tentative="0">
      <w:start w:val="1"/>
      <w:numFmt w:val="decimal"/>
      <w:suff w:val="nothing"/>
      <w:lvlText w:val="（%1）"/>
      <w:lvlJc w:val="left"/>
    </w:lvl>
  </w:abstractNum>
  <w:abstractNum w:abstractNumId="87">
    <w:nsid w:val="ED067921"/>
    <w:multiLevelType w:val="singleLevel"/>
    <w:tmpl w:val="ED067921"/>
    <w:lvl w:ilvl="0" w:tentative="0">
      <w:start w:val="1"/>
      <w:numFmt w:val="decimal"/>
      <w:suff w:val="nothing"/>
      <w:lvlText w:val="（%1）"/>
      <w:lvlJc w:val="left"/>
    </w:lvl>
  </w:abstractNum>
  <w:abstractNum w:abstractNumId="88">
    <w:nsid w:val="EE18B082"/>
    <w:multiLevelType w:val="singleLevel"/>
    <w:tmpl w:val="EE18B082"/>
    <w:lvl w:ilvl="0" w:tentative="0">
      <w:start w:val="1"/>
      <w:numFmt w:val="decimal"/>
      <w:suff w:val="nothing"/>
      <w:lvlText w:val="（%1）"/>
      <w:lvlJc w:val="left"/>
    </w:lvl>
  </w:abstractNum>
  <w:abstractNum w:abstractNumId="89">
    <w:nsid w:val="EF6FB1FB"/>
    <w:multiLevelType w:val="singleLevel"/>
    <w:tmpl w:val="EF6FB1FB"/>
    <w:lvl w:ilvl="0" w:tentative="0">
      <w:start w:val="1"/>
      <w:numFmt w:val="decimal"/>
      <w:suff w:val="nothing"/>
      <w:lvlText w:val="（%1）"/>
      <w:lvlJc w:val="left"/>
    </w:lvl>
  </w:abstractNum>
  <w:abstractNum w:abstractNumId="90">
    <w:nsid w:val="F05383C6"/>
    <w:multiLevelType w:val="singleLevel"/>
    <w:tmpl w:val="F05383C6"/>
    <w:lvl w:ilvl="0" w:tentative="0">
      <w:start w:val="1"/>
      <w:numFmt w:val="decimal"/>
      <w:suff w:val="nothing"/>
      <w:lvlText w:val="（%1）"/>
      <w:lvlJc w:val="left"/>
    </w:lvl>
  </w:abstractNum>
  <w:abstractNum w:abstractNumId="91">
    <w:nsid w:val="F0BE8F33"/>
    <w:multiLevelType w:val="singleLevel"/>
    <w:tmpl w:val="F0BE8F33"/>
    <w:lvl w:ilvl="0" w:tentative="0">
      <w:start w:val="1"/>
      <w:numFmt w:val="decimal"/>
      <w:suff w:val="nothing"/>
      <w:lvlText w:val="（%1）"/>
      <w:lvlJc w:val="left"/>
      <w:pPr>
        <w:ind w:left="0" w:firstLine="397"/>
      </w:pPr>
      <w:rPr>
        <w:rFonts w:hint="default"/>
      </w:rPr>
    </w:lvl>
  </w:abstractNum>
  <w:abstractNum w:abstractNumId="92">
    <w:nsid w:val="F1039807"/>
    <w:multiLevelType w:val="singleLevel"/>
    <w:tmpl w:val="F1039807"/>
    <w:lvl w:ilvl="0" w:tentative="0">
      <w:start w:val="1"/>
      <w:numFmt w:val="decimal"/>
      <w:suff w:val="nothing"/>
      <w:lvlText w:val="（%1）"/>
      <w:lvlJc w:val="left"/>
      <w:pPr>
        <w:ind w:left="0" w:firstLine="397"/>
      </w:pPr>
      <w:rPr>
        <w:rFonts w:hint="default"/>
      </w:rPr>
    </w:lvl>
  </w:abstractNum>
  <w:abstractNum w:abstractNumId="93">
    <w:nsid w:val="F5424D00"/>
    <w:multiLevelType w:val="singleLevel"/>
    <w:tmpl w:val="F5424D00"/>
    <w:lvl w:ilvl="0" w:tentative="0">
      <w:start w:val="1"/>
      <w:numFmt w:val="decimal"/>
      <w:suff w:val="nothing"/>
      <w:lvlText w:val="（%1）"/>
      <w:lvlJc w:val="left"/>
      <w:pPr>
        <w:ind w:left="0" w:firstLine="397"/>
      </w:pPr>
      <w:rPr>
        <w:rFonts w:hint="default"/>
      </w:rPr>
    </w:lvl>
  </w:abstractNum>
  <w:abstractNum w:abstractNumId="94">
    <w:nsid w:val="F59F8C1D"/>
    <w:multiLevelType w:val="multilevel"/>
    <w:tmpl w:val="F59F8C1D"/>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95">
    <w:nsid w:val="F7E934D6"/>
    <w:multiLevelType w:val="multilevel"/>
    <w:tmpl w:val="F7E934D6"/>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96">
    <w:nsid w:val="F8A18097"/>
    <w:multiLevelType w:val="multilevel"/>
    <w:tmpl w:val="F8A18097"/>
    <w:lvl w:ilvl="0" w:tentative="0">
      <w:start w:val="1"/>
      <w:numFmt w:val="decimal"/>
      <w:suff w:val="nothing"/>
      <w:lvlText w:val="（%1）"/>
      <w:lvlJc w:val="left"/>
      <w:pPr>
        <w:ind w:left="0" w:firstLine="397"/>
      </w:pPr>
      <w:rPr>
        <w:rFonts w:hint="default"/>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97">
    <w:nsid w:val="FAD6A426"/>
    <w:multiLevelType w:val="singleLevel"/>
    <w:tmpl w:val="FAD6A426"/>
    <w:lvl w:ilvl="0" w:tentative="0">
      <w:start w:val="1"/>
      <w:numFmt w:val="decimal"/>
      <w:suff w:val="nothing"/>
      <w:lvlText w:val="（%1）"/>
      <w:lvlJc w:val="left"/>
    </w:lvl>
  </w:abstractNum>
  <w:abstractNum w:abstractNumId="98">
    <w:nsid w:val="FBCDB434"/>
    <w:multiLevelType w:val="singleLevel"/>
    <w:tmpl w:val="FBCDB434"/>
    <w:lvl w:ilvl="0" w:tentative="0">
      <w:start w:val="1"/>
      <w:numFmt w:val="decimal"/>
      <w:suff w:val="nothing"/>
      <w:lvlText w:val="（%1）"/>
      <w:lvlJc w:val="left"/>
    </w:lvl>
  </w:abstractNum>
  <w:abstractNum w:abstractNumId="99">
    <w:nsid w:val="FC35FEDC"/>
    <w:multiLevelType w:val="singleLevel"/>
    <w:tmpl w:val="FC35FEDC"/>
    <w:lvl w:ilvl="0" w:tentative="0">
      <w:start w:val="1"/>
      <w:numFmt w:val="decimal"/>
      <w:suff w:val="nothing"/>
      <w:lvlText w:val="（%1）"/>
      <w:lvlJc w:val="left"/>
    </w:lvl>
  </w:abstractNum>
  <w:abstractNum w:abstractNumId="100">
    <w:nsid w:val="FCF02C0E"/>
    <w:multiLevelType w:val="singleLevel"/>
    <w:tmpl w:val="FCF02C0E"/>
    <w:lvl w:ilvl="0" w:tentative="0">
      <w:start w:val="1"/>
      <w:numFmt w:val="decimal"/>
      <w:suff w:val="nothing"/>
      <w:lvlText w:val="（%1）"/>
      <w:lvlJc w:val="left"/>
    </w:lvl>
  </w:abstractNum>
  <w:abstractNum w:abstractNumId="101">
    <w:nsid w:val="FD2BD192"/>
    <w:multiLevelType w:val="singleLevel"/>
    <w:tmpl w:val="FD2BD192"/>
    <w:lvl w:ilvl="0" w:tentative="0">
      <w:start w:val="1"/>
      <w:numFmt w:val="decimal"/>
      <w:suff w:val="nothing"/>
      <w:lvlText w:val="（%1）"/>
      <w:lvlJc w:val="left"/>
    </w:lvl>
  </w:abstractNum>
  <w:abstractNum w:abstractNumId="102">
    <w:nsid w:val="FD6D5591"/>
    <w:multiLevelType w:val="singleLevel"/>
    <w:tmpl w:val="FD6D5591"/>
    <w:lvl w:ilvl="0" w:tentative="0">
      <w:start w:val="1"/>
      <w:numFmt w:val="decimal"/>
      <w:suff w:val="nothing"/>
      <w:lvlText w:val="（%1）"/>
      <w:lvlJc w:val="left"/>
      <w:pPr>
        <w:ind w:left="0" w:firstLine="397"/>
      </w:pPr>
      <w:rPr>
        <w:rFonts w:hint="default"/>
      </w:rPr>
    </w:lvl>
  </w:abstractNum>
  <w:abstractNum w:abstractNumId="103">
    <w:nsid w:val="FD8D5D92"/>
    <w:multiLevelType w:val="singleLevel"/>
    <w:tmpl w:val="FD8D5D92"/>
    <w:lvl w:ilvl="0" w:tentative="0">
      <w:start w:val="1"/>
      <w:numFmt w:val="decimal"/>
      <w:suff w:val="nothing"/>
      <w:lvlText w:val="（%1）"/>
      <w:lvlJc w:val="left"/>
      <w:pPr>
        <w:ind w:left="0" w:firstLine="397"/>
      </w:pPr>
      <w:rPr>
        <w:rFonts w:hint="default"/>
      </w:rPr>
    </w:lvl>
  </w:abstractNum>
  <w:abstractNum w:abstractNumId="104">
    <w:nsid w:val="FDFD8907"/>
    <w:multiLevelType w:val="singleLevel"/>
    <w:tmpl w:val="FDFD8907"/>
    <w:lvl w:ilvl="0" w:tentative="0">
      <w:start w:val="1"/>
      <w:numFmt w:val="decimal"/>
      <w:suff w:val="nothing"/>
      <w:lvlText w:val="（%1）"/>
      <w:lvlJc w:val="left"/>
    </w:lvl>
  </w:abstractNum>
  <w:abstractNum w:abstractNumId="105">
    <w:nsid w:val="FE7C017A"/>
    <w:multiLevelType w:val="multilevel"/>
    <w:tmpl w:val="FE7C017A"/>
    <w:lvl w:ilvl="0" w:tentative="0">
      <w:start w:val="1"/>
      <w:numFmt w:val="decimal"/>
      <w:suff w:val="nothing"/>
      <w:lvlText w:val="（%1）"/>
      <w:lvlJc w:val="left"/>
      <w:rPr>
        <w:rFonts w:hint="default"/>
        <w:u w:val="none"/>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06">
    <w:nsid w:val="FE8F177F"/>
    <w:multiLevelType w:val="singleLevel"/>
    <w:tmpl w:val="FE8F177F"/>
    <w:lvl w:ilvl="0" w:tentative="0">
      <w:start w:val="1"/>
      <w:numFmt w:val="decimal"/>
      <w:suff w:val="nothing"/>
      <w:lvlText w:val="（%1）"/>
      <w:lvlJc w:val="left"/>
    </w:lvl>
  </w:abstractNum>
  <w:abstractNum w:abstractNumId="107">
    <w:nsid w:val="FEE46B1A"/>
    <w:multiLevelType w:val="singleLevel"/>
    <w:tmpl w:val="FEE46B1A"/>
    <w:lvl w:ilvl="0" w:tentative="0">
      <w:start w:val="1"/>
      <w:numFmt w:val="decimal"/>
      <w:suff w:val="nothing"/>
      <w:lvlText w:val="（%1）"/>
      <w:lvlJc w:val="left"/>
    </w:lvl>
  </w:abstractNum>
  <w:abstractNum w:abstractNumId="108">
    <w:nsid w:val="FFF32A03"/>
    <w:multiLevelType w:val="singleLevel"/>
    <w:tmpl w:val="FFF32A03"/>
    <w:lvl w:ilvl="0" w:tentative="0">
      <w:start w:val="1"/>
      <w:numFmt w:val="decimal"/>
      <w:suff w:val="nothing"/>
      <w:lvlText w:val="（%1）"/>
      <w:lvlJc w:val="left"/>
    </w:lvl>
  </w:abstractNum>
  <w:abstractNum w:abstractNumId="109">
    <w:nsid w:val="017ECE22"/>
    <w:multiLevelType w:val="singleLevel"/>
    <w:tmpl w:val="017ECE22"/>
    <w:lvl w:ilvl="0" w:tentative="0">
      <w:start w:val="1"/>
      <w:numFmt w:val="decimal"/>
      <w:suff w:val="nothing"/>
      <w:lvlText w:val="（%1）"/>
      <w:lvlJc w:val="left"/>
      <w:pPr>
        <w:ind w:left="0" w:firstLine="397"/>
      </w:pPr>
      <w:rPr>
        <w:rFonts w:hint="default"/>
      </w:rPr>
    </w:lvl>
  </w:abstractNum>
  <w:abstractNum w:abstractNumId="110">
    <w:nsid w:val="01837CEB"/>
    <w:multiLevelType w:val="singleLevel"/>
    <w:tmpl w:val="01837CEB"/>
    <w:lvl w:ilvl="0" w:tentative="0">
      <w:start w:val="1"/>
      <w:numFmt w:val="decimal"/>
      <w:suff w:val="nothing"/>
      <w:lvlText w:val="（%1）"/>
      <w:lvlJc w:val="left"/>
    </w:lvl>
  </w:abstractNum>
  <w:abstractNum w:abstractNumId="111">
    <w:nsid w:val="065D295A"/>
    <w:multiLevelType w:val="singleLevel"/>
    <w:tmpl w:val="065D295A"/>
    <w:lvl w:ilvl="0" w:tentative="0">
      <w:start w:val="1"/>
      <w:numFmt w:val="decimal"/>
      <w:suff w:val="nothing"/>
      <w:lvlText w:val="（%1）"/>
      <w:lvlJc w:val="left"/>
      <w:pPr>
        <w:ind w:left="0" w:firstLine="397"/>
      </w:pPr>
      <w:rPr>
        <w:rFonts w:hint="default"/>
      </w:rPr>
    </w:lvl>
  </w:abstractNum>
  <w:abstractNum w:abstractNumId="112">
    <w:nsid w:val="06874283"/>
    <w:multiLevelType w:val="singleLevel"/>
    <w:tmpl w:val="06874283"/>
    <w:lvl w:ilvl="0" w:tentative="0">
      <w:start w:val="1"/>
      <w:numFmt w:val="decimal"/>
      <w:suff w:val="nothing"/>
      <w:lvlText w:val="（%1）"/>
      <w:lvlJc w:val="left"/>
    </w:lvl>
  </w:abstractNum>
  <w:abstractNum w:abstractNumId="113">
    <w:nsid w:val="09AA4FA9"/>
    <w:multiLevelType w:val="singleLevel"/>
    <w:tmpl w:val="09AA4FA9"/>
    <w:lvl w:ilvl="0" w:tentative="0">
      <w:start w:val="1"/>
      <w:numFmt w:val="decimal"/>
      <w:suff w:val="nothing"/>
      <w:lvlText w:val="（%1）"/>
      <w:lvlJc w:val="left"/>
    </w:lvl>
  </w:abstractNum>
  <w:abstractNum w:abstractNumId="114">
    <w:nsid w:val="0C1B041B"/>
    <w:multiLevelType w:val="multilevel"/>
    <w:tmpl w:val="0C1B041B"/>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15">
    <w:nsid w:val="0CAB07AB"/>
    <w:multiLevelType w:val="singleLevel"/>
    <w:tmpl w:val="0CAB07AB"/>
    <w:lvl w:ilvl="0" w:tentative="0">
      <w:start w:val="1"/>
      <w:numFmt w:val="decimal"/>
      <w:suff w:val="nothing"/>
      <w:lvlText w:val="（%1）"/>
      <w:lvlJc w:val="left"/>
    </w:lvl>
  </w:abstractNum>
  <w:abstractNum w:abstractNumId="116">
    <w:nsid w:val="0CF66F0B"/>
    <w:multiLevelType w:val="singleLevel"/>
    <w:tmpl w:val="0CF66F0B"/>
    <w:lvl w:ilvl="0" w:tentative="0">
      <w:start w:val="1"/>
      <w:numFmt w:val="decimal"/>
      <w:suff w:val="nothing"/>
      <w:lvlText w:val="（%1）"/>
      <w:lvlJc w:val="left"/>
    </w:lvl>
  </w:abstractNum>
  <w:abstractNum w:abstractNumId="117">
    <w:nsid w:val="10D67804"/>
    <w:multiLevelType w:val="singleLevel"/>
    <w:tmpl w:val="10D67804"/>
    <w:lvl w:ilvl="0" w:tentative="0">
      <w:start w:val="1"/>
      <w:numFmt w:val="decimal"/>
      <w:suff w:val="nothing"/>
      <w:lvlText w:val="（%1）"/>
      <w:lvlJc w:val="left"/>
      <w:pPr>
        <w:ind w:left="0" w:firstLine="397"/>
      </w:pPr>
      <w:rPr>
        <w:rFonts w:hint="default"/>
      </w:rPr>
    </w:lvl>
  </w:abstractNum>
  <w:abstractNum w:abstractNumId="118">
    <w:nsid w:val="11DE8A0B"/>
    <w:multiLevelType w:val="singleLevel"/>
    <w:tmpl w:val="11DE8A0B"/>
    <w:lvl w:ilvl="0" w:tentative="0">
      <w:start w:val="1"/>
      <w:numFmt w:val="decimal"/>
      <w:suff w:val="nothing"/>
      <w:lvlText w:val="（%1）"/>
      <w:lvlJc w:val="left"/>
    </w:lvl>
  </w:abstractNum>
  <w:abstractNum w:abstractNumId="119">
    <w:nsid w:val="15BE289A"/>
    <w:multiLevelType w:val="singleLevel"/>
    <w:tmpl w:val="15BE289A"/>
    <w:lvl w:ilvl="0" w:tentative="0">
      <w:start w:val="1"/>
      <w:numFmt w:val="decimal"/>
      <w:suff w:val="nothing"/>
      <w:lvlText w:val="（%1）"/>
      <w:lvlJc w:val="left"/>
    </w:lvl>
  </w:abstractNum>
  <w:abstractNum w:abstractNumId="120">
    <w:nsid w:val="161FF6E0"/>
    <w:multiLevelType w:val="singleLevel"/>
    <w:tmpl w:val="161FF6E0"/>
    <w:lvl w:ilvl="0" w:tentative="0">
      <w:start w:val="1"/>
      <w:numFmt w:val="decimal"/>
      <w:suff w:val="nothing"/>
      <w:lvlText w:val="（%1）"/>
      <w:lvlJc w:val="left"/>
    </w:lvl>
  </w:abstractNum>
  <w:abstractNum w:abstractNumId="121">
    <w:nsid w:val="17120ECB"/>
    <w:multiLevelType w:val="singleLevel"/>
    <w:tmpl w:val="17120ECB"/>
    <w:lvl w:ilvl="0" w:tentative="0">
      <w:start w:val="1"/>
      <w:numFmt w:val="decimal"/>
      <w:suff w:val="nothing"/>
      <w:lvlText w:val="（%1）"/>
      <w:lvlJc w:val="left"/>
    </w:lvl>
  </w:abstractNum>
  <w:abstractNum w:abstractNumId="122">
    <w:nsid w:val="183C22FB"/>
    <w:multiLevelType w:val="singleLevel"/>
    <w:tmpl w:val="183C22FB"/>
    <w:lvl w:ilvl="0" w:tentative="0">
      <w:start w:val="1"/>
      <w:numFmt w:val="decimal"/>
      <w:suff w:val="nothing"/>
      <w:lvlText w:val="（%1）"/>
      <w:lvlJc w:val="left"/>
      <w:pPr>
        <w:ind w:left="0" w:firstLine="397"/>
      </w:pPr>
      <w:rPr>
        <w:rFonts w:hint="default"/>
      </w:rPr>
    </w:lvl>
  </w:abstractNum>
  <w:abstractNum w:abstractNumId="123">
    <w:nsid w:val="1952571A"/>
    <w:multiLevelType w:val="singleLevel"/>
    <w:tmpl w:val="1952571A"/>
    <w:lvl w:ilvl="0" w:tentative="0">
      <w:start w:val="1"/>
      <w:numFmt w:val="decimal"/>
      <w:suff w:val="nothing"/>
      <w:lvlText w:val="（%1）"/>
      <w:lvlJc w:val="left"/>
    </w:lvl>
  </w:abstractNum>
  <w:abstractNum w:abstractNumId="124">
    <w:nsid w:val="19CDEBF0"/>
    <w:multiLevelType w:val="singleLevel"/>
    <w:tmpl w:val="19CDEBF0"/>
    <w:lvl w:ilvl="0" w:tentative="0">
      <w:start w:val="1"/>
      <w:numFmt w:val="decimal"/>
      <w:suff w:val="nothing"/>
      <w:lvlText w:val="（%1）"/>
      <w:lvlJc w:val="left"/>
    </w:lvl>
  </w:abstractNum>
  <w:abstractNum w:abstractNumId="125">
    <w:nsid w:val="1A4BE25F"/>
    <w:multiLevelType w:val="singleLevel"/>
    <w:tmpl w:val="1A4BE25F"/>
    <w:lvl w:ilvl="0" w:tentative="0">
      <w:start w:val="1"/>
      <w:numFmt w:val="decimal"/>
      <w:suff w:val="nothing"/>
      <w:lvlText w:val="（%1）"/>
      <w:lvlJc w:val="left"/>
    </w:lvl>
  </w:abstractNum>
  <w:abstractNum w:abstractNumId="126">
    <w:nsid w:val="1A79E4C1"/>
    <w:multiLevelType w:val="singleLevel"/>
    <w:tmpl w:val="1A79E4C1"/>
    <w:lvl w:ilvl="0" w:tentative="0">
      <w:start w:val="1"/>
      <w:numFmt w:val="decimal"/>
      <w:suff w:val="nothing"/>
      <w:lvlText w:val="（%1）"/>
      <w:lvlJc w:val="left"/>
    </w:lvl>
  </w:abstractNum>
  <w:abstractNum w:abstractNumId="127">
    <w:nsid w:val="1BAE3767"/>
    <w:multiLevelType w:val="multilevel"/>
    <w:tmpl w:val="1BAE3767"/>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28">
    <w:nsid w:val="1BEFC9BD"/>
    <w:multiLevelType w:val="multilevel"/>
    <w:tmpl w:val="1BEFC9BD"/>
    <w:lvl w:ilvl="0" w:tentative="0">
      <w:start w:val="1"/>
      <w:numFmt w:val="decimal"/>
      <w:suff w:val="nothing"/>
      <w:lvlText w:val="（%1）"/>
      <w:lvlJc w:val="left"/>
      <w:rPr>
        <w:rFonts w:hint="default"/>
        <w:u w:val="none"/>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29">
    <w:nsid w:val="1C048988"/>
    <w:multiLevelType w:val="singleLevel"/>
    <w:tmpl w:val="1C048988"/>
    <w:lvl w:ilvl="0" w:tentative="0">
      <w:start w:val="1"/>
      <w:numFmt w:val="decimal"/>
      <w:suff w:val="nothing"/>
      <w:lvlText w:val="（%1）"/>
      <w:lvlJc w:val="left"/>
    </w:lvl>
  </w:abstractNum>
  <w:abstractNum w:abstractNumId="130">
    <w:nsid w:val="1C5B3965"/>
    <w:multiLevelType w:val="singleLevel"/>
    <w:tmpl w:val="1C5B3965"/>
    <w:lvl w:ilvl="0" w:tentative="0">
      <w:start w:val="1"/>
      <w:numFmt w:val="decimal"/>
      <w:suff w:val="nothing"/>
      <w:lvlText w:val="（%1）"/>
      <w:lvlJc w:val="left"/>
    </w:lvl>
  </w:abstractNum>
  <w:abstractNum w:abstractNumId="131">
    <w:nsid w:val="1CA15D6E"/>
    <w:multiLevelType w:val="singleLevel"/>
    <w:tmpl w:val="1CA15D6E"/>
    <w:lvl w:ilvl="0" w:tentative="0">
      <w:start w:val="1"/>
      <w:numFmt w:val="decimal"/>
      <w:suff w:val="nothing"/>
      <w:lvlText w:val="（%1）"/>
      <w:lvlJc w:val="left"/>
    </w:lvl>
  </w:abstractNum>
  <w:abstractNum w:abstractNumId="132">
    <w:nsid w:val="1CEEB477"/>
    <w:multiLevelType w:val="singleLevel"/>
    <w:tmpl w:val="1CEEB477"/>
    <w:lvl w:ilvl="0" w:tentative="0">
      <w:start w:val="1"/>
      <w:numFmt w:val="decimal"/>
      <w:suff w:val="nothing"/>
      <w:lvlText w:val="（%1）"/>
      <w:lvlJc w:val="left"/>
    </w:lvl>
  </w:abstractNum>
  <w:abstractNum w:abstractNumId="133">
    <w:nsid w:val="1D212CA6"/>
    <w:multiLevelType w:val="multilevel"/>
    <w:tmpl w:val="1D212CA6"/>
    <w:lvl w:ilvl="0" w:tentative="0">
      <w:start w:val="1"/>
      <w:numFmt w:val="decimal"/>
      <w:suff w:val="space"/>
      <w:lvlText w:val="%1"/>
      <w:lvlJc w:val="left"/>
      <w:pPr>
        <w:tabs>
          <w:tab w:val="left" w:pos="0"/>
        </w:tabs>
        <w:ind w:left="0" w:firstLine="737"/>
      </w:pPr>
      <w:rPr>
        <w:rFonts w:hint="default" w:ascii="Times New Roman" w:hAnsi="Times New Roman" w:eastAsia="仿宋" w:cs="Times New Roman"/>
        <w:bCs w:val="0"/>
        <w:sz w:val="28"/>
        <w:szCs w:val="28"/>
      </w:rPr>
    </w:lvl>
    <w:lvl w:ilvl="1" w:tentative="0">
      <w:start w:val="1"/>
      <w:numFmt w:val="decimal"/>
      <w:suff w:val="space"/>
      <w:lvlText w:val="%1.%2"/>
      <w:lvlJc w:val="left"/>
      <w:pPr>
        <w:tabs>
          <w:tab w:val="left" w:pos="0"/>
        </w:tabs>
        <w:ind w:left="0" w:firstLine="737"/>
      </w:pPr>
      <w:rPr>
        <w:rFonts w:hint="default" w:ascii="Times New Roman" w:hAnsi="Times New Roman" w:eastAsia="仿宋" w:cs="Times New Roman"/>
        <w:b/>
        <w:bCs/>
        <w:sz w:val="28"/>
        <w:szCs w:val="28"/>
      </w:rPr>
    </w:lvl>
    <w:lvl w:ilvl="2" w:tentative="0">
      <w:start w:val="1"/>
      <w:numFmt w:val="decimal"/>
      <w:suff w:val="space"/>
      <w:lvlText w:val="%1.%2.%3"/>
      <w:lvlJc w:val="left"/>
      <w:pPr>
        <w:tabs>
          <w:tab w:val="left" w:pos="0"/>
        </w:tabs>
        <w:ind w:left="0" w:firstLine="737"/>
      </w:pPr>
      <w:rPr>
        <w:rFonts w:hint="default" w:ascii="Times New Roman" w:hAnsi="Times New Roman" w:eastAsia="仿宋" w:cs="Times New Roman"/>
        <w:b/>
        <w:bCs/>
        <w:sz w:val="28"/>
        <w:szCs w:val="28"/>
      </w:rPr>
    </w:lvl>
    <w:lvl w:ilvl="3" w:tentative="0">
      <w:start w:val="1"/>
      <w:numFmt w:val="decimal"/>
      <w:suff w:val="space"/>
      <w:lvlText w:val="%1.%2.%3.%4"/>
      <w:lvlJc w:val="left"/>
      <w:pPr>
        <w:tabs>
          <w:tab w:val="left" w:pos="0"/>
        </w:tabs>
        <w:ind w:left="0" w:firstLine="850"/>
      </w:pPr>
      <w:rPr>
        <w:rFonts w:hint="default" w:ascii="仿宋" w:hAnsi="仿宋" w:eastAsia="仿宋" w:cs="仿宋"/>
        <w:sz w:val="32"/>
        <w:szCs w:val="32"/>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34">
    <w:nsid w:val="1E4803FE"/>
    <w:multiLevelType w:val="singleLevel"/>
    <w:tmpl w:val="1E4803FE"/>
    <w:lvl w:ilvl="0" w:tentative="0">
      <w:start w:val="1"/>
      <w:numFmt w:val="decimal"/>
      <w:suff w:val="nothing"/>
      <w:lvlText w:val="（%1）"/>
      <w:lvlJc w:val="left"/>
    </w:lvl>
  </w:abstractNum>
  <w:abstractNum w:abstractNumId="135">
    <w:nsid w:val="21B8C3CF"/>
    <w:multiLevelType w:val="singleLevel"/>
    <w:tmpl w:val="21B8C3CF"/>
    <w:lvl w:ilvl="0" w:tentative="0">
      <w:start w:val="1"/>
      <w:numFmt w:val="decimal"/>
      <w:suff w:val="nothing"/>
      <w:lvlText w:val="（%1）"/>
      <w:lvlJc w:val="left"/>
    </w:lvl>
  </w:abstractNum>
  <w:abstractNum w:abstractNumId="136">
    <w:nsid w:val="25118240"/>
    <w:multiLevelType w:val="singleLevel"/>
    <w:tmpl w:val="25118240"/>
    <w:lvl w:ilvl="0" w:tentative="0">
      <w:start w:val="1"/>
      <w:numFmt w:val="decimal"/>
      <w:suff w:val="nothing"/>
      <w:lvlText w:val="（%1）"/>
      <w:lvlJc w:val="left"/>
    </w:lvl>
  </w:abstractNum>
  <w:abstractNum w:abstractNumId="137">
    <w:nsid w:val="2774CE6E"/>
    <w:multiLevelType w:val="singleLevel"/>
    <w:tmpl w:val="2774CE6E"/>
    <w:lvl w:ilvl="0" w:tentative="0">
      <w:start w:val="1"/>
      <w:numFmt w:val="decimal"/>
      <w:suff w:val="nothing"/>
      <w:lvlText w:val="（%1）"/>
      <w:lvlJc w:val="left"/>
    </w:lvl>
  </w:abstractNum>
  <w:abstractNum w:abstractNumId="138">
    <w:nsid w:val="2A46D73E"/>
    <w:multiLevelType w:val="singleLevel"/>
    <w:tmpl w:val="2A46D73E"/>
    <w:lvl w:ilvl="0" w:tentative="0">
      <w:start w:val="1"/>
      <w:numFmt w:val="decimal"/>
      <w:suff w:val="nothing"/>
      <w:lvlText w:val="（%1）"/>
      <w:lvlJc w:val="left"/>
      <w:pPr>
        <w:ind w:left="0" w:firstLine="397"/>
      </w:pPr>
      <w:rPr>
        <w:rFonts w:hint="default"/>
      </w:rPr>
    </w:lvl>
  </w:abstractNum>
  <w:abstractNum w:abstractNumId="139">
    <w:nsid w:val="2A85463D"/>
    <w:multiLevelType w:val="singleLevel"/>
    <w:tmpl w:val="2A85463D"/>
    <w:lvl w:ilvl="0" w:tentative="0">
      <w:start w:val="1"/>
      <w:numFmt w:val="decimal"/>
      <w:suff w:val="nothing"/>
      <w:lvlText w:val="（%1）"/>
      <w:lvlJc w:val="left"/>
      <w:pPr>
        <w:ind w:left="0" w:firstLine="397"/>
      </w:pPr>
      <w:rPr>
        <w:rFonts w:hint="default"/>
      </w:rPr>
    </w:lvl>
  </w:abstractNum>
  <w:abstractNum w:abstractNumId="140">
    <w:nsid w:val="2AD8E3A1"/>
    <w:multiLevelType w:val="singleLevel"/>
    <w:tmpl w:val="2AD8E3A1"/>
    <w:lvl w:ilvl="0" w:tentative="0">
      <w:start w:val="1"/>
      <w:numFmt w:val="decimal"/>
      <w:suff w:val="nothing"/>
      <w:lvlText w:val="（%1）"/>
      <w:lvlJc w:val="left"/>
    </w:lvl>
  </w:abstractNum>
  <w:abstractNum w:abstractNumId="141">
    <w:nsid w:val="2B30F3CB"/>
    <w:multiLevelType w:val="singleLevel"/>
    <w:tmpl w:val="2B30F3CB"/>
    <w:lvl w:ilvl="0" w:tentative="0">
      <w:start w:val="1"/>
      <w:numFmt w:val="decimal"/>
      <w:suff w:val="nothing"/>
      <w:lvlText w:val="（%1）"/>
      <w:lvlJc w:val="left"/>
    </w:lvl>
  </w:abstractNum>
  <w:abstractNum w:abstractNumId="142">
    <w:nsid w:val="2BEA9044"/>
    <w:multiLevelType w:val="singleLevel"/>
    <w:tmpl w:val="2BEA9044"/>
    <w:lvl w:ilvl="0" w:tentative="0">
      <w:start w:val="1"/>
      <w:numFmt w:val="decimal"/>
      <w:suff w:val="nothing"/>
      <w:lvlText w:val="（%1）"/>
      <w:lvlJc w:val="left"/>
      <w:pPr>
        <w:ind w:left="0" w:firstLine="397"/>
      </w:pPr>
      <w:rPr>
        <w:rFonts w:hint="default"/>
      </w:rPr>
    </w:lvl>
  </w:abstractNum>
  <w:abstractNum w:abstractNumId="143">
    <w:nsid w:val="2D27EDCB"/>
    <w:multiLevelType w:val="singleLevel"/>
    <w:tmpl w:val="2D27EDCB"/>
    <w:lvl w:ilvl="0" w:tentative="0">
      <w:start w:val="1"/>
      <w:numFmt w:val="decimal"/>
      <w:suff w:val="nothing"/>
      <w:lvlText w:val="（%1）"/>
      <w:lvlJc w:val="left"/>
    </w:lvl>
  </w:abstractNum>
  <w:abstractNum w:abstractNumId="144">
    <w:nsid w:val="2D56B43E"/>
    <w:multiLevelType w:val="multilevel"/>
    <w:tmpl w:val="2D56B43E"/>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45">
    <w:nsid w:val="2D5E09A1"/>
    <w:multiLevelType w:val="singleLevel"/>
    <w:tmpl w:val="2D5E09A1"/>
    <w:lvl w:ilvl="0" w:tentative="0">
      <w:start w:val="1"/>
      <w:numFmt w:val="decimal"/>
      <w:suff w:val="nothing"/>
      <w:lvlText w:val="（%1）"/>
      <w:lvlJc w:val="left"/>
    </w:lvl>
  </w:abstractNum>
  <w:abstractNum w:abstractNumId="146">
    <w:nsid w:val="2DC577BC"/>
    <w:multiLevelType w:val="singleLevel"/>
    <w:tmpl w:val="2DC577BC"/>
    <w:lvl w:ilvl="0" w:tentative="0">
      <w:start w:val="1"/>
      <w:numFmt w:val="decimal"/>
      <w:suff w:val="nothing"/>
      <w:lvlText w:val="（%1）"/>
      <w:lvlJc w:val="left"/>
    </w:lvl>
  </w:abstractNum>
  <w:abstractNum w:abstractNumId="147">
    <w:nsid w:val="2E633526"/>
    <w:multiLevelType w:val="singleLevel"/>
    <w:tmpl w:val="2E633526"/>
    <w:lvl w:ilvl="0" w:tentative="0">
      <w:start w:val="1"/>
      <w:numFmt w:val="decimal"/>
      <w:suff w:val="nothing"/>
      <w:lvlText w:val="（%1）"/>
      <w:lvlJc w:val="left"/>
      <w:pPr>
        <w:ind w:left="0" w:firstLine="397"/>
      </w:pPr>
      <w:rPr>
        <w:rFonts w:hint="default"/>
      </w:rPr>
    </w:lvl>
  </w:abstractNum>
  <w:abstractNum w:abstractNumId="148">
    <w:nsid w:val="2EF8D964"/>
    <w:multiLevelType w:val="singleLevel"/>
    <w:tmpl w:val="2EF8D964"/>
    <w:lvl w:ilvl="0" w:tentative="0">
      <w:start w:val="1"/>
      <w:numFmt w:val="decimal"/>
      <w:suff w:val="nothing"/>
      <w:lvlText w:val="（%1）"/>
      <w:lvlJc w:val="left"/>
    </w:lvl>
  </w:abstractNum>
  <w:abstractNum w:abstractNumId="149">
    <w:nsid w:val="2F26CBCD"/>
    <w:multiLevelType w:val="singleLevel"/>
    <w:tmpl w:val="2F26CBCD"/>
    <w:lvl w:ilvl="0" w:tentative="0">
      <w:start w:val="1"/>
      <w:numFmt w:val="decimal"/>
      <w:suff w:val="nothing"/>
      <w:lvlText w:val="（%1）"/>
      <w:lvlJc w:val="left"/>
    </w:lvl>
  </w:abstractNum>
  <w:abstractNum w:abstractNumId="150">
    <w:nsid w:val="2F8BFF95"/>
    <w:multiLevelType w:val="singleLevel"/>
    <w:tmpl w:val="2F8BFF95"/>
    <w:lvl w:ilvl="0" w:tentative="0">
      <w:start w:val="1"/>
      <w:numFmt w:val="decimal"/>
      <w:suff w:val="nothing"/>
      <w:lvlText w:val="（%1）"/>
      <w:lvlJc w:val="left"/>
    </w:lvl>
  </w:abstractNum>
  <w:abstractNum w:abstractNumId="151">
    <w:nsid w:val="30259B76"/>
    <w:multiLevelType w:val="singleLevel"/>
    <w:tmpl w:val="30259B76"/>
    <w:lvl w:ilvl="0" w:tentative="0">
      <w:start w:val="1"/>
      <w:numFmt w:val="decimal"/>
      <w:suff w:val="nothing"/>
      <w:lvlText w:val="（%1）"/>
      <w:lvlJc w:val="left"/>
    </w:lvl>
  </w:abstractNum>
  <w:abstractNum w:abstractNumId="152">
    <w:nsid w:val="3130E7EB"/>
    <w:multiLevelType w:val="singleLevel"/>
    <w:tmpl w:val="3130E7EB"/>
    <w:lvl w:ilvl="0" w:tentative="0">
      <w:start w:val="1"/>
      <w:numFmt w:val="decimal"/>
      <w:suff w:val="nothing"/>
      <w:lvlText w:val="（%1）"/>
      <w:lvlJc w:val="left"/>
    </w:lvl>
  </w:abstractNum>
  <w:abstractNum w:abstractNumId="153">
    <w:nsid w:val="31477981"/>
    <w:multiLevelType w:val="singleLevel"/>
    <w:tmpl w:val="31477981"/>
    <w:lvl w:ilvl="0" w:tentative="0">
      <w:start w:val="1"/>
      <w:numFmt w:val="decimal"/>
      <w:suff w:val="nothing"/>
      <w:lvlText w:val="（%1）"/>
      <w:lvlJc w:val="left"/>
    </w:lvl>
  </w:abstractNum>
  <w:abstractNum w:abstractNumId="154">
    <w:nsid w:val="318E25A1"/>
    <w:multiLevelType w:val="multilevel"/>
    <w:tmpl w:val="318E25A1"/>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55">
    <w:nsid w:val="3196BC3F"/>
    <w:multiLevelType w:val="singleLevel"/>
    <w:tmpl w:val="3196BC3F"/>
    <w:lvl w:ilvl="0" w:tentative="0">
      <w:start w:val="1"/>
      <w:numFmt w:val="decimal"/>
      <w:suff w:val="nothing"/>
      <w:lvlText w:val="（%1）"/>
      <w:lvlJc w:val="left"/>
    </w:lvl>
  </w:abstractNum>
  <w:abstractNum w:abstractNumId="156">
    <w:nsid w:val="31DF4C54"/>
    <w:multiLevelType w:val="singleLevel"/>
    <w:tmpl w:val="31DF4C54"/>
    <w:lvl w:ilvl="0" w:tentative="0">
      <w:start w:val="1"/>
      <w:numFmt w:val="decimal"/>
      <w:suff w:val="nothing"/>
      <w:lvlText w:val="（%1）"/>
      <w:lvlJc w:val="left"/>
    </w:lvl>
  </w:abstractNum>
  <w:abstractNum w:abstractNumId="157">
    <w:nsid w:val="34AF5A95"/>
    <w:multiLevelType w:val="singleLevel"/>
    <w:tmpl w:val="34AF5A95"/>
    <w:lvl w:ilvl="0" w:tentative="0">
      <w:start w:val="1"/>
      <w:numFmt w:val="decimal"/>
      <w:suff w:val="nothing"/>
      <w:lvlText w:val="（%1）"/>
      <w:lvlJc w:val="left"/>
    </w:lvl>
  </w:abstractNum>
  <w:abstractNum w:abstractNumId="158">
    <w:nsid w:val="36897DAC"/>
    <w:multiLevelType w:val="singleLevel"/>
    <w:tmpl w:val="36897DAC"/>
    <w:lvl w:ilvl="0" w:tentative="0">
      <w:start w:val="1"/>
      <w:numFmt w:val="decimal"/>
      <w:suff w:val="nothing"/>
      <w:lvlText w:val="（%1）"/>
      <w:lvlJc w:val="left"/>
    </w:lvl>
  </w:abstractNum>
  <w:abstractNum w:abstractNumId="159">
    <w:nsid w:val="37261A43"/>
    <w:multiLevelType w:val="multilevel"/>
    <w:tmpl w:val="37261A43"/>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60">
    <w:nsid w:val="373AEBAA"/>
    <w:multiLevelType w:val="singleLevel"/>
    <w:tmpl w:val="373AEBAA"/>
    <w:lvl w:ilvl="0" w:tentative="0">
      <w:start w:val="1"/>
      <w:numFmt w:val="decimal"/>
      <w:suff w:val="nothing"/>
      <w:lvlText w:val="（%1）"/>
      <w:lvlJc w:val="left"/>
    </w:lvl>
  </w:abstractNum>
  <w:abstractNum w:abstractNumId="161">
    <w:nsid w:val="381CCB7A"/>
    <w:multiLevelType w:val="singleLevel"/>
    <w:tmpl w:val="381CCB7A"/>
    <w:lvl w:ilvl="0" w:tentative="0">
      <w:start w:val="1"/>
      <w:numFmt w:val="decimal"/>
      <w:suff w:val="nothing"/>
      <w:lvlText w:val="（%1）"/>
      <w:lvlJc w:val="left"/>
    </w:lvl>
  </w:abstractNum>
  <w:abstractNum w:abstractNumId="162">
    <w:nsid w:val="3CE0FEEA"/>
    <w:multiLevelType w:val="singleLevel"/>
    <w:tmpl w:val="3CE0FEEA"/>
    <w:lvl w:ilvl="0" w:tentative="0">
      <w:start w:val="1"/>
      <w:numFmt w:val="decimal"/>
      <w:suff w:val="nothing"/>
      <w:lvlText w:val="（%1）"/>
      <w:lvlJc w:val="left"/>
    </w:lvl>
  </w:abstractNum>
  <w:abstractNum w:abstractNumId="163">
    <w:nsid w:val="3CE545D9"/>
    <w:multiLevelType w:val="singleLevel"/>
    <w:tmpl w:val="3CE545D9"/>
    <w:lvl w:ilvl="0" w:tentative="0">
      <w:start w:val="1"/>
      <w:numFmt w:val="decimal"/>
      <w:suff w:val="nothing"/>
      <w:lvlText w:val="（%1）"/>
      <w:lvlJc w:val="left"/>
      <w:pPr>
        <w:ind w:left="0" w:firstLine="397"/>
      </w:pPr>
      <w:rPr>
        <w:rFonts w:hint="default"/>
      </w:rPr>
    </w:lvl>
  </w:abstractNum>
  <w:abstractNum w:abstractNumId="164">
    <w:nsid w:val="3D49FE76"/>
    <w:multiLevelType w:val="singleLevel"/>
    <w:tmpl w:val="3D49FE76"/>
    <w:lvl w:ilvl="0" w:tentative="0">
      <w:start w:val="1"/>
      <w:numFmt w:val="decimal"/>
      <w:suff w:val="nothing"/>
      <w:lvlText w:val="（%1）"/>
      <w:lvlJc w:val="left"/>
    </w:lvl>
  </w:abstractNum>
  <w:abstractNum w:abstractNumId="165">
    <w:nsid w:val="3D5B14BB"/>
    <w:multiLevelType w:val="singleLevel"/>
    <w:tmpl w:val="3D5B14BB"/>
    <w:lvl w:ilvl="0" w:tentative="0">
      <w:start w:val="1"/>
      <w:numFmt w:val="decimal"/>
      <w:suff w:val="nothing"/>
      <w:lvlText w:val="（%1）"/>
      <w:lvlJc w:val="left"/>
      <w:pPr>
        <w:ind w:left="0" w:firstLine="397"/>
      </w:pPr>
      <w:rPr>
        <w:rFonts w:hint="default"/>
      </w:rPr>
    </w:lvl>
  </w:abstractNum>
  <w:abstractNum w:abstractNumId="166">
    <w:nsid w:val="3D6B61D3"/>
    <w:multiLevelType w:val="singleLevel"/>
    <w:tmpl w:val="3D6B61D3"/>
    <w:lvl w:ilvl="0" w:tentative="0">
      <w:start w:val="1"/>
      <w:numFmt w:val="decimal"/>
      <w:suff w:val="nothing"/>
      <w:lvlText w:val="（%1）"/>
      <w:lvlJc w:val="left"/>
    </w:lvl>
  </w:abstractNum>
  <w:abstractNum w:abstractNumId="167">
    <w:nsid w:val="3D6FCD7A"/>
    <w:multiLevelType w:val="singleLevel"/>
    <w:tmpl w:val="3D6FCD7A"/>
    <w:lvl w:ilvl="0" w:tentative="0">
      <w:start w:val="1"/>
      <w:numFmt w:val="decimal"/>
      <w:suff w:val="nothing"/>
      <w:lvlText w:val="（%1）"/>
      <w:lvlJc w:val="left"/>
    </w:lvl>
  </w:abstractNum>
  <w:abstractNum w:abstractNumId="168">
    <w:nsid w:val="3E5BB3C0"/>
    <w:multiLevelType w:val="singleLevel"/>
    <w:tmpl w:val="3E5BB3C0"/>
    <w:lvl w:ilvl="0" w:tentative="0">
      <w:start w:val="1"/>
      <w:numFmt w:val="decimal"/>
      <w:suff w:val="nothing"/>
      <w:lvlText w:val="（%1）"/>
      <w:lvlJc w:val="left"/>
    </w:lvl>
  </w:abstractNum>
  <w:abstractNum w:abstractNumId="169">
    <w:nsid w:val="3F6BEF24"/>
    <w:multiLevelType w:val="multilevel"/>
    <w:tmpl w:val="3F6BEF24"/>
    <w:lvl w:ilvl="0" w:tentative="0">
      <w:start w:val="1"/>
      <w:numFmt w:val="decimal"/>
      <w:suff w:val="nothing"/>
      <w:lvlText w:val="（%1）"/>
      <w:lvlJc w:val="left"/>
      <w:rPr>
        <w:rFonts w:hint="default"/>
        <w:u w:val="none"/>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70">
    <w:nsid w:val="41EE8BDE"/>
    <w:multiLevelType w:val="singleLevel"/>
    <w:tmpl w:val="41EE8BDE"/>
    <w:lvl w:ilvl="0" w:tentative="0">
      <w:start w:val="1"/>
      <w:numFmt w:val="decimal"/>
      <w:suff w:val="nothing"/>
      <w:lvlText w:val="（%1）"/>
      <w:lvlJc w:val="left"/>
    </w:lvl>
  </w:abstractNum>
  <w:abstractNum w:abstractNumId="171">
    <w:nsid w:val="45D61DC9"/>
    <w:multiLevelType w:val="singleLevel"/>
    <w:tmpl w:val="45D61DC9"/>
    <w:lvl w:ilvl="0" w:tentative="0">
      <w:start w:val="1"/>
      <w:numFmt w:val="decimal"/>
      <w:suff w:val="nothing"/>
      <w:lvlText w:val="（%1）"/>
      <w:lvlJc w:val="left"/>
    </w:lvl>
  </w:abstractNum>
  <w:abstractNum w:abstractNumId="172">
    <w:nsid w:val="4680F5BA"/>
    <w:multiLevelType w:val="singleLevel"/>
    <w:tmpl w:val="4680F5BA"/>
    <w:lvl w:ilvl="0" w:tentative="0">
      <w:start w:val="1"/>
      <w:numFmt w:val="decimal"/>
      <w:suff w:val="nothing"/>
      <w:lvlText w:val="（%1）"/>
      <w:lvlJc w:val="left"/>
    </w:lvl>
  </w:abstractNum>
  <w:abstractNum w:abstractNumId="173">
    <w:nsid w:val="478FA6E3"/>
    <w:multiLevelType w:val="singleLevel"/>
    <w:tmpl w:val="478FA6E3"/>
    <w:lvl w:ilvl="0" w:tentative="0">
      <w:start w:val="1"/>
      <w:numFmt w:val="decimal"/>
      <w:suff w:val="nothing"/>
      <w:lvlText w:val="（%1）"/>
      <w:lvlJc w:val="left"/>
    </w:lvl>
  </w:abstractNum>
  <w:abstractNum w:abstractNumId="174">
    <w:nsid w:val="4791A321"/>
    <w:multiLevelType w:val="multilevel"/>
    <w:tmpl w:val="4791A321"/>
    <w:lvl w:ilvl="0" w:tentative="0">
      <w:start w:val="1"/>
      <w:numFmt w:val="decimal"/>
      <w:lvlText w:val="%1."/>
      <w:lvlJc w:val="left"/>
      <w:pPr>
        <w:tabs>
          <w:tab w:val="left" w:pos="312"/>
        </w:tabs>
      </w:pPr>
      <w:rPr>
        <w:rFonts w:hint="default"/>
        <w:u w:val="none"/>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75">
    <w:nsid w:val="498D9DBF"/>
    <w:multiLevelType w:val="singleLevel"/>
    <w:tmpl w:val="498D9DBF"/>
    <w:lvl w:ilvl="0" w:tentative="0">
      <w:start w:val="1"/>
      <w:numFmt w:val="decimal"/>
      <w:suff w:val="nothing"/>
      <w:lvlText w:val="（%1）"/>
      <w:lvlJc w:val="left"/>
      <w:pPr>
        <w:ind w:left="0" w:firstLine="397"/>
      </w:pPr>
      <w:rPr>
        <w:rFonts w:hint="default"/>
      </w:rPr>
    </w:lvl>
  </w:abstractNum>
  <w:abstractNum w:abstractNumId="176">
    <w:nsid w:val="4A5EB9E2"/>
    <w:multiLevelType w:val="singleLevel"/>
    <w:tmpl w:val="4A5EB9E2"/>
    <w:lvl w:ilvl="0" w:tentative="0">
      <w:start w:val="1"/>
      <w:numFmt w:val="decimal"/>
      <w:suff w:val="nothing"/>
      <w:lvlText w:val="（%1）"/>
      <w:lvlJc w:val="left"/>
    </w:lvl>
  </w:abstractNum>
  <w:abstractNum w:abstractNumId="177">
    <w:nsid w:val="4B0E34B4"/>
    <w:multiLevelType w:val="singleLevel"/>
    <w:tmpl w:val="4B0E34B4"/>
    <w:lvl w:ilvl="0" w:tentative="0">
      <w:start w:val="1"/>
      <w:numFmt w:val="decimal"/>
      <w:suff w:val="nothing"/>
      <w:lvlText w:val="（%1）"/>
      <w:lvlJc w:val="left"/>
    </w:lvl>
  </w:abstractNum>
  <w:abstractNum w:abstractNumId="178">
    <w:nsid w:val="50055F74"/>
    <w:multiLevelType w:val="singleLevel"/>
    <w:tmpl w:val="50055F74"/>
    <w:lvl w:ilvl="0" w:tentative="0">
      <w:start w:val="1"/>
      <w:numFmt w:val="decimal"/>
      <w:suff w:val="nothing"/>
      <w:lvlText w:val="（%1）"/>
      <w:lvlJc w:val="left"/>
    </w:lvl>
  </w:abstractNum>
  <w:abstractNum w:abstractNumId="179">
    <w:nsid w:val="518E21AD"/>
    <w:multiLevelType w:val="singleLevel"/>
    <w:tmpl w:val="518E21AD"/>
    <w:lvl w:ilvl="0" w:tentative="0">
      <w:start w:val="1"/>
      <w:numFmt w:val="decimal"/>
      <w:suff w:val="nothing"/>
      <w:lvlText w:val="（%1）"/>
      <w:lvlJc w:val="left"/>
    </w:lvl>
  </w:abstractNum>
  <w:abstractNum w:abstractNumId="180">
    <w:nsid w:val="51B0D2FC"/>
    <w:multiLevelType w:val="singleLevel"/>
    <w:tmpl w:val="51B0D2FC"/>
    <w:lvl w:ilvl="0" w:tentative="0">
      <w:start w:val="1"/>
      <w:numFmt w:val="decimal"/>
      <w:suff w:val="nothing"/>
      <w:lvlText w:val="（%1）"/>
      <w:lvlJc w:val="left"/>
    </w:lvl>
  </w:abstractNum>
  <w:abstractNum w:abstractNumId="181">
    <w:nsid w:val="539A505C"/>
    <w:multiLevelType w:val="singleLevel"/>
    <w:tmpl w:val="539A505C"/>
    <w:lvl w:ilvl="0" w:tentative="0">
      <w:start w:val="1"/>
      <w:numFmt w:val="decimal"/>
      <w:suff w:val="nothing"/>
      <w:lvlText w:val="（%1）"/>
      <w:lvlJc w:val="left"/>
    </w:lvl>
  </w:abstractNum>
  <w:abstractNum w:abstractNumId="182">
    <w:nsid w:val="53ADE6C7"/>
    <w:multiLevelType w:val="multilevel"/>
    <w:tmpl w:val="53ADE6C7"/>
    <w:lvl w:ilvl="0" w:tentative="0">
      <w:start w:val="1"/>
      <w:numFmt w:val="decimal"/>
      <w:suff w:val="nothing"/>
      <w:lvlText w:val="（%1）"/>
      <w:lvlJc w:val="left"/>
      <w:rPr>
        <w:rFonts w:hint="default"/>
        <w:u w:val="none"/>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83">
    <w:nsid w:val="55411223"/>
    <w:multiLevelType w:val="singleLevel"/>
    <w:tmpl w:val="55411223"/>
    <w:lvl w:ilvl="0" w:tentative="0">
      <w:start w:val="1"/>
      <w:numFmt w:val="decimal"/>
      <w:suff w:val="nothing"/>
      <w:lvlText w:val="（%1）"/>
      <w:lvlJc w:val="left"/>
    </w:lvl>
  </w:abstractNum>
  <w:abstractNum w:abstractNumId="184">
    <w:nsid w:val="57F8F4CD"/>
    <w:multiLevelType w:val="multilevel"/>
    <w:tmpl w:val="57F8F4CD"/>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85">
    <w:nsid w:val="5A0952AE"/>
    <w:multiLevelType w:val="singleLevel"/>
    <w:tmpl w:val="5A0952AE"/>
    <w:lvl w:ilvl="0" w:tentative="0">
      <w:start w:val="1"/>
      <w:numFmt w:val="decimal"/>
      <w:suff w:val="nothing"/>
      <w:lvlText w:val="（%1）"/>
      <w:lvlJc w:val="left"/>
      <w:pPr>
        <w:ind w:left="0" w:firstLine="397"/>
      </w:pPr>
      <w:rPr>
        <w:rFonts w:hint="default"/>
      </w:rPr>
    </w:lvl>
  </w:abstractNum>
  <w:abstractNum w:abstractNumId="186">
    <w:nsid w:val="5AED28C5"/>
    <w:multiLevelType w:val="singleLevel"/>
    <w:tmpl w:val="5AED28C5"/>
    <w:lvl w:ilvl="0" w:tentative="0">
      <w:start w:val="1"/>
      <w:numFmt w:val="decimal"/>
      <w:suff w:val="nothing"/>
      <w:lvlText w:val="（%1）"/>
      <w:lvlJc w:val="left"/>
      <w:pPr>
        <w:ind w:left="0" w:firstLine="397"/>
      </w:pPr>
      <w:rPr>
        <w:rFonts w:hint="default"/>
      </w:rPr>
    </w:lvl>
  </w:abstractNum>
  <w:abstractNum w:abstractNumId="187">
    <w:nsid w:val="5B95020D"/>
    <w:multiLevelType w:val="singleLevel"/>
    <w:tmpl w:val="5B95020D"/>
    <w:lvl w:ilvl="0" w:tentative="0">
      <w:start w:val="1"/>
      <w:numFmt w:val="decimal"/>
      <w:suff w:val="nothing"/>
      <w:lvlText w:val="（%1）"/>
      <w:lvlJc w:val="left"/>
    </w:lvl>
  </w:abstractNum>
  <w:abstractNum w:abstractNumId="188">
    <w:nsid w:val="5D27B696"/>
    <w:multiLevelType w:val="singleLevel"/>
    <w:tmpl w:val="5D27B696"/>
    <w:lvl w:ilvl="0" w:tentative="0">
      <w:start w:val="1"/>
      <w:numFmt w:val="decimal"/>
      <w:suff w:val="nothing"/>
      <w:lvlText w:val="（%1）"/>
      <w:lvlJc w:val="left"/>
    </w:lvl>
  </w:abstractNum>
  <w:abstractNum w:abstractNumId="189">
    <w:nsid w:val="5D876144"/>
    <w:multiLevelType w:val="multilevel"/>
    <w:tmpl w:val="5D876144"/>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90">
    <w:nsid w:val="5E7ADD26"/>
    <w:multiLevelType w:val="singleLevel"/>
    <w:tmpl w:val="5E7ADD26"/>
    <w:lvl w:ilvl="0" w:tentative="0">
      <w:start w:val="1"/>
      <w:numFmt w:val="decimal"/>
      <w:suff w:val="nothing"/>
      <w:lvlText w:val="（%1）"/>
      <w:lvlJc w:val="left"/>
    </w:lvl>
  </w:abstractNum>
  <w:abstractNum w:abstractNumId="191">
    <w:nsid w:val="622330FA"/>
    <w:multiLevelType w:val="singleLevel"/>
    <w:tmpl w:val="622330FA"/>
    <w:lvl w:ilvl="0" w:tentative="0">
      <w:start w:val="1"/>
      <w:numFmt w:val="decimal"/>
      <w:suff w:val="nothing"/>
      <w:lvlText w:val="（%1）"/>
      <w:lvlJc w:val="left"/>
    </w:lvl>
  </w:abstractNum>
  <w:abstractNum w:abstractNumId="192">
    <w:nsid w:val="630DC57F"/>
    <w:multiLevelType w:val="multilevel"/>
    <w:tmpl w:val="630DC57F"/>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93">
    <w:nsid w:val="63713EA4"/>
    <w:multiLevelType w:val="singleLevel"/>
    <w:tmpl w:val="63713EA4"/>
    <w:lvl w:ilvl="0" w:tentative="0">
      <w:start w:val="1"/>
      <w:numFmt w:val="decimal"/>
      <w:suff w:val="nothing"/>
      <w:lvlText w:val="（%1）"/>
      <w:lvlJc w:val="left"/>
      <w:pPr>
        <w:ind w:left="0" w:firstLine="397"/>
      </w:pPr>
      <w:rPr>
        <w:rFonts w:hint="default"/>
      </w:rPr>
    </w:lvl>
  </w:abstractNum>
  <w:abstractNum w:abstractNumId="194">
    <w:nsid w:val="63E9090F"/>
    <w:multiLevelType w:val="singleLevel"/>
    <w:tmpl w:val="63E9090F"/>
    <w:lvl w:ilvl="0" w:tentative="0">
      <w:start w:val="1"/>
      <w:numFmt w:val="decimal"/>
      <w:suff w:val="nothing"/>
      <w:lvlText w:val="（%1）"/>
      <w:lvlJc w:val="left"/>
      <w:pPr>
        <w:ind w:left="0" w:firstLine="397"/>
      </w:pPr>
      <w:rPr>
        <w:rFonts w:hint="default"/>
      </w:rPr>
    </w:lvl>
  </w:abstractNum>
  <w:abstractNum w:abstractNumId="195">
    <w:nsid w:val="65D7D602"/>
    <w:multiLevelType w:val="singleLevel"/>
    <w:tmpl w:val="65D7D602"/>
    <w:lvl w:ilvl="0" w:tentative="0">
      <w:start w:val="1"/>
      <w:numFmt w:val="decimal"/>
      <w:suff w:val="nothing"/>
      <w:lvlText w:val="（%1）"/>
      <w:lvlJc w:val="left"/>
    </w:lvl>
  </w:abstractNum>
  <w:abstractNum w:abstractNumId="196">
    <w:nsid w:val="664656C6"/>
    <w:multiLevelType w:val="singleLevel"/>
    <w:tmpl w:val="664656C6"/>
    <w:lvl w:ilvl="0" w:tentative="0">
      <w:start w:val="1"/>
      <w:numFmt w:val="decimal"/>
      <w:suff w:val="nothing"/>
      <w:lvlText w:val="（%1）"/>
      <w:lvlJc w:val="left"/>
      <w:pPr>
        <w:ind w:left="0" w:firstLine="397"/>
      </w:pPr>
      <w:rPr>
        <w:rFonts w:hint="default"/>
      </w:rPr>
    </w:lvl>
  </w:abstractNum>
  <w:abstractNum w:abstractNumId="197">
    <w:nsid w:val="665A72C2"/>
    <w:multiLevelType w:val="singleLevel"/>
    <w:tmpl w:val="665A72C2"/>
    <w:lvl w:ilvl="0" w:tentative="0">
      <w:start w:val="1"/>
      <w:numFmt w:val="decimal"/>
      <w:suff w:val="nothing"/>
      <w:lvlText w:val="（%1）"/>
      <w:lvlJc w:val="left"/>
    </w:lvl>
  </w:abstractNum>
  <w:abstractNum w:abstractNumId="198">
    <w:nsid w:val="66996CCF"/>
    <w:multiLevelType w:val="singleLevel"/>
    <w:tmpl w:val="66996CCF"/>
    <w:lvl w:ilvl="0" w:tentative="0">
      <w:start w:val="1"/>
      <w:numFmt w:val="decimal"/>
      <w:suff w:val="nothing"/>
      <w:lvlText w:val="（%1）"/>
      <w:lvlJc w:val="left"/>
    </w:lvl>
  </w:abstractNum>
  <w:abstractNum w:abstractNumId="199">
    <w:nsid w:val="6CD4515C"/>
    <w:multiLevelType w:val="singleLevel"/>
    <w:tmpl w:val="6CD4515C"/>
    <w:lvl w:ilvl="0" w:tentative="0">
      <w:start w:val="1"/>
      <w:numFmt w:val="decimal"/>
      <w:suff w:val="nothing"/>
      <w:lvlText w:val="（%1）"/>
      <w:lvlJc w:val="left"/>
    </w:lvl>
  </w:abstractNum>
  <w:abstractNum w:abstractNumId="200">
    <w:nsid w:val="6D50C450"/>
    <w:multiLevelType w:val="multilevel"/>
    <w:tmpl w:val="6D50C450"/>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201">
    <w:nsid w:val="6E2F0B17"/>
    <w:multiLevelType w:val="singleLevel"/>
    <w:tmpl w:val="6E2F0B17"/>
    <w:lvl w:ilvl="0" w:tentative="0">
      <w:start w:val="1"/>
      <w:numFmt w:val="decimal"/>
      <w:suff w:val="nothing"/>
      <w:lvlText w:val="（%1）"/>
      <w:lvlJc w:val="left"/>
      <w:pPr>
        <w:ind w:left="0" w:firstLine="397"/>
      </w:pPr>
      <w:rPr>
        <w:rFonts w:hint="default"/>
      </w:rPr>
    </w:lvl>
  </w:abstractNum>
  <w:abstractNum w:abstractNumId="202">
    <w:nsid w:val="6FC0E67E"/>
    <w:multiLevelType w:val="singleLevel"/>
    <w:tmpl w:val="6FC0E67E"/>
    <w:lvl w:ilvl="0" w:tentative="0">
      <w:start w:val="1"/>
      <w:numFmt w:val="decimal"/>
      <w:suff w:val="nothing"/>
      <w:lvlText w:val="（%1）"/>
      <w:lvlJc w:val="left"/>
    </w:lvl>
  </w:abstractNum>
  <w:abstractNum w:abstractNumId="203">
    <w:nsid w:val="7055352A"/>
    <w:multiLevelType w:val="multilevel"/>
    <w:tmpl w:val="7055352A"/>
    <w:lvl w:ilvl="0" w:tentative="0">
      <w:start w:val="1"/>
      <w:numFmt w:val="decimal"/>
      <w:pStyle w:val="2"/>
      <w:suff w:val="space"/>
      <w:lvlText w:val="%1"/>
      <w:lvlJc w:val="left"/>
      <w:pPr>
        <w:tabs>
          <w:tab w:val="left" w:pos="0"/>
        </w:tabs>
        <w:ind w:left="0" w:firstLine="737"/>
      </w:pPr>
      <w:rPr>
        <w:rFonts w:hint="default" w:ascii="仿宋" w:hAnsi="仿宋" w:eastAsia="仿宋" w:cs="仿宋"/>
        <w:bCs w:val="0"/>
        <w:sz w:val="32"/>
        <w:szCs w:val="32"/>
      </w:rPr>
    </w:lvl>
    <w:lvl w:ilvl="1" w:tentative="0">
      <w:start w:val="1"/>
      <w:numFmt w:val="decimal"/>
      <w:suff w:val="space"/>
      <w:lvlText w:val="%1.%2"/>
      <w:lvlJc w:val="left"/>
      <w:pPr>
        <w:tabs>
          <w:tab w:val="left" w:pos="0"/>
        </w:tabs>
        <w:ind w:left="0" w:firstLine="0"/>
      </w:pPr>
      <w:rPr>
        <w:rFonts w:hint="default" w:ascii="仿宋" w:hAnsi="仿宋" w:eastAsia="仿宋" w:cs="仿宋"/>
        <w:b/>
        <w:bCs/>
        <w:sz w:val="32"/>
        <w:szCs w:val="32"/>
      </w:rPr>
    </w:lvl>
    <w:lvl w:ilvl="2" w:tentative="0">
      <w:start w:val="1"/>
      <w:numFmt w:val="decimal"/>
      <w:pStyle w:val="4"/>
      <w:suff w:val="space"/>
      <w:lvlText w:val="%1.%2.%3"/>
      <w:lvlJc w:val="left"/>
      <w:pPr>
        <w:tabs>
          <w:tab w:val="left" w:pos="0"/>
        </w:tabs>
        <w:ind w:left="0" w:firstLine="0"/>
      </w:pPr>
      <w:rPr>
        <w:rFonts w:hint="default" w:ascii="仿宋" w:hAnsi="仿宋" w:eastAsia="仿宋" w:cs="仿宋"/>
        <w:b/>
        <w:bCs/>
        <w:sz w:val="32"/>
        <w:szCs w:val="32"/>
      </w:rPr>
    </w:lvl>
    <w:lvl w:ilvl="3" w:tentative="0">
      <w:start w:val="1"/>
      <w:numFmt w:val="decimal"/>
      <w:pStyle w:val="5"/>
      <w:suff w:val="space"/>
      <w:lvlText w:val="%1.%2.%3.%4"/>
      <w:lvlJc w:val="left"/>
      <w:pPr>
        <w:tabs>
          <w:tab w:val="left" w:pos="0"/>
        </w:tabs>
        <w:ind w:left="0" w:firstLine="737"/>
      </w:pPr>
      <w:rPr>
        <w:rFonts w:hint="default" w:ascii="仿宋" w:hAnsi="仿宋" w:eastAsia="仿宋" w:cs="仿宋"/>
        <w:sz w:val="32"/>
        <w:szCs w:val="32"/>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204">
    <w:nsid w:val="726E4462"/>
    <w:multiLevelType w:val="singleLevel"/>
    <w:tmpl w:val="726E4462"/>
    <w:lvl w:ilvl="0" w:tentative="0">
      <w:start w:val="1"/>
      <w:numFmt w:val="decimal"/>
      <w:suff w:val="nothing"/>
      <w:lvlText w:val="（%1）"/>
      <w:lvlJc w:val="left"/>
      <w:pPr>
        <w:ind w:left="0" w:firstLine="397"/>
      </w:pPr>
      <w:rPr>
        <w:rFonts w:hint="default"/>
      </w:rPr>
    </w:lvl>
  </w:abstractNum>
  <w:abstractNum w:abstractNumId="205">
    <w:nsid w:val="72884007"/>
    <w:multiLevelType w:val="singleLevel"/>
    <w:tmpl w:val="72884007"/>
    <w:lvl w:ilvl="0" w:tentative="0">
      <w:start w:val="1"/>
      <w:numFmt w:val="decimal"/>
      <w:suff w:val="nothing"/>
      <w:lvlText w:val="（%1）"/>
      <w:lvlJc w:val="left"/>
    </w:lvl>
  </w:abstractNum>
  <w:abstractNum w:abstractNumId="206">
    <w:nsid w:val="72EFB102"/>
    <w:multiLevelType w:val="singleLevel"/>
    <w:tmpl w:val="72EFB102"/>
    <w:lvl w:ilvl="0" w:tentative="0">
      <w:start w:val="1"/>
      <w:numFmt w:val="decimal"/>
      <w:suff w:val="nothing"/>
      <w:lvlText w:val="（%1）"/>
      <w:lvlJc w:val="left"/>
    </w:lvl>
  </w:abstractNum>
  <w:abstractNum w:abstractNumId="207">
    <w:nsid w:val="7368718E"/>
    <w:multiLevelType w:val="singleLevel"/>
    <w:tmpl w:val="7368718E"/>
    <w:lvl w:ilvl="0" w:tentative="0">
      <w:start w:val="1"/>
      <w:numFmt w:val="decimal"/>
      <w:suff w:val="nothing"/>
      <w:lvlText w:val="（%1）"/>
      <w:lvlJc w:val="left"/>
    </w:lvl>
  </w:abstractNum>
  <w:abstractNum w:abstractNumId="208">
    <w:nsid w:val="7612B126"/>
    <w:multiLevelType w:val="singleLevel"/>
    <w:tmpl w:val="7612B126"/>
    <w:lvl w:ilvl="0" w:tentative="0">
      <w:start w:val="1"/>
      <w:numFmt w:val="decimal"/>
      <w:suff w:val="nothing"/>
      <w:lvlText w:val="（%1）"/>
      <w:lvlJc w:val="left"/>
      <w:pPr>
        <w:ind w:left="0" w:firstLine="397"/>
      </w:pPr>
      <w:rPr>
        <w:rFonts w:hint="default"/>
      </w:rPr>
    </w:lvl>
  </w:abstractNum>
  <w:abstractNum w:abstractNumId="209">
    <w:nsid w:val="7A28E005"/>
    <w:multiLevelType w:val="multilevel"/>
    <w:tmpl w:val="7A28E005"/>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210">
    <w:nsid w:val="7A49D0D0"/>
    <w:multiLevelType w:val="singleLevel"/>
    <w:tmpl w:val="7A49D0D0"/>
    <w:lvl w:ilvl="0" w:tentative="0">
      <w:start w:val="1"/>
      <w:numFmt w:val="decimal"/>
      <w:suff w:val="nothing"/>
      <w:lvlText w:val="（%1）"/>
      <w:lvlJc w:val="left"/>
      <w:pPr>
        <w:ind w:left="0" w:firstLine="397"/>
      </w:pPr>
      <w:rPr>
        <w:rFonts w:hint="default"/>
      </w:rPr>
    </w:lvl>
  </w:abstractNum>
  <w:abstractNum w:abstractNumId="211">
    <w:nsid w:val="7BB9B412"/>
    <w:multiLevelType w:val="singleLevel"/>
    <w:tmpl w:val="7BB9B412"/>
    <w:lvl w:ilvl="0" w:tentative="0">
      <w:start w:val="1"/>
      <w:numFmt w:val="decimal"/>
      <w:suff w:val="nothing"/>
      <w:lvlText w:val="（%1）"/>
      <w:lvlJc w:val="left"/>
    </w:lvl>
  </w:abstractNum>
  <w:abstractNum w:abstractNumId="212">
    <w:nsid w:val="7CFCAC7F"/>
    <w:multiLevelType w:val="singleLevel"/>
    <w:tmpl w:val="7CFCAC7F"/>
    <w:lvl w:ilvl="0" w:tentative="0">
      <w:start w:val="1"/>
      <w:numFmt w:val="decimal"/>
      <w:suff w:val="nothing"/>
      <w:lvlText w:val="（%1）"/>
      <w:lvlJc w:val="left"/>
    </w:lvl>
  </w:abstractNum>
  <w:abstractNum w:abstractNumId="213">
    <w:nsid w:val="7D2160E1"/>
    <w:multiLevelType w:val="singleLevel"/>
    <w:tmpl w:val="7D2160E1"/>
    <w:lvl w:ilvl="0" w:tentative="0">
      <w:start w:val="1"/>
      <w:numFmt w:val="decimal"/>
      <w:suff w:val="nothing"/>
      <w:lvlText w:val="（%1）"/>
      <w:lvlJc w:val="left"/>
    </w:lvl>
  </w:abstractNum>
  <w:abstractNum w:abstractNumId="214">
    <w:nsid w:val="7D7BAE14"/>
    <w:multiLevelType w:val="singleLevel"/>
    <w:tmpl w:val="7D7BAE14"/>
    <w:lvl w:ilvl="0" w:tentative="0">
      <w:start w:val="1"/>
      <w:numFmt w:val="decimal"/>
      <w:suff w:val="nothing"/>
      <w:lvlText w:val="（%1）"/>
      <w:lvlJc w:val="left"/>
      <w:pPr>
        <w:ind w:left="0" w:firstLine="397"/>
      </w:pPr>
      <w:rPr>
        <w:rFonts w:hint="default"/>
      </w:rPr>
    </w:lvl>
  </w:abstractNum>
  <w:abstractNum w:abstractNumId="215">
    <w:nsid w:val="7DAB4275"/>
    <w:multiLevelType w:val="singleLevel"/>
    <w:tmpl w:val="7DAB4275"/>
    <w:lvl w:ilvl="0" w:tentative="0">
      <w:start w:val="1"/>
      <w:numFmt w:val="decimal"/>
      <w:suff w:val="nothing"/>
      <w:lvlText w:val="（%1）"/>
      <w:lvlJc w:val="left"/>
    </w:lvl>
  </w:abstractNum>
  <w:num w:numId="1">
    <w:abstractNumId w:val="203"/>
  </w:num>
  <w:num w:numId="2">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9"/>
  </w:num>
  <w:num w:numId="4">
    <w:abstractNumId w:val="31"/>
  </w:num>
  <w:num w:numId="5">
    <w:abstractNumId w:val="50"/>
  </w:num>
  <w:num w:numId="6">
    <w:abstractNumId w:val="199"/>
  </w:num>
  <w:num w:numId="7">
    <w:abstractNumId w:val="157"/>
  </w:num>
  <w:num w:numId="8">
    <w:abstractNumId w:val="205"/>
  </w:num>
  <w:num w:numId="9">
    <w:abstractNumId w:val="121"/>
  </w:num>
  <w:num w:numId="10">
    <w:abstractNumId w:val="99"/>
  </w:num>
  <w:num w:numId="11">
    <w:abstractNumId w:val="207"/>
  </w:num>
  <w:num w:numId="12">
    <w:abstractNumId w:val="81"/>
  </w:num>
  <w:num w:numId="13">
    <w:abstractNumId w:val="165"/>
  </w:num>
  <w:num w:numId="14">
    <w:abstractNumId w:val="75"/>
  </w:num>
  <w:num w:numId="15">
    <w:abstractNumId w:val="202"/>
  </w:num>
  <w:num w:numId="16">
    <w:abstractNumId w:val="163"/>
  </w:num>
  <w:num w:numId="17">
    <w:abstractNumId w:val="145"/>
  </w:num>
  <w:num w:numId="18">
    <w:abstractNumId w:val="175"/>
  </w:num>
  <w:num w:numId="19">
    <w:abstractNumId w:val="65"/>
  </w:num>
  <w:num w:numId="20">
    <w:abstractNumId w:val="108"/>
  </w:num>
  <w:num w:numId="21">
    <w:abstractNumId w:val="42"/>
  </w:num>
  <w:num w:numId="22">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5"/>
  </w:num>
  <w:num w:numId="24">
    <w:abstractNumId w:val="24"/>
  </w:num>
  <w:num w:numId="25">
    <w:abstractNumId w:val="43"/>
  </w:num>
  <w:num w:numId="26">
    <w:abstractNumId w:val="91"/>
  </w:num>
  <w:num w:numId="27">
    <w:abstractNumId w:val="186"/>
  </w:num>
  <w:num w:numId="28">
    <w:abstractNumId w:val="137"/>
  </w:num>
  <w:num w:numId="29">
    <w:abstractNumId w:val="79"/>
  </w:num>
  <w:num w:numId="30">
    <w:abstractNumId w:val="49"/>
  </w:num>
  <w:num w:numId="31">
    <w:abstractNumId w:val="96"/>
  </w:num>
  <w:num w:numId="32">
    <w:abstractNumId w:val="11"/>
  </w:num>
  <w:num w:numId="33">
    <w:abstractNumId w:val="68"/>
  </w:num>
  <w:num w:numId="34">
    <w:abstractNumId w:val="134"/>
  </w:num>
  <w:num w:numId="35">
    <w:abstractNumId w:val="141"/>
  </w:num>
  <w:num w:numId="36">
    <w:abstractNumId w:val="48"/>
  </w:num>
  <w:num w:numId="37">
    <w:abstractNumId w:val="204"/>
  </w:num>
  <w:num w:numId="38">
    <w:abstractNumId w:val="142"/>
  </w:num>
  <w:num w:numId="39">
    <w:abstractNumId w:val="115"/>
  </w:num>
  <w:num w:numId="40">
    <w:abstractNumId w:val="210"/>
  </w:num>
  <w:num w:numId="41">
    <w:abstractNumId w:val="194"/>
  </w:num>
  <w:num w:numId="42">
    <w:abstractNumId w:val="39"/>
  </w:num>
  <w:num w:numId="43">
    <w:abstractNumId w:val="85"/>
  </w:num>
  <w:num w:numId="44">
    <w:abstractNumId w:val="86"/>
  </w:num>
  <w:num w:numId="45">
    <w:abstractNumId w:val="40"/>
  </w:num>
  <w:num w:numId="46">
    <w:abstractNumId w:val="109"/>
  </w:num>
  <w:num w:numId="47">
    <w:abstractNumId w:val="147"/>
  </w:num>
  <w:num w:numId="48">
    <w:abstractNumId w:val="74"/>
  </w:num>
  <w:num w:numId="49">
    <w:abstractNumId w:val="2"/>
  </w:num>
  <w:num w:numId="50">
    <w:abstractNumId w:val="193"/>
  </w:num>
  <w:num w:numId="51">
    <w:abstractNumId w:val="1"/>
  </w:num>
  <w:num w:numId="52">
    <w:abstractNumId w:val="7"/>
  </w:num>
  <w:num w:numId="53">
    <w:abstractNumId w:val="185"/>
  </w:num>
  <w:num w:numId="54">
    <w:abstractNumId w:val="38"/>
  </w:num>
  <w:num w:numId="55">
    <w:abstractNumId w:val="16"/>
  </w:num>
  <w:num w:numId="56">
    <w:abstractNumId w:val="93"/>
  </w:num>
  <w:num w:numId="57">
    <w:abstractNumId w:val="103"/>
  </w:num>
  <w:num w:numId="58">
    <w:abstractNumId w:val="77"/>
  </w:num>
  <w:num w:numId="59">
    <w:abstractNumId w:val="208"/>
  </w:num>
  <w:num w:numId="60">
    <w:abstractNumId w:val="80"/>
  </w:num>
  <w:num w:numId="61">
    <w:abstractNumId w:val="20"/>
  </w:num>
  <w:num w:numId="62">
    <w:abstractNumId w:val="27"/>
  </w:num>
  <w:num w:numId="63">
    <w:abstractNumId w:val="36"/>
  </w:num>
  <w:num w:numId="64">
    <w:abstractNumId w:val="76"/>
  </w:num>
  <w:num w:numId="65">
    <w:abstractNumId w:val="196"/>
  </w:num>
  <w:num w:numId="66">
    <w:abstractNumId w:val="10"/>
  </w:num>
  <w:num w:numId="67">
    <w:abstractNumId w:val="138"/>
  </w:num>
  <w:num w:numId="68">
    <w:abstractNumId w:val="92"/>
  </w:num>
  <w:num w:numId="69">
    <w:abstractNumId w:val="67"/>
  </w:num>
  <w:num w:numId="70">
    <w:abstractNumId w:val="178"/>
  </w:num>
  <w:num w:numId="71">
    <w:abstractNumId w:val="122"/>
  </w:num>
  <w:num w:numId="72">
    <w:abstractNumId w:val="139"/>
  </w:num>
  <w:num w:numId="73">
    <w:abstractNumId w:val="0"/>
  </w:num>
  <w:num w:numId="74">
    <w:abstractNumId w:val="32"/>
  </w:num>
  <w:num w:numId="75">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4"/>
  </w:num>
  <w:num w:numId="77">
    <w:abstractNumId w:val="158"/>
  </w:num>
  <w:num w:numId="78">
    <w:abstractNumId w:val="102"/>
  </w:num>
  <w:num w:numId="79">
    <w:abstractNumId w:val="110"/>
  </w:num>
  <w:num w:numId="80">
    <w:abstractNumId w:val="37"/>
  </w:num>
  <w:num w:numId="81">
    <w:abstractNumId w:val="191"/>
  </w:num>
  <w:num w:numId="82">
    <w:abstractNumId w:val="44"/>
  </w:num>
  <w:num w:numId="83">
    <w:abstractNumId w:val="125"/>
  </w:num>
  <w:num w:numId="84">
    <w:abstractNumId w:val="159"/>
  </w:num>
  <w:num w:numId="85">
    <w:abstractNumId w:val="154"/>
  </w:num>
  <w:num w:numId="86">
    <w:abstractNumId w:val="144"/>
  </w:num>
  <w:num w:numId="87">
    <w:abstractNumId w:val="64"/>
  </w:num>
  <w:num w:numId="88">
    <w:abstractNumId w:val="192"/>
  </w:num>
  <w:num w:numId="89">
    <w:abstractNumId w:val="123"/>
  </w:num>
  <w:num w:numId="90">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4"/>
  </w:num>
  <w:num w:numId="92">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2"/>
  </w:num>
  <w:num w:numId="94">
    <w:abstractNumId w:val="19"/>
  </w:num>
  <w:num w:numId="95">
    <w:abstractNumId w:val="30"/>
  </w:num>
  <w:num w:numId="96">
    <w:abstractNumId w:val="150"/>
  </w:num>
  <w:num w:numId="97">
    <w:abstractNumId w:val="136"/>
  </w:num>
  <w:num w:numId="98">
    <w:abstractNumId w:val="126"/>
  </w:num>
  <w:num w:numId="99">
    <w:abstractNumId w:val="113"/>
  </w:num>
  <w:num w:numId="100">
    <w:abstractNumId w:val="130"/>
  </w:num>
  <w:num w:numId="101">
    <w:abstractNumId w:val="174"/>
  </w:num>
  <w:num w:numId="102">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83"/>
  </w:num>
  <w:num w:numId="104">
    <w:abstractNumId w:val="149"/>
  </w:num>
  <w:num w:numId="105">
    <w:abstractNumId w:val="161"/>
  </w:num>
  <w:num w:numId="106">
    <w:abstractNumId w:val="63"/>
  </w:num>
  <w:num w:numId="107">
    <w:abstractNumId w:val="118"/>
  </w:num>
  <w:num w:numId="108">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6"/>
  </w:num>
  <w:num w:numId="111">
    <w:abstractNumId w:val="15"/>
  </w:num>
  <w:num w:numId="112">
    <w:abstractNumId w:val="3"/>
  </w:num>
  <w:num w:numId="113">
    <w:abstractNumId w:val="168"/>
  </w:num>
  <w:num w:numId="114">
    <w:abstractNumId w:val="195"/>
  </w:num>
  <w:num w:numId="115">
    <w:abstractNumId w:val="146"/>
  </w:num>
  <w:num w:numId="116">
    <w:abstractNumId w:val="52"/>
  </w:num>
  <w:num w:numId="117">
    <w:abstractNumId w:val="120"/>
  </w:num>
  <w:num w:numId="118">
    <w:abstractNumId w:val="33"/>
  </w:num>
  <w:num w:numId="119">
    <w:abstractNumId w:val="69"/>
  </w:num>
  <w:num w:numId="120">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87"/>
  </w:num>
  <w:num w:numId="122">
    <w:abstractNumId w:val="62"/>
  </w:num>
  <w:num w:numId="123">
    <w:abstractNumId w:val="84"/>
  </w:num>
  <w:num w:numId="124">
    <w:abstractNumId w:val="55"/>
  </w:num>
  <w:num w:numId="125">
    <w:abstractNumId w:val="41"/>
  </w:num>
  <w:num w:numId="126">
    <w:abstractNumId w:val="111"/>
  </w:num>
  <w:num w:numId="127">
    <w:abstractNumId w:val="201"/>
  </w:num>
  <w:num w:numId="128">
    <w:abstractNumId w:val="117"/>
  </w:num>
  <w:num w:numId="129">
    <w:abstractNumId w:val="214"/>
  </w:num>
  <w:num w:numId="130">
    <w:abstractNumId w:val="135"/>
  </w:num>
  <w:num w:numId="131">
    <w:abstractNumId w:val="101"/>
  </w:num>
  <w:num w:numId="132">
    <w:abstractNumId w:val="5"/>
  </w:num>
  <w:num w:numId="133">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5"/>
  </w:num>
  <w:num w:numId="135">
    <w:abstractNumId w:val="140"/>
  </w:num>
  <w:num w:numId="136">
    <w:abstractNumId w:val="61"/>
  </w:num>
  <w:num w:numId="137">
    <w:abstractNumId w:val="8"/>
  </w:num>
  <w:num w:numId="138">
    <w:abstractNumId w:val="127"/>
  </w:num>
  <w:num w:numId="139">
    <w:abstractNumId w:val="200"/>
  </w:num>
  <w:num w:numId="140">
    <w:abstractNumId w:val="4"/>
  </w:num>
  <w:num w:numId="141">
    <w:abstractNumId w:val="179"/>
  </w:num>
  <w:num w:numId="142">
    <w:abstractNumId w:val="70"/>
  </w:num>
  <w:num w:numId="143">
    <w:abstractNumId w:val="189"/>
  </w:num>
  <w:num w:numId="144">
    <w:abstractNumId w:val="184"/>
  </w:num>
  <w:num w:numId="145">
    <w:abstractNumId w:val="6"/>
  </w:num>
  <w:num w:numId="146">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9"/>
  </w:num>
  <w:num w:numId="152">
    <w:abstractNumId w:val="78"/>
  </w:num>
  <w:num w:numId="153">
    <w:abstractNumId w:val="128"/>
  </w:num>
  <w:num w:numId="154">
    <w:abstractNumId w:val="105"/>
  </w:num>
  <w:num w:numId="155">
    <w:abstractNumId w:val="182"/>
  </w:num>
  <w:num w:numId="156">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73"/>
  </w:num>
  <w:num w:numId="158">
    <w:abstractNumId w:val="107"/>
  </w:num>
  <w:num w:numId="159">
    <w:abstractNumId w:val="156"/>
  </w:num>
  <w:num w:numId="160">
    <w:abstractNumId w:val="13"/>
  </w:num>
  <w:num w:numId="161">
    <w:abstractNumId w:val="95"/>
  </w:num>
  <w:num w:numId="162">
    <w:abstractNumId w:val="23"/>
  </w:num>
  <w:num w:numId="163">
    <w:abstractNumId w:val="14"/>
  </w:num>
  <w:num w:numId="164">
    <w:abstractNumId w:val="57"/>
  </w:num>
  <w:num w:numId="165">
    <w:abstractNumId w:val="160"/>
  </w:num>
  <w:num w:numId="166">
    <w:abstractNumId w:val="143"/>
  </w:num>
  <w:num w:numId="167">
    <w:abstractNumId w:val="73"/>
  </w:num>
  <w:num w:numId="168">
    <w:abstractNumId w:val="51"/>
  </w:num>
  <w:num w:numId="169">
    <w:abstractNumId w:val="129"/>
  </w:num>
  <w:num w:numId="170">
    <w:abstractNumId w:val="21"/>
  </w:num>
  <w:num w:numId="171">
    <w:abstractNumId w:val="58"/>
  </w:num>
  <w:num w:numId="172">
    <w:abstractNumId w:val="211"/>
  </w:num>
  <w:num w:numId="173">
    <w:abstractNumId w:val="17"/>
  </w:num>
  <w:num w:numId="174">
    <w:abstractNumId w:val="53"/>
  </w:num>
  <w:num w:numId="175">
    <w:abstractNumId w:val="66"/>
  </w:num>
  <w:num w:numId="176">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53"/>
  </w:num>
  <w:num w:numId="180">
    <w:abstractNumId w:val="124"/>
  </w:num>
  <w:num w:numId="181">
    <w:abstractNumId w:val="164"/>
  </w:num>
  <w:num w:numId="182">
    <w:abstractNumId w:val="148"/>
  </w:num>
  <w:num w:numId="183">
    <w:abstractNumId w:val="46"/>
  </w:num>
  <w:num w:numId="184">
    <w:abstractNumId w:val="60"/>
  </w:num>
  <w:num w:numId="185">
    <w:abstractNumId w:val="213"/>
  </w:num>
  <w:num w:numId="186">
    <w:abstractNumId w:val="212"/>
  </w:num>
  <w:num w:numId="187">
    <w:abstractNumId w:val="97"/>
  </w:num>
  <w:num w:numId="188">
    <w:abstractNumId w:val="171"/>
  </w:num>
  <w:num w:numId="189">
    <w:abstractNumId w:val="35"/>
  </w:num>
  <w:num w:numId="190">
    <w:abstractNumId w:val="119"/>
  </w:num>
  <w:num w:numId="191">
    <w:abstractNumId w:val="98"/>
  </w:num>
  <w:num w:numId="192">
    <w:abstractNumId w:val="167"/>
  </w:num>
  <w:num w:numId="193">
    <w:abstractNumId w:val="162"/>
  </w:num>
  <w:num w:numId="194">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97"/>
  </w:num>
  <w:num w:numId="196">
    <w:abstractNumId w:val="114"/>
  </w:num>
  <w:num w:numId="197">
    <w:abstractNumId w:val="94"/>
  </w:num>
  <w:num w:numId="198">
    <w:abstractNumId w:val="209"/>
  </w:num>
  <w:num w:numId="199">
    <w:abstractNumId w:val="180"/>
  </w:num>
  <w:num w:numId="200">
    <w:abstractNumId w:val="100"/>
  </w:num>
  <w:num w:numId="201">
    <w:abstractNumId w:val="28"/>
  </w:num>
  <w:num w:numId="202">
    <w:abstractNumId w:val="29"/>
  </w:num>
  <w:num w:numId="203">
    <w:abstractNumId w:val="176"/>
  </w:num>
  <w:num w:numId="204">
    <w:abstractNumId w:val="9"/>
  </w:num>
  <w:num w:numId="205">
    <w:abstractNumId w:val="26"/>
  </w:num>
  <w:num w:numId="206">
    <w:abstractNumId w:val="190"/>
  </w:num>
  <w:num w:numId="207">
    <w:abstractNumId w:val="198"/>
  </w:num>
  <w:num w:numId="208">
    <w:abstractNumId w:val="116"/>
  </w:num>
  <w:num w:numId="209">
    <w:abstractNumId w:val="131"/>
  </w:num>
  <w:num w:numId="210">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81"/>
  </w:num>
  <w:num w:numId="212">
    <w:abstractNumId w:val="88"/>
  </w:num>
  <w:num w:numId="213">
    <w:abstractNumId w:val="59"/>
  </w:num>
  <w:num w:numId="214">
    <w:abstractNumId w:val="72"/>
  </w:num>
  <w:num w:numId="215">
    <w:abstractNumId w:val="87"/>
  </w:num>
  <w:num w:numId="216">
    <w:abstractNumId w:val="71"/>
  </w:num>
  <w:num w:numId="217">
    <w:abstractNumId w:val="47"/>
  </w:num>
  <w:num w:numId="218">
    <w:abstractNumId w:val="188"/>
  </w:num>
  <w:num w:numId="219">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22"/>
  </w:num>
  <w:num w:numId="221">
    <w:abstractNumId w:val="170"/>
  </w:num>
  <w:num w:numId="222">
    <w:abstractNumId w:val="18"/>
  </w:num>
  <w:num w:numId="223">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52"/>
  </w:num>
  <w:num w:numId="226">
    <w:abstractNumId w:val="206"/>
  </w:num>
  <w:num w:numId="227">
    <w:abstractNumId w:val="106"/>
  </w:num>
  <w:num w:numId="228">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45"/>
  </w:num>
  <w:num w:numId="239">
    <w:abstractNumId w:val="183"/>
  </w:num>
  <w:num w:numId="240">
    <w:abstractNumId w:val="82"/>
  </w:num>
  <w:num w:numId="241">
    <w:abstractNumId w:val="151"/>
  </w:num>
  <w:num w:numId="242">
    <w:abstractNumId w:val="172"/>
  </w:num>
  <w:num w:numId="243">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215"/>
  </w:num>
  <w:num w:numId="245">
    <w:abstractNumId w:val="177"/>
  </w:num>
  <w:num w:numId="246">
    <w:abstractNumId w:val="132"/>
  </w:num>
  <w:num w:numId="247">
    <w:abstractNumId w:val="90"/>
  </w:num>
  <w:num w:numId="248">
    <w:abstractNumId w:val="56"/>
  </w:num>
  <w:num w:numId="249">
    <w:abstractNumId w:val="112"/>
  </w:num>
  <w:num w:numId="250">
    <w:abstractNumId w:val="54"/>
  </w:num>
  <w:num w:numId="251">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HorizontalSpacing w:val="320"/>
  <w:drawingGridVerticalSpacing w:val="220"/>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FlNjE2NzA5YzY3YzM3ZDhiYmU0YjJhZDYyNmQ5YTIifQ=="/>
  </w:docVars>
  <w:rsids>
    <w:rsidRoot w:val="0DC309C6"/>
    <w:rsid w:val="00124817"/>
    <w:rsid w:val="001C7340"/>
    <w:rsid w:val="00364BFE"/>
    <w:rsid w:val="00585CA7"/>
    <w:rsid w:val="00826C0D"/>
    <w:rsid w:val="00924CAB"/>
    <w:rsid w:val="00A21576"/>
    <w:rsid w:val="00A22BF7"/>
    <w:rsid w:val="00AA743A"/>
    <w:rsid w:val="00BC178B"/>
    <w:rsid w:val="00C023D9"/>
    <w:rsid w:val="00D16133"/>
    <w:rsid w:val="00E2711A"/>
    <w:rsid w:val="00FA1A45"/>
    <w:rsid w:val="01467F48"/>
    <w:rsid w:val="01866164"/>
    <w:rsid w:val="01AE1E01"/>
    <w:rsid w:val="022E1CC2"/>
    <w:rsid w:val="023A4BFB"/>
    <w:rsid w:val="02F4124E"/>
    <w:rsid w:val="033D1BB6"/>
    <w:rsid w:val="03E75A60"/>
    <w:rsid w:val="0454740A"/>
    <w:rsid w:val="047B5E3D"/>
    <w:rsid w:val="04E37A36"/>
    <w:rsid w:val="05BF7504"/>
    <w:rsid w:val="06A203B1"/>
    <w:rsid w:val="06D34618"/>
    <w:rsid w:val="071A324D"/>
    <w:rsid w:val="07660566"/>
    <w:rsid w:val="079B00AA"/>
    <w:rsid w:val="07B76A5D"/>
    <w:rsid w:val="07FA6E3F"/>
    <w:rsid w:val="08E95E09"/>
    <w:rsid w:val="092B5824"/>
    <w:rsid w:val="09490FEF"/>
    <w:rsid w:val="097C66F2"/>
    <w:rsid w:val="09C5283E"/>
    <w:rsid w:val="09C83AC1"/>
    <w:rsid w:val="09DC1191"/>
    <w:rsid w:val="0AC85D4B"/>
    <w:rsid w:val="0AD034AB"/>
    <w:rsid w:val="0B185CF6"/>
    <w:rsid w:val="0B45740A"/>
    <w:rsid w:val="0C4C7E12"/>
    <w:rsid w:val="0C7020B6"/>
    <w:rsid w:val="0C93343C"/>
    <w:rsid w:val="0CC223BD"/>
    <w:rsid w:val="0CCD775F"/>
    <w:rsid w:val="0D2D52AA"/>
    <w:rsid w:val="0DC309C6"/>
    <w:rsid w:val="0EC01ED9"/>
    <w:rsid w:val="0EF6605C"/>
    <w:rsid w:val="0F052F48"/>
    <w:rsid w:val="0F337A4F"/>
    <w:rsid w:val="0F65034F"/>
    <w:rsid w:val="10047F97"/>
    <w:rsid w:val="11412251"/>
    <w:rsid w:val="122B6C31"/>
    <w:rsid w:val="12341018"/>
    <w:rsid w:val="123C5E8C"/>
    <w:rsid w:val="133174C2"/>
    <w:rsid w:val="15B46540"/>
    <w:rsid w:val="15FD6FDB"/>
    <w:rsid w:val="1625018D"/>
    <w:rsid w:val="165200E4"/>
    <w:rsid w:val="168959A8"/>
    <w:rsid w:val="168B1A72"/>
    <w:rsid w:val="16901988"/>
    <w:rsid w:val="175E243C"/>
    <w:rsid w:val="184800D8"/>
    <w:rsid w:val="187B1061"/>
    <w:rsid w:val="18B568FB"/>
    <w:rsid w:val="18C16CBC"/>
    <w:rsid w:val="199857C8"/>
    <w:rsid w:val="19F848C5"/>
    <w:rsid w:val="1A884492"/>
    <w:rsid w:val="1AC57823"/>
    <w:rsid w:val="1B1E2767"/>
    <w:rsid w:val="1BA7408D"/>
    <w:rsid w:val="1BB11FFE"/>
    <w:rsid w:val="1BB622A3"/>
    <w:rsid w:val="1CC57BF3"/>
    <w:rsid w:val="1E2C23E3"/>
    <w:rsid w:val="1EA24888"/>
    <w:rsid w:val="1ECF607E"/>
    <w:rsid w:val="1FAA1D92"/>
    <w:rsid w:val="1FC94417"/>
    <w:rsid w:val="20B322F1"/>
    <w:rsid w:val="20B56069"/>
    <w:rsid w:val="210944D5"/>
    <w:rsid w:val="211B5794"/>
    <w:rsid w:val="22C610FD"/>
    <w:rsid w:val="233D2B31"/>
    <w:rsid w:val="237F778B"/>
    <w:rsid w:val="23ED78C8"/>
    <w:rsid w:val="24003F9A"/>
    <w:rsid w:val="25725265"/>
    <w:rsid w:val="26572779"/>
    <w:rsid w:val="266F6B49"/>
    <w:rsid w:val="26C32A31"/>
    <w:rsid w:val="27613DCD"/>
    <w:rsid w:val="276A21EB"/>
    <w:rsid w:val="280469E4"/>
    <w:rsid w:val="28CE0307"/>
    <w:rsid w:val="298D7D74"/>
    <w:rsid w:val="2A777E4F"/>
    <w:rsid w:val="2A837F49"/>
    <w:rsid w:val="2ACA31AF"/>
    <w:rsid w:val="2AF737F5"/>
    <w:rsid w:val="2C03656B"/>
    <w:rsid w:val="2D1546E5"/>
    <w:rsid w:val="2E033351"/>
    <w:rsid w:val="2F305F78"/>
    <w:rsid w:val="2F6967B7"/>
    <w:rsid w:val="30646115"/>
    <w:rsid w:val="30655940"/>
    <w:rsid w:val="30FE6AC5"/>
    <w:rsid w:val="310B443D"/>
    <w:rsid w:val="324D78BC"/>
    <w:rsid w:val="32CE4250"/>
    <w:rsid w:val="34545741"/>
    <w:rsid w:val="36AF033E"/>
    <w:rsid w:val="37FC6AF5"/>
    <w:rsid w:val="38031C92"/>
    <w:rsid w:val="38376F0C"/>
    <w:rsid w:val="386D6CF3"/>
    <w:rsid w:val="38BA1447"/>
    <w:rsid w:val="38D2055F"/>
    <w:rsid w:val="399B4EDE"/>
    <w:rsid w:val="3AE760B0"/>
    <w:rsid w:val="3AF52351"/>
    <w:rsid w:val="3B1155BA"/>
    <w:rsid w:val="3BA304DF"/>
    <w:rsid w:val="3BB34695"/>
    <w:rsid w:val="3C4677CD"/>
    <w:rsid w:val="3CC36EAA"/>
    <w:rsid w:val="3D3351AC"/>
    <w:rsid w:val="3DD87E61"/>
    <w:rsid w:val="3F40168F"/>
    <w:rsid w:val="3FF23B45"/>
    <w:rsid w:val="40ED6D01"/>
    <w:rsid w:val="41245429"/>
    <w:rsid w:val="4152746E"/>
    <w:rsid w:val="41804CA5"/>
    <w:rsid w:val="419051BA"/>
    <w:rsid w:val="41ED09CC"/>
    <w:rsid w:val="41FF40B0"/>
    <w:rsid w:val="42306BBB"/>
    <w:rsid w:val="43DA7186"/>
    <w:rsid w:val="44510D31"/>
    <w:rsid w:val="45780BBC"/>
    <w:rsid w:val="4649335D"/>
    <w:rsid w:val="46755232"/>
    <w:rsid w:val="47515EFF"/>
    <w:rsid w:val="47E74302"/>
    <w:rsid w:val="481B422A"/>
    <w:rsid w:val="481E7986"/>
    <w:rsid w:val="48A44B81"/>
    <w:rsid w:val="492375BC"/>
    <w:rsid w:val="49A24972"/>
    <w:rsid w:val="4B571947"/>
    <w:rsid w:val="4C4E439B"/>
    <w:rsid w:val="4C55509D"/>
    <w:rsid w:val="4C6C556F"/>
    <w:rsid w:val="4D604A24"/>
    <w:rsid w:val="4EC571A3"/>
    <w:rsid w:val="4F512C06"/>
    <w:rsid w:val="500F388E"/>
    <w:rsid w:val="50B52845"/>
    <w:rsid w:val="51AE6039"/>
    <w:rsid w:val="51DE0148"/>
    <w:rsid w:val="526A01B2"/>
    <w:rsid w:val="526E1C4C"/>
    <w:rsid w:val="5324645C"/>
    <w:rsid w:val="551B2BA1"/>
    <w:rsid w:val="55C36443"/>
    <w:rsid w:val="55E15ECE"/>
    <w:rsid w:val="562143D9"/>
    <w:rsid w:val="5624337B"/>
    <w:rsid w:val="563C20F6"/>
    <w:rsid w:val="569967F2"/>
    <w:rsid w:val="57340913"/>
    <w:rsid w:val="57727C8C"/>
    <w:rsid w:val="589D423E"/>
    <w:rsid w:val="58A678B0"/>
    <w:rsid w:val="591D181B"/>
    <w:rsid w:val="59C609FF"/>
    <w:rsid w:val="5A470745"/>
    <w:rsid w:val="5A743572"/>
    <w:rsid w:val="5A7763AB"/>
    <w:rsid w:val="5B00147F"/>
    <w:rsid w:val="5B950720"/>
    <w:rsid w:val="5C204FC8"/>
    <w:rsid w:val="5C7E61EB"/>
    <w:rsid w:val="5CF44E1D"/>
    <w:rsid w:val="5F63658B"/>
    <w:rsid w:val="5F636826"/>
    <w:rsid w:val="60C473C9"/>
    <w:rsid w:val="60F6502B"/>
    <w:rsid w:val="618E7DB9"/>
    <w:rsid w:val="61DE3A00"/>
    <w:rsid w:val="62763BE7"/>
    <w:rsid w:val="62B429A0"/>
    <w:rsid w:val="64AB5E73"/>
    <w:rsid w:val="6537195E"/>
    <w:rsid w:val="65AD232D"/>
    <w:rsid w:val="65CE6CE4"/>
    <w:rsid w:val="664A339C"/>
    <w:rsid w:val="66517497"/>
    <w:rsid w:val="665A6F79"/>
    <w:rsid w:val="666D3936"/>
    <w:rsid w:val="66D86595"/>
    <w:rsid w:val="67BA6B76"/>
    <w:rsid w:val="68083EAE"/>
    <w:rsid w:val="68A6520E"/>
    <w:rsid w:val="68D57B25"/>
    <w:rsid w:val="692165A8"/>
    <w:rsid w:val="69A322AF"/>
    <w:rsid w:val="6A3B229A"/>
    <w:rsid w:val="6A9411E7"/>
    <w:rsid w:val="6B0F54B0"/>
    <w:rsid w:val="6BA7016C"/>
    <w:rsid w:val="6BD74614"/>
    <w:rsid w:val="6CFF753A"/>
    <w:rsid w:val="6E604C47"/>
    <w:rsid w:val="6E800819"/>
    <w:rsid w:val="6EB717A0"/>
    <w:rsid w:val="6EC37D8F"/>
    <w:rsid w:val="6F3033D3"/>
    <w:rsid w:val="6F5F12A7"/>
    <w:rsid w:val="6FAB4AA3"/>
    <w:rsid w:val="70421692"/>
    <w:rsid w:val="71707695"/>
    <w:rsid w:val="71982097"/>
    <w:rsid w:val="72862787"/>
    <w:rsid w:val="72BE4483"/>
    <w:rsid w:val="72D434F7"/>
    <w:rsid w:val="731A6C33"/>
    <w:rsid w:val="73B250BD"/>
    <w:rsid w:val="7459007D"/>
    <w:rsid w:val="7497786E"/>
    <w:rsid w:val="74DE4D1F"/>
    <w:rsid w:val="755C68BB"/>
    <w:rsid w:val="75BD719E"/>
    <w:rsid w:val="75E17EDC"/>
    <w:rsid w:val="76A119E5"/>
    <w:rsid w:val="77051BA2"/>
    <w:rsid w:val="77282600"/>
    <w:rsid w:val="77F161B4"/>
    <w:rsid w:val="786D2FEC"/>
    <w:rsid w:val="78EB3ED9"/>
    <w:rsid w:val="7A102102"/>
    <w:rsid w:val="7B025054"/>
    <w:rsid w:val="7BE40E96"/>
    <w:rsid w:val="7C06244A"/>
    <w:rsid w:val="7C80532F"/>
    <w:rsid w:val="7C9832F7"/>
    <w:rsid w:val="7D2D0469"/>
    <w:rsid w:val="7D46302F"/>
    <w:rsid w:val="7D591BDB"/>
    <w:rsid w:val="7DD95FFC"/>
    <w:rsid w:val="7DE90F31"/>
    <w:rsid w:val="7EDD085E"/>
    <w:rsid w:val="7F570545"/>
    <w:rsid w:val="7F99278B"/>
    <w:rsid w:val="7FA158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ind w:firstLine="723" w:firstLineChars="200"/>
      <w:jc w:val="both"/>
    </w:pPr>
    <w:rPr>
      <w:rFonts w:ascii="仿宋" w:hAnsi="仿宋" w:eastAsia="仿宋_GB2312" w:cs="仿宋"/>
      <w:kern w:val="2"/>
      <w:sz w:val="32"/>
      <w:szCs w:val="32"/>
      <w:lang w:val="en-US" w:eastAsia="zh-CN" w:bidi="ar-SA"/>
    </w:rPr>
  </w:style>
  <w:style w:type="paragraph" w:styleId="2">
    <w:name w:val="heading 1"/>
    <w:basedOn w:val="1"/>
    <w:next w:val="1"/>
    <w:link w:val="26"/>
    <w:autoRedefine/>
    <w:qFormat/>
    <w:uiPriority w:val="0"/>
    <w:pPr>
      <w:keepNext/>
      <w:keepLines/>
      <w:numPr>
        <w:ilvl w:val="0"/>
        <w:numId w:val="1"/>
      </w:numPr>
      <w:tabs>
        <w:tab w:val="left" w:pos="420"/>
        <w:tab w:val="clear" w:pos="0"/>
      </w:tabs>
      <w:ind w:firstLine="632"/>
      <w:jc w:val="left"/>
      <w:outlineLvl w:val="0"/>
    </w:pPr>
    <w:rPr>
      <w:rFonts w:eastAsia="黑体"/>
      <w:b/>
      <w:kern w:val="44"/>
    </w:rPr>
  </w:style>
  <w:style w:type="paragraph" w:styleId="3">
    <w:name w:val="heading 2"/>
    <w:basedOn w:val="1"/>
    <w:next w:val="1"/>
    <w:link w:val="27"/>
    <w:autoRedefine/>
    <w:unhideWhenUsed/>
    <w:qFormat/>
    <w:uiPriority w:val="0"/>
    <w:pPr>
      <w:tabs>
        <w:tab w:val="left" w:pos="420"/>
      </w:tabs>
      <w:ind w:firstLine="632"/>
      <w:outlineLvl w:val="1"/>
    </w:pPr>
    <w:rPr>
      <w:rFonts w:ascii="楷体" w:hAnsi="楷体" w:eastAsia="楷体" w:cs="楷体"/>
    </w:rPr>
  </w:style>
  <w:style w:type="paragraph" w:styleId="4">
    <w:name w:val="heading 3"/>
    <w:basedOn w:val="1"/>
    <w:next w:val="1"/>
    <w:link w:val="28"/>
    <w:autoRedefine/>
    <w:unhideWhenUsed/>
    <w:qFormat/>
    <w:uiPriority w:val="0"/>
    <w:pPr>
      <w:keepNext/>
      <w:keepLines/>
      <w:widowControl/>
      <w:numPr>
        <w:ilvl w:val="2"/>
        <w:numId w:val="1"/>
      </w:numPr>
      <w:tabs>
        <w:tab w:val="left" w:pos="420"/>
        <w:tab w:val="clear" w:pos="0"/>
      </w:tabs>
      <w:ind w:firstLine="632"/>
      <w:jc w:val="left"/>
      <w:outlineLvl w:val="2"/>
    </w:pPr>
    <w:rPr>
      <w:b/>
      <w:spacing w:val="6"/>
      <w:kern w:val="0"/>
    </w:rPr>
  </w:style>
  <w:style w:type="paragraph" w:styleId="5">
    <w:name w:val="heading 4"/>
    <w:basedOn w:val="1"/>
    <w:next w:val="1"/>
    <w:link w:val="62"/>
    <w:autoRedefine/>
    <w:unhideWhenUsed/>
    <w:qFormat/>
    <w:uiPriority w:val="0"/>
    <w:pPr>
      <w:keepNext/>
      <w:keepLines/>
      <w:numPr>
        <w:ilvl w:val="3"/>
        <w:numId w:val="1"/>
      </w:numPr>
      <w:jc w:val="left"/>
      <w:outlineLvl w:val="3"/>
    </w:pPr>
    <w:rPr>
      <w:b/>
    </w:rPr>
  </w:style>
  <w:style w:type="paragraph" w:styleId="6">
    <w:name w:val="heading 5"/>
    <w:basedOn w:val="1"/>
    <w:next w:val="1"/>
    <w:autoRedefine/>
    <w:unhideWhenUsed/>
    <w:qFormat/>
    <w:uiPriority w:val="0"/>
    <w:pPr>
      <w:keepNext/>
      <w:keepLines/>
      <w:numPr>
        <w:ilvl w:val="4"/>
        <w:numId w:val="1"/>
      </w:numPr>
      <w:spacing w:before="280" w:after="290" w:line="372" w:lineRule="auto"/>
      <w:ind w:firstLine="0" w:firstLineChars="0"/>
      <w:outlineLvl w:val="4"/>
    </w:pPr>
    <w:rPr>
      <w:b/>
      <w:sz w:val="28"/>
    </w:rPr>
  </w:style>
  <w:style w:type="paragraph" w:styleId="7">
    <w:name w:val="heading 6"/>
    <w:basedOn w:val="1"/>
    <w:next w:val="1"/>
    <w:autoRedefine/>
    <w:unhideWhenUsed/>
    <w:qFormat/>
    <w:uiPriority w:val="0"/>
    <w:pPr>
      <w:keepNext/>
      <w:keepLines/>
      <w:numPr>
        <w:ilvl w:val="5"/>
        <w:numId w:val="1"/>
      </w:numPr>
      <w:spacing w:before="240" w:after="64" w:line="317" w:lineRule="auto"/>
      <w:ind w:firstLine="0" w:firstLineChars="0"/>
      <w:outlineLvl w:val="5"/>
    </w:pPr>
    <w:rPr>
      <w:rFonts w:ascii="Arial" w:hAnsi="Arial" w:eastAsia="黑体"/>
      <w:b/>
      <w:sz w:val="24"/>
    </w:rPr>
  </w:style>
  <w:style w:type="paragraph" w:styleId="8">
    <w:name w:val="heading 7"/>
    <w:basedOn w:val="1"/>
    <w:next w:val="1"/>
    <w:autoRedefine/>
    <w:unhideWhenUsed/>
    <w:qFormat/>
    <w:uiPriority w:val="0"/>
    <w:pPr>
      <w:keepNext/>
      <w:keepLines/>
      <w:numPr>
        <w:ilvl w:val="6"/>
        <w:numId w:val="1"/>
      </w:numPr>
      <w:spacing w:before="240" w:after="64" w:line="317" w:lineRule="auto"/>
      <w:ind w:firstLine="0" w:firstLineChars="0"/>
      <w:outlineLvl w:val="6"/>
    </w:pPr>
    <w:rPr>
      <w:b/>
      <w:sz w:val="24"/>
    </w:rPr>
  </w:style>
  <w:style w:type="paragraph" w:styleId="9">
    <w:name w:val="heading 8"/>
    <w:basedOn w:val="1"/>
    <w:next w:val="1"/>
    <w:autoRedefine/>
    <w:unhideWhenUsed/>
    <w:qFormat/>
    <w:uiPriority w:val="0"/>
    <w:pPr>
      <w:keepNext/>
      <w:keepLines/>
      <w:numPr>
        <w:ilvl w:val="7"/>
        <w:numId w:val="1"/>
      </w:numPr>
      <w:spacing w:before="240" w:after="64" w:line="317" w:lineRule="auto"/>
      <w:ind w:firstLine="0" w:firstLineChars="0"/>
      <w:outlineLvl w:val="7"/>
    </w:pPr>
    <w:rPr>
      <w:rFonts w:ascii="Arial" w:hAnsi="Arial" w:eastAsia="黑体"/>
      <w:sz w:val="24"/>
    </w:rPr>
  </w:style>
  <w:style w:type="paragraph" w:styleId="10">
    <w:name w:val="heading 9"/>
    <w:basedOn w:val="1"/>
    <w:next w:val="1"/>
    <w:autoRedefine/>
    <w:unhideWhenUsed/>
    <w:qFormat/>
    <w:uiPriority w:val="0"/>
    <w:pPr>
      <w:keepNext/>
      <w:keepLines/>
      <w:numPr>
        <w:ilvl w:val="8"/>
        <w:numId w:val="1"/>
      </w:numPr>
      <w:spacing w:before="240" w:after="64" w:line="317" w:lineRule="auto"/>
      <w:ind w:firstLine="0" w:firstLineChars="0"/>
      <w:outlineLvl w:val="8"/>
    </w:pPr>
    <w:rPr>
      <w:rFonts w:ascii="Arial" w:hAnsi="Arial" w:eastAsia="黑体"/>
      <w:sz w:val="21"/>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autoRedefine/>
    <w:qFormat/>
    <w:uiPriority w:val="0"/>
    <w:pPr>
      <w:ind w:firstLine="420"/>
    </w:pPr>
  </w:style>
  <w:style w:type="paragraph" w:styleId="12">
    <w:name w:val="annotation text"/>
    <w:basedOn w:val="1"/>
    <w:autoRedefine/>
    <w:qFormat/>
    <w:uiPriority w:val="0"/>
    <w:pPr>
      <w:jc w:val="left"/>
    </w:pPr>
  </w:style>
  <w:style w:type="paragraph" w:styleId="13">
    <w:name w:val="Body Text"/>
    <w:basedOn w:val="1"/>
    <w:next w:val="1"/>
    <w:autoRedefine/>
    <w:qFormat/>
    <w:uiPriority w:val="1"/>
    <w:pPr>
      <w:ind w:left="226"/>
    </w:pPr>
    <w:rPr>
      <w:rFonts w:eastAsia="仿宋"/>
      <w:lang w:val="zh-CN" w:bidi="zh-CN"/>
    </w:rPr>
  </w:style>
  <w:style w:type="paragraph" w:styleId="14">
    <w:name w:val="List 2"/>
    <w:basedOn w:val="1"/>
    <w:qFormat/>
    <w:uiPriority w:val="0"/>
    <w:pPr>
      <w:ind w:left="100" w:leftChars="200" w:hanging="200" w:hangingChars="200"/>
    </w:pPr>
  </w:style>
  <w:style w:type="paragraph" w:styleId="15">
    <w:name w:val="Body Text Indent 2"/>
    <w:basedOn w:val="1"/>
    <w:autoRedefine/>
    <w:unhideWhenUsed/>
    <w:qFormat/>
    <w:uiPriority w:val="99"/>
    <w:pPr>
      <w:spacing w:after="120" w:line="480" w:lineRule="auto"/>
      <w:ind w:left="420" w:leftChars="200"/>
    </w:pPr>
  </w:style>
  <w:style w:type="paragraph" w:styleId="16">
    <w:name w:val="footer"/>
    <w:basedOn w:val="1"/>
    <w:autoRedefine/>
    <w:qFormat/>
    <w:uiPriority w:val="0"/>
    <w:pPr>
      <w:tabs>
        <w:tab w:val="center" w:pos="4153"/>
        <w:tab w:val="right" w:pos="8306"/>
      </w:tabs>
      <w:snapToGrid w:val="0"/>
      <w:jc w:val="left"/>
    </w:pPr>
    <w:rPr>
      <w:sz w:val="28"/>
    </w:rPr>
  </w:style>
  <w:style w:type="paragraph" w:styleId="1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8">
    <w:name w:val="toc 1"/>
    <w:basedOn w:val="1"/>
    <w:next w:val="1"/>
    <w:autoRedefine/>
    <w:qFormat/>
    <w:uiPriority w:val="0"/>
    <w:pPr>
      <w:tabs>
        <w:tab w:val="right" w:leader="dot" w:pos="8845"/>
      </w:tabs>
      <w:ind w:firstLine="0" w:firstLineChars="0"/>
    </w:pPr>
    <w:rPr>
      <w:b/>
    </w:rPr>
  </w:style>
  <w:style w:type="paragraph" w:styleId="19">
    <w:name w:val="toc 2"/>
    <w:basedOn w:val="1"/>
    <w:next w:val="1"/>
    <w:autoRedefine/>
    <w:qFormat/>
    <w:uiPriority w:val="0"/>
  </w:style>
  <w:style w:type="paragraph" w:styleId="20">
    <w:name w:val="Normal (Web)"/>
    <w:basedOn w:val="1"/>
    <w:autoRedefine/>
    <w:qFormat/>
    <w:uiPriority w:val="0"/>
    <w:pPr>
      <w:spacing w:beforeAutospacing="1" w:afterAutospacing="1"/>
      <w:jc w:val="left"/>
    </w:pPr>
    <w:rPr>
      <w:rFonts w:cs="Times New Roman"/>
      <w:kern w:val="0"/>
      <w:sz w:val="24"/>
    </w:rPr>
  </w:style>
  <w:style w:type="paragraph" w:styleId="21">
    <w:name w:val="Body Text First Indent 2"/>
    <w:basedOn w:val="13"/>
    <w:next w:val="1"/>
    <w:unhideWhenUsed/>
    <w:qFormat/>
    <w:uiPriority w:val="99"/>
    <w:pPr>
      <w:ind w:firstLine="420"/>
    </w:pPr>
    <w:rPr>
      <w:rFonts w:ascii="Times New Roman" w:hAnsi="Times New Roman"/>
    </w:rPr>
  </w:style>
  <w:style w:type="table" w:styleId="23">
    <w:name w:val="Table Grid"/>
    <w:basedOn w:val="2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basedOn w:val="24"/>
    <w:autoRedefine/>
    <w:qFormat/>
    <w:uiPriority w:val="0"/>
    <w:rPr>
      <w:b/>
    </w:rPr>
  </w:style>
  <w:style w:type="character" w:customStyle="1" w:styleId="26">
    <w:name w:val="标题 1 Char"/>
    <w:link w:val="2"/>
    <w:autoRedefine/>
    <w:qFormat/>
    <w:uiPriority w:val="0"/>
    <w:rPr>
      <w:rFonts w:ascii="仿宋" w:hAnsi="仿宋" w:eastAsia="黑体" w:cs="仿宋"/>
      <w:b/>
      <w:kern w:val="44"/>
      <w:sz w:val="28"/>
      <w:szCs w:val="28"/>
    </w:rPr>
  </w:style>
  <w:style w:type="character" w:customStyle="1" w:styleId="27">
    <w:name w:val="标题 2 Char"/>
    <w:link w:val="3"/>
    <w:autoRedefine/>
    <w:qFormat/>
    <w:uiPriority w:val="0"/>
    <w:rPr>
      <w:rFonts w:ascii="楷体" w:hAnsi="楷体" w:eastAsia="楷体" w:cs="楷体"/>
      <w:b/>
      <w:szCs w:val="28"/>
    </w:rPr>
  </w:style>
  <w:style w:type="character" w:customStyle="1" w:styleId="28">
    <w:name w:val="标题 3 Char"/>
    <w:link w:val="4"/>
    <w:autoRedefine/>
    <w:qFormat/>
    <w:uiPriority w:val="0"/>
    <w:rPr>
      <w:rFonts w:eastAsia="仿宋"/>
      <w:b/>
      <w:spacing w:val="6"/>
      <w:kern w:val="0"/>
      <w:szCs w:val="28"/>
    </w:rPr>
  </w:style>
  <w:style w:type="paragraph" w:customStyle="1" w:styleId="29">
    <w:name w:val="封面标题"/>
    <w:basedOn w:val="1"/>
    <w:autoRedefine/>
    <w:qFormat/>
    <w:uiPriority w:val="0"/>
    <w:pPr>
      <w:snapToGrid w:val="0"/>
      <w:spacing w:line="360" w:lineRule="auto"/>
      <w:ind w:firstLine="0" w:firstLineChars="0"/>
      <w:jc w:val="center"/>
    </w:pPr>
    <w:rPr>
      <w:rFonts w:eastAsia="方正小标宋简体"/>
      <w:b/>
      <w:sz w:val="44"/>
    </w:rPr>
  </w:style>
  <w:style w:type="paragraph" w:customStyle="1" w:styleId="30">
    <w:name w:val="WPSOffice手动目录 1"/>
    <w:autoRedefine/>
    <w:qFormat/>
    <w:uiPriority w:val="0"/>
    <w:rPr>
      <w:rFonts w:ascii="Times New Roman" w:hAnsi="Times New Roman" w:eastAsia="宋体" w:cs="Times New Roman"/>
      <w:lang w:val="en-US" w:eastAsia="zh-CN" w:bidi="ar-SA"/>
    </w:rPr>
  </w:style>
  <w:style w:type="paragraph" w:customStyle="1" w:styleId="31">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32">
    <w:name w:val="附件标题"/>
    <w:basedOn w:val="1"/>
    <w:autoRedefine/>
    <w:qFormat/>
    <w:uiPriority w:val="0"/>
    <w:pPr>
      <w:ind w:firstLine="0" w:firstLineChars="0"/>
      <w:jc w:val="center"/>
    </w:pPr>
    <w:rPr>
      <w:rFonts w:eastAsia="方正小标宋简体"/>
      <w:sz w:val="36"/>
    </w:rPr>
  </w:style>
  <w:style w:type="paragraph" w:styleId="33">
    <w:name w:val="List Paragraph"/>
    <w:basedOn w:val="1"/>
    <w:autoRedefine/>
    <w:qFormat/>
    <w:uiPriority w:val="1"/>
    <w:pPr>
      <w:ind w:left="226" w:firstLine="633"/>
    </w:pPr>
    <w:rPr>
      <w:rFonts w:eastAsia="仿宋"/>
      <w:lang w:val="zh-CN" w:bidi="zh-CN"/>
    </w:rPr>
  </w:style>
  <w:style w:type="table" w:customStyle="1" w:styleId="34">
    <w:name w:val="Table Normal"/>
    <w:autoRedefine/>
    <w:semiHidden/>
    <w:unhideWhenUsed/>
    <w:qFormat/>
    <w:uiPriority w:val="0"/>
    <w:tblPr>
      <w:tblCellMar>
        <w:top w:w="0" w:type="dxa"/>
        <w:left w:w="0" w:type="dxa"/>
        <w:bottom w:w="0" w:type="dxa"/>
        <w:right w:w="0" w:type="dxa"/>
      </w:tblCellMar>
    </w:tblPr>
  </w:style>
  <w:style w:type="paragraph" w:customStyle="1" w:styleId="35">
    <w:name w:val="Body text|1"/>
    <w:basedOn w:val="1"/>
    <w:link w:val="39"/>
    <w:autoRedefine/>
    <w:qFormat/>
    <w:uiPriority w:val="0"/>
    <w:pPr>
      <w:spacing w:line="391" w:lineRule="auto"/>
      <w:ind w:firstLine="400"/>
    </w:pPr>
    <w:rPr>
      <w:rFonts w:ascii="宋体" w:hAnsi="宋体" w:eastAsia="宋体" w:cs="宋体"/>
      <w:sz w:val="30"/>
      <w:szCs w:val="30"/>
      <w:lang w:val="zh-TW" w:eastAsia="zh-TW" w:bidi="zh-TW"/>
    </w:rPr>
  </w:style>
  <w:style w:type="paragraph" w:customStyle="1" w:styleId="36">
    <w:name w:val="Body text|3"/>
    <w:basedOn w:val="1"/>
    <w:autoRedefine/>
    <w:qFormat/>
    <w:uiPriority w:val="0"/>
    <w:pPr>
      <w:spacing w:after="130" w:line="422" w:lineRule="auto"/>
    </w:pPr>
    <w:rPr>
      <w:sz w:val="28"/>
      <w:szCs w:val="28"/>
      <w:lang w:val="zh-TW" w:eastAsia="zh-TW" w:bidi="zh-TW"/>
    </w:rPr>
  </w:style>
  <w:style w:type="paragraph" w:customStyle="1" w:styleId="37">
    <w:name w:val="Body text|2"/>
    <w:basedOn w:val="1"/>
    <w:autoRedefine/>
    <w:qFormat/>
    <w:uiPriority w:val="0"/>
    <w:pPr>
      <w:spacing w:line="367" w:lineRule="auto"/>
      <w:ind w:firstLine="760"/>
    </w:pPr>
    <w:rPr>
      <w:lang w:val="zh-TW" w:eastAsia="zh-TW" w:bidi="zh-TW"/>
    </w:rPr>
  </w:style>
  <w:style w:type="paragraph" w:customStyle="1" w:styleId="38">
    <w:name w:val="Header or footer|1"/>
    <w:basedOn w:val="1"/>
    <w:autoRedefine/>
    <w:qFormat/>
    <w:uiPriority w:val="0"/>
    <w:pPr>
      <w:spacing w:line="334" w:lineRule="auto"/>
      <w:ind w:left="-10"/>
      <w:jc w:val="center"/>
    </w:pPr>
    <w:rPr>
      <w:sz w:val="28"/>
      <w:szCs w:val="28"/>
      <w:lang w:val="zh-TW" w:eastAsia="zh-TW" w:bidi="zh-TW"/>
    </w:rPr>
  </w:style>
  <w:style w:type="character" w:customStyle="1" w:styleId="39">
    <w:name w:val="Body text|1_"/>
    <w:basedOn w:val="24"/>
    <w:link w:val="35"/>
    <w:autoRedefine/>
    <w:qFormat/>
    <w:uiPriority w:val="0"/>
    <w:rPr>
      <w:rFonts w:ascii="宋体" w:hAnsi="宋体" w:eastAsia="宋体" w:cs="宋体"/>
      <w:sz w:val="30"/>
      <w:szCs w:val="30"/>
      <w:u w:val="none"/>
      <w:shd w:val="clear" w:color="auto" w:fill="auto"/>
      <w:lang w:val="zh-TW" w:eastAsia="zh-TW" w:bidi="zh-TW"/>
    </w:rPr>
  </w:style>
  <w:style w:type="paragraph" w:customStyle="1" w:styleId="40">
    <w:name w:val="Other|2"/>
    <w:basedOn w:val="1"/>
    <w:autoRedefine/>
    <w:qFormat/>
    <w:uiPriority w:val="0"/>
    <w:pPr>
      <w:spacing w:line="364" w:lineRule="exact"/>
      <w:jc w:val="center"/>
    </w:pPr>
    <w:rPr>
      <w:rFonts w:ascii="宋体" w:hAnsi="宋体" w:eastAsia="宋体" w:cs="宋体"/>
      <w:sz w:val="18"/>
      <w:szCs w:val="18"/>
      <w:lang w:val="zh-TW" w:eastAsia="zh-TW" w:bidi="zh-TW"/>
    </w:rPr>
  </w:style>
  <w:style w:type="paragraph" w:customStyle="1" w:styleId="41">
    <w:name w:val="Other|1"/>
    <w:basedOn w:val="1"/>
    <w:autoRedefine/>
    <w:qFormat/>
    <w:uiPriority w:val="0"/>
    <w:pPr>
      <w:spacing w:line="391" w:lineRule="auto"/>
      <w:ind w:firstLine="400"/>
    </w:pPr>
    <w:rPr>
      <w:rFonts w:ascii="宋体" w:hAnsi="宋体" w:eastAsia="宋体" w:cs="宋体"/>
      <w:sz w:val="30"/>
      <w:szCs w:val="30"/>
      <w:lang w:val="zh-TW" w:eastAsia="zh-TW" w:bidi="zh-TW"/>
    </w:rPr>
  </w:style>
  <w:style w:type="paragraph" w:customStyle="1" w:styleId="42">
    <w:name w:val="WW-Default"/>
    <w:autoRedefine/>
    <w:qFormat/>
    <w:uiPriority w:val="0"/>
    <w:pPr>
      <w:widowControl w:val="0"/>
      <w:suppressAutoHyphens/>
      <w:autoSpaceDE w:val="0"/>
    </w:pPr>
    <w:rPr>
      <w:rFonts w:ascii="Calibri" w:hAnsi="Calibri" w:eastAsia="宋体" w:cs="Times New Roman"/>
      <w:color w:val="000000"/>
      <w:sz w:val="24"/>
      <w:szCs w:val="24"/>
      <w:lang w:val="en-US" w:eastAsia="zh-CN" w:bidi="ar-SA"/>
    </w:rPr>
  </w:style>
  <w:style w:type="paragraph" w:customStyle="1" w:styleId="43">
    <w:name w:val="稻壳 标题 1"/>
    <w:basedOn w:val="1"/>
    <w:autoRedefine/>
    <w:qFormat/>
    <w:uiPriority w:val="0"/>
    <w:pPr>
      <w:ind w:firstLine="632"/>
    </w:pPr>
    <w:rPr>
      <w:rFonts w:ascii="微软雅黑" w:eastAsia="微软雅黑"/>
    </w:rPr>
  </w:style>
  <w:style w:type="paragraph" w:customStyle="1" w:styleId="44">
    <w:name w:val="稻壳 标题 3"/>
    <w:basedOn w:val="1"/>
    <w:autoRedefine/>
    <w:qFormat/>
    <w:uiPriority w:val="0"/>
    <w:pPr>
      <w:ind w:firstLine="632"/>
    </w:pPr>
    <w:rPr>
      <w:rFonts w:ascii="方正仿宋_GB2312" w:eastAsia="方正仿宋_GB2312"/>
    </w:rPr>
  </w:style>
  <w:style w:type="paragraph" w:customStyle="1" w:styleId="45">
    <w:name w:val="稻壳 标题 2"/>
    <w:basedOn w:val="1"/>
    <w:autoRedefine/>
    <w:qFormat/>
    <w:uiPriority w:val="0"/>
    <w:pPr>
      <w:ind w:firstLine="632"/>
    </w:pPr>
    <w:rPr>
      <w:rFonts w:ascii="方正楷体_GB2312" w:eastAsia="方正楷体_GB2312"/>
    </w:rPr>
  </w:style>
  <w:style w:type="paragraph" w:customStyle="1" w:styleId="46">
    <w:name w:val="稻壳 标题 4"/>
    <w:basedOn w:val="1"/>
    <w:autoRedefine/>
    <w:qFormat/>
    <w:uiPriority w:val="0"/>
    <w:pPr>
      <w:ind w:firstLine="632"/>
    </w:pPr>
    <w:rPr>
      <w:rFonts w:ascii="方正仿宋_GB2312" w:eastAsia="方正仿宋_GB2312"/>
    </w:rPr>
  </w:style>
  <w:style w:type="paragraph" w:customStyle="1" w:styleId="47">
    <w:name w:val="稻壳 标题"/>
    <w:basedOn w:val="1"/>
    <w:autoRedefine/>
    <w:qFormat/>
    <w:uiPriority w:val="0"/>
    <w:pPr>
      <w:ind w:firstLine="0" w:firstLineChars="0"/>
      <w:jc w:val="center"/>
    </w:pPr>
    <w:rPr>
      <w:rFonts w:ascii="方正小标宋简体" w:eastAsia="方正小标宋简体"/>
      <w:sz w:val="44"/>
    </w:rPr>
  </w:style>
  <w:style w:type="paragraph" w:customStyle="1" w:styleId="48">
    <w:name w:val="稻壳 正文"/>
    <w:basedOn w:val="1"/>
    <w:autoRedefine/>
    <w:qFormat/>
    <w:uiPriority w:val="0"/>
    <w:pPr>
      <w:ind w:firstLine="632"/>
    </w:pPr>
    <w:rPr>
      <w:rFonts w:ascii="方正仿宋_GB2312" w:eastAsia="方正仿宋_GB2312"/>
    </w:rPr>
  </w:style>
  <w:style w:type="paragraph" w:customStyle="1" w:styleId="49">
    <w:name w:val="稻壳 题注"/>
    <w:basedOn w:val="1"/>
    <w:autoRedefine/>
    <w:qFormat/>
    <w:uiPriority w:val="0"/>
    <w:pPr>
      <w:ind w:firstLine="0" w:firstLineChars="0"/>
      <w:jc w:val="center"/>
    </w:pPr>
    <w:rPr>
      <w:rFonts w:ascii="方正仿宋_GB2312" w:eastAsia="方正仿宋_GB2312"/>
    </w:rPr>
  </w:style>
  <w:style w:type="paragraph" w:customStyle="1" w:styleId="50">
    <w:name w:val="稻壳 目录标题"/>
    <w:basedOn w:val="1"/>
    <w:autoRedefine/>
    <w:qFormat/>
    <w:uiPriority w:val="0"/>
    <w:pPr>
      <w:ind w:firstLine="0" w:firstLineChars="0"/>
      <w:jc w:val="center"/>
    </w:pPr>
    <w:rPr>
      <w:rFonts w:ascii="Times New Roman" w:eastAsia="黑体"/>
      <w:b/>
      <w:sz w:val="28"/>
    </w:rPr>
  </w:style>
  <w:style w:type="paragraph" w:customStyle="1" w:styleId="51">
    <w:name w:val="稻壳 目录 1"/>
    <w:basedOn w:val="1"/>
    <w:autoRedefine/>
    <w:qFormat/>
    <w:uiPriority w:val="0"/>
    <w:pPr>
      <w:ind w:firstLine="0" w:firstLineChars="0"/>
    </w:pPr>
    <w:rPr>
      <w:rFonts w:ascii="Times New Roman" w:eastAsia="宋体"/>
      <w:sz w:val="21"/>
    </w:rPr>
  </w:style>
  <w:style w:type="paragraph" w:customStyle="1" w:styleId="52">
    <w:name w:val="稻壳 目录 3"/>
    <w:basedOn w:val="1"/>
    <w:autoRedefine/>
    <w:qFormat/>
    <w:uiPriority w:val="0"/>
    <w:pPr>
      <w:ind w:left="1264" w:leftChars="400" w:firstLine="0" w:firstLineChars="0"/>
    </w:pPr>
    <w:rPr>
      <w:rFonts w:ascii="Times New Roman" w:eastAsia="宋体"/>
      <w:sz w:val="21"/>
    </w:rPr>
  </w:style>
  <w:style w:type="paragraph" w:customStyle="1" w:styleId="53">
    <w:name w:val="稻壳 目录 2"/>
    <w:basedOn w:val="1"/>
    <w:autoRedefine/>
    <w:qFormat/>
    <w:uiPriority w:val="0"/>
    <w:pPr>
      <w:ind w:left="632" w:leftChars="200" w:firstLine="0" w:firstLineChars="0"/>
    </w:pPr>
    <w:rPr>
      <w:rFonts w:ascii="Times New Roman" w:eastAsia="宋体"/>
      <w:sz w:val="21"/>
    </w:rPr>
  </w:style>
  <w:style w:type="paragraph" w:customStyle="1" w:styleId="54">
    <w:name w:val="稻壳 目录 4"/>
    <w:basedOn w:val="1"/>
    <w:autoRedefine/>
    <w:qFormat/>
    <w:uiPriority w:val="0"/>
    <w:pPr>
      <w:ind w:left="1896" w:leftChars="600" w:firstLine="0" w:firstLineChars="0"/>
    </w:pPr>
    <w:rPr>
      <w:rFonts w:ascii="Times New Roman" w:eastAsia="宋体"/>
      <w:sz w:val="21"/>
    </w:rPr>
  </w:style>
  <w:style w:type="paragraph" w:customStyle="1" w:styleId="55">
    <w:name w:val="表头"/>
    <w:basedOn w:val="1"/>
    <w:autoRedefine/>
    <w:qFormat/>
    <w:uiPriority w:val="0"/>
    <w:pPr>
      <w:snapToGrid w:val="0"/>
      <w:ind w:firstLine="0" w:firstLineChars="0"/>
      <w:jc w:val="center"/>
    </w:pPr>
    <w:rPr>
      <w:rFonts w:eastAsia="宋体"/>
      <w:b/>
      <w:sz w:val="24"/>
    </w:rPr>
  </w:style>
  <w:style w:type="paragraph" w:customStyle="1" w:styleId="56">
    <w:name w:val="表格内容"/>
    <w:basedOn w:val="1"/>
    <w:autoRedefine/>
    <w:qFormat/>
    <w:uiPriority w:val="0"/>
    <w:pPr>
      <w:snapToGrid w:val="0"/>
      <w:ind w:firstLine="0" w:firstLineChars="0"/>
      <w:jc w:val="center"/>
    </w:pPr>
    <w:rPr>
      <w:rFonts w:eastAsia="宋体"/>
      <w:sz w:val="24"/>
    </w:rPr>
  </w:style>
  <w:style w:type="paragraph" w:customStyle="1" w:styleId="57">
    <w:name w:val="注文"/>
    <w:basedOn w:val="1"/>
    <w:autoRedefine/>
    <w:qFormat/>
    <w:uiPriority w:val="0"/>
    <w:pPr>
      <w:snapToGrid w:val="0"/>
      <w:ind w:firstLine="0" w:firstLineChars="0"/>
    </w:pPr>
    <w:rPr>
      <w:rFonts w:eastAsia="宋体"/>
      <w:sz w:val="24"/>
    </w:rPr>
  </w:style>
  <w:style w:type="character" w:customStyle="1" w:styleId="58">
    <w:name w:val="font21"/>
    <w:basedOn w:val="24"/>
    <w:autoRedefine/>
    <w:qFormat/>
    <w:uiPriority w:val="0"/>
    <w:rPr>
      <w:rFonts w:hint="eastAsia" w:ascii="仿宋_GB2312" w:eastAsia="仿宋_GB2312" w:cs="仿宋_GB2312"/>
      <w:b/>
      <w:bCs/>
      <w:color w:val="000000"/>
      <w:sz w:val="28"/>
      <w:szCs w:val="28"/>
      <w:u w:val="none"/>
    </w:rPr>
  </w:style>
  <w:style w:type="character" w:customStyle="1" w:styleId="59">
    <w:name w:val="font41"/>
    <w:basedOn w:val="24"/>
    <w:autoRedefine/>
    <w:qFormat/>
    <w:uiPriority w:val="0"/>
    <w:rPr>
      <w:rFonts w:hint="eastAsia" w:ascii="仿宋_GB2312" w:eastAsia="仿宋_GB2312" w:cs="仿宋_GB2312"/>
      <w:color w:val="000000"/>
      <w:sz w:val="28"/>
      <w:szCs w:val="28"/>
      <w:u w:val="none"/>
    </w:rPr>
  </w:style>
  <w:style w:type="character" w:customStyle="1" w:styleId="60">
    <w:name w:val="font51"/>
    <w:basedOn w:val="24"/>
    <w:autoRedefine/>
    <w:qFormat/>
    <w:uiPriority w:val="0"/>
    <w:rPr>
      <w:rFonts w:hint="eastAsia" w:ascii="仿宋_GB2312" w:eastAsia="仿宋_GB2312" w:cs="仿宋_GB2312"/>
      <w:color w:val="000000"/>
      <w:sz w:val="28"/>
      <w:szCs w:val="28"/>
      <w:u w:val="none"/>
    </w:rPr>
  </w:style>
  <w:style w:type="paragraph" w:customStyle="1" w:styleId="61">
    <w:name w:val="No Spacing_ad81b47b-6779-4c76-b471-79375858c8cb"/>
    <w:basedOn w:val="1"/>
    <w:unhideWhenUsed/>
    <w:qFormat/>
    <w:uiPriority w:val="0"/>
    <w:pPr>
      <w:ind w:firstLine="200"/>
    </w:pPr>
    <w:rPr>
      <w:sz w:val="21"/>
      <w:szCs w:val="24"/>
    </w:rPr>
  </w:style>
  <w:style w:type="character" w:customStyle="1" w:styleId="62">
    <w:name w:val="标题 4 Char"/>
    <w:link w:val="5"/>
    <w:autoRedefine/>
    <w:qFormat/>
    <w:uiPriority w:val="0"/>
    <w:rPr>
      <w:b/>
    </w:rPr>
  </w:style>
  <w:style w:type="paragraph" w:customStyle="1" w:styleId="6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header" Target="header24.xml"/><Relationship Id="rId98" Type="http://schemas.openxmlformats.org/officeDocument/2006/relationships/footer" Target="footer71.xml"/><Relationship Id="rId97" Type="http://schemas.openxmlformats.org/officeDocument/2006/relationships/footer" Target="footer70.xml"/><Relationship Id="rId96" Type="http://schemas.openxmlformats.org/officeDocument/2006/relationships/header" Target="header23.xml"/><Relationship Id="rId95" Type="http://schemas.openxmlformats.org/officeDocument/2006/relationships/header" Target="header22.xml"/><Relationship Id="rId94" Type="http://schemas.openxmlformats.org/officeDocument/2006/relationships/footer" Target="footer69.xml"/><Relationship Id="rId93" Type="http://schemas.openxmlformats.org/officeDocument/2006/relationships/footer" Target="footer68.xml"/><Relationship Id="rId92" Type="http://schemas.openxmlformats.org/officeDocument/2006/relationships/footer" Target="footer67.xml"/><Relationship Id="rId91" Type="http://schemas.openxmlformats.org/officeDocument/2006/relationships/footer" Target="footer66.xml"/><Relationship Id="rId90" Type="http://schemas.openxmlformats.org/officeDocument/2006/relationships/header" Target="header21.xml"/><Relationship Id="rId9" Type="http://schemas.openxmlformats.org/officeDocument/2006/relationships/footer" Target="footer4.xml"/><Relationship Id="rId89" Type="http://schemas.openxmlformats.org/officeDocument/2006/relationships/header" Target="header20.xml"/><Relationship Id="rId88" Type="http://schemas.openxmlformats.org/officeDocument/2006/relationships/footer" Target="footer65.xml"/><Relationship Id="rId87" Type="http://schemas.openxmlformats.org/officeDocument/2006/relationships/footer" Target="footer64.xml"/><Relationship Id="rId86" Type="http://schemas.openxmlformats.org/officeDocument/2006/relationships/footer" Target="footer63.xml"/><Relationship Id="rId85" Type="http://schemas.openxmlformats.org/officeDocument/2006/relationships/footer" Target="footer62.xml"/><Relationship Id="rId84" Type="http://schemas.openxmlformats.org/officeDocument/2006/relationships/footer" Target="footer61.xml"/><Relationship Id="rId83" Type="http://schemas.openxmlformats.org/officeDocument/2006/relationships/footer" Target="footer60.xml"/><Relationship Id="rId82" Type="http://schemas.openxmlformats.org/officeDocument/2006/relationships/footer" Target="footer59.xml"/><Relationship Id="rId81" Type="http://schemas.openxmlformats.org/officeDocument/2006/relationships/header" Target="header19.xml"/><Relationship Id="rId80" Type="http://schemas.openxmlformats.org/officeDocument/2006/relationships/header" Target="header18.xml"/><Relationship Id="rId8" Type="http://schemas.openxmlformats.org/officeDocument/2006/relationships/footer" Target="footer3.xml"/><Relationship Id="rId79" Type="http://schemas.openxmlformats.org/officeDocument/2006/relationships/footer" Target="footer58.xml"/><Relationship Id="rId78" Type="http://schemas.openxmlformats.org/officeDocument/2006/relationships/footer" Target="footer57.xml"/><Relationship Id="rId77" Type="http://schemas.openxmlformats.org/officeDocument/2006/relationships/footer" Target="footer56.xml"/><Relationship Id="rId76" Type="http://schemas.openxmlformats.org/officeDocument/2006/relationships/footer" Target="footer55.xml"/><Relationship Id="rId75" Type="http://schemas.openxmlformats.org/officeDocument/2006/relationships/footer" Target="footer54.xml"/><Relationship Id="rId74" Type="http://schemas.openxmlformats.org/officeDocument/2006/relationships/footer" Target="footer53.xml"/><Relationship Id="rId73" Type="http://schemas.openxmlformats.org/officeDocument/2006/relationships/header" Target="header17.xml"/><Relationship Id="rId72" Type="http://schemas.openxmlformats.org/officeDocument/2006/relationships/header" Target="header16.xml"/><Relationship Id="rId71" Type="http://schemas.openxmlformats.org/officeDocument/2006/relationships/footer" Target="footer52.xml"/><Relationship Id="rId70" Type="http://schemas.openxmlformats.org/officeDocument/2006/relationships/footer" Target="footer51.xml"/><Relationship Id="rId7" Type="http://schemas.openxmlformats.org/officeDocument/2006/relationships/footer" Target="footer2.xml"/><Relationship Id="rId69" Type="http://schemas.openxmlformats.org/officeDocument/2006/relationships/footer" Target="footer50.xml"/><Relationship Id="rId68" Type="http://schemas.openxmlformats.org/officeDocument/2006/relationships/footer" Target="footer49.xml"/><Relationship Id="rId67" Type="http://schemas.openxmlformats.org/officeDocument/2006/relationships/header" Target="header15.xml"/><Relationship Id="rId66" Type="http://schemas.openxmlformats.org/officeDocument/2006/relationships/header" Target="header14.xml"/><Relationship Id="rId65" Type="http://schemas.openxmlformats.org/officeDocument/2006/relationships/footer" Target="footer48.xml"/><Relationship Id="rId64" Type="http://schemas.openxmlformats.org/officeDocument/2006/relationships/footer" Target="footer47.xml"/><Relationship Id="rId63" Type="http://schemas.openxmlformats.org/officeDocument/2006/relationships/footer" Target="footer46.xml"/><Relationship Id="rId62" Type="http://schemas.openxmlformats.org/officeDocument/2006/relationships/footer" Target="footer45.xml"/><Relationship Id="rId61" Type="http://schemas.openxmlformats.org/officeDocument/2006/relationships/footer" Target="footer44.xml"/><Relationship Id="rId60" Type="http://schemas.openxmlformats.org/officeDocument/2006/relationships/footer" Target="footer43.xml"/><Relationship Id="rId6" Type="http://schemas.openxmlformats.org/officeDocument/2006/relationships/footer" Target="footer1.xml"/><Relationship Id="rId59" Type="http://schemas.openxmlformats.org/officeDocument/2006/relationships/header" Target="header13.xml"/><Relationship Id="rId58" Type="http://schemas.openxmlformats.org/officeDocument/2006/relationships/header" Target="header12.xml"/><Relationship Id="rId57" Type="http://schemas.openxmlformats.org/officeDocument/2006/relationships/footer" Target="footer42.xml"/><Relationship Id="rId56" Type="http://schemas.openxmlformats.org/officeDocument/2006/relationships/footer" Target="footer41.xml"/><Relationship Id="rId55" Type="http://schemas.openxmlformats.org/officeDocument/2006/relationships/header" Target="header11.xml"/><Relationship Id="rId54" Type="http://schemas.openxmlformats.org/officeDocument/2006/relationships/header" Target="header10.xml"/><Relationship Id="rId53" Type="http://schemas.openxmlformats.org/officeDocument/2006/relationships/footer" Target="footer40.xml"/><Relationship Id="rId52" Type="http://schemas.openxmlformats.org/officeDocument/2006/relationships/footer" Target="footer39.xml"/><Relationship Id="rId51" Type="http://schemas.openxmlformats.org/officeDocument/2006/relationships/footer" Target="footer38.xml"/><Relationship Id="rId50" Type="http://schemas.openxmlformats.org/officeDocument/2006/relationships/footer" Target="footer37.xml"/><Relationship Id="rId5" Type="http://schemas.openxmlformats.org/officeDocument/2006/relationships/header" Target="header1.xml"/><Relationship Id="rId49" Type="http://schemas.openxmlformats.org/officeDocument/2006/relationships/footer" Target="footer36.xml"/><Relationship Id="rId48" Type="http://schemas.openxmlformats.org/officeDocument/2006/relationships/footer" Target="footer35.xml"/><Relationship Id="rId47" Type="http://schemas.openxmlformats.org/officeDocument/2006/relationships/footer" Target="footer34.xml"/><Relationship Id="rId46" Type="http://schemas.openxmlformats.org/officeDocument/2006/relationships/footer" Target="footer33.xml"/><Relationship Id="rId45" Type="http://schemas.openxmlformats.org/officeDocument/2006/relationships/header" Target="header9.xml"/><Relationship Id="rId44" Type="http://schemas.openxmlformats.org/officeDocument/2006/relationships/header" Target="header8.xml"/><Relationship Id="rId43" Type="http://schemas.openxmlformats.org/officeDocument/2006/relationships/footer" Target="footer32.xml"/><Relationship Id="rId42" Type="http://schemas.openxmlformats.org/officeDocument/2006/relationships/footer" Target="footer31.xml"/><Relationship Id="rId41" Type="http://schemas.openxmlformats.org/officeDocument/2006/relationships/footer" Target="footer30.xml"/><Relationship Id="rId40" Type="http://schemas.openxmlformats.org/officeDocument/2006/relationships/footer" Target="footer29.xml"/><Relationship Id="rId4" Type="http://schemas.openxmlformats.org/officeDocument/2006/relationships/endnotes" Target="endnotes.xml"/><Relationship Id="rId39" Type="http://schemas.openxmlformats.org/officeDocument/2006/relationships/header" Target="header7.xml"/><Relationship Id="rId38" Type="http://schemas.openxmlformats.org/officeDocument/2006/relationships/footer" Target="footer28.xml"/><Relationship Id="rId37" Type="http://schemas.openxmlformats.org/officeDocument/2006/relationships/footer" Target="footer27.xml"/><Relationship Id="rId36" Type="http://schemas.openxmlformats.org/officeDocument/2006/relationships/header" Target="header6.xml"/><Relationship Id="rId35" Type="http://schemas.openxmlformats.org/officeDocument/2006/relationships/footer" Target="footer26.xml"/><Relationship Id="rId34" Type="http://schemas.openxmlformats.org/officeDocument/2006/relationships/footer" Target="footer25.xml"/><Relationship Id="rId33" Type="http://schemas.openxmlformats.org/officeDocument/2006/relationships/footer" Target="footer24.xml"/><Relationship Id="rId32" Type="http://schemas.openxmlformats.org/officeDocument/2006/relationships/footer" Target="footer23.xml"/><Relationship Id="rId31" Type="http://schemas.openxmlformats.org/officeDocument/2006/relationships/footer" Target="footer22.xml"/><Relationship Id="rId30" Type="http://schemas.openxmlformats.org/officeDocument/2006/relationships/header" Target="header5.xml"/><Relationship Id="rId3" Type="http://schemas.openxmlformats.org/officeDocument/2006/relationships/footnotes" Target="footnotes.xml"/><Relationship Id="rId29" Type="http://schemas.openxmlformats.org/officeDocument/2006/relationships/header" Target="header4.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header" Target="header3.xml"/><Relationship Id="rId25" Type="http://schemas.openxmlformats.org/officeDocument/2006/relationships/header" Target="header2.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7" Type="http://schemas.openxmlformats.org/officeDocument/2006/relationships/fontTable" Target="fontTable.xml"/><Relationship Id="rId196" Type="http://schemas.openxmlformats.org/officeDocument/2006/relationships/numbering" Target="numbering.xml"/><Relationship Id="rId195" Type="http://schemas.openxmlformats.org/officeDocument/2006/relationships/customXml" Target="../customXml/item1.xml"/><Relationship Id="rId194" Type="http://schemas.openxmlformats.org/officeDocument/2006/relationships/image" Target="media/image4.png"/><Relationship Id="rId193" Type="http://schemas.openxmlformats.org/officeDocument/2006/relationships/image" Target="media/image3.png"/><Relationship Id="rId192" Type="http://schemas.openxmlformats.org/officeDocument/2006/relationships/image" Target="media/image2.jpeg"/><Relationship Id="rId191" Type="http://schemas.openxmlformats.org/officeDocument/2006/relationships/image" Target="media/image1.png"/><Relationship Id="rId190" Type="http://schemas.openxmlformats.org/officeDocument/2006/relationships/theme" Target="theme/theme1.xml"/><Relationship Id="rId19" Type="http://schemas.openxmlformats.org/officeDocument/2006/relationships/footer" Target="footer14.xml"/><Relationship Id="rId189" Type="http://schemas.openxmlformats.org/officeDocument/2006/relationships/footer" Target="footer139.xml"/><Relationship Id="rId188" Type="http://schemas.openxmlformats.org/officeDocument/2006/relationships/footer" Target="footer138.xml"/><Relationship Id="rId187" Type="http://schemas.openxmlformats.org/officeDocument/2006/relationships/footer" Target="footer137.xml"/><Relationship Id="rId186" Type="http://schemas.openxmlformats.org/officeDocument/2006/relationships/footer" Target="footer136.xml"/><Relationship Id="rId185" Type="http://schemas.openxmlformats.org/officeDocument/2006/relationships/footer" Target="footer135.xml"/><Relationship Id="rId184" Type="http://schemas.openxmlformats.org/officeDocument/2006/relationships/footer" Target="footer134.xml"/><Relationship Id="rId183" Type="http://schemas.openxmlformats.org/officeDocument/2006/relationships/header" Target="header46.xml"/><Relationship Id="rId182" Type="http://schemas.openxmlformats.org/officeDocument/2006/relationships/header" Target="header45.xml"/><Relationship Id="rId181" Type="http://schemas.openxmlformats.org/officeDocument/2006/relationships/footer" Target="footer133.xml"/><Relationship Id="rId180" Type="http://schemas.openxmlformats.org/officeDocument/2006/relationships/footer" Target="footer132.xml"/><Relationship Id="rId18" Type="http://schemas.openxmlformats.org/officeDocument/2006/relationships/footer" Target="footer13.xml"/><Relationship Id="rId179" Type="http://schemas.openxmlformats.org/officeDocument/2006/relationships/header" Target="header44.xml"/><Relationship Id="rId178" Type="http://schemas.openxmlformats.org/officeDocument/2006/relationships/header" Target="header43.xml"/><Relationship Id="rId177" Type="http://schemas.openxmlformats.org/officeDocument/2006/relationships/footer" Target="footer131.xml"/><Relationship Id="rId176" Type="http://schemas.openxmlformats.org/officeDocument/2006/relationships/footer" Target="footer130.xml"/><Relationship Id="rId175" Type="http://schemas.openxmlformats.org/officeDocument/2006/relationships/footer" Target="footer129.xml"/><Relationship Id="rId174" Type="http://schemas.openxmlformats.org/officeDocument/2006/relationships/footer" Target="footer128.xml"/><Relationship Id="rId173" Type="http://schemas.openxmlformats.org/officeDocument/2006/relationships/footer" Target="footer127.xml"/><Relationship Id="rId172" Type="http://schemas.openxmlformats.org/officeDocument/2006/relationships/header" Target="header42.xml"/><Relationship Id="rId171" Type="http://schemas.openxmlformats.org/officeDocument/2006/relationships/header" Target="header41.xml"/><Relationship Id="rId170" Type="http://schemas.openxmlformats.org/officeDocument/2006/relationships/footer" Target="footer126.xml"/><Relationship Id="rId17" Type="http://schemas.openxmlformats.org/officeDocument/2006/relationships/footer" Target="footer12.xml"/><Relationship Id="rId169" Type="http://schemas.openxmlformats.org/officeDocument/2006/relationships/footer" Target="footer125.xml"/><Relationship Id="rId168" Type="http://schemas.openxmlformats.org/officeDocument/2006/relationships/footer" Target="footer124.xml"/><Relationship Id="rId167" Type="http://schemas.openxmlformats.org/officeDocument/2006/relationships/footer" Target="footer123.xml"/><Relationship Id="rId166" Type="http://schemas.openxmlformats.org/officeDocument/2006/relationships/footer" Target="footer122.xml"/><Relationship Id="rId165" Type="http://schemas.openxmlformats.org/officeDocument/2006/relationships/footer" Target="footer121.xml"/><Relationship Id="rId164" Type="http://schemas.openxmlformats.org/officeDocument/2006/relationships/footer" Target="footer120.xml"/><Relationship Id="rId163" Type="http://schemas.openxmlformats.org/officeDocument/2006/relationships/header" Target="header40.xml"/><Relationship Id="rId162" Type="http://schemas.openxmlformats.org/officeDocument/2006/relationships/footer" Target="footer119.xml"/><Relationship Id="rId161" Type="http://schemas.openxmlformats.org/officeDocument/2006/relationships/footer" Target="footer118.xml"/><Relationship Id="rId160" Type="http://schemas.openxmlformats.org/officeDocument/2006/relationships/footer" Target="footer117.xml"/><Relationship Id="rId16" Type="http://schemas.openxmlformats.org/officeDocument/2006/relationships/footer" Target="footer11.xml"/><Relationship Id="rId159" Type="http://schemas.openxmlformats.org/officeDocument/2006/relationships/footer" Target="footer116.xml"/><Relationship Id="rId158" Type="http://schemas.openxmlformats.org/officeDocument/2006/relationships/header" Target="header39.xml"/><Relationship Id="rId157" Type="http://schemas.openxmlformats.org/officeDocument/2006/relationships/footer" Target="footer115.xml"/><Relationship Id="rId156" Type="http://schemas.openxmlformats.org/officeDocument/2006/relationships/footer" Target="footer114.xml"/><Relationship Id="rId155" Type="http://schemas.openxmlformats.org/officeDocument/2006/relationships/footer" Target="footer113.xml"/><Relationship Id="rId154" Type="http://schemas.openxmlformats.org/officeDocument/2006/relationships/footer" Target="footer112.xml"/><Relationship Id="rId153" Type="http://schemas.openxmlformats.org/officeDocument/2006/relationships/footer" Target="footer111.xml"/><Relationship Id="rId152" Type="http://schemas.openxmlformats.org/officeDocument/2006/relationships/footer" Target="footer110.xml"/><Relationship Id="rId151" Type="http://schemas.openxmlformats.org/officeDocument/2006/relationships/header" Target="header38.xml"/><Relationship Id="rId150" Type="http://schemas.openxmlformats.org/officeDocument/2006/relationships/header" Target="header37.xml"/><Relationship Id="rId15" Type="http://schemas.openxmlformats.org/officeDocument/2006/relationships/footer" Target="footer10.xml"/><Relationship Id="rId149" Type="http://schemas.openxmlformats.org/officeDocument/2006/relationships/footer" Target="footer109.xml"/><Relationship Id="rId148" Type="http://schemas.openxmlformats.org/officeDocument/2006/relationships/footer" Target="footer108.xml"/><Relationship Id="rId147" Type="http://schemas.openxmlformats.org/officeDocument/2006/relationships/header" Target="header36.xml"/><Relationship Id="rId146" Type="http://schemas.openxmlformats.org/officeDocument/2006/relationships/footer" Target="footer107.xml"/><Relationship Id="rId145" Type="http://schemas.openxmlformats.org/officeDocument/2006/relationships/footer" Target="footer106.xml"/><Relationship Id="rId144" Type="http://schemas.openxmlformats.org/officeDocument/2006/relationships/footer" Target="footer105.xml"/><Relationship Id="rId143" Type="http://schemas.openxmlformats.org/officeDocument/2006/relationships/footer" Target="footer104.xml"/><Relationship Id="rId142" Type="http://schemas.openxmlformats.org/officeDocument/2006/relationships/footer" Target="footer103.xml"/><Relationship Id="rId141" Type="http://schemas.openxmlformats.org/officeDocument/2006/relationships/footer" Target="footer102.xml"/><Relationship Id="rId140" Type="http://schemas.openxmlformats.org/officeDocument/2006/relationships/header" Target="header35.xml"/><Relationship Id="rId14" Type="http://schemas.openxmlformats.org/officeDocument/2006/relationships/footer" Target="footer9.xml"/><Relationship Id="rId139" Type="http://schemas.openxmlformats.org/officeDocument/2006/relationships/header" Target="header34.xml"/><Relationship Id="rId138" Type="http://schemas.openxmlformats.org/officeDocument/2006/relationships/footer" Target="footer101.xml"/><Relationship Id="rId137" Type="http://schemas.openxmlformats.org/officeDocument/2006/relationships/footer" Target="footer100.xml"/><Relationship Id="rId136" Type="http://schemas.openxmlformats.org/officeDocument/2006/relationships/footer" Target="footer99.xml"/><Relationship Id="rId135" Type="http://schemas.openxmlformats.org/officeDocument/2006/relationships/header" Target="header33.xml"/><Relationship Id="rId134" Type="http://schemas.openxmlformats.org/officeDocument/2006/relationships/footer" Target="footer98.xml"/><Relationship Id="rId133" Type="http://schemas.openxmlformats.org/officeDocument/2006/relationships/footer" Target="footer97.xml"/><Relationship Id="rId132" Type="http://schemas.openxmlformats.org/officeDocument/2006/relationships/footer" Target="footer96.xml"/><Relationship Id="rId131" Type="http://schemas.openxmlformats.org/officeDocument/2006/relationships/footer" Target="footer95.xml"/><Relationship Id="rId130" Type="http://schemas.openxmlformats.org/officeDocument/2006/relationships/footer" Target="footer94.xml"/><Relationship Id="rId13" Type="http://schemas.openxmlformats.org/officeDocument/2006/relationships/footer" Target="footer8.xml"/><Relationship Id="rId129" Type="http://schemas.openxmlformats.org/officeDocument/2006/relationships/footer" Target="footer93.xml"/><Relationship Id="rId128" Type="http://schemas.openxmlformats.org/officeDocument/2006/relationships/header" Target="header32.xml"/><Relationship Id="rId127" Type="http://schemas.openxmlformats.org/officeDocument/2006/relationships/header" Target="header31.xml"/><Relationship Id="rId126" Type="http://schemas.openxmlformats.org/officeDocument/2006/relationships/footer" Target="footer92.xml"/><Relationship Id="rId125" Type="http://schemas.openxmlformats.org/officeDocument/2006/relationships/footer" Target="footer91.xml"/><Relationship Id="rId124" Type="http://schemas.openxmlformats.org/officeDocument/2006/relationships/header" Target="header30.xml"/><Relationship Id="rId123" Type="http://schemas.openxmlformats.org/officeDocument/2006/relationships/header" Target="header29.xml"/><Relationship Id="rId122" Type="http://schemas.openxmlformats.org/officeDocument/2006/relationships/footer" Target="footer90.xml"/><Relationship Id="rId121" Type="http://schemas.openxmlformats.org/officeDocument/2006/relationships/footer" Target="footer89.xml"/><Relationship Id="rId120" Type="http://schemas.openxmlformats.org/officeDocument/2006/relationships/footer" Target="footer88.xml"/><Relationship Id="rId12" Type="http://schemas.openxmlformats.org/officeDocument/2006/relationships/footer" Target="footer7.xml"/><Relationship Id="rId119" Type="http://schemas.openxmlformats.org/officeDocument/2006/relationships/header" Target="header28.xml"/><Relationship Id="rId118" Type="http://schemas.openxmlformats.org/officeDocument/2006/relationships/header" Target="header27.xml"/><Relationship Id="rId117" Type="http://schemas.openxmlformats.org/officeDocument/2006/relationships/footer" Target="footer87.xml"/><Relationship Id="rId116" Type="http://schemas.openxmlformats.org/officeDocument/2006/relationships/footer" Target="footer86.xml"/><Relationship Id="rId115" Type="http://schemas.openxmlformats.org/officeDocument/2006/relationships/footer" Target="footer85.xml"/><Relationship Id="rId114" Type="http://schemas.openxmlformats.org/officeDocument/2006/relationships/header" Target="header26.xml"/><Relationship Id="rId113" Type="http://schemas.openxmlformats.org/officeDocument/2006/relationships/header" Target="header25.xml"/><Relationship Id="rId112" Type="http://schemas.openxmlformats.org/officeDocument/2006/relationships/footer" Target="footer84.xml"/><Relationship Id="rId111" Type="http://schemas.openxmlformats.org/officeDocument/2006/relationships/footer" Target="footer83.xml"/><Relationship Id="rId110" Type="http://schemas.openxmlformats.org/officeDocument/2006/relationships/footer" Target="footer82.xml"/><Relationship Id="rId11" Type="http://schemas.openxmlformats.org/officeDocument/2006/relationships/footer" Target="footer6.xml"/><Relationship Id="rId109" Type="http://schemas.openxmlformats.org/officeDocument/2006/relationships/footer" Target="footer81.xml"/><Relationship Id="rId108" Type="http://schemas.openxmlformats.org/officeDocument/2006/relationships/footer" Target="footer80.xml"/><Relationship Id="rId107" Type="http://schemas.openxmlformats.org/officeDocument/2006/relationships/footer" Target="footer79.xml"/><Relationship Id="rId106" Type="http://schemas.openxmlformats.org/officeDocument/2006/relationships/footer" Target="footer78.xml"/><Relationship Id="rId105" Type="http://schemas.openxmlformats.org/officeDocument/2006/relationships/footer" Target="footer77.xml"/><Relationship Id="rId104" Type="http://schemas.openxmlformats.org/officeDocument/2006/relationships/footer" Target="footer76.xml"/><Relationship Id="rId103" Type="http://schemas.openxmlformats.org/officeDocument/2006/relationships/footer" Target="footer75.xml"/><Relationship Id="rId102" Type="http://schemas.openxmlformats.org/officeDocument/2006/relationships/footer" Target="footer74.xml"/><Relationship Id="rId101" Type="http://schemas.openxmlformats.org/officeDocument/2006/relationships/footer" Target="footer73.xml"/><Relationship Id="rId100" Type="http://schemas.openxmlformats.org/officeDocument/2006/relationships/footer" Target="footer72.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jkxMTk4NjcyMjAwIiwKCSJHcm91cElkIiA6ICIzMDU5MjE4NDEiLAoJIkltYWdlIiA6ICJpVkJPUncwS0dnb0FBQUFOU1VoRVVnQUFCSVlBQUFRTENBWUFBQUQrd2FJR0FBQUFBWE5TUjBJQXJzNGM2UUFBSUFCSlJFRlVlSnpzM1hkWVU5Zi9CL0IzSUpHd0hCVUZFVWNkMUlXS2lodXQyeUxpcUFQUm9sS0xzM1dqdG9wVmF4V0xxN2hxMWVMQWdlS3Vnem9SY2U5ZHJhaDFBQzVVWkFieSs0TWYrWEs1TnlGQkVHM2VyK2ZoYVhQdU9vRVF2TytjOHprQU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W9uTHQvd0FsaGc0MEFEc2Z1UUFBQUFCSlJVNUVya0pnZ2c9PSIsCgkiVGhlbWUiIDogIiIsCgkiVHlwZSIgOiAiZmxvdyIsCgkiVmVyc2lvbiIgOiAiMzE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1115</Pages>
  <Words>18353</Words>
  <Characters>18534</Characters>
  <Lines>185</Lines>
  <Paragraphs>52</Paragraphs>
  <TotalTime>2</TotalTime>
  <ScaleCrop>false</ScaleCrop>
  <LinksUpToDate>false</LinksUpToDate>
  <CharactersWithSpaces>18673</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2022-05-26T21:30:00Z</dcterms:created>
  <dc:creator>安全-李超</dc:creator>
  <cp:lastModifiedBy>Q</cp:lastModifiedBy>
  <cp:lastPrinted>2024-04-18T07:36:00Z</cp:lastPrinted>
  <dcterms:modified xsi:type="dcterms:W3CDTF">2025-06-06T07:47:48Z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5F35130D450343FDBA5B39C1D22F9059_13</vt:lpwstr>
  </property>
  <property fmtid="{D5CDD505-2E9C-101B-9397-08002B2CF9AE}" pid="4" name="KSOTemplateDocerSaveRecord">
    <vt:lpwstr>eyJoZGlkIjoiMjFjYzYyYjA2YzYxZWMwMDVjZWU4OTdkZDNkMjFmNTMiLCJ1c2VySWQiOiI5MDY1NzgyMjMifQ==</vt:lpwstr>
  </property>
</Properties>
</file>