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7F6D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rPr>
      </w:pPr>
    </w:p>
    <w:p w14:paraId="34801AB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rPr>
      </w:pPr>
      <w:r>
        <w:rPr>
          <w:sz w:val="60"/>
        </w:rPr>
        <mc:AlternateContent>
          <mc:Choice Requires="wpg">
            <w:drawing>
              <wp:anchor distT="0" distB="0" distL="114300" distR="114300" simplePos="0" relativeHeight="251659264" behindDoc="0" locked="0" layoutInCell="1" allowOverlap="1">
                <wp:simplePos x="0" y="0"/>
                <wp:positionH relativeFrom="column">
                  <wp:posOffset>-114935</wp:posOffset>
                </wp:positionH>
                <wp:positionV relativeFrom="paragraph">
                  <wp:posOffset>-33655</wp:posOffset>
                </wp:positionV>
                <wp:extent cx="6238875" cy="2421255"/>
                <wp:effectExtent l="0" t="0" r="9525" b="17145"/>
                <wp:wrapNone/>
                <wp:docPr id="4" name="组合 4"/>
                <wp:cNvGraphicFramePr/>
                <a:graphic xmlns:a="http://schemas.openxmlformats.org/drawingml/2006/main">
                  <a:graphicData uri="http://schemas.microsoft.com/office/word/2010/wordprocessingGroup">
                    <wpg:wgp>
                      <wpg:cNvGrpSpPr/>
                      <wpg:grpSpPr>
                        <a:xfrm>
                          <a:off x="728345" y="1268095"/>
                          <a:ext cx="6238875" cy="2421255"/>
                          <a:chOff x="5709" y="1875"/>
                          <a:chExt cx="9914" cy="3828"/>
                        </a:xfrm>
                        <a:effectLst/>
                      </wpg:grpSpPr>
                      <wps:wsp>
                        <wps:cNvPr id="2" name="直接连接符 2"/>
                        <wps:cNvCnPr/>
                        <wps:spPr>
                          <a:xfrm>
                            <a:off x="5858" y="5703"/>
                            <a:ext cx="9468" cy="0"/>
                          </a:xfrm>
                          <a:prstGeom prst="line">
                            <a:avLst/>
                          </a:prstGeom>
                          <a:noFill/>
                          <a:ln w="15875" cap="flat" cmpd="sng" algn="ctr">
                            <a:solidFill>
                              <a:srgbClr val="FF0000"/>
                            </a:solidFill>
                            <a:prstDash val="solid"/>
                          </a:ln>
                          <a:effectLst/>
                        </wps:spPr>
                        <wps:bodyPr/>
                      </wps:wsp>
                      <wps:wsp>
                        <wps:cNvPr id="5" name="文本框 4"/>
                        <wps:cNvSpPr txBox="1"/>
                        <wps:spPr>
                          <a:xfrm>
                            <a:off x="5709" y="1875"/>
                            <a:ext cx="9914" cy="1725"/>
                          </a:xfrm>
                          <a:prstGeom prst="rect">
                            <a:avLst/>
                          </a:prstGeom>
                          <a:solidFill>
                            <a:srgbClr val="FFFFFF"/>
                          </a:solidFill>
                          <a:ln w="6350">
                            <a:noFill/>
                          </a:ln>
                          <a:effectLst/>
                        </wps:spPr>
                        <wps:txbx>
                          <w:txbxContent>
                            <w:p w14:paraId="6A056BCA">
                              <w:pPr>
                                <w:rPr>
                                  <w:rFonts w:hint="eastAsia" w:ascii="华文中宋" w:hAnsi="华文中宋" w:eastAsia="华文中宋" w:cs="华文中宋"/>
                                  <w:b/>
                                  <w:bCs/>
                                  <w:color w:val="FF0000"/>
                                  <w:spacing w:val="0"/>
                                  <w:w w:val="66"/>
                                  <w:kern w:val="10"/>
                                  <w:sz w:val="110"/>
                                  <w:szCs w:val="110"/>
                                  <w:lang w:eastAsia="zh-CN"/>
                                </w:rPr>
                              </w:pPr>
                              <w:r>
                                <w:rPr>
                                  <w:rFonts w:hint="eastAsia" w:ascii="华文中宋" w:hAnsi="华文中宋" w:eastAsia="华文中宋" w:cs="华文中宋"/>
                                  <w:b/>
                                  <w:bCs/>
                                  <w:color w:val="FF0000"/>
                                  <w:spacing w:val="0"/>
                                  <w:w w:val="60"/>
                                  <w:kern w:val="10"/>
                                  <w:sz w:val="120"/>
                                  <w:szCs w:val="120"/>
                                  <w:lang w:eastAsia="zh-CN"/>
                                </w:rPr>
                                <w:t>双鸭山市集贤生态环境局文件</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9.05pt;margin-top:-2.65pt;height:190.65pt;width:491.25pt;z-index:251659264;mso-width-relative:page;mso-height-relative:page;" coordorigin="5709,1875" coordsize="9914,3828" o:gfxdata="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">
                <o:lock v:ext="edit" aspectratio="f"/>
                <v:line id="_x0000_s1026" o:spid="_x0000_s1026" o:spt="20" style="position:absolute;left:5858;top:5703;height:0;width:9468;" filled="f" stroked="t" coordsize="21600,21600" o:gfxdata="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3xNDvQAA&#10;ANoAAAAPAAAAAAAAAAEAIAAAACIAAABkcnMvZG93bnJldi54bWxQSwECFAAUAAAACACHTuJAMy8F&#10;njsAAAA5AAAAEAAAAAAAAAABACAAAAAMAQAAZHJzL3NoYXBleG1sLnhtbFBLBQYAAAAABgAGAFsB&#10;AAC2AwAAAAA=&#10;">
                  <v:fill on="f" focussize="0,0"/>
                  <v:stroke weight="1.25pt" color="#FF0000" joinstyle="round"/>
                  <v:imagedata o:title=""/>
                  <o:lock v:ext="edit" aspectratio="f"/>
                </v:line>
                <v:shape id="文本框 4" o:spid="_x0000_s1026" o:spt="202" type="#_x0000_t202" style="position:absolute;left:5709;top:1875;height:1725;width:9914;" fillcolor="#FFFFFF" filled="t" stroked="f" coordsize="21600,21600" o:gfxdata="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WD/f8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14:paraId="6A056BCA">
                        <w:pPr>
                          <w:rPr>
                            <w:rFonts w:hint="eastAsia" w:ascii="华文中宋" w:hAnsi="华文中宋" w:eastAsia="华文中宋" w:cs="华文中宋"/>
                            <w:b/>
                            <w:bCs/>
                            <w:color w:val="FF0000"/>
                            <w:spacing w:val="0"/>
                            <w:w w:val="66"/>
                            <w:kern w:val="10"/>
                            <w:sz w:val="110"/>
                            <w:szCs w:val="110"/>
                            <w:lang w:eastAsia="zh-CN"/>
                          </w:rPr>
                        </w:pPr>
                        <w:r>
                          <w:rPr>
                            <w:rFonts w:hint="eastAsia" w:ascii="华文中宋" w:hAnsi="华文中宋" w:eastAsia="华文中宋" w:cs="华文中宋"/>
                            <w:b/>
                            <w:bCs/>
                            <w:color w:val="FF0000"/>
                            <w:spacing w:val="0"/>
                            <w:w w:val="60"/>
                            <w:kern w:val="10"/>
                            <w:sz w:val="120"/>
                            <w:szCs w:val="120"/>
                            <w:lang w:eastAsia="zh-CN"/>
                          </w:rPr>
                          <w:t>双鸭山市集贤生态环境局文件</w:t>
                        </w:r>
                      </w:p>
                    </w:txbxContent>
                  </v:textbox>
                </v:shape>
              </v:group>
            </w:pict>
          </mc:Fallback>
        </mc:AlternateContent>
      </w:r>
    </w:p>
    <w:p w14:paraId="6BCE8F0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sz w:val="44"/>
          <w:szCs w:val="44"/>
        </w:rPr>
      </w:pPr>
    </w:p>
    <w:p w14:paraId="42710477">
      <w:pPr>
        <w:jc w:val="both"/>
        <w:rPr>
          <w:rFonts w:hint="eastAsia"/>
          <w:b/>
          <w:sz w:val="36"/>
          <w:szCs w:val="36"/>
        </w:rPr>
      </w:pPr>
    </w:p>
    <w:p w14:paraId="7008BE16">
      <w:pPr>
        <w:jc w:val="both"/>
        <w:rPr>
          <w:rFonts w:hint="eastAsia" w:eastAsia="宋体"/>
          <w:b/>
          <w:sz w:val="36"/>
          <w:szCs w:val="36"/>
          <w:lang w:eastAsia="zh-CN"/>
        </w:rPr>
      </w:pPr>
    </w:p>
    <w:p w14:paraId="062AB5B0">
      <w:pPr>
        <w:jc w:val="both"/>
        <w:rPr>
          <w:rFonts w:hint="eastAsia" w:eastAsia="宋体"/>
          <w:b/>
          <w:sz w:val="36"/>
          <w:szCs w:val="36"/>
          <w:lang w:eastAsia="zh-CN"/>
        </w:rPr>
      </w:pPr>
    </w:p>
    <w:p w14:paraId="1790CCA4">
      <w:pPr>
        <w:ind w:left="0" w:leftChars="0" w:firstLine="0" w:firstLineChars="0"/>
        <w:jc w:val="center"/>
        <w:rPr>
          <w:rFonts w:hint="eastAsia" w:ascii="仿宋_GB2312" w:hAnsi="仿宋_GB2312" w:eastAsia="仿宋_GB2312" w:cs="仿宋_GB2312"/>
          <w:b/>
          <w:sz w:val="36"/>
          <w:szCs w:val="36"/>
        </w:rPr>
      </w:pPr>
      <w:r>
        <w:rPr>
          <w:rFonts w:hint="eastAsia" w:ascii="仿宋_GB2312" w:hAnsi="仿宋_GB2312" w:eastAsia="仿宋_GB2312" w:cs="仿宋_GB2312"/>
          <w:b w:val="0"/>
          <w:bCs/>
          <w:sz w:val="32"/>
          <w:szCs w:val="32"/>
          <w:lang w:eastAsia="zh-CN"/>
        </w:rPr>
        <w:t>双</w:t>
      </w:r>
      <w:r>
        <w:rPr>
          <w:rFonts w:hint="eastAsia" w:ascii="仿宋_GB2312" w:hAnsi="仿宋_GB2312" w:eastAsia="仿宋_GB2312" w:cs="仿宋_GB2312"/>
          <w:b w:val="0"/>
          <w:bCs/>
          <w:sz w:val="32"/>
          <w:szCs w:val="32"/>
        </w:rPr>
        <w:t>集环</w:t>
      </w:r>
      <w:r>
        <w:rPr>
          <w:rFonts w:hint="eastAsia" w:ascii="仿宋_GB2312" w:hAnsi="仿宋_GB2312" w:eastAsia="仿宋_GB2312" w:cs="仿宋_GB2312"/>
          <w:b w:val="0"/>
          <w:bCs/>
          <w:sz w:val="32"/>
          <w:szCs w:val="32"/>
          <w:lang w:eastAsia="zh-CN"/>
        </w:rPr>
        <w:t>审</w:t>
      </w:r>
      <w:r>
        <w:rPr>
          <w:rFonts w:hint="eastAsia" w:ascii="仿宋_GB2312" w:hAnsi="仿宋_GB2312" w:eastAsia="仿宋_GB2312" w:cs="仿宋_GB2312"/>
          <w:b w:val="0"/>
          <w:bCs/>
          <w:sz w:val="32"/>
          <w:szCs w:val="32"/>
        </w:rPr>
        <w:t>〔20</w:t>
      </w:r>
      <w:r>
        <w:rPr>
          <w:rFonts w:hint="eastAsia" w:ascii="仿宋_GB2312" w:hAnsi="仿宋_GB2312" w:eastAsia="仿宋_GB2312" w:cs="仿宋_GB2312"/>
          <w:b w:val="0"/>
          <w:bCs/>
          <w:sz w:val="32"/>
          <w:szCs w:val="32"/>
          <w:lang w:val="en-US" w:eastAsia="zh-CN"/>
        </w:rPr>
        <w:t>26</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号</w:t>
      </w:r>
    </w:p>
    <w:p w14:paraId="659FEC8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微软雅黑" w:hAnsi="微软雅黑" w:eastAsia="微软雅黑" w:cs="微软雅黑"/>
          <w:color w:val="auto"/>
          <w:sz w:val="44"/>
          <w:szCs w:val="44"/>
          <w:lang w:val="en-US" w:eastAsia="zh-CN"/>
        </w:rPr>
      </w:pPr>
    </w:p>
    <w:p w14:paraId="0775ACB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关于对黑龙江绿格新材料有限公司护坡网材料项目环境影响报告表审批意见的函</w:t>
      </w:r>
    </w:p>
    <w:p w14:paraId="6D0B35F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44"/>
          <w:szCs w:val="44"/>
          <w:highlight w:val="none"/>
          <w:u w:color="FFFFFF" w:themeColor="background1"/>
          <w:lang w:val="en-US" w:eastAsia="zh-CN"/>
        </w:rPr>
      </w:pPr>
    </w:p>
    <w:p w14:paraId="3CB7DE8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val="0"/>
          <w:bCs w:val="0"/>
          <w:color w:val="auto"/>
          <w:sz w:val="32"/>
          <w:szCs w:val="32"/>
          <w:highlight w:val="none"/>
          <w:u w:color="FFFFFF" w:themeColor="background1"/>
          <w:lang w:val="en-US" w:eastAsia="zh-CN"/>
        </w:rPr>
        <w:t>黑龙江绿格新材料有限公司</w:t>
      </w:r>
      <w:r>
        <w:rPr>
          <w:rFonts w:hint="eastAsia" w:ascii="仿宋_GB2312" w:hAnsi="仿宋_GB2312" w:eastAsia="仿宋_GB2312" w:cs="仿宋_GB2312"/>
          <w:sz w:val="32"/>
          <w:szCs w:val="32"/>
          <w:u w:val="none"/>
          <w:lang w:val="en-US" w:eastAsia="zh-CN"/>
        </w:rPr>
        <w:t>:</w:t>
      </w:r>
    </w:p>
    <w:p w14:paraId="6CDE27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color="FFFFFF" w:themeColor="background1"/>
          <w:lang w:val="en-US" w:eastAsia="zh-CN"/>
        </w:rPr>
      </w:pPr>
      <w:r>
        <w:rPr>
          <w:rFonts w:hint="eastAsia" w:ascii="仿宋_GB2312" w:hAnsi="仿宋_GB2312" w:eastAsia="仿宋_GB2312" w:cs="仿宋_GB2312"/>
          <w:b w:val="0"/>
          <w:bCs w:val="0"/>
          <w:color w:val="auto"/>
          <w:sz w:val="32"/>
          <w:szCs w:val="32"/>
          <w:highlight w:val="none"/>
          <w:u w:color="FFFFFF" w:themeColor="background1"/>
          <w:lang w:val="en-US" w:eastAsia="zh-CN"/>
        </w:rPr>
        <w:t>你单位报送的黑龙江绿格新材料有限公司护坡网材料项目环境影响报告表等有关材料我局已收悉，经材料初审及现场踏勘，现将审批意见复函如下：</w:t>
      </w:r>
    </w:p>
    <w:p w14:paraId="7AE237A4">
      <w:pPr>
        <w:keepNext w:val="0"/>
        <w:keepLines w:val="0"/>
        <w:pageBreakBefore w:val="0"/>
        <w:widowControl/>
        <w:numPr>
          <w:ilvl w:val="0"/>
          <w:numId w:val="0"/>
        </w:numPr>
        <w:suppressLineNumber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u w:color="FFFFFF" w:themeColor="background1"/>
          <w:lang w:val="en-US" w:eastAsia="zh-CN"/>
        </w:rPr>
      </w:pPr>
      <w:r>
        <w:rPr>
          <w:rFonts w:hint="eastAsia" w:ascii="仿宋_GB2312" w:hAnsi="仿宋_GB2312" w:eastAsia="仿宋_GB2312" w:cs="仿宋_GB2312"/>
          <w:b w:val="0"/>
          <w:bCs w:val="0"/>
          <w:color w:val="auto"/>
          <w:kern w:val="2"/>
          <w:sz w:val="32"/>
          <w:szCs w:val="32"/>
          <w:u w:color="FFFFFF" w:themeColor="background1"/>
          <w:vertAlign w:val="baseline"/>
          <w:lang w:val="en-US" w:eastAsia="zh-CN" w:bidi="ar-SA"/>
        </w:rPr>
        <w:t>一、</w:t>
      </w:r>
      <w:r>
        <w:rPr>
          <w:rFonts w:hint="eastAsia" w:ascii="仿宋_GB2312" w:hAnsi="仿宋_GB2312" w:eastAsia="仿宋_GB2312" w:cs="仿宋_GB2312"/>
          <w:b w:val="0"/>
          <w:bCs w:val="0"/>
          <w:color w:val="auto"/>
          <w:sz w:val="32"/>
          <w:szCs w:val="32"/>
          <w:highlight w:val="none"/>
          <w:u w:color="FFFFFF" w:themeColor="background1"/>
          <w:lang w:val="en-US" w:eastAsia="zh-CN"/>
        </w:rPr>
        <w:t>项目建设地点：黑龙江省双鸭山市集贤县福利镇七星街。租赁现有厂房建设，用地面积1900m</w:t>
      </w:r>
      <w:r>
        <w:rPr>
          <w:rFonts w:hint="eastAsia" w:ascii="仿宋_GB2312" w:hAnsi="仿宋_GB2312" w:eastAsia="仿宋_GB2312" w:cs="仿宋_GB2312"/>
          <w:b w:val="0"/>
          <w:bCs w:val="0"/>
          <w:color w:val="auto"/>
          <w:sz w:val="32"/>
          <w:szCs w:val="32"/>
          <w:highlight w:val="none"/>
          <w:u w:color="FFFFFF" w:themeColor="background1"/>
          <w:vertAlign w:val="superscript"/>
          <w:lang w:val="en-US" w:eastAsia="zh-CN"/>
        </w:rPr>
        <w:t>2</w:t>
      </w:r>
      <w:r>
        <w:rPr>
          <w:rFonts w:hint="eastAsia" w:ascii="仿宋_GB2312" w:hAnsi="仿宋_GB2312" w:eastAsia="仿宋_GB2312" w:cs="仿宋_GB2312"/>
          <w:b w:val="0"/>
          <w:bCs w:val="0"/>
          <w:color w:val="auto"/>
          <w:sz w:val="32"/>
          <w:szCs w:val="32"/>
          <w:highlight w:val="none"/>
          <w:u w:color="FFFFFF" w:themeColor="background1"/>
          <w:lang w:val="en-US" w:eastAsia="zh-CN"/>
        </w:rPr>
        <w:t>。主要建设内容：新建2条护坡蜂格网生产线,车间内设原料存放区，成品存放区和危险废物贮存库。年生产护坡蜂格网3000t。项目总投资:2000万元。环保投资：57万元。</w:t>
      </w:r>
    </w:p>
    <w:p w14:paraId="4DE4A2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color="FFFFFF" w:themeColor="background1"/>
          <w:lang w:val="en-US" w:eastAsia="zh-CN"/>
        </w:rPr>
      </w:pPr>
      <w:r>
        <w:rPr>
          <w:rFonts w:hint="eastAsia" w:ascii="仿宋_GB2312" w:hAnsi="仿宋_GB2312" w:eastAsia="仿宋_GB2312" w:cs="仿宋_GB2312"/>
          <w:b w:val="0"/>
          <w:bCs w:val="0"/>
          <w:color w:val="auto"/>
          <w:sz w:val="32"/>
          <w:szCs w:val="32"/>
          <w:highlight w:val="none"/>
          <w:u w:color="FFFFFF" w:themeColor="background1"/>
          <w:lang w:val="en-US" w:eastAsia="zh-CN"/>
        </w:rPr>
        <w:t>二、该环评报告表对建设项目各环境要素给予了评价和分析，内容较全面，选定的评价因子准确，对项目排污的预测依据充分，所提出的各项污染防治措施切实可行，可以作为项目在建设过程中和环境管理的依据。本项目符合国家产业政策。在落实报告表提出的各项污染防治措施后，能实现污染物达标排放。同意你单位按照报告表中所列建设项目的性质、规模、地点、环境保护对策措施与环境风险防范措施进行项目建设。</w:t>
      </w:r>
    </w:p>
    <w:p w14:paraId="3E79FD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color="FFFFFF" w:themeColor="background1"/>
          <w:lang w:val="en-US" w:eastAsia="zh-CN"/>
        </w:rPr>
      </w:pPr>
      <w:r>
        <w:rPr>
          <w:rFonts w:hint="eastAsia" w:ascii="仿宋_GB2312" w:hAnsi="仿宋_GB2312" w:eastAsia="仿宋_GB2312" w:cs="仿宋_GB2312"/>
          <w:b w:val="0"/>
          <w:bCs w:val="0"/>
          <w:color w:val="auto"/>
          <w:sz w:val="32"/>
          <w:szCs w:val="32"/>
          <w:highlight w:val="none"/>
          <w:u w:color="FFFFFF" w:themeColor="background1"/>
          <w:lang w:val="en-US" w:eastAsia="zh-CN"/>
        </w:rPr>
        <w:t>三、项目应重点做好以下环保工作：</w:t>
      </w:r>
    </w:p>
    <w:p w14:paraId="4AA87E5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u w:color="FFFFFF" w:themeColor="background1"/>
          <w:lang w:val="en-US" w:eastAsia="zh-CN"/>
        </w:rPr>
        <w:t>（一）</w:t>
      </w:r>
      <w:r>
        <w:rPr>
          <w:rFonts w:hint="eastAsia" w:ascii="仿宋_GB2312" w:hAnsi="仿宋_GB2312" w:eastAsia="仿宋_GB2312" w:cs="仿宋_GB2312"/>
          <w:color w:val="auto"/>
          <w:sz w:val="32"/>
          <w:szCs w:val="32"/>
          <w:highlight w:val="none"/>
          <w:lang w:eastAsia="zh-CN"/>
        </w:rPr>
        <w:t>加强</w:t>
      </w:r>
      <w:r>
        <w:rPr>
          <w:rFonts w:hint="eastAsia" w:ascii="仿宋_GB2312" w:hAnsi="仿宋_GB2312" w:eastAsia="仿宋_GB2312" w:cs="仿宋_GB2312"/>
          <w:color w:val="auto"/>
          <w:sz w:val="32"/>
          <w:szCs w:val="32"/>
          <w:highlight w:val="none"/>
        </w:rPr>
        <w:t>运营期环境保护</w:t>
      </w:r>
      <w:r>
        <w:rPr>
          <w:rFonts w:hint="eastAsia" w:ascii="仿宋_GB2312" w:hAnsi="仿宋_GB2312" w:eastAsia="仿宋_GB2312" w:cs="仿宋_GB2312"/>
          <w:color w:val="auto"/>
          <w:sz w:val="32"/>
          <w:szCs w:val="32"/>
          <w:highlight w:val="none"/>
          <w:lang w:eastAsia="zh-CN"/>
        </w:rPr>
        <w:t>管理：</w:t>
      </w:r>
    </w:p>
    <w:p w14:paraId="0279B39A">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hint="default" w:ascii="仿宋_GB2312" w:hAnsi="仿宋_GB2312" w:eastAsia="仿宋_GB2312" w:cs="仿宋_GB2312"/>
          <w:b w:val="0"/>
          <w:bCs w:val="0"/>
          <w:color w:val="auto"/>
          <w:sz w:val="32"/>
          <w:szCs w:val="32"/>
          <w:highlight w:val="none"/>
          <w:u w:color="FFFFFF" w:themeColor="background1"/>
          <w:lang w:val="en-US" w:eastAsia="zh-CN"/>
        </w:rPr>
      </w:pPr>
      <w:r>
        <w:rPr>
          <w:rFonts w:hint="eastAsia" w:ascii="仿宋_GB2312" w:hAnsi="仿宋_GB2312" w:eastAsia="仿宋_GB2312" w:cs="仿宋_GB2312"/>
          <w:b w:val="0"/>
          <w:bCs w:val="0"/>
          <w:color w:val="auto"/>
          <w:sz w:val="32"/>
          <w:szCs w:val="32"/>
          <w:highlight w:val="none"/>
          <w:u w:color="FFFFFF" w:themeColor="background1"/>
          <w:lang w:val="en-US" w:eastAsia="zh-CN"/>
        </w:rPr>
        <w:t>1.废气防治措施：配料、混合、挤出工序产生的有机废气、颗粒物及超声焊接产生有机废气分别通过集气罩收集后，经布袋除尘器+二级活性炭吸附装置处理后，由1根15m高排气筒有组织排放。有组织废气排放浓度满足《合成树脂工业污染物排放标准》（GB31572-2015）表4大气污染物排放限值要求。项目生产时车间封闭，厂界无组织排放的颗粒物、非甲烷总烃浓度满足《合成树脂工业污染物排放标准》（GB31572-2015）无组织排放监控浓度限值要求，厂区内非甲烷总烃满足《挥发性有机物无组织排放控制标准》（GB37822-2019）中无组织排放监控浓度限值要求。</w:t>
      </w:r>
    </w:p>
    <w:p w14:paraId="7F96FA61">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hint="default" w:ascii="仿宋_GB2312" w:hAnsi="仿宋_GB2312" w:eastAsia="仿宋_GB2312" w:cs="仿宋_GB2312"/>
          <w:b w:val="0"/>
          <w:bCs w:val="0"/>
          <w:color w:val="auto"/>
          <w:sz w:val="32"/>
          <w:szCs w:val="32"/>
          <w:highlight w:val="none"/>
          <w:u w:color="FFFFFF" w:themeColor="background1"/>
          <w:lang w:val="en-US" w:eastAsia="zh-CN"/>
        </w:rPr>
      </w:pPr>
      <w:r>
        <w:rPr>
          <w:rFonts w:hint="eastAsia" w:ascii="仿宋_GB2312" w:hAnsi="仿宋_GB2312" w:eastAsia="仿宋_GB2312" w:cs="仿宋_GB2312"/>
          <w:b w:val="0"/>
          <w:bCs w:val="0"/>
          <w:color w:val="auto"/>
          <w:sz w:val="32"/>
          <w:szCs w:val="32"/>
          <w:highlight w:val="none"/>
          <w:u w:color="FFFFFF" w:themeColor="background1"/>
          <w:lang w:val="en-US" w:eastAsia="zh-CN"/>
        </w:rPr>
        <w:t>2.废水防治措施：生产过程中冷却水循环利用，不外排，循环水箱定期清掏；生活污水排入防渗旱厕，定期清掏，外运堆肥。</w:t>
      </w:r>
    </w:p>
    <w:p w14:paraId="629F0BED">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hint="eastAsia" w:ascii="仿宋_GB2312" w:hAnsi="仿宋_GB2312" w:eastAsia="仿宋_GB2312" w:cs="仿宋_GB2312"/>
          <w:b w:val="0"/>
          <w:bCs w:val="0"/>
          <w:color w:val="auto"/>
          <w:sz w:val="32"/>
          <w:szCs w:val="32"/>
          <w:highlight w:val="none"/>
          <w:u w:color="FFFFFF" w:themeColor="background1"/>
          <w:lang w:val="en-US" w:eastAsia="zh-CN"/>
        </w:rPr>
      </w:pPr>
      <w:r>
        <w:rPr>
          <w:rFonts w:hint="eastAsia" w:ascii="仿宋_GB2312" w:hAnsi="仿宋_GB2312" w:eastAsia="仿宋_GB2312" w:cs="仿宋_GB2312"/>
          <w:b w:val="0"/>
          <w:bCs w:val="0"/>
          <w:color w:val="auto"/>
          <w:sz w:val="32"/>
          <w:szCs w:val="32"/>
          <w:highlight w:val="none"/>
          <w:u w:color="FFFFFF" w:themeColor="background1"/>
          <w:lang w:val="en-US" w:eastAsia="zh-CN"/>
        </w:rPr>
        <w:t>3.固废处理措施：生活垃圾，集中收集定期由市政部门统一处理；不合格产品和边角料，经破碎后回用于生产；废包装物，集中收集定期外售给废品回收站；布袋除尘器收尘，集中收集定期外售建材企业综合利用；废布袋，由厂家回收处置；循环水箱产生的泥垢不在厂内储存，由清理人员带走清运处理；定期更换的废活性炭用密封袋装、废机油用密封桶装暂存于危险废物贮存库中，定期交由有资质的单位处理。</w:t>
      </w:r>
    </w:p>
    <w:p w14:paraId="092D2F40">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hint="default" w:ascii="仿宋_GB2312" w:hAnsi="仿宋_GB2312" w:eastAsia="仿宋_GB2312" w:cs="仿宋_GB2312"/>
          <w:b w:val="0"/>
          <w:bCs w:val="0"/>
          <w:color w:val="auto"/>
          <w:sz w:val="32"/>
          <w:szCs w:val="32"/>
          <w:highlight w:val="none"/>
          <w:u w:color="FFFFFF" w:themeColor="background1"/>
          <w:lang w:val="en-US" w:eastAsia="zh-CN"/>
        </w:rPr>
      </w:pPr>
      <w:r>
        <w:rPr>
          <w:rFonts w:hint="eastAsia" w:ascii="仿宋_GB2312" w:hAnsi="仿宋_GB2312" w:eastAsia="仿宋_GB2312" w:cs="仿宋_GB2312"/>
          <w:b w:val="0"/>
          <w:bCs w:val="0"/>
          <w:color w:val="auto"/>
          <w:sz w:val="32"/>
          <w:szCs w:val="32"/>
          <w:highlight w:val="none"/>
          <w:u w:color="FFFFFF" w:themeColor="background1"/>
          <w:lang w:val="en-US" w:eastAsia="zh-CN"/>
        </w:rPr>
        <w:t>4.噪声防治措施：选用低噪声设备，采取隔声、降噪、消声措施，振动较大的设备采取独立基础，设置减振器，风机进出口均设软管连接等措施。合理布局，减少噪声对外环境的影响。严格落实环保措施后，厂界东西南侧噪声执行《工业企业厂界环境噪声排放标准》（GB12348-2008）表1中2类标准，厂界北侧噪声执行《工业企业厂界环境噪声排放标准》（GB12348-2008）表1中4类标准。</w:t>
      </w:r>
    </w:p>
    <w:p w14:paraId="33484BC1">
      <w:pPr>
        <w:pStyle w:val="19"/>
        <w:keepNext w:val="0"/>
        <w:keepLines w:val="0"/>
        <w:pageBreakBefore w:val="0"/>
        <w:kinsoku/>
        <w:wordWrap/>
        <w:overflowPunct/>
        <w:topLinePunct w:val="0"/>
        <w:bidi w:val="0"/>
        <w:spacing w:line="560" w:lineRule="exact"/>
        <w:ind w:firstLine="640" w:firstLineChars="200"/>
        <w:textAlignment w:val="auto"/>
        <w:rPr>
          <w:rFonts w:hint="default"/>
          <w:lang w:val="en-US" w:eastAsia="zh-CN"/>
        </w:rPr>
      </w:pPr>
      <w:r>
        <w:rPr>
          <w:rFonts w:hint="eastAsia" w:ascii="仿宋_GB2312" w:hAnsi="仿宋_GB2312" w:eastAsia="仿宋_GB2312" w:cs="仿宋_GB2312"/>
          <w:b w:val="0"/>
          <w:bCs w:val="0"/>
          <w:color w:val="auto"/>
          <w:kern w:val="2"/>
          <w:sz w:val="32"/>
          <w:szCs w:val="32"/>
          <w:highlight w:val="none"/>
          <w:u w:color="FFFFFF" w:themeColor="background1"/>
          <w:lang w:val="en-US" w:eastAsia="zh-CN" w:bidi="ar-SA"/>
        </w:rPr>
        <w:t>5.防渗措施：危险废物贮存点按照《危险废物贮存污染控制标准》（GB18597-2023）要求进行防渗处理。</w:t>
      </w:r>
    </w:p>
    <w:p w14:paraId="19CC69F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color="FFFFFF" w:themeColor="background1"/>
          <w:lang w:val="en-US" w:eastAsia="zh-CN"/>
        </w:rPr>
      </w:pPr>
      <w:r>
        <w:rPr>
          <w:rFonts w:hint="eastAsia" w:ascii="仿宋_GB2312" w:hAnsi="仿宋_GB2312" w:eastAsia="仿宋_GB2312" w:cs="仿宋_GB2312"/>
          <w:b w:val="0"/>
          <w:bCs w:val="0"/>
          <w:color w:val="auto"/>
          <w:sz w:val="32"/>
          <w:szCs w:val="32"/>
          <w:highlight w:val="none"/>
          <w:u w:color="FFFFFF" w:themeColor="background1"/>
          <w:lang w:val="en-US" w:eastAsia="zh-CN"/>
        </w:rPr>
        <w:t>（二）建设单位必须严格执行“三同时”制度。依据报告表中提出的污染防治措施，认真组织实施。</w:t>
      </w:r>
    </w:p>
    <w:p w14:paraId="5F1F10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color="FFFFFF" w:themeColor="background1"/>
        </w:rPr>
      </w:pPr>
      <w:r>
        <w:rPr>
          <w:rFonts w:hint="eastAsia" w:ascii="仿宋_GB2312" w:hAnsi="仿宋_GB2312" w:eastAsia="仿宋_GB2312" w:cs="仿宋_GB2312"/>
          <w:b w:val="0"/>
          <w:bCs w:val="0"/>
          <w:color w:val="auto"/>
          <w:sz w:val="32"/>
          <w:szCs w:val="32"/>
          <w:highlight w:val="none"/>
          <w:u w:color="FFFFFF" w:themeColor="background1"/>
          <w:lang w:val="en-US" w:eastAsia="zh-CN"/>
        </w:rPr>
        <w:t>四、双鸭山市集贤生态环境局综合执法大队应做好项目环境监管工作，并督促项目建设单位办理环境保护污染防治工程竣工验收等事宜。</w:t>
      </w:r>
    </w:p>
    <w:p w14:paraId="3108891A">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b w:val="0"/>
          <w:bCs w:val="0"/>
          <w:color w:val="auto"/>
          <w:sz w:val="32"/>
          <w:szCs w:val="32"/>
          <w:highlight w:val="none"/>
          <w:u w:color="FFFFFF" w:themeColor="background1"/>
        </w:rPr>
      </w:pPr>
    </w:p>
    <w:p w14:paraId="765DE684">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b w:val="0"/>
          <w:bCs w:val="0"/>
          <w:color w:val="auto"/>
          <w:sz w:val="32"/>
          <w:szCs w:val="32"/>
          <w:highlight w:val="none"/>
          <w:u w:color="FFFFFF" w:themeColor="background1"/>
        </w:rPr>
      </w:pPr>
    </w:p>
    <w:p w14:paraId="4B2C7ADD">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default" w:ascii="仿宋_GB2312" w:hAnsi="仿宋_GB2312" w:eastAsia="仿宋_GB2312" w:cs="仿宋_GB2312"/>
          <w:b w:val="0"/>
          <w:bCs w:val="0"/>
          <w:color w:val="auto"/>
          <w:sz w:val="32"/>
          <w:szCs w:val="32"/>
          <w:highlight w:val="none"/>
          <w:u w:color="FFFFFF" w:themeColor="background1"/>
          <w:lang w:val="en-US" w:eastAsia="zh-CN"/>
        </w:rPr>
      </w:pPr>
      <w:r>
        <w:rPr>
          <w:rFonts w:hint="eastAsia" w:ascii="仿宋_GB2312" w:hAnsi="仿宋_GB2312" w:eastAsia="仿宋_GB2312" w:cs="仿宋_GB2312"/>
          <w:b w:val="0"/>
          <w:bCs w:val="0"/>
          <w:color w:val="auto"/>
          <w:sz w:val="32"/>
          <w:szCs w:val="32"/>
          <w:highlight w:val="none"/>
          <w:u w:color="FFFFFF" w:themeColor="background1"/>
        </w:rPr>
        <w:t>双鸭山市集贤生态环境局</w:t>
      </w:r>
      <w:r>
        <w:rPr>
          <w:rFonts w:hint="eastAsia" w:ascii="仿宋_GB2312" w:hAnsi="仿宋_GB2312" w:eastAsia="仿宋_GB2312" w:cs="仿宋_GB2312"/>
          <w:b w:val="0"/>
          <w:bCs w:val="0"/>
          <w:color w:val="auto"/>
          <w:sz w:val="32"/>
          <w:szCs w:val="32"/>
          <w:highlight w:val="none"/>
          <w:u w:color="FFFFFF" w:themeColor="background1"/>
          <w:lang w:val="en-US" w:eastAsia="zh-CN"/>
        </w:rPr>
        <w:t xml:space="preserve">   </w:t>
      </w:r>
    </w:p>
    <w:p w14:paraId="492FCB94">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default" w:ascii="仿宋_GB2312" w:hAnsi="仿宋_GB2312" w:eastAsia="仿宋_GB2312" w:cs="仿宋_GB2312"/>
          <w:b w:val="0"/>
          <w:bCs w:val="0"/>
          <w:color w:val="auto"/>
          <w:sz w:val="32"/>
          <w:szCs w:val="32"/>
          <w:highlight w:val="none"/>
          <w:u w:color="FFFFFF" w:themeColor="background1"/>
          <w:lang w:val="en-US"/>
        </w:rPr>
      </w:pPr>
      <w:r>
        <w:rPr>
          <w:rFonts w:hint="eastAsia" w:ascii="仿宋_GB2312" w:hAnsi="仿宋_GB2312" w:eastAsia="仿宋_GB2312" w:cs="仿宋_GB2312"/>
          <w:b w:val="0"/>
          <w:bCs w:val="0"/>
          <w:color w:val="auto"/>
          <w:sz w:val="32"/>
          <w:szCs w:val="32"/>
          <w:highlight w:val="none"/>
          <w:u w:color="FFFFFF" w:themeColor="background1"/>
        </w:rPr>
        <w:t>20</w:t>
      </w:r>
      <w:r>
        <w:rPr>
          <w:rFonts w:hint="eastAsia" w:ascii="仿宋_GB2312" w:hAnsi="仿宋_GB2312" w:eastAsia="仿宋_GB2312" w:cs="仿宋_GB2312"/>
          <w:b w:val="0"/>
          <w:bCs w:val="0"/>
          <w:color w:val="auto"/>
          <w:sz w:val="32"/>
          <w:szCs w:val="32"/>
          <w:highlight w:val="none"/>
          <w:u w:color="FFFFFF" w:themeColor="background1"/>
          <w:lang w:val="en-US" w:eastAsia="zh-CN"/>
        </w:rPr>
        <w:t>26</w:t>
      </w:r>
      <w:r>
        <w:rPr>
          <w:rFonts w:hint="eastAsia" w:ascii="仿宋_GB2312" w:hAnsi="仿宋_GB2312" w:eastAsia="仿宋_GB2312" w:cs="仿宋_GB2312"/>
          <w:b w:val="0"/>
          <w:bCs w:val="0"/>
          <w:color w:val="auto"/>
          <w:sz w:val="32"/>
          <w:szCs w:val="32"/>
          <w:highlight w:val="none"/>
          <w:u w:color="FFFFFF" w:themeColor="background1"/>
        </w:rPr>
        <w:t>年</w:t>
      </w:r>
      <w:r>
        <w:rPr>
          <w:rFonts w:hint="eastAsia" w:ascii="仿宋_GB2312" w:hAnsi="仿宋_GB2312" w:eastAsia="仿宋_GB2312" w:cs="仿宋_GB2312"/>
          <w:b w:val="0"/>
          <w:bCs w:val="0"/>
          <w:color w:val="auto"/>
          <w:sz w:val="32"/>
          <w:szCs w:val="32"/>
          <w:highlight w:val="none"/>
          <w:u w:color="FFFFFF" w:themeColor="background1"/>
          <w:lang w:val="en-US" w:eastAsia="zh-CN"/>
        </w:rPr>
        <w:t>1</w:t>
      </w:r>
      <w:r>
        <w:rPr>
          <w:rFonts w:hint="eastAsia" w:ascii="仿宋_GB2312" w:hAnsi="仿宋_GB2312" w:eastAsia="仿宋_GB2312" w:cs="仿宋_GB2312"/>
          <w:b w:val="0"/>
          <w:bCs w:val="0"/>
          <w:color w:val="auto"/>
          <w:sz w:val="32"/>
          <w:szCs w:val="32"/>
          <w:highlight w:val="none"/>
          <w:u w:color="FFFFFF" w:themeColor="background1"/>
        </w:rPr>
        <w:t>月</w:t>
      </w:r>
      <w:r>
        <w:rPr>
          <w:rFonts w:hint="eastAsia" w:ascii="仿宋_GB2312" w:hAnsi="仿宋_GB2312" w:eastAsia="仿宋_GB2312" w:cs="仿宋_GB2312"/>
          <w:b w:val="0"/>
          <w:bCs w:val="0"/>
          <w:color w:val="auto"/>
          <w:sz w:val="32"/>
          <w:szCs w:val="32"/>
          <w:highlight w:val="none"/>
          <w:u w:color="FFFFFF" w:themeColor="background1"/>
          <w:lang w:val="en-US" w:eastAsia="zh-CN"/>
        </w:rPr>
        <w:t>29</w:t>
      </w:r>
      <w:bookmarkStart w:id="0" w:name="_GoBack"/>
      <w:bookmarkEnd w:id="0"/>
      <w:r>
        <w:rPr>
          <w:rFonts w:hint="eastAsia" w:ascii="仿宋_GB2312" w:hAnsi="仿宋_GB2312" w:eastAsia="仿宋_GB2312" w:cs="仿宋_GB2312"/>
          <w:b w:val="0"/>
          <w:bCs w:val="0"/>
          <w:color w:val="auto"/>
          <w:sz w:val="32"/>
          <w:szCs w:val="32"/>
          <w:highlight w:val="none"/>
          <w:u w:color="FFFFFF" w:themeColor="background1"/>
          <w:lang w:eastAsia="zh-CN"/>
        </w:rPr>
        <w:t>日</w:t>
      </w:r>
      <w:r>
        <w:rPr>
          <w:rFonts w:hint="eastAsia" w:ascii="仿宋_GB2312" w:hAnsi="仿宋_GB2312" w:eastAsia="仿宋_GB2312" w:cs="仿宋_GB2312"/>
          <w:b w:val="0"/>
          <w:bCs w:val="0"/>
          <w:color w:val="auto"/>
          <w:sz w:val="32"/>
          <w:szCs w:val="32"/>
          <w:highlight w:val="none"/>
          <w:u w:color="FFFFFF" w:themeColor="background1"/>
          <w:lang w:val="en-US" w:eastAsia="zh-CN"/>
        </w:rPr>
        <w:t xml:space="preserve">     </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1" w:fontKey="{CAD5A8DA-B2EB-4171-99AE-EA5A7565A5C0}"/>
  </w:font>
  <w:font w:name="Arial Black">
    <w:panose1 w:val="020B0A04020102020204"/>
    <w:charset w:val="00"/>
    <w:family w:val="swiss"/>
    <w:pitch w:val="default"/>
    <w:sig w:usb0="A00002AF" w:usb1="400078FB" w:usb2="00000000" w:usb3="00000000" w:csb0="6000009F" w:csb1="DFD70000"/>
  </w:font>
  <w:font w:name="华文中宋">
    <w:panose1 w:val="02010600040101010101"/>
    <w:charset w:val="86"/>
    <w:family w:val="auto"/>
    <w:pitch w:val="default"/>
    <w:sig w:usb0="00000287" w:usb1="080F0000" w:usb2="00000000" w:usb3="00000000" w:csb0="0004009F" w:csb1="DFD70000"/>
    <w:embedRegular r:id="rId2" w:fontKey="{7B9ECA55-EF4A-40CF-8C38-EFE7F0843B4F}"/>
  </w:font>
  <w:font w:name="微软雅黑">
    <w:panose1 w:val="020B0503020204020204"/>
    <w:charset w:val="86"/>
    <w:family w:val="auto"/>
    <w:pitch w:val="default"/>
    <w:sig w:usb0="80000287" w:usb1="2ACF3C50" w:usb2="00000016" w:usb3="00000000" w:csb0="0004001F" w:csb1="00000000"/>
    <w:embedRegular r:id="rId3" w:fontKey="{01DA7081-00F0-4D01-A19E-796F1D0DFF88}"/>
  </w:font>
  <w:font w:name="方正小标宋简体">
    <w:panose1 w:val="02010600010101010101"/>
    <w:charset w:val="86"/>
    <w:family w:val="auto"/>
    <w:pitch w:val="default"/>
    <w:sig w:usb0="00000001" w:usb1="080E0000" w:usb2="00000000" w:usb3="00000000" w:csb0="00040000" w:csb1="00000000"/>
    <w:embedRegular r:id="rId4" w:fontKey="{E436B4DD-E9F5-4C7C-96FC-703AAFD1674E}"/>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4FF2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AE35C">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DAE35C">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NzZkOThiNmFmNDg0NzczYzJkM2RhYWI5Yzg3Y2QifQ=="/>
  </w:docVars>
  <w:rsids>
    <w:rsidRoot w:val="51BA6CF2"/>
    <w:rsid w:val="01C124BD"/>
    <w:rsid w:val="022A2020"/>
    <w:rsid w:val="024F389C"/>
    <w:rsid w:val="02A67592"/>
    <w:rsid w:val="02DA56A6"/>
    <w:rsid w:val="03077390"/>
    <w:rsid w:val="039F49ED"/>
    <w:rsid w:val="04481691"/>
    <w:rsid w:val="048D3B7C"/>
    <w:rsid w:val="050E2B88"/>
    <w:rsid w:val="051E6A56"/>
    <w:rsid w:val="05817C90"/>
    <w:rsid w:val="05A23DAE"/>
    <w:rsid w:val="06A12A32"/>
    <w:rsid w:val="08D564F0"/>
    <w:rsid w:val="091A68F4"/>
    <w:rsid w:val="09477A0B"/>
    <w:rsid w:val="096B31E7"/>
    <w:rsid w:val="0BA073DA"/>
    <w:rsid w:val="0C4B36FE"/>
    <w:rsid w:val="0CAA3075"/>
    <w:rsid w:val="0D6139B9"/>
    <w:rsid w:val="0EB105B8"/>
    <w:rsid w:val="0FD15419"/>
    <w:rsid w:val="106C4BCE"/>
    <w:rsid w:val="11313403"/>
    <w:rsid w:val="1164400C"/>
    <w:rsid w:val="11E965AD"/>
    <w:rsid w:val="129F79C2"/>
    <w:rsid w:val="12CE25FA"/>
    <w:rsid w:val="132945AD"/>
    <w:rsid w:val="137F6F18"/>
    <w:rsid w:val="14974078"/>
    <w:rsid w:val="14C3238D"/>
    <w:rsid w:val="14DC565B"/>
    <w:rsid w:val="1600202F"/>
    <w:rsid w:val="16A62DA2"/>
    <w:rsid w:val="16AD7BBD"/>
    <w:rsid w:val="17573363"/>
    <w:rsid w:val="17620DA6"/>
    <w:rsid w:val="17861525"/>
    <w:rsid w:val="18BA4B90"/>
    <w:rsid w:val="19594862"/>
    <w:rsid w:val="1A416A1D"/>
    <w:rsid w:val="1A8E7AEA"/>
    <w:rsid w:val="1B1E79FB"/>
    <w:rsid w:val="1B547AD6"/>
    <w:rsid w:val="1C0876C1"/>
    <w:rsid w:val="1C2B06AF"/>
    <w:rsid w:val="1C3D212D"/>
    <w:rsid w:val="1CB27A7F"/>
    <w:rsid w:val="1E0170E4"/>
    <w:rsid w:val="1EF51331"/>
    <w:rsid w:val="1F03241E"/>
    <w:rsid w:val="1F4639C0"/>
    <w:rsid w:val="1F5744C1"/>
    <w:rsid w:val="2144153D"/>
    <w:rsid w:val="21C941D3"/>
    <w:rsid w:val="21DA6608"/>
    <w:rsid w:val="228724F4"/>
    <w:rsid w:val="24B0736D"/>
    <w:rsid w:val="2779769D"/>
    <w:rsid w:val="27C930D6"/>
    <w:rsid w:val="288A44FA"/>
    <w:rsid w:val="298C744D"/>
    <w:rsid w:val="2A380C75"/>
    <w:rsid w:val="2AE92FAE"/>
    <w:rsid w:val="2BC84795"/>
    <w:rsid w:val="2C3E0FB3"/>
    <w:rsid w:val="2C6E17C2"/>
    <w:rsid w:val="2CD82C89"/>
    <w:rsid w:val="2D1E05C1"/>
    <w:rsid w:val="2DAB7CA8"/>
    <w:rsid w:val="2F314833"/>
    <w:rsid w:val="2FBF53E6"/>
    <w:rsid w:val="30112858"/>
    <w:rsid w:val="303278D5"/>
    <w:rsid w:val="33C13D30"/>
    <w:rsid w:val="33CF0E4E"/>
    <w:rsid w:val="33EE7171"/>
    <w:rsid w:val="34684944"/>
    <w:rsid w:val="355E34DE"/>
    <w:rsid w:val="35A466F3"/>
    <w:rsid w:val="35D47951"/>
    <w:rsid w:val="360618DB"/>
    <w:rsid w:val="360B33E1"/>
    <w:rsid w:val="369C5AC3"/>
    <w:rsid w:val="36E2132C"/>
    <w:rsid w:val="38190091"/>
    <w:rsid w:val="38A1164A"/>
    <w:rsid w:val="3A0C0F69"/>
    <w:rsid w:val="3A19725E"/>
    <w:rsid w:val="3A4E42D6"/>
    <w:rsid w:val="3AD75E48"/>
    <w:rsid w:val="3B4F10D4"/>
    <w:rsid w:val="3B86535A"/>
    <w:rsid w:val="3B910FC6"/>
    <w:rsid w:val="3BB74591"/>
    <w:rsid w:val="3BE67F14"/>
    <w:rsid w:val="3C3749AD"/>
    <w:rsid w:val="3D0F423B"/>
    <w:rsid w:val="3D537B5F"/>
    <w:rsid w:val="3D713368"/>
    <w:rsid w:val="3DE55A52"/>
    <w:rsid w:val="3F8B5B45"/>
    <w:rsid w:val="3FB20BD1"/>
    <w:rsid w:val="40261D84"/>
    <w:rsid w:val="409A0BA4"/>
    <w:rsid w:val="41031C26"/>
    <w:rsid w:val="41344902"/>
    <w:rsid w:val="415B15A7"/>
    <w:rsid w:val="41AF558F"/>
    <w:rsid w:val="420C5BEC"/>
    <w:rsid w:val="42357796"/>
    <w:rsid w:val="42AB7932"/>
    <w:rsid w:val="43B420EC"/>
    <w:rsid w:val="44092C92"/>
    <w:rsid w:val="444F52A3"/>
    <w:rsid w:val="44D876A5"/>
    <w:rsid w:val="45DD59DE"/>
    <w:rsid w:val="46CE610C"/>
    <w:rsid w:val="4700082E"/>
    <w:rsid w:val="470234D0"/>
    <w:rsid w:val="473C62ED"/>
    <w:rsid w:val="481406D6"/>
    <w:rsid w:val="48235239"/>
    <w:rsid w:val="48CD65B5"/>
    <w:rsid w:val="48FE01CC"/>
    <w:rsid w:val="4A1313F9"/>
    <w:rsid w:val="4C2D419F"/>
    <w:rsid w:val="4C5102E3"/>
    <w:rsid w:val="4F38087E"/>
    <w:rsid w:val="4FC1197B"/>
    <w:rsid w:val="4FD9151E"/>
    <w:rsid w:val="507D5E8F"/>
    <w:rsid w:val="5091695A"/>
    <w:rsid w:val="50F238E8"/>
    <w:rsid w:val="50F3398E"/>
    <w:rsid w:val="5161299D"/>
    <w:rsid w:val="516C34F9"/>
    <w:rsid w:val="519D556B"/>
    <w:rsid w:val="51A623EC"/>
    <w:rsid w:val="51BA6CF2"/>
    <w:rsid w:val="51F31C9E"/>
    <w:rsid w:val="520F18D8"/>
    <w:rsid w:val="52C56C08"/>
    <w:rsid w:val="547E5FB9"/>
    <w:rsid w:val="548E5A4B"/>
    <w:rsid w:val="57043B7A"/>
    <w:rsid w:val="57651A78"/>
    <w:rsid w:val="57981B33"/>
    <w:rsid w:val="58050514"/>
    <w:rsid w:val="58660F93"/>
    <w:rsid w:val="5966073F"/>
    <w:rsid w:val="59AD082C"/>
    <w:rsid w:val="5B463D7C"/>
    <w:rsid w:val="5B6B6A4B"/>
    <w:rsid w:val="5BF719A8"/>
    <w:rsid w:val="5C915D7F"/>
    <w:rsid w:val="5D611600"/>
    <w:rsid w:val="5D8112DC"/>
    <w:rsid w:val="5E9C43D9"/>
    <w:rsid w:val="5F1354F0"/>
    <w:rsid w:val="5FFF0137"/>
    <w:rsid w:val="613E7E92"/>
    <w:rsid w:val="627E67D8"/>
    <w:rsid w:val="62A34E59"/>
    <w:rsid w:val="63B51BDD"/>
    <w:rsid w:val="642641A7"/>
    <w:rsid w:val="64D05C43"/>
    <w:rsid w:val="6527635A"/>
    <w:rsid w:val="653979F2"/>
    <w:rsid w:val="658B7E61"/>
    <w:rsid w:val="65D34460"/>
    <w:rsid w:val="66560D21"/>
    <w:rsid w:val="67DB2545"/>
    <w:rsid w:val="68E02B24"/>
    <w:rsid w:val="691039F0"/>
    <w:rsid w:val="69417966"/>
    <w:rsid w:val="6A714E5C"/>
    <w:rsid w:val="6AFB5BB1"/>
    <w:rsid w:val="6B3D71F9"/>
    <w:rsid w:val="6B9B0F84"/>
    <w:rsid w:val="6C856A0D"/>
    <w:rsid w:val="6CD76E40"/>
    <w:rsid w:val="6D267BCA"/>
    <w:rsid w:val="6F5953DE"/>
    <w:rsid w:val="6FB03873"/>
    <w:rsid w:val="71190CC7"/>
    <w:rsid w:val="71A50310"/>
    <w:rsid w:val="73B54E32"/>
    <w:rsid w:val="743072DA"/>
    <w:rsid w:val="74BC3876"/>
    <w:rsid w:val="7520131B"/>
    <w:rsid w:val="75E5673E"/>
    <w:rsid w:val="768A25E6"/>
    <w:rsid w:val="76D71B7B"/>
    <w:rsid w:val="77604D3B"/>
    <w:rsid w:val="77E81348"/>
    <w:rsid w:val="7803692F"/>
    <w:rsid w:val="78B6215A"/>
    <w:rsid w:val="79B62A96"/>
    <w:rsid w:val="79F12321"/>
    <w:rsid w:val="7A0643B5"/>
    <w:rsid w:val="7A6B5461"/>
    <w:rsid w:val="7A7112D5"/>
    <w:rsid w:val="7AB076DD"/>
    <w:rsid w:val="7B1751A9"/>
    <w:rsid w:val="7C1E6C53"/>
    <w:rsid w:val="7CDD1B86"/>
    <w:rsid w:val="7DA675F5"/>
    <w:rsid w:val="7DB82322"/>
    <w:rsid w:val="7DD60076"/>
    <w:rsid w:val="7EBE17B1"/>
    <w:rsid w:val="7ED42003"/>
    <w:rsid w:val="7FBB13AC"/>
    <w:rsid w:val="7FE833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9"/>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line="360" w:lineRule="auto"/>
    </w:pPr>
    <w:rPr>
      <w:sz w:val="24"/>
    </w:rPr>
  </w:style>
  <w:style w:type="paragraph" w:styleId="4">
    <w:name w:val="table of authorities"/>
    <w:basedOn w:val="1"/>
    <w:next w:val="1"/>
    <w:qFormat/>
    <w:uiPriority w:val="0"/>
    <w:pPr>
      <w:spacing w:line="360" w:lineRule="auto"/>
      <w:ind w:left="420" w:leftChars="200" w:firstLine="640" w:firstLineChars="200"/>
    </w:pPr>
    <w:rPr>
      <w:sz w:val="24"/>
      <w:szCs w:val="24"/>
    </w:rPr>
  </w:style>
  <w:style w:type="paragraph" w:styleId="5">
    <w:name w:val="Normal Indent"/>
    <w:basedOn w:val="1"/>
    <w:next w:val="6"/>
    <w:autoRedefine/>
    <w:qFormat/>
    <w:uiPriority w:val="0"/>
    <w:pPr>
      <w:snapToGrid w:val="0"/>
      <w:ind w:firstLine="720" w:firstLineChars="200"/>
    </w:pPr>
    <w:rPr>
      <w:rFonts w:ascii="Times New Roman" w:hAnsi="Times New Roman" w:eastAsia="宋体"/>
    </w:rPr>
  </w:style>
  <w:style w:type="paragraph" w:styleId="6">
    <w:name w:val="toc 1"/>
    <w:basedOn w:val="1"/>
    <w:next w:val="1"/>
    <w:autoRedefine/>
    <w:unhideWhenUsed/>
    <w:qFormat/>
    <w:uiPriority w:val="39"/>
    <w:pPr>
      <w:spacing w:before="120" w:after="120"/>
      <w:jc w:val="left"/>
    </w:pPr>
    <w:rPr>
      <w:rFonts w:ascii="Calibri" w:hAnsi="Calibri"/>
      <w:b/>
      <w:bCs/>
      <w:caps/>
      <w:sz w:val="20"/>
      <w:szCs w:val="20"/>
    </w:rPr>
  </w:style>
  <w:style w:type="paragraph" w:styleId="7">
    <w:name w:val="Body Text Indent"/>
    <w:basedOn w:val="1"/>
    <w:autoRedefine/>
    <w:semiHidden/>
    <w:unhideWhenUsed/>
    <w:qFormat/>
    <w:uiPriority w:val="99"/>
    <w:pPr>
      <w:spacing w:after="120"/>
      <w:ind w:left="420" w:leftChars="2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6"/>
    <w:basedOn w:val="1"/>
    <w:next w:val="1"/>
    <w:unhideWhenUsed/>
    <w:qFormat/>
    <w:uiPriority w:val="39"/>
    <w:pPr>
      <w:spacing w:line="240" w:lineRule="auto"/>
      <w:ind w:left="2100" w:leftChars="1000"/>
    </w:pPr>
    <w:rPr>
      <w:rFonts w:ascii="等线" w:hAnsi="等线" w:eastAsia="等线" w:cs="Times New Roman"/>
      <w:sz w:val="21"/>
      <w:szCs w:val="22"/>
    </w:rPr>
  </w:style>
  <w:style w:type="paragraph" w:styleId="11">
    <w:name w:val="toc 2"/>
    <w:basedOn w:val="1"/>
    <w:next w:val="1"/>
    <w:semiHidden/>
    <w:qFormat/>
    <w:uiPriority w:val="0"/>
    <w:pPr>
      <w:spacing w:line="360" w:lineRule="auto"/>
      <w:ind w:left="105" w:leftChars="50" w:right="105" w:rightChars="50" w:firstLine="562" w:firstLineChars="200"/>
    </w:pPr>
    <w:rPr>
      <w:b/>
      <w:sz w:val="28"/>
    </w:rPr>
  </w:style>
  <w:style w:type="paragraph" w:styleId="12">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topLinePunct/>
      <w:spacing w:line="360" w:lineRule="auto"/>
      <w:ind w:left="1080" w:leftChars="500" w:hanging="1080" w:hangingChars="500"/>
    </w:pPr>
    <w:rPr>
      <w:rFonts w:ascii="Arial" w:hAnsi="Arial" w:eastAsia="仿宋_GB2312"/>
    </w:rPr>
  </w:style>
  <w:style w:type="paragraph" w:styleId="13">
    <w:name w:val="Body Text First Indent"/>
    <w:basedOn w:val="1"/>
    <w:next w:val="14"/>
    <w:qFormat/>
    <w:uiPriority w:val="0"/>
    <w:pPr>
      <w:spacing w:after="120" w:line="240" w:lineRule="auto"/>
      <w:ind w:firstLine="420" w:firstLineChars="100"/>
    </w:pPr>
    <w:rPr>
      <w:sz w:val="21"/>
    </w:rPr>
  </w:style>
  <w:style w:type="paragraph" w:styleId="14">
    <w:name w:val="Body Text First Indent 2"/>
    <w:basedOn w:val="7"/>
    <w:semiHidden/>
    <w:unhideWhenUsed/>
    <w:qFormat/>
    <w:uiPriority w:val="99"/>
    <w:pPr>
      <w:ind w:firstLine="420" w:firstLineChars="200"/>
    </w:p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semiHidden/>
    <w:qFormat/>
    <w:uiPriority w:val="0"/>
    <w:rPr>
      <w:sz w:val="21"/>
    </w:rPr>
  </w:style>
  <w:style w:type="paragraph" w:customStyle="1" w:styleId="19">
    <w:name w:val="Default"/>
    <w:basedOn w:val="20"/>
    <w:next w:val="1"/>
    <w:autoRedefine/>
    <w:qFormat/>
    <w:uiPriority w:val="0"/>
    <w:pPr>
      <w:widowControl/>
      <w:autoSpaceDE w:val="0"/>
      <w:autoSpaceDN w:val="0"/>
      <w:spacing w:line="360" w:lineRule="exact"/>
      <w:jc w:val="left"/>
    </w:pPr>
    <w:rPr>
      <w:rFonts w:ascii="Arial Black" w:hAnsi="Arial Black" w:cs="Times New Roman"/>
      <w:color w:val="000000"/>
      <w:sz w:val="24"/>
      <w:szCs w:val="20"/>
    </w:rPr>
  </w:style>
  <w:style w:type="paragraph" w:customStyle="1" w:styleId="20">
    <w:name w:val="纯文本1"/>
    <w:basedOn w:val="1"/>
    <w:qFormat/>
    <w:uiPriority w:val="0"/>
    <w:rPr>
      <w:rFonts w:ascii="宋体" w:hAnsi="Courier New"/>
      <w:kern w:val="0"/>
      <w:sz w:val="20"/>
      <w:szCs w:val="21"/>
    </w:rPr>
  </w:style>
  <w:style w:type="paragraph" w:customStyle="1" w:styleId="21">
    <w:name w:val="Normal (Web)1"/>
    <w:basedOn w:val="1"/>
    <w:next w:val="1"/>
    <w:qFormat/>
    <w:uiPriority w:val="0"/>
    <w:pPr>
      <w:widowControl/>
      <w:jc w:val="left"/>
    </w:pPr>
    <w:rPr>
      <w:rFonts w:ascii="宋体" w:cs="Times New Roman"/>
      <w:kern w:val="0"/>
      <w:sz w:val="24"/>
      <w:szCs w:val="21"/>
    </w:rPr>
  </w:style>
  <w:style w:type="paragraph" w:customStyle="1" w:styleId="22">
    <w:name w:val="Date1"/>
    <w:basedOn w:val="1"/>
    <w:next w:val="1"/>
    <w:qFormat/>
    <w:uiPriority w:val="0"/>
    <w:pPr>
      <w:ind w:left="2500" w:leftChars="2500"/>
    </w:pPr>
  </w:style>
  <w:style w:type="paragraph" w:customStyle="1" w:styleId="23">
    <w:name w:val="样式 标题 1 + 首行缩进:  2 字符"/>
    <w:basedOn w:val="3"/>
    <w:autoRedefine/>
    <w:qFormat/>
    <w:uiPriority w:val="0"/>
    <w:pPr>
      <w:ind w:firstLine="200" w:firstLineChars="200"/>
      <w:jc w:val="center"/>
    </w:pPr>
    <w:rPr>
      <w:rFonts w:cs="宋体"/>
      <w:szCs w:val="20"/>
    </w:rPr>
  </w:style>
  <w:style w:type="paragraph" w:customStyle="1" w:styleId="24">
    <w:name w:val="正文格式"/>
    <w:basedOn w:val="1"/>
    <w:next w:val="1"/>
    <w:autoRedefine/>
    <w:qFormat/>
    <w:uiPriority w:val="0"/>
    <w:pPr>
      <w:spacing w:line="360" w:lineRule="auto"/>
      <w:ind w:firstLine="420" w:firstLineChars="200"/>
    </w:pPr>
    <w:rPr>
      <w:kern w:val="0"/>
      <w:szCs w:val="21"/>
    </w:rPr>
  </w:style>
  <w:style w:type="paragraph" w:customStyle="1" w:styleId="25">
    <w:name w:val="11111"/>
    <w:basedOn w:val="1"/>
    <w:next w:val="1"/>
    <w:qFormat/>
    <w:uiPriority w:val="0"/>
    <w:pPr>
      <w:spacing w:line="360" w:lineRule="auto"/>
      <w:ind w:firstLine="200" w:firstLineChars="200"/>
    </w:pPr>
    <w:rPr>
      <w:rFonts w:ascii="宋体" w:hAnsi="宋体" w:cs="宋体"/>
      <w:sz w:val="24"/>
    </w:rPr>
  </w:style>
  <w:style w:type="paragraph" w:customStyle="1" w:styleId="26">
    <w:name w:val="环评正文"/>
    <w:basedOn w:val="1"/>
    <w:autoRedefine/>
    <w:qFormat/>
    <w:uiPriority w:val="0"/>
    <w:pPr>
      <w:spacing w:line="440" w:lineRule="exact"/>
      <w:ind w:firstLine="1440" w:firstLineChars="200"/>
    </w:pPr>
    <w:rPr>
      <w:kern w:val="0"/>
      <w:sz w:val="24"/>
      <w:szCs w:val="20"/>
    </w:rPr>
  </w:style>
  <w:style w:type="paragraph" w:customStyle="1" w:styleId="27">
    <w:name w:val="报告书正文"/>
    <w:basedOn w:val="1"/>
    <w:autoRedefine/>
    <w:qFormat/>
    <w:uiPriority w:val="0"/>
    <w:pPr>
      <w:adjustRightInd w:val="0"/>
      <w:snapToGrid w:val="0"/>
      <w:spacing w:line="360" w:lineRule="auto"/>
      <w:ind w:firstLine="425"/>
      <w:textAlignment w:val="baseline"/>
    </w:pPr>
    <w:rPr>
      <w:rFonts w:ascii="Arial" w:hAnsi="Arial" w:cs="Times New Roman"/>
      <w:kern w:val="0"/>
      <w:sz w:val="24"/>
      <w:szCs w:val="24"/>
    </w:rPr>
  </w:style>
  <w:style w:type="paragraph" w:customStyle="1" w:styleId="28">
    <w:name w:val="【正文】"/>
    <w:basedOn w:val="1"/>
    <w:next w:val="12"/>
    <w:autoRedefine/>
    <w:qFormat/>
    <w:uiPriority w:val="99"/>
    <w:pPr>
      <w:spacing w:line="360" w:lineRule="auto"/>
      <w:ind w:firstLine="480" w:firstLineChars="200"/>
    </w:pPr>
    <w:rPr>
      <w:rFonts w:ascii="Calibri" w:hAnsi="Calibri" w:eastAsia="宋体" w:cs="Times New Roman"/>
      <w:kern w:val="0"/>
      <w:sz w:val="24"/>
      <w:szCs w:val="24"/>
    </w:rPr>
  </w:style>
  <w:style w:type="paragraph" w:customStyle="1" w:styleId="29">
    <w:name w:val="a正文"/>
    <w:basedOn w:val="24"/>
    <w:qFormat/>
    <w:uiPriority w:val="0"/>
    <w:pPr>
      <w:spacing w:line="520" w:lineRule="exact"/>
      <w:ind w:firstLine="200"/>
    </w:pPr>
    <w:rPr>
      <w:sz w:val="24"/>
    </w:rPr>
  </w:style>
  <w:style w:type="paragraph" w:customStyle="1" w:styleId="30">
    <w:name w:val="采用正文"/>
    <w:basedOn w:val="2"/>
    <w:qFormat/>
    <w:uiPriority w:val="0"/>
    <w:pPr>
      <w:widowControl w:val="0"/>
      <w:adjustRightInd w:val="0"/>
      <w:spacing w:before="0" w:after="0" w:line="360" w:lineRule="auto"/>
      <w:ind w:right="0" w:firstLine="200" w:firstLineChars="200"/>
    </w:pPr>
    <w:rPr>
      <w:kern w:val="2"/>
      <w:sz w:val="24"/>
    </w:rPr>
  </w:style>
  <w:style w:type="paragraph" w:customStyle="1" w:styleId="31">
    <w:name w:val="【正文1】"/>
    <w:basedOn w:val="1"/>
    <w:autoRedefine/>
    <w:qFormat/>
    <w:uiPriority w:val="0"/>
    <w:pPr>
      <w:adjustRightInd w:val="0"/>
      <w:snapToGrid w:val="0"/>
      <w:spacing w:line="500" w:lineRule="atLeast"/>
      <w:ind w:firstLine="480" w:firstLineChars="200"/>
    </w:pPr>
    <w:rPr>
      <w:sz w:val="24"/>
    </w:rPr>
  </w:style>
  <w:style w:type="paragraph" w:customStyle="1" w:styleId="32">
    <w:name w:val="表中文字"/>
    <w:basedOn w:val="1"/>
    <w:next w:val="1"/>
    <w:link w:val="33"/>
    <w:qFormat/>
    <w:uiPriority w:val="0"/>
    <w:pPr>
      <w:widowControl w:val="0"/>
      <w:spacing w:line="240" w:lineRule="auto"/>
      <w:ind w:firstLine="0" w:firstLineChars="0"/>
      <w:jc w:val="center"/>
    </w:pPr>
    <w:rPr>
      <w:rFonts w:ascii="Times New Roman" w:hAnsi="Times New Roman" w:cs="Times New Roman"/>
      <w:kern w:val="2"/>
      <w:sz w:val="21"/>
    </w:rPr>
  </w:style>
  <w:style w:type="character" w:customStyle="1" w:styleId="33">
    <w:name w:val="表中文字 Char"/>
    <w:basedOn w:val="17"/>
    <w:link w:val="32"/>
    <w:qFormat/>
    <w:uiPriority w:val="0"/>
    <w:rPr>
      <w:rFonts w:ascii="Times New Roman" w:hAnsi="Times New Roman" w:cs="Times New Roman"/>
      <w:kern w:val="2"/>
      <w:sz w:val="21"/>
    </w:rPr>
  </w:style>
  <w:style w:type="paragraph" w:customStyle="1" w:styleId="34">
    <w:name w:val="Char"/>
    <w:basedOn w:val="1"/>
    <w:qFormat/>
    <w:uiPriority w:val="0"/>
    <w:pPr>
      <w:snapToGrid w:val="0"/>
      <w:spacing w:line="440" w:lineRule="atLeast"/>
      <w:ind w:firstLine="200" w:firstLineChars="200"/>
    </w:pPr>
  </w:style>
  <w:style w:type="paragraph" w:customStyle="1" w:styleId="35">
    <w:name w:val="通用正文"/>
    <w:basedOn w:val="36"/>
    <w:qFormat/>
    <w:uiPriority w:val="0"/>
    <w:pPr>
      <w:widowControl w:val="0"/>
      <w:wordWrap w:val="0"/>
      <w:topLinePunct/>
      <w:adjustRightInd/>
      <w:snapToGrid/>
      <w:spacing w:after="0" w:line="360" w:lineRule="auto"/>
      <w:ind w:left="0" w:firstLine="420" w:firstLineChars="200"/>
      <w:jc w:val="left"/>
    </w:pPr>
    <w:rPr>
      <w:rFonts w:ascii="Times New Roman" w:hAnsi="Times New Roman" w:eastAsia="宋体" w:cs="Times New Roman"/>
      <w:color w:val="000000"/>
      <w:kern w:val="2"/>
      <w:sz w:val="24"/>
      <w:szCs w:val="24"/>
      <w:lang w:val="en-US" w:bidi="ar-SA"/>
    </w:rPr>
  </w:style>
  <w:style w:type="paragraph" w:customStyle="1" w:styleId="36">
    <w:name w:val="00通用正文"/>
    <w:basedOn w:val="1"/>
    <w:qFormat/>
    <w:uiPriority w:val="0"/>
    <w:pPr>
      <w:widowControl w:val="0"/>
      <w:wordWrap w:val="0"/>
      <w:spacing w:after="0" w:line="360" w:lineRule="auto"/>
      <w:ind w:firstLine="420" w:firstLineChars="200"/>
      <w:jc w:val="left"/>
    </w:pPr>
    <w:rPr>
      <w:rFonts w:ascii="Times New Roman" w:hAnsi="Times New Roman" w:eastAsia="宋体" w:cs="Times New Roman"/>
      <w:color w:val="000000"/>
      <w:kern w:val="2"/>
      <w:sz w:val="24"/>
      <w:szCs w:val="24"/>
      <w:lang w:val="en-US" w:bidi="ar-SA"/>
    </w:rPr>
  </w:style>
  <w:style w:type="paragraph" w:customStyle="1" w:styleId="37">
    <w:name w:val="【表中文字】"/>
    <w:basedOn w:val="38"/>
    <w:qFormat/>
    <w:uiPriority w:val="0"/>
    <w:pPr>
      <w:widowControl w:val="0"/>
      <w:adjustRightInd/>
      <w:snapToGrid/>
      <w:spacing w:line="240" w:lineRule="auto"/>
      <w:ind w:firstLine="0" w:firstLineChars="0"/>
      <w:jc w:val="center"/>
    </w:pPr>
    <w:rPr>
      <w:rFonts w:ascii="Times New Roman" w:hAnsi="Times New Roman"/>
      <w:sz w:val="20"/>
      <w:szCs w:val="20"/>
      <w:lang w:val="zh-CN"/>
    </w:rPr>
  </w:style>
  <w:style w:type="paragraph" w:customStyle="1" w:styleId="38">
    <w:name w:val=".表1-1-1内容"/>
    <w:basedOn w:val="1"/>
    <w:qFormat/>
    <w:uiPriority w:val="0"/>
    <w:pPr>
      <w:spacing w:line="300" w:lineRule="exact"/>
      <w:jc w:val="center"/>
    </w:pPr>
    <w:rPr>
      <w:kern w:val="0"/>
      <w:sz w:val="21"/>
      <w:szCs w:val="21"/>
    </w:rPr>
  </w:style>
  <w:style w:type="character" w:customStyle="1" w:styleId="39">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40">
    <w:name w:val="表中字"/>
    <w:qFormat/>
    <w:uiPriority w:val="0"/>
    <w:pPr>
      <w:jc w:val="center"/>
    </w:pPr>
    <w:rPr>
      <w:rFonts w:ascii="Times New Roman" w:hAnsi="Times New Roman" w:eastAsia="宋体" w:cs="Times New Roman"/>
      <w:kern w:val="2"/>
      <w:sz w:val="21"/>
      <w:szCs w:val="22"/>
      <w:lang w:val="zh-CN" w:eastAsia="zh-CN" w:bidi="ar-SA"/>
    </w:rPr>
  </w:style>
  <w:style w:type="paragraph" w:customStyle="1" w:styleId="41">
    <w:name w:val="【表中文字】-"/>
    <w:basedOn w:val="1"/>
    <w:autoRedefine/>
    <w:qFormat/>
    <w:uiPriority w:val="0"/>
    <w:pPr>
      <w:adjustRightInd w:val="0"/>
      <w:snapToGrid w:val="0"/>
      <w:spacing w:line="240" w:lineRule="auto"/>
      <w:ind w:firstLine="0" w:firstLineChars="0"/>
      <w:jc w:val="center"/>
    </w:pPr>
    <w:rPr>
      <w:rFonts w:ascii="Times New Roman" w:hAnsi="Times New Roman" w:eastAsia="宋体" w:cs="Times New Roman"/>
      <w:kern w:val="0"/>
      <w:sz w:val="18"/>
      <w:szCs w:val="20"/>
    </w:rPr>
  </w:style>
  <w:style w:type="character" w:customStyle="1" w:styleId="42">
    <w:name w:val="【正文】 Char1"/>
    <w:qFormat/>
    <w:locked/>
    <w:uiPriority w:val="0"/>
    <w:rPr>
      <w:rFonts w:ascii="Times New Roman" w:hAnsi="Times New Roman" w:eastAsia="宋体" w:cs="Times New Roman"/>
      <w:sz w:val="24"/>
      <w:szCs w:val="24"/>
    </w:rPr>
  </w:style>
  <w:style w:type="paragraph" w:customStyle="1" w:styleId="43">
    <w:name w:val="表格里"/>
    <w:basedOn w:val="44"/>
    <w:next w:val="44"/>
    <w:qFormat/>
    <w:uiPriority w:val="0"/>
    <w:pPr>
      <w:spacing w:line="240" w:lineRule="auto"/>
      <w:ind w:firstLine="0" w:firstLineChars="0"/>
      <w:jc w:val="center"/>
      <w:outlineLvl w:val="9"/>
    </w:pPr>
    <w:rPr>
      <w:rFonts w:ascii="Times New Roman" w:hAnsi="Times New Roman" w:eastAsia="宋体" w:cs="Times New Roman"/>
      <w:snapToGrid w:val="0"/>
      <w:color w:val="auto"/>
    </w:rPr>
  </w:style>
  <w:style w:type="paragraph" w:customStyle="1" w:styleId="44">
    <w:name w:val="正文1"/>
    <w:basedOn w:val="1"/>
    <w:qFormat/>
    <w:uiPriority w:val="0"/>
    <w:pPr>
      <w:autoSpaceDE w:val="0"/>
      <w:autoSpaceDN w:val="0"/>
      <w:adjustRightInd w:val="0"/>
      <w:snapToGrid w:val="0"/>
      <w:spacing w:line="360" w:lineRule="auto"/>
      <w:ind w:firstLine="720" w:firstLineChars="200"/>
      <w:jc w:val="both"/>
    </w:pPr>
    <w:rPr>
      <w:rFonts w:ascii="宋体" w:hAnsi="宋体" w:cs="宋体"/>
      <w:kern w:val="0"/>
      <w:sz w:val="21"/>
      <w:szCs w:val="21"/>
    </w:rPr>
  </w:style>
  <w:style w:type="paragraph" w:customStyle="1" w:styleId="45">
    <w:name w:val="范-表格里"/>
    <w:qFormat/>
    <w:uiPriority w:val="0"/>
    <w:pPr>
      <w:tabs>
        <w:tab w:val="left" w:pos="567"/>
      </w:tabs>
      <w:jc w:val="center"/>
    </w:pPr>
    <w:rPr>
      <w:rFonts w:ascii="Times New Roman" w:hAnsi="Times New Roman" w:eastAsia="宋体" w:cs="Times New Roman"/>
      <w:snapToGrid w:val="0"/>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1252</Words>
  <Characters>1346</Characters>
  <Lines>0</Lines>
  <Paragraphs>0</Paragraphs>
  <TotalTime>7</TotalTime>
  <ScaleCrop>false</ScaleCrop>
  <LinksUpToDate>false</LinksUpToDate>
  <CharactersWithSpaces>1354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2020-05-18T07:04:00Z</dcterms:created>
  <dc:creator>Administrator</dc:creator>
  <cp:lastModifiedBy>小文</cp:lastModifiedBy>
  <cp:lastPrinted>2025-11-06T09:38:00Z</cp:lastPrinted>
  <dcterms:modified xsi:type="dcterms:W3CDTF">2026-01-29T01:56:32Z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F9211679910540F6BCE8C193337D8871_13</vt:lpwstr>
  </property>
  <property fmtid="{D5CDD505-2E9C-101B-9397-08002B2CF9AE}" pid="4" name="KSOTemplateDocerSaveRecord">
    <vt:lpwstr>eyJoZGlkIjoiOGMzNzZkOThiNmFmNDg0NzczYzJkM2RhYWI5Yzg3Y2QiLCJ1c2VySWQiOiI2MzQwMzQ4MzQifQ==</vt:lpwstr>
  </property>
</Properties>
</file>