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FB0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452" w:firstLineChars="100"/>
        <w:jc w:val="both"/>
        <w:textAlignment w:val="auto"/>
        <w:rPr>
          <w:rFonts w:hint="eastAsia" w:ascii="黑体" w:hAnsi="宋体" w:eastAsia="黑体" w:cs="宋体"/>
          <w:b/>
          <w:spacing w:val="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6"/>
          <w:kern w:val="0"/>
          <w:sz w:val="44"/>
          <w:szCs w:val="44"/>
          <w:lang w:eastAsia="zh-CN"/>
        </w:rPr>
        <w:t>集贤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6"/>
          <w:kern w:val="0"/>
          <w:sz w:val="44"/>
          <w:szCs w:val="44"/>
        </w:rPr>
        <w:t>县202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6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6"/>
          <w:kern w:val="0"/>
          <w:sz w:val="44"/>
          <w:szCs w:val="44"/>
        </w:rPr>
        <w:t>年度国有建设用地供应计划</w:t>
      </w:r>
    </w:p>
    <w:p w14:paraId="53C81A30">
      <w:pPr>
        <w:bidi w:val="0"/>
        <w:rPr>
          <w:rFonts w:hint="eastAsia"/>
        </w:rPr>
      </w:pPr>
    </w:p>
    <w:p w14:paraId="0CEF0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</w:rPr>
        <w:t>一、计划目的</w:t>
      </w:r>
    </w:p>
    <w:p w14:paraId="59DF75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宋体" w:eastAsia="仿宋_GB2312" w:cs="宋体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集贤县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国有建设用地供应计划（以下简称“供应计划”），对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行政辖区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国有建设用地供应的总量、结构、布局、时序和方式做出的科学安排，通过土地供应主动参与宏观调控。落实供给引导需求，统筹建设用地投放市场的方向、时机和空间布局，对土地利用实施有效调节，为科学调控土地市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配置土地资源，合理安排国有建设用地供应结构和布局，促进土地节约集约利用，积极发挥计划引导作用，保障城市居民住房建设和重大项目建设用地需求，优化产业布局。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依据国土资源部《关于印发国有建设用地供应计划编制规范（试行）的通知》（国土资发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〔2010〕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117号），结合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集贤县国土空间规划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，参考上年度供地情况和本年度用地需求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及国家、省下达的批而未供土地消化处置任务，制定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2025年度国有建设用地计划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。</w:t>
      </w:r>
    </w:p>
    <w:p w14:paraId="178B5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</w:rPr>
        <w:t>二、指导思想和基本原则</w:t>
      </w:r>
    </w:p>
    <w:p w14:paraId="283DCA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auto"/>
          <w:spacing w:val="6"/>
          <w:sz w:val="32"/>
          <w:szCs w:val="32"/>
        </w:rPr>
        <w:t>（一）指导思想</w:t>
      </w:r>
      <w:r>
        <w:rPr>
          <w:rFonts w:hint="eastAsia" w:ascii="楷体" w:hAnsi="楷体" w:eastAsia="楷体" w:cs="楷体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坚持以习近平新时代中国特色社会主义思想为指导，深入学习贯彻党的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和十九届历次全会精神，贯彻新发展理念，构建新发展格局，全面完成年度目标任务，推动高质量发展取得新成效。优化土地资源配置，努力盘活存量，合理确定计划期内国有建设用地供应总量，严格执行国家土地供应政策规定。</w:t>
      </w:r>
    </w:p>
    <w:p w14:paraId="7F998E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6"/>
          <w:sz w:val="32"/>
          <w:szCs w:val="32"/>
        </w:rPr>
        <w:t>（</w:t>
      </w:r>
      <w:r>
        <w:rPr>
          <w:rFonts w:hint="eastAsia" w:ascii="楷体" w:hAnsi="楷体" w:eastAsia="楷体" w:cs="楷体"/>
          <w:i w:val="0"/>
          <w:iCs w:val="0"/>
          <w:caps w:val="0"/>
          <w:color w:val="auto"/>
          <w:spacing w:val="6"/>
          <w:sz w:val="32"/>
          <w:szCs w:val="32"/>
        </w:rPr>
        <w:t>二）基本原则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国有建设用地供应计划为政府主导型工作，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力争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着眼长远，服务于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我县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经济社会发展，在供应计划编制中汲取与借鉴历年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土地供应的实践经验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选择科学合理的编制方法是决定供应计划成败的重要条件。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 xml:space="preserve">  </w:t>
      </w:r>
    </w:p>
    <w:p w14:paraId="3E87AC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城乡统筹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供需平衡原则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统筹兼顾，优化土地供应结构和空间布局。通过国有建设用地供应计划的编制与实施，进一步统筹城乡经济社会发展，优化土地资源配置，以土地供应引导需求，优先保障国家、省重点建设项目和基础设施建设项目用地需要，落实国家产业政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为优化产业结构和鼓励类产业的建设项目提供有力支撑，严格控制国家规定限制类和禁止类建设项目用地供应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形成土地供应和市场需求相适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的格局。</w:t>
      </w:r>
    </w:p>
    <w:p w14:paraId="4337A9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坚持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节约集约用地原则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坚决贯彻落实最严格的耕地保护制度和节约集约用地制度，严格控制新增建设用地总量，采取有效措施推进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我县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低效用地再开发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利用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，积极盘活存量低效用地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合理控制房地产用地总量，优化城乡土地利用结构。</w:t>
      </w:r>
    </w:p>
    <w:p w14:paraId="26B7F0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可持续发展原则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土地资源的可持续利用是经济社会可持续发展的前提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加强土地节约集约利用，挖掘存量土地利用潜力，实现可持续发展。</w:t>
      </w:r>
    </w:p>
    <w:p w14:paraId="2677E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  <w:t>三、编制依据和适用范围</w:t>
      </w:r>
    </w:p>
    <w:p w14:paraId="125E78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/>
        <w:jc w:val="left"/>
        <w:textAlignment w:val="auto"/>
        <w:rPr>
          <w:rFonts w:hint="eastAsia" w:ascii="楷体" w:hAnsi="楷体" w:eastAsia="楷体" w:cs="楷体"/>
          <w:b w:val="0"/>
          <w:bCs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color w:val="auto"/>
          <w:spacing w:val="6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 w:val="0"/>
          <w:bCs/>
          <w:color w:val="auto"/>
          <w:spacing w:val="6"/>
          <w:kern w:val="0"/>
          <w:sz w:val="32"/>
          <w:szCs w:val="32"/>
          <w:lang w:val="en-US" w:eastAsia="zh-CN"/>
        </w:rPr>
        <w:t>（一）</w:t>
      </w:r>
      <w:r>
        <w:rPr>
          <w:rFonts w:hint="eastAsia" w:ascii="楷体" w:hAnsi="楷体" w:eastAsia="楷体" w:cs="楷体"/>
          <w:b w:val="0"/>
          <w:bCs/>
          <w:color w:val="auto"/>
          <w:spacing w:val="6"/>
          <w:kern w:val="0"/>
          <w:sz w:val="32"/>
          <w:szCs w:val="32"/>
          <w:lang w:eastAsia="zh-CN"/>
        </w:rPr>
        <w:t>编制依据</w:t>
      </w:r>
    </w:p>
    <w:p w14:paraId="33B720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《中华人民共和国土地管理法》（2019年国家主席令第32号）；</w:t>
      </w:r>
    </w:p>
    <w:p w14:paraId="707FDF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自然资源部 国家发展和改革委员会 国家林业和草原局关于印发《自然资源要素支撑产业高质量发展指导目录（2024年本）的通知》（自然资发〔2024〕273号)；</w:t>
      </w:r>
    </w:p>
    <w:p w14:paraId="719323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《国有建设用地供应计划编制规范（试行）》（国土资发〔2010〕117号）；</w:t>
      </w:r>
    </w:p>
    <w:p w14:paraId="3850CB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4.国土空间调查、规划、用途管制用地用海分类指南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；</w:t>
      </w:r>
    </w:p>
    <w:p w14:paraId="75982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黑龙江省人民政府关于加强节约集约用地工作的意见（黑政规〔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〕11号）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；</w:t>
      </w:r>
    </w:p>
    <w:p w14:paraId="0C28E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自然资源部《关于完善工业用地供应政策支持实体经济发展的通知》（自然资发〔2022〕201号）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；</w:t>
      </w:r>
    </w:p>
    <w:p w14:paraId="0D6D44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42"/>
        <w:textAlignment w:val="auto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7.自然资源部办公厅《关于进一步规范住宅用地供应信息公开工作的通知》（自然资办函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〔2022〕2728号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）。</w:t>
      </w:r>
    </w:p>
    <w:p w14:paraId="1AD7A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auto"/>
          <w:spacing w:val="6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auto"/>
          <w:spacing w:val="6"/>
          <w:sz w:val="32"/>
          <w:szCs w:val="32"/>
        </w:rPr>
        <w:t>）适用范围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本计划适用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集贤县行政辖区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，年限为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年1月1日至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年12月31日。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6"/>
          <w:sz w:val="32"/>
          <w:szCs w:val="32"/>
        </w:rPr>
        <w:t xml:space="preserve"> </w:t>
      </w:r>
    </w:p>
    <w:p w14:paraId="539A20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  <w:t>计划指标及配置</w:t>
      </w:r>
    </w:p>
    <w:p w14:paraId="2E12F1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498" w:firstLineChars="15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（一）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年度我县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国有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建设用地供应总量控制在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382.5027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公顷。</w:t>
      </w:r>
    </w:p>
    <w:p w14:paraId="275BB1B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498" w:firstLineChars="15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年度供应总量中，商业用地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量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24.4099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6.38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%；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采矿用地为35.5099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9.28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%；工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业用地为64.8317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16.95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%；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仓储用地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27.7651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7.26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%；住宅用地量为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4.2146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1.1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%；公共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管理与公共服务量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14.8494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3.88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；交通运输用地量为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138.7945公顷，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36.29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公用设施用地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量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70.6067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18.46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；绿地与开敞空间用地量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1.5209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公顷，占总量的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0.4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eastAsia="zh-CN"/>
        </w:rPr>
        <w:t>。</w:t>
      </w:r>
    </w:p>
    <w:p w14:paraId="56B95A63">
      <w:pPr>
        <w:pStyle w:val="2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firstLine="498" w:firstLineChars="150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 w:bidi="ar-SA"/>
        </w:rPr>
        <w:t>（三）住宅用地供应计划具体如下：</w:t>
      </w:r>
    </w:p>
    <w:p w14:paraId="4C8D58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498" w:firstLineChars="15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1.位于向阳路东、体育街南、繁荣街北、第一幼儿园西侧1.7630公顷的国有存量建设用地，拟以商住用地挂牌出让。规划商住比小于等于15%，用于住宅用地面积为1.4986公顷。</w:t>
      </w:r>
    </w:p>
    <w:p w14:paraId="6C8882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498" w:firstLineChars="150"/>
        <w:jc w:val="left"/>
        <w:textAlignment w:val="auto"/>
        <w:rPr>
          <w:rFonts w:hint="default" w:ascii="仿宋_GB2312" w:hAnsi="仿宋_GB2312" w:eastAsia="仿宋_GB2312" w:cs="仿宋_GB2312"/>
          <w:color w:val="0000FF"/>
          <w:spacing w:val="6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highlight w:val="none"/>
          <w:lang w:val="en-US" w:eastAsia="zh-CN"/>
        </w:rPr>
        <w:t>2.位于福双路西侧、农丰大街南3.1953公顷的国有建设用地，拟以商住用地挂牌出让。规划商住比小于等于15%，用于住宅用地建筑面积为2.7160公顷。</w:t>
      </w:r>
    </w:p>
    <w:p w14:paraId="05FD80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  <w:t>五、政策导向与执行标准</w:t>
      </w:r>
    </w:p>
    <w:p w14:paraId="18879C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（一）坚持计划控制引导，统一有序、规范供应。本年度各类建设项目用地供应，严格按照《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集贤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县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年度国有建设用地供应计划表》确定的控制指标实施。</w:t>
      </w:r>
    </w:p>
    <w:p w14:paraId="10D0A5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（二）认真落实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城镇住宅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调控政策，重点保障城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住宅用地供应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，对住宅用地供应总量、结构和布局作出统筹安排，建立拟出让地块清单公布制度，根据年度供地计划，分批次公开未来一定时间段拟出让地块的详细清单，公开详细清单对应的拟出让时间段不少于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3个月，给市场主体充足时间预期预判，全面停止向个人供应住宅用地或个人以公司名义拿地。</w:t>
      </w:r>
    </w:p>
    <w:p w14:paraId="291584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（三）突出经济发展支撑项目用地服务，充分保障招商引资、国家、省及县重点工程项目和优势产业用地需求。工矿仓储用地、公共管理与公共服务用地、交通运输用地、水域及水利设施用地、特殊用地均实行指导性计划控制，根据年度用地需求保障供应，不确定具体指标。乡镇建设项目用地计划指标按照实际需要机动安排。</w:t>
      </w:r>
    </w:p>
    <w:p w14:paraId="08D9AA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（四）严格遵行土地供应方式程序。对商业、旅游、娱乐、商品住宅等经营性用地和新增工业用地（不含原地内改扩建）以及同一宗地有两个以上意向用地者的，必须以招标、拍卖或者挂牌方式有偿供地，统一在土地市场公开进行。扩大有偿使用范围，积极推进经营性基础设施用地有偿使用。</w:t>
      </w:r>
    </w:p>
    <w:p w14:paraId="53E15B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五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坚持科学发展观和节约集约用地政策，建设项目用地鼓励利用存量，严格控制增量。工业用地项目提倡和推广多层标准厂房建设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，可实行分期供地政策，推进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eastAsia="zh-CN"/>
        </w:rPr>
        <w:t>产业用地可以采取长期租赁、先租后让、租让结合、弹性年期方式供应。</w:t>
      </w:r>
    </w:p>
    <w:p w14:paraId="4A8237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</w:rPr>
        <w:t>（六）按照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  <w:lang w:eastAsia="zh-CN"/>
        </w:rPr>
        <w:t>县经济开发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</w:rPr>
        <w:t>区功能定位、产业政策和主导发展方向，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  <w:lang w:eastAsia="zh-CN"/>
        </w:rPr>
        <w:t>充分应用《自然资源部关于完善工业用地供应政策支持实体经济发展的通知》（自然资发〔2022〕201号）有效期为五年的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6"/>
          <w:kern w:val="0"/>
          <w:sz w:val="32"/>
          <w:szCs w:val="32"/>
          <w:shd w:val="clear" w:fill="FFFFFF"/>
          <w:lang w:val="en-US" w:eastAsia="zh-CN" w:bidi="ar"/>
        </w:rPr>
        <w:t>地价鼓励支持政策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</w:rPr>
        <w:t>优先安排工业建设项目用地供应，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  <w:lang w:eastAsia="zh-CN"/>
        </w:rPr>
        <w:t>推行“标准地”供应和“用地清单制”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</w:rPr>
        <w:t>。</w:t>
      </w:r>
    </w:p>
    <w:p w14:paraId="3A0F3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kern w:val="0"/>
          <w:sz w:val="32"/>
          <w:szCs w:val="32"/>
          <w:lang w:eastAsia="zh-CN"/>
        </w:rPr>
        <w:t>六、计划实施保障</w:t>
      </w:r>
    </w:p>
    <w:p w14:paraId="7ABA0A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（一）积极强化措施，确保供地服务效率质量。计划实施中，把握全面，突出重点，强化服务，保障供应，对年度重点项目用地、政策性住房用地要采取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提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前介入，跟踪服务，全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过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程保障，切实满足项目建设用地需求。</w:t>
      </w:r>
    </w:p>
    <w:p w14:paraId="16F82C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（二）加强协调配合，保证计划指标有效落实。县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自然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资源、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住建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等相关部门要密切协调配合，共同做好建设项目用地前期准备工作，各乡（镇）人民政府也要充分发挥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属地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优势，积极配合做好计划实施工作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。</w:t>
      </w:r>
    </w:p>
    <w:p w14:paraId="67F544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Verdana" w:hAnsi="Verdana" w:eastAsia="仿宋_GB2312" w:cs="宋体"/>
          <w:color w:val="auto"/>
          <w:spacing w:val="6"/>
          <w:kern w:val="0"/>
          <w:sz w:val="32"/>
          <w:szCs w:val="32"/>
          <w:lang w:val="en-US" w:eastAsia="zh-CN"/>
        </w:rPr>
      </w:pPr>
    </w:p>
    <w:p w14:paraId="6C38DD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附件1：2025年度集贤县国有建设用地供应计划表</w:t>
      </w:r>
    </w:p>
    <w:p w14:paraId="415A7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附件2：2025年度集贤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县住宅用地供应计划汇总表</w:t>
      </w:r>
    </w:p>
    <w:p w14:paraId="4AFE9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firstLine="66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</w:pPr>
    </w:p>
    <w:p w14:paraId="5A5259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left"/>
        <w:textAlignment w:val="auto"/>
        <w:rPr>
          <w:rFonts w:hint="default" w:ascii="Verdana" w:hAnsi="Verdana" w:eastAsia="仿宋_GB2312" w:cs="宋体"/>
          <w:color w:val="auto"/>
          <w:spacing w:val="6"/>
          <w:kern w:val="0"/>
          <w:sz w:val="32"/>
          <w:szCs w:val="32"/>
          <w:lang w:val="en-US" w:eastAsia="zh-CN"/>
        </w:rPr>
      </w:pPr>
    </w:p>
    <w:p w14:paraId="31096660">
      <w:pPr>
        <w:rPr>
          <w:rFonts w:hint="eastAsia"/>
          <w:spacing w:val="6"/>
          <w:lang w:val="en-US" w:eastAsia="zh-CN"/>
        </w:rPr>
      </w:pPr>
      <w:r>
        <w:rPr>
          <w:rFonts w:hint="eastAsia"/>
          <w:spacing w:val="6"/>
          <w:lang w:val="en-US" w:eastAsia="zh-CN"/>
        </w:rPr>
        <w:br w:type="page"/>
      </w:r>
    </w:p>
    <w:p w14:paraId="5E496A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left"/>
        <w:textAlignment w:val="auto"/>
        <w:rPr>
          <w:rFonts w:hint="eastAsia" w:ascii="Verdana" w:hAnsi="Verdana" w:eastAsia="仿宋_GB2312" w:cs="宋体"/>
          <w:color w:val="auto"/>
          <w:spacing w:val="6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312" w:charSpace="0"/>
        </w:sectPr>
      </w:pPr>
    </w:p>
    <w:p w14:paraId="380663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left"/>
        <w:textAlignment w:val="auto"/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  <w:t>附表1：</w:t>
      </w:r>
    </w:p>
    <w:p w14:paraId="107066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left"/>
        <w:textAlignment w:val="auto"/>
        <w:rPr>
          <w:rFonts w:hint="eastAsia" w:ascii="Verdana" w:hAnsi="Verdana" w:eastAsia="仿宋_GB2312" w:cs="宋体"/>
          <w:color w:val="auto"/>
          <w:spacing w:val="6"/>
          <w:kern w:val="0"/>
          <w:sz w:val="32"/>
          <w:szCs w:val="32"/>
          <w:lang w:val="en-US" w:eastAsia="zh-CN"/>
        </w:rPr>
      </w:pPr>
    </w:p>
    <w:p w14:paraId="3ED073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center"/>
        <w:textAlignment w:val="auto"/>
        <w:rPr>
          <w:rFonts w:hint="eastAsia" w:ascii="仿宋_GB2312" w:eastAsia="仿宋_GB2312"/>
          <w:color w:val="auto"/>
          <w:spacing w:val="6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6"/>
          <w:kern w:val="0"/>
          <w:sz w:val="44"/>
          <w:szCs w:val="44"/>
          <w:lang w:val="en-US" w:eastAsia="zh-CN"/>
        </w:rPr>
        <w:t>2025年度集贤县国有建设用地供应计划表</w:t>
      </w:r>
    </w:p>
    <w:p w14:paraId="235711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76" w:lineRule="exact"/>
        <w:ind w:left="0" w:leftChars="0" w:right="0" w:firstLine="289" w:firstLineChars="99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kern w:val="0"/>
          <w:sz w:val="28"/>
          <w:szCs w:val="28"/>
          <w:lang w:val="en-US" w:eastAsia="zh-CN" w:bidi="ar"/>
        </w:rPr>
        <w:t>单位：公顷</w:t>
      </w:r>
    </w:p>
    <w:tbl>
      <w:tblPr>
        <w:tblStyle w:val="16"/>
        <w:tblpPr w:leftFromText="180" w:rightFromText="180" w:vertAnchor="text" w:horzAnchor="page" w:tblpXSpec="center" w:tblpY="380"/>
        <w:tblOverlap w:val="never"/>
        <w:tblW w:w="555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958"/>
        <w:gridCol w:w="950"/>
        <w:gridCol w:w="1058"/>
        <w:gridCol w:w="1139"/>
        <w:gridCol w:w="910"/>
        <w:gridCol w:w="803"/>
        <w:gridCol w:w="858"/>
        <w:gridCol w:w="830"/>
        <w:gridCol w:w="710"/>
        <w:gridCol w:w="1125"/>
        <w:gridCol w:w="1138"/>
        <w:gridCol w:w="1125"/>
        <w:gridCol w:w="1648"/>
        <w:gridCol w:w="1261"/>
      </w:tblGrid>
      <w:tr w14:paraId="6F5F6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33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04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县区</w:t>
            </w:r>
          </w:p>
        </w:tc>
        <w:tc>
          <w:tcPr>
            <w:tcW w:w="308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E3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合计</w:t>
            </w:r>
          </w:p>
        </w:tc>
        <w:tc>
          <w:tcPr>
            <w:tcW w:w="30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1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商业用地</w:t>
            </w:r>
          </w:p>
        </w:tc>
        <w:tc>
          <w:tcPr>
            <w:tcW w:w="340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0D5E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工矿用地</w:t>
            </w:r>
          </w:p>
        </w:tc>
        <w:tc>
          <w:tcPr>
            <w:tcW w:w="366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BB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仓储用地</w:t>
            </w:r>
          </w:p>
        </w:tc>
        <w:tc>
          <w:tcPr>
            <w:tcW w:w="132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BE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住宅用地</w:t>
            </w:r>
          </w:p>
        </w:tc>
        <w:tc>
          <w:tcPr>
            <w:tcW w:w="361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2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公共管理与公共服务用地</w:t>
            </w:r>
          </w:p>
        </w:tc>
        <w:tc>
          <w:tcPr>
            <w:tcW w:w="366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E4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交通运输用地</w:t>
            </w:r>
          </w:p>
        </w:tc>
        <w:tc>
          <w:tcPr>
            <w:tcW w:w="361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3A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公用设施用地</w:t>
            </w:r>
          </w:p>
        </w:tc>
        <w:tc>
          <w:tcPr>
            <w:tcW w:w="530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39A2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绿地与开敞空间用地</w:t>
            </w:r>
          </w:p>
        </w:tc>
        <w:tc>
          <w:tcPr>
            <w:tcW w:w="40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21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特殊用地</w:t>
            </w:r>
          </w:p>
        </w:tc>
      </w:tr>
      <w:tr w14:paraId="0F20E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33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86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0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FB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0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A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4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78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66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EA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2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75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小计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80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廉租房用地</w:t>
            </w:r>
          </w:p>
        </w:tc>
        <w:tc>
          <w:tcPr>
            <w:tcW w:w="2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E2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经济适用房用地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72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商品房用地</w:t>
            </w:r>
          </w:p>
        </w:tc>
        <w:tc>
          <w:tcPr>
            <w:tcW w:w="2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D9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其他用地</w:t>
            </w:r>
          </w:p>
        </w:tc>
        <w:tc>
          <w:tcPr>
            <w:tcW w:w="361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10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66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F2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61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D2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53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0A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40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55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</w:tr>
      <w:tr w14:paraId="1C2DF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  <w:jc w:val="center"/>
        </w:trPr>
        <w:tc>
          <w:tcPr>
            <w:tcW w:w="3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20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集贤县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B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382.5027</w:t>
            </w:r>
          </w:p>
        </w:tc>
        <w:tc>
          <w:tcPr>
            <w:tcW w:w="3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EC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24.4099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3D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100.3416</w:t>
            </w:r>
          </w:p>
        </w:tc>
        <w:tc>
          <w:tcPr>
            <w:tcW w:w="3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3F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27.7651</w:t>
            </w:r>
          </w:p>
        </w:tc>
        <w:tc>
          <w:tcPr>
            <w:tcW w:w="2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F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4.2146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1A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0</w:t>
            </w:r>
          </w:p>
        </w:tc>
        <w:tc>
          <w:tcPr>
            <w:tcW w:w="2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72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F3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4.2146</w:t>
            </w:r>
          </w:p>
        </w:tc>
        <w:tc>
          <w:tcPr>
            <w:tcW w:w="2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21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0</w:t>
            </w: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D8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14.8494</w:t>
            </w:r>
          </w:p>
        </w:tc>
        <w:tc>
          <w:tcPr>
            <w:tcW w:w="3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40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138.7945</w:t>
            </w: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7E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70.6067</w:t>
            </w:r>
          </w:p>
        </w:tc>
        <w:tc>
          <w:tcPr>
            <w:tcW w:w="5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C0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1.5209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EC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0</w:t>
            </w:r>
          </w:p>
        </w:tc>
      </w:tr>
    </w:tbl>
    <w:p w14:paraId="113EA8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ind w:left="5312" w:leftChars="0" w:hanging="5312" w:hangingChars="1600"/>
        <w:jc w:val="right"/>
        <w:textAlignment w:val="auto"/>
        <w:rPr>
          <w:rFonts w:hint="eastAsia" w:ascii="仿宋_GB2312" w:eastAsia="仿宋_GB2312"/>
          <w:color w:val="auto"/>
          <w:spacing w:val="6"/>
          <w:sz w:val="32"/>
          <w:szCs w:val="32"/>
        </w:rPr>
      </w:pPr>
    </w:p>
    <w:p w14:paraId="53CD47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76" w:lineRule="exact"/>
        <w:ind w:left="0" w:leftChars="0" w:right="0"/>
        <w:jc w:val="left"/>
        <w:textAlignment w:val="auto"/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  <w:t>附表2：</w:t>
      </w:r>
    </w:p>
    <w:p w14:paraId="314B0F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6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6"/>
          <w:kern w:val="0"/>
          <w:sz w:val="44"/>
          <w:szCs w:val="44"/>
          <w:lang w:val="en-US" w:eastAsia="zh-CN" w:bidi="ar"/>
        </w:rPr>
        <w:t>2025年度集贤县住宅用地供应计划汇总表</w:t>
      </w:r>
    </w:p>
    <w:tbl>
      <w:tblPr>
        <w:tblStyle w:val="16"/>
        <w:tblpPr w:leftFromText="180" w:rightFromText="180" w:vertAnchor="text" w:horzAnchor="page" w:tblpX="1529" w:tblpY="815"/>
        <w:tblOverlap w:val="never"/>
        <w:tblW w:w="50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1092"/>
        <w:gridCol w:w="1092"/>
        <w:gridCol w:w="821"/>
        <w:gridCol w:w="835"/>
        <w:gridCol w:w="815"/>
        <w:gridCol w:w="784"/>
        <w:gridCol w:w="825"/>
        <w:gridCol w:w="1193"/>
        <w:gridCol w:w="610"/>
        <w:gridCol w:w="508"/>
        <w:gridCol w:w="765"/>
        <w:gridCol w:w="1645"/>
        <w:gridCol w:w="2157"/>
      </w:tblGrid>
      <w:tr w14:paraId="539C4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64" w:type="pct"/>
            <w:vMerge w:val="restart"/>
            <w:noWrap w:val="0"/>
            <w:vAlign w:val="center"/>
          </w:tcPr>
          <w:p w14:paraId="1C6F3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单位：公顷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市、</w:t>
            </w:r>
            <w:r>
              <w:rPr>
                <w:rStyle w:val="27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县</w:t>
            </w:r>
          </w:p>
        </w:tc>
        <w:tc>
          <w:tcPr>
            <w:tcW w:w="925" w:type="pct"/>
            <w:gridSpan w:val="3"/>
            <w:vMerge w:val="restart"/>
            <w:noWrap w:val="0"/>
            <w:vAlign w:val="center"/>
          </w:tcPr>
          <w:p w14:paraId="3CAE2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供地总量</w:t>
            </w:r>
          </w:p>
        </w:tc>
        <w:tc>
          <w:tcPr>
            <w:tcW w:w="2340" w:type="pct"/>
            <w:gridSpan w:val="8"/>
            <w:noWrap w:val="0"/>
            <w:vAlign w:val="center"/>
          </w:tcPr>
          <w:p w14:paraId="05C1A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保障性安居工程用地</w:t>
            </w:r>
          </w:p>
        </w:tc>
        <w:tc>
          <w:tcPr>
            <w:tcW w:w="594" w:type="pct"/>
            <w:vMerge w:val="restart"/>
            <w:noWrap w:val="0"/>
            <w:vAlign w:val="center"/>
          </w:tcPr>
          <w:p w14:paraId="3FB12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商品住房用地</w:t>
            </w:r>
          </w:p>
        </w:tc>
        <w:tc>
          <w:tcPr>
            <w:tcW w:w="775" w:type="pct"/>
            <w:vMerge w:val="restart"/>
            <w:noWrap w:val="0"/>
            <w:vAlign w:val="center"/>
          </w:tcPr>
          <w:p w14:paraId="3ED51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保障性安居工程和中小套型商品房用地占比</w:t>
            </w:r>
            <w:r>
              <w:rPr>
                <w:rStyle w:val="28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（</w:t>
            </w:r>
            <w:r>
              <w:rPr>
                <w:rStyle w:val="29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%</w:t>
            </w:r>
            <w:r>
              <w:rPr>
                <w:rStyle w:val="28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）</w:t>
            </w:r>
          </w:p>
        </w:tc>
      </w:tr>
      <w:tr w14:paraId="3669E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64" w:type="pct"/>
            <w:vMerge w:val="continue"/>
            <w:noWrap w:val="0"/>
            <w:vAlign w:val="center"/>
          </w:tcPr>
          <w:p w14:paraId="1654C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925" w:type="pct"/>
            <w:gridSpan w:val="3"/>
            <w:vMerge w:val="continue"/>
            <w:noWrap w:val="0"/>
            <w:vAlign w:val="center"/>
          </w:tcPr>
          <w:p w14:paraId="75E5C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609" w:type="pct"/>
            <w:gridSpan w:val="2"/>
            <w:noWrap w:val="0"/>
            <w:vAlign w:val="center"/>
          </w:tcPr>
          <w:p w14:paraId="3AB08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保障性住房用地</w:t>
            </w:r>
          </w:p>
        </w:tc>
        <w:tc>
          <w:tcPr>
            <w:tcW w:w="1028" w:type="pct"/>
            <w:gridSpan w:val="3"/>
            <w:noWrap w:val="0"/>
            <w:vAlign w:val="center"/>
          </w:tcPr>
          <w:p w14:paraId="7936E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各类棚户区改造用地</w:t>
            </w:r>
          </w:p>
        </w:tc>
        <w:tc>
          <w:tcPr>
            <w:tcW w:w="414" w:type="pct"/>
            <w:gridSpan w:val="2"/>
            <w:noWrap w:val="0"/>
            <w:vAlign w:val="center"/>
          </w:tcPr>
          <w:p w14:paraId="3B4B3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公共租赁房</w:t>
            </w:r>
          </w:p>
        </w:tc>
        <w:tc>
          <w:tcPr>
            <w:tcW w:w="288" w:type="pct"/>
            <w:vMerge w:val="restart"/>
            <w:noWrap w:val="0"/>
            <w:vAlign w:val="center"/>
          </w:tcPr>
          <w:p w14:paraId="4391F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限价商品房</w:t>
            </w:r>
          </w:p>
        </w:tc>
        <w:tc>
          <w:tcPr>
            <w:tcW w:w="594" w:type="pct"/>
            <w:vMerge w:val="continue"/>
            <w:noWrap w:val="0"/>
            <w:vAlign w:val="center"/>
          </w:tcPr>
          <w:p w14:paraId="6725C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775" w:type="pct"/>
            <w:vMerge w:val="continue"/>
            <w:noWrap w:val="0"/>
            <w:vAlign w:val="center"/>
          </w:tcPr>
          <w:p w14:paraId="6EA1F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</w:tr>
      <w:tr w14:paraId="7C031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64" w:type="pct"/>
            <w:vMerge w:val="continue"/>
            <w:noWrap w:val="0"/>
            <w:vAlign w:val="center"/>
          </w:tcPr>
          <w:p w14:paraId="13198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337" w:type="pct"/>
            <w:noWrap w:val="0"/>
            <w:vAlign w:val="center"/>
          </w:tcPr>
          <w:p w14:paraId="416B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85" w:type="pct"/>
            <w:noWrap w:val="0"/>
            <w:vAlign w:val="center"/>
          </w:tcPr>
          <w:p w14:paraId="11B38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存量</w:t>
            </w:r>
          </w:p>
        </w:tc>
        <w:tc>
          <w:tcPr>
            <w:tcW w:w="303" w:type="pct"/>
            <w:noWrap w:val="0"/>
            <w:vAlign w:val="center"/>
          </w:tcPr>
          <w:p w14:paraId="7510E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增量</w:t>
            </w:r>
          </w:p>
        </w:tc>
        <w:tc>
          <w:tcPr>
            <w:tcW w:w="308" w:type="pct"/>
            <w:noWrap w:val="0"/>
            <w:vAlign w:val="center"/>
          </w:tcPr>
          <w:p w14:paraId="60D4C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廉租房</w:t>
            </w:r>
          </w:p>
        </w:tc>
        <w:tc>
          <w:tcPr>
            <w:tcW w:w="301" w:type="pct"/>
            <w:noWrap w:val="0"/>
            <w:vAlign w:val="center"/>
          </w:tcPr>
          <w:p w14:paraId="49949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经济适用房</w:t>
            </w:r>
          </w:p>
        </w:tc>
        <w:tc>
          <w:tcPr>
            <w:tcW w:w="290" w:type="pct"/>
            <w:noWrap w:val="0"/>
            <w:vAlign w:val="center"/>
          </w:tcPr>
          <w:p w14:paraId="0F950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廉租房</w:t>
            </w:r>
          </w:p>
        </w:tc>
        <w:tc>
          <w:tcPr>
            <w:tcW w:w="304" w:type="pct"/>
            <w:noWrap w:val="0"/>
            <w:vAlign w:val="center"/>
          </w:tcPr>
          <w:p w14:paraId="712A6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经济适用房</w:t>
            </w:r>
          </w:p>
        </w:tc>
        <w:tc>
          <w:tcPr>
            <w:tcW w:w="434" w:type="pct"/>
            <w:noWrap w:val="0"/>
            <w:vAlign w:val="center"/>
          </w:tcPr>
          <w:p w14:paraId="38A96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中小套型</w:t>
            </w:r>
          </w:p>
        </w:tc>
        <w:tc>
          <w:tcPr>
            <w:tcW w:w="228" w:type="pct"/>
            <w:noWrap w:val="0"/>
            <w:vAlign w:val="center"/>
          </w:tcPr>
          <w:p w14:paraId="7A1F1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划拨</w:t>
            </w:r>
          </w:p>
        </w:tc>
        <w:tc>
          <w:tcPr>
            <w:tcW w:w="186" w:type="pct"/>
            <w:noWrap w:val="0"/>
            <w:vAlign w:val="center"/>
          </w:tcPr>
          <w:p w14:paraId="6A3A6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出让</w:t>
            </w:r>
          </w:p>
        </w:tc>
        <w:tc>
          <w:tcPr>
            <w:tcW w:w="288" w:type="pct"/>
            <w:vMerge w:val="continue"/>
            <w:noWrap w:val="0"/>
            <w:vAlign w:val="center"/>
          </w:tcPr>
          <w:p w14:paraId="467E9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594" w:type="pct"/>
            <w:noWrap w:val="0"/>
            <w:vAlign w:val="center"/>
          </w:tcPr>
          <w:p w14:paraId="66CC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中小套型商品住房</w:t>
            </w:r>
          </w:p>
        </w:tc>
        <w:tc>
          <w:tcPr>
            <w:tcW w:w="775" w:type="pct"/>
            <w:vMerge w:val="continue"/>
            <w:noWrap w:val="0"/>
            <w:vAlign w:val="center"/>
          </w:tcPr>
          <w:p w14:paraId="7F923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</w:tr>
      <w:tr w14:paraId="27B7C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64" w:type="pct"/>
            <w:noWrap w:val="0"/>
            <w:vAlign w:val="center"/>
          </w:tcPr>
          <w:p w14:paraId="1F2CC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集贤县</w:t>
            </w:r>
          </w:p>
        </w:tc>
        <w:tc>
          <w:tcPr>
            <w:tcW w:w="337" w:type="pct"/>
            <w:noWrap w:val="0"/>
            <w:vAlign w:val="center"/>
          </w:tcPr>
          <w:p w14:paraId="03BC6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4.2146</w:t>
            </w:r>
          </w:p>
        </w:tc>
        <w:tc>
          <w:tcPr>
            <w:tcW w:w="285" w:type="pct"/>
            <w:noWrap w:val="0"/>
            <w:vAlign w:val="center"/>
          </w:tcPr>
          <w:p w14:paraId="3AAFA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4.2146</w:t>
            </w:r>
          </w:p>
        </w:tc>
        <w:tc>
          <w:tcPr>
            <w:tcW w:w="303" w:type="pct"/>
            <w:noWrap w:val="0"/>
            <w:vAlign w:val="center"/>
          </w:tcPr>
          <w:p w14:paraId="7BE3A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308" w:type="pct"/>
            <w:noWrap w:val="0"/>
            <w:vAlign w:val="center"/>
          </w:tcPr>
          <w:p w14:paraId="1B003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301" w:type="pct"/>
            <w:noWrap w:val="0"/>
            <w:vAlign w:val="center"/>
          </w:tcPr>
          <w:p w14:paraId="739D6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290" w:type="pct"/>
            <w:noWrap w:val="0"/>
            <w:vAlign w:val="center"/>
          </w:tcPr>
          <w:p w14:paraId="7678E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304" w:type="pct"/>
            <w:noWrap w:val="0"/>
            <w:vAlign w:val="center"/>
          </w:tcPr>
          <w:p w14:paraId="652AF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434" w:type="pct"/>
            <w:noWrap w:val="0"/>
            <w:vAlign w:val="center"/>
          </w:tcPr>
          <w:p w14:paraId="6DD94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228" w:type="pct"/>
            <w:noWrap w:val="0"/>
            <w:vAlign w:val="center"/>
          </w:tcPr>
          <w:p w14:paraId="52E0A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186" w:type="pct"/>
            <w:noWrap w:val="0"/>
            <w:vAlign w:val="center"/>
          </w:tcPr>
          <w:p w14:paraId="3D0AC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288" w:type="pct"/>
            <w:noWrap w:val="0"/>
            <w:vAlign w:val="center"/>
          </w:tcPr>
          <w:p w14:paraId="48030B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594" w:type="pct"/>
            <w:noWrap w:val="0"/>
            <w:vAlign w:val="center"/>
          </w:tcPr>
          <w:p w14:paraId="08E9A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4.2146</w:t>
            </w:r>
          </w:p>
        </w:tc>
        <w:tc>
          <w:tcPr>
            <w:tcW w:w="775" w:type="pct"/>
            <w:noWrap w:val="0"/>
            <w:vAlign w:val="center"/>
          </w:tcPr>
          <w:p w14:paraId="5EEC5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</w:tbl>
    <w:p w14:paraId="70658DBB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kern w:val="0"/>
          <w:sz w:val="28"/>
          <w:szCs w:val="28"/>
          <w:lang w:val="en-US" w:eastAsia="zh-CN" w:bidi="ar"/>
        </w:rPr>
        <w:t>单位：公顷</w:t>
      </w:r>
    </w:p>
    <w:p w14:paraId="644E3F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textAlignment w:val="auto"/>
        <w:rPr>
          <w:rFonts w:hint="eastAsia"/>
          <w:spacing w:val="6"/>
        </w:rPr>
      </w:pPr>
    </w:p>
    <w:p w14:paraId="7F8C927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textAlignment w:val="auto"/>
        <w:rPr>
          <w:rFonts w:hint="eastAsia"/>
          <w:spacing w:val="6"/>
        </w:rPr>
      </w:pPr>
    </w:p>
    <w:sectPr>
      <w:footerReference r:id="rId4" w:type="default"/>
      <w:pgSz w:w="16838" w:h="11906" w:orient="landscape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2A97C7-53EA-4E4D-AE81-9E3B93B405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709E2C6-888F-42AB-8BE5-C7387609A0A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758502A-20DF-4BAA-9006-C31120CF594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2180DA9-2494-4BED-B2EF-0F0A3EA3EA8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AE4CEA7-AE40-41C2-9E38-31BD8C733C20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6" w:fontKey="{BCDA42BC-83BD-4842-8C65-F4C55DEB33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32590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5D82F1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5D82F1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16EF8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E8445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AE8445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OWI5ZWM5MjdlMmJhM2IxMDRjMTA4YmE1YzQwMWEifQ=="/>
  </w:docVars>
  <w:rsids>
    <w:rsidRoot w:val="00000000"/>
    <w:rsid w:val="00187E20"/>
    <w:rsid w:val="00631F6D"/>
    <w:rsid w:val="01240783"/>
    <w:rsid w:val="01E46D89"/>
    <w:rsid w:val="02847F05"/>
    <w:rsid w:val="036E0AC4"/>
    <w:rsid w:val="0606175B"/>
    <w:rsid w:val="082324B2"/>
    <w:rsid w:val="082C4BD8"/>
    <w:rsid w:val="083F6E87"/>
    <w:rsid w:val="0B5D195B"/>
    <w:rsid w:val="0CB8153E"/>
    <w:rsid w:val="0CE9794A"/>
    <w:rsid w:val="0D15415D"/>
    <w:rsid w:val="1012756E"/>
    <w:rsid w:val="10893179"/>
    <w:rsid w:val="10F621CB"/>
    <w:rsid w:val="1152425B"/>
    <w:rsid w:val="16257944"/>
    <w:rsid w:val="17C4240D"/>
    <w:rsid w:val="1B894EAE"/>
    <w:rsid w:val="1E827BFE"/>
    <w:rsid w:val="1ECE074D"/>
    <w:rsid w:val="1F3F78A6"/>
    <w:rsid w:val="2233457E"/>
    <w:rsid w:val="25C7667E"/>
    <w:rsid w:val="277C3261"/>
    <w:rsid w:val="29A04CE4"/>
    <w:rsid w:val="2B4C3050"/>
    <w:rsid w:val="2B8F74B6"/>
    <w:rsid w:val="2C6D6092"/>
    <w:rsid w:val="2C9034E6"/>
    <w:rsid w:val="2D151C3D"/>
    <w:rsid w:val="2E0B000A"/>
    <w:rsid w:val="2E1F16F9"/>
    <w:rsid w:val="305548C0"/>
    <w:rsid w:val="319A35CF"/>
    <w:rsid w:val="31C0486E"/>
    <w:rsid w:val="332B2374"/>
    <w:rsid w:val="33834618"/>
    <w:rsid w:val="345367BC"/>
    <w:rsid w:val="34756E21"/>
    <w:rsid w:val="368D30FB"/>
    <w:rsid w:val="387A228E"/>
    <w:rsid w:val="38F30081"/>
    <w:rsid w:val="39926182"/>
    <w:rsid w:val="3AE570F3"/>
    <w:rsid w:val="3B0F3199"/>
    <w:rsid w:val="3B2C0FB1"/>
    <w:rsid w:val="3CB153DA"/>
    <w:rsid w:val="3F20383E"/>
    <w:rsid w:val="473700E6"/>
    <w:rsid w:val="476E5665"/>
    <w:rsid w:val="4A441CB8"/>
    <w:rsid w:val="4B725282"/>
    <w:rsid w:val="4C4C5195"/>
    <w:rsid w:val="4D816BCF"/>
    <w:rsid w:val="4E323FA5"/>
    <w:rsid w:val="4E9D743F"/>
    <w:rsid w:val="500931EC"/>
    <w:rsid w:val="511A5E7D"/>
    <w:rsid w:val="513C2406"/>
    <w:rsid w:val="51557F9D"/>
    <w:rsid w:val="520A43C5"/>
    <w:rsid w:val="543C16F8"/>
    <w:rsid w:val="547748A2"/>
    <w:rsid w:val="55281FF6"/>
    <w:rsid w:val="57500AC2"/>
    <w:rsid w:val="59E0604D"/>
    <w:rsid w:val="5AB741B0"/>
    <w:rsid w:val="5E715CC6"/>
    <w:rsid w:val="5EB60C5A"/>
    <w:rsid w:val="5EDA0E15"/>
    <w:rsid w:val="60D242EE"/>
    <w:rsid w:val="6122496C"/>
    <w:rsid w:val="61D5318F"/>
    <w:rsid w:val="62134F8C"/>
    <w:rsid w:val="62CC5CA6"/>
    <w:rsid w:val="63C37984"/>
    <w:rsid w:val="65FF0CE2"/>
    <w:rsid w:val="66D1587B"/>
    <w:rsid w:val="6A5A4B58"/>
    <w:rsid w:val="6BA073BD"/>
    <w:rsid w:val="6E465978"/>
    <w:rsid w:val="70D46705"/>
    <w:rsid w:val="734F3A6E"/>
    <w:rsid w:val="73DB3FB6"/>
    <w:rsid w:val="74420A24"/>
    <w:rsid w:val="753F6438"/>
    <w:rsid w:val="769C7763"/>
    <w:rsid w:val="78875510"/>
    <w:rsid w:val="78DD4687"/>
    <w:rsid w:val="798728BC"/>
    <w:rsid w:val="7B7D212A"/>
    <w:rsid w:val="7D433775"/>
    <w:rsid w:val="7DD10836"/>
    <w:rsid w:val="7DD16A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unhideWhenUsed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cs="宋体"/>
      <w:b/>
      <w:kern w:val="44"/>
      <w:sz w:val="48"/>
      <w:szCs w:val="48"/>
    </w:rPr>
  </w:style>
  <w:style w:type="paragraph" w:styleId="3">
    <w:name w:val="heading 4"/>
    <w:basedOn w:val="1"/>
    <w:next w:val="1"/>
    <w:autoRedefine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kern w:val="0"/>
      <w:sz w:val="24"/>
      <w:szCs w:val="20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420" w:firstLineChars="200"/>
    </w:pPr>
    <w:rPr>
      <w:rFonts w:hint="default"/>
    </w:rPr>
  </w:style>
  <w:style w:type="paragraph" w:styleId="5">
    <w:name w:val="Body Text"/>
    <w:basedOn w:val="1"/>
    <w:next w:val="6"/>
    <w:autoRedefine/>
    <w:qFormat/>
    <w:uiPriority w:val="0"/>
    <w:pPr>
      <w:spacing w:after="120"/>
    </w:pPr>
  </w:style>
  <w:style w:type="paragraph" w:styleId="6">
    <w:name w:val="Message Header"/>
    <w:basedOn w:val="1"/>
    <w:next w:val="1"/>
    <w:autoRedefine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00" w:leftChars="500" w:hanging="500" w:hangingChars="500"/>
    </w:pPr>
    <w:rPr>
      <w:rFonts w:ascii="Arial" w:hAnsi="Arial"/>
      <w:sz w:val="24"/>
    </w:rPr>
  </w:style>
  <w:style w:type="paragraph" w:styleId="7">
    <w:name w:val="Body Text Indent"/>
    <w:basedOn w:val="1"/>
    <w:autoRedefine/>
    <w:qFormat/>
    <w:uiPriority w:val="0"/>
    <w:pPr>
      <w:spacing w:after="120" w:afterAutospacing="0"/>
      <w:ind w:left="420" w:leftChars="200"/>
    </w:pPr>
  </w:style>
  <w:style w:type="paragraph" w:styleId="8">
    <w:name w:val="Date"/>
    <w:basedOn w:val="1"/>
    <w:next w:val="1"/>
    <w:autoRedefine/>
    <w:qFormat/>
    <w:uiPriority w:val="0"/>
    <w:pPr>
      <w:ind w:left="100" w:leftChars="2500"/>
    </w:p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next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1">
    <w:name w:val="toc 6"/>
    <w:basedOn w:val="1"/>
    <w:next w:val="1"/>
    <w:autoRedefine/>
    <w:qFormat/>
    <w:uiPriority w:val="0"/>
    <w:pPr>
      <w:ind w:left="0"/>
      <w:jc w:val="left"/>
    </w:pPr>
    <w:rPr>
      <w:sz w:val="28"/>
      <w:szCs w:val="28"/>
    </w:rPr>
  </w:style>
  <w:style w:type="paragraph" w:styleId="12">
    <w:name w:val="Normal (Web)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4">
    <w:name w:val="Body Text First Indent"/>
    <w:basedOn w:val="5"/>
    <w:autoRedefine/>
    <w:qFormat/>
    <w:uiPriority w:val="0"/>
    <w:pPr>
      <w:adjustRightInd/>
      <w:spacing w:before="156" w:beforeLines="50" w:after="156" w:afterLines="50" w:line="360" w:lineRule="auto"/>
      <w:ind w:firstLine="420" w:firstLineChars="100"/>
      <w:jc w:val="both"/>
      <w:textAlignment w:val="auto"/>
    </w:pPr>
    <w:rPr>
      <w:kern w:val="2"/>
      <w:szCs w:val="24"/>
    </w:rPr>
  </w:style>
  <w:style w:type="paragraph" w:styleId="15">
    <w:name w:val="Body Text First Indent 2"/>
    <w:basedOn w:val="7"/>
    <w:autoRedefine/>
    <w:qFormat/>
    <w:uiPriority w:val="0"/>
    <w:pPr>
      <w:ind w:left="0" w:leftChars="0" w:firstLine="420" w:firstLineChars="200"/>
    </w:pPr>
    <w:rPr>
      <w:rFonts w:ascii="Times New Roman" w:hAnsi="Times New Roman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autoRedefine/>
    <w:qFormat/>
    <w:uiPriority w:val="0"/>
    <w:rPr>
      <w:b/>
    </w:rPr>
  </w:style>
  <w:style w:type="character" w:styleId="20">
    <w:name w:val="page number"/>
    <w:basedOn w:val="18"/>
    <w:autoRedefine/>
    <w:qFormat/>
    <w:uiPriority w:val="0"/>
  </w:style>
  <w:style w:type="paragraph" w:customStyle="1" w:styleId="21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22">
    <w:name w:val="正文格式"/>
    <w:autoRedefine/>
    <w:qFormat/>
    <w:uiPriority w:val="99"/>
    <w:pPr>
      <w:spacing w:line="360" w:lineRule="auto"/>
      <w:ind w:firstLine="200" w:firstLineChars="200"/>
    </w:pPr>
    <w:rPr>
      <w:rFonts w:ascii="Times New Roman" w:hAnsi="Times New Roman" w:eastAsia="宋体" w:cs="Times New Roman"/>
      <w:sz w:val="28"/>
      <w:szCs w:val="22"/>
      <w:lang w:val="en-US" w:eastAsia="zh-CN" w:bidi="ar-SA"/>
    </w:rPr>
  </w:style>
  <w:style w:type="paragraph" w:customStyle="1" w:styleId="23">
    <w:name w:val="p0"/>
    <w:basedOn w:val="1"/>
    <w:autoRedefine/>
    <w:qFormat/>
    <w:uiPriority w:val="0"/>
    <w:pPr>
      <w:widowControl/>
    </w:pPr>
    <w:rPr>
      <w:kern w:val="0"/>
      <w:sz w:val="32"/>
      <w:szCs w:val="32"/>
    </w:rPr>
  </w:style>
  <w:style w:type="paragraph" w:customStyle="1" w:styleId="24">
    <w:name w:val="w-正文-w"/>
    <w:basedOn w:val="1"/>
    <w:autoRedefine/>
    <w:qFormat/>
    <w:uiPriority w:val="0"/>
    <w:pPr>
      <w:spacing w:line="240" w:lineRule="auto"/>
      <w:ind w:left="0" w:firstLine="883" w:firstLineChars="200"/>
      <w:jc w:val="left"/>
      <w:outlineLvl w:val="9"/>
    </w:pPr>
    <w:rPr>
      <w:rFonts w:ascii="仿宋" w:hAnsi="仿宋" w:eastAsia="仿宋" w:cs="Times New Roman"/>
      <w:sz w:val="28"/>
      <w:szCs w:val="24"/>
    </w:rPr>
  </w:style>
  <w:style w:type="paragraph" w:customStyle="1" w:styleId="25">
    <w:name w:val="List Paragraph"/>
    <w:basedOn w:val="1"/>
    <w:autoRedefine/>
    <w:qFormat/>
    <w:uiPriority w:val="1"/>
    <w:pPr>
      <w:spacing w:before="10"/>
      <w:ind w:left="497" w:hanging="292"/>
    </w:pPr>
    <w:rPr>
      <w:rFonts w:ascii="宋体" w:hAnsi="宋体" w:eastAsia="宋体" w:cs="宋体"/>
    </w:rPr>
  </w:style>
  <w:style w:type="character" w:customStyle="1" w:styleId="26">
    <w:name w:val="font61"/>
    <w:basedOn w:val="18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7">
    <w:name w:val="font11"/>
    <w:basedOn w:val="18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font41"/>
    <w:basedOn w:val="18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9">
    <w:name w:val="font31"/>
    <w:basedOn w:val="18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0">
    <w:name w:val="font21"/>
    <w:basedOn w:val="18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3145</Words>
  <Characters>3495</Characters>
  <Lines>0</Lines>
  <Paragraphs>0</Paragraphs>
  <TotalTime>12</TotalTime>
  <ScaleCrop>false</ScaleCrop>
  <LinksUpToDate>false</LinksUpToDate>
  <CharactersWithSpaces>3550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2022-06-27T06:09:00Z</dcterms:created>
  <dc:creator>"淡然、回眸＊</dc:creator>
  <cp:lastModifiedBy>WPS_1638440005</cp:lastModifiedBy>
  <cp:lastPrinted>2025-04-03T09:22:00Z</cp:lastPrinted>
  <dcterms:modified xsi:type="dcterms:W3CDTF">2025-04-09T07:02:56Z</dcterms:modified>
  <dc:title>   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7C1B059729C6413A876D7067B02C6239_13</vt:lpwstr>
  </property>
  <property fmtid="{D5CDD505-2E9C-101B-9397-08002B2CF9AE}" pid="4" name="KSOTemplateDocerSaveRecord">
    <vt:lpwstr>eyJoZGlkIjoiMTZiMmE1ZTNmMjY4MmE2YjgyMDU0NGYwMmUwZjcxOTYiLCJ1c2VySWQiOiIxMjk1Nzg1NTUzIn0=</vt:lpwstr>
  </property>
</Properties>
</file>