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  <w:lang w:val="en-US" w:eastAsia="zh-CN"/>
        </w:rPr>
        <w:t>黑龙江省文化市场综合执法减轻行政处罚事项清单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40"/>
          <w:lang w:val="en-US" w:eastAsia="zh-CN"/>
        </w:rPr>
      </w:pPr>
    </w:p>
    <w:p>
      <w:pPr>
        <w:rPr>
          <w:color w:val="000000"/>
        </w:rPr>
      </w:pPr>
    </w:p>
    <w:tbl>
      <w:tblPr>
        <w:tblStyle w:val="2"/>
        <w:tblW w:w="137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021"/>
        <w:gridCol w:w="3381"/>
        <w:gridCol w:w="3693"/>
        <w:gridCol w:w="2099"/>
        <w:gridCol w:w="1675"/>
        <w:gridCol w:w="13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管理领域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减轻行政处罚事项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减轻行政处罚事项情形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减轻行政处罚的依据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配套监管措施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权力层级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文化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游艺娱乐场设置未经文化主管部门内容核查的游戏游艺设备，进行有奖经营活动的，奖品目录应当报所在地县级文化主管部门备案的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初次违法且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违法行为受他人胁迫或者诱骗、及时终止违法行为的、配合行政机关查处违法行为有重大立功表现、主动消除违法行为危害后果等情形的，减轻处罚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16"/>
                <w:szCs w:val="16"/>
                <w:shd w:val="clear" w:color="auto" w:fill="FFFFFF"/>
                <w:lang w:val="en-US" w:eastAsia="zh-CN" w:bidi="ar"/>
              </w:rPr>
              <w:t>《行政处罚法》第三十二条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16"/>
                <w:szCs w:val="16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kern w:val="0"/>
                <w:sz w:val="16"/>
                <w:szCs w:val="16"/>
                <w:shd w:val="clear" w:color="auto" w:fill="FFFFFF"/>
                <w:lang w:val="en-US" w:eastAsia="zh-CN" w:bidi="ar"/>
              </w:rPr>
              <w:t>行政告诫、行政回访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设区市级、县级</w:t>
            </w:r>
          </w:p>
        </w:tc>
      </w:tr>
    </w:tbl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wYzI1YmVhNjFmZGFhMzAxZGZmZWU4YmJmN2IyYzYifQ=="/>
  </w:docVars>
  <w:rsids>
    <w:rsidRoot w:val="6E490DBD"/>
    <w:rsid w:val="6E4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2022-08-17T02:09:00Z</dcterms:created>
  <dc:creator>李尚昆</dc:creator>
  <cp:lastModifiedBy>李尚昆</cp:lastModifiedBy>
  <dcterms:modified xsi:type="dcterms:W3CDTF">2022-08-17T02:10:16Z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E3285D47DBF748E0AE6903D7507E7DBB</vt:lpwstr>
  </property>
</Properties>
</file>